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line="360" w:lineRule="auto"/>
        <w:ind w:firstLine="880"/>
        <w:jc w:val="left"/>
        <w:rPr>
          <w:rFonts w:cs="Arial"/>
          <w:bCs/>
          <w:sz w:val="28"/>
          <w:szCs w:val="28"/>
          <w:highlight w:val="none"/>
        </w:rPr>
      </w:pPr>
    </w:p>
    <w:p>
      <w:pPr>
        <w:spacing w:line="760" w:lineRule="exact"/>
        <w:ind w:firstLine="880"/>
        <w:rPr>
          <w:color w:val="000000"/>
          <w:sz w:val="44"/>
          <w:highlight w:val="none"/>
        </w:rPr>
      </w:pPr>
    </w:p>
    <w:p>
      <w:pPr>
        <w:spacing w:line="400" w:lineRule="exact"/>
        <w:ind w:firstLine="480"/>
        <w:jc w:val="center"/>
        <w:rPr>
          <w:color w:val="000000"/>
          <w:highlight w:val="none"/>
        </w:rPr>
      </w:pPr>
    </w:p>
    <w:p>
      <w:pPr>
        <w:adjustRightInd/>
        <w:snapToGrid/>
        <w:spacing w:line="240" w:lineRule="auto"/>
        <w:ind w:firstLine="0" w:firstLineChars="0"/>
        <w:jc w:val="center"/>
        <w:rPr>
          <w:rFonts w:eastAsia="黑体"/>
          <w:sz w:val="56"/>
          <w:szCs w:val="22"/>
          <w:highlight w:val="none"/>
        </w:rPr>
      </w:pPr>
      <w:r>
        <w:rPr>
          <w:rFonts w:hint="eastAsia" w:eastAsia="黑体"/>
          <w:sz w:val="56"/>
          <w:szCs w:val="22"/>
          <w:highlight w:val="none"/>
        </w:rPr>
        <w:t>中国煤炭开发有限责任公司</w:t>
      </w:r>
    </w:p>
    <w:p>
      <w:pPr>
        <w:adjustRightInd/>
        <w:snapToGrid/>
        <w:spacing w:line="240" w:lineRule="auto"/>
        <w:ind w:firstLine="0" w:firstLineChars="0"/>
        <w:jc w:val="center"/>
        <w:rPr>
          <w:rFonts w:eastAsia="黑体"/>
          <w:sz w:val="56"/>
          <w:szCs w:val="22"/>
          <w:highlight w:val="none"/>
        </w:rPr>
      </w:pPr>
      <w:r>
        <w:rPr>
          <w:rFonts w:hint="eastAsia" w:eastAsia="黑体"/>
          <w:sz w:val="56"/>
          <w:szCs w:val="22"/>
          <w:highlight w:val="none"/>
          <w:lang w:val="en-US" w:eastAsia="zh-CN"/>
        </w:rPr>
        <w:t>公开</w:t>
      </w:r>
      <w:r>
        <w:rPr>
          <w:rFonts w:hint="eastAsia" w:eastAsia="黑体"/>
          <w:sz w:val="56"/>
          <w:szCs w:val="22"/>
          <w:highlight w:val="none"/>
        </w:rPr>
        <w:t>谈判采购询价文件</w:t>
      </w:r>
    </w:p>
    <w:p>
      <w:pPr>
        <w:spacing w:line="240" w:lineRule="auto"/>
        <w:ind w:firstLine="0" w:firstLineChars="0"/>
        <w:jc w:val="center"/>
        <w:rPr>
          <w:color w:val="000000"/>
          <w:highlight w:val="none"/>
        </w:rPr>
      </w:pPr>
    </w:p>
    <w:p>
      <w:pPr>
        <w:spacing w:line="400" w:lineRule="exact"/>
        <w:ind w:firstLine="0" w:firstLineChars="0"/>
        <w:jc w:val="center"/>
        <w:rPr>
          <w:color w:val="000000"/>
          <w:highlight w:val="none"/>
        </w:rPr>
      </w:pPr>
    </w:p>
    <w:p>
      <w:pPr>
        <w:spacing w:line="400" w:lineRule="exact"/>
        <w:ind w:firstLine="0" w:firstLineChars="0"/>
        <w:jc w:val="center"/>
        <w:rPr>
          <w:color w:val="000000"/>
          <w:highlight w:val="none"/>
        </w:rPr>
      </w:pPr>
    </w:p>
    <w:p>
      <w:pPr>
        <w:spacing w:line="400" w:lineRule="exact"/>
        <w:ind w:firstLine="0" w:firstLineChars="0"/>
        <w:jc w:val="center"/>
        <w:rPr>
          <w:color w:val="000000"/>
          <w:highlight w:val="none"/>
        </w:rPr>
      </w:pPr>
    </w:p>
    <w:p>
      <w:pPr>
        <w:spacing w:line="400" w:lineRule="exact"/>
        <w:ind w:firstLine="0" w:firstLineChars="0"/>
        <w:jc w:val="center"/>
        <w:rPr>
          <w:color w:val="000000"/>
          <w:highlight w:val="none"/>
        </w:rPr>
      </w:pPr>
    </w:p>
    <w:p>
      <w:pPr>
        <w:spacing w:line="400" w:lineRule="exact"/>
        <w:ind w:firstLine="0" w:firstLineChars="0"/>
        <w:jc w:val="center"/>
        <w:rPr>
          <w:color w:val="000000"/>
          <w:highlight w:val="none"/>
        </w:rPr>
      </w:pPr>
    </w:p>
    <w:p>
      <w:pPr>
        <w:spacing w:line="400" w:lineRule="exact"/>
        <w:ind w:firstLine="0" w:firstLineChars="0"/>
        <w:jc w:val="center"/>
        <w:rPr>
          <w:color w:val="000000"/>
          <w:highlight w:val="none"/>
        </w:rPr>
      </w:pPr>
    </w:p>
    <w:p>
      <w:pPr>
        <w:spacing w:line="400" w:lineRule="exact"/>
        <w:ind w:firstLine="0" w:firstLineChars="0"/>
        <w:jc w:val="center"/>
        <w:rPr>
          <w:color w:val="000000"/>
          <w:highlight w:val="none"/>
        </w:rPr>
      </w:pPr>
    </w:p>
    <w:p>
      <w:pPr>
        <w:spacing w:line="400" w:lineRule="exact"/>
        <w:ind w:firstLine="0" w:firstLineChars="0"/>
        <w:jc w:val="center"/>
        <w:rPr>
          <w:color w:val="000000"/>
          <w:highlight w:val="none"/>
        </w:rPr>
      </w:pPr>
    </w:p>
    <w:p>
      <w:pPr>
        <w:spacing w:line="400" w:lineRule="exact"/>
        <w:ind w:firstLine="0" w:firstLineChars="0"/>
        <w:jc w:val="center"/>
        <w:rPr>
          <w:color w:val="000000"/>
          <w:highlight w:val="none"/>
        </w:rPr>
      </w:pPr>
    </w:p>
    <w:p>
      <w:pPr>
        <w:spacing w:line="400" w:lineRule="exact"/>
        <w:ind w:firstLine="0" w:firstLineChars="0"/>
        <w:jc w:val="center"/>
        <w:rPr>
          <w:color w:val="000000"/>
          <w:highlight w:val="none"/>
        </w:rPr>
      </w:pPr>
    </w:p>
    <w:p>
      <w:pPr>
        <w:spacing w:line="400" w:lineRule="exact"/>
        <w:ind w:firstLine="0" w:firstLineChars="0"/>
        <w:jc w:val="center"/>
        <w:rPr>
          <w:rFonts w:eastAsia="黑体"/>
          <w:color w:val="000000"/>
          <w:highlight w:val="none"/>
        </w:rPr>
      </w:pPr>
    </w:p>
    <w:p>
      <w:pPr>
        <w:pStyle w:val="10"/>
        <w:ind w:firstLine="1198" w:firstLineChars="428"/>
        <w:rPr>
          <w:rFonts w:ascii="黑体" w:hAnsi="黑体" w:eastAsia="黑体" w:cs="黑体"/>
          <w:color w:val="000000"/>
          <w:sz w:val="28"/>
          <w:szCs w:val="28"/>
          <w:highlight w:val="none"/>
        </w:rPr>
      </w:pPr>
      <w:bookmarkStart w:id="0" w:name="_Toc525134786"/>
      <w:r>
        <w:rPr>
          <w:rFonts w:hint="eastAsia" w:ascii="黑体" w:hAnsi="黑体" w:eastAsia="黑体" w:cs="黑体"/>
          <w:sz w:val="28"/>
          <w:szCs w:val="28"/>
          <w:highlight w:val="none"/>
        </w:rPr>
        <w:t>采 购 人：</w:t>
      </w:r>
      <w:r>
        <w:rPr>
          <w:rFonts w:hint="eastAsia" w:ascii="黑体" w:hAnsi="黑体" w:eastAsia="黑体" w:cs="黑体"/>
          <w:sz w:val="28"/>
          <w:szCs w:val="28"/>
          <w:highlight w:val="none"/>
          <w:u w:val="single"/>
        </w:rPr>
        <w:t xml:space="preserve"> </w:t>
      </w:r>
      <w:r>
        <w:rPr>
          <w:rFonts w:hint="eastAsia" w:ascii="黑体" w:hAnsi="黑体" w:eastAsia="黑体" w:cs="黑体"/>
          <w:color w:val="000000"/>
          <w:sz w:val="28"/>
          <w:szCs w:val="28"/>
          <w:highlight w:val="none"/>
          <w:u w:val="single"/>
          <w:lang w:val="en-US" w:eastAsia="zh-CN"/>
        </w:rPr>
        <w:t>中国煤炭开发有限责任公司（章）</w:t>
      </w:r>
      <w:r>
        <w:rPr>
          <w:rFonts w:hint="eastAsia" w:ascii="黑体" w:hAnsi="黑体" w:eastAsia="黑体" w:cs="黑体"/>
          <w:color w:val="000000"/>
          <w:sz w:val="28"/>
          <w:szCs w:val="28"/>
          <w:highlight w:val="none"/>
          <w:u w:val="single"/>
        </w:rPr>
        <w:t xml:space="preserve">      </w:t>
      </w:r>
      <w:r>
        <w:rPr>
          <w:rFonts w:hint="eastAsia" w:ascii="黑体" w:hAnsi="黑体" w:eastAsia="黑体" w:cs="黑体"/>
          <w:color w:val="000000"/>
          <w:sz w:val="28"/>
          <w:szCs w:val="28"/>
          <w:highlight w:val="none"/>
        </w:rPr>
        <w:t xml:space="preserve">  </w:t>
      </w:r>
    </w:p>
    <w:p>
      <w:pPr>
        <w:pStyle w:val="10"/>
        <w:ind w:firstLine="1198" w:firstLineChars="428"/>
        <w:rPr>
          <w:rFonts w:ascii="黑体" w:hAnsi="黑体" w:eastAsia="黑体" w:cs="黑体"/>
          <w:color w:val="000000"/>
          <w:sz w:val="28"/>
          <w:szCs w:val="28"/>
          <w:highlight w:val="none"/>
        </w:rPr>
      </w:pPr>
    </w:p>
    <w:p>
      <w:pPr>
        <w:pStyle w:val="10"/>
        <w:ind w:firstLine="1198" w:firstLineChars="428"/>
        <w:rPr>
          <w:rFonts w:ascii="黑体" w:hAnsi="黑体" w:eastAsia="黑体" w:cs="黑体"/>
          <w:color w:val="000000"/>
          <w:sz w:val="28"/>
          <w:szCs w:val="28"/>
          <w:highlight w:val="none"/>
        </w:rPr>
      </w:pPr>
    </w:p>
    <w:p>
      <w:pPr>
        <w:pStyle w:val="10"/>
        <w:ind w:firstLine="1198" w:firstLineChars="428"/>
        <w:rPr>
          <w:rFonts w:ascii="黑体" w:hAnsi="黑体" w:eastAsia="黑体" w:cs="黑体"/>
          <w:sz w:val="28"/>
          <w:szCs w:val="28"/>
          <w:highlight w:val="none"/>
        </w:rPr>
      </w:pPr>
      <w:r>
        <w:rPr>
          <w:rFonts w:hint="eastAsia" w:ascii="黑体" w:hAnsi="黑体" w:eastAsia="黑体" w:cs="黑体"/>
          <w:color w:val="000000"/>
          <w:sz w:val="28"/>
          <w:szCs w:val="28"/>
          <w:highlight w:val="none"/>
        </w:rPr>
        <w:t>日    期：</w:t>
      </w:r>
      <w:r>
        <w:rPr>
          <w:rFonts w:hint="eastAsia" w:ascii="黑体" w:hAnsi="黑体" w:eastAsia="黑体" w:cs="黑体"/>
          <w:color w:val="000000"/>
          <w:sz w:val="28"/>
          <w:szCs w:val="28"/>
          <w:highlight w:val="none"/>
          <w:u w:val="single"/>
        </w:rPr>
        <w:t xml:space="preserve"> 202</w:t>
      </w:r>
      <w:r>
        <w:rPr>
          <w:rFonts w:hint="eastAsia" w:ascii="黑体" w:hAnsi="黑体" w:eastAsia="黑体" w:cs="黑体"/>
          <w:color w:val="000000"/>
          <w:sz w:val="28"/>
          <w:szCs w:val="28"/>
          <w:highlight w:val="none"/>
          <w:u w:val="single"/>
          <w:lang w:val="en-US" w:eastAsia="zh-CN"/>
        </w:rPr>
        <w:t>5</w:t>
      </w:r>
      <w:r>
        <w:rPr>
          <w:rFonts w:hint="eastAsia" w:ascii="黑体" w:hAnsi="黑体" w:eastAsia="黑体" w:cs="黑体"/>
          <w:color w:val="000000"/>
          <w:sz w:val="28"/>
          <w:szCs w:val="28"/>
          <w:highlight w:val="none"/>
          <w:u w:val="single"/>
        </w:rPr>
        <w:t>年</w:t>
      </w:r>
      <w:r>
        <w:rPr>
          <w:rFonts w:hint="eastAsia" w:ascii="黑体" w:hAnsi="黑体" w:eastAsia="黑体" w:cs="黑体"/>
          <w:color w:val="000000"/>
          <w:sz w:val="28"/>
          <w:szCs w:val="28"/>
          <w:highlight w:val="none"/>
          <w:u w:val="single"/>
          <w:lang w:val="en-US" w:eastAsia="zh-CN"/>
        </w:rPr>
        <w:t>12</w:t>
      </w:r>
      <w:r>
        <w:rPr>
          <w:rFonts w:hint="eastAsia" w:ascii="黑体" w:hAnsi="黑体" w:eastAsia="黑体" w:cs="黑体"/>
          <w:color w:val="000000"/>
          <w:sz w:val="28"/>
          <w:szCs w:val="28"/>
          <w:highlight w:val="none"/>
          <w:u w:val="single"/>
        </w:rPr>
        <w:t>月</w:t>
      </w:r>
      <w:r>
        <w:rPr>
          <w:rFonts w:hint="eastAsia" w:ascii="黑体" w:hAnsi="黑体" w:eastAsia="黑体" w:cs="黑体"/>
          <w:color w:val="000000"/>
          <w:sz w:val="28"/>
          <w:szCs w:val="28"/>
          <w:highlight w:val="none"/>
          <w:u w:val="single"/>
          <w:lang w:val="en-US" w:eastAsia="zh-CN"/>
        </w:rPr>
        <w:t xml:space="preserve"> 1</w:t>
      </w:r>
      <w:r>
        <w:rPr>
          <w:rFonts w:hint="eastAsia" w:ascii="黑体" w:hAnsi="黑体" w:eastAsia="黑体" w:cs="黑体"/>
          <w:color w:val="000000"/>
          <w:sz w:val="28"/>
          <w:szCs w:val="28"/>
          <w:highlight w:val="none"/>
          <w:u w:val="single"/>
        </w:rPr>
        <w:t xml:space="preserve">日 </w:t>
      </w:r>
      <w:r>
        <w:rPr>
          <w:rFonts w:hint="eastAsia" w:ascii="黑体" w:hAnsi="黑体" w:eastAsia="黑体" w:cs="黑体"/>
          <w:sz w:val="28"/>
          <w:szCs w:val="28"/>
          <w:highlight w:val="none"/>
          <w:u w:val="single"/>
        </w:rPr>
        <w:t xml:space="preserve">             </w:t>
      </w:r>
    </w:p>
    <w:p>
      <w:pPr>
        <w:pStyle w:val="10"/>
        <w:ind w:firstLine="480"/>
        <w:rPr>
          <w:rFonts w:eastAsia="黑体"/>
          <w:szCs w:val="32"/>
          <w:highlight w:val="none"/>
        </w:rPr>
      </w:pPr>
    </w:p>
    <w:p>
      <w:pPr>
        <w:ind w:firstLine="480"/>
        <w:rPr>
          <w:rFonts w:eastAsia="黑体"/>
          <w:szCs w:val="32"/>
          <w:highlight w:val="none"/>
        </w:rPr>
      </w:pPr>
    </w:p>
    <w:p>
      <w:pPr>
        <w:pStyle w:val="10"/>
        <w:ind w:firstLine="480"/>
        <w:rPr>
          <w:highlight w:val="none"/>
        </w:rPr>
        <w:sectPr>
          <w:headerReference r:id="rId7" w:type="first"/>
          <w:footerReference r:id="rId10" w:type="first"/>
          <w:headerReference r:id="rId5" w:type="default"/>
          <w:footerReference r:id="rId8" w:type="default"/>
          <w:headerReference r:id="rId6" w:type="even"/>
          <w:footerReference r:id="rId9" w:type="even"/>
          <w:pgSz w:w="11906" w:h="16838"/>
          <w:pgMar w:top="1797" w:right="1440" w:bottom="1797" w:left="1440" w:header="851" w:footer="992" w:gutter="0"/>
          <w:pgBorders>
            <w:top w:val="none" w:sz="0" w:space="0"/>
            <w:left w:val="none" w:sz="0" w:space="0"/>
            <w:bottom w:val="none" w:sz="0" w:space="0"/>
            <w:right w:val="none" w:sz="0" w:space="0"/>
          </w:pgBorders>
          <w:pgNumType w:start="0"/>
          <w:cols w:space="720" w:num="1"/>
          <w:titlePg/>
          <w:docGrid w:linePitch="326" w:charSpace="0"/>
        </w:sectPr>
      </w:pPr>
    </w:p>
    <w:p>
      <w:pPr>
        <w:pStyle w:val="4"/>
        <w:spacing w:before="120" w:after="120" w:line="360" w:lineRule="auto"/>
        <w:ind w:firstLine="0" w:firstLineChars="0"/>
        <w:jc w:val="center"/>
        <w:rPr>
          <w:rFonts w:eastAsia="黑体"/>
          <w:b w:val="0"/>
          <w:sz w:val="48"/>
          <w:highlight w:val="none"/>
        </w:rPr>
      </w:pPr>
      <w:bookmarkStart w:id="1" w:name="_Toc23056"/>
      <w:bookmarkStart w:id="2" w:name="_Toc527616316"/>
      <w:bookmarkStart w:id="3" w:name="_Toc527531642"/>
      <w:bookmarkStart w:id="4" w:name="_Toc527708219"/>
      <w:bookmarkStart w:id="5" w:name="_Toc527120202"/>
      <w:bookmarkStart w:id="6" w:name="_Toc29672"/>
      <w:bookmarkStart w:id="7" w:name="_Toc18976"/>
      <w:bookmarkStart w:id="8" w:name="_Toc19026"/>
      <w:bookmarkStart w:id="9" w:name="_Toc23135"/>
      <w:bookmarkStart w:id="10" w:name="_Toc5091"/>
      <w:bookmarkStart w:id="11" w:name="_Toc9040"/>
      <w:bookmarkStart w:id="12" w:name="_Toc16453"/>
      <w:r>
        <w:rPr>
          <w:rFonts w:hint="eastAsia" w:eastAsia="黑体"/>
          <w:b w:val="0"/>
          <w:sz w:val="36"/>
          <w:szCs w:val="32"/>
          <w:highlight w:val="none"/>
        </w:rPr>
        <w:t>使 用 说 明</w:t>
      </w:r>
      <w:bookmarkEnd w:id="0"/>
      <w:bookmarkEnd w:id="1"/>
      <w:bookmarkEnd w:id="2"/>
      <w:bookmarkEnd w:id="3"/>
      <w:bookmarkEnd w:id="4"/>
      <w:bookmarkEnd w:id="5"/>
      <w:bookmarkEnd w:id="6"/>
      <w:bookmarkEnd w:id="7"/>
      <w:bookmarkEnd w:id="8"/>
      <w:bookmarkEnd w:id="9"/>
      <w:bookmarkEnd w:id="10"/>
      <w:bookmarkEnd w:id="11"/>
      <w:bookmarkEnd w:id="12"/>
    </w:p>
    <w:p>
      <w:pPr>
        <w:ind w:firstLine="480"/>
        <w:rPr>
          <w:highlight w:val="none"/>
        </w:rPr>
      </w:pPr>
      <w:r>
        <w:rPr>
          <w:rFonts w:hint="eastAsia"/>
          <w:highlight w:val="none"/>
        </w:rPr>
        <w:t>一、根据《中国中煤能源集团有限公司供应商廉洁合规管理办法》规定，集团公司及所属企业在开展供应商准入、招标、询价、竞争性谈判和</w:t>
      </w:r>
      <w:r>
        <w:rPr>
          <w:rFonts w:hint="eastAsia"/>
          <w:highlight w:val="none"/>
          <w:lang w:val="en-US" w:eastAsia="zh-CN"/>
        </w:rPr>
        <w:t>直接采购</w:t>
      </w:r>
      <w:r>
        <w:rPr>
          <w:rFonts w:hint="eastAsia"/>
          <w:highlight w:val="none"/>
        </w:rPr>
        <w:t>活动时，必须要求供应商事先签订《供应商廉洁承诺书》；集团公司及所属企业在与供应商缔结商务合作合同时，必须同时签订《供需双方廉洁互保协议》。</w:t>
      </w:r>
    </w:p>
    <w:p>
      <w:pPr>
        <w:ind w:firstLine="480"/>
        <w:rPr>
          <w:highlight w:val="none"/>
        </w:rPr>
      </w:pPr>
      <w:r>
        <w:rPr>
          <w:rFonts w:hint="eastAsia"/>
          <w:highlight w:val="none"/>
          <w:lang w:val="en-US" w:eastAsia="zh-CN"/>
        </w:rPr>
        <w:t>二</w:t>
      </w:r>
      <w:r>
        <w:rPr>
          <w:rFonts w:hint="eastAsia"/>
          <w:highlight w:val="none"/>
        </w:rPr>
        <w:t>、采购人将在中煤</w:t>
      </w:r>
      <w:r>
        <w:rPr>
          <w:rFonts w:hint="eastAsia"/>
          <w:highlight w:val="none"/>
          <w:lang w:val="en-US" w:eastAsia="zh-CN"/>
        </w:rPr>
        <w:t>供应链</w:t>
      </w:r>
      <w:r>
        <w:rPr>
          <w:rFonts w:hint="eastAsia"/>
          <w:highlight w:val="none"/>
        </w:rPr>
        <w:t>平台上发布采购公告，发布的采购公告作为询价文件的一部分。</w:t>
      </w:r>
    </w:p>
    <w:p>
      <w:pPr>
        <w:ind w:firstLine="480"/>
        <w:rPr>
          <w:highlight w:val="none"/>
        </w:rPr>
      </w:pPr>
      <w:r>
        <w:rPr>
          <w:rFonts w:hint="eastAsia"/>
          <w:highlight w:val="none"/>
          <w:lang w:val="en-US" w:eastAsia="zh-CN"/>
        </w:rPr>
        <w:t>三</w:t>
      </w:r>
      <w:r>
        <w:rPr>
          <w:rFonts w:hint="eastAsia"/>
          <w:highlight w:val="none"/>
        </w:rPr>
        <w:t>、供应商须知前附表、供应商须知正文中对于同一表述的内容、使用了相同的条款号，便于条款前后对应，避免条款前后不一致。</w:t>
      </w:r>
    </w:p>
    <w:p>
      <w:pPr>
        <w:spacing w:line="360" w:lineRule="auto"/>
        <w:ind w:firstLine="0" w:firstLineChars="0"/>
        <w:jc w:val="center"/>
        <w:rPr>
          <w:highlight w:val="none"/>
          <w:lang w:val="zh-CN"/>
        </w:rPr>
      </w:pPr>
      <w:r>
        <w:rPr>
          <w:highlight w:val="none"/>
          <w:lang w:val="zh-CN"/>
        </w:rPr>
        <w:br w:type="page"/>
      </w:r>
      <w:r>
        <w:rPr>
          <w:rFonts w:eastAsia="黑体"/>
          <w:sz w:val="36"/>
          <w:szCs w:val="32"/>
          <w:highlight w:val="none"/>
        </w:rPr>
        <w:t>目 录</w:t>
      </w:r>
    </w:p>
    <w:p>
      <w:pPr>
        <w:pStyle w:val="23"/>
        <w:tabs>
          <w:tab w:val="right" w:leader="dot" w:pos="9027"/>
        </w:tabs>
      </w:pPr>
      <w:r>
        <w:rPr>
          <w:rFonts w:cs="Arial"/>
          <w:b/>
          <w:sz w:val="22"/>
          <w:szCs w:val="22"/>
          <w:highlight w:val="none"/>
        </w:rPr>
        <w:fldChar w:fldCharType="begin"/>
      </w:r>
      <w:r>
        <w:rPr>
          <w:rFonts w:cs="Arial"/>
          <w:sz w:val="22"/>
          <w:szCs w:val="22"/>
          <w:highlight w:val="none"/>
        </w:rPr>
        <w:instrText xml:space="preserve"> TOC \o "1-3" \h \z </w:instrText>
      </w:r>
      <w:r>
        <w:rPr>
          <w:rFonts w:cs="Arial"/>
          <w:b/>
          <w:sz w:val="22"/>
          <w:szCs w:val="22"/>
          <w:highlight w:val="none"/>
        </w:rPr>
        <w:fldChar w:fldCharType="separate"/>
      </w:r>
      <w:r>
        <w:rPr>
          <w:rFonts w:cs="Arial"/>
          <w:bCs/>
          <w:szCs w:val="22"/>
          <w:highlight w:val="none"/>
        </w:rPr>
        <w:fldChar w:fldCharType="begin"/>
      </w:r>
      <w:r>
        <w:rPr>
          <w:rFonts w:cs="Arial"/>
          <w:bCs/>
          <w:szCs w:val="22"/>
          <w:highlight w:val="none"/>
        </w:rPr>
        <w:instrText xml:space="preserve"> HYPERLINK \l _Toc26049 </w:instrText>
      </w:r>
      <w:r>
        <w:rPr>
          <w:rFonts w:cs="Arial"/>
          <w:bCs/>
          <w:szCs w:val="22"/>
          <w:highlight w:val="none"/>
        </w:rPr>
        <w:fldChar w:fldCharType="separate"/>
      </w:r>
      <w:r>
        <w:rPr>
          <w:rFonts w:ascii="Times New Roman" w:hAnsi="Times New Roman"/>
          <w:highlight w:val="none"/>
        </w:rPr>
        <w:t xml:space="preserve">第一章 </w:t>
      </w:r>
      <w:r>
        <w:rPr>
          <w:rFonts w:hint="eastAsia" w:ascii="Times New Roman" w:hAnsi="Times New Roman"/>
          <w:highlight w:val="none"/>
        </w:rPr>
        <w:t>采购公告</w:t>
      </w:r>
      <w:r>
        <w:tab/>
      </w:r>
      <w:r>
        <w:fldChar w:fldCharType="begin"/>
      </w:r>
      <w:r>
        <w:instrText xml:space="preserve"> PAGEREF _Toc26049 \h </w:instrText>
      </w:r>
      <w:r>
        <w:fldChar w:fldCharType="separate"/>
      </w:r>
      <w:r>
        <w:t>4</w:t>
      </w:r>
      <w:r>
        <w:fldChar w:fldCharType="end"/>
      </w:r>
      <w:r>
        <w:rPr>
          <w:rFonts w:cs="Arial"/>
          <w:bCs/>
          <w:szCs w:val="22"/>
          <w:highlight w:val="none"/>
        </w:rPr>
        <w:fldChar w:fldCharType="end"/>
      </w:r>
    </w:p>
    <w:p>
      <w:pPr>
        <w:pStyle w:val="25"/>
        <w:tabs>
          <w:tab w:val="right" w:leader="dot" w:pos="9027"/>
        </w:tabs>
      </w:pPr>
      <w:r>
        <w:rPr>
          <w:rFonts w:cs="Arial"/>
          <w:bCs/>
          <w:szCs w:val="22"/>
          <w:highlight w:val="none"/>
        </w:rPr>
        <w:fldChar w:fldCharType="begin"/>
      </w:r>
      <w:r>
        <w:rPr>
          <w:rFonts w:cs="Arial"/>
          <w:bCs/>
          <w:szCs w:val="22"/>
          <w:highlight w:val="none"/>
        </w:rPr>
        <w:instrText xml:space="preserve"> HYPERLINK \l _Toc2397 </w:instrText>
      </w:r>
      <w:r>
        <w:rPr>
          <w:rFonts w:cs="Arial"/>
          <w:bCs/>
          <w:szCs w:val="22"/>
          <w:highlight w:val="none"/>
        </w:rPr>
        <w:fldChar w:fldCharType="separate"/>
      </w:r>
      <w:r>
        <w:rPr>
          <w:rFonts w:ascii="Times New Roman" w:hAnsi="Times New Roman"/>
          <w:highlight w:val="none"/>
        </w:rPr>
        <w:t xml:space="preserve">1. </w:t>
      </w:r>
      <w:r>
        <w:rPr>
          <w:rFonts w:hint="eastAsia" w:ascii="Times New Roman" w:hAnsi="Times New Roman"/>
          <w:highlight w:val="none"/>
        </w:rPr>
        <w:t>采购</w:t>
      </w:r>
      <w:r>
        <w:rPr>
          <w:rFonts w:ascii="Times New Roman" w:hAnsi="Times New Roman"/>
          <w:highlight w:val="none"/>
        </w:rPr>
        <w:t>条件</w:t>
      </w:r>
      <w:r>
        <w:tab/>
      </w:r>
      <w:r>
        <w:fldChar w:fldCharType="begin"/>
      </w:r>
      <w:r>
        <w:instrText xml:space="preserve"> PAGEREF _Toc2397 \h </w:instrText>
      </w:r>
      <w:r>
        <w:fldChar w:fldCharType="separate"/>
      </w:r>
      <w:r>
        <w:t>4</w:t>
      </w:r>
      <w:r>
        <w:fldChar w:fldCharType="end"/>
      </w:r>
      <w:r>
        <w:rPr>
          <w:rFonts w:cs="Arial"/>
          <w:bCs/>
          <w:szCs w:val="22"/>
          <w:highlight w:val="none"/>
        </w:rPr>
        <w:fldChar w:fldCharType="end"/>
      </w:r>
    </w:p>
    <w:p>
      <w:pPr>
        <w:pStyle w:val="25"/>
        <w:tabs>
          <w:tab w:val="right" w:leader="dot" w:pos="9027"/>
        </w:tabs>
      </w:pPr>
      <w:r>
        <w:rPr>
          <w:rFonts w:cs="Arial"/>
          <w:bCs/>
          <w:szCs w:val="22"/>
          <w:highlight w:val="none"/>
        </w:rPr>
        <w:fldChar w:fldCharType="begin"/>
      </w:r>
      <w:r>
        <w:rPr>
          <w:rFonts w:cs="Arial"/>
          <w:bCs/>
          <w:szCs w:val="22"/>
          <w:highlight w:val="none"/>
        </w:rPr>
        <w:instrText xml:space="preserve"> HYPERLINK \l _Toc3764 </w:instrText>
      </w:r>
      <w:r>
        <w:rPr>
          <w:rFonts w:cs="Arial"/>
          <w:bCs/>
          <w:szCs w:val="22"/>
          <w:highlight w:val="none"/>
        </w:rPr>
        <w:fldChar w:fldCharType="separate"/>
      </w:r>
      <w:r>
        <w:rPr>
          <w:rFonts w:hint="eastAsia" w:ascii="Times New Roman" w:hAnsi="Times New Roman"/>
          <w:highlight w:val="none"/>
        </w:rPr>
        <w:t>2</w:t>
      </w:r>
      <w:r>
        <w:rPr>
          <w:rFonts w:ascii="Times New Roman" w:hAnsi="Times New Roman"/>
          <w:highlight w:val="none"/>
        </w:rPr>
        <w:t xml:space="preserve">. </w:t>
      </w:r>
      <w:r>
        <w:rPr>
          <w:rFonts w:hint="eastAsia" w:ascii="Times New Roman" w:hAnsi="Times New Roman"/>
          <w:highlight w:val="none"/>
        </w:rPr>
        <w:t>项目概况与</w:t>
      </w:r>
      <w:r>
        <w:rPr>
          <w:rFonts w:hint="eastAsia" w:ascii="Times New Roman" w:hAnsi="Times New Roman"/>
          <w:highlight w:val="none"/>
          <w:lang w:val="en-US" w:eastAsia="zh-CN"/>
        </w:rPr>
        <w:t>服务</w:t>
      </w:r>
      <w:r>
        <w:rPr>
          <w:rFonts w:hint="eastAsia" w:ascii="Times New Roman" w:hAnsi="Times New Roman"/>
          <w:highlight w:val="none"/>
        </w:rPr>
        <w:t>范围</w:t>
      </w:r>
      <w:r>
        <w:tab/>
      </w:r>
      <w:r>
        <w:fldChar w:fldCharType="begin"/>
      </w:r>
      <w:r>
        <w:instrText xml:space="preserve"> PAGEREF _Toc3764 \h </w:instrText>
      </w:r>
      <w:r>
        <w:fldChar w:fldCharType="separate"/>
      </w:r>
      <w:r>
        <w:t>4</w:t>
      </w:r>
      <w:r>
        <w:fldChar w:fldCharType="end"/>
      </w:r>
      <w:r>
        <w:rPr>
          <w:rFonts w:cs="Arial"/>
          <w:bCs/>
          <w:szCs w:val="22"/>
          <w:highlight w:val="none"/>
        </w:rPr>
        <w:fldChar w:fldCharType="end"/>
      </w:r>
    </w:p>
    <w:p>
      <w:pPr>
        <w:pStyle w:val="25"/>
        <w:tabs>
          <w:tab w:val="right" w:leader="dot" w:pos="9027"/>
        </w:tabs>
      </w:pPr>
      <w:r>
        <w:rPr>
          <w:rFonts w:cs="Arial"/>
          <w:bCs/>
          <w:szCs w:val="22"/>
          <w:highlight w:val="none"/>
        </w:rPr>
        <w:fldChar w:fldCharType="begin"/>
      </w:r>
      <w:r>
        <w:rPr>
          <w:rFonts w:cs="Arial"/>
          <w:bCs/>
          <w:szCs w:val="22"/>
          <w:highlight w:val="none"/>
        </w:rPr>
        <w:instrText xml:space="preserve"> HYPERLINK \l _Toc10716 </w:instrText>
      </w:r>
      <w:r>
        <w:rPr>
          <w:rFonts w:cs="Arial"/>
          <w:bCs/>
          <w:szCs w:val="22"/>
          <w:highlight w:val="none"/>
        </w:rPr>
        <w:fldChar w:fldCharType="separate"/>
      </w:r>
      <w:r>
        <w:rPr>
          <w:rFonts w:hint="eastAsia" w:ascii="Times New Roman" w:hAnsi="Times New Roman"/>
          <w:highlight w:val="none"/>
        </w:rPr>
        <w:t>3</w:t>
      </w:r>
      <w:r>
        <w:rPr>
          <w:rFonts w:ascii="Times New Roman" w:hAnsi="Times New Roman"/>
          <w:highlight w:val="none"/>
        </w:rPr>
        <w:t xml:space="preserve">. </w:t>
      </w:r>
      <w:r>
        <w:rPr>
          <w:rFonts w:hint="eastAsia" w:ascii="Times New Roman" w:hAnsi="Times New Roman"/>
          <w:highlight w:val="none"/>
        </w:rPr>
        <w:t>供应商资格要求</w:t>
      </w:r>
      <w:r>
        <w:tab/>
      </w:r>
      <w:r>
        <w:fldChar w:fldCharType="begin"/>
      </w:r>
      <w:r>
        <w:instrText xml:space="preserve"> PAGEREF _Toc10716 \h </w:instrText>
      </w:r>
      <w:r>
        <w:fldChar w:fldCharType="separate"/>
      </w:r>
      <w:r>
        <w:t>5</w:t>
      </w:r>
      <w:r>
        <w:fldChar w:fldCharType="end"/>
      </w:r>
      <w:r>
        <w:rPr>
          <w:rFonts w:cs="Arial"/>
          <w:bCs/>
          <w:szCs w:val="22"/>
          <w:highlight w:val="none"/>
        </w:rPr>
        <w:fldChar w:fldCharType="end"/>
      </w:r>
    </w:p>
    <w:p>
      <w:pPr>
        <w:pStyle w:val="25"/>
        <w:tabs>
          <w:tab w:val="right" w:leader="dot" w:pos="9027"/>
        </w:tabs>
      </w:pPr>
      <w:r>
        <w:rPr>
          <w:rFonts w:cs="Arial"/>
          <w:bCs/>
          <w:szCs w:val="22"/>
          <w:highlight w:val="none"/>
        </w:rPr>
        <w:fldChar w:fldCharType="begin"/>
      </w:r>
      <w:r>
        <w:rPr>
          <w:rFonts w:cs="Arial"/>
          <w:bCs/>
          <w:szCs w:val="22"/>
          <w:highlight w:val="none"/>
        </w:rPr>
        <w:instrText xml:space="preserve"> HYPERLINK \l _Toc9162 </w:instrText>
      </w:r>
      <w:r>
        <w:rPr>
          <w:rFonts w:cs="Arial"/>
          <w:bCs/>
          <w:szCs w:val="22"/>
          <w:highlight w:val="none"/>
        </w:rPr>
        <w:fldChar w:fldCharType="separate"/>
      </w:r>
      <w:r>
        <w:rPr>
          <w:rFonts w:hint="eastAsia" w:ascii="Times New Roman" w:hAnsi="Times New Roman"/>
          <w:highlight w:val="none"/>
        </w:rPr>
        <w:t>4. 报价方式</w:t>
      </w:r>
      <w:r>
        <w:tab/>
      </w:r>
      <w:r>
        <w:fldChar w:fldCharType="begin"/>
      </w:r>
      <w:r>
        <w:instrText xml:space="preserve"> PAGEREF _Toc9162 \h </w:instrText>
      </w:r>
      <w:r>
        <w:fldChar w:fldCharType="separate"/>
      </w:r>
      <w:r>
        <w:t>6</w:t>
      </w:r>
      <w:r>
        <w:fldChar w:fldCharType="end"/>
      </w:r>
      <w:r>
        <w:rPr>
          <w:rFonts w:cs="Arial"/>
          <w:bCs/>
          <w:szCs w:val="22"/>
          <w:highlight w:val="none"/>
        </w:rPr>
        <w:fldChar w:fldCharType="end"/>
      </w:r>
    </w:p>
    <w:p>
      <w:pPr>
        <w:pStyle w:val="25"/>
        <w:tabs>
          <w:tab w:val="right" w:leader="dot" w:pos="9027"/>
        </w:tabs>
      </w:pPr>
      <w:r>
        <w:rPr>
          <w:rFonts w:cs="Arial"/>
          <w:bCs/>
          <w:szCs w:val="22"/>
          <w:highlight w:val="none"/>
        </w:rPr>
        <w:fldChar w:fldCharType="begin"/>
      </w:r>
      <w:r>
        <w:rPr>
          <w:rFonts w:cs="Arial"/>
          <w:bCs/>
          <w:szCs w:val="22"/>
          <w:highlight w:val="none"/>
        </w:rPr>
        <w:instrText xml:space="preserve"> HYPERLINK \l _Toc11523 </w:instrText>
      </w:r>
      <w:r>
        <w:rPr>
          <w:rFonts w:cs="Arial"/>
          <w:bCs/>
          <w:szCs w:val="22"/>
          <w:highlight w:val="none"/>
        </w:rPr>
        <w:fldChar w:fldCharType="separate"/>
      </w:r>
      <w:r>
        <w:rPr>
          <w:rFonts w:hint="eastAsia" w:ascii="Times New Roman" w:hAnsi="Times New Roman"/>
          <w:highlight w:val="none"/>
        </w:rPr>
        <w:t>5</w:t>
      </w:r>
      <w:r>
        <w:rPr>
          <w:rFonts w:ascii="Times New Roman" w:hAnsi="Times New Roman"/>
          <w:highlight w:val="none"/>
        </w:rPr>
        <w:t xml:space="preserve">. </w:t>
      </w:r>
      <w:r>
        <w:rPr>
          <w:rFonts w:hint="eastAsia" w:ascii="Times New Roman" w:hAnsi="Times New Roman"/>
          <w:highlight w:val="none"/>
        </w:rPr>
        <w:t>报价时间安排</w:t>
      </w:r>
      <w:r>
        <w:tab/>
      </w:r>
      <w:r>
        <w:fldChar w:fldCharType="begin"/>
      </w:r>
      <w:r>
        <w:instrText xml:space="preserve"> PAGEREF _Toc11523 \h </w:instrText>
      </w:r>
      <w:r>
        <w:fldChar w:fldCharType="separate"/>
      </w:r>
      <w:r>
        <w:t>6</w:t>
      </w:r>
      <w:r>
        <w:fldChar w:fldCharType="end"/>
      </w:r>
      <w:r>
        <w:rPr>
          <w:rFonts w:cs="Arial"/>
          <w:bCs/>
          <w:szCs w:val="22"/>
          <w:highlight w:val="none"/>
        </w:rPr>
        <w:fldChar w:fldCharType="end"/>
      </w:r>
    </w:p>
    <w:p>
      <w:pPr>
        <w:pStyle w:val="25"/>
        <w:tabs>
          <w:tab w:val="right" w:leader="dot" w:pos="9027"/>
        </w:tabs>
      </w:pPr>
      <w:r>
        <w:rPr>
          <w:rFonts w:cs="Arial"/>
          <w:bCs/>
          <w:szCs w:val="22"/>
          <w:highlight w:val="none"/>
        </w:rPr>
        <w:fldChar w:fldCharType="begin"/>
      </w:r>
      <w:r>
        <w:rPr>
          <w:rFonts w:cs="Arial"/>
          <w:bCs/>
          <w:szCs w:val="22"/>
          <w:highlight w:val="none"/>
        </w:rPr>
        <w:instrText xml:space="preserve"> HYPERLINK \l _Toc24768 </w:instrText>
      </w:r>
      <w:r>
        <w:rPr>
          <w:rFonts w:cs="Arial"/>
          <w:bCs/>
          <w:szCs w:val="22"/>
          <w:highlight w:val="none"/>
        </w:rPr>
        <w:fldChar w:fldCharType="separate"/>
      </w:r>
      <w:r>
        <w:rPr>
          <w:rFonts w:hint="eastAsia" w:ascii="Times New Roman" w:hAnsi="Times New Roman"/>
          <w:highlight w:val="none"/>
        </w:rPr>
        <w:t>6. 发布媒介</w:t>
      </w:r>
      <w:r>
        <w:tab/>
      </w:r>
      <w:r>
        <w:fldChar w:fldCharType="begin"/>
      </w:r>
      <w:r>
        <w:instrText xml:space="preserve"> PAGEREF _Toc24768 \h </w:instrText>
      </w:r>
      <w:r>
        <w:fldChar w:fldCharType="separate"/>
      </w:r>
      <w:r>
        <w:t>6</w:t>
      </w:r>
      <w:r>
        <w:fldChar w:fldCharType="end"/>
      </w:r>
      <w:r>
        <w:rPr>
          <w:rFonts w:cs="Arial"/>
          <w:bCs/>
          <w:szCs w:val="22"/>
          <w:highlight w:val="none"/>
        </w:rPr>
        <w:fldChar w:fldCharType="end"/>
      </w:r>
    </w:p>
    <w:p>
      <w:pPr>
        <w:pStyle w:val="25"/>
        <w:tabs>
          <w:tab w:val="right" w:leader="dot" w:pos="9027"/>
        </w:tabs>
      </w:pPr>
      <w:r>
        <w:rPr>
          <w:rFonts w:cs="Arial"/>
          <w:bCs/>
          <w:szCs w:val="22"/>
          <w:highlight w:val="none"/>
        </w:rPr>
        <w:fldChar w:fldCharType="begin"/>
      </w:r>
      <w:r>
        <w:rPr>
          <w:rFonts w:cs="Arial"/>
          <w:bCs/>
          <w:szCs w:val="22"/>
          <w:highlight w:val="none"/>
        </w:rPr>
        <w:instrText xml:space="preserve"> HYPERLINK \l _Toc31228 </w:instrText>
      </w:r>
      <w:r>
        <w:rPr>
          <w:rFonts w:cs="Arial"/>
          <w:bCs/>
          <w:szCs w:val="22"/>
          <w:highlight w:val="none"/>
        </w:rPr>
        <w:fldChar w:fldCharType="separate"/>
      </w:r>
      <w:r>
        <w:rPr>
          <w:rFonts w:hint="eastAsia"/>
          <w:highlight w:val="none"/>
          <w:lang w:val="en-US" w:eastAsia="zh-CN"/>
        </w:rPr>
        <w:t>7. 谈判方式及时间</w:t>
      </w:r>
      <w:r>
        <w:tab/>
      </w:r>
      <w:r>
        <w:fldChar w:fldCharType="begin"/>
      </w:r>
      <w:r>
        <w:instrText xml:space="preserve"> PAGEREF _Toc31228 \h </w:instrText>
      </w:r>
      <w:r>
        <w:fldChar w:fldCharType="separate"/>
      </w:r>
      <w:r>
        <w:t>6</w:t>
      </w:r>
      <w:r>
        <w:fldChar w:fldCharType="end"/>
      </w:r>
      <w:r>
        <w:rPr>
          <w:rFonts w:cs="Arial"/>
          <w:bCs/>
          <w:szCs w:val="22"/>
          <w:highlight w:val="none"/>
        </w:rPr>
        <w:fldChar w:fldCharType="end"/>
      </w:r>
    </w:p>
    <w:p>
      <w:pPr>
        <w:pStyle w:val="25"/>
        <w:tabs>
          <w:tab w:val="right" w:leader="dot" w:pos="9027"/>
        </w:tabs>
      </w:pPr>
      <w:r>
        <w:rPr>
          <w:rFonts w:cs="Arial"/>
          <w:bCs/>
          <w:szCs w:val="22"/>
          <w:highlight w:val="none"/>
        </w:rPr>
        <w:fldChar w:fldCharType="begin"/>
      </w:r>
      <w:r>
        <w:rPr>
          <w:rFonts w:cs="Arial"/>
          <w:bCs/>
          <w:szCs w:val="22"/>
          <w:highlight w:val="none"/>
        </w:rPr>
        <w:instrText xml:space="preserve"> HYPERLINK \l _Toc26841 </w:instrText>
      </w:r>
      <w:r>
        <w:rPr>
          <w:rFonts w:cs="Arial"/>
          <w:bCs/>
          <w:szCs w:val="22"/>
          <w:highlight w:val="none"/>
        </w:rPr>
        <w:fldChar w:fldCharType="separate"/>
      </w:r>
      <w:r>
        <w:rPr>
          <w:rFonts w:hint="eastAsia" w:ascii="Times New Roman" w:hAnsi="Times New Roman"/>
          <w:highlight w:val="none"/>
          <w:lang w:val="en-US" w:eastAsia="zh-CN"/>
        </w:rPr>
        <w:t>8</w:t>
      </w:r>
      <w:r>
        <w:rPr>
          <w:rFonts w:ascii="Times New Roman" w:hAnsi="Times New Roman"/>
          <w:highlight w:val="none"/>
        </w:rPr>
        <w:t>. 联系方式</w:t>
      </w:r>
      <w:r>
        <w:tab/>
      </w:r>
      <w:r>
        <w:fldChar w:fldCharType="begin"/>
      </w:r>
      <w:r>
        <w:instrText xml:space="preserve"> PAGEREF _Toc26841 \h </w:instrText>
      </w:r>
      <w:r>
        <w:fldChar w:fldCharType="separate"/>
      </w:r>
      <w:r>
        <w:t>6</w:t>
      </w:r>
      <w:r>
        <w:fldChar w:fldCharType="end"/>
      </w:r>
      <w:r>
        <w:rPr>
          <w:rFonts w:cs="Arial"/>
          <w:bCs/>
          <w:szCs w:val="22"/>
          <w:highlight w:val="none"/>
        </w:rPr>
        <w:fldChar w:fldCharType="end"/>
      </w:r>
    </w:p>
    <w:p>
      <w:pPr>
        <w:pStyle w:val="23"/>
        <w:tabs>
          <w:tab w:val="right" w:leader="dot" w:pos="9027"/>
        </w:tabs>
      </w:pPr>
      <w:r>
        <w:rPr>
          <w:rFonts w:cs="Arial"/>
          <w:bCs/>
          <w:szCs w:val="22"/>
          <w:highlight w:val="none"/>
        </w:rPr>
        <w:fldChar w:fldCharType="begin"/>
      </w:r>
      <w:r>
        <w:rPr>
          <w:rFonts w:cs="Arial"/>
          <w:bCs/>
          <w:szCs w:val="22"/>
          <w:highlight w:val="none"/>
        </w:rPr>
        <w:instrText xml:space="preserve"> HYPERLINK \l _Toc9411 </w:instrText>
      </w:r>
      <w:r>
        <w:rPr>
          <w:rFonts w:cs="Arial"/>
          <w:bCs/>
          <w:szCs w:val="22"/>
          <w:highlight w:val="none"/>
        </w:rPr>
        <w:fldChar w:fldCharType="separate"/>
      </w:r>
      <w:r>
        <w:rPr>
          <w:rFonts w:hint="eastAsia" w:ascii="Times New Roman" w:hAnsi="Times New Roman"/>
        </w:rPr>
        <w:t xml:space="preserve">第二章 </w:t>
      </w:r>
      <w:r>
        <w:rPr>
          <w:rFonts w:hint="eastAsia" w:ascii="Times New Roman" w:hAnsi="Times New Roman"/>
          <w:highlight w:val="none"/>
        </w:rPr>
        <w:t>供应商须知及前附表</w:t>
      </w:r>
      <w:r>
        <w:tab/>
      </w:r>
      <w:r>
        <w:fldChar w:fldCharType="begin"/>
      </w:r>
      <w:r>
        <w:instrText xml:space="preserve"> PAGEREF _Toc9411 \h </w:instrText>
      </w:r>
      <w:r>
        <w:fldChar w:fldCharType="separate"/>
      </w:r>
      <w:r>
        <w:t>7</w:t>
      </w:r>
      <w:r>
        <w:fldChar w:fldCharType="end"/>
      </w:r>
      <w:r>
        <w:rPr>
          <w:rFonts w:cs="Arial"/>
          <w:bCs/>
          <w:szCs w:val="22"/>
          <w:highlight w:val="none"/>
        </w:rPr>
        <w:fldChar w:fldCharType="end"/>
      </w:r>
    </w:p>
    <w:p>
      <w:pPr>
        <w:pStyle w:val="25"/>
        <w:tabs>
          <w:tab w:val="right" w:leader="dot" w:pos="9027"/>
        </w:tabs>
      </w:pPr>
      <w:r>
        <w:rPr>
          <w:rFonts w:cs="Arial"/>
          <w:bCs/>
          <w:szCs w:val="22"/>
          <w:highlight w:val="none"/>
        </w:rPr>
        <w:fldChar w:fldCharType="begin"/>
      </w:r>
      <w:r>
        <w:rPr>
          <w:rFonts w:cs="Arial"/>
          <w:bCs/>
          <w:szCs w:val="22"/>
          <w:highlight w:val="none"/>
        </w:rPr>
        <w:instrText xml:space="preserve"> HYPERLINK \l _Toc28408 </w:instrText>
      </w:r>
      <w:r>
        <w:rPr>
          <w:rFonts w:cs="Arial"/>
          <w:bCs/>
          <w:szCs w:val="22"/>
          <w:highlight w:val="none"/>
        </w:rPr>
        <w:fldChar w:fldCharType="separate"/>
      </w:r>
      <w:r>
        <w:rPr>
          <w:rFonts w:hint="eastAsia" w:ascii="Times New Roman" w:hAnsi="Times New Roman"/>
          <w:highlight w:val="none"/>
        </w:rPr>
        <w:t>供应商须知前附表</w:t>
      </w:r>
      <w:r>
        <w:tab/>
      </w:r>
      <w:r>
        <w:fldChar w:fldCharType="begin"/>
      </w:r>
      <w:r>
        <w:instrText xml:space="preserve"> PAGEREF _Toc28408 \h </w:instrText>
      </w:r>
      <w:r>
        <w:fldChar w:fldCharType="separate"/>
      </w:r>
      <w:r>
        <w:t>7</w:t>
      </w:r>
      <w:r>
        <w:fldChar w:fldCharType="end"/>
      </w:r>
      <w:r>
        <w:rPr>
          <w:rFonts w:cs="Arial"/>
          <w:bCs/>
          <w:szCs w:val="22"/>
          <w:highlight w:val="none"/>
        </w:rPr>
        <w:fldChar w:fldCharType="end"/>
      </w:r>
    </w:p>
    <w:p>
      <w:pPr>
        <w:pStyle w:val="25"/>
        <w:tabs>
          <w:tab w:val="right" w:leader="dot" w:pos="9027"/>
        </w:tabs>
      </w:pPr>
      <w:r>
        <w:rPr>
          <w:rFonts w:cs="Arial"/>
          <w:bCs/>
          <w:szCs w:val="22"/>
          <w:highlight w:val="none"/>
        </w:rPr>
        <w:fldChar w:fldCharType="begin"/>
      </w:r>
      <w:r>
        <w:rPr>
          <w:rFonts w:cs="Arial"/>
          <w:bCs/>
          <w:szCs w:val="22"/>
          <w:highlight w:val="none"/>
        </w:rPr>
        <w:instrText xml:space="preserve"> HYPERLINK \l _Toc4143 </w:instrText>
      </w:r>
      <w:r>
        <w:rPr>
          <w:rFonts w:cs="Arial"/>
          <w:bCs/>
          <w:szCs w:val="22"/>
          <w:highlight w:val="none"/>
        </w:rPr>
        <w:fldChar w:fldCharType="separate"/>
      </w:r>
      <w:r>
        <w:rPr>
          <w:rFonts w:hint="eastAsia" w:ascii="Times New Roman" w:hAnsi="Times New Roman"/>
          <w:highlight w:val="none"/>
        </w:rPr>
        <w:t>1.</w:t>
      </w:r>
      <w:r>
        <w:rPr>
          <w:rFonts w:ascii="Times New Roman" w:hAnsi="Times New Roman"/>
          <w:highlight w:val="none"/>
        </w:rPr>
        <w:t xml:space="preserve"> </w:t>
      </w:r>
      <w:r>
        <w:rPr>
          <w:rFonts w:hint="eastAsia" w:ascii="Times New Roman" w:hAnsi="Times New Roman"/>
          <w:highlight w:val="none"/>
        </w:rPr>
        <w:t>适用范围</w:t>
      </w:r>
      <w:r>
        <w:tab/>
      </w:r>
      <w:r>
        <w:fldChar w:fldCharType="begin"/>
      </w:r>
      <w:r>
        <w:instrText xml:space="preserve"> PAGEREF _Toc4143 \h </w:instrText>
      </w:r>
      <w:r>
        <w:fldChar w:fldCharType="separate"/>
      </w:r>
      <w:r>
        <w:t>8</w:t>
      </w:r>
      <w:r>
        <w:fldChar w:fldCharType="end"/>
      </w:r>
      <w:r>
        <w:rPr>
          <w:rFonts w:cs="Arial"/>
          <w:bCs/>
          <w:szCs w:val="22"/>
          <w:highlight w:val="none"/>
        </w:rPr>
        <w:fldChar w:fldCharType="end"/>
      </w:r>
    </w:p>
    <w:p>
      <w:pPr>
        <w:pStyle w:val="25"/>
        <w:tabs>
          <w:tab w:val="right" w:leader="dot" w:pos="9027"/>
        </w:tabs>
      </w:pPr>
      <w:r>
        <w:rPr>
          <w:rFonts w:cs="Arial"/>
          <w:bCs/>
          <w:szCs w:val="22"/>
          <w:highlight w:val="none"/>
        </w:rPr>
        <w:fldChar w:fldCharType="begin"/>
      </w:r>
      <w:r>
        <w:rPr>
          <w:rFonts w:cs="Arial"/>
          <w:bCs/>
          <w:szCs w:val="22"/>
          <w:highlight w:val="none"/>
        </w:rPr>
        <w:instrText xml:space="preserve"> HYPERLINK \l _Toc32755 </w:instrText>
      </w:r>
      <w:r>
        <w:rPr>
          <w:rFonts w:cs="Arial"/>
          <w:bCs/>
          <w:szCs w:val="22"/>
          <w:highlight w:val="none"/>
        </w:rPr>
        <w:fldChar w:fldCharType="separate"/>
      </w:r>
      <w:r>
        <w:rPr>
          <w:rFonts w:hint="eastAsia" w:ascii="Times New Roman" w:hAnsi="Times New Roman"/>
          <w:highlight w:val="none"/>
        </w:rPr>
        <w:t>2.</w:t>
      </w:r>
      <w:r>
        <w:rPr>
          <w:rFonts w:ascii="Times New Roman" w:hAnsi="Times New Roman"/>
          <w:highlight w:val="none"/>
        </w:rPr>
        <w:t xml:space="preserve"> </w:t>
      </w:r>
      <w:r>
        <w:rPr>
          <w:rFonts w:hint="eastAsia" w:ascii="Times New Roman" w:hAnsi="Times New Roman"/>
          <w:highlight w:val="none"/>
        </w:rPr>
        <w:t>定义</w:t>
      </w:r>
      <w:r>
        <w:tab/>
      </w:r>
      <w:r>
        <w:fldChar w:fldCharType="begin"/>
      </w:r>
      <w:r>
        <w:instrText xml:space="preserve"> PAGEREF _Toc32755 \h </w:instrText>
      </w:r>
      <w:r>
        <w:fldChar w:fldCharType="separate"/>
      </w:r>
      <w:r>
        <w:t>8</w:t>
      </w:r>
      <w:r>
        <w:fldChar w:fldCharType="end"/>
      </w:r>
      <w:r>
        <w:rPr>
          <w:rFonts w:cs="Arial"/>
          <w:bCs/>
          <w:szCs w:val="22"/>
          <w:highlight w:val="none"/>
        </w:rPr>
        <w:fldChar w:fldCharType="end"/>
      </w:r>
    </w:p>
    <w:p>
      <w:pPr>
        <w:pStyle w:val="25"/>
        <w:tabs>
          <w:tab w:val="right" w:leader="dot" w:pos="9027"/>
        </w:tabs>
      </w:pPr>
      <w:r>
        <w:rPr>
          <w:rFonts w:cs="Arial"/>
          <w:bCs/>
          <w:szCs w:val="22"/>
          <w:highlight w:val="none"/>
        </w:rPr>
        <w:fldChar w:fldCharType="begin"/>
      </w:r>
      <w:r>
        <w:rPr>
          <w:rFonts w:cs="Arial"/>
          <w:bCs/>
          <w:szCs w:val="22"/>
          <w:highlight w:val="none"/>
        </w:rPr>
        <w:instrText xml:space="preserve"> HYPERLINK \l _Toc32159 </w:instrText>
      </w:r>
      <w:r>
        <w:rPr>
          <w:rFonts w:cs="Arial"/>
          <w:bCs/>
          <w:szCs w:val="22"/>
          <w:highlight w:val="none"/>
        </w:rPr>
        <w:fldChar w:fldCharType="separate"/>
      </w:r>
      <w:r>
        <w:rPr>
          <w:rFonts w:hint="eastAsia" w:ascii="Times New Roman" w:hAnsi="Times New Roman"/>
          <w:highlight w:val="none"/>
        </w:rPr>
        <w:t>3.</w:t>
      </w:r>
      <w:r>
        <w:rPr>
          <w:rFonts w:ascii="Times New Roman" w:hAnsi="Times New Roman"/>
          <w:highlight w:val="none"/>
        </w:rPr>
        <w:t xml:space="preserve"> </w:t>
      </w:r>
      <w:r>
        <w:rPr>
          <w:rFonts w:hint="eastAsia" w:ascii="Times New Roman" w:hAnsi="Times New Roman"/>
          <w:highlight w:val="none"/>
        </w:rPr>
        <w:t>报价费用</w:t>
      </w:r>
      <w:r>
        <w:tab/>
      </w:r>
      <w:r>
        <w:fldChar w:fldCharType="begin"/>
      </w:r>
      <w:r>
        <w:instrText xml:space="preserve"> PAGEREF _Toc32159 \h </w:instrText>
      </w:r>
      <w:r>
        <w:fldChar w:fldCharType="separate"/>
      </w:r>
      <w:r>
        <w:t>8</w:t>
      </w:r>
      <w:r>
        <w:fldChar w:fldCharType="end"/>
      </w:r>
      <w:r>
        <w:rPr>
          <w:rFonts w:cs="Arial"/>
          <w:bCs/>
          <w:szCs w:val="22"/>
          <w:highlight w:val="none"/>
        </w:rPr>
        <w:fldChar w:fldCharType="end"/>
      </w:r>
    </w:p>
    <w:p>
      <w:pPr>
        <w:pStyle w:val="25"/>
        <w:tabs>
          <w:tab w:val="right" w:leader="dot" w:pos="9027"/>
        </w:tabs>
      </w:pPr>
      <w:r>
        <w:rPr>
          <w:rFonts w:cs="Arial"/>
          <w:bCs/>
          <w:szCs w:val="22"/>
          <w:highlight w:val="none"/>
        </w:rPr>
        <w:fldChar w:fldCharType="begin"/>
      </w:r>
      <w:r>
        <w:rPr>
          <w:rFonts w:cs="Arial"/>
          <w:bCs/>
          <w:szCs w:val="22"/>
          <w:highlight w:val="none"/>
        </w:rPr>
        <w:instrText xml:space="preserve"> HYPERLINK \l _Toc2082 </w:instrText>
      </w:r>
      <w:r>
        <w:rPr>
          <w:rFonts w:cs="Arial"/>
          <w:bCs/>
          <w:szCs w:val="22"/>
          <w:highlight w:val="none"/>
        </w:rPr>
        <w:fldChar w:fldCharType="separate"/>
      </w:r>
      <w:r>
        <w:rPr>
          <w:rFonts w:hint="eastAsia" w:ascii="Times New Roman" w:hAnsi="Times New Roman"/>
          <w:highlight w:val="none"/>
          <w:lang w:val="en-US" w:eastAsia="zh-CN"/>
        </w:rPr>
        <w:t>4</w:t>
      </w:r>
      <w:r>
        <w:rPr>
          <w:rFonts w:ascii="Times New Roman" w:hAnsi="Times New Roman"/>
          <w:highlight w:val="none"/>
        </w:rPr>
        <w:t xml:space="preserve">. </w:t>
      </w:r>
      <w:r>
        <w:rPr>
          <w:rFonts w:hint="eastAsia" w:ascii="Times New Roman" w:hAnsi="Times New Roman"/>
          <w:highlight w:val="none"/>
        </w:rPr>
        <w:t>询价文件的构成</w:t>
      </w:r>
      <w:r>
        <w:tab/>
      </w:r>
      <w:r>
        <w:fldChar w:fldCharType="begin"/>
      </w:r>
      <w:r>
        <w:instrText xml:space="preserve"> PAGEREF _Toc2082 \h </w:instrText>
      </w:r>
      <w:r>
        <w:fldChar w:fldCharType="separate"/>
      </w:r>
      <w:r>
        <w:t>8</w:t>
      </w:r>
      <w:r>
        <w:fldChar w:fldCharType="end"/>
      </w:r>
      <w:r>
        <w:rPr>
          <w:rFonts w:cs="Arial"/>
          <w:bCs/>
          <w:szCs w:val="22"/>
          <w:highlight w:val="none"/>
        </w:rPr>
        <w:fldChar w:fldCharType="end"/>
      </w:r>
    </w:p>
    <w:p>
      <w:pPr>
        <w:pStyle w:val="25"/>
        <w:tabs>
          <w:tab w:val="right" w:leader="dot" w:pos="9027"/>
        </w:tabs>
      </w:pPr>
      <w:r>
        <w:rPr>
          <w:rFonts w:cs="Arial"/>
          <w:bCs/>
          <w:szCs w:val="22"/>
          <w:highlight w:val="none"/>
        </w:rPr>
        <w:fldChar w:fldCharType="begin"/>
      </w:r>
      <w:r>
        <w:rPr>
          <w:rFonts w:cs="Arial"/>
          <w:bCs/>
          <w:szCs w:val="22"/>
          <w:highlight w:val="none"/>
        </w:rPr>
        <w:instrText xml:space="preserve"> HYPERLINK \l _Toc24241 </w:instrText>
      </w:r>
      <w:r>
        <w:rPr>
          <w:rFonts w:cs="Arial"/>
          <w:bCs/>
          <w:szCs w:val="22"/>
          <w:highlight w:val="none"/>
        </w:rPr>
        <w:fldChar w:fldCharType="separate"/>
      </w:r>
      <w:r>
        <w:rPr>
          <w:rFonts w:hint="eastAsia" w:ascii="Times New Roman" w:hAnsi="Times New Roman"/>
          <w:highlight w:val="none"/>
          <w:lang w:val="en-US" w:eastAsia="zh-CN"/>
        </w:rPr>
        <w:t>5</w:t>
      </w:r>
      <w:r>
        <w:rPr>
          <w:rFonts w:hint="eastAsia" w:ascii="Times New Roman" w:hAnsi="Times New Roman"/>
          <w:highlight w:val="none"/>
        </w:rPr>
        <w:t>. 询价文件的澄清、修改、补充</w:t>
      </w:r>
      <w:r>
        <w:tab/>
      </w:r>
      <w:r>
        <w:fldChar w:fldCharType="begin"/>
      </w:r>
      <w:r>
        <w:instrText xml:space="preserve"> PAGEREF _Toc24241 \h </w:instrText>
      </w:r>
      <w:r>
        <w:fldChar w:fldCharType="separate"/>
      </w:r>
      <w:r>
        <w:t>9</w:t>
      </w:r>
      <w:r>
        <w:fldChar w:fldCharType="end"/>
      </w:r>
      <w:r>
        <w:rPr>
          <w:rFonts w:cs="Arial"/>
          <w:bCs/>
          <w:szCs w:val="22"/>
          <w:highlight w:val="none"/>
        </w:rPr>
        <w:fldChar w:fldCharType="end"/>
      </w:r>
    </w:p>
    <w:p>
      <w:pPr>
        <w:pStyle w:val="25"/>
        <w:tabs>
          <w:tab w:val="right" w:leader="dot" w:pos="9027"/>
        </w:tabs>
      </w:pPr>
      <w:r>
        <w:rPr>
          <w:rFonts w:cs="Arial"/>
          <w:bCs/>
          <w:szCs w:val="22"/>
          <w:highlight w:val="none"/>
        </w:rPr>
        <w:fldChar w:fldCharType="begin"/>
      </w:r>
      <w:r>
        <w:rPr>
          <w:rFonts w:cs="Arial"/>
          <w:bCs/>
          <w:szCs w:val="22"/>
          <w:highlight w:val="none"/>
        </w:rPr>
        <w:instrText xml:space="preserve"> HYPERLINK \l _Toc14001 </w:instrText>
      </w:r>
      <w:r>
        <w:rPr>
          <w:rFonts w:cs="Arial"/>
          <w:bCs/>
          <w:szCs w:val="22"/>
          <w:highlight w:val="none"/>
        </w:rPr>
        <w:fldChar w:fldCharType="separate"/>
      </w:r>
      <w:r>
        <w:rPr>
          <w:rFonts w:hint="eastAsia" w:ascii="Times New Roman" w:hAnsi="Times New Roman"/>
          <w:highlight w:val="none"/>
          <w:lang w:val="en-US" w:eastAsia="zh-CN"/>
        </w:rPr>
        <w:t>6</w:t>
      </w:r>
      <w:r>
        <w:rPr>
          <w:rFonts w:hint="eastAsia" w:ascii="Times New Roman" w:hAnsi="Times New Roman"/>
          <w:highlight w:val="none"/>
        </w:rPr>
        <w:t>.</w:t>
      </w:r>
      <w:r>
        <w:rPr>
          <w:rFonts w:ascii="Times New Roman" w:hAnsi="Times New Roman"/>
          <w:highlight w:val="none"/>
        </w:rPr>
        <w:t xml:space="preserve"> </w:t>
      </w:r>
      <w:r>
        <w:rPr>
          <w:rFonts w:hint="eastAsia" w:ascii="Times New Roman" w:hAnsi="Times New Roman"/>
          <w:highlight w:val="none"/>
        </w:rPr>
        <w:t>编制基本要求</w:t>
      </w:r>
      <w:r>
        <w:tab/>
      </w:r>
      <w:r>
        <w:fldChar w:fldCharType="begin"/>
      </w:r>
      <w:r>
        <w:instrText xml:space="preserve"> PAGEREF _Toc14001 \h </w:instrText>
      </w:r>
      <w:r>
        <w:fldChar w:fldCharType="separate"/>
      </w:r>
      <w:r>
        <w:t>9</w:t>
      </w:r>
      <w:r>
        <w:fldChar w:fldCharType="end"/>
      </w:r>
      <w:r>
        <w:rPr>
          <w:rFonts w:cs="Arial"/>
          <w:bCs/>
          <w:szCs w:val="22"/>
          <w:highlight w:val="none"/>
        </w:rPr>
        <w:fldChar w:fldCharType="end"/>
      </w:r>
    </w:p>
    <w:p>
      <w:pPr>
        <w:pStyle w:val="25"/>
        <w:tabs>
          <w:tab w:val="right" w:leader="dot" w:pos="9027"/>
        </w:tabs>
      </w:pPr>
      <w:r>
        <w:rPr>
          <w:rFonts w:cs="Arial"/>
          <w:bCs/>
          <w:szCs w:val="22"/>
          <w:highlight w:val="none"/>
        </w:rPr>
        <w:fldChar w:fldCharType="begin"/>
      </w:r>
      <w:r>
        <w:rPr>
          <w:rFonts w:cs="Arial"/>
          <w:bCs/>
          <w:szCs w:val="22"/>
          <w:highlight w:val="none"/>
        </w:rPr>
        <w:instrText xml:space="preserve"> HYPERLINK \l _Toc8669 </w:instrText>
      </w:r>
      <w:r>
        <w:rPr>
          <w:rFonts w:cs="Arial"/>
          <w:bCs/>
          <w:szCs w:val="22"/>
          <w:highlight w:val="none"/>
        </w:rPr>
        <w:fldChar w:fldCharType="separate"/>
      </w:r>
      <w:r>
        <w:rPr>
          <w:rFonts w:hint="eastAsia" w:ascii="Times New Roman" w:hAnsi="Times New Roman"/>
          <w:highlight w:val="none"/>
          <w:lang w:val="en-US" w:eastAsia="zh-CN"/>
        </w:rPr>
        <w:t>7</w:t>
      </w:r>
      <w:r>
        <w:rPr>
          <w:rFonts w:hint="eastAsia" w:ascii="Times New Roman" w:hAnsi="Times New Roman"/>
          <w:highlight w:val="none"/>
        </w:rPr>
        <w:t>.</w:t>
      </w:r>
      <w:r>
        <w:rPr>
          <w:rFonts w:ascii="Times New Roman" w:hAnsi="Times New Roman"/>
          <w:highlight w:val="none"/>
        </w:rPr>
        <w:t xml:space="preserve"> </w:t>
      </w:r>
      <w:r>
        <w:rPr>
          <w:rFonts w:hint="eastAsia" w:ascii="Times New Roman" w:hAnsi="Times New Roman"/>
          <w:highlight w:val="none"/>
        </w:rPr>
        <w:t>语言和计量单位</w:t>
      </w:r>
      <w:r>
        <w:tab/>
      </w:r>
      <w:r>
        <w:fldChar w:fldCharType="begin"/>
      </w:r>
      <w:r>
        <w:instrText xml:space="preserve"> PAGEREF _Toc8669 \h </w:instrText>
      </w:r>
      <w:r>
        <w:fldChar w:fldCharType="separate"/>
      </w:r>
      <w:r>
        <w:t>9</w:t>
      </w:r>
      <w:r>
        <w:fldChar w:fldCharType="end"/>
      </w:r>
      <w:r>
        <w:rPr>
          <w:rFonts w:cs="Arial"/>
          <w:bCs/>
          <w:szCs w:val="22"/>
          <w:highlight w:val="none"/>
        </w:rPr>
        <w:fldChar w:fldCharType="end"/>
      </w:r>
    </w:p>
    <w:p>
      <w:pPr>
        <w:pStyle w:val="25"/>
        <w:tabs>
          <w:tab w:val="right" w:leader="dot" w:pos="9027"/>
        </w:tabs>
      </w:pPr>
      <w:r>
        <w:rPr>
          <w:rFonts w:cs="Arial"/>
          <w:bCs/>
          <w:szCs w:val="22"/>
          <w:highlight w:val="none"/>
        </w:rPr>
        <w:fldChar w:fldCharType="begin"/>
      </w:r>
      <w:r>
        <w:rPr>
          <w:rFonts w:cs="Arial"/>
          <w:bCs/>
          <w:szCs w:val="22"/>
          <w:highlight w:val="none"/>
        </w:rPr>
        <w:instrText xml:space="preserve"> HYPERLINK \l _Toc13380 </w:instrText>
      </w:r>
      <w:r>
        <w:rPr>
          <w:rFonts w:cs="Arial"/>
          <w:bCs/>
          <w:szCs w:val="22"/>
          <w:highlight w:val="none"/>
        </w:rPr>
        <w:fldChar w:fldCharType="separate"/>
      </w:r>
      <w:r>
        <w:rPr>
          <w:rFonts w:hint="eastAsia" w:ascii="Times New Roman" w:hAnsi="Times New Roman"/>
          <w:highlight w:val="none"/>
          <w:lang w:val="en-US" w:eastAsia="zh-CN"/>
        </w:rPr>
        <w:t>8</w:t>
      </w:r>
      <w:r>
        <w:rPr>
          <w:rFonts w:hint="eastAsia" w:ascii="Times New Roman" w:hAnsi="Times New Roman"/>
          <w:highlight w:val="none"/>
        </w:rPr>
        <w:t>. 报价</w:t>
      </w:r>
      <w:r>
        <w:tab/>
      </w:r>
      <w:r>
        <w:fldChar w:fldCharType="begin"/>
      </w:r>
      <w:r>
        <w:instrText xml:space="preserve"> PAGEREF _Toc13380 \h </w:instrText>
      </w:r>
      <w:r>
        <w:fldChar w:fldCharType="separate"/>
      </w:r>
      <w:r>
        <w:t>9</w:t>
      </w:r>
      <w:r>
        <w:fldChar w:fldCharType="end"/>
      </w:r>
      <w:r>
        <w:rPr>
          <w:rFonts w:cs="Arial"/>
          <w:bCs/>
          <w:szCs w:val="22"/>
          <w:highlight w:val="none"/>
        </w:rPr>
        <w:fldChar w:fldCharType="end"/>
      </w:r>
    </w:p>
    <w:p>
      <w:pPr>
        <w:pStyle w:val="25"/>
        <w:tabs>
          <w:tab w:val="right" w:leader="dot" w:pos="9027"/>
        </w:tabs>
      </w:pPr>
      <w:r>
        <w:rPr>
          <w:rFonts w:cs="Arial"/>
          <w:bCs/>
          <w:szCs w:val="22"/>
          <w:highlight w:val="none"/>
        </w:rPr>
        <w:fldChar w:fldCharType="begin"/>
      </w:r>
      <w:r>
        <w:rPr>
          <w:rFonts w:cs="Arial"/>
          <w:bCs/>
          <w:szCs w:val="22"/>
          <w:highlight w:val="none"/>
        </w:rPr>
        <w:instrText xml:space="preserve"> HYPERLINK \l _Toc14592 </w:instrText>
      </w:r>
      <w:r>
        <w:rPr>
          <w:rFonts w:cs="Arial"/>
          <w:bCs/>
          <w:szCs w:val="22"/>
          <w:highlight w:val="none"/>
        </w:rPr>
        <w:fldChar w:fldCharType="separate"/>
      </w:r>
      <w:r>
        <w:rPr>
          <w:rFonts w:hint="eastAsia" w:ascii="Times New Roman" w:hAnsi="Times New Roman"/>
          <w:highlight w:val="none"/>
          <w:lang w:val="en-US" w:eastAsia="zh-CN"/>
        </w:rPr>
        <w:t>9</w:t>
      </w:r>
      <w:r>
        <w:rPr>
          <w:rFonts w:hint="eastAsia" w:ascii="Times New Roman" w:hAnsi="Times New Roman"/>
          <w:highlight w:val="none"/>
        </w:rPr>
        <w:t>.</w:t>
      </w:r>
      <w:r>
        <w:rPr>
          <w:rFonts w:ascii="Times New Roman" w:hAnsi="Times New Roman"/>
          <w:highlight w:val="none"/>
        </w:rPr>
        <w:t xml:space="preserve"> </w:t>
      </w:r>
      <w:r>
        <w:rPr>
          <w:rFonts w:hint="eastAsia" w:ascii="Times New Roman" w:hAnsi="Times New Roman"/>
          <w:highlight w:val="none"/>
        </w:rPr>
        <w:t>报价货币</w:t>
      </w:r>
      <w:r>
        <w:tab/>
      </w:r>
      <w:r>
        <w:fldChar w:fldCharType="begin"/>
      </w:r>
      <w:r>
        <w:instrText xml:space="preserve"> PAGEREF _Toc14592 \h </w:instrText>
      </w:r>
      <w:r>
        <w:fldChar w:fldCharType="separate"/>
      </w:r>
      <w:r>
        <w:t>10</w:t>
      </w:r>
      <w:r>
        <w:fldChar w:fldCharType="end"/>
      </w:r>
      <w:r>
        <w:rPr>
          <w:rFonts w:cs="Arial"/>
          <w:bCs/>
          <w:szCs w:val="22"/>
          <w:highlight w:val="none"/>
        </w:rPr>
        <w:fldChar w:fldCharType="end"/>
      </w:r>
    </w:p>
    <w:p>
      <w:pPr>
        <w:pStyle w:val="25"/>
        <w:tabs>
          <w:tab w:val="right" w:leader="dot" w:pos="9027"/>
        </w:tabs>
      </w:pPr>
      <w:r>
        <w:rPr>
          <w:rFonts w:cs="Arial"/>
          <w:bCs/>
          <w:szCs w:val="22"/>
          <w:highlight w:val="none"/>
        </w:rPr>
        <w:fldChar w:fldCharType="begin"/>
      </w:r>
      <w:r>
        <w:rPr>
          <w:rFonts w:cs="Arial"/>
          <w:bCs/>
          <w:szCs w:val="22"/>
          <w:highlight w:val="none"/>
        </w:rPr>
        <w:instrText xml:space="preserve"> HYPERLINK \l _Toc4070 </w:instrText>
      </w:r>
      <w:r>
        <w:rPr>
          <w:rFonts w:cs="Arial"/>
          <w:bCs/>
          <w:szCs w:val="22"/>
          <w:highlight w:val="none"/>
        </w:rPr>
        <w:fldChar w:fldCharType="separate"/>
      </w:r>
      <w:r>
        <w:rPr>
          <w:rFonts w:hint="eastAsia" w:ascii="Times New Roman" w:hAnsi="Times New Roman"/>
          <w:highlight w:val="none"/>
        </w:rPr>
        <w:t>1</w:t>
      </w:r>
      <w:r>
        <w:rPr>
          <w:rFonts w:hint="eastAsia" w:ascii="Times New Roman" w:hAnsi="Times New Roman"/>
          <w:highlight w:val="none"/>
          <w:lang w:val="en-US" w:eastAsia="zh-CN"/>
        </w:rPr>
        <w:t>0</w:t>
      </w:r>
      <w:r>
        <w:rPr>
          <w:rFonts w:hint="eastAsia" w:ascii="Times New Roman" w:hAnsi="Times New Roman"/>
          <w:highlight w:val="none"/>
        </w:rPr>
        <w:t>.</w:t>
      </w:r>
      <w:r>
        <w:rPr>
          <w:rFonts w:ascii="Times New Roman" w:hAnsi="Times New Roman"/>
          <w:highlight w:val="none"/>
        </w:rPr>
        <w:t xml:space="preserve"> </w:t>
      </w:r>
      <w:r>
        <w:rPr>
          <w:rFonts w:hint="eastAsia" w:ascii="Times New Roman" w:hAnsi="Times New Roman"/>
          <w:highlight w:val="none"/>
        </w:rPr>
        <w:t>报价有效期</w:t>
      </w:r>
      <w:r>
        <w:tab/>
      </w:r>
      <w:r>
        <w:fldChar w:fldCharType="begin"/>
      </w:r>
      <w:r>
        <w:instrText xml:space="preserve"> PAGEREF _Toc4070 \h </w:instrText>
      </w:r>
      <w:r>
        <w:fldChar w:fldCharType="separate"/>
      </w:r>
      <w:r>
        <w:t>10</w:t>
      </w:r>
      <w:r>
        <w:fldChar w:fldCharType="end"/>
      </w:r>
      <w:r>
        <w:rPr>
          <w:rFonts w:cs="Arial"/>
          <w:bCs/>
          <w:szCs w:val="22"/>
          <w:highlight w:val="none"/>
        </w:rPr>
        <w:fldChar w:fldCharType="end"/>
      </w:r>
    </w:p>
    <w:p>
      <w:pPr>
        <w:pStyle w:val="25"/>
        <w:tabs>
          <w:tab w:val="right" w:leader="dot" w:pos="9027"/>
        </w:tabs>
      </w:pPr>
      <w:r>
        <w:rPr>
          <w:rFonts w:cs="Arial"/>
          <w:bCs/>
          <w:szCs w:val="22"/>
          <w:highlight w:val="none"/>
        </w:rPr>
        <w:fldChar w:fldCharType="begin"/>
      </w:r>
      <w:r>
        <w:rPr>
          <w:rFonts w:cs="Arial"/>
          <w:bCs/>
          <w:szCs w:val="22"/>
          <w:highlight w:val="none"/>
        </w:rPr>
        <w:instrText xml:space="preserve"> HYPERLINK \l _Toc20754 </w:instrText>
      </w:r>
      <w:r>
        <w:rPr>
          <w:rFonts w:cs="Arial"/>
          <w:bCs/>
          <w:szCs w:val="22"/>
          <w:highlight w:val="none"/>
        </w:rPr>
        <w:fldChar w:fldCharType="separate"/>
      </w:r>
      <w:r>
        <w:rPr>
          <w:rFonts w:hint="eastAsia" w:ascii="Times New Roman" w:hAnsi="Times New Roman"/>
          <w:highlight w:val="none"/>
        </w:rPr>
        <w:t>1</w:t>
      </w:r>
      <w:r>
        <w:rPr>
          <w:rFonts w:hint="eastAsia" w:ascii="Times New Roman" w:hAnsi="Times New Roman"/>
          <w:highlight w:val="none"/>
          <w:lang w:val="en-US" w:eastAsia="zh-CN"/>
        </w:rPr>
        <w:t>1</w:t>
      </w:r>
      <w:r>
        <w:rPr>
          <w:rFonts w:hint="eastAsia" w:ascii="Times New Roman" w:hAnsi="Times New Roman"/>
          <w:highlight w:val="none"/>
        </w:rPr>
        <w:t>.</w:t>
      </w:r>
      <w:r>
        <w:rPr>
          <w:rFonts w:ascii="Times New Roman" w:hAnsi="Times New Roman"/>
          <w:highlight w:val="none"/>
        </w:rPr>
        <w:t xml:space="preserve"> </w:t>
      </w:r>
      <w:r>
        <w:rPr>
          <w:rFonts w:hint="eastAsia" w:ascii="Times New Roman" w:hAnsi="Times New Roman"/>
          <w:highlight w:val="none"/>
        </w:rPr>
        <w:t>报价文件递交截止时间及地点</w:t>
      </w:r>
      <w:r>
        <w:tab/>
      </w:r>
      <w:r>
        <w:fldChar w:fldCharType="begin"/>
      </w:r>
      <w:r>
        <w:instrText xml:space="preserve"> PAGEREF _Toc20754 \h </w:instrText>
      </w:r>
      <w:r>
        <w:fldChar w:fldCharType="separate"/>
      </w:r>
      <w:r>
        <w:t>10</w:t>
      </w:r>
      <w:r>
        <w:fldChar w:fldCharType="end"/>
      </w:r>
      <w:r>
        <w:rPr>
          <w:rFonts w:cs="Arial"/>
          <w:bCs/>
          <w:szCs w:val="22"/>
          <w:highlight w:val="none"/>
        </w:rPr>
        <w:fldChar w:fldCharType="end"/>
      </w:r>
    </w:p>
    <w:p>
      <w:pPr>
        <w:pStyle w:val="25"/>
        <w:tabs>
          <w:tab w:val="right" w:leader="dot" w:pos="9027"/>
        </w:tabs>
      </w:pPr>
      <w:r>
        <w:rPr>
          <w:rFonts w:cs="Arial"/>
          <w:bCs/>
          <w:szCs w:val="22"/>
          <w:highlight w:val="none"/>
        </w:rPr>
        <w:fldChar w:fldCharType="begin"/>
      </w:r>
      <w:r>
        <w:rPr>
          <w:rFonts w:cs="Arial"/>
          <w:bCs/>
          <w:szCs w:val="22"/>
          <w:highlight w:val="none"/>
        </w:rPr>
        <w:instrText xml:space="preserve"> HYPERLINK \l _Toc7270 </w:instrText>
      </w:r>
      <w:r>
        <w:rPr>
          <w:rFonts w:cs="Arial"/>
          <w:bCs/>
          <w:szCs w:val="22"/>
          <w:highlight w:val="none"/>
        </w:rPr>
        <w:fldChar w:fldCharType="separate"/>
      </w:r>
      <w:r>
        <w:rPr>
          <w:rFonts w:hint="eastAsia" w:ascii="Times New Roman" w:hAnsi="Times New Roman"/>
          <w:highlight w:val="none"/>
        </w:rPr>
        <w:t>1</w:t>
      </w:r>
      <w:r>
        <w:rPr>
          <w:rFonts w:hint="eastAsia" w:ascii="Times New Roman" w:hAnsi="Times New Roman"/>
          <w:highlight w:val="none"/>
          <w:lang w:val="en-US" w:eastAsia="zh-CN"/>
        </w:rPr>
        <w:t>2</w:t>
      </w:r>
      <w:r>
        <w:rPr>
          <w:rFonts w:hint="eastAsia" w:ascii="Times New Roman" w:hAnsi="Times New Roman"/>
          <w:highlight w:val="none"/>
        </w:rPr>
        <w:t>.</w:t>
      </w:r>
      <w:r>
        <w:rPr>
          <w:rFonts w:ascii="Times New Roman" w:hAnsi="Times New Roman"/>
          <w:highlight w:val="none"/>
        </w:rPr>
        <w:t xml:space="preserve"> </w:t>
      </w:r>
      <w:r>
        <w:rPr>
          <w:rFonts w:hint="eastAsia" w:ascii="Times New Roman" w:hAnsi="Times New Roman"/>
          <w:highlight w:val="none"/>
        </w:rPr>
        <w:t>报价文件的修改和撤销</w:t>
      </w:r>
      <w:r>
        <w:tab/>
      </w:r>
      <w:r>
        <w:fldChar w:fldCharType="begin"/>
      </w:r>
      <w:r>
        <w:instrText xml:space="preserve"> PAGEREF _Toc7270 \h </w:instrText>
      </w:r>
      <w:r>
        <w:fldChar w:fldCharType="separate"/>
      </w:r>
      <w:r>
        <w:t>10</w:t>
      </w:r>
      <w:r>
        <w:fldChar w:fldCharType="end"/>
      </w:r>
      <w:r>
        <w:rPr>
          <w:rFonts w:cs="Arial"/>
          <w:bCs/>
          <w:szCs w:val="22"/>
          <w:highlight w:val="none"/>
        </w:rPr>
        <w:fldChar w:fldCharType="end"/>
      </w:r>
    </w:p>
    <w:p>
      <w:pPr>
        <w:pStyle w:val="25"/>
        <w:tabs>
          <w:tab w:val="right" w:leader="dot" w:pos="9027"/>
        </w:tabs>
      </w:pPr>
      <w:r>
        <w:rPr>
          <w:rFonts w:cs="Arial"/>
          <w:bCs/>
          <w:szCs w:val="22"/>
          <w:highlight w:val="none"/>
        </w:rPr>
        <w:fldChar w:fldCharType="begin"/>
      </w:r>
      <w:r>
        <w:rPr>
          <w:rFonts w:cs="Arial"/>
          <w:bCs/>
          <w:szCs w:val="22"/>
          <w:highlight w:val="none"/>
        </w:rPr>
        <w:instrText xml:space="preserve"> HYPERLINK \l _Toc11411 </w:instrText>
      </w:r>
      <w:r>
        <w:rPr>
          <w:rFonts w:cs="Arial"/>
          <w:bCs/>
          <w:szCs w:val="22"/>
          <w:highlight w:val="none"/>
        </w:rPr>
        <w:fldChar w:fldCharType="separate"/>
      </w:r>
      <w:r>
        <w:rPr>
          <w:rFonts w:hint="eastAsia" w:ascii="Times New Roman" w:hAnsi="Times New Roman"/>
          <w:highlight w:val="none"/>
        </w:rPr>
        <w:t>1</w:t>
      </w:r>
      <w:r>
        <w:rPr>
          <w:rFonts w:hint="eastAsia" w:ascii="Times New Roman" w:hAnsi="Times New Roman"/>
          <w:highlight w:val="none"/>
          <w:lang w:val="en-US" w:eastAsia="zh-CN"/>
        </w:rPr>
        <w:t>3</w:t>
      </w:r>
      <w:r>
        <w:rPr>
          <w:rFonts w:hint="eastAsia" w:ascii="Times New Roman" w:hAnsi="Times New Roman"/>
          <w:highlight w:val="none"/>
        </w:rPr>
        <w:t>. 谈判小组</w:t>
      </w:r>
      <w:r>
        <w:tab/>
      </w:r>
      <w:r>
        <w:fldChar w:fldCharType="begin"/>
      </w:r>
      <w:r>
        <w:instrText xml:space="preserve"> PAGEREF _Toc11411 \h </w:instrText>
      </w:r>
      <w:r>
        <w:fldChar w:fldCharType="separate"/>
      </w:r>
      <w:r>
        <w:t>10</w:t>
      </w:r>
      <w:r>
        <w:fldChar w:fldCharType="end"/>
      </w:r>
      <w:r>
        <w:rPr>
          <w:rFonts w:cs="Arial"/>
          <w:bCs/>
          <w:szCs w:val="22"/>
          <w:highlight w:val="none"/>
        </w:rPr>
        <w:fldChar w:fldCharType="end"/>
      </w:r>
    </w:p>
    <w:p>
      <w:pPr>
        <w:pStyle w:val="25"/>
        <w:tabs>
          <w:tab w:val="right" w:leader="dot" w:pos="9027"/>
        </w:tabs>
      </w:pPr>
      <w:r>
        <w:rPr>
          <w:rFonts w:cs="Arial"/>
          <w:bCs/>
          <w:szCs w:val="22"/>
          <w:highlight w:val="none"/>
        </w:rPr>
        <w:fldChar w:fldCharType="begin"/>
      </w:r>
      <w:r>
        <w:rPr>
          <w:rFonts w:cs="Arial"/>
          <w:bCs/>
          <w:szCs w:val="22"/>
          <w:highlight w:val="none"/>
        </w:rPr>
        <w:instrText xml:space="preserve"> HYPERLINK \l _Toc2434 </w:instrText>
      </w:r>
      <w:r>
        <w:rPr>
          <w:rFonts w:cs="Arial"/>
          <w:bCs/>
          <w:szCs w:val="22"/>
          <w:highlight w:val="none"/>
        </w:rPr>
        <w:fldChar w:fldCharType="separate"/>
      </w:r>
      <w:r>
        <w:rPr>
          <w:rFonts w:hint="eastAsia" w:ascii="Times New Roman" w:hAnsi="Times New Roman"/>
          <w:highlight w:val="none"/>
        </w:rPr>
        <w:t>1</w:t>
      </w:r>
      <w:r>
        <w:rPr>
          <w:rFonts w:hint="eastAsia" w:ascii="Times New Roman" w:hAnsi="Times New Roman"/>
          <w:highlight w:val="none"/>
          <w:lang w:val="en-US" w:eastAsia="zh-CN"/>
        </w:rPr>
        <w:t>4</w:t>
      </w:r>
      <w:r>
        <w:rPr>
          <w:rFonts w:hint="eastAsia" w:ascii="Times New Roman" w:hAnsi="Times New Roman"/>
          <w:highlight w:val="none"/>
        </w:rPr>
        <w:t>.</w:t>
      </w:r>
      <w:r>
        <w:rPr>
          <w:rFonts w:ascii="Times New Roman" w:hAnsi="Times New Roman"/>
          <w:highlight w:val="none"/>
        </w:rPr>
        <w:t xml:space="preserve"> </w:t>
      </w:r>
      <w:r>
        <w:rPr>
          <w:rFonts w:hint="eastAsia" w:ascii="Times New Roman" w:hAnsi="Times New Roman"/>
          <w:highlight w:val="none"/>
        </w:rPr>
        <w:t>开启报价文件</w:t>
      </w:r>
      <w:r>
        <w:tab/>
      </w:r>
      <w:r>
        <w:fldChar w:fldCharType="begin"/>
      </w:r>
      <w:r>
        <w:instrText xml:space="preserve"> PAGEREF _Toc2434 \h </w:instrText>
      </w:r>
      <w:r>
        <w:fldChar w:fldCharType="separate"/>
      </w:r>
      <w:r>
        <w:t>10</w:t>
      </w:r>
      <w:r>
        <w:fldChar w:fldCharType="end"/>
      </w:r>
      <w:r>
        <w:rPr>
          <w:rFonts w:cs="Arial"/>
          <w:bCs/>
          <w:szCs w:val="22"/>
          <w:highlight w:val="none"/>
        </w:rPr>
        <w:fldChar w:fldCharType="end"/>
      </w:r>
    </w:p>
    <w:p>
      <w:pPr>
        <w:pStyle w:val="25"/>
        <w:tabs>
          <w:tab w:val="right" w:leader="dot" w:pos="9027"/>
        </w:tabs>
      </w:pPr>
      <w:r>
        <w:rPr>
          <w:rFonts w:cs="Arial"/>
          <w:bCs/>
          <w:szCs w:val="22"/>
          <w:highlight w:val="none"/>
        </w:rPr>
        <w:fldChar w:fldCharType="begin"/>
      </w:r>
      <w:r>
        <w:rPr>
          <w:rFonts w:cs="Arial"/>
          <w:bCs/>
          <w:szCs w:val="22"/>
          <w:highlight w:val="none"/>
        </w:rPr>
        <w:instrText xml:space="preserve"> HYPERLINK \l _Toc24192 </w:instrText>
      </w:r>
      <w:r>
        <w:rPr>
          <w:rFonts w:cs="Arial"/>
          <w:bCs/>
          <w:szCs w:val="22"/>
          <w:highlight w:val="none"/>
        </w:rPr>
        <w:fldChar w:fldCharType="separate"/>
      </w:r>
      <w:r>
        <w:rPr>
          <w:rFonts w:hint="eastAsia" w:ascii="Times New Roman" w:hAnsi="Times New Roman"/>
          <w:highlight w:val="none"/>
        </w:rPr>
        <w:t>1</w:t>
      </w:r>
      <w:r>
        <w:rPr>
          <w:rFonts w:hint="eastAsia" w:ascii="Times New Roman" w:hAnsi="Times New Roman"/>
          <w:highlight w:val="none"/>
          <w:lang w:val="en-US" w:eastAsia="zh-CN"/>
        </w:rPr>
        <w:t>5</w:t>
      </w:r>
      <w:r>
        <w:rPr>
          <w:rFonts w:hint="eastAsia" w:ascii="Times New Roman" w:hAnsi="Times New Roman"/>
          <w:highlight w:val="none"/>
        </w:rPr>
        <w:t>.</w:t>
      </w:r>
      <w:r>
        <w:rPr>
          <w:rFonts w:ascii="Times New Roman" w:hAnsi="Times New Roman"/>
          <w:highlight w:val="none"/>
        </w:rPr>
        <w:t xml:space="preserve"> </w:t>
      </w:r>
      <w:r>
        <w:rPr>
          <w:rFonts w:hint="eastAsia" w:ascii="Times New Roman" w:hAnsi="Times New Roman"/>
          <w:highlight w:val="none"/>
        </w:rPr>
        <w:t>确定成交供应商</w:t>
      </w:r>
      <w:r>
        <w:tab/>
      </w:r>
      <w:r>
        <w:fldChar w:fldCharType="begin"/>
      </w:r>
      <w:r>
        <w:instrText xml:space="preserve"> PAGEREF _Toc24192 \h </w:instrText>
      </w:r>
      <w:r>
        <w:fldChar w:fldCharType="separate"/>
      </w:r>
      <w:r>
        <w:t>11</w:t>
      </w:r>
      <w:r>
        <w:fldChar w:fldCharType="end"/>
      </w:r>
      <w:r>
        <w:rPr>
          <w:rFonts w:cs="Arial"/>
          <w:bCs/>
          <w:szCs w:val="22"/>
          <w:highlight w:val="none"/>
        </w:rPr>
        <w:fldChar w:fldCharType="end"/>
      </w:r>
    </w:p>
    <w:p>
      <w:pPr>
        <w:pStyle w:val="25"/>
        <w:tabs>
          <w:tab w:val="right" w:leader="dot" w:pos="9027"/>
        </w:tabs>
      </w:pPr>
      <w:r>
        <w:rPr>
          <w:rFonts w:cs="Arial"/>
          <w:bCs/>
          <w:szCs w:val="22"/>
          <w:highlight w:val="none"/>
        </w:rPr>
        <w:fldChar w:fldCharType="begin"/>
      </w:r>
      <w:r>
        <w:rPr>
          <w:rFonts w:cs="Arial"/>
          <w:bCs/>
          <w:szCs w:val="22"/>
          <w:highlight w:val="none"/>
        </w:rPr>
        <w:instrText xml:space="preserve"> HYPERLINK \l _Toc8088 </w:instrText>
      </w:r>
      <w:r>
        <w:rPr>
          <w:rFonts w:cs="Arial"/>
          <w:bCs/>
          <w:szCs w:val="22"/>
          <w:highlight w:val="none"/>
        </w:rPr>
        <w:fldChar w:fldCharType="separate"/>
      </w:r>
      <w:r>
        <w:rPr>
          <w:rFonts w:hint="eastAsia" w:ascii="Times New Roman" w:hAnsi="Times New Roman"/>
          <w:highlight w:val="none"/>
        </w:rPr>
        <w:t>1</w:t>
      </w:r>
      <w:r>
        <w:rPr>
          <w:rFonts w:hint="eastAsia" w:ascii="Times New Roman" w:hAnsi="Times New Roman"/>
          <w:highlight w:val="none"/>
          <w:lang w:val="en-US" w:eastAsia="zh-CN"/>
        </w:rPr>
        <w:t>6</w:t>
      </w:r>
      <w:r>
        <w:rPr>
          <w:rFonts w:hint="eastAsia" w:ascii="Times New Roman" w:hAnsi="Times New Roman"/>
          <w:highlight w:val="none"/>
        </w:rPr>
        <w:t>. 签订合同</w:t>
      </w:r>
      <w:r>
        <w:tab/>
      </w:r>
      <w:r>
        <w:fldChar w:fldCharType="begin"/>
      </w:r>
      <w:r>
        <w:instrText xml:space="preserve"> PAGEREF _Toc8088 \h </w:instrText>
      </w:r>
      <w:r>
        <w:fldChar w:fldCharType="separate"/>
      </w:r>
      <w:r>
        <w:t>11</w:t>
      </w:r>
      <w:r>
        <w:fldChar w:fldCharType="end"/>
      </w:r>
      <w:r>
        <w:rPr>
          <w:rFonts w:cs="Arial"/>
          <w:bCs/>
          <w:szCs w:val="22"/>
          <w:highlight w:val="none"/>
        </w:rPr>
        <w:fldChar w:fldCharType="end"/>
      </w:r>
    </w:p>
    <w:p>
      <w:pPr>
        <w:pStyle w:val="25"/>
        <w:tabs>
          <w:tab w:val="right" w:leader="dot" w:pos="9027"/>
        </w:tabs>
      </w:pPr>
      <w:r>
        <w:rPr>
          <w:rFonts w:cs="Arial"/>
          <w:bCs/>
          <w:szCs w:val="22"/>
          <w:highlight w:val="none"/>
        </w:rPr>
        <w:fldChar w:fldCharType="begin"/>
      </w:r>
      <w:r>
        <w:rPr>
          <w:rFonts w:cs="Arial"/>
          <w:bCs/>
          <w:szCs w:val="22"/>
          <w:highlight w:val="none"/>
        </w:rPr>
        <w:instrText xml:space="preserve"> HYPERLINK \l _Toc20937 </w:instrText>
      </w:r>
      <w:r>
        <w:rPr>
          <w:rFonts w:cs="Arial"/>
          <w:bCs/>
          <w:szCs w:val="22"/>
          <w:highlight w:val="none"/>
        </w:rPr>
        <w:fldChar w:fldCharType="separate"/>
      </w:r>
      <w:r>
        <w:rPr>
          <w:rFonts w:hint="eastAsia" w:ascii="Times New Roman" w:hAnsi="Times New Roman"/>
          <w:highlight w:val="none"/>
        </w:rPr>
        <w:t>1</w:t>
      </w:r>
      <w:r>
        <w:rPr>
          <w:rFonts w:hint="eastAsia" w:ascii="Times New Roman" w:hAnsi="Times New Roman"/>
          <w:highlight w:val="none"/>
          <w:lang w:val="en-US" w:eastAsia="zh-CN"/>
        </w:rPr>
        <w:t>7</w:t>
      </w:r>
      <w:r>
        <w:rPr>
          <w:rFonts w:hint="eastAsia" w:ascii="Times New Roman" w:hAnsi="Times New Roman"/>
          <w:highlight w:val="none"/>
        </w:rPr>
        <w:t>. 供应商失信行为管理</w:t>
      </w:r>
      <w:r>
        <w:tab/>
      </w:r>
      <w:r>
        <w:fldChar w:fldCharType="begin"/>
      </w:r>
      <w:r>
        <w:instrText xml:space="preserve"> PAGEREF _Toc20937 \h </w:instrText>
      </w:r>
      <w:r>
        <w:fldChar w:fldCharType="separate"/>
      </w:r>
      <w:r>
        <w:t>11</w:t>
      </w:r>
      <w:r>
        <w:fldChar w:fldCharType="end"/>
      </w:r>
      <w:r>
        <w:rPr>
          <w:rFonts w:cs="Arial"/>
          <w:bCs/>
          <w:szCs w:val="22"/>
          <w:highlight w:val="none"/>
        </w:rPr>
        <w:fldChar w:fldCharType="end"/>
      </w:r>
    </w:p>
    <w:p>
      <w:pPr>
        <w:pStyle w:val="25"/>
        <w:tabs>
          <w:tab w:val="right" w:leader="dot" w:pos="9027"/>
        </w:tabs>
      </w:pPr>
      <w:r>
        <w:rPr>
          <w:rFonts w:cs="Arial"/>
          <w:bCs/>
          <w:szCs w:val="22"/>
          <w:highlight w:val="none"/>
        </w:rPr>
        <w:fldChar w:fldCharType="begin"/>
      </w:r>
      <w:r>
        <w:rPr>
          <w:rFonts w:cs="Arial"/>
          <w:bCs/>
          <w:szCs w:val="22"/>
          <w:highlight w:val="none"/>
        </w:rPr>
        <w:instrText xml:space="preserve"> HYPERLINK \l _Toc31158 </w:instrText>
      </w:r>
      <w:r>
        <w:rPr>
          <w:rFonts w:cs="Arial"/>
          <w:bCs/>
          <w:szCs w:val="22"/>
          <w:highlight w:val="none"/>
        </w:rPr>
        <w:fldChar w:fldCharType="separate"/>
      </w:r>
      <w:r>
        <w:rPr>
          <w:rFonts w:hint="eastAsia" w:ascii="Times New Roman" w:hAnsi="Times New Roman"/>
          <w:highlight w:val="none"/>
          <w:lang w:val="en-US" w:eastAsia="zh-CN"/>
        </w:rPr>
        <w:t>18</w:t>
      </w:r>
      <w:r>
        <w:rPr>
          <w:rFonts w:hint="eastAsia" w:ascii="Times New Roman" w:hAnsi="Times New Roman"/>
          <w:highlight w:val="none"/>
        </w:rPr>
        <w:t>. 其他需要补充的内容</w:t>
      </w:r>
      <w:r>
        <w:tab/>
      </w:r>
      <w:r>
        <w:fldChar w:fldCharType="begin"/>
      </w:r>
      <w:r>
        <w:instrText xml:space="preserve"> PAGEREF _Toc31158 \h </w:instrText>
      </w:r>
      <w:r>
        <w:fldChar w:fldCharType="separate"/>
      </w:r>
      <w:r>
        <w:t>11</w:t>
      </w:r>
      <w:r>
        <w:fldChar w:fldCharType="end"/>
      </w:r>
      <w:r>
        <w:rPr>
          <w:rFonts w:cs="Arial"/>
          <w:bCs/>
          <w:szCs w:val="22"/>
          <w:highlight w:val="none"/>
        </w:rPr>
        <w:fldChar w:fldCharType="end"/>
      </w:r>
    </w:p>
    <w:p>
      <w:pPr>
        <w:pStyle w:val="23"/>
        <w:tabs>
          <w:tab w:val="right" w:leader="dot" w:pos="9027"/>
        </w:tabs>
      </w:pPr>
      <w:r>
        <w:rPr>
          <w:rFonts w:cs="Arial"/>
          <w:bCs/>
          <w:szCs w:val="22"/>
          <w:highlight w:val="none"/>
        </w:rPr>
        <w:fldChar w:fldCharType="begin"/>
      </w:r>
      <w:r>
        <w:rPr>
          <w:rFonts w:cs="Arial"/>
          <w:bCs/>
          <w:szCs w:val="22"/>
          <w:highlight w:val="none"/>
        </w:rPr>
        <w:instrText xml:space="preserve"> HYPERLINK \l _Toc10657 </w:instrText>
      </w:r>
      <w:r>
        <w:rPr>
          <w:rFonts w:cs="Arial"/>
          <w:bCs/>
          <w:szCs w:val="22"/>
          <w:highlight w:val="none"/>
        </w:rPr>
        <w:fldChar w:fldCharType="separate"/>
      </w:r>
      <w:r>
        <w:rPr>
          <w:rFonts w:hint="eastAsia"/>
          <w:highlight w:val="none"/>
        </w:rPr>
        <w:t>第三章 评审办法</w:t>
      </w:r>
      <w:r>
        <w:tab/>
      </w:r>
      <w:r>
        <w:fldChar w:fldCharType="begin"/>
      </w:r>
      <w:r>
        <w:instrText xml:space="preserve"> PAGEREF _Toc10657 \h </w:instrText>
      </w:r>
      <w:r>
        <w:fldChar w:fldCharType="separate"/>
      </w:r>
      <w:r>
        <w:t>12</w:t>
      </w:r>
      <w:r>
        <w:fldChar w:fldCharType="end"/>
      </w:r>
      <w:r>
        <w:rPr>
          <w:rFonts w:cs="Arial"/>
          <w:bCs/>
          <w:szCs w:val="22"/>
          <w:highlight w:val="none"/>
        </w:rPr>
        <w:fldChar w:fldCharType="end"/>
      </w:r>
    </w:p>
    <w:p>
      <w:pPr>
        <w:pStyle w:val="25"/>
        <w:tabs>
          <w:tab w:val="right" w:leader="dot" w:pos="9027"/>
        </w:tabs>
      </w:pPr>
      <w:r>
        <w:rPr>
          <w:rFonts w:cs="Arial"/>
          <w:bCs/>
          <w:szCs w:val="22"/>
          <w:highlight w:val="none"/>
        </w:rPr>
        <w:fldChar w:fldCharType="begin"/>
      </w:r>
      <w:r>
        <w:rPr>
          <w:rFonts w:cs="Arial"/>
          <w:bCs/>
          <w:szCs w:val="22"/>
          <w:highlight w:val="none"/>
        </w:rPr>
        <w:instrText xml:space="preserve"> HYPERLINK \l _Toc14647 </w:instrText>
      </w:r>
      <w:r>
        <w:rPr>
          <w:rFonts w:cs="Arial"/>
          <w:bCs/>
          <w:szCs w:val="22"/>
          <w:highlight w:val="none"/>
        </w:rPr>
        <w:fldChar w:fldCharType="separate"/>
      </w:r>
      <w:r>
        <w:rPr>
          <w:rFonts w:hint="eastAsia"/>
          <w:highlight w:val="none"/>
        </w:rPr>
        <w:t>一、评审方法</w:t>
      </w:r>
      <w:r>
        <w:tab/>
      </w:r>
      <w:r>
        <w:fldChar w:fldCharType="begin"/>
      </w:r>
      <w:r>
        <w:instrText xml:space="preserve"> PAGEREF _Toc14647 \h </w:instrText>
      </w:r>
      <w:r>
        <w:fldChar w:fldCharType="separate"/>
      </w:r>
      <w:r>
        <w:t>12</w:t>
      </w:r>
      <w:r>
        <w:fldChar w:fldCharType="end"/>
      </w:r>
      <w:r>
        <w:rPr>
          <w:rFonts w:cs="Arial"/>
          <w:bCs/>
          <w:szCs w:val="22"/>
          <w:highlight w:val="none"/>
        </w:rPr>
        <w:fldChar w:fldCharType="end"/>
      </w:r>
    </w:p>
    <w:p>
      <w:pPr>
        <w:pStyle w:val="25"/>
        <w:tabs>
          <w:tab w:val="right" w:leader="dot" w:pos="9027"/>
        </w:tabs>
      </w:pPr>
      <w:r>
        <w:rPr>
          <w:rFonts w:cs="Arial"/>
          <w:bCs/>
          <w:szCs w:val="22"/>
          <w:highlight w:val="none"/>
        </w:rPr>
        <w:fldChar w:fldCharType="begin"/>
      </w:r>
      <w:r>
        <w:rPr>
          <w:rFonts w:cs="Arial"/>
          <w:bCs/>
          <w:szCs w:val="22"/>
          <w:highlight w:val="none"/>
        </w:rPr>
        <w:instrText xml:space="preserve"> HYPERLINK \l _Toc10528 </w:instrText>
      </w:r>
      <w:r>
        <w:rPr>
          <w:rFonts w:cs="Arial"/>
          <w:bCs/>
          <w:szCs w:val="22"/>
          <w:highlight w:val="none"/>
        </w:rPr>
        <w:fldChar w:fldCharType="separate"/>
      </w:r>
      <w:r>
        <w:rPr>
          <w:rFonts w:hint="eastAsia"/>
          <w:highlight w:val="none"/>
          <w:lang w:val="en-US" w:eastAsia="zh-CN"/>
        </w:rPr>
        <w:t>二</w:t>
      </w:r>
      <w:r>
        <w:rPr>
          <w:rFonts w:hint="eastAsia"/>
          <w:highlight w:val="none"/>
        </w:rPr>
        <w:t>、评审程序</w:t>
      </w:r>
      <w:r>
        <w:tab/>
      </w:r>
      <w:r>
        <w:fldChar w:fldCharType="begin"/>
      </w:r>
      <w:r>
        <w:instrText xml:space="preserve"> PAGEREF _Toc10528 \h </w:instrText>
      </w:r>
      <w:r>
        <w:fldChar w:fldCharType="separate"/>
      </w:r>
      <w:r>
        <w:t>12</w:t>
      </w:r>
      <w:r>
        <w:fldChar w:fldCharType="end"/>
      </w:r>
      <w:r>
        <w:rPr>
          <w:rFonts w:cs="Arial"/>
          <w:bCs/>
          <w:szCs w:val="22"/>
          <w:highlight w:val="none"/>
        </w:rPr>
        <w:fldChar w:fldCharType="end"/>
      </w:r>
    </w:p>
    <w:p>
      <w:pPr>
        <w:pStyle w:val="25"/>
        <w:tabs>
          <w:tab w:val="right" w:leader="dot" w:pos="9027"/>
        </w:tabs>
      </w:pPr>
      <w:r>
        <w:rPr>
          <w:rFonts w:cs="Arial"/>
          <w:bCs/>
          <w:szCs w:val="22"/>
          <w:highlight w:val="none"/>
        </w:rPr>
        <w:fldChar w:fldCharType="begin"/>
      </w:r>
      <w:r>
        <w:rPr>
          <w:rFonts w:cs="Arial"/>
          <w:bCs/>
          <w:szCs w:val="22"/>
          <w:highlight w:val="none"/>
        </w:rPr>
        <w:instrText xml:space="preserve"> HYPERLINK \l _Toc18265 </w:instrText>
      </w:r>
      <w:r>
        <w:rPr>
          <w:rFonts w:cs="Arial"/>
          <w:bCs/>
          <w:szCs w:val="22"/>
          <w:highlight w:val="none"/>
        </w:rPr>
        <w:fldChar w:fldCharType="separate"/>
      </w:r>
      <w:r>
        <w:rPr>
          <w:rFonts w:hint="eastAsia"/>
          <w:highlight w:val="none"/>
          <w:lang w:val="en-US" w:eastAsia="zh-CN"/>
        </w:rPr>
        <w:t>三</w:t>
      </w:r>
      <w:r>
        <w:rPr>
          <w:rFonts w:hint="eastAsia"/>
          <w:highlight w:val="none"/>
        </w:rPr>
        <w:t>、推荐成交供应商</w:t>
      </w:r>
      <w:r>
        <w:tab/>
      </w:r>
      <w:r>
        <w:fldChar w:fldCharType="begin"/>
      </w:r>
      <w:r>
        <w:instrText xml:space="preserve"> PAGEREF _Toc18265 \h </w:instrText>
      </w:r>
      <w:r>
        <w:fldChar w:fldCharType="separate"/>
      </w:r>
      <w:r>
        <w:t>13</w:t>
      </w:r>
      <w:r>
        <w:fldChar w:fldCharType="end"/>
      </w:r>
      <w:r>
        <w:rPr>
          <w:rFonts w:cs="Arial"/>
          <w:bCs/>
          <w:szCs w:val="22"/>
          <w:highlight w:val="none"/>
        </w:rPr>
        <w:fldChar w:fldCharType="end"/>
      </w:r>
    </w:p>
    <w:p>
      <w:pPr>
        <w:pStyle w:val="23"/>
        <w:tabs>
          <w:tab w:val="right" w:leader="dot" w:pos="9027"/>
        </w:tabs>
      </w:pPr>
      <w:r>
        <w:rPr>
          <w:rFonts w:cs="Arial"/>
          <w:bCs/>
          <w:szCs w:val="22"/>
          <w:highlight w:val="none"/>
        </w:rPr>
        <w:fldChar w:fldCharType="begin"/>
      </w:r>
      <w:r>
        <w:rPr>
          <w:rFonts w:cs="Arial"/>
          <w:bCs/>
          <w:szCs w:val="22"/>
          <w:highlight w:val="none"/>
        </w:rPr>
        <w:instrText xml:space="preserve"> HYPERLINK \l _Toc1284 </w:instrText>
      </w:r>
      <w:r>
        <w:rPr>
          <w:rFonts w:cs="Arial"/>
          <w:bCs/>
          <w:szCs w:val="22"/>
          <w:highlight w:val="none"/>
        </w:rPr>
        <w:fldChar w:fldCharType="separate"/>
      </w:r>
      <w:r>
        <w:rPr>
          <w:rFonts w:hint="eastAsia" w:ascii="Times New Roman" w:hAnsi="Times New Roman"/>
          <w:highlight w:val="none"/>
        </w:rPr>
        <w:t>第四章 合同条款及格式</w:t>
      </w:r>
      <w:r>
        <w:tab/>
      </w:r>
      <w:r>
        <w:fldChar w:fldCharType="begin"/>
      </w:r>
      <w:r>
        <w:instrText xml:space="preserve"> PAGEREF _Toc1284 \h </w:instrText>
      </w:r>
      <w:r>
        <w:fldChar w:fldCharType="separate"/>
      </w:r>
      <w:r>
        <w:t>15</w:t>
      </w:r>
      <w:r>
        <w:fldChar w:fldCharType="end"/>
      </w:r>
      <w:r>
        <w:rPr>
          <w:rFonts w:cs="Arial"/>
          <w:bCs/>
          <w:szCs w:val="22"/>
          <w:highlight w:val="none"/>
        </w:rPr>
        <w:fldChar w:fldCharType="end"/>
      </w:r>
    </w:p>
    <w:p>
      <w:pPr>
        <w:pStyle w:val="23"/>
        <w:tabs>
          <w:tab w:val="right" w:leader="dot" w:pos="9027"/>
        </w:tabs>
      </w:pPr>
      <w:r>
        <w:rPr>
          <w:rFonts w:cs="Arial"/>
          <w:bCs/>
          <w:szCs w:val="22"/>
          <w:highlight w:val="none"/>
        </w:rPr>
        <w:fldChar w:fldCharType="begin"/>
      </w:r>
      <w:r>
        <w:rPr>
          <w:rFonts w:cs="Arial"/>
          <w:bCs/>
          <w:szCs w:val="22"/>
          <w:highlight w:val="none"/>
        </w:rPr>
        <w:instrText xml:space="preserve"> HYPERLINK \l _Toc22695 </w:instrText>
      </w:r>
      <w:r>
        <w:rPr>
          <w:rFonts w:cs="Arial"/>
          <w:bCs/>
          <w:szCs w:val="22"/>
          <w:highlight w:val="none"/>
        </w:rPr>
        <w:fldChar w:fldCharType="separate"/>
      </w:r>
      <w:r>
        <w:rPr>
          <w:rFonts w:hint="eastAsia" w:ascii="Times New Roman" w:hAnsi="Times New Roman"/>
          <w:highlight w:val="none"/>
        </w:rPr>
        <w:t>第五章 采购需求</w:t>
      </w:r>
      <w:r>
        <w:tab/>
      </w:r>
      <w:r>
        <w:fldChar w:fldCharType="begin"/>
      </w:r>
      <w:r>
        <w:instrText xml:space="preserve"> PAGEREF _Toc22695 \h </w:instrText>
      </w:r>
      <w:r>
        <w:fldChar w:fldCharType="separate"/>
      </w:r>
      <w:r>
        <w:t>30</w:t>
      </w:r>
      <w:r>
        <w:fldChar w:fldCharType="end"/>
      </w:r>
      <w:r>
        <w:rPr>
          <w:rFonts w:cs="Arial"/>
          <w:bCs/>
          <w:szCs w:val="22"/>
          <w:highlight w:val="none"/>
        </w:rPr>
        <w:fldChar w:fldCharType="end"/>
      </w:r>
    </w:p>
    <w:p>
      <w:pPr>
        <w:pStyle w:val="23"/>
        <w:tabs>
          <w:tab w:val="right" w:leader="dot" w:pos="9027"/>
        </w:tabs>
      </w:pPr>
      <w:r>
        <w:rPr>
          <w:rFonts w:cs="Arial"/>
          <w:bCs/>
          <w:szCs w:val="22"/>
          <w:highlight w:val="none"/>
        </w:rPr>
        <w:fldChar w:fldCharType="begin"/>
      </w:r>
      <w:r>
        <w:rPr>
          <w:rFonts w:cs="Arial"/>
          <w:bCs/>
          <w:szCs w:val="22"/>
          <w:highlight w:val="none"/>
        </w:rPr>
        <w:instrText xml:space="preserve"> HYPERLINK \l _Toc395 </w:instrText>
      </w:r>
      <w:r>
        <w:rPr>
          <w:rFonts w:cs="Arial"/>
          <w:bCs/>
          <w:szCs w:val="22"/>
          <w:highlight w:val="none"/>
        </w:rPr>
        <w:fldChar w:fldCharType="separate"/>
      </w:r>
      <w:r>
        <w:rPr>
          <w:rFonts w:ascii="Times New Roman" w:hAnsi="Times New Roman"/>
          <w:highlight w:val="none"/>
        </w:rPr>
        <w:t>第</w:t>
      </w:r>
      <w:r>
        <w:rPr>
          <w:rFonts w:hint="eastAsia" w:ascii="Times New Roman" w:hAnsi="Times New Roman"/>
          <w:highlight w:val="none"/>
        </w:rPr>
        <w:t>六</w:t>
      </w:r>
      <w:r>
        <w:rPr>
          <w:rFonts w:ascii="Times New Roman" w:hAnsi="Times New Roman"/>
          <w:highlight w:val="none"/>
        </w:rPr>
        <w:t xml:space="preserve">章 </w:t>
      </w:r>
      <w:r>
        <w:rPr>
          <w:rFonts w:hint="eastAsia" w:ascii="Times New Roman" w:hAnsi="Times New Roman"/>
          <w:highlight w:val="none"/>
        </w:rPr>
        <w:t>报价文件</w:t>
      </w:r>
      <w:r>
        <w:rPr>
          <w:rFonts w:ascii="Times New Roman" w:hAnsi="Times New Roman"/>
          <w:highlight w:val="none"/>
        </w:rPr>
        <w:t>格式</w:t>
      </w:r>
      <w:r>
        <w:tab/>
      </w:r>
      <w:r>
        <w:fldChar w:fldCharType="begin"/>
      </w:r>
      <w:r>
        <w:instrText xml:space="preserve"> PAGEREF _Toc395 \h </w:instrText>
      </w:r>
      <w:r>
        <w:fldChar w:fldCharType="separate"/>
      </w:r>
      <w:r>
        <w:t>33</w:t>
      </w:r>
      <w:r>
        <w:fldChar w:fldCharType="end"/>
      </w:r>
      <w:r>
        <w:rPr>
          <w:rFonts w:cs="Arial"/>
          <w:bCs/>
          <w:szCs w:val="22"/>
          <w:highlight w:val="none"/>
        </w:rPr>
        <w:fldChar w:fldCharType="end"/>
      </w:r>
    </w:p>
    <w:p>
      <w:pPr>
        <w:pStyle w:val="25"/>
        <w:tabs>
          <w:tab w:val="right" w:leader="dot" w:pos="9027"/>
        </w:tabs>
      </w:pPr>
      <w:r>
        <w:rPr>
          <w:rFonts w:cs="Arial"/>
          <w:bCs/>
          <w:szCs w:val="22"/>
          <w:highlight w:val="none"/>
        </w:rPr>
        <w:fldChar w:fldCharType="begin"/>
      </w:r>
      <w:r>
        <w:rPr>
          <w:rFonts w:cs="Arial"/>
          <w:bCs/>
          <w:szCs w:val="22"/>
          <w:highlight w:val="none"/>
        </w:rPr>
        <w:instrText xml:space="preserve"> HYPERLINK \l _Toc32600 </w:instrText>
      </w:r>
      <w:r>
        <w:rPr>
          <w:rFonts w:cs="Arial"/>
          <w:bCs/>
          <w:szCs w:val="22"/>
          <w:highlight w:val="none"/>
        </w:rPr>
        <w:fldChar w:fldCharType="separate"/>
      </w:r>
      <w:r>
        <w:rPr>
          <w:rFonts w:hint="eastAsia" w:ascii="Times New Roman" w:hAnsi="Times New Roman"/>
          <w:highlight w:val="none"/>
        </w:rPr>
        <w:t>一</w:t>
      </w:r>
      <w:r>
        <w:rPr>
          <w:rFonts w:ascii="Times New Roman" w:hAnsi="Times New Roman"/>
          <w:highlight w:val="none"/>
        </w:rPr>
        <w:t>、授权委托书</w:t>
      </w:r>
      <w:r>
        <w:tab/>
      </w:r>
      <w:r>
        <w:fldChar w:fldCharType="begin"/>
      </w:r>
      <w:r>
        <w:instrText xml:space="preserve"> PAGEREF _Toc32600 \h </w:instrText>
      </w:r>
      <w:r>
        <w:fldChar w:fldCharType="separate"/>
      </w:r>
      <w:r>
        <w:t>35</w:t>
      </w:r>
      <w:r>
        <w:fldChar w:fldCharType="end"/>
      </w:r>
      <w:r>
        <w:rPr>
          <w:rFonts w:cs="Arial"/>
          <w:bCs/>
          <w:szCs w:val="22"/>
          <w:highlight w:val="none"/>
        </w:rPr>
        <w:fldChar w:fldCharType="end"/>
      </w:r>
    </w:p>
    <w:p>
      <w:pPr>
        <w:pStyle w:val="25"/>
        <w:tabs>
          <w:tab w:val="right" w:leader="dot" w:pos="9027"/>
        </w:tabs>
      </w:pPr>
      <w:r>
        <w:rPr>
          <w:rFonts w:cs="Arial"/>
          <w:bCs/>
          <w:szCs w:val="22"/>
          <w:highlight w:val="none"/>
        </w:rPr>
        <w:fldChar w:fldCharType="begin"/>
      </w:r>
      <w:r>
        <w:rPr>
          <w:rFonts w:cs="Arial"/>
          <w:bCs/>
          <w:szCs w:val="22"/>
          <w:highlight w:val="none"/>
        </w:rPr>
        <w:instrText xml:space="preserve"> HYPERLINK \l _Toc10487 </w:instrText>
      </w:r>
      <w:r>
        <w:rPr>
          <w:rFonts w:cs="Arial"/>
          <w:bCs/>
          <w:szCs w:val="22"/>
          <w:highlight w:val="none"/>
        </w:rPr>
        <w:fldChar w:fldCharType="separate"/>
      </w:r>
      <w:r>
        <w:rPr>
          <w:rFonts w:hint="eastAsia" w:ascii="Times New Roman" w:hAnsi="Times New Roman"/>
          <w:highlight w:val="none"/>
        </w:rPr>
        <w:t>二、报价部分</w:t>
      </w:r>
      <w:r>
        <w:tab/>
      </w:r>
      <w:r>
        <w:fldChar w:fldCharType="begin"/>
      </w:r>
      <w:r>
        <w:instrText xml:space="preserve"> PAGEREF _Toc10487 \h </w:instrText>
      </w:r>
      <w:r>
        <w:fldChar w:fldCharType="separate"/>
      </w:r>
      <w:r>
        <w:t>36</w:t>
      </w:r>
      <w:r>
        <w:fldChar w:fldCharType="end"/>
      </w:r>
      <w:r>
        <w:rPr>
          <w:rFonts w:cs="Arial"/>
          <w:bCs/>
          <w:szCs w:val="22"/>
          <w:highlight w:val="none"/>
        </w:rPr>
        <w:fldChar w:fldCharType="end"/>
      </w:r>
    </w:p>
    <w:p>
      <w:pPr>
        <w:pStyle w:val="25"/>
        <w:tabs>
          <w:tab w:val="right" w:leader="dot" w:pos="9027"/>
        </w:tabs>
      </w:pPr>
      <w:r>
        <w:rPr>
          <w:rFonts w:cs="Arial"/>
          <w:bCs/>
          <w:szCs w:val="22"/>
          <w:highlight w:val="none"/>
        </w:rPr>
        <w:fldChar w:fldCharType="begin"/>
      </w:r>
      <w:r>
        <w:rPr>
          <w:rFonts w:cs="Arial"/>
          <w:bCs/>
          <w:szCs w:val="22"/>
          <w:highlight w:val="none"/>
        </w:rPr>
        <w:instrText xml:space="preserve"> HYPERLINK \l _Toc23990 </w:instrText>
      </w:r>
      <w:r>
        <w:rPr>
          <w:rFonts w:cs="Arial"/>
          <w:bCs/>
          <w:szCs w:val="22"/>
          <w:highlight w:val="none"/>
        </w:rPr>
        <w:fldChar w:fldCharType="separate"/>
      </w:r>
      <w:r>
        <w:rPr>
          <w:rFonts w:hint="eastAsia" w:ascii="Times New Roman" w:hAnsi="Times New Roman"/>
          <w:highlight w:val="none"/>
        </w:rPr>
        <w:t>三、商务部分</w:t>
      </w:r>
      <w:r>
        <w:rPr>
          <w:rFonts w:hint="eastAsia" w:ascii="Times New Roman" w:hAnsi="Times New Roman"/>
          <w:highlight w:val="none"/>
          <w:lang w:eastAsia="zh-CN"/>
        </w:rPr>
        <w:t>（</w:t>
      </w:r>
      <w:r>
        <w:rPr>
          <w:rFonts w:hint="eastAsia" w:ascii="Times New Roman" w:hAnsi="Times New Roman"/>
          <w:highlight w:val="none"/>
          <w:lang w:val="en-US" w:eastAsia="zh-CN"/>
        </w:rPr>
        <w:t>工作团队及业绩</w:t>
      </w:r>
      <w:r>
        <w:rPr>
          <w:rFonts w:hint="eastAsia" w:ascii="Times New Roman" w:hAnsi="Times New Roman"/>
          <w:highlight w:val="none"/>
          <w:lang w:eastAsia="zh-CN"/>
        </w:rPr>
        <w:t>）</w:t>
      </w:r>
      <w:r>
        <w:tab/>
      </w:r>
      <w:r>
        <w:fldChar w:fldCharType="begin"/>
      </w:r>
      <w:r>
        <w:instrText xml:space="preserve"> PAGEREF _Toc23990 \h </w:instrText>
      </w:r>
      <w:r>
        <w:fldChar w:fldCharType="separate"/>
      </w:r>
      <w:r>
        <w:t>37</w:t>
      </w:r>
      <w:r>
        <w:fldChar w:fldCharType="end"/>
      </w:r>
      <w:r>
        <w:rPr>
          <w:rFonts w:cs="Arial"/>
          <w:bCs/>
          <w:szCs w:val="22"/>
          <w:highlight w:val="none"/>
        </w:rPr>
        <w:fldChar w:fldCharType="end"/>
      </w:r>
    </w:p>
    <w:p>
      <w:pPr>
        <w:pStyle w:val="25"/>
        <w:tabs>
          <w:tab w:val="right" w:leader="dot" w:pos="9027"/>
        </w:tabs>
      </w:pPr>
      <w:r>
        <w:rPr>
          <w:rFonts w:cs="Arial"/>
          <w:bCs/>
          <w:szCs w:val="22"/>
          <w:highlight w:val="none"/>
        </w:rPr>
        <w:fldChar w:fldCharType="begin"/>
      </w:r>
      <w:r>
        <w:rPr>
          <w:rFonts w:cs="Arial"/>
          <w:bCs/>
          <w:szCs w:val="22"/>
          <w:highlight w:val="none"/>
        </w:rPr>
        <w:instrText xml:space="preserve"> HYPERLINK \l _Toc6808 </w:instrText>
      </w:r>
      <w:r>
        <w:rPr>
          <w:rFonts w:cs="Arial"/>
          <w:bCs/>
          <w:szCs w:val="22"/>
          <w:highlight w:val="none"/>
        </w:rPr>
        <w:fldChar w:fldCharType="separate"/>
      </w:r>
      <w:r>
        <w:rPr>
          <w:rFonts w:hint="eastAsia" w:ascii="Times New Roman" w:hAnsi="Times New Roman"/>
          <w:highlight w:val="none"/>
        </w:rPr>
        <w:t>四、技术部分（工作方案、专项服务建议及商务响应）</w:t>
      </w:r>
      <w:r>
        <w:tab/>
      </w:r>
      <w:r>
        <w:fldChar w:fldCharType="begin"/>
      </w:r>
      <w:r>
        <w:instrText xml:space="preserve"> PAGEREF _Toc6808 \h </w:instrText>
      </w:r>
      <w:r>
        <w:fldChar w:fldCharType="separate"/>
      </w:r>
      <w:r>
        <w:t>38</w:t>
      </w:r>
      <w:r>
        <w:fldChar w:fldCharType="end"/>
      </w:r>
      <w:r>
        <w:rPr>
          <w:rFonts w:cs="Arial"/>
          <w:bCs/>
          <w:szCs w:val="22"/>
          <w:highlight w:val="none"/>
        </w:rPr>
        <w:fldChar w:fldCharType="end"/>
      </w:r>
    </w:p>
    <w:p>
      <w:pPr>
        <w:pStyle w:val="25"/>
        <w:tabs>
          <w:tab w:val="right" w:leader="dot" w:pos="9027"/>
        </w:tabs>
      </w:pPr>
      <w:r>
        <w:rPr>
          <w:rFonts w:cs="Arial"/>
          <w:bCs/>
          <w:szCs w:val="22"/>
          <w:highlight w:val="none"/>
        </w:rPr>
        <w:fldChar w:fldCharType="begin"/>
      </w:r>
      <w:r>
        <w:rPr>
          <w:rFonts w:cs="Arial"/>
          <w:bCs/>
          <w:szCs w:val="22"/>
          <w:highlight w:val="none"/>
        </w:rPr>
        <w:instrText xml:space="preserve"> HYPERLINK \l _Toc17095 </w:instrText>
      </w:r>
      <w:r>
        <w:rPr>
          <w:rFonts w:cs="Arial"/>
          <w:bCs/>
          <w:szCs w:val="22"/>
          <w:highlight w:val="none"/>
        </w:rPr>
        <w:fldChar w:fldCharType="separate"/>
      </w:r>
      <w:r>
        <w:rPr>
          <w:rFonts w:hint="eastAsia"/>
          <w:highlight w:val="none"/>
        </w:rPr>
        <w:t>五、偏离表</w:t>
      </w:r>
      <w:r>
        <w:tab/>
      </w:r>
      <w:r>
        <w:fldChar w:fldCharType="begin"/>
      </w:r>
      <w:r>
        <w:instrText xml:space="preserve"> PAGEREF _Toc17095 \h </w:instrText>
      </w:r>
      <w:r>
        <w:fldChar w:fldCharType="separate"/>
      </w:r>
      <w:r>
        <w:t>39</w:t>
      </w:r>
      <w:r>
        <w:fldChar w:fldCharType="end"/>
      </w:r>
      <w:r>
        <w:rPr>
          <w:rFonts w:cs="Arial"/>
          <w:bCs/>
          <w:szCs w:val="22"/>
          <w:highlight w:val="none"/>
        </w:rPr>
        <w:fldChar w:fldCharType="end"/>
      </w:r>
    </w:p>
    <w:p>
      <w:pPr>
        <w:pStyle w:val="25"/>
        <w:tabs>
          <w:tab w:val="right" w:leader="dot" w:pos="9027"/>
        </w:tabs>
      </w:pPr>
      <w:r>
        <w:rPr>
          <w:rFonts w:cs="Arial"/>
          <w:bCs/>
          <w:szCs w:val="22"/>
          <w:highlight w:val="none"/>
        </w:rPr>
        <w:fldChar w:fldCharType="begin"/>
      </w:r>
      <w:r>
        <w:rPr>
          <w:rFonts w:cs="Arial"/>
          <w:bCs/>
          <w:szCs w:val="22"/>
          <w:highlight w:val="none"/>
        </w:rPr>
        <w:instrText xml:space="preserve"> HYPERLINK \l _Toc7467 </w:instrText>
      </w:r>
      <w:r>
        <w:rPr>
          <w:rFonts w:cs="Arial"/>
          <w:bCs/>
          <w:szCs w:val="22"/>
          <w:highlight w:val="none"/>
        </w:rPr>
        <w:fldChar w:fldCharType="separate"/>
      </w:r>
      <w:r>
        <w:rPr>
          <w:rFonts w:hint="eastAsia"/>
          <w:highlight w:val="none"/>
        </w:rPr>
        <w:t>六、供应商廉洁承诺书</w:t>
      </w:r>
      <w:r>
        <w:tab/>
      </w:r>
      <w:r>
        <w:fldChar w:fldCharType="begin"/>
      </w:r>
      <w:r>
        <w:instrText xml:space="preserve"> PAGEREF _Toc7467 \h </w:instrText>
      </w:r>
      <w:r>
        <w:fldChar w:fldCharType="separate"/>
      </w:r>
      <w:r>
        <w:t>40</w:t>
      </w:r>
      <w:r>
        <w:fldChar w:fldCharType="end"/>
      </w:r>
      <w:r>
        <w:rPr>
          <w:rFonts w:cs="Arial"/>
          <w:bCs/>
          <w:szCs w:val="22"/>
          <w:highlight w:val="none"/>
        </w:rPr>
        <w:fldChar w:fldCharType="end"/>
      </w:r>
    </w:p>
    <w:p>
      <w:pPr>
        <w:spacing w:line="276" w:lineRule="auto"/>
        <w:ind w:left="284" w:firstLineChars="0"/>
        <w:jc w:val="left"/>
        <w:rPr>
          <w:highlight w:val="none"/>
        </w:rPr>
      </w:pPr>
      <w:r>
        <w:rPr>
          <w:rFonts w:cs="Arial"/>
          <w:bCs/>
          <w:szCs w:val="22"/>
          <w:highlight w:val="none"/>
        </w:rPr>
        <w:fldChar w:fldCharType="end"/>
      </w:r>
      <w:bookmarkStart w:id="13" w:name="_Toc233104896"/>
    </w:p>
    <w:p>
      <w:pPr>
        <w:ind w:firstLine="480"/>
        <w:rPr>
          <w:highlight w:val="none"/>
        </w:rPr>
      </w:pPr>
      <w:bookmarkStart w:id="14" w:name="_Toc527045600"/>
      <w:bookmarkStart w:id="15" w:name="_Toc527120203"/>
      <w:r>
        <w:rPr>
          <w:highlight w:val="none"/>
        </w:rPr>
        <w:br w:type="page"/>
      </w:r>
    </w:p>
    <w:bookmarkEnd w:id="13"/>
    <w:bookmarkEnd w:id="14"/>
    <w:bookmarkEnd w:id="15"/>
    <w:p>
      <w:pPr>
        <w:pStyle w:val="27"/>
        <w:spacing w:before="120"/>
        <w:rPr>
          <w:rFonts w:ascii="Times New Roman" w:hAnsi="Times New Roman"/>
          <w:highlight w:val="none"/>
        </w:rPr>
      </w:pPr>
      <w:bookmarkStart w:id="16" w:name="_Toc49019215"/>
      <w:bookmarkStart w:id="17" w:name="_Toc48791214"/>
      <w:bookmarkStart w:id="18" w:name="_Toc47262048"/>
      <w:bookmarkStart w:id="19" w:name="_Toc47418710"/>
      <w:bookmarkStart w:id="20" w:name="_Toc47261864"/>
      <w:bookmarkStart w:id="21" w:name="_Toc48995830"/>
      <w:bookmarkStart w:id="22" w:name="_Toc47261049"/>
      <w:bookmarkStart w:id="23" w:name="_Toc47418234"/>
      <w:bookmarkStart w:id="24" w:name="_Toc47418917"/>
      <w:bookmarkStart w:id="25" w:name="_Toc47261669"/>
      <w:bookmarkStart w:id="26" w:name="_Toc19426"/>
      <w:bookmarkStart w:id="27" w:name="_Toc26049"/>
      <w:bookmarkStart w:id="28" w:name="_Toc10598"/>
      <w:r>
        <w:rPr>
          <w:rFonts w:ascii="Times New Roman" w:hAnsi="Times New Roman"/>
          <w:highlight w:val="none"/>
        </w:rPr>
        <w:t>第一章</w:t>
      </w:r>
      <w:bookmarkEnd w:id="16"/>
      <w:bookmarkEnd w:id="17"/>
      <w:bookmarkEnd w:id="18"/>
      <w:bookmarkEnd w:id="19"/>
      <w:bookmarkEnd w:id="20"/>
      <w:bookmarkEnd w:id="21"/>
      <w:bookmarkEnd w:id="22"/>
      <w:bookmarkEnd w:id="23"/>
      <w:bookmarkEnd w:id="24"/>
      <w:bookmarkEnd w:id="25"/>
      <w:r>
        <w:rPr>
          <w:rFonts w:ascii="Times New Roman" w:hAnsi="Times New Roman"/>
          <w:highlight w:val="none"/>
        </w:rPr>
        <w:t xml:space="preserve"> </w:t>
      </w:r>
      <w:r>
        <w:rPr>
          <w:rFonts w:hint="eastAsia" w:ascii="Times New Roman" w:hAnsi="Times New Roman"/>
          <w:highlight w:val="none"/>
        </w:rPr>
        <w:t>采购公告</w:t>
      </w:r>
      <w:bookmarkEnd w:id="26"/>
      <w:bookmarkEnd w:id="27"/>
      <w:bookmarkEnd w:id="28"/>
    </w:p>
    <w:p>
      <w:pPr>
        <w:spacing w:line="360" w:lineRule="auto"/>
        <w:ind w:firstLine="2440" w:firstLineChars="0"/>
        <w:rPr>
          <w:rFonts w:eastAsia="黑体"/>
          <w:sz w:val="20"/>
          <w:highlight w:val="none"/>
          <w:u w:val="single"/>
        </w:rPr>
      </w:pPr>
      <w:bookmarkStart w:id="29" w:name="_Toc352691465"/>
      <w:bookmarkEnd w:id="29"/>
      <w:bookmarkStart w:id="30" w:name="_Toc18885"/>
      <w:bookmarkEnd w:id="30"/>
      <w:bookmarkStart w:id="31" w:name="_Toc369531507"/>
      <w:bookmarkEnd w:id="31"/>
      <w:bookmarkStart w:id="32" w:name="_Toc384308199"/>
      <w:bookmarkEnd w:id="32"/>
      <w:bookmarkStart w:id="33" w:name="_Toc361508574"/>
      <w:bookmarkEnd w:id="33"/>
      <w:bookmarkStart w:id="34" w:name="_Toc361508575"/>
      <w:bookmarkStart w:id="35" w:name="_Toc384308200"/>
    </w:p>
    <w:p>
      <w:pPr>
        <w:pStyle w:val="5"/>
        <w:spacing w:before="240"/>
        <w:rPr>
          <w:rFonts w:ascii="Times New Roman" w:hAnsi="Times New Roman"/>
          <w:highlight w:val="none"/>
        </w:rPr>
      </w:pPr>
      <w:bookmarkStart w:id="36" w:name="_Toc2397"/>
      <w:bookmarkStart w:id="37" w:name="_Toc4612"/>
      <w:bookmarkStart w:id="38" w:name="_Toc15454"/>
      <w:r>
        <w:rPr>
          <w:rFonts w:ascii="Times New Roman" w:hAnsi="Times New Roman"/>
          <w:highlight w:val="none"/>
        </w:rPr>
        <w:t xml:space="preserve">1. </w:t>
      </w:r>
      <w:r>
        <w:rPr>
          <w:rFonts w:hint="eastAsia" w:ascii="Times New Roman" w:hAnsi="Times New Roman"/>
          <w:highlight w:val="none"/>
        </w:rPr>
        <w:t>采购</w:t>
      </w:r>
      <w:r>
        <w:rPr>
          <w:rFonts w:ascii="Times New Roman" w:hAnsi="Times New Roman"/>
          <w:highlight w:val="none"/>
        </w:rPr>
        <w:t>条件</w:t>
      </w:r>
      <w:bookmarkEnd w:id="36"/>
      <w:bookmarkEnd w:id="37"/>
      <w:bookmarkEnd w:id="38"/>
    </w:p>
    <w:p>
      <w:pPr>
        <w:ind w:firstLine="480"/>
        <w:rPr>
          <w:highlight w:val="none"/>
        </w:rPr>
      </w:pPr>
      <w:r>
        <w:rPr>
          <w:highlight w:val="none"/>
        </w:rPr>
        <w:t>本项目</w:t>
      </w:r>
      <w:r>
        <w:rPr>
          <w:rFonts w:hint="eastAsia" w:asciiTheme="minorEastAsia" w:hAnsiTheme="minorEastAsia" w:eastAsiaTheme="minorEastAsia" w:cstheme="minorEastAsia"/>
          <w:highlight w:val="none"/>
          <w:u w:val="single"/>
        </w:rPr>
        <w:t xml:space="preserve">  中国煤炭开发有限责任公司</w:t>
      </w:r>
      <w:r>
        <w:rPr>
          <w:rFonts w:hint="eastAsia" w:asciiTheme="minorEastAsia" w:hAnsiTheme="minorEastAsia" w:eastAsiaTheme="minorEastAsia" w:cstheme="minorEastAsia"/>
          <w:highlight w:val="none"/>
          <w:u w:val="single"/>
          <w:lang w:val="en-US" w:eastAsia="zh-CN"/>
        </w:rPr>
        <w:t>2025-2026年常年法律顾问选聘</w:t>
      </w:r>
      <w:r>
        <w:rPr>
          <w:rFonts w:hint="eastAsia" w:asciiTheme="minorEastAsia" w:hAnsiTheme="minorEastAsia" w:eastAsiaTheme="minorEastAsia" w:cstheme="minorEastAsia"/>
          <w:highlight w:val="none"/>
          <w:u w:val="single"/>
        </w:rPr>
        <w:t>项目</w:t>
      </w:r>
      <w:r>
        <w:rPr>
          <w:rFonts w:hint="eastAsia" w:asciiTheme="minorEastAsia" w:hAnsiTheme="minorEastAsia" w:eastAsiaTheme="minorEastAsia" w:cstheme="minorEastAsia"/>
          <w:highlight w:val="none"/>
        </w:rPr>
        <w:t>采购人为</w:t>
      </w:r>
      <w:r>
        <w:rPr>
          <w:rFonts w:hint="eastAsia" w:asciiTheme="minorEastAsia" w:hAnsiTheme="minorEastAsia" w:eastAsiaTheme="minorEastAsia" w:cstheme="minorEastAsia"/>
          <w:highlight w:val="none"/>
          <w:u w:val="single"/>
        </w:rPr>
        <w:t xml:space="preserve">中国煤炭开发有限责任公司（以下简称“开发公司”）  </w:t>
      </w:r>
      <w:r>
        <w:rPr>
          <w:rFonts w:hint="eastAsia"/>
          <w:highlight w:val="none"/>
        </w:rPr>
        <w:t>，</w:t>
      </w:r>
      <w:r>
        <w:rPr>
          <w:highlight w:val="none"/>
        </w:rPr>
        <w:t>项目已</w:t>
      </w:r>
      <w:r>
        <w:rPr>
          <w:rFonts w:hint="eastAsia"/>
          <w:highlight w:val="none"/>
        </w:rPr>
        <w:t>具备采购</w:t>
      </w:r>
      <w:r>
        <w:rPr>
          <w:highlight w:val="none"/>
        </w:rPr>
        <w:t>条件，现</w:t>
      </w:r>
      <w:r>
        <w:rPr>
          <w:rFonts w:hint="eastAsia"/>
          <w:highlight w:val="none"/>
        </w:rPr>
        <w:t>对本项目实施公开竞谈采购，请合格供应商参加本项目采购竞争</w:t>
      </w:r>
      <w:r>
        <w:rPr>
          <w:highlight w:val="none"/>
        </w:rPr>
        <w:t>。</w:t>
      </w:r>
    </w:p>
    <w:p>
      <w:pPr>
        <w:pStyle w:val="5"/>
        <w:spacing w:before="240"/>
        <w:rPr>
          <w:rFonts w:ascii="Times New Roman" w:hAnsi="Times New Roman"/>
          <w:highlight w:val="none"/>
        </w:rPr>
      </w:pPr>
      <w:bookmarkStart w:id="39" w:name="_Toc504312942"/>
      <w:bookmarkStart w:id="40" w:name="_Toc29909"/>
      <w:bookmarkStart w:id="41" w:name="_Toc24346"/>
      <w:bookmarkStart w:id="42" w:name="_Toc3764"/>
      <w:r>
        <w:rPr>
          <w:rFonts w:hint="eastAsia" w:ascii="Times New Roman" w:hAnsi="Times New Roman"/>
          <w:highlight w:val="none"/>
        </w:rPr>
        <w:t>2</w:t>
      </w:r>
      <w:r>
        <w:rPr>
          <w:rFonts w:ascii="Times New Roman" w:hAnsi="Times New Roman"/>
          <w:highlight w:val="none"/>
        </w:rPr>
        <w:t xml:space="preserve">. </w:t>
      </w:r>
      <w:bookmarkEnd w:id="39"/>
      <w:r>
        <w:rPr>
          <w:rFonts w:hint="eastAsia" w:ascii="Times New Roman" w:hAnsi="Times New Roman"/>
          <w:highlight w:val="none"/>
        </w:rPr>
        <w:t>项目概况与</w:t>
      </w:r>
      <w:r>
        <w:rPr>
          <w:rFonts w:hint="eastAsia" w:ascii="Times New Roman" w:hAnsi="Times New Roman"/>
          <w:highlight w:val="none"/>
          <w:lang w:val="en-US" w:eastAsia="zh-CN"/>
        </w:rPr>
        <w:t>服务</w:t>
      </w:r>
      <w:r>
        <w:rPr>
          <w:rFonts w:hint="eastAsia" w:ascii="Times New Roman" w:hAnsi="Times New Roman"/>
          <w:highlight w:val="none"/>
        </w:rPr>
        <w:t>范围</w:t>
      </w:r>
      <w:bookmarkEnd w:id="40"/>
      <w:bookmarkEnd w:id="41"/>
      <w:bookmarkEnd w:id="42"/>
    </w:p>
    <w:p>
      <w:pPr>
        <w:ind w:firstLine="480"/>
        <w:rPr>
          <w:highlight w:val="none"/>
        </w:rPr>
      </w:pPr>
      <w:bookmarkStart w:id="43" w:name="_Toc504312943"/>
      <w:r>
        <w:rPr>
          <w:highlight w:val="none"/>
        </w:rPr>
        <w:t>项目地点：</w:t>
      </w:r>
      <w:bookmarkStart w:id="44" w:name="_Hlk132637554"/>
      <w:bookmarkStart w:id="45" w:name="_Hlk132637589"/>
      <w:r>
        <w:rPr>
          <w:rFonts w:hint="eastAsia"/>
          <w:highlight w:val="none"/>
        </w:rPr>
        <w:t>北京市东城区蒋宅口中煤大厦</w:t>
      </w:r>
      <w:bookmarkEnd w:id="44"/>
    </w:p>
    <w:bookmarkEnd w:id="45"/>
    <w:p>
      <w:pPr>
        <w:pStyle w:val="10"/>
        <w:ind w:firstLine="480"/>
        <w:rPr>
          <w:highlight w:val="none"/>
        </w:rPr>
      </w:pPr>
      <w:r>
        <w:rPr>
          <w:rFonts w:hint="eastAsia"/>
          <w:highlight w:val="none"/>
        </w:rPr>
        <w:t>采购人简介：</w:t>
      </w:r>
    </w:p>
    <w:p>
      <w:pPr>
        <w:pStyle w:val="93"/>
        <w:tabs>
          <w:tab w:val="left" w:pos="401"/>
        </w:tabs>
        <w:spacing w:line="440" w:lineRule="exact"/>
        <w:ind w:firstLine="480" w:firstLineChars="200"/>
        <w:jc w:val="both"/>
        <w:rPr>
          <w:rFonts w:hint="eastAsia"/>
          <w:highlight w:val="none"/>
        </w:rPr>
      </w:pPr>
      <w:r>
        <w:rPr>
          <w:rFonts w:hint="eastAsia"/>
          <w:highlight w:val="none"/>
        </w:rPr>
        <w:t>中国煤炭开发有限责任公司（简称：开发公司）隶属于中国中煤能源集团有限公司（以下简称中国中煤），是中国中煤能源股份有限公司的全资子公司，前身是1981年成立的中国煤炭开发总公司。2021年9月，开发公司经与中国中煤采购中心整合重组，构建成为中国中煤公司层面“统一标准、统一规范、统一流程”的集中采购平台。2022年12月，开发公司顺应集团公司管理体制改革的大势，与招标公司进行管理重构，高效搭建起中国中煤集中招标采购保障平台。公司注册资本金10.45亿元，现有员工211人，全资子公司</w:t>
      </w:r>
      <w:r>
        <w:rPr>
          <w:rFonts w:hint="default"/>
          <w:highlight w:val="none"/>
          <w:lang w:val="en-US"/>
        </w:rPr>
        <w:t>3</w:t>
      </w:r>
      <w:r>
        <w:rPr>
          <w:rFonts w:hint="eastAsia"/>
          <w:highlight w:val="none"/>
        </w:rPr>
        <w:t>家。</w:t>
      </w:r>
    </w:p>
    <w:p>
      <w:pPr>
        <w:pStyle w:val="93"/>
        <w:tabs>
          <w:tab w:val="left" w:pos="401"/>
        </w:tabs>
        <w:spacing w:line="440" w:lineRule="exact"/>
        <w:ind w:firstLine="480" w:firstLineChars="200"/>
        <w:jc w:val="both"/>
        <w:rPr>
          <w:rFonts w:hint="eastAsia"/>
          <w:highlight w:val="none"/>
        </w:rPr>
      </w:pPr>
      <w:r>
        <w:rPr>
          <w:rFonts w:hint="eastAsia"/>
          <w:highlight w:val="none"/>
        </w:rPr>
        <w:t>开发公司作为中国中煤集中招标采购经营实体，履行集团公司重要大宗通用物资、重大工程建设项目的集中招标采购实施，保障招标采购平台稳定运行等职能，为集团所属企业提供集中寻源、集中供给及</w:t>
      </w:r>
      <w:r>
        <w:rPr>
          <w:rFonts w:hint="eastAsia"/>
          <w:highlight w:val="none"/>
          <w:lang w:val="en-US" w:eastAsia="zh-CN"/>
        </w:rPr>
        <w:t>集采</w:t>
      </w:r>
      <w:r>
        <w:rPr>
          <w:rFonts w:hint="eastAsia"/>
          <w:highlight w:val="none"/>
        </w:rPr>
        <w:t>分签服务，为集团所属企业采购实施提供指导，为总部及所属企业提供规范高效、收费公允合理的有偿服务。</w:t>
      </w:r>
    </w:p>
    <w:p>
      <w:pPr>
        <w:pStyle w:val="93"/>
        <w:tabs>
          <w:tab w:val="left" w:pos="401"/>
        </w:tabs>
        <w:spacing w:line="440" w:lineRule="exact"/>
        <w:ind w:firstLine="480" w:firstLineChars="200"/>
        <w:jc w:val="both"/>
        <w:rPr>
          <w:rFonts w:hint="eastAsia"/>
          <w:highlight w:val="none"/>
        </w:rPr>
      </w:pPr>
      <w:r>
        <w:rPr>
          <w:rFonts w:hint="eastAsia"/>
          <w:highlight w:val="none"/>
        </w:rPr>
        <w:t>“十四五”时期，开发公司肩负着“精准服务、提高效率、降低成本、保证质量、防范风险”五大保障职能，确定了“自营、服务、进口代理”三种业务模式为主的业务群，规划了“集采集供核心业务、招标代理业务、非招标采购代理业务、进口代理及贸易、大宗材料贸易、易购商城及设备监造”等7项主营业务。以高质量采购、高端化服务为主线，致力打造中国中煤大采购供应中心，推动中国中煤采购管理更加专业化、标准化、规范化，引领采购创新发展、助力企业降本增效，实现供应链价值采购。</w:t>
      </w:r>
    </w:p>
    <w:p>
      <w:pPr>
        <w:spacing w:line="440" w:lineRule="exact"/>
        <w:ind w:firstLine="480" w:firstLineChars="200"/>
        <w:jc w:val="both"/>
        <w:rPr>
          <w:rFonts w:hint="eastAsia"/>
          <w:color w:val="auto"/>
          <w:highlight w:val="none"/>
          <w:lang w:val="en-US" w:eastAsia="zh-CN"/>
        </w:rPr>
      </w:pPr>
      <w:r>
        <w:rPr>
          <w:rFonts w:hint="eastAsia"/>
          <w:color w:val="auto"/>
          <w:highlight w:val="none"/>
          <w:lang w:val="en-US" w:eastAsia="zh-CN"/>
        </w:rPr>
        <w:br w:type="page"/>
      </w:r>
    </w:p>
    <w:p>
      <w:pPr>
        <w:pStyle w:val="93"/>
        <w:tabs>
          <w:tab w:val="left" w:pos="401"/>
        </w:tabs>
        <w:spacing w:line="440" w:lineRule="exact"/>
        <w:ind w:firstLine="480" w:firstLineChars="200"/>
        <w:jc w:val="both"/>
        <w:rPr>
          <w:color w:val="auto"/>
          <w:highlight w:val="none"/>
        </w:rPr>
      </w:pPr>
      <w:r>
        <w:rPr>
          <w:rFonts w:hint="eastAsia"/>
          <w:color w:val="auto"/>
          <w:highlight w:val="none"/>
          <w:lang w:val="en-US" w:eastAsia="zh-CN"/>
        </w:rPr>
        <w:t>服务范围</w:t>
      </w:r>
      <w:r>
        <w:rPr>
          <w:color w:val="auto"/>
          <w:highlight w:val="none"/>
        </w:rPr>
        <w:t>：</w:t>
      </w:r>
    </w:p>
    <w:p>
      <w:pPr>
        <w:widowControl/>
        <w:tabs>
          <w:tab w:val="left" w:pos="360"/>
        </w:tabs>
        <w:snapToGrid w:val="0"/>
        <w:spacing w:line="480" w:lineRule="exact"/>
        <w:ind w:firstLine="480" w:firstLineChars="200"/>
        <w:jc w:val="left"/>
        <w:rPr>
          <w:kern w:val="0"/>
          <w:sz w:val="24"/>
          <w:highlight w:val="none"/>
        </w:rPr>
      </w:pPr>
      <w:bookmarkStart w:id="46" w:name="_Toc11289"/>
      <w:r>
        <w:rPr>
          <w:kern w:val="0"/>
          <w:sz w:val="24"/>
          <w:highlight w:val="none"/>
        </w:rPr>
        <w:t>为中国煤炭开发有限责任公司</w:t>
      </w:r>
      <w:r>
        <w:rPr>
          <w:rFonts w:hint="eastAsia"/>
          <w:kern w:val="0"/>
          <w:sz w:val="24"/>
          <w:highlight w:val="none"/>
        </w:rPr>
        <w:t>及所属企业</w:t>
      </w:r>
      <w:r>
        <w:rPr>
          <w:kern w:val="0"/>
          <w:sz w:val="24"/>
          <w:highlight w:val="none"/>
        </w:rPr>
        <w:t>提供</w:t>
      </w:r>
      <w:r>
        <w:rPr>
          <w:rFonts w:hint="eastAsia"/>
          <w:sz w:val="24"/>
          <w:highlight w:val="none"/>
        </w:rPr>
        <w:t>常年法律顾问</w:t>
      </w:r>
      <w:r>
        <w:rPr>
          <w:sz w:val="24"/>
          <w:highlight w:val="none"/>
        </w:rPr>
        <w:t>服务</w:t>
      </w:r>
      <w:r>
        <w:rPr>
          <w:rFonts w:hint="eastAsia"/>
          <w:sz w:val="24"/>
          <w:highlight w:val="none"/>
          <w:lang w:eastAsia="zh-CN"/>
        </w:rPr>
        <w:t>，</w:t>
      </w:r>
      <w:r>
        <w:rPr>
          <w:rFonts w:hint="eastAsia"/>
          <w:sz w:val="24"/>
          <w:highlight w:val="none"/>
          <w:lang w:val="en-US" w:eastAsia="zh-CN"/>
        </w:rPr>
        <w:t>为中国中煤采购管理有关任务提供常年法律顾问服务</w:t>
      </w:r>
      <w:r>
        <w:rPr>
          <w:kern w:val="0"/>
          <w:sz w:val="24"/>
          <w:highlight w:val="none"/>
        </w:rPr>
        <w:t>。</w:t>
      </w:r>
    </w:p>
    <w:p>
      <w:pPr>
        <w:spacing w:line="520" w:lineRule="exact"/>
        <w:ind w:firstLine="480" w:firstLineChars="200"/>
        <w:rPr>
          <w:kern w:val="0"/>
          <w:sz w:val="24"/>
          <w:highlight w:val="none"/>
        </w:rPr>
      </w:pPr>
      <w:r>
        <w:rPr>
          <w:kern w:val="0"/>
          <w:sz w:val="24"/>
          <w:highlight w:val="none"/>
        </w:rPr>
        <w:t>服务期：自</w:t>
      </w:r>
      <w:r>
        <w:rPr>
          <w:rFonts w:hint="eastAsia"/>
          <w:kern w:val="0"/>
          <w:sz w:val="24"/>
          <w:highlight w:val="none"/>
        </w:rPr>
        <w:t>合同签订之日起</w:t>
      </w:r>
      <w:r>
        <w:rPr>
          <w:rFonts w:hint="eastAsia"/>
          <w:kern w:val="0"/>
          <w:sz w:val="24"/>
          <w:highlight w:val="none"/>
          <w:lang w:val="en-US" w:eastAsia="zh-CN"/>
        </w:rPr>
        <w:t>12个月</w:t>
      </w:r>
      <w:r>
        <w:rPr>
          <w:kern w:val="0"/>
          <w:sz w:val="24"/>
          <w:highlight w:val="none"/>
        </w:rPr>
        <w:t>。</w:t>
      </w:r>
    </w:p>
    <w:p>
      <w:pPr>
        <w:widowControl/>
        <w:tabs>
          <w:tab w:val="left" w:pos="360"/>
        </w:tabs>
        <w:snapToGrid w:val="0"/>
        <w:spacing w:line="480" w:lineRule="exact"/>
        <w:ind w:firstLine="480" w:firstLineChars="200"/>
        <w:jc w:val="left"/>
        <w:rPr>
          <w:kern w:val="0"/>
          <w:sz w:val="24"/>
          <w:highlight w:val="none"/>
        </w:rPr>
      </w:pPr>
      <w:r>
        <w:rPr>
          <w:kern w:val="0"/>
          <w:sz w:val="24"/>
          <w:highlight w:val="none"/>
        </w:rPr>
        <w:t>服务地点：北京市东城区安外大街乙88号</w:t>
      </w:r>
      <w:r>
        <w:rPr>
          <w:rFonts w:hint="eastAsia"/>
          <w:kern w:val="0"/>
          <w:sz w:val="24"/>
          <w:highlight w:val="none"/>
          <w:lang w:val="en-US" w:eastAsia="zh-CN"/>
        </w:rPr>
        <w:t>中煤大厦</w:t>
      </w:r>
      <w:r>
        <w:rPr>
          <w:kern w:val="0"/>
          <w:sz w:val="24"/>
          <w:highlight w:val="none"/>
        </w:rPr>
        <w:t>。</w:t>
      </w:r>
    </w:p>
    <w:p>
      <w:pPr>
        <w:pStyle w:val="5"/>
        <w:spacing w:before="240"/>
        <w:rPr>
          <w:rFonts w:ascii="Times New Roman" w:hAnsi="Times New Roman"/>
          <w:highlight w:val="none"/>
        </w:rPr>
      </w:pPr>
      <w:bookmarkStart w:id="47" w:name="_Toc10716"/>
      <w:bookmarkStart w:id="48" w:name="_Toc19000"/>
      <w:r>
        <w:rPr>
          <w:rFonts w:hint="eastAsia" w:ascii="Times New Roman" w:hAnsi="Times New Roman"/>
          <w:highlight w:val="none"/>
        </w:rPr>
        <w:t>3</w:t>
      </w:r>
      <w:r>
        <w:rPr>
          <w:rFonts w:ascii="Times New Roman" w:hAnsi="Times New Roman"/>
          <w:highlight w:val="none"/>
        </w:rPr>
        <w:t xml:space="preserve">. </w:t>
      </w:r>
      <w:bookmarkEnd w:id="43"/>
      <w:r>
        <w:rPr>
          <w:rFonts w:hint="eastAsia" w:ascii="Times New Roman" w:hAnsi="Times New Roman"/>
          <w:highlight w:val="none"/>
        </w:rPr>
        <w:t>供应商资格要求</w:t>
      </w:r>
      <w:bookmarkEnd w:id="46"/>
      <w:bookmarkEnd w:id="47"/>
      <w:bookmarkEnd w:id="48"/>
    </w:p>
    <w:p>
      <w:pPr>
        <w:ind w:firstLine="480"/>
        <w:rPr>
          <w:highlight w:val="none"/>
        </w:rPr>
      </w:pPr>
      <w:bookmarkStart w:id="49" w:name="_Toc504312944"/>
      <w:r>
        <w:rPr>
          <w:rFonts w:hint="eastAsia"/>
          <w:highlight w:val="none"/>
        </w:rPr>
        <w:t>3.1 供应商资格要求</w:t>
      </w:r>
    </w:p>
    <w:p>
      <w:pPr>
        <w:pStyle w:val="10"/>
        <w:ind w:firstLine="480"/>
        <w:rPr>
          <w:highlight w:val="none"/>
        </w:rPr>
      </w:pPr>
      <w:r>
        <w:rPr>
          <w:rFonts w:hint="eastAsia"/>
          <w:highlight w:val="none"/>
        </w:rPr>
        <w:t>参与本项目采购活动的供应商应当是中华人民共和国境内的组织，同时还应具备如下条件：</w:t>
      </w:r>
    </w:p>
    <w:p>
      <w:pPr>
        <w:pStyle w:val="10"/>
        <w:ind w:firstLine="480"/>
        <w:rPr>
          <w:rFonts w:hint="eastAsia"/>
          <w:highlight w:val="none"/>
        </w:rPr>
      </w:pPr>
      <w:r>
        <w:rPr>
          <w:rFonts w:hint="eastAsia"/>
          <w:highlight w:val="none"/>
          <w:lang w:val="en-US" w:eastAsia="zh-CN"/>
        </w:rPr>
        <w:t>3.1.1</w:t>
      </w:r>
      <w:r>
        <w:rPr>
          <w:rFonts w:hint="eastAsia"/>
          <w:highlight w:val="none"/>
        </w:rPr>
        <w:t xml:space="preserve"> 须在中华人民共和国境内合法注册，具有国家主管部门颁发的律师事务所执业许可证书，并按规定通过年检；</w:t>
      </w:r>
    </w:p>
    <w:p>
      <w:pPr>
        <w:pStyle w:val="10"/>
        <w:ind w:firstLine="480"/>
        <w:rPr>
          <w:rFonts w:hint="eastAsia"/>
          <w:highlight w:val="none"/>
        </w:rPr>
      </w:pPr>
      <w:r>
        <w:rPr>
          <w:rFonts w:hint="eastAsia"/>
          <w:highlight w:val="none"/>
          <w:lang w:val="en-US" w:eastAsia="zh-CN"/>
        </w:rPr>
        <w:t xml:space="preserve">3.1.2 </w:t>
      </w:r>
      <w:r>
        <w:rPr>
          <w:rFonts w:hint="eastAsia"/>
          <w:highlight w:val="none"/>
        </w:rPr>
        <w:t>有优秀、稳定、合格的律师服务团队；</w:t>
      </w:r>
    </w:p>
    <w:p>
      <w:pPr>
        <w:pStyle w:val="10"/>
        <w:ind w:firstLine="480"/>
        <w:rPr>
          <w:rFonts w:hint="eastAsia"/>
          <w:highlight w:val="none"/>
        </w:rPr>
      </w:pPr>
      <w:r>
        <w:rPr>
          <w:rFonts w:hint="eastAsia"/>
          <w:highlight w:val="none"/>
          <w:lang w:val="en-US" w:eastAsia="zh-CN"/>
        </w:rPr>
        <w:t xml:space="preserve">3.1.3 </w:t>
      </w:r>
      <w:r>
        <w:rPr>
          <w:rFonts w:hint="eastAsia"/>
          <w:highlight w:val="none"/>
        </w:rPr>
        <w:t>近三年（202</w:t>
      </w:r>
      <w:r>
        <w:rPr>
          <w:rFonts w:hint="eastAsia"/>
          <w:highlight w:val="none"/>
          <w:lang w:val="en-US" w:eastAsia="zh-CN"/>
        </w:rPr>
        <w:t>2</w:t>
      </w:r>
      <w:r>
        <w:rPr>
          <w:rFonts w:hint="eastAsia"/>
          <w:highlight w:val="none"/>
        </w:rPr>
        <w:t>年至今）内未因重大案件受到过行政处罚，并在承担企业法律咨询、诉讼等方面未出现重大问题和不良记录；</w:t>
      </w:r>
    </w:p>
    <w:p>
      <w:pPr>
        <w:pStyle w:val="10"/>
        <w:ind w:firstLine="480"/>
        <w:rPr>
          <w:rFonts w:hint="eastAsia"/>
          <w:highlight w:val="none"/>
        </w:rPr>
      </w:pPr>
      <w:r>
        <w:rPr>
          <w:rFonts w:hint="eastAsia"/>
          <w:highlight w:val="none"/>
          <w:lang w:val="en-US" w:eastAsia="zh-CN"/>
        </w:rPr>
        <w:t xml:space="preserve">3.1.4 </w:t>
      </w:r>
      <w:r>
        <w:rPr>
          <w:rFonts w:hint="eastAsia"/>
          <w:highlight w:val="none"/>
        </w:rPr>
        <w:t>具有较高的社会认可度，近三年（202</w:t>
      </w:r>
      <w:r>
        <w:rPr>
          <w:rFonts w:hint="eastAsia"/>
          <w:highlight w:val="none"/>
          <w:lang w:val="en-US" w:eastAsia="zh-CN"/>
        </w:rPr>
        <w:t>2</w:t>
      </w:r>
      <w:r>
        <w:rPr>
          <w:rFonts w:hint="eastAsia"/>
          <w:highlight w:val="none"/>
        </w:rPr>
        <w:t>年至今）曾获得“钱伯斯”、“Legal Band”“商法”“《亚洲法律杂志》”“Global Law Experts”之一的奖项或提名；</w:t>
      </w:r>
    </w:p>
    <w:p>
      <w:pPr>
        <w:pStyle w:val="10"/>
        <w:ind w:firstLine="480"/>
        <w:rPr>
          <w:rFonts w:hint="eastAsia"/>
          <w:highlight w:val="none"/>
        </w:rPr>
      </w:pPr>
      <w:r>
        <w:rPr>
          <w:rFonts w:hint="eastAsia"/>
          <w:highlight w:val="none"/>
          <w:lang w:val="en-US" w:eastAsia="zh-CN"/>
        </w:rPr>
        <w:t xml:space="preserve">3.1.5 </w:t>
      </w:r>
      <w:r>
        <w:rPr>
          <w:rFonts w:hint="eastAsia"/>
          <w:highlight w:val="none"/>
        </w:rPr>
        <w:t>委派的服务团队，应至少含一名合伙人律师（十年以上执业经验）及两名律师</w:t>
      </w:r>
      <w:r>
        <w:rPr>
          <w:rFonts w:hint="eastAsia"/>
          <w:highlight w:val="none"/>
          <w:lang w:eastAsia="zh-CN"/>
        </w:rPr>
        <w:t>，</w:t>
      </w:r>
      <w:r>
        <w:rPr>
          <w:rFonts w:hint="eastAsia"/>
          <w:highlight w:val="none"/>
          <w:lang w:val="en-US" w:eastAsia="zh-CN"/>
        </w:rPr>
        <w:t>所有服务律师及助理执业经验不得小于三年</w:t>
      </w:r>
      <w:r>
        <w:rPr>
          <w:rFonts w:hint="eastAsia"/>
          <w:highlight w:val="none"/>
        </w:rPr>
        <w:t>；</w:t>
      </w:r>
    </w:p>
    <w:p>
      <w:pPr>
        <w:pStyle w:val="10"/>
        <w:ind w:firstLine="480"/>
        <w:rPr>
          <w:rFonts w:hint="eastAsia"/>
          <w:highlight w:val="none"/>
        </w:rPr>
      </w:pPr>
      <w:r>
        <w:rPr>
          <w:rFonts w:hint="eastAsia"/>
          <w:highlight w:val="none"/>
          <w:lang w:val="en-US" w:eastAsia="zh-CN"/>
        </w:rPr>
        <w:t xml:space="preserve">3.1.6 </w:t>
      </w:r>
      <w:r>
        <w:rPr>
          <w:rFonts w:hint="eastAsia"/>
          <w:highlight w:val="none"/>
        </w:rPr>
        <w:t>本项目报价单位不接受联合体形式。</w:t>
      </w:r>
    </w:p>
    <w:p>
      <w:pPr>
        <w:pStyle w:val="10"/>
        <w:ind w:firstLine="480"/>
        <w:rPr>
          <w:highlight w:val="none"/>
        </w:rPr>
      </w:pPr>
      <w:r>
        <w:rPr>
          <w:rFonts w:hint="eastAsia"/>
          <w:highlight w:val="none"/>
        </w:rPr>
        <w:t>3.2 供应商不得存在下列情形之一</w:t>
      </w:r>
    </w:p>
    <w:p>
      <w:pPr>
        <w:pStyle w:val="10"/>
        <w:ind w:firstLine="480"/>
        <w:rPr>
          <w:highlight w:val="none"/>
        </w:rPr>
      </w:pPr>
      <w:r>
        <w:rPr>
          <w:rFonts w:hint="eastAsia"/>
          <w:highlight w:val="none"/>
        </w:rPr>
        <w:t>3.2.1 与本项目其他供应商的单位负责人为同一人。</w:t>
      </w:r>
    </w:p>
    <w:p>
      <w:pPr>
        <w:pStyle w:val="10"/>
        <w:ind w:firstLine="480"/>
        <w:rPr>
          <w:highlight w:val="none"/>
        </w:rPr>
      </w:pPr>
      <w:r>
        <w:rPr>
          <w:rFonts w:hint="eastAsia"/>
          <w:highlight w:val="none"/>
        </w:rPr>
        <w:t>3.2.2 与本项目其他供应商存在直接控股关系。</w:t>
      </w:r>
    </w:p>
    <w:p>
      <w:pPr>
        <w:pStyle w:val="10"/>
        <w:ind w:firstLine="480"/>
        <w:rPr>
          <w:highlight w:val="none"/>
        </w:rPr>
      </w:pPr>
      <w:r>
        <w:rPr>
          <w:rFonts w:hint="eastAsia"/>
          <w:highlight w:val="none"/>
        </w:rPr>
        <w:t>3.2.3 与本项目其他供应商存在管理关系。</w:t>
      </w:r>
    </w:p>
    <w:p>
      <w:pPr>
        <w:pStyle w:val="10"/>
        <w:ind w:firstLine="480"/>
        <w:rPr>
          <w:highlight w:val="none"/>
        </w:rPr>
      </w:pPr>
      <w:r>
        <w:rPr>
          <w:rFonts w:hint="eastAsia"/>
          <w:highlight w:val="none"/>
        </w:rPr>
        <w:t>3.2.4 近三年内在经营活动中存在以下严重不良情形：</w:t>
      </w:r>
    </w:p>
    <w:p>
      <w:pPr>
        <w:pStyle w:val="10"/>
        <w:ind w:firstLine="480"/>
        <w:rPr>
          <w:highlight w:val="none"/>
        </w:rPr>
      </w:pPr>
      <w:r>
        <w:rPr>
          <w:rFonts w:hint="eastAsia"/>
          <w:highlight w:val="none"/>
        </w:rPr>
        <w:t>①被本项目所在地省级以上行业主管部门依法暂停、取消投标或禁止参加采购活动的。</w:t>
      </w:r>
    </w:p>
    <w:p>
      <w:pPr>
        <w:pStyle w:val="10"/>
        <w:ind w:firstLine="480"/>
        <w:rPr>
          <w:highlight w:val="none"/>
        </w:rPr>
      </w:pPr>
      <w:r>
        <w:rPr>
          <w:rFonts w:hint="eastAsia"/>
          <w:highlight w:val="none"/>
        </w:rPr>
        <w:t>②处于被责令停产停业、暂扣或者吊销执照、暂扣或者吊销许可证、吊销资质证书状态。</w:t>
      </w:r>
    </w:p>
    <w:p>
      <w:pPr>
        <w:pStyle w:val="10"/>
        <w:ind w:firstLine="480"/>
        <w:rPr>
          <w:highlight w:val="none"/>
        </w:rPr>
      </w:pPr>
      <w:r>
        <w:rPr>
          <w:rFonts w:hint="eastAsia"/>
          <w:highlight w:val="none"/>
        </w:rPr>
        <w:t>③进入清算程序，或被宣告破产，或其他丧失履约能力情形的。</w:t>
      </w:r>
    </w:p>
    <w:p>
      <w:pPr>
        <w:pStyle w:val="10"/>
        <w:ind w:firstLine="480"/>
        <w:rPr>
          <w:highlight w:val="none"/>
        </w:rPr>
      </w:pPr>
      <w:r>
        <w:rPr>
          <w:rFonts w:hint="eastAsia"/>
          <w:highlight w:val="none"/>
        </w:rPr>
        <w:t>④其他禁止情形：</w:t>
      </w:r>
      <w:r>
        <w:rPr>
          <w:rFonts w:hint="eastAsia" w:ascii="楷体" w:hAnsi="楷体" w:eastAsia="楷体"/>
          <w:highlight w:val="none"/>
          <w:u w:val="single"/>
        </w:rPr>
        <w:t xml:space="preserve"> 无      </w:t>
      </w:r>
      <w:r>
        <w:rPr>
          <w:rFonts w:hint="eastAsia"/>
          <w:highlight w:val="none"/>
        </w:rPr>
        <w:t>。</w:t>
      </w:r>
    </w:p>
    <w:bookmarkEnd w:id="49"/>
    <w:p>
      <w:pPr>
        <w:pStyle w:val="5"/>
        <w:spacing w:before="240"/>
        <w:rPr>
          <w:highlight w:val="none"/>
        </w:rPr>
      </w:pPr>
      <w:bookmarkStart w:id="50" w:name="_Toc9162"/>
      <w:bookmarkStart w:id="51" w:name="_Toc7215"/>
      <w:bookmarkStart w:id="52" w:name="_Toc10499"/>
      <w:r>
        <w:rPr>
          <w:rFonts w:hint="eastAsia" w:ascii="Times New Roman" w:hAnsi="Times New Roman"/>
          <w:highlight w:val="none"/>
        </w:rPr>
        <w:t>4. 报价方式</w:t>
      </w:r>
      <w:bookmarkEnd w:id="50"/>
      <w:bookmarkEnd w:id="51"/>
      <w:bookmarkEnd w:id="52"/>
    </w:p>
    <w:p>
      <w:pPr>
        <w:wordWrap w:val="0"/>
        <w:ind w:firstLine="480"/>
        <w:rPr>
          <w:highlight w:val="none"/>
        </w:rPr>
      </w:pPr>
      <w:r>
        <w:rPr>
          <w:rFonts w:hint="eastAsia"/>
          <w:highlight w:val="none"/>
        </w:rPr>
        <w:t>参与公开竞谈业务的报价单位，请登录或注册中煤</w:t>
      </w:r>
      <w:r>
        <w:rPr>
          <w:rFonts w:hint="eastAsia"/>
          <w:highlight w:val="none"/>
          <w:lang w:val="en-US" w:eastAsia="zh-CN"/>
        </w:rPr>
        <w:t>供应链</w:t>
      </w:r>
      <w:r>
        <w:rPr>
          <w:rFonts w:hint="eastAsia"/>
          <w:highlight w:val="none"/>
        </w:rPr>
        <w:t>平台（http://ego.chinacoal.com）后，进行在线报名、报价及上传响应文件。</w:t>
      </w:r>
    </w:p>
    <w:p>
      <w:pPr>
        <w:pStyle w:val="5"/>
        <w:spacing w:before="240"/>
        <w:rPr>
          <w:rFonts w:ascii="Times New Roman" w:hAnsi="Times New Roman"/>
          <w:highlight w:val="none"/>
        </w:rPr>
      </w:pPr>
      <w:bookmarkStart w:id="53" w:name="_Toc504312945"/>
      <w:bookmarkStart w:id="54" w:name="_Toc11523"/>
      <w:bookmarkStart w:id="55" w:name="_Toc15386"/>
      <w:bookmarkStart w:id="56" w:name="_Toc3337"/>
      <w:r>
        <w:rPr>
          <w:rFonts w:hint="eastAsia" w:ascii="Times New Roman" w:hAnsi="Times New Roman"/>
          <w:highlight w:val="none"/>
        </w:rPr>
        <w:t>5</w:t>
      </w:r>
      <w:r>
        <w:rPr>
          <w:rFonts w:ascii="Times New Roman" w:hAnsi="Times New Roman"/>
          <w:highlight w:val="none"/>
        </w:rPr>
        <w:t xml:space="preserve">. </w:t>
      </w:r>
      <w:bookmarkEnd w:id="53"/>
      <w:r>
        <w:rPr>
          <w:rFonts w:hint="eastAsia" w:ascii="Times New Roman" w:hAnsi="Times New Roman"/>
          <w:highlight w:val="none"/>
        </w:rPr>
        <w:t>报价时间安排</w:t>
      </w:r>
      <w:bookmarkEnd w:id="54"/>
      <w:bookmarkEnd w:id="55"/>
      <w:bookmarkEnd w:id="56"/>
    </w:p>
    <w:p>
      <w:pPr>
        <w:ind w:firstLine="480"/>
        <w:rPr>
          <w:color w:val="auto"/>
          <w:highlight w:val="none"/>
        </w:rPr>
      </w:pPr>
      <w:r>
        <w:rPr>
          <w:highlight w:val="none"/>
        </w:rPr>
        <w:t>报价开始时间：202</w:t>
      </w:r>
      <w:r>
        <w:rPr>
          <w:rFonts w:hint="eastAsia"/>
          <w:highlight w:val="none"/>
          <w:lang w:val="en-US" w:eastAsia="zh-CN"/>
        </w:rPr>
        <w:t>5</w:t>
      </w:r>
      <w:r>
        <w:rPr>
          <w:highlight w:val="none"/>
        </w:rPr>
        <w:t>年</w:t>
      </w:r>
      <w:r>
        <w:rPr>
          <w:rFonts w:hint="eastAsia"/>
          <w:highlight w:val="none"/>
          <w:lang w:val="en-US" w:eastAsia="zh-CN"/>
        </w:rPr>
        <w:t>12</w:t>
      </w:r>
      <w:r>
        <w:rPr>
          <w:highlight w:val="none"/>
        </w:rPr>
        <w:t>月</w:t>
      </w:r>
      <w:r>
        <w:rPr>
          <w:rFonts w:hint="eastAsia"/>
          <w:highlight w:val="none"/>
          <w:lang w:val="en-US" w:eastAsia="zh-CN"/>
        </w:rPr>
        <w:t>1</w:t>
      </w:r>
      <w:r>
        <w:rPr>
          <w:rFonts w:hint="eastAsia"/>
          <w:color w:val="auto"/>
          <w:highlight w:val="none"/>
          <w:lang w:val="en-US" w:eastAsia="zh-CN"/>
        </w:rPr>
        <w:t xml:space="preserve"> </w:t>
      </w:r>
      <w:r>
        <w:rPr>
          <w:color w:val="auto"/>
          <w:highlight w:val="none"/>
        </w:rPr>
        <w:t xml:space="preserve">日 </w:t>
      </w:r>
      <w:r>
        <w:rPr>
          <w:color w:val="auto"/>
          <w:highlight w:val="none"/>
          <w:lang w:val="en-US"/>
        </w:rPr>
        <w:t>1</w:t>
      </w:r>
      <w:r>
        <w:rPr>
          <w:rFonts w:hint="eastAsia"/>
          <w:color w:val="auto"/>
          <w:highlight w:val="none"/>
          <w:lang w:val="en-US" w:eastAsia="zh-CN"/>
        </w:rPr>
        <w:t>0：</w:t>
      </w:r>
      <w:r>
        <w:rPr>
          <w:color w:val="auto"/>
          <w:highlight w:val="none"/>
        </w:rPr>
        <w:t>00（北京时间）</w:t>
      </w:r>
    </w:p>
    <w:p>
      <w:pPr>
        <w:ind w:firstLine="480"/>
        <w:rPr>
          <w:color w:val="auto"/>
          <w:highlight w:val="none"/>
        </w:rPr>
      </w:pPr>
      <w:r>
        <w:rPr>
          <w:color w:val="auto"/>
          <w:highlight w:val="none"/>
        </w:rPr>
        <w:t>报价截止时间：202</w:t>
      </w:r>
      <w:r>
        <w:rPr>
          <w:rFonts w:hint="eastAsia"/>
          <w:color w:val="auto"/>
          <w:highlight w:val="none"/>
          <w:lang w:val="en-US" w:eastAsia="zh-CN"/>
        </w:rPr>
        <w:t>5</w:t>
      </w:r>
      <w:r>
        <w:rPr>
          <w:color w:val="auto"/>
          <w:highlight w:val="none"/>
        </w:rPr>
        <w:t>年</w:t>
      </w:r>
      <w:r>
        <w:rPr>
          <w:rFonts w:hint="eastAsia"/>
          <w:color w:val="auto"/>
          <w:highlight w:val="none"/>
          <w:lang w:val="en-US" w:eastAsia="zh-CN"/>
        </w:rPr>
        <w:t>12</w:t>
      </w:r>
      <w:r>
        <w:rPr>
          <w:color w:val="auto"/>
          <w:highlight w:val="none"/>
        </w:rPr>
        <w:t>月</w:t>
      </w:r>
      <w:r>
        <w:rPr>
          <w:rFonts w:hint="eastAsia"/>
          <w:color w:val="auto"/>
          <w:highlight w:val="none"/>
          <w:lang w:val="en-US" w:eastAsia="zh-CN"/>
        </w:rPr>
        <w:t>4</w:t>
      </w:r>
      <w:r>
        <w:rPr>
          <w:color w:val="auto"/>
          <w:highlight w:val="none"/>
        </w:rPr>
        <w:t xml:space="preserve">日 </w:t>
      </w:r>
      <w:r>
        <w:rPr>
          <w:rFonts w:hint="eastAsia"/>
          <w:color w:val="auto"/>
          <w:highlight w:val="none"/>
          <w:lang w:val="en-US" w:eastAsia="zh-CN"/>
        </w:rPr>
        <w:t>15</w:t>
      </w:r>
      <w:r>
        <w:rPr>
          <w:color w:val="auto"/>
          <w:highlight w:val="none"/>
        </w:rPr>
        <w:t>:00（北京时间）</w:t>
      </w:r>
    </w:p>
    <w:p>
      <w:pPr>
        <w:ind w:firstLine="480"/>
        <w:rPr>
          <w:highlight w:val="none"/>
        </w:rPr>
      </w:pPr>
      <w:r>
        <w:rPr>
          <w:color w:val="auto"/>
          <w:highlight w:val="none"/>
        </w:rPr>
        <w:t>报价揭示时间：202</w:t>
      </w:r>
      <w:r>
        <w:rPr>
          <w:rFonts w:hint="eastAsia"/>
          <w:color w:val="auto"/>
          <w:highlight w:val="none"/>
          <w:lang w:val="en-US" w:eastAsia="zh-CN"/>
        </w:rPr>
        <w:t>5</w:t>
      </w:r>
      <w:r>
        <w:rPr>
          <w:color w:val="auto"/>
          <w:highlight w:val="none"/>
        </w:rPr>
        <w:t>年</w:t>
      </w:r>
      <w:r>
        <w:rPr>
          <w:rFonts w:hint="eastAsia"/>
          <w:color w:val="auto"/>
          <w:highlight w:val="none"/>
          <w:lang w:val="en-US" w:eastAsia="zh-CN"/>
        </w:rPr>
        <w:t>12</w:t>
      </w:r>
      <w:r>
        <w:rPr>
          <w:color w:val="auto"/>
          <w:highlight w:val="none"/>
        </w:rPr>
        <w:t>月</w:t>
      </w:r>
      <w:r>
        <w:rPr>
          <w:rFonts w:hint="eastAsia"/>
          <w:color w:val="auto"/>
          <w:highlight w:val="none"/>
          <w:lang w:val="en-US" w:eastAsia="zh-CN"/>
        </w:rPr>
        <w:t>4</w:t>
      </w:r>
      <w:r>
        <w:rPr>
          <w:color w:val="auto"/>
          <w:highlight w:val="none"/>
        </w:rPr>
        <w:t xml:space="preserve">日 </w:t>
      </w:r>
      <w:r>
        <w:rPr>
          <w:rFonts w:hint="eastAsia"/>
          <w:color w:val="auto"/>
          <w:highlight w:val="none"/>
          <w:lang w:val="en-US" w:eastAsia="zh-CN"/>
        </w:rPr>
        <w:t>15</w:t>
      </w:r>
      <w:r>
        <w:rPr>
          <w:color w:val="auto"/>
          <w:highlight w:val="none"/>
        </w:rPr>
        <w:t>:0</w:t>
      </w:r>
      <w:r>
        <w:rPr>
          <w:color w:val="auto"/>
          <w:highlight w:val="none"/>
          <w:lang w:val="en-US"/>
        </w:rPr>
        <w:t>1</w:t>
      </w:r>
      <w:r>
        <w:rPr>
          <w:highlight w:val="none"/>
        </w:rPr>
        <w:t>（北京时间）</w:t>
      </w:r>
    </w:p>
    <w:p>
      <w:pPr>
        <w:ind w:firstLine="480"/>
        <w:rPr>
          <w:highlight w:val="none"/>
        </w:rPr>
      </w:pPr>
      <w:r>
        <w:rPr>
          <w:highlight w:val="none"/>
        </w:rPr>
        <w:t>请</w:t>
      </w:r>
      <w:r>
        <w:rPr>
          <w:rFonts w:hint="eastAsia"/>
          <w:highlight w:val="none"/>
        </w:rPr>
        <w:t>各</w:t>
      </w:r>
      <w:r>
        <w:rPr>
          <w:highlight w:val="none"/>
        </w:rPr>
        <w:t>单位务必按报价要求进行报价</w:t>
      </w:r>
      <w:r>
        <w:rPr>
          <w:rFonts w:hint="eastAsia"/>
          <w:highlight w:val="none"/>
        </w:rPr>
        <w:t>，报价截止时间前未完成报价文件递交的视为放弃报价资格。</w:t>
      </w:r>
    </w:p>
    <w:p>
      <w:pPr>
        <w:pStyle w:val="5"/>
        <w:spacing w:before="240"/>
        <w:rPr>
          <w:rFonts w:ascii="Times New Roman" w:hAnsi="Times New Roman"/>
          <w:highlight w:val="none"/>
        </w:rPr>
      </w:pPr>
      <w:bookmarkStart w:id="57" w:name="_Toc25646"/>
      <w:bookmarkStart w:id="58" w:name="_Toc504312947"/>
      <w:bookmarkStart w:id="59" w:name="_Toc20358"/>
      <w:bookmarkStart w:id="60" w:name="_Toc24768"/>
      <w:r>
        <w:rPr>
          <w:rFonts w:hint="eastAsia" w:ascii="Times New Roman" w:hAnsi="Times New Roman"/>
          <w:highlight w:val="none"/>
        </w:rPr>
        <w:t>6. 发布媒介</w:t>
      </w:r>
      <w:bookmarkEnd w:id="57"/>
      <w:bookmarkEnd w:id="58"/>
      <w:bookmarkEnd w:id="59"/>
      <w:bookmarkEnd w:id="60"/>
    </w:p>
    <w:p>
      <w:pPr>
        <w:wordWrap w:val="0"/>
        <w:ind w:firstLine="480"/>
        <w:rPr>
          <w:rFonts w:hint="eastAsia"/>
          <w:highlight w:val="none"/>
        </w:rPr>
      </w:pPr>
      <w:r>
        <w:rPr>
          <w:rFonts w:hint="eastAsia"/>
          <w:highlight w:val="none"/>
        </w:rPr>
        <w:t>本次采购公告在中煤</w:t>
      </w:r>
      <w:r>
        <w:rPr>
          <w:rFonts w:hint="eastAsia"/>
          <w:highlight w:val="none"/>
          <w:lang w:val="en-US" w:eastAsia="zh-CN"/>
        </w:rPr>
        <w:t>供应链</w:t>
      </w:r>
      <w:r>
        <w:rPr>
          <w:rFonts w:hint="eastAsia"/>
          <w:highlight w:val="none"/>
        </w:rPr>
        <w:t>平台（http://ego.chinacoal.com）上发布。</w:t>
      </w:r>
    </w:p>
    <w:p>
      <w:pPr>
        <w:pStyle w:val="5"/>
        <w:numPr>
          <w:ilvl w:val="-1"/>
          <w:numId w:val="0"/>
        </w:numPr>
        <w:rPr>
          <w:rFonts w:hint="eastAsia"/>
          <w:highlight w:val="none"/>
          <w:lang w:val="en-US" w:eastAsia="zh-CN"/>
        </w:rPr>
      </w:pPr>
      <w:bookmarkStart w:id="61" w:name="_Toc31228"/>
      <w:r>
        <w:rPr>
          <w:rFonts w:hint="eastAsia"/>
          <w:highlight w:val="none"/>
          <w:lang w:val="en-US" w:eastAsia="zh-CN"/>
        </w:rPr>
        <w:t>7.谈判方式及时间</w:t>
      </w:r>
      <w:bookmarkEnd w:id="61"/>
    </w:p>
    <w:p>
      <w:pPr>
        <w:numPr>
          <w:ilvl w:val="-1"/>
          <w:numId w:val="0"/>
        </w:numPr>
        <w:ind w:firstLine="0" w:firstLineChars="0"/>
        <w:rPr>
          <w:rFonts w:hint="default"/>
          <w:highlight w:val="none"/>
          <w:lang w:val="en-US" w:eastAsia="zh-CN"/>
        </w:rPr>
      </w:pPr>
      <w:r>
        <w:rPr>
          <w:rFonts w:hint="eastAsia"/>
          <w:lang w:val="en-US" w:eastAsia="zh-CN"/>
        </w:rPr>
        <w:t xml:space="preserve">   谈判方式为现场或视频连线谈判（具体方式另行通知）</w:t>
      </w:r>
      <w:r>
        <w:rPr>
          <w:rFonts w:hint="eastAsia"/>
          <w:highlight w:val="none"/>
          <w:lang w:val="en-US" w:eastAsia="zh-CN"/>
        </w:rPr>
        <w:t>，谈判时间暂定为2025年12月8日13:00，具体时间另行通知。</w:t>
      </w:r>
    </w:p>
    <w:p>
      <w:pPr>
        <w:pStyle w:val="5"/>
        <w:spacing w:before="240"/>
        <w:rPr>
          <w:rFonts w:ascii="Times New Roman" w:hAnsi="Times New Roman"/>
          <w:highlight w:val="none"/>
        </w:rPr>
      </w:pPr>
      <w:bookmarkStart w:id="62" w:name="_Toc2004"/>
      <w:bookmarkStart w:id="63" w:name="_Toc12443"/>
      <w:bookmarkStart w:id="64" w:name="_Toc504312948"/>
      <w:bookmarkStart w:id="65" w:name="_Toc26841"/>
      <w:r>
        <w:rPr>
          <w:rFonts w:hint="eastAsia" w:ascii="Times New Roman" w:hAnsi="Times New Roman"/>
          <w:highlight w:val="none"/>
          <w:lang w:val="en-US" w:eastAsia="zh-CN"/>
        </w:rPr>
        <w:t>8</w:t>
      </w:r>
      <w:r>
        <w:rPr>
          <w:rFonts w:ascii="Times New Roman" w:hAnsi="Times New Roman"/>
          <w:highlight w:val="none"/>
        </w:rPr>
        <w:t>. 联系方式</w:t>
      </w:r>
      <w:bookmarkEnd w:id="62"/>
      <w:bookmarkEnd w:id="63"/>
      <w:bookmarkEnd w:id="64"/>
      <w:bookmarkEnd w:id="65"/>
    </w:p>
    <w:p>
      <w:pPr>
        <w:adjustRightInd/>
        <w:snapToGrid/>
        <w:ind w:firstLine="480"/>
        <w:jc w:val="left"/>
        <w:rPr>
          <w:rFonts w:ascii="宋体" w:hAnsi="宋体" w:cs="宋体"/>
          <w:bCs/>
          <w:szCs w:val="24"/>
          <w:highlight w:val="none"/>
        </w:rPr>
      </w:pPr>
      <w:bookmarkStart w:id="66" w:name="_Toc384308188"/>
      <w:bookmarkEnd w:id="66"/>
      <w:bookmarkStart w:id="67" w:name="_Toc152042289"/>
      <w:bookmarkEnd w:id="67"/>
      <w:bookmarkStart w:id="68" w:name="_Toc361508563"/>
      <w:bookmarkEnd w:id="68"/>
      <w:bookmarkStart w:id="69" w:name="_Toc352691456"/>
      <w:bookmarkEnd w:id="69"/>
      <w:bookmarkStart w:id="70" w:name="_Toc247513935"/>
      <w:bookmarkEnd w:id="70"/>
      <w:bookmarkStart w:id="71" w:name="_Toc300834930"/>
      <w:bookmarkEnd w:id="71"/>
      <w:bookmarkStart w:id="72" w:name="_Toc17972"/>
      <w:bookmarkEnd w:id="72"/>
      <w:bookmarkStart w:id="73" w:name="_Toc152045513"/>
      <w:bookmarkEnd w:id="73"/>
      <w:bookmarkStart w:id="74" w:name="_Toc144974481"/>
      <w:bookmarkEnd w:id="74"/>
      <w:bookmarkStart w:id="75" w:name="_Toc247527536"/>
      <w:bookmarkEnd w:id="75"/>
      <w:bookmarkStart w:id="76" w:name="_Toc369531498"/>
      <w:bookmarkEnd w:id="76"/>
      <w:r>
        <w:rPr>
          <w:rFonts w:hint="eastAsia" w:ascii="宋体" w:hAnsi="宋体" w:cs="宋体"/>
          <w:bCs/>
          <w:szCs w:val="24"/>
          <w:highlight w:val="none"/>
        </w:rPr>
        <w:t>采 购 人：中国煤炭开发有限责任公司</w:t>
      </w:r>
    </w:p>
    <w:p>
      <w:pPr>
        <w:adjustRightInd/>
        <w:snapToGrid/>
        <w:ind w:firstLine="480"/>
        <w:jc w:val="left"/>
        <w:rPr>
          <w:rFonts w:ascii="宋体" w:hAnsi="宋体" w:cs="宋体"/>
          <w:bCs/>
          <w:szCs w:val="24"/>
          <w:highlight w:val="none"/>
        </w:rPr>
      </w:pPr>
      <w:r>
        <w:rPr>
          <w:rFonts w:hint="eastAsia" w:ascii="宋体" w:hAnsi="宋体" w:cs="宋体"/>
          <w:bCs/>
          <w:szCs w:val="24"/>
          <w:highlight w:val="none"/>
        </w:rPr>
        <w:t>地    址：北京市东城区安定门外大街乙88号中煤大厦</w:t>
      </w:r>
    </w:p>
    <w:p>
      <w:pPr>
        <w:pStyle w:val="10"/>
        <w:adjustRightInd/>
        <w:snapToGrid/>
        <w:ind w:firstLine="480"/>
        <w:rPr>
          <w:rFonts w:ascii="宋体" w:hAnsi="宋体" w:cs="宋体"/>
          <w:szCs w:val="24"/>
          <w:highlight w:val="none"/>
        </w:rPr>
      </w:pPr>
      <w:r>
        <w:rPr>
          <w:rFonts w:hint="eastAsia" w:ascii="宋体" w:hAnsi="宋体" w:cs="宋体"/>
          <w:szCs w:val="24"/>
          <w:highlight w:val="none"/>
        </w:rPr>
        <w:t>邮编：100011</w:t>
      </w:r>
    </w:p>
    <w:p>
      <w:pPr>
        <w:adjustRightInd/>
        <w:snapToGrid/>
        <w:ind w:firstLine="480"/>
        <w:jc w:val="left"/>
        <w:rPr>
          <w:rFonts w:ascii="宋体" w:hAnsi="宋体" w:cs="宋体"/>
          <w:bCs/>
          <w:szCs w:val="24"/>
          <w:highlight w:val="none"/>
        </w:rPr>
      </w:pPr>
      <w:r>
        <w:rPr>
          <w:rFonts w:hint="eastAsia" w:ascii="宋体" w:hAnsi="宋体" w:cs="宋体"/>
          <w:bCs/>
          <w:szCs w:val="24"/>
          <w:highlight w:val="none"/>
        </w:rPr>
        <w:t>联 系 人：</w:t>
      </w:r>
      <w:r>
        <w:rPr>
          <w:rFonts w:hint="eastAsia" w:ascii="宋体" w:hAnsi="宋体" w:cs="宋体"/>
          <w:bCs/>
          <w:szCs w:val="24"/>
          <w:highlight w:val="none"/>
          <w:lang w:val="en-US" w:eastAsia="zh-CN"/>
        </w:rPr>
        <w:t>张楚怡</w:t>
      </w:r>
      <w:r>
        <w:rPr>
          <w:rFonts w:hint="eastAsia" w:ascii="宋体" w:hAnsi="宋体" w:cs="宋体"/>
          <w:bCs/>
          <w:szCs w:val="24"/>
          <w:highlight w:val="none"/>
        </w:rPr>
        <w:t>、皮耸</w:t>
      </w:r>
    </w:p>
    <w:p>
      <w:pPr>
        <w:keepNext w:val="0"/>
        <w:keepLines w:val="0"/>
        <w:widowControl/>
        <w:suppressLineNumbers w:val="0"/>
        <w:jc w:val="left"/>
        <w:rPr>
          <w:rFonts w:ascii="宋体" w:hAnsi="宋体" w:cs="宋体"/>
          <w:bCs/>
          <w:szCs w:val="24"/>
          <w:highlight w:val="none"/>
        </w:rPr>
      </w:pPr>
      <w:r>
        <w:rPr>
          <w:rFonts w:hint="eastAsia" w:ascii="宋体" w:hAnsi="宋体" w:cs="宋体"/>
          <w:bCs/>
          <w:szCs w:val="24"/>
          <w:highlight w:val="none"/>
        </w:rPr>
        <w:t>电    话：</w:t>
      </w:r>
      <w:r>
        <w:rPr>
          <w:rFonts w:hint="default" w:ascii="宋体" w:hAnsi="宋体" w:cs="宋体"/>
          <w:bCs/>
          <w:szCs w:val="24"/>
          <w:highlight w:val="none"/>
          <w:lang w:val="en-US" w:eastAsia="zh-CN"/>
        </w:rPr>
        <w:t>13718796970</w:t>
      </w:r>
      <w:r>
        <w:rPr>
          <w:rFonts w:hint="eastAsia" w:ascii="宋体" w:hAnsi="宋体" w:cs="宋体"/>
          <w:bCs/>
          <w:szCs w:val="24"/>
          <w:highlight w:val="none"/>
        </w:rPr>
        <w:t>、18618228796</w:t>
      </w:r>
    </w:p>
    <w:p>
      <w:pPr>
        <w:ind w:firstLine="480"/>
        <w:rPr>
          <w:rFonts w:ascii="宋体" w:hAnsi="宋体" w:cs="宋体"/>
          <w:bCs/>
          <w:szCs w:val="21"/>
          <w:highlight w:val="none"/>
        </w:rPr>
      </w:pPr>
      <w:r>
        <w:rPr>
          <w:rFonts w:hint="eastAsia" w:ascii="宋体" w:hAnsi="宋体" w:cs="宋体"/>
          <w:bCs/>
          <w:szCs w:val="21"/>
          <w:highlight w:val="none"/>
        </w:rPr>
        <w:t>报价过程中如有项目信息疑问，请与项目联系人沟通。如有操作疑问，请咨询平台客户服务中心，联系方式如下：</w:t>
      </w:r>
    </w:p>
    <w:p>
      <w:pPr>
        <w:ind w:firstLine="480"/>
        <w:rPr>
          <w:rFonts w:ascii="宋体" w:hAnsi="宋体" w:cs="宋体"/>
          <w:bCs/>
          <w:szCs w:val="21"/>
          <w:highlight w:val="none"/>
        </w:rPr>
      </w:pPr>
      <w:r>
        <w:rPr>
          <w:rFonts w:hint="eastAsia" w:ascii="宋体" w:hAnsi="宋体" w:cs="宋体"/>
          <w:bCs/>
          <w:szCs w:val="21"/>
          <w:highlight w:val="none"/>
        </w:rPr>
        <w:t>地址：北京市东城区安定门外大街乙88号中煤大厦</w:t>
      </w:r>
    </w:p>
    <w:p>
      <w:pPr>
        <w:ind w:firstLine="480"/>
        <w:rPr>
          <w:rFonts w:ascii="宋体" w:hAnsi="宋体" w:cs="宋体"/>
          <w:bCs/>
          <w:szCs w:val="21"/>
          <w:highlight w:val="none"/>
        </w:rPr>
      </w:pPr>
      <w:r>
        <w:rPr>
          <w:rFonts w:hint="eastAsia" w:ascii="宋体" w:hAnsi="宋体" w:cs="宋体"/>
          <w:bCs/>
          <w:szCs w:val="21"/>
          <w:highlight w:val="none"/>
        </w:rPr>
        <w:t>工作时间：工作日 8:30-11:30  13:30-17:00</w:t>
      </w:r>
    </w:p>
    <w:p>
      <w:pPr>
        <w:ind w:firstLine="480"/>
        <w:rPr>
          <w:rFonts w:ascii="宋体" w:hAnsi="宋体" w:cs="宋体"/>
          <w:bCs/>
          <w:szCs w:val="21"/>
          <w:highlight w:val="none"/>
        </w:rPr>
      </w:pPr>
      <w:r>
        <w:rPr>
          <w:rFonts w:hint="eastAsia" w:ascii="宋体" w:hAnsi="宋体" w:cs="宋体"/>
          <w:bCs/>
          <w:szCs w:val="21"/>
          <w:highlight w:val="none"/>
        </w:rPr>
        <w:t>客服联系电话：400-003-6677</w:t>
      </w:r>
    </w:p>
    <w:p>
      <w:pPr>
        <w:ind w:firstLine="480"/>
        <w:rPr>
          <w:rFonts w:ascii="宋体" w:hAnsi="宋体" w:cs="宋体"/>
          <w:bCs/>
          <w:szCs w:val="21"/>
          <w:highlight w:val="none"/>
        </w:rPr>
      </w:pPr>
      <w:r>
        <w:rPr>
          <w:rFonts w:hint="eastAsia" w:ascii="宋体" w:hAnsi="宋体" w:cs="宋体"/>
          <w:bCs/>
          <w:szCs w:val="21"/>
          <w:highlight w:val="none"/>
        </w:rPr>
        <w:t>客服联系QQ：8000-34808</w:t>
      </w:r>
    </w:p>
    <w:p>
      <w:pPr>
        <w:ind w:firstLine="480"/>
        <w:rPr>
          <w:rFonts w:ascii="宋体" w:hAnsi="宋体" w:cs="宋体"/>
          <w:bCs/>
          <w:szCs w:val="21"/>
          <w:highlight w:val="none"/>
        </w:rPr>
      </w:pPr>
      <w:r>
        <w:rPr>
          <w:rFonts w:hint="eastAsia" w:ascii="宋体" w:hAnsi="宋体" w:cs="宋体"/>
          <w:bCs/>
          <w:szCs w:val="21"/>
          <w:highlight w:val="none"/>
        </w:rPr>
        <w:t>CA联系电话：021-962600</w:t>
      </w:r>
    </w:p>
    <w:bookmarkEnd w:id="34"/>
    <w:bookmarkEnd w:id="35"/>
    <w:p>
      <w:pPr>
        <w:pStyle w:val="91"/>
        <w:ind w:firstLine="482"/>
        <w:jc w:val="center"/>
        <w:rPr>
          <w:rFonts w:ascii="Times New Roman" w:cs="宋体"/>
          <w:b/>
          <w:bCs/>
          <w:kern w:val="0"/>
          <w:sz w:val="24"/>
          <w:szCs w:val="24"/>
          <w:highlight w:val="none"/>
        </w:rPr>
      </w:pPr>
      <w:r>
        <w:rPr>
          <w:rFonts w:ascii="Times New Roman" w:cs="宋体"/>
          <w:b/>
          <w:bCs/>
          <w:kern w:val="0"/>
          <w:sz w:val="24"/>
          <w:szCs w:val="24"/>
          <w:highlight w:val="none"/>
        </w:rPr>
        <w:br w:type="page"/>
      </w:r>
      <w:bookmarkStart w:id="77" w:name="_Toc49019216"/>
      <w:bookmarkStart w:id="78" w:name="_Toc47415923"/>
      <w:bookmarkStart w:id="79" w:name="_Toc47416177"/>
    </w:p>
    <w:p>
      <w:pPr>
        <w:pStyle w:val="27"/>
        <w:keepNext/>
        <w:keepLines/>
        <w:pageBreakBefore w:val="0"/>
        <w:widowControl w:val="0"/>
        <w:numPr>
          <w:ilvl w:val="0"/>
          <w:numId w:val="2"/>
        </w:numPr>
        <w:kinsoku/>
        <w:wordWrap/>
        <w:overflowPunct/>
        <w:topLinePunct w:val="0"/>
        <w:autoSpaceDE/>
        <w:autoSpaceDN/>
        <w:bidi w:val="0"/>
        <w:adjustRightInd w:val="0"/>
        <w:snapToGrid w:val="0"/>
        <w:spacing w:before="0" w:line="560" w:lineRule="exact"/>
        <w:textAlignment w:val="auto"/>
        <w:rPr>
          <w:rFonts w:ascii="Times New Roman" w:hAnsi="Times New Roman"/>
          <w:highlight w:val="none"/>
        </w:rPr>
      </w:pPr>
      <w:bookmarkStart w:id="80" w:name="_Toc28434"/>
      <w:bookmarkStart w:id="81" w:name="_Toc15939"/>
      <w:bookmarkStart w:id="82" w:name="_Toc9411"/>
      <w:r>
        <w:rPr>
          <w:rFonts w:hint="eastAsia" w:ascii="Times New Roman" w:hAnsi="Times New Roman"/>
          <w:highlight w:val="none"/>
        </w:rPr>
        <w:t>供应商须知</w:t>
      </w:r>
      <w:bookmarkEnd w:id="77"/>
      <w:bookmarkEnd w:id="78"/>
      <w:bookmarkEnd w:id="79"/>
      <w:r>
        <w:rPr>
          <w:rFonts w:hint="eastAsia" w:ascii="Times New Roman" w:hAnsi="Times New Roman"/>
          <w:highlight w:val="none"/>
        </w:rPr>
        <w:t>及前附表</w:t>
      </w:r>
      <w:bookmarkEnd w:id="80"/>
      <w:bookmarkEnd w:id="81"/>
      <w:bookmarkEnd w:id="82"/>
    </w:p>
    <w:p>
      <w:pPr>
        <w:pStyle w:val="5"/>
        <w:keepNext/>
        <w:keepLines/>
        <w:pageBreakBefore w:val="0"/>
        <w:widowControl w:val="0"/>
        <w:kinsoku/>
        <w:wordWrap/>
        <w:overflowPunct/>
        <w:topLinePunct w:val="0"/>
        <w:autoSpaceDE/>
        <w:autoSpaceDN/>
        <w:bidi w:val="0"/>
        <w:adjustRightInd w:val="0"/>
        <w:snapToGrid w:val="0"/>
        <w:spacing w:before="0" w:after="164" w:afterLines="50"/>
        <w:jc w:val="center"/>
        <w:textAlignment w:val="auto"/>
        <w:rPr>
          <w:rFonts w:ascii="Times New Roman" w:hAnsi="Times New Roman"/>
          <w:highlight w:val="none"/>
        </w:rPr>
      </w:pPr>
      <w:bookmarkStart w:id="83" w:name="_Toc19875"/>
      <w:bookmarkStart w:id="84" w:name="_Toc28408"/>
      <w:bookmarkStart w:id="85" w:name="_Toc6770"/>
      <w:r>
        <w:rPr>
          <w:rFonts w:hint="eastAsia" w:ascii="Times New Roman" w:hAnsi="Times New Roman"/>
          <w:highlight w:val="none"/>
        </w:rPr>
        <w:t>供应商须知前附表</w:t>
      </w:r>
      <w:bookmarkEnd w:id="83"/>
      <w:bookmarkEnd w:id="84"/>
      <w:bookmarkEnd w:id="85"/>
    </w:p>
    <w:tbl>
      <w:tblPr>
        <w:tblStyle w:val="29"/>
        <w:tblW w:w="90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724"/>
        <w:gridCol w:w="1832"/>
        <w:gridCol w:w="64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trPr>
        <w:tc>
          <w:tcPr>
            <w:tcW w:w="724" w:type="dxa"/>
            <w:vAlign w:val="center"/>
          </w:tcPr>
          <w:p>
            <w:pPr>
              <w:pStyle w:val="83"/>
              <w:jc w:val="center"/>
              <w:rPr>
                <w:rFonts w:ascii="Times New Roman" w:hAnsi="Times New Roman"/>
                <w:highlight w:val="none"/>
              </w:rPr>
            </w:pPr>
            <w:r>
              <w:rPr>
                <w:rFonts w:hint="eastAsia" w:ascii="Times New Roman" w:hAnsi="Times New Roman"/>
                <w:highlight w:val="none"/>
              </w:rPr>
              <w:t>条款号</w:t>
            </w:r>
          </w:p>
        </w:tc>
        <w:tc>
          <w:tcPr>
            <w:tcW w:w="1832" w:type="dxa"/>
            <w:vAlign w:val="center"/>
          </w:tcPr>
          <w:p>
            <w:pPr>
              <w:pStyle w:val="83"/>
              <w:jc w:val="center"/>
              <w:rPr>
                <w:rFonts w:ascii="Times New Roman" w:hAnsi="Times New Roman"/>
                <w:highlight w:val="none"/>
              </w:rPr>
            </w:pPr>
            <w:r>
              <w:rPr>
                <w:rFonts w:hint="eastAsia" w:ascii="Times New Roman" w:hAnsi="Times New Roman"/>
                <w:highlight w:val="none"/>
              </w:rPr>
              <w:t>条款名称</w:t>
            </w:r>
          </w:p>
        </w:tc>
        <w:tc>
          <w:tcPr>
            <w:tcW w:w="6463" w:type="dxa"/>
            <w:vAlign w:val="center"/>
          </w:tcPr>
          <w:p>
            <w:pPr>
              <w:pStyle w:val="83"/>
              <w:jc w:val="center"/>
              <w:rPr>
                <w:rFonts w:ascii="Times New Roman" w:hAnsi="Times New Roman"/>
                <w:highlight w:val="none"/>
              </w:rPr>
            </w:pPr>
            <w:r>
              <w:rPr>
                <w:rFonts w:hint="eastAsia" w:ascii="Times New Roman" w:hAnsi="Times New Roman"/>
                <w:highlight w:val="none"/>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trPr>
        <w:tc>
          <w:tcPr>
            <w:tcW w:w="724" w:type="dxa"/>
            <w:vAlign w:val="center"/>
          </w:tcPr>
          <w:p>
            <w:pPr>
              <w:pStyle w:val="83"/>
              <w:jc w:val="center"/>
              <w:rPr>
                <w:rFonts w:ascii="Times New Roman" w:hAnsi="Times New Roman"/>
                <w:highlight w:val="none"/>
              </w:rPr>
            </w:pPr>
            <w:r>
              <w:rPr>
                <w:rFonts w:hint="eastAsia" w:ascii="Times New Roman" w:hAnsi="Times New Roman"/>
                <w:highlight w:val="none"/>
              </w:rPr>
              <w:t>2.1</w:t>
            </w:r>
          </w:p>
        </w:tc>
        <w:tc>
          <w:tcPr>
            <w:tcW w:w="1832" w:type="dxa"/>
            <w:vAlign w:val="center"/>
          </w:tcPr>
          <w:p>
            <w:pPr>
              <w:pStyle w:val="83"/>
              <w:keepNext w:val="0"/>
              <w:keepLines w:val="0"/>
              <w:pageBreakBefore w:val="0"/>
              <w:widowControl/>
              <w:kinsoku/>
              <w:wordWrap/>
              <w:overflowPunct/>
              <w:topLinePunct w:val="0"/>
              <w:autoSpaceDE/>
              <w:autoSpaceDN/>
              <w:bidi w:val="0"/>
              <w:adjustRightInd/>
              <w:snapToGrid/>
              <w:spacing w:line="400" w:lineRule="exact"/>
              <w:textAlignment w:val="auto"/>
              <w:rPr>
                <w:rFonts w:ascii="Times New Roman" w:hAnsi="Times New Roman" w:cs="Arial"/>
                <w:highlight w:val="none"/>
              </w:rPr>
            </w:pPr>
            <w:r>
              <w:rPr>
                <w:rFonts w:hint="eastAsia" w:ascii="Times New Roman" w:hAnsi="Times New Roman" w:cs="Arial"/>
                <w:highlight w:val="none"/>
              </w:rPr>
              <w:t>采购人及联系方式</w:t>
            </w:r>
          </w:p>
        </w:tc>
        <w:tc>
          <w:tcPr>
            <w:tcW w:w="6463" w:type="dxa"/>
            <w:vAlign w:val="center"/>
          </w:tcPr>
          <w:p>
            <w:pPr>
              <w:pStyle w:val="83"/>
              <w:keepNext w:val="0"/>
              <w:keepLines w:val="0"/>
              <w:pageBreakBefore w:val="0"/>
              <w:widowControl/>
              <w:kinsoku/>
              <w:wordWrap/>
              <w:overflowPunct/>
              <w:topLinePunct w:val="0"/>
              <w:autoSpaceDE/>
              <w:autoSpaceDN/>
              <w:bidi w:val="0"/>
              <w:adjustRightInd/>
              <w:snapToGrid/>
              <w:spacing w:line="400" w:lineRule="exact"/>
              <w:textAlignment w:val="auto"/>
              <w:rPr>
                <w:rFonts w:ascii="Times New Roman" w:hAnsi="Times New Roman" w:cs="Arial"/>
                <w:highlight w:val="none"/>
              </w:rPr>
            </w:pPr>
            <w:r>
              <w:rPr>
                <w:rFonts w:hint="eastAsia" w:ascii="Times New Roman" w:hAnsi="Times New Roman" w:cs="Arial"/>
                <w:highlight w:val="none"/>
              </w:rPr>
              <w:t>详见第一章采购公告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trPr>
        <w:tc>
          <w:tcPr>
            <w:tcW w:w="724" w:type="dxa"/>
            <w:vAlign w:val="center"/>
          </w:tcPr>
          <w:p>
            <w:pPr>
              <w:pStyle w:val="83"/>
              <w:spacing w:line="240" w:lineRule="exact"/>
              <w:jc w:val="center"/>
              <w:rPr>
                <w:rFonts w:ascii="Times New Roman" w:hAnsi="Times New Roman"/>
                <w:highlight w:val="none"/>
              </w:rPr>
            </w:pPr>
            <w:r>
              <w:rPr>
                <w:rFonts w:hint="eastAsia" w:ascii="Times New Roman" w:hAnsi="Times New Roman"/>
                <w:highlight w:val="none"/>
              </w:rPr>
              <w:t>4.1</w:t>
            </w:r>
          </w:p>
        </w:tc>
        <w:tc>
          <w:tcPr>
            <w:tcW w:w="1832" w:type="dxa"/>
            <w:vAlign w:val="center"/>
          </w:tcPr>
          <w:p>
            <w:pPr>
              <w:pStyle w:val="83"/>
              <w:keepNext w:val="0"/>
              <w:keepLines w:val="0"/>
              <w:pageBreakBefore w:val="0"/>
              <w:widowControl/>
              <w:kinsoku/>
              <w:wordWrap/>
              <w:overflowPunct/>
              <w:topLinePunct w:val="0"/>
              <w:autoSpaceDE/>
              <w:autoSpaceDN/>
              <w:bidi w:val="0"/>
              <w:adjustRightInd/>
              <w:snapToGrid/>
              <w:spacing w:line="400" w:lineRule="exact"/>
              <w:textAlignment w:val="auto"/>
              <w:rPr>
                <w:rFonts w:ascii="Times New Roman" w:hAnsi="Times New Roman" w:cs="宋体"/>
                <w:color w:val="000000"/>
                <w:highlight w:val="none"/>
              </w:rPr>
            </w:pPr>
            <w:r>
              <w:rPr>
                <w:rFonts w:hint="eastAsia" w:ascii="Times New Roman" w:hAnsi="Times New Roman" w:cs="宋体"/>
                <w:color w:val="000000"/>
                <w:highlight w:val="none"/>
              </w:rPr>
              <w:t>踏勘现场</w:t>
            </w:r>
          </w:p>
        </w:tc>
        <w:tc>
          <w:tcPr>
            <w:tcW w:w="6463" w:type="dxa"/>
            <w:vAlign w:val="center"/>
          </w:tcPr>
          <w:p>
            <w:pPr>
              <w:pStyle w:val="83"/>
              <w:keepNext w:val="0"/>
              <w:keepLines w:val="0"/>
              <w:pageBreakBefore w:val="0"/>
              <w:widowControl/>
              <w:kinsoku/>
              <w:wordWrap/>
              <w:overflowPunct/>
              <w:topLinePunct w:val="0"/>
              <w:autoSpaceDE/>
              <w:autoSpaceDN/>
              <w:bidi w:val="0"/>
              <w:adjustRightInd/>
              <w:snapToGrid/>
              <w:spacing w:line="400" w:lineRule="exact"/>
              <w:textAlignment w:val="auto"/>
              <w:rPr>
                <w:rFonts w:ascii="Times New Roman" w:hAnsi="Times New Roman" w:cs="宋体"/>
                <w:color w:val="000000"/>
                <w:highlight w:val="none"/>
              </w:rPr>
            </w:pPr>
            <w:r>
              <w:rPr>
                <w:rFonts w:ascii="Times New Roman" w:hAnsi="Times New Roman"/>
                <w:highlight w:val="none"/>
              </w:rPr>
              <w:sym w:font="Wingdings 2" w:char="0052"/>
            </w:r>
            <w:r>
              <w:rPr>
                <w:rFonts w:hint="eastAsia" w:ascii="Times New Roman" w:hAnsi="Times New Roman" w:cs="宋体"/>
                <w:color w:val="000000"/>
                <w:highlight w:val="none"/>
              </w:rPr>
              <w:t>不组织</w:t>
            </w:r>
          </w:p>
          <w:p>
            <w:pPr>
              <w:pStyle w:val="83"/>
              <w:keepNext w:val="0"/>
              <w:keepLines w:val="0"/>
              <w:pageBreakBefore w:val="0"/>
              <w:widowControl/>
              <w:kinsoku/>
              <w:wordWrap/>
              <w:overflowPunct/>
              <w:topLinePunct w:val="0"/>
              <w:autoSpaceDE/>
              <w:autoSpaceDN/>
              <w:bidi w:val="0"/>
              <w:adjustRightInd/>
              <w:snapToGrid/>
              <w:spacing w:line="400" w:lineRule="exact"/>
              <w:textAlignment w:val="auto"/>
              <w:rPr>
                <w:rFonts w:ascii="Times New Roman" w:hAnsi="Times New Roman" w:cs="宋体"/>
                <w:color w:val="000000"/>
                <w:highlight w:val="none"/>
              </w:rPr>
            </w:pPr>
            <w:r>
              <w:rPr>
                <w:rFonts w:ascii="Times New Roman" w:hAnsi="Times New Roman"/>
                <w:highlight w:val="none"/>
              </w:rPr>
              <w:sym w:font="Wingdings 2" w:char="00A3"/>
            </w:r>
            <w:r>
              <w:rPr>
                <w:rFonts w:hint="eastAsia" w:ascii="Times New Roman" w:hAnsi="Times New Roman" w:cs="宋体"/>
                <w:color w:val="000000"/>
                <w:highlight w:val="none"/>
              </w:rPr>
              <w:t>组织，踏勘时间：</w:t>
            </w:r>
            <w:r>
              <w:rPr>
                <w:rFonts w:hint="eastAsia" w:ascii="Times New Roman" w:hAnsi="Times New Roman" w:cs="宋体"/>
                <w:color w:val="000000"/>
                <w:highlight w:val="none"/>
                <w:u w:val="single"/>
              </w:rPr>
              <w:t>项目期间</w:t>
            </w:r>
          </w:p>
          <w:p>
            <w:pPr>
              <w:pStyle w:val="83"/>
              <w:keepNext w:val="0"/>
              <w:keepLines w:val="0"/>
              <w:pageBreakBefore w:val="0"/>
              <w:widowControl/>
              <w:kinsoku/>
              <w:wordWrap/>
              <w:overflowPunct/>
              <w:topLinePunct w:val="0"/>
              <w:autoSpaceDE/>
              <w:autoSpaceDN/>
              <w:bidi w:val="0"/>
              <w:adjustRightInd/>
              <w:snapToGrid/>
              <w:spacing w:line="400" w:lineRule="exact"/>
              <w:textAlignment w:val="auto"/>
              <w:rPr>
                <w:rFonts w:ascii="Times New Roman" w:hAnsi="Times New Roman" w:cs="宋体"/>
                <w:color w:val="000000"/>
                <w:highlight w:val="none"/>
              </w:rPr>
            </w:pPr>
            <w:r>
              <w:rPr>
                <w:rFonts w:hint="eastAsia" w:ascii="Times New Roman" w:hAnsi="Times New Roman" w:cs="宋体"/>
                <w:color w:val="000000"/>
                <w:highlight w:val="none"/>
              </w:rPr>
              <w:t>踏勘集中地点：</w:t>
            </w:r>
            <w:r>
              <w:rPr>
                <w:rFonts w:hint="eastAsia" w:ascii="Times New Roman" w:hAnsi="Times New Roman" w:cs="宋体"/>
                <w:color w:val="000000"/>
                <w:highlight w:val="none"/>
                <w:u w:val="single"/>
                <w:lang w:val="en-US" w:eastAsia="zh-CN"/>
              </w:rPr>
              <w:t xml:space="preserve"> </w:t>
            </w:r>
            <w:r>
              <w:rPr>
                <w:rFonts w:hint="eastAsia" w:ascii="Times New Roman" w:hAnsi="Times New Roman" w:cs="宋体"/>
                <w:color w:val="000000"/>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trPr>
        <w:tc>
          <w:tcPr>
            <w:tcW w:w="724" w:type="dxa"/>
            <w:vAlign w:val="center"/>
          </w:tcPr>
          <w:p>
            <w:pPr>
              <w:pStyle w:val="83"/>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highlight w:val="none"/>
              </w:rPr>
            </w:pPr>
            <w:r>
              <w:rPr>
                <w:rFonts w:hint="eastAsia" w:ascii="Times New Roman" w:hAnsi="Times New Roman"/>
                <w:highlight w:val="none"/>
              </w:rPr>
              <w:t>9.5</w:t>
            </w:r>
          </w:p>
        </w:tc>
        <w:tc>
          <w:tcPr>
            <w:tcW w:w="1832" w:type="dxa"/>
            <w:vAlign w:val="center"/>
          </w:tcPr>
          <w:p>
            <w:pPr>
              <w:pStyle w:val="83"/>
              <w:keepNext w:val="0"/>
              <w:keepLines w:val="0"/>
              <w:pageBreakBefore w:val="0"/>
              <w:widowControl/>
              <w:kinsoku/>
              <w:wordWrap/>
              <w:overflowPunct/>
              <w:topLinePunct w:val="0"/>
              <w:autoSpaceDE/>
              <w:autoSpaceDN/>
              <w:bidi w:val="0"/>
              <w:adjustRightInd/>
              <w:snapToGrid/>
              <w:spacing w:line="400" w:lineRule="exact"/>
              <w:textAlignment w:val="auto"/>
              <w:rPr>
                <w:rFonts w:ascii="Times New Roman" w:hAnsi="Times New Roman"/>
                <w:highlight w:val="none"/>
              </w:rPr>
            </w:pPr>
            <w:r>
              <w:rPr>
                <w:rFonts w:hint="eastAsia" w:ascii="Times New Roman" w:hAnsi="Times New Roman"/>
                <w:highlight w:val="none"/>
              </w:rPr>
              <w:t>最高限价</w:t>
            </w:r>
          </w:p>
        </w:tc>
        <w:tc>
          <w:tcPr>
            <w:tcW w:w="6463" w:type="dxa"/>
            <w:vAlign w:val="center"/>
          </w:tcPr>
          <w:p>
            <w:pPr>
              <w:pStyle w:val="83"/>
              <w:keepNext w:val="0"/>
              <w:keepLines w:val="0"/>
              <w:pageBreakBefore w:val="0"/>
              <w:widowControl/>
              <w:kinsoku/>
              <w:wordWrap/>
              <w:overflowPunct/>
              <w:topLinePunct w:val="0"/>
              <w:autoSpaceDE/>
              <w:autoSpaceDN/>
              <w:bidi w:val="0"/>
              <w:adjustRightInd/>
              <w:snapToGrid/>
              <w:spacing w:line="400" w:lineRule="exact"/>
              <w:textAlignment w:val="auto"/>
              <w:rPr>
                <w:rFonts w:ascii="Times New Roman" w:hAnsi="Times New Roman"/>
                <w:highlight w:val="none"/>
              </w:rPr>
            </w:pPr>
            <w:r>
              <w:rPr>
                <w:rFonts w:hint="eastAsia" w:ascii="Times New Roman" w:hAnsi="Times New Roman"/>
                <w:highlight w:val="none"/>
              </w:rPr>
              <w:sym w:font="Wingdings 2" w:char="0052"/>
            </w:r>
            <w:r>
              <w:rPr>
                <w:rFonts w:ascii="Times New Roman" w:hAnsi="Times New Roman"/>
                <w:highlight w:val="none"/>
              </w:rPr>
              <w:t>无</w:t>
            </w:r>
          </w:p>
          <w:p>
            <w:pPr>
              <w:pStyle w:val="83"/>
              <w:keepNext w:val="0"/>
              <w:keepLines w:val="0"/>
              <w:pageBreakBefore w:val="0"/>
              <w:widowControl/>
              <w:kinsoku/>
              <w:wordWrap/>
              <w:overflowPunct/>
              <w:topLinePunct w:val="0"/>
              <w:autoSpaceDE/>
              <w:autoSpaceDN/>
              <w:bidi w:val="0"/>
              <w:adjustRightInd/>
              <w:snapToGrid/>
              <w:spacing w:line="400" w:lineRule="exact"/>
              <w:textAlignment w:val="auto"/>
              <w:rPr>
                <w:rFonts w:ascii="Times New Roman" w:hAnsi="Times New Roman"/>
                <w:highlight w:val="none"/>
              </w:rPr>
            </w:pPr>
            <w:r>
              <w:rPr>
                <w:rFonts w:hint="eastAsia" w:ascii="Times New Roman" w:hAnsi="Times New Roman"/>
                <w:highlight w:val="none"/>
              </w:rPr>
              <w:sym w:font="Wingdings 2" w:char="00A3"/>
            </w:r>
            <w:r>
              <w:rPr>
                <w:rFonts w:ascii="Times New Roman" w:hAnsi="Times New Roman"/>
                <w:highlight w:val="none"/>
              </w:rPr>
              <w:t>有，最高限价：</w:t>
            </w:r>
            <w:r>
              <w:rPr>
                <w:rFonts w:hint="eastAsia" w:ascii="Times New Roman" w:hAnsi="Times New Roman"/>
                <w:highlight w:val="none"/>
                <w:u w:val="single"/>
              </w:rPr>
              <w:t xml:space="preserve">            </w:t>
            </w:r>
            <w:r>
              <w:rPr>
                <w:rFonts w:ascii="Times New Roman" w:hAnsi="Times New Roman"/>
                <w:highlight w:val="none"/>
                <w:u w:val="single"/>
              </w:rPr>
              <w:t xml:space="preserve">       </w:t>
            </w:r>
            <w:r>
              <w:rPr>
                <w:rFonts w:hint="eastAsia" w:ascii="Times New Roman" w:hAnsi="Times New Roman"/>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trPr>
        <w:tc>
          <w:tcPr>
            <w:tcW w:w="724" w:type="dxa"/>
            <w:vAlign w:val="center"/>
          </w:tcPr>
          <w:p>
            <w:pPr>
              <w:pStyle w:val="83"/>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highlight w:val="none"/>
              </w:rPr>
            </w:pPr>
            <w:r>
              <w:rPr>
                <w:rFonts w:hint="eastAsia" w:ascii="Times New Roman" w:hAnsi="Times New Roman"/>
                <w:highlight w:val="none"/>
              </w:rPr>
              <w:t>9.6</w:t>
            </w:r>
          </w:p>
        </w:tc>
        <w:tc>
          <w:tcPr>
            <w:tcW w:w="1832" w:type="dxa"/>
            <w:vAlign w:val="center"/>
          </w:tcPr>
          <w:p>
            <w:pPr>
              <w:pStyle w:val="83"/>
              <w:keepNext w:val="0"/>
              <w:keepLines w:val="0"/>
              <w:pageBreakBefore w:val="0"/>
              <w:widowControl/>
              <w:kinsoku/>
              <w:wordWrap/>
              <w:overflowPunct/>
              <w:topLinePunct w:val="0"/>
              <w:autoSpaceDE/>
              <w:autoSpaceDN/>
              <w:bidi w:val="0"/>
              <w:adjustRightInd/>
              <w:snapToGrid/>
              <w:spacing w:line="400" w:lineRule="exact"/>
              <w:textAlignment w:val="auto"/>
              <w:rPr>
                <w:rFonts w:ascii="Times New Roman" w:hAnsi="Times New Roman"/>
                <w:highlight w:val="none"/>
              </w:rPr>
            </w:pPr>
            <w:r>
              <w:rPr>
                <w:rFonts w:ascii="Times New Roman" w:hAnsi="Times New Roman" w:cs="宋体"/>
                <w:szCs w:val="24"/>
                <w:highlight w:val="none"/>
              </w:rPr>
              <w:t>采购代理服务费</w:t>
            </w:r>
          </w:p>
        </w:tc>
        <w:tc>
          <w:tcPr>
            <w:tcW w:w="6463" w:type="dxa"/>
            <w:vAlign w:val="center"/>
          </w:tcPr>
          <w:p>
            <w:pPr>
              <w:pStyle w:val="83"/>
              <w:keepNext w:val="0"/>
              <w:keepLines w:val="0"/>
              <w:pageBreakBefore w:val="0"/>
              <w:widowControl/>
              <w:kinsoku/>
              <w:wordWrap/>
              <w:overflowPunct/>
              <w:topLinePunct w:val="0"/>
              <w:autoSpaceDE/>
              <w:autoSpaceDN/>
              <w:bidi w:val="0"/>
              <w:adjustRightInd/>
              <w:snapToGrid/>
              <w:spacing w:line="400" w:lineRule="exact"/>
              <w:textAlignment w:val="auto"/>
              <w:rPr>
                <w:rFonts w:ascii="Times New Roman" w:hAnsi="Times New Roman"/>
                <w:highlight w:val="none"/>
              </w:rPr>
            </w:pPr>
            <w:r>
              <w:rPr>
                <w:rFonts w:ascii="Times New Roman" w:hAnsi="Times New Roman"/>
                <w:highlight w:val="none"/>
              </w:rPr>
              <w:sym w:font="Wingdings 2" w:char="0052"/>
            </w:r>
            <w:r>
              <w:rPr>
                <w:rFonts w:ascii="Times New Roman" w:hAnsi="Times New Roman"/>
                <w:highlight w:val="none"/>
              </w:rPr>
              <w:t>无</w:t>
            </w:r>
            <w:r>
              <w:rPr>
                <w:rFonts w:ascii="Times New Roman" w:hAnsi="Times New Roman"/>
                <w:highlight w:val="none"/>
              </w:rPr>
              <w:br w:type="textWrapping"/>
            </w:r>
            <w:r>
              <w:rPr>
                <w:rFonts w:ascii="Times New Roman" w:hAnsi="Times New Roman"/>
                <w:highlight w:val="none"/>
              </w:rPr>
              <w:sym w:font="Wingdings 2" w:char="00A3"/>
            </w:r>
            <w:r>
              <w:rPr>
                <w:rFonts w:ascii="Times New Roman" w:hAnsi="Times New Roman"/>
                <w:highlight w:val="none"/>
              </w:rPr>
              <w:t xml:space="preserve">有，服务费收取标准： </w:t>
            </w:r>
            <w:r>
              <w:rPr>
                <w:rFonts w:hint="eastAsia" w:ascii="Times New Roman" w:hAnsi="Times New Roman"/>
                <w:highlight w:val="none"/>
                <w:u w:val="single"/>
              </w:rPr>
              <w:t xml:space="preserve">      </w:t>
            </w:r>
            <w:r>
              <w:rPr>
                <w:rFonts w:ascii="Times New Roman" w:hAnsi="Times New Roman"/>
                <w:highlight w:val="none"/>
                <w:u w:val="single"/>
              </w:rPr>
              <w:t xml:space="preserve"> </w:t>
            </w:r>
            <w:r>
              <w:rPr>
                <w:rFonts w:hint="eastAsia" w:ascii="Times New Roman" w:hAnsi="Times New Roman"/>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trPr>
        <w:tc>
          <w:tcPr>
            <w:tcW w:w="724" w:type="dxa"/>
            <w:vAlign w:val="center"/>
          </w:tcPr>
          <w:p>
            <w:pPr>
              <w:pStyle w:val="83"/>
              <w:spacing w:line="240" w:lineRule="exact"/>
              <w:jc w:val="center"/>
              <w:rPr>
                <w:rFonts w:ascii="Times New Roman" w:hAnsi="Times New Roman"/>
                <w:highlight w:val="none"/>
              </w:rPr>
            </w:pPr>
            <w:r>
              <w:rPr>
                <w:rFonts w:hint="eastAsia" w:ascii="Times New Roman" w:hAnsi="Times New Roman"/>
                <w:highlight w:val="none"/>
              </w:rPr>
              <w:t>9.7</w:t>
            </w:r>
          </w:p>
        </w:tc>
        <w:tc>
          <w:tcPr>
            <w:tcW w:w="1832" w:type="dxa"/>
            <w:vAlign w:val="center"/>
          </w:tcPr>
          <w:p>
            <w:pPr>
              <w:pStyle w:val="83"/>
              <w:keepNext w:val="0"/>
              <w:keepLines w:val="0"/>
              <w:pageBreakBefore w:val="0"/>
              <w:widowControl/>
              <w:kinsoku/>
              <w:wordWrap/>
              <w:overflowPunct/>
              <w:topLinePunct w:val="0"/>
              <w:autoSpaceDE/>
              <w:autoSpaceDN/>
              <w:bidi w:val="0"/>
              <w:adjustRightInd/>
              <w:snapToGrid/>
              <w:spacing w:line="400" w:lineRule="exact"/>
              <w:textAlignment w:val="auto"/>
              <w:rPr>
                <w:rFonts w:ascii="Times New Roman" w:hAnsi="Times New Roman"/>
                <w:highlight w:val="none"/>
              </w:rPr>
            </w:pPr>
            <w:r>
              <w:rPr>
                <w:rFonts w:hint="eastAsia" w:ascii="Times New Roman" w:hAnsi="Times New Roman" w:cs="宋体"/>
                <w:szCs w:val="24"/>
                <w:highlight w:val="none"/>
              </w:rPr>
              <w:t>供应商报价的其他要求</w:t>
            </w:r>
          </w:p>
        </w:tc>
        <w:tc>
          <w:tcPr>
            <w:tcW w:w="6463" w:type="dxa"/>
            <w:vAlign w:val="center"/>
          </w:tcPr>
          <w:p>
            <w:pPr>
              <w:pStyle w:val="83"/>
              <w:keepNext w:val="0"/>
              <w:keepLines w:val="0"/>
              <w:pageBreakBefore w:val="0"/>
              <w:widowControl/>
              <w:kinsoku/>
              <w:wordWrap/>
              <w:overflowPunct/>
              <w:topLinePunct w:val="0"/>
              <w:autoSpaceDE/>
              <w:autoSpaceDN/>
              <w:bidi w:val="0"/>
              <w:adjustRightInd/>
              <w:snapToGrid/>
              <w:spacing w:line="400" w:lineRule="exact"/>
              <w:textAlignment w:val="auto"/>
              <w:rPr>
                <w:rFonts w:ascii="Times New Roman" w:hAnsi="Times New Roman"/>
                <w:highlight w:val="none"/>
              </w:rPr>
            </w:pPr>
            <w:r>
              <w:rPr>
                <w:rFonts w:hint="eastAsia" w:ascii="Times New Roman" w:hAnsi="Times New Roman"/>
                <w:highlight w:val="none"/>
              </w:rPr>
              <w:t>采购人指定的增值税税种：</w:t>
            </w:r>
          </w:p>
          <w:p>
            <w:pPr>
              <w:pStyle w:val="83"/>
              <w:keepNext w:val="0"/>
              <w:keepLines w:val="0"/>
              <w:pageBreakBefore w:val="0"/>
              <w:widowControl/>
              <w:kinsoku/>
              <w:wordWrap/>
              <w:overflowPunct/>
              <w:topLinePunct w:val="0"/>
              <w:autoSpaceDE/>
              <w:autoSpaceDN/>
              <w:bidi w:val="0"/>
              <w:adjustRightInd/>
              <w:snapToGrid/>
              <w:spacing w:line="400" w:lineRule="exact"/>
              <w:textAlignment w:val="auto"/>
              <w:rPr>
                <w:rFonts w:ascii="Times New Roman" w:hAnsi="Times New Roman"/>
                <w:highlight w:val="none"/>
              </w:rPr>
            </w:pPr>
            <w:r>
              <w:rPr>
                <w:rFonts w:hint="eastAsia" w:ascii="Times New Roman" w:hAnsi="Times New Roman"/>
                <w:highlight w:val="none"/>
              </w:rPr>
              <w:sym w:font="Wingdings 2" w:char="0052"/>
            </w:r>
            <w:r>
              <w:rPr>
                <w:rFonts w:hint="eastAsia" w:ascii="Times New Roman" w:hAnsi="Times New Roman"/>
                <w:highlight w:val="none"/>
              </w:rPr>
              <w:t>提供增值税专用发票；</w:t>
            </w:r>
          </w:p>
          <w:p>
            <w:pPr>
              <w:pStyle w:val="83"/>
              <w:keepNext w:val="0"/>
              <w:keepLines w:val="0"/>
              <w:pageBreakBefore w:val="0"/>
              <w:widowControl/>
              <w:kinsoku/>
              <w:wordWrap/>
              <w:overflowPunct/>
              <w:topLinePunct w:val="0"/>
              <w:autoSpaceDE/>
              <w:autoSpaceDN/>
              <w:bidi w:val="0"/>
              <w:adjustRightInd/>
              <w:snapToGrid/>
              <w:spacing w:line="400" w:lineRule="exact"/>
              <w:textAlignment w:val="auto"/>
              <w:rPr>
                <w:rFonts w:ascii="Times New Roman" w:hAnsi="Times New Roman"/>
                <w:highlight w:val="none"/>
              </w:rPr>
            </w:pPr>
            <w:r>
              <w:rPr>
                <w:rFonts w:hint="eastAsia" w:ascii="Times New Roman" w:hAnsi="Times New Roman"/>
                <w:highlight w:val="none"/>
              </w:rPr>
              <w:t>□提供增值税普通发票；</w:t>
            </w:r>
          </w:p>
          <w:p>
            <w:pPr>
              <w:pStyle w:val="83"/>
              <w:keepNext w:val="0"/>
              <w:keepLines w:val="0"/>
              <w:pageBreakBefore w:val="0"/>
              <w:widowControl/>
              <w:kinsoku/>
              <w:wordWrap/>
              <w:overflowPunct/>
              <w:topLinePunct w:val="0"/>
              <w:autoSpaceDE/>
              <w:autoSpaceDN/>
              <w:bidi w:val="0"/>
              <w:adjustRightInd/>
              <w:snapToGrid/>
              <w:spacing w:line="400" w:lineRule="exact"/>
              <w:textAlignment w:val="auto"/>
              <w:rPr>
                <w:rFonts w:ascii="Times New Roman" w:hAnsi="Times New Roman"/>
                <w:highlight w:val="none"/>
              </w:rPr>
            </w:pPr>
            <w:r>
              <w:rPr>
                <w:rFonts w:hint="eastAsia" w:ascii="Times New Roman" w:hAnsi="Times New Roman"/>
                <w:highlight w:val="none"/>
              </w:rPr>
              <w:t>□不限制。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trPr>
        <w:tc>
          <w:tcPr>
            <w:tcW w:w="724" w:type="dxa"/>
            <w:vAlign w:val="center"/>
          </w:tcPr>
          <w:p>
            <w:pPr>
              <w:pStyle w:val="83"/>
              <w:spacing w:line="240" w:lineRule="exact"/>
              <w:jc w:val="center"/>
              <w:rPr>
                <w:rFonts w:ascii="Times New Roman" w:hAnsi="Times New Roman"/>
                <w:highlight w:val="none"/>
              </w:rPr>
            </w:pPr>
            <w:r>
              <w:rPr>
                <w:rFonts w:hint="eastAsia" w:ascii="Times New Roman" w:hAnsi="Times New Roman"/>
                <w:highlight w:val="none"/>
              </w:rPr>
              <w:t>10</w:t>
            </w:r>
          </w:p>
        </w:tc>
        <w:tc>
          <w:tcPr>
            <w:tcW w:w="1832" w:type="dxa"/>
            <w:vAlign w:val="center"/>
          </w:tcPr>
          <w:p>
            <w:pPr>
              <w:pStyle w:val="83"/>
              <w:keepNext w:val="0"/>
              <w:keepLines w:val="0"/>
              <w:pageBreakBefore w:val="0"/>
              <w:widowControl/>
              <w:kinsoku/>
              <w:wordWrap/>
              <w:overflowPunct/>
              <w:topLinePunct w:val="0"/>
              <w:autoSpaceDE/>
              <w:autoSpaceDN/>
              <w:bidi w:val="0"/>
              <w:adjustRightInd/>
              <w:snapToGrid/>
              <w:spacing w:line="400" w:lineRule="exact"/>
              <w:textAlignment w:val="auto"/>
              <w:rPr>
                <w:rFonts w:ascii="Times New Roman" w:hAnsi="Times New Roman"/>
                <w:highlight w:val="none"/>
              </w:rPr>
            </w:pPr>
            <w:r>
              <w:rPr>
                <w:rFonts w:hint="eastAsia" w:ascii="Times New Roman" w:hAnsi="Times New Roman"/>
                <w:highlight w:val="none"/>
              </w:rPr>
              <w:t>报价货币</w:t>
            </w:r>
          </w:p>
        </w:tc>
        <w:tc>
          <w:tcPr>
            <w:tcW w:w="6463" w:type="dxa"/>
            <w:vAlign w:val="center"/>
          </w:tcPr>
          <w:p>
            <w:pPr>
              <w:pStyle w:val="83"/>
              <w:keepNext w:val="0"/>
              <w:keepLines w:val="0"/>
              <w:pageBreakBefore w:val="0"/>
              <w:widowControl/>
              <w:kinsoku/>
              <w:wordWrap/>
              <w:overflowPunct/>
              <w:topLinePunct w:val="0"/>
              <w:autoSpaceDE/>
              <w:autoSpaceDN/>
              <w:bidi w:val="0"/>
              <w:adjustRightInd/>
              <w:snapToGrid/>
              <w:spacing w:line="400" w:lineRule="exact"/>
              <w:textAlignment w:val="auto"/>
              <w:rPr>
                <w:rFonts w:ascii="Times New Roman" w:hAnsi="Times New Roman"/>
                <w:highlight w:val="none"/>
              </w:rPr>
            </w:pPr>
            <w:r>
              <w:rPr>
                <w:rFonts w:hint="eastAsia" w:ascii="Times New Roman" w:hAnsi="Times New Roman"/>
                <w:highlight w:val="none"/>
              </w:rPr>
              <w:sym w:font="Wingdings 2" w:char="0052"/>
            </w:r>
            <w:r>
              <w:rPr>
                <w:rFonts w:hint="eastAsia" w:ascii="Times New Roman" w:hAnsi="Times New Roman"/>
                <w:highlight w:val="none"/>
              </w:rPr>
              <w:t>人民币</w:t>
            </w:r>
          </w:p>
          <w:p>
            <w:pPr>
              <w:pStyle w:val="83"/>
              <w:keepNext w:val="0"/>
              <w:keepLines w:val="0"/>
              <w:pageBreakBefore w:val="0"/>
              <w:widowControl/>
              <w:kinsoku/>
              <w:wordWrap/>
              <w:overflowPunct/>
              <w:topLinePunct w:val="0"/>
              <w:autoSpaceDE/>
              <w:autoSpaceDN/>
              <w:bidi w:val="0"/>
              <w:adjustRightInd/>
              <w:snapToGrid/>
              <w:spacing w:line="400" w:lineRule="exact"/>
              <w:textAlignment w:val="auto"/>
              <w:rPr>
                <w:rFonts w:ascii="Times New Roman" w:hAnsi="Times New Roman"/>
                <w:highlight w:val="none"/>
              </w:rPr>
            </w:pPr>
            <w:r>
              <w:rPr>
                <w:rFonts w:hint="eastAsia" w:ascii="Times New Roman" w:hAnsi="Times New Roman"/>
                <w:highlight w:val="none"/>
              </w:rPr>
              <w:t>□其他：</w:t>
            </w:r>
            <w:r>
              <w:rPr>
                <w:rFonts w:hint="eastAsia" w:ascii="Times New Roman" w:hAnsi="Times New Roman" w:cs="宋体"/>
                <w:color w:val="000000"/>
                <w:highlight w:val="none"/>
                <w:u w:val="single"/>
              </w:rPr>
              <w:t xml:space="preserve">       </w:t>
            </w:r>
            <w:r>
              <w:rPr>
                <w:rFonts w:ascii="Times New Roman" w:hAnsi="Times New Roman" w:cs="宋体"/>
                <w:color w:val="000000"/>
                <w:highlight w:val="none"/>
                <w:u w:val="single"/>
              </w:rPr>
              <w:t xml:space="preserve">                 </w:t>
            </w:r>
            <w:r>
              <w:rPr>
                <w:rFonts w:hint="eastAsia" w:ascii="Times New Roman" w:hAnsi="Times New Roman" w:cs="宋体"/>
                <w:color w:val="000000"/>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trPr>
        <w:tc>
          <w:tcPr>
            <w:tcW w:w="724" w:type="dxa"/>
            <w:vAlign w:val="center"/>
          </w:tcPr>
          <w:p>
            <w:pPr>
              <w:pStyle w:val="83"/>
              <w:spacing w:line="240" w:lineRule="exact"/>
              <w:jc w:val="center"/>
              <w:rPr>
                <w:rFonts w:ascii="Times New Roman" w:hAnsi="Times New Roman"/>
                <w:highlight w:val="none"/>
              </w:rPr>
            </w:pPr>
            <w:r>
              <w:rPr>
                <w:rFonts w:hint="eastAsia" w:ascii="Times New Roman" w:hAnsi="Times New Roman"/>
                <w:highlight w:val="none"/>
              </w:rPr>
              <w:t>11.1</w:t>
            </w:r>
          </w:p>
        </w:tc>
        <w:tc>
          <w:tcPr>
            <w:tcW w:w="1832" w:type="dxa"/>
            <w:vAlign w:val="center"/>
          </w:tcPr>
          <w:p>
            <w:pPr>
              <w:pStyle w:val="83"/>
              <w:keepNext w:val="0"/>
              <w:keepLines w:val="0"/>
              <w:pageBreakBefore w:val="0"/>
              <w:widowControl/>
              <w:kinsoku/>
              <w:wordWrap/>
              <w:overflowPunct/>
              <w:topLinePunct w:val="0"/>
              <w:autoSpaceDE/>
              <w:autoSpaceDN/>
              <w:bidi w:val="0"/>
              <w:adjustRightInd/>
              <w:snapToGrid/>
              <w:spacing w:line="400" w:lineRule="exact"/>
              <w:textAlignment w:val="auto"/>
              <w:rPr>
                <w:rFonts w:ascii="Times New Roman" w:hAnsi="Times New Roman" w:cs="Arial"/>
                <w:highlight w:val="none"/>
              </w:rPr>
            </w:pPr>
            <w:r>
              <w:rPr>
                <w:rFonts w:hint="eastAsia" w:ascii="Times New Roman" w:hAnsi="Times New Roman" w:cs="Arial"/>
                <w:highlight w:val="none"/>
              </w:rPr>
              <w:t>报价保证金</w:t>
            </w:r>
          </w:p>
        </w:tc>
        <w:tc>
          <w:tcPr>
            <w:tcW w:w="6463" w:type="dxa"/>
            <w:vAlign w:val="center"/>
          </w:tcPr>
          <w:p>
            <w:pPr>
              <w:pStyle w:val="83"/>
              <w:keepNext w:val="0"/>
              <w:keepLines w:val="0"/>
              <w:pageBreakBefore w:val="0"/>
              <w:widowControl/>
              <w:kinsoku/>
              <w:wordWrap/>
              <w:overflowPunct/>
              <w:topLinePunct w:val="0"/>
              <w:autoSpaceDE/>
              <w:autoSpaceDN/>
              <w:bidi w:val="0"/>
              <w:adjustRightInd/>
              <w:snapToGrid/>
              <w:spacing w:line="400" w:lineRule="exact"/>
              <w:textAlignment w:val="auto"/>
              <w:rPr>
                <w:rFonts w:ascii="Times New Roman" w:hAnsi="Times New Roman"/>
                <w:highlight w:val="none"/>
              </w:rPr>
            </w:pPr>
            <w:r>
              <w:rPr>
                <w:rFonts w:hint="eastAsia" w:ascii="Times New Roman" w:hAnsi="Times New Roman"/>
                <w:highlight w:val="none"/>
              </w:rPr>
              <w:sym w:font="Wingdings 2" w:char="0052"/>
            </w:r>
            <w:r>
              <w:rPr>
                <w:rFonts w:hint="eastAsia" w:ascii="Times New Roman" w:hAnsi="Times New Roman"/>
                <w:highlight w:val="none"/>
              </w:rPr>
              <w:t>无</w:t>
            </w:r>
          </w:p>
          <w:p>
            <w:pPr>
              <w:pStyle w:val="83"/>
              <w:keepNext w:val="0"/>
              <w:keepLines w:val="0"/>
              <w:pageBreakBefore w:val="0"/>
              <w:widowControl/>
              <w:kinsoku/>
              <w:wordWrap/>
              <w:overflowPunct/>
              <w:topLinePunct w:val="0"/>
              <w:autoSpaceDE/>
              <w:autoSpaceDN/>
              <w:bidi w:val="0"/>
              <w:adjustRightInd/>
              <w:snapToGrid/>
              <w:spacing w:line="400" w:lineRule="exact"/>
              <w:textAlignment w:val="auto"/>
              <w:rPr>
                <w:rFonts w:ascii="Times New Roman" w:hAnsi="Times New Roman"/>
                <w:highlight w:val="none"/>
              </w:rPr>
            </w:pPr>
            <w:r>
              <w:rPr>
                <w:rFonts w:hint="eastAsia" w:ascii="Times New Roman" w:hAnsi="Times New Roman"/>
                <w:highlight w:val="none"/>
              </w:rPr>
              <w:t>□有</w:t>
            </w:r>
            <w:r>
              <w:rPr>
                <w:rFonts w:ascii="Times New Roman" w:hAnsi="Times New Roman" w:cs="宋体"/>
                <w:color w:val="000000"/>
                <w:highlight w:val="none"/>
              </w:rPr>
              <w:t>，</w:t>
            </w:r>
            <w:r>
              <w:rPr>
                <w:rFonts w:hint="eastAsia" w:ascii="Times New Roman" w:hAnsi="Times New Roman" w:cs="宋体"/>
                <w:color w:val="000000"/>
                <w:highlight w:val="none"/>
              </w:rPr>
              <w:t>按照以下</w:t>
            </w:r>
            <w:r>
              <w:rPr>
                <w:rFonts w:ascii="Times New Roman" w:hAnsi="Times New Roman" w:cs="宋体"/>
                <w:color w:val="000000"/>
                <w:highlight w:val="none"/>
              </w:rPr>
              <w:t>方式：</w:t>
            </w:r>
            <w:r>
              <w:rPr>
                <w:rFonts w:hint="eastAsia" w:ascii="Times New Roman" w:hAnsi="Times New Roman" w:cs="宋体"/>
                <w:color w:val="000000"/>
                <w:highlight w:val="none"/>
                <w:u w:val="single"/>
              </w:rPr>
              <w:t xml:space="preserve">      </w:t>
            </w:r>
            <w:r>
              <w:rPr>
                <w:rFonts w:ascii="Times New Roman" w:hAnsi="Times New Roman" w:cs="宋体"/>
                <w:color w:val="000000"/>
                <w:highlight w:val="none"/>
                <w:u w:val="single"/>
              </w:rPr>
              <w:t xml:space="preserve">       </w:t>
            </w:r>
            <w:r>
              <w:rPr>
                <w:rFonts w:hint="eastAsia" w:ascii="Times New Roman" w:hAnsi="Times New Roman" w:cs="宋体"/>
                <w:color w:val="000000"/>
                <w:highlight w:val="none"/>
                <w:u w:val="single"/>
              </w:rPr>
              <w:t xml:space="preserve">    </w:t>
            </w:r>
          </w:p>
          <w:p>
            <w:pPr>
              <w:pStyle w:val="83"/>
              <w:keepNext w:val="0"/>
              <w:keepLines w:val="0"/>
              <w:pageBreakBefore w:val="0"/>
              <w:widowControl/>
              <w:kinsoku/>
              <w:wordWrap/>
              <w:overflowPunct/>
              <w:topLinePunct w:val="0"/>
              <w:autoSpaceDE/>
              <w:autoSpaceDN/>
              <w:bidi w:val="0"/>
              <w:adjustRightInd/>
              <w:snapToGrid/>
              <w:spacing w:line="400" w:lineRule="exact"/>
              <w:textAlignment w:val="auto"/>
              <w:rPr>
                <w:rFonts w:ascii="Times New Roman" w:hAnsi="Times New Roman" w:cs="宋体"/>
                <w:color w:val="000000"/>
                <w:highlight w:val="none"/>
                <w:u w:val="single"/>
              </w:rPr>
            </w:pPr>
            <w:r>
              <w:rPr>
                <w:rFonts w:hint="eastAsia" w:ascii="Times New Roman" w:hAnsi="Times New Roman" w:cs="宋体"/>
                <w:color w:val="000000"/>
                <w:highlight w:val="none"/>
              </w:rPr>
              <w:t>保证金的金额：</w:t>
            </w:r>
            <w:r>
              <w:rPr>
                <w:rFonts w:hint="eastAsia" w:ascii="Times New Roman" w:hAnsi="Times New Roman" w:cs="宋体"/>
                <w:color w:val="000000"/>
                <w:highlight w:val="none"/>
                <w:u w:val="single"/>
              </w:rPr>
              <w:t xml:space="preserve">       </w:t>
            </w:r>
            <w:r>
              <w:rPr>
                <w:rFonts w:ascii="Times New Roman" w:hAnsi="Times New Roman" w:cs="宋体"/>
                <w:color w:val="000000"/>
                <w:highlight w:val="none"/>
                <w:u w:val="single"/>
              </w:rPr>
              <w:t xml:space="preserve">       </w:t>
            </w:r>
            <w:r>
              <w:rPr>
                <w:rFonts w:hint="eastAsia" w:ascii="Times New Roman" w:hAnsi="Times New Roman" w:cs="宋体"/>
                <w:color w:val="000000"/>
                <w:highlight w:val="none"/>
                <w:u w:val="single"/>
              </w:rPr>
              <w:t xml:space="preserve">     </w:t>
            </w:r>
          </w:p>
          <w:p>
            <w:pPr>
              <w:pStyle w:val="83"/>
              <w:keepNext w:val="0"/>
              <w:keepLines w:val="0"/>
              <w:pageBreakBefore w:val="0"/>
              <w:widowControl/>
              <w:kinsoku/>
              <w:wordWrap/>
              <w:overflowPunct/>
              <w:topLinePunct w:val="0"/>
              <w:autoSpaceDE/>
              <w:autoSpaceDN/>
              <w:bidi w:val="0"/>
              <w:adjustRightInd/>
              <w:snapToGrid/>
              <w:spacing w:line="400" w:lineRule="exact"/>
              <w:textAlignment w:val="auto"/>
              <w:rPr>
                <w:rFonts w:ascii="Times New Roman" w:hAnsi="Times New Roman" w:cs="宋体"/>
                <w:color w:val="000000"/>
                <w:highlight w:val="none"/>
                <w:u w:val="single"/>
              </w:rPr>
            </w:pPr>
            <w:r>
              <w:rPr>
                <w:rFonts w:hint="eastAsia" w:ascii="Times New Roman" w:hAnsi="Times New Roman" w:cs="宋体"/>
                <w:color w:val="000000"/>
                <w:highlight w:val="none"/>
              </w:rPr>
              <w:t>保证金的形式：</w:t>
            </w:r>
            <w:r>
              <w:rPr>
                <w:rFonts w:hint="eastAsia" w:ascii="Times New Roman" w:hAnsi="Times New Roman" w:cs="宋体"/>
                <w:color w:val="000000"/>
                <w:highlight w:val="none"/>
                <w:u w:val="single"/>
              </w:rPr>
              <w:t xml:space="preserve">       </w:t>
            </w:r>
            <w:r>
              <w:rPr>
                <w:rFonts w:ascii="Times New Roman" w:hAnsi="Times New Roman" w:cs="宋体"/>
                <w:color w:val="000000"/>
                <w:highlight w:val="none"/>
                <w:u w:val="single"/>
              </w:rPr>
              <w:t xml:space="preserve">       </w:t>
            </w:r>
            <w:r>
              <w:rPr>
                <w:rFonts w:hint="eastAsia" w:ascii="Times New Roman" w:hAnsi="Times New Roman" w:cs="宋体"/>
                <w:color w:val="000000"/>
                <w:highlight w:val="none"/>
                <w:u w:val="single"/>
              </w:rPr>
              <w:t xml:space="preserve">     </w:t>
            </w:r>
          </w:p>
          <w:p>
            <w:pPr>
              <w:pStyle w:val="83"/>
              <w:keepNext w:val="0"/>
              <w:keepLines w:val="0"/>
              <w:pageBreakBefore w:val="0"/>
              <w:widowControl/>
              <w:kinsoku/>
              <w:wordWrap/>
              <w:overflowPunct/>
              <w:topLinePunct w:val="0"/>
              <w:autoSpaceDE/>
              <w:autoSpaceDN/>
              <w:bidi w:val="0"/>
              <w:adjustRightInd/>
              <w:snapToGrid/>
              <w:spacing w:line="400" w:lineRule="exact"/>
              <w:textAlignment w:val="auto"/>
              <w:rPr>
                <w:rFonts w:ascii="Times New Roman" w:hAnsi="Times New Roman" w:cs="宋体"/>
                <w:color w:val="000000"/>
                <w:highlight w:val="none"/>
              </w:rPr>
            </w:pPr>
            <w:r>
              <w:rPr>
                <w:rFonts w:hint="eastAsia" w:ascii="Times New Roman" w:hAnsi="Times New Roman" w:cs="宋体"/>
                <w:color w:val="000000"/>
                <w:highlight w:val="none"/>
              </w:rPr>
              <w:t>保证金的递交截止时间为：</w:t>
            </w:r>
            <w:r>
              <w:rPr>
                <w:rFonts w:hint="eastAsia" w:ascii="Times New Roman" w:hAnsi="Times New Roman" w:cs="宋体"/>
                <w:color w:val="000000"/>
                <w:highlight w:val="none"/>
                <w:u w:val="single"/>
              </w:rPr>
              <w:t>__</w:t>
            </w:r>
            <w:r>
              <w:rPr>
                <w:rFonts w:ascii="Times New Roman" w:hAnsi="Times New Roman" w:cs="宋体"/>
                <w:color w:val="000000"/>
                <w:highlight w:val="none"/>
                <w:u w:val="single"/>
              </w:rPr>
              <w:t xml:space="preserve">  </w:t>
            </w:r>
            <w:r>
              <w:rPr>
                <w:rFonts w:hint="eastAsia" w:ascii="Times New Roman" w:hAnsi="Times New Roman" w:cs="宋体"/>
                <w:color w:val="000000"/>
                <w:highlight w:val="none"/>
                <w:u w:val="single"/>
              </w:rPr>
              <w:t>__</w:t>
            </w:r>
            <w:r>
              <w:rPr>
                <w:rFonts w:hint="eastAsia" w:ascii="Times New Roman" w:hAnsi="Times New Roman" w:cs="宋体"/>
                <w:color w:val="000000"/>
                <w:highlight w:val="none"/>
              </w:rPr>
              <w:t>年</w:t>
            </w:r>
            <w:r>
              <w:rPr>
                <w:rFonts w:hint="eastAsia" w:ascii="Times New Roman" w:hAnsi="Times New Roman" w:cs="宋体"/>
                <w:color w:val="000000"/>
                <w:highlight w:val="none"/>
                <w:u w:val="single"/>
              </w:rPr>
              <w:t xml:space="preserve">    </w:t>
            </w:r>
            <w:r>
              <w:rPr>
                <w:rFonts w:hint="eastAsia" w:ascii="Times New Roman" w:hAnsi="Times New Roman" w:cs="宋体"/>
                <w:color w:val="000000"/>
                <w:highlight w:val="none"/>
              </w:rPr>
              <w:t>月</w:t>
            </w:r>
            <w:r>
              <w:rPr>
                <w:rFonts w:hint="eastAsia" w:ascii="Times New Roman" w:hAnsi="Times New Roman" w:cs="宋体"/>
                <w:color w:val="000000"/>
                <w:highlight w:val="none"/>
                <w:u w:val="single"/>
              </w:rPr>
              <w:t xml:space="preserve">    </w:t>
            </w:r>
            <w:r>
              <w:rPr>
                <w:rFonts w:hint="eastAsia" w:ascii="Times New Roman" w:hAnsi="Times New Roman" w:cs="宋体"/>
                <w:color w:val="000000"/>
                <w:highlight w:val="none"/>
              </w:rPr>
              <w:t>日</w:t>
            </w:r>
            <w:r>
              <w:rPr>
                <w:rFonts w:hint="eastAsia" w:ascii="Times New Roman" w:hAnsi="Times New Roman" w:cs="宋体"/>
                <w:color w:val="000000"/>
                <w:highlight w:val="none"/>
                <w:u w:val="single"/>
              </w:rPr>
              <w:t xml:space="preserve">    </w:t>
            </w:r>
            <w:r>
              <w:rPr>
                <w:rFonts w:hint="eastAsia" w:ascii="Times New Roman" w:hAnsi="Times New Roman" w:cs="宋体"/>
                <w:color w:val="000000"/>
                <w:highlight w:val="none"/>
              </w:rPr>
              <w:t>时之前</w:t>
            </w:r>
          </w:p>
          <w:p>
            <w:pPr>
              <w:pStyle w:val="83"/>
              <w:keepNext w:val="0"/>
              <w:keepLines w:val="0"/>
              <w:pageBreakBefore w:val="0"/>
              <w:widowControl/>
              <w:kinsoku/>
              <w:wordWrap/>
              <w:overflowPunct/>
              <w:topLinePunct w:val="0"/>
              <w:autoSpaceDE/>
              <w:autoSpaceDN/>
              <w:bidi w:val="0"/>
              <w:adjustRightInd/>
              <w:snapToGrid/>
              <w:spacing w:line="400" w:lineRule="exact"/>
              <w:textAlignment w:val="auto"/>
              <w:rPr>
                <w:rFonts w:ascii="Times New Roman" w:hAnsi="Times New Roman" w:cs="宋体"/>
                <w:color w:val="000000"/>
                <w:highlight w:val="none"/>
              </w:rPr>
            </w:pPr>
            <w:r>
              <w:rPr>
                <w:rFonts w:hint="eastAsia" w:ascii="Times New Roman" w:hAnsi="Times New Roman" w:cs="宋体"/>
                <w:color w:val="000000"/>
                <w:highlight w:val="none"/>
              </w:rPr>
              <w:t>开户银行及账号如下：</w:t>
            </w:r>
          </w:p>
          <w:p>
            <w:pPr>
              <w:pStyle w:val="83"/>
              <w:keepNext w:val="0"/>
              <w:keepLines w:val="0"/>
              <w:pageBreakBefore w:val="0"/>
              <w:widowControl/>
              <w:kinsoku/>
              <w:wordWrap/>
              <w:overflowPunct/>
              <w:topLinePunct w:val="0"/>
              <w:autoSpaceDE/>
              <w:autoSpaceDN/>
              <w:bidi w:val="0"/>
              <w:adjustRightInd/>
              <w:snapToGrid/>
              <w:spacing w:line="400" w:lineRule="exact"/>
              <w:textAlignment w:val="auto"/>
              <w:rPr>
                <w:rFonts w:ascii="Times New Roman" w:hAnsi="Times New Roman" w:cs="宋体"/>
                <w:color w:val="000000"/>
                <w:highlight w:val="none"/>
                <w:u w:val="single"/>
              </w:rPr>
            </w:pPr>
            <w:r>
              <w:rPr>
                <w:rFonts w:hint="eastAsia" w:ascii="Times New Roman" w:hAnsi="Times New Roman" w:cs="宋体"/>
                <w:color w:val="000000"/>
                <w:highlight w:val="none"/>
              </w:rPr>
              <w:t>账户名称：</w:t>
            </w:r>
            <w:r>
              <w:rPr>
                <w:rFonts w:hint="eastAsia" w:ascii="Times New Roman" w:hAnsi="Times New Roman" w:cs="宋体"/>
                <w:color w:val="000000"/>
                <w:highlight w:val="none"/>
                <w:u w:val="single"/>
              </w:rPr>
              <w:t xml:space="preserve">                    </w:t>
            </w:r>
          </w:p>
          <w:p>
            <w:pPr>
              <w:pStyle w:val="83"/>
              <w:keepNext w:val="0"/>
              <w:keepLines w:val="0"/>
              <w:pageBreakBefore w:val="0"/>
              <w:widowControl/>
              <w:kinsoku/>
              <w:wordWrap/>
              <w:overflowPunct/>
              <w:topLinePunct w:val="0"/>
              <w:autoSpaceDE/>
              <w:autoSpaceDN/>
              <w:bidi w:val="0"/>
              <w:adjustRightInd/>
              <w:snapToGrid/>
              <w:spacing w:line="400" w:lineRule="exact"/>
              <w:textAlignment w:val="auto"/>
              <w:rPr>
                <w:rFonts w:ascii="Times New Roman" w:hAnsi="Times New Roman" w:cs="宋体"/>
                <w:color w:val="000000"/>
                <w:highlight w:val="none"/>
                <w:u w:val="single"/>
              </w:rPr>
            </w:pPr>
            <w:r>
              <w:rPr>
                <w:rFonts w:hint="eastAsia" w:ascii="Times New Roman" w:hAnsi="Times New Roman" w:cs="宋体"/>
                <w:color w:val="000000"/>
                <w:highlight w:val="none"/>
              </w:rPr>
              <w:t>开户银行：</w:t>
            </w:r>
            <w:r>
              <w:rPr>
                <w:rFonts w:hint="eastAsia" w:ascii="Times New Roman" w:hAnsi="Times New Roman" w:cs="宋体"/>
                <w:color w:val="000000"/>
                <w:highlight w:val="none"/>
                <w:u w:val="single"/>
              </w:rPr>
              <w:t xml:space="preserve">                    </w:t>
            </w:r>
          </w:p>
          <w:p>
            <w:pPr>
              <w:pStyle w:val="83"/>
              <w:keepNext w:val="0"/>
              <w:keepLines w:val="0"/>
              <w:pageBreakBefore w:val="0"/>
              <w:widowControl/>
              <w:kinsoku/>
              <w:wordWrap/>
              <w:overflowPunct/>
              <w:topLinePunct w:val="0"/>
              <w:autoSpaceDE/>
              <w:autoSpaceDN/>
              <w:bidi w:val="0"/>
              <w:adjustRightInd/>
              <w:snapToGrid/>
              <w:spacing w:line="400" w:lineRule="exact"/>
              <w:textAlignment w:val="auto"/>
              <w:rPr>
                <w:rFonts w:ascii="Times New Roman" w:hAnsi="Times New Roman"/>
                <w:highlight w:val="none"/>
              </w:rPr>
            </w:pPr>
            <w:r>
              <w:rPr>
                <w:rFonts w:hint="eastAsia" w:ascii="Times New Roman" w:hAnsi="Times New Roman" w:cs="宋体"/>
                <w:color w:val="000000"/>
                <w:highlight w:val="none"/>
              </w:rPr>
              <w:t>账</w:t>
            </w:r>
            <w:r>
              <w:rPr>
                <w:rFonts w:ascii="Times New Roman" w:hAnsi="Times New Roman" w:cs="宋体"/>
                <w:color w:val="000000"/>
                <w:highlight w:val="none"/>
              </w:rPr>
              <w:t xml:space="preserve">  </w:t>
            </w:r>
            <w:r>
              <w:rPr>
                <w:rFonts w:hint="eastAsia" w:ascii="Times New Roman" w:hAnsi="Times New Roman" w:cs="宋体"/>
                <w:color w:val="000000"/>
                <w:highlight w:val="none"/>
              </w:rPr>
              <w:t xml:space="preserve">  号：</w:t>
            </w:r>
            <w:r>
              <w:rPr>
                <w:rFonts w:hint="eastAsia" w:ascii="Times New Roman" w:hAnsi="Times New Roman" w:cs="宋体"/>
                <w:color w:val="000000"/>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trPr>
        <w:tc>
          <w:tcPr>
            <w:tcW w:w="724" w:type="dxa"/>
            <w:vAlign w:val="center"/>
          </w:tcPr>
          <w:p>
            <w:pPr>
              <w:pStyle w:val="83"/>
              <w:jc w:val="center"/>
              <w:rPr>
                <w:rFonts w:ascii="Times New Roman" w:hAnsi="Times New Roman"/>
                <w:highlight w:val="none"/>
              </w:rPr>
            </w:pPr>
            <w:r>
              <w:rPr>
                <w:rFonts w:hint="eastAsia" w:ascii="Times New Roman" w:hAnsi="Times New Roman"/>
                <w:highlight w:val="none"/>
              </w:rPr>
              <w:t>12.1</w:t>
            </w:r>
          </w:p>
        </w:tc>
        <w:tc>
          <w:tcPr>
            <w:tcW w:w="1832" w:type="dxa"/>
            <w:vAlign w:val="center"/>
          </w:tcPr>
          <w:p>
            <w:pPr>
              <w:pStyle w:val="83"/>
              <w:keepNext w:val="0"/>
              <w:keepLines w:val="0"/>
              <w:pageBreakBefore w:val="0"/>
              <w:widowControl/>
              <w:kinsoku/>
              <w:wordWrap/>
              <w:overflowPunct/>
              <w:topLinePunct w:val="0"/>
              <w:autoSpaceDE/>
              <w:autoSpaceDN/>
              <w:bidi w:val="0"/>
              <w:adjustRightInd/>
              <w:snapToGrid/>
              <w:spacing w:line="400" w:lineRule="exact"/>
              <w:textAlignment w:val="auto"/>
              <w:rPr>
                <w:rFonts w:ascii="Times New Roman" w:hAnsi="Times New Roman"/>
                <w:highlight w:val="none"/>
              </w:rPr>
            </w:pPr>
            <w:r>
              <w:rPr>
                <w:rFonts w:hint="eastAsia" w:ascii="Times New Roman" w:hAnsi="Times New Roman"/>
                <w:highlight w:val="none"/>
              </w:rPr>
              <w:t>报价有效期</w:t>
            </w:r>
          </w:p>
        </w:tc>
        <w:tc>
          <w:tcPr>
            <w:tcW w:w="6463" w:type="dxa"/>
            <w:vAlign w:val="center"/>
          </w:tcPr>
          <w:p>
            <w:pPr>
              <w:pStyle w:val="83"/>
              <w:keepNext w:val="0"/>
              <w:keepLines w:val="0"/>
              <w:pageBreakBefore w:val="0"/>
              <w:widowControl/>
              <w:kinsoku/>
              <w:wordWrap/>
              <w:overflowPunct/>
              <w:topLinePunct w:val="0"/>
              <w:autoSpaceDE/>
              <w:autoSpaceDN/>
              <w:bidi w:val="0"/>
              <w:adjustRightInd/>
              <w:snapToGrid/>
              <w:spacing w:line="400" w:lineRule="exact"/>
              <w:textAlignment w:val="auto"/>
              <w:rPr>
                <w:rFonts w:ascii="Times New Roman" w:hAnsi="Times New Roman"/>
                <w:highlight w:val="none"/>
              </w:rPr>
            </w:pPr>
            <w:r>
              <w:rPr>
                <w:rFonts w:hint="eastAsia" w:ascii="Times New Roman" w:hAnsi="Times New Roman"/>
                <w:highlight w:val="none"/>
              </w:rPr>
              <w:t>自报价文件递交截止时间起</w:t>
            </w:r>
            <w:r>
              <w:rPr>
                <w:rFonts w:hint="eastAsia" w:ascii="Times New Roman" w:hAnsi="Times New Roman"/>
                <w:highlight w:val="none"/>
                <w:lang w:val="en-US" w:eastAsia="zh-CN"/>
              </w:rPr>
              <w:t>10</w:t>
            </w:r>
            <w:r>
              <w:rPr>
                <w:rFonts w:hint="eastAsia" w:ascii="Times New Roman" w:hAnsi="Times New Roman"/>
                <w:highlight w:val="none"/>
              </w:rPr>
              <w:t>个日历日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trPr>
        <w:tc>
          <w:tcPr>
            <w:tcW w:w="724" w:type="dxa"/>
            <w:vAlign w:val="center"/>
          </w:tcPr>
          <w:p>
            <w:pPr>
              <w:pStyle w:val="83"/>
              <w:jc w:val="center"/>
              <w:rPr>
                <w:rFonts w:ascii="Times New Roman" w:hAnsi="Times New Roman"/>
                <w:highlight w:val="none"/>
              </w:rPr>
            </w:pPr>
            <w:r>
              <w:rPr>
                <w:rFonts w:hint="eastAsia" w:ascii="Times New Roman" w:hAnsi="Times New Roman"/>
                <w:highlight w:val="none"/>
              </w:rPr>
              <w:t>16.2</w:t>
            </w:r>
          </w:p>
        </w:tc>
        <w:tc>
          <w:tcPr>
            <w:tcW w:w="1832" w:type="dxa"/>
            <w:vAlign w:val="center"/>
          </w:tcPr>
          <w:p>
            <w:pPr>
              <w:pStyle w:val="83"/>
              <w:keepNext w:val="0"/>
              <w:keepLines w:val="0"/>
              <w:pageBreakBefore w:val="0"/>
              <w:widowControl/>
              <w:kinsoku/>
              <w:wordWrap/>
              <w:overflowPunct/>
              <w:topLinePunct w:val="0"/>
              <w:autoSpaceDE/>
              <w:autoSpaceDN/>
              <w:bidi w:val="0"/>
              <w:adjustRightInd/>
              <w:snapToGrid/>
              <w:spacing w:line="400" w:lineRule="exact"/>
              <w:textAlignment w:val="auto"/>
              <w:rPr>
                <w:rFonts w:ascii="Times New Roman" w:hAnsi="Times New Roman"/>
                <w:highlight w:val="none"/>
              </w:rPr>
            </w:pPr>
            <w:r>
              <w:rPr>
                <w:rFonts w:hint="eastAsia" w:ascii="Times New Roman" w:hAnsi="Times New Roman"/>
                <w:highlight w:val="none"/>
              </w:rPr>
              <w:t>谈判时间及地点</w:t>
            </w:r>
          </w:p>
        </w:tc>
        <w:tc>
          <w:tcPr>
            <w:tcW w:w="6463" w:type="dxa"/>
            <w:vAlign w:val="center"/>
          </w:tcPr>
          <w:p>
            <w:pPr>
              <w:pStyle w:val="83"/>
              <w:keepNext w:val="0"/>
              <w:keepLines w:val="0"/>
              <w:pageBreakBefore w:val="0"/>
              <w:widowControl/>
              <w:kinsoku/>
              <w:wordWrap/>
              <w:overflowPunct/>
              <w:topLinePunct w:val="0"/>
              <w:autoSpaceDE/>
              <w:autoSpaceDN/>
              <w:bidi w:val="0"/>
              <w:adjustRightInd/>
              <w:snapToGrid/>
              <w:spacing w:line="400" w:lineRule="exact"/>
              <w:textAlignment w:val="auto"/>
              <w:rPr>
                <w:rFonts w:ascii="Times New Roman" w:hAnsi="Times New Roman"/>
                <w:highlight w:val="none"/>
              </w:rPr>
            </w:pPr>
            <w:r>
              <w:rPr>
                <w:rFonts w:hint="eastAsia" w:ascii="Times New Roman" w:hAnsi="Times New Roman"/>
                <w:highlight w:val="none"/>
              </w:rPr>
              <w:t>谈判开始时间： 暂定202</w:t>
            </w:r>
            <w:r>
              <w:rPr>
                <w:rFonts w:hint="eastAsia" w:ascii="Times New Roman" w:hAnsi="Times New Roman"/>
                <w:highlight w:val="none"/>
                <w:lang w:val="en-US" w:eastAsia="zh-CN"/>
              </w:rPr>
              <w:t>5</w:t>
            </w:r>
            <w:r>
              <w:rPr>
                <w:rFonts w:hint="eastAsia" w:ascii="Times New Roman" w:hAnsi="Times New Roman"/>
                <w:highlight w:val="none"/>
              </w:rPr>
              <w:t>年</w:t>
            </w:r>
            <w:r>
              <w:rPr>
                <w:rFonts w:hint="eastAsia" w:ascii="Times New Roman" w:hAnsi="Times New Roman"/>
                <w:highlight w:val="none"/>
                <w:lang w:val="en-US" w:eastAsia="zh-CN"/>
              </w:rPr>
              <w:t>12</w:t>
            </w:r>
            <w:r>
              <w:rPr>
                <w:rFonts w:hint="eastAsia" w:ascii="Times New Roman" w:hAnsi="Times New Roman"/>
                <w:highlight w:val="none"/>
              </w:rPr>
              <w:t>月</w:t>
            </w:r>
            <w:r>
              <w:rPr>
                <w:rFonts w:hint="eastAsia" w:ascii="Times New Roman" w:hAnsi="Times New Roman"/>
                <w:highlight w:val="none"/>
                <w:lang w:val="en-US" w:eastAsia="zh-CN"/>
              </w:rPr>
              <w:t>8</w:t>
            </w:r>
            <w:r>
              <w:rPr>
                <w:rFonts w:hint="eastAsia" w:ascii="Times New Roman" w:hAnsi="Times New Roman"/>
                <w:highlight w:val="none"/>
              </w:rPr>
              <w:t>日</w:t>
            </w:r>
            <w:r>
              <w:rPr>
                <w:rFonts w:hint="eastAsia" w:ascii="Times New Roman" w:hAnsi="Times New Roman"/>
                <w:highlight w:val="none"/>
                <w:lang w:val="en-US" w:eastAsia="zh-CN"/>
              </w:rPr>
              <w:t>下</w:t>
            </w:r>
            <w:r>
              <w:rPr>
                <w:rFonts w:hint="eastAsia" w:ascii="Times New Roman" w:hAnsi="Times New Roman"/>
                <w:highlight w:val="none"/>
              </w:rPr>
              <w:t>午</w:t>
            </w:r>
            <w:r>
              <w:rPr>
                <w:rFonts w:hint="eastAsia" w:ascii="Times New Roman" w:hAnsi="Times New Roman"/>
                <w:highlight w:val="none"/>
                <w:lang w:val="en-US" w:eastAsia="zh-CN"/>
              </w:rPr>
              <w:t>13</w:t>
            </w:r>
            <w:bookmarkStart w:id="209" w:name="_GoBack"/>
            <w:bookmarkEnd w:id="209"/>
            <w:r>
              <w:rPr>
                <w:rFonts w:hint="eastAsia" w:ascii="Times New Roman" w:hAnsi="Times New Roman"/>
                <w:highlight w:val="none"/>
              </w:rPr>
              <w:t>点开始（谈判前，需要供应商</w:t>
            </w:r>
            <w:r>
              <w:rPr>
                <w:rFonts w:hint="eastAsia" w:ascii="Times New Roman" w:hAnsi="Times New Roman"/>
                <w:highlight w:val="none"/>
                <w:lang w:val="en-US" w:eastAsia="zh-CN"/>
              </w:rPr>
              <w:t>项目负责人</w:t>
            </w:r>
            <w:r>
              <w:rPr>
                <w:rFonts w:hint="eastAsia" w:ascii="Times New Roman" w:hAnsi="Times New Roman"/>
                <w:highlight w:val="none"/>
              </w:rPr>
              <w:t>先进行述标，述标时长控制在5分钟左右</w:t>
            </w:r>
            <w:r>
              <w:rPr>
                <w:rFonts w:hint="eastAsia" w:ascii="Times New Roman" w:hAnsi="Times New Roman"/>
                <w:highlight w:val="none"/>
                <w:lang w:val="en-US" w:eastAsia="zh-CN"/>
              </w:rPr>
              <w:t>。</w:t>
            </w:r>
            <w:r>
              <w:rPr>
                <w:rFonts w:hint="eastAsia" w:ascii="Times New Roman" w:hAnsi="Times New Roman"/>
                <w:highlight w:val="none"/>
              </w:rPr>
              <w:t>）</w:t>
            </w:r>
          </w:p>
          <w:p>
            <w:pPr>
              <w:pStyle w:val="83"/>
              <w:keepNext w:val="0"/>
              <w:keepLines w:val="0"/>
              <w:pageBreakBefore w:val="0"/>
              <w:widowControl/>
              <w:kinsoku/>
              <w:wordWrap/>
              <w:overflowPunct/>
              <w:topLinePunct w:val="0"/>
              <w:autoSpaceDE/>
              <w:autoSpaceDN/>
              <w:bidi w:val="0"/>
              <w:adjustRightInd/>
              <w:snapToGrid/>
              <w:spacing w:line="400" w:lineRule="exact"/>
              <w:textAlignment w:val="auto"/>
              <w:rPr>
                <w:rFonts w:ascii="Times New Roman" w:hAnsi="Times New Roman" w:cs="宋体"/>
                <w:color w:val="000000"/>
                <w:highlight w:val="none"/>
                <w:u w:val="single"/>
              </w:rPr>
            </w:pPr>
            <w:r>
              <w:rPr>
                <w:rFonts w:hint="eastAsia" w:ascii="Times New Roman" w:hAnsi="Times New Roman"/>
                <w:highlight w:val="none"/>
              </w:rPr>
              <w:t>谈判方式</w:t>
            </w:r>
            <w:r>
              <w:rPr>
                <w:rFonts w:hint="eastAsia" w:ascii="Times New Roman" w:hAnsi="Times New Roman"/>
                <w:highlight w:val="none"/>
                <w:lang w:val="en-US" w:eastAsia="zh-CN"/>
              </w:rPr>
              <w:t>及要求</w:t>
            </w:r>
            <w:r>
              <w:rPr>
                <w:rFonts w:hint="eastAsia" w:ascii="Times New Roman" w:hAnsi="Times New Roman"/>
                <w:highlight w:val="none"/>
              </w:rPr>
              <w:t>：</w:t>
            </w:r>
            <w:r>
              <w:rPr>
                <w:rFonts w:ascii="Times New Roman" w:hAnsi="Times New Roman" w:cs="宋体"/>
                <w:color w:val="000000"/>
                <w:highlight w:val="none"/>
                <w:u w:val="single"/>
              </w:rPr>
              <w:t xml:space="preserve">  </w:t>
            </w:r>
            <w:r>
              <w:rPr>
                <w:rFonts w:hint="eastAsia" w:ascii="Times New Roman" w:hAnsi="Times New Roman" w:cs="宋体"/>
                <w:color w:val="000000"/>
                <w:highlight w:val="none"/>
                <w:u w:val="single"/>
                <w:lang w:val="en-US" w:eastAsia="zh-CN"/>
              </w:rPr>
              <w:t>现场谈判或视频连线（具体另行通知）</w:t>
            </w:r>
            <w:r>
              <w:rPr>
                <w:rFonts w:ascii="Times New Roman" w:hAnsi="Times New Roman" w:cs="宋体"/>
                <w:color w:val="000000"/>
                <w:highlight w:val="none"/>
                <w:u w:val="single"/>
              </w:rPr>
              <w:t xml:space="preserve">                           </w:t>
            </w:r>
          </w:p>
          <w:p>
            <w:pPr>
              <w:pStyle w:val="83"/>
              <w:keepNext w:val="0"/>
              <w:keepLines w:val="0"/>
              <w:pageBreakBefore w:val="0"/>
              <w:widowControl/>
              <w:kinsoku/>
              <w:wordWrap/>
              <w:overflowPunct/>
              <w:topLinePunct w:val="0"/>
              <w:autoSpaceDE/>
              <w:autoSpaceDN/>
              <w:bidi w:val="0"/>
              <w:adjustRightInd/>
              <w:snapToGrid/>
              <w:spacing w:line="400" w:lineRule="exact"/>
              <w:textAlignment w:val="auto"/>
              <w:rPr>
                <w:rFonts w:ascii="Times New Roman" w:hAnsi="Times New Roman"/>
                <w:highlight w:val="none"/>
              </w:rPr>
            </w:pPr>
            <w:r>
              <w:rPr>
                <w:rFonts w:hint="eastAsia" w:ascii="Times New Roman" w:hAnsi="Times New Roman" w:cs="宋体"/>
                <w:color w:val="000000"/>
                <w:highlight w:val="none"/>
                <w:u w:val="single"/>
                <w:lang w:val="en-US" w:eastAsia="zh-CN"/>
              </w:rPr>
              <w:t>谈判地点：北京市东城区安定门外大街乙88号中煤大厦</w:t>
            </w:r>
            <w:r>
              <w:rPr>
                <w:rFonts w:ascii="Times New Roman" w:hAnsi="Times New Roman" w:cs="宋体"/>
                <w:color w:val="000000"/>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trPr>
        <w:tc>
          <w:tcPr>
            <w:tcW w:w="724" w:type="dxa"/>
            <w:vAlign w:val="center"/>
          </w:tcPr>
          <w:p>
            <w:pPr>
              <w:pStyle w:val="83"/>
              <w:jc w:val="center"/>
              <w:rPr>
                <w:rFonts w:ascii="Times New Roman" w:hAnsi="Times New Roman"/>
                <w:highlight w:val="none"/>
              </w:rPr>
            </w:pPr>
            <w:r>
              <w:rPr>
                <w:rFonts w:hint="eastAsia" w:ascii="Times New Roman" w:hAnsi="Times New Roman"/>
                <w:highlight w:val="none"/>
              </w:rPr>
              <w:t>17</w:t>
            </w:r>
          </w:p>
        </w:tc>
        <w:tc>
          <w:tcPr>
            <w:tcW w:w="1832" w:type="dxa"/>
            <w:vAlign w:val="center"/>
          </w:tcPr>
          <w:p>
            <w:pPr>
              <w:pStyle w:val="83"/>
              <w:keepNext w:val="0"/>
              <w:keepLines w:val="0"/>
              <w:pageBreakBefore w:val="0"/>
              <w:widowControl/>
              <w:kinsoku/>
              <w:wordWrap/>
              <w:overflowPunct/>
              <w:topLinePunct w:val="0"/>
              <w:autoSpaceDE/>
              <w:autoSpaceDN/>
              <w:bidi w:val="0"/>
              <w:adjustRightInd/>
              <w:snapToGrid/>
              <w:spacing w:line="400" w:lineRule="exact"/>
              <w:textAlignment w:val="auto"/>
              <w:rPr>
                <w:rFonts w:ascii="Times New Roman" w:hAnsi="Times New Roman"/>
                <w:highlight w:val="none"/>
              </w:rPr>
            </w:pPr>
            <w:r>
              <w:rPr>
                <w:rFonts w:hint="eastAsia" w:ascii="Times New Roman" w:hAnsi="Times New Roman"/>
                <w:highlight w:val="none"/>
              </w:rPr>
              <w:t>成交供应商的推荐原则</w:t>
            </w:r>
          </w:p>
        </w:tc>
        <w:tc>
          <w:tcPr>
            <w:tcW w:w="6463" w:type="dxa"/>
            <w:vAlign w:val="center"/>
          </w:tcPr>
          <w:p>
            <w:pPr>
              <w:pStyle w:val="83"/>
              <w:keepNext w:val="0"/>
              <w:keepLines w:val="0"/>
              <w:pageBreakBefore w:val="0"/>
              <w:widowControl/>
              <w:kinsoku/>
              <w:wordWrap/>
              <w:overflowPunct/>
              <w:topLinePunct w:val="0"/>
              <w:autoSpaceDE/>
              <w:autoSpaceDN/>
              <w:bidi w:val="0"/>
              <w:adjustRightInd/>
              <w:snapToGrid/>
              <w:spacing w:line="400" w:lineRule="exact"/>
              <w:textAlignment w:val="auto"/>
              <w:rPr>
                <w:rFonts w:ascii="Times New Roman" w:hAnsi="Times New Roman" w:cs="宋体"/>
                <w:color w:val="000000"/>
                <w:highlight w:val="none"/>
              </w:rPr>
            </w:pPr>
            <w:r>
              <w:rPr>
                <w:rFonts w:hint="eastAsia" w:ascii="Times New Roman" w:hAnsi="Times New Roman" w:cs="宋体"/>
                <w:color w:val="000000"/>
                <w:highlight w:val="none"/>
              </w:rPr>
              <w:t>☑一个采购项目，只能推荐一个成交供应商。</w:t>
            </w:r>
          </w:p>
          <w:p>
            <w:pPr>
              <w:pStyle w:val="83"/>
              <w:keepNext w:val="0"/>
              <w:keepLines w:val="0"/>
              <w:pageBreakBefore w:val="0"/>
              <w:widowControl/>
              <w:kinsoku/>
              <w:wordWrap/>
              <w:overflowPunct/>
              <w:topLinePunct w:val="0"/>
              <w:autoSpaceDE/>
              <w:autoSpaceDN/>
              <w:bidi w:val="0"/>
              <w:adjustRightInd/>
              <w:snapToGrid/>
              <w:spacing w:line="400" w:lineRule="exact"/>
              <w:textAlignment w:val="auto"/>
              <w:rPr>
                <w:rFonts w:ascii="Times New Roman" w:hAnsi="Times New Roman"/>
                <w:highlight w:val="none"/>
              </w:rPr>
            </w:pPr>
            <w:r>
              <w:rPr>
                <w:rFonts w:hint="eastAsia" w:ascii="Times New Roman" w:hAnsi="Times New Roman" w:cs="宋体"/>
                <w:color w:val="000000"/>
                <w:highlight w:val="none"/>
              </w:rPr>
              <w:t>□一个采购项目，按照物料行，可以推荐多个成交供应商。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trPr>
        <w:tc>
          <w:tcPr>
            <w:tcW w:w="724" w:type="dxa"/>
            <w:vAlign w:val="center"/>
          </w:tcPr>
          <w:p>
            <w:pPr>
              <w:pStyle w:val="83"/>
              <w:jc w:val="center"/>
              <w:rPr>
                <w:rFonts w:ascii="Times New Roman" w:hAnsi="Times New Roman"/>
                <w:highlight w:val="none"/>
              </w:rPr>
            </w:pPr>
            <w:r>
              <w:rPr>
                <w:rFonts w:hint="eastAsia" w:ascii="Times New Roman" w:hAnsi="Times New Roman"/>
                <w:highlight w:val="none"/>
              </w:rPr>
              <w:t>18.3</w:t>
            </w:r>
          </w:p>
        </w:tc>
        <w:tc>
          <w:tcPr>
            <w:tcW w:w="1832" w:type="dxa"/>
            <w:vAlign w:val="center"/>
          </w:tcPr>
          <w:p>
            <w:pPr>
              <w:pStyle w:val="83"/>
              <w:keepNext w:val="0"/>
              <w:keepLines w:val="0"/>
              <w:pageBreakBefore w:val="0"/>
              <w:widowControl/>
              <w:kinsoku/>
              <w:wordWrap/>
              <w:overflowPunct/>
              <w:topLinePunct w:val="0"/>
              <w:autoSpaceDE/>
              <w:autoSpaceDN/>
              <w:bidi w:val="0"/>
              <w:adjustRightInd/>
              <w:snapToGrid/>
              <w:spacing w:line="400" w:lineRule="exact"/>
              <w:textAlignment w:val="auto"/>
              <w:rPr>
                <w:rFonts w:ascii="Times New Roman" w:hAnsi="Times New Roman"/>
                <w:highlight w:val="none"/>
              </w:rPr>
            </w:pPr>
            <w:r>
              <w:rPr>
                <w:rFonts w:hint="eastAsia" w:ascii="Times New Roman" w:hAnsi="Times New Roman"/>
                <w:highlight w:val="none"/>
              </w:rPr>
              <w:t>履约担保</w:t>
            </w:r>
          </w:p>
        </w:tc>
        <w:tc>
          <w:tcPr>
            <w:tcW w:w="6463" w:type="dxa"/>
            <w:vAlign w:val="center"/>
          </w:tcPr>
          <w:p>
            <w:pPr>
              <w:pStyle w:val="83"/>
              <w:keepNext w:val="0"/>
              <w:keepLines w:val="0"/>
              <w:pageBreakBefore w:val="0"/>
              <w:widowControl/>
              <w:kinsoku/>
              <w:wordWrap/>
              <w:overflowPunct/>
              <w:topLinePunct w:val="0"/>
              <w:autoSpaceDE/>
              <w:autoSpaceDN/>
              <w:bidi w:val="0"/>
              <w:adjustRightInd/>
              <w:snapToGrid/>
              <w:spacing w:line="400" w:lineRule="exact"/>
              <w:textAlignment w:val="auto"/>
              <w:rPr>
                <w:rFonts w:ascii="Times New Roman" w:hAnsi="Times New Roman" w:cs="宋体"/>
                <w:color w:val="000000"/>
                <w:highlight w:val="none"/>
              </w:rPr>
            </w:pPr>
            <w:r>
              <w:rPr>
                <w:rFonts w:hint="eastAsia" w:ascii="Times New Roman" w:hAnsi="Times New Roman" w:cs="宋体"/>
                <w:color w:val="000000"/>
                <w:highlight w:val="none"/>
              </w:rPr>
              <w:sym w:font="Wingdings 2" w:char="0052"/>
            </w:r>
            <w:r>
              <w:rPr>
                <w:rFonts w:hint="eastAsia" w:ascii="Times New Roman" w:hAnsi="Times New Roman" w:cs="宋体"/>
                <w:color w:val="000000"/>
                <w:highlight w:val="none"/>
              </w:rPr>
              <w:t>不提供</w:t>
            </w:r>
          </w:p>
          <w:p>
            <w:pPr>
              <w:pStyle w:val="83"/>
              <w:keepNext w:val="0"/>
              <w:keepLines w:val="0"/>
              <w:pageBreakBefore w:val="0"/>
              <w:widowControl/>
              <w:kinsoku/>
              <w:wordWrap/>
              <w:overflowPunct/>
              <w:topLinePunct w:val="0"/>
              <w:autoSpaceDE/>
              <w:autoSpaceDN/>
              <w:bidi w:val="0"/>
              <w:adjustRightInd/>
              <w:snapToGrid/>
              <w:spacing w:line="400" w:lineRule="exact"/>
              <w:textAlignment w:val="auto"/>
              <w:rPr>
                <w:rFonts w:ascii="Times New Roman" w:hAnsi="Times New Roman" w:cs="宋体"/>
                <w:color w:val="000000"/>
                <w:highlight w:val="none"/>
              </w:rPr>
            </w:pPr>
            <w:r>
              <w:rPr>
                <w:rFonts w:hint="eastAsia" w:ascii="Times New Roman" w:hAnsi="Times New Roman" w:cs="宋体"/>
                <w:color w:val="000000"/>
                <w:highlight w:val="none"/>
              </w:rPr>
              <w:t>□提供，履约担保金额：</w:t>
            </w:r>
            <w:r>
              <w:rPr>
                <w:rFonts w:hint="eastAsia" w:ascii="Times New Roman" w:hAnsi="Times New Roman" w:cs="宋体"/>
                <w:color w:val="000000"/>
                <w:highlight w:val="none"/>
                <w:u w:val="single"/>
              </w:rPr>
              <w:t xml:space="preserve">                    </w:t>
            </w:r>
          </w:p>
          <w:p>
            <w:pPr>
              <w:pStyle w:val="83"/>
              <w:keepNext w:val="0"/>
              <w:keepLines w:val="0"/>
              <w:pageBreakBefore w:val="0"/>
              <w:widowControl/>
              <w:kinsoku/>
              <w:wordWrap/>
              <w:overflowPunct/>
              <w:topLinePunct w:val="0"/>
              <w:autoSpaceDE/>
              <w:autoSpaceDN/>
              <w:bidi w:val="0"/>
              <w:adjustRightInd/>
              <w:snapToGrid/>
              <w:spacing w:line="400" w:lineRule="exact"/>
              <w:ind w:firstLine="880" w:firstLineChars="400"/>
              <w:textAlignment w:val="auto"/>
              <w:rPr>
                <w:rFonts w:ascii="Times New Roman" w:hAnsi="Times New Roman"/>
                <w:highlight w:val="none"/>
              </w:rPr>
            </w:pPr>
            <w:r>
              <w:rPr>
                <w:rFonts w:hint="eastAsia" w:ascii="Times New Roman" w:hAnsi="Times New Roman" w:cs="宋体"/>
                <w:color w:val="000000"/>
                <w:highlight w:val="none"/>
              </w:rPr>
              <w:t>履约担保形式：</w:t>
            </w:r>
            <w:r>
              <w:rPr>
                <w:rFonts w:hint="eastAsia" w:ascii="Times New Roman" w:hAnsi="Times New Roman" w:cs="宋体"/>
                <w:color w:val="000000"/>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trPr>
        <w:tc>
          <w:tcPr>
            <w:tcW w:w="724" w:type="dxa"/>
            <w:vAlign w:val="center"/>
          </w:tcPr>
          <w:p>
            <w:pPr>
              <w:pStyle w:val="83"/>
              <w:jc w:val="center"/>
              <w:rPr>
                <w:rFonts w:ascii="Times New Roman" w:hAnsi="Times New Roman"/>
                <w:highlight w:val="none"/>
              </w:rPr>
            </w:pPr>
            <w:r>
              <w:rPr>
                <w:rFonts w:hint="eastAsia" w:ascii="Times New Roman" w:hAnsi="Times New Roman"/>
                <w:highlight w:val="none"/>
              </w:rPr>
              <w:t>20</w:t>
            </w:r>
          </w:p>
        </w:tc>
        <w:tc>
          <w:tcPr>
            <w:tcW w:w="1832" w:type="dxa"/>
            <w:vAlign w:val="center"/>
          </w:tcPr>
          <w:p>
            <w:pPr>
              <w:pStyle w:val="83"/>
              <w:keepNext w:val="0"/>
              <w:keepLines w:val="0"/>
              <w:pageBreakBefore w:val="0"/>
              <w:widowControl/>
              <w:kinsoku/>
              <w:wordWrap/>
              <w:overflowPunct/>
              <w:topLinePunct w:val="0"/>
              <w:autoSpaceDE/>
              <w:autoSpaceDN/>
              <w:bidi w:val="0"/>
              <w:adjustRightInd/>
              <w:snapToGrid/>
              <w:spacing w:line="400" w:lineRule="exact"/>
              <w:textAlignment w:val="auto"/>
              <w:rPr>
                <w:rFonts w:ascii="Times New Roman" w:hAnsi="Times New Roman"/>
                <w:highlight w:val="none"/>
              </w:rPr>
            </w:pPr>
            <w:r>
              <w:rPr>
                <w:rFonts w:hint="eastAsia" w:ascii="Times New Roman" w:hAnsi="Times New Roman"/>
                <w:highlight w:val="none"/>
              </w:rPr>
              <w:t>其他需要补充的内容</w:t>
            </w:r>
          </w:p>
        </w:tc>
        <w:tc>
          <w:tcPr>
            <w:tcW w:w="6463" w:type="dxa"/>
            <w:vAlign w:val="center"/>
          </w:tcPr>
          <w:p>
            <w:pPr>
              <w:pStyle w:val="83"/>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Times New Roman" w:hAnsi="Times New Roman" w:eastAsia="宋体" w:cs="宋体"/>
                <w:color w:val="000000"/>
                <w:highlight w:val="none"/>
                <w:lang w:val="en-US" w:eastAsia="zh-CN"/>
              </w:rPr>
            </w:pPr>
            <w:r>
              <w:rPr>
                <w:rFonts w:hint="eastAsia" w:ascii="Times New Roman" w:hAnsi="Times New Roman" w:eastAsia="宋体" w:cs="宋体"/>
                <w:color w:val="000000"/>
                <w:highlight w:val="none"/>
                <w:lang w:val="en-US" w:eastAsia="zh-CN"/>
              </w:rPr>
              <w:t>1.报价函；</w:t>
            </w:r>
          </w:p>
          <w:p>
            <w:pPr>
              <w:pStyle w:val="83"/>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Times New Roman" w:hAnsi="Times New Roman" w:eastAsia="宋体" w:cs="宋体"/>
                <w:color w:val="000000"/>
                <w:highlight w:val="none"/>
                <w:lang w:val="en-US" w:eastAsia="zh-CN"/>
              </w:rPr>
            </w:pPr>
            <w:r>
              <w:rPr>
                <w:rFonts w:hint="eastAsia" w:ascii="Times New Roman" w:hAnsi="Times New Roman" w:eastAsia="宋体" w:cs="宋体"/>
                <w:color w:val="000000"/>
                <w:highlight w:val="none"/>
                <w:lang w:val="en-US" w:eastAsia="zh-CN"/>
              </w:rPr>
              <w:t>2.报价人执业许可证；</w:t>
            </w:r>
          </w:p>
          <w:p>
            <w:pPr>
              <w:pStyle w:val="83"/>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Times New Roman" w:hAnsi="Times New Roman" w:eastAsia="宋体" w:cs="宋体"/>
                <w:color w:val="000000"/>
                <w:highlight w:val="none"/>
                <w:lang w:val="en-US" w:eastAsia="zh-CN"/>
              </w:rPr>
            </w:pPr>
            <w:r>
              <w:rPr>
                <w:rFonts w:hint="eastAsia" w:ascii="Times New Roman" w:hAnsi="Times New Roman" w:cs="宋体"/>
                <w:color w:val="000000"/>
                <w:highlight w:val="none"/>
                <w:lang w:val="en-US" w:eastAsia="zh-CN"/>
              </w:rPr>
              <w:t>3</w:t>
            </w:r>
            <w:r>
              <w:rPr>
                <w:rFonts w:hint="eastAsia" w:ascii="Times New Roman" w:hAnsi="Times New Roman" w:eastAsia="宋体" w:cs="宋体"/>
                <w:color w:val="000000"/>
                <w:highlight w:val="none"/>
                <w:lang w:val="en-US" w:eastAsia="zh-CN"/>
              </w:rPr>
              <w:t>.报价人所获荣誉证明材料；</w:t>
            </w:r>
          </w:p>
          <w:p>
            <w:pPr>
              <w:pStyle w:val="83"/>
              <w:keepNext w:val="0"/>
              <w:keepLines w:val="0"/>
              <w:pageBreakBefore w:val="0"/>
              <w:widowControl/>
              <w:kinsoku/>
              <w:wordWrap/>
              <w:overflowPunct/>
              <w:topLinePunct w:val="0"/>
              <w:autoSpaceDE/>
              <w:autoSpaceDN/>
              <w:bidi w:val="0"/>
              <w:adjustRightInd/>
              <w:snapToGrid/>
              <w:spacing w:line="400" w:lineRule="exact"/>
              <w:textAlignment w:val="auto"/>
              <w:rPr>
                <w:rFonts w:hint="default" w:ascii="Times New Roman" w:hAnsi="Times New Roman" w:eastAsia="宋体" w:cs="宋体"/>
                <w:color w:val="000000"/>
                <w:highlight w:val="none"/>
                <w:lang w:val="en-US" w:eastAsia="zh-CN"/>
              </w:rPr>
            </w:pPr>
            <w:r>
              <w:rPr>
                <w:rFonts w:hint="eastAsia" w:ascii="Times New Roman" w:hAnsi="Times New Roman" w:cs="宋体"/>
                <w:color w:val="000000"/>
                <w:highlight w:val="none"/>
                <w:lang w:val="en-US" w:eastAsia="zh-CN"/>
              </w:rPr>
              <w:t>4. 报价人应当提交“信用中国”的查询记录，对列入失信被执行人的律所，将拒绝其参与本项目采购活动</w:t>
            </w:r>
          </w:p>
          <w:p>
            <w:pPr>
              <w:pStyle w:val="83"/>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Times New Roman" w:hAnsi="Times New Roman" w:eastAsia="宋体" w:cs="宋体"/>
                <w:color w:val="000000"/>
                <w:highlight w:val="none"/>
                <w:lang w:val="en-US" w:eastAsia="zh-CN"/>
              </w:rPr>
            </w:pPr>
            <w:r>
              <w:rPr>
                <w:rFonts w:hint="eastAsia" w:ascii="Times New Roman" w:hAnsi="Times New Roman" w:cs="宋体"/>
                <w:color w:val="000000"/>
                <w:highlight w:val="none"/>
                <w:lang w:val="en-US" w:eastAsia="zh-CN"/>
              </w:rPr>
              <w:t>5</w:t>
            </w:r>
            <w:r>
              <w:rPr>
                <w:rFonts w:hint="eastAsia" w:ascii="Times New Roman" w:hAnsi="Times New Roman" w:eastAsia="宋体" w:cs="宋体"/>
                <w:color w:val="000000"/>
                <w:highlight w:val="none"/>
                <w:lang w:val="en-US" w:eastAsia="zh-CN"/>
              </w:rPr>
              <w:t>.</w:t>
            </w:r>
            <w:r>
              <w:rPr>
                <w:rFonts w:hint="eastAsia" w:ascii="Times New Roman" w:hAnsi="Times New Roman" w:cs="宋体"/>
                <w:color w:val="000000"/>
                <w:highlight w:val="none"/>
                <w:lang w:val="en-US" w:eastAsia="zh-CN"/>
              </w:rPr>
              <w:t>律所及项目团队</w:t>
            </w:r>
            <w:r>
              <w:rPr>
                <w:rFonts w:hint="eastAsia" w:ascii="Times New Roman" w:hAnsi="Times New Roman" w:eastAsia="宋体" w:cs="宋体"/>
                <w:color w:val="000000"/>
                <w:highlight w:val="none"/>
                <w:lang w:val="en-US" w:eastAsia="zh-CN"/>
              </w:rPr>
              <w:t>业绩案例证明；（见第三章评审办法“详细评审标准表”）</w:t>
            </w:r>
          </w:p>
          <w:p>
            <w:pPr>
              <w:pStyle w:val="83"/>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Times New Roman" w:hAnsi="Times New Roman" w:eastAsia="宋体" w:cs="宋体"/>
                <w:color w:val="000000"/>
                <w:highlight w:val="none"/>
                <w:lang w:val="en-US" w:eastAsia="zh-CN"/>
              </w:rPr>
            </w:pPr>
            <w:r>
              <w:rPr>
                <w:rFonts w:hint="eastAsia" w:ascii="Times New Roman" w:hAnsi="Times New Roman" w:cs="宋体"/>
                <w:color w:val="000000"/>
                <w:highlight w:val="none"/>
                <w:lang w:val="en-US" w:eastAsia="zh-CN"/>
              </w:rPr>
              <w:t>6</w:t>
            </w:r>
            <w:r>
              <w:rPr>
                <w:rFonts w:hint="eastAsia" w:ascii="Times New Roman" w:hAnsi="Times New Roman" w:eastAsia="宋体" w:cs="宋体"/>
                <w:color w:val="000000"/>
                <w:highlight w:val="none"/>
                <w:lang w:val="en-US" w:eastAsia="zh-CN"/>
              </w:rPr>
              <w:t>.工作方案、专项服务建议；（见第三章评审办法“详细评审标准表”）</w:t>
            </w:r>
          </w:p>
          <w:p>
            <w:pPr>
              <w:pStyle w:val="83"/>
              <w:keepNext w:val="0"/>
              <w:keepLines w:val="0"/>
              <w:pageBreakBefore w:val="0"/>
              <w:widowControl/>
              <w:kinsoku/>
              <w:wordWrap/>
              <w:overflowPunct/>
              <w:topLinePunct w:val="0"/>
              <w:autoSpaceDE/>
              <w:autoSpaceDN/>
              <w:bidi w:val="0"/>
              <w:adjustRightInd/>
              <w:snapToGrid/>
              <w:spacing w:line="400" w:lineRule="exact"/>
              <w:textAlignment w:val="auto"/>
              <w:rPr>
                <w:rFonts w:ascii="Times New Roman" w:hAnsi="Times New Roman"/>
                <w:highlight w:val="none"/>
              </w:rPr>
            </w:pPr>
            <w:r>
              <w:rPr>
                <w:rFonts w:hint="eastAsia" w:ascii="Times New Roman" w:hAnsi="Times New Roman" w:cs="宋体"/>
                <w:color w:val="000000"/>
                <w:highlight w:val="none"/>
                <w:lang w:val="en-US" w:eastAsia="zh-CN"/>
              </w:rPr>
              <w:t>7</w:t>
            </w:r>
            <w:r>
              <w:rPr>
                <w:rFonts w:hint="eastAsia" w:ascii="Times New Roman" w:hAnsi="Times New Roman" w:eastAsia="宋体" w:cs="宋体"/>
                <w:color w:val="000000"/>
                <w:highlight w:val="none"/>
                <w:lang w:val="en-US" w:eastAsia="zh-CN"/>
              </w:rPr>
              <w:t>.</w:t>
            </w:r>
            <w:r>
              <w:rPr>
                <w:rFonts w:hint="eastAsia" w:ascii="Times New Roman" w:hAnsi="Times New Roman" w:cs="宋体"/>
                <w:color w:val="000000"/>
                <w:highlight w:val="none"/>
                <w:lang w:val="en-US" w:eastAsia="zh-CN"/>
              </w:rPr>
              <w:t>报价文件格式中要求提供的其他材料及其他</w:t>
            </w:r>
            <w:r>
              <w:rPr>
                <w:rFonts w:hint="eastAsia" w:ascii="Times New Roman" w:hAnsi="Times New Roman" w:eastAsia="宋体" w:cs="宋体"/>
                <w:color w:val="000000"/>
                <w:highlight w:val="none"/>
                <w:lang w:val="en-US" w:eastAsia="zh-CN"/>
              </w:rPr>
              <w:t>报价人认为有提交必要的材料。</w:t>
            </w:r>
          </w:p>
        </w:tc>
      </w:tr>
    </w:tbl>
    <w:p>
      <w:pPr>
        <w:ind w:firstLine="0" w:firstLineChars="0"/>
        <w:rPr>
          <w:highlight w:val="none"/>
        </w:rPr>
      </w:pPr>
      <w:r>
        <w:rPr>
          <w:rFonts w:hint="eastAsia"/>
          <w:kern w:val="0"/>
          <w:highlight w:val="none"/>
        </w:rPr>
        <w:t>备注：供应商须知前附表是对</w:t>
      </w:r>
      <w:r>
        <w:rPr>
          <w:rFonts w:hint="eastAsia"/>
          <w:highlight w:val="none"/>
        </w:rPr>
        <w:t>供应商须知的具体补充和修改，如有矛盾，应以本表为准。</w:t>
      </w:r>
    </w:p>
    <w:p>
      <w:pPr>
        <w:ind w:firstLine="480"/>
        <w:rPr>
          <w:highlight w:val="none"/>
        </w:rPr>
      </w:pPr>
      <w:r>
        <w:rPr>
          <w:highlight w:val="none"/>
        </w:rPr>
        <w:br w:type="page"/>
      </w:r>
    </w:p>
    <w:p>
      <w:pPr>
        <w:pStyle w:val="5"/>
        <w:spacing w:before="240"/>
        <w:rPr>
          <w:rFonts w:ascii="Times New Roman" w:hAnsi="Times New Roman"/>
          <w:highlight w:val="none"/>
        </w:rPr>
      </w:pPr>
      <w:bookmarkStart w:id="86" w:name="_Toc11768"/>
      <w:bookmarkStart w:id="87" w:name="_Toc4143"/>
      <w:bookmarkStart w:id="88" w:name="_Toc5532"/>
      <w:r>
        <w:rPr>
          <w:rFonts w:hint="eastAsia" w:ascii="Times New Roman" w:hAnsi="Times New Roman"/>
          <w:highlight w:val="none"/>
        </w:rPr>
        <w:t>1.</w:t>
      </w:r>
      <w:r>
        <w:rPr>
          <w:rFonts w:ascii="Times New Roman" w:hAnsi="Times New Roman"/>
          <w:highlight w:val="none"/>
        </w:rPr>
        <w:t xml:space="preserve"> </w:t>
      </w:r>
      <w:r>
        <w:rPr>
          <w:rFonts w:hint="eastAsia" w:ascii="Times New Roman" w:hAnsi="Times New Roman"/>
          <w:highlight w:val="none"/>
        </w:rPr>
        <w:t>适用范围</w:t>
      </w:r>
      <w:bookmarkEnd w:id="86"/>
      <w:bookmarkEnd w:id="87"/>
      <w:bookmarkEnd w:id="88"/>
    </w:p>
    <w:p>
      <w:pPr>
        <w:ind w:firstLine="480"/>
        <w:rPr>
          <w:highlight w:val="none"/>
        </w:rPr>
      </w:pPr>
      <w:r>
        <w:rPr>
          <w:rFonts w:hint="eastAsia"/>
          <w:highlight w:val="none"/>
        </w:rPr>
        <w:t>本询价文件仅适用于本项目采购公告中所述项目。</w:t>
      </w:r>
    </w:p>
    <w:p>
      <w:pPr>
        <w:pStyle w:val="5"/>
        <w:spacing w:before="240"/>
        <w:rPr>
          <w:rFonts w:ascii="Times New Roman" w:hAnsi="Times New Roman"/>
          <w:highlight w:val="none"/>
        </w:rPr>
      </w:pPr>
      <w:bookmarkStart w:id="89" w:name="_Toc32755"/>
      <w:bookmarkStart w:id="90" w:name="_Toc25241"/>
      <w:bookmarkStart w:id="91" w:name="_Toc18346"/>
      <w:r>
        <w:rPr>
          <w:rFonts w:hint="eastAsia" w:ascii="Times New Roman" w:hAnsi="Times New Roman"/>
          <w:highlight w:val="none"/>
        </w:rPr>
        <w:t>2.</w:t>
      </w:r>
      <w:r>
        <w:rPr>
          <w:rFonts w:ascii="Times New Roman" w:hAnsi="Times New Roman"/>
          <w:highlight w:val="none"/>
        </w:rPr>
        <w:t xml:space="preserve"> </w:t>
      </w:r>
      <w:r>
        <w:rPr>
          <w:rFonts w:hint="eastAsia" w:ascii="Times New Roman" w:hAnsi="Times New Roman"/>
          <w:highlight w:val="none"/>
        </w:rPr>
        <w:t>定义</w:t>
      </w:r>
      <w:bookmarkEnd w:id="89"/>
      <w:bookmarkEnd w:id="90"/>
      <w:bookmarkEnd w:id="91"/>
    </w:p>
    <w:p>
      <w:pPr>
        <w:ind w:firstLine="480"/>
        <w:rPr>
          <w:highlight w:val="none"/>
        </w:rPr>
      </w:pPr>
      <w:r>
        <w:rPr>
          <w:rFonts w:hint="eastAsia"/>
          <w:highlight w:val="none"/>
        </w:rPr>
        <w:t>2.1</w:t>
      </w:r>
      <w:r>
        <w:rPr>
          <w:highlight w:val="none"/>
        </w:rPr>
        <w:t xml:space="preserve"> </w:t>
      </w:r>
      <w:r>
        <w:rPr>
          <w:rFonts w:hint="eastAsia"/>
          <w:highlight w:val="none"/>
        </w:rPr>
        <w:t>采购人：指依法提出采购项目进行采购的法人或其他组织，采购人及联系方式见前附表。</w:t>
      </w:r>
    </w:p>
    <w:p>
      <w:pPr>
        <w:ind w:firstLine="480"/>
        <w:rPr>
          <w:highlight w:val="none"/>
        </w:rPr>
      </w:pPr>
      <w:r>
        <w:rPr>
          <w:rFonts w:hint="eastAsia"/>
          <w:highlight w:val="none"/>
        </w:rPr>
        <w:t>2.2 供应商：指响应本次采购，参与报价的法人或其他组织。</w:t>
      </w:r>
    </w:p>
    <w:p>
      <w:pPr>
        <w:ind w:firstLine="480"/>
        <w:rPr>
          <w:highlight w:val="none"/>
        </w:rPr>
      </w:pPr>
      <w:r>
        <w:rPr>
          <w:rFonts w:hint="eastAsia"/>
          <w:highlight w:val="none"/>
        </w:rPr>
        <w:t>2.3</w:t>
      </w:r>
      <w:r>
        <w:rPr>
          <w:highlight w:val="none"/>
        </w:rPr>
        <w:t xml:space="preserve"> </w:t>
      </w:r>
      <w:r>
        <w:rPr>
          <w:rFonts w:hint="eastAsia"/>
          <w:highlight w:val="none"/>
        </w:rPr>
        <w:t>成交供应商：指最终被授予合同的供应商。</w:t>
      </w:r>
    </w:p>
    <w:p>
      <w:pPr>
        <w:pStyle w:val="5"/>
        <w:spacing w:before="240"/>
        <w:rPr>
          <w:rFonts w:ascii="Times New Roman" w:hAnsi="Times New Roman"/>
          <w:highlight w:val="none"/>
        </w:rPr>
      </w:pPr>
      <w:bookmarkStart w:id="92" w:name="_Toc32306"/>
      <w:bookmarkStart w:id="93" w:name="_Toc32159"/>
      <w:bookmarkStart w:id="94" w:name="_Toc14170"/>
      <w:r>
        <w:rPr>
          <w:rFonts w:hint="eastAsia" w:ascii="Times New Roman" w:hAnsi="Times New Roman"/>
          <w:highlight w:val="none"/>
        </w:rPr>
        <w:t>3.</w:t>
      </w:r>
      <w:r>
        <w:rPr>
          <w:rFonts w:ascii="Times New Roman" w:hAnsi="Times New Roman"/>
          <w:highlight w:val="none"/>
        </w:rPr>
        <w:t xml:space="preserve"> </w:t>
      </w:r>
      <w:r>
        <w:rPr>
          <w:rFonts w:hint="eastAsia" w:ascii="Times New Roman" w:hAnsi="Times New Roman"/>
          <w:highlight w:val="none"/>
        </w:rPr>
        <w:t>报价费用</w:t>
      </w:r>
      <w:bookmarkEnd w:id="92"/>
      <w:bookmarkEnd w:id="93"/>
      <w:bookmarkEnd w:id="94"/>
    </w:p>
    <w:p>
      <w:pPr>
        <w:ind w:firstLine="480"/>
        <w:rPr>
          <w:highlight w:val="none"/>
        </w:rPr>
      </w:pPr>
      <w:r>
        <w:rPr>
          <w:rFonts w:hint="eastAsia"/>
          <w:highlight w:val="none"/>
        </w:rPr>
        <w:t>供应商应承担与其报价有关的所有费用。不论采购过程和结果如何，供应商应自行承担所有与参加报价有关的费用，采购人在任何情况下均无义务和责任承担这些费用。</w:t>
      </w:r>
    </w:p>
    <w:p>
      <w:pPr>
        <w:pStyle w:val="5"/>
        <w:spacing w:before="240"/>
        <w:rPr>
          <w:rFonts w:ascii="Times New Roman" w:hAnsi="Times New Roman"/>
          <w:highlight w:val="none"/>
        </w:rPr>
      </w:pPr>
      <w:bookmarkStart w:id="95" w:name="_Toc2082"/>
      <w:bookmarkStart w:id="96" w:name="_Toc28212"/>
      <w:bookmarkStart w:id="97" w:name="_Toc3691"/>
      <w:r>
        <w:rPr>
          <w:rFonts w:hint="eastAsia" w:ascii="Times New Roman" w:hAnsi="Times New Roman"/>
          <w:highlight w:val="none"/>
          <w:lang w:val="en-US" w:eastAsia="zh-CN"/>
        </w:rPr>
        <w:t>4</w:t>
      </w:r>
      <w:r>
        <w:rPr>
          <w:rFonts w:ascii="Times New Roman" w:hAnsi="Times New Roman"/>
          <w:highlight w:val="none"/>
        </w:rPr>
        <w:t xml:space="preserve">. </w:t>
      </w:r>
      <w:r>
        <w:rPr>
          <w:rFonts w:hint="eastAsia" w:ascii="Times New Roman" w:hAnsi="Times New Roman"/>
          <w:highlight w:val="none"/>
        </w:rPr>
        <w:t>询价文件的构成</w:t>
      </w:r>
      <w:bookmarkEnd w:id="95"/>
      <w:bookmarkEnd w:id="96"/>
      <w:bookmarkEnd w:id="97"/>
    </w:p>
    <w:p>
      <w:pPr>
        <w:ind w:firstLine="480"/>
        <w:rPr>
          <w:highlight w:val="none"/>
        </w:rPr>
      </w:pPr>
      <w:r>
        <w:rPr>
          <w:rFonts w:hint="eastAsia"/>
          <w:kern w:val="0"/>
          <w:highlight w:val="none"/>
          <w:lang w:val="en-US" w:eastAsia="zh-CN"/>
        </w:rPr>
        <w:t>4</w:t>
      </w:r>
      <w:r>
        <w:rPr>
          <w:rFonts w:hint="eastAsia"/>
          <w:kern w:val="0"/>
          <w:highlight w:val="none"/>
        </w:rPr>
        <w:t xml:space="preserve">.1 </w:t>
      </w:r>
      <w:r>
        <w:rPr>
          <w:rFonts w:hint="eastAsia"/>
          <w:highlight w:val="none"/>
        </w:rPr>
        <w:t>询价文件由下列文件以及在采购过程中发出的修正和补充文件组成：</w:t>
      </w:r>
    </w:p>
    <w:p>
      <w:pPr>
        <w:ind w:firstLine="480"/>
        <w:rPr>
          <w:highlight w:val="none"/>
        </w:rPr>
      </w:pPr>
      <w:r>
        <w:rPr>
          <w:rFonts w:hint="eastAsia"/>
          <w:highlight w:val="none"/>
        </w:rPr>
        <w:t>第一章 采购公告</w:t>
      </w:r>
    </w:p>
    <w:p>
      <w:pPr>
        <w:ind w:firstLine="480"/>
        <w:rPr>
          <w:highlight w:val="none"/>
        </w:rPr>
      </w:pPr>
      <w:r>
        <w:rPr>
          <w:rFonts w:hint="eastAsia"/>
          <w:highlight w:val="none"/>
        </w:rPr>
        <w:t>第二章 供应商须知及前附表</w:t>
      </w:r>
    </w:p>
    <w:p>
      <w:pPr>
        <w:pStyle w:val="10"/>
        <w:ind w:firstLine="480"/>
        <w:rPr>
          <w:highlight w:val="none"/>
        </w:rPr>
      </w:pPr>
      <w:r>
        <w:rPr>
          <w:rFonts w:hint="eastAsia"/>
          <w:highlight w:val="none"/>
        </w:rPr>
        <w:t>第三章 评审办法</w:t>
      </w:r>
    </w:p>
    <w:p>
      <w:pPr>
        <w:ind w:firstLine="480"/>
        <w:rPr>
          <w:highlight w:val="none"/>
        </w:rPr>
      </w:pPr>
      <w:r>
        <w:rPr>
          <w:rFonts w:hint="eastAsia"/>
          <w:highlight w:val="none"/>
        </w:rPr>
        <w:t>第四章 合同条款及格式</w:t>
      </w:r>
    </w:p>
    <w:p>
      <w:pPr>
        <w:ind w:firstLine="480"/>
        <w:rPr>
          <w:highlight w:val="none"/>
        </w:rPr>
      </w:pPr>
      <w:r>
        <w:rPr>
          <w:rFonts w:hint="eastAsia"/>
          <w:highlight w:val="none"/>
        </w:rPr>
        <w:t>第五章 采购需求</w:t>
      </w:r>
    </w:p>
    <w:p>
      <w:pPr>
        <w:ind w:firstLine="480"/>
        <w:rPr>
          <w:highlight w:val="none"/>
        </w:rPr>
      </w:pPr>
      <w:r>
        <w:rPr>
          <w:rFonts w:hint="eastAsia"/>
          <w:highlight w:val="none"/>
        </w:rPr>
        <w:t>第六章 报价文件格式</w:t>
      </w:r>
    </w:p>
    <w:p>
      <w:pPr>
        <w:ind w:firstLine="480"/>
        <w:rPr>
          <w:highlight w:val="none"/>
        </w:rPr>
      </w:pPr>
      <w:r>
        <w:rPr>
          <w:rFonts w:hint="eastAsia"/>
          <w:highlight w:val="none"/>
          <w:lang w:val="en-US" w:eastAsia="zh-CN"/>
        </w:rPr>
        <w:t>4</w:t>
      </w:r>
      <w:r>
        <w:rPr>
          <w:rFonts w:hint="eastAsia"/>
          <w:highlight w:val="none"/>
        </w:rPr>
        <w:t>.2 供应商下载询价文件过程中，如发现下载不成功或下载的文件格式有误等问题请务必于询价文件发售期内联系中煤</w:t>
      </w:r>
      <w:r>
        <w:rPr>
          <w:rFonts w:hint="eastAsia"/>
          <w:highlight w:val="none"/>
          <w:lang w:val="en-US" w:eastAsia="zh-CN"/>
        </w:rPr>
        <w:t>供应链</w:t>
      </w:r>
      <w:r>
        <w:rPr>
          <w:rFonts w:hint="eastAsia"/>
          <w:highlight w:val="none"/>
        </w:rPr>
        <w:t>平台客服热线。如果供应商不按上述要求提出而造成不良后果，由供应商自行承担。</w:t>
      </w:r>
    </w:p>
    <w:p>
      <w:pPr>
        <w:ind w:firstLine="480"/>
        <w:rPr>
          <w:highlight w:val="none"/>
        </w:rPr>
      </w:pPr>
      <w:r>
        <w:rPr>
          <w:rFonts w:hint="eastAsia"/>
          <w:highlight w:val="none"/>
          <w:lang w:val="en-US" w:eastAsia="zh-CN"/>
        </w:rPr>
        <w:t>4</w:t>
      </w:r>
      <w:r>
        <w:rPr>
          <w:rFonts w:hint="eastAsia"/>
          <w:highlight w:val="none"/>
        </w:rPr>
        <w:t>.3 供应商应认真阅读询价文件中所有的事项、格式、条款和要求等。供应商没有按照询价文件要求提交全部资料，或者报价文件没有对询价文件在各方面都做出实质性响应，可能导致其报价被否决。</w:t>
      </w:r>
    </w:p>
    <w:p>
      <w:pPr>
        <w:ind w:firstLine="480"/>
        <w:rPr>
          <w:highlight w:val="none"/>
        </w:rPr>
      </w:pPr>
      <w:r>
        <w:rPr>
          <w:rFonts w:hint="eastAsia"/>
          <w:highlight w:val="none"/>
          <w:lang w:val="en-US" w:eastAsia="zh-CN"/>
        </w:rPr>
        <w:t>4</w:t>
      </w:r>
      <w:r>
        <w:rPr>
          <w:rFonts w:hint="eastAsia"/>
          <w:highlight w:val="none"/>
        </w:rPr>
        <w:t>.4 报价文件一经递交成功即表示供应商确认询价文件的法律效力，并对此询价文件提出的要求做出相应的响应，承担与询价文件要求相适应的民事、经济和法律责任。</w:t>
      </w:r>
    </w:p>
    <w:p>
      <w:pPr>
        <w:ind w:firstLine="480"/>
        <w:rPr>
          <w:highlight w:val="none"/>
        </w:rPr>
      </w:pPr>
      <w:r>
        <w:rPr>
          <w:rFonts w:hint="eastAsia"/>
          <w:highlight w:val="none"/>
          <w:lang w:val="en-US" w:eastAsia="zh-CN"/>
        </w:rPr>
        <w:t>4</w:t>
      </w:r>
      <w:r>
        <w:rPr>
          <w:rFonts w:hint="eastAsia"/>
          <w:highlight w:val="none"/>
        </w:rPr>
        <w:t>.5 由于供应商对询价文件的误解与疏忽或报价误差，而导致采购失败或成交后的任何风险，其责任均由供应商自负。</w:t>
      </w:r>
    </w:p>
    <w:p>
      <w:pPr>
        <w:pStyle w:val="5"/>
        <w:spacing w:before="240"/>
        <w:rPr>
          <w:rFonts w:ascii="Times New Roman" w:hAnsi="Times New Roman"/>
          <w:highlight w:val="none"/>
        </w:rPr>
      </w:pPr>
      <w:bookmarkStart w:id="98" w:name="_Toc15752"/>
      <w:bookmarkStart w:id="99" w:name="_Toc17984"/>
      <w:bookmarkStart w:id="100" w:name="_Toc24241"/>
      <w:r>
        <w:rPr>
          <w:rFonts w:hint="eastAsia" w:ascii="Times New Roman" w:hAnsi="Times New Roman"/>
          <w:highlight w:val="none"/>
          <w:lang w:val="en-US" w:eastAsia="zh-CN"/>
        </w:rPr>
        <w:t>5</w:t>
      </w:r>
      <w:r>
        <w:rPr>
          <w:rFonts w:hint="eastAsia" w:ascii="Times New Roman" w:hAnsi="Times New Roman"/>
          <w:highlight w:val="none"/>
        </w:rPr>
        <w:t>. 询价文件的澄清、修改、补充</w:t>
      </w:r>
      <w:bookmarkEnd w:id="98"/>
      <w:bookmarkEnd w:id="99"/>
      <w:bookmarkEnd w:id="100"/>
    </w:p>
    <w:p>
      <w:pPr>
        <w:ind w:firstLine="480"/>
        <w:rPr>
          <w:highlight w:val="none"/>
        </w:rPr>
      </w:pPr>
      <w:r>
        <w:rPr>
          <w:rFonts w:hint="eastAsia"/>
          <w:highlight w:val="none"/>
          <w:lang w:val="en-US" w:eastAsia="zh-CN"/>
        </w:rPr>
        <w:t>5</w:t>
      </w:r>
      <w:r>
        <w:rPr>
          <w:rFonts w:hint="eastAsia"/>
          <w:highlight w:val="none"/>
        </w:rPr>
        <w:t>.1任何要求对询价文件进行澄清的供应商，均应在提交报价文件截止时间一日前提出。在询比截止期前的任何时候，无论出于何种原因，采购人可主动地对询价文件进行修改、补充。</w:t>
      </w:r>
    </w:p>
    <w:p>
      <w:pPr>
        <w:ind w:firstLine="480"/>
        <w:rPr>
          <w:highlight w:val="none"/>
        </w:rPr>
      </w:pPr>
      <w:r>
        <w:rPr>
          <w:rFonts w:hint="eastAsia"/>
          <w:highlight w:val="none"/>
          <w:lang w:val="en-US" w:eastAsia="zh-CN"/>
        </w:rPr>
        <w:t>5</w:t>
      </w:r>
      <w:r>
        <w:rPr>
          <w:rFonts w:hint="eastAsia"/>
          <w:highlight w:val="none"/>
        </w:rPr>
        <w:t>.2询价文件的澄清和修改将以书面形式通知供应商。询价文件的澄清和修改均作为询价文件的组成部分，对供应商具有约束力。供应商应在收到通知后进行确认。如果供应商不予确认，引起的后果由供应商自行承担。</w:t>
      </w:r>
    </w:p>
    <w:p>
      <w:pPr>
        <w:ind w:firstLine="480"/>
        <w:rPr>
          <w:highlight w:val="none"/>
        </w:rPr>
      </w:pPr>
      <w:r>
        <w:rPr>
          <w:rFonts w:hint="eastAsia"/>
          <w:highlight w:val="none"/>
          <w:lang w:val="en-US" w:eastAsia="zh-CN"/>
        </w:rPr>
        <w:t>5</w:t>
      </w:r>
      <w:r>
        <w:rPr>
          <w:rFonts w:hint="eastAsia"/>
          <w:highlight w:val="none"/>
        </w:rPr>
        <w:t>.3</w:t>
      </w:r>
      <w:r>
        <w:rPr>
          <w:highlight w:val="none"/>
        </w:rPr>
        <w:t xml:space="preserve"> </w:t>
      </w:r>
      <w:r>
        <w:rPr>
          <w:rFonts w:hint="eastAsia"/>
          <w:highlight w:val="none"/>
        </w:rPr>
        <w:t>询价文件的澄清或修改内容可能影响报价文件编制的，距离提交报价文件截止时间不足二日的，应当顺延截止时间至二日。</w:t>
      </w:r>
    </w:p>
    <w:p>
      <w:pPr>
        <w:pStyle w:val="5"/>
        <w:spacing w:before="240"/>
        <w:rPr>
          <w:rFonts w:ascii="Times New Roman" w:hAnsi="Times New Roman"/>
          <w:highlight w:val="none"/>
        </w:rPr>
      </w:pPr>
      <w:bookmarkStart w:id="101" w:name="_Toc14001"/>
      <w:bookmarkStart w:id="102" w:name="_Toc27302"/>
      <w:bookmarkStart w:id="103" w:name="_Toc6514"/>
      <w:r>
        <w:rPr>
          <w:rFonts w:hint="eastAsia" w:ascii="Times New Roman" w:hAnsi="Times New Roman"/>
          <w:highlight w:val="none"/>
          <w:lang w:val="en-US" w:eastAsia="zh-CN"/>
        </w:rPr>
        <w:t>6</w:t>
      </w:r>
      <w:r>
        <w:rPr>
          <w:rFonts w:hint="eastAsia" w:ascii="Times New Roman" w:hAnsi="Times New Roman"/>
          <w:highlight w:val="none"/>
        </w:rPr>
        <w:t>.</w:t>
      </w:r>
      <w:r>
        <w:rPr>
          <w:rFonts w:ascii="Times New Roman" w:hAnsi="Times New Roman"/>
          <w:highlight w:val="none"/>
        </w:rPr>
        <w:t xml:space="preserve"> </w:t>
      </w:r>
      <w:r>
        <w:rPr>
          <w:rFonts w:hint="eastAsia" w:ascii="Times New Roman" w:hAnsi="Times New Roman"/>
          <w:highlight w:val="none"/>
        </w:rPr>
        <w:t>编制基本要求</w:t>
      </w:r>
      <w:bookmarkEnd w:id="101"/>
      <w:bookmarkEnd w:id="102"/>
      <w:bookmarkEnd w:id="103"/>
    </w:p>
    <w:p>
      <w:pPr>
        <w:ind w:firstLine="480"/>
        <w:rPr>
          <w:highlight w:val="none"/>
        </w:rPr>
      </w:pPr>
      <w:r>
        <w:rPr>
          <w:rFonts w:hint="eastAsia"/>
          <w:highlight w:val="none"/>
          <w:lang w:val="en-US" w:eastAsia="zh-CN"/>
        </w:rPr>
        <w:t>6</w:t>
      </w:r>
      <w:r>
        <w:rPr>
          <w:rFonts w:hint="eastAsia"/>
          <w:highlight w:val="none"/>
        </w:rPr>
        <w:t>.1</w:t>
      </w:r>
      <w:r>
        <w:rPr>
          <w:rFonts w:hint="eastAsia"/>
          <w:b/>
          <w:highlight w:val="none"/>
        </w:rPr>
        <w:t xml:space="preserve"> </w:t>
      </w:r>
      <w:r>
        <w:rPr>
          <w:rFonts w:hint="eastAsia"/>
          <w:highlight w:val="none"/>
        </w:rPr>
        <w:t>供应商应在认真阅读，充分理解本询价文件所有内容（包括所有的澄清、修改、补充内容）的基础上，按照“第六章报价文件格式”的要求编制完整的报价文件。</w:t>
      </w:r>
    </w:p>
    <w:p>
      <w:pPr>
        <w:ind w:firstLine="480"/>
        <w:rPr>
          <w:highlight w:val="none"/>
        </w:rPr>
      </w:pPr>
      <w:r>
        <w:rPr>
          <w:rFonts w:hint="eastAsia"/>
          <w:highlight w:val="none"/>
          <w:lang w:val="en-US" w:eastAsia="zh-CN"/>
        </w:rPr>
        <w:t>6</w:t>
      </w:r>
      <w:r>
        <w:rPr>
          <w:rFonts w:hint="eastAsia"/>
          <w:highlight w:val="none"/>
        </w:rPr>
        <w:t>.2 供应商必须保证报价文件所提供的全部资料真实可信，并接受采购人对其中任何资料在合同最终授予前进一步审查的要求，如若存在供应商利用弄虚作假等不当手段谋取成交的，一经查实，采购人有权予以否决，并保留进一步追究其责任的权利。</w:t>
      </w:r>
    </w:p>
    <w:p>
      <w:pPr>
        <w:ind w:firstLine="480"/>
        <w:rPr>
          <w:highlight w:val="none"/>
        </w:rPr>
      </w:pPr>
      <w:r>
        <w:rPr>
          <w:rFonts w:hint="eastAsia"/>
          <w:highlight w:val="none"/>
          <w:lang w:val="en-US" w:eastAsia="zh-CN"/>
        </w:rPr>
        <w:t>6</w:t>
      </w:r>
      <w:r>
        <w:rPr>
          <w:rFonts w:hint="eastAsia"/>
          <w:highlight w:val="none"/>
        </w:rPr>
        <w:t>.3 如果报价文件填报的内容不详，或没有提供询价文件中所要求的全部资料及数据，给评审造成困难，责任由供应商自行承担。</w:t>
      </w:r>
    </w:p>
    <w:p>
      <w:pPr>
        <w:ind w:firstLine="480"/>
        <w:rPr>
          <w:highlight w:val="none"/>
        </w:rPr>
      </w:pPr>
      <w:r>
        <w:rPr>
          <w:rFonts w:hint="eastAsia"/>
          <w:highlight w:val="none"/>
          <w:lang w:val="en-US" w:eastAsia="zh-CN"/>
        </w:rPr>
        <w:t>6</w:t>
      </w:r>
      <w:r>
        <w:rPr>
          <w:rFonts w:hint="eastAsia"/>
          <w:highlight w:val="none"/>
        </w:rPr>
        <w:t>.4如供应商没有对本询价文件的要求提出偏离，采购人可认为供应商完全接受和同意本询价文件的要求。报价文件对询价文件未提出偏离条款的，均被视为接受和同意。</w:t>
      </w:r>
    </w:p>
    <w:p>
      <w:pPr>
        <w:pStyle w:val="5"/>
        <w:spacing w:before="240"/>
        <w:rPr>
          <w:rFonts w:ascii="Times New Roman" w:hAnsi="Times New Roman"/>
          <w:highlight w:val="none"/>
        </w:rPr>
      </w:pPr>
      <w:bookmarkStart w:id="104" w:name="_Toc21302"/>
      <w:bookmarkStart w:id="105" w:name="_Toc2475"/>
      <w:bookmarkStart w:id="106" w:name="_Toc8669"/>
      <w:r>
        <w:rPr>
          <w:rFonts w:hint="eastAsia" w:ascii="Times New Roman" w:hAnsi="Times New Roman"/>
          <w:highlight w:val="none"/>
          <w:lang w:val="en-US" w:eastAsia="zh-CN"/>
        </w:rPr>
        <w:t>7</w:t>
      </w:r>
      <w:r>
        <w:rPr>
          <w:rFonts w:hint="eastAsia" w:ascii="Times New Roman" w:hAnsi="Times New Roman"/>
          <w:highlight w:val="none"/>
        </w:rPr>
        <w:t>.</w:t>
      </w:r>
      <w:r>
        <w:rPr>
          <w:rFonts w:ascii="Times New Roman" w:hAnsi="Times New Roman"/>
          <w:highlight w:val="none"/>
        </w:rPr>
        <w:t xml:space="preserve"> </w:t>
      </w:r>
      <w:r>
        <w:rPr>
          <w:rFonts w:hint="eastAsia" w:ascii="Times New Roman" w:hAnsi="Times New Roman"/>
          <w:highlight w:val="none"/>
        </w:rPr>
        <w:t>语言和计量单位</w:t>
      </w:r>
      <w:bookmarkEnd w:id="104"/>
      <w:bookmarkEnd w:id="105"/>
      <w:bookmarkEnd w:id="106"/>
    </w:p>
    <w:p>
      <w:pPr>
        <w:ind w:firstLine="480"/>
        <w:rPr>
          <w:highlight w:val="none"/>
        </w:rPr>
      </w:pPr>
      <w:r>
        <w:rPr>
          <w:rFonts w:hint="eastAsia"/>
          <w:highlight w:val="none"/>
          <w:lang w:val="en-US" w:eastAsia="zh-CN"/>
        </w:rPr>
        <w:t>7</w:t>
      </w:r>
      <w:r>
        <w:rPr>
          <w:rFonts w:hint="eastAsia"/>
          <w:highlight w:val="none"/>
        </w:rPr>
        <w:t>.1</w:t>
      </w:r>
      <w:r>
        <w:rPr>
          <w:highlight w:val="none"/>
        </w:rPr>
        <w:t xml:space="preserve"> </w:t>
      </w:r>
      <w:r>
        <w:rPr>
          <w:rFonts w:hint="eastAsia"/>
          <w:highlight w:val="none"/>
          <w:lang w:val="zh-CN"/>
        </w:rPr>
        <w:t>报价文件及供应商与</w:t>
      </w:r>
      <w:r>
        <w:rPr>
          <w:rFonts w:hint="eastAsia"/>
          <w:highlight w:val="none"/>
        </w:rPr>
        <w:t>采购人</w:t>
      </w:r>
      <w:r>
        <w:rPr>
          <w:rFonts w:hint="eastAsia"/>
          <w:highlight w:val="none"/>
          <w:lang w:val="zh-CN"/>
        </w:rPr>
        <w:t>之间的凡与采购有关的来往信函和文件均使用中文，若其中有其他语言的书面材料，则应附有中文译文，并以中文译文为准。</w:t>
      </w:r>
    </w:p>
    <w:p>
      <w:pPr>
        <w:ind w:firstLine="480"/>
        <w:rPr>
          <w:highlight w:val="none"/>
        </w:rPr>
      </w:pPr>
      <w:r>
        <w:rPr>
          <w:rFonts w:hint="eastAsia"/>
          <w:highlight w:val="none"/>
          <w:lang w:val="en-US" w:eastAsia="zh-CN"/>
        </w:rPr>
        <w:t>7</w:t>
      </w:r>
      <w:r>
        <w:rPr>
          <w:rFonts w:hint="eastAsia"/>
          <w:highlight w:val="none"/>
        </w:rPr>
        <w:t>.2</w:t>
      </w:r>
      <w:r>
        <w:rPr>
          <w:highlight w:val="none"/>
        </w:rPr>
        <w:t xml:space="preserve"> </w:t>
      </w:r>
      <w:r>
        <w:rPr>
          <w:rFonts w:hint="eastAsia"/>
          <w:highlight w:val="none"/>
        </w:rPr>
        <w:t>除非询价文件中另有规定，计量单位均采用中华人民共和国法定的计量单位。</w:t>
      </w:r>
    </w:p>
    <w:p>
      <w:pPr>
        <w:pStyle w:val="5"/>
        <w:spacing w:before="240"/>
        <w:rPr>
          <w:rFonts w:ascii="Times New Roman" w:hAnsi="Times New Roman"/>
          <w:highlight w:val="none"/>
        </w:rPr>
      </w:pPr>
      <w:bookmarkStart w:id="107" w:name="_Toc13380"/>
      <w:bookmarkStart w:id="108" w:name="_Toc24973"/>
      <w:bookmarkStart w:id="109" w:name="_Toc4712"/>
      <w:r>
        <w:rPr>
          <w:rFonts w:hint="eastAsia" w:ascii="Times New Roman" w:hAnsi="Times New Roman"/>
          <w:highlight w:val="none"/>
          <w:lang w:val="en-US" w:eastAsia="zh-CN"/>
        </w:rPr>
        <w:t>8</w:t>
      </w:r>
      <w:r>
        <w:rPr>
          <w:rFonts w:hint="eastAsia" w:ascii="Times New Roman" w:hAnsi="Times New Roman"/>
          <w:highlight w:val="none"/>
        </w:rPr>
        <w:t>. 报价</w:t>
      </w:r>
      <w:bookmarkEnd w:id="107"/>
      <w:bookmarkEnd w:id="108"/>
      <w:bookmarkEnd w:id="109"/>
    </w:p>
    <w:p>
      <w:pPr>
        <w:ind w:firstLine="480"/>
        <w:rPr>
          <w:highlight w:val="none"/>
        </w:rPr>
      </w:pPr>
      <w:r>
        <w:rPr>
          <w:rFonts w:hint="eastAsia"/>
          <w:highlight w:val="none"/>
          <w:lang w:val="en-US" w:eastAsia="zh-CN"/>
        </w:rPr>
        <w:t>8</w:t>
      </w:r>
      <w:r>
        <w:rPr>
          <w:rFonts w:hint="eastAsia"/>
          <w:highlight w:val="none"/>
        </w:rPr>
        <w:t xml:space="preserve">.1 </w:t>
      </w:r>
      <w:r>
        <w:rPr>
          <w:rFonts w:hint="eastAsia" w:cs="Arial"/>
          <w:kern w:val="0"/>
          <w:szCs w:val="24"/>
          <w:highlight w:val="none"/>
        </w:rPr>
        <w:t>供应商</w:t>
      </w:r>
      <w:r>
        <w:rPr>
          <w:rFonts w:hint="eastAsia"/>
          <w:highlight w:val="none"/>
        </w:rPr>
        <w:t>应按照询价文件规定的内容、责任范围以及技术要求条件进行报价。并按报价部分规定的格式报出分项价格和总价。</w:t>
      </w:r>
    </w:p>
    <w:p>
      <w:pPr>
        <w:ind w:firstLine="480"/>
        <w:rPr>
          <w:highlight w:val="none"/>
        </w:rPr>
      </w:pPr>
      <w:r>
        <w:rPr>
          <w:rFonts w:hint="eastAsia"/>
          <w:highlight w:val="none"/>
          <w:lang w:val="en-US" w:eastAsia="zh-CN"/>
        </w:rPr>
        <w:t>8</w:t>
      </w:r>
      <w:r>
        <w:rPr>
          <w:rFonts w:hint="eastAsia"/>
          <w:highlight w:val="none"/>
        </w:rPr>
        <w:t xml:space="preserve">.2 </w:t>
      </w:r>
      <w:r>
        <w:rPr>
          <w:rFonts w:hint="eastAsia" w:cs="Arial"/>
          <w:kern w:val="0"/>
          <w:szCs w:val="24"/>
          <w:highlight w:val="none"/>
        </w:rPr>
        <w:t>供应商</w:t>
      </w:r>
      <w:r>
        <w:rPr>
          <w:rFonts w:hint="eastAsia"/>
          <w:highlight w:val="none"/>
        </w:rPr>
        <w:t>报价应包括</w:t>
      </w:r>
      <w:r>
        <w:rPr>
          <w:rFonts w:hint="eastAsia" w:cs="Arial"/>
          <w:kern w:val="0"/>
          <w:szCs w:val="24"/>
          <w:highlight w:val="none"/>
        </w:rPr>
        <w:t>供应商</w:t>
      </w:r>
      <w:r>
        <w:rPr>
          <w:rFonts w:hint="eastAsia"/>
          <w:highlight w:val="none"/>
        </w:rPr>
        <w:t>成交后为完成采购项目规定的全部工作需支付的一切费用和拟获得的利润，并考虑了应承担的风险。</w:t>
      </w:r>
    </w:p>
    <w:p>
      <w:pPr>
        <w:ind w:firstLine="480"/>
        <w:rPr>
          <w:highlight w:val="none"/>
        </w:rPr>
      </w:pPr>
      <w:r>
        <w:rPr>
          <w:rFonts w:hint="eastAsia"/>
          <w:highlight w:val="none"/>
          <w:lang w:val="en-US" w:eastAsia="zh-CN"/>
        </w:rPr>
        <w:t>8</w:t>
      </w:r>
      <w:r>
        <w:rPr>
          <w:rFonts w:hint="eastAsia"/>
          <w:highlight w:val="none"/>
        </w:rPr>
        <w:t xml:space="preserve">.3 </w:t>
      </w:r>
      <w:r>
        <w:rPr>
          <w:rFonts w:hint="eastAsia" w:cs="Arial"/>
          <w:kern w:val="0"/>
          <w:szCs w:val="24"/>
          <w:highlight w:val="none"/>
        </w:rPr>
        <w:t>供应商</w:t>
      </w:r>
      <w:r>
        <w:rPr>
          <w:rFonts w:hint="eastAsia"/>
          <w:highlight w:val="none"/>
        </w:rPr>
        <w:t>必须根据询价文件报价格式进行报价，若</w:t>
      </w:r>
      <w:r>
        <w:rPr>
          <w:rFonts w:hint="eastAsia" w:cs="Arial"/>
          <w:kern w:val="0"/>
          <w:szCs w:val="24"/>
          <w:highlight w:val="none"/>
        </w:rPr>
        <w:t>供应商</w:t>
      </w:r>
      <w:r>
        <w:rPr>
          <w:rFonts w:hint="eastAsia"/>
          <w:highlight w:val="none"/>
        </w:rPr>
        <w:t>提供免费服务，应在报价文件中说明或在报价表中填“免费”，否则视为已包含在总报价中。</w:t>
      </w:r>
    </w:p>
    <w:p>
      <w:pPr>
        <w:ind w:firstLine="480"/>
        <w:rPr>
          <w:highlight w:val="none"/>
        </w:rPr>
      </w:pPr>
      <w:r>
        <w:rPr>
          <w:rFonts w:hint="eastAsia"/>
          <w:highlight w:val="none"/>
          <w:lang w:val="en-US" w:eastAsia="zh-CN"/>
        </w:rPr>
        <w:t>8</w:t>
      </w:r>
      <w:r>
        <w:rPr>
          <w:rFonts w:hint="eastAsia"/>
          <w:highlight w:val="none"/>
        </w:rPr>
        <w:t>.4 供应商不得以低于成本报价。</w:t>
      </w:r>
    </w:p>
    <w:p>
      <w:pPr>
        <w:ind w:firstLine="480"/>
        <w:rPr>
          <w:highlight w:val="none"/>
        </w:rPr>
      </w:pPr>
      <w:r>
        <w:rPr>
          <w:rFonts w:hint="eastAsia"/>
          <w:highlight w:val="none"/>
          <w:lang w:val="en-US" w:eastAsia="zh-CN"/>
        </w:rPr>
        <w:t>8</w:t>
      </w:r>
      <w:r>
        <w:rPr>
          <w:rFonts w:hint="eastAsia"/>
          <w:highlight w:val="none"/>
        </w:rPr>
        <w:t>.5 供应商报价的其他要求见供应商须知前附表。</w:t>
      </w:r>
    </w:p>
    <w:p>
      <w:pPr>
        <w:pStyle w:val="5"/>
        <w:spacing w:before="240"/>
        <w:rPr>
          <w:rFonts w:ascii="Times New Roman" w:hAnsi="Times New Roman"/>
          <w:highlight w:val="none"/>
        </w:rPr>
      </w:pPr>
      <w:bookmarkStart w:id="110" w:name="_Toc17041"/>
      <w:bookmarkStart w:id="111" w:name="_Toc14592"/>
      <w:bookmarkStart w:id="112" w:name="_Toc31744"/>
      <w:r>
        <w:rPr>
          <w:rFonts w:hint="eastAsia" w:ascii="Times New Roman" w:hAnsi="Times New Roman"/>
          <w:highlight w:val="none"/>
          <w:lang w:val="en-US" w:eastAsia="zh-CN"/>
        </w:rPr>
        <w:t>9</w:t>
      </w:r>
      <w:r>
        <w:rPr>
          <w:rFonts w:hint="eastAsia" w:ascii="Times New Roman" w:hAnsi="Times New Roman"/>
          <w:highlight w:val="none"/>
        </w:rPr>
        <w:t>.</w:t>
      </w:r>
      <w:r>
        <w:rPr>
          <w:rFonts w:ascii="Times New Roman" w:hAnsi="Times New Roman"/>
          <w:highlight w:val="none"/>
        </w:rPr>
        <w:t xml:space="preserve"> </w:t>
      </w:r>
      <w:r>
        <w:rPr>
          <w:rFonts w:hint="eastAsia" w:ascii="Times New Roman" w:hAnsi="Times New Roman"/>
          <w:highlight w:val="none"/>
        </w:rPr>
        <w:t>报价货币</w:t>
      </w:r>
      <w:bookmarkEnd w:id="110"/>
      <w:bookmarkEnd w:id="111"/>
      <w:bookmarkEnd w:id="112"/>
    </w:p>
    <w:p>
      <w:pPr>
        <w:ind w:firstLine="480"/>
        <w:rPr>
          <w:highlight w:val="none"/>
        </w:rPr>
      </w:pPr>
      <w:r>
        <w:rPr>
          <w:rFonts w:hint="eastAsia"/>
          <w:highlight w:val="none"/>
        </w:rPr>
        <w:t>采用人民币报价，供应商须知前附表有明确规定的除外。</w:t>
      </w:r>
    </w:p>
    <w:p>
      <w:pPr>
        <w:pStyle w:val="5"/>
        <w:spacing w:before="240"/>
        <w:rPr>
          <w:rFonts w:ascii="Times New Roman" w:hAnsi="Times New Roman"/>
          <w:highlight w:val="none"/>
        </w:rPr>
      </w:pPr>
      <w:bookmarkStart w:id="113" w:name="_Toc4070"/>
      <w:bookmarkStart w:id="114" w:name="_Toc27416"/>
      <w:bookmarkStart w:id="115" w:name="_Toc32416"/>
      <w:r>
        <w:rPr>
          <w:rFonts w:hint="eastAsia" w:ascii="Times New Roman" w:hAnsi="Times New Roman"/>
          <w:highlight w:val="none"/>
        </w:rPr>
        <w:t>1</w:t>
      </w:r>
      <w:r>
        <w:rPr>
          <w:rFonts w:hint="eastAsia" w:ascii="Times New Roman" w:hAnsi="Times New Roman"/>
          <w:highlight w:val="none"/>
          <w:lang w:val="en-US" w:eastAsia="zh-CN"/>
        </w:rPr>
        <w:t>0</w:t>
      </w:r>
      <w:r>
        <w:rPr>
          <w:rFonts w:hint="eastAsia" w:ascii="Times New Roman" w:hAnsi="Times New Roman"/>
          <w:highlight w:val="none"/>
        </w:rPr>
        <w:t>.</w:t>
      </w:r>
      <w:r>
        <w:rPr>
          <w:rFonts w:ascii="Times New Roman" w:hAnsi="Times New Roman"/>
          <w:highlight w:val="none"/>
        </w:rPr>
        <w:t xml:space="preserve"> </w:t>
      </w:r>
      <w:r>
        <w:rPr>
          <w:rFonts w:hint="eastAsia" w:ascii="Times New Roman" w:hAnsi="Times New Roman"/>
          <w:highlight w:val="none"/>
        </w:rPr>
        <w:t>报价有效期</w:t>
      </w:r>
      <w:bookmarkEnd w:id="113"/>
      <w:bookmarkEnd w:id="114"/>
      <w:bookmarkEnd w:id="115"/>
    </w:p>
    <w:p>
      <w:pPr>
        <w:ind w:firstLine="480"/>
        <w:rPr>
          <w:highlight w:val="none"/>
        </w:rPr>
      </w:pPr>
      <w:r>
        <w:rPr>
          <w:rFonts w:hint="eastAsia"/>
          <w:highlight w:val="none"/>
        </w:rPr>
        <w:t>1</w:t>
      </w:r>
      <w:r>
        <w:rPr>
          <w:rFonts w:hint="eastAsia"/>
          <w:highlight w:val="none"/>
          <w:lang w:val="en-US" w:eastAsia="zh-CN"/>
        </w:rPr>
        <w:t>0</w:t>
      </w:r>
      <w:r>
        <w:rPr>
          <w:rFonts w:hint="eastAsia"/>
          <w:highlight w:val="none"/>
        </w:rPr>
        <w:t>.1 报价有效期自本询价文件规定的报价文件递交截止时间起生效，并在供应商须知前附表中规定报价有效期内保持有效。报价有效期短于这个规定期限的报价文件将被视为非实质性响应而予以拒绝。</w:t>
      </w:r>
    </w:p>
    <w:p>
      <w:pPr>
        <w:ind w:firstLine="480"/>
        <w:rPr>
          <w:highlight w:val="none"/>
        </w:rPr>
      </w:pPr>
      <w:r>
        <w:rPr>
          <w:rFonts w:hint="eastAsia"/>
          <w:highlight w:val="none"/>
        </w:rPr>
        <w:t>1</w:t>
      </w:r>
      <w:r>
        <w:rPr>
          <w:rFonts w:hint="eastAsia"/>
          <w:highlight w:val="none"/>
          <w:lang w:val="en-US" w:eastAsia="zh-CN"/>
        </w:rPr>
        <w:t>0</w:t>
      </w:r>
      <w:r>
        <w:rPr>
          <w:rFonts w:hint="eastAsia"/>
          <w:highlight w:val="none"/>
        </w:rPr>
        <w:t>.2</w:t>
      </w:r>
      <w:r>
        <w:rPr>
          <w:highlight w:val="none"/>
        </w:rPr>
        <w:t xml:space="preserve"> </w:t>
      </w:r>
      <w:r>
        <w:rPr>
          <w:rFonts w:hint="eastAsia"/>
          <w:highlight w:val="none"/>
        </w:rPr>
        <w:t>采购人可于报价有效期截止之前要求供应商同意延长有效期。供应商应在规定的时间内以书面答复表示同意，此时供应商不能对报价文件进行任何修改；供应商若不同意延长报价有效期，则应在规定的时间内以书面形式给予明确答复，此时供应商被视为自动退出采购活动。</w:t>
      </w:r>
    </w:p>
    <w:p>
      <w:pPr>
        <w:pStyle w:val="5"/>
        <w:spacing w:before="240"/>
        <w:rPr>
          <w:rFonts w:ascii="Times New Roman" w:hAnsi="Times New Roman"/>
          <w:highlight w:val="none"/>
        </w:rPr>
      </w:pPr>
      <w:bookmarkStart w:id="116" w:name="_Toc25490"/>
      <w:bookmarkStart w:id="117" w:name="_Toc27576"/>
      <w:bookmarkStart w:id="118" w:name="_Toc20754"/>
      <w:r>
        <w:rPr>
          <w:rFonts w:hint="eastAsia" w:ascii="Times New Roman" w:hAnsi="Times New Roman"/>
          <w:highlight w:val="none"/>
        </w:rPr>
        <w:t>1</w:t>
      </w:r>
      <w:r>
        <w:rPr>
          <w:rFonts w:hint="eastAsia" w:ascii="Times New Roman" w:hAnsi="Times New Roman"/>
          <w:highlight w:val="none"/>
          <w:lang w:val="en-US" w:eastAsia="zh-CN"/>
        </w:rPr>
        <w:t>1</w:t>
      </w:r>
      <w:r>
        <w:rPr>
          <w:rFonts w:hint="eastAsia" w:ascii="Times New Roman" w:hAnsi="Times New Roman"/>
          <w:highlight w:val="none"/>
        </w:rPr>
        <w:t>.</w:t>
      </w:r>
      <w:r>
        <w:rPr>
          <w:rFonts w:ascii="Times New Roman" w:hAnsi="Times New Roman"/>
          <w:highlight w:val="none"/>
        </w:rPr>
        <w:t xml:space="preserve"> </w:t>
      </w:r>
      <w:r>
        <w:rPr>
          <w:rFonts w:hint="eastAsia" w:ascii="Times New Roman" w:hAnsi="Times New Roman"/>
          <w:highlight w:val="none"/>
        </w:rPr>
        <w:t>报价文件递交截止时间及地点</w:t>
      </w:r>
      <w:bookmarkEnd w:id="116"/>
      <w:bookmarkEnd w:id="117"/>
      <w:bookmarkEnd w:id="118"/>
    </w:p>
    <w:p>
      <w:pPr>
        <w:ind w:firstLine="480"/>
        <w:rPr>
          <w:highlight w:val="none"/>
        </w:rPr>
      </w:pPr>
      <w:r>
        <w:rPr>
          <w:rFonts w:hint="eastAsia"/>
          <w:highlight w:val="none"/>
        </w:rPr>
        <w:t>供应商应在报价文件递交截止时间前将报价文件递交至中煤</w:t>
      </w:r>
      <w:r>
        <w:rPr>
          <w:rFonts w:hint="eastAsia"/>
          <w:highlight w:val="none"/>
          <w:lang w:val="en-US" w:eastAsia="zh-CN"/>
        </w:rPr>
        <w:t>供应链</w:t>
      </w:r>
      <w:r>
        <w:rPr>
          <w:rFonts w:hint="eastAsia"/>
          <w:highlight w:val="none"/>
        </w:rPr>
        <w:t>平台。</w:t>
      </w:r>
    </w:p>
    <w:p>
      <w:pPr>
        <w:pStyle w:val="5"/>
        <w:spacing w:before="240"/>
        <w:rPr>
          <w:rFonts w:ascii="Times New Roman" w:hAnsi="Times New Roman"/>
          <w:highlight w:val="none"/>
        </w:rPr>
      </w:pPr>
      <w:bookmarkStart w:id="119" w:name="_Toc7270"/>
      <w:bookmarkStart w:id="120" w:name="_Toc1549"/>
      <w:bookmarkStart w:id="121" w:name="_Toc28305"/>
      <w:r>
        <w:rPr>
          <w:rFonts w:hint="eastAsia" w:ascii="Times New Roman" w:hAnsi="Times New Roman"/>
          <w:highlight w:val="none"/>
        </w:rPr>
        <w:t>1</w:t>
      </w:r>
      <w:r>
        <w:rPr>
          <w:rFonts w:hint="eastAsia" w:ascii="Times New Roman" w:hAnsi="Times New Roman"/>
          <w:highlight w:val="none"/>
          <w:lang w:val="en-US" w:eastAsia="zh-CN"/>
        </w:rPr>
        <w:t>2</w:t>
      </w:r>
      <w:r>
        <w:rPr>
          <w:rFonts w:hint="eastAsia" w:ascii="Times New Roman" w:hAnsi="Times New Roman"/>
          <w:highlight w:val="none"/>
        </w:rPr>
        <w:t>.</w:t>
      </w:r>
      <w:r>
        <w:rPr>
          <w:rFonts w:ascii="Times New Roman" w:hAnsi="Times New Roman"/>
          <w:highlight w:val="none"/>
        </w:rPr>
        <w:t xml:space="preserve"> </w:t>
      </w:r>
      <w:r>
        <w:rPr>
          <w:rFonts w:hint="eastAsia" w:ascii="Times New Roman" w:hAnsi="Times New Roman"/>
          <w:highlight w:val="none"/>
        </w:rPr>
        <w:t>报价文件的修改和撤销</w:t>
      </w:r>
      <w:bookmarkEnd w:id="119"/>
      <w:bookmarkEnd w:id="120"/>
      <w:bookmarkEnd w:id="121"/>
    </w:p>
    <w:p>
      <w:pPr>
        <w:ind w:firstLine="480"/>
        <w:rPr>
          <w:kern w:val="0"/>
          <w:highlight w:val="none"/>
        </w:rPr>
      </w:pPr>
      <w:r>
        <w:rPr>
          <w:rFonts w:hint="eastAsia"/>
          <w:kern w:val="0"/>
          <w:highlight w:val="none"/>
        </w:rPr>
        <w:t>1</w:t>
      </w:r>
      <w:r>
        <w:rPr>
          <w:rFonts w:hint="eastAsia"/>
          <w:kern w:val="0"/>
          <w:highlight w:val="none"/>
          <w:lang w:val="en-US" w:eastAsia="zh-CN"/>
        </w:rPr>
        <w:t>2</w:t>
      </w:r>
      <w:r>
        <w:rPr>
          <w:rFonts w:hint="eastAsia"/>
          <w:kern w:val="0"/>
          <w:highlight w:val="none"/>
        </w:rPr>
        <w:t xml:space="preserve">.1 </w:t>
      </w:r>
      <w:r>
        <w:rPr>
          <w:rFonts w:hint="eastAsia"/>
          <w:highlight w:val="none"/>
        </w:rPr>
        <w:t>供应商在递交报价文件后，可以在规定的报价文件递交截止时间之前修改或撤回其报价文件</w:t>
      </w:r>
      <w:r>
        <w:rPr>
          <w:rFonts w:hint="eastAsia"/>
          <w:kern w:val="0"/>
          <w:highlight w:val="none"/>
        </w:rPr>
        <w:t>。</w:t>
      </w:r>
    </w:p>
    <w:p>
      <w:pPr>
        <w:ind w:firstLine="480"/>
        <w:rPr>
          <w:kern w:val="0"/>
          <w:highlight w:val="none"/>
        </w:rPr>
      </w:pPr>
      <w:r>
        <w:rPr>
          <w:rFonts w:hint="eastAsia"/>
          <w:kern w:val="0"/>
          <w:highlight w:val="none"/>
        </w:rPr>
        <w:t>1</w:t>
      </w:r>
      <w:r>
        <w:rPr>
          <w:rFonts w:hint="eastAsia"/>
          <w:kern w:val="0"/>
          <w:highlight w:val="none"/>
          <w:lang w:val="en-US" w:eastAsia="zh-CN"/>
        </w:rPr>
        <w:t>2</w:t>
      </w:r>
      <w:r>
        <w:rPr>
          <w:rFonts w:hint="eastAsia"/>
          <w:kern w:val="0"/>
          <w:highlight w:val="none"/>
        </w:rPr>
        <w:t>.2</w:t>
      </w:r>
      <w:r>
        <w:rPr>
          <w:kern w:val="0"/>
          <w:highlight w:val="none"/>
        </w:rPr>
        <w:t xml:space="preserve"> </w:t>
      </w:r>
      <w:r>
        <w:rPr>
          <w:rFonts w:hint="eastAsia"/>
          <w:highlight w:val="none"/>
        </w:rPr>
        <w:t>供应商不得在报价有效期内撤销报价文件</w:t>
      </w:r>
      <w:r>
        <w:rPr>
          <w:rFonts w:hint="eastAsia"/>
          <w:kern w:val="0"/>
          <w:highlight w:val="none"/>
        </w:rPr>
        <w:t>。</w:t>
      </w:r>
    </w:p>
    <w:p>
      <w:pPr>
        <w:pStyle w:val="5"/>
        <w:spacing w:before="240"/>
        <w:rPr>
          <w:rFonts w:ascii="Times New Roman" w:hAnsi="Times New Roman"/>
          <w:highlight w:val="none"/>
        </w:rPr>
      </w:pPr>
      <w:bookmarkStart w:id="122" w:name="_Toc5271"/>
      <w:bookmarkStart w:id="123" w:name="_Toc6983"/>
      <w:bookmarkStart w:id="124" w:name="_Toc11411"/>
      <w:r>
        <w:rPr>
          <w:rFonts w:hint="eastAsia" w:ascii="Times New Roman" w:hAnsi="Times New Roman"/>
          <w:highlight w:val="none"/>
        </w:rPr>
        <w:t>1</w:t>
      </w:r>
      <w:r>
        <w:rPr>
          <w:rFonts w:hint="eastAsia" w:ascii="Times New Roman" w:hAnsi="Times New Roman"/>
          <w:highlight w:val="none"/>
          <w:lang w:val="en-US" w:eastAsia="zh-CN"/>
        </w:rPr>
        <w:t>3</w:t>
      </w:r>
      <w:r>
        <w:rPr>
          <w:rFonts w:hint="eastAsia" w:ascii="Times New Roman" w:hAnsi="Times New Roman"/>
          <w:highlight w:val="none"/>
        </w:rPr>
        <w:t>. 谈判小组</w:t>
      </w:r>
      <w:bookmarkEnd w:id="122"/>
      <w:bookmarkEnd w:id="123"/>
      <w:bookmarkEnd w:id="124"/>
    </w:p>
    <w:p>
      <w:pPr>
        <w:ind w:firstLine="480"/>
        <w:rPr>
          <w:highlight w:val="none"/>
        </w:rPr>
      </w:pPr>
      <w:r>
        <w:rPr>
          <w:rFonts w:hint="eastAsia" w:cs="Arial"/>
          <w:highlight w:val="none"/>
        </w:rPr>
        <w:t>1</w:t>
      </w:r>
      <w:r>
        <w:rPr>
          <w:rFonts w:hint="eastAsia" w:cs="Arial"/>
          <w:highlight w:val="none"/>
          <w:lang w:val="en-US" w:eastAsia="zh-CN"/>
        </w:rPr>
        <w:t>3</w:t>
      </w:r>
      <w:r>
        <w:rPr>
          <w:rFonts w:hint="eastAsia" w:cs="Arial"/>
          <w:highlight w:val="none"/>
        </w:rPr>
        <w:t xml:space="preserve">.1 </w:t>
      </w:r>
      <w:r>
        <w:rPr>
          <w:rFonts w:hint="eastAsia"/>
          <w:highlight w:val="none"/>
        </w:rPr>
        <w:t>采购人将</w:t>
      </w:r>
      <w:r>
        <w:rPr>
          <w:rFonts w:hint="eastAsia"/>
          <w:highlight w:val="none"/>
          <w:lang w:val="en-US" w:eastAsia="zh-CN"/>
        </w:rPr>
        <w:t>按</w:t>
      </w:r>
      <w:r>
        <w:rPr>
          <w:rFonts w:hint="eastAsia"/>
          <w:highlight w:val="none"/>
        </w:rPr>
        <w:t>规定组建谈判小组。</w:t>
      </w:r>
    </w:p>
    <w:p>
      <w:pPr>
        <w:ind w:firstLine="480"/>
        <w:rPr>
          <w:highlight w:val="none"/>
        </w:rPr>
      </w:pPr>
      <w:r>
        <w:rPr>
          <w:rFonts w:hint="eastAsia"/>
          <w:highlight w:val="none"/>
        </w:rPr>
        <w:t>1</w:t>
      </w:r>
      <w:r>
        <w:rPr>
          <w:rFonts w:hint="eastAsia"/>
          <w:highlight w:val="none"/>
          <w:lang w:val="en-US" w:eastAsia="zh-CN"/>
        </w:rPr>
        <w:t>3</w:t>
      </w:r>
      <w:r>
        <w:rPr>
          <w:rFonts w:hint="eastAsia"/>
          <w:highlight w:val="none"/>
        </w:rPr>
        <w:t>.2 谈判小组负责评审工作，根据询价文件的要求对报价文件进行审查、质疑、评估和比较，出具评审报告（如需要），推荐成交候选供应商。</w:t>
      </w:r>
    </w:p>
    <w:p>
      <w:pPr>
        <w:pStyle w:val="5"/>
        <w:spacing w:before="240"/>
        <w:rPr>
          <w:rFonts w:ascii="Times New Roman" w:hAnsi="Times New Roman"/>
          <w:highlight w:val="none"/>
        </w:rPr>
      </w:pPr>
      <w:bookmarkStart w:id="125" w:name="_Toc2360"/>
      <w:bookmarkStart w:id="126" w:name="_Toc2434"/>
      <w:bookmarkStart w:id="127" w:name="_Toc27408"/>
      <w:r>
        <w:rPr>
          <w:rFonts w:hint="eastAsia" w:ascii="Times New Roman" w:hAnsi="Times New Roman"/>
          <w:highlight w:val="none"/>
        </w:rPr>
        <w:t>1</w:t>
      </w:r>
      <w:r>
        <w:rPr>
          <w:rFonts w:hint="eastAsia" w:ascii="Times New Roman" w:hAnsi="Times New Roman"/>
          <w:highlight w:val="none"/>
          <w:lang w:val="en-US" w:eastAsia="zh-CN"/>
        </w:rPr>
        <w:t>4</w:t>
      </w:r>
      <w:r>
        <w:rPr>
          <w:rFonts w:hint="eastAsia" w:ascii="Times New Roman" w:hAnsi="Times New Roman"/>
          <w:highlight w:val="none"/>
        </w:rPr>
        <w:t>.</w:t>
      </w:r>
      <w:r>
        <w:rPr>
          <w:rFonts w:ascii="Times New Roman" w:hAnsi="Times New Roman"/>
          <w:highlight w:val="none"/>
        </w:rPr>
        <w:t xml:space="preserve"> </w:t>
      </w:r>
      <w:r>
        <w:rPr>
          <w:rFonts w:hint="eastAsia" w:ascii="Times New Roman" w:hAnsi="Times New Roman"/>
          <w:highlight w:val="none"/>
        </w:rPr>
        <w:t>开启报价文件</w:t>
      </w:r>
      <w:bookmarkEnd w:id="125"/>
      <w:bookmarkEnd w:id="126"/>
      <w:bookmarkEnd w:id="127"/>
    </w:p>
    <w:p>
      <w:pPr>
        <w:ind w:firstLine="480"/>
        <w:rPr>
          <w:highlight w:val="none"/>
        </w:rPr>
      </w:pPr>
      <w:r>
        <w:rPr>
          <w:rFonts w:hint="eastAsia"/>
          <w:highlight w:val="none"/>
        </w:rPr>
        <w:t>1</w:t>
      </w:r>
      <w:r>
        <w:rPr>
          <w:rFonts w:hint="eastAsia"/>
          <w:highlight w:val="none"/>
          <w:lang w:val="en-US" w:eastAsia="zh-CN"/>
        </w:rPr>
        <w:t>4</w:t>
      </w:r>
      <w:r>
        <w:rPr>
          <w:rFonts w:hint="eastAsia"/>
          <w:highlight w:val="none"/>
        </w:rPr>
        <w:t>.1 在询价文件规定的报价揭示时间开启报价文件。</w:t>
      </w:r>
    </w:p>
    <w:p>
      <w:pPr>
        <w:pStyle w:val="10"/>
        <w:ind w:firstLine="480"/>
        <w:rPr>
          <w:highlight w:val="none"/>
        </w:rPr>
      </w:pPr>
      <w:r>
        <w:rPr>
          <w:rFonts w:hint="eastAsia"/>
          <w:highlight w:val="none"/>
        </w:rPr>
        <w:t>1</w:t>
      </w:r>
      <w:r>
        <w:rPr>
          <w:rFonts w:hint="eastAsia"/>
          <w:highlight w:val="none"/>
          <w:lang w:val="en-US" w:eastAsia="zh-CN"/>
        </w:rPr>
        <w:t>4</w:t>
      </w:r>
      <w:r>
        <w:rPr>
          <w:rFonts w:hint="eastAsia"/>
          <w:highlight w:val="none"/>
        </w:rPr>
        <w:t>.2 供应商须根据供应商须知前附表规定的谈判时间及地点参加谈判。</w:t>
      </w:r>
    </w:p>
    <w:p>
      <w:pPr>
        <w:pStyle w:val="5"/>
        <w:spacing w:before="240"/>
        <w:rPr>
          <w:rFonts w:ascii="Times New Roman" w:hAnsi="Times New Roman"/>
          <w:highlight w:val="none"/>
        </w:rPr>
      </w:pPr>
      <w:bookmarkStart w:id="128" w:name="_Toc22757"/>
      <w:bookmarkStart w:id="129" w:name="_Toc24192"/>
      <w:bookmarkStart w:id="130" w:name="_Toc22099"/>
      <w:bookmarkStart w:id="131" w:name="_Toc1032"/>
      <w:r>
        <w:rPr>
          <w:rFonts w:hint="eastAsia" w:ascii="Times New Roman" w:hAnsi="Times New Roman"/>
          <w:highlight w:val="none"/>
        </w:rPr>
        <w:t>1</w:t>
      </w:r>
      <w:r>
        <w:rPr>
          <w:rFonts w:hint="eastAsia" w:ascii="Times New Roman" w:hAnsi="Times New Roman"/>
          <w:highlight w:val="none"/>
          <w:lang w:val="en-US" w:eastAsia="zh-CN"/>
        </w:rPr>
        <w:t>5</w:t>
      </w:r>
      <w:r>
        <w:rPr>
          <w:rFonts w:hint="eastAsia" w:ascii="Times New Roman" w:hAnsi="Times New Roman"/>
          <w:highlight w:val="none"/>
        </w:rPr>
        <w:t>.</w:t>
      </w:r>
      <w:r>
        <w:rPr>
          <w:rFonts w:ascii="Times New Roman" w:hAnsi="Times New Roman"/>
          <w:highlight w:val="none"/>
        </w:rPr>
        <w:t xml:space="preserve"> </w:t>
      </w:r>
      <w:r>
        <w:rPr>
          <w:rFonts w:hint="eastAsia" w:ascii="Times New Roman" w:hAnsi="Times New Roman"/>
          <w:highlight w:val="none"/>
        </w:rPr>
        <w:t>确定成交供应商</w:t>
      </w:r>
      <w:bookmarkEnd w:id="128"/>
      <w:bookmarkEnd w:id="129"/>
      <w:bookmarkEnd w:id="130"/>
      <w:bookmarkEnd w:id="131"/>
    </w:p>
    <w:p>
      <w:pPr>
        <w:pStyle w:val="10"/>
        <w:ind w:firstLine="480"/>
        <w:rPr>
          <w:highlight w:val="none"/>
        </w:rPr>
      </w:pPr>
      <w:r>
        <w:rPr>
          <w:rFonts w:hint="eastAsia"/>
          <w:highlight w:val="none"/>
        </w:rPr>
        <w:t>采购人按推荐的成交候选供应商名单确定成交供应商。成交候选供应商的推荐原则，见供应商须知前附表。</w:t>
      </w:r>
    </w:p>
    <w:p>
      <w:pPr>
        <w:pStyle w:val="5"/>
        <w:spacing w:before="240"/>
        <w:rPr>
          <w:rFonts w:ascii="Times New Roman" w:hAnsi="Times New Roman"/>
          <w:highlight w:val="none"/>
        </w:rPr>
      </w:pPr>
      <w:bookmarkStart w:id="132" w:name="_Toc8088"/>
      <w:bookmarkStart w:id="133" w:name="_Toc7475"/>
      <w:bookmarkStart w:id="134" w:name="_Toc6920"/>
      <w:r>
        <w:rPr>
          <w:rFonts w:hint="eastAsia" w:ascii="Times New Roman" w:hAnsi="Times New Roman"/>
          <w:highlight w:val="none"/>
        </w:rPr>
        <w:t>1</w:t>
      </w:r>
      <w:r>
        <w:rPr>
          <w:rFonts w:hint="eastAsia" w:ascii="Times New Roman" w:hAnsi="Times New Roman"/>
          <w:highlight w:val="none"/>
          <w:lang w:val="en-US" w:eastAsia="zh-CN"/>
        </w:rPr>
        <w:t>6</w:t>
      </w:r>
      <w:r>
        <w:rPr>
          <w:rFonts w:hint="eastAsia" w:ascii="Times New Roman" w:hAnsi="Times New Roman"/>
          <w:highlight w:val="none"/>
        </w:rPr>
        <w:t>. 签订合同</w:t>
      </w:r>
      <w:bookmarkEnd w:id="132"/>
      <w:bookmarkEnd w:id="133"/>
      <w:bookmarkEnd w:id="134"/>
    </w:p>
    <w:p>
      <w:pPr>
        <w:ind w:firstLine="480"/>
        <w:rPr>
          <w:highlight w:val="none"/>
        </w:rPr>
      </w:pPr>
      <w:r>
        <w:rPr>
          <w:rFonts w:hint="eastAsia"/>
          <w:highlight w:val="none"/>
        </w:rPr>
        <w:t>1</w:t>
      </w:r>
      <w:r>
        <w:rPr>
          <w:rFonts w:hint="eastAsia"/>
          <w:highlight w:val="none"/>
          <w:lang w:val="en-US" w:eastAsia="zh-CN"/>
        </w:rPr>
        <w:t>6</w:t>
      </w:r>
      <w:r>
        <w:rPr>
          <w:rFonts w:hint="eastAsia"/>
          <w:highlight w:val="none"/>
        </w:rPr>
        <w:t>.1 成交供应商应使用CA证书的电子签章与采购人签署电子合同。有关电子合同的相关解释权归采购人，以采购人解释为准。</w:t>
      </w:r>
    </w:p>
    <w:p>
      <w:pPr>
        <w:ind w:firstLine="480"/>
        <w:rPr>
          <w:highlight w:val="none"/>
        </w:rPr>
      </w:pPr>
      <w:r>
        <w:rPr>
          <w:rFonts w:hint="eastAsia"/>
          <w:highlight w:val="none"/>
        </w:rPr>
        <w:t>1</w:t>
      </w:r>
      <w:r>
        <w:rPr>
          <w:rFonts w:hint="eastAsia"/>
          <w:highlight w:val="none"/>
          <w:lang w:val="en-US" w:eastAsia="zh-CN"/>
        </w:rPr>
        <w:t>6</w:t>
      </w:r>
      <w:r>
        <w:rPr>
          <w:rFonts w:hint="eastAsia"/>
          <w:highlight w:val="none"/>
        </w:rPr>
        <w:t>.2 成交供应商须在规定的时间内</w:t>
      </w:r>
      <w:r>
        <w:rPr>
          <w:rFonts w:hint="eastAsia"/>
          <w:highlight w:val="none"/>
          <w:lang w:val="en-US" w:eastAsia="zh-CN"/>
        </w:rPr>
        <w:t>要求</w:t>
      </w:r>
      <w:r>
        <w:rPr>
          <w:rFonts w:hint="eastAsia"/>
          <w:highlight w:val="none"/>
        </w:rPr>
        <w:t>法定代表人或其授权人按双方最终确认的合同条款与采购人签订合同。</w:t>
      </w:r>
    </w:p>
    <w:p>
      <w:pPr>
        <w:ind w:firstLine="480"/>
        <w:rPr>
          <w:highlight w:val="none"/>
        </w:rPr>
      </w:pPr>
      <w:r>
        <w:rPr>
          <w:rFonts w:hint="eastAsia"/>
          <w:highlight w:val="none"/>
        </w:rPr>
        <w:t>1</w:t>
      </w:r>
      <w:r>
        <w:rPr>
          <w:rFonts w:hint="eastAsia"/>
          <w:highlight w:val="none"/>
          <w:lang w:val="en-US" w:eastAsia="zh-CN"/>
        </w:rPr>
        <w:t>6</w:t>
      </w:r>
      <w:r>
        <w:rPr>
          <w:rFonts w:hint="eastAsia"/>
          <w:highlight w:val="none"/>
        </w:rPr>
        <w:t>.3 询价文件、成交供应商的报价文件及采购过程中的有关澄清或修改文件均为签订合同的依据。</w:t>
      </w:r>
    </w:p>
    <w:p>
      <w:pPr>
        <w:pStyle w:val="5"/>
        <w:spacing w:before="240"/>
        <w:rPr>
          <w:rFonts w:ascii="Times New Roman" w:hAnsi="Times New Roman"/>
          <w:highlight w:val="none"/>
        </w:rPr>
      </w:pPr>
      <w:bookmarkStart w:id="135" w:name="_Toc20937"/>
      <w:bookmarkStart w:id="136" w:name="_Toc14796"/>
      <w:bookmarkStart w:id="137" w:name="_Toc2088"/>
      <w:r>
        <w:rPr>
          <w:rFonts w:hint="eastAsia" w:ascii="Times New Roman" w:hAnsi="Times New Roman"/>
          <w:highlight w:val="none"/>
        </w:rPr>
        <w:t>1</w:t>
      </w:r>
      <w:r>
        <w:rPr>
          <w:rFonts w:hint="eastAsia" w:ascii="Times New Roman" w:hAnsi="Times New Roman"/>
          <w:highlight w:val="none"/>
          <w:lang w:val="en-US" w:eastAsia="zh-CN"/>
        </w:rPr>
        <w:t>7</w:t>
      </w:r>
      <w:r>
        <w:rPr>
          <w:rFonts w:hint="eastAsia" w:ascii="Times New Roman" w:hAnsi="Times New Roman"/>
          <w:highlight w:val="none"/>
        </w:rPr>
        <w:t>. 供应商失信行为管理</w:t>
      </w:r>
      <w:bookmarkEnd w:id="135"/>
      <w:bookmarkEnd w:id="136"/>
      <w:bookmarkEnd w:id="137"/>
    </w:p>
    <w:p>
      <w:pPr>
        <w:ind w:firstLine="480"/>
        <w:rPr>
          <w:highlight w:val="none"/>
        </w:rPr>
      </w:pPr>
      <w:r>
        <w:rPr>
          <w:rFonts w:hint="eastAsia"/>
          <w:highlight w:val="none"/>
        </w:rPr>
        <w:t>1</w:t>
      </w:r>
      <w:r>
        <w:rPr>
          <w:rFonts w:hint="eastAsia"/>
          <w:highlight w:val="none"/>
          <w:lang w:val="en-US" w:eastAsia="zh-CN"/>
        </w:rPr>
        <w:t>7</w:t>
      </w:r>
      <w:r>
        <w:rPr>
          <w:highlight w:val="none"/>
        </w:rPr>
        <w:t xml:space="preserve">.1 </w:t>
      </w:r>
      <w:r>
        <w:rPr>
          <w:rFonts w:hint="eastAsia"/>
          <w:highlight w:val="none"/>
          <w:lang w:eastAsia="zh-CN"/>
        </w:rPr>
        <w:t>中国中煤</w:t>
      </w:r>
      <w:r>
        <w:rPr>
          <w:highlight w:val="none"/>
        </w:rPr>
        <w:t>对存在违反法律法规、违反</w:t>
      </w:r>
      <w:r>
        <w:rPr>
          <w:rFonts w:hint="eastAsia"/>
          <w:highlight w:val="none"/>
          <w:lang w:eastAsia="zh-CN"/>
        </w:rPr>
        <w:t>中国中煤</w:t>
      </w:r>
      <w:r>
        <w:rPr>
          <w:highlight w:val="none"/>
        </w:rPr>
        <w:t>管理规定、违背商业道德、违反合同约定和相关承诺等失信行为的</w:t>
      </w:r>
      <w:r>
        <w:rPr>
          <w:rFonts w:hint="eastAsia"/>
          <w:highlight w:val="none"/>
        </w:rPr>
        <w:t>供应商</w:t>
      </w:r>
      <w:r>
        <w:rPr>
          <w:highlight w:val="none"/>
        </w:rPr>
        <w:t>进行失信管理，视情节严重程度予以相应的处置。</w:t>
      </w:r>
    </w:p>
    <w:p>
      <w:pPr>
        <w:ind w:firstLine="480"/>
        <w:rPr>
          <w:highlight w:val="none"/>
        </w:rPr>
      </w:pPr>
      <w:r>
        <w:rPr>
          <w:rFonts w:hint="eastAsia"/>
          <w:highlight w:val="none"/>
        </w:rPr>
        <w:t>1</w:t>
      </w:r>
      <w:r>
        <w:rPr>
          <w:rFonts w:hint="eastAsia"/>
          <w:highlight w:val="none"/>
          <w:lang w:val="en-US" w:eastAsia="zh-CN"/>
        </w:rPr>
        <w:t>7</w:t>
      </w:r>
      <w:r>
        <w:rPr>
          <w:rFonts w:hint="eastAsia"/>
          <w:highlight w:val="none"/>
        </w:rPr>
        <w:t xml:space="preserve">.2 </w:t>
      </w:r>
      <w:r>
        <w:rPr>
          <w:rFonts w:hint="eastAsia"/>
          <w:highlight w:val="none"/>
          <w:lang w:eastAsia="zh-CN"/>
        </w:rPr>
        <w:t>中国中煤</w:t>
      </w:r>
      <w:r>
        <w:rPr>
          <w:highlight w:val="none"/>
        </w:rPr>
        <w:t>对失信行为的</w:t>
      </w:r>
      <w:r>
        <w:rPr>
          <w:rFonts w:hint="eastAsia"/>
          <w:highlight w:val="none"/>
        </w:rPr>
        <w:t>供应商</w:t>
      </w:r>
      <w:r>
        <w:rPr>
          <w:highlight w:val="none"/>
        </w:rPr>
        <w:t>实施失信惩戒，实施全集团联合惩戒，禁止参加</w:t>
      </w:r>
      <w:r>
        <w:rPr>
          <w:rFonts w:hint="eastAsia"/>
          <w:highlight w:val="none"/>
          <w:lang w:eastAsia="zh-CN"/>
        </w:rPr>
        <w:t>中国中煤</w:t>
      </w:r>
      <w:r>
        <w:rPr>
          <w:highlight w:val="none"/>
        </w:rPr>
        <w:t>采购业务。</w:t>
      </w:r>
    </w:p>
    <w:p>
      <w:pPr>
        <w:pStyle w:val="5"/>
        <w:spacing w:before="240"/>
        <w:rPr>
          <w:rFonts w:ascii="Times New Roman" w:hAnsi="Times New Roman"/>
          <w:highlight w:val="none"/>
        </w:rPr>
      </w:pPr>
      <w:bookmarkStart w:id="138" w:name="_Toc23778"/>
      <w:bookmarkStart w:id="139" w:name="_Toc25314"/>
      <w:bookmarkStart w:id="140" w:name="_Toc31158"/>
      <w:r>
        <w:rPr>
          <w:rFonts w:hint="eastAsia" w:ascii="Times New Roman" w:hAnsi="Times New Roman"/>
          <w:highlight w:val="none"/>
          <w:lang w:val="en-US" w:eastAsia="zh-CN"/>
        </w:rPr>
        <w:t>18</w:t>
      </w:r>
      <w:r>
        <w:rPr>
          <w:rFonts w:hint="eastAsia" w:ascii="Times New Roman" w:hAnsi="Times New Roman"/>
          <w:highlight w:val="none"/>
        </w:rPr>
        <w:t>. 其他需要补充的内容</w:t>
      </w:r>
      <w:bookmarkEnd w:id="138"/>
      <w:bookmarkEnd w:id="139"/>
      <w:bookmarkEnd w:id="140"/>
    </w:p>
    <w:p>
      <w:pPr>
        <w:ind w:firstLine="480"/>
        <w:rPr>
          <w:rFonts w:hint="eastAsia"/>
          <w:color w:val="000000"/>
          <w:highlight w:val="none"/>
        </w:rPr>
      </w:pPr>
      <w:bookmarkStart w:id="141" w:name="_Toc525134808"/>
      <w:r>
        <w:rPr>
          <w:rFonts w:hint="eastAsia"/>
          <w:color w:val="000000"/>
          <w:highlight w:val="none"/>
          <w:lang w:eastAsia="zh-CN"/>
        </w:rPr>
        <w:t>1</w:t>
      </w:r>
      <w:r>
        <w:rPr>
          <w:rFonts w:hint="eastAsia"/>
          <w:color w:val="000000"/>
          <w:highlight w:val="none"/>
          <w:lang w:val="en-US" w:eastAsia="zh-CN"/>
        </w:rPr>
        <w:t xml:space="preserve">8.1 </w:t>
      </w:r>
      <w:r>
        <w:rPr>
          <w:rFonts w:hint="eastAsia"/>
          <w:color w:val="000000"/>
          <w:highlight w:val="none"/>
        </w:rPr>
        <w:t>报价函；</w:t>
      </w:r>
    </w:p>
    <w:p>
      <w:pPr>
        <w:ind w:firstLine="480"/>
        <w:rPr>
          <w:rFonts w:hint="eastAsia"/>
          <w:color w:val="000000"/>
          <w:highlight w:val="none"/>
        </w:rPr>
      </w:pPr>
      <w:r>
        <w:rPr>
          <w:rFonts w:hint="eastAsia"/>
          <w:color w:val="000000"/>
          <w:highlight w:val="none"/>
          <w:lang w:eastAsia="zh-CN"/>
        </w:rPr>
        <w:t>1</w:t>
      </w:r>
      <w:r>
        <w:rPr>
          <w:rFonts w:hint="eastAsia"/>
          <w:color w:val="000000"/>
          <w:highlight w:val="none"/>
          <w:lang w:val="en-US" w:eastAsia="zh-CN"/>
        </w:rPr>
        <w:t xml:space="preserve">8.2 </w:t>
      </w:r>
      <w:r>
        <w:rPr>
          <w:rFonts w:hint="eastAsia"/>
          <w:color w:val="000000"/>
          <w:highlight w:val="none"/>
        </w:rPr>
        <w:t>报价人执业许可证；</w:t>
      </w:r>
    </w:p>
    <w:p>
      <w:pPr>
        <w:ind w:firstLine="480"/>
        <w:rPr>
          <w:rFonts w:hint="eastAsia"/>
          <w:color w:val="000000"/>
          <w:highlight w:val="none"/>
        </w:rPr>
      </w:pPr>
      <w:r>
        <w:rPr>
          <w:rFonts w:hint="eastAsia"/>
          <w:color w:val="000000"/>
          <w:highlight w:val="none"/>
          <w:lang w:eastAsia="zh-CN"/>
        </w:rPr>
        <w:t>1</w:t>
      </w:r>
      <w:r>
        <w:rPr>
          <w:rFonts w:hint="eastAsia"/>
          <w:color w:val="000000"/>
          <w:highlight w:val="none"/>
          <w:lang w:val="en-US" w:eastAsia="zh-CN"/>
        </w:rPr>
        <w:t xml:space="preserve">8.3 </w:t>
      </w:r>
      <w:r>
        <w:rPr>
          <w:rFonts w:hint="eastAsia"/>
          <w:color w:val="000000"/>
          <w:highlight w:val="none"/>
        </w:rPr>
        <w:t>报价人所获荣誉证明材料；</w:t>
      </w:r>
    </w:p>
    <w:p>
      <w:pPr>
        <w:ind w:firstLine="480"/>
        <w:rPr>
          <w:rFonts w:hint="eastAsia"/>
          <w:color w:val="000000"/>
          <w:highlight w:val="none"/>
        </w:rPr>
      </w:pPr>
      <w:r>
        <w:rPr>
          <w:rFonts w:hint="eastAsia"/>
          <w:color w:val="000000"/>
          <w:highlight w:val="none"/>
          <w:lang w:eastAsia="zh-CN"/>
        </w:rPr>
        <w:t>1</w:t>
      </w:r>
      <w:r>
        <w:rPr>
          <w:rFonts w:hint="eastAsia"/>
          <w:color w:val="000000"/>
          <w:highlight w:val="none"/>
          <w:lang w:val="en-US" w:eastAsia="zh-CN"/>
        </w:rPr>
        <w:t xml:space="preserve">8.4 </w:t>
      </w:r>
      <w:r>
        <w:rPr>
          <w:rFonts w:hint="eastAsia"/>
          <w:color w:val="000000"/>
          <w:highlight w:val="none"/>
        </w:rPr>
        <w:t>报价人应当提交“信用中国”的查询记录，对列入失信被执行人的律所，将拒绝其参与本项目采购活动</w:t>
      </w:r>
    </w:p>
    <w:p>
      <w:pPr>
        <w:ind w:firstLine="480"/>
        <w:rPr>
          <w:rFonts w:hint="eastAsia"/>
          <w:color w:val="000000"/>
          <w:highlight w:val="none"/>
        </w:rPr>
      </w:pPr>
      <w:r>
        <w:rPr>
          <w:rFonts w:hint="eastAsia"/>
          <w:color w:val="000000"/>
          <w:highlight w:val="none"/>
          <w:lang w:eastAsia="zh-CN"/>
        </w:rPr>
        <w:t>1</w:t>
      </w:r>
      <w:r>
        <w:rPr>
          <w:rFonts w:hint="eastAsia"/>
          <w:color w:val="000000"/>
          <w:highlight w:val="none"/>
          <w:lang w:val="en-US" w:eastAsia="zh-CN"/>
        </w:rPr>
        <w:t xml:space="preserve">8.5 </w:t>
      </w:r>
      <w:r>
        <w:rPr>
          <w:rFonts w:hint="eastAsia"/>
          <w:color w:val="000000"/>
          <w:highlight w:val="none"/>
        </w:rPr>
        <w:t>律所及项目团队业绩案例证明；（见第三章评审办法“详细评审标准表”）</w:t>
      </w:r>
    </w:p>
    <w:p>
      <w:pPr>
        <w:ind w:firstLine="480"/>
        <w:rPr>
          <w:rFonts w:hint="eastAsia"/>
          <w:color w:val="000000"/>
          <w:highlight w:val="none"/>
        </w:rPr>
      </w:pPr>
      <w:r>
        <w:rPr>
          <w:rFonts w:hint="eastAsia"/>
          <w:color w:val="000000"/>
          <w:highlight w:val="none"/>
          <w:lang w:eastAsia="zh-CN"/>
        </w:rPr>
        <w:t>1</w:t>
      </w:r>
      <w:r>
        <w:rPr>
          <w:rFonts w:hint="eastAsia"/>
          <w:color w:val="000000"/>
          <w:highlight w:val="none"/>
          <w:lang w:val="en-US" w:eastAsia="zh-CN"/>
        </w:rPr>
        <w:t xml:space="preserve">8.6 </w:t>
      </w:r>
      <w:r>
        <w:rPr>
          <w:rFonts w:hint="eastAsia"/>
          <w:color w:val="000000"/>
          <w:highlight w:val="none"/>
        </w:rPr>
        <w:t>工作方案、专项服务建议；（见第三章评审办法“详细评审标准表”）</w:t>
      </w:r>
    </w:p>
    <w:p>
      <w:pPr>
        <w:ind w:firstLine="480"/>
        <w:rPr>
          <w:sz w:val="32"/>
          <w:szCs w:val="32"/>
          <w:highlight w:val="none"/>
        </w:rPr>
      </w:pPr>
      <w:r>
        <w:rPr>
          <w:rFonts w:hint="eastAsia"/>
          <w:color w:val="000000"/>
          <w:highlight w:val="none"/>
          <w:lang w:eastAsia="zh-CN"/>
        </w:rPr>
        <w:t>1</w:t>
      </w:r>
      <w:r>
        <w:rPr>
          <w:rFonts w:hint="eastAsia"/>
          <w:color w:val="000000"/>
          <w:highlight w:val="none"/>
          <w:lang w:val="en-US" w:eastAsia="zh-CN"/>
        </w:rPr>
        <w:t xml:space="preserve">8.7 </w:t>
      </w:r>
      <w:r>
        <w:rPr>
          <w:rFonts w:hint="eastAsia"/>
          <w:color w:val="000000"/>
          <w:highlight w:val="none"/>
        </w:rPr>
        <w:t>报价文件格式中要求提供的其他材料及其他报价人认为有提交必要的材料。</w:t>
      </w:r>
      <w:r>
        <w:rPr>
          <w:sz w:val="32"/>
          <w:szCs w:val="32"/>
          <w:highlight w:val="none"/>
        </w:rPr>
        <w:br w:type="page"/>
      </w:r>
    </w:p>
    <w:p>
      <w:pPr>
        <w:pStyle w:val="27"/>
        <w:spacing w:before="120"/>
        <w:rPr>
          <w:highlight w:val="none"/>
        </w:rPr>
      </w:pPr>
      <w:bookmarkStart w:id="142" w:name="_Toc10657"/>
      <w:bookmarkStart w:id="143" w:name="_Toc28219"/>
      <w:bookmarkStart w:id="144" w:name="_Toc13678"/>
      <w:r>
        <w:rPr>
          <w:rFonts w:hint="eastAsia"/>
          <w:highlight w:val="none"/>
        </w:rPr>
        <w:t>第三章 评审办法</w:t>
      </w:r>
      <w:bookmarkEnd w:id="142"/>
      <w:bookmarkEnd w:id="143"/>
      <w:bookmarkEnd w:id="144"/>
    </w:p>
    <w:p>
      <w:pPr>
        <w:pStyle w:val="5"/>
        <w:spacing w:before="240"/>
        <w:ind w:firstLine="478" w:firstLineChars="171"/>
        <w:rPr>
          <w:highlight w:val="none"/>
        </w:rPr>
      </w:pPr>
      <w:bookmarkStart w:id="145" w:name="_Toc8462"/>
      <w:bookmarkStart w:id="146" w:name="_Toc31218"/>
      <w:bookmarkStart w:id="147" w:name="_Toc14647"/>
      <w:r>
        <w:rPr>
          <w:rFonts w:hint="eastAsia"/>
          <w:highlight w:val="none"/>
        </w:rPr>
        <w:t>一、</w:t>
      </w:r>
      <w:bookmarkEnd w:id="145"/>
      <w:bookmarkEnd w:id="146"/>
      <w:bookmarkStart w:id="148" w:name="_Toc3668"/>
      <w:bookmarkStart w:id="149" w:name="_Toc8665"/>
      <w:r>
        <w:rPr>
          <w:rFonts w:hint="eastAsia"/>
          <w:highlight w:val="none"/>
        </w:rPr>
        <w:t>评审方法</w:t>
      </w:r>
      <w:bookmarkEnd w:id="147"/>
      <w:bookmarkEnd w:id="148"/>
      <w:bookmarkEnd w:id="149"/>
    </w:p>
    <w:p>
      <w:pPr>
        <w:ind w:firstLine="480"/>
        <w:rPr>
          <w:highlight w:val="none"/>
        </w:rPr>
      </w:pPr>
      <w:r>
        <w:rPr>
          <w:rFonts w:hint="eastAsia"/>
          <w:highlight w:val="none"/>
        </w:rPr>
        <w:t>本项目采用综合评估法。</w:t>
      </w:r>
    </w:p>
    <w:p>
      <w:pPr>
        <w:pStyle w:val="5"/>
        <w:spacing w:before="240"/>
        <w:ind w:firstLine="478" w:firstLineChars="171"/>
        <w:rPr>
          <w:highlight w:val="none"/>
        </w:rPr>
      </w:pPr>
      <w:bookmarkStart w:id="150" w:name="_Toc30960"/>
      <w:bookmarkStart w:id="151" w:name="_Toc17985"/>
      <w:bookmarkStart w:id="152" w:name="_Toc10528"/>
      <w:r>
        <w:rPr>
          <w:rFonts w:hint="eastAsia"/>
          <w:highlight w:val="none"/>
          <w:lang w:val="en-US" w:eastAsia="zh-CN"/>
        </w:rPr>
        <w:t>二</w:t>
      </w:r>
      <w:r>
        <w:rPr>
          <w:rFonts w:hint="eastAsia"/>
          <w:highlight w:val="none"/>
        </w:rPr>
        <w:t>、评审程序</w:t>
      </w:r>
      <w:bookmarkEnd w:id="150"/>
      <w:bookmarkEnd w:id="151"/>
      <w:bookmarkEnd w:id="152"/>
    </w:p>
    <w:p>
      <w:pPr>
        <w:ind w:firstLine="480"/>
        <w:rPr>
          <w:highlight w:val="none"/>
        </w:rPr>
      </w:pPr>
      <w:r>
        <w:rPr>
          <w:rFonts w:hint="eastAsia"/>
          <w:highlight w:val="none"/>
        </w:rPr>
        <w:t>1.</w:t>
      </w:r>
      <w:r>
        <w:rPr>
          <w:highlight w:val="none"/>
        </w:rPr>
        <w:t xml:space="preserve"> </w:t>
      </w:r>
      <w:r>
        <w:rPr>
          <w:rFonts w:hint="eastAsia"/>
          <w:highlight w:val="none"/>
        </w:rPr>
        <w:t>初步评审</w:t>
      </w:r>
    </w:p>
    <w:p>
      <w:pPr>
        <w:ind w:firstLine="480"/>
        <w:rPr>
          <w:highlight w:val="none"/>
        </w:rPr>
      </w:pPr>
      <w:r>
        <w:rPr>
          <w:rFonts w:hint="eastAsia"/>
          <w:highlight w:val="none"/>
        </w:rPr>
        <w:t>评审小组对报价文件进行初步评审，评审内容如下：</w:t>
      </w:r>
    </w:p>
    <w:p>
      <w:pPr>
        <w:pStyle w:val="23"/>
        <w:ind w:firstLine="480"/>
        <w:rPr>
          <w:highlight w:val="none"/>
        </w:rPr>
      </w:pPr>
      <w:r>
        <w:rPr>
          <w:rFonts w:hint="eastAsia"/>
          <w:highlight w:val="none"/>
        </w:rPr>
        <w:t>1.1 供应商名称与营业执照（事业单位法人证书）、资质证书、银行资信证明等证明性证书不一致；</w:t>
      </w:r>
    </w:p>
    <w:p>
      <w:pPr>
        <w:ind w:firstLine="480"/>
        <w:rPr>
          <w:highlight w:val="none"/>
        </w:rPr>
      </w:pPr>
      <w:r>
        <w:rPr>
          <w:rFonts w:hint="eastAsia"/>
          <w:highlight w:val="none"/>
        </w:rPr>
        <w:t>1.2 报价文件格式不符合询价文件“报价文件格式”要求；</w:t>
      </w:r>
    </w:p>
    <w:p>
      <w:pPr>
        <w:pStyle w:val="23"/>
        <w:ind w:firstLine="480"/>
        <w:rPr>
          <w:highlight w:val="none"/>
        </w:rPr>
      </w:pPr>
      <w:r>
        <w:rPr>
          <w:rFonts w:hint="eastAsia"/>
          <w:highlight w:val="none"/>
        </w:rPr>
        <w:t>1.3 报价不唯一（按询价文件规定提交备选方案的除外）；</w:t>
      </w:r>
    </w:p>
    <w:p>
      <w:pPr>
        <w:ind w:firstLine="480"/>
        <w:rPr>
          <w:highlight w:val="none"/>
        </w:rPr>
      </w:pPr>
      <w:r>
        <w:rPr>
          <w:rFonts w:hint="eastAsia"/>
          <w:highlight w:val="none"/>
        </w:rPr>
        <w:t xml:space="preserve">1.4 </w:t>
      </w:r>
      <w:r>
        <w:rPr>
          <w:rFonts w:hint="eastAsia"/>
          <w:highlight w:val="none"/>
          <w:lang w:val="en-US" w:eastAsia="zh-CN"/>
        </w:rPr>
        <w:t>律师事务所负责人</w:t>
      </w:r>
      <w:r>
        <w:rPr>
          <w:rFonts w:hint="eastAsia"/>
          <w:highlight w:val="none"/>
        </w:rPr>
        <w:t>授权委托书未按要求签字并加盖单位公章；</w:t>
      </w:r>
    </w:p>
    <w:p>
      <w:pPr>
        <w:ind w:firstLine="480"/>
        <w:rPr>
          <w:highlight w:val="none"/>
        </w:rPr>
      </w:pPr>
      <w:r>
        <w:rPr>
          <w:rFonts w:hint="eastAsia"/>
          <w:highlight w:val="none"/>
        </w:rPr>
        <w:t>1</w:t>
      </w:r>
      <w:r>
        <w:rPr>
          <w:highlight w:val="none"/>
        </w:rPr>
        <w:t>.</w:t>
      </w:r>
      <w:r>
        <w:rPr>
          <w:rFonts w:hint="eastAsia"/>
          <w:highlight w:val="none"/>
        </w:rPr>
        <w:t>5</w:t>
      </w:r>
      <w:r>
        <w:rPr>
          <w:highlight w:val="none"/>
        </w:rPr>
        <w:t xml:space="preserve"> </w:t>
      </w:r>
      <w:r>
        <w:rPr>
          <w:rFonts w:hint="eastAsia"/>
          <w:highlight w:val="none"/>
        </w:rPr>
        <w:t>供应商资格条件不满足询价文件要求；</w:t>
      </w:r>
    </w:p>
    <w:p>
      <w:pPr>
        <w:pStyle w:val="23"/>
        <w:ind w:firstLine="480"/>
        <w:rPr>
          <w:highlight w:val="none"/>
        </w:rPr>
      </w:pPr>
      <w:r>
        <w:rPr>
          <w:rFonts w:hint="eastAsia"/>
          <w:highlight w:val="none"/>
        </w:rPr>
        <w:t>1.</w:t>
      </w:r>
      <w:r>
        <w:rPr>
          <w:highlight w:val="none"/>
        </w:rPr>
        <w:t>6</w:t>
      </w:r>
      <w:r>
        <w:rPr>
          <w:rFonts w:hint="eastAsia"/>
          <w:highlight w:val="none"/>
        </w:rPr>
        <w:t xml:space="preserve"> 报价文件有效期不满足询价文件要求；</w:t>
      </w:r>
    </w:p>
    <w:p>
      <w:pPr>
        <w:ind w:firstLine="480"/>
        <w:rPr>
          <w:highlight w:val="none"/>
        </w:rPr>
      </w:pPr>
      <w:r>
        <w:rPr>
          <w:rFonts w:hint="eastAsia"/>
          <w:highlight w:val="none"/>
        </w:rPr>
        <w:t>1</w:t>
      </w:r>
      <w:r>
        <w:rPr>
          <w:highlight w:val="none"/>
        </w:rPr>
        <w:t xml:space="preserve">.7 </w:t>
      </w:r>
      <w:r>
        <w:rPr>
          <w:rFonts w:hint="eastAsia"/>
          <w:highlight w:val="none"/>
        </w:rPr>
        <w:t>报价文件附有采购人不能接受的条件；</w:t>
      </w:r>
    </w:p>
    <w:p>
      <w:pPr>
        <w:pStyle w:val="10"/>
        <w:ind w:firstLine="480"/>
        <w:rPr>
          <w:highlight w:val="none"/>
        </w:rPr>
      </w:pPr>
      <w:r>
        <w:rPr>
          <w:rFonts w:hint="eastAsia"/>
          <w:highlight w:val="none"/>
        </w:rPr>
        <w:t>1.</w:t>
      </w:r>
      <w:r>
        <w:rPr>
          <w:highlight w:val="none"/>
        </w:rPr>
        <w:t>8</w:t>
      </w:r>
      <w:r>
        <w:rPr>
          <w:rFonts w:hint="eastAsia"/>
          <w:highlight w:val="none"/>
        </w:rPr>
        <w:t>有下列情形之一的，视为供应商相互串通：</w:t>
      </w:r>
    </w:p>
    <w:p>
      <w:pPr>
        <w:pStyle w:val="10"/>
        <w:ind w:firstLine="480"/>
        <w:rPr>
          <w:highlight w:val="none"/>
        </w:rPr>
      </w:pPr>
      <w:r>
        <w:rPr>
          <w:rFonts w:hint="eastAsia"/>
          <w:highlight w:val="none"/>
        </w:rPr>
        <w:t>(1) 不同供应商的报价文件由同一单位或者个人编制；</w:t>
      </w:r>
    </w:p>
    <w:p>
      <w:pPr>
        <w:pStyle w:val="10"/>
        <w:ind w:firstLine="480"/>
        <w:rPr>
          <w:highlight w:val="none"/>
        </w:rPr>
      </w:pPr>
      <w:r>
        <w:rPr>
          <w:rFonts w:hint="eastAsia"/>
          <w:highlight w:val="none"/>
        </w:rPr>
        <w:t>(2) 不同供应商委托同一单位或者个人办理报价事宜；</w:t>
      </w:r>
    </w:p>
    <w:p>
      <w:pPr>
        <w:pStyle w:val="10"/>
        <w:ind w:firstLine="480"/>
        <w:rPr>
          <w:highlight w:val="none"/>
        </w:rPr>
      </w:pPr>
      <w:r>
        <w:rPr>
          <w:rFonts w:hint="eastAsia"/>
          <w:highlight w:val="none"/>
        </w:rPr>
        <w:t>(3) 不同供应商的报价文件载明的项目管理成员为同一人；</w:t>
      </w:r>
    </w:p>
    <w:p>
      <w:pPr>
        <w:pStyle w:val="10"/>
        <w:ind w:firstLine="480"/>
        <w:rPr>
          <w:highlight w:val="none"/>
        </w:rPr>
      </w:pPr>
      <w:r>
        <w:rPr>
          <w:rFonts w:hint="eastAsia"/>
          <w:highlight w:val="none"/>
        </w:rPr>
        <w:t>(4) 不同供应商的报价文件异常一致或者报价呈规律性差异；</w:t>
      </w:r>
    </w:p>
    <w:p>
      <w:pPr>
        <w:pStyle w:val="10"/>
        <w:ind w:firstLine="480"/>
        <w:rPr>
          <w:highlight w:val="none"/>
        </w:rPr>
      </w:pPr>
      <w:r>
        <w:rPr>
          <w:rFonts w:hint="eastAsia"/>
          <w:highlight w:val="none"/>
        </w:rPr>
        <w:t>(5) 不同供应商的报价文件相互混装；</w:t>
      </w:r>
    </w:p>
    <w:p>
      <w:pPr>
        <w:ind w:firstLine="480"/>
        <w:rPr>
          <w:highlight w:val="none"/>
        </w:rPr>
      </w:pPr>
      <w:r>
        <w:rPr>
          <w:rFonts w:hint="eastAsia"/>
          <w:highlight w:val="none"/>
        </w:rPr>
        <w:t>1</w:t>
      </w:r>
      <w:r>
        <w:rPr>
          <w:highlight w:val="none"/>
        </w:rPr>
        <w:t xml:space="preserve">.9 </w:t>
      </w:r>
      <w:r>
        <w:rPr>
          <w:rFonts w:hint="eastAsia"/>
          <w:highlight w:val="none"/>
        </w:rPr>
        <w:t>国家相关法规规定的</w:t>
      </w:r>
      <w:r>
        <w:rPr>
          <w:rFonts w:hint="eastAsia"/>
          <w:highlight w:val="none"/>
          <w:lang w:eastAsia="zh-CN"/>
        </w:rPr>
        <w:t>其他</w:t>
      </w:r>
      <w:r>
        <w:rPr>
          <w:rFonts w:hint="eastAsia"/>
          <w:highlight w:val="none"/>
        </w:rPr>
        <w:t>否决条款。</w:t>
      </w:r>
    </w:p>
    <w:p>
      <w:pPr>
        <w:ind w:firstLine="480"/>
        <w:rPr>
          <w:highlight w:val="none"/>
        </w:rPr>
      </w:pPr>
      <w:r>
        <w:rPr>
          <w:rFonts w:hint="eastAsia"/>
          <w:highlight w:val="none"/>
        </w:rPr>
        <w:t>如发生上述条款中的任何一项，初步审查将视为不合格，供应商只有通过初步评审，才能进入</w:t>
      </w:r>
      <w:r>
        <w:rPr>
          <w:rFonts w:hint="eastAsia" w:ascii="宋体" w:hAnsi="宋体"/>
          <w:highlight w:val="none"/>
        </w:rPr>
        <w:t>下一步具体谈判过程</w:t>
      </w:r>
      <w:r>
        <w:rPr>
          <w:rFonts w:hint="eastAsia"/>
          <w:highlight w:val="none"/>
        </w:rPr>
        <w:t>。</w:t>
      </w:r>
    </w:p>
    <w:p>
      <w:pPr>
        <w:pStyle w:val="10"/>
        <w:ind w:firstLine="480"/>
        <w:rPr>
          <w:highlight w:val="none"/>
        </w:rPr>
      </w:pPr>
      <w:r>
        <w:rPr>
          <w:rFonts w:hint="eastAsia"/>
          <w:highlight w:val="none"/>
        </w:rPr>
        <w:t>2.</w:t>
      </w:r>
      <w:r>
        <w:rPr>
          <w:highlight w:val="none"/>
        </w:rPr>
        <w:t xml:space="preserve"> </w:t>
      </w:r>
      <w:r>
        <w:rPr>
          <w:rFonts w:hint="eastAsia"/>
          <w:highlight w:val="none"/>
        </w:rPr>
        <w:t>谈判过程</w:t>
      </w:r>
    </w:p>
    <w:p>
      <w:pPr>
        <w:pStyle w:val="10"/>
        <w:ind w:firstLine="480"/>
        <w:rPr>
          <w:highlight w:val="none"/>
        </w:rPr>
      </w:pPr>
      <w:r>
        <w:rPr>
          <w:rFonts w:hint="eastAsia"/>
          <w:highlight w:val="none"/>
        </w:rPr>
        <w:t>2.1 谈判小组与所有通过初步评审的供应商分别进行谈判。</w:t>
      </w:r>
    </w:p>
    <w:p>
      <w:pPr>
        <w:pStyle w:val="10"/>
        <w:ind w:firstLine="480"/>
        <w:rPr>
          <w:highlight w:val="none"/>
        </w:rPr>
      </w:pPr>
      <w:r>
        <w:rPr>
          <w:rFonts w:hint="eastAsia"/>
          <w:highlight w:val="none"/>
        </w:rPr>
        <w:t>2.2 谈判小组可与供应商进行多轮谈判，可要求供应商进行多次报价，并确保所有具有继续谈判资格的供应商得到均等的谈判和报价机会。</w:t>
      </w:r>
    </w:p>
    <w:p>
      <w:pPr>
        <w:pStyle w:val="10"/>
        <w:ind w:firstLine="480"/>
        <w:rPr>
          <w:highlight w:val="none"/>
        </w:rPr>
      </w:pPr>
      <w:r>
        <w:rPr>
          <w:rFonts w:hint="eastAsia"/>
          <w:highlight w:val="none"/>
        </w:rPr>
        <w:t>2.3 谈判结束后，谈判小组应当要求所有具有最终报价资格的供应商限期以书面形式提交最终报价。</w:t>
      </w:r>
    </w:p>
    <w:p>
      <w:pPr>
        <w:pStyle w:val="10"/>
        <w:ind w:firstLine="480"/>
        <w:rPr>
          <w:highlight w:val="none"/>
        </w:rPr>
      </w:pPr>
      <w:r>
        <w:rPr>
          <w:rFonts w:hint="eastAsia"/>
          <w:highlight w:val="none"/>
        </w:rPr>
        <w:t>2.4 供应商在谈判期间作出的对报价文件的澄清、修改、补充、最终报价等，作为报价文件的组成部分。</w:t>
      </w:r>
    </w:p>
    <w:p>
      <w:pPr>
        <w:ind w:firstLine="480"/>
        <w:rPr>
          <w:highlight w:val="none"/>
        </w:rPr>
      </w:pPr>
      <w:r>
        <w:rPr>
          <w:rFonts w:hint="eastAsia"/>
          <w:highlight w:val="none"/>
        </w:rPr>
        <w:t>3.</w:t>
      </w:r>
      <w:r>
        <w:rPr>
          <w:highlight w:val="none"/>
        </w:rPr>
        <w:t xml:space="preserve"> </w:t>
      </w:r>
      <w:r>
        <w:rPr>
          <w:rFonts w:hint="eastAsia"/>
          <w:highlight w:val="none"/>
        </w:rPr>
        <w:t>详细评审：详细评审包括商务、技术和价格评审。</w:t>
      </w:r>
    </w:p>
    <w:p>
      <w:pPr>
        <w:ind w:firstLine="480"/>
        <w:rPr>
          <w:rFonts w:ascii="宋体" w:hAnsi="宋体"/>
          <w:highlight w:val="none"/>
        </w:rPr>
      </w:pPr>
      <w:bookmarkStart w:id="153" w:name="_Toc386046234"/>
      <w:bookmarkStart w:id="154" w:name="_Toc386358396"/>
      <w:r>
        <w:rPr>
          <w:highlight w:val="none"/>
        </w:rPr>
        <w:t>评</w:t>
      </w:r>
      <w:r>
        <w:rPr>
          <w:rFonts w:hint="eastAsia"/>
          <w:highlight w:val="none"/>
        </w:rPr>
        <w:t>审</w:t>
      </w:r>
      <w:r>
        <w:rPr>
          <w:highlight w:val="none"/>
        </w:rPr>
        <w:t>委员会按</w:t>
      </w:r>
      <w:r>
        <w:rPr>
          <w:rFonts w:hint="eastAsia"/>
          <w:highlight w:val="none"/>
        </w:rPr>
        <w:t>详细评审评分标准（详见附表1）</w:t>
      </w:r>
      <w:r>
        <w:rPr>
          <w:highlight w:val="none"/>
        </w:rPr>
        <w:t>规定的量化因素和分值进行打分，并计算出综合评估得分。</w:t>
      </w:r>
      <w:r>
        <w:rPr>
          <w:rFonts w:hint="eastAsia" w:ascii="宋体" w:hAnsi="宋体"/>
          <w:highlight w:val="none"/>
        </w:rPr>
        <w:t>综合得分按下面公式计算</w:t>
      </w:r>
      <w:bookmarkEnd w:id="153"/>
      <w:bookmarkEnd w:id="154"/>
      <w:r>
        <w:rPr>
          <w:rFonts w:hint="eastAsia" w:ascii="宋体" w:hAnsi="宋体"/>
          <w:highlight w:val="none"/>
        </w:rPr>
        <w:t>：</w:t>
      </w:r>
    </w:p>
    <w:p>
      <w:pPr>
        <w:ind w:firstLine="480"/>
        <w:rPr>
          <w:rFonts w:ascii="宋体" w:hAnsi="宋体"/>
          <w:highlight w:val="none"/>
        </w:rPr>
      </w:pPr>
      <w:r>
        <w:rPr>
          <w:rFonts w:hint="eastAsia" w:ascii="宋体" w:hAnsi="宋体"/>
          <w:highlight w:val="none"/>
          <w:lang w:val="en-US" w:eastAsia="zh-CN"/>
        </w:rPr>
        <w:t>业绩</w:t>
      </w:r>
      <w:r>
        <w:rPr>
          <w:rFonts w:ascii="宋体" w:hAnsi="宋体"/>
          <w:highlight w:val="none"/>
        </w:rPr>
        <w:t>：满分</w:t>
      </w:r>
      <w:r>
        <w:rPr>
          <w:rFonts w:hint="eastAsia" w:ascii="宋体" w:hAnsi="宋体"/>
          <w:highlight w:val="none"/>
          <w:u w:val="single"/>
          <w:lang w:val="en-US" w:eastAsia="zh-CN"/>
        </w:rPr>
        <w:t>30</w:t>
      </w:r>
      <w:r>
        <w:rPr>
          <w:rFonts w:hint="eastAsia" w:ascii="宋体" w:hAnsi="宋体"/>
          <w:highlight w:val="none"/>
        </w:rPr>
        <w:t>分，权重</w:t>
      </w:r>
      <w:r>
        <w:rPr>
          <w:rFonts w:ascii="宋体" w:hAnsi="宋体"/>
          <w:highlight w:val="none"/>
        </w:rPr>
        <w:t xml:space="preserve">K1 </w:t>
      </w:r>
      <w:r>
        <w:rPr>
          <w:rFonts w:ascii="宋体" w:hAnsi="宋体"/>
          <w:highlight w:val="none"/>
          <w:u w:val="single"/>
        </w:rPr>
        <w:t>100</w:t>
      </w:r>
      <w:r>
        <w:rPr>
          <w:rFonts w:ascii="宋体" w:hAnsi="宋体"/>
          <w:highlight w:val="none"/>
        </w:rPr>
        <w:t xml:space="preserve">% </w:t>
      </w:r>
      <w:r>
        <w:rPr>
          <w:rFonts w:hint="eastAsia" w:ascii="宋体" w:hAnsi="宋体"/>
          <w:highlight w:val="none"/>
        </w:rPr>
        <w:t>；</w:t>
      </w:r>
    </w:p>
    <w:p>
      <w:pPr>
        <w:ind w:firstLine="480"/>
        <w:rPr>
          <w:rFonts w:ascii="宋体" w:hAnsi="宋体"/>
          <w:highlight w:val="none"/>
        </w:rPr>
      </w:pPr>
      <w:r>
        <w:rPr>
          <w:rFonts w:hint="eastAsia" w:ascii="宋体" w:hAnsi="宋体"/>
          <w:highlight w:val="none"/>
          <w:lang w:val="en-US" w:eastAsia="zh-CN"/>
        </w:rPr>
        <w:t>工作方案、专项服务建议及商务响应程度</w:t>
      </w:r>
      <w:r>
        <w:rPr>
          <w:rFonts w:ascii="宋体" w:hAnsi="宋体"/>
          <w:highlight w:val="none"/>
        </w:rPr>
        <w:t>B：满分</w:t>
      </w:r>
      <w:r>
        <w:rPr>
          <w:rFonts w:hint="eastAsia" w:ascii="宋体" w:hAnsi="宋体"/>
          <w:highlight w:val="none"/>
          <w:u w:val="single"/>
          <w:lang w:val="en-US" w:eastAsia="zh-CN"/>
        </w:rPr>
        <w:t>15</w:t>
      </w:r>
      <w:r>
        <w:rPr>
          <w:rFonts w:hint="eastAsia" w:ascii="宋体" w:hAnsi="宋体"/>
          <w:highlight w:val="none"/>
        </w:rPr>
        <w:t>分，权重</w:t>
      </w:r>
      <w:r>
        <w:rPr>
          <w:rFonts w:ascii="宋体" w:hAnsi="宋体"/>
          <w:highlight w:val="none"/>
        </w:rPr>
        <w:t xml:space="preserve">K2 </w:t>
      </w:r>
      <w:r>
        <w:rPr>
          <w:rFonts w:ascii="宋体" w:hAnsi="宋体"/>
          <w:highlight w:val="none"/>
          <w:u w:val="single"/>
        </w:rPr>
        <w:t>100</w:t>
      </w:r>
      <w:r>
        <w:rPr>
          <w:rFonts w:ascii="宋体" w:hAnsi="宋体"/>
          <w:highlight w:val="none"/>
        </w:rPr>
        <w:t xml:space="preserve">% </w:t>
      </w:r>
      <w:r>
        <w:rPr>
          <w:rFonts w:hint="eastAsia" w:ascii="宋体" w:hAnsi="宋体"/>
          <w:highlight w:val="none"/>
        </w:rPr>
        <w:t>；</w:t>
      </w:r>
    </w:p>
    <w:p>
      <w:pPr>
        <w:ind w:firstLine="480"/>
        <w:rPr>
          <w:rFonts w:hint="eastAsia" w:ascii="宋体" w:hAnsi="宋体"/>
          <w:highlight w:val="none"/>
        </w:rPr>
      </w:pPr>
      <w:r>
        <w:rPr>
          <w:rFonts w:hint="eastAsia" w:ascii="宋体" w:hAnsi="宋体"/>
          <w:highlight w:val="none"/>
          <w:lang w:val="en-US" w:eastAsia="zh-CN"/>
        </w:rPr>
        <w:t>工作团队</w:t>
      </w:r>
      <w:r>
        <w:rPr>
          <w:rFonts w:ascii="宋体" w:hAnsi="宋体"/>
          <w:highlight w:val="none"/>
        </w:rPr>
        <w:t>C：满分</w:t>
      </w:r>
      <w:r>
        <w:rPr>
          <w:rFonts w:hint="eastAsia" w:ascii="宋体" w:hAnsi="宋体"/>
          <w:highlight w:val="none"/>
          <w:u w:val="single"/>
          <w:lang w:val="en-US" w:eastAsia="zh-CN"/>
        </w:rPr>
        <w:t>25</w:t>
      </w:r>
      <w:r>
        <w:rPr>
          <w:rFonts w:hint="eastAsia" w:ascii="宋体" w:hAnsi="宋体"/>
          <w:highlight w:val="none"/>
        </w:rPr>
        <w:t>分，权重</w:t>
      </w:r>
      <w:r>
        <w:rPr>
          <w:rFonts w:ascii="宋体" w:hAnsi="宋体"/>
          <w:highlight w:val="none"/>
        </w:rPr>
        <w:t xml:space="preserve">K3 </w:t>
      </w:r>
      <w:r>
        <w:rPr>
          <w:rFonts w:ascii="宋体" w:hAnsi="宋体"/>
          <w:highlight w:val="none"/>
          <w:u w:val="single"/>
        </w:rPr>
        <w:t>100</w:t>
      </w:r>
      <w:r>
        <w:rPr>
          <w:rFonts w:ascii="宋体" w:hAnsi="宋体"/>
          <w:highlight w:val="none"/>
        </w:rPr>
        <w:t xml:space="preserve">% </w:t>
      </w:r>
      <w:r>
        <w:rPr>
          <w:rFonts w:hint="eastAsia" w:ascii="宋体" w:hAnsi="宋体"/>
          <w:highlight w:val="none"/>
        </w:rPr>
        <w:t>；</w:t>
      </w:r>
    </w:p>
    <w:p>
      <w:pPr>
        <w:pStyle w:val="10"/>
        <w:rPr>
          <w:rFonts w:hint="default" w:eastAsia="宋体"/>
          <w:highlight w:val="none"/>
          <w:lang w:val="en-US" w:eastAsia="zh-CN"/>
        </w:rPr>
      </w:pPr>
      <w:r>
        <w:rPr>
          <w:rFonts w:hint="eastAsia" w:ascii="宋体" w:hAnsi="宋体"/>
          <w:highlight w:val="none"/>
          <w:lang w:val="en-US" w:eastAsia="zh-CN"/>
        </w:rPr>
        <w:t>报价D：</w:t>
      </w:r>
      <w:r>
        <w:rPr>
          <w:rFonts w:ascii="宋体" w:hAnsi="宋体"/>
          <w:highlight w:val="none"/>
        </w:rPr>
        <w:t>满分</w:t>
      </w:r>
      <w:r>
        <w:rPr>
          <w:rFonts w:hint="eastAsia" w:ascii="宋体" w:hAnsi="宋体"/>
          <w:highlight w:val="none"/>
          <w:u w:val="single"/>
          <w:lang w:val="en-US" w:eastAsia="zh-CN"/>
        </w:rPr>
        <w:t>3</w:t>
      </w:r>
      <w:r>
        <w:rPr>
          <w:rFonts w:ascii="宋体" w:hAnsi="宋体"/>
          <w:highlight w:val="none"/>
          <w:u w:val="single"/>
        </w:rPr>
        <w:t>0</w:t>
      </w:r>
      <w:r>
        <w:rPr>
          <w:rFonts w:hint="eastAsia" w:ascii="宋体" w:hAnsi="宋体"/>
          <w:highlight w:val="none"/>
        </w:rPr>
        <w:t>分，权重</w:t>
      </w:r>
      <w:r>
        <w:rPr>
          <w:rFonts w:ascii="宋体" w:hAnsi="宋体"/>
          <w:highlight w:val="none"/>
        </w:rPr>
        <w:t>K</w:t>
      </w:r>
      <w:r>
        <w:rPr>
          <w:rFonts w:hint="eastAsia" w:ascii="宋体" w:hAnsi="宋体"/>
          <w:highlight w:val="none"/>
          <w:lang w:val="en-US" w:eastAsia="zh-CN"/>
        </w:rPr>
        <w:t>4</w:t>
      </w:r>
      <w:r>
        <w:rPr>
          <w:rFonts w:ascii="宋体" w:hAnsi="宋体"/>
          <w:highlight w:val="none"/>
        </w:rPr>
        <w:t xml:space="preserve"> </w:t>
      </w:r>
      <w:r>
        <w:rPr>
          <w:rFonts w:ascii="宋体" w:hAnsi="宋体"/>
          <w:highlight w:val="none"/>
          <w:u w:val="single"/>
        </w:rPr>
        <w:t>100</w:t>
      </w:r>
      <w:r>
        <w:rPr>
          <w:rFonts w:ascii="宋体" w:hAnsi="宋体"/>
          <w:highlight w:val="none"/>
        </w:rPr>
        <w:t xml:space="preserve">% </w:t>
      </w:r>
      <w:r>
        <w:rPr>
          <w:rFonts w:hint="eastAsia" w:ascii="宋体" w:hAnsi="宋体"/>
          <w:highlight w:val="none"/>
        </w:rPr>
        <w:t>；</w:t>
      </w:r>
    </w:p>
    <w:p>
      <w:pPr>
        <w:ind w:firstLine="480"/>
        <w:rPr>
          <w:rFonts w:hint="eastAsia" w:eastAsia="宋体"/>
          <w:highlight w:val="none"/>
          <w:lang w:val="en-US" w:eastAsia="zh-CN"/>
        </w:rPr>
      </w:pPr>
      <w:r>
        <w:rPr>
          <w:rFonts w:hint="eastAsia" w:ascii="宋体" w:hAnsi="宋体"/>
          <w:highlight w:val="none"/>
        </w:rPr>
        <w:t>综合得分</w:t>
      </w:r>
      <w:r>
        <w:rPr>
          <w:rFonts w:ascii="宋体" w:hAnsi="宋体"/>
          <w:highlight w:val="none"/>
        </w:rPr>
        <w:t>=A×K1＋B×K2＋C×K3</w:t>
      </w:r>
      <w:r>
        <w:rPr>
          <w:rFonts w:hint="eastAsia" w:ascii="宋体" w:hAnsi="宋体"/>
          <w:highlight w:val="none"/>
          <w:lang w:val="en-US" w:eastAsia="zh-CN"/>
        </w:rPr>
        <w:t>+D</w:t>
      </w:r>
      <w:r>
        <w:rPr>
          <w:rFonts w:ascii="宋体" w:hAnsi="宋体"/>
          <w:highlight w:val="none"/>
        </w:rPr>
        <w:t>×K</w:t>
      </w:r>
      <w:r>
        <w:rPr>
          <w:rFonts w:hint="eastAsia" w:ascii="宋体" w:hAnsi="宋体"/>
          <w:highlight w:val="none"/>
          <w:lang w:val="en-US" w:eastAsia="zh-CN"/>
        </w:rPr>
        <w:t>4</w:t>
      </w:r>
    </w:p>
    <w:p>
      <w:pPr>
        <w:ind w:firstLine="480"/>
        <w:rPr>
          <w:highlight w:val="none"/>
        </w:rPr>
      </w:pPr>
      <w:r>
        <w:rPr>
          <w:rFonts w:hint="eastAsia"/>
          <w:highlight w:val="none"/>
        </w:rPr>
        <w:t>4</w:t>
      </w:r>
      <w:r>
        <w:rPr>
          <w:highlight w:val="none"/>
        </w:rPr>
        <w:t xml:space="preserve">. </w:t>
      </w:r>
      <w:r>
        <w:rPr>
          <w:rFonts w:hint="eastAsia"/>
          <w:highlight w:val="none"/>
        </w:rPr>
        <w:t>评审</w:t>
      </w:r>
      <w:r>
        <w:rPr>
          <w:highlight w:val="none"/>
        </w:rPr>
        <w:t>报告</w:t>
      </w:r>
    </w:p>
    <w:p>
      <w:pPr>
        <w:ind w:firstLine="480"/>
        <w:rPr>
          <w:highlight w:val="none"/>
        </w:rPr>
      </w:pPr>
      <w:r>
        <w:rPr>
          <w:rFonts w:hint="eastAsia" w:ascii="宋体" w:hAnsi="宋体"/>
          <w:szCs w:val="24"/>
          <w:highlight w:val="none"/>
        </w:rPr>
        <w:t>评审报告应由谈判小组全体成员签字确认。成员对评审报告有异议的，可提出意见，按照少数服从多数的原则做出结论；有异议的成员，应在报告上签署不同意见并说明理由，拒绝在报告上签字又不书面说明理由的，视为同意评审报告。</w:t>
      </w:r>
    </w:p>
    <w:p>
      <w:pPr>
        <w:pStyle w:val="5"/>
        <w:spacing w:before="240"/>
        <w:ind w:firstLine="478" w:firstLineChars="171"/>
        <w:rPr>
          <w:highlight w:val="none"/>
        </w:rPr>
      </w:pPr>
      <w:bookmarkStart w:id="155" w:name="_Toc11953"/>
      <w:bookmarkStart w:id="156" w:name="_Toc18265"/>
      <w:bookmarkStart w:id="157" w:name="_Toc14193"/>
      <w:r>
        <w:rPr>
          <w:rFonts w:hint="eastAsia"/>
          <w:highlight w:val="none"/>
          <w:lang w:val="en-US" w:eastAsia="zh-CN"/>
        </w:rPr>
        <w:t>三</w:t>
      </w:r>
      <w:r>
        <w:rPr>
          <w:rFonts w:hint="eastAsia"/>
          <w:highlight w:val="none"/>
        </w:rPr>
        <w:t>、推荐成交供应商</w:t>
      </w:r>
      <w:bookmarkEnd w:id="155"/>
      <w:bookmarkEnd w:id="156"/>
      <w:bookmarkEnd w:id="157"/>
    </w:p>
    <w:p>
      <w:pPr>
        <w:ind w:firstLine="480"/>
        <w:rPr>
          <w:highlight w:val="none"/>
        </w:rPr>
      </w:pPr>
      <w:r>
        <w:rPr>
          <w:rFonts w:hint="eastAsia"/>
          <w:highlight w:val="none"/>
        </w:rPr>
        <w:t>谈判小组</w:t>
      </w:r>
      <w:r>
        <w:rPr>
          <w:highlight w:val="none"/>
        </w:rPr>
        <w:t>按照得分由高到低的顺序推荐</w:t>
      </w:r>
      <w:r>
        <w:rPr>
          <w:rFonts w:hint="eastAsia"/>
          <w:highlight w:val="none"/>
        </w:rPr>
        <w:t>成交候选供应商</w:t>
      </w:r>
      <w:r>
        <w:rPr>
          <w:highlight w:val="none"/>
        </w:rPr>
        <w:t>，</w:t>
      </w:r>
      <w:r>
        <w:rPr>
          <w:rFonts w:hint="eastAsia"/>
          <w:highlight w:val="none"/>
        </w:rPr>
        <w:t>一般推荐前三名</w:t>
      </w:r>
      <w:r>
        <w:rPr>
          <w:highlight w:val="none"/>
        </w:rPr>
        <w:t>并标明排序。</w:t>
      </w:r>
      <w:r>
        <w:rPr>
          <w:rFonts w:hint="eastAsia"/>
          <w:highlight w:val="none"/>
        </w:rPr>
        <w:t>综合评分相等时，以报价低的优先；报价也相等的，以</w:t>
      </w:r>
      <w:r>
        <w:rPr>
          <w:rFonts w:hint="eastAsia"/>
          <w:highlight w:val="none"/>
          <w:lang w:val="en-US" w:eastAsia="zh-CN"/>
        </w:rPr>
        <w:t>前三项总分</w:t>
      </w:r>
      <w:r>
        <w:rPr>
          <w:rFonts w:hint="eastAsia"/>
          <w:highlight w:val="none"/>
        </w:rPr>
        <w:t>高的优先；如果</w:t>
      </w:r>
      <w:r>
        <w:rPr>
          <w:rFonts w:hint="eastAsia"/>
          <w:highlight w:val="none"/>
          <w:lang w:val="en-US" w:eastAsia="zh-CN"/>
        </w:rPr>
        <w:t>前三项总</w:t>
      </w:r>
      <w:r>
        <w:rPr>
          <w:rFonts w:hint="eastAsia"/>
          <w:highlight w:val="none"/>
        </w:rPr>
        <w:t>分也相等，由采购人自行决定。</w:t>
      </w:r>
    </w:p>
    <w:p>
      <w:pPr>
        <w:ind w:firstLine="480"/>
        <w:rPr>
          <w:highlight w:val="none"/>
        </w:rPr>
      </w:pPr>
      <w:r>
        <w:rPr>
          <w:rFonts w:hint="eastAsia"/>
          <w:highlight w:val="none"/>
        </w:rPr>
        <w:br w:type="page"/>
      </w:r>
    </w:p>
    <w:p>
      <w:pPr>
        <w:ind w:firstLine="480"/>
        <w:rPr>
          <w:highlight w:val="none"/>
        </w:rPr>
      </w:pPr>
      <w:r>
        <w:rPr>
          <w:rFonts w:hint="eastAsia"/>
          <w:highlight w:val="none"/>
        </w:rPr>
        <w:t>附表1 详细评审标准表</w:t>
      </w:r>
    </w:p>
    <w:tbl>
      <w:tblPr>
        <w:tblStyle w:val="29"/>
        <w:tblW w:w="925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
      <w:tblGrid>
        <w:gridCol w:w="581"/>
        <w:gridCol w:w="1414"/>
        <w:gridCol w:w="1855"/>
        <w:gridCol w:w="4511"/>
        <w:gridCol w:w="89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40" w:hRule="atLeast"/>
          <w:jc w:val="center"/>
        </w:trPr>
        <w:tc>
          <w:tcPr>
            <w:tcW w:w="581" w:type="dxa"/>
            <w:shd w:val="clear" w:color="auto" w:fill="C7DAF1"/>
            <w:vAlign w:val="center"/>
          </w:tcPr>
          <w:p>
            <w:pPr>
              <w:spacing w:line="260" w:lineRule="exact"/>
              <w:ind w:left="0" w:leftChars="0" w:firstLine="0" w:firstLineChars="0"/>
              <w:jc w:val="center"/>
              <w:rPr>
                <w:rFonts w:hint="eastAsia" w:ascii="黑体" w:hAnsi="黑体" w:eastAsia="黑体" w:cs="黑体"/>
                <w:color w:val="000000"/>
                <w:sz w:val="21"/>
                <w:szCs w:val="21"/>
                <w:highlight w:val="none"/>
              </w:rPr>
            </w:pPr>
            <w:r>
              <w:rPr>
                <w:rFonts w:hint="eastAsia" w:ascii="黑体" w:hAnsi="黑体" w:eastAsia="黑体" w:cs="黑体"/>
                <w:color w:val="000000"/>
                <w:sz w:val="21"/>
                <w:szCs w:val="21"/>
                <w:highlight w:val="none"/>
              </w:rPr>
              <w:t>序号</w:t>
            </w:r>
          </w:p>
        </w:tc>
        <w:tc>
          <w:tcPr>
            <w:tcW w:w="1414" w:type="dxa"/>
            <w:shd w:val="clear" w:color="auto" w:fill="C7DAF1"/>
            <w:vAlign w:val="center"/>
          </w:tcPr>
          <w:p>
            <w:pPr>
              <w:spacing w:line="260" w:lineRule="exact"/>
              <w:ind w:left="0" w:leftChars="0" w:firstLine="0" w:firstLineChars="0"/>
              <w:jc w:val="center"/>
              <w:rPr>
                <w:rFonts w:hint="eastAsia" w:ascii="黑体" w:hAnsi="黑体" w:eastAsia="黑体" w:cs="黑体"/>
                <w:color w:val="000000"/>
                <w:sz w:val="21"/>
                <w:szCs w:val="21"/>
                <w:highlight w:val="none"/>
              </w:rPr>
            </w:pPr>
            <w:r>
              <w:rPr>
                <w:rFonts w:hint="eastAsia" w:ascii="黑体" w:hAnsi="黑体" w:eastAsia="黑体" w:cs="黑体"/>
                <w:color w:val="000000"/>
                <w:sz w:val="21"/>
                <w:szCs w:val="21"/>
                <w:highlight w:val="none"/>
              </w:rPr>
              <w:t>评审内容</w:t>
            </w:r>
          </w:p>
        </w:tc>
        <w:tc>
          <w:tcPr>
            <w:tcW w:w="1855" w:type="dxa"/>
            <w:shd w:val="clear" w:color="auto" w:fill="C7DAF1"/>
            <w:vAlign w:val="center"/>
          </w:tcPr>
          <w:p>
            <w:pPr>
              <w:spacing w:line="260" w:lineRule="exact"/>
              <w:ind w:left="0" w:leftChars="0" w:firstLine="0" w:firstLineChars="0"/>
              <w:jc w:val="center"/>
              <w:rPr>
                <w:rFonts w:hint="eastAsia" w:ascii="黑体" w:hAnsi="黑体" w:eastAsia="黑体" w:cs="黑体"/>
                <w:color w:val="000000"/>
                <w:sz w:val="21"/>
                <w:szCs w:val="21"/>
                <w:highlight w:val="none"/>
              </w:rPr>
            </w:pPr>
            <w:r>
              <w:rPr>
                <w:rFonts w:hint="eastAsia" w:ascii="黑体" w:hAnsi="黑体" w:eastAsia="黑体" w:cs="黑体"/>
                <w:color w:val="000000"/>
                <w:sz w:val="21"/>
                <w:szCs w:val="21"/>
                <w:highlight w:val="none"/>
              </w:rPr>
              <w:t>评审细项</w:t>
            </w:r>
          </w:p>
        </w:tc>
        <w:tc>
          <w:tcPr>
            <w:tcW w:w="4511" w:type="dxa"/>
            <w:shd w:val="clear" w:color="auto" w:fill="C7DAF1"/>
            <w:vAlign w:val="center"/>
          </w:tcPr>
          <w:p>
            <w:pPr>
              <w:spacing w:line="260" w:lineRule="exact"/>
              <w:ind w:left="0" w:leftChars="0" w:firstLine="0" w:firstLineChars="0"/>
              <w:jc w:val="center"/>
              <w:rPr>
                <w:rFonts w:hint="eastAsia" w:ascii="黑体" w:hAnsi="黑体" w:eastAsia="黑体" w:cs="黑体"/>
                <w:color w:val="000000"/>
                <w:sz w:val="21"/>
                <w:szCs w:val="21"/>
                <w:highlight w:val="none"/>
              </w:rPr>
            </w:pPr>
            <w:r>
              <w:rPr>
                <w:rFonts w:hint="eastAsia" w:ascii="黑体" w:hAnsi="黑体" w:eastAsia="黑体" w:cs="黑体"/>
                <w:color w:val="000000"/>
                <w:sz w:val="21"/>
                <w:szCs w:val="21"/>
                <w:highlight w:val="none"/>
              </w:rPr>
              <w:t>评审标准</w:t>
            </w:r>
          </w:p>
        </w:tc>
        <w:tc>
          <w:tcPr>
            <w:tcW w:w="890" w:type="dxa"/>
            <w:shd w:val="clear" w:color="auto" w:fill="C7DAF1"/>
            <w:vAlign w:val="center"/>
          </w:tcPr>
          <w:p>
            <w:pPr>
              <w:spacing w:line="260" w:lineRule="exact"/>
              <w:ind w:left="0" w:leftChars="0" w:firstLine="0" w:firstLineChars="0"/>
              <w:jc w:val="center"/>
              <w:rPr>
                <w:rFonts w:hint="eastAsia" w:ascii="黑体" w:hAnsi="黑体" w:eastAsia="黑体" w:cs="黑体"/>
                <w:color w:val="000000"/>
                <w:sz w:val="21"/>
                <w:szCs w:val="21"/>
                <w:highlight w:val="none"/>
              </w:rPr>
            </w:pPr>
            <w:r>
              <w:rPr>
                <w:rFonts w:hint="eastAsia" w:ascii="黑体" w:hAnsi="黑体" w:eastAsia="黑体" w:cs="黑体"/>
                <w:color w:val="000000"/>
                <w:sz w:val="21"/>
                <w:szCs w:val="21"/>
                <w:highlight w:val="none"/>
              </w:rPr>
              <w:t>分值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70" w:hRule="atLeast"/>
          <w:jc w:val="center"/>
        </w:trPr>
        <w:tc>
          <w:tcPr>
            <w:tcW w:w="581" w:type="dxa"/>
            <w:vAlign w:val="center"/>
          </w:tcPr>
          <w:p>
            <w:pPr>
              <w:keepNext w:val="0"/>
              <w:keepLines w:val="0"/>
              <w:pageBreakBefore w:val="0"/>
              <w:kinsoku/>
              <w:wordWrap/>
              <w:overflowPunct/>
              <w:topLinePunct w:val="0"/>
              <w:autoSpaceDE/>
              <w:autoSpaceDN/>
              <w:bidi w:val="0"/>
              <w:spacing w:line="320" w:lineRule="exact"/>
              <w:ind w:firstLine="105" w:firstLineChars="50"/>
              <w:jc w:val="center"/>
              <w:textAlignment w:val="auto"/>
              <w:rPr>
                <w:rFonts w:hint="default" w:ascii="Times New Roman" w:hAnsi="Times New Roman" w:eastAsia="宋体"/>
                <w:sz w:val="21"/>
                <w:szCs w:val="21"/>
                <w:highlight w:val="none"/>
                <w:lang w:val="en-US" w:eastAsia="zh-CN"/>
              </w:rPr>
            </w:pPr>
            <w:r>
              <w:rPr>
                <w:rFonts w:hint="eastAsia" w:ascii="Times New Roman" w:hAnsi="Times New Roman"/>
                <w:sz w:val="21"/>
                <w:szCs w:val="21"/>
                <w:highlight w:val="none"/>
                <w:lang w:val="en-US" w:eastAsia="zh-CN"/>
              </w:rPr>
              <w:t xml:space="preserve">1  </w:t>
            </w:r>
          </w:p>
        </w:tc>
        <w:tc>
          <w:tcPr>
            <w:tcW w:w="1414" w:type="dxa"/>
            <w:vAlign w:val="center"/>
          </w:tcPr>
          <w:p>
            <w:pPr>
              <w:keepNext w:val="0"/>
              <w:keepLines w:val="0"/>
              <w:pageBreakBefore w:val="0"/>
              <w:kinsoku/>
              <w:wordWrap/>
              <w:overflowPunct/>
              <w:topLinePunct w:val="0"/>
              <w:autoSpaceDE/>
              <w:autoSpaceDN/>
              <w:bidi w:val="0"/>
              <w:spacing w:line="320" w:lineRule="exact"/>
              <w:ind w:left="0" w:leftChars="0" w:firstLine="0" w:firstLineChars="0"/>
              <w:jc w:val="both"/>
              <w:textAlignment w:val="auto"/>
              <w:rPr>
                <w:rFonts w:hint="eastAsia"/>
                <w:lang w:val="en-US" w:eastAsia="zh-CN"/>
              </w:rPr>
            </w:pPr>
            <w:r>
              <w:rPr>
                <w:rFonts w:hint="eastAsia"/>
                <w:sz w:val="21"/>
                <w:szCs w:val="21"/>
                <w:highlight w:val="none"/>
                <w:lang w:val="en-US" w:eastAsia="zh-CN"/>
              </w:rPr>
              <w:t>律所业绩</w:t>
            </w:r>
          </w:p>
          <w:p>
            <w:pPr>
              <w:pStyle w:val="10"/>
              <w:keepNext w:val="0"/>
              <w:keepLines w:val="0"/>
              <w:pageBreakBefore w:val="0"/>
              <w:kinsoku/>
              <w:wordWrap/>
              <w:overflowPunct/>
              <w:topLinePunct w:val="0"/>
              <w:autoSpaceDE/>
              <w:autoSpaceDN/>
              <w:bidi w:val="0"/>
              <w:spacing w:line="320" w:lineRule="exact"/>
              <w:ind w:left="0" w:leftChars="0" w:firstLine="0" w:firstLineChars="0"/>
              <w:textAlignment w:val="auto"/>
              <w:rPr>
                <w:rFonts w:hint="eastAsia"/>
                <w:sz w:val="21"/>
                <w:szCs w:val="21"/>
                <w:highlight w:val="none"/>
                <w:lang w:val="en-US" w:eastAsia="zh-CN"/>
              </w:rPr>
            </w:pPr>
            <w:r>
              <w:rPr>
                <w:rFonts w:hint="eastAsia" w:ascii="Times New Roman" w:hAnsi="Times New Roman"/>
                <w:sz w:val="21"/>
                <w:szCs w:val="21"/>
                <w:highlight w:val="none"/>
                <w:lang w:val="en-US" w:eastAsia="zh-CN"/>
              </w:rPr>
              <w:t>（</w:t>
            </w:r>
            <w:r>
              <w:rPr>
                <w:rFonts w:hint="eastAsia"/>
                <w:sz w:val="21"/>
                <w:szCs w:val="21"/>
                <w:highlight w:val="none"/>
                <w:lang w:val="en-US" w:eastAsia="zh-CN"/>
              </w:rPr>
              <w:t>30分</w:t>
            </w:r>
            <w:r>
              <w:rPr>
                <w:rFonts w:hint="eastAsia" w:ascii="Times New Roman" w:hAnsi="Times New Roman"/>
                <w:sz w:val="21"/>
                <w:szCs w:val="21"/>
                <w:highlight w:val="none"/>
                <w:lang w:val="en-US" w:eastAsia="zh-CN"/>
              </w:rPr>
              <w:t>）</w:t>
            </w:r>
          </w:p>
        </w:tc>
        <w:tc>
          <w:tcPr>
            <w:tcW w:w="1855" w:type="dxa"/>
            <w:vAlign w:val="center"/>
          </w:tcPr>
          <w:p>
            <w:pPr>
              <w:keepNext w:val="0"/>
              <w:keepLines w:val="0"/>
              <w:pageBreakBefore w:val="0"/>
              <w:kinsoku/>
              <w:wordWrap/>
              <w:overflowPunct/>
              <w:topLinePunct w:val="0"/>
              <w:autoSpaceDE/>
              <w:autoSpaceDN/>
              <w:bidi w:val="0"/>
              <w:spacing w:line="320" w:lineRule="exact"/>
              <w:ind w:firstLine="105" w:firstLineChars="50"/>
              <w:textAlignment w:val="auto"/>
              <w:rPr>
                <w:rFonts w:ascii="Times New Roman" w:hAnsi="Times New Roman"/>
                <w:sz w:val="21"/>
                <w:szCs w:val="21"/>
                <w:highlight w:val="none"/>
              </w:rPr>
            </w:pPr>
            <w:r>
              <w:rPr>
                <w:rFonts w:ascii="Times New Roman" w:hAnsi="Times New Roman"/>
                <w:sz w:val="21"/>
                <w:szCs w:val="21"/>
                <w:highlight w:val="none"/>
              </w:rPr>
              <w:t>近</w:t>
            </w:r>
            <w:r>
              <w:rPr>
                <w:rFonts w:hint="eastAsia" w:ascii="Times New Roman" w:hAnsi="Times New Roman"/>
                <w:sz w:val="21"/>
                <w:szCs w:val="21"/>
                <w:highlight w:val="none"/>
                <w:lang w:val="en-US" w:eastAsia="zh-CN"/>
              </w:rPr>
              <w:t>3</w:t>
            </w:r>
            <w:r>
              <w:rPr>
                <w:rFonts w:ascii="Times New Roman" w:hAnsi="Times New Roman"/>
                <w:sz w:val="21"/>
                <w:szCs w:val="21"/>
                <w:highlight w:val="none"/>
              </w:rPr>
              <w:t>年（</w:t>
            </w:r>
            <w:r>
              <w:rPr>
                <w:rFonts w:hint="eastAsia" w:ascii="Times New Roman" w:hAnsi="Times New Roman"/>
                <w:sz w:val="21"/>
                <w:szCs w:val="21"/>
                <w:highlight w:val="none"/>
              </w:rPr>
              <w:t>20</w:t>
            </w:r>
            <w:r>
              <w:rPr>
                <w:rFonts w:hint="eastAsia" w:ascii="Times New Roman" w:hAnsi="Times New Roman"/>
                <w:sz w:val="21"/>
                <w:szCs w:val="21"/>
                <w:highlight w:val="none"/>
                <w:lang w:val="en-US" w:eastAsia="zh-CN"/>
              </w:rPr>
              <w:t>2</w:t>
            </w:r>
            <w:r>
              <w:rPr>
                <w:rFonts w:hint="eastAsia"/>
                <w:sz w:val="21"/>
                <w:szCs w:val="21"/>
                <w:highlight w:val="none"/>
                <w:lang w:val="en-US" w:eastAsia="zh-CN"/>
              </w:rPr>
              <w:t>2</w:t>
            </w:r>
            <w:r>
              <w:rPr>
                <w:rFonts w:ascii="Times New Roman" w:hAnsi="Times New Roman"/>
                <w:sz w:val="21"/>
                <w:szCs w:val="21"/>
                <w:highlight w:val="none"/>
              </w:rPr>
              <w:t>年至今）类似项目业绩（</w:t>
            </w:r>
            <w:r>
              <w:rPr>
                <w:rFonts w:hint="eastAsia" w:ascii="Times New Roman" w:hAnsi="Times New Roman"/>
                <w:sz w:val="21"/>
                <w:szCs w:val="21"/>
                <w:highlight w:val="none"/>
                <w:lang w:val="en-US" w:eastAsia="zh-CN"/>
              </w:rPr>
              <w:t>报价</w:t>
            </w:r>
            <w:r>
              <w:rPr>
                <w:rFonts w:ascii="Times New Roman" w:hAnsi="Times New Roman"/>
                <w:sz w:val="21"/>
                <w:szCs w:val="21"/>
                <w:highlight w:val="none"/>
              </w:rPr>
              <w:t>人提供相关证明文件，包括但不限于合同、</w:t>
            </w:r>
            <w:r>
              <w:rPr>
                <w:rFonts w:hint="eastAsia" w:ascii="Times New Roman" w:hAnsi="Times New Roman"/>
                <w:sz w:val="21"/>
                <w:szCs w:val="21"/>
                <w:highlight w:val="none"/>
                <w:lang w:val="en-US" w:eastAsia="zh-CN"/>
              </w:rPr>
              <w:t>司法文书</w:t>
            </w:r>
            <w:r>
              <w:rPr>
                <w:rFonts w:ascii="Times New Roman" w:hAnsi="Times New Roman"/>
                <w:sz w:val="21"/>
                <w:szCs w:val="21"/>
                <w:highlight w:val="none"/>
              </w:rPr>
              <w:t>）</w:t>
            </w:r>
          </w:p>
        </w:tc>
        <w:tc>
          <w:tcPr>
            <w:tcW w:w="4511" w:type="dxa"/>
            <w:vAlign w:val="center"/>
          </w:tcPr>
          <w:p>
            <w:pPr>
              <w:keepNext w:val="0"/>
              <w:keepLines w:val="0"/>
              <w:pageBreakBefore w:val="0"/>
              <w:numPr>
                <w:ilvl w:val="0"/>
                <w:numId w:val="3"/>
              </w:numPr>
              <w:tabs>
                <w:tab w:val="left" w:pos="220"/>
              </w:tabs>
              <w:kinsoku/>
              <w:wordWrap/>
              <w:overflowPunct/>
              <w:topLinePunct w:val="0"/>
              <w:autoSpaceDE/>
              <w:autoSpaceDN/>
              <w:bidi w:val="0"/>
              <w:adjustRightInd/>
              <w:snapToGrid/>
              <w:spacing w:line="320" w:lineRule="exact"/>
              <w:ind w:firstLine="420" w:firstLineChars="200"/>
              <w:textAlignment w:val="auto"/>
              <w:rPr>
                <w:rFonts w:hint="eastAsia"/>
                <w:kern w:val="0"/>
                <w:sz w:val="21"/>
                <w:szCs w:val="21"/>
                <w:highlight w:val="none"/>
                <w:lang w:val="en-US" w:eastAsia="zh-CN"/>
              </w:rPr>
            </w:pPr>
            <w:r>
              <w:rPr>
                <w:rFonts w:hint="eastAsia"/>
                <w:kern w:val="0"/>
                <w:sz w:val="21"/>
                <w:szCs w:val="21"/>
                <w:highlight w:val="none"/>
                <w:lang w:val="en-US" w:eastAsia="zh-CN"/>
              </w:rPr>
              <w:t>报价人</w:t>
            </w:r>
            <w:r>
              <w:rPr>
                <w:rFonts w:hint="eastAsia"/>
                <w:kern w:val="0"/>
                <w:sz w:val="21"/>
                <w:szCs w:val="21"/>
                <w:highlight w:val="none"/>
                <w:lang w:eastAsia="zh-CN"/>
              </w:rPr>
              <w:t>有</w:t>
            </w:r>
            <w:r>
              <w:rPr>
                <w:rFonts w:hint="eastAsia"/>
                <w:kern w:val="0"/>
                <w:sz w:val="21"/>
                <w:szCs w:val="21"/>
                <w:highlight w:val="none"/>
                <w:lang w:val="en-US" w:eastAsia="zh-CN"/>
              </w:rPr>
              <w:t>2项煤炭</w:t>
            </w:r>
            <w:r>
              <w:rPr>
                <w:rFonts w:hint="eastAsia"/>
                <w:kern w:val="0"/>
                <w:sz w:val="21"/>
                <w:szCs w:val="21"/>
                <w:highlight w:val="none"/>
              </w:rPr>
              <w:t>、</w:t>
            </w:r>
            <w:r>
              <w:rPr>
                <w:rFonts w:hint="eastAsia"/>
                <w:kern w:val="0"/>
                <w:sz w:val="21"/>
                <w:szCs w:val="21"/>
                <w:highlight w:val="none"/>
                <w:lang w:val="en-US" w:eastAsia="zh-CN"/>
              </w:rPr>
              <w:t>煤化工、</w:t>
            </w:r>
            <w:r>
              <w:rPr>
                <w:rFonts w:hint="eastAsia"/>
                <w:kern w:val="0"/>
                <w:sz w:val="21"/>
                <w:szCs w:val="21"/>
                <w:highlight w:val="none"/>
                <w:lang w:eastAsia="zh-CN"/>
              </w:rPr>
              <w:t>电力、</w:t>
            </w:r>
            <w:r>
              <w:rPr>
                <w:rFonts w:hint="eastAsia"/>
                <w:kern w:val="0"/>
                <w:sz w:val="21"/>
                <w:szCs w:val="21"/>
                <w:highlight w:val="none"/>
                <w:lang w:val="en-US" w:eastAsia="zh-CN"/>
              </w:rPr>
              <w:t>新能源、</w:t>
            </w:r>
            <w:r>
              <w:rPr>
                <w:rFonts w:hint="eastAsia"/>
                <w:kern w:val="0"/>
                <w:sz w:val="21"/>
                <w:szCs w:val="21"/>
                <w:highlight w:val="none"/>
                <w:lang w:eastAsia="zh-CN"/>
              </w:rPr>
              <w:t>机电设备</w:t>
            </w:r>
            <w:r>
              <w:rPr>
                <w:rFonts w:hint="eastAsia"/>
                <w:kern w:val="0"/>
                <w:sz w:val="21"/>
                <w:szCs w:val="21"/>
                <w:highlight w:val="none"/>
              </w:rPr>
              <w:t>、建设工程、大宗</w:t>
            </w:r>
            <w:r>
              <w:rPr>
                <w:rFonts w:hint="eastAsia"/>
                <w:kern w:val="0"/>
                <w:sz w:val="21"/>
                <w:szCs w:val="21"/>
                <w:highlight w:val="none"/>
                <w:lang w:val="en-US" w:eastAsia="zh-CN"/>
              </w:rPr>
              <w:t>材料、物资贸易、电子商务、招标代理、设备监造</w:t>
            </w:r>
            <w:r>
              <w:rPr>
                <w:rFonts w:hint="eastAsia"/>
                <w:kern w:val="0"/>
                <w:sz w:val="21"/>
                <w:szCs w:val="21"/>
                <w:highlight w:val="none"/>
              </w:rPr>
              <w:t>行业领域的</w:t>
            </w:r>
            <w:r>
              <w:rPr>
                <w:rFonts w:hint="eastAsia"/>
                <w:kern w:val="0"/>
                <w:sz w:val="21"/>
                <w:szCs w:val="21"/>
                <w:highlight w:val="none"/>
                <w:lang w:val="en-US" w:eastAsia="zh-CN"/>
              </w:rPr>
              <w:t>法律</w:t>
            </w:r>
            <w:r>
              <w:rPr>
                <w:rFonts w:hint="eastAsia"/>
                <w:kern w:val="0"/>
                <w:sz w:val="21"/>
                <w:szCs w:val="21"/>
                <w:highlight w:val="none"/>
                <w:lang w:eastAsia="zh-CN"/>
              </w:rPr>
              <w:t>服务经验，</w:t>
            </w:r>
            <w:r>
              <w:rPr>
                <w:rFonts w:hint="eastAsia"/>
                <w:kern w:val="0"/>
                <w:sz w:val="21"/>
                <w:szCs w:val="21"/>
                <w:highlight w:val="none"/>
                <w:lang w:val="en-US" w:eastAsia="zh-CN"/>
              </w:rPr>
              <w:t>得5分，需为不同行业不同案例</w:t>
            </w:r>
            <w:r>
              <w:rPr>
                <w:rFonts w:hint="eastAsia"/>
                <w:kern w:val="0"/>
                <w:sz w:val="21"/>
                <w:szCs w:val="21"/>
                <w:highlight w:val="none"/>
                <w:lang w:eastAsia="zh-CN"/>
              </w:rPr>
              <w:t>。每</w:t>
            </w:r>
            <w:r>
              <w:rPr>
                <w:rFonts w:hint="eastAsia"/>
                <w:kern w:val="0"/>
                <w:sz w:val="21"/>
                <w:szCs w:val="21"/>
                <w:highlight w:val="none"/>
                <w:lang w:val="en-US" w:eastAsia="zh-CN"/>
              </w:rPr>
              <w:t>增加</w:t>
            </w:r>
            <w:r>
              <w:rPr>
                <w:rFonts w:hint="eastAsia"/>
                <w:kern w:val="0"/>
                <w:sz w:val="21"/>
                <w:szCs w:val="21"/>
                <w:highlight w:val="none"/>
                <w:lang w:eastAsia="zh-CN"/>
              </w:rPr>
              <w:t>一</w:t>
            </w:r>
            <w:r>
              <w:rPr>
                <w:rFonts w:hint="eastAsia"/>
                <w:kern w:val="0"/>
                <w:sz w:val="21"/>
                <w:szCs w:val="21"/>
                <w:highlight w:val="none"/>
                <w:lang w:val="en-US" w:eastAsia="zh-CN"/>
              </w:rPr>
              <w:t>个不同行业领域案例加2</w:t>
            </w:r>
            <w:r>
              <w:rPr>
                <w:rFonts w:hint="eastAsia"/>
                <w:kern w:val="0"/>
                <w:sz w:val="21"/>
                <w:szCs w:val="21"/>
                <w:highlight w:val="none"/>
                <w:lang w:eastAsia="zh-CN"/>
              </w:rPr>
              <w:t>分，</w:t>
            </w:r>
            <w:r>
              <w:rPr>
                <w:rFonts w:hint="eastAsia"/>
                <w:kern w:val="0"/>
                <w:sz w:val="21"/>
                <w:szCs w:val="21"/>
                <w:highlight w:val="none"/>
                <w:lang w:val="en-US" w:eastAsia="zh-CN"/>
              </w:rPr>
              <w:t>同一行业领域的案例不重复计分</w:t>
            </w:r>
            <w:r>
              <w:rPr>
                <w:rFonts w:hint="eastAsia"/>
                <w:kern w:val="0"/>
                <w:sz w:val="21"/>
                <w:szCs w:val="21"/>
                <w:highlight w:val="none"/>
                <w:lang w:eastAsia="zh-CN"/>
              </w:rPr>
              <w:t>。最高</w:t>
            </w:r>
            <w:r>
              <w:rPr>
                <w:rFonts w:hint="eastAsia"/>
                <w:kern w:val="0"/>
                <w:sz w:val="21"/>
                <w:szCs w:val="21"/>
                <w:highlight w:val="none"/>
                <w:lang w:val="en-US" w:eastAsia="zh-CN"/>
              </w:rPr>
              <w:t>17分。</w:t>
            </w:r>
          </w:p>
          <w:p>
            <w:pPr>
              <w:keepNext w:val="0"/>
              <w:keepLines w:val="0"/>
              <w:pageBreakBefore w:val="0"/>
              <w:widowControl/>
              <w:numPr>
                <w:ilvl w:val="-1"/>
                <w:numId w:val="0"/>
              </w:numPr>
              <w:tabs>
                <w:tab w:val="left" w:pos="220"/>
              </w:tabs>
              <w:kinsoku/>
              <w:wordWrap/>
              <w:overflowPunct/>
              <w:topLinePunct w:val="0"/>
              <w:autoSpaceDE/>
              <w:autoSpaceDN/>
              <w:bidi w:val="0"/>
              <w:adjustRightInd/>
              <w:snapToGrid/>
              <w:spacing w:line="320" w:lineRule="exact"/>
              <w:ind w:left="0" w:leftChars="0" w:firstLine="420" w:firstLineChars="200"/>
              <w:textAlignment w:val="auto"/>
              <w:rPr>
                <w:rFonts w:hint="eastAsia"/>
                <w:kern w:val="0"/>
                <w:sz w:val="21"/>
                <w:szCs w:val="21"/>
                <w:highlight w:val="none"/>
                <w:lang w:eastAsia="zh-CN"/>
              </w:rPr>
            </w:pPr>
            <w:r>
              <w:rPr>
                <w:rFonts w:hint="eastAsia"/>
                <w:kern w:val="0"/>
                <w:sz w:val="21"/>
                <w:szCs w:val="21"/>
                <w:highlight w:val="none"/>
                <w:lang w:val="en-US" w:eastAsia="zh-CN"/>
              </w:rPr>
              <w:t>2.</w:t>
            </w:r>
            <w:r>
              <w:rPr>
                <w:kern w:val="0"/>
                <w:sz w:val="21"/>
                <w:szCs w:val="21"/>
                <w:highlight w:val="none"/>
              </w:rPr>
              <w:t>提供</w:t>
            </w:r>
            <w:r>
              <w:rPr>
                <w:rFonts w:hint="eastAsia"/>
                <w:kern w:val="0"/>
                <w:sz w:val="21"/>
                <w:szCs w:val="21"/>
                <w:highlight w:val="none"/>
                <w:lang w:val="en-US" w:eastAsia="zh-CN"/>
              </w:rPr>
              <w:t>涉及下述</w:t>
            </w:r>
            <w:r>
              <w:rPr>
                <w:kern w:val="0"/>
                <w:sz w:val="21"/>
                <w:szCs w:val="21"/>
                <w:highlight w:val="none"/>
              </w:rPr>
              <w:t>至少</w:t>
            </w:r>
            <w:r>
              <w:rPr>
                <w:rFonts w:hint="eastAsia"/>
                <w:kern w:val="0"/>
                <w:sz w:val="21"/>
                <w:szCs w:val="21"/>
                <w:highlight w:val="none"/>
                <w:lang w:val="en-US" w:eastAsia="zh-CN"/>
              </w:rPr>
              <w:t>1</w:t>
            </w:r>
            <w:r>
              <w:rPr>
                <w:kern w:val="0"/>
                <w:sz w:val="21"/>
                <w:szCs w:val="21"/>
                <w:highlight w:val="none"/>
              </w:rPr>
              <w:t>个国家</w:t>
            </w:r>
            <w:r>
              <w:rPr>
                <w:rFonts w:hint="eastAsia"/>
                <w:kern w:val="0"/>
                <w:sz w:val="21"/>
                <w:szCs w:val="21"/>
                <w:highlight w:val="none"/>
                <w:lang w:val="en-US" w:eastAsia="zh-CN"/>
              </w:rPr>
              <w:t>/地区</w:t>
            </w:r>
            <w:r>
              <w:rPr>
                <w:kern w:val="0"/>
                <w:sz w:val="21"/>
                <w:szCs w:val="21"/>
                <w:highlight w:val="none"/>
              </w:rPr>
              <w:t>的境外法律服务相关案例</w:t>
            </w:r>
            <w:r>
              <w:rPr>
                <w:rFonts w:hint="eastAsia"/>
                <w:kern w:val="0"/>
                <w:sz w:val="21"/>
                <w:szCs w:val="21"/>
                <w:highlight w:val="none"/>
              </w:rPr>
              <w:t>，得</w:t>
            </w:r>
            <w:r>
              <w:rPr>
                <w:rFonts w:hint="eastAsia"/>
                <w:kern w:val="0"/>
                <w:sz w:val="21"/>
                <w:szCs w:val="21"/>
                <w:highlight w:val="none"/>
                <w:lang w:val="en-US" w:eastAsia="zh-CN"/>
              </w:rPr>
              <w:t>2</w:t>
            </w:r>
            <w:r>
              <w:rPr>
                <w:rFonts w:hint="eastAsia"/>
                <w:kern w:val="0"/>
                <w:sz w:val="21"/>
                <w:szCs w:val="21"/>
                <w:highlight w:val="none"/>
              </w:rPr>
              <w:t>分</w:t>
            </w:r>
            <w:r>
              <w:rPr>
                <w:rFonts w:hint="eastAsia"/>
                <w:kern w:val="0"/>
                <w:sz w:val="21"/>
                <w:szCs w:val="21"/>
                <w:highlight w:val="none"/>
                <w:lang w:eastAsia="zh-CN"/>
              </w:rPr>
              <w:t>，</w:t>
            </w:r>
            <w:r>
              <w:rPr>
                <w:rFonts w:hint="eastAsia"/>
                <w:kern w:val="0"/>
                <w:sz w:val="21"/>
                <w:szCs w:val="21"/>
                <w:highlight w:val="none"/>
                <w:lang w:val="en-US" w:eastAsia="zh-CN"/>
              </w:rPr>
              <w:t>每增加一个不同案例得1分</w:t>
            </w:r>
            <w:r>
              <w:rPr>
                <w:rFonts w:hint="eastAsia"/>
                <w:kern w:val="0"/>
                <w:sz w:val="21"/>
                <w:szCs w:val="21"/>
                <w:highlight w:val="none"/>
                <w:lang w:eastAsia="zh-CN"/>
              </w:rPr>
              <w:t>：</w:t>
            </w:r>
            <w:r>
              <w:rPr>
                <w:rFonts w:hint="eastAsia" w:ascii="Calibri" w:hAnsi="Calibri" w:eastAsia="宋体" w:cs="Times New Roman"/>
                <w:kern w:val="0"/>
                <w:sz w:val="21"/>
                <w:szCs w:val="21"/>
                <w:highlight w:val="none"/>
              </w:rPr>
              <w:t>美国、英国、德国、</w:t>
            </w:r>
            <w:r>
              <w:rPr>
                <w:rFonts w:hint="eastAsia" w:ascii="Calibri" w:hAnsi="Calibri" w:eastAsia="宋体" w:cs="Times New Roman"/>
                <w:kern w:val="0"/>
                <w:sz w:val="21"/>
                <w:szCs w:val="21"/>
                <w:highlight w:val="none"/>
                <w:lang w:val="en-US" w:eastAsia="zh-CN"/>
              </w:rPr>
              <w:t>日本、瑞士、瑞典、奥地利</w:t>
            </w:r>
            <w:r>
              <w:rPr>
                <w:rFonts w:hint="eastAsia" w:ascii="Calibri" w:hAnsi="Calibri" w:cs="Times New Roman"/>
                <w:kern w:val="0"/>
                <w:sz w:val="21"/>
                <w:szCs w:val="21"/>
                <w:highlight w:val="none"/>
                <w:lang w:val="en-US" w:eastAsia="zh-CN"/>
              </w:rPr>
              <w:t>、香港</w:t>
            </w:r>
            <w:r>
              <w:rPr>
                <w:rFonts w:hint="eastAsia" w:ascii="Calibri" w:hAnsi="Calibri" w:eastAsia="宋体" w:cs="Times New Roman"/>
                <w:kern w:val="0"/>
                <w:sz w:val="21"/>
                <w:szCs w:val="21"/>
                <w:highlight w:val="none"/>
                <w:lang w:val="en-US" w:eastAsia="zh-CN"/>
              </w:rPr>
              <w:t>，</w:t>
            </w:r>
            <w:r>
              <w:rPr>
                <w:rFonts w:hint="eastAsia" w:ascii="Calibri" w:hAnsi="Calibri" w:cs="Times New Roman"/>
                <w:kern w:val="0"/>
                <w:sz w:val="21"/>
                <w:szCs w:val="21"/>
                <w:highlight w:val="none"/>
                <w:lang w:val="en-US" w:eastAsia="zh-CN"/>
              </w:rPr>
              <w:t>需为不同国家/地区的不同案例，同一国家/地区的案例不重复计分，</w:t>
            </w:r>
            <w:r>
              <w:rPr>
                <w:rFonts w:hint="eastAsia" w:ascii="Calibri" w:hAnsi="Calibri" w:eastAsia="宋体" w:cs="Times New Roman"/>
                <w:kern w:val="0"/>
                <w:sz w:val="21"/>
                <w:szCs w:val="21"/>
                <w:highlight w:val="none"/>
                <w:lang w:val="en-US" w:eastAsia="zh-CN"/>
              </w:rPr>
              <w:t>最高</w:t>
            </w:r>
            <w:r>
              <w:rPr>
                <w:rFonts w:hint="eastAsia" w:ascii="Calibri" w:hAnsi="Calibri" w:cs="Times New Roman"/>
                <w:kern w:val="0"/>
                <w:sz w:val="21"/>
                <w:szCs w:val="21"/>
                <w:highlight w:val="none"/>
                <w:lang w:val="en-US" w:eastAsia="zh-CN"/>
              </w:rPr>
              <w:t>6</w:t>
            </w:r>
            <w:r>
              <w:rPr>
                <w:rFonts w:hint="eastAsia" w:ascii="Calibri" w:hAnsi="Calibri" w:eastAsia="宋体" w:cs="Times New Roman"/>
                <w:kern w:val="0"/>
                <w:sz w:val="21"/>
                <w:szCs w:val="21"/>
                <w:highlight w:val="none"/>
                <w:lang w:val="en-US" w:eastAsia="zh-CN"/>
              </w:rPr>
              <w:t>分</w:t>
            </w:r>
            <w:r>
              <w:rPr>
                <w:rFonts w:hint="eastAsia"/>
                <w:kern w:val="0"/>
                <w:sz w:val="21"/>
                <w:szCs w:val="21"/>
                <w:highlight w:val="none"/>
                <w:lang w:eastAsia="zh-CN"/>
              </w:rPr>
              <w:t>；</w:t>
            </w:r>
          </w:p>
          <w:p>
            <w:pPr>
              <w:keepNext w:val="0"/>
              <w:keepLines w:val="0"/>
              <w:pageBreakBefore w:val="0"/>
              <w:widowControl w:val="0"/>
              <w:numPr>
                <w:ilvl w:val="-1"/>
                <w:numId w:val="0"/>
              </w:numPr>
              <w:tabs>
                <w:tab w:val="left" w:pos="220"/>
              </w:tabs>
              <w:kinsoku/>
              <w:wordWrap/>
              <w:overflowPunct/>
              <w:topLinePunct w:val="0"/>
              <w:autoSpaceDE/>
              <w:autoSpaceDN/>
              <w:bidi w:val="0"/>
              <w:adjustRightInd/>
              <w:snapToGrid/>
              <w:spacing w:line="320" w:lineRule="exact"/>
              <w:ind w:left="0" w:leftChars="0" w:firstLine="420" w:firstLineChars="200"/>
              <w:textAlignment w:val="auto"/>
              <w:rPr>
                <w:rFonts w:hint="eastAsia"/>
                <w:kern w:val="0"/>
                <w:sz w:val="21"/>
                <w:szCs w:val="21"/>
                <w:highlight w:val="none"/>
                <w:lang w:val="en-US" w:eastAsia="zh-CN"/>
              </w:rPr>
            </w:pPr>
            <w:r>
              <w:rPr>
                <w:rFonts w:hint="eastAsia"/>
                <w:kern w:val="0"/>
                <w:sz w:val="21"/>
                <w:szCs w:val="21"/>
                <w:highlight w:val="none"/>
                <w:lang w:val="en-US" w:eastAsia="zh-CN"/>
              </w:rPr>
              <w:t>3.</w:t>
            </w:r>
            <w:r>
              <w:rPr>
                <w:rFonts w:hint="eastAsia"/>
                <w:kern w:val="0"/>
                <w:sz w:val="21"/>
                <w:szCs w:val="21"/>
                <w:highlight w:val="none"/>
              </w:rPr>
              <w:t>提供案例为在中国国际经济贸易仲裁委员会</w:t>
            </w:r>
            <w:r>
              <w:rPr>
                <w:rFonts w:hint="eastAsia"/>
                <w:kern w:val="0"/>
                <w:sz w:val="21"/>
                <w:szCs w:val="21"/>
                <w:highlight w:val="none"/>
                <w:lang w:eastAsia="zh-CN"/>
              </w:rPr>
              <w:t>、</w:t>
            </w:r>
            <w:r>
              <w:rPr>
                <w:rFonts w:hint="eastAsia"/>
                <w:kern w:val="0"/>
                <w:sz w:val="21"/>
                <w:szCs w:val="21"/>
                <w:highlight w:val="none"/>
              </w:rPr>
              <w:t>高级及最高人民法院诉讼的，</w:t>
            </w:r>
            <w:r>
              <w:rPr>
                <w:rFonts w:hint="eastAsia"/>
                <w:kern w:val="0"/>
                <w:sz w:val="21"/>
                <w:szCs w:val="21"/>
                <w:highlight w:val="none"/>
                <w:lang w:val="en-US" w:eastAsia="zh-CN"/>
              </w:rPr>
              <w:t>得1分，</w:t>
            </w:r>
            <w:r>
              <w:rPr>
                <w:rFonts w:hint="eastAsia"/>
                <w:kern w:val="0"/>
                <w:sz w:val="21"/>
                <w:szCs w:val="21"/>
                <w:highlight w:val="none"/>
              </w:rPr>
              <w:t>每</w:t>
            </w:r>
            <w:r>
              <w:rPr>
                <w:rFonts w:hint="eastAsia"/>
                <w:kern w:val="0"/>
                <w:sz w:val="21"/>
                <w:szCs w:val="21"/>
                <w:highlight w:val="none"/>
                <w:lang w:val="en-US" w:eastAsia="zh-CN"/>
              </w:rPr>
              <w:t>增加一个</w:t>
            </w:r>
            <w:r>
              <w:rPr>
                <w:rFonts w:hint="eastAsia"/>
                <w:kern w:val="0"/>
                <w:sz w:val="21"/>
                <w:szCs w:val="21"/>
                <w:highlight w:val="none"/>
              </w:rPr>
              <w:t>可加1分</w:t>
            </w:r>
            <w:r>
              <w:rPr>
                <w:rFonts w:hint="eastAsia"/>
                <w:kern w:val="0"/>
                <w:sz w:val="21"/>
                <w:szCs w:val="21"/>
                <w:highlight w:val="none"/>
                <w:lang w:eastAsia="zh-CN"/>
              </w:rPr>
              <w:t>。</w:t>
            </w:r>
            <w:r>
              <w:rPr>
                <w:rFonts w:hint="eastAsia"/>
                <w:kern w:val="0"/>
                <w:sz w:val="21"/>
                <w:szCs w:val="21"/>
                <w:highlight w:val="none"/>
                <w:lang w:val="en-US" w:eastAsia="zh-CN"/>
              </w:rPr>
              <w:t>最高7分。</w:t>
            </w:r>
          </w:p>
          <w:p>
            <w:pPr>
              <w:keepNext w:val="0"/>
              <w:keepLines w:val="0"/>
              <w:pageBreakBefore w:val="0"/>
              <w:widowControl w:val="0"/>
              <w:numPr>
                <w:ilvl w:val="-1"/>
                <w:numId w:val="0"/>
              </w:numPr>
              <w:tabs>
                <w:tab w:val="left" w:pos="220"/>
              </w:tabs>
              <w:kinsoku/>
              <w:wordWrap/>
              <w:overflowPunct/>
              <w:topLinePunct w:val="0"/>
              <w:autoSpaceDE/>
              <w:autoSpaceDN/>
              <w:bidi w:val="0"/>
              <w:adjustRightInd/>
              <w:snapToGrid/>
              <w:spacing w:line="320" w:lineRule="exact"/>
              <w:ind w:left="0" w:leftChars="0" w:firstLine="360" w:firstLineChars="200"/>
              <w:textAlignment w:val="auto"/>
              <w:rPr>
                <w:rFonts w:hint="eastAsia"/>
                <w:kern w:val="0"/>
                <w:sz w:val="21"/>
                <w:szCs w:val="21"/>
                <w:highlight w:val="none"/>
                <w:lang w:val="en-US" w:eastAsia="zh-CN"/>
              </w:rPr>
            </w:pPr>
            <w:r>
              <w:rPr>
                <w:rFonts w:hint="eastAsia" w:ascii="华文中宋" w:hAnsi="华文中宋" w:eastAsia="华文中宋" w:cs="华文中宋"/>
                <w:kern w:val="0"/>
                <w:sz w:val="18"/>
                <w:szCs w:val="18"/>
                <w:highlight w:val="none"/>
                <w:lang w:val="en-US" w:eastAsia="zh-CN" w:bidi="ar"/>
              </w:rPr>
              <w:t>4.</w:t>
            </w:r>
            <w:r>
              <w:rPr>
                <w:rFonts w:hint="eastAsia" w:ascii="Times New Roman" w:hAnsi="Times New Roman" w:eastAsia="宋体" w:cs="Times New Roman"/>
                <w:kern w:val="0"/>
                <w:sz w:val="21"/>
                <w:szCs w:val="21"/>
                <w:highlight w:val="none"/>
                <w:lang w:val="en-US" w:eastAsia="zh-CN" w:bidi="ar"/>
              </w:rPr>
              <w:t>所有案例</w:t>
            </w:r>
            <w:r>
              <w:rPr>
                <w:rFonts w:hint="eastAsia" w:ascii="Times New Roman" w:hAnsi="Times New Roman" w:eastAsia="宋体" w:cs="Times New Roman"/>
                <w:kern w:val="0"/>
                <w:sz w:val="21"/>
                <w:szCs w:val="21"/>
                <w:highlight w:val="none"/>
                <w:lang w:bidi="ar"/>
              </w:rPr>
              <w:t>需</w:t>
            </w:r>
            <w:r>
              <w:rPr>
                <w:rFonts w:hint="eastAsia" w:ascii="Times New Roman" w:hAnsi="Times New Roman" w:eastAsia="宋体" w:cs="Times New Roman"/>
                <w:kern w:val="0"/>
                <w:sz w:val="21"/>
                <w:szCs w:val="21"/>
                <w:highlight w:val="none"/>
                <w:lang w:val="en-US" w:eastAsia="zh-CN" w:bidi="ar"/>
              </w:rPr>
              <w:t>为</w:t>
            </w:r>
            <w:r>
              <w:rPr>
                <w:rFonts w:hint="eastAsia" w:cs="Times New Roman"/>
                <w:kern w:val="0"/>
                <w:sz w:val="21"/>
                <w:szCs w:val="21"/>
                <w:highlight w:val="none"/>
                <w:lang w:val="en-US" w:eastAsia="zh-CN" w:bidi="ar"/>
              </w:rPr>
              <w:t>报价人</w:t>
            </w:r>
            <w:r>
              <w:rPr>
                <w:rFonts w:hint="eastAsia" w:ascii="Times New Roman" w:hAnsi="Times New Roman" w:eastAsia="宋体" w:cs="Times New Roman"/>
                <w:kern w:val="0"/>
                <w:sz w:val="21"/>
                <w:szCs w:val="21"/>
                <w:highlight w:val="none"/>
                <w:lang w:val="en-US" w:eastAsia="zh-CN" w:bidi="ar"/>
              </w:rPr>
              <w:t>自身案例，需</w:t>
            </w:r>
            <w:r>
              <w:rPr>
                <w:rFonts w:hint="eastAsia" w:ascii="Times New Roman" w:hAnsi="Times New Roman" w:eastAsia="宋体" w:cs="Times New Roman"/>
                <w:kern w:val="0"/>
                <w:sz w:val="21"/>
                <w:szCs w:val="21"/>
                <w:highlight w:val="none"/>
                <w:lang w:bidi="ar"/>
              </w:rPr>
              <w:t>提供业绩表、委托合同关键页复印件（包括但不限于合同名称、标的、签字盖章页</w:t>
            </w:r>
            <w:r>
              <w:rPr>
                <w:rFonts w:hint="eastAsia" w:ascii="Times New Roman" w:hAnsi="Times New Roman" w:eastAsia="宋体" w:cs="Times New Roman"/>
                <w:kern w:val="0"/>
                <w:sz w:val="21"/>
                <w:szCs w:val="21"/>
                <w:highlight w:val="none"/>
                <w:lang w:eastAsia="zh-CN" w:bidi="ar"/>
              </w:rPr>
              <w:t>）</w:t>
            </w:r>
            <w:r>
              <w:rPr>
                <w:rFonts w:hint="eastAsia" w:cs="Times New Roman"/>
                <w:kern w:val="0"/>
                <w:sz w:val="21"/>
                <w:szCs w:val="21"/>
                <w:highlight w:val="none"/>
                <w:lang w:eastAsia="zh-CN" w:bidi="ar"/>
              </w:rPr>
              <w:t>、</w:t>
            </w:r>
            <w:r>
              <w:rPr>
                <w:rFonts w:hint="eastAsia" w:cs="Times New Roman"/>
                <w:kern w:val="0"/>
                <w:sz w:val="21"/>
                <w:szCs w:val="21"/>
                <w:highlight w:val="none"/>
                <w:lang w:val="en-US" w:eastAsia="zh-CN" w:bidi="ar"/>
              </w:rPr>
              <w:t>诉讼或仲裁的还应提供裁判文书关键页</w:t>
            </w:r>
            <w:r>
              <w:rPr>
                <w:rFonts w:hint="eastAsia" w:ascii="Times New Roman" w:hAnsi="Times New Roman" w:eastAsia="宋体" w:cs="Times New Roman"/>
                <w:kern w:val="0"/>
                <w:sz w:val="21"/>
                <w:szCs w:val="21"/>
                <w:highlight w:val="none"/>
                <w:lang w:eastAsia="zh-CN" w:bidi="ar"/>
              </w:rPr>
              <w:t>，</w:t>
            </w:r>
            <w:r>
              <w:rPr>
                <w:rFonts w:hint="eastAsia" w:ascii="Times New Roman" w:hAnsi="Times New Roman" w:eastAsia="宋体" w:cs="Times New Roman"/>
                <w:kern w:val="0"/>
                <w:sz w:val="21"/>
                <w:szCs w:val="21"/>
                <w:highlight w:val="none"/>
                <w:lang w:val="en-US" w:eastAsia="zh-CN" w:bidi="ar"/>
              </w:rPr>
              <w:t>不提供者不得分</w:t>
            </w:r>
            <w:r>
              <w:rPr>
                <w:rFonts w:hint="eastAsia" w:cs="Times New Roman"/>
                <w:kern w:val="0"/>
                <w:sz w:val="21"/>
                <w:szCs w:val="21"/>
                <w:highlight w:val="none"/>
                <w:lang w:val="en-US" w:eastAsia="zh-CN" w:bidi="ar"/>
              </w:rPr>
              <w:t>。</w:t>
            </w:r>
          </w:p>
        </w:tc>
        <w:tc>
          <w:tcPr>
            <w:tcW w:w="890" w:type="dxa"/>
            <w:vAlign w:val="center"/>
          </w:tcPr>
          <w:p>
            <w:pPr>
              <w:keepNext w:val="0"/>
              <w:keepLines w:val="0"/>
              <w:pageBreakBefore w:val="0"/>
              <w:kinsoku/>
              <w:wordWrap/>
              <w:overflowPunct/>
              <w:topLinePunct w:val="0"/>
              <w:autoSpaceDE/>
              <w:autoSpaceDN/>
              <w:bidi w:val="0"/>
              <w:spacing w:line="360" w:lineRule="exact"/>
              <w:ind w:left="0" w:leftChars="0" w:firstLine="0" w:firstLineChars="0"/>
              <w:jc w:val="center"/>
              <w:textAlignment w:val="auto"/>
              <w:rPr>
                <w:rFonts w:hint="default" w:ascii="Times New Roman" w:hAnsi="Times New Roman" w:eastAsia="宋体"/>
                <w:color w:val="000000"/>
                <w:sz w:val="21"/>
                <w:szCs w:val="21"/>
                <w:highlight w:val="none"/>
                <w:lang w:val="en-US" w:eastAsia="zh-CN"/>
              </w:rPr>
            </w:pPr>
            <w:r>
              <w:rPr>
                <w:rFonts w:hint="eastAsia"/>
                <w:color w:val="000000"/>
                <w:sz w:val="21"/>
                <w:szCs w:val="21"/>
                <w:highlight w:val="none"/>
                <w:lang w:val="en-US" w:eastAsia="zh-CN"/>
              </w:rPr>
              <w:t>3</w:t>
            </w:r>
            <w:r>
              <w:rPr>
                <w:rFonts w:hint="eastAsia" w:ascii="Times New Roman" w:hAnsi="Times New Roman"/>
                <w:color w:val="000000"/>
                <w:sz w:val="21"/>
                <w:szCs w:val="21"/>
                <w:highlight w:val="none"/>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90" w:hRule="atLeast"/>
          <w:jc w:val="center"/>
        </w:trPr>
        <w:tc>
          <w:tcPr>
            <w:tcW w:w="581" w:type="dxa"/>
            <w:vMerge w:val="restart"/>
            <w:vAlign w:val="center"/>
          </w:tcPr>
          <w:p>
            <w:pPr>
              <w:keepNext w:val="0"/>
              <w:keepLines w:val="0"/>
              <w:pageBreakBefore w:val="0"/>
              <w:kinsoku/>
              <w:wordWrap/>
              <w:overflowPunct/>
              <w:topLinePunct w:val="0"/>
              <w:autoSpaceDE/>
              <w:autoSpaceDN/>
              <w:bidi w:val="0"/>
              <w:spacing w:line="320" w:lineRule="exact"/>
              <w:ind w:firstLine="105" w:firstLineChars="50"/>
              <w:jc w:val="center"/>
              <w:textAlignment w:val="auto"/>
              <w:rPr>
                <w:rFonts w:ascii="Times New Roman" w:hAnsi="Times New Roman"/>
                <w:sz w:val="21"/>
                <w:szCs w:val="21"/>
                <w:highlight w:val="none"/>
              </w:rPr>
            </w:pPr>
            <w:r>
              <w:rPr>
                <w:rFonts w:ascii="Times New Roman" w:hAnsi="Times New Roman"/>
                <w:sz w:val="21"/>
                <w:szCs w:val="21"/>
                <w:highlight w:val="none"/>
              </w:rPr>
              <w:t>2</w:t>
            </w:r>
          </w:p>
        </w:tc>
        <w:tc>
          <w:tcPr>
            <w:tcW w:w="1414" w:type="dxa"/>
            <w:vMerge w:val="restart"/>
            <w:vAlign w:val="center"/>
          </w:tcPr>
          <w:p>
            <w:pPr>
              <w:keepNext w:val="0"/>
              <w:keepLines w:val="0"/>
              <w:pageBreakBefore w:val="0"/>
              <w:kinsoku/>
              <w:wordWrap/>
              <w:overflowPunct/>
              <w:topLinePunct w:val="0"/>
              <w:autoSpaceDE/>
              <w:autoSpaceDN/>
              <w:bidi w:val="0"/>
              <w:spacing w:line="320" w:lineRule="exact"/>
              <w:ind w:left="0" w:leftChars="0" w:firstLine="0" w:firstLineChars="0"/>
              <w:jc w:val="both"/>
              <w:textAlignment w:val="auto"/>
              <w:rPr>
                <w:rFonts w:ascii="Times New Roman" w:hAnsi="Times New Roman"/>
                <w:sz w:val="21"/>
                <w:szCs w:val="21"/>
                <w:highlight w:val="none"/>
              </w:rPr>
            </w:pPr>
            <w:r>
              <w:rPr>
                <w:rFonts w:ascii="Times New Roman" w:hAnsi="Times New Roman"/>
                <w:sz w:val="21"/>
                <w:szCs w:val="21"/>
                <w:highlight w:val="none"/>
              </w:rPr>
              <w:t>工作方案</w:t>
            </w:r>
            <w:r>
              <w:rPr>
                <w:rFonts w:hint="eastAsia" w:ascii="Times New Roman" w:hAnsi="Times New Roman"/>
                <w:sz w:val="21"/>
                <w:szCs w:val="21"/>
                <w:highlight w:val="none"/>
                <w:lang w:eastAsia="zh-CN"/>
              </w:rPr>
              <w:t>、</w:t>
            </w:r>
            <w:r>
              <w:rPr>
                <w:rFonts w:hint="eastAsia" w:ascii="Times New Roman" w:hAnsi="Times New Roman"/>
                <w:sz w:val="21"/>
                <w:szCs w:val="21"/>
                <w:highlight w:val="none"/>
                <w:lang w:val="en-US" w:eastAsia="zh-CN"/>
              </w:rPr>
              <w:t>专项服务建议</w:t>
            </w:r>
            <w:r>
              <w:rPr>
                <w:rFonts w:ascii="Times New Roman" w:hAnsi="Times New Roman"/>
                <w:sz w:val="21"/>
                <w:szCs w:val="21"/>
                <w:highlight w:val="none"/>
              </w:rPr>
              <w:t>及商务响应程度</w:t>
            </w:r>
          </w:p>
          <w:p>
            <w:pPr>
              <w:keepNext w:val="0"/>
              <w:keepLines w:val="0"/>
              <w:pageBreakBefore w:val="0"/>
              <w:kinsoku/>
              <w:wordWrap/>
              <w:overflowPunct/>
              <w:topLinePunct w:val="0"/>
              <w:autoSpaceDE/>
              <w:autoSpaceDN/>
              <w:bidi w:val="0"/>
              <w:spacing w:line="320" w:lineRule="exact"/>
              <w:ind w:left="0" w:leftChars="0" w:firstLine="0" w:firstLineChars="0"/>
              <w:jc w:val="both"/>
              <w:textAlignment w:val="auto"/>
              <w:rPr>
                <w:rFonts w:ascii="Times New Roman" w:hAnsi="Times New Roman"/>
                <w:sz w:val="21"/>
                <w:szCs w:val="21"/>
                <w:highlight w:val="none"/>
              </w:rPr>
            </w:pPr>
            <w:r>
              <w:rPr>
                <w:rFonts w:ascii="Times New Roman" w:hAnsi="Times New Roman"/>
                <w:sz w:val="21"/>
                <w:szCs w:val="21"/>
                <w:highlight w:val="none"/>
              </w:rPr>
              <w:t>（</w:t>
            </w:r>
            <w:r>
              <w:rPr>
                <w:rFonts w:hint="eastAsia"/>
                <w:sz w:val="21"/>
                <w:szCs w:val="21"/>
                <w:highlight w:val="none"/>
                <w:lang w:val="en-US" w:eastAsia="zh-CN"/>
              </w:rPr>
              <w:t>15分</w:t>
            </w:r>
            <w:r>
              <w:rPr>
                <w:rFonts w:ascii="Times New Roman" w:hAnsi="Times New Roman"/>
                <w:sz w:val="21"/>
                <w:szCs w:val="21"/>
                <w:highlight w:val="none"/>
              </w:rPr>
              <w:t>）</w:t>
            </w:r>
          </w:p>
        </w:tc>
        <w:tc>
          <w:tcPr>
            <w:tcW w:w="1855" w:type="dxa"/>
            <w:vAlign w:val="center"/>
          </w:tcPr>
          <w:p>
            <w:pPr>
              <w:keepNext w:val="0"/>
              <w:keepLines w:val="0"/>
              <w:pageBreakBefore w:val="0"/>
              <w:kinsoku/>
              <w:wordWrap/>
              <w:overflowPunct/>
              <w:topLinePunct w:val="0"/>
              <w:autoSpaceDE/>
              <w:autoSpaceDN/>
              <w:bidi w:val="0"/>
              <w:spacing w:line="320" w:lineRule="exact"/>
              <w:ind w:firstLine="105" w:firstLineChars="50"/>
              <w:jc w:val="both"/>
              <w:textAlignment w:val="auto"/>
              <w:rPr>
                <w:rFonts w:ascii="Times New Roman" w:hAnsi="Times New Roman"/>
                <w:sz w:val="21"/>
                <w:szCs w:val="21"/>
                <w:highlight w:val="none"/>
              </w:rPr>
            </w:pPr>
            <w:r>
              <w:rPr>
                <w:rFonts w:ascii="Times New Roman" w:hAnsi="Times New Roman"/>
                <w:sz w:val="21"/>
                <w:szCs w:val="21"/>
                <w:highlight w:val="none"/>
              </w:rPr>
              <w:t>工作方案</w:t>
            </w:r>
          </w:p>
        </w:tc>
        <w:tc>
          <w:tcPr>
            <w:tcW w:w="4511"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ascii="Times New Roman" w:hAnsi="Times New Roman"/>
                <w:sz w:val="21"/>
                <w:szCs w:val="21"/>
                <w:highlight w:val="none"/>
              </w:rPr>
            </w:pPr>
            <w:r>
              <w:rPr>
                <w:rFonts w:ascii="Times New Roman" w:hAnsi="Times New Roman"/>
                <w:sz w:val="21"/>
                <w:szCs w:val="21"/>
                <w:highlight w:val="none"/>
              </w:rPr>
              <w:t>详细陈述整体方案、团队组织、服务流程、风险控制；横向比较进行打分。</w:t>
            </w:r>
          </w:p>
          <w:p>
            <w:pPr>
              <w:adjustRightInd/>
              <w:snapToGrid/>
              <w:spacing w:line="320" w:lineRule="exact"/>
              <w:ind w:firstLine="422" w:firstLineChars="200"/>
              <w:rPr>
                <w:rFonts w:hint="default" w:eastAsia="宋体"/>
                <w:highlight w:val="none"/>
                <w:lang w:val="en-US" w:eastAsia="zh-CN"/>
              </w:rPr>
            </w:pPr>
            <w:r>
              <w:rPr>
                <w:rFonts w:hint="default"/>
                <w:b/>
                <w:bCs/>
                <w:sz w:val="21"/>
                <w:szCs w:val="21"/>
                <w:highlight w:val="none"/>
                <w:lang w:val="en-US" w:eastAsia="zh-CN"/>
              </w:rPr>
              <w:t>报价人项目负责人未到现场述标的，本项不得分。</w:t>
            </w:r>
          </w:p>
        </w:tc>
        <w:tc>
          <w:tcPr>
            <w:tcW w:w="890" w:type="dxa"/>
            <w:vAlign w:val="center"/>
          </w:tcPr>
          <w:p>
            <w:pPr>
              <w:keepNext w:val="0"/>
              <w:keepLines w:val="0"/>
              <w:pageBreakBefore w:val="0"/>
              <w:kinsoku/>
              <w:wordWrap/>
              <w:overflowPunct/>
              <w:topLinePunct w:val="0"/>
              <w:autoSpaceDE/>
              <w:autoSpaceDN/>
              <w:bidi w:val="0"/>
              <w:spacing w:line="360" w:lineRule="exact"/>
              <w:ind w:left="0" w:leftChars="0" w:firstLine="0" w:firstLineChars="0"/>
              <w:jc w:val="center"/>
              <w:textAlignment w:val="auto"/>
              <w:rPr>
                <w:rFonts w:hint="default" w:ascii="Times New Roman" w:hAnsi="Times New Roman" w:eastAsia="宋体"/>
                <w:color w:val="000000"/>
                <w:sz w:val="21"/>
                <w:szCs w:val="21"/>
                <w:highlight w:val="none"/>
                <w:lang w:val="en-US" w:eastAsia="zh-CN"/>
              </w:rPr>
            </w:pPr>
            <w:r>
              <w:rPr>
                <w:rFonts w:hint="eastAsia"/>
                <w:color w:val="000000"/>
                <w:sz w:val="21"/>
                <w:szCs w:val="21"/>
                <w:highlight w:val="none"/>
                <w:lang w:val="en-US" w:eastAsia="zh-CN"/>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40" w:hRule="atLeast"/>
          <w:jc w:val="center"/>
        </w:trPr>
        <w:tc>
          <w:tcPr>
            <w:tcW w:w="581" w:type="dxa"/>
            <w:vMerge w:val="continue"/>
            <w:vAlign w:val="center"/>
          </w:tcPr>
          <w:p>
            <w:pPr>
              <w:keepNext w:val="0"/>
              <w:keepLines w:val="0"/>
              <w:pageBreakBefore w:val="0"/>
              <w:kinsoku/>
              <w:wordWrap/>
              <w:overflowPunct/>
              <w:topLinePunct w:val="0"/>
              <w:autoSpaceDE/>
              <w:autoSpaceDN/>
              <w:bidi w:val="0"/>
              <w:spacing w:line="320" w:lineRule="exact"/>
              <w:ind w:firstLine="105" w:firstLineChars="50"/>
              <w:jc w:val="center"/>
              <w:textAlignment w:val="auto"/>
              <w:rPr>
                <w:rFonts w:ascii="Times New Roman" w:hAnsi="Times New Roman"/>
                <w:sz w:val="21"/>
                <w:szCs w:val="21"/>
                <w:highlight w:val="none"/>
              </w:rPr>
            </w:pPr>
          </w:p>
        </w:tc>
        <w:tc>
          <w:tcPr>
            <w:tcW w:w="1414" w:type="dxa"/>
            <w:vMerge w:val="continue"/>
            <w:vAlign w:val="center"/>
          </w:tcPr>
          <w:p>
            <w:pPr>
              <w:keepNext w:val="0"/>
              <w:keepLines w:val="0"/>
              <w:pageBreakBefore w:val="0"/>
              <w:kinsoku/>
              <w:wordWrap/>
              <w:overflowPunct/>
              <w:topLinePunct w:val="0"/>
              <w:autoSpaceDE/>
              <w:autoSpaceDN/>
              <w:bidi w:val="0"/>
              <w:spacing w:line="320" w:lineRule="exact"/>
              <w:ind w:firstLine="105" w:firstLineChars="50"/>
              <w:jc w:val="center"/>
              <w:textAlignment w:val="auto"/>
              <w:rPr>
                <w:rFonts w:ascii="Times New Roman" w:hAnsi="Times New Roman"/>
                <w:sz w:val="21"/>
                <w:szCs w:val="21"/>
                <w:highlight w:val="none"/>
              </w:rPr>
            </w:pPr>
          </w:p>
        </w:tc>
        <w:tc>
          <w:tcPr>
            <w:tcW w:w="1855" w:type="dxa"/>
            <w:vAlign w:val="center"/>
          </w:tcPr>
          <w:p>
            <w:pPr>
              <w:keepNext w:val="0"/>
              <w:keepLines w:val="0"/>
              <w:pageBreakBefore w:val="0"/>
              <w:kinsoku/>
              <w:wordWrap/>
              <w:overflowPunct/>
              <w:topLinePunct w:val="0"/>
              <w:autoSpaceDE/>
              <w:autoSpaceDN/>
              <w:bidi w:val="0"/>
              <w:spacing w:line="320" w:lineRule="exact"/>
              <w:ind w:left="0" w:leftChars="0" w:firstLine="0" w:firstLineChars="0"/>
              <w:jc w:val="both"/>
              <w:textAlignment w:val="auto"/>
              <w:rPr>
                <w:rFonts w:hint="default" w:ascii="Times New Roman" w:hAnsi="Times New Roman" w:eastAsia="宋体"/>
                <w:sz w:val="21"/>
                <w:szCs w:val="21"/>
                <w:highlight w:val="none"/>
                <w:lang w:val="en-US" w:eastAsia="zh-CN"/>
              </w:rPr>
            </w:pPr>
            <w:r>
              <w:rPr>
                <w:rFonts w:hint="eastAsia" w:ascii="Times New Roman" w:hAnsi="Times New Roman"/>
                <w:sz w:val="21"/>
                <w:szCs w:val="21"/>
                <w:highlight w:val="none"/>
                <w:lang w:val="en-US" w:eastAsia="zh-CN"/>
              </w:rPr>
              <w:t>专项服务建议</w:t>
            </w:r>
          </w:p>
        </w:tc>
        <w:tc>
          <w:tcPr>
            <w:tcW w:w="4511"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ascii="Times New Roman" w:hAnsi="Times New Roman"/>
                <w:sz w:val="21"/>
                <w:szCs w:val="21"/>
                <w:highlight w:val="none"/>
              </w:rPr>
            </w:pPr>
            <w:r>
              <w:rPr>
                <w:rFonts w:hint="eastAsia" w:ascii="Times New Roman" w:hAnsi="Times New Roman"/>
                <w:sz w:val="21"/>
                <w:szCs w:val="21"/>
                <w:highlight w:val="none"/>
                <w:lang w:val="en-US" w:eastAsia="zh-CN"/>
              </w:rPr>
              <w:t>详细</w:t>
            </w:r>
            <w:r>
              <w:rPr>
                <w:rFonts w:hint="eastAsia"/>
                <w:sz w:val="21"/>
                <w:szCs w:val="21"/>
                <w:highlight w:val="none"/>
                <w:lang w:val="en-US" w:eastAsia="zh-CN"/>
              </w:rPr>
              <w:t>对</w:t>
            </w:r>
            <w:r>
              <w:rPr>
                <w:rFonts w:hint="eastAsia" w:ascii="Times New Roman" w:hAnsi="Times New Roman"/>
                <w:sz w:val="21"/>
                <w:szCs w:val="21"/>
                <w:highlight w:val="none"/>
                <w:lang w:val="en-US" w:eastAsia="zh-CN"/>
              </w:rPr>
              <w:t>中国中煤采购管理</w:t>
            </w:r>
            <w:r>
              <w:rPr>
                <w:rFonts w:hint="eastAsia"/>
                <w:sz w:val="21"/>
                <w:szCs w:val="21"/>
                <w:highlight w:val="none"/>
                <w:lang w:val="en-US" w:eastAsia="zh-CN"/>
              </w:rPr>
              <w:t>的合规风控体系建设、合同管理，以及</w:t>
            </w:r>
            <w:r>
              <w:rPr>
                <w:rFonts w:hint="eastAsia" w:ascii="Times New Roman" w:hAnsi="Times New Roman"/>
                <w:sz w:val="21"/>
                <w:szCs w:val="21"/>
                <w:highlight w:val="none"/>
                <w:lang w:val="en-US" w:eastAsia="zh-CN"/>
              </w:rPr>
              <w:t>开发公司合规风控体系建设、合同管理</w:t>
            </w:r>
            <w:r>
              <w:rPr>
                <w:rFonts w:hint="eastAsia"/>
                <w:sz w:val="21"/>
                <w:szCs w:val="21"/>
                <w:highlight w:val="none"/>
                <w:lang w:val="en-US" w:eastAsia="zh-CN"/>
              </w:rPr>
              <w:t>提出建议</w:t>
            </w:r>
            <w:r>
              <w:rPr>
                <w:rFonts w:hint="eastAsia" w:ascii="Times New Roman" w:hAnsi="Times New Roman"/>
                <w:sz w:val="21"/>
                <w:szCs w:val="21"/>
                <w:highlight w:val="none"/>
                <w:lang w:val="en-US" w:eastAsia="zh-CN"/>
              </w:rPr>
              <w:t>；</w:t>
            </w:r>
            <w:r>
              <w:rPr>
                <w:rFonts w:ascii="Times New Roman" w:hAnsi="Times New Roman"/>
                <w:sz w:val="21"/>
                <w:szCs w:val="21"/>
                <w:highlight w:val="none"/>
              </w:rPr>
              <w:t>横向比较进行打分。</w:t>
            </w:r>
          </w:p>
          <w:p>
            <w:pPr>
              <w:pStyle w:val="2"/>
              <w:keepNext w:val="0"/>
              <w:keepLines w:val="0"/>
              <w:pageBreakBefore w:val="0"/>
              <w:kinsoku/>
              <w:wordWrap/>
              <w:overflowPunct/>
              <w:topLinePunct w:val="0"/>
              <w:autoSpaceDE/>
              <w:autoSpaceDN/>
              <w:bidi w:val="0"/>
              <w:spacing w:line="320" w:lineRule="exact"/>
              <w:ind w:left="0" w:leftChars="0" w:firstLine="422"/>
              <w:textAlignment w:val="auto"/>
              <w:rPr>
                <w:highlight w:val="none"/>
              </w:rPr>
            </w:pPr>
            <w:r>
              <w:rPr>
                <w:rFonts w:hint="default"/>
                <w:b/>
                <w:bCs/>
                <w:sz w:val="21"/>
                <w:szCs w:val="21"/>
                <w:highlight w:val="none"/>
                <w:lang w:val="en-US" w:eastAsia="zh-CN"/>
              </w:rPr>
              <w:t>报价人项目负责人未到现场述标的，本项不得分。</w:t>
            </w:r>
          </w:p>
        </w:tc>
        <w:tc>
          <w:tcPr>
            <w:tcW w:w="890" w:type="dxa"/>
            <w:vAlign w:val="center"/>
          </w:tcPr>
          <w:p>
            <w:pPr>
              <w:keepNext w:val="0"/>
              <w:keepLines w:val="0"/>
              <w:pageBreakBefore w:val="0"/>
              <w:kinsoku/>
              <w:wordWrap/>
              <w:overflowPunct/>
              <w:topLinePunct w:val="0"/>
              <w:autoSpaceDE/>
              <w:autoSpaceDN/>
              <w:bidi w:val="0"/>
              <w:spacing w:line="360" w:lineRule="exact"/>
              <w:ind w:left="0" w:leftChars="0" w:firstLine="0" w:firstLineChars="0"/>
              <w:jc w:val="center"/>
              <w:textAlignment w:val="auto"/>
              <w:rPr>
                <w:rFonts w:hint="default" w:ascii="Times New Roman" w:hAnsi="Times New Roman"/>
                <w:color w:val="000000"/>
                <w:sz w:val="21"/>
                <w:szCs w:val="21"/>
                <w:highlight w:val="none"/>
                <w:lang w:val="en-US" w:eastAsia="zh-CN"/>
              </w:rPr>
            </w:pPr>
            <w:r>
              <w:rPr>
                <w:rFonts w:hint="eastAsia"/>
                <w:color w:val="000000"/>
                <w:sz w:val="21"/>
                <w:szCs w:val="21"/>
                <w:highlight w:val="none"/>
                <w:lang w:val="en-US" w:eastAsia="zh-CN"/>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40" w:hRule="atLeast"/>
          <w:jc w:val="center"/>
        </w:trPr>
        <w:tc>
          <w:tcPr>
            <w:tcW w:w="581" w:type="dxa"/>
            <w:vMerge w:val="continue"/>
            <w:vAlign w:val="center"/>
          </w:tcPr>
          <w:p>
            <w:pPr>
              <w:keepNext w:val="0"/>
              <w:keepLines w:val="0"/>
              <w:pageBreakBefore w:val="0"/>
              <w:kinsoku/>
              <w:wordWrap/>
              <w:overflowPunct/>
              <w:topLinePunct w:val="0"/>
              <w:autoSpaceDE/>
              <w:autoSpaceDN/>
              <w:bidi w:val="0"/>
              <w:spacing w:line="320" w:lineRule="exact"/>
              <w:ind w:firstLine="105" w:firstLineChars="50"/>
              <w:jc w:val="center"/>
              <w:textAlignment w:val="auto"/>
              <w:rPr>
                <w:rFonts w:ascii="Times New Roman" w:hAnsi="Times New Roman"/>
                <w:sz w:val="21"/>
                <w:szCs w:val="21"/>
                <w:highlight w:val="none"/>
              </w:rPr>
            </w:pPr>
          </w:p>
        </w:tc>
        <w:tc>
          <w:tcPr>
            <w:tcW w:w="1414" w:type="dxa"/>
            <w:vMerge w:val="continue"/>
            <w:vAlign w:val="center"/>
          </w:tcPr>
          <w:p>
            <w:pPr>
              <w:keepNext w:val="0"/>
              <w:keepLines w:val="0"/>
              <w:pageBreakBefore w:val="0"/>
              <w:kinsoku/>
              <w:wordWrap/>
              <w:overflowPunct/>
              <w:topLinePunct w:val="0"/>
              <w:autoSpaceDE/>
              <w:autoSpaceDN/>
              <w:bidi w:val="0"/>
              <w:spacing w:line="320" w:lineRule="exact"/>
              <w:ind w:firstLine="105" w:firstLineChars="50"/>
              <w:jc w:val="center"/>
              <w:textAlignment w:val="auto"/>
              <w:rPr>
                <w:rFonts w:ascii="Times New Roman" w:hAnsi="Times New Roman"/>
                <w:sz w:val="21"/>
                <w:szCs w:val="21"/>
                <w:highlight w:val="none"/>
              </w:rPr>
            </w:pPr>
          </w:p>
        </w:tc>
        <w:tc>
          <w:tcPr>
            <w:tcW w:w="1855" w:type="dxa"/>
            <w:tcBorders>
              <w:bottom w:val="single" w:color="auto" w:sz="4" w:space="0"/>
            </w:tcBorders>
            <w:vAlign w:val="center"/>
          </w:tcPr>
          <w:p>
            <w:pPr>
              <w:keepNext w:val="0"/>
              <w:keepLines w:val="0"/>
              <w:pageBreakBefore w:val="0"/>
              <w:kinsoku/>
              <w:wordWrap/>
              <w:overflowPunct/>
              <w:topLinePunct w:val="0"/>
              <w:autoSpaceDE/>
              <w:autoSpaceDN/>
              <w:bidi w:val="0"/>
              <w:spacing w:line="320" w:lineRule="exact"/>
              <w:ind w:left="0" w:leftChars="0" w:firstLine="0" w:firstLineChars="0"/>
              <w:textAlignment w:val="auto"/>
              <w:rPr>
                <w:rFonts w:ascii="Times New Roman" w:hAnsi="Times New Roman"/>
                <w:sz w:val="21"/>
                <w:szCs w:val="21"/>
                <w:highlight w:val="none"/>
              </w:rPr>
            </w:pPr>
            <w:r>
              <w:rPr>
                <w:rFonts w:ascii="Times New Roman" w:hAnsi="Times New Roman"/>
                <w:sz w:val="21"/>
                <w:szCs w:val="21"/>
                <w:highlight w:val="none"/>
              </w:rPr>
              <w:t>对合同条款和</w:t>
            </w:r>
            <w:r>
              <w:rPr>
                <w:rFonts w:hint="eastAsia" w:ascii="Times New Roman" w:hAnsi="Times New Roman"/>
                <w:sz w:val="21"/>
                <w:szCs w:val="21"/>
                <w:highlight w:val="none"/>
                <w:lang w:val="en-US" w:eastAsia="zh-CN"/>
              </w:rPr>
              <w:t>询价</w:t>
            </w:r>
            <w:r>
              <w:rPr>
                <w:rFonts w:ascii="Times New Roman" w:hAnsi="Times New Roman"/>
                <w:sz w:val="21"/>
                <w:szCs w:val="21"/>
                <w:highlight w:val="none"/>
              </w:rPr>
              <w:t>标文件条款响应程度</w:t>
            </w:r>
          </w:p>
        </w:tc>
        <w:tc>
          <w:tcPr>
            <w:tcW w:w="4511"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ascii="Times New Roman" w:hAnsi="Times New Roman"/>
                <w:sz w:val="21"/>
                <w:szCs w:val="21"/>
                <w:highlight w:val="none"/>
              </w:rPr>
            </w:pPr>
            <w:r>
              <w:rPr>
                <w:rFonts w:ascii="Times New Roman" w:hAnsi="Times New Roman"/>
                <w:sz w:val="21"/>
                <w:szCs w:val="21"/>
                <w:highlight w:val="none"/>
              </w:rPr>
              <w:t>对</w:t>
            </w:r>
            <w:r>
              <w:rPr>
                <w:rFonts w:hint="eastAsia" w:ascii="Times New Roman" w:hAnsi="Times New Roman"/>
                <w:sz w:val="21"/>
                <w:szCs w:val="21"/>
                <w:highlight w:val="none"/>
                <w:lang w:val="en-US" w:eastAsia="zh-CN"/>
              </w:rPr>
              <w:t>询价</w:t>
            </w:r>
            <w:r>
              <w:rPr>
                <w:rFonts w:ascii="Times New Roman" w:hAnsi="Times New Roman"/>
                <w:sz w:val="21"/>
                <w:szCs w:val="21"/>
                <w:highlight w:val="none"/>
              </w:rPr>
              <w:t>文件的合同条款、</w:t>
            </w:r>
            <w:r>
              <w:rPr>
                <w:rFonts w:hint="eastAsia" w:ascii="Times New Roman" w:hAnsi="Times New Roman"/>
                <w:sz w:val="21"/>
                <w:szCs w:val="21"/>
                <w:highlight w:val="none"/>
                <w:lang w:val="en-US" w:eastAsia="zh-CN"/>
              </w:rPr>
              <w:t>询价</w:t>
            </w:r>
            <w:r>
              <w:rPr>
                <w:rFonts w:ascii="Times New Roman" w:hAnsi="Times New Roman"/>
                <w:sz w:val="21"/>
                <w:szCs w:val="21"/>
                <w:highlight w:val="none"/>
              </w:rPr>
              <w:t>须知的响应程度，完全响应基准分</w:t>
            </w:r>
            <w:r>
              <w:rPr>
                <w:rFonts w:hint="eastAsia" w:ascii="Times New Roman" w:hAnsi="Times New Roman"/>
                <w:sz w:val="21"/>
                <w:szCs w:val="21"/>
                <w:highlight w:val="none"/>
              </w:rPr>
              <w:t>2</w:t>
            </w:r>
            <w:r>
              <w:rPr>
                <w:rFonts w:ascii="Times New Roman" w:hAnsi="Times New Roman"/>
                <w:sz w:val="21"/>
                <w:szCs w:val="21"/>
                <w:highlight w:val="none"/>
              </w:rPr>
              <w:t>分。本项目不允许实质性负偏差，如有实质性负偏差，</w:t>
            </w:r>
            <w:r>
              <w:rPr>
                <w:rFonts w:hint="eastAsia" w:ascii="Times New Roman" w:hAnsi="Times New Roman"/>
                <w:sz w:val="21"/>
                <w:szCs w:val="21"/>
                <w:highlight w:val="none"/>
                <w:lang w:val="en-US" w:eastAsia="zh-CN"/>
              </w:rPr>
              <w:t>询价</w:t>
            </w:r>
            <w:r>
              <w:rPr>
                <w:rFonts w:ascii="Times New Roman" w:hAnsi="Times New Roman"/>
                <w:sz w:val="21"/>
                <w:szCs w:val="21"/>
                <w:highlight w:val="none"/>
              </w:rPr>
              <w:t>将被拒绝。每正偏差1项，在基准分的基础上加1分，最多加至</w:t>
            </w:r>
            <w:r>
              <w:rPr>
                <w:rFonts w:hint="eastAsia" w:ascii="Times New Roman" w:hAnsi="Times New Roman"/>
                <w:sz w:val="21"/>
                <w:szCs w:val="21"/>
                <w:highlight w:val="none"/>
              </w:rPr>
              <w:t>5</w:t>
            </w:r>
            <w:r>
              <w:rPr>
                <w:rFonts w:ascii="Times New Roman" w:hAnsi="Times New Roman"/>
                <w:sz w:val="21"/>
                <w:szCs w:val="21"/>
                <w:highlight w:val="none"/>
              </w:rPr>
              <w:t>分；每非实质性负偏差1项，在基准分基础上减1分，最多减至0分。</w:t>
            </w:r>
          </w:p>
          <w:p>
            <w:pPr>
              <w:pStyle w:val="2"/>
              <w:keepNext w:val="0"/>
              <w:keepLines w:val="0"/>
              <w:pageBreakBefore w:val="0"/>
              <w:kinsoku/>
              <w:wordWrap/>
              <w:overflowPunct/>
              <w:topLinePunct w:val="0"/>
              <w:autoSpaceDE/>
              <w:autoSpaceDN/>
              <w:bidi w:val="0"/>
              <w:spacing w:line="320" w:lineRule="exact"/>
              <w:ind w:left="0" w:leftChars="0"/>
              <w:textAlignment w:val="auto"/>
              <w:rPr>
                <w:highlight w:val="none"/>
              </w:rPr>
            </w:pPr>
            <w:r>
              <w:rPr>
                <w:rFonts w:hint="default"/>
                <w:b/>
                <w:bCs/>
                <w:sz w:val="21"/>
                <w:szCs w:val="21"/>
                <w:highlight w:val="none"/>
                <w:lang w:val="en-US" w:eastAsia="zh-CN"/>
              </w:rPr>
              <w:t>报价人项目负责人未到现场述标的，本项不得分。</w:t>
            </w:r>
          </w:p>
        </w:tc>
        <w:tc>
          <w:tcPr>
            <w:tcW w:w="890" w:type="dxa"/>
            <w:tcBorders>
              <w:bottom w:val="single" w:color="auto" w:sz="4" w:space="0"/>
            </w:tcBorders>
            <w:vAlign w:val="center"/>
          </w:tcPr>
          <w:p>
            <w:pPr>
              <w:keepNext w:val="0"/>
              <w:keepLines w:val="0"/>
              <w:pageBreakBefore w:val="0"/>
              <w:kinsoku/>
              <w:wordWrap/>
              <w:overflowPunct/>
              <w:topLinePunct w:val="0"/>
              <w:autoSpaceDE/>
              <w:autoSpaceDN/>
              <w:bidi w:val="0"/>
              <w:spacing w:line="360" w:lineRule="exact"/>
              <w:ind w:left="0" w:leftChars="0" w:firstLine="0" w:firstLineChars="0"/>
              <w:jc w:val="center"/>
              <w:textAlignment w:val="auto"/>
              <w:rPr>
                <w:rFonts w:hint="default" w:ascii="Times New Roman" w:hAnsi="Times New Roman" w:eastAsia="宋体"/>
                <w:color w:val="000000"/>
                <w:sz w:val="21"/>
                <w:szCs w:val="21"/>
                <w:highlight w:val="none"/>
                <w:lang w:val="en-US" w:eastAsia="zh-CN"/>
              </w:rPr>
            </w:pPr>
            <w:r>
              <w:rPr>
                <w:rFonts w:hint="eastAsia" w:ascii="Times New Roman" w:hAnsi="Times New Roman"/>
                <w:color w:val="000000"/>
                <w:sz w:val="21"/>
                <w:szCs w:val="21"/>
                <w:highlight w:val="none"/>
                <w:lang w:val="en-US" w:eastAsia="zh-CN"/>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436" w:hRule="atLeast"/>
          <w:jc w:val="center"/>
        </w:trPr>
        <w:tc>
          <w:tcPr>
            <w:tcW w:w="581" w:type="dxa"/>
            <w:vMerge w:val="restart"/>
            <w:vAlign w:val="center"/>
          </w:tcPr>
          <w:p>
            <w:pPr>
              <w:keepNext w:val="0"/>
              <w:keepLines w:val="0"/>
              <w:pageBreakBefore w:val="0"/>
              <w:kinsoku/>
              <w:wordWrap/>
              <w:overflowPunct/>
              <w:topLinePunct w:val="0"/>
              <w:autoSpaceDE/>
              <w:autoSpaceDN/>
              <w:bidi w:val="0"/>
              <w:spacing w:line="320" w:lineRule="exact"/>
              <w:ind w:firstLine="105" w:firstLineChars="50"/>
              <w:jc w:val="center"/>
              <w:textAlignment w:val="auto"/>
              <w:rPr>
                <w:rFonts w:ascii="Times New Roman" w:hAnsi="Times New Roman"/>
                <w:sz w:val="21"/>
                <w:szCs w:val="21"/>
                <w:highlight w:val="none"/>
              </w:rPr>
            </w:pPr>
            <w:r>
              <w:rPr>
                <w:rFonts w:ascii="Times New Roman" w:hAnsi="Times New Roman"/>
                <w:sz w:val="21"/>
                <w:szCs w:val="21"/>
                <w:highlight w:val="none"/>
              </w:rPr>
              <w:t>3</w:t>
            </w:r>
          </w:p>
        </w:tc>
        <w:tc>
          <w:tcPr>
            <w:tcW w:w="1414" w:type="dxa"/>
            <w:vMerge w:val="restart"/>
            <w:vAlign w:val="center"/>
          </w:tcPr>
          <w:p>
            <w:pPr>
              <w:keepNext w:val="0"/>
              <w:keepLines w:val="0"/>
              <w:pageBreakBefore w:val="0"/>
              <w:kinsoku/>
              <w:wordWrap/>
              <w:overflowPunct/>
              <w:topLinePunct w:val="0"/>
              <w:autoSpaceDE/>
              <w:autoSpaceDN/>
              <w:bidi w:val="0"/>
              <w:spacing w:line="320" w:lineRule="exact"/>
              <w:ind w:left="0" w:leftChars="0" w:firstLine="0" w:firstLineChars="0"/>
              <w:jc w:val="both"/>
              <w:textAlignment w:val="auto"/>
              <w:rPr>
                <w:rFonts w:ascii="Times New Roman" w:hAnsi="Times New Roman"/>
                <w:sz w:val="21"/>
                <w:szCs w:val="21"/>
                <w:highlight w:val="none"/>
              </w:rPr>
            </w:pPr>
            <w:r>
              <w:rPr>
                <w:rFonts w:ascii="Times New Roman" w:hAnsi="Times New Roman"/>
                <w:sz w:val="21"/>
                <w:szCs w:val="21"/>
                <w:highlight w:val="none"/>
              </w:rPr>
              <w:t>工作团队（</w:t>
            </w:r>
            <w:r>
              <w:rPr>
                <w:rFonts w:hint="eastAsia" w:ascii="Times New Roman" w:hAnsi="Times New Roman"/>
                <w:sz w:val="21"/>
                <w:szCs w:val="21"/>
                <w:highlight w:val="none"/>
                <w:lang w:val="en-US" w:eastAsia="zh-CN"/>
              </w:rPr>
              <w:t>2</w:t>
            </w:r>
            <w:r>
              <w:rPr>
                <w:rFonts w:hint="eastAsia"/>
                <w:sz w:val="21"/>
                <w:szCs w:val="21"/>
                <w:highlight w:val="none"/>
                <w:lang w:val="en-US" w:eastAsia="zh-CN"/>
              </w:rPr>
              <w:t>5</w:t>
            </w:r>
            <w:r>
              <w:rPr>
                <w:rFonts w:ascii="Times New Roman" w:hAnsi="Times New Roman"/>
                <w:sz w:val="21"/>
                <w:szCs w:val="21"/>
                <w:highlight w:val="none"/>
              </w:rPr>
              <w:t>）</w:t>
            </w:r>
          </w:p>
        </w:tc>
        <w:tc>
          <w:tcPr>
            <w:tcW w:w="1855" w:type="dxa"/>
            <w:vMerge w:val="restart"/>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105" w:firstLineChars="50"/>
              <w:textAlignment w:val="auto"/>
              <w:rPr>
                <w:rFonts w:ascii="Times New Roman" w:hAnsi="Times New Roman"/>
                <w:sz w:val="21"/>
                <w:szCs w:val="21"/>
                <w:highlight w:val="none"/>
              </w:rPr>
            </w:pPr>
            <w:r>
              <w:rPr>
                <w:rFonts w:ascii="Times New Roman" w:hAnsi="Times New Roman"/>
                <w:sz w:val="21"/>
                <w:szCs w:val="21"/>
                <w:highlight w:val="none"/>
              </w:rPr>
              <w:t>人员配备及稳定性</w:t>
            </w:r>
            <w:r>
              <w:rPr>
                <w:rFonts w:hint="eastAsia" w:ascii="Times New Roman" w:hAnsi="Times New Roman"/>
                <w:sz w:val="21"/>
                <w:szCs w:val="21"/>
                <w:highlight w:val="none"/>
              </w:rPr>
              <w:t>（</w:t>
            </w:r>
            <w:r>
              <w:rPr>
                <w:rFonts w:hint="eastAsia" w:ascii="Times New Roman" w:hAnsi="Times New Roman"/>
                <w:sz w:val="21"/>
                <w:szCs w:val="21"/>
                <w:highlight w:val="none"/>
                <w:lang w:val="en-US" w:eastAsia="zh-CN"/>
              </w:rPr>
              <w:t>报价</w:t>
            </w:r>
            <w:r>
              <w:rPr>
                <w:rFonts w:hint="eastAsia" w:ascii="Times New Roman" w:hAnsi="Times New Roman"/>
                <w:sz w:val="21"/>
                <w:szCs w:val="21"/>
                <w:highlight w:val="none"/>
              </w:rPr>
              <w:t>人提供相关证明文件，包括但不限于</w:t>
            </w:r>
            <w:r>
              <w:rPr>
                <w:rFonts w:hint="eastAsia" w:ascii="Times New Roman" w:hAnsi="Times New Roman"/>
                <w:sz w:val="21"/>
                <w:szCs w:val="21"/>
                <w:highlight w:val="none"/>
                <w:lang w:val="en-US" w:eastAsia="zh-CN"/>
              </w:rPr>
              <w:t>聘用服务</w:t>
            </w:r>
            <w:r>
              <w:rPr>
                <w:rFonts w:hint="eastAsia" w:ascii="Times New Roman" w:hAnsi="Times New Roman"/>
                <w:sz w:val="21"/>
                <w:szCs w:val="21"/>
                <w:highlight w:val="none"/>
              </w:rPr>
              <w:t>合同</w:t>
            </w:r>
            <w:r>
              <w:rPr>
                <w:rFonts w:hint="eastAsia" w:ascii="Times New Roman" w:hAnsi="Times New Roman"/>
                <w:sz w:val="21"/>
                <w:szCs w:val="21"/>
                <w:highlight w:val="none"/>
                <w:lang w:eastAsia="zh-CN"/>
              </w:rPr>
              <w:t>、</w:t>
            </w:r>
            <w:r>
              <w:rPr>
                <w:rFonts w:hint="eastAsia" w:ascii="Times New Roman" w:hAnsi="Times New Roman"/>
                <w:sz w:val="21"/>
                <w:szCs w:val="21"/>
                <w:highlight w:val="none"/>
                <w:lang w:val="en-US" w:eastAsia="zh-CN"/>
              </w:rPr>
              <w:t>诉讼</w:t>
            </w:r>
            <w:r>
              <w:rPr>
                <w:rFonts w:hint="eastAsia"/>
                <w:sz w:val="21"/>
                <w:szCs w:val="21"/>
                <w:highlight w:val="none"/>
                <w:lang w:val="en-US" w:eastAsia="zh-CN"/>
              </w:rPr>
              <w:t>、仲裁</w:t>
            </w:r>
            <w:r>
              <w:rPr>
                <w:rFonts w:hint="eastAsia" w:ascii="Times New Roman" w:hAnsi="Times New Roman"/>
                <w:sz w:val="21"/>
                <w:szCs w:val="21"/>
                <w:highlight w:val="none"/>
                <w:lang w:val="en-US" w:eastAsia="zh-CN"/>
              </w:rPr>
              <w:t>案件等</w:t>
            </w:r>
            <w:r>
              <w:rPr>
                <w:rFonts w:hint="eastAsia" w:ascii="Times New Roman" w:hAnsi="Times New Roman"/>
                <w:sz w:val="21"/>
                <w:szCs w:val="21"/>
                <w:highlight w:val="none"/>
              </w:rPr>
              <w:t>，</w:t>
            </w:r>
            <w:r>
              <w:rPr>
                <w:rFonts w:hint="eastAsia" w:ascii="Times New Roman" w:hAnsi="Times New Roman"/>
                <w:sz w:val="21"/>
                <w:szCs w:val="21"/>
                <w:highlight w:val="none"/>
                <w:lang w:val="en-US" w:eastAsia="zh-CN"/>
              </w:rPr>
              <w:t>相关文件</w:t>
            </w:r>
            <w:r>
              <w:rPr>
                <w:rFonts w:hint="eastAsia" w:ascii="Times New Roman" w:hAnsi="Times New Roman"/>
                <w:sz w:val="21"/>
                <w:szCs w:val="21"/>
                <w:highlight w:val="none"/>
              </w:rPr>
              <w:t>中</w:t>
            </w:r>
            <w:r>
              <w:rPr>
                <w:rFonts w:hint="eastAsia" w:ascii="Times New Roman" w:hAnsi="Times New Roman"/>
                <w:sz w:val="21"/>
                <w:szCs w:val="21"/>
                <w:highlight w:val="none"/>
                <w:lang w:val="en-US" w:eastAsia="zh-CN"/>
              </w:rPr>
              <w:t>未</w:t>
            </w:r>
            <w:r>
              <w:rPr>
                <w:rFonts w:hint="eastAsia" w:ascii="Times New Roman" w:hAnsi="Times New Roman"/>
                <w:sz w:val="21"/>
                <w:szCs w:val="21"/>
                <w:highlight w:val="none"/>
              </w:rPr>
              <w:t>明确体现相关服务人员姓名的不计算在内。）</w:t>
            </w:r>
          </w:p>
        </w:tc>
        <w:tc>
          <w:tcPr>
            <w:tcW w:w="4511" w:type="dxa"/>
            <w:tcBorders>
              <w:top w:val="single" w:color="auto" w:sz="4" w:space="0"/>
              <w:bottom w:val="single" w:color="auto" w:sz="4" w:space="0"/>
            </w:tcBorders>
            <w:vAlign w:val="center"/>
          </w:tcPr>
          <w:p>
            <w:pPr>
              <w:pStyle w:val="2"/>
              <w:keepNext w:val="0"/>
              <w:keepLines w:val="0"/>
              <w:pageBreakBefore w:val="0"/>
              <w:widowControl w:val="0"/>
              <w:numPr>
                <w:ilvl w:val="-1"/>
                <w:numId w:val="0"/>
              </w:numPr>
              <w:kinsoku/>
              <w:wordWrap/>
              <w:overflowPunct/>
              <w:topLinePunct w:val="0"/>
              <w:autoSpaceDE/>
              <w:autoSpaceDN/>
              <w:bidi w:val="0"/>
              <w:adjustRightInd/>
              <w:snapToGrid/>
              <w:spacing w:line="320" w:lineRule="exact"/>
              <w:ind w:left="0" w:leftChars="0" w:firstLine="420" w:firstLineChars="200"/>
              <w:jc w:val="both"/>
              <w:textAlignment w:val="auto"/>
              <w:rPr>
                <w:rFonts w:hint="eastAsia"/>
                <w:b w:val="0"/>
                <w:bCs/>
                <w:sz w:val="21"/>
                <w:szCs w:val="21"/>
                <w:highlight w:val="none"/>
                <w:lang w:val="en-US" w:eastAsia="zh-CN"/>
              </w:rPr>
            </w:pPr>
            <w:r>
              <w:rPr>
                <w:rFonts w:hint="eastAsia"/>
                <w:b w:val="0"/>
                <w:bCs/>
                <w:sz w:val="21"/>
                <w:szCs w:val="21"/>
                <w:highlight w:val="none"/>
              </w:rPr>
              <w:t>近3年，项目负责人具有为</w:t>
            </w:r>
            <w:r>
              <w:rPr>
                <w:rFonts w:hint="eastAsia"/>
                <w:b w:val="0"/>
                <w:bCs/>
                <w:sz w:val="21"/>
                <w:szCs w:val="21"/>
                <w:highlight w:val="none"/>
                <w:lang w:val="en-US" w:eastAsia="zh-CN"/>
              </w:rPr>
              <w:t>央企及所属企业</w:t>
            </w:r>
            <w:r>
              <w:rPr>
                <w:rFonts w:hint="eastAsia"/>
                <w:b w:val="0"/>
                <w:bCs/>
                <w:sz w:val="21"/>
                <w:szCs w:val="21"/>
                <w:highlight w:val="none"/>
              </w:rPr>
              <w:t>提供常年合规法律服务工作经验</w:t>
            </w:r>
            <w:r>
              <w:rPr>
                <w:rFonts w:hint="eastAsia"/>
                <w:b w:val="0"/>
                <w:bCs/>
                <w:sz w:val="21"/>
                <w:szCs w:val="21"/>
                <w:highlight w:val="none"/>
                <w:lang w:eastAsia="zh-CN"/>
              </w:rPr>
              <w:t>，</w:t>
            </w:r>
            <w:r>
              <w:rPr>
                <w:rFonts w:hint="eastAsia"/>
                <w:b w:val="0"/>
                <w:bCs/>
                <w:sz w:val="21"/>
                <w:szCs w:val="21"/>
                <w:highlight w:val="none"/>
                <w:lang w:val="en-US" w:eastAsia="zh-CN"/>
              </w:rPr>
              <w:t>得2分；</w:t>
            </w:r>
            <w:r>
              <w:rPr>
                <w:rFonts w:hint="eastAsia"/>
                <w:b w:val="0"/>
                <w:bCs/>
                <w:sz w:val="21"/>
                <w:szCs w:val="21"/>
                <w:highlight w:val="none"/>
              </w:rPr>
              <w:t>具有为</w:t>
            </w:r>
            <w:r>
              <w:rPr>
                <w:rFonts w:hint="eastAsia"/>
                <w:b w:val="0"/>
                <w:bCs/>
                <w:sz w:val="21"/>
                <w:szCs w:val="21"/>
                <w:highlight w:val="none"/>
                <w:lang w:val="en-US" w:eastAsia="zh-CN"/>
              </w:rPr>
              <w:t>能源类央企及所属企业</w:t>
            </w:r>
            <w:r>
              <w:rPr>
                <w:rFonts w:hint="eastAsia"/>
                <w:b w:val="0"/>
                <w:bCs/>
                <w:sz w:val="21"/>
                <w:szCs w:val="21"/>
                <w:highlight w:val="none"/>
              </w:rPr>
              <w:t>提供常年合规法律服务工作经验，得</w:t>
            </w:r>
            <w:r>
              <w:rPr>
                <w:rFonts w:hint="eastAsia"/>
                <w:b w:val="0"/>
                <w:bCs/>
                <w:sz w:val="21"/>
                <w:szCs w:val="21"/>
                <w:highlight w:val="none"/>
                <w:lang w:val="en-US" w:eastAsia="zh-CN"/>
              </w:rPr>
              <w:t>3</w:t>
            </w:r>
            <w:r>
              <w:rPr>
                <w:rFonts w:hint="eastAsia"/>
                <w:b w:val="0"/>
                <w:bCs/>
                <w:sz w:val="21"/>
                <w:szCs w:val="21"/>
                <w:highlight w:val="none"/>
              </w:rPr>
              <w:t>分；</w:t>
            </w:r>
            <w:r>
              <w:rPr>
                <w:rFonts w:hint="eastAsia"/>
                <w:b w:val="0"/>
                <w:bCs/>
                <w:sz w:val="21"/>
                <w:szCs w:val="21"/>
                <w:highlight w:val="none"/>
                <w:lang w:val="en-US" w:eastAsia="zh-CN"/>
              </w:rPr>
              <w:t>具有招标采购能源类央企及所属企业</w:t>
            </w:r>
            <w:r>
              <w:rPr>
                <w:rFonts w:hint="eastAsia"/>
                <w:b w:val="0"/>
                <w:bCs/>
                <w:sz w:val="21"/>
                <w:szCs w:val="21"/>
                <w:highlight w:val="none"/>
              </w:rPr>
              <w:t>提供常年合规法律服务工作经验，得</w:t>
            </w:r>
            <w:r>
              <w:rPr>
                <w:rFonts w:hint="eastAsia"/>
                <w:b w:val="0"/>
                <w:bCs/>
                <w:sz w:val="21"/>
                <w:szCs w:val="21"/>
                <w:highlight w:val="none"/>
                <w:lang w:val="en-US" w:eastAsia="zh-CN"/>
              </w:rPr>
              <w:t>5</w:t>
            </w:r>
            <w:r>
              <w:rPr>
                <w:rFonts w:hint="eastAsia"/>
                <w:b w:val="0"/>
                <w:bCs/>
                <w:sz w:val="21"/>
                <w:szCs w:val="21"/>
                <w:highlight w:val="none"/>
              </w:rPr>
              <w:t>分。</w:t>
            </w:r>
            <w:r>
              <w:rPr>
                <w:rFonts w:hint="eastAsia"/>
                <w:b w:val="0"/>
                <w:bCs/>
                <w:sz w:val="21"/>
                <w:szCs w:val="21"/>
                <w:highlight w:val="none"/>
                <w:lang w:val="en-US" w:eastAsia="zh-CN"/>
              </w:rPr>
              <w:t>不叠加计算，最高5分。</w:t>
            </w:r>
          </w:p>
          <w:p>
            <w:pPr>
              <w:pStyle w:val="2"/>
              <w:keepNext w:val="0"/>
              <w:keepLines w:val="0"/>
              <w:pageBreakBefore w:val="0"/>
              <w:numPr>
                <w:ilvl w:val="-1"/>
                <w:numId w:val="0"/>
              </w:numPr>
              <w:kinsoku/>
              <w:wordWrap/>
              <w:overflowPunct/>
              <w:topLinePunct w:val="0"/>
              <w:autoSpaceDE/>
              <w:autoSpaceDN/>
              <w:bidi w:val="0"/>
              <w:adjustRightInd/>
              <w:snapToGrid/>
              <w:spacing w:line="320" w:lineRule="exact"/>
              <w:ind w:left="0" w:leftChars="0" w:firstLine="422"/>
              <w:textAlignment w:val="auto"/>
              <w:rPr>
                <w:rFonts w:hint="default"/>
                <w:lang w:val="en-US"/>
              </w:rPr>
            </w:pPr>
            <w:r>
              <w:rPr>
                <w:rFonts w:hint="eastAsia"/>
                <w:b w:val="0"/>
                <w:bCs/>
                <w:lang w:val="en-US" w:eastAsia="zh-CN"/>
              </w:rPr>
              <w:t>近3年，非项目负责人的其他律师</w:t>
            </w:r>
            <w:r>
              <w:rPr>
                <w:b w:val="0"/>
                <w:bCs/>
              </w:rPr>
              <w:t>中</w:t>
            </w:r>
            <w:r>
              <w:rPr>
                <w:rFonts w:hint="eastAsia"/>
                <w:b w:val="0"/>
                <w:bCs/>
                <w:lang w:val="en-US" w:eastAsia="zh-CN"/>
              </w:rPr>
              <w:t>每有1名为央企及所属企业提供</w:t>
            </w:r>
            <w:r>
              <w:rPr>
                <w:b w:val="0"/>
                <w:bCs/>
              </w:rPr>
              <w:t>常年合规法律服务工作经验的成员，得</w:t>
            </w:r>
            <w:r>
              <w:rPr>
                <w:rFonts w:hint="eastAsia"/>
                <w:b w:val="0"/>
                <w:bCs/>
                <w:lang w:val="en-US" w:eastAsia="zh-CN"/>
              </w:rPr>
              <w:t>2</w:t>
            </w:r>
            <w:r>
              <w:rPr>
                <w:b w:val="0"/>
                <w:bCs/>
              </w:rPr>
              <w:t>分</w:t>
            </w:r>
            <w:r>
              <w:rPr>
                <w:rFonts w:hint="eastAsia"/>
                <w:b w:val="0"/>
                <w:bCs/>
                <w:lang w:eastAsia="zh-CN"/>
              </w:rPr>
              <w:t>；</w:t>
            </w:r>
            <w:r>
              <w:rPr>
                <w:rFonts w:hint="eastAsia"/>
                <w:b w:val="0"/>
                <w:bCs/>
                <w:lang w:val="en-US" w:eastAsia="zh-CN"/>
              </w:rPr>
              <w:t>每有1名为能源类央企及所属企业提供</w:t>
            </w:r>
            <w:r>
              <w:rPr>
                <w:b w:val="0"/>
                <w:bCs/>
              </w:rPr>
              <w:t>常年合规法律服务工作经验的成员，得</w:t>
            </w:r>
            <w:r>
              <w:rPr>
                <w:rFonts w:hint="eastAsia"/>
                <w:b w:val="0"/>
                <w:bCs/>
                <w:lang w:val="en-US" w:eastAsia="zh-CN"/>
              </w:rPr>
              <w:t>3</w:t>
            </w:r>
            <w:r>
              <w:rPr>
                <w:b w:val="0"/>
                <w:bCs/>
              </w:rPr>
              <w:t>分</w:t>
            </w:r>
            <w:r>
              <w:rPr>
                <w:rFonts w:hint="eastAsia"/>
                <w:b w:val="0"/>
                <w:bCs/>
                <w:lang w:eastAsia="zh-CN"/>
              </w:rPr>
              <w:t>；</w:t>
            </w:r>
            <w:r>
              <w:rPr>
                <w:b w:val="0"/>
                <w:bCs/>
              </w:rPr>
              <w:t>每增加1名得1分</w:t>
            </w:r>
            <w:r>
              <w:rPr>
                <w:rFonts w:hint="eastAsia"/>
                <w:b w:val="0"/>
                <w:bCs/>
                <w:lang w:eastAsia="zh-CN"/>
              </w:rPr>
              <w:t>。</w:t>
            </w:r>
            <w:r>
              <w:rPr>
                <w:rFonts w:hint="eastAsia"/>
                <w:b w:val="0"/>
                <w:bCs/>
                <w:lang w:val="en-US" w:eastAsia="zh-CN"/>
              </w:rPr>
              <w:t>不叠加计算，最高5</w:t>
            </w:r>
            <w:r>
              <w:rPr>
                <w:b w:val="0"/>
                <w:bCs/>
              </w:rPr>
              <w:t>分。</w:t>
            </w:r>
          </w:p>
        </w:tc>
        <w:tc>
          <w:tcPr>
            <w:tcW w:w="890" w:type="dxa"/>
            <w:tcBorders>
              <w:top w:val="single" w:color="auto" w:sz="4" w:space="0"/>
              <w:bottom w:val="single" w:color="auto" w:sz="4" w:space="0"/>
            </w:tcBorders>
            <w:vAlign w:val="center"/>
          </w:tcPr>
          <w:p>
            <w:pPr>
              <w:keepNext w:val="0"/>
              <w:keepLines w:val="0"/>
              <w:pageBreakBefore w:val="0"/>
              <w:kinsoku/>
              <w:wordWrap/>
              <w:overflowPunct/>
              <w:topLinePunct w:val="0"/>
              <w:autoSpaceDE/>
              <w:autoSpaceDN/>
              <w:bidi w:val="0"/>
              <w:spacing w:line="360" w:lineRule="exact"/>
              <w:ind w:left="0" w:leftChars="0" w:firstLine="0" w:firstLineChars="0"/>
              <w:jc w:val="center"/>
              <w:textAlignment w:val="auto"/>
              <w:rPr>
                <w:rFonts w:hint="default" w:ascii="Times New Roman" w:hAnsi="Times New Roman"/>
                <w:color w:val="000000"/>
                <w:sz w:val="21"/>
                <w:szCs w:val="21"/>
                <w:highlight w:val="none"/>
                <w:lang w:val="en-US" w:eastAsia="zh-CN"/>
              </w:rPr>
            </w:pPr>
            <w:r>
              <w:rPr>
                <w:rFonts w:hint="eastAsia"/>
                <w:color w:val="000000"/>
                <w:sz w:val="21"/>
                <w:szCs w:val="21"/>
                <w:highlight w:val="none"/>
                <w:lang w:val="en-US" w:eastAsia="zh-CN"/>
              </w:rPr>
              <w:t>10</w:t>
            </w:r>
          </w:p>
          <w:p>
            <w:pPr>
              <w:keepNext w:val="0"/>
              <w:keepLines w:val="0"/>
              <w:pageBreakBefore w:val="0"/>
              <w:kinsoku/>
              <w:wordWrap/>
              <w:overflowPunct/>
              <w:topLinePunct w:val="0"/>
              <w:autoSpaceDE/>
              <w:autoSpaceDN/>
              <w:bidi w:val="0"/>
              <w:spacing w:line="360" w:lineRule="exact"/>
              <w:ind w:left="0" w:leftChars="0" w:firstLine="0" w:firstLineChars="0"/>
              <w:jc w:val="center"/>
              <w:textAlignment w:val="auto"/>
              <w:rPr>
                <w:rFonts w:hint="default" w:ascii="Times New Roman" w:hAnsi="Times New Roman" w:eastAsia="宋体"/>
                <w:color w:val="000000"/>
                <w:sz w:val="21"/>
                <w:szCs w:val="21"/>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321" w:hRule="atLeast"/>
          <w:jc w:val="center"/>
        </w:trPr>
        <w:tc>
          <w:tcPr>
            <w:tcW w:w="581" w:type="dxa"/>
            <w:vMerge w:val="continue"/>
            <w:vAlign w:val="center"/>
          </w:tcPr>
          <w:p>
            <w:pPr>
              <w:keepNext w:val="0"/>
              <w:keepLines w:val="0"/>
              <w:pageBreakBefore w:val="0"/>
              <w:kinsoku/>
              <w:wordWrap/>
              <w:overflowPunct/>
              <w:topLinePunct w:val="0"/>
              <w:autoSpaceDE/>
              <w:autoSpaceDN/>
              <w:bidi w:val="0"/>
              <w:spacing w:line="320" w:lineRule="exact"/>
              <w:ind w:firstLine="105" w:firstLineChars="50"/>
              <w:jc w:val="center"/>
              <w:textAlignment w:val="auto"/>
              <w:rPr>
                <w:rFonts w:ascii="Times New Roman" w:hAnsi="Times New Roman"/>
                <w:sz w:val="21"/>
                <w:szCs w:val="21"/>
                <w:highlight w:val="none"/>
              </w:rPr>
            </w:pPr>
          </w:p>
        </w:tc>
        <w:tc>
          <w:tcPr>
            <w:tcW w:w="1414" w:type="dxa"/>
            <w:vMerge w:val="continue"/>
            <w:vAlign w:val="center"/>
          </w:tcPr>
          <w:p>
            <w:pPr>
              <w:keepNext w:val="0"/>
              <w:keepLines w:val="0"/>
              <w:pageBreakBefore w:val="0"/>
              <w:kinsoku/>
              <w:wordWrap/>
              <w:overflowPunct/>
              <w:topLinePunct w:val="0"/>
              <w:autoSpaceDE/>
              <w:autoSpaceDN/>
              <w:bidi w:val="0"/>
              <w:spacing w:line="320" w:lineRule="exact"/>
              <w:ind w:left="0" w:leftChars="0" w:firstLine="0" w:firstLineChars="0"/>
              <w:jc w:val="both"/>
              <w:textAlignment w:val="auto"/>
              <w:rPr>
                <w:rFonts w:ascii="Times New Roman" w:hAnsi="Times New Roman"/>
                <w:sz w:val="21"/>
                <w:szCs w:val="21"/>
                <w:highlight w:val="none"/>
              </w:rPr>
            </w:pPr>
          </w:p>
        </w:tc>
        <w:tc>
          <w:tcPr>
            <w:tcW w:w="1855"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105" w:firstLineChars="50"/>
              <w:textAlignment w:val="auto"/>
              <w:rPr>
                <w:rFonts w:ascii="Times New Roman" w:hAnsi="Times New Roman"/>
                <w:sz w:val="21"/>
                <w:szCs w:val="21"/>
                <w:highlight w:val="none"/>
              </w:rPr>
            </w:pPr>
          </w:p>
        </w:tc>
        <w:tc>
          <w:tcPr>
            <w:tcW w:w="4511"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kern w:val="0"/>
                <w:sz w:val="21"/>
                <w:szCs w:val="21"/>
                <w:highlight w:val="none"/>
                <w:lang w:val="en-US" w:eastAsia="zh-CN"/>
              </w:rPr>
            </w:pPr>
            <w:r>
              <w:rPr>
                <w:rFonts w:hint="eastAsia" w:ascii="Times New Roman" w:hAnsi="Times New Roman"/>
                <w:sz w:val="21"/>
                <w:szCs w:val="21"/>
                <w:highlight w:val="none"/>
                <w:lang w:val="en-US" w:eastAsia="zh-CN"/>
              </w:rPr>
              <w:t>团队成员中提供案例为中国国际经济贸易仲裁委员会、东城区人民法院、北京第二中级人民法院诉讼仲裁的，得0.5分，每增加一个案例，增加0.5分。同一案件的不同诉讼、仲裁阶段视为同一案例，最高不超过5分。</w:t>
            </w:r>
          </w:p>
        </w:tc>
        <w:tc>
          <w:tcPr>
            <w:tcW w:w="890" w:type="dxa"/>
            <w:tcBorders>
              <w:top w:val="single" w:color="auto" w:sz="4" w:space="0"/>
              <w:bottom w:val="single" w:color="auto" w:sz="4" w:space="0"/>
            </w:tcBorders>
            <w:vAlign w:val="center"/>
          </w:tcPr>
          <w:p>
            <w:pPr>
              <w:keepNext w:val="0"/>
              <w:keepLines w:val="0"/>
              <w:pageBreakBefore w:val="0"/>
              <w:kinsoku/>
              <w:wordWrap/>
              <w:overflowPunct/>
              <w:topLinePunct w:val="0"/>
              <w:autoSpaceDE/>
              <w:autoSpaceDN/>
              <w:bidi w:val="0"/>
              <w:spacing w:line="360" w:lineRule="exact"/>
              <w:ind w:left="0" w:leftChars="0" w:firstLine="0" w:firstLineChars="0"/>
              <w:jc w:val="center"/>
              <w:textAlignment w:val="auto"/>
              <w:rPr>
                <w:rFonts w:hint="default" w:ascii="Times New Roman" w:hAnsi="Times New Roman"/>
                <w:color w:val="000000"/>
                <w:sz w:val="21"/>
                <w:szCs w:val="21"/>
                <w:highlight w:val="none"/>
                <w:lang w:val="en-US" w:eastAsia="zh-CN"/>
              </w:rPr>
            </w:pPr>
            <w:r>
              <w:rPr>
                <w:rFonts w:hint="eastAsia"/>
                <w:color w:val="000000"/>
                <w:sz w:val="21"/>
                <w:szCs w:val="21"/>
                <w:highlight w:val="none"/>
                <w:lang w:val="en-US" w:eastAsia="zh-CN"/>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321" w:hRule="atLeast"/>
          <w:jc w:val="center"/>
        </w:trPr>
        <w:tc>
          <w:tcPr>
            <w:tcW w:w="581" w:type="dxa"/>
            <w:vMerge w:val="continue"/>
            <w:vAlign w:val="center"/>
          </w:tcPr>
          <w:p>
            <w:pPr>
              <w:keepNext w:val="0"/>
              <w:keepLines w:val="0"/>
              <w:pageBreakBefore w:val="0"/>
              <w:kinsoku/>
              <w:wordWrap/>
              <w:overflowPunct/>
              <w:topLinePunct w:val="0"/>
              <w:autoSpaceDE/>
              <w:autoSpaceDN/>
              <w:bidi w:val="0"/>
              <w:spacing w:line="320" w:lineRule="exact"/>
              <w:ind w:firstLine="105" w:firstLineChars="50"/>
              <w:jc w:val="center"/>
              <w:textAlignment w:val="auto"/>
              <w:rPr>
                <w:rFonts w:ascii="Times New Roman" w:hAnsi="Times New Roman"/>
                <w:sz w:val="21"/>
                <w:szCs w:val="21"/>
                <w:highlight w:val="none"/>
              </w:rPr>
            </w:pPr>
          </w:p>
        </w:tc>
        <w:tc>
          <w:tcPr>
            <w:tcW w:w="1414" w:type="dxa"/>
            <w:vMerge w:val="continue"/>
            <w:vAlign w:val="center"/>
          </w:tcPr>
          <w:p>
            <w:pPr>
              <w:keepNext w:val="0"/>
              <w:keepLines w:val="0"/>
              <w:pageBreakBefore w:val="0"/>
              <w:kinsoku/>
              <w:wordWrap/>
              <w:overflowPunct/>
              <w:topLinePunct w:val="0"/>
              <w:autoSpaceDE/>
              <w:autoSpaceDN/>
              <w:bidi w:val="0"/>
              <w:spacing w:line="320" w:lineRule="exact"/>
              <w:ind w:left="0" w:leftChars="0" w:firstLine="0" w:firstLineChars="0"/>
              <w:jc w:val="both"/>
              <w:textAlignment w:val="auto"/>
              <w:rPr>
                <w:rFonts w:ascii="Times New Roman" w:hAnsi="Times New Roman"/>
                <w:sz w:val="21"/>
                <w:szCs w:val="21"/>
                <w:highlight w:val="none"/>
              </w:rPr>
            </w:pPr>
          </w:p>
        </w:tc>
        <w:tc>
          <w:tcPr>
            <w:tcW w:w="1855"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105" w:firstLineChars="50"/>
              <w:textAlignment w:val="auto"/>
              <w:rPr>
                <w:rFonts w:ascii="Times New Roman" w:hAnsi="Times New Roman"/>
                <w:sz w:val="21"/>
                <w:szCs w:val="21"/>
                <w:highlight w:val="none"/>
              </w:rPr>
            </w:pPr>
          </w:p>
        </w:tc>
        <w:tc>
          <w:tcPr>
            <w:tcW w:w="4511"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kern w:val="0"/>
                <w:sz w:val="21"/>
                <w:szCs w:val="21"/>
                <w:highlight w:val="none"/>
                <w:lang w:val="en-US" w:eastAsia="zh-CN"/>
              </w:rPr>
            </w:pPr>
            <w:r>
              <w:rPr>
                <w:rFonts w:hint="eastAsia" w:ascii="Times New Roman" w:hAnsi="Times New Roman"/>
                <w:sz w:val="21"/>
                <w:szCs w:val="21"/>
                <w:highlight w:val="none"/>
                <w:lang w:val="en-US" w:eastAsia="zh-CN"/>
              </w:rPr>
              <w:t>团队成员提供法律服务涉及境外业务的，每一份不同主体的服务合同得0.5分，最高不超过5分。</w:t>
            </w:r>
          </w:p>
        </w:tc>
        <w:tc>
          <w:tcPr>
            <w:tcW w:w="890" w:type="dxa"/>
            <w:tcBorders>
              <w:top w:val="single" w:color="auto" w:sz="4" w:space="0"/>
              <w:bottom w:val="single" w:color="auto" w:sz="4" w:space="0"/>
            </w:tcBorders>
            <w:vAlign w:val="center"/>
          </w:tcPr>
          <w:p>
            <w:pPr>
              <w:keepNext w:val="0"/>
              <w:keepLines w:val="0"/>
              <w:pageBreakBefore w:val="0"/>
              <w:kinsoku/>
              <w:wordWrap/>
              <w:overflowPunct/>
              <w:topLinePunct w:val="0"/>
              <w:autoSpaceDE/>
              <w:autoSpaceDN/>
              <w:bidi w:val="0"/>
              <w:spacing w:line="360" w:lineRule="exact"/>
              <w:ind w:left="0" w:leftChars="0" w:firstLine="0" w:firstLineChars="0"/>
              <w:jc w:val="center"/>
              <w:textAlignment w:val="auto"/>
              <w:rPr>
                <w:rFonts w:hint="default" w:ascii="Times New Roman" w:hAnsi="Times New Roman"/>
                <w:color w:val="000000"/>
                <w:sz w:val="21"/>
                <w:szCs w:val="21"/>
                <w:highlight w:val="none"/>
                <w:lang w:val="en-US" w:eastAsia="zh-CN"/>
              </w:rPr>
            </w:pPr>
            <w:r>
              <w:rPr>
                <w:rFonts w:hint="eastAsia"/>
                <w:color w:val="000000"/>
                <w:sz w:val="21"/>
                <w:szCs w:val="21"/>
                <w:highlight w:val="none"/>
                <w:lang w:val="en-US" w:eastAsia="zh-CN"/>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879" w:hRule="atLeast"/>
          <w:jc w:val="center"/>
        </w:trPr>
        <w:tc>
          <w:tcPr>
            <w:tcW w:w="581" w:type="dxa"/>
            <w:vMerge w:val="continue"/>
            <w:vAlign w:val="center"/>
          </w:tcPr>
          <w:p>
            <w:pPr>
              <w:keepNext w:val="0"/>
              <w:keepLines w:val="0"/>
              <w:pageBreakBefore w:val="0"/>
              <w:kinsoku/>
              <w:wordWrap/>
              <w:overflowPunct/>
              <w:topLinePunct w:val="0"/>
              <w:autoSpaceDE/>
              <w:autoSpaceDN/>
              <w:bidi w:val="0"/>
              <w:spacing w:line="320" w:lineRule="exact"/>
              <w:ind w:firstLine="105" w:firstLineChars="50"/>
              <w:jc w:val="center"/>
              <w:textAlignment w:val="auto"/>
              <w:rPr>
                <w:rFonts w:ascii="Times New Roman" w:hAnsi="Times New Roman"/>
                <w:sz w:val="21"/>
                <w:szCs w:val="21"/>
                <w:highlight w:val="none"/>
              </w:rPr>
            </w:pPr>
          </w:p>
        </w:tc>
        <w:tc>
          <w:tcPr>
            <w:tcW w:w="1414" w:type="dxa"/>
            <w:vMerge w:val="continue"/>
            <w:vAlign w:val="center"/>
          </w:tcPr>
          <w:p>
            <w:pPr>
              <w:keepNext w:val="0"/>
              <w:keepLines w:val="0"/>
              <w:pageBreakBefore w:val="0"/>
              <w:kinsoku/>
              <w:wordWrap/>
              <w:overflowPunct/>
              <w:topLinePunct w:val="0"/>
              <w:autoSpaceDE/>
              <w:autoSpaceDN/>
              <w:bidi w:val="0"/>
              <w:spacing w:line="320" w:lineRule="exact"/>
              <w:ind w:left="0" w:leftChars="0" w:firstLine="0" w:firstLineChars="0"/>
              <w:jc w:val="both"/>
              <w:textAlignment w:val="auto"/>
              <w:rPr>
                <w:rFonts w:ascii="Times New Roman" w:hAnsi="Times New Roman"/>
                <w:sz w:val="21"/>
                <w:szCs w:val="21"/>
                <w:highlight w:val="none"/>
              </w:rPr>
            </w:pPr>
          </w:p>
        </w:tc>
        <w:tc>
          <w:tcPr>
            <w:tcW w:w="1855" w:type="dxa"/>
            <w:vMerge w:val="continue"/>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105" w:firstLineChars="50"/>
              <w:textAlignment w:val="auto"/>
              <w:rPr>
                <w:rFonts w:ascii="Times New Roman" w:hAnsi="Times New Roman"/>
                <w:sz w:val="21"/>
                <w:szCs w:val="21"/>
                <w:highlight w:val="none"/>
              </w:rPr>
            </w:pPr>
          </w:p>
        </w:tc>
        <w:tc>
          <w:tcPr>
            <w:tcW w:w="4511" w:type="dxa"/>
            <w:tcBorders>
              <w:top w:val="single" w:color="auto" w:sz="4" w:space="0"/>
            </w:tcBorders>
            <w:vAlign w:val="center"/>
          </w:tcPr>
          <w:p>
            <w:pPr>
              <w:pStyle w:val="2"/>
              <w:numPr>
                <w:ilvl w:val="0"/>
                <w:numId w:val="4"/>
              </w:numPr>
              <w:spacing w:line="320" w:lineRule="exact"/>
              <w:ind w:left="0" w:leftChars="0" w:firstLine="422"/>
              <w:jc w:val="both"/>
              <w:rPr>
                <w:b w:val="0"/>
                <w:bCs/>
              </w:rPr>
            </w:pPr>
            <w:r>
              <w:rPr>
                <w:rFonts w:hint="eastAsia"/>
                <w:b w:val="0"/>
                <w:bCs/>
                <w:lang w:val="en-US" w:eastAsia="zh-CN"/>
              </w:rPr>
              <w:t>项目负责人具备15年以上执业工作经验，得2.5分。</w:t>
            </w:r>
          </w:p>
          <w:p>
            <w:pPr>
              <w:pStyle w:val="2"/>
              <w:keepNext w:val="0"/>
              <w:keepLines w:val="0"/>
              <w:pageBreakBefore w:val="0"/>
              <w:numPr>
                <w:ilvl w:val="0"/>
                <w:numId w:val="4"/>
              </w:numPr>
              <w:kinsoku/>
              <w:wordWrap/>
              <w:overflowPunct/>
              <w:topLinePunct w:val="0"/>
              <w:autoSpaceDE/>
              <w:autoSpaceDN/>
              <w:bidi w:val="0"/>
              <w:spacing w:line="320" w:lineRule="exact"/>
              <w:ind w:left="0" w:leftChars="0" w:firstLine="422"/>
              <w:jc w:val="both"/>
              <w:textAlignment w:val="auto"/>
              <w:rPr>
                <w:rFonts w:hint="eastAsia"/>
                <w:kern w:val="0"/>
                <w:sz w:val="21"/>
                <w:szCs w:val="21"/>
                <w:highlight w:val="none"/>
                <w:lang w:val="en-US" w:eastAsia="zh-CN"/>
              </w:rPr>
            </w:pPr>
            <w:r>
              <w:rPr>
                <w:rFonts w:hint="eastAsia"/>
                <w:b w:val="0"/>
                <w:bCs/>
                <w:lang w:val="en-US" w:eastAsia="zh-CN"/>
              </w:rPr>
              <w:t>项目团队其他成员均具备3年以上法律服务工作经验，任一项目团队核心成员执业年限每增加3年，得0.5分，最高不超过2.5分。</w:t>
            </w:r>
          </w:p>
        </w:tc>
        <w:tc>
          <w:tcPr>
            <w:tcW w:w="890" w:type="dxa"/>
            <w:tcBorders>
              <w:top w:val="single" w:color="auto" w:sz="4" w:space="0"/>
            </w:tcBorders>
            <w:vAlign w:val="center"/>
          </w:tcPr>
          <w:p>
            <w:pPr>
              <w:keepNext w:val="0"/>
              <w:keepLines w:val="0"/>
              <w:pageBreakBefore w:val="0"/>
              <w:kinsoku/>
              <w:wordWrap/>
              <w:overflowPunct/>
              <w:topLinePunct w:val="0"/>
              <w:autoSpaceDE/>
              <w:autoSpaceDN/>
              <w:bidi w:val="0"/>
              <w:spacing w:line="360" w:lineRule="exact"/>
              <w:ind w:left="0" w:leftChars="0" w:firstLine="0" w:firstLineChars="0"/>
              <w:jc w:val="center"/>
              <w:textAlignment w:val="auto"/>
              <w:rPr>
                <w:rFonts w:hint="default" w:ascii="Times New Roman" w:hAnsi="Times New Roman"/>
                <w:color w:val="000000"/>
                <w:sz w:val="21"/>
                <w:szCs w:val="21"/>
                <w:highlight w:val="none"/>
                <w:lang w:val="en-US" w:eastAsia="zh-CN"/>
              </w:rPr>
            </w:pPr>
            <w:r>
              <w:rPr>
                <w:rFonts w:hint="eastAsia"/>
                <w:color w:val="000000"/>
                <w:sz w:val="21"/>
                <w:szCs w:val="21"/>
                <w:highlight w:val="none"/>
                <w:lang w:val="en-US" w:eastAsia="zh-CN"/>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870" w:hRule="atLeast"/>
          <w:jc w:val="center"/>
        </w:trPr>
        <w:tc>
          <w:tcPr>
            <w:tcW w:w="581" w:type="dxa"/>
            <w:vAlign w:val="center"/>
          </w:tcPr>
          <w:p>
            <w:pPr>
              <w:keepNext w:val="0"/>
              <w:keepLines w:val="0"/>
              <w:pageBreakBefore w:val="0"/>
              <w:kinsoku/>
              <w:wordWrap/>
              <w:overflowPunct/>
              <w:topLinePunct w:val="0"/>
              <w:autoSpaceDE/>
              <w:autoSpaceDN/>
              <w:bidi w:val="0"/>
              <w:spacing w:line="320" w:lineRule="exact"/>
              <w:ind w:left="0" w:leftChars="0" w:firstLine="0" w:firstLineChars="0"/>
              <w:jc w:val="center"/>
              <w:textAlignment w:val="auto"/>
              <w:rPr>
                <w:rFonts w:hint="eastAsia" w:ascii="Times New Roman" w:hAnsi="Times New Roman" w:eastAsia="宋体"/>
                <w:color w:val="000000"/>
                <w:sz w:val="21"/>
                <w:szCs w:val="21"/>
                <w:highlight w:val="none"/>
                <w:lang w:eastAsia="zh-CN"/>
              </w:rPr>
            </w:pPr>
            <w:r>
              <w:rPr>
                <w:rFonts w:hint="eastAsia" w:ascii="Times New Roman" w:hAnsi="Times New Roman"/>
                <w:color w:val="000000"/>
                <w:sz w:val="21"/>
                <w:szCs w:val="21"/>
                <w:highlight w:val="none"/>
                <w:lang w:val="en-US" w:eastAsia="zh-CN"/>
              </w:rPr>
              <w:t>4</w:t>
            </w:r>
          </w:p>
        </w:tc>
        <w:tc>
          <w:tcPr>
            <w:tcW w:w="1414" w:type="dxa"/>
            <w:vAlign w:val="center"/>
          </w:tcPr>
          <w:p>
            <w:pPr>
              <w:keepNext w:val="0"/>
              <w:keepLines w:val="0"/>
              <w:pageBreakBefore w:val="0"/>
              <w:kinsoku/>
              <w:wordWrap/>
              <w:overflowPunct/>
              <w:topLinePunct w:val="0"/>
              <w:autoSpaceDE/>
              <w:autoSpaceDN/>
              <w:bidi w:val="0"/>
              <w:spacing w:line="320" w:lineRule="exact"/>
              <w:ind w:firstLine="105" w:firstLineChars="50"/>
              <w:jc w:val="center"/>
              <w:textAlignment w:val="auto"/>
              <w:rPr>
                <w:rFonts w:ascii="Times New Roman" w:hAnsi="Times New Roman"/>
                <w:sz w:val="21"/>
                <w:szCs w:val="21"/>
                <w:highlight w:val="none"/>
              </w:rPr>
            </w:pPr>
            <w:r>
              <w:rPr>
                <w:rFonts w:ascii="Times New Roman" w:hAnsi="Times New Roman"/>
                <w:sz w:val="21"/>
                <w:szCs w:val="21"/>
                <w:highlight w:val="none"/>
              </w:rPr>
              <w:t>报价（</w:t>
            </w:r>
            <w:r>
              <w:rPr>
                <w:rFonts w:hint="eastAsia" w:ascii="Times New Roman" w:hAnsi="Times New Roman"/>
                <w:sz w:val="21"/>
                <w:szCs w:val="21"/>
                <w:highlight w:val="none"/>
              </w:rPr>
              <w:t>30</w:t>
            </w:r>
            <w:r>
              <w:rPr>
                <w:rFonts w:ascii="Times New Roman" w:hAnsi="Times New Roman"/>
                <w:sz w:val="21"/>
                <w:szCs w:val="21"/>
                <w:highlight w:val="none"/>
              </w:rPr>
              <w:t>）</w:t>
            </w:r>
          </w:p>
        </w:tc>
        <w:tc>
          <w:tcPr>
            <w:tcW w:w="1855" w:type="dxa"/>
            <w:vAlign w:val="center"/>
          </w:tcPr>
          <w:p>
            <w:pPr>
              <w:keepNext w:val="0"/>
              <w:keepLines w:val="0"/>
              <w:pageBreakBefore w:val="0"/>
              <w:kinsoku/>
              <w:wordWrap/>
              <w:overflowPunct/>
              <w:topLinePunct w:val="0"/>
              <w:autoSpaceDE/>
              <w:autoSpaceDN/>
              <w:bidi w:val="0"/>
              <w:spacing w:line="320" w:lineRule="exact"/>
              <w:ind w:firstLine="105" w:firstLineChars="50"/>
              <w:jc w:val="center"/>
              <w:textAlignment w:val="auto"/>
              <w:rPr>
                <w:rFonts w:ascii="Times New Roman" w:hAnsi="Times New Roman"/>
                <w:sz w:val="21"/>
                <w:szCs w:val="21"/>
                <w:highlight w:val="none"/>
              </w:rPr>
            </w:pPr>
            <w:r>
              <w:rPr>
                <w:rFonts w:ascii="Times New Roman" w:hAnsi="Times New Roman"/>
                <w:sz w:val="21"/>
                <w:szCs w:val="21"/>
                <w:highlight w:val="none"/>
              </w:rPr>
              <w:t>报价额</w:t>
            </w:r>
          </w:p>
        </w:tc>
        <w:tc>
          <w:tcPr>
            <w:tcW w:w="4511"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firstLine="420" w:firstLineChars="200"/>
              <w:textAlignment w:val="auto"/>
              <w:rPr>
                <w:rFonts w:ascii="Times New Roman" w:hAnsi="Times New Roman"/>
                <w:color w:val="000000"/>
                <w:sz w:val="21"/>
                <w:szCs w:val="21"/>
                <w:highlight w:val="none"/>
              </w:rPr>
            </w:pPr>
            <w:r>
              <w:rPr>
                <w:rFonts w:hint="eastAsia"/>
                <w:color w:val="000000"/>
                <w:kern w:val="0"/>
                <w:sz w:val="21"/>
                <w:szCs w:val="21"/>
                <w:highlight w:val="none"/>
              </w:rPr>
              <w:t>以有效评审价格的算数平均值作为基准价（报价单位大于等于</w:t>
            </w:r>
            <w:r>
              <w:rPr>
                <w:color w:val="000000"/>
                <w:kern w:val="0"/>
                <w:sz w:val="21"/>
                <w:szCs w:val="21"/>
                <w:highlight w:val="none"/>
              </w:rPr>
              <w:t>5</w:t>
            </w:r>
            <w:r>
              <w:rPr>
                <w:rFonts w:hint="eastAsia"/>
                <w:color w:val="000000"/>
                <w:kern w:val="0"/>
                <w:sz w:val="21"/>
                <w:szCs w:val="21"/>
                <w:highlight w:val="none"/>
              </w:rPr>
              <w:t>家时，计算算数平均值时去掉最高价和最低价）。评审报价等于基准价得</w:t>
            </w:r>
            <w:r>
              <w:rPr>
                <w:color w:val="000000"/>
                <w:kern w:val="0"/>
                <w:sz w:val="21"/>
                <w:szCs w:val="21"/>
                <w:highlight w:val="none"/>
              </w:rPr>
              <w:t>20</w:t>
            </w:r>
            <w:r>
              <w:rPr>
                <w:rFonts w:hint="eastAsia"/>
                <w:color w:val="000000"/>
                <w:kern w:val="0"/>
                <w:sz w:val="21"/>
                <w:szCs w:val="21"/>
                <w:highlight w:val="none"/>
              </w:rPr>
              <w:t>分，每低于基准价一个百分点加0.</w:t>
            </w:r>
            <w:r>
              <w:rPr>
                <w:rFonts w:hint="eastAsia"/>
                <w:color w:val="000000"/>
                <w:kern w:val="0"/>
                <w:sz w:val="21"/>
                <w:szCs w:val="21"/>
                <w:highlight w:val="none"/>
                <w:lang w:val="en-US" w:eastAsia="zh-CN"/>
              </w:rPr>
              <w:t>3</w:t>
            </w:r>
            <w:r>
              <w:rPr>
                <w:rFonts w:hint="eastAsia"/>
                <w:color w:val="000000"/>
                <w:kern w:val="0"/>
                <w:sz w:val="21"/>
                <w:szCs w:val="21"/>
                <w:highlight w:val="none"/>
              </w:rPr>
              <w:t>分，最多加10分；每高于基准价一个百分点扣0.</w:t>
            </w:r>
            <w:r>
              <w:rPr>
                <w:rFonts w:hint="eastAsia"/>
                <w:color w:val="000000"/>
                <w:kern w:val="0"/>
                <w:sz w:val="21"/>
                <w:szCs w:val="21"/>
                <w:highlight w:val="none"/>
                <w:lang w:val="en-US" w:eastAsia="zh-CN"/>
              </w:rPr>
              <w:t>3</w:t>
            </w:r>
            <w:r>
              <w:rPr>
                <w:rFonts w:hint="eastAsia"/>
                <w:color w:val="000000"/>
                <w:kern w:val="0"/>
                <w:sz w:val="21"/>
                <w:szCs w:val="21"/>
                <w:highlight w:val="none"/>
              </w:rPr>
              <w:t>分，最多扣10分。</w:t>
            </w:r>
            <w:r>
              <w:rPr>
                <w:rFonts w:hint="eastAsia" w:ascii="Times New Roman" w:hAnsi="Times New Roman" w:eastAsia="宋体" w:cs="Times New Roman"/>
                <w:sz w:val="21"/>
                <w:szCs w:val="21"/>
                <w:highlight w:val="none"/>
              </w:rPr>
              <w:t>不足1%的，按照直接插入法计算，得分保留两位小数。</w:t>
            </w:r>
          </w:p>
        </w:tc>
        <w:tc>
          <w:tcPr>
            <w:tcW w:w="890" w:type="dxa"/>
            <w:vAlign w:val="center"/>
          </w:tcPr>
          <w:p>
            <w:pPr>
              <w:keepNext w:val="0"/>
              <w:keepLines w:val="0"/>
              <w:pageBreakBefore w:val="0"/>
              <w:kinsoku/>
              <w:wordWrap/>
              <w:overflowPunct/>
              <w:topLinePunct w:val="0"/>
              <w:autoSpaceDE/>
              <w:autoSpaceDN/>
              <w:bidi w:val="0"/>
              <w:spacing w:line="360" w:lineRule="exact"/>
              <w:ind w:left="0" w:leftChars="0" w:firstLine="0" w:firstLineChars="0"/>
              <w:jc w:val="center"/>
              <w:textAlignment w:val="auto"/>
              <w:rPr>
                <w:rFonts w:ascii="Times New Roman" w:hAnsi="Times New Roman"/>
                <w:color w:val="000000"/>
                <w:sz w:val="21"/>
                <w:szCs w:val="21"/>
                <w:highlight w:val="none"/>
              </w:rPr>
            </w:pPr>
            <w:r>
              <w:rPr>
                <w:rFonts w:hint="eastAsia" w:ascii="Times New Roman" w:hAnsi="Times New Roman"/>
                <w:color w:val="000000"/>
                <w:sz w:val="21"/>
                <w:szCs w:val="21"/>
                <w:highlight w:val="none"/>
              </w:rPr>
              <w:t>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606" w:hRule="atLeast"/>
          <w:jc w:val="center"/>
        </w:trPr>
        <w:tc>
          <w:tcPr>
            <w:tcW w:w="581" w:type="dxa"/>
            <w:vAlign w:val="center"/>
          </w:tcPr>
          <w:p>
            <w:pPr>
              <w:keepNext w:val="0"/>
              <w:keepLines w:val="0"/>
              <w:pageBreakBefore w:val="0"/>
              <w:kinsoku/>
              <w:wordWrap/>
              <w:overflowPunct/>
              <w:topLinePunct w:val="0"/>
              <w:autoSpaceDE/>
              <w:autoSpaceDN/>
              <w:bidi w:val="0"/>
              <w:spacing w:line="360" w:lineRule="exact"/>
              <w:ind w:left="0" w:leftChars="0" w:firstLine="0" w:firstLineChars="0"/>
              <w:jc w:val="center"/>
              <w:textAlignment w:val="auto"/>
              <w:rPr>
                <w:rFonts w:hint="eastAsia" w:ascii="Times New Roman" w:hAnsi="Times New Roman" w:eastAsia="宋体"/>
                <w:sz w:val="21"/>
                <w:szCs w:val="21"/>
                <w:highlight w:val="none"/>
                <w:lang w:eastAsia="zh-CN"/>
              </w:rPr>
            </w:pPr>
            <w:r>
              <w:rPr>
                <w:rFonts w:hint="eastAsia" w:ascii="Times New Roman" w:hAnsi="Times New Roman"/>
                <w:sz w:val="21"/>
                <w:szCs w:val="21"/>
                <w:highlight w:val="none"/>
                <w:lang w:val="en-US" w:eastAsia="zh-CN"/>
              </w:rPr>
              <w:t>5</w:t>
            </w:r>
          </w:p>
        </w:tc>
        <w:tc>
          <w:tcPr>
            <w:tcW w:w="1414" w:type="dxa"/>
            <w:vAlign w:val="center"/>
          </w:tcPr>
          <w:p>
            <w:pPr>
              <w:keepNext w:val="0"/>
              <w:keepLines w:val="0"/>
              <w:pageBreakBefore w:val="0"/>
              <w:kinsoku/>
              <w:wordWrap/>
              <w:overflowPunct/>
              <w:topLinePunct w:val="0"/>
              <w:autoSpaceDE/>
              <w:autoSpaceDN/>
              <w:bidi w:val="0"/>
              <w:spacing w:line="360" w:lineRule="exact"/>
              <w:jc w:val="both"/>
              <w:textAlignment w:val="auto"/>
              <w:rPr>
                <w:rFonts w:ascii="Times New Roman" w:hAnsi="Times New Roman"/>
                <w:sz w:val="21"/>
                <w:szCs w:val="21"/>
                <w:highlight w:val="none"/>
              </w:rPr>
            </w:pPr>
            <w:r>
              <w:rPr>
                <w:rFonts w:ascii="Times New Roman" w:hAnsi="Times New Roman"/>
                <w:color w:val="000000"/>
                <w:sz w:val="21"/>
                <w:szCs w:val="21"/>
                <w:highlight w:val="none"/>
              </w:rPr>
              <w:t>总分</w:t>
            </w:r>
          </w:p>
        </w:tc>
        <w:tc>
          <w:tcPr>
            <w:tcW w:w="6366" w:type="dxa"/>
            <w:gridSpan w:val="2"/>
            <w:vAlign w:val="center"/>
          </w:tcPr>
          <w:p>
            <w:pPr>
              <w:keepNext w:val="0"/>
              <w:keepLines w:val="0"/>
              <w:pageBreakBefore w:val="0"/>
              <w:kinsoku/>
              <w:wordWrap/>
              <w:overflowPunct/>
              <w:topLinePunct w:val="0"/>
              <w:autoSpaceDE/>
              <w:autoSpaceDN/>
              <w:bidi w:val="0"/>
              <w:spacing w:line="360" w:lineRule="exact"/>
              <w:textAlignment w:val="auto"/>
              <w:rPr>
                <w:rFonts w:ascii="Times New Roman" w:hAnsi="Times New Roman"/>
                <w:sz w:val="21"/>
                <w:szCs w:val="21"/>
                <w:highlight w:val="none"/>
              </w:rPr>
            </w:pPr>
          </w:p>
        </w:tc>
        <w:tc>
          <w:tcPr>
            <w:tcW w:w="890" w:type="dxa"/>
            <w:vAlign w:val="center"/>
          </w:tcPr>
          <w:p>
            <w:pPr>
              <w:keepNext w:val="0"/>
              <w:keepLines w:val="0"/>
              <w:pageBreakBefore w:val="0"/>
              <w:kinsoku/>
              <w:wordWrap/>
              <w:overflowPunct/>
              <w:topLinePunct w:val="0"/>
              <w:autoSpaceDE/>
              <w:autoSpaceDN/>
              <w:bidi w:val="0"/>
              <w:spacing w:line="360" w:lineRule="exact"/>
              <w:ind w:left="0" w:leftChars="0" w:firstLine="0" w:firstLineChars="0"/>
              <w:jc w:val="center"/>
              <w:textAlignment w:val="auto"/>
              <w:rPr>
                <w:rFonts w:ascii="Times New Roman" w:hAnsi="Times New Roman"/>
                <w:color w:val="000000"/>
                <w:sz w:val="21"/>
                <w:szCs w:val="21"/>
                <w:highlight w:val="none"/>
              </w:rPr>
            </w:pPr>
            <w:r>
              <w:rPr>
                <w:rFonts w:ascii="Times New Roman" w:hAnsi="Times New Roman"/>
                <w:color w:val="000000"/>
                <w:sz w:val="21"/>
                <w:szCs w:val="21"/>
                <w:highlight w:val="none"/>
              </w:rPr>
              <w:t>100</w:t>
            </w:r>
          </w:p>
        </w:tc>
      </w:tr>
    </w:tbl>
    <w:p>
      <w:pPr>
        <w:ind w:firstLine="480"/>
        <w:rPr>
          <w:rFonts w:hint="default" w:eastAsia="宋体"/>
          <w:highlight w:val="none"/>
          <w:lang w:val="en-US" w:eastAsia="zh-CN"/>
        </w:rPr>
      </w:pPr>
      <w:r>
        <w:rPr>
          <w:rFonts w:hint="eastAsia"/>
          <w:highlight w:val="none"/>
          <w:lang w:val="en-US" w:eastAsia="zh-CN"/>
        </w:rPr>
        <w:t>注：报价人应结合上述评审标准表中评审内容、细项及标准要求，附自评打分表及对应的证明材料。</w:t>
      </w:r>
    </w:p>
    <w:p>
      <w:pPr>
        <w:ind w:firstLine="480"/>
        <w:rPr>
          <w:highlight w:val="none"/>
        </w:rPr>
      </w:pPr>
      <w:r>
        <w:rPr>
          <w:highlight w:val="none"/>
        </w:rPr>
        <w:br w:type="page"/>
      </w:r>
    </w:p>
    <w:p>
      <w:pPr>
        <w:pStyle w:val="2"/>
        <w:rPr>
          <w:rFonts w:hint="eastAsia"/>
          <w:lang w:val="en-US" w:eastAsia="zh-CN"/>
        </w:rPr>
      </w:pPr>
    </w:p>
    <w:p>
      <w:pPr>
        <w:pStyle w:val="27"/>
        <w:spacing w:before="120"/>
        <w:rPr>
          <w:rFonts w:ascii="Times New Roman" w:hAnsi="Times New Roman"/>
          <w:highlight w:val="none"/>
        </w:rPr>
      </w:pPr>
      <w:bookmarkStart w:id="158" w:name="_Toc24590"/>
      <w:bookmarkStart w:id="159" w:name="_Toc1284"/>
      <w:bookmarkStart w:id="160" w:name="_Toc22119"/>
      <w:r>
        <w:rPr>
          <w:rFonts w:hint="eastAsia" w:ascii="Times New Roman" w:hAnsi="Times New Roman"/>
          <w:highlight w:val="none"/>
        </w:rPr>
        <w:t>第四章 合同</w:t>
      </w:r>
      <w:bookmarkEnd w:id="141"/>
      <w:r>
        <w:rPr>
          <w:rFonts w:hint="eastAsia" w:ascii="Times New Roman" w:hAnsi="Times New Roman"/>
          <w:highlight w:val="none"/>
        </w:rPr>
        <w:t>条款及格式</w:t>
      </w:r>
      <w:bookmarkEnd w:id="158"/>
      <w:bookmarkEnd w:id="159"/>
      <w:bookmarkEnd w:id="160"/>
    </w:p>
    <w:p>
      <w:pPr>
        <w:spacing w:line="360" w:lineRule="auto"/>
        <w:ind w:left="0" w:leftChars="0" w:firstLine="0" w:firstLineChars="0"/>
        <w:jc w:val="center"/>
        <w:rPr>
          <w:rFonts w:eastAsia="黑体"/>
          <w:sz w:val="36"/>
          <w:szCs w:val="36"/>
          <w:highlight w:val="none"/>
        </w:rPr>
      </w:pPr>
      <w:r>
        <w:rPr>
          <w:rFonts w:hint="eastAsia" w:ascii="方正小标宋简体" w:hAnsi="方正小标宋简体" w:eastAsia="方正小标宋简体" w:cs="方正小标宋简体"/>
          <w:color w:val="auto"/>
          <w:sz w:val="30"/>
          <w:szCs w:val="30"/>
          <w:highlight w:val="none"/>
        </w:rPr>
        <w:t>常年法律顾问服务协议</w:t>
      </w:r>
    </w:p>
    <w:p>
      <w:pPr>
        <w:spacing w:line="360" w:lineRule="auto"/>
        <w:rPr>
          <w:sz w:val="24"/>
          <w:highlight w:val="none"/>
        </w:rPr>
      </w:pPr>
    </w:p>
    <w:p>
      <w:pPr>
        <w:widowControl/>
        <w:spacing w:line="360" w:lineRule="auto"/>
        <w:jc w:val="left"/>
        <w:rPr>
          <w:sz w:val="24"/>
          <w:highlight w:val="none"/>
        </w:rPr>
      </w:pPr>
      <w:r>
        <w:rPr>
          <w:b/>
          <w:sz w:val="24"/>
          <w:highlight w:val="none"/>
        </w:rPr>
        <w:t>甲方：</w:t>
      </w:r>
      <w:r>
        <w:rPr>
          <w:rFonts w:hint="eastAsia"/>
          <w:b/>
          <w:sz w:val="24"/>
          <w:highlight w:val="none"/>
        </w:rPr>
        <w:t>中国煤炭开发有限责任公司</w:t>
      </w:r>
    </w:p>
    <w:p>
      <w:pPr>
        <w:widowControl/>
        <w:spacing w:line="360" w:lineRule="auto"/>
        <w:jc w:val="left"/>
        <w:rPr>
          <w:rFonts w:hint="eastAsia" w:eastAsia="宋体"/>
          <w:sz w:val="24"/>
          <w:highlight w:val="none"/>
          <w:lang w:eastAsia="zh-CN"/>
        </w:rPr>
      </w:pPr>
      <w:r>
        <w:rPr>
          <w:sz w:val="24"/>
          <w:highlight w:val="none"/>
        </w:rPr>
        <w:t>法定代表人：</w:t>
      </w:r>
      <w:r>
        <w:rPr>
          <w:rFonts w:hint="eastAsia"/>
          <w:sz w:val="24"/>
          <w:highlight w:val="none"/>
          <w:lang w:val="en-US" w:eastAsia="zh-CN"/>
        </w:rPr>
        <w:t>柴乔林</w:t>
      </w:r>
    </w:p>
    <w:p>
      <w:pPr>
        <w:widowControl/>
        <w:spacing w:line="360" w:lineRule="auto"/>
        <w:jc w:val="left"/>
        <w:rPr>
          <w:sz w:val="24"/>
          <w:highlight w:val="none"/>
        </w:rPr>
      </w:pPr>
      <w:r>
        <w:rPr>
          <w:sz w:val="24"/>
          <w:highlight w:val="none"/>
        </w:rPr>
        <w:t>地址：</w:t>
      </w:r>
      <w:r>
        <w:rPr>
          <w:rFonts w:hint="eastAsia"/>
          <w:sz w:val="24"/>
          <w:highlight w:val="none"/>
        </w:rPr>
        <w:t>北京市东城区安定门外大街乙88号中煤大厦</w:t>
      </w:r>
    </w:p>
    <w:p>
      <w:pPr>
        <w:spacing w:line="360" w:lineRule="auto"/>
        <w:rPr>
          <w:rFonts w:hint="eastAsia" w:eastAsia="宋体"/>
          <w:sz w:val="24"/>
          <w:highlight w:val="none"/>
          <w:lang w:val="en-US" w:eastAsia="zh-CN"/>
        </w:rPr>
      </w:pPr>
      <w:r>
        <w:rPr>
          <w:rFonts w:hint="eastAsia"/>
          <w:sz w:val="24"/>
          <w:highlight w:val="none"/>
        </w:rPr>
        <w:t>委托代理人</w:t>
      </w:r>
      <w:r>
        <w:rPr>
          <w:sz w:val="24"/>
          <w:highlight w:val="none"/>
        </w:rPr>
        <w:t>：</w:t>
      </w:r>
    </w:p>
    <w:p>
      <w:pPr>
        <w:spacing w:line="360" w:lineRule="auto"/>
        <w:ind w:left="0" w:leftChars="0" w:firstLine="0" w:firstLineChars="0"/>
        <w:rPr>
          <w:sz w:val="24"/>
          <w:highlight w:val="none"/>
        </w:rPr>
      </w:pPr>
    </w:p>
    <w:p>
      <w:pPr>
        <w:spacing w:line="360" w:lineRule="auto"/>
        <w:rPr>
          <w:b/>
          <w:sz w:val="24"/>
          <w:highlight w:val="none"/>
        </w:rPr>
      </w:pPr>
      <w:r>
        <w:rPr>
          <w:b/>
          <w:sz w:val="24"/>
          <w:highlight w:val="none"/>
        </w:rPr>
        <w:t>乙方：</w:t>
      </w:r>
    </w:p>
    <w:p>
      <w:pPr>
        <w:spacing w:line="360" w:lineRule="auto"/>
        <w:rPr>
          <w:sz w:val="24"/>
          <w:highlight w:val="none"/>
        </w:rPr>
      </w:pPr>
      <w:r>
        <w:rPr>
          <w:sz w:val="24"/>
          <w:highlight w:val="none"/>
        </w:rPr>
        <w:t>负责人：</w:t>
      </w:r>
    </w:p>
    <w:p>
      <w:pPr>
        <w:spacing w:line="360" w:lineRule="auto"/>
        <w:rPr>
          <w:sz w:val="24"/>
          <w:highlight w:val="none"/>
        </w:rPr>
      </w:pPr>
      <w:r>
        <w:rPr>
          <w:sz w:val="24"/>
          <w:highlight w:val="none"/>
        </w:rPr>
        <w:t>地址：</w:t>
      </w:r>
    </w:p>
    <w:p>
      <w:pPr>
        <w:spacing w:line="360" w:lineRule="auto"/>
        <w:rPr>
          <w:sz w:val="24"/>
          <w:highlight w:val="none"/>
        </w:rPr>
      </w:pPr>
      <w:r>
        <w:rPr>
          <w:rFonts w:hint="eastAsia"/>
          <w:sz w:val="24"/>
          <w:highlight w:val="none"/>
        </w:rPr>
        <w:t>委托代理人</w:t>
      </w:r>
      <w:r>
        <w:rPr>
          <w:sz w:val="24"/>
          <w:highlight w:val="none"/>
        </w:rPr>
        <w:t>：</w:t>
      </w:r>
    </w:p>
    <w:p>
      <w:pPr>
        <w:spacing w:line="360" w:lineRule="auto"/>
        <w:ind w:left="0" w:leftChars="0" w:firstLine="0" w:firstLineChars="0"/>
        <w:rPr>
          <w:sz w:val="24"/>
          <w:highlight w:val="none"/>
        </w:rPr>
      </w:pPr>
    </w:p>
    <w:p>
      <w:pPr>
        <w:spacing w:line="360" w:lineRule="auto"/>
        <w:ind w:firstLine="480" w:firstLineChars="200"/>
        <w:rPr>
          <w:rFonts w:hint="eastAsia"/>
          <w:color w:val="auto"/>
          <w:sz w:val="24"/>
          <w:highlight w:val="none"/>
        </w:rPr>
      </w:pPr>
      <w:r>
        <w:rPr>
          <w:rFonts w:hint="eastAsia"/>
          <w:color w:val="auto"/>
          <w:sz w:val="24"/>
          <w:highlight w:val="none"/>
        </w:rPr>
        <w:t>鉴于：</w:t>
      </w:r>
    </w:p>
    <w:p>
      <w:pPr>
        <w:spacing w:line="360" w:lineRule="auto"/>
        <w:ind w:firstLine="480" w:firstLineChars="200"/>
        <w:rPr>
          <w:rFonts w:hint="eastAsia"/>
          <w:color w:val="auto"/>
          <w:sz w:val="24"/>
          <w:highlight w:val="none"/>
        </w:rPr>
      </w:pPr>
      <w:r>
        <w:rPr>
          <w:rFonts w:hint="eastAsia"/>
          <w:color w:val="auto"/>
          <w:sz w:val="24"/>
          <w:highlight w:val="none"/>
        </w:rPr>
        <w:t>1.甲方是一家在中华人民共和国境内经合法注册、有效运营的公司；</w:t>
      </w:r>
    </w:p>
    <w:p>
      <w:pPr>
        <w:spacing w:line="360" w:lineRule="auto"/>
        <w:ind w:firstLine="480" w:firstLineChars="200"/>
        <w:rPr>
          <w:color w:val="auto"/>
          <w:sz w:val="24"/>
          <w:highlight w:val="none"/>
        </w:rPr>
      </w:pPr>
      <w:r>
        <w:rPr>
          <w:rFonts w:hint="eastAsia"/>
          <w:color w:val="auto"/>
          <w:sz w:val="24"/>
          <w:highlight w:val="none"/>
        </w:rPr>
        <w:t>2.乙方是一家在中华人民共和国境内经合法注册登记成立的提供律师法律服务的大型的特殊普通合伙制律师事务所；</w:t>
      </w:r>
    </w:p>
    <w:p>
      <w:pPr>
        <w:spacing w:line="360" w:lineRule="auto"/>
        <w:ind w:firstLine="480" w:firstLineChars="200"/>
        <w:rPr>
          <w:rFonts w:hint="eastAsia"/>
          <w:color w:val="auto"/>
          <w:sz w:val="24"/>
          <w:highlight w:val="none"/>
        </w:rPr>
      </w:pPr>
      <w:r>
        <w:rPr>
          <w:rFonts w:hint="eastAsia"/>
          <w:color w:val="auto"/>
          <w:sz w:val="24"/>
          <w:highlight w:val="none"/>
        </w:rPr>
        <w:t>3.甲方因业务发展和维护甲方合法权利的需要，根据《中华人民共和国民法典》、《中华人民共和国律师法》的有关规定，拟在中华人民共和国境内聘请一家具有合法执业资格的律师事务所为甲方提供常年法律顾问服务。</w:t>
      </w:r>
    </w:p>
    <w:p>
      <w:pPr>
        <w:spacing w:line="360" w:lineRule="auto"/>
        <w:ind w:firstLine="480" w:firstLineChars="200"/>
        <w:rPr>
          <w:color w:val="auto"/>
          <w:sz w:val="24"/>
          <w:highlight w:val="none"/>
        </w:rPr>
      </w:pPr>
      <w:r>
        <w:rPr>
          <w:rFonts w:hint="eastAsia"/>
          <w:color w:val="auto"/>
          <w:sz w:val="24"/>
          <w:highlight w:val="none"/>
        </w:rPr>
        <w:t>经甲、乙双方友好协商，</w:t>
      </w:r>
      <w:r>
        <w:rPr>
          <w:color w:val="auto"/>
          <w:sz w:val="24"/>
          <w:highlight w:val="none"/>
        </w:rPr>
        <w:t>甲方聘请乙方担任其常年法律顾问，乙方同意接受甲方聘请，双方按照诚实信用原则，就以下各项事宜达成协议如下</w:t>
      </w:r>
      <w:r>
        <w:rPr>
          <w:rFonts w:hint="eastAsia"/>
          <w:color w:val="auto"/>
          <w:sz w:val="24"/>
          <w:highlight w:val="none"/>
        </w:rPr>
        <w:t>，以资双方共同遵守：</w:t>
      </w:r>
    </w:p>
    <w:p>
      <w:pPr>
        <w:tabs>
          <w:tab w:val="left" w:pos="960"/>
          <w:tab w:val="left" w:pos="1080"/>
        </w:tabs>
        <w:spacing w:line="360" w:lineRule="auto"/>
        <w:ind w:firstLine="482" w:firstLineChars="200"/>
        <w:rPr>
          <w:rFonts w:hint="default" w:ascii="Times New Roman" w:hAnsi="Times New Roman" w:eastAsia="宋体" w:cs="Times New Roman"/>
          <w:b/>
          <w:bCs/>
          <w:color w:val="auto"/>
          <w:spacing w:val="0"/>
          <w:sz w:val="24"/>
          <w:highlight w:val="none"/>
          <w:lang w:val="en-US" w:eastAsia="zh-CN"/>
        </w:rPr>
      </w:pPr>
      <w:r>
        <w:rPr>
          <w:rFonts w:hint="eastAsia" w:ascii="Times New Roman" w:hAnsi="Times New Roman" w:eastAsia="宋体" w:cs="Times New Roman"/>
          <w:b/>
          <w:bCs/>
          <w:color w:val="auto"/>
          <w:spacing w:val="0"/>
          <w:sz w:val="24"/>
          <w:highlight w:val="none"/>
          <w:lang w:val="en-US" w:eastAsia="zh-CN"/>
        </w:rPr>
        <w:t>一、</w:t>
      </w:r>
      <w:r>
        <w:rPr>
          <w:rFonts w:hint="default" w:ascii="Times New Roman" w:hAnsi="Times New Roman" w:eastAsia="宋体" w:cs="Times New Roman"/>
          <w:b/>
          <w:bCs/>
          <w:color w:val="auto"/>
          <w:spacing w:val="0"/>
          <w:sz w:val="24"/>
          <w:highlight w:val="none"/>
          <w:lang w:val="en-US" w:eastAsia="zh-CN"/>
        </w:rPr>
        <w:t>工作安排</w:t>
      </w:r>
    </w:p>
    <w:p>
      <w:pPr>
        <w:numPr>
          <w:ilvl w:val="0"/>
          <w:numId w:val="0"/>
        </w:numPr>
        <w:tabs>
          <w:tab w:val="left" w:pos="960"/>
          <w:tab w:val="left" w:pos="1080"/>
        </w:tabs>
        <w:spacing w:line="360" w:lineRule="auto"/>
        <w:ind w:firstLine="456" w:firstLineChars="200"/>
        <w:rPr>
          <w:color w:val="auto"/>
          <w:spacing w:val="-6"/>
          <w:sz w:val="24"/>
          <w:highlight w:val="none"/>
        </w:rPr>
      </w:pPr>
      <w:r>
        <w:rPr>
          <w:color w:val="auto"/>
          <w:spacing w:val="-6"/>
          <w:sz w:val="24"/>
          <w:highlight w:val="none"/>
        </w:rPr>
        <w:t>甲方聘请乙方担任其法律顾问，乙方同意接受甲方聘请并指派有经验的律师团队负责向甲方提供法律服务和联络工作，并根据甲方所交办法律事务的专业性质指派乙方相关业务部门的有经验的承办律师负责办理甲方委托的具体工作。如乙方指派的律师因故不能继续承担工作的，乙方应及时指派其他律师并通知甲方。律师团队不少于</w:t>
      </w:r>
      <w:r>
        <w:rPr>
          <w:rFonts w:hint="eastAsia"/>
          <w:color w:val="auto"/>
          <w:spacing w:val="-6"/>
          <w:sz w:val="24"/>
          <w:highlight w:val="none"/>
          <w:u w:val="single"/>
        </w:rPr>
        <w:t xml:space="preserve"> </w:t>
      </w:r>
      <w:r>
        <w:rPr>
          <w:rFonts w:hint="eastAsia"/>
          <w:color w:val="auto"/>
          <w:spacing w:val="-6"/>
          <w:sz w:val="24"/>
          <w:highlight w:val="none"/>
          <w:u w:val="single"/>
          <w:lang w:val="en-US" w:eastAsia="zh-CN"/>
        </w:rPr>
        <w:t>3</w:t>
      </w:r>
      <w:r>
        <w:rPr>
          <w:rFonts w:hint="eastAsia"/>
          <w:color w:val="auto"/>
          <w:spacing w:val="-6"/>
          <w:sz w:val="24"/>
          <w:highlight w:val="none"/>
          <w:u w:val="single"/>
        </w:rPr>
        <w:t xml:space="preserve"> </w:t>
      </w:r>
      <w:r>
        <w:rPr>
          <w:color w:val="auto"/>
          <w:spacing w:val="-6"/>
          <w:sz w:val="24"/>
          <w:highlight w:val="none"/>
        </w:rPr>
        <w:t>人，并至少有一名从业</w:t>
      </w:r>
      <w:r>
        <w:rPr>
          <w:rFonts w:hint="eastAsia"/>
          <w:color w:val="auto"/>
          <w:spacing w:val="-6"/>
          <w:sz w:val="24"/>
          <w:highlight w:val="none"/>
          <w:u w:val="single"/>
        </w:rPr>
        <w:t xml:space="preserve"> </w:t>
      </w:r>
      <w:r>
        <w:rPr>
          <w:rFonts w:hint="eastAsia"/>
          <w:color w:val="auto"/>
          <w:spacing w:val="-6"/>
          <w:sz w:val="24"/>
          <w:highlight w:val="none"/>
          <w:u w:val="single"/>
          <w:lang w:val="en-US" w:eastAsia="zh-CN"/>
        </w:rPr>
        <w:t>10</w:t>
      </w:r>
      <w:r>
        <w:rPr>
          <w:rFonts w:hint="eastAsia"/>
          <w:color w:val="auto"/>
          <w:spacing w:val="-6"/>
          <w:sz w:val="24"/>
          <w:highlight w:val="none"/>
          <w:u w:val="single"/>
        </w:rPr>
        <w:t xml:space="preserve">  </w:t>
      </w:r>
      <w:r>
        <w:rPr>
          <w:color w:val="auto"/>
          <w:spacing w:val="-6"/>
          <w:sz w:val="24"/>
          <w:highlight w:val="none"/>
        </w:rPr>
        <w:t>年以上的资深律师。</w:t>
      </w:r>
    </w:p>
    <w:p>
      <w:pPr>
        <w:tabs>
          <w:tab w:val="left" w:pos="960"/>
          <w:tab w:val="left" w:pos="1080"/>
        </w:tabs>
        <w:spacing w:line="360" w:lineRule="auto"/>
        <w:ind w:firstLine="482" w:firstLineChars="200"/>
        <w:rPr>
          <w:b/>
          <w:bCs/>
          <w:color w:val="auto"/>
          <w:sz w:val="24"/>
          <w:highlight w:val="none"/>
        </w:rPr>
      </w:pPr>
      <w:r>
        <w:rPr>
          <w:b/>
          <w:bCs/>
          <w:color w:val="auto"/>
          <w:sz w:val="24"/>
          <w:highlight w:val="none"/>
        </w:rPr>
        <w:t>二、乙方的工作范围</w:t>
      </w:r>
    </w:p>
    <w:p>
      <w:pPr>
        <w:tabs>
          <w:tab w:val="left" w:pos="1440"/>
        </w:tabs>
        <w:spacing w:line="360" w:lineRule="auto"/>
        <w:ind w:firstLine="480" w:firstLineChars="200"/>
        <w:rPr>
          <w:color w:val="auto"/>
          <w:sz w:val="24"/>
          <w:highlight w:val="none"/>
        </w:rPr>
      </w:pPr>
      <w:r>
        <w:rPr>
          <w:color w:val="auto"/>
          <w:sz w:val="24"/>
          <w:highlight w:val="none"/>
        </w:rPr>
        <w:t>乙方律师的工作内容为协助甲方</w:t>
      </w:r>
      <w:r>
        <w:rPr>
          <w:rFonts w:hint="eastAsia"/>
          <w:color w:val="auto"/>
          <w:sz w:val="24"/>
          <w:highlight w:val="none"/>
        </w:rPr>
        <w:t>及甲方所属企业</w:t>
      </w:r>
      <w:r>
        <w:rPr>
          <w:color w:val="auto"/>
          <w:sz w:val="24"/>
          <w:highlight w:val="none"/>
        </w:rPr>
        <w:t>办理日常及特殊法律事务</w:t>
      </w:r>
      <w:r>
        <w:rPr>
          <w:rFonts w:hint="eastAsia"/>
          <w:color w:val="auto"/>
          <w:sz w:val="24"/>
          <w:highlight w:val="none"/>
          <w:lang w:eastAsia="zh-CN"/>
        </w:rPr>
        <w:t>，</w:t>
      </w:r>
      <w:r>
        <w:rPr>
          <w:rFonts w:hint="eastAsia"/>
          <w:color w:val="auto"/>
          <w:sz w:val="24"/>
          <w:highlight w:val="none"/>
          <w:lang w:val="en-US" w:eastAsia="zh-CN"/>
        </w:rPr>
        <w:t>以及中国中煤采购供应链涉及的法律事务</w:t>
      </w:r>
      <w:r>
        <w:rPr>
          <w:color w:val="auto"/>
          <w:sz w:val="24"/>
          <w:highlight w:val="none"/>
        </w:rPr>
        <w:t>，具体包括以下各项工作：</w:t>
      </w:r>
    </w:p>
    <w:p>
      <w:pPr>
        <w:snapToGrid w:val="0"/>
        <w:spacing w:line="480" w:lineRule="exact"/>
        <w:rPr>
          <w:rFonts w:hint="default"/>
          <w:sz w:val="24"/>
          <w:highlight w:val="none"/>
          <w:lang w:val="en-US"/>
        </w:rPr>
      </w:pPr>
      <w:r>
        <w:rPr>
          <w:sz w:val="24"/>
          <w:highlight w:val="none"/>
        </w:rPr>
        <w:t>（一）</w:t>
      </w:r>
      <w:r>
        <w:rPr>
          <w:rFonts w:hint="eastAsia"/>
          <w:sz w:val="24"/>
          <w:highlight w:val="none"/>
          <w:lang w:val="en-US" w:eastAsia="zh-CN"/>
        </w:rPr>
        <w:t>制度及合规风控体系建立与审查</w:t>
      </w:r>
    </w:p>
    <w:p>
      <w:pPr>
        <w:snapToGrid w:val="0"/>
        <w:spacing w:line="480" w:lineRule="exact"/>
        <w:ind w:left="0" w:leftChars="0" w:firstLine="499" w:firstLineChars="208"/>
        <w:rPr>
          <w:rFonts w:hint="eastAsia"/>
          <w:sz w:val="24"/>
          <w:highlight w:val="none"/>
          <w:lang w:eastAsia="zh-CN"/>
        </w:rPr>
      </w:pPr>
      <w:r>
        <w:rPr>
          <w:rFonts w:hint="eastAsia"/>
          <w:sz w:val="24"/>
          <w:highlight w:val="none"/>
          <w:lang w:val="en-US" w:eastAsia="zh-CN"/>
        </w:rPr>
        <w:t>1.</w:t>
      </w:r>
      <w:r>
        <w:rPr>
          <w:sz w:val="24"/>
          <w:highlight w:val="none"/>
        </w:rPr>
        <w:t>协助审查、修改公司章程、内部规章制度等</w:t>
      </w:r>
      <w:r>
        <w:rPr>
          <w:rFonts w:hint="eastAsia"/>
          <w:sz w:val="24"/>
          <w:highlight w:val="none"/>
          <w:lang w:eastAsia="zh-CN"/>
        </w:rPr>
        <w:t>；</w:t>
      </w:r>
    </w:p>
    <w:p>
      <w:pPr>
        <w:snapToGrid w:val="0"/>
        <w:spacing w:line="480" w:lineRule="exact"/>
        <w:ind w:left="0" w:leftChars="0" w:firstLine="499" w:firstLineChars="208"/>
        <w:rPr>
          <w:rFonts w:hint="eastAsia"/>
          <w:sz w:val="24"/>
          <w:highlight w:val="none"/>
        </w:rPr>
      </w:pPr>
      <w:r>
        <w:rPr>
          <w:rFonts w:hint="eastAsia"/>
          <w:sz w:val="24"/>
          <w:highlight w:val="none"/>
          <w:lang w:val="en-US" w:eastAsia="zh-CN"/>
        </w:rPr>
        <w:t>2.</w:t>
      </w:r>
      <w:r>
        <w:rPr>
          <w:rFonts w:hint="eastAsia"/>
          <w:sz w:val="24"/>
          <w:highlight w:val="none"/>
        </w:rPr>
        <w:t>协助建立公司的合规管理制度、合同管理制度、内控风险制度、法律纠纷管理制度等；</w:t>
      </w:r>
    </w:p>
    <w:p>
      <w:pPr>
        <w:snapToGrid w:val="0"/>
        <w:spacing w:line="480" w:lineRule="exact"/>
        <w:ind w:left="0" w:leftChars="0" w:firstLine="499" w:firstLineChars="208"/>
        <w:rPr>
          <w:sz w:val="24"/>
          <w:highlight w:val="none"/>
        </w:rPr>
      </w:pPr>
      <w:r>
        <w:rPr>
          <w:rFonts w:hint="eastAsia"/>
          <w:sz w:val="24"/>
          <w:highlight w:val="none"/>
          <w:lang w:val="en-US" w:eastAsia="zh-CN"/>
        </w:rPr>
        <w:t>3.</w:t>
      </w:r>
      <w:r>
        <w:rPr>
          <w:rFonts w:hint="eastAsia"/>
          <w:sz w:val="24"/>
          <w:highlight w:val="none"/>
        </w:rPr>
        <w:t>协助草拟、提供、修订、审查合规管理相关文件：包括不限于包括不限于合规审查文件、合规承诺书</w:t>
      </w:r>
      <w:r>
        <w:rPr>
          <w:rFonts w:hint="eastAsia"/>
          <w:sz w:val="24"/>
          <w:highlight w:val="none"/>
          <w:lang w:eastAsia="zh-CN"/>
        </w:rPr>
        <w:t>、</w:t>
      </w:r>
      <w:r>
        <w:rPr>
          <w:rFonts w:hint="eastAsia"/>
          <w:sz w:val="24"/>
          <w:highlight w:val="none"/>
          <w:lang w:val="en-US" w:eastAsia="zh-CN"/>
        </w:rPr>
        <w:t>公司治理文件、</w:t>
      </w:r>
      <w:r>
        <w:rPr>
          <w:rFonts w:hint="eastAsia"/>
          <w:sz w:val="24"/>
          <w:highlight w:val="none"/>
        </w:rPr>
        <w:t>岗位</w:t>
      </w:r>
      <w:r>
        <w:rPr>
          <w:rFonts w:hint="eastAsia"/>
          <w:sz w:val="24"/>
          <w:highlight w:val="none"/>
          <w:lang w:val="en-US" w:eastAsia="zh-CN"/>
        </w:rPr>
        <w:t>合规</w:t>
      </w:r>
      <w:r>
        <w:rPr>
          <w:rFonts w:hint="eastAsia"/>
          <w:sz w:val="24"/>
          <w:highlight w:val="none"/>
        </w:rPr>
        <w:t>职责清单、</w:t>
      </w:r>
      <w:r>
        <w:rPr>
          <w:rFonts w:hint="eastAsia"/>
          <w:sz w:val="24"/>
          <w:highlight w:val="none"/>
          <w:lang w:val="en-US" w:eastAsia="zh-CN"/>
        </w:rPr>
        <w:t>合规</w:t>
      </w:r>
      <w:r>
        <w:rPr>
          <w:rFonts w:hint="eastAsia"/>
          <w:sz w:val="24"/>
          <w:highlight w:val="none"/>
        </w:rPr>
        <w:t>风险</w:t>
      </w:r>
      <w:r>
        <w:rPr>
          <w:rFonts w:hint="eastAsia"/>
          <w:sz w:val="24"/>
          <w:highlight w:val="none"/>
          <w:lang w:val="en-US" w:eastAsia="zh-CN"/>
        </w:rPr>
        <w:t>清单</w:t>
      </w:r>
      <w:r>
        <w:rPr>
          <w:rFonts w:hint="eastAsia"/>
          <w:sz w:val="24"/>
          <w:highlight w:val="none"/>
        </w:rPr>
        <w:t>、</w:t>
      </w:r>
      <w:r>
        <w:rPr>
          <w:rFonts w:hint="eastAsia"/>
          <w:sz w:val="24"/>
          <w:highlight w:val="none"/>
          <w:lang w:val="en-US" w:eastAsia="zh-CN"/>
        </w:rPr>
        <w:t>法律法规及国家监管政策库、专项合规义务等文件</w:t>
      </w:r>
      <w:r>
        <w:rPr>
          <w:rFonts w:hint="eastAsia"/>
          <w:sz w:val="24"/>
          <w:highlight w:val="none"/>
        </w:rPr>
        <w:t>。</w:t>
      </w:r>
    </w:p>
    <w:p>
      <w:pPr>
        <w:snapToGrid w:val="0"/>
        <w:spacing w:line="480" w:lineRule="exact"/>
        <w:rPr>
          <w:sz w:val="24"/>
          <w:highlight w:val="none"/>
        </w:rPr>
      </w:pPr>
      <w:r>
        <w:rPr>
          <w:sz w:val="24"/>
          <w:highlight w:val="none"/>
        </w:rPr>
        <w:t>（</w:t>
      </w:r>
      <w:r>
        <w:rPr>
          <w:rFonts w:hint="eastAsia"/>
          <w:sz w:val="24"/>
          <w:highlight w:val="none"/>
          <w:lang w:val="en-US" w:eastAsia="zh-CN"/>
        </w:rPr>
        <w:t>二</w:t>
      </w:r>
      <w:r>
        <w:rPr>
          <w:sz w:val="24"/>
          <w:highlight w:val="none"/>
        </w:rPr>
        <w:t>）合同</w:t>
      </w:r>
      <w:r>
        <w:rPr>
          <w:rFonts w:hint="eastAsia"/>
          <w:sz w:val="24"/>
          <w:highlight w:val="none"/>
          <w:lang w:val="en-US" w:eastAsia="zh-CN"/>
        </w:rPr>
        <w:t>范本编制及</w:t>
      </w:r>
      <w:r>
        <w:rPr>
          <w:sz w:val="24"/>
          <w:highlight w:val="none"/>
        </w:rPr>
        <w:t>审查</w:t>
      </w:r>
    </w:p>
    <w:p>
      <w:pPr>
        <w:snapToGrid w:val="0"/>
        <w:spacing w:line="480" w:lineRule="exact"/>
        <w:ind w:firstLine="480" w:firstLineChars="200"/>
        <w:rPr>
          <w:rFonts w:hint="eastAsia"/>
          <w:sz w:val="24"/>
          <w:highlight w:val="none"/>
        </w:rPr>
      </w:pPr>
      <w:r>
        <w:rPr>
          <w:rFonts w:hint="eastAsia"/>
          <w:sz w:val="24"/>
          <w:highlight w:val="none"/>
          <w:lang w:val="en-US" w:eastAsia="zh-CN"/>
        </w:rPr>
        <w:t>1.</w:t>
      </w:r>
      <w:r>
        <w:rPr>
          <w:rFonts w:hint="eastAsia"/>
          <w:sz w:val="24"/>
          <w:highlight w:val="none"/>
        </w:rPr>
        <w:t>协助草拟、提供、制订、修改、审查各类标准合同范本（含</w:t>
      </w:r>
      <w:r>
        <w:rPr>
          <w:rFonts w:hint="eastAsia"/>
          <w:sz w:val="24"/>
          <w:highlight w:val="none"/>
          <w:lang w:val="en-US" w:eastAsia="zh-CN"/>
        </w:rPr>
        <w:t>中国中煤及中国中煤能源股份有限公司总部采购合同范本、开发公司及所属企业采购合同范本</w:t>
      </w:r>
      <w:r>
        <w:rPr>
          <w:rFonts w:hint="eastAsia"/>
          <w:sz w:val="24"/>
          <w:highlight w:val="none"/>
        </w:rPr>
        <w:t>），至少</w:t>
      </w:r>
      <w:r>
        <w:rPr>
          <w:rFonts w:hint="eastAsia"/>
          <w:sz w:val="24"/>
          <w:highlight w:val="none"/>
          <w:lang w:val="en-US" w:eastAsia="zh-CN"/>
        </w:rPr>
        <w:t>76</w:t>
      </w:r>
      <w:r>
        <w:rPr>
          <w:rFonts w:hint="eastAsia"/>
          <w:sz w:val="24"/>
          <w:highlight w:val="none"/>
        </w:rPr>
        <w:t>份</w:t>
      </w:r>
      <w:r>
        <w:rPr>
          <w:rFonts w:hint="eastAsia"/>
          <w:sz w:val="24"/>
          <w:highlight w:val="none"/>
          <w:lang w:eastAsia="zh-CN"/>
        </w:rPr>
        <w:t>（</w:t>
      </w:r>
      <w:r>
        <w:rPr>
          <w:rFonts w:hint="eastAsia"/>
          <w:sz w:val="24"/>
          <w:highlight w:val="none"/>
          <w:lang w:val="en-US" w:eastAsia="zh-CN"/>
        </w:rPr>
        <w:t>含历史范本46份</w:t>
      </w:r>
      <w:r>
        <w:rPr>
          <w:rFonts w:hint="eastAsia"/>
          <w:sz w:val="24"/>
          <w:highlight w:val="none"/>
          <w:lang w:eastAsia="zh-CN"/>
        </w:rPr>
        <w:t>），</w:t>
      </w:r>
      <w:r>
        <w:rPr>
          <w:rFonts w:hint="eastAsia"/>
          <w:sz w:val="24"/>
          <w:highlight w:val="none"/>
          <w:lang w:val="en-US" w:eastAsia="zh-CN"/>
        </w:rPr>
        <w:t>参加文本前期起草、京内外研讨、文本全过程修订、定稿排版、出具合法合规性审查法律意见书的全流程环节</w:t>
      </w:r>
      <w:r>
        <w:rPr>
          <w:rFonts w:hint="eastAsia"/>
          <w:sz w:val="24"/>
          <w:highlight w:val="none"/>
        </w:rPr>
        <w:t>。</w:t>
      </w:r>
    </w:p>
    <w:p>
      <w:pPr>
        <w:snapToGrid w:val="0"/>
        <w:spacing w:line="480" w:lineRule="exact"/>
        <w:ind w:firstLine="480" w:firstLineChars="200"/>
        <w:rPr>
          <w:rFonts w:hint="eastAsia"/>
          <w:sz w:val="24"/>
          <w:highlight w:val="none"/>
        </w:rPr>
      </w:pPr>
      <w:r>
        <w:rPr>
          <w:rFonts w:hint="eastAsia"/>
          <w:sz w:val="24"/>
          <w:highlight w:val="none"/>
          <w:lang w:eastAsia="zh-CN"/>
        </w:rPr>
        <w:t>2</w:t>
      </w:r>
      <w:r>
        <w:rPr>
          <w:rFonts w:hint="eastAsia"/>
          <w:sz w:val="24"/>
          <w:highlight w:val="none"/>
        </w:rPr>
        <w:t>.协助草拟、制订、审查或修改各类合同、协议等法律文件，包括国内交易合同和涉外交易合同（中英文）。其中，国内交易合同不限份数和字数；涉外交易合同每份1500元人民币计算，</w:t>
      </w:r>
      <w:r>
        <w:rPr>
          <w:rFonts w:hint="eastAsia"/>
          <w:sz w:val="24"/>
          <w:highlight w:val="none"/>
          <w:lang w:val="en-US" w:eastAsia="zh-CN"/>
        </w:rPr>
        <w:t>服务期内3</w:t>
      </w:r>
      <w:r>
        <w:rPr>
          <w:rFonts w:hint="eastAsia"/>
          <w:sz w:val="24"/>
          <w:highlight w:val="none"/>
        </w:rPr>
        <w:t>万元</w:t>
      </w:r>
      <w:r>
        <w:rPr>
          <w:rFonts w:hint="eastAsia"/>
          <w:sz w:val="24"/>
          <w:highlight w:val="none"/>
          <w:lang w:val="en-US" w:eastAsia="zh-CN"/>
        </w:rPr>
        <w:t>人民币</w:t>
      </w:r>
      <w:r>
        <w:rPr>
          <w:rFonts w:hint="eastAsia"/>
          <w:sz w:val="24"/>
          <w:highlight w:val="none"/>
        </w:rPr>
        <w:t>封顶，不限字数。</w:t>
      </w:r>
    </w:p>
    <w:p>
      <w:pPr>
        <w:snapToGrid w:val="0"/>
        <w:spacing w:line="480" w:lineRule="exact"/>
        <w:ind w:left="0" w:leftChars="0" w:firstLine="480" w:firstLineChars="200"/>
        <w:rPr>
          <w:rFonts w:hint="eastAsia"/>
          <w:sz w:val="24"/>
          <w:highlight w:val="none"/>
        </w:rPr>
      </w:pPr>
      <w:r>
        <w:rPr>
          <w:sz w:val="24"/>
          <w:highlight w:val="none"/>
        </w:rPr>
        <w:t>（</w:t>
      </w:r>
      <w:r>
        <w:rPr>
          <w:rFonts w:hint="eastAsia"/>
          <w:sz w:val="24"/>
          <w:highlight w:val="none"/>
          <w:lang w:val="en-US" w:eastAsia="zh-CN"/>
        </w:rPr>
        <w:t>三</w:t>
      </w:r>
      <w:r>
        <w:rPr>
          <w:sz w:val="24"/>
          <w:highlight w:val="none"/>
        </w:rPr>
        <w:t>）法律咨询</w:t>
      </w:r>
      <w:r>
        <w:rPr>
          <w:rFonts w:hint="eastAsia"/>
          <w:sz w:val="24"/>
          <w:highlight w:val="none"/>
        </w:rPr>
        <w:t>（不限小时）</w:t>
      </w:r>
    </w:p>
    <w:p>
      <w:pPr>
        <w:snapToGrid w:val="0"/>
        <w:spacing w:line="480" w:lineRule="exact"/>
        <w:ind w:firstLine="480" w:firstLineChars="200"/>
        <w:rPr>
          <w:rFonts w:hint="eastAsia"/>
          <w:sz w:val="24"/>
          <w:highlight w:val="none"/>
        </w:rPr>
      </w:pPr>
      <w:r>
        <w:rPr>
          <w:rFonts w:hint="eastAsia"/>
          <w:sz w:val="24"/>
          <w:highlight w:val="none"/>
          <w:lang w:val="en-US" w:eastAsia="zh-CN"/>
        </w:rPr>
        <w:t>1.</w:t>
      </w:r>
      <w:r>
        <w:rPr>
          <w:rFonts w:hint="eastAsia"/>
          <w:sz w:val="24"/>
          <w:highlight w:val="none"/>
        </w:rPr>
        <w:t>就采购人及采购人所属各企业与第三方在经济交往中的谈判、签约等商业行为提供法律方面的咨询意见（包括到采购人现场服务，不限</w:t>
      </w:r>
      <w:r>
        <w:rPr>
          <w:rFonts w:hint="eastAsia"/>
          <w:sz w:val="24"/>
          <w:highlight w:val="none"/>
          <w:lang w:val="en-US" w:eastAsia="zh-CN"/>
        </w:rPr>
        <w:t>时长</w:t>
      </w:r>
      <w:r>
        <w:rPr>
          <w:rFonts w:hint="eastAsia"/>
          <w:sz w:val="24"/>
          <w:highlight w:val="none"/>
        </w:rPr>
        <w:t>），包括：</w:t>
      </w:r>
    </w:p>
    <w:p>
      <w:pPr>
        <w:snapToGrid w:val="0"/>
        <w:spacing w:line="480" w:lineRule="exact"/>
        <w:ind w:firstLine="480" w:firstLineChars="200"/>
        <w:rPr>
          <w:rFonts w:hint="eastAsia"/>
          <w:sz w:val="24"/>
          <w:highlight w:val="none"/>
        </w:rPr>
      </w:pPr>
      <w:r>
        <w:rPr>
          <w:rFonts w:hint="eastAsia"/>
          <w:sz w:val="24"/>
          <w:highlight w:val="none"/>
        </w:rPr>
        <w:t>（1）为重大经营决策提供法律和政策依据；</w:t>
      </w:r>
    </w:p>
    <w:p>
      <w:pPr>
        <w:snapToGrid w:val="0"/>
        <w:spacing w:line="480" w:lineRule="exact"/>
        <w:ind w:firstLine="480" w:firstLineChars="200"/>
        <w:rPr>
          <w:rFonts w:hint="eastAsia"/>
          <w:sz w:val="24"/>
          <w:highlight w:val="none"/>
        </w:rPr>
      </w:pPr>
      <w:r>
        <w:rPr>
          <w:rFonts w:hint="eastAsia"/>
          <w:sz w:val="24"/>
          <w:highlight w:val="none"/>
        </w:rPr>
        <w:t>（2）为各项业务提供国内外法律咨询服务；</w:t>
      </w:r>
    </w:p>
    <w:p>
      <w:pPr>
        <w:snapToGrid w:val="0"/>
        <w:spacing w:line="480" w:lineRule="exact"/>
        <w:ind w:firstLine="480" w:firstLineChars="200"/>
        <w:rPr>
          <w:rFonts w:hint="eastAsia"/>
          <w:sz w:val="24"/>
          <w:highlight w:val="none"/>
        </w:rPr>
      </w:pPr>
      <w:r>
        <w:rPr>
          <w:rFonts w:hint="eastAsia"/>
          <w:sz w:val="24"/>
          <w:highlight w:val="none"/>
        </w:rPr>
        <w:t>（3）对采购人及采购人所属各企业发生的各类经济纠纷、劳动争议</w:t>
      </w:r>
      <w:r>
        <w:rPr>
          <w:rFonts w:hint="eastAsia"/>
          <w:sz w:val="24"/>
          <w:highlight w:val="none"/>
          <w:lang w:eastAsia="zh-CN"/>
        </w:rPr>
        <w:t>、</w:t>
      </w:r>
      <w:r>
        <w:rPr>
          <w:rFonts w:hint="eastAsia"/>
          <w:sz w:val="24"/>
          <w:highlight w:val="none"/>
          <w:lang w:val="en-US" w:eastAsia="zh-CN"/>
        </w:rPr>
        <w:t>行政争议、刑事案件、工商管理等</w:t>
      </w:r>
      <w:r>
        <w:rPr>
          <w:rFonts w:hint="eastAsia"/>
          <w:sz w:val="24"/>
          <w:highlight w:val="none"/>
        </w:rPr>
        <w:t>进行法律论证，提出解决方案，出具律师函，发表律师意见；</w:t>
      </w:r>
    </w:p>
    <w:p>
      <w:pPr>
        <w:snapToGrid w:val="0"/>
        <w:spacing w:line="480" w:lineRule="exact"/>
        <w:ind w:firstLine="480" w:firstLineChars="200"/>
        <w:rPr>
          <w:rFonts w:hint="eastAsia"/>
          <w:sz w:val="24"/>
          <w:highlight w:val="none"/>
        </w:rPr>
      </w:pPr>
      <w:r>
        <w:rPr>
          <w:rFonts w:hint="eastAsia"/>
          <w:sz w:val="24"/>
          <w:highlight w:val="none"/>
        </w:rPr>
        <w:t>（4）处理采购人交办的</w:t>
      </w:r>
      <w:r>
        <w:rPr>
          <w:rFonts w:hint="eastAsia"/>
          <w:sz w:val="24"/>
          <w:highlight w:val="none"/>
          <w:lang w:eastAsia="zh-CN"/>
        </w:rPr>
        <w:t>其他</w:t>
      </w:r>
      <w:r>
        <w:rPr>
          <w:rFonts w:hint="eastAsia"/>
          <w:sz w:val="24"/>
          <w:highlight w:val="none"/>
        </w:rPr>
        <w:t>法律事务，为采购人提供必要的法律帮助，维护采购人的合法权益。</w:t>
      </w:r>
    </w:p>
    <w:p>
      <w:pPr>
        <w:snapToGrid w:val="0"/>
        <w:spacing w:line="480" w:lineRule="exact"/>
        <w:ind w:firstLine="480" w:firstLineChars="200"/>
        <w:rPr>
          <w:rFonts w:hint="eastAsia"/>
          <w:sz w:val="24"/>
          <w:highlight w:val="none"/>
        </w:rPr>
      </w:pPr>
      <w:r>
        <w:rPr>
          <w:rFonts w:hint="eastAsia"/>
          <w:sz w:val="24"/>
          <w:highlight w:val="none"/>
          <w:lang w:eastAsia="zh-CN"/>
        </w:rPr>
        <w:t>2</w:t>
      </w:r>
      <w:r>
        <w:rPr>
          <w:rFonts w:hint="eastAsia"/>
          <w:sz w:val="24"/>
          <w:highlight w:val="none"/>
        </w:rPr>
        <w:t>．报价人为采购人及所属企业提供重要谈判、重大合同签约的现场服务（不限次数）；</w:t>
      </w:r>
    </w:p>
    <w:p>
      <w:pPr>
        <w:spacing w:line="480" w:lineRule="exact"/>
        <w:ind w:firstLine="480" w:firstLineChars="200"/>
        <w:rPr>
          <w:rFonts w:hint="eastAsia"/>
          <w:sz w:val="24"/>
          <w:highlight w:val="none"/>
        </w:rPr>
      </w:pPr>
      <w:r>
        <w:rPr>
          <w:rFonts w:hint="eastAsia"/>
          <w:sz w:val="24"/>
          <w:highlight w:val="none"/>
          <w:lang w:val="en-US" w:eastAsia="zh-CN"/>
        </w:rPr>
        <w:t>3</w:t>
      </w:r>
      <w:r>
        <w:rPr>
          <w:rFonts w:hint="eastAsia"/>
          <w:sz w:val="24"/>
          <w:highlight w:val="none"/>
        </w:rPr>
        <w:t xml:space="preserve"> 采购人及所属企业由于发生投资项目、融资项目、并购项目、公司重组或者仲裁、诉讼等事项需报价人提供的专项法律服务。</w:t>
      </w:r>
    </w:p>
    <w:p>
      <w:pPr>
        <w:spacing w:line="480" w:lineRule="exact"/>
        <w:ind w:firstLine="480" w:firstLineChars="200"/>
        <w:rPr>
          <w:rFonts w:hint="default" w:eastAsia="宋体"/>
          <w:highlight w:val="none"/>
          <w:lang w:val="en-US" w:eastAsia="zh-CN"/>
        </w:rPr>
      </w:pPr>
      <w:r>
        <w:rPr>
          <w:rFonts w:hint="eastAsia"/>
          <w:sz w:val="24"/>
          <w:highlight w:val="none"/>
          <w:lang w:val="en-US" w:eastAsia="zh-CN"/>
        </w:rPr>
        <w:t>4. 提供中国中煤采购供应链日常业务所涉及的采购事项的法律咨询及合法性审查意见。</w:t>
      </w:r>
    </w:p>
    <w:p>
      <w:pPr>
        <w:snapToGrid w:val="0"/>
        <w:spacing w:line="480" w:lineRule="exact"/>
        <w:rPr>
          <w:sz w:val="24"/>
          <w:highlight w:val="none"/>
        </w:rPr>
      </w:pPr>
      <w:r>
        <w:rPr>
          <w:sz w:val="24"/>
          <w:highlight w:val="none"/>
        </w:rPr>
        <w:t>（</w:t>
      </w:r>
      <w:r>
        <w:rPr>
          <w:rFonts w:hint="eastAsia"/>
          <w:sz w:val="24"/>
          <w:highlight w:val="none"/>
          <w:lang w:val="en-US" w:eastAsia="zh-CN"/>
        </w:rPr>
        <w:t>四</w:t>
      </w:r>
      <w:r>
        <w:rPr>
          <w:sz w:val="24"/>
          <w:highlight w:val="none"/>
        </w:rPr>
        <w:t>）法律培训</w:t>
      </w:r>
    </w:p>
    <w:p>
      <w:pPr>
        <w:snapToGrid w:val="0"/>
        <w:spacing w:line="480" w:lineRule="exact"/>
        <w:ind w:firstLine="480" w:firstLineChars="200"/>
        <w:rPr>
          <w:sz w:val="24"/>
          <w:highlight w:val="none"/>
        </w:rPr>
      </w:pPr>
      <w:r>
        <w:rPr>
          <w:sz w:val="24"/>
          <w:highlight w:val="none"/>
        </w:rPr>
        <w:t>根据公司实际侧重方向，讲授相应的法律知识，为职工提供</w:t>
      </w:r>
      <w:r>
        <w:rPr>
          <w:rFonts w:hint="eastAsia"/>
          <w:sz w:val="24"/>
          <w:highlight w:val="none"/>
          <w:lang w:val="en-US" w:eastAsia="zh-CN"/>
        </w:rPr>
        <w:t>法治</w:t>
      </w:r>
      <w:r>
        <w:rPr>
          <w:sz w:val="24"/>
          <w:highlight w:val="none"/>
        </w:rPr>
        <w:t>宣传、教育、培训，</w:t>
      </w:r>
      <w:r>
        <w:rPr>
          <w:rFonts w:hint="eastAsia"/>
          <w:sz w:val="24"/>
          <w:highlight w:val="none"/>
          <w:lang w:val="en-US" w:eastAsia="zh-CN"/>
        </w:rPr>
        <w:t>服务期内</w:t>
      </w:r>
      <w:r>
        <w:rPr>
          <w:rFonts w:hint="eastAsia"/>
          <w:sz w:val="24"/>
          <w:highlight w:val="none"/>
        </w:rPr>
        <w:t>不少于</w:t>
      </w:r>
      <w:r>
        <w:rPr>
          <w:rFonts w:hint="eastAsia"/>
          <w:sz w:val="24"/>
          <w:highlight w:val="none"/>
          <w:lang w:val="en-US" w:eastAsia="zh-CN"/>
        </w:rPr>
        <w:t>4</w:t>
      </w:r>
      <w:r>
        <w:rPr>
          <w:rFonts w:hint="eastAsia"/>
          <w:sz w:val="24"/>
          <w:highlight w:val="none"/>
        </w:rPr>
        <w:t>次</w:t>
      </w:r>
      <w:r>
        <w:rPr>
          <w:sz w:val="24"/>
          <w:highlight w:val="none"/>
        </w:rPr>
        <w:t>（</w:t>
      </w:r>
      <w:r>
        <w:rPr>
          <w:rFonts w:hint="eastAsia"/>
          <w:sz w:val="24"/>
          <w:highlight w:val="none"/>
        </w:rPr>
        <w:t>每次不低于2小时讲授时间</w:t>
      </w:r>
      <w:r>
        <w:rPr>
          <w:sz w:val="24"/>
          <w:highlight w:val="none"/>
        </w:rPr>
        <w:t>）。</w:t>
      </w:r>
    </w:p>
    <w:p>
      <w:pPr>
        <w:snapToGrid w:val="0"/>
        <w:spacing w:line="480" w:lineRule="exact"/>
        <w:rPr>
          <w:sz w:val="24"/>
          <w:highlight w:val="none"/>
        </w:rPr>
      </w:pPr>
      <w:r>
        <w:rPr>
          <w:sz w:val="24"/>
          <w:highlight w:val="none"/>
        </w:rPr>
        <w:t>（</w:t>
      </w:r>
      <w:r>
        <w:rPr>
          <w:rFonts w:hint="eastAsia"/>
          <w:sz w:val="24"/>
          <w:highlight w:val="none"/>
          <w:lang w:val="en-US" w:eastAsia="zh-CN"/>
        </w:rPr>
        <w:t>五</w:t>
      </w:r>
      <w:r>
        <w:rPr>
          <w:sz w:val="24"/>
          <w:highlight w:val="none"/>
        </w:rPr>
        <w:t>）法律纠纷</w:t>
      </w:r>
    </w:p>
    <w:p>
      <w:pPr>
        <w:snapToGrid w:val="0"/>
        <w:spacing w:line="480" w:lineRule="exact"/>
        <w:ind w:firstLine="480" w:firstLineChars="200"/>
        <w:rPr>
          <w:rFonts w:hint="eastAsia" w:eastAsia="宋体"/>
          <w:sz w:val="24"/>
          <w:highlight w:val="none"/>
          <w:lang w:eastAsia="zh-CN"/>
        </w:rPr>
      </w:pPr>
      <w:r>
        <w:rPr>
          <w:sz w:val="24"/>
          <w:highlight w:val="none"/>
        </w:rPr>
        <w:t>1.参加公司涉及经济、民事、知识产权、劳动、行政、刑事等诉讼、非诉、调解、仲裁活动</w:t>
      </w:r>
      <w:r>
        <w:rPr>
          <w:rFonts w:hint="eastAsia"/>
          <w:sz w:val="24"/>
          <w:highlight w:val="none"/>
        </w:rPr>
        <w:t>的前期咨询、准备</w:t>
      </w:r>
      <w:r>
        <w:rPr>
          <w:rFonts w:hint="eastAsia"/>
          <w:sz w:val="24"/>
          <w:highlight w:val="none"/>
          <w:lang w:eastAsia="zh-CN"/>
        </w:rPr>
        <w:t>（</w:t>
      </w:r>
      <w:r>
        <w:rPr>
          <w:rFonts w:hint="eastAsia"/>
          <w:sz w:val="24"/>
          <w:highlight w:val="none"/>
          <w:lang w:val="en-US" w:eastAsia="zh-CN"/>
        </w:rPr>
        <w:t>不限次数</w:t>
      </w:r>
      <w:r>
        <w:rPr>
          <w:rFonts w:hint="eastAsia"/>
          <w:sz w:val="24"/>
          <w:highlight w:val="none"/>
          <w:lang w:eastAsia="zh-CN"/>
        </w:rPr>
        <w:t>）</w:t>
      </w:r>
      <w:r>
        <w:rPr>
          <w:rFonts w:hint="eastAsia"/>
          <w:sz w:val="24"/>
          <w:highlight w:val="none"/>
        </w:rPr>
        <w:t>；为法律纠纷中期后期提供法律咨询，包括诉讼仲裁法律文书的草拟、提供、修改和审核服务等；若涉及专项服务，按专项服务进行</w:t>
      </w:r>
      <w:r>
        <w:rPr>
          <w:rFonts w:hint="eastAsia"/>
          <w:sz w:val="24"/>
          <w:highlight w:val="none"/>
          <w:lang w:eastAsia="zh-CN"/>
        </w:rPr>
        <w:t>。</w:t>
      </w:r>
    </w:p>
    <w:p>
      <w:pPr>
        <w:snapToGrid w:val="0"/>
        <w:spacing w:line="480" w:lineRule="exact"/>
        <w:rPr>
          <w:sz w:val="24"/>
          <w:highlight w:val="none"/>
        </w:rPr>
      </w:pPr>
      <w:r>
        <w:rPr>
          <w:sz w:val="24"/>
          <w:highlight w:val="none"/>
        </w:rPr>
        <w:t>2.经公司授权，签署、送达或接收法律文书</w:t>
      </w:r>
      <w:r>
        <w:rPr>
          <w:rFonts w:hint="eastAsia"/>
          <w:sz w:val="24"/>
          <w:highlight w:val="none"/>
        </w:rPr>
        <w:t>和律师函</w:t>
      </w:r>
      <w:r>
        <w:rPr>
          <w:sz w:val="24"/>
          <w:highlight w:val="none"/>
        </w:rPr>
        <w:t>。</w:t>
      </w:r>
    </w:p>
    <w:p>
      <w:pPr>
        <w:snapToGrid w:val="0"/>
        <w:spacing w:line="480" w:lineRule="exact"/>
        <w:rPr>
          <w:b/>
          <w:bCs/>
          <w:color w:val="auto"/>
          <w:sz w:val="24"/>
          <w:highlight w:val="none"/>
        </w:rPr>
      </w:pPr>
      <w:r>
        <w:rPr>
          <w:b/>
          <w:bCs/>
          <w:color w:val="auto"/>
          <w:sz w:val="24"/>
          <w:highlight w:val="none"/>
        </w:rPr>
        <w:t>三、乙方的职责</w:t>
      </w:r>
    </w:p>
    <w:p>
      <w:pPr>
        <w:spacing w:line="480" w:lineRule="exact"/>
        <w:ind w:firstLine="480" w:firstLineChars="200"/>
        <w:rPr>
          <w:color w:val="auto"/>
          <w:sz w:val="24"/>
          <w:highlight w:val="none"/>
        </w:rPr>
      </w:pPr>
      <w:r>
        <w:rPr>
          <w:color w:val="auto"/>
          <w:sz w:val="24"/>
          <w:highlight w:val="none"/>
        </w:rPr>
        <w:t>1.乙方委派</w:t>
      </w:r>
      <w:r>
        <w:rPr>
          <w:rFonts w:hint="default"/>
          <w:color w:val="auto"/>
          <w:sz w:val="24"/>
          <w:highlight w:val="none"/>
          <w:u w:val="single"/>
          <w:lang w:val="en-US" w:eastAsia="zh-CN"/>
        </w:rPr>
        <w:t xml:space="preserve">     </w:t>
      </w:r>
      <w:r>
        <w:rPr>
          <w:color w:val="auto"/>
          <w:sz w:val="24"/>
          <w:highlight w:val="none"/>
        </w:rPr>
        <w:t>律师</w:t>
      </w:r>
      <w:r>
        <w:rPr>
          <w:rFonts w:hint="default"/>
          <w:color w:val="auto"/>
          <w:sz w:val="24"/>
          <w:highlight w:val="none"/>
        </w:rPr>
        <w:t>作为负责人组建律师团队</w:t>
      </w:r>
      <w:r>
        <w:rPr>
          <w:color w:val="auto"/>
          <w:sz w:val="24"/>
          <w:highlight w:val="none"/>
        </w:rPr>
        <w:t>作为甲方的法律顾问，上述律师可以指派其他律师配合完成前述法律事务工作，</w:t>
      </w:r>
      <w:r>
        <w:rPr>
          <w:rFonts w:hint="default"/>
          <w:color w:val="auto"/>
          <w:sz w:val="24"/>
          <w:highlight w:val="none"/>
          <w:lang w:val="en-US" w:eastAsia="zh-CN"/>
        </w:rPr>
        <w:t>或</w:t>
      </w:r>
      <w:r>
        <w:rPr>
          <w:color w:val="auto"/>
          <w:sz w:val="24"/>
          <w:highlight w:val="none"/>
        </w:rPr>
        <w:t>乙方更换律师</w:t>
      </w:r>
      <w:r>
        <w:rPr>
          <w:rFonts w:hint="default"/>
          <w:color w:val="auto"/>
          <w:sz w:val="24"/>
          <w:highlight w:val="none"/>
        </w:rPr>
        <w:t>团队负责人</w:t>
      </w:r>
      <w:r>
        <w:rPr>
          <w:rFonts w:hint="default"/>
          <w:color w:val="auto"/>
          <w:sz w:val="24"/>
          <w:highlight w:val="none"/>
          <w:lang w:eastAsia="zh-CN"/>
        </w:rPr>
        <w:t>，</w:t>
      </w:r>
      <w:r>
        <w:rPr>
          <w:rFonts w:hint="default"/>
          <w:color w:val="auto"/>
          <w:sz w:val="24"/>
          <w:highlight w:val="none"/>
          <w:lang w:val="en-US" w:eastAsia="zh-CN"/>
        </w:rPr>
        <w:t>应事先</w:t>
      </w:r>
      <w:r>
        <w:rPr>
          <w:color w:val="auto"/>
          <w:sz w:val="24"/>
          <w:highlight w:val="none"/>
        </w:rPr>
        <w:t>取得甲方认可。乙方委派</w:t>
      </w:r>
      <w:r>
        <w:rPr>
          <w:rFonts w:hint="default"/>
          <w:color w:val="auto"/>
          <w:sz w:val="24"/>
          <w:highlight w:val="none"/>
          <w:u w:val="single"/>
        </w:rPr>
        <w:t xml:space="preserve">  </w:t>
      </w:r>
      <w:r>
        <w:rPr>
          <w:rFonts w:hint="default"/>
          <w:color w:val="auto"/>
          <w:sz w:val="24"/>
          <w:highlight w:val="none"/>
          <w:u w:val="single"/>
          <w:lang w:val="en-US" w:eastAsia="zh-CN"/>
        </w:rPr>
        <w:t xml:space="preserve"> </w:t>
      </w:r>
      <w:r>
        <w:rPr>
          <w:rFonts w:hint="default"/>
          <w:color w:val="auto"/>
          <w:sz w:val="24"/>
          <w:highlight w:val="none"/>
          <w:u w:val="single"/>
        </w:rPr>
        <w:t xml:space="preserve">       </w:t>
      </w:r>
      <w:r>
        <w:rPr>
          <w:color w:val="auto"/>
          <w:sz w:val="24"/>
          <w:highlight w:val="none"/>
        </w:rPr>
        <w:t>律师为法律顾问的乙方联系人。</w:t>
      </w:r>
    </w:p>
    <w:p>
      <w:pPr>
        <w:spacing w:line="480" w:lineRule="exact"/>
        <w:ind w:firstLine="480" w:firstLineChars="200"/>
        <w:rPr>
          <w:rFonts w:hint="default"/>
          <w:color w:val="auto"/>
          <w:sz w:val="24"/>
          <w:highlight w:val="none"/>
        </w:rPr>
      </w:pPr>
      <w:r>
        <w:rPr>
          <w:color w:val="auto"/>
          <w:sz w:val="24"/>
          <w:highlight w:val="none"/>
        </w:rPr>
        <w:t>2.乙方律师应勤勉、尽责地完成本协议第二条所列各项法律工作，按照甲、乙双方事前约定的时间、地点进行工作，及时受理甲方委托的各项工作</w:t>
      </w:r>
      <w:r>
        <w:rPr>
          <w:rFonts w:hint="default"/>
          <w:color w:val="auto"/>
          <w:sz w:val="24"/>
          <w:highlight w:val="none"/>
          <w:lang w:eastAsia="zh-CN"/>
        </w:rPr>
        <w:t>，</w:t>
      </w:r>
      <w:r>
        <w:rPr>
          <w:rFonts w:hint="default"/>
          <w:color w:val="auto"/>
          <w:sz w:val="24"/>
          <w:highlight w:val="none"/>
        </w:rPr>
        <w:t>应当以事实为依据，以法律为准绳，应勤勉尽责，认真负责地维护甲方的最大合法权益。乙方应承担因违反本条款而产生的对甲方不利后果的责任。</w:t>
      </w:r>
    </w:p>
    <w:p>
      <w:pPr>
        <w:spacing w:line="480" w:lineRule="exact"/>
        <w:ind w:firstLine="480" w:firstLineChars="200"/>
        <w:rPr>
          <w:rFonts w:hint="default"/>
          <w:color w:val="auto"/>
          <w:sz w:val="24"/>
          <w:highlight w:val="none"/>
          <w:lang w:eastAsia="zh-CN"/>
        </w:rPr>
      </w:pPr>
      <w:r>
        <w:rPr>
          <w:rFonts w:hint="default"/>
          <w:color w:val="auto"/>
          <w:sz w:val="24"/>
          <w:highlight w:val="none"/>
          <w:lang w:val="en-US" w:eastAsia="zh-CN"/>
        </w:rPr>
        <w:t xml:space="preserve">3. </w:t>
      </w:r>
      <w:r>
        <w:rPr>
          <w:rFonts w:hint="default"/>
          <w:sz w:val="24"/>
          <w:highlight w:val="none"/>
        </w:rPr>
        <w:t>乙方律师应当依据法律法规向甲方进行法律风险提示，尽最大努力维护甲方利益</w:t>
      </w:r>
      <w:r>
        <w:rPr>
          <w:rFonts w:hint="default"/>
          <w:color w:val="auto"/>
          <w:sz w:val="24"/>
          <w:highlight w:val="none"/>
          <w:lang w:eastAsia="zh-CN"/>
        </w:rPr>
        <w:t>。</w:t>
      </w:r>
    </w:p>
    <w:p>
      <w:pPr>
        <w:spacing w:line="480" w:lineRule="exact"/>
        <w:ind w:firstLine="480" w:firstLineChars="200"/>
        <w:rPr>
          <w:rFonts w:hint="default"/>
          <w:color w:val="auto"/>
          <w:sz w:val="24"/>
          <w:highlight w:val="none"/>
          <w:lang w:val="en-US" w:eastAsia="zh-CN"/>
        </w:rPr>
      </w:pPr>
      <w:r>
        <w:rPr>
          <w:rFonts w:hint="default"/>
          <w:color w:val="auto"/>
          <w:sz w:val="24"/>
          <w:highlight w:val="none"/>
          <w:lang w:val="en-US" w:eastAsia="zh-CN"/>
        </w:rPr>
        <w:t xml:space="preserve">4. </w:t>
      </w:r>
      <w:r>
        <w:rPr>
          <w:rFonts w:hint="default"/>
          <w:sz w:val="24"/>
          <w:highlight w:val="none"/>
        </w:rPr>
        <w:t>乙方应遵守律师执业道德和执业纪律。</w:t>
      </w:r>
    </w:p>
    <w:p>
      <w:pPr>
        <w:spacing w:line="480" w:lineRule="exact"/>
        <w:ind w:firstLine="480" w:firstLineChars="200"/>
        <w:rPr>
          <w:rFonts w:hint="default" w:eastAsia="宋体"/>
          <w:color w:val="auto"/>
          <w:sz w:val="24"/>
          <w:highlight w:val="none"/>
          <w:lang w:val="en-US" w:eastAsia="zh-CN"/>
        </w:rPr>
      </w:pPr>
      <w:r>
        <w:rPr>
          <w:rFonts w:hint="default"/>
          <w:color w:val="auto"/>
          <w:sz w:val="24"/>
          <w:highlight w:val="none"/>
          <w:lang w:val="en-US" w:eastAsia="zh-CN"/>
        </w:rPr>
        <w:t xml:space="preserve">5. </w:t>
      </w:r>
      <w:r>
        <w:rPr>
          <w:rFonts w:hint="default"/>
          <w:sz w:val="24"/>
          <w:highlight w:val="none"/>
        </w:rPr>
        <w:t>乙方应保证投入足够工作时间，及时向甲方通报</w:t>
      </w:r>
      <w:r>
        <w:rPr>
          <w:rFonts w:hint="default"/>
          <w:color w:val="auto"/>
          <w:sz w:val="24"/>
          <w:highlight w:val="none"/>
          <w:lang w:val="en-US" w:eastAsia="zh-CN"/>
        </w:rPr>
        <w:t>服务</w:t>
      </w:r>
      <w:r>
        <w:rPr>
          <w:rFonts w:hint="default"/>
          <w:sz w:val="24"/>
          <w:highlight w:val="none"/>
        </w:rPr>
        <w:t>进展情况，并根据甲方要求出具相关工作报告</w:t>
      </w:r>
      <w:r>
        <w:rPr>
          <w:rFonts w:hint="default"/>
          <w:color w:val="auto"/>
          <w:sz w:val="24"/>
          <w:highlight w:val="none"/>
          <w:lang w:eastAsia="zh-CN"/>
        </w:rPr>
        <w:t>。</w:t>
      </w:r>
    </w:p>
    <w:p>
      <w:pPr>
        <w:snapToGrid w:val="0"/>
        <w:spacing w:line="480" w:lineRule="exact"/>
        <w:ind w:firstLine="480" w:firstLineChars="200"/>
        <w:rPr>
          <w:color w:val="auto"/>
          <w:sz w:val="24"/>
          <w:highlight w:val="none"/>
        </w:rPr>
      </w:pPr>
      <w:r>
        <w:rPr>
          <w:rFonts w:hint="eastAsia"/>
          <w:color w:val="auto"/>
          <w:sz w:val="24"/>
          <w:highlight w:val="none"/>
          <w:lang w:val="en-US" w:eastAsia="zh-CN"/>
        </w:rPr>
        <w:t>6</w:t>
      </w:r>
      <w:r>
        <w:rPr>
          <w:color w:val="auto"/>
          <w:sz w:val="24"/>
          <w:highlight w:val="none"/>
        </w:rPr>
        <w:t>.乙方律师应在取得甲方提供的文件资料后，按时完成甲方委托的事项，根据甲方的要求通报工作进程。</w:t>
      </w:r>
    </w:p>
    <w:p>
      <w:pPr>
        <w:snapToGrid w:val="0"/>
        <w:spacing w:line="480" w:lineRule="exact"/>
        <w:ind w:firstLine="480" w:firstLineChars="200"/>
        <w:rPr>
          <w:color w:val="auto"/>
          <w:sz w:val="24"/>
          <w:highlight w:val="none"/>
        </w:rPr>
      </w:pPr>
      <w:r>
        <w:rPr>
          <w:rFonts w:hint="eastAsia"/>
          <w:color w:val="auto"/>
          <w:sz w:val="24"/>
          <w:highlight w:val="none"/>
          <w:lang w:val="en-US" w:eastAsia="zh-CN"/>
        </w:rPr>
        <w:t>7</w:t>
      </w:r>
      <w:r>
        <w:rPr>
          <w:color w:val="auto"/>
          <w:sz w:val="24"/>
          <w:highlight w:val="none"/>
        </w:rPr>
        <w:t>.如发生第二条</w:t>
      </w:r>
      <w:r>
        <w:rPr>
          <w:rFonts w:hint="eastAsia"/>
          <w:color w:val="auto"/>
          <w:sz w:val="24"/>
          <w:highlight w:val="none"/>
          <w:lang w:eastAsia="zh-CN"/>
        </w:rPr>
        <w:t>（</w:t>
      </w:r>
      <w:r>
        <w:rPr>
          <w:rFonts w:hint="eastAsia"/>
          <w:color w:val="auto"/>
          <w:sz w:val="24"/>
          <w:highlight w:val="none"/>
          <w:lang w:val="en-US" w:eastAsia="zh-CN"/>
        </w:rPr>
        <w:t>一</w:t>
      </w:r>
      <w:r>
        <w:rPr>
          <w:rFonts w:hint="eastAsia"/>
          <w:color w:val="auto"/>
          <w:sz w:val="24"/>
          <w:highlight w:val="none"/>
          <w:lang w:eastAsia="zh-CN"/>
        </w:rPr>
        <w:t>）</w:t>
      </w:r>
      <w:r>
        <w:rPr>
          <w:rFonts w:hint="eastAsia"/>
          <w:color w:val="auto"/>
          <w:sz w:val="24"/>
          <w:highlight w:val="none"/>
        </w:rPr>
        <w:t>、</w:t>
      </w:r>
      <w:r>
        <w:rPr>
          <w:rFonts w:hint="eastAsia"/>
          <w:color w:val="auto"/>
          <w:sz w:val="24"/>
          <w:highlight w:val="none"/>
          <w:lang w:eastAsia="zh-CN"/>
        </w:rPr>
        <w:t>（</w:t>
      </w:r>
      <w:r>
        <w:rPr>
          <w:rFonts w:hint="eastAsia"/>
          <w:color w:val="auto"/>
          <w:sz w:val="24"/>
          <w:highlight w:val="none"/>
          <w:lang w:val="en-US" w:eastAsia="zh-CN"/>
        </w:rPr>
        <w:t>五</w:t>
      </w:r>
      <w:r>
        <w:rPr>
          <w:rFonts w:hint="eastAsia"/>
          <w:color w:val="auto"/>
          <w:sz w:val="24"/>
          <w:highlight w:val="none"/>
          <w:lang w:eastAsia="zh-CN"/>
        </w:rPr>
        <w:t>）</w:t>
      </w:r>
      <w:r>
        <w:rPr>
          <w:color w:val="auto"/>
          <w:sz w:val="24"/>
          <w:highlight w:val="none"/>
        </w:rPr>
        <w:t>项法律服务，乙方</w:t>
      </w:r>
      <w:r>
        <w:rPr>
          <w:rFonts w:hint="eastAsia"/>
          <w:color w:val="auto"/>
          <w:sz w:val="24"/>
          <w:highlight w:val="none"/>
        </w:rPr>
        <w:t>原则上</w:t>
      </w:r>
      <w:r>
        <w:rPr>
          <w:color w:val="auto"/>
          <w:sz w:val="24"/>
          <w:highlight w:val="none"/>
        </w:rPr>
        <w:t>应在</w:t>
      </w:r>
      <w:r>
        <w:rPr>
          <w:rFonts w:hint="eastAsia"/>
          <w:color w:val="auto"/>
          <w:sz w:val="24"/>
          <w:highlight w:val="none"/>
        </w:rPr>
        <w:t>48</w:t>
      </w:r>
      <w:r>
        <w:rPr>
          <w:color w:val="auto"/>
          <w:sz w:val="24"/>
          <w:highlight w:val="none"/>
        </w:rPr>
        <w:t>小时内处理完成；如发生第二条</w:t>
      </w:r>
      <w:r>
        <w:rPr>
          <w:rFonts w:hint="eastAsia"/>
          <w:color w:val="auto"/>
          <w:sz w:val="24"/>
          <w:highlight w:val="none"/>
          <w:lang w:eastAsia="zh-CN"/>
        </w:rPr>
        <w:t>（</w:t>
      </w:r>
      <w:r>
        <w:rPr>
          <w:rFonts w:hint="eastAsia"/>
          <w:color w:val="auto"/>
          <w:sz w:val="24"/>
          <w:highlight w:val="none"/>
          <w:lang w:val="en-US" w:eastAsia="zh-CN"/>
        </w:rPr>
        <w:t>二</w:t>
      </w:r>
      <w:r>
        <w:rPr>
          <w:rFonts w:hint="eastAsia"/>
          <w:color w:val="auto"/>
          <w:sz w:val="24"/>
          <w:highlight w:val="none"/>
          <w:lang w:eastAsia="zh-CN"/>
        </w:rPr>
        <w:t>）、（</w:t>
      </w:r>
      <w:r>
        <w:rPr>
          <w:rFonts w:hint="eastAsia"/>
          <w:color w:val="auto"/>
          <w:sz w:val="24"/>
          <w:highlight w:val="none"/>
          <w:lang w:val="en-US" w:eastAsia="zh-CN"/>
        </w:rPr>
        <w:t>三</w:t>
      </w:r>
      <w:r>
        <w:rPr>
          <w:rFonts w:hint="eastAsia"/>
          <w:color w:val="auto"/>
          <w:sz w:val="24"/>
          <w:highlight w:val="none"/>
          <w:lang w:eastAsia="zh-CN"/>
        </w:rPr>
        <w:t>）</w:t>
      </w:r>
      <w:r>
        <w:rPr>
          <w:color w:val="auto"/>
          <w:sz w:val="24"/>
          <w:highlight w:val="none"/>
        </w:rPr>
        <w:t>项法律服务，乙方</w:t>
      </w:r>
      <w:r>
        <w:rPr>
          <w:rFonts w:hint="eastAsia"/>
          <w:color w:val="auto"/>
          <w:sz w:val="24"/>
          <w:highlight w:val="none"/>
        </w:rPr>
        <w:t>原则上</w:t>
      </w:r>
      <w:r>
        <w:rPr>
          <w:color w:val="auto"/>
          <w:sz w:val="24"/>
          <w:highlight w:val="none"/>
        </w:rPr>
        <w:t>应在</w:t>
      </w:r>
      <w:r>
        <w:rPr>
          <w:rFonts w:hint="eastAsia"/>
          <w:color w:val="auto"/>
          <w:sz w:val="24"/>
          <w:highlight w:val="none"/>
        </w:rPr>
        <w:t>24</w:t>
      </w:r>
      <w:r>
        <w:rPr>
          <w:color w:val="auto"/>
          <w:sz w:val="24"/>
          <w:highlight w:val="none"/>
        </w:rPr>
        <w:t>小时内处理完成；如甲方遇</w:t>
      </w:r>
      <w:r>
        <w:rPr>
          <w:rFonts w:hint="eastAsia"/>
          <w:color w:val="auto"/>
          <w:sz w:val="24"/>
          <w:highlight w:val="none"/>
        </w:rPr>
        <w:t>重大</w:t>
      </w:r>
      <w:r>
        <w:rPr>
          <w:color w:val="auto"/>
          <w:sz w:val="24"/>
          <w:highlight w:val="none"/>
        </w:rPr>
        <w:t>紧急法律咨询事项，乙方应在甲方要求下及时到甲方办公住所进行工作</w:t>
      </w:r>
      <w:r>
        <w:rPr>
          <w:rFonts w:hint="eastAsia"/>
          <w:color w:val="auto"/>
          <w:sz w:val="24"/>
          <w:highlight w:val="none"/>
        </w:rPr>
        <w:t>；如遇特殊情况，甲、乙双方应提前协商工作完成时限。</w:t>
      </w:r>
    </w:p>
    <w:p>
      <w:pPr>
        <w:tabs>
          <w:tab w:val="left" w:pos="1080"/>
          <w:tab w:val="left" w:pos="1440"/>
        </w:tabs>
        <w:spacing w:line="360" w:lineRule="auto"/>
        <w:ind w:firstLine="480" w:firstLineChars="200"/>
        <w:rPr>
          <w:color w:val="auto"/>
          <w:sz w:val="24"/>
          <w:highlight w:val="none"/>
        </w:rPr>
      </w:pPr>
      <w:r>
        <w:rPr>
          <w:rFonts w:hint="eastAsia"/>
          <w:color w:val="auto"/>
          <w:sz w:val="24"/>
          <w:highlight w:val="none"/>
          <w:lang w:val="en-US" w:eastAsia="zh-CN"/>
        </w:rPr>
        <w:t>8</w:t>
      </w:r>
      <w:r>
        <w:rPr>
          <w:color w:val="auto"/>
          <w:sz w:val="24"/>
          <w:highlight w:val="none"/>
        </w:rPr>
        <w:t>.在本协议有效期内，乙方律师在涉及甲方的对抗性案件或者交易活动中，</w:t>
      </w:r>
      <w:r>
        <w:rPr>
          <w:rFonts w:hint="eastAsia"/>
          <w:color w:val="auto"/>
          <w:sz w:val="24"/>
          <w:highlight w:val="none"/>
        </w:rPr>
        <w:t>应当就已经存在的或可能存在的利益冲突情况如实告知</w:t>
      </w:r>
      <w:r>
        <w:rPr>
          <w:rFonts w:hint="eastAsia"/>
          <w:color w:val="auto"/>
          <w:sz w:val="24"/>
          <w:highlight w:val="none"/>
          <w:lang w:val="en-US" w:eastAsia="zh-CN"/>
        </w:rPr>
        <w:t>甲方</w:t>
      </w:r>
      <w:r>
        <w:rPr>
          <w:rFonts w:hint="eastAsia"/>
          <w:color w:val="auto"/>
          <w:sz w:val="24"/>
          <w:highlight w:val="none"/>
          <w:lang w:eastAsia="zh-CN"/>
        </w:rPr>
        <w:t>，</w:t>
      </w:r>
      <w:r>
        <w:rPr>
          <w:color w:val="auto"/>
          <w:sz w:val="24"/>
          <w:highlight w:val="none"/>
        </w:rPr>
        <w:t>未经甲方同意，将不担任与甲方具有法律上利益冲突的另一方的法律顾问或代理人。</w:t>
      </w:r>
      <w:r>
        <w:rPr>
          <w:rFonts w:hint="eastAsia"/>
          <w:color w:val="auto"/>
          <w:sz w:val="24"/>
          <w:highlight w:val="none"/>
        </w:rPr>
        <w:t>在发生利益冲突的情况下，甲方有权撤销对乙方代理律师的授权或解除本合同。</w:t>
      </w:r>
    </w:p>
    <w:p>
      <w:pPr>
        <w:tabs>
          <w:tab w:val="left" w:pos="1080"/>
          <w:tab w:val="left" w:pos="1440"/>
        </w:tabs>
        <w:spacing w:line="360" w:lineRule="auto"/>
        <w:ind w:firstLine="480" w:firstLineChars="200"/>
        <w:rPr>
          <w:rFonts w:hint="default" w:eastAsia="宋体"/>
          <w:color w:val="auto"/>
          <w:highlight w:val="none"/>
          <w:lang w:val="en-US" w:eastAsia="zh-CN"/>
        </w:rPr>
      </w:pPr>
      <w:r>
        <w:rPr>
          <w:rFonts w:hint="default"/>
          <w:color w:val="auto"/>
          <w:sz w:val="24"/>
          <w:highlight w:val="none"/>
          <w:lang w:val="en-US" w:eastAsia="zh-CN"/>
        </w:rPr>
        <w:t>9</w:t>
      </w:r>
      <w:r>
        <w:rPr>
          <w:color w:val="auto"/>
          <w:sz w:val="24"/>
          <w:highlight w:val="none"/>
        </w:rPr>
        <w:t>.乙方律师对其获知的甲方商业秘密负有保密责任，非由法律规定或甲方同意，不得向任何第三方披露。</w:t>
      </w:r>
    </w:p>
    <w:p>
      <w:pPr>
        <w:tabs>
          <w:tab w:val="left" w:pos="1080"/>
          <w:tab w:val="left" w:pos="1440"/>
        </w:tabs>
        <w:spacing w:line="360" w:lineRule="auto"/>
        <w:ind w:firstLine="480" w:firstLineChars="200"/>
        <w:rPr>
          <w:color w:val="auto"/>
          <w:sz w:val="24"/>
          <w:highlight w:val="none"/>
        </w:rPr>
      </w:pPr>
      <w:r>
        <w:rPr>
          <w:rFonts w:hint="eastAsia"/>
          <w:color w:val="auto"/>
          <w:sz w:val="24"/>
          <w:highlight w:val="none"/>
          <w:lang w:val="en-US" w:eastAsia="zh-CN"/>
        </w:rPr>
        <w:t>10</w:t>
      </w:r>
      <w:r>
        <w:rPr>
          <w:color w:val="auto"/>
          <w:sz w:val="24"/>
          <w:highlight w:val="none"/>
        </w:rPr>
        <w:t>.乙方对所承办的甲方委托的业务应建立档案，并保存完整的工作记录，对涉及甲方的原始证据、法律文件应妥善保管。</w:t>
      </w:r>
    </w:p>
    <w:p>
      <w:pPr>
        <w:pStyle w:val="10"/>
        <w:rPr>
          <w:rFonts w:hint="eastAsia"/>
          <w:color w:val="auto"/>
          <w:sz w:val="24"/>
          <w:highlight w:val="none"/>
          <w:lang w:eastAsia="zh-CN"/>
        </w:rPr>
      </w:pPr>
      <w:r>
        <w:rPr>
          <w:rFonts w:hint="eastAsia"/>
          <w:color w:val="auto"/>
          <w:sz w:val="24"/>
          <w:highlight w:val="none"/>
          <w:lang w:val="en-US" w:eastAsia="zh-CN"/>
        </w:rPr>
        <w:t>11</w:t>
      </w:r>
      <w:r>
        <w:rPr>
          <w:color w:val="auto"/>
          <w:sz w:val="24"/>
          <w:highlight w:val="none"/>
        </w:rPr>
        <w:t>.乙方律师应当按照甲、乙双方事前约定的时间、地点进行工作，及时受理甲方委托的各项工作</w:t>
      </w:r>
      <w:r>
        <w:rPr>
          <w:rFonts w:hint="eastAsia"/>
          <w:color w:val="auto"/>
          <w:sz w:val="24"/>
          <w:highlight w:val="none"/>
          <w:lang w:eastAsia="zh-CN"/>
        </w:rPr>
        <w:t>。</w:t>
      </w:r>
    </w:p>
    <w:p>
      <w:pPr>
        <w:numPr>
          <w:ilvl w:val="-1"/>
          <w:numId w:val="0"/>
        </w:numPr>
        <w:spacing w:before="120" w:after="72" w:line="520" w:lineRule="exact"/>
        <w:ind w:left="0" w:leftChars="0" w:firstLine="480"/>
        <w:rPr>
          <w:rFonts w:ascii="Times New Roman" w:hAnsi="Times New Roman"/>
          <w:sz w:val="24"/>
          <w:szCs w:val="24"/>
          <w:highlight w:val="none"/>
        </w:rPr>
      </w:pPr>
      <w:r>
        <w:rPr>
          <w:rFonts w:hint="eastAsia"/>
          <w:sz w:val="24"/>
          <w:szCs w:val="24"/>
          <w:highlight w:val="none"/>
          <w:lang w:val="en-US" w:eastAsia="zh-CN"/>
        </w:rPr>
        <w:t>12</w:t>
      </w:r>
      <w:r>
        <w:rPr>
          <w:rFonts w:hint="eastAsia" w:ascii="Times New Roman" w:hAnsi="Times New Roman"/>
          <w:sz w:val="24"/>
          <w:szCs w:val="24"/>
          <w:highlight w:val="none"/>
          <w:lang w:val="en-US" w:eastAsia="zh-CN"/>
        </w:rPr>
        <w:t>.</w:t>
      </w:r>
      <w:r>
        <w:rPr>
          <w:rFonts w:ascii="Times New Roman" w:hAnsi="Times New Roman"/>
          <w:sz w:val="24"/>
          <w:szCs w:val="24"/>
          <w:highlight w:val="none"/>
        </w:rPr>
        <w:t>利用业务团队的专业知识，定期或不定期向</w:t>
      </w:r>
      <w:r>
        <w:rPr>
          <w:rFonts w:hint="eastAsia" w:ascii="Times New Roman" w:hAnsi="Times New Roman"/>
          <w:sz w:val="24"/>
          <w:szCs w:val="24"/>
          <w:highlight w:val="none"/>
        </w:rPr>
        <w:t>甲方</w:t>
      </w:r>
      <w:r>
        <w:rPr>
          <w:rFonts w:ascii="Times New Roman" w:hAnsi="Times New Roman"/>
          <w:sz w:val="24"/>
          <w:szCs w:val="24"/>
          <w:highlight w:val="none"/>
        </w:rPr>
        <w:t>提供</w:t>
      </w:r>
      <w:r>
        <w:rPr>
          <w:rFonts w:hint="eastAsia" w:ascii="Times New Roman" w:hAnsi="Times New Roman"/>
          <w:sz w:val="24"/>
          <w:szCs w:val="24"/>
          <w:highlight w:val="none"/>
          <w:lang w:val="en-US" w:eastAsia="zh-CN"/>
        </w:rPr>
        <w:t>采购管理、立法司法实践方面</w:t>
      </w:r>
      <w:r>
        <w:rPr>
          <w:rFonts w:ascii="Times New Roman" w:hAnsi="Times New Roman"/>
          <w:sz w:val="24"/>
          <w:szCs w:val="24"/>
          <w:highlight w:val="none"/>
        </w:rPr>
        <w:t>的法规、政策方面的信息及资料；</w:t>
      </w:r>
    </w:p>
    <w:p>
      <w:pPr>
        <w:numPr>
          <w:ilvl w:val="0"/>
          <w:numId w:val="0"/>
        </w:numPr>
        <w:tabs>
          <w:tab w:val="left" w:pos="2160"/>
        </w:tabs>
        <w:spacing w:before="120" w:after="72" w:line="520" w:lineRule="exact"/>
        <w:ind w:leftChars="200" w:firstLine="0" w:firstLineChars="0"/>
        <w:rPr>
          <w:rFonts w:hint="eastAsia"/>
          <w:highlight w:val="none"/>
          <w:lang w:eastAsia="zh-CN"/>
        </w:rPr>
      </w:pPr>
      <w:r>
        <w:rPr>
          <w:rFonts w:hint="eastAsia" w:ascii="Times New Roman" w:hAnsi="Times New Roman"/>
          <w:sz w:val="24"/>
          <w:szCs w:val="24"/>
          <w:highlight w:val="none"/>
          <w:lang w:val="en-US" w:eastAsia="zh-CN"/>
        </w:rPr>
        <w:t>1</w:t>
      </w:r>
      <w:r>
        <w:rPr>
          <w:rFonts w:hint="eastAsia"/>
          <w:sz w:val="24"/>
          <w:szCs w:val="24"/>
          <w:highlight w:val="none"/>
          <w:lang w:val="en-US" w:eastAsia="zh-CN"/>
        </w:rPr>
        <w:t>3</w:t>
      </w:r>
      <w:r>
        <w:rPr>
          <w:rFonts w:hint="eastAsia" w:ascii="Times New Roman" w:hAnsi="Times New Roman"/>
          <w:sz w:val="24"/>
          <w:szCs w:val="24"/>
          <w:highlight w:val="none"/>
          <w:lang w:val="en-US" w:eastAsia="zh-CN"/>
        </w:rPr>
        <w:t>.</w:t>
      </w:r>
      <w:r>
        <w:rPr>
          <w:rFonts w:ascii="Times New Roman" w:hAnsi="Times New Roman"/>
          <w:sz w:val="24"/>
          <w:szCs w:val="24"/>
          <w:highlight w:val="none"/>
        </w:rPr>
        <w:t>能根据</w:t>
      </w:r>
      <w:r>
        <w:rPr>
          <w:rFonts w:hint="eastAsia" w:ascii="Times New Roman" w:hAnsi="Times New Roman"/>
          <w:sz w:val="24"/>
          <w:szCs w:val="24"/>
          <w:highlight w:val="none"/>
        </w:rPr>
        <w:t>甲方</w:t>
      </w:r>
      <w:r>
        <w:rPr>
          <w:rFonts w:ascii="Times New Roman" w:hAnsi="Times New Roman"/>
          <w:sz w:val="24"/>
          <w:szCs w:val="24"/>
          <w:highlight w:val="none"/>
        </w:rPr>
        <w:t>要求或随时指示处理其他杂项事务。</w:t>
      </w:r>
    </w:p>
    <w:p>
      <w:pPr>
        <w:tabs>
          <w:tab w:val="left" w:pos="960"/>
          <w:tab w:val="left" w:pos="1080"/>
        </w:tabs>
        <w:spacing w:line="360" w:lineRule="auto"/>
        <w:ind w:firstLine="482" w:firstLineChars="200"/>
        <w:rPr>
          <w:b/>
          <w:bCs/>
          <w:color w:val="auto"/>
          <w:sz w:val="24"/>
          <w:highlight w:val="none"/>
        </w:rPr>
      </w:pPr>
    </w:p>
    <w:p>
      <w:pPr>
        <w:tabs>
          <w:tab w:val="left" w:pos="960"/>
          <w:tab w:val="left" w:pos="1080"/>
        </w:tabs>
        <w:spacing w:line="360" w:lineRule="auto"/>
        <w:ind w:firstLine="482" w:firstLineChars="200"/>
        <w:rPr>
          <w:b/>
          <w:bCs/>
          <w:color w:val="auto"/>
          <w:sz w:val="24"/>
          <w:highlight w:val="none"/>
        </w:rPr>
      </w:pPr>
      <w:r>
        <w:rPr>
          <w:b/>
          <w:bCs/>
          <w:color w:val="auto"/>
          <w:sz w:val="24"/>
          <w:highlight w:val="none"/>
        </w:rPr>
        <w:t>四、甲方的责任</w:t>
      </w:r>
    </w:p>
    <w:p>
      <w:pPr>
        <w:tabs>
          <w:tab w:val="left" w:pos="360"/>
          <w:tab w:val="left" w:pos="1080"/>
        </w:tabs>
        <w:spacing w:line="360" w:lineRule="auto"/>
        <w:ind w:firstLine="480" w:firstLineChars="200"/>
        <w:rPr>
          <w:color w:val="auto"/>
          <w:sz w:val="24"/>
          <w:highlight w:val="none"/>
        </w:rPr>
      </w:pPr>
      <w:r>
        <w:rPr>
          <w:color w:val="auto"/>
          <w:sz w:val="24"/>
          <w:highlight w:val="none"/>
        </w:rPr>
        <w:t>1.甲方应当全面、客观和及时地向乙方提供法律顾问服务过程中乙方所需的资料、文件及情况说明，如因甲方提供的资料不全面、不真实而导致产生对甲方不利的法律后果，乙方不承担任何责任。</w:t>
      </w:r>
    </w:p>
    <w:p>
      <w:pPr>
        <w:tabs>
          <w:tab w:val="left" w:pos="360"/>
          <w:tab w:val="left" w:pos="1080"/>
        </w:tabs>
        <w:spacing w:line="360" w:lineRule="auto"/>
        <w:ind w:firstLine="480" w:firstLineChars="200"/>
        <w:rPr>
          <w:color w:val="auto"/>
          <w:sz w:val="24"/>
          <w:highlight w:val="none"/>
        </w:rPr>
      </w:pPr>
      <w:r>
        <w:rPr>
          <w:color w:val="auto"/>
          <w:sz w:val="24"/>
          <w:highlight w:val="none"/>
        </w:rPr>
        <w:t>2.甲方应为乙方律师办理法律顾问事务提出明确、合理的要求。</w:t>
      </w:r>
    </w:p>
    <w:p>
      <w:pPr>
        <w:tabs>
          <w:tab w:val="left" w:pos="360"/>
          <w:tab w:val="left" w:pos="1080"/>
        </w:tabs>
        <w:spacing w:line="360" w:lineRule="auto"/>
        <w:ind w:firstLine="480" w:firstLineChars="200"/>
        <w:rPr>
          <w:color w:val="auto"/>
          <w:sz w:val="24"/>
          <w:highlight w:val="none"/>
        </w:rPr>
      </w:pPr>
      <w:r>
        <w:rPr>
          <w:color w:val="auto"/>
          <w:sz w:val="24"/>
          <w:highlight w:val="none"/>
        </w:rPr>
        <w:t>3.甲方应指定一至二名甲方人员作为甲方与乙方的联络人，负责转达甲方的指示和要求，提供文件和资料等，甲方更换联系人应当及时通知乙方联络人，非甲方指定的联络人不得要求乙方律师办理任何法律顾问工作。</w:t>
      </w:r>
    </w:p>
    <w:p>
      <w:pPr>
        <w:tabs>
          <w:tab w:val="left" w:pos="360"/>
          <w:tab w:val="left" w:pos="1080"/>
        </w:tabs>
        <w:spacing w:line="360" w:lineRule="auto"/>
        <w:ind w:firstLine="480" w:firstLineChars="200"/>
        <w:rPr>
          <w:color w:val="auto"/>
          <w:sz w:val="24"/>
          <w:highlight w:val="none"/>
        </w:rPr>
      </w:pPr>
      <w:r>
        <w:rPr>
          <w:color w:val="auto"/>
          <w:sz w:val="24"/>
          <w:highlight w:val="none"/>
        </w:rPr>
        <w:t>4.甲方应为乙方律师的工作提供必要的办公及其</w:t>
      </w:r>
      <w:r>
        <w:rPr>
          <w:rFonts w:hint="eastAsia"/>
          <w:color w:val="auto"/>
          <w:sz w:val="24"/>
          <w:highlight w:val="none"/>
        </w:rPr>
        <w:t>他</w:t>
      </w:r>
      <w:r>
        <w:rPr>
          <w:color w:val="auto"/>
          <w:sz w:val="24"/>
          <w:highlight w:val="none"/>
        </w:rPr>
        <w:t>便利条件。</w:t>
      </w:r>
    </w:p>
    <w:p>
      <w:pPr>
        <w:tabs>
          <w:tab w:val="left" w:pos="360"/>
          <w:tab w:val="left" w:pos="1080"/>
        </w:tabs>
        <w:spacing w:line="360" w:lineRule="auto"/>
        <w:ind w:firstLine="480" w:firstLineChars="200"/>
        <w:rPr>
          <w:rFonts w:hint="eastAsia" w:eastAsia="宋体"/>
          <w:b/>
          <w:bCs/>
          <w:color w:val="auto"/>
          <w:sz w:val="24"/>
          <w:highlight w:val="none"/>
          <w:lang w:eastAsia="zh-CN"/>
        </w:rPr>
      </w:pPr>
      <w:r>
        <w:rPr>
          <w:rFonts w:hint="eastAsia"/>
          <w:color w:val="auto"/>
          <w:sz w:val="24"/>
          <w:szCs w:val="20"/>
          <w:highlight w:val="none"/>
          <w:lang w:val="en-US" w:eastAsia="zh-CN"/>
        </w:rPr>
        <w:t>5.</w:t>
      </w:r>
      <w:r>
        <w:rPr>
          <w:rFonts w:hint="default" w:eastAsia="宋体"/>
          <w:color w:val="auto"/>
          <w:sz w:val="24"/>
          <w:szCs w:val="20"/>
          <w:highlight w:val="none"/>
        </w:rPr>
        <w:t>由于乙方原因，乙方未按要求完成合同约定的服务内容或者服务内容验收不合格且经修改仍不合格的，甲方有权解除本合同；如已经交付的阶段性成果甲方继续使用，则尚未支付的费用不再支付</w:t>
      </w:r>
      <w:r>
        <w:rPr>
          <w:rFonts w:hint="default"/>
          <w:color w:val="auto"/>
          <w:sz w:val="24"/>
          <w:szCs w:val="20"/>
          <w:highlight w:val="none"/>
          <w:lang w:eastAsia="zh-CN"/>
        </w:rPr>
        <w:t>。</w:t>
      </w:r>
      <w:r>
        <w:rPr>
          <w:rFonts w:hint="default" w:eastAsia="宋体"/>
          <w:color w:val="auto"/>
          <w:sz w:val="24"/>
          <w:szCs w:val="20"/>
          <w:highlight w:val="none"/>
        </w:rPr>
        <w:t>如已经交付的阶段性成果甲方不再使用，乙方必须全额退回甲方已支付的费用</w:t>
      </w:r>
      <w:r>
        <w:rPr>
          <w:rFonts w:hint="eastAsia"/>
          <w:color w:val="auto"/>
          <w:sz w:val="24"/>
          <w:szCs w:val="20"/>
          <w:highlight w:val="none"/>
          <w:lang w:eastAsia="zh-CN"/>
        </w:rPr>
        <w:t>。</w:t>
      </w:r>
    </w:p>
    <w:p>
      <w:pPr>
        <w:tabs>
          <w:tab w:val="left" w:pos="960"/>
          <w:tab w:val="left" w:pos="1080"/>
        </w:tabs>
        <w:spacing w:line="360" w:lineRule="auto"/>
        <w:ind w:firstLine="482" w:firstLineChars="200"/>
        <w:rPr>
          <w:b/>
          <w:bCs/>
          <w:color w:val="auto"/>
          <w:sz w:val="24"/>
          <w:highlight w:val="none"/>
        </w:rPr>
      </w:pPr>
      <w:r>
        <w:rPr>
          <w:b/>
          <w:bCs/>
          <w:color w:val="auto"/>
          <w:sz w:val="24"/>
          <w:highlight w:val="none"/>
        </w:rPr>
        <w:t>五、法律顾问服务期限及费用</w:t>
      </w:r>
    </w:p>
    <w:p>
      <w:pPr>
        <w:tabs>
          <w:tab w:val="left" w:pos="360"/>
          <w:tab w:val="left" w:pos="1080"/>
        </w:tabs>
        <w:spacing w:line="360" w:lineRule="auto"/>
        <w:ind w:firstLine="480" w:firstLineChars="200"/>
        <w:rPr>
          <w:color w:val="auto"/>
          <w:sz w:val="24"/>
          <w:highlight w:val="none"/>
        </w:rPr>
      </w:pPr>
      <w:r>
        <w:rPr>
          <w:color w:val="auto"/>
          <w:sz w:val="24"/>
          <w:highlight w:val="none"/>
        </w:rPr>
        <w:t>1.法律顾问服务有效期为</w:t>
      </w:r>
      <w:r>
        <w:rPr>
          <w:color w:val="auto"/>
          <w:kern w:val="0"/>
          <w:sz w:val="24"/>
          <w:highlight w:val="none"/>
        </w:rPr>
        <w:t>自</w:t>
      </w:r>
      <w:r>
        <w:rPr>
          <w:rFonts w:hint="eastAsia"/>
          <w:color w:val="auto"/>
          <w:kern w:val="0"/>
          <w:sz w:val="24"/>
          <w:highlight w:val="none"/>
        </w:rPr>
        <w:t>合同签订之日起</w:t>
      </w:r>
      <w:r>
        <w:rPr>
          <w:rFonts w:hint="eastAsia"/>
          <w:color w:val="auto"/>
          <w:kern w:val="0"/>
          <w:sz w:val="24"/>
          <w:highlight w:val="none"/>
          <w:lang w:val="en-US" w:eastAsia="zh-CN"/>
        </w:rPr>
        <w:t>至12个月</w:t>
      </w:r>
      <w:r>
        <w:rPr>
          <w:color w:val="auto"/>
          <w:sz w:val="24"/>
          <w:highlight w:val="none"/>
        </w:rPr>
        <w:t>。</w:t>
      </w:r>
    </w:p>
    <w:p>
      <w:pPr>
        <w:tabs>
          <w:tab w:val="left" w:pos="360"/>
          <w:tab w:val="left" w:pos="1080"/>
        </w:tabs>
        <w:spacing w:line="360" w:lineRule="auto"/>
        <w:ind w:firstLine="480" w:firstLineChars="200"/>
        <w:rPr>
          <w:color w:val="auto"/>
          <w:sz w:val="24"/>
          <w:highlight w:val="none"/>
        </w:rPr>
      </w:pPr>
      <w:r>
        <w:rPr>
          <w:color w:val="auto"/>
          <w:sz w:val="24"/>
          <w:highlight w:val="none"/>
        </w:rPr>
        <w:t>2.法律顾问费为含税价</w:t>
      </w:r>
      <w:r>
        <w:rPr>
          <w:rFonts w:hint="eastAsia"/>
          <w:color w:val="auto"/>
          <w:sz w:val="24"/>
          <w:highlight w:val="none"/>
        </w:rPr>
        <w:t>¥</w:t>
      </w:r>
      <w:r>
        <w:rPr>
          <w:rFonts w:hint="eastAsia"/>
          <w:color w:val="auto"/>
          <w:sz w:val="24"/>
          <w:highlight w:val="none"/>
          <w:u w:val="single"/>
          <w:lang w:val="en-US" w:eastAsia="zh-CN"/>
        </w:rPr>
        <w:t xml:space="preserve">       </w:t>
      </w:r>
      <w:r>
        <w:rPr>
          <w:color w:val="auto"/>
          <w:sz w:val="24"/>
          <w:highlight w:val="none"/>
        </w:rPr>
        <w:t>元（</w:t>
      </w:r>
      <w:r>
        <w:rPr>
          <w:rFonts w:hint="eastAsia"/>
          <w:color w:val="auto"/>
          <w:sz w:val="24"/>
          <w:highlight w:val="none"/>
        </w:rPr>
        <w:t>人民币</w:t>
      </w:r>
      <w:r>
        <w:rPr>
          <w:color w:val="auto"/>
          <w:sz w:val="24"/>
          <w:highlight w:val="none"/>
        </w:rPr>
        <w:t>大写：</w:t>
      </w:r>
      <w:r>
        <w:rPr>
          <w:rFonts w:hint="eastAsia"/>
          <w:color w:val="auto"/>
          <w:sz w:val="24"/>
          <w:highlight w:val="none"/>
          <w:u w:val="single"/>
        </w:rPr>
        <w:t xml:space="preserve"> </w:t>
      </w:r>
      <w:r>
        <w:rPr>
          <w:rFonts w:hint="eastAsia"/>
          <w:color w:val="auto"/>
          <w:sz w:val="24"/>
          <w:highlight w:val="none"/>
          <w:u w:val="single"/>
          <w:lang w:val="en-US" w:eastAsia="zh-CN"/>
        </w:rPr>
        <w:t xml:space="preserve">      </w:t>
      </w:r>
      <w:r>
        <w:rPr>
          <w:color w:val="auto"/>
          <w:sz w:val="24"/>
          <w:highlight w:val="none"/>
        </w:rPr>
        <w:t>），支付方式为分</w:t>
      </w:r>
      <w:r>
        <w:rPr>
          <w:rFonts w:hint="eastAsia"/>
          <w:color w:val="auto"/>
          <w:sz w:val="24"/>
          <w:highlight w:val="none"/>
          <w:lang w:val="en-US" w:eastAsia="zh-CN"/>
        </w:rPr>
        <w:t>两</w:t>
      </w:r>
      <w:r>
        <w:rPr>
          <w:color w:val="auto"/>
          <w:sz w:val="24"/>
          <w:highlight w:val="none"/>
        </w:rPr>
        <w:t>期支付：</w:t>
      </w:r>
    </w:p>
    <w:p>
      <w:pPr>
        <w:spacing w:line="360" w:lineRule="auto"/>
        <w:ind w:left="274" w:leftChars="114" w:firstLine="240" w:firstLineChars="100"/>
        <w:rPr>
          <w:rFonts w:hint="eastAsia"/>
          <w:color w:val="auto"/>
          <w:sz w:val="24"/>
          <w:highlight w:val="none"/>
        </w:rPr>
      </w:pPr>
      <w:r>
        <w:rPr>
          <w:color w:val="auto"/>
          <w:sz w:val="24"/>
          <w:highlight w:val="none"/>
        </w:rPr>
        <w:t>1）甲方应</w:t>
      </w:r>
      <w:r>
        <w:rPr>
          <w:rFonts w:hint="eastAsia"/>
          <w:color w:val="auto"/>
          <w:sz w:val="24"/>
          <w:highlight w:val="none"/>
        </w:rPr>
        <w:t>在合同生效后一周内支付</w:t>
      </w:r>
      <w:r>
        <w:rPr>
          <w:rFonts w:hint="eastAsia"/>
          <w:color w:val="auto"/>
          <w:sz w:val="24"/>
          <w:highlight w:val="none"/>
          <w:lang w:val="en-US" w:eastAsia="zh-CN"/>
        </w:rPr>
        <w:t>总额50%</w:t>
      </w:r>
      <w:r>
        <w:rPr>
          <w:rFonts w:hint="eastAsia"/>
          <w:color w:val="auto"/>
          <w:sz w:val="24"/>
          <w:highlight w:val="none"/>
        </w:rPr>
        <w:t>第一笔法律顾问费用¥</w:t>
      </w:r>
      <w:r>
        <w:rPr>
          <w:rFonts w:hint="eastAsia"/>
          <w:color w:val="auto"/>
          <w:sz w:val="24"/>
          <w:highlight w:val="none"/>
          <w:u w:val="single"/>
        </w:rPr>
        <w:t xml:space="preserve"> </w:t>
      </w:r>
      <w:r>
        <w:rPr>
          <w:rFonts w:hint="eastAsia"/>
          <w:color w:val="auto"/>
          <w:sz w:val="24"/>
          <w:highlight w:val="none"/>
          <w:u w:val="single"/>
          <w:lang w:val="en-US" w:eastAsia="zh-CN"/>
        </w:rPr>
        <w:t xml:space="preserve">        </w:t>
      </w:r>
      <w:r>
        <w:rPr>
          <w:color w:val="auto"/>
          <w:sz w:val="24"/>
          <w:highlight w:val="none"/>
        </w:rPr>
        <w:t>元（</w:t>
      </w:r>
      <w:r>
        <w:rPr>
          <w:rFonts w:hint="eastAsia"/>
          <w:color w:val="auto"/>
          <w:sz w:val="24"/>
          <w:highlight w:val="none"/>
        </w:rPr>
        <w:t>人民币</w:t>
      </w:r>
      <w:r>
        <w:rPr>
          <w:color w:val="auto"/>
          <w:sz w:val="24"/>
          <w:highlight w:val="none"/>
        </w:rPr>
        <w:t>大写</w:t>
      </w:r>
      <w:r>
        <w:rPr>
          <w:rFonts w:hint="eastAsia"/>
          <w:color w:val="auto"/>
          <w:sz w:val="24"/>
          <w:highlight w:val="none"/>
        </w:rPr>
        <w:t>：</w:t>
      </w:r>
      <w:r>
        <w:rPr>
          <w:rFonts w:hint="eastAsia"/>
          <w:color w:val="auto"/>
          <w:sz w:val="24"/>
          <w:highlight w:val="none"/>
          <w:u w:val="single"/>
          <w:lang w:val="en-US" w:eastAsia="zh-CN"/>
        </w:rPr>
        <w:t xml:space="preserve">     </w:t>
      </w:r>
      <w:r>
        <w:rPr>
          <w:color w:val="auto"/>
          <w:sz w:val="24"/>
          <w:highlight w:val="none"/>
        </w:rPr>
        <w:t>）</w:t>
      </w:r>
      <w:r>
        <w:rPr>
          <w:rFonts w:hint="eastAsia"/>
          <w:color w:val="auto"/>
          <w:sz w:val="24"/>
          <w:highlight w:val="none"/>
        </w:rPr>
        <w:t>至乙方账户，乙方</w:t>
      </w:r>
      <w:r>
        <w:rPr>
          <w:rFonts w:hint="eastAsia"/>
          <w:color w:val="auto"/>
          <w:sz w:val="24"/>
          <w:highlight w:val="none"/>
          <w:lang w:eastAsia="zh-CN"/>
        </w:rPr>
        <w:t>需在此笔费用付款前</w:t>
      </w:r>
      <w:r>
        <w:rPr>
          <w:rFonts w:hint="eastAsia"/>
          <w:color w:val="auto"/>
          <w:sz w:val="24"/>
          <w:highlight w:val="none"/>
        </w:rPr>
        <w:t>为甲方开具相应金额的增值税专用发票</w:t>
      </w:r>
      <w:r>
        <w:rPr>
          <w:rFonts w:hint="eastAsia"/>
          <w:color w:val="auto"/>
          <w:sz w:val="24"/>
          <w:highlight w:val="none"/>
          <w:lang w:val="en-US" w:eastAsia="zh-CN"/>
        </w:rPr>
        <w:t>及付款通知书</w:t>
      </w:r>
      <w:r>
        <w:rPr>
          <w:rFonts w:hint="eastAsia"/>
          <w:color w:val="auto"/>
          <w:sz w:val="24"/>
          <w:highlight w:val="none"/>
        </w:rPr>
        <w:t>。</w:t>
      </w:r>
    </w:p>
    <w:p>
      <w:pPr>
        <w:spacing w:line="360" w:lineRule="auto"/>
        <w:ind w:firstLine="480" w:firstLineChars="200"/>
        <w:rPr>
          <w:color w:val="auto"/>
          <w:sz w:val="24"/>
          <w:highlight w:val="none"/>
        </w:rPr>
      </w:pPr>
      <w:r>
        <w:rPr>
          <w:color w:val="auto"/>
          <w:sz w:val="24"/>
          <w:highlight w:val="none"/>
        </w:rPr>
        <w:t>2）</w:t>
      </w:r>
      <w:r>
        <w:rPr>
          <w:rFonts w:hint="eastAsia"/>
          <w:color w:val="auto"/>
          <w:sz w:val="24"/>
          <w:highlight w:val="none"/>
          <w:lang w:val="en-US" w:eastAsia="zh-CN"/>
        </w:rPr>
        <w:t>乙方完成合同约定服务内容，</w:t>
      </w:r>
      <w:r>
        <w:rPr>
          <w:color w:val="auto"/>
          <w:sz w:val="24"/>
          <w:highlight w:val="none"/>
        </w:rPr>
        <w:t>甲方应在</w:t>
      </w:r>
      <w:r>
        <w:rPr>
          <w:rFonts w:hint="eastAsia"/>
          <w:color w:val="auto"/>
          <w:sz w:val="24"/>
          <w:highlight w:val="none"/>
          <w:u w:val="single"/>
          <w:lang w:val="en-US" w:eastAsia="zh-CN"/>
        </w:rPr>
        <w:t xml:space="preserve">   </w:t>
      </w:r>
      <w:r>
        <w:rPr>
          <w:color w:val="auto"/>
          <w:sz w:val="24"/>
          <w:highlight w:val="none"/>
        </w:rPr>
        <w:t>年</w:t>
      </w:r>
      <w:r>
        <w:rPr>
          <w:rFonts w:hint="eastAsia"/>
          <w:color w:val="auto"/>
          <w:sz w:val="24"/>
          <w:highlight w:val="none"/>
          <w:u w:val="single"/>
          <w:lang w:val="en-US" w:eastAsia="zh-CN"/>
        </w:rPr>
        <w:t xml:space="preserve">  </w:t>
      </w:r>
      <w:r>
        <w:rPr>
          <w:color w:val="auto"/>
          <w:sz w:val="24"/>
          <w:highlight w:val="none"/>
        </w:rPr>
        <w:t>月</w:t>
      </w:r>
      <w:r>
        <w:rPr>
          <w:rFonts w:hint="eastAsia"/>
          <w:color w:val="auto"/>
          <w:sz w:val="24"/>
          <w:highlight w:val="none"/>
          <w:u w:val="single"/>
          <w:lang w:val="en-US" w:eastAsia="zh-CN"/>
        </w:rPr>
        <w:t xml:space="preserve">  </w:t>
      </w:r>
      <w:r>
        <w:rPr>
          <w:color w:val="auto"/>
          <w:sz w:val="24"/>
          <w:highlight w:val="none"/>
        </w:rPr>
        <w:t>日之前</w:t>
      </w:r>
      <w:r>
        <w:rPr>
          <w:rFonts w:hint="eastAsia"/>
          <w:color w:val="auto"/>
          <w:sz w:val="24"/>
          <w:highlight w:val="none"/>
          <w:lang w:eastAsia="zh-CN"/>
        </w:rPr>
        <w:t>（</w:t>
      </w:r>
      <w:r>
        <w:rPr>
          <w:rFonts w:hint="eastAsia"/>
          <w:color w:val="auto"/>
          <w:sz w:val="24"/>
          <w:highlight w:val="none"/>
          <w:lang w:val="en-US" w:eastAsia="zh-CN"/>
        </w:rPr>
        <w:t>合同签订之日起12个月内</w:t>
      </w:r>
      <w:r>
        <w:rPr>
          <w:rFonts w:hint="eastAsia"/>
          <w:color w:val="auto"/>
          <w:sz w:val="24"/>
          <w:highlight w:val="none"/>
          <w:lang w:eastAsia="zh-CN"/>
        </w:rPr>
        <w:t>）</w:t>
      </w:r>
      <w:r>
        <w:rPr>
          <w:color w:val="auto"/>
          <w:sz w:val="24"/>
          <w:highlight w:val="none"/>
        </w:rPr>
        <w:t>支付剩余</w:t>
      </w:r>
      <w:r>
        <w:rPr>
          <w:rFonts w:hint="eastAsia"/>
          <w:color w:val="auto"/>
          <w:sz w:val="24"/>
          <w:highlight w:val="none"/>
          <w:lang w:val="en-US" w:eastAsia="zh-CN"/>
        </w:rPr>
        <w:t>50%</w:t>
      </w:r>
      <w:r>
        <w:rPr>
          <w:color w:val="auto"/>
          <w:sz w:val="24"/>
          <w:highlight w:val="none"/>
        </w:rPr>
        <w:t>法律顾问费</w:t>
      </w:r>
      <w:r>
        <w:rPr>
          <w:rFonts w:hint="eastAsia"/>
          <w:color w:val="auto"/>
          <w:sz w:val="24"/>
          <w:highlight w:val="none"/>
        </w:rPr>
        <w:t>¥</w:t>
      </w:r>
      <w:r>
        <w:rPr>
          <w:rFonts w:hint="eastAsia"/>
          <w:color w:val="auto"/>
          <w:sz w:val="24"/>
          <w:highlight w:val="none"/>
          <w:u w:val="single"/>
          <w:lang w:val="en-US" w:eastAsia="zh-CN"/>
        </w:rPr>
        <w:t xml:space="preserve">     </w:t>
      </w:r>
      <w:r>
        <w:rPr>
          <w:color w:val="auto"/>
          <w:sz w:val="24"/>
          <w:highlight w:val="none"/>
        </w:rPr>
        <w:t>元（</w:t>
      </w:r>
      <w:r>
        <w:rPr>
          <w:rFonts w:hint="eastAsia"/>
          <w:color w:val="auto"/>
          <w:sz w:val="24"/>
          <w:highlight w:val="none"/>
        </w:rPr>
        <w:t>人民币</w:t>
      </w:r>
      <w:r>
        <w:rPr>
          <w:color w:val="auto"/>
          <w:sz w:val="24"/>
          <w:highlight w:val="none"/>
        </w:rPr>
        <w:t>大写：</w:t>
      </w:r>
      <w:r>
        <w:rPr>
          <w:rFonts w:hint="eastAsia"/>
          <w:color w:val="auto"/>
          <w:sz w:val="24"/>
          <w:highlight w:val="none"/>
          <w:u w:val="single"/>
          <w:lang w:val="en-US" w:eastAsia="zh-CN"/>
        </w:rPr>
        <w:t xml:space="preserve">    </w:t>
      </w:r>
      <w:r>
        <w:rPr>
          <w:color w:val="auto"/>
          <w:sz w:val="24"/>
          <w:highlight w:val="none"/>
        </w:rPr>
        <w:t>），至乙方账户，乙方</w:t>
      </w:r>
      <w:r>
        <w:rPr>
          <w:rFonts w:hint="eastAsia"/>
          <w:color w:val="auto"/>
          <w:sz w:val="24"/>
          <w:highlight w:val="none"/>
          <w:lang w:eastAsia="zh-CN"/>
        </w:rPr>
        <w:t>需在此笔费用付款前为</w:t>
      </w:r>
      <w:r>
        <w:rPr>
          <w:color w:val="auto"/>
          <w:sz w:val="24"/>
          <w:highlight w:val="none"/>
        </w:rPr>
        <w:t>甲方开具相应金额的增值税专用发票</w:t>
      </w:r>
      <w:r>
        <w:rPr>
          <w:rFonts w:hint="eastAsia"/>
          <w:color w:val="auto"/>
          <w:sz w:val="24"/>
          <w:highlight w:val="none"/>
          <w:lang w:val="en-US" w:eastAsia="zh-CN"/>
        </w:rPr>
        <w:t>及付款通知书</w:t>
      </w:r>
      <w:r>
        <w:rPr>
          <w:color w:val="auto"/>
          <w:sz w:val="24"/>
          <w:highlight w:val="none"/>
        </w:rPr>
        <w:t>。</w:t>
      </w:r>
    </w:p>
    <w:p>
      <w:pPr>
        <w:spacing w:line="360" w:lineRule="auto"/>
        <w:ind w:firstLine="480" w:firstLineChars="200"/>
        <w:rPr>
          <w:color w:val="auto"/>
          <w:sz w:val="24"/>
          <w:highlight w:val="none"/>
        </w:rPr>
      </w:pPr>
      <w:r>
        <w:rPr>
          <w:color w:val="auto"/>
          <w:sz w:val="24"/>
          <w:highlight w:val="none"/>
        </w:rPr>
        <w:t>3.乙方律师办理甲方委托事项所发生的下列工作费用，应由甲方承担：</w:t>
      </w:r>
    </w:p>
    <w:p>
      <w:pPr>
        <w:spacing w:line="360" w:lineRule="auto"/>
        <w:ind w:firstLine="480" w:firstLineChars="200"/>
        <w:rPr>
          <w:color w:val="auto"/>
          <w:sz w:val="24"/>
          <w:highlight w:val="none"/>
        </w:rPr>
      </w:pPr>
      <w:r>
        <w:rPr>
          <w:color w:val="auto"/>
          <w:sz w:val="24"/>
          <w:highlight w:val="none"/>
        </w:rPr>
        <w:t>1）相关行政、司法、鉴定、公证等部门收取的费用；</w:t>
      </w:r>
    </w:p>
    <w:p>
      <w:pPr>
        <w:spacing w:line="360" w:lineRule="auto"/>
        <w:ind w:firstLine="480" w:firstLineChars="200"/>
        <w:rPr>
          <w:color w:val="auto"/>
          <w:sz w:val="24"/>
          <w:highlight w:val="none"/>
        </w:rPr>
      </w:pPr>
      <w:r>
        <w:rPr>
          <w:color w:val="auto"/>
          <w:sz w:val="24"/>
          <w:highlight w:val="none"/>
        </w:rPr>
        <w:t>2）北京市外发生的</w:t>
      </w:r>
      <w:r>
        <w:rPr>
          <w:rFonts w:hint="eastAsia"/>
          <w:color w:val="auto"/>
          <w:sz w:val="24"/>
          <w:highlight w:val="none"/>
        </w:rPr>
        <w:t>城际交通费</w:t>
      </w:r>
      <w:r>
        <w:rPr>
          <w:color w:val="auto"/>
          <w:sz w:val="24"/>
          <w:highlight w:val="none"/>
        </w:rPr>
        <w:t>、</w:t>
      </w:r>
      <w:r>
        <w:rPr>
          <w:rFonts w:hint="eastAsia"/>
          <w:color w:val="auto"/>
          <w:sz w:val="24"/>
          <w:highlight w:val="none"/>
        </w:rPr>
        <w:t>住宿</w:t>
      </w:r>
      <w:r>
        <w:rPr>
          <w:color w:val="auto"/>
          <w:sz w:val="24"/>
          <w:highlight w:val="none"/>
        </w:rPr>
        <w:t>费按照</w:t>
      </w:r>
      <w:r>
        <w:rPr>
          <w:rFonts w:hint="eastAsia"/>
          <w:color w:val="auto"/>
          <w:sz w:val="24"/>
          <w:highlight w:val="none"/>
        </w:rPr>
        <w:t>《中国煤炭开发有限责任公司差旅费支出管理办法》（中煤开发财〔202</w:t>
      </w:r>
      <w:r>
        <w:rPr>
          <w:rFonts w:hint="eastAsia"/>
          <w:color w:val="auto"/>
          <w:sz w:val="24"/>
          <w:highlight w:val="none"/>
          <w:lang w:val="en-US" w:eastAsia="zh-CN"/>
        </w:rPr>
        <w:t>4</w:t>
      </w:r>
      <w:r>
        <w:rPr>
          <w:rFonts w:hint="eastAsia"/>
          <w:color w:val="auto"/>
          <w:sz w:val="24"/>
          <w:highlight w:val="none"/>
        </w:rPr>
        <w:t>〕</w:t>
      </w:r>
      <w:r>
        <w:rPr>
          <w:rFonts w:hint="eastAsia"/>
          <w:color w:val="auto"/>
          <w:sz w:val="24"/>
          <w:highlight w:val="none"/>
          <w:lang w:val="en-US" w:eastAsia="zh-CN"/>
        </w:rPr>
        <w:t>110</w:t>
      </w:r>
      <w:r>
        <w:rPr>
          <w:rFonts w:hint="eastAsia"/>
          <w:color w:val="auto"/>
          <w:sz w:val="24"/>
          <w:highlight w:val="none"/>
        </w:rPr>
        <w:t xml:space="preserve"> 号）有关</w:t>
      </w:r>
      <w:r>
        <w:rPr>
          <w:color w:val="auto"/>
          <w:sz w:val="24"/>
          <w:highlight w:val="none"/>
        </w:rPr>
        <w:t>标准</w:t>
      </w:r>
      <w:r>
        <w:rPr>
          <w:rFonts w:hint="eastAsia"/>
          <w:color w:val="auto"/>
          <w:sz w:val="24"/>
          <w:highlight w:val="none"/>
        </w:rPr>
        <w:t>（详见下表）</w:t>
      </w:r>
      <w:r>
        <w:rPr>
          <w:color w:val="auto"/>
          <w:sz w:val="24"/>
          <w:highlight w:val="none"/>
        </w:rPr>
        <w:t>执行，并提供相应发票：</w:t>
      </w:r>
    </w:p>
    <w:p>
      <w:pPr>
        <w:rPr>
          <w:color w:val="auto"/>
          <w:sz w:val="24"/>
          <w:highlight w:val="none"/>
        </w:rPr>
      </w:pPr>
      <w:r>
        <w:rPr>
          <w:color w:val="auto"/>
          <w:sz w:val="24"/>
          <w:highlight w:val="none"/>
        </w:rPr>
        <w:br w:type="page"/>
      </w:r>
    </w:p>
    <w:p>
      <w:pPr>
        <w:pStyle w:val="2"/>
      </w:pPr>
    </w:p>
    <w:p>
      <w:pPr>
        <w:pStyle w:val="10"/>
        <w:rPr>
          <w:color w:val="auto"/>
          <w:sz w:val="24"/>
          <w:highlight w:val="none"/>
        </w:rPr>
      </w:pPr>
    </w:p>
    <w:p>
      <w:pPr>
        <w:rPr>
          <w:highlight w:val="none"/>
        </w:rPr>
      </w:pPr>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
      <w:tblGrid>
        <w:gridCol w:w="992"/>
        <w:gridCol w:w="3124"/>
        <w:gridCol w:w="1419"/>
        <w:gridCol w:w="1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63" w:hRule="atLeast"/>
          <w:jc w:val="center"/>
        </w:trPr>
        <w:tc>
          <w:tcPr>
            <w:tcW w:w="7315" w:type="dxa"/>
            <w:gridSpan w:val="4"/>
            <w:shd w:val="clear" w:color="auto" w:fill="FFFFFF"/>
            <w:vAlign w:val="center"/>
          </w:tcPr>
          <w:p>
            <w:pPr>
              <w:keepNext w:val="0"/>
              <w:keepLines w:val="0"/>
              <w:pageBreakBefore w:val="0"/>
              <w:widowControl w:val="0"/>
              <w:tabs>
                <w:tab w:val="left" w:pos="2655"/>
              </w:tabs>
              <w:kinsoku/>
              <w:wordWrap/>
              <w:overflowPunct/>
              <w:topLinePunct w:val="0"/>
              <w:autoSpaceDE w:val="0"/>
              <w:autoSpaceDN w:val="0"/>
              <w:bidi w:val="0"/>
              <w:adjustRightInd w:val="0"/>
              <w:snapToGrid w:val="0"/>
              <w:spacing w:line="300" w:lineRule="exact"/>
              <w:jc w:val="center"/>
              <w:textAlignment w:val="auto"/>
              <w:rPr>
                <w:rFonts w:eastAsia="黑体"/>
                <w:color w:val="auto"/>
                <w:kern w:val="0"/>
                <w:szCs w:val="21"/>
                <w:highlight w:val="none"/>
              </w:rPr>
            </w:pPr>
            <w:r>
              <w:rPr>
                <w:rFonts w:eastAsia="黑体"/>
                <w:color w:val="auto"/>
                <w:kern w:val="0"/>
                <w:szCs w:val="21"/>
                <w:highlight w:val="none"/>
              </w:rPr>
              <w:t>城际交通费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jc w:val="center"/>
        </w:trPr>
        <w:tc>
          <w:tcPr>
            <w:tcW w:w="992" w:type="dxa"/>
            <w:shd w:val="clear" w:color="auto" w:fill="FFFFFF"/>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firstLine="0" w:firstLineChars="0"/>
              <w:jc w:val="both"/>
              <w:textAlignment w:val="auto"/>
              <w:rPr>
                <w:color w:val="auto"/>
                <w:kern w:val="0"/>
                <w:szCs w:val="21"/>
                <w:highlight w:val="none"/>
                <w:lang w:val="zh-CN"/>
              </w:rPr>
            </w:pPr>
            <w:r>
              <w:rPr>
                <w:color w:val="auto"/>
                <w:kern w:val="0"/>
                <w:szCs w:val="21"/>
                <w:highlight w:val="none"/>
                <w:lang w:val="zh-CN"/>
              </w:rPr>
              <w:t>飞机</w:t>
            </w:r>
          </w:p>
        </w:tc>
        <w:tc>
          <w:tcPr>
            <w:tcW w:w="3124" w:type="dxa"/>
            <w:shd w:val="clear" w:color="auto" w:fill="FFFFFF"/>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firstLine="0" w:firstLineChars="0"/>
              <w:jc w:val="left"/>
              <w:textAlignment w:val="auto"/>
              <w:rPr>
                <w:color w:val="auto"/>
                <w:kern w:val="0"/>
                <w:szCs w:val="21"/>
                <w:highlight w:val="none"/>
                <w:lang w:val="zh-CN"/>
              </w:rPr>
            </w:pPr>
            <w:r>
              <w:rPr>
                <w:color w:val="auto"/>
                <w:kern w:val="0"/>
                <w:szCs w:val="21"/>
                <w:highlight w:val="none"/>
                <w:lang w:val="zh-CN"/>
              </w:rPr>
              <w:t>火车（包括动车、高铁）</w:t>
            </w:r>
          </w:p>
        </w:tc>
        <w:tc>
          <w:tcPr>
            <w:tcW w:w="1419" w:type="dxa"/>
            <w:shd w:val="clear" w:color="auto" w:fill="FFFFFF"/>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firstLine="0" w:firstLineChars="0"/>
              <w:jc w:val="left"/>
              <w:textAlignment w:val="auto"/>
              <w:rPr>
                <w:color w:val="auto"/>
                <w:kern w:val="0"/>
                <w:szCs w:val="21"/>
                <w:highlight w:val="none"/>
                <w:lang w:val="zh-CN"/>
              </w:rPr>
            </w:pPr>
            <w:r>
              <w:rPr>
                <w:color w:val="auto"/>
                <w:kern w:val="0"/>
                <w:szCs w:val="21"/>
                <w:highlight w:val="none"/>
                <w:lang w:val="zh-CN"/>
              </w:rPr>
              <w:t>轮船（不包括旅游船）</w:t>
            </w:r>
          </w:p>
        </w:tc>
        <w:tc>
          <w:tcPr>
            <w:tcW w:w="1780" w:type="dxa"/>
            <w:shd w:val="clear" w:color="auto" w:fill="FFFFFF"/>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firstLine="0" w:firstLineChars="0"/>
              <w:jc w:val="left"/>
              <w:textAlignment w:val="auto"/>
              <w:rPr>
                <w:color w:val="auto"/>
                <w:kern w:val="0"/>
                <w:szCs w:val="21"/>
                <w:highlight w:val="none"/>
                <w:lang w:val="zh-CN"/>
              </w:rPr>
            </w:pPr>
            <w:r>
              <w:rPr>
                <w:color w:val="auto"/>
                <w:kern w:val="0"/>
                <w:szCs w:val="21"/>
                <w:highlight w:val="none"/>
                <w:lang w:val="zh-CN"/>
              </w:rPr>
              <w:t>其他交通（不包括出租汽车）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jc w:val="center"/>
        </w:trPr>
        <w:tc>
          <w:tcPr>
            <w:tcW w:w="992" w:type="dxa"/>
            <w:shd w:val="clear" w:color="auto" w:fill="FFFFFF"/>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firstLine="0" w:firstLineChars="0"/>
              <w:jc w:val="both"/>
              <w:textAlignment w:val="auto"/>
              <w:rPr>
                <w:color w:val="auto"/>
                <w:kern w:val="0"/>
                <w:szCs w:val="21"/>
                <w:highlight w:val="none"/>
              </w:rPr>
            </w:pPr>
            <w:r>
              <w:rPr>
                <w:color w:val="auto"/>
                <w:kern w:val="0"/>
                <w:szCs w:val="21"/>
                <w:highlight w:val="none"/>
              </w:rPr>
              <w:t>经济舱</w:t>
            </w:r>
          </w:p>
        </w:tc>
        <w:tc>
          <w:tcPr>
            <w:tcW w:w="3124" w:type="dxa"/>
            <w:shd w:val="clear" w:color="auto" w:fill="FFFFFF"/>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firstLine="0" w:firstLineChars="0"/>
              <w:jc w:val="left"/>
              <w:textAlignment w:val="auto"/>
              <w:rPr>
                <w:color w:val="auto"/>
                <w:kern w:val="0"/>
                <w:szCs w:val="21"/>
                <w:highlight w:val="none"/>
                <w:lang w:val="zh-CN"/>
              </w:rPr>
            </w:pPr>
            <w:r>
              <w:rPr>
                <w:rFonts w:hint="eastAsia"/>
                <w:color w:val="auto"/>
                <w:kern w:val="0"/>
                <w:szCs w:val="21"/>
                <w:highlight w:val="none"/>
                <w:lang w:val="zh-CN"/>
              </w:rPr>
              <w:t>硬席（硬座、硬卧）、高铁/动车二等座、全列软席列车二等座（软座、软卧）</w:t>
            </w:r>
          </w:p>
        </w:tc>
        <w:tc>
          <w:tcPr>
            <w:tcW w:w="1419" w:type="dxa"/>
            <w:shd w:val="clear" w:color="auto" w:fill="FFFFFF"/>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firstLine="0" w:firstLineChars="0"/>
              <w:jc w:val="both"/>
              <w:textAlignment w:val="auto"/>
              <w:rPr>
                <w:color w:val="auto"/>
                <w:kern w:val="0"/>
                <w:szCs w:val="21"/>
                <w:highlight w:val="none"/>
                <w:lang w:val="zh-CN"/>
              </w:rPr>
            </w:pPr>
            <w:r>
              <w:rPr>
                <w:color w:val="auto"/>
                <w:kern w:val="0"/>
                <w:szCs w:val="21"/>
                <w:highlight w:val="none"/>
                <w:lang w:val="zh-CN"/>
              </w:rPr>
              <w:t>三等舱</w:t>
            </w:r>
          </w:p>
        </w:tc>
        <w:tc>
          <w:tcPr>
            <w:tcW w:w="1780" w:type="dxa"/>
            <w:shd w:val="clear" w:color="auto" w:fill="FFFFFF"/>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firstLine="0" w:firstLineChars="0"/>
              <w:jc w:val="both"/>
              <w:textAlignment w:val="auto"/>
              <w:rPr>
                <w:color w:val="auto"/>
                <w:kern w:val="0"/>
                <w:szCs w:val="21"/>
                <w:highlight w:val="none"/>
                <w:lang w:val="zh-CN"/>
              </w:rPr>
            </w:pPr>
            <w:r>
              <w:rPr>
                <w:rFonts w:hint="eastAsia"/>
                <w:color w:val="auto"/>
                <w:kern w:val="0"/>
                <w:szCs w:val="21"/>
                <w:highlight w:val="none"/>
              </w:rPr>
              <w:t>事先征得甲方同意后</w:t>
            </w:r>
            <w:r>
              <w:rPr>
                <w:color w:val="auto"/>
                <w:kern w:val="0"/>
                <w:szCs w:val="21"/>
                <w:highlight w:val="none"/>
                <w:lang w:val="zh-CN"/>
              </w:rPr>
              <w:t>凭据报销</w:t>
            </w:r>
          </w:p>
        </w:tc>
      </w:tr>
    </w:tbl>
    <w:p>
      <w:pPr>
        <w:keepNext w:val="0"/>
        <w:keepLines w:val="0"/>
        <w:pageBreakBefore w:val="0"/>
        <w:widowControl w:val="0"/>
        <w:kinsoku/>
        <w:wordWrap/>
        <w:overflowPunct/>
        <w:topLinePunct w:val="0"/>
        <w:bidi w:val="0"/>
        <w:adjustRightInd w:val="0"/>
        <w:snapToGrid w:val="0"/>
        <w:spacing w:line="300" w:lineRule="exact"/>
        <w:ind w:firstLine="480" w:firstLineChars="200"/>
        <w:textAlignment w:val="auto"/>
        <w:rPr>
          <w:color w:val="auto"/>
          <w:sz w:val="24"/>
          <w:highlight w:val="none"/>
        </w:rPr>
      </w:pPr>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
      <w:tblGrid>
        <w:gridCol w:w="1733"/>
        <w:gridCol w:w="2446"/>
        <w:gridCol w:w="31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98" w:hRule="atLeast"/>
          <w:jc w:val="center"/>
        </w:trPr>
        <w:tc>
          <w:tcPr>
            <w:tcW w:w="7315" w:type="dxa"/>
            <w:gridSpan w:val="3"/>
            <w:shd w:val="clear" w:color="auto" w:fill="FFFFFF"/>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jc w:val="center"/>
              <w:textAlignment w:val="auto"/>
              <w:rPr>
                <w:color w:val="auto"/>
                <w:kern w:val="0"/>
                <w:szCs w:val="21"/>
                <w:highlight w:val="none"/>
              </w:rPr>
            </w:pPr>
            <w:r>
              <w:rPr>
                <w:rFonts w:eastAsia="黑体"/>
                <w:color w:val="auto"/>
                <w:kern w:val="0"/>
                <w:szCs w:val="21"/>
                <w:highlight w:val="none"/>
                <w:lang w:val="zh-CN"/>
              </w:rPr>
              <w:t>住宿费限额标准</w:t>
            </w:r>
            <w:r>
              <w:rPr>
                <w:rFonts w:hint="eastAsia" w:eastAsia="黑体"/>
                <w:color w:val="auto"/>
                <w:kern w:val="0"/>
                <w:szCs w:val="21"/>
                <w:highlight w:val="none"/>
                <w:lang w:val="zh-CN"/>
              </w:rPr>
              <w:t>（每人每天）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782" w:hRule="atLeast"/>
          <w:jc w:val="center"/>
        </w:trPr>
        <w:tc>
          <w:tcPr>
            <w:tcW w:w="1733" w:type="dxa"/>
            <w:shd w:val="clear" w:color="auto" w:fill="FFFFFF"/>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firstLine="0" w:firstLineChars="0"/>
              <w:jc w:val="both"/>
              <w:textAlignment w:val="auto"/>
              <w:rPr>
                <w:color w:val="auto"/>
                <w:kern w:val="0"/>
                <w:szCs w:val="21"/>
                <w:highlight w:val="none"/>
                <w:lang w:val="zh-CN"/>
              </w:rPr>
            </w:pPr>
            <w:r>
              <w:rPr>
                <w:color w:val="auto"/>
                <w:kern w:val="0"/>
                <w:szCs w:val="21"/>
                <w:highlight w:val="none"/>
                <w:lang w:val="zh-CN"/>
              </w:rPr>
              <w:t>一般地区</w:t>
            </w:r>
          </w:p>
        </w:tc>
        <w:tc>
          <w:tcPr>
            <w:tcW w:w="2446" w:type="dxa"/>
            <w:shd w:val="clear" w:color="auto" w:fill="FFFFFF"/>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firstLine="0" w:firstLineChars="0"/>
              <w:jc w:val="both"/>
              <w:textAlignment w:val="auto"/>
              <w:rPr>
                <w:color w:val="auto"/>
                <w:kern w:val="0"/>
                <w:szCs w:val="21"/>
                <w:highlight w:val="none"/>
                <w:lang w:val="zh-CN"/>
              </w:rPr>
            </w:pPr>
            <w:r>
              <w:rPr>
                <w:color w:val="auto"/>
                <w:kern w:val="0"/>
                <w:szCs w:val="21"/>
                <w:highlight w:val="none"/>
                <w:lang w:val="zh-CN"/>
              </w:rPr>
              <w:t>特殊地区</w:t>
            </w:r>
            <w:r>
              <w:rPr>
                <w:color w:val="auto"/>
                <w:kern w:val="0"/>
                <w:szCs w:val="21"/>
                <w:highlight w:val="none"/>
              </w:rPr>
              <w:t xml:space="preserve"> (</w:t>
            </w:r>
            <w:r>
              <w:rPr>
                <w:rFonts w:hint="eastAsia"/>
                <w:color w:val="auto"/>
                <w:kern w:val="0"/>
                <w:szCs w:val="21"/>
                <w:highlight w:val="none"/>
                <w:lang w:val="zh-CN"/>
              </w:rPr>
              <w:t>直辖市、省会、计划单列市</w:t>
            </w:r>
            <w:r>
              <w:rPr>
                <w:color w:val="auto"/>
                <w:kern w:val="0"/>
                <w:szCs w:val="21"/>
                <w:highlight w:val="none"/>
              </w:rPr>
              <w:t>)</w:t>
            </w:r>
          </w:p>
        </w:tc>
        <w:tc>
          <w:tcPr>
            <w:tcW w:w="3136" w:type="dxa"/>
            <w:shd w:val="clear" w:color="auto" w:fill="FFFFFF"/>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firstLine="0" w:firstLineChars="0"/>
              <w:jc w:val="both"/>
              <w:textAlignment w:val="auto"/>
              <w:rPr>
                <w:color w:val="auto"/>
                <w:kern w:val="0"/>
                <w:szCs w:val="21"/>
                <w:highlight w:val="none"/>
                <w:lang w:val="zh-CN"/>
              </w:rPr>
            </w:pPr>
            <w:r>
              <w:rPr>
                <w:color w:val="auto"/>
                <w:kern w:val="0"/>
                <w:szCs w:val="21"/>
                <w:highlight w:val="none"/>
                <w:lang w:val="zh-CN"/>
              </w:rPr>
              <w:t>重大</w:t>
            </w:r>
            <w:r>
              <w:rPr>
                <w:rFonts w:hint="eastAsia"/>
                <w:color w:val="auto"/>
                <w:kern w:val="0"/>
                <w:szCs w:val="21"/>
                <w:highlight w:val="none"/>
              </w:rPr>
              <w:t>法律工作</w:t>
            </w:r>
            <w:r>
              <w:rPr>
                <w:color w:val="auto"/>
                <w:kern w:val="0"/>
                <w:szCs w:val="21"/>
                <w:highlight w:val="none"/>
                <w:lang w:val="zh-CN"/>
              </w:rPr>
              <w:t>（如重要谈判、签约、招投标等）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54" w:hRule="atLeast"/>
          <w:jc w:val="center"/>
        </w:trPr>
        <w:tc>
          <w:tcPr>
            <w:tcW w:w="1733" w:type="dxa"/>
            <w:shd w:val="clear" w:color="auto" w:fill="FFFFFF"/>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firstLine="0" w:firstLineChars="0"/>
              <w:jc w:val="both"/>
              <w:textAlignment w:val="auto"/>
              <w:rPr>
                <w:color w:val="auto"/>
                <w:kern w:val="0"/>
                <w:szCs w:val="21"/>
                <w:highlight w:val="none"/>
              </w:rPr>
            </w:pPr>
            <w:r>
              <w:rPr>
                <w:rFonts w:hint="eastAsia"/>
                <w:color w:val="auto"/>
                <w:kern w:val="0"/>
                <w:szCs w:val="21"/>
                <w:highlight w:val="none"/>
                <w:lang w:val="en-US" w:eastAsia="zh-CN"/>
              </w:rPr>
              <w:t>50</w:t>
            </w:r>
            <w:r>
              <w:rPr>
                <w:color w:val="auto"/>
                <w:kern w:val="0"/>
                <w:szCs w:val="21"/>
                <w:highlight w:val="none"/>
              </w:rPr>
              <w:t>0元</w:t>
            </w:r>
          </w:p>
        </w:tc>
        <w:tc>
          <w:tcPr>
            <w:tcW w:w="2446" w:type="dxa"/>
            <w:shd w:val="clear" w:color="auto" w:fill="FFFFFF"/>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firstLine="0" w:firstLineChars="0"/>
              <w:jc w:val="both"/>
              <w:textAlignment w:val="auto"/>
              <w:rPr>
                <w:color w:val="auto"/>
                <w:kern w:val="0"/>
                <w:szCs w:val="21"/>
                <w:highlight w:val="none"/>
                <w:lang w:val="zh-CN"/>
              </w:rPr>
            </w:pPr>
            <w:r>
              <w:rPr>
                <w:rFonts w:hint="eastAsia"/>
                <w:color w:val="auto"/>
                <w:kern w:val="0"/>
                <w:szCs w:val="21"/>
                <w:highlight w:val="none"/>
                <w:lang w:val="en-US" w:eastAsia="zh-CN"/>
              </w:rPr>
              <w:t>7</w:t>
            </w:r>
            <w:r>
              <w:rPr>
                <w:color w:val="auto"/>
                <w:kern w:val="0"/>
                <w:szCs w:val="21"/>
                <w:highlight w:val="none"/>
              </w:rPr>
              <w:t>00元</w:t>
            </w:r>
          </w:p>
        </w:tc>
        <w:tc>
          <w:tcPr>
            <w:tcW w:w="3136" w:type="dxa"/>
            <w:shd w:val="clear" w:color="auto" w:fill="FFFFFF"/>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firstLine="0" w:firstLineChars="0"/>
              <w:jc w:val="both"/>
              <w:textAlignment w:val="auto"/>
              <w:rPr>
                <w:color w:val="auto"/>
                <w:kern w:val="0"/>
                <w:szCs w:val="21"/>
                <w:highlight w:val="none"/>
                <w:lang w:val="zh-CN"/>
              </w:rPr>
            </w:pPr>
            <w:r>
              <w:rPr>
                <w:rFonts w:hint="eastAsia"/>
                <w:color w:val="auto"/>
                <w:kern w:val="0"/>
                <w:szCs w:val="21"/>
                <w:highlight w:val="none"/>
                <w:lang w:val="en-US" w:eastAsia="zh-CN"/>
              </w:rPr>
              <w:t>8</w:t>
            </w:r>
            <w:r>
              <w:rPr>
                <w:color w:val="auto"/>
                <w:kern w:val="0"/>
                <w:szCs w:val="21"/>
                <w:highlight w:val="none"/>
              </w:rPr>
              <w:t>00元</w:t>
            </w:r>
          </w:p>
        </w:tc>
      </w:tr>
    </w:tbl>
    <w:p>
      <w:pPr>
        <w:spacing w:line="360" w:lineRule="auto"/>
        <w:ind w:firstLine="480" w:firstLineChars="200"/>
        <w:rPr>
          <w:rFonts w:hint="eastAsia"/>
          <w:color w:val="auto"/>
          <w:sz w:val="24"/>
          <w:highlight w:val="none"/>
          <w:lang w:val="zh-CN"/>
        </w:rPr>
      </w:pPr>
      <w:r>
        <w:rPr>
          <w:rFonts w:hint="eastAsia"/>
          <w:color w:val="auto"/>
          <w:sz w:val="24"/>
          <w:highlight w:val="none"/>
        </w:rPr>
        <w:t>3）</w:t>
      </w:r>
      <w:r>
        <w:rPr>
          <w:color w:val="auto"/>
          <w:sz w:val="24"/>
          <w:highlight w:val="none"/>
        </w:rPr>
        <w:t>北京市外</w:t>
      </w:r>
      <w:r>
        <w:rPr>
          <w:color w:val="auto"/>
          <w:sz w:val="24"/>
          <w:highlight w:val="none"/>
          <w:lang w:val="zh-CN"/>
        </w:rPr>
        <w:t>发生的与业务相关的</w:t>
      </w:r>
      <w:r>
        <w:rPr>
          <w:color w:val="auto"/>
          <w:sz w:val="24"/>
          <w:highlight w:val="none"/>
        </w:rPr>
        <w:t>邮寄费</w:t>
      </w:r>
      <w:r>
        <w:rPr>
          <w:color w:val="auto"/>
          <w:sz w:val="24"/>
          <w:highlight w:val="none"/>
          <w:lang w:val="zh-CN"/>
        </w:rPr>
        <w:t>、复印费等，须注明用途和事由</w:t>
      </w:r>
      <w:r>
        <w:rPr>
          <w:rFonts w:hint="eastAsia"/>
          <w:color w:val="auto"/>
          <w:sz w:val="24"/>
          <w:highlight w:val="none"/>
          <w:lang w:val="zh-CN"/>
        </w:rPr>
        <w:t>。</w:t>
      </w:r>
    </w:p>
    <w:p>
      <w:pPr>
        <w:spacing w:line="360" w:lineRule="auto"/>
        <w:ind w:firstLine="480" w:firstLineChars="200"/>
        <w:rPr>
          <w:color w:val="auto"/>
          <w:sz w:val="24"/>
          <w:highlight w:val="none"/>
          <w:lang w:val="zh-CN"/>
        </w:rPr>
      </w:pPr>
      <w:r>
        <w:rPr>
          <w:rFonts w:hint="eastAsia"/>
          <w:color w:val="auto"/>
          <w:sz w:val="24"/>
          <w:highlight w:val="none"/>
        </w:rPr>
        <w:t>4）</w:t>
      </w:r>
      <w:r>
        <w:rPr>
          <w:color w:val="auto"/>
          <w:sz w:val="24"/>
          <w:highlight w:val="none"/>
          <w:lang w:val="zh-CN"/>
        </w:rPr>
        <w:t>餐费</w:t>
      </w:r>
      <w:r>
        <w:rPr>
          <w:rFonts w:hint="eastAsia"/>
          <w:color w:val="auto"/>
          <w:sz w:val="24"/>
          <w:highlight w:val="none"/>
          <w:lang w:val="en-US" w:eastAsia="zh-CN"/>
        </w:rPr>
        <w:t>及室内交通费</w:t>
      </w:r>
      <w:r>
        <w:rPr>
          <w:color w:val="auto"/>
          <w:sz w:val="24"/>
          <w:highlight w:val="none"/>
          <w:lang w:val="zh-CN"/>
        </w:rPr>
        <w:t>按照自然（日历）天数实行定额包干，</w:t>
      </w:r>
      <w:r>
        <w:rPr>
          <w:rFonts w:hint="eastAsia"/>
          <w:color w:val="auto"/>
          <w:sz w:val="24"/>
          <w:highlight w:val="none"/>
          <w:lang w:val="zh-CN"/>
        </w:rPr>
        <w:t>每人每天伙食补助费100元、市内交通费100元</w:t>
      </w:r>
      <w:r>
        <w:rPr>
          <w:color w:val="auto"/>
          <w:sz w:val="24"/>
          <w:highlight w:val="none"/>
          <w:lang w:val="zh-CN"/>
        </w:rPr>
        <w:t>。</w:t>
      </w:r>
    </w:p>
    <w:p>
      <w:pPr>
        <w:spacing w:line="360" w:lineRule="auto"/>
        <w:ind w:firstLine="480" w:firstLineChars="200"/>
        <w:rPr>
          <w:color w:val="auto"/>
          <w:sz w:val="24"/>
          <w:highlight w:val="none"/>
        </w:rPr>
      </w:pPr>
      <w:r>
        <w:rPr>
          <w:color w:val="auto"/>
          <w:sz w:val="24"/>
          <w:highlight w:val="none"/>
        </w:rPr>
        <w:t>4.如果发生第二条</w:t>
      </w:r>
      <w:r>
        <w:rPr>
          <w:rFonts w:hint="eastAsia"/>
          <w:color w:val="auto"/>
          <w:sz w:val="24"/>
          <w:highlight w:val="none"/>
          <w:lang w:eastAsia="zh-CN"/>
        </w:rPr>
        <w:t>（</w:t>
      </w:r>
      <w:r>
        <w:rPr>
          <w:rFonts w:hint="eastAsia"/>
          <w:color w:val="auto"/>
          <w:sz w:val="24"/>
          <w:highlight w:val="none"/>
          <w:lang w:val="en-US" w:eastAsia="zh-CN"/>
        </w:rPr>
        <w:t>五</w:t>
      </w:r>
      <w:r>
        <w:rPr>
          <w:rFonts w:hint="eastAsia"/>
          <w:color w:val="auto"/>
          <w:sz w:val="24"/>
          <w:highlight w:val="none"/>
          <w:lang w:eastAsia="zh-CN"/>
        </w:rPr>
        <w:t>）</w:t>
      </w:r>
      <w:r>
        <w:rPr>
          <w:rFonts w:hint="eastAsia"/>
          <w:color w:val="auto"/>
          <w:sz w:val="24"/>
          <w:highlight w:val="none"/>
        </w:rPr>
        <w:t>项法律纠纷的诉讼仲裁</w:t>
      </w:r>
      <w:r>
        <w:rPr>
          <w:rFonts w:hint="eastAsia"/>
          <w:color w:val="auto"/>
          <w:sz w:val="24"/>
          <w:highlight w:val="none"/>
          <w:lang w:eastAsia="zh-CN"/>
        </w:rPr>
        <w:t>出</w:t>
      </w:r>
      <w:r>
        <w:rPr>
          <w:rFonts w:hint="eastAsia"/>
          <w:color w:val="auto"/>
          <w:sz w:val="24"/>
          <w:highlight w:val="none"/>
        </w:rPr>
        <w:t>庭代理</w:t>
      </w:r>
      <w:r>
        <w:rPr>
          <w:rFonts w:hint="eastAsia"/>
          <w:color w:val="auto"/>
          <w:sz w:val="24"/>
          <w:highlight w:val="none"/>
          <w:lang w:val="en-US" w:eastAsia="zh-CN"/>
        </w:rPr>
        <w:t>或</w:t>
      </w:r>
      <w:r>
        <w:rPr>
          <w:color w:val="auto"/>
          <w:sz w:val="24"/>
          <w:highlight w:val="none"/>
        </w:rPr>
        <w:t>专项法律服务，甲方可另行</w:t>
      </w:r>
      <w:r>
        <w:rPr>
          <w:rFonts w:hint="eastAsia"/>
          <w:color w:val="auto"/>
          <w:sz w:val="24"/>
          <w:highlight w:val="none"/>
          <w:lang w:val="en-US" w:eastAsia="zh-CN"/>
        </w:rPr>
        <w:t>寻源</w:t>
      </w:r>
      <w:r>
        <w:rPr>
          <w:color w:val="auto"/>
          <w:sz w:val="24"/>
          <w:highlight w:val="none"/>
        </w:rPr>
        <w:t>，按照</w:t>
      </w:r>
      <w:r>
        <w:rPr>
          <w:rFonts w:hint="eastAsia"/>
          <w:color w:val="auto"/>
          <w:sz w:val="24"/>
          <w:highlight w:val="none"/>
          <w:lang w:val="en-US" w:eastAsia="zh-CN"/>
        </w:rPr>
        <w:t>寻源</w:t>
      </w:r>
      <w:r>
        <w:rPr>
          <w:color w:val="auto"/>
          <w:sz w:val="24"/>
          <w:highlight w:val="none"/>
        </w:rPr>
        <w:t>结果选取</w:t>
      </w:r>
      <w:r>
        <w:rPr>
          <w:rFonts w:hint="eastAsia"/>
          <w:color w:val="auto"/>
          <w:sz w:val="24"/>
          <w:highlight w:val="none"/>
        </w:rPr>
        <w:t>乙方或</w:t>
      </w:r>
      <w:r>
        <w:rPr>
          <w:color w:val="auto"/>
          <w:sz w:val="24"/>
          <w:highlight w:val="none"/>
        </w:rPr>
        <w:t>乙方以外的法律服务机构。若甲方直接委托乙方进行第二条</w:t>
      </w:r>
      <w:r>
        <w:rPr>
          <w:rFonts w:hint="eastAsia"/>
          <w:color w:val="auto"/>
          <w:sz w:val="24"/>
          <w:highlight w:val="none"/>
          <w:lang w:eastAsia="zh-CN"/>
        </w:rPr>
        <w:t>（</w:t>
      </w:r>
      <w:r>
        <w:rPr>
          <w:rFonts w:hint="eastAsia"/>
          <w:color w:val="auto"/>
          <w:sz w:val="24"/>
          <w:highlight w:val="none"/>
          <w:lang w:val="en-US" w:eastAsia="zh-CN"/>
        </w:rPr>
        <w:t>五</w:t>
      </w:r>
      <w:r>
        <w:rPr>
          <w:rFonts w:hint="eastAsia"/>
          <w:color w:val="auto"/>
          <w:sz w:val="24"/>
          <w:highlight w:val="none"/>
          <w:lang w:eastAsia="zh-CN"/>
        </w:rPr>
        <w:t>）</w:t>
      </w:r>
      <w:r>
        <w:rPr>
          <w:rFonts w:hint="eastAsia"/>
          <w:color w:val="auto"/>
          <w:sz w:val="24"/>
          <w:highlight w:val="none"/>
        </w:rPr>
        <w:t>项法律纠纷的诉讼仲裁</w:t>
      </w:r>
      <w:r>
        <w:rPr>
          <w:rFonts w:hint="eastAsia"/>
          <w:color w:val="auto"/>
          <w:sz w:val="24"/>
          <w:highlight w:val="none"/>
          <w:lang w:eastAsia="zh-CN"/>
        </w:rPr>
        <w:t>出</w:t>
      </w:r>
      <w:r>
        <w:rPr>
          <w:rFonts w:hint="eastAsia"/>
          <w:color w:val="auto"/>
          <w:sz w:val="24"/>
          <w:highlight w:val="none"/>
        </w:rPr>
        <w:t>庭代理或</w:t>
      </w:r>
      <w:r>
        <w:rPr>
          <w:color w:val="auto"/>
          <w:sz w:val="24"/>
          <w:highlight w:val="none"/>
        </w:rPr>
        <w:t>专项法律服务，甲方应同乙方另行办理委托手续，并须另行向乙方支付律师费，乙方则应按同类收费标准给予优惠。</w:t>
      </w:r>
    </w:p>
    <w:p>
      <w:pPr>
        <w:spacing w:line="360" w:lineRule="auto"/>
        <w:ind w:firstLine="480" w:firstLineChars="200"/>
        <w:rPr>
          <w:rFonts w:eastAsia="宋体"/>
          <w:b w:val="0"/>
          <w:bCs w:val="0"/>
          <w:color w:val="auto"/>
          <w:sz w:val="24"/>
          <w:szCs w:val="20"/>
          <w:highlight w:val="none"/>
        </w:rPr>
      </w:pPr>
      <w:r>
        <w:rPr>
          <w:rFonts w:hint="eastAsia"/>
          <w:b w:val="0"/>
          <w:bCs w:val="0"/>
          <w:color w:val="auto"/>
          <w:sz w:val="24"/>
          <w:szCs w:val="20"/>
          <w:highlight w:val="none"/>
          <w:lang w:val="en-US" w:eastAsia="zh-CN"/>
        </w:rPr>
        <w:t>六</w:t>
      </w:r>
      <w:r>
        <w:rPr>
          <w:rFonts w:hint="eastAsia"/>
          <w:b w:val="0"/>
          <w:bCs w:val="0"/>
          <w:color w:val="auto"/>
          <w:sz w:val="24"/>
          <w:szCs w:val="20"/>
          <w:highlight w:val="none"/>
          <w:lang w:eastAsia="zh-CN"/>
        </w:rPr>
        <w:t>、</w:t>
      </w:r>
      <w:r>
        <w:rPr>
          <w:rFonts w:hint="default" w:eastAsia="宋体"/>
          <w:b w:val="0"/>
          <w:bCs w:val="0"/>
          <w:color w:val="auto"/>
          <w:sz w:val="24"/>
          <w:szCs w:val="20"/>
          <w:highlight w:val="none"/>
        </w:rPr>
        <w:t xml:space="preserve"> 合同的变更与解除</w:t>
      </w:r>
    </w:p>
    <w:p>
      <w:pPr>
        <w:spacing w:line="360" w:lineRule="auto"/>
        <w:ind w:firstLine="480" w:firstLineChars="200"/>
        <w:rPr>
          <w:rFonts w:hint="default" w:eastAsia="宋体"/>
          <w:color w:val="auto"/>
          <w:sz w:val="24"/>
          <w:szCs w:val="20"/>
          <w:highlight w:val="none"/>
        </w:rPr>
      </w:pPr>
      <w:r>
        <w:rPr>
          <w:rFonts w:hint="default" w:eastAsia="宋体"/>
          <w:color w:val="auto"/>
          <w:sz w:val="24"/>
          <w:szCs w:val="20"/>
          <w:highlight w:val="none"/>
        </w:rPr>
        <w:t>1</w:t>
      </w:r>
      <w:r>
        <w:rPr>
          <w:rFonts w:eastAsia="宋体"/>
          <w:color w:val="auto"/>
          <w:sz w:val="24"/>
          <w:szCs w:val="20"/>
          <w:highlight w:val="none"/>
        </w:rPr>
        <w:t>.</w:t>
      </w:r>
      <w:r>
        <w:rPr>
          <w:rFonts w:hint="default" w:eastAsia="宋体"/>
          <w:color w:val="auto"/>
          <w:sz w:val="24"/>
          <w:szCs w:val="20"/>
          <w:highlight w:val="none"/>
        </w:rPr>
        <w:t>本合同的变更必须由双方协商一致，并以书面形式确定。</w:t>
      </w:r>
    </w:p>
    <w:p>
      <w:pPr>
        <w:spacing w:line="360" w:lineRule="auto"/>
        <w:ind w:firstLine="480" w:firstLineChars="200"/>
        <w:rPr>
          <w:rFonts w:hint="default" w:eastAsia="宋体"/>
          <w:color w:val="auto"/>
          <w:sz w:val="24"/>
          <w:szCs w:val="20"/>
          <w:highlight w:val="none"/>
        </w:rPr>
      </w:pPr>
      <w:r>
        <w:rPr>
          <w:rFonts w:hint="default" w:eastAsia="宋体"/>
          <w:color w:val="auto"/>
          <w:sz w:val="24"/>
          <w:szCs w:val="20"/>
          <w:highlight w:val="none"/>
        </w:rPr>
        <w:t>2</w:t>
      </w:r>
      <w:r>
        <w:rPr>
          <w:rFonts w:eastAsia="宋体"/>
          <w:color w:val="auto"/>
          <w:sz w:val="24"/>
          <w:szCs w:val="20"/>
          <w:highlight w:val="none"/>
        </w:rPr>
        <w:t>.</w:t>
      </w:r>
      <w:r>
        <w:rPr>
          <w:rFonts w:hint="default" w:eastAsia="宋体"/>
          <w:color w:val="auto"/>
          <w:sz w:val="24"/>
          <w:szCs w:val="20"/>
          <w:highlight w:val="none"/>
        </w:rPr>
        <w:t>双方确定，出现下列情形，致使本合同的履行成为不必要或不可能，可以解除本合同：</w:t>
      </w:r>
    </w:p>
    <w:p>
      <w:pPr>
        <w:pStyle w:val="10"/>
        <w:spacing w:line="360" w:lineRule="auto"/>
        <w:ind w:firstLine="480" w:firstLineChars="200"/>
        <w:rPr>
          <w:rFonts w:hint="default" w:ascii="Times New Roman" w:hAnsi="Times New Roman" w:eastAsia="宋体"/>
          <w:color w:val="auto"/>
          <w:spacing w:val="0"/>
          <w:sz w:val="24"/>
          <w:szCs w:val="20"/>
          <w:highlight w:val="none"/>
        </w:rPr>
      </w:pPr>
      <w:r>
        <w:rPr>
          <w:rFonts w:hint="default" w:ascii="Times New Roman" w:hAnsi="Times New Roman" w:eastAsia="宋体"/>
          <w:color w:val="auto"/>
          <w:spacing w:val="0"/>
          <w:sz w:val="24"/>
          <w:szCs w:val="20"/>
          <w:highlight w:val="none"/>
        </w:rPr>
        <w:t>（1）在合同履行中产生不能协商解决的方向性重大分歧时；</w:t>
      </w:r>
    </w:p>
    <w:p>
      <w:pPr>
        <w:spacing w:line="360" w:lineRule="auto"/>
        <w:ind w:firstLine="480" w:firstLineChars="200"/>
        <w:rPr>
          <w:rFonts w:hint="eastAsia"/>
          <w:color w:val="auto"/>
          <w:spacing w:val="0"/>
          <w:sz w:val="24"/>
          <w:szCs w:val="20"/>
          <w:highlight w:val="none"/>
          <w:lang w:eastAsia="zh-CN"/>
        </w:rPr>
      </w:pPr>
      <w:r>
        <w:rPr>
          <w:rFonts w:hint="default" w:ascii="Times New Roman" w:hAnsi="Times New Roman" w:eastAsia="宋体"/>
          <w:color w:val="auto"/>
          <w:spacing w:val="0"/>
          <w:sz w:val="24"/>
          <w:szCs w:val="20"/>
          <w:highlight w:val="none"/>
        </w:rPr>
        <w:t>（</w:t>
      </w:r>
      <w:r>
        <w:rPr>
          <w:rFonts w:hint="eastAsia"/>
          <w:color w:val="auto"/>
          <w:spacing w:val="0"/>
          <w:sz w:val="24"/>
          <w:szCs w:val="20"/>
          <w:highlight w:val="none"/>
          <w:lang w:val="en-US" w:eastAsia="zh-CN"/>
        </w:rPr>
        <w:t>2</w:t>
      </w:r>
      <w:r>
        <w:rPr>
          <w:rFonts w:hint="default" w:ascii="Times New Roman" w:hAnsi="Times New Roman" w:eastAsia="宋体"/>
          <w:color w:val="auto"/>
          <w:spacing w:val="0"/>
          <w:sz w:val="24"/>
          <w:szCs w:val="20"/>
          <w:highlight w:val="none"/>
        </w:rPr>
        <w:t>）甲方因政策、上级主管部门、母公司的规定要求或者甲方认为等情形，使本合同履行不必要、不可能的</w:t>
      </w:r>
      <w:r>
        <w:rPr>
          <w:rFonts w:hint="eastAsia"/>
          <w:color w:val="auto"/>
          <w:spacing w:val="0"/>
          <w:sz w:val="24"/>
          <w:szCs w:val="20"/>
          <w:highlight w:val="none"/>
          <w:lang w:eastAsia="zh-CN"/>
        </w:rPr>
        <w:t>。</w:t>
      </w:r>
    </w:p>
    <w:p>
      <w:pPr>
        <w:spacing w:line="360" w:lineRule="auto"/>
        <w:ind w:firstLine="480" w:firstLineChars="200"/>
        <w:rPr>
          <w:rFonts w:hint="default" w:eastAsia="宋体"/>
          <w:color w:val="auto"/>
          <w:sz w:val="24"/>
          <w:szCs w:val="20"/>
          <w:highlight w:val="none"/>
        </w:rPr>
      </w:pPr>
      <w:r>
        <w:rPr>
          <w:rFonts w:hint="eastAsia" w:eastAsia="宋体"/>
          <w:color w:val="auto"/>
          <w:sz w:val="24"/>
          <w:szCs w:val="20"/>
          <w:highlight w:val="none"/>
          <w:lang w:val="en-US" w:eastAsia="zh-CN"/>
        </w:rPr>
        <w:t>3.甲方对乙方工作进行半年考核，对乙方的工作响应时间、工作质量、服务态度等进行综合考评，如经甲方考核，认为乙方不符合甲方要求的，甲方有权提前解除本合同，且不予支付第二期款项。</w:t>
      </w:r>
    </w:p>
    <w:p>
      <w:pPr>
        <w:tabs>
          <w:tab w:val="left" w:pos="960"/>
          <w:tab w:val="left" w:pos="1080"/>
        </w:tabs>
        <w:spacing w:line="360" w:lineRule="auto"/>
        <w:ind w:firstLine="482" w:firstLineChars="200"/>
        <w:rPr>
          <w:b/>
          <w:bCs/>
          <w:color w:val="auto"/>
          <w:sz w:val="24"/>
          <w:highlight w:val="none"/>
        </w:rPr>
      </w:pPr>
      <w:r>
        <w:rPr>
          <w:rFonts w:hint="eastAsia"/>
          <w:b/>
          <w:bCs/>
          <w:color w:val="auto"/>
          <w:sz w:val="24"/>
          <w:highlight w:val="none"/>
          <w:lang w:val="en-US" w:eastAsia="zh-CN"/>
        </w:rPr>
        <w:t>七</w:t>
      </w:r>
      <w:r>
        <w:rPr>
          <w:rFonts w:hint="eastAsia"/>
          <w:b/>
          <w:bCs/>
          <w:color w:val="auto"/>
          <w:sz w:val="24"/>
          <w:highlight w:val="none"/>
        </w:rPr>
        <w:t>、</w:t>
      </w:r>
      <w:r>
        <w:rPr>
          <w:b/>
          <w:bCs/>
          <w:color w:val="auto"/>
          <w:sz w:val="24"/>
          <w:highlight w:val="none"/>
        </w:rPr>
        <w:t>其他</w:t>
      </w:r>
    </w:p>
    <w:p>
      <w:pPr>
        <w:tabs>
          <w:tab w:val="left" w:pos="142"/>
          <w:tab w:val="left" w:pos="360"/>
        </w:tabs>
        <w:spacing w:line="360" w:lineRule="auto"/>
        <w:ind w:firstLine="480" w:firstLineChars="200"/>
        <w:rPr>
          <w:color w:val="auto"/>
          <w:sz w:val="24"/>
          <w:highlight w:val="none"/>
        </w:rPr>
      </w:pPr>
      <w:r>
        <w:rPr>
          <w:color w:val="auto"/>
          <w:sz w:val="24"/>
          <w:highlight w:val="none"/>
        </w:rPr>
        <w:t>1.如果本协议有效期满后甲乙双方不再续约，</w:t>
      </w:r>
      <w:r>
        <w:rPr>
          <w:rFonts w:hint="eastAsia"/>
          <w:color w:val="auto"/>
          <w:sz w:val="24"/>
          <w:highlight w:val="none"/>
        </w:rPr>
        <w:t>协议自动终止</w:t>
      </w:r>
      <w:r>
        <w:rPr>
          <w:color w:val="auto"/>
          <w:sz w:val="24"/>
          <w:highlight w:val="none"/>
        </w:rPr>
        <w:t>。</w:t>
      </w:r>
    </w:p>
    <w:p>
      <w:pPr>
        <w:tabs>
          <w:tab w:val="left" w:pos="142"/>
          <w:tab w:val="left" w:pos="360"/>
        </w:tabs>
        <w:spacing w:line="360" w:lineRule="auto"/>
        <w:ind w:firstLine="480" w:firstLineChars="200"/>
        <w:rPr>
          <w:color w:val="auto"/>
          <w:sz w:val="24"/>
          <w:highlight w:val="none"/>
        </w:rPr>
      </w:pPr>
      <w:r>
        <w:rPr>
          <w:color w:val="auto"/>
          <w:sz w:val="24"/>
          <w:highlight w:val="none"/>
        </w:rPr>
        <w:t>2.因本协议产生的争议提交</w:t>
      </w:r>
      <w:r>
        <w:rPr>
          <w:rFonts w:hint="eastAsia"/>
          <w:color w:val="auto"/>
          <w:sz w:val="24"/>
          <w:highlight w:val="none"/>
          <w:lang w:val="en-US" w:eastAsia="zh-CN"/>
        </w:rPr>
        <w:t>甲方所在地人民法院</w:t>
      </w:r>
      <w:r>
        <w:rPr>
          <w:color w:val="auto"/>
          <w:sz w:val="24"/>
          <w:highlight w:val="none"/>
        </w:rPr>
        <w:t>处理。</w:t>
      </w:r>
    </w:p>
    <w:p>
      <w:pPr>
        <w:tabs>
          <w:tab w:val="left" w:pos="142"/>
          <w:tab w:val="left" w:pos="360"/>
        </w:tabs>
        <w:spacing w:line="360" w:lineRule="auto"/>
        <w:ind w:firstLine="480" w:firstLineChars="200"/>
        <w:rPr>
          <w:rFonts w:ascii="Times New Roman" w:hAnsi="Times New Roman" w:eastAsia="宋体" w:cs="Times New Roman"/>
          <w:color w:val="auto"/>
          <w:sz w:val="24"/>
          <w:highlight w:val="none"/>
        </w:rPr>
      </w:pPr>
      <w:r>
        <w:rPr>
          <w:color w:val="auto"/>
          <w:sz w:val="24"/>
          <w:highlight w:val="none"/>
        </w:rPr>
        <w:t>3.</w:t>
      </w:r>
      <w:r>
        <w:rPr>
          <w:rFonts w:hint="default" w:ascii="Times New Roman" w:hAnsi="Times New Roman" w:eastAsia="宋体" w:cs="Times New Roman"/>
          <w:color w:val="auto"/>
          <w:sz w:val="24"/>
          <w:szCs w:val="24"/>
          <w:highlight w:val="none"/>
        </w:rPr>
        <w:t>本</w:t>
      </w:r>
      <w:r>
        <w:rPr>
          <w:rFonts w:hint="default" w:ascii="Times New Roman" w:hAnsi="Times New Roman" w:eastAsia="宋体" w:cs="Times New Roman"/>
          <w:color w:val="auto"/>
          <w:sz w:val="24"/>
          <w:szCs w:val="24"/>
          <w:highlight w:val="none"/>
          <w:lang w:val="en-US" w:eastAsia="zh-CN"/>
        </w:rPr>
        <w:t>合同</w:t>
      </w:r>
      <w:r>
        <w:rPr>
          <w:rFonts w:hint="default" w:ascii="Times New Roman" w:hAnsi="Times New Roman" w:eastAsia="宋体" w:cs="Times New Roman"/>
          <w:color w:val="auto"/>
          <w:sz w:val="24"/>
          <w:szCs w:val="24"/>
          <w:highlight w:val="none"/>
        </w:rPr>
        <w:t>以双方法定代表人或其授权代表在“中煤易购电子签章平台”（域名为：</w:t>
      </w:r>
      <w:r>
        <w:rPr>
          <w:rFonts w:ascii="Times New Roman" w:hAnsi="Times New Roman" w:eastAsia="宋体" w:cs="Times New Roman"/>
          <w:color w:val="auto"/>
          <w:sz w:val="24"/>
          <w:szCs w:val="24"/>
          <w:highlight w:val="none"/>
        </w:rPr>
        <w:t>https://ego.chinacoal.com/ca_zmyg</w:t>
      </w:r>
      <w:r>
        <w:rPr>
          <w:rFonts w:hint="default" w:ascii="Times New Roman" w:hAnsi="Times New Roman" w:eastAsia="宋体" w:cs="Times New Roman"/>
          <w:color w:val="auto"/>
          <w:sz w:val="24"/>
          <w:szCs w:val="24"/>
          <w:highlight w:val="none"/>
        </w:rPr>
        <w:t>）上凭所签发的数字证书以电子签名形式加盖其电子章（“电子签名”）的方式签署，自签署后生效</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lang w:val="en-US" w:eastAsia="zh-CN"/>
        </w:rPr>
        <w:t>合同</w:t>
      </w:r>
      <w:r>
        <w:rPr>
          <w:rFonts w:hint="default" w:ascii="Times New Roman" w:hAnsi="Times New Roman" w:eastAsia="宋体" w:cs="Times New Roman"/>
          <w:color w:val="auto"/>
          <w:sz w:val="24"/>
          <w:szCs w:val="24"/>
          <w:highlight w:val="none"/>
        </w:rPr>
        <w:t>一式</w:t>
      </w:r>
      <w:r>
        <w:rPr>
          <w:rFonts w:hint="eastAsia" w:cs="Times New Roman"/>
          <w:color w:val="auto"/>
          <w:sz w:val="24"/>
          <w:szCs w:val="24"/>
          <w:highlight w:val="none"/>
          <w:lang w:val="en-US" w:eastAsia="zh-CN"/>
        </w:rPr>
        <w:t>贰</w:t>
      </w:r>
      <w:r>
        <w:rPr>
          <w:rFonts w:hint="default" w:ascii="Times New Roman" w:hAnsi="Times New Roman" w:eastAsia="宋体" w:cs="Times New Roman"/>
          <w:color w:val="auto"/>
          <w:sz w:val="24"/>
          <w:szCs w:val="24"/>
          <w:highlight w:val="none"/>
        </w:rPr>
        <w:t>份，双方各执</w:t>
      </w:r>
      <w:r>
        <w:rPr>
          <w:rFonts w:hint="eastAsia" w:cs="Times New Roman"/>
          <w:color w:val="auto"/>
          <w:sz w:val="24"/>
          <w:szCs w:val="24"/>
          <w:highlight w:val="none"/>
          <w:lang w:val="en-US" w:eastAsia="zh-CN"/>
        </w:rPr>
        <w:t>壹</w:t>
      </w:r>
      <w:r>
        <w:rPr>
          <w:rFonts w:hint="default" w:ascii="Times New Roman" w:hAnsi="Times New Roman" w:eastAsia="宋体" w:cs="Times New Roman"/>
          <w:color w:val="auto"/>
          <w:sz w:val="24"/>
          <w:szCs w:val="24"/>
          <w:highlight w:val="none"/>
        </w:rPr>
        <w:t>份，以电子数据形式储存在“中煤易购电子签章平台”中，每份具有相同的法律效力。</w:t>
      </w:r>
    </w:p>
    <w:p>
      <w:pPr>
        <w:spacing w:line="360" w:lineRule="auto"/>
        <w:ind w:firstLine="480" w:firstLineChars="200"/>
        <w:rPr>
          <w:rFonts w:hint="eastAsia"/>
          <w:sz w:val="24"/>
          <w:highlight w:val="none"/>
          <w:lang w:val="en-US" w:eastAsia="zh-CN"/>
        </w:rPr>
      </w:pPr>
    </w:p>
    <w:p>
      <w:pPr>
        <w:spacing w:line="360" w:lineRule="auto"/>
        <w:ind w:firstLine="480" w:firstLineChars="200"/>
        <w:rPr>
          <w:rFonts w:hint="eastAsia"/>
          <w:color w:val="auto"/>
          <w:sz w:val="24"/>
          <w:highlight w:val="none"/>
        </w:rPr>
      </w:pPr>
      <w:r>
        <w:rPr>
          <w:rFonts w:hint="eastAsia"/>
          <w:color w:val="auto"/>
          <w:sz w:val="24"/>
          <w:highlight w:val="none"/>
        </w:rPr>
        <w:t>附件</w:t>
      </w:r>
      <w:r>
        <w:rPr>
          <w:rFonts w:hint="eastAsia"/>
          <w:color w:val="auto"/>
          <w:sz w:val="24"/>
          <w:highlight w:val="none"/>
          <w:lang w:val="en-US" w:eastAsia="zh-CN"/>
        </w:rPr>
        <w:t>1</w:t>
      </w:r>
      <w:r>
        <w:rPr>
          <w:rFonts w:hint="eastAsia"/>
          <w:color w:val="auto"/>
          <w:sz w:val="24"/>
          <w:highlight w:val="none"/>
        </w:rPr>
        <w:t>：供需双方廉洁互保协议</w:t>
      </w:r>
    </w:p>
    <w:p>
      <w:pPr>
        <w:spacing w:line="360" w:lineRule="auto"/>
        <w:ind w:firstLine="480" w:firstLineChars="200"/>
        <w:rPr>
          <w:rFonts w:hint="eastAsia"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附件2：</w:t>
      </w:r>
      <w:r>
        <w:rPr>
          <w:rFonts w:hint="eastAsia" w:ascii="Times New Roman" w:hAnsi="Times New Roman" w:eastAsia="宋体" w:cs="Times New Roman"/>
          <w:color w:val="auto"/>
          <w:sz w:val="24"/>
          <w:highlight w:val="none"/>
        </w:rPr>
        <w:t>保密及无利益冲突承诺函</w:t>
      </w:r>
    </w:p>
    <w:p>
      <w:pPr>
        <w:spacing w:line="360" w:lineRule="auto"/>
        <w:rPr>
          <w:sz w:val="24"/>
          <w:highlight w:val="none"/>
        </w:rPr>
      </w:pPr>
    </w:p>
    <w:p>
      <w:pPr>
        <w:spacing w:line="240" w:lineRule="auto"/>
        <w:rPr>
          <w:color w:val="auto"/>
          <w:sz w:val="24"/>
          <w:highlight w:val="none"/>
        </w:rPr>
      </w:pPr>
      <w:r>
        <w:rPr>
          <w:color w:val="auto"/>
          <w:sz w:val="24"/>
          <w:highlight w:val="none"/>
        </w:rPr>
        <w:br w:type="page"/>
      </w:r>
    </w:p>
    <w:p>
      <w:pPr>
        <w:spacing w:line="360" w:lineRule="auto"/>
        <w:rPr>
          <w:color w:val="auto"/>
          <w:sz w:val="24"/>
          <w:highlight w:val="none"/>
        </w:rPr>
      </w:pPr>
      <w:r>
        <w:rPr>
          <w:color w:val="auto"/>
          <w:sz w:val="24"/>
          <w:highlight w:val="none"/>
        </w:rPr>
        <w:t>（此页无正文）</w:t>
      </w:r>
    </w:p>
    <w:p>
      <w:pPr>
        <w:spacing w:line="360" w:lineRule="auto"/>
        <w:rPr>
          <w:sz w:val="24"/>
          <w:highlight w:val="none"/>
        </w:rPr>
      </w:pPr>
    </w:p>
    <w:p>
      <w:pPr>
        <w:spacing w:line="360" w:lineRule="auto"/>
        <w:rPr>
          <w:sz w:val="24"/>
          <w:highlight w:val="none"/>
        </w:rPr>
      </w:pPr>
    </w:p>
    <w:tbl>
      <w:tblPr>
        <w:tblStyle w:val="29"/>
        <w:tblpPr w:leftFromText="180" w:rightFromText="180" w:vertAnchor="text" w:horzAnchor="page" w:tblpX="1073" w:tblpY="1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87"/>
        <w:gridCol w:w="46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trPr>
        <w:tc>
          <w:tcPr>
            <w:tcW w:w="4887" w:type="dxa"/>
            <w:tcBorders>
              <w:bottom w:val="nil"/>
              <w:right w:val="single" w:color="auto" w:sz="4" w:space="0"/>
            </w:tcBorders>
          </w:tcPr>
          <w:p>
            <w:pPr>
              <w:tabs>
                <w:tab w:val="left" w:pos="360"/>
              </w:tabs>
              <w:spacing w:line="360" w:lineRule="exact"/>
              <w:ind w:left="1643" w:leftChars="1" w:hanging="1641" w:hangingChars="681"/>
              <w:rPr>
                <w:sz w:val="24"/>
                <w:highlight w:val="none"/>
              </w:rPr>
            </w:pPr>
            <w:r>
              <w:rPr>
                <w:b/>
                <w:sz w:val="24"/>
                <w:highlight w:val="none"/>
              </w:rPr>
              <w:t>甲方</w:t>
            </w:r>
            <w:r>
              <w:rPr>
                <w:rFonts w:hint="eastAsia"/>
                <w:b/>
                <w:sz w:val="24"/>
                <w:highlight w:val="none"/>
                <w:lang w:eastAsia="zh-CN"/>
              </w:rPr>
              <w:t>（</w:t>
            </w:r>
            <w:r>
              <w:rPr>
                <w:rFonts w:hint="eastAsia"/>
                <w:b/>
                <w:sz w:val="24"/>
                <w:highlight w:val="none"/>
                <w:lang w:val="en-US" w:eastAsia="zh-CN"/>
              </w:rPr>
              <w:t>盖章</w:t>
            </w:r>
            <w:r>
              <w:rPr>
                <w:rFonts w:hint="eastAsia"/>
                <w:b/>
                <w:sz w:val="24"/>
                <w:highlight w:val="none"/>
                <w:lang w:eastAsia="zh-CN"/>
              </w:rPr>
              <w:t>）</w:t>
            </w:r>
            <w:r>
              <w:rPr>
                <w:b/>
                <w:sz w:val="24"/>
                <w:highlight w:val="none"/>
              </w:rPr>
              <w:t>：</w:t>
            </w:r>
          </w:p>
        </w:tc>
        <w:tc>
          <w:tcPr>
            <w:tcW w:w="4658" w:type="dxa"/>
            <w:tcBorders>
              <w:left w:val="single" w:color="auto" w:sz="4" w:space="0"/>
              <w:bottom w:val="nil"/>
            </w:tcBorders>
          </w:tcPr>
          <w:p>
            <w:pPr>
              <w:tabs>
                <w:tab w:val="left" w:pos="360"/>
              </w:tabs>
              <w:spacing w:line="360" w:lineRule="exact"/>
              <w:ind w:left="1552" w:hanging="1552" w:hangingChars="644"/>
              <w:rPr>
                <w:sz w:val="24"/>
                <w:highlight w:val="none"/>
              </w:rPr>
            </w:pPr>
            <w:r>
              <w:rPr>
                <w:b/>
                <w:sz w:val="24"/>
                <w:highlight w:val="none"/>
              </w:rPr>
              <w:t>乙方</w:t>
            </w:r>
            <w:r>
              <w:rPr>
                <w:rFonts w:hint="eastAsia"/>
                <w:b/>
                <w:sz w:val="24"/>
                <w:highlight w:val="none"/>
                <w:lang w:eastAsia="zh-CN"/>
              </w:rPr>
              <w:t>（</w:t>
            </w:r>
            <w:r>
              <w:rPr>
                <w:rFonts w:hint="eastAsia"/>
                <w:b/>
                <w:sz w:val="24"/>
                <w:highlight w:val="none"/>
                <w:lang w:val="en-US" w:eastAsia="zh-CN"/>
              </w:rPr>
              <w:t>盖章</w:t>
            </w:r>
            <w:r>
              <w:rPr>
                <w:rFonts w:hint="eastAsia"/>
                <w:b/>
                <w:sz w:val="24"/>
                <w:highlight w:val="none"/>
                <w:lang w:eastAsia="zh-CN"/>
              </w:rPr>
              <w:t>）</w:t>
            </w:r>
            <w:r>
              <w:rPr>
                <w:b/>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4887" w:type="dxa"/>
            <w:tcBorders>
              <w:top w:val="nil"/>
              <w:bottom w:val="nil"/>
              <w:right w:val="single" w:color="auto" w:sz="4" w:space="0"/>
            </w:tcBorders>
          </w:tcPr>
          <w:p>
            <w:pPr>
              <w:tabs>
                <w:tab w:val="left" w:pos="360"/>
              </w:tabs>
              <w:spacing w:line="360" w:lineRule="exact"/>
              <w:rPr>
                <w:b/>
                <w:sz w:val="24"/>
                <w:highlight w:val="none"/>
              </w:rPr>
            </w:pPr>
            <w:r>
              <w:rPr>
                <w:sz w:val="24"/>
                <w:highlight w:val="none"/>
              </w:rPr>
              <w:t>地址：</w:t>
            </w:r>
          </w:p>
        </w:tc>
        <w:tc>
          <w:tcPr>
            <w:tcW w:w="4658" w:type="dxa"/>
            <w:tcBorders>
              <w:top w:val="nil"/>
              <w:left w:val="single" w:color="auto" w:sz="4" w:space="0"/>
              <w:bottom w:val="nil"/>
            </w:tcBorders>
          </w:tcPr>
          <w:p>
            <w:pPr>
              <w:tabs>
                <w:tab w:val="left" w:pos="360"/>
              </w:tabs>
              <w:spacing w:line="360" w:lineRule="exact"/>
              <w:rPr>
                <w:b/>
                <w:sz w:val="24"/>
                <w:highlight w:val="none"/>
              </w:rPr>
            </w:pPr>
            <w:r>
              <w:rPr>
                <w:sz w:val="24"/>
                <w:highlight w:val="none"/>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4887" w:type="dxa"/>
            <w:tcBorders>
              <w:top w:val="nil"/>
              <w:bottom w:val="nil"/>
              <w:right w:val="single" w:color="auto" w:sz="4" w:space="0"/>
            </w:tcBorders>
            <w:vAlign w:val="center"/>
          </w:tcPr>
          <w:p>
            <w:pPr>
              <w:tabs>
                <w:tab w:val="left" w:pos="360"/>
              </w:tabs>
              <w:spacing w:line="360" w:lineRule="exact"/>
              <w:rPr>
                <w:sz w:val="24"/>
                <w:highlight w:val="none"/>
              </w:rPr>
            </w:pPr>
            <w:r>
              <w:rPr>
                <w:rFonts w:hint="eastAsia"/>
                <w:sz w:val="24"/>
                <w:highlight w:val="none"/>
                <w:lang w:eastAsia="zh-CN"/>
              </w:rPr>
              <w:t>（</w:t>
            </w:r>
            <w:r>
              <w:rPr>
                <w:rFonts w:hint="eastAsia"/>
                <w:sz w:val="24"/>
                <w:highlight w:val="none"/>
                <w:lang w:val="en-US" w:eastAsia="zh-CN"/>
              </w:rPr>
              <w:t>甲方签名</w:t>
            </w:r>
            <w:r>
              <w:rPr>
                <w:rFonts w:hint="eastAsia"/>
                <w:sz w:val="24"/>
                <w:highlight w:val="none"/>
                <w:lang w:eastAsia="zh-CN"/>
              </w:rPr>
              <w:t>）</w:t>
            </w:r>
            <w:r>
              <w:rPr>
                <w:rFonts w:hint="eastAsia"/>
                <w:sz w:val="24"/>
                <w:highlight w:val="none"/>
              </w:rPr>
              <w:t>：</w:t>
            </w:r>
            <w:r>
              <w:rPr>
                <w:sz w:val="24"/>
                <w:highlight w:val="none"/>
              </w:rPr>
              <w:t xml:space="preserve"> </w:t>
            </w:r>
          </w:p>
        </w:tc>
        <w:tc>
          <w:tcPr>
            <w:tcW w:w="4658" w:type="dxa"/>
            <w:tcBorders>
              <w:top w:val="nil"/>
              <w:left w:val="single" w:color="auto" w:sz="4" w:space="0"/>
              <w:bottom w:val="nil"/>
            </w:tcBorders>
          </w:tcPr>
          <w:p>
            <w:pPr>
              <w:tabs>
                <w:tab w:val="left" w:pos="360"/>
              </w:tabs>
              <w:spacing w:line="360" w:lineRule="exact"/>
              <w:rPr>
                <w:sz w:val="24"/>
                <w:highlight w:val="none"/>
              </w:rPr>
            </w:pPr>
            <w:r>
              <w:rPr>
                <w:rFonts w:hint="eastAsia"/>
                <w:sz w:val="24"/>
                <w:highlight w:val="none"/>
                <w:lang w:eastAsia="zh-CN"/>
              </w:rPr>
              <w:t>（</w:t>
            </w:r>
            <w:r>
              <w:rPr>
                <w:rFonts w:hint="eastAsia"/>
                <w:sz w:val="24"/>
                <w:highlight w:val="none"/>
                <w:lang w:val="en-US" w:eastAsia="zh-CN"/>
              </w:rPr>
              <w:t>乙方签名</w:t>
            </w:r>
            <w:r>
              <w:rPr>
                <w:rFonts w:hint="eastAsia"/>
                <w:sz w:val="24"/>
                <w:highlight w:val="none"/>
                <w:lang w:eastAsia="zh-CN"/>
              </w:rPr>
              <w:t>）</w:t>
            </w:r>
            <w:r>
              <w:rPr>
                <w:rFonts w:hint="eastAsia"/>
                <w:sz w:val="24"/>
                <w:highlight w:val="none"/>
              </w:rPr>
              <w:t>：</w:t>
            </w:r>
            <w:r>
              <w:rPr>
                <w:sz w:val="24"/>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4887" w:type="dxa"/>
            <w:tcBorders>
              <w:top w:val="nil"/>
              <w:bottom w:val="nil"/>
              <w:right w:val="single" w:color="auto" w:sz="4" w:space="0"/>
            </w:tcBorders>
            <w:vAlign w:val="center"/>
          </w:tcPr>
          <w:p>
            <w:pPr>
              <w:tabs>
                <w:tab w:val="left" w:pos="360"/>
              </w:tabs>
              <w:spacing w:line="360" w:lineRule="exact"/>
              <w:rPr>
                <w:sz w:val="24"/>
                <w:highlight w:val="none"/>
              </w:rPr>
            </w:pPr>
            <w:r>
              <w:rPr>
                <w:sz w:val="24"/>
                <w:highlight w:val="none"/>
              </w:rPr>
              <w:t xml:space="preserve"> </w:t>
            </w:r>
          </w:p>
        </w:tc>
        <w:tc>
          <w:tcPr>
            <w:tcW w:w="4658" w:type="dxa"/>
            <w:tcBorders>
              <w:top w:val="nil"/>
              <w:left w:val="single" w:color="auto" w:sz="4" w:space="0"/>
              <w:bottom w:val="nil"/>
            </w:tcBorders>
          </w:tcPr>
          <w:p>
            <w:pPr>
              <w:tabs>
                <w:tab w:val="left" w:pos="360"/>
              </w:tabs>
              <w:spacing w:line="360" w:lineRule="exact"/>
              <w:rPr>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4887" w:type="dxa"/>
            <w:tcBorders>
              <w:top w:val="nil"/>
              <w:bottom w:val="nil"/>
              <w:right w:val="single" w:color="auto" w:sz="4" w:space="0"/>
            </w:tcBorders>
            <w:vAlign w:val="center"/>
          </w:tcPr>
          <w:p>
            <w:pPr>
              <w:tabs>
                <w:tab w:val="left" w:pos="360"/>
              </w:tabs>
              <w:spacing w:line="360" w:lineRule="exact"/>
              <w:rPr>
                <w:sz w:val="24"/>
                <w:highlight w:val="none"/>
              </w:rPr>
            </w:pPr>
          </w:p>
        </w:tc>
        <w:tc>
          <w:tcPr>
            <w:tcW w:w="4658" w:type="dxa"/>
            <w:tcBorders>
              <w:top w:val="nil"/>
              <w:left w:val="single" w:color="auto" w:sz="4" w:space="0"/>
              <w:bottom w:val="nil"/>
            </w:tcBorders>
          </w:tcPr>
          <w:p>
            <w:pPr>
              <w:tabs>
                <w:tab w:val="left" w:pos="360"/>
              </w:tabs>
              <w:spacing w:line="360" w:lineRule="exact"/>
              <w:rPr>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trPr>
        <w:tc>
          <w:tcPr>
            <w:tcW w:w="4887" w:type="dxa"/>
            <w:tcBorders>
              <w:top w:val="nil"/>
              <w:bottom w:val="nil"/>
              <w:right w:val="single" w:color="auto" w:sz="4" w:space="0"/>
            </w:tcBorders>
          </w:tcPr>
          <w:p>
            <w:pPr>
              <w:tabs>
                <w:tab w:val="left" w:pos="360"/>
              </w:tabs>
              <w:spacing w:line="360" w:lineRule="exact"/>
              <w:rPr>
                <w:sz w:val="24"/>
                <w:highlight w:val="none"/>
              </w:rPr>
            </w:pPr>
            <w:r>
              <w:rPr>
                <w:sz w:val="24"/>
                <w:highlight w:val="none"/>
              </w:rPr>
              <w:t>电话：</w:t>
            </w:r>
          </w:p>
        </w:tc>
        <w:tc>
          <w:tcPr>
            <w:tcW w:w="4658" w:type="dxa"/>
            <w:tcBorders>
              <w:top w:val="nil"/>
              <w:left w:val="single" w:color="auto" w:sz="4" w:space="0"/>
              <w:bottom w:val="nil"/>
            </w:tcBorders>
          </w:tcPr>
          <w:p>
            <w:pPr>
              <w:tabs>
                <w:tab w:val="left" w:pos="700"/>
                <w:tab w:val="left" w:pos="2463"/>
              </w:tabs>
              <w:spacing w:line="400" w:lineRule="exact"/>
              <w:ind w:left="1301" w:hanging="1300" w:hangingChars="542"/>
              <w:rPr>
                <w:sz w:val="24"/>
                <w:highlight w:val="none"/>
              </w:rPr>
            </w:pPr>
            <w:r>
              <w:rPr>
                <w:sz w:val="24"/>
                <w:highlight w:val="none"/>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4887" w:type="dxa"/>
            <w:tcBorders>
              <w:top w:val="nil"/>
              <w:bottom w:val="nil"/>
              <w:right w:val="single" w:color="auto" w:sz="4" w:space="0"/>
            </w:tcBorders>
          </w:tcPr>
          <w:p>
            <w:pPr>
              <w:tabs>
                <w:tab w:val="left" w:pos="360"/>
              </w:tabs>
              <w:spacing w:line="360" w:lineRule="exact"/>
              <w:rPr>
                <w:sz w:val="24"/>
                <w:highlight w:val="none"/>
              </w:rPr>
            </w:pPr>
            <w:r>
              <w:rPr>
                <w:sz w:val="24"/>
                <w:highlight w:val="none"/>
              </w:rPr>
              <w:t>传真：</w:t>
            </w:r>
          </w:p>
        </w:tc>
        <w:tc>
          <w:tcPr>
            <w:tcW w:w="4658" w:type="dxa"/>
            <w:tcBorders>
              <w:top w:val="nil"/>
              <w:left w:val="single" w:color="auto" w:sz="4" w:space="0"/>
              <w:bottom w:val="nil"/>
            </w:tcBorders>
          </w:tcPr>
          <w:p>
            <w:pPr>
              <w:tabs>
                <w:tab w:val="left" w:pos="360"/>
              </w:tabs>
              <w:spacing w:line="360" w:lineRule="exact"/>
              <w:rPr>
                <w:rFonts w:hint="eastAsia"/>
                <w:sz w:val="24"/>
                <w:highlight w:val="none"/>
              </w:rPr>
            </w:pPr>
            <w:r>
              <w:rPr>
                <w:sz w:val="24"/>
                <w:highlight w:val="none"/>
              </w:rPr>
              <w:t>传真</w:t>
            </w:r>
            <w:r>
              <w:rPr>
                <w:rFonts w:hint="eastAsia"/>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4887" w:type="dxa"/>
            <w:tcBorders>
              <w:top w:val="nil"/>
              <w:bottom w:val="nil"/>
              <w:right w:val="single" w:color="auto" w:sz="4" w:space="0"/>
            </w:tcBorders>
          </w:tcPr>
          <w:p>
            <w:pPr>
              <w:tabs>
                <w:tab w:val="left" w:pos="360"/>
              </w:tabs>
              <w:spacing w:line="360" w:lineRule="exact"/>
              <w:rPr>
                <w:sz w:val="24"/>
                <w:highlight w:val="none"/>
              </w:rPr>
            </w:pPr>
            <w:r>
              <w:rPr>
                <w:sz w:val="24"/>
                <w:highlight w:val="none"/>
              </w:rPr>
              <w:t>开户银行：</w:t>
            </w:r>
          </w:p>
        </w:tc>
        <w:tc>
          <w:tcPr>
            <w:tcW w:w="4658" w:type="dxa"/>
            <w:tcBorders>
              <w:top w:val="nil"/>
              <w:left w:val="single" w:color="auto" w:sz="4" w:space="0"/>
              <w:bottom w:val="nil"/>
            </w:tcBorders>
          </w:tcPr>
          <w:p>
            <w:pPr>
              <w:tabs>
                <w:tab w:val="left" w:pos="360"/>
              </w:tabs>
              <w:spacing w:line="360" w:lineRule="exact"/>
              <w:rPr>
                <w:sz w:val="24"/>
                <w:highlight w:val="none"/>
              </w:rPr>
            </w:pPr>
            <w:r>
              <w:rPr>
                <w:sz w:val="24"/>
                <w:highlight w:val="none"/>
              </w:rPr>
              <w:t>开户银行：</w:t>
            </w:r>
          </w:p>
          <w:p>
            <w:pPr>
              <w:tabs>
                <w:tab w:val="left" w:pos="360"/>
              </w:tabs>
              <w:spacing w:line="360" w:lineRule="exact"/>
              <w:rPr>
                <w:sz w:val="24"/>
                <w:highlight w:val="none"/>
              </w:rPr>
            </w:pPr>
            <w:r>
              <w:rPr>
                <w:sz w:val="24"/>
                <w:highlight w:val="none"/>
              </w:rPr>
              <w:t xml:space="preserve">行  </w:t>
            </w:r>
            <w:r>
              <w:rPr>
                <w:rFonts w:hint="eastAsia"/>
                <w:sz w:val="24"/>
                <w:highlight w:val="none"/>
              </w:rPr>
              <w:t xml:space="preserve">  </w:t>
            </w:r>
            <w:r>
              <w:rPr>
                <w:sz w:val="24"/>
                <w:highlight w:val="none"/>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4887" w:type="dxa"/>
            <w:tcBorders>
              <w:top w:val="nil"/>
              <w:bottom w:val="nil"/>
              <w:right w:val="single" w:color="auto" w:sz="4" w:space="0"/>
            </w:tcBorders>
          </w:tcPr>
          <w:p>
            <w:pPr>
              <w:tabs>
                <w:tab w:val="left" w:pos="360"/>
              </w:tabs>
              <w:spacing w:line="360" w:lineRule="exact"/>
              <w:rPr>
                <w:sz w:val="24"/>
                <w:highlight w:val="none"/>
              </w:rPr>
            </w:pPr>
            <w:r>
              <w:rPr>
                <w:sz w:val="24"/>
                <w:highlight w:val="none"/>
              </w:rPr>
              <w:t>账号：</w:t>
            </w:r>
          </w:p>
        </w:tc>
        <w:tc>
          <w:tcPr>
            <w:tcW w:w="4658" w:type="dxa"/>
            <w:tcBorders>
              <w:top w:val="nil"/>
              <w:left w:val="single" w:color="auto" w:sz="4" w:space="0"/>
              <w:bottom w:val="nil"/>
            </w:tcBorders>
          </w:tcPr>
          <w:p>
            <w:pPr>
              <w:tabs>
                <w:tab w:val="left" w:pos="360"/>
              </w:tabs>
              <w:spacing w:line="360" w:lineRule="exact"/>
              <w:rPr>
                <w:sz w:val="24"/>
                <w:highlight w:val="none"/>
              </w:rPr>
            </w:pPr>
            <w:r>
              <w:rPr>
                <w:sz w:val="24"/>
                <w:highlight w:val="none"/>
              </w:rPr>
              <w:t>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4887" w:type="dxa"/>
            <w:tcBorders>
              <w:top w:val="nil"/>
              <w:right w:val="single" w:color="auto" w:sz="4" w:space="0"/>
            </w:tcBorders>
          </w:tcPr>
          <w:p>
            <w:pPr>
              <w:tabs>
                <w:tab w:val="left" w:pos="360"/>
              </w:tabs>
              <w:spacing w:line="360" w:lineRule="exact"/>
              <w:rPr>
                <w:sz w:val="24"/>
                <w:highlight w:val="none"/>
              </w:rPr>
            </w:pPr>
            <w:r>
              <w:rPr>
                <w:sz w:val="24"/>
                <w:highlight w:val="none"/>
              </w:rPr>
              <w:t>邮政编码：</w:t>
            </w:r>
          </w:p>
        </w:tc>
        <w:tc>
          <w:tcPr>
            <w:tcW w:w="4658" w:type="dxa"/>
            <w:tcBorders>
              <w:top w:val="nil"/>
              <w:left w:val="single" w:color="auto" w:sz="4" w:space="0"/>
            </w:tcBorders>
          </w:tcPr>
          <w:p>
            <w:pPr>
              <w:tabs>
                <w:tab w:val="left" w:pos="360"/>
              </w:tabs>
              <w:spacing w:line="360" w:lineRule="exact"/>
              <w:rPr>
                <w:sz w:val="24"/>
                <w:highlight w:val="none"/>
              </w:rPr>
            </w:pPr>
            <w:r>
              <w:rPr>
                <w:sz w:val="24"/>
                <w:highlight w:val="none"/>
              </w:rPr>
              <w:t>邮政编码：</w:t>
            </w:r>
          </w:p>
        </w:tc>
      </w:tr>
    </w:tbl>
    <w:p>
      <w:pPr>
        <w:pStyle w:val="27"/>
        <w:numPr>
          <w:ilvl w:val="0"/>
          <w:numId w:val="0"/>
        </w:numPr>
        <w:spacing w:line="540" w:lineRule="exact"/>
        <w:jc w:val="both"/>
        <w:rPr>
          <w:rFonts w:hint="eastAsia"/>
          <w:sz w:val="24"/>
          <w:highlight w:val="none"/>
          <w:lang w:val="en-US" w:eastAsia="zh-CN"/>
        </w:rPr>
      </w:pPr>
      <w:bookmarkStart w:id="161" w:name="_Toc29711"/>
      <w:r>
        <w:rPr>
          <w:rFonts w:hint="eastAsia"/>
          <w:highlight w:val="none"/>
          <w:lang w:val="en-US" w:eastAsia="zh-CN"/>
        </w:rPr>
        <w:br w:type="page"/>
      </w:r>
      <w:bookmarkEnd w:id="161"/>
      <w:bookmarkStart w:id="162" w:name="_Toc18212"/>
      <w:bookmarkStart w:id="163" w:name="_Toc7277"/>
      <w:r>
        <w:rPr>
          <w:rFonts w:hint="eastAsia"/>
          <w:sz w:val="24"/>
          <w:highlight w:val="none"/>
          <w:lang w:val="en-US" w:eastAsia="zh-CN"/>
        </w:rPr>
        <w:t>附件1</w:t>
      </w:r>
      <w:bookmarkEnd w:id="162"/>
      <w:bookmarkEnd w:id="163"/>
    </w:p>
    <w:p>
      <w:pPr>
        <w:spacing w:line="540" w:lineRule="exact"/>
        <w:jc w:val="center"/>
        <w:rPr>
          <w:rFonts w:hint="eastAsia" w:ascii="方正小标宋简体" w:hAnsi="方正小标宋简体" w:eastAsia="方正小标宋简体" w:cs="方正小标宋简体"/>
          <w:color w:val="auto"/>
          <w:highlight w:val="none"/>
        </w:rPr>
      </w:pPr>
      <w:r>
        <w:rPr>
          <w:rFonts w:hint="eastAsia" w:ascii="方正小标宋简体" w:hAnsi="方正小标宋简体" w:eastAsia="方正小标宋简体" w:cs="方正小标宋简体"/>
          <w:color w:val="auto"/>
          <w:sz w:val="30"/>
          <w:szCs w:val="30"/>
          <w:highlight w:val="none"/>
        </w:rPr>
        <w:t>供需双方廉洁互保协议</w:t>
      </w:r>
    </w:p>
    <w:p>
      <w:pPr>
        <w:spacing w:line="360" w:lineRule="auto"/>
        <w:ind w:firstLine="480" w:firstLineChars="200"/>
        <w:rPr>
          <w:rFonts w:hint="eastAsia"/>
          <w:color w:val="auto"/>
          <w:highlight w:val="none"/>
        </w:rPr>
      </w:pPr>
    </w:p>
    <w:p>
      <w:pPr>
        <w:spacing w:line="360" w:lineRule="auto"/>
        <w:ind w:firstLine="480" w:firstLineChars="200"/>
        <w:rPr>
          <w:rFonts w:hint="eastAsia"/>
          <w:color w:val="auto"/>
          <w:highlight w:val="none"/>
        </w:rPr>
      </w:pPr>
      <w:r>
        <w:rPr>
          <w:rFonts w:hint="eastAsia"/>
          <w:color w:val="auto"/>
          <w:highlight w:val="none"/>
        </w:rPr>
        <w:t>甲</w:t>
      </w:r>
      <w:r>
        <w:rPr>
          <w:color w:val="auto"/>
          <w:highlight w:val="none"/>
        </w:rPr>
        <w:t>方：</w:t>
      </w:r>
      <w:r>
        <w:rPr>
          <w:rFonts w:hint="eastAsia"/>
          <w:color w:val="auto"/>
          <w:highlight w:val="none"/>
        </w:rPr>
        <w:t>中国煤炭开发有限责任公司</w:t>
      </w:r>
    </w:p>
    <w:p>
      <w:pPr>
        <w:spacing w:line="360" w:lineRule="auto"/>
        <w:ind w:firstLine="480" w:firstLineChars="200"/>
        <w:rPr>
          <w:rFonts w:hint="eastAsia"/>
          <w:color w:val="auto"/>
          <w:highlight w:val="none"/>
        </w:rPr>
      </w:pPr>
      <w:r>
        <w:rPr>
          <w:rFonts w:hint="eastAsia"/>
          <w:color w:val="auto"/>
          <w:highlight w:val="none"/>
        </w:rPr>
        <w:t>乙</w:t>
      </w:r>
      <w:r>
        <w:rPr>
          <w:color w:val="auto"/>
          <w:highlight w:val="none"/>
        </w:rPr>
        <w:t>方：</w:t>
      </w:r>
    </w:p>
    <w:p>
      <w:pPr>
        <w:spacing w:before="0" w:after="0" w:line="500" w:lineRule="exact"/>
        <w:ind w:firstLine="480" w:firstLineChars="200"/>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为预防商业贿赂和不正当竞争，规范供需双方业务往来活动，建立诚实守信的商务合作关系，共同维护各方合法权益，防止违规违纪行为发生，经友好协商，各方就业务往来中的廉洁事宜达成此互保协议。</w:t>
      </w:r>
    </w:p>
    <w:p>
      <w:pPr>
        <w:spacing w:before="0" w:after="0" w:line="500" w:lineRule="exact"/>
        <w:ind w:firstLine="480" w:firstLineChars="200"/>
        <w:rPr>
          <w:rFonts w:hint="eastAsia" w:asciiTheme="minorEastAsia" w:hAnsiTheme="minorEastAsia" w:eastAsiaTheme="minorEastAsia" w:cstheme="minorEastAsia"/>
          <w:color w:val="000000"/>
          <w:sz w:val="24"/>
          <w:szCs w:val="24"/>
          <w:highlight w:val="none"/>
        </w:rPr>
      </w:pPr>
    </w:p>
    <w:p>
      <w:pPr>
        <w:spacing w:before="0" w:after="0" w:line="500" w:lineRule="exact"/>
        <w:ind w:firstLine="482" w:firstLineChars="200"/>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b/>
          <w:bCs/>
          <w:color w:val="000000"/>
          <w:sz w:val="24"/>
          <w:szCs w:val="24"/>
          <w:highlight w:val="none"/>
        </w:rPr>
        <w:t>第一条</w:t>
      </w:r>
      <w:r>
        <w:rPr>
          <w:rFonts w:hint="eastAsia" w:asciiTheme="minorEastAsia" w:hAnsiTheme="minorEastAsia" w:eastAsiaTheme="minorEastAsia" w:cstheme="minorEastAsia"/>
          <w:color w:val="000000"/>
          <w:sz w:val="24"/>
          <w:szCs w:val="24"/>
          <w:highlight w:val="none"/>
        </w:rPr>
        <w:t xml:space="preserve">  甲、乙双方共同的权利和义务</w:t>
      </w:r>
    </w:p>
    <w:p>
      <w:pPr>
        <w:spacing w:before="0" w:after="0" w:line="500" w:lineRule="exact"/>
        <w:ind w:firstLine="480" w:firstLineChars="200"/>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1.严格遵守国家有关法律法规，坚持诚实守信原则，恪守商业道德，规范工作人员廉洁从业行为。</w:t>
      </w:r>
    </w:p>
    <w:p>
      <w:pPr>
        <w:spacing w:before="0" w:after="0" w:line="500" w:lineRule="exact"/>
        <w:ind w:firstLine="480" w:firstLineChars="200"/>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2.双方业务活动坚持公开、公正、诚信、透明的原则（商业秘密和合同文件另有规定的除外），不得损害国家和集体利益。</w:t>
      </w:r>
    </w:p>
    <w:p>
      <w:pPr>
        <w:spacing w:before="0" w:after="0" w:line="500" w:lineRule="exact"/>
        <w:ind w:firstLine="480" w:firstLineChars="200"/>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3.发现对方工作人员在业务活动中有违反廉洁规定的行为，有及时要求对方纠正并向对方举报的权利和义务；涉嫌违法的，可以依法向有关部门举报。</w:t>
      </w:r>
    </w:p>
    <w:p>
      <w:pPr>
        <w:spacing w:before="0" w:after="0" w:line="500" w:lineRule="exact"/>
        <w:ind w:firstLine="480" w:firstLineChars="200"/>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4.对涉嫌不廉洁的商业行为进行调查时，双方有相互配合、提供证据、作证的义务。</w:t>
      </w:r>
    </w:p>
    <w:p>
      <w:pPr>
        <w:spacing w:before="0" w:after="0" w:line="500" w:lineRule="exact"/>
        <w:ind w:firstLine="480" w:firstLineChars="200"/>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5.未经对方同意，不向任何新闻媒体、第三人述及有关对方工作人员恪守商业道德方面的评价、信息。</w:t>
      </w:r>
    </w:p>
    <w:p>
      <w:pPr>
        <w:spacing w:before="0" w:after="0" w:line="500" w:lineRule="exact"/>
        <w:ind w:firstLine="480" w:firstLineChars="200"/>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6.双方应依法保护举报人员，不得以任何方式对举报人员进行打击报复。</w:t>
      </w:r>
    </w:p>
    <w:p>
      <w:pPr>
        <w:spacing w:before="0" w:after="0" w:line="500" w:lineRule="exact"/>
        <w:ind w:firstLine="482" w:firstLineChars="200"/>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b/>
          <w:bCs/>
          <w:color w:val="000000"/>
          <w:sz w:val="24"/>
          <w:szCs w:val="24"/>
          <w:highlight w:val="none"/>
        </w:rPr>
        <w:t>第二条</w:t>
      </w:r>
      <w:r>
        <w:rPr>
          <w:rFonts w:hint="eastAsia" w:asciiTheme="minorEastAsia" w:hAnsiTheme="minorEastAsia" w:eastAsiaTheme="minorEastAsia" w:cstheme="minorEastAsia"/>
          <w:color w:val="000000"/>
          <w:sz w:val="24"/>
          <w:szCs w:val="24"/>
          <w:highlight w:val="none"/>
        </w:rPr>
        <w:t xml:space="preserve">  甲方的廉洁责任</w:t>
      </w:r>
    </w:p>
    <w:p>
      <w:pPr>
        <w:spacing w:before="0" w:after="0" w:line="500" w:lineRule="exact"/>
        <w:ind w:firstLine="480" w:firstLineChars="200"/>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1.甲方工作人员及其配偶、子女、其他特定关系人不得以任何形式索要或接受乙方回扣、礼品、礼金和有价证券等财物，不得以借用名义占用乙方或其工作人员提供的财物，不得在乙方报销或要求乙方或其工作人员支付任何应由其个人支付的各种费用。</w:t>
      </w:r>
    </w:p>
    <w:p>
      <w:pPr>
        <w:spacing w:before="0" w:after="0" w:line="500" w:lineRule="exact"/>
        <w:ind w:firstLine="480" w:firstLineChars="200"/>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2.甲方工作人员及其配偶、子女、其他特定关系人不得要求或者接受乙方以住房装修、婚丧嫁娶、家属及其他亲属的工作安排、出国出境、旅游等为理由所提供的方便。</w:t>
      </w:r>
    </w:p>
    <w:p>
      <w:pPr>
        <w:spacing w:before="0" w:after="0" w:line="500" w:lineRule="exact"/>
        <w:ind w:firstLine="480" w:firstLineChars="200"/>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3.甲方工作人员及其配偶、子女、其他特定关系人不得通过向乙方或其工作人员以明显低于市场的价格购买或者以明显高于市场的价格出售房屋、汽车等，获取不正当利益。</w:t>
      </w:r>
    </w:p>
    <w:p>
      <w:pPr>
        <w:spacing w:before="0" w:after="0" w:line="500" w:lineRule="exact"/>
        <w:ind w:firstLine="480" w:firstLineChars="200"/>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4.甲方工作人员及其配偶、子女、其他特定关系人不得以委托乙方或其工作人员投资证券、期货或者其他委托理财名义，获取不正当利益。</w:t>
      </w:r>
    </w:p>
    <w:p>
      <w:pPr>
        <w:spacing w:before="0" w:after="0" w:line="500" w:lineRule="exact"/>
        <w:ind w:firstLine="480" w:firstLineChars="200"/>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5.甲方工作人员不得私自参加乙方安排的宴请，不得私自接受乙方提供的通讯、交通工具和办公用品，不得向乙方泄露谈判中的商业秘密。</w:t>
      </w:r>
    </w:p>
    <w:p>
      <w:pPr>
        <w:spacing w:before="0" w:after="0" w:line="500" w:lineRule="exact"/>
        <w:ind w:firstLine="480" w:firstLineChars="200"/>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6.甲方工作人员不得以任何理由向乙方推荐物资、服务供应单位、工程承包或劳务分包单位，合同另有约定除外。</w:t>
      </w:r>
    </w:p>
    <w:p>
      <w:pPr>
        <w:spacing w:before="0" w:after="0" w:line="500" w:lineRule="exact"/>
        <w:ind w:firstLine="482" w:firstLineChars="200"/>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b/>
          <w:bCs/>
          <w:color w:val="000000"/>
          <w:sz w:val="24"/>
          <w:szCs w:val="24"/>
          <w:highlight w:val="none"/>
        </w:rPr>
        <w:t>第三条</w:t>
      </w:r>
      <w:r>
        <w:rPr>
          <w:rFonts w:hint="eastAsia" w:asciiTheme="minorEastAsia" w:hAnsiTheme="minorEastAsia" w:eastAsiaTheme="minorEastAsia" w:cstheme="minorEastAsia"/>
          <w:color w:val="000000"/>
          <w:sz w:val="24"/>
          <w:szCs w:val="24"/>
          <w:highlight w:val="none"/>
        </w:rPr>
        <w:t xml:space="preserve">  乙方的廉洁责任</w:t>
      </w:r>
    </w:p>
    <w:p>
      <w:pPr>
        <w:spacing w:before="0" w:after="0" w:line="500" w:lineRule="exact"/>
        <w:ind w:firstLine="480" w:firstLineChars="200"/>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1.乙方及其工作人员不得为甲方工作人员及其配偶、子女、其他特定关系人提供回扣、礼品、礼金、有价证券等财物，或报销、支付任何个人费用。</w:t>
      </w:r>
    </w:p>
    <w:p>
      <w:pPr>
        <w:spacing w:before="0" w:after="0" w:line="500" w:lineRule="exact"/>
        <w:ind w:firstLine="480" w:firstLineChars="200"/>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2.乙方及其工作人员不得为甲方工作人员及其配偶、子女、其他特定关系人安排有可能影响公平、公正交易的宴请、健身、娱乐等活动。</w:t>
      </w:r>
    </w:p>
    <w:p>
      <w:pPr>
        <w:spacing w:before="0" w:after="0" w:line="500" w:lineRule="exact"/>
        <w:ind w:firstLine="480" w:firstLineChars="200"/>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3.乙方及其工作人员不得为甲方工作人员及其配偶、子女、其他特定关系人投资入股、个人借款或买卖股票、债券等提供方便。</w:t>
      </w:r>
    </w:p>
    <w:p>
      <w:pPr>
        <w:spacing w:before="0" w:after="0" w:line="500" w:lineRule="exact"/>
        <w:ind w:firstLine="480" w:firstLineChars="200"/>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4.乙方及其工作人员不得为甲方工作人员及其配偶、子女、其他特定关系人购买或装修住房、婚丧嫁娶、配偶子女上学或工作安排以及出国出境、旅游等提供方便。</w:t>
      </w:r>
    </w:p>
    <w:p>
      <w:pPr>
        <w:spacing w:before="0" w:after="0" w:line="500" w:lineRule="exact"/>
        <w:ind w:firstLine="480" w:firstLineChars="200"/>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5.乙方及其工作人员不得为甲方工作人员及其配偶、子女、其他特定关系人在其相关企业挂名兼职、合伙经营、介绍承揽业务等提供方便。</w:t>
      </w:r>
    </w:p>
    <w:p>
      <w:pPr>
        <w:spacing w:before="0" w:after="0" w:line="500" w:lineRule="exact"/>
        <w:ind w:firstLine="480" w:firstLineChars="200"/>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 xml:space="preserve">6.乙方及其工作人员不得利用非法手段向甲方工作人员打探有关涉及甲方的商业秘密、业务渠道等。 </w:t>
      </w:r>
    </w:p>
    <w:p>
      <w:pPr>
        <w:spacing w:before="0" w:after="0" w:line="500" w:lineRule="exact"/>
        <w:ind w:firstLine="480" w:firstLineChars="200"/>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7.乙方及其工作人员与甲方发生业务往来过程中，不得有弄虚作假、以次充好、虚结虚算等违反诚信原则的行为。</w:t>
      </w:r>
    </w:p>
    <w:p>
      <w:pPr>
        <w:spacing w:before="0" w:after="0" w:line="500" w:lineRule="exact"/>
        <w:ind w:firstLine="480" w:firstLineChars="200"/>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8.其他违反廉洁规定的行为。</w:t>
      </w:r>
    </w:p>
    <w:p>
      <w:pPr>
        <w:spacing w:before="0" w:after="0" w:line="500" w:lineRule="exact"/>
        <w:ind w:firstLine="482" w:firstLineChars="200"/>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b/>
          <w:bCs/>
          <w:color w:val="000000"/>
          <w:sz w:val="24"/>
          <w:szCs w:val="24"/>
          <w:highlight w:val="none"/>
        </w:rPr>
        <w:t>第四条</w:t>
      </w:r>
      <w:r>
        <w:rPr>
          <w:rFonts w:hint="eastAsia" w:asciiTheme="minorEastAsia" w:hAnsiTheme="minorEastAsia" w:eastAsiaTheme="minorEastAsia" w:cstheme="minorEastAsia"/>
          <w:color w:val="000000"/>
          <w:sz w:val="24"/>
          <w:szCs w:val="24"/>
          <w:highlight w:val="none"/>
        </w:rPr>
        <w:t xml:space="preserve">  甲方工作人员有违反本协议行为的，甲方按照有关法律法规、规章及企业规章制度对该工作人员进行组织处理、处分；如该工作人员涉嫌犯罪的，移送国家监察机关或司法机关查处。</w:t>
      </w:r>
    </w:p>
    <w:p>
      <w:pPr>
        <w:spacing w:before="0" w:after="0" w:line="500" w:lineRule="exact"/>
        <w:ind w:firstLine="482" w:firstLineChars="200"/>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b/>
          <w:bCs/>
          <w:color w:val="000000"/>
          <w:sz w:val="24"/>
          <w:szCs w:val="24"/>
          <w:highlight w:val="none"/>
        </w:rPr>
        <w:t>第五条</w:t>
      </w:r>
      <w:r>
        <w:rPr>
          <w:rFonts w:hint="eastAsia" w:asciiTheme="minorEastAsia" w:hAnsiTheme="minorEastAsia" w:eastAsiaTheme="minorEastAsia" w:cstheme="minorEastAsia"/>
          <w:color w:val="000000"/>
          <w:sz w:val="24"/>
          <w:szCs w:val="24"/>
          <w:highlight w:val="none"/>
        </w:rPr>
        <w:t xml:space="preserve">  监督与举报</w:t>
      </w:r>
    </w:p>
    <w:p>
      <w:pPr>
        <w:spacing w:before="0" w:after="0" w:line="500" w:lineRule="exact"/>
        <w:ind w:firstLine="480" w:firstLineChars="200"/>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双方均有权对对方在业务往来中的廉洁情况进行监督，并鼓励员工对发现的违反廉洁规定的行为进行举报。</w:t>
      </w:r>
    </w:p>
    <w:p>
      <w:pPr>
        <w:spacing w:before="0" w:after="0" w:line="500" w:lineRule="exact"/>
        <w:ind w:firstLine="480" w:firstLineChars="200"/>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举报渠道：</w:t>
      </w:r>
    </w:p>
    <w:p>
      <w:pPr>
        <w:spacing w:before="0" w:after="0" w:line="500" w:lineRule="exact"/>
        <w:ind w:firstLine="480" w:firstLineChars="200"/>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甲方设立举报电话：[甲方举报电话]，举报邮箱：[甲方举报邮箱]，接收乙方及社会各界对甲方员工违反廉洁规定行为的举报。</w:t>
      </w:r>
    </w:p>
    <w:p>
      <w:pPr>
        <w:spacing w:before="0" w:after="0" w:line="500" w:lineRule="exact"/>
        <w:ind w:firstLine="480" w:firstLineChars="200"/>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乙方设立举报电话：[乙方举报电话]，举报邮箱：[乙方举报邮箱]，接收甲方及社会各界对乙方员工违反廉洁规定行为的举报。</w:t>
      </w:r>
    </w:p>
    <w:p>
      <w:pPr>
        <w:spacing w:before="0" w:after="0" w:line="500" w:lineRule="exact"/>
        <w:ind w:firstLine="480" w:firstLineChars="200"/>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举报处理：</w:t>
      </w:r>
    </w:p>
    <w:p>
      <w:pPr>
        <w:spacing w:before="0" w:after="0" w:line="500" w:lineRule="exact"/>
        <w:ind w:firstLine="480" w:firstLineChars="200"/>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接到举报后，双方应对举报内容进行调查或核实。如确有违反廉洁规定的行为，应依据本单位的相关规定对违规人员进行严肃处理，并及时将处理结果告知对方。</w:t>
      </w:r>
    </w:p>
    <w:p>
      <w:pPr>
        <w:spacing w:before="0" w:after="0" w:line="500" w:lineRule="exact"/>
        <w:ind w:firstLine="480" w:firstLineChars="200"/>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对于举报人的信息，双方应严格保密，严禁对举报人进行打击报复。如发现有打击报复举报人行为的，将依法追究相关人员的法律责任。</w:t>
      </w:r>
    </w:p>
    <w:p>
      <w:pPr>
        <w:spacing w:before="0" w:after="0" w:line="500" w:lineRule="exact"/>
        <w:ind w:firstLine="482" w:firstLineChars="200"/>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b/>
          <w:bCs/>
          <w:color w:val="000000"/>
          <w:sz w:val="24"/>
          <w:szCs w:val="24"/>
          <w:highlight w:val="none"/>
        </w:rPr>
        <w:t>第六条</w:t>
      </w:r>
      <w:r>
        <w:rPr>
          <w:rFonts w:hint="eastAsia" w:asciiTheme="minorEastAsia" w:hAnsiTheme="minorEastAsia" w:eastAsiaTheme="minorEastAsia" w:cstheme="minorEastAsia"/>
          <w:color w:val="000000"/>
          <w:sz w:val="24"/>
          <w:szCs w:val="24"/>
          <w:highlight w:val="none"/>
        </w:rPr>
        <w:t>乙方及其工作人员有违反本协议行为的，视其情节严重性按照如下条款执行：</w:t>
      </w:r>
    </w:p>
    <w:p>
      <w:pPr>
        <w:spacing w:before="0" w:after="0" w:line="500" w:lineRule="exact"/>
        <w:ind w:firstLine="480" w:firstLineChars="200"/>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1.情节轻微的，甲方有权要求乙方限期整改。</w:t>
      </w:r>
    </w:p>
    <w:p>
      <w:pPr>
        <w:spacing w:before="0" w:after="0" w:line="500" w:lineRule="exact"/>
        <w:ind w:firstLine="480" w:firstLineChars="200"/>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2.情节严重的，甲方有权要求乙方支付合同金额20%的违约金，违约金不足以弥补甲方损失的，甲方有权要求乙方承担赔偿责任，直至甲方损失全部得到弥补。同时，甲方有权解除、终止尚未履行完毕的所有合同及订单并将乙方列入供应商黑名单，乙方因甲方解除合同、订单产生的损失由乙方自行承担。本条所述情节严重的包括但不限于以下情形：</w:t>
      </w:r>
    </w:p>
    <w:p>
      <w:pPr>
        <w:spacing w:before="0" w:after="0" w:line="500" w:lineRule="exact"/>
        <w:ind w:firstLine="480" w:firstLineChars="200"/>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（1）导致甲方或其工作人员受到组织处理、处分或构成违法犯罪的；</w:t>
      </w:r>
    </w:p>
    <w:p>
      <w:pPr>
        <w:spacing w:before="0" w:after="0" w:line="500" w:lineRule="exact"/>
        <w:ind w:firstLine="480" w:firstLineChars="200"/>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（2）给甲方造成重大社会影响的，如省级以上媒体发布甲方的负面报道；相关网络信息实际被点击、浏览次数达到两千五百次以上，或者被转发次数达到二百五十次以上；</w:t>
      </w:r>
    </w:p>
    <w:p>
      <w:pPr>
        <w:spacing w:before="0" w:after="0" w:line="500" w:lineRule="exact"/>
        <w:ind w:firstLine="480" w:firstLineChars="200"/>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（3）给甲方或所属企业造成重大经济损失达到100万以上的。</w:t>
      </w:r>
    </w:p>
    <w:p>
      <w:pPr>
        <w:spacing w:before="0" w:after="0" w:line="500" w:lineRule="exact"/>
        <w:ind w:firstLine="480" w:firstLineChars="200"/>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本条所述的违约金、损失赔偿金甲方有权从给乙方的应付款中扣除，不足部分由乙方在接到甲方书面通知之日起7个自然日内一次性支付给甲方。</w:t>
      </w:r>
    </w:p>
    <w:p>
      <w:pPr>
        <w:spacing w:before="0" w:after="0" w:line="500" w:lineRule="exact"/>
        <w:ind w:firstLine="482" w:firstLineChars="200"/>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b/>
          <w:bCs/>
          <w:color w:val="000000"/>
          <w:sz w:val="24"/>
          <w:szCs w:val="24"/>
          <w:highlight w:val="none"/>
        </w:rPr>
        <w:t>第七条</w:t>
      </w:r>
      <w:r>
        <w:rPr>
          <w:rFonts w:hint="eastAsia" w:asciiTheme="minorEastAsia" w:hAnsiTheme="minorEastAsia" w:eastAsiaTheme="minorEastAsia" w:cstheme="minorEastAsia"/>
          <w:color w:val="000000"/>
          <w:sz w:val="24"/>
          <w:szCs w:val="24"/>
          <w:highlight w:val="none"/>
        </w:rPr>
        <w:t xml:space="preserve">  其他</w:t>
      </w:r>
    </w:p>
    <w:p>
      <w:pPr>
        <w:spacing w:before="0" w:after="0" w:line="500" w:lineRule="exact"/>
        <w:ind w:firstLine="480" w:firstLineChars="200"/>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1、本协议作为双方签订的所有业务合同的组成部分，与业务合同具有同等法律效力。</w:t>
      </w:r>
    </w:p>
    <w:p>
      <w:pPr>
        <w:spacing w:before="0" w:after="0" w:line="500" w:lineRule="exact"/>
        <w:ind w:firstLine="480" w:firstLineChars="200"/>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2、本协议乙方为一个单位或组织的，为单一“乙方”；本协议乙方为两个或两个以上单位或组织的，合称“乙方”，任一乙方对另外其他乙方的违约行为承担连带赔偿责任。</w:t>
      </w:r>
    </w:p>
    <w:p>
      <w:pPr>
        <w:spacing w:before="0" w:after="0" w:line="500" w:lineRule="exact"/>
        <w:ind w:firstLine="480" w:firstLineChars="200"/>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3、本协议所述“合同金额”指甲方已付及应付未付的合同价款总和，包括：（1）供需标的明确的采购合同的合同总额；（2）长期供货合同项下自首笔订单交易起至出现本协议第六条所述情节严重情形之日止（以甲方作出处理决定或正式通知之日，国家审计机构出具审计报告之日，以及公检法、国家纪检监察等机关立案通知之日为标志），甲、乙双方之间已发生的所有订单交易总额。</w:t>
      </w:r>
    </w:p>
    <w:p>
      <w:pPr>
        <w:spacing w:before="0" w:after="0" w:line="500" w:lineRule="exact"/>
        <w:ind w:firstLine="480" w:firstLineChars="200"/>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4、本协议自双方法定代表人或其授权代表签署并加盖合同章或公章后生效，有效期与业务合同有效期一致，但有效期内发生的违约和违法违规违纪行为在有效期后发现的，仍适用本协议。</w:t>
      </w:r>
    </w:p>
    <w:p>
      <w:pPr>
        <w:spacing w:before="0" w:after="0" w:line="500" w:lineRule="exact"/>
        <w:ind w:firstLine="480" w:firstLineChars="200"/>
        <w:rPr>
          <w:rFonts w:hint="eastAsia" w:asciiTheme="minorEastAsia" w:hAnsiTheme="minorEastAsia" w:eastAsiaTheme="minorEastAsia" w:cstheme="minorEastAsia"/>
          <w:color w:val="000000"/>
          <w:sz w:val="24"/>
          <w:szCs w:val="24"/>
          <w:highlight w:val="none"/>
        </w:rPr>
      </w:pPr>
    </w:p>
    <w:p>
      <w:pPr>
        <w:spacing w:before="0" w:after="0" w:line="500" w:lineRule="exact"/>
        <w:ind w:firstLine="480" w:firstLineChars="200"/>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甲方（盖章）：               乙方（盖章）：</w:t>
      </w:r>
    </w:p>
    <w:p>
      <w:pPr>
        <w:spacing w:before="0" w:after="0" w:line="500" w:lineRule="exact"/>
        <w:ind w:firstLine="480" w:firstLineChars="200"/>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授权代表（甲方签名）：          授权代表（乙方签名）：</w:t>
      </w:r>
    </w:p>
    <w:p>
      <w:pPr>
        <w:spacing w:before="0" w:after="0" w:line="500" w:lineRule="exact"/>
        <w:ind w:firstLine="480" w:firstLineChars="200"/>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地址：                         地址：</w:t>
      </w:r>
    </w:p>
    <w:p>
      <w:pPr>
        <w:spacing w:line="560" w:lineRule="exact"/>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000000"/>
          <w:sz w:val="24"/>
          <w:szCs w:val="24"/>
          <w:highlight w:val="none"/>
        </w:rPr>
        <w:t>电话：                         电话：</w:t>
      </w:r>
    </w:p>
    <w:p>
      <w:pPr>
        <w:spacing w:line="240" w:lineRule="auto"/>
        <w:ind w:firstLine="0" w:firstLineChars="0"/>
        <w:rPr>
          <w:color w:val="auto"/>
          <w:highlight w:val="none"/>
        </w:rPr>
      </w:pPr>
      <w:r>
        <w:rPr>
          <w:color w:val="auto"/>
          <w:highlight w:val="none"/>
        </w:rPr>
        <w:br w:type="page"/>
      </w:r>
    </w:p>
    <w:p>
      <w:pPr>
        <w:spacing w:line="560" w:lineRule="exact"/>
        <w:ind w:firstLine="48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lang w:val="en-US" w:eastAsia="zh-CN"/>
        </w:rPr>
        <w:t>附件2</w:t>
      </w:r>
    </w:p>
    <w:p>
      <w:pPr>
        <w:pStyle w:val="98"/>
        <w:keepNext w:val="0"/>
        <w:keepLines w:val="0"/>
        <w:pageBreakBefore w:val="0"/>
        <w:kinsoku/>
        <w:wordWrap/>
        <w:overflowPunct/>
        <w:topLinePunct w:val="0"/>
        <w:autoSpaceDE/>
        <w:autoSpaceDN/>
        <w:bidi w:val="0"/>
        <w:snapToGrid/>
        <w:spacing w:after="164" w:afterLines="50" w:line="560" w:lineRule="exact"/>
        <w:ind w:left="0" w:leftChars="0"/>
        <w:jc w:val="center"/>
        <w:textAlignment w:val="auto"/>
        <w:rPr>
          <w:rFonts w:ascii="Times New Roman" w:hAnsi="Times New Roman" w:eastAsia="方正仿宋简体" w:cs="Times New Roman"/>
          <w:color w:val="auto"/>
          <w:spacing w:val="0"/>
          <w:kern w:val="2"/>
          <w:sz w:val="24"/>
          <w:szCs w:val="24"/>
          <w:highlight w:val="none"/>
        </w:rPr>
      </w:pPr>
      <w:r>
        <w:rPr>
          <w:rFonts w:ascii="Times New Roman" w:hAnsi="Times New Roman" w:eastAsia="方正小标宋简体" w:cs="Times New Roman"/>
          <w:spacing w:val="0"/>
          <w:sz w:val="30"/>
          <w:szCs w:val="30"/>
          <w:highlight w:val="none"/>
          <w:lang w:val="zh-TW" w:eastAsia="zh-TW"/>
        </w:rPr>
        <w:t>保密及无利益冲突承诺函</w:t>
      </w:r>
    </w:p>
    <w:p>
      <w:pPr>
        <w:pStyle w:val="98"/>
        <w:keepNext w:val="0"/>
        <w:keepLines w:val="0"/>
        <w:pageBreakBefore w:val="0"/>
        <w:kinsoku/>
        <w:wordWrap/>
        <w:overflowPunct/>
        <w:topLinePunct w:val="0"/>
        <w:autoSpaceDE/>
        <w:autoSpaceDN/>
        <w:bidi w:val="0"/>
        <w:snapToGrid/>
        <w:spacing w:line="560" w:lineRule="exact"/>
        <w:ind w:left="0" w:leftChars="0"/>
        <w:textAlignment w:val="auto"/>
        <w:rPr>
          <w:rFonts w:hint="default" w:ascii="Times New Roman" w:hAnsi="Times New Roman" w:eastAsia="宋体" w:cs="Times New Roman"/>
          <w:color w:val="auto"/>
          <w:spacing w:val="0"/>
          <w:kern w:val="2"/>
          <w:sz w:val="24"/>
          <w:szCs w:val="24"/>
          <w:highlight w:val="none"/>
        </w:rPr>
      </w:pPr>
      <w:r>
        <w:rPr>
          <w:rFonts w:hint="default" w:ascii="Times New Roman" w:hAnsi="Times New Roman" w:eastAsia="宋体" w:cs="Times New Roman"/>
          <w:color w:val="auto"/>
          <w:spacing w:val="0"/>
          <w:kern w:val="2"/>
          <w:sz w:val="24"/>
          <w:szCs w:val="24"/>
          <w:highlight w:val="none"/>
        </w:rPr>
        <w:t>致:</w:t>
      </w:r>
      <w:r>
        <w:rPr>
          <w:rFonts w:hint="default" w:ascii="Times New Roman" w:hAnsi="Times New Roman" w:eastAsia="宋体" w:cs="Times New Roman"/>
          <w:color w:val="auto"/>
          <w:spacing w:val="0"/>
          <w:kern w:val="2"/>
          <w:sz w:val="24"/>
          <w:szCs w:val="24"/>
          <w:highlight w:val="none"/>
          <w:lang w:val="en-US" w:eastAsia="zh-CN"/>
        </w:rPr>
        <w:t>中国煤炭开发有限责任</w:t>
      </w:r>
      <w:r>
        <w:rPr>
          <w:rFonts w:hint="default" w:ascii="Times New Roman" w:hAnsi="Times New Roman" w:eastAsia="宋体" w:cs="Times New Roman"/>
          <w:color w:val="auto"/>
          <w:spacing w:val="0"/>
          <w:kern w:val="2"/>
          <w:sz w:val="24"/>
          <w:szCs w:val="24"/>
          <w:highlight w:val="none"/>
        </w:rPr>
        <w:t>公司</w:t>
      </w:r>
    </w:p>
    <w:p>
      <w:pPr>
        <w:pStyle w:val="98"/>
        <w:keepNext w:val="0"/>
        <w:keepLines w:val="0"/>
        <w:pageBreakBefore w:val="0"/>
        <w:tabs>
          <w:tab w:val="left" w:pos="840"/>
        </w:tabs>
        <w:kinsoku/>
        <w:wordWrap/>
        <w:overflowPunct/>
        <w:topLinePunct w:val="0"/>
        <w:autoSpaceDE/>
        <w:autoSpaceDN/>
        <w:bidi w:val="0"/>
        <w:snapToGrid/>
        <w:spacing w:line="560" w:lineRule="exact"/>
        <w:ind w:left="0" w:leftChars="0" w:firstLine="480" w:firstLineChars="200"/>
        <w:textAlignment w:val="auto"/>
        <w:rPr>
          <w:rFonts w:hint="default" w:ascii="Times New Roman" w:hAnsi="Times New Roman" w:eastAsia="宋体" w:cs="Times New Roman"/>
          <w:bCs/>
          <w:spacing w:val="0"/>
          <w:sz w:val="24"/>
          <w:szCs w:val="24"/>
          <w:highlight w:val="none"/>
          <w:lang w:val="zh-TW" w:eastAsia="zh-TW"/>
        </w:rPr>
      </w:pPr>
      <w:r>
        <w:rPr>
          <w:rFonts w:hint="default" w:ascii="Times New Roman" w:hAnsi="Times New Roman" w:eastAsia="宋体" w:cs="Times New Roman"/>
          <w:bCs/>
          <w:spacing w:val="0"/>
          <w:sz w:val="24"/>
          <w:szCs w:val="24"/>
          <w:highlight w:val="none"/>
          <w:lang w:val="zh-TW"/>
        </w:rPr>
        <w:t>一、</w:t>
      </w:r>
      <w:r>
        <w:rPr>
          <w:rFonts w:hint="default" w:ascii="Times New Roman" w:hAnsi="Times New Roman" w:eastAsia="宋体" w:cs="Times New Roman"/>
          <w:bCs/>
          <w:spacing w:val="0"/>
          <w:sz w:val="24"/>
          <w:szCs w:val="24"/>
          <w:highlight w:val="none"/>
          <w:lang w:val="zh-TW" w:eastAsia="zh-TW"/>
        </w:rPr>
        <w:t>利益冲突</w:t>
      </w:r>
    </w:p>
    <w:p>
      <w:pPr>
        <w:pStyle w:val="98"/>
        <w:keepNext w:val="0"/>
        <w:keepLines w:val="0"/>
        <w:pageBreakBefore w:val="0"/>
        <w:kinsoku/>
        <w:wordWrap/>
        <w:overflowPunct/>
        <w:topLinePunct w:val="0"/>
        <w:autoSpaceDE/>
        <w:autoSpaceDN/>
        <w:bidi w:val="0"/>
        <w:snapToGrid/>
        <w:spacing w:line="560" w:lineRule="exact"/>
        <w:ind w:left="0" w:leftChars="0" w:firstLine="480" w:firstLineChars="200"/>
        <w:textAlignment w:val="auto"/>
        <w:rPr>
          <w:rFonts w:hint="default" w:ascii="Times New Roman" w:hAnsi="Times New Roman" w:eastAsia="宋体" w:cs="Times New Roman"/>
          <w:color w:val="auto"/>
          <w:spacing w:val="0"/>
          <w:kern w:val="2"/>
          <w:sz w:val="24"/>
          <w:szCs w:val="24"/>
          <w:highlight w:val="none"/>
        </w:rPr>
      </w:pPr>
      <w:r>
        <w:rPr>
          <w:rFonts w:hint="default" w:ascii="Times New Roman" w:hAnsi="Times New Roman" w:eastAsia="宋体" w:cs="Times New Roman"/>
          <w:color w:val="auto"/>
          <w:spacing w:val="0"/>
          <w:kern w:val="2"/>
          <w:sz w:val="24"/>
          <w:szCs w:val="24"/>
          <w:highlight w:val="none"/>
        </w:rPr>
        <w:t>1.1本承诺函所称利益冲突，是指本律所</w:t>
      </w:r>
      <w:r>
        <w:rPr>
          <w:rFonts w:hint="default" w:ascii="Times New Roman" w:hAnsi="Times New Roman" w:eastAsia="宋体" w:cs="Times New Roman"/>
          <w:color w:val="auto"/>
          <w:spacing w:val="0"/>
          <w:kern w:val="2"/>
          <w:sz w:val="24"/>
          <w:szCs w:val="24"/>
          <w:highlight w:val="none"/>
          <w:lang w:eastAsia="zh-CN"/>
        </w:rPr>
        <w:t>（</w:t>
      </w:r>
      <w:r>
        <w:rPr>
          <w:rFonts w:hint="default" w:ascii="Times New Roman" w:hAnsi="Times New Roman" w:eastAsia="宋体" w:cs="Times New Roman"/>
          <w:color w:val="auto"/>
          <w:spacing w:val="0"/>
          <w:kern w:val="2"/>
          <w:sz w:val="24"/>
          <w:szCs w:val="24"/>
          <w:highlight w:val="none"/>
        </w:rPr>
        <w:t>无论任何一个地方办公室</w:t>
      </w:r>
      <w:r>
        <w:rPr>
          <w:rFonts w:hint="default" w:ascii="Times New Roman" w:hAnsi="Times New Roman" w:eastAsia="宋体" w:cs="Times New Roman"/>
          <w:color w:val="auto"/>
          <w:spacing w:val="0"/>
          <w:kern w:val="2"/>
          <w:sz w:val="24"/>
          <w:szCs w:val="24"/>
          <w:highlight w:val="none"/>
          <w:lang w:eastAsia="zh-CN"/>
        </w:rPr>
        <w:t>）</w:t>
      </w:r>
      <w:r>
        <w:rPr>
          <w:rFonts w:hint="default" w:ascii="Times New Roman" w:hAnsi="Times New Roman" w:eastAsia="宋体" w:cs="Times New Roman"/>
          <w:color w:val="auto"/>
          <w:spacing w:val="0"/>
          <w:kern w:val="2"/>
          <w:sz w:val="24"/>
          <w:szCs w:val="24"/>
          <w:highlight w:val="none"/>
        </w:rPr>
        <w:t>代理的贵司或贵司实际控制的企业</w:t>
      </w:r>
      <w:r>
        <w:rPr>
          <w:rFonts w:hint="default" w:ascii="Times New Roman" w:hAnsi="Times New Roman" w:eastAsia="宋体" w:cs="Times New Roman"/>
          <w:color w:val="auto"/>
          <w:spacing w:val="0"/>
          <w:kern w:val="2"/>
          <w:sz w:val="24"/>
          <w:szCs w:val="24"/>
          <w:highlight w:val="none"/>
          <w:lang w:eastAsia="zh-CN"/>
        </w:rPr>
        <w:t>（</w:t>
      </w:r>
      <w:r>
        <w:rPr>
          <w:rFonts w:hint="default" w:ascii="Times New Roman" w:hAnsi="Times New Roman" w:eastAsia="宋体" w:cs="Times New Roman"/>
          <w:color w:val="auto"/>
          <w:spacing w:val="0"/>
          <w:kern w:val="2"/>
          <w:sz w:val="24"/>
          <w:szCs w:val="24"/>
          <w:highlight w:val="none"/>
          <w:lang w:val="en-US" w:eastAsia="zh-CN"/>
        </w:rPr>
        <w:t>以下统称贵司）</w:t>
      </w:r>
      <w:r>
        <w:rPr>
          <w:rFonts w:hint="default" w:ascii="Times New Roman" w:hAnsi="Times New Roman" w:eastAsia="宋体" w:cs="Times New Roman"/>
          <w:color w:val="auto"/>
          <w:spacing w:val="0"/>
          <w:kern w:val="2"/>
          <w:sz w:val="24"/>
          <w:szCs w:val="24"/>
          <w:highlight w:val="none"/>
        </w:rPr>
        <w:t>委托事项与我方其他受托事项的委托人之间有利益上的冲突，继续代理会直接影响到相关委托人的利益的情形。</w:t>
      </w:r>
    </w:p>
    <w:p>
      <w:pPr>
        <w:pStyle w:val="98"/>
        <w:keepNext w:val="0"/>
        <w:keepLines w:val="0"/>
        <w:pageBreakBefore w:val="0"/>
        <w:kinsoku/>
        <w:wordWrap/>
        <w:overflowPunct/>
        <w:topLinePunct w:val="0"/>
        <w:autoSpaceDE/>
        <w:autoSpaceDN/>
        <w:bidi w:val="0"/>
        <w:snapToGrid/>
        <w:spacing w:line="560" w:lineRule="exact"/>
        <w:ind w:left="0" w:leftChars="0" w:firstLine="480" w:firstLineChars="200"/>
        <w:textAlignment w:val="auto"/>
        <w:rPr>
          <w:rFonts w:hint="default" w:ascii="Times New Roman" w:hAnsi="Times New Roman" w:eastAsia="宋体" w:cs="Times New Roman"/>
          <w:color w:val="auto"/>
          <w:spacing w:val="0"/>
          <w:kern w:val="2"/>
          <w:sz w:val="24"/>
          <w:szCs w:val="24"/>
          <w:highlight w:val="none"/>
        </w:rPr>
      </w:pPr>
      <w:r>
        <w:rPr>
          <w:rFonts w:hint="default" w:ascii="Times New Roman" w:hAnsi="Times New Roman" w:eastAsia="宋体" w:cs="Times New Roman"/>
          <w:color w:val="auto"/>
          <w:spacing w:val="0"/>
          <w:kern w:val="2"/>
          <w:sz w:val="24"/>
          <w:szCs w:val="24"/>
          <w:highlight w:val="none"/>
        </w:rPr>
        <w:t>1.2本函所称利益冲突情形包括但不限于：</w:t>
      </w:r>
    </w:p>
    <w:p>
      <w:pPr>
        <w:pStyle w:val="98"/>
        <w:keepNext w:val="0"/>
        <w:keepLines w:val="0"/>
        <w:pageBreakBefore w:val="0"/>
        <w:kinsoku/>
        <w:wordWrap/>
        <w:overflowPunct/>
        <w:topLinePunct w:val="0"/>
        <w:autoSpaceDE/>
        <w:autoSpaceDN/>
        <w:bidi w:val="0"/>
        <w:snapToGrid/>
        <w:spacing w:line="560" w:lineRule="exact"/>
        <w:ind w:left="0" w:leftChars="0" w:firstLine="480" w:firstLineChars="200"/>
        <w:textAlignment w:val="auto"/>
        <w:rPr>
          <w:rFonts w:hint="default" w:ascii="Times New Roman" w:hAnsi="Times New Roman" w:eastAsia="宋体" w:cs="Times New Roman"/>
          <w:color w:val="auto"/>
          <w:spacing w:val="0"/>
          <w:kern w:val="2"/>
          <w:sz w:val="24"/>
          <w:szCs w:val="24"/>
          <w:highlight w:val="none"/>
          <w:lang w:val="zh-TW" w:eastAsia="zh-TW"/>
        </w:rPr>
      </w:pPr>
      <w:r>
        <w:rPr>
          <w:rFonts w:hint="default" w:ascii="Times New Roman" w:hAnsi="Times New Roman" w:eastAsia="宋体" w:cs="Times New Roman"/>
          <w:color w:val="auto"/>
          <w:spacing w:val="0"/>
          <w:kern w:val="2"/>
          <w:sz w:val="24"/>
          <w:szCs w:val="24"/>
          <w:highlight w:val="none"/>
        </w:rPr>
        <w:t>1.2.1</w:t>
      </w:r>
      <w:r>
        <w:rPr>
          <w:rFonts w:hint="default" w:ascii="Times New Roman" w:hAnsi="Times New Roman" w:eastAsia="宋体" w:cs="Times New Roman"/>
          <w:color w:val="auto"/>
          <w:spacing w:val="0"/>
          <w:kern w:val="2"/>
          <w:sz w:val="24"/>
          <w:szCs w:val="24"/>
          <w:highlight w:val="none"/>
          <w:lang w:val="zh-TW" w:eastAsia="zh-TW"/>
        </w:rPr>
        <w:t>同一诉讼或者仲裁案件中，同时接受对立双方委托的；</w:t>
      </w:r>
    </w:p>
    <w:p>
      <w:pPr>
        <w:pStyle w:val="98"/>
        <w:keepNext w:val="0"/>
        <w:keepLines w:val="0"/>
        <w:pageBreakBefore w:val="0"/>
        <w:kinsoku/>
        <w:wordWrap/>
        <w:overflowPunct/>
        <w:topLinePunct w:val="0"/>
        <w:autoSpaceDE/>
        <w:autoSpaceDN/>
        <w:bidi w:val="0"/>
        <w:snapToGrid/>
        <w:spacing w:line="560" w:lineRule="exact"/>
        <w:ind w:left="0" w:leftChars="0" w:firstLine="480" w:firstLineChars="200"/>
        <w:textAlignment w:val="auto"/>
        <w:rPr>
          <w:rFonts w:hint="default" w:ascii="Times New Roman" w:hAnsi="Times New Roman" w:eastAsia="宋体" w:cs="Times New Roman"/>
          <w:color w:val="auto"/>
          <w:spacing w:val="0"/>
          <w:kern w:val="2"/>
          <w:sz w:val="24"/>
          <w:szCs w:val="24"/>
          <w:highlight w:val="none"/>
        </w:rPr>
      </w:pPr>
      <w:r>
        <w:rPr>
          <w:rFonts w:hint="default" w:ascii="Times New Roman" w:hAnsi="Times New Roman" w:eastAsia="宋体" w:cs="Times New Roman"/>
          <w:color w:val="auto"/>
          <w:spacing w:val="0"/>
          <w:kern w:val="2"/>
          <w:sz w:val="24"/>
          <w:szCs w:val="24"/>
          <w:highlight w:val="none"/>
        </w:rPr>
        <w:t>1.2.2在同一诉讼或者仲裁案件中，曾在前置程序中代理一方，又在后置程序中接受对立方委托的；</w:t>
      </w:r>
    </w:p>
    <w:p>
      <w:pPr>
        <w:pStyle w:val="98"/>
        <w:keepNext w:val="0"/>
        <w:keepLines w:val="0"/>
        <w:pageBreakBefore w:val="0"/>
        <w:kinsoku/>
        <w:wordWrap/>
        <w:overflowPunct/>
        <w:topLinePunct w:val="0"/>
        <w:autoSpaceDE/>
        <w:autoSpaceDN/>
        <w:bidi w:val="0"/>
        <w:snapToGrid/>
        <w:spacing w:line="560" w:lineRule="exact"/>
        <w:ind w:left="0" w:leftChars="0" w:firstLine="480" w:firstLineChars="200"/>
        <w:textAlignment w:val="auto"/>
        <w:rPr>
          <w:rFonts w:hint="default" w:ascii="Times New Roman" w:hAnsi="Times New Roman" w:eastAsia="宋体" w:cs="Times New Roman"/>
          <w:spacing w:val="0"/>
          <w:sz w:val="24"/>
          <w:szCs w:val="24"/>
          <w:highlight w:val="none"/>
          <w:lang w:val="en-US" w:eastAsia="zh-CN"/>
        </w:rPr>
      </w:pPr>
      <w:r>
        <w:rPr>
          <w:rFonts w:hint="default" w:ascii="Times New Roman" w:hAnsi="Times New Roman" w:eastAsia="宋体" w:cs="Times New Roman"/>
          <w:color w:val="auto"/>
          <w:spacing w:val="0"/>
          <w:kern w:val="2"/>
          <w:sz w:val="24"/>
          <w:szCs w:val="24"/>
          <w:highlight w:val="none"/>
        </w:rPr>
        <w:t>1.2.3在担任常年或者专项顾问期间，又在诉讼或者仲裁案件中接受前述签约主体的对立方委托的；</w:t>
      </w:r>
      <w:r>
        <w:rPr>
          <w:rFonts w:hint="default" w:ascii="Times New Roman" w:hAnsi="Times New Roman" w:eastAsia="宋体" w:cs="Times New Roman"/>
          <w:spacing w:val="0"/>
          <w:sz w:val="24"/>
          <w:szCs w:val="24"/>
          <w:highlight w:val="none"/>
          <w:lang w:val="en-US" w:eastAsia="zh-CN"/>
        </w:rPr>
        <w:t>或者</w:t>
      </w:r>
      <w:r>
        <w:rPr>
          <w:rFonts w:hint="default" w:ascii="Times New Roman" w:hAnsi="Times New Roman" w:eastAsia="宋体" w:cs="Times New Roman"/>
          <w:color w:val="auto"/>
          <w:spacing w:val="0"/>
          <w:kern w:val="2"/>
          <w:sz w:val="24"/>
          <w:szCs w:val="24"/>
          <w:highlight w:val="none"/>
          <w:lang w:val="zh-TW" w:eastAsia="zh-TW"/>
        </w:rPr>
        <w:t>为签约主体的合作项目对方当事人就合作项目提供非诉讼服务的。</w:t>
      </w:r>
    </w:p>
    <w:p>
      <w:pPr>
        <w:pStyle w:val="98"/>
        <w:keepNext w:val="0"/>
        <w:keepLines w:val="0"/>
        <w:pageBreakBefore w:val="0"/>
        <w:kinsoku/>
        <w:wordWrap/>
        <w:overflowPunct/>
        <w:topLinePunct w:val="0"/>
        <w:autoSpaceDE/>
        <w:autoSpaceDN/>
        <w:bidi w:val="0"/>
        <w:snapToGrid/>
        <w:spacing w:line="560" w:lineRule="exact"/>
        <w:ind w:left="0" w:leftChars="0" w:firstLine="480" w:firstLineChars="200"/>
        <w:textAlignment w:val="auto"/>
        <w:rPr>
          <w:rFonts w:hint="default" w:ascii="Times New Roman" w:hAnsi="Times New Roman" w:eastAsia="宋体" w:cs="Times New Roman"/>
          <w:spacing w:val="0"/>
          <w:sz w:val="24"/>
          <w:szCs w:val="24"/>
          <w:highlight w:val="none"/>
        </w:rPr>
      </w:pPr>
      <w:r>
        <w:rPr>
          <w:rFonts w:hint="default" w:ascii="Times New Roman" w:hAnsi="Times New Roman" w:eastAsia="宋体" w:cs="Times New Roman"/>
          <w:color w:val="auto"/>
          <w:spacing w:val="0"/>
          <w:kern w:val="2"/>
          <w:sz w:val="24"/>
          <w:szCs w:val="24"/>
          <w:highlight w:val="none"/>
          <w:lang w:val="zh-TW" w:eastAsia="zh-TW"/>
        </w:rPr>
        <w:t>1.2.</w:t>
      </w:r>
      <w:r>
        <w:rPr>
          <w:rFonts w:hint="default" w:ascii="Times New Roman" w:hAnsi="Times New Roman" w:eastAsia="宋体" w:cs="Times New Roman"/>
          <w:color w:val="auto"/>
          <w:spacing w:val="0"/>
          <w:kern w:val="2"/>
          <w:sz w:val="24"/>
          <w:szCs w:val="24"/>
          <w:highlight w:val="none"/>
          <w:lang w:val="en-US" w:eastAsia="zh-CN"/>
        </w:rPr>
        <w:t>4</w:t>
      </w:r>
      <w:r>
        <w:rPr>
          <w:rFonts w:hint="default" w:ascii="Times New Roman" w:hAnsi="Times New Roman" w:eastAsia="宋体" w:cs="Times New Roman"/>
          <w:color w:val="auto"/>
          <w:spacing w:val="0"/>
          <w:kern w:val="2"/>
          <w:sz w:val="24"/>
          <w:szCs w:val="24"/>
          <w:highlight w:val="none"/>
          <w:lang w:val="zh-TW" w:eastAsia="zh-TW"/>
        </w:rPr>
        <w:t xml:space="preserve"> 在非诉讼法律服务中，法律、行政法规明确规定不得同时接受对立双方或者利益冲突各方委托，而接受了委托的。</w:t>
      </w:r>
    </w:p>
    <w:p>
      <w:pPr>
        <w:pStyle w:val="98"/>
        <w:keepNext w:val="0"/>
        <w:keepLines w:val="0"/>
        <w:pageBreakBefore w:val="0"/>
        <w:kinsoku/>
        <w:wordWrap/>
        <w:overflowPunct/>
        <w:topLinePunct w:val="0"/>
        <w:autoSpaceDE/>
        <w:autoSpaceDN/>
        <w:bidi w:val="0"/>
        <w:snapToGrid/>
        <w:spacing w:line="560" w:lineRule="exact"/>
        <w:ind w:left="0" w:leftChars="0" w:firstLine="480" w:firstLineChars="200"/>
        <w:textAlignment w:val="auto"/>
        <w:rPr>
          <w:rFonts w:hint="default" w:ascii="Times New Roman" w:hAnsi="Times New Roman" w:eastAsia="宋体" w:cs="Times New Roman"/>
          <w:color w:val="auto"/>
          <w:spacing w:val="0"/>
          <w:kern w:val="2"/>
          <w:sz w:val="24"/>
          <w:szCs w:val="24"/>
          <w:highlight w:val="none"/>
        </w:rPr>
      </w:pPr>
      <w:r>
        <w:rPr>
          <w:rFonts w:hint="default" w:ascii="Times New Roman" w:hAnsi="Times New Roman" w:eastAsia="宋体" w:cs="Times New Roman"/>
          <w:color w:val="auto"/>
          <w:spacing w:val="0"/>
          <w:kern w:val="2"/>
          <w:sz w:val="24"/>
          <w:szCs w:val="24"/>
          <w:highlight w:val="none"/>
        </w:rPr>
        <w:t>1.2.</w:t>
      </w:r>
      <w:r>
        <w:rPr>
          <w:rFonts w:hint="default" w:ascii="Times New Roman" w:hAnsi="Times New Roman" w:eastAsia="宋体" w:cs="Times New Roman"/>
          <w:color w:val="auto"/>
          <w:spacing w:val="0"/>
          <w:kern w:val="2"/>
          <w:sz w:val="24"/>
          <w:szCs w:val="24"/>
          <w:highlight w:val="none"/>
          <w:lang w:val="en-US" w:eastAsia="zh-CN"/>
        </w:rPr>
        <w:t>5</w:t>
      </w:r>
      <w:r>
        <w:rPr>
          <w:rFonts w:hint="default" w:ascii="Times New Roman" w:hAnsi="Times New Roman" w:eastAsia="宋体" w:cs="Times New Roman"/>
          <w:color w:val="auto"/>
          <w:spacing w:val="0"/>
          <w:kern w:val="2"/>
          <w:sz w:val="24"/>
          <w:szCs w:val="24"/>
          <w:highlight w:val="none"/>
          <w:lang w:val="zh-TW" w:eastAsia="zh-TW"/>
        </w:rPr>
        <w:t>同一律所同时接受可能会有利益冲突的两方或者两方以上的委托，进行协调、调解或其他争议解决工作。</w:t>
      </w:r>
    </w:p>
    <w:p>
      <w:pPr>
        <w:pStyle w:val="98"/>
        <w:keepNext w:val="0"/>
        <w:keepLines w:val="0"/>
        <w:pageBreakBefore w:val="0"/>
        <w:kinsoku/>
        <w:wordWrap/>
        <w:overflowPunct/>
        <w:topLinePunct w:val="0"/>
        <w:autoSpaceDE/>
        <w:autoSpaceDN/>
        <w:bidi w:val="0"/>
        <w:snapToGrid/>
        <w:spacing w:line="560" w:lineRule="exact"/>
        <w:ind w:left="0" w:leftChars="0" w:firstLine="480" w:firstLineChars="200"/>
        <w:textAlignment w:val="auto"/>
        <w:rPr>
          <w:rFonts w:hint="default" w:ascii="Times New Roman" w:hAnsi="Times New Roman" w:eastAsia="宋体" w:cs="Times New Roman"/>
          <w:color w:val="auto"/>
          <w:spacing w:val="0"/>
          <w:kern w:val="2"/>
          <w:sz w:val="24"/>
          <w:szCs w:val="24"/>
          <w:highlight w:val="none"/>
        </w:rPr>
      </w:pPr>
      <w:r>
        <w:rPr>
          <w:rFonts w:hint="default" w:ascii="Times New Roman" w:hAnsi="Times New Roman" w:eastAsia="宋体" w:cs="Times New Roman"/>
          <w:color w:val="auto"/>
          <w:spacing w:val="0"/>
          <w:kern w:val="2"/>
          <w:sz w:val="24"/>
          <w:szCs w:val="24"/>
          <w:highlight w:val="none"/>
        </w:rPr>
        <w:t>1.2.</w:t>
      </w:r>
      <w:r>
        <w:rPr>
          <w:rFonts w:hint="default" w:ascii="Times New Roman" w:hAnsi="Times New Roman" w:eastAsia="宋体" w:cs="Times New Roman"/>
          <w:color w:val="auto"/>
          <w:spacing w:val="0"/>
          <w:kern w:val="2"/>
          <w:sz w:val="24"/>
          <w:szCs w:val="24"/>
          <w:highlight w:val="none"/>
          <w:lang w:val="en-US" w:eastAsia="zh-CN"/>
        </w:rPr>
        <w:t>6</w:t>
      </w:r>
      <w:r>
        <w:rPr>
          <w:rFonts w:hint="default" w:ascii="Times New Roman" w:hAnsi="Times New Roman" w:eastAsia="宋体" w:cs="Times New Roman"/>
          <w:color w:val="auto"/>
          <w:spacing w:val="0"/>
          <w:kern w:val="2"/>
          <w:sz w:val="24"/>
          <w:szCs w:val="24"/>
          <w:highlight w:val="none"/>
          <w:lang w:val="zh-TW" w:eastAsia="zh-TW"/>
        </w:rPr>
        <w:t>同一律所同时接受具有利益冲突的两方或者两方以上的委托，办理无事实争议的具体性事务。</w:t>
      </w:r>
    </w:p>
    <w:p>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firstLine="480" w:firstLineChars="200"/>
        <w:jc w:val="left"/>
        <w:textAlignment w:val="auto"/>
        <w:rPr>
          <w:rFonts w:hint="default" w:ascii="Times New Roman" w:hAnsi="Times New Roman" w:eastAsia="宋体" w:cs="Times New Roman"/>
          <w:i w:val="0"/>
          <w:iCs w:val="0"/>
          <w:caps w:val="0"/>
          <w:color w:val="auto"/>
          <w:spacing w:val="0"/>
          <w:kern w:val="2"/>
          <w:sz w:val="24"/>
          <w:szCs w:val="24"/>
          <w:highlight w:val="none"/>
          <w:lang w:val="zh-TW" w:eastAsia="zh-TW" w:bidi="ar-SA"/>
        </w:rPr>
      </w:pPr>
      <w:r>
        <w:rPr>
          <w:rFonts w:hint="default" w:ascii="Times New Roman" w:hAnsi="Times New Roman" w:eastAsia="宋体" w:cs="Times New Roman"/>
          <w:i w:val="0"/>
          <w:iCs w:val="0"/>
          <w:caps w:val="0"/>
          <w:color w:val="auto"/>
          <w:spacing w:val="0"/>
          <w:kern w:val="2"/>
          <w:sz w:val="24"/>
          <w:szCs w:val="24"/>
          <w:highlight w:val="none"/>
          <w:shd w:val="clear" w:color="auto" w:fill="auto"/>
          <w:lang w:val="zh-TW" w:eastAsia="zh-TW" w:bidi="ar-SA"/>
        </w:rPr>
        <w:t>1.2.</w:t>
      </w:r>
      <w:r>
        <w:rPr>
          <w:rFonts w:hint="default" w:ascii="Times New Roman" w:hAnsi="Times New Roman" w:eastAsia="宋体" w:cs="Times New Roman"/>
          <w:i w:val="0"/>
          <w:iCs w:val="0"/>
          <w:caps w:val="0"/>
          <w:color w:val="auto"/>
          <w:spacing w:val="0"/>
          <w:kern w:val="2"/>
          <w:sz w:val="24"/>
          <w:szCs w:val="24"/>
          <w:highlight w:val="none"/>
          <w:shd w:val="clear" w:color="auto" w:fill="auto"/>
          <w:lang w:val="en-US" w:eastAsia="zh-CN" w:bidi="ar-SA"/>
        </w:rPr>
        <w:t>7</w:t>
      </w:r>
      <w:r>
        <w:rPr>
          <w:rFonts w:hint="default" w:ascii="Times New Roman" w:hAnsi="Times New Roman" w:eastAsia="宋体" w:cs="Times New Roman"/>
          <w:i w:val="0"/>
          <w:iCs w:val="0"/>
          <w:caps w:val="0"/>
          <w:color w:val="auto"/>
          <w:spacing w:val="0"/>
          <w:kern w:val="2"/>
          <w:sz w:val="24"/>
          <w:szCs w:val="24"/>
          <w:highlight w:val="none"/>
          <w:shd w:val="clear" w:color="auto" w:fill="auto"/>
          <w:lang w:val="zh-TW" w:eastAsia="zh-TW" w:bidi="ar-SA"/>
        </w:rPr>
        <w:t>在非诉讼业务中，同一律师事务所的律师</w:t>
      </w:r>
      <w:r>
        <w:rPr>
          <w:rFonts w:hint="default" w:ascii="Times New Roman" w:hAnsi="Times New Roman" w:eastAsia="宋体" w:cs="Times New Roman"/>
          <w:i w:val="0"/>
          <w:iCs w:val="0"/>
          <w:caps w:val="0"/>
          <w:color w:val="auto"/>
          <w:spacing w:val="0"/>
          <w:kern w:val="2"/>
          <w:sz w:val="24"/>
          <w:szCs w:val="24"/>
          <w:highlight w:val="none"/>
          <w:shd w:val="clear" w:color="auto" w:fill="auto"/>
          <w:lang w:val="en-US" w:eastAsia="zh-CN" w:bidi="ar-SA"/>
        </w:rPr>
        <w:t>同时接受</w:t>
      </w:r>
      <w:r>
        <w:rPr>
          <w:rFonts w:hint="default" w:ascii="Times New Roman" w:hAnsi="Times New Roman" w:eastAsia="宋体" w:cs="Times New Roman"/>
          <w:i w:val="0"/>
          <w:iCs w:val="0"/>
          <w:caps w:val="0"/>
          <w:color w:val="auto"/>
          <w:spacing w:val="0"/>
          <w:kern w:val="2"/>
          <w:sz w:val="24"/>
          <w:szCs w:val="24"/>
          <w:highlight w:val="none"/>
          <w:shd w:val="clear" w:color="auto" w:fill="auto"/>
          <w:lang w:val="zh-TW" w:eastAsia="zh-TW" w:bidi="ar-SA"/>
        </w:rPr>
        <w:t>彼此有利害关系的各方当事人的</w:t>
      </w:r>
      <w:r>
        <w:rPr>
          <w:rFonts w:hint="default" w:ascii="Times New Roman" w:hAnsi="Times New Roman" w:eastAsia="宋体" w:cs="Times New Roman"/>
          <w:i w:val="0"/>
          <w:iCs w:val="0"/>
          <w:caps w:val="0"/>
          <w:color w:val="auto"/>
          <w:spacing w:val="0"/>
          <w:kern w:val="2"/>
          <w:sz w:val="24"/>
          <w:szCs w:val="24"/>
          <w:highlight w:val="none"/>
          <w:shd w:val="clear" w:color="auto" w:fill="auto"/>
          <w:lang w:val="en-US" w:eastAsia="zh-CN" w:bidi="ar-SA"/>
        </w:rPr>
        <w:t>委托的</w:t>
      </w:r>
      <w:r>
        <w:rPr>
          <w:rFonts w:hint="default" w:ascii="Times New Roman" w:hAnsi="Times New Roman" w:eastAsia="宋体" w:cs="Times New Roman"/>
          <w:i w:val="0"/>
          <w:iCs w:val="0"/>
          <w:caps w:val="0"/>
          <w:color w:val="auto"/>
          <w:spacing w:val="0"/>
          <w:kern w:val="2"/>
          <w:sz w:val="24"/>
          <w:szCs w:val="24"/>
          <w:highlight w:val="none"/>
          <w:shd w:val="clear" w:color="auto" w:fill="auto"/>
          <w:lang w:val="zh-TW" w:eastAsia="zh-TW" w:bidi="ar-SA"/>
        </w:rPr>
        <w:t>；</w:t>
      </w:r>
    </w:p>
    <w:p>
      <w:pPr>
        <w:pStyle w:val="98"/>
        <w:keepNext w:val="0"/>
        <w:keepLines w:val="0"/>
        <w:pageBreakBefore w:val="0"/>
        <w:kinsoku/>
        <w:wordWrap/>
        <w:overflowPunct/>
        <w:topLinePunct w:val="0"/>
        <w:autoSpaceDE/>
        <w:autoSpaceDN/>
        <w:bidi w:val="0"/>
        <w:snapToGrid/>
        <w:spacing w:line="560" w:lineRule="exact"/>
        <w:ind w:left="0" w:leftChars="0" w:firstLine="480" w:firstLineChars="200"/>
        <w:textAlignment w:val="auto"/>
        <w:rPr>
          <w:rFonts w:hint="default" w:ascii="Times New Roman" w:hAnsi="Times New Roman" w:eastAsia="宋体" w:cs="Times New Roman"/>
          <w:color w:val="auto"/>
          <w:spacing w:val="0"/>
          <w:kern w:val="2"/>
          <w:sz w:val="24"/>
          <w:szCs w:val="24"/>
          <w:highlight w:val="none"/>
          <w:lang w:val="en-US" w:eastAsia="zh-CN"/>
        </w:rPr>
      </w:pPr>
      <w:r>
        <w:rPr>
          <w:rFonts w:hint="default" w:ascii="Times New Roman" w:hAnsi="Times New Roman" w:eastAsia="宋体" w:cs="Times New Roman"/>
          <w:color w:val="auto"/>
          <w:spacing w:val="0"/>
          <w:kern w:val="2"/>
          <w:sz w:val="24"/>
          <w:szCs w:val="24"/>
          <w:highlight w:val="none"/>
          <w:lang w:val="en-US" w:eastAsia="zh-CN"/>
        </w:rPr>
        <w:t>1.2.8</w:t>
      </w:r>
      <w:r>
        <w:rPr>
          <w:rFonts w:hint="default" w:ascii="Times New Roman" w:hAnsi="Times New Roman" w:eastAsia="宋体" w:cs="Times New Roman"/>
          <w:color w:val="auto"/>
          <w:spacing w:val="0"/>
          <w:kern w:val="2"/>
          <w:sz w:val="24"/>
          <w:szCs w:val="24"/>
          <w:highlight w:val="none"/>
          <w:lang w:val="zh-TW" w:eastAsia="zh-TW"/>
        </w:rPr>
        <w:t>在代理贵司的诉讼、仲裁案件结案后三个月内不做贵司的对方当事人或相对方代理人。</w:t>
      </w:r>
    </w:p>
    <w:p>
      <w:pPr>
        <w:pStyle w:val="98"/>
        <w:keepNext w:val="0"/>
        <w:keepLines w:val="0"/>
        <w:pageBreakBefore w:val="0"/>
        <w:kinsoku/>
        <w:wordWrap/>
        <w:overflowPunct/>
        <w:topLinePunct w:val="0"/>
        <w:autoSpaceDE/>
        <w:autoSpaceDN/>
        <w:bidi w:val="0"/>
        <w:snapToGrid/>
        <w:spacing w:line="560" w:lineRule="exact"/>
        <w:ind w:left="0" w:leftChars="0" w:firstLine="480" w:firstLineChars="200"/>
        <w:textAlignment w:val="auto"/>
        <w:rPr>
          <w:rFonts w:hint="default" w:ascii="Times New Roman" w:hAnsi="Times New Roman" w:eastAsia="宋体" w:cs="Times New Roman"/>
          <w:color w:val="auto"/>
          <w:spacing w:val="0"/>
          <w:kern w:val="2"/>
          <w:sz w:val="24"/>
          <w:szCs w:val="24"/>
          <w:highlight w:val="none"/>
          <w:lang w:val="zh-TW" w:eastAsia="zh-TW"/>
        </w:rPr>
      </w:pPr>
      <w:r>
        <w:rPr>
          <w:rFonts w:hint="default" w:ascii="Times New Roman" w:hAnsi="Times New Roman" w:eastAsia="宋体" w:cs="Times New Roman"/>
          <w:color w:val="auto"/>
          <w:spacing w:val="0"/>
          <w:kern w:val="2"/>
          <w:sz w:val="24"/>
          <w:szCs w:val="24"/>
          <w:highlight w:val="none"/>
        </w:rPr>
        <w:t>1.3</w:t>
      </w:r>
      <w:r>
        <w:rPr>
          <w:rFonts w:hint="default" w:ascii="Times New Roman" w:hAnsi="Times New Roman" w:eastAsia="宋体" w:cs="Times New Roman"/>
          <w:color w:val="auto"/>
          <w:spacing w:val="0"/>
          <w:kern w:val="2"/>
          <w:sz w:val="24"/>
          <w:szCs w:val="24"/>
          <w:highlight w:val="none"/>
          <w:lang w:val="zh-TW" w:eastAsia="zh-TW"/>
        </w:rPr>
        <w:t>我方承诺:</w:t>
      </w:r>
    </w:p>
    <w:p>
      <w:pPr>
        <w:pStyle w:val="98"/>
        <w:keepNext w:val="0"/>
        <w:keepLines w:val="0"/>
        <w:pageBreakBefore w:val="0"/>
        <w:kinsoku/>
        <w:wordWrap/>
        <w:overflowPunct/>
        <w:topLinePunct w:val="0"/>
        <w:autoSpaceDE/>
        <w:autoSpaceDN/>
        <w:bidi w:val="0"/>
        <w:snapToGrid/>
        <w:spacing w:line="560" w:lineRule="exact"/>
        <w:ind w:left="0" w:leftChars="0" w:firstLine="480" w:firstLineChars="200"/>
        <w:textAlignment w:val="auto"/>
        <w:rPr>
          <w:rFonts w:hint="default" w:ascii="Times New Roman" w:hAnsi="Times New Roman" w:eastAsia="宋体" w:cs="Times New Roman"/>
          <w:color w:val="auto"/>
          <w:spacing w:val="0"/>
          <w:kern w:val="2"/>
          <w:sz w:val="24"/>
          <w:szCs w:val="24"/>
          <w:highlight w:val="none"/>
        </w:rPr>
      </w:pPr>
      <w:r>
        <w:rPr>
          <w:rFonts w:hint="default" w:ascii="Times New Roman" w:hAnsi="Times New Roman" w:eastAsia="宋体" w:cs="Times New Roman"/>
          <w:color w:val="auto"/>
          <w:spacing w:val="0"/>
          <w:kern w:val="2"/>
          <w:sz w:val="24"/>
          <w:szCs w:val="24"/>
          <w:highlight w:val="none"/>
          <w:lang w:val="zh-TW"/>
        </w:rPr>
        <w:t>1</w:t>
      </w:r>
      <w:r>
        <w:rPr>
          <w:rFonts w:hint="default" w:ascii="Times New Roman" w:hAnsi="Times New Roman" w:eastAsia="宋体" w:cs="Times New Roman"/>
          <w:color w:val="auto"/>
          <w:spacing w:val="0"/>
          <w:kern w:val="2"/>
          <w:sz w:val="24"/>
          <w:szCs w:val="24"/>
          <w:highlight w:val="none"/>
          <w:lang w:val="zh-TW" w:eastAsia="zh-TW"/>
        </w:rPr>
        <w:t>.3.1将严格遵守关于律师执业的法律法规、规章以及行业协会规范，在接受贵司委托期间，将依适当程序进行利益冲突查证，确保不存在</w:t>
      </w:r>
      <w:r>
        <w:rPr>
          <w:rFonts w:hint="default" w:ascii="Times New Roman" w:hAnsi="Times New Roman" w:eastAsia="宋体" w:cs="Times New Roman"/>
          <w:color w:val="auto"/>
          <w:spacing w:val="0"/>
          <w:kern w:val="2"/>
          <w:sz w:val="24"/>
          <w:szCs w:val="24"/>
          <w:highlight w:val="none"/>
        </w:rPr>
        <w:t>“</w:t>
      </w:r>
      <w:r>
        <w:rPr>
          <w:rFonts w:hint="default" w:ascii="Times New Roman" w:hAnsi="Times New Roman" w:eastAsia="宋体" w:cs="Times New Roman"/>
          <w:color w:val="auto"/>
          <w:spacing w:val="0"/>
          <w:kern w:val="2"/>
          <w:sz w:val="24"/>
          <w:szCs w:val="24"/>
          <w:highlight w:val="none"/>
          <w:lang w:val="zh-TW" w:eastAsia="zh-TW"/>
        </w:rPr>
        <w:t>利益冲突</w:t>
      </w:r>
      <w:r>
        <w:rPr>
          <w:rFonts w:hint="default" w:ascii="Times New Roman" w:hAnsi="Times New Roman" w:eastAsia="宋体" w:cs="Times New Roman"/>
          <w:color w:val="auto"/>
          <w:spacing w:val="0"/>
          <w:kern w:val="2"/>
          <w:sz w:val="24"/>
          <w:szCs w:val="24"/>
          <w:highlight w:val="none"/>
        </w:rPr>
        <w:t>”</w:t>
      </w:r>
      <w:r>
        <w:rPr>
          <w:rFonts w:hint="default" w:ascii="Times New Roman" w:hAnsi="Times New Roman" w:eastAsia="宋体" w:cs="Times New Roman"/>
          <w:color w:val="auto"/>
          <w:spacing w:val="0"/>
          <w:kern w:val="2"/>
          <w:sz w:val="24"/>
          <w:szCs w:val="24"/>
          <w:highlight w:val="none"/>
          <w:lang w:val="zh-TW" w:eastAsia="zh-TW"/>
        </w:rPr>
        <w:t>。</w:t>
      </w:r>
    </w:p>
    <w:p>
      <w:pPr>
        <w:pStyle w:val="98"/>
        <w:keepNext w:val="0"/>
        <w:keepLines w:val="0"/>
        <w:pageBreakBefore w:val="0"/>
        <w:kinsoku/>
        <w:wordWrap/>
        <w:overflowPunct/>
        <w:topLinePunct w:val="0"/>
        <w:autoSpaceDE/>
        <w:autoSpaceDN/>
        <w:bidi w:val="0"/>
        <w:snapToGrid/>
        <w:spacing w:line="560" w:lineRule="exact"/>
        <w:ind w:left="0" w:leftChars="0" w:firstLine="480" w:firstLineChars="200"/>
        <w:textAlignment w:val="auto"/>
        <w:rPr>
          <w:rFonts w:hint="default" w:ascii="Times New Roman" w:hAnsi="Times New Roman" w:eastAsia="宋体" w:cs="Times New Roman"/>
          <w:color w:val="auto"/>
          <w:spacing w:val="0"/>
          <w:kern w:val="2"/>
          <w:sz w:val="24"/>
          <w:szCs w:val="24"/>
          <w:highlight w:val="none"/>
        </w:rPr>
      </w:pPr>
      <w:r>
        <w:rPr>
          <w:rFonts w:hint="default" w:ascii="Times New Roman" w:hAnsi="Times New Roman" w:eastAsia="宋体" w:cs="Times New Roman"/>
          <w:color w:val="auto"/>
          <w:spacing w:val="0"/>
          <w:kern w:val="2"/>
          <w:sz w:val="24"/>
          <w:szCs w:val="24"/>
          <w:highlight w:val="none"/>
        </w:rPr>
        <w:t>1.3.2  我方承诺不从事第1.2条中的第1.2.1~1.2.4利益冲突行为。</w:t>
      </w:r>
    </w:p>
    <w:p>
      <w:pPr>
        <w:pStyle w:val="98"/>
        <w:keepNext w:val="0"/>
        <w:keepLines w:val="0"/>
        <w:pageBreakBefore w:val="0"/>
        <w:kinsoku/>
        <w:wordWrap/>
        <w:overflowPunct/>
        <w:topLinePunct w:val="0"/>
        <w:autoSpaceDE/>
        <w:autoSpaceDN/>
        <w:bidi w:val="0"/>
        <w:snapToGrid/>
        <w:spacing w:line="560" w:lineRule="exact"/>
        <w:ind w:left="0" w:leftChars="0" w:firstLine="480" w:firstLineChars="200"/>
        <w:textAlignment w:val="auto"/>
        <w:rPr>
          <w:rFonts w:hint="default" w:ascii="Times New Roman" w:hAnsi="Times New Roman" w:eastAsia="宋体" w:cs="Times New Roman"/>
          <w:color w:val="auto"/>
          <w:spacing w:val="0"/>
          <w:kern w:val="2"/>
          <w:sz w:val="24"/>
          <w:szCs w:val="24"/>
          <w:highlight w:val="none"/>
        </w:rPr>
      </w:pPr>
      <w:r>
        <w:rPr>
          <w:rFonts w:hint="default" w:ascii="Times New Roman" w:hAnsi="Times New Roman" w:eastAsia="宋体" w:cs="Times New Roman"/>
          <w:color w:val="auto"/>
          <w:spacing w:val="0"/>
          <w:kern w:val="2"/>
          <w:sz w:val="24"/>
          <w:szCs w:val="24"/>
          <w:highlight w:val="none"/>
        </w:rPr>
        <w:t>1.3.3 我方承诺在开展第1.2条中的第1.2.5~1.2.</w:t>
      </w:r>
      <w:r>
        <w:rPr>
          <w:rFonts w:hint="default" w:ascii="Times New Roman" w:hAnsi="Times New Roman" w:eastAsia="宋体" w:cs="Times New Roman"/>
          <w:color w:val="auto"/>
          <w:spacing w:val="0"/>
          <w:kern w:val="2"/>
          <w:sz w:val="24"/>
          <w:szCs w:val="24"/>
          <w:highlight w:val="none"/>
          <w:lang w:val="en-US" w:eastAsia="zh-CN"/>
        </w:rPr>
        <w:t>8</w:t>
      </w:r>
      <w:r>
        <w:rPr>
          <w:rFonts w:hint="default" w:ascii="Times New Roman" w:hAnsi="Times New Roman" w:eastAsia="宋体" w:cs="Times New Roman"/>
          <w:color w:val="auto"/>
          <w:spacing w:val="0"/>
          <w:kern w:val="2"/>
          <w:sz w:val="24"/>
          <w:szCs w:val="24"/>
          <w:highlight w:val="none"/>
        </w:rPr>
        <w:t>行为前应取得贵司同意，否则不得开展此类业务。</w:t>
      </w:r>
    </w:p>
    <w:p>
      <w:pPr>
        <w:pStyle w:val="98"/>
        <w:keepNext w:val="0"/>
        <w:keepLines w:val="0"/>
        <w:pageBreakBefore w:val="0"/>
        <w:kinsoku/>
        <w:wordWrap/>
        <w:overflowPunct/>
        <w:topLinePunct w:val="0"/>
        <w:autoSpaceDE/>
        <w:autoSpaceDN/>
        <w:bidi w:val="0"/>
        <w:snapToGrid/>
        <w:spacing w:line="560" w:lineRule="exact"/>
        <w:ind w:left="0" w:leftChars="0" w:firstLine="480" w:firstLineChars="200"/>
        <w:textAlignment w:val="auto"/>
        <w:rPr>
          <w:rFonts w:hint="default" w:ascii="Times New Roman" w:hAnsi="Times New Roman" w:eastAsia="宋体" w:cs="Times New Roman"/>
          <w:color w:val="auto"/>
          <w:spacing w:val="0"/>
          <w:kern w:val="2"/>
          <w:sz w:val="24"/>
          <w:szCs w:val="24"/>
          <w:highlight w:val="none"/>
        </w:rPr>
      </w:pPr>
      <w:r>
        <w:rPr>
          <w:rFonts w:hint="default" w:ascii="Times New Roman" w:hAnsi="Times New Roman" w:eastAsia="宋体" w:cs="Times New Roman"/>
          <w:color w:val="auto"/>
          <w:spacing w:val="0"/>
          <w:kern w:val="2"/>
          <w:sz w:val="24"/>
          <w:szCs w:val="24"/>
          <w:highlight w:val="none"/>
        </w:rPr>
        <w:t>1.3.4 法律法规、律师自律机构利益冲突规则或者示范条款对我方有比本承诺函更高要求的，以上述更高要求为准。</w:t>
      </w:r>
    </w:p>
    <w:p>
      <w:pPr>
        <w:pStyle w:val="98"/>
        <w:keepNext w:val="0"/>
        <w:keepLines w:val="0"/>
        <w:pageBreakBefore w:val="0"/>
        <w:tabs>
          <w:tab w:val="left" w:pos="840"/>
        </w:tabs>
        <w:kinsoku/>
        <w:wordWrap/>
        <w:overflowPunct/>
        <w:topLinePunct w:val="0"/>
        <w:autoSpaceDE/>
        <w:autoSpaceDN/>
        <w:bidi w:val="0"/>
        <w:snapToGrid/>
        <w:spacing w:line="560" w:lineRule="exact"/>
        <w:ind w:left="0" w:leftChars="0" w:firstLine="480" w:firstLineChars="200"/>
        <w:textAlignment w:val="auto"/>
        <w:rPr>
          <w:rFonts w:hint="default" w:ascii="Times New Roman" w:hAnsi="Times New Roman" w:eastAsia="宋体" w:cs="Times New Roman"/>
          <w:bCs/>
          <w:spacing w:val="0"/>
          <w:sz w:val="24"/>
          <w:szCs w:val="24"/>
          <w:highlight w:val="none"/>
          <w:lang w:val="zh-TW" w:eastAsia="zh-TW"/>
        </w:rPr>
      </w:pPr>
      <w:r>
        <w:rPr>
          <w:rFonts w:hint="default" w:ascii="Times New Roman" w:hAnsi="Times New Roman" w:eastAsia="宋体" w:cs="Times New Roman"/>
          <w:bCs/>
          <w:spacing w:val="0"/>
          <w:sz w:val="24"/>
          <w:szCs w:val="24"/>
          <w:highlight w:val="none"/>
          <w:lang w:val="zh-TW"/>
        </w:rPr>
        <w:t>二、</w:t>
      </w:r>
      <w:r>
        <w:rPr>
          <w:rFonts w:hint="default" w:ascii="Times New Roman" w:hAnsi="Times New Roman" w:eastAsia="宋体" w:cs="Times New Roman"/>
          <w:bCs/>
          <w:spacing w:val="0"/>
          <w:sz w:val="24"/>
          <w:szCs w:val="24"/>
          <w:highlight w:val="none"/>
          <w:lang w:val="zh-TW" w:eastAsia="zh-TW"/>
        </w:rPr>
        <w:t>保密</w:t>
      </w:r>
    </w:p>
    <w:p>
      <w:pPr>
        <w:pStyle w:val="98"/>
        <w:keepNext w:val="0"/>
        <w:keepLines w:val="0"/>
        <w:pageBreakBefore w:val="0"/>
        <w:kinsoku/>
        <w:wordWrap/>
        <w:overflowPunct/>
        <w:topLinePunct w:val="0"/>
        <w:autoSpaceDE/>
        <w:autoSpaceDN/>
        <w:bidi w:val="0"/>
        <w:snapToGrid/>
        <w:spacing w:line="560" w:lineRule="exact"/>
        <w:ind w:left="0" w:leftChars="0" w:firstLine="480" w:firstLineChars="200"/>
        <w:textAlignment w:val="auto"/>
        <w:rPr>
          <w:rFonts w:hint="default" w:ascii="Times New Roman" w:hAnsi="Times New Roman" w:eastAsia="宋体" w:cs="Times New Roman"/>
          <w:color w:val="auto"/>
          <w:spacing w:val="0"/>
          <w:kern w:val="2"/>
          <w:sz w:val="24"/>
          <w:szCs w:val="24"/>
          <w:highlight w:val="none"/>
          <w:lang w:val="zh-TW" w:eastAsia="zh-TW"/>
        </w:rPr>
      </w:pPr>
      <w:r>
        <w:rPr>
          <w:rFonts w:hint="default" w:ascii="Times New Roman" w:hAnsi="Times New Roman" w:eastAsia="宋体" w:cs="Times New Roman"/>
          <w:color w:val="auto"/>
          <w:spacing w:val="0"/>
          <w:kern w:val="2"/>
          <w:sz w:val="24"/>
          <w:szCs w:val="24"/>
          <w:highlight w:val="none"/>
          <w:lang w:val="zh-TW" w:eastAsia="zh-TW"/>
        </w:rPr>
        <w:t>2.1保密信息</w:t>
      </w:r>
    </w:p>
    <w:p>
      <w:pPr>
        <w:pStyle w:val="98"/>
        <w:keepNext w:val="0"/>
        <w:keepLines w:val="0"/>
        <w:pageBreakBefore w:val="0"/>
        <w:kinsoku/>
        <w:wordWrap/>
        <w:overflowPunct/>
        <w:topLinePunct w:val="0"/>
        <w:autoSpaceDE/>
        <w:autoSpaceDN/>
        <w:bidi w:val="0"/>
        <w:snapToGrid/>
        <w:spacing w:line="560" w:lineRule="exact"/>
        <w:ind w:left="0" w:leftChars="0" w:firstLine="480" w:firstLineChars="200"/>
        <w:textAlignment w:val="auto"/>
        <w:rPr>
          <w:rFonts w:hint="default" w:ascii="Times New Roman" w:hAnsi="Times New Roman" w:eastAsia="宋体" w:cs="Times New Roman"/>
          <w:color w:val="auto"/>
          <w:spacing w:val="0"/>
          <w:kern w:val="2"/>
          <w:sz w:val="24"/>
          <w:szCs w:val="24"/>
          <w:highlight w:val="none"/>
          <w:lang w:val="zh-TW" w:eastAsia="zh-TW"/>
        </w:rPr>
      </w:pPr>
      <w:r>
        <w:rPr>
          <w:rFonts w:hint="default" w:ascii="Times New Roman" w:hAnsi="Times New Roman" w:eastAsia="宋体" w:cs="Times New Roman"/>
          <w:color w:val="auto"/>
          <w:spacing w:val="0"/>
          <w:kern w:val="2"/>
          <w:sz w:val="24"/>
          <w:szCs w:val="24"/>
          <w:highlight w:val="none"/>
          <w:lang w:val="zh-TW" w:eastAsia="zh-TW"/>
        </w:rPr>
        <w:t>2.1.1我方在接受贵司委托为贵司提供服务（以下简称本项目）的过程中从贵司或相关中介机构直接或间接获得的所有有关本项目、贵司的信息以及信息资料均为保密信息，我方承诺将严格履行保密义务，采取一切措施防止泄露保密信息。以下情况除外：可以通过公共渠道取得的信息不属于保密信息，但因我方违反本函项下保密义务而导致该信息进入公共渠道的情况除外。</w:t>
      </w:r>
    </w:p>
    <w:p>
      <w:pPr>
        <w:pStyle w:val="98"/>
        <w:keepNext w:val="0"/>
        <w:keepLines w:val="0"/>
        <w:pageBreakBefore w:val="0"/>
        <w:kinsoku/>
        <w:wordWrap/>
        <w:overflowPunct/>
        <w:topLinePunct w:val="0"/>
        <w:autoSpaceDE/>
        <w:autoSpaceDN/>
        <w:bidi w:val="0"/>
        <w:snapToGrid/>
        <w:spacing w:line="560" w:lineRule="exact"/>
        <w:ind w:left="0" w:leftChars="0" w:firstLine="480" w:firstLineChars="200"/>
        <w:textAlignment w:val="auto"/>
        <w:rPr>
          <w:rFonts w:hint="default" w:ascii="Times New Roman" w:hAnsi="Times New Roman" w:eastAsia="宋体" w:cs="Times New Roman"/>
          <w:color w:val="auto"/>
          <w:spacing w:val="0"/>
          <w:kern w:val="2"/>
          <w:sz w:val="24"/>
          <w:szCs w:val="24"/>
          <w:highlight w:val="none"/>
          <w:lang w:val="zh-TW" w:eastAsia="zh-TW"/>
        </w:rPr>
      </w:pPr>
      <w:r>
        <w:rPr>
          <w:rFonts w:hint="default" w:ascii="Times New Roman" w:hAnsi="Times New Roman" w:eastAsia="宋体" w:cs="Times New Roman"/>
          <w:color w:val="auto"/>
          <w:spacing w:val="0"/>
          <w:kern w:val="2"/>
          <w:sz w:val="24"/>
          <w:szCs w:val="24"/>
          <w:highlight w:val="none"/>
          <w:lang w:val="zh-TW" w:eastAsia="zh-TW"/>
        </w:rPr>
        <w:t>2.1.2本承诺函所称“信息”包括但不限于我方从贵司或相关其他中介机构处通过获取文件资料、访谈、咨询、现场会议、电话会议、电子或书面通讯等方式获取的口头或书面信息；本承诺函所称“信息资料”是指本项目所使用的所有载有保密信息的有关文件、载体以及因我方为贵司提供专业服务而知悉的书面、电子及口头信息，其形式包括图表、文件、复制件、电邮、传真、录音、电子数据、磁盘、光盘、软件、录影带、照片等，其内容包括贵司的商业、财务、技术、内部管理等方面的信息，其范围包括但不限于：</w:t>
      </w:r>
    </w:p>
    <w:p>
      <w:pPr>
        <w:pStyle w:val="98"/>
        <w:keepNext w:val="0"/>
        <w:keepLines w:val="0"/>
        <w:pageBreakBefore w:val="0"/>
        <w:kinsoku/>
        <w:wordWrap/>
        <w:overflowPunct/>
        <w:topLinePunct w:val="0"/>
        <w:autoSpaceDE/>
        <w:autoSpaceDN/>
        <w:bidi w:val="0"/>
        <w:snapToGrid/>
        <w:spacing w:line="560" w:lineRule="exact"/>
        <w:ind w:left="0" w:leftChars="0" w:firstLine="480" w:firstLineChars="200"/>
        <w:textAlignment w:val="auto"/>
        <w:rPr>
          <w:rFonts w:hint="default" w:ascii="Times New Roman" w:hAnsi="Times New Roman" w:eastAsia="宋体" w:cs="Times New Roman"/>
          <w:color w:val="auto"/>
          <w:spacing w:val="0"/>
          <w:kern w:val="2"/>
          <w:sz w:val="24"/>
          <w:szCs w:val="24"/>
          <w:highlight w:val="none"/>
          <w:lang w:val="zh-TW" w:eastAsia="zh-TW"/>
        </w:rPr>
      </w:pPr>
      <w:r>
        <w:rPr>
          <w:rFonts w:hint="default" w:ascii="Times New Roman" w:hAnsi="Times New Roman" w:eastAsia="宋体" w:cs="Times New Roman"/>
          <w:color w:val="auto"/>
          <w:spacing w:val="0"/>
          <w:kern w:val="2"/>
          <w:sz w:val="24"/>
          <w:szCs w:val="24"/>
          <w:highlight w:val="none"/>
          <w:lang w:val="zh-TW"/>
        </w:rPr>
        <w:t>（</w:t>
      </w:r>
      <w:r>
        <w:rPr>
          <w:rFonts w:hint="default" w:ascii="Times New Roman" w:hAnsi="Times New Roman" w:eastAsia="宋体" w:cs="Times New Roman"/>
          <w:color w:val="auto"/>
          <w:spacing w:val="0"/>
          <w:kern w:val="2"/>
          <w:sz w:val="24"/>
          <w:szCs w:val="24"/>
          <w:highlight w:val="none"/>
        </w:rPr>
        <w:t>1</w:t>
      </w:r>
      <w:r>
        <w:rPr>
          <w:rFonts w:hint="default" w:ascii="Times New Roman" w:hAnsi="Times New Roman" w:eastAsia="宋体" w:cs="Times New Roman"/>
          <w:color w:val="auto"/>
          <w:spacing w:val="0"/>
          <w:kern w:val="2"/>
          <w:sz w:val="24"/>
          <w:szCs w:val="24"/>
          <w:highlight w:val="none"/>
          <w:lang w:val="zh-TW"/>
        </w:rPr>
        <w:t>）</w:t>
      </w:r>
      <w:r>
        <w:rPr>
          <w:rFonts w:hint="default" w:ascii="Times New Roman" w:hAnsi="Times New Roman" w:eastAsia="宋体" w:cs="Times New Roman"/>
          <w:color w:val="auto"/>
          <w:spacing w:val="0"/>
          <w:kern w:val="2"/>
          <w:sz w:val="24"/>
          <w:szCs w:val="24"/>
          <w:highlight w:val="none"/>
          <w:lang w:val="zh-TW" w:eastAsia="zh-TW"/>
        </w:rPr>
        <w:t>贵司的业务、财务描述数据以及其他相关资料；</w:t>
      </w:r>
    </w:p>
    <w:p>
      <w:pPr>
        <w:pStyle w:val="98"/>
        <w:keepNext w:val="0"/>
        <w:keepLines w:val="0"/>
        <w:pageBreakBefore w:val="0"/>
        <w:kinsoku/>
        <w:wordWrap/>
        <w:overflowPunct/>
        <w:topLinePunct w:val="0"/>
        <w:autoSpaceDE/>
        <w:autoSpaceDN/>
        <w:bidi w:val="0"/>
        <w:snapToGrid/>
        <w:spacing w:line="560" w:lineRule="exact"/>
        <w:ind w:left="0" w:leftChars="0" w:firstLine="480" w:firstLineChars="200"/>
        <w:textAlignment w:val="auto"/>
        <w:rPr>
          <w:rFonts w:hint="default" w:ascii="Times New Roman" w:hAnsi="Times New Roman" w:eastAsia="宋体" w:cs="Times New Roman"/>
          <w:color w:val="auto"/>
          <w:spacing w:val="0"/>
          <w:kern w:val="2"/>
          <w:sz w:val="24"/>
          <w:szCs w:val="24"/>
          <w:highlight w:val="none"/>
          <w:lang w:val="zh-TW" w:eastAsia="zh-TW"/>
        </w:rPr>
      </w:pPr>
      <w:r>
        <w:rPr>
          <w:rFonts w:hint="default" w:ascii="Times New Roman" w:hAnsi="Times New Roman" w:eastAsia="宋体" w:cs="Times New Roman"/>
          <w:color w:val="auto"/>
          <w:spacing w:val="0"/>
          <w:kern w:val="2"/>
          <w:sz w:val="24"/>
          <w:szCs w:val="24"/>
          <w:highlight w:val="none"/>
          <w:lang w:val="zh-TW"/>
        </w:rPr>
        <w:t>（</w:t>
      </w:r>
      <w:r>
        <w:rPr>
          <w:rFonts w:hint="default" w:ascii="Times New Roman" w:hAnsi="Times New Roman" w:eastAsia="宋体" w:cs="Times New Roman"/>
          <w:color w:val="auto"/>
          <w:spacing w:val="0"/>
          <w:kern w:val="2"/>
          <w:sz w:val="24"/>
          <w:szCs w:val="24"/>
          <w:highlight w:val="none"/>
        </w:rPr>
        <w:t>2</w:t>
      </w:r>
      <w:r>
        <w:rPr>
          <w:rFonts w:hint="default" w:ascii="Times New Roman" w:hAnsi="Times New Roman" w:eastAsia="宋体" w:cs="Times New Roman"/>
          <w:color w:val="auto"/>
          <w:spacing w:val="0"/>
          <w:kern w:val="2"/>
          <w:sz w:val="24"/>
          <w:szCs w:val="24"/>
          <w:highlight w:val="none"/>
          <w:lang w:val="zh-TW"/>
        </w:rPr>
        <w:t>）</w:t>
      </w:r>
      <w:r>
        <w:rPr>
          <w:rFonts w:hint="default" w:ascii="Times New Roman" w:hAnsi="Times New Roman" w:eastAsia="宋体" w:cs="Times New Roman"/>
          <w:color w:val="auto"/>
          <w:spacing w:val="0"/>
          <w:kern w:val="2"/>
          <w:sz w:val="24"/>
          <w:szCs w:val="24"/>
          <w:highlight w:val="none"/>
          <w:lang w:val="zh-TW" w:eastAsia="zh-TW"/>
        </w:rPr>
        <w:t>贵司的各类内部管理规章、各类决议，以及贵司其他内部文件资料；</w:t>
      </w:r>
    </w:p>
    <w:p>
      <w:pPr>
        <w:pStyle w:val="98"/>
        <w:keepNext w:val="0"/>
        <w:keepLines w:val="0"/>
        <w:pageBreakBefore w:val="0"/>
        <w:kinsoku/>
        <w:wordWrap/>
        <w:overflowPunct/>
        <w:topLinePunct w:val="0"/>
        <w:autoSpaceDE/>
        <w:autoSpaceDN/>
        <w:bidi w:val="0"/>
        <w:snapToGrid/>
        <w:spacing w:line="560" w:lineRule="exact"/>
        <w:ind w:left="0" w:leftChars="0" w:firstLine="480" w:firstLineChars="200"/>
        <w:textAlignment w:val="auto"/>
        <w:rPr>
          <w:rFonts w:hint="default" w:ascii="Times New Roman" w:hAnsi="Times New Roman" w:eastAsia="宋体" w:cs="Times New Roman"/>
          <w:color w:val="auto"/>
          <w:spacing w:val="0"/>
          <w:kern w:val="2"/>
          <w:sz w:val="24"/>
          <w:szCs w:val="24"/>
          <w:highlight w:val="none"/>
          <w:lang w:val="zh-TW" w:eastAsia="zh-TW"/>
        </w:rPr>
      </w:pPr>
      <w:r>
        <w:rPr>
          <w:rFonts w:hint="default" w:ascii="Times New Roman" w:hAnsi="Times New Roman" w:eastAsia="宋体" w:cs="Times New Roman"/>
          <w:color w:val="auto"/>
          <w:spacing w:val="0"/>
          <w:kern w:val="2"/>
          <w:sz w:val="24"/>
          <w:szCs w:val="24"/>
          <w:highlight w:val="none"/>
          <w:lang w:val="zh-TW"/>
        </w:rPr>
        <w:t>（</w:t>
      </w:r>
      <w:r>
        <w:rPr>
          <w:rFonts w:hint="default" w:ascii="Times New Roman" w:hAnsi="Times New Roman" w:eastAsia="宋体" w:cs="Times New Roman"/>
          <w:color w:val="auto"/>
          <w:spacing w:val="0"/>
          <w:kern w:val="2"/>
          <w:sz w:val="24"/>
          <w:szCs w:val="24"/>
          <w:highlight w:val="none"/>
        </w:rPr>
        <w:t>3</w:t>
      </w:r>
      <w:r>
        <w:rPr>
          <w:rFonts w:hint="default" w:ascii="Times New Roman" w:hAnsi="Times New Roman" w:eastAsia="宋体" w:cs="Times New Roman"/>
          <w:color w:val="auto"/>
          <w:spacing w:val="0"/>
          <w:kern w:val="2"/>
          <w:sz w:val="24"/>
          <w:szCs w:val="24"/>
          <w:highlight w:val="none"/>
          <w:lang w:val="zh-TW"/>
        </w:rPr>
        <w:t>）</w:t>
      </w:r>
      <w:r>
        <w:rPr>
          <w:rFonts w:hint="default" w:ascii="Times New Roman" w:hAnsi="Times New Roman" w:eastAsia="宋体" w:cs="Times New Roman"/>
          <w:color w:val="auto"/>
          <w:spacing w:val="0"/>
          <w:kern w:val="2"/>
          <w:sz w:val="24"/>
          <w:szCs w:val="24"/>
          <w:highlight w:val="none"/>
          <w:lang w:val="zh-TW" w:eastAsia="zh-TW"/>
        </w:rPr>
        <w:t>我方或其他中介机构为本项目所草拟的所有文件；</w:t>
      </w:r>
    </w:p>
    <w:p>
      <w:pPr>
        <w:pStyle w:val="98"/>
        <w:keepNext w:val="0"/>
        <w:keepLines w:val="0"/>
        <w:pageBreakBefore w:val="0"/>
        <w:kinsoku/>
        <w:wordWrap/>
        <w:overflowPunct/>
        <w:topLinePunct w:val="0"/>
        <w:autoSpaceDE/>
        <w:autoSpaceDN/>
        <w:bidi w:val="0"/>
        <w:snapToGrid/>
        <w:spacing w:line="560" w:lineRule="exact"/>
        <w:ind w:left="0" w:leftChars="0" w:firstLine="480" w:firstLineChars="200"/>
        <w:textAlignment w:val="auto"/>
        <w:rPr>
          <w:rFonts w:hint="default" w:ascii="Times New Roman" w:hAnsi="Times New Roman" w:eastAsia="宋体" w:cs="Times New Roman"/>
          <w:color w:val="auto"/>
          <w:spacing w:val="0"/>
          <w:kern w:val="2"/>
          <w:sz w:val="24"/>
          <w:szCs w:val="24"/>
          <w:highlight w:val="none"/>
          <w:lang w:val="zh-TW" w:eastAsia="zh-TW"/>
        </w:rPr>
      </w:pPr>
      <w:r>
        <w:rPr>
          <w:rFonts w:hint="default" w:ascii="Times New Roman" w:hAnsi="Times New Roman" w:eastAsia="宋体" w:cs="Times New Roman"/>
          <w:color w:val="auto"/>
          <w:spacing w:val="0"/>
          <w:kern w:val="2"/>
          <w:sz w:val="24"/>
          <w:szCs w:val="24"/>
          <w:highlight w:val="none"/>
          <w:lang w:val="zh-TW"/>
        </w:rPr>
        <w:t>（</w:t>
      </w:r>
      <w:r>
        <w:rPr>
          <w:rFonts w:hint="default" w:ascii="Times New Roman" w:hAnsi="Times New Roman" w:eastAsia="宋体" w:cs="Times New Roman"/>
          <w:color w:val="auto"/>
          <w:spacing w:val="0"/>
          <w:kern w:val="2"/>
          <w:sz w:val="24"/>
          <w:szCs w:val="24"/>
          <w:highlight w:val="none"/>
        </w:rPr>
        <w:t>4</w:t>
      </w:r>
      <w:r>
        <w:rPr>
          <w:rFonts w:hint="default" w:ascii="Times New Roman" w:hAnsi="Times New Roman" w:eastAsia="宋体" w:cs="Times New Roman"/>
          <w:color w:val="auto"/>
          <w:spacing w:val="0"/>
          <w:kern w:val="2"/>
          <w:sz w:val="24"/>
          <w:szCs w:val="24"/>
          <w:highlight w:val="none"/>
          <w:lang w:val="zh-TW"/>
        </w:rPr>
        <w:t>）</w:t>
      </w:r>
      <w:r>
        <w:rPr>
          <w:rFonts w:hint="default" w:ascii="Times New Roman" w:hAnsi="Times New Roman" w:eastAsia="宋体" w:cs="Times New Roman"/>
          <w:color w:val="auto"/>
          <w:spacing w:val="0"/>
          <w:kern w:val="2"/>
          <w:sz w:val="24"/>
          <w:szCs w:val="24"/>
          <w:highlight w:val="none"/>
          <w:lang w:val="zh-TW" w:eastAsia="zh-TW"/>
        </w:rPr>
        <w:t>本项目的各类文件的草稿及终稿；</w:t>
      </w:r>
    </w:p>
    <w:p>
      <w:pPr>
        <w:pStyle w:val="98"/>
        <w:keepNext w:val="0"/>
        <w:keepLines w:val="0"/>
        <w:pageBreakBefore w:val="0"/>
        <w:kinsoku/>
        <w:wordWrap/>
        <w:overflowPunct/>
        <w:topLinePunct w:val="0"/>
        <w:autoSpaceDE/>
        <w:autoSpaceDN/>
        <w:bidi w:val="0"/>
        <w:snapToGrid/>
        <w:spacing w:line="560" w:lineRule="exact"/>
        <w:ind w:left="0" w:leftChars="0" w:firstLine="480" w:firstLineChars="200"/>
        <w:textAlignment w:val="auto"/>
        <w:rPr>
          <w:rFonts w:hint="default" w:ascii="Times New Roman" w:hAnsi="Times New Roman" w:eastAsia="宋体" w:cs="Times New Roman"/>
          <w:color w:val="auto"/>
          <w:spacing w:val="0"/>
          <w:kern w:val="2"/>
          <w:sz w:val="24"/>
          <w:szCs w:val="24"/>
          <w:highlight w:val="none"/>
          <w:lang w:val="zh-TW" w:eastAsia="zh-TW"/>
        </w:rPr>
      </w:pPr>
      <w:r>
        <w:rPr>
          <w:rFonts w:hint="default" w:ascii="Times New Roman" w:hAnsi="Times New Roman" w:eastAsia="宋体" w:cs="Times New Roman"/>
          <w:color w:val="auto"/>
          <w:spacing w:val="0"/>
          <w:kern w:val="2"/>
          <w:sz w:val="24"/>
          <w:szCs w:val="24"/>
          <w:highlight w:val="none"/>
          <w:lang w:val="zh-TW"/>
        </w:rPr>
        <w:t>（</w:t>
      </w:r>
      <w:r>
        <w:rPr>
          <w:rFonts w:hint="default" w:ascii="Times New Roman" w:hAnsi="Times New Roman" w:eastAsia="宋体" w:cs="Times New Roman"/>
          <w:color w:val="auto"/>
          <w:spacing w:val="0"/>
          <w:kern w:val="2"/>
          <w:sz w:val="24"/>
          <w:szCs w:val="24"/>
          <w:highlight w:val="none"/>
        </w:rPr>
        <w:t>5</w:t>
      </w:r>
      <w:r>
        <w:rPr>
          <w:rFonts w:hint="default" w:ascii="Times New Roman" w:hAnsi="Times New Roman" w:eastAsia="宋体" w:cs="Times New Roman"/>
          <w:color w:val="auto"/>
          <w:spacing w:val="0"/>
          <w:kern w:val="2"/>
          <w:sz w:val="24"/>
          <w:szCs w:val="24"/>
          <w:highlight w:val="none"/>
          <w:lang w:val="zh-TW"/>
        </w:rPr>
        <w:t>）</w:t>
      </w:r>
      <w:r>
        <w:rPr>
          <w:rFonts w:hint="default" w:ascii="Times New Roman" w:hAnsi="Times New Roman" w:eastAsia="宋体" w:cs="Times New Roman"/>
          <w:color w:val="auto"/>
          <w:spacing w:val="0"/>
          <w:kern w:val="2"/>
          <w:sz w:val="24"/>
          <w:szCs w:val="24"/>
          <w:highlight w:val="none"/>
          <w:lang w:val="zh-TW" w:eastAsia="zh-TW"/>
        </w:rPr>
        <w:t>本项目的任何有关进展情况；</w:t>
      </w:r>
    </w:p>
    <w:p>
      <w:pPr>
        <w:pStyle w:val="98"/>
        <w:keepNext w:val="0"/>
        <w:keepLines w:val="0"/>
        <w:pageBreakBefore w:val="0"/>
        <w:kinsoku/>
        <w:wordWrap/>
        <w:overflowPunct/>
        <w:topLinePunct w:val="0"/>
        <w:autoSpaceDE/>
        <w:autoSpaceDN/>
        <w:bidi w:val="0"/>
        <w:snapToGrid/>
        <w:spacing w:line="560" w:lineRule="exact"/>
        <w:ind w:left="0" w:leftChars="0" w:firstLine="480" w:firstLineChars="200"/>
        <w:textAlignment w:val="auto"/>
        <w:rPr>
          <w:rFonts w:hint="default" w:ascii="Times New Roman" w:hAnsi="Times New Roman" w:eastAsia="宋体" w:cs="Times New Roman"/>
          <w:color w:val="auto"/>
          <w:spacing w:val="0"/>
          <w:kern w:val="2"/>
          <w:sz w:val="24"/>
          <w:szCs w:val="24"/>
          <w:highlight w:val="none"/>
          <w:lang w:val="zh-TW" w:eastAsia="zh-TW"/>
        </w:rPr>
      </w:pPr>
      <w:r>
        <w:rPr>
          <w:rFonts w:hint="default" w:ascii="Times New Roman" w:hAnsi="Times New Roman" w:eastAsia="宋体" w:cs="Times New Roman"/>
          <w:color w:val="auto"/>
          <w:spacing w:val="0"/>
          <w:kern w:val="2"/>
          <w:sz w:val="24"/>
          <w:szCs w:val="24"/>
          <w:highlight w:val="none"/>
          <w:lang w:val="zh-TW"/>
        </w:rPr>
        <w:t>（</w:t>
      </w:r>
      <w:r>
        <w:rPr>
          <w:rFonts w:hint="default" w:ascii="Times New Roman" w:hAnsi="Times New Roman" w:eastAsia="宋体" w:cs="Times New Roman"/>
          <w:color w:val="auto"/>
          <w:spacing w:val="0"/>
          <w:kern w:val="2"/>
          <w:sz w:val="24"/>
          <w:szCs w:val="24"/>
          <w:highlight w:val="none"/>
        </w:rPr>
        <w:t>6</w:t>
      </w:r>
      <w:r>
        <w:rPr>
          <w:rFonts w:hint="default" w:ascii="Times New Roman" w:hAnsi="Times New Roman" w:eastAsia="宋体" w:cs="Times New Roman"/>
          <w:color w:val="auto"/>
          <w:spacing w:val="0"/>
          <w:kern w:val="2"/>
          <w:sz w:val="24"/>
          <w:szCs w:val="24"/>
          <w:highlight w:val="none"/>
          <w:lang w:val="zh-TW"/>
        </w:rPr>
        <w:t>）</w:t>
      </w:r>
      <w:r>
        <w:rPr>
          <w:rFonts w:hint="default" w:ascii="Times New Roman" w:hAnsi="Times New Roman" w:eastAsia="宋体" w:cs="Times New Roman"/>
          <w:color w:val="auto"/>
          <w:spacing w:val="0"/>
          <w:kern w:val="2"/>
          <w:sz w:val="24"/>
          <w:szCs w:val="24"/>
          <w:highlight w:val="none"/>
          <w:lang w:val="zh-TW" w:eastAsia="zh-TW"/>
        </w:rPr>
        <w:t>其他与本项目有关的信息。</w:t>
      </w:r>
    </w:p>
    <w:p>
      <w:pPr>
        <w:pStyle w:val="98"/>
        <w:keepNext w:val="0"/>
        <w:keepLines w:val="0"/>
        <w:pageBreakBefore w:val="0"/>
        <w:kinsoku/>
        <w:wordWrap/>
        <w:overflowPunct/>
        <w:topLinePunct w:val="0"/>
        <w:autoSpaceDE/>
        <w:autoSpaceDN/>
        <w:bidi w:val="0"/>
        <w:snapToGrid/>
        <w:spacing w:line="560" w:lineRule="exact"/>
        <w:ind w:left="0" w:leftChars="0" w:firstLine="480" w:firstLineChars="200"/>
        <w:textAlignment w:val="auto"/>
        <w:rPr>
          <w:rFonts w:hint="default" w:ascii="Times New Roman" w:hAnsi="Times New Roman" w:eastAsia="宋体" w:cs="Times New Roman"/>
          <w:color w:val="auto"/>
          <w:spacing w:val="0"/>
          <w:kern w:val="2"/>
          <w:sz w:val="24"/>
          <w:szCs w:val="24"/>
          <w:highlight w:val="none"/>
          <w:lang w:val="zh-TW" w:eastAsia="zh-TW"/>
        </w:rPr>
      </w:pPr>
      <w:r>
        <w:rPr>
          <w:rFonts w:hint="default" w:ascii="Times New Roman" w:hAnsi="Times New Roman" w:eastAsia="宋体" w:cs="Times New Roman"/>
          <w:color w:val="auto"/>
          <w:spacing w:val="0"/>
          <w:kern w:val="2"/>
          <w:sz w:val="24"/>
          <w:szCs w:val="24"/>
          <w:highlight w:val="none"/>
          <w:lang w:val="zh-TW" w:eastAsia="zh-TW"/>
        </w:rPr>
        <w:t>2.2保密信息的使用与保密</w:t>
      </w:r>
    </w:p>
    <w:p>
      <w:pPr>
        <w:pStyle w:val="98"/>
        <w:keepNext w:val="0"/>
        <w:keepLines w:val="0"/>
        <w:pageBreakBefore w:val="0"/>
        <w:kinsoku/>
        <w:wordWrap/>
        <w:overflowPunct/>
        <w:topLinePunct w:val="0"/>
        <w:autoSpaceDE/>
        <w:autoSpaceDN/>
        <w:bidi w:val="0"/>
        <w:snapToGrid/>
        <w:spacing w:line="560" w:lineRule="exact"/>
        <w:ind w:left="0" w:leftChars="0" w:firstLine="480" w:firstLineChars="200"/>
        <w:textAlignment w:val="auto"/>
        <w:rPr>
          <w:rFonts w:hint="default" w:ascii="Times New Roman" w:hAnsi="Times New Roman" w:eastAsia="宋体" w:cs="Times New Roman"/>
          <w:color w:val="auto"/>
          <w:spacing w:val="0"/>
          <w:kern w:val="2"/>
          <w:sz w:val="24"/>
          <w:szCs w:val="24"/>
          <w:highlight w:val="none"/>
          <w:lang w:val="zh-TW" w:eastAsia="zh-TW"/>
        </w:rPr>
      </w:pPr>
      <w:r>
        <w:rPr>
          <w:rFonts w:hint="default" w:ascii="Times New Roman" w:hAnsi="Times New Roman" w:eastAsia="宋体" w:cs="Times New Roman"/>
          <w:color w:val="auto"/>
          <w:spacing w:val="0"/>
          <w:kern w:val="2"/>
          <w:sz w:val="24"/>
          <w:szCs w:val="24"/>
          <w:highlight w:val="none"/>
          <w:lang w:val="zh-TW" w:eastAsia="zh-TW"/>
        </w:rPr>
        <w:t>2.2.1我方承诺，我方所获得的保密信息仅用于为贵司本项目提供专业服务之目的；除此之外，我方不得将该保密信息用于任何其他目的或用途。</w:t>
      </w:r>
    </w:p>
    <w:p>
      <w:pPr>
        <w:pStyle w:val="98"/>
        <w:keepNext w:val="0"/>
        <w:keepLines w:val="0"/>
        <w:pageBreakBefore w:val="0"/>
        <w:kinsoku/>
        <w:wordWrap/>
        <w:overflowPunct/>
        <w:topLinePunct w:val="0"/>
        <w:autoSpaceDE/>
        <w:autoSpaceDN/>
        <w:bidi w:val="0"/>
        <w:snapToGrid/>
        <w:spacing w:line="560" w:lineRule="exact"/>
        <w:ind w:left="0" w:leftChars="0" w:firstLine="480" w:firstLineChars="200"/>
        <w:textAlignment w:val="auto"/>
        <w:rPr>
          <w:rFonts w:hint="default" w:ascii="Times New Roman" w:hAnsi="Times New Roman" w:eastAsia="宋体" w:cs="Times New Roman"/>
          <w:color w:val="auto"/>
          <w:spacing w:val="0"/>
          <w:kern w:val="2"/>
          <w:sz w:val="24"/>
          <w:szCs w:val="24"/>
          <w:highlight w:val="none"/>
          <w:lang w:val="zh-TW" w:eastAsia="zh-TW"/>
        </w:rPr>
      </w:pPr>
      <w:r>
        <w:rPr>
          <w:rFonts w:hint="default" w:ascii="Times New Roman" w:hAnsi="Times New Roman" w:eastAsia="宋体" w:cs="Times New Roman"/>
          <w:color w:val="auto"/>
          <w:spacing w:val="0"/>
          <w:kern w:val="2"/>
          <w:sz w:val="24"/>
          <w:szCs w:val="24"/>
          <w:highlight w:val="none"/>
          <w:lang w:val="zh-TW" w:eastAsia="zh-TW"/>
        </w:rPr>
        <w:t>2.2.2我方将采取一切必要的措施（包括建立严格的内部保密制度以保存贵司提供的本函项下之保密信息的复制件、录音、文字记录、电子数据、磁盘、光盘、软件、录影带、照片、文件等载体，在传送有关文件资料时采取必要的保密措施等），确保适当及安全地储存并保护贵司向我方提供之保密信息，并视为机密。</w:t>
      </w:r>
    </w:p>
    <w:p>
      <w:pPr>
        <w:pStyle w:val="98"/>
        <w:keepNext w:val="0"/>
        <w:keepLines w:val="0"/>
        <w:pageBreakBefore w:val="0"/>
        <w:kinsoku/>
        <w:wordWrap/>
        <w:overflowPunct/>
        <w:topLinePunct w:val="0"/>
        <w:autoSpaceDE/>
        <w:autoSpaceDN/>
        <w:bidi w:val="0"/>
        <w:snapToGrid/>
        <w:spacing w:line="560" w:lineRule="exact"/>
        <w:ind w:left="0" w:leftChars="0" w:firstLine="480" w:firstLineChars="200"/>
        <w:textAlignment w:val="auto"/>
        <w:rPr>
          <w:rFonts w:hint="default" w:ascii="Times New Roman" w:hAnsi="Times New Roman" w:eastAsia="宋体" w:cs="Times New Roman"/>
          <w:color w:val="auto"/>
          <w:spacing w:val="0"/>
          <w:kern w:val="2"/>
          <w:sz w:val="24"/>
          <w:szCs w:val="24"/>
          <w:highlight w:val="none"/>
          <w:lang w:val="zh-TW" w:eastAsia="zh-TW"/>
        </w:rPr>
      </w:pPr>
      <w:r>
        <w:rPr>
          <w:rFonts w:hint="default" w:ascii="Times New Roman" w:hAnsi="Times New Roman" w:eastAsia="宋体" w:cs="Times New Roman"/>
          <w:color w:val="auto"/>
          <w:spacing w:val="0"/>
          <w:kern w:val="2"/>
          <w:sz w:val="24"/>
          <w:szCs w:val="24"/>
          <w:highlight w:val="none"/>
          <w:lang w:val="zh-TW" w:eastAsia="zh-TW"/>
        </w:rPr>
        <w:t>2.2.3我方为实现为贵司本项目提供专业服务之目的，有权向我方内部相关人员（包括但不限于直接接触信息资料的雇员、代理人及顾问，下同）合理透露必要的保密信息，但必须要求获得保密信息的相关人员遵守本保密承诺；除此之外，未经贵司或贵司实际控制的企业或贵司的实际控制人书面同意，我方不得向任何第三方提供或透露部分或全部保密信息。</w:t>
      </w:r>
    </w:p>
    <w:p>
      <w:pPr>
        <w:pStyle w:val="98"/>
        <w:keepNext w:val="0"/>
        <w:keepLines w:val="0"/>
        <w:pageBreakBefore w:val="0"/>
        <w:kinsoku/>
        <w:wordWrap/>
        <w:overflowPunct/>
        <w:topLinePunct w:val="0"/>
        <w:autoSpaceDE/>
        <w:autoSpaceDN/>
        <w:bidi w:val="0"/>
        <w:snapToGrid/>
        <w:spacing w:line="560" w:lineRule="exact"/>
        <w:ind w:left="0" w:leftChars="0" w:firstLine="480" w:firstLineChars="200"/>
        <w:textAlignment w:val="auto"/>
        <w:rPr>
          <w:rFonts w:hint="default" w:ascii="Times New Roman" w:hAnsi="Times New Roman" w:eastAsia="宋体" w:cs="Times New Roman"/>
          <w:color w:val="auto"/>
          <w:spacing w:val="0"/>
          <w:kern w:val="2"/>
          <w:sz w:val="24"/>
          <w:szCs w:val="24"/>
          <w:highlight w:val="none"/>
          <w:lang w:val="zh-TW" w:eastAsia="zh-TW"/>
        </w:rPr>
      </w:pPr>
      <w:r>
        <w:rPr>
          <w:rFonts w:hint="default" w:ascii="Times New Roman" w:hAnsi="Times New Roman" w:eastAsia="宋体" w:cs="Times New Roman"/>
          <w:color w:val="auto"/>
          <w:spacing w:val="0"/>
          <w:kern w:val="2"/>
          <w:sz w:val="24"/>
          <w:szCs w:val="24"/>
          <w:highlight w:val="none"/>
          <w:lang w:val="zh-TW" w:eastAsia="zh-TW"/>
        </w:rPr>
        <w:t>2.2.4我方在未获得贵司事先书面同意前，于任何时间不得：</w:t>
      </w:r>
    </w:p>
    <w:p>
      <w:pPr>
        <w:pStyle w:val="98"/>
        <w:keepNext w:val="0"/>
        <w:keepLines w:val="0"/>
        <w:pageBreakBefore w:val="0"/>
        <w:kinsoku/>
        <w:wordWrap/>
        <w:overflowPunct/>
        <w:topLinePunct w:val="0"/>
        <w:autoSpaceDE/>
        <w:autoSpaceDN/>
        <w:bidi w:val="0"/>
        <w:snapToGrid/>
        <w:spacing w:line="560" w:lineRule="exact"/>
        <w:ind w:left="0" w:leftChars="0" w:firstLine="480" w:firstLineChars="200"/>
        <w:textAlignment w:val="auto"/>
        <w:rPr>
          <w:rFonts w:hint="default" w:ascii="Times New Roman" w:hAnsi="Times New Roman" w:eastAsia="宋体" w:cs="Times New Roman"/>
          <w:color w:val="auto"/>
          <w:spacing w:val="0"/>
          <w:kern w:val="2"/>
          <w:sz w:val="24"/>
          <w:szCs w:val="24"/>
          <w:highlight w:val="none"/>
          <w:lang w:val="zh-TW" w:eastAsia="zh-TW"/>
        </w:rPr>
      </w:pPr>
      <w:r>
        <w:rPr>
          <w:rFonts w:hint="default" w:ascii="Times New Roman" w:hAnsi="Times New Roman" w:eastAsia="宋体" w:cs="Times New Roman"/>
          <w:color w:val="auto"/>
          <w:spacing w:val="0"/>
          <w:kern w:val="2"/>
          <w:sz w:val="24"/>
          <w:szCs w:val="24"/>
          <w:highlight w:val="none"/>
          <w:lang w:val="zh-TW" w:eastAsia="zh-TW"/>
        </w:rPr>
        <w:t>（1）向任何其他人员披露或透露贵司的保密信息，但为贵司项目提供服务期间有接触保密信息必要的我方内部相关人员除外，但必须要求获得保密信息的相关人员遵守本保密承诺；</w:t>
      </w:r>
    </w:p>
    <w:p>
      <w:pPr>
        <w:pStyle w:val="98"/>
        <w:keepNext w:val="0"/>
        <w:keepLines w:val="0"/>
        <w:pageBreakBefore w:val="0"/>
        <w:kinsoku/>
        <w:wordWrap/>
        <w:overflowPunct/>
        <w:topLinePunct w:val="0"/>
        <w:autoSpaceDE/>
        <w:autoSpaceDN/>
        <w:bidi w:val="0"/>
        <w:snapToGrid/>
        <w:spacing w:line="560" w:lineRule="exact"/>
        <w:ind w:left="0" w:leftChars="0" w:firstLine="480" w:firstLineChars="200"/>
        <w:textAlignment w:val="auto"/>
        <w:rPr>
          <w:rFonts w:hint="default" w:ascii="Times New Roman" w:hAnsi="Times New Roman" w:eastAsia="宋体" w:cs="Times New Roman"/>
          <w:color w:val="auto"/>
          <w:spacing w:val="0"/>
          <w:kern w:val="2"/>
          <w:sz w:val="24"/>
          <w:szCs w:val="24"/>
          <w:highlight w:val="none"/>
          <w:lang w:val="zh-TW" w:eastAsia="zh-TW"/>
        </w:rPr>
      </w:pPr>
      <w:r>
        <w:rPr>
          <w:rFonts w:hint="default" w:ascii="Times New Roman" w:hAnsi="Times New Roman" w:eastAsia="宋体" w:cs="Times New Roman"/>
          <w:color w:val="auto"/>
          <w:spacing w:val="0"/>
          <w:kern w:val="2"/>
          <w:sz w:val="24"/>
          <w:szCs w:val="24"/>
          <w:highlight w:val="none"/>
          <w:lang w:val="zh-TW" w:eastAsia="zh-TW"/>
        </w:rPr>
        <w:t>（2）向任何其他人员披露或透露与贵司正进行或已进行的讨论的相关内容或有关项目的安排及其他事项等保密信息，但本承诺函第2.1.1项列明的例外情形除外；</w:t>
      </w:r>
    </w:p>
    <w:p>
      <w:pPr>
        <w:pStyle w:val="98"/>
        <w:keepNext w:val="0"/>
        <w:keepLines w:val="0"/>
        <w:pageBreakBefore w:val="0"/>
        <w:kinsoku/>
        <w:wordWrap/>
        <w:overflowPunct/>
        <w:topLinePunct w:val="0"/>
        <w:autoSpaceDE/>
        <w:autoSpaceDN/>
        <w:bidi w:val="0"/>
        <w:snapToGrid/>
        <w:spacing w:line="560" w:lineRule="exact"/>
        <w:ind w:left="0" w:leftChars="0" w:firstLine="480" w:firstLineChars="200"/>
        <w:textAlignment w:val="auto"/>
        <w:rPr>
          <w:rFonts w:hint="default" w:ascii="Times New Roman" w:hAnsi="Times New Roman" w:eastAsia="宋体" w:cs="Times New Roman"/>
          <w:color w:val="auto"/>
          <w:spacing w:val="0"/>
          <w:kern w:val="2"/>
          <w:sz w:val="24"/>
          <w:szCs w:val="24"/>
          <w:highlight w:val="none"/>
          <w:lang w:val="zh-TW" w:eastAsia="zh-TW"/>
        </w:rPr>
      </w:pPr>
      <w:r>
        <w:rPr>
          <w:rFonts w:hint="default" w:ascii="Times New Roman" w:hAnsi="Times New Roman" w:eastAsia="宋体" w:cs="Times New Roman"/>
          <w:color w:val="auto"/>
          <w:spacing w:val="0"/>
          <w:kern w:val="2"/>
          <w:sz w:val="24"/>
          <w:szCs w:val="24"/>
          <w:highlight w:val="none"/>
          <w:lang w:val="zh-TW" w:eastAsia="zh-TW"/>
        </w:rPr>
        <w:t>（3）向各级国家机关、司法机关、各个政府部门及相关人员主动披露或透露贵司</w:t>
      </w:r>
      <w:r>
        <w:rPr>
          <w:rFonts w:hint="default" w:ascii="Times New Roman" w:hAnsi="Times New Roman" w:eastAsia="宋体" w:cs="Times New Roman"/>
          <w:color w:val="auto"/>
          <w:spacing w:val="0"/>
          <w:kern w:val="2"/>
          <w:sz w:val="24"/>
          <w:szCs w:val="24"/>
          <w:highlight w:val="none"/>
          <w:lang w:val="en-US" w:eastAsia="zh-CN"/>
        </w:rPr>
        <w:t>的</w:t>
      </w:r>
      <w:r>
        <w:rPr>
          <w:rFonts w:hint="default" w:ascii="Times New Roman" w:hAnsi="Times New Roman" w:eastAsia="宋体" w:cs="Times New Roman"/>
          <w:color w:val="auto"/>
          <w:spacing w:val="0"/>
          <w:kern w:val="2"/>
          <w:sz w:val="24"/>
          <w:szCs w:val="24"/>
          <w:highlight w:val="none"/>
          <w:lang w:val="zh-TW" w:eastAsia="zh-TW"/>
        </w:rPr>
        <w:t>保密信息，但因履行法定披露义务或根据行政或司法部门的要求进行披露者不受此限。</w:t>
      </w:r>
    </w:p>
    <w:p>
      <w:pPr>
        <w:pStyle w:val="98"/>
        <w:keepNext w:val="0"/>
        <w:keepLines w:val="0"/>
        <w:pageBreakBefore w:val="0"/>
        <w:kinsoku/>
        <w:wordWrap/>
        <w:overflowPunct/>
        <w:topLinePunct w:val="0"/>
        <w:autoSpaceDE/>
        <w:autoSpaceDN/>
        <w:bidi w:val="0"/>
        <w:snapToGrid/>
        <w:spacing w:line="560" w:lineRule="exact"/>
        <w:ind w:left="0" w:leftChars="0" w:firstLine="480" w:firstLineChars="200"/>
        <w:textAlignment w:val="auto"/>
        <w:rPr>
          <w:rFonts w:hint="default" w:ascii="Times New Roman" w:hAnsi="Times New Roman" w:eastAsia="宋体" w:cs="Times New Roman"/>
          <w:color w:val="auto"/>
          <w:spacing w:val="0"/>
          <w:kern w:val="2"/>
          <w:sz w:val="24"/>
          <w:szCs w:val="24"/>
          <w:highlight w:val="none"/>
          <w:lang w:val="zh-TW" w:eastAsia="zh-TW"/>
        </w:rPr>
      </w:pPr>
      <w:r>
        <w:rPr>
          <w:rFonts w:hint="default" w:ascii="Times New Roman" w:hAnsi="Times New Roman" w:eastAsia="宋体" w:cs="Times New Roman"/>
          <w:color w:val="auto"/>
          <w:spacing w:val="0"/>
          <w:kern w:val="2"/>
          <w:sz w:val="24"/>
          <w:szCs w:val="24"/>
          <w:highlight w:val="none"/>
          <w:lang w:val="zh-TW" w:eastAsia="zh-TW"/>
        </w:rPr>
        <w:t>2.2.5当发生贵司保密信息在违反本保密承诺有关条款被披露的情况下，我方将立即充分调查了解有关情况并告知贵司，并承担相应的责任，消除相关影响。</w:t>
      </w:r>
    </w:p>
    <w:p>
      <w:pPr>
        <w:pStyle w:val="98"/>
        <w:keepNext w:val="0"/>
        <w:keepLines w:val="0"/>
        <w:pageBreakBefore w:val="0"/>
        <w:kinsoku/>
        <w:wordWrap/>
        <w:overflowPunct/>
        <w:topLinePunct w:val="0"/>
        <w:autoSpaceDE/>
        <w:autoSpaceDN/>
        <w:bidi w:val="0"/>
        <w:snapToGrid/>
        <w:spacing w:line="560" w:lineRule="exact"/>
        <w:ind w:left="0" w:leftChars="0" w:firstLine="480" w:firstLineChars="200"/>
        <w:textAlignment w:val="auto"/>
        <w:rPr>
          <w:rFonts w:hint="default" w:ascii="Times New Roman" w:hAnsi="Times New Roman" w:eastAsia="宋体" w:cs="Times New Roman"/>
          <w:color w:val="auto"/>
          <w:spacing w:val="0"/>
          <w:kern w:val="2"/>
          <w:sz w:val="24"/>
          <w:szCs w:val="24"/>
          <w:highlight w:val="none"/>
          <w:lang w:val="zh-TW" w:eastAsia="zh-TW"/>
        </w:rPr>
      </w:pPr>
      <w:r>
        <w:rPr>
          <w:rFonts w:hint="default" w:ascii="Times New Roman" w:hAnsi="Times New Roman" w:eastAsia="宋体" w:cs="Times New Roman"/>
          <w:color w:val="auto"/>
          <w:spacing w:val="0"/>
          <w:kern w:val="2"/>
          <w:sz w:val="24"/>
          <w:szCs w:val="24"/>
          <w:highlight w:val="none"/>
          <w:lang w:val="zh-TW" w:eastAsia="zh-TW"/>
        </w:rPr>
        <w:t>2.2.6我方同意，贵司将本</w:t>
      </w:r>
      <w:r>
        <w:rPr>
          <w:rFonts w:hint="default" w:ascii="Times New Roman" w:hAnsi="Times New Roman" w:eastAsia="宋体" w:cs="Times New Roman"/>
          <w:color w:val="auto"/>
          <w:spacing w:val="0"/>
          <w:kern w:val="2"/>
          <w:sz w:val="24"/>
          <w:szCs w:val="24"/>
          <w:highlight w:val="none"/>
          <w:lang w:val="zh-TW" w:eastAsia="zh-CN"/>
        </w:rPr>
        <w:t>承诺函项下第</w:t>
      </w:r>
      <w:r>
        <w:rPr>
          <w:rFonts w:hint="default" w:ascii="Times New Roman" w:hAnsi="Times New Roman" w:eastAsia="宋体" w:cs="Times New Roman"/>
          <w:color w:val="auto"/>
          <w:spacing w:val="0"/>
          <w:kern w:val="2"/>
          <w:sz w:val="24"/>
          <w:szCs w:val="24"/>
          <w:highlight w:val="none"/>
          <w:lang w:val="en-US" w:eastAsia="zh-CN"/>
        </w:rPr>
        <w:t>2.2.3款</w:t>
      </w:r>
      <w:r>
        <w:rPr>
          <w:rFonts w:hint="default" w:ascii="Times New Roman" w:hAnsi="Times New Roman" w:eastAsia="宋体" w:cs="Times New Roman"/>
          <w:color w:val="auto"/>
          <w:spacing w:val="0"/>
          <w:kern w:val="2"/>
          <w:sz w:val="24"/>
          <w:szCs w:val="24"/>
          <w:highlight w:val="none"/>
          <w:lang w:val="zh-TW" w:eastAsia="zh-TW"/>
        </w:rPr>
        <w:t>所述之人士视为我方本身，我方将采取必要措施促使该等因工作关系知悉、接触贵司保密信息的人员履行与我方同等的保密义务。如果该等人员在本承诺函约定的保密期限内对外提供或透露部分或全部保密信息，则我方将对此承担全部责任。</w:t>
      </w:r>
    </w:p>
    <w:p>
      <w:pPr>
        <w:pStyle w:val="98"/>
        <w:keepNext w:val="0"/>
        <w:keepLines w:val="0"/>
        <w:pageBreakBefore w:val="0"/>
        <w:kinsoku/>
        <w:wordWrap/>
        <w:overflowPunct/>
        <w:topLinePunct w:val="0"/>
        <w:autoSpaceDE/>
        <w:autoSpaceDN/>
        <w:bidi w:val="0"/>
        <w:snapToGrid/>
        <w:spacing w:line="560" w:lineRule="exact"/>
        <w:ind w:left="0" w:leftChars="0" w:firstLine="480" w:firstLineChars="200"/>
        <w:textAlignment w:val="auto"/>
        <w:rPr>
          <w:rFonts w:hint="default" w:ascii="Times New Roman" w:hAnsi="Times New Roman" w:eastAsia="宋体" w:cs="Times New Roman"/>
          <w:color w:val="auto"/>
          <w:spacing w:val="0"/>
          <w:kern w:val="2"/>
          <w:sz w:val="24"/>
          <w:szCs w:val="24"/>
          <w:highlight w:val="none"/>
          <w:lang w:val="zh-TW" w:eastAsia="zh-TW"/>
        </w:rPr>
      </w:pPr>
      <w:r>
        <w:rPr>
          <w:rFonts w:hint="default" w:ascii="Times New Roman" w:hAnsi="Times New Roman" w:eastAsia="宋体" w:cs="Times New Roman"/>
          <w:color w:val="auto"/>
          <w:spacing w:val="0"/>
          <w:kern w:val="2"/>
          <w:sz w:val="24"/>
          <w:szCs w:val="24"/>
          <w:highlight w:val="none"/>
          <w:lang w:val="zh-TW" w:eastAsia="zh-TW"/>
        </w:rPr>
        <w:t>2.3保密期限和保密义务的终止</w:t>
      </w:r>
    </w:p>
    <w:p>
      <w:pPr>
        <w:pStyle w:val="98"/>
        <w:keepNext w:val="0"/>
        <w:keepLines w:val="0"/>
        <w:pageBreakBefore w:val="0"/>
        <w:kinsoku/>
        <w:wordWrap/>
        <w:overflowPunct/>
        <w:topLinePunct w:val="0"/>
        <w:autoSpaceDE/>
        <w:autoSpaceDN/>
        <w:bidi w:val="0"/>
        <w:snapToGrid/>
        <w:spacing w:line="560" w:lineRule="exact"/>
        <w:ind w:left="0" w:leftChars="0" w:firstLine="480" w:firstLineChars="200"/>
        <w:textAlignment w:val="auto"/>
        <w:rPr>
          <w:rFonts w:hint="default" w:ascii="Times New Roman" w:hAnsi="Times New Roman" w:eastAsia="宋体" w:cs="Times New Roman"/>
          <w:color w:val="auto"/>
          <w:spacing w:val="0"/>
          <w:kern w:val="2"/>
          <w:sz w:val="24"/>
          <w:szCs w:val="24"/>
          <w:highlight w:val="none"/>
          <w:lang w:val="zh-TW" w:eastAsia="zh-TW"/>
        </w:rPr>
      </w:pPr>
      <w:r>
        <w:rPr>
          <w:rFonts w:hint="default" w:ascii="Times New Roman" w:hAnsi="Times New Roman" w:eastAsia="宋体" w:cs="Times New Roman"/>
          <w:color w:val="auto"/>
          <w:spacing w:val="0"/>
          <w:kern w:val="2"/>
          <w:sz w:val="24"/>
          <w:szCs w:val="24"/>
          <w:highlight w:val="none"/>
          <w:lang w:val="zh-TW" w:eastAsia="zh-TW"/>
        </w:rPr>
        <w:t>我方对所获的贵司保密信息在本函中承诺的保密义务的期限为永久，直至贵司以书面形式明确表示我方无须再负保密义务为止或者双方另行签订了保密协议重新对保密相关内容作出了约定。</w:t>
      </w:r>
    </w:p>
    <w:p>
      <w:pPr>
        <w:pStyle w:val="98"/>
        <w:keepNext w:val="0"/>
        <w:keepLines w:val="0"/>
        <w:pageBreakBefore w:val="0"/>
        <w:kinsoku/>
        <w:wordWrap/>
        <w:overflowPunct/>
        <w:topLinePunct w:val="0"/>
        <w:autoSpaceDE/>
        <w:autoSpaceDN/>
        <w:bidi w:val="0"/>
        <w:snapToGrid/>
        <w:spacing w:line="560" w:lineRule="exact"/>
        <w:ind w:left="0" w:leftChars="0" w:firstLine="480" w:firstLineChars="200"/>
        <w:textAlignment w:val="auto"/>
        <w:rPr>
          <w:rFonts w:hint="default" w:ascii="Times New Roman" w:hAnsi="Times New Roman" w:eastAsia="宋体" w:cs="Times New Roman"/>
          <w:color w:val="auto"/>
          <w:spacing w:val="0"/>
          <w:kern w:val="2"/>
          <w:sz w:val="24"/>
          <w:szCs w:val="24"/>
          <w:highlight w:val="none"/>
          <w:lang w:val="zh-TW" w:eastAsia="zh-TW"/>
        </w:rPr>
      </w:pPr>
      <w:r>
        <w:rPr>
          <w:rFonts w:hint="default" w:ascii="Times New Roman" w:hAnsi="Times New Roman" w:eastAsia="宋体" w:cs="Times New Roman"/>
          <w:color w:val="auto"/>
          <w:spacing w:val="0"/>
          <w:kern w:val="2"/>
          <w:sz w:val="24"/>
          <w:szCs w:val="24"/>
          <w:highlight w:val="none"/>
          <w:lang w:val="zh-TW" w:eastAsia="zh-TW"/>
        </w:rPr>
        <w:t>2.4权益</w:t>
      </w:r>
    </w:p>
    <w:p>
      <w:pPr>
        <w:pStyle w:val="98"/>
        <w:keepNext w:val="0"/>
        <w:keepLines w:val="0"/>
        <w:pageBreakBefore w:val="0"/>
        <w:kinsoku/>
        <w:wordWrap/>
        <w:overflowPunct/>
        <w:topLinePunct w:val="0"/>
        <w:autoSpaceDE/>
        <w:autoSpaceDN/>
        <w:bidi w:val="0"/>
        <w:snapToGrid/>
        <w:spacing w:line="560" w:lineRule="exact"/>
        <w:ind w:left="0" w:leftChars="0" w:firstLine="480" w:firstLineChars="200"/>
        <w:textAlignment w:val="auto"/>
        <w:rPr>
          <w:rFonts w:hint="default" w:ascii="Times New Roman" w:hAnsi="Times New Roman" w:eastAsia="宋体" w:cs="Times New Roman"/>
          <w:color w:val="auto"/>
          <w:spacing w:val="0"/>
          <w:kern w:val="2"/>
          <w:sz w:val="24"/>
          <w:szCs w:val="24"/>
          <w:highlight w:val="none"/>
          <w:lang w:val="zh-TW" w:eastAsia="zh-TW"/>
        </w:rPr>
      </w:pPr>
      <w:r>
        <w:rPr>
          <w:rFonts w:hint="default" w:ascii="Times New Roman" w:hAnsi="Times New Roman" w:eastAsia="宋体" w:cs="Times New Roman"/>
          <w:color w:val="auto"/>
          <w:spacing w:val="0"/>
          <w:kern w:val="2"/>
          <w:sz w:val="24"/>
          <w:szCs w:val="24"/>
          <w:highlight w:val="none"/>
          <w:lang w:val="zh-TW" w:eastAsia="zh-TW"/>
        </w:rPr>
        <w:t>2.4.1所有保密信息均属贵司所有，其财产权、知识产权及其他权益由贵司享有及保留。除为进行与本项目相关的工作而查阅、复印，或在制作相关文件中使用保密信息的有限权利外，贵司向我方披露保密信息之行为不构成贵司向我方转让或授予我方享有贵司对其商标、专利或技术秘密等拥有的有关权益，亦不构成向我方转让或授予我方使用第三方许可贵司使用的商标、专利或技术秘密等有关权益。</w:t>
      </w:r>
    </w:p>
    <w:p>
      <w:pPr>
        <w:pStyle w:val="98"/>
        <w:keepNext w:val="0"/>
        <w:keepLines w:val="0"/>
        <w:pageBreakBefore w:val="0"/>
        <w:kinsoku/>
        <w:wordWrap/>
        <w:overflowPunct/>
        <w:topLinePunct w:val="0"/>
        <w:autoSpaceDE/>
        <w:autoSpaceDN/>
        <w:bidi w:val="0"/>
        <w:snapToGrid/>
        <w:spacing w:line="560" w:lineRule="exact"/>
        <w:ind w:left="0" w:leftChars="0" w:firstLine="480" w:firstLineChars="200"/>
        <w:textAlignment w:val="auto"/>
        <w:rPr>
          <w:rFonts w:hint="default" w:ascii="Times New Roman" w:hAnsi="Times New Roman" w:eastAsia="宋体" w:cs="Times New Roman"/>
          <w:color w:val="auto"/>
          <w:spacing w:val="0"/>
          <w:kern w:val="2"/>
          <w:sz w:val="24"/>
          <w:szCs w:val="24"/>
          <w:highlight w:val="none"/>
          <w:lang w:val="zh-TW" w:eastAsia="zh-TW"/>
        </w:rPr>
      </w:pPr>
      <w:r>
        <w:rPr>
          <w:rFonts w:hint="default" w:ascii="Times New Roman" w:hAnsi="Times New Roman" w:eastAsia="宋体" w:cs="Times New Roman"/>
          <w:color w:val="auto"/>
          <w:spacing w:val="0"/>
          <w:kern w:val="2"/>
          <w:sz w:val="24"/>
          <w:szCs w:val="24"/>
          <w:highlight w:val="none"/>
          <w:lang w:val="zh-TW" w:eastAsia="zh-TW"/>
        </w:rPr>
        <w:t>2.4.2在下列情形下，我方应根据贵司的要求，在贵司同意下，以书面形式确认已销毁/删除/返还所有我方掌握的贵司保密信息；但是，我方另行书面征得贵司同意的除外：</w:t>
      </w:r>
    </w:p>
    <w:p>
      <w:pPr>
        <w:pStyle w:val="98"/>
        <w:keepNext w:val="0"/>
        <w:keepLines w:val="0"/>
        <w:pageBreakBefore w:val="0"/>
        <w:kinsoku/>
        <w:wordWrap/>
        <w:overflowPunct/>
        <w:topLinePunct w:val="0"/>
        <w:autoSpaceDE/>
        <w:autoSpaceDN/>
        <w:bidi w:val="0"/>
        <w:snapToGrid/>
        <w:spacing w:line="560" w:lineRule="exact"/>
        <w:ind w:left="0" w:leftChars="0" w:firstLine="480" w:firstLineChars="200"/>
        <w:textAlignment w:val="auto"/>
        <w:rPr>
          <w:rFonts w:hint="default" w:ascii="Times New Roman" w:hAnsi="Times New Roman" w:eastAsia="宋体" w:cs="Times New Roman"/>
          <w:color w:val="auto"/>
          <w:spacing w:val="0"/>
          <w:kern w:val="2"/>
          <w:sz w:val="24"/>
          <w:szCs w:val="24"/>
          <w:highlight w:val="none"/>
          <w:lang w:val="zh-TW" w:eastAsia="zh-TW"/>
        </w:rPr>
      </w:pPr>
      <w:r>
        <w:rPr>
          <w:rFonts w:hint="default" w:ascii="Times New Roman" w:hAnsi="Times New Roman" w:eastAsia="宋体" w:cs="Times New Roman"/>
          <w:color w:val="auto"/>
          <w:spacing w:val="0"/>
          <w:kern w:val="2"/>
          <w:sz w:val="24"/>
          <w:szCs w:val="24"/>
          <w:highlight w:val="none"/>
          <w:lang w:val="zh-TW" w:eastAsia="zh-TW"/>
        </w:rPr>
        <w:t>（1）本项目完成时；</w:t>
      </w:r>
    </w:p>
    <w:p>
      <w:pPr>
        <w:pStyle w:val="98"/>
        <w:keepNext w:val="0"/>
        <w:keepLines w:val="0"/>
        <w:pageBreakBefore w:val="0"/>
        <w:kinsoku/>
        <w:wordWrap/>
        <w:overflowPunct/>
        <w:topLinePunct w:val="0"/>
        <w:autoSpaceDE/>
        <w:autoSpaceDN/>
        <w:bidi w:val="0"/>
        <w:snapToGrid/>
        <w:spacing w:line="560" w:lineRule="exact"/>
        <w:ind w:left="0" w:leftChars="0" w:firstLine="480" w:firstLineChars="200"/>
        <w:textAlignment w:val="auto"/>
        <w:rPr>
          <w:rFonts w:hint="default" w:ascii="Times New Roman" w:hAnsi="Times New Roman" w:eastAsia="宋体" w:cs="Times New Roman"/>
          <w:color w:val="auto"/>
          <w:spacing w:val="0"/>
          <w:kern w:val="2"/>
          <w:sz w:val="24"/>
          <w:szCs w:val="24"/>
          <w:highlight w:val="none"/>
          <w:lang w:val="zh-TW" w:eastAsia="zh-TW"/>
        </w:rPr>
      </w:pPr>
      <w:r>
        <w:rPr>
          <w:rFonts w:hint="default" w:ascii="Times New Roman" w:hAnsi="Times New Roman" w:eastAsia="宋体" w:cs="Times New Roman"/>
          <w:color w:val="auto"/>
          <w:spacing w:val="0"/>
          <w:kern w:val="2"/>
          <w:sz w:val="24"/>
          <w:szCs w:val="24"/>
          <w:highlight w:val="none"/>
          <w:lang w:val="zh-TW" w:eastAsia="zh-TW"/>
        </w:rPr>
        <w:t>（2）本项目因故未能最终完成时；</w:t>
      </w:r>
    </w:p>
    <w:p>
      <w:pPr>
        <w:pStyle w:val="98"/>
        <w:keepNext w:val="0"/>
        <w:keepLines w:val="0"/>
        <w:pageBreakBefore w:val="0"/>
        <w:kinsoku/>
        <w:wordWrap/>
        <w:overflowPunct/>
        <w:topLinePunct w:val="0"/>
        <w:autoSpaceDE/>
        <w:autoSpaceDN/>
        <w:bidi w:val="0"/>
        <w:snapToGrid/>
        <w:spacing w:line="560" w:lineRule="exact"/>
        <w:ind w:left="0" w:leftChars="0" w:firstLine="480" w:firstLineChars="200"/>
        <w:textAlignment w:val="auto"/>
        <w:rPr>
          <w:rFonts w:hint="default" w:ascii="Times New Roman" w:hAnsi="Times New Roman" w:eastAsia="宋体" w:cs="Times New Roman"/>
          <w:color w:val="auto"/>
          <w:spacing w:val="0"/>
          <w:kern w:val="2"/>
          <w:sz w:val="24"/>
          <w:szCs w:val="24"/>
          <w:highlight w:val="none"/>
          <w:lang w:val="zh-TW" w:eastAsia="zh-TW"/>
        </w:rPr>
      </w:pPr>
      <w:r>
        <w:rPr>
          <w:rFonts w:hint="default" w:ascii="Times New Roman" w:hAnsi="Times New Roman" w:eastAsia="宋体" w:cs="Times New Roman"/>
          <w:color w:val="auto"/>
          <w:spacing w:val="0"/>
          <w:kern w:val="2"/>
          <w:sz w:val="24"/>
          <w:szCs w:val="24"/>
          <w:highlight w:val="none"/>
          <w:lang w:val="zh-TW" w:eastAsia="zh-TW"/>
        </w:rPr>
        <w:t>（3）贵司有理由相信我方未按照本承诺函第二条约定之方式使用保密信息和/或进行保密时。</w:t>
      </w:r>
    </w:p>
    <w:p>
      <w:pPr>
        <w:pStyle w:val="98"/>
        <w:keepNext w:val="0"/>
        <w:keepLines w:val="0"/>
        <w:pageBreakBefore w:val="0"/>
        <w:tabs>
          <w:tab w:val="left" w:pos="840"/>
        </w:tabs>
        <w:kinsoku/>
        <w:wordWrap/>
        <w:overflowPunct/>
        <w:topLinePunct w:val="0"/>
        <w:autoSpaceDE/>
        <w:autoSpaceDN/>
        <w:bidi w:val="0"/>
        <w:snapToGrid/>
        <w:spacing w:line="560" w:lineRule="exact"/>
        <w:ind w:left="0" w:leftChars="0" w:firstLine="480" w:firstLineChars="200"/>
        <w:textAlignment w:val="auto"/>
        <w:rPr>
          <w:rFonts w:hint="default" w:ascii="Times New Roman" w:hAnsi="Times New Roman" w:eastAsia="宋体" w:cs="Times New Roman"/>
          <w:bCs/>
          <w:spacing w:val="0"/>
          <w:sz w:val="24"/>
          <w:szCs w:val="24"/>
          <w:highlight w:val="none"/>
          <w:lang w:val="zh-TW" w:eastAsia="zh-TW"/>
        </w:rPr>
      </w:pPr>
      <w:r>
        <w:rPr>
          <w:rFonts w:hint="default" w:ascii="Times New Roman" w:hAnsi="Times New Roman" w:eastAsia="宋体" w:cs="Times New Roman"/>
          <w:bCs/>
          <w:spacing w:val="0"/>
          <w:sz w:val="24"/>
          <w:szCs w:val="24"/>
          <w:highlight w:val="none"/>
        </w:rPr>
        <w:t>三、</w:t>
      </w:r>
      <w:r>
        <w:rPr>
          <w:rFonts w:hint="default" w:ascii="Times New Roman" w:hAnsi="Times New Roman" w:eastAsia="宋体" w:cs="Times New Roman"/>
          <w:bCs/>
          <w:spacing w:val="0"/>
          <w:sz w:val="24"/>
          <w:szCs w:val="24"/>
          <w:highlight w:val="none"/>
          <w:lang w:val="zh-TW" w:eastAsia="zh-TW"/>
        </w:rPr>
        <w:t>其他</w:t>
      </w:r>
    </w:p>
    <w:p>
      <w:pPr>
        <w:pStyle w:val="98"/>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宋体" w:cs="Times New Roman"/>
          <w:color w:val="auto"/>
          <w:spacing w:val="0"/>
          <w:kern w:val="2"/>
          <w:sz w:val="24"/>
          <w:szCs w:val="24"/>
          <w:highlight w:val="none"/>
          <w:lang w:val="zh-TW" w:eastAsia="zh-TW"/>
        </w:rPr>
      </w:pPr>
      <w:r>
        <w:rPr>
          <w:rFonts w:hint="default" w:ascii="Times New Roman" w:hAnsi="Times New Roman" w:eastAsia="宋体" w:cs="Times New Roman"/>
          <w:color w:val="auto"/>
          <w:spacing w:val="0"/>
          <w:kern w:val="2"/>
          <w:sz w:val="24"/>
          <w:szCs w:val="24"/>
          <w:highlight w:val="none"/>
        </w:rPr>
        <w:t>3</w:t>
      </w:r>
      <w:r>
        <w:rPr>
          <w:rFonts w:hint="default" w:ascii="Times New Roman" w:hAnsi="Times New Roman" w:eastAsia="宋体" w:cs="Times New Roman"/>
          <w:color w:val="auto"/>
          <w:spacing w:val="0"/>
          <w:kern w:val="2"/>
          <w:sz w:val="24"/>
          <w:szCs w:val="24"/>
          <w:highlight w:val="none"/>
          <w:lang w:val="zh-TW" w:eastAsia="zh-TW"/>
        </w:rPr>
        <w:t>.1本承诺函的签署、履行、效力及解释均受中华人民共和国法律管辖。</w:t>
      </w:r>
    </w:p>
    <w:p>
      <w:pPr>
        <w:pStyle w:val="98"/>
        <w:keepNext w:val="0"/>
        <w:keepLines w:val="0"/>
        <w:pageBreakBefore w:val="0"/>
        <w:kinsoku/>
        <w:wordWrap/>
        <w:overflowPunct/>
        <w:topLinePunct w:val="0"/>
        <w:autoSpaceDE/>
        <w:autoSpaceDN/>
        <w:bidi w:val="0"/>
        <w:snapToGrid/>
        <w:spacing w:line="560" w:lineRule="exact"/>
        <w:ind w:left="0" w:leftChars="0" w:firstLine="480" w:firstLineChars="200"/>
        <w:textAlignment w:val="auto"/>
        <w:rPr>
          <w:rFonts w:hint="default" w:ascii="Times New Roman" w:hAnsi="Times New Roman" w:eastAsia="宋体" w:cs="Times New Roman"/>
          <w:color w:val="auto"/>
          <w:spacing w:val="0"/>
          <w:kern w:val="2"/>
          <w:sz w:val="24"/>
          <w:szCs w:val="24"/>
          <w:highlight w:val="none"/>
          <w:lang w:val="zh-TW" w:eastAsia="zh-TW"/>
        </w:rPr>
      </w:pPr>
      <w:r>
        <w:rPr>
          <w:rFonts w:hint="default" w:ascii="Times New Roman" w:hAnsi="Times New Roman" w:eastAsia="宋体" w:cs="Times New Roman"/>
          <w:color w:val="auto"/>
          <w:spacing w:val="0"/>
          <w:kern w:val="2"/>
          <w:sz w:val="24"/>
          <w:szCs w:val="24"/>
          <w:highlight w:val="none"/>
        </w:rPr>
        <w:t>3</w:t>
      </w:r>
      <w:r>
        <w:rPr>
          <w:rFonts w:hint="default" w:ascii="Times New Roman" w:hAnsi="Times New Roman" w:eastAsia="宋体" w:cs="Times New Roman"/>
          <w:color w:val="auto"/>
          <w:spacing w:val="0"/>
          <w:kern w:val="2"/>
          <w:sz w:val="24"/>
          <w:szCs w:val="24"/>
          <w:highlight w:val="none"/>
          <w:lang w:val="zh-TW" w:eastAsia="zh-TW"/>
        </w:rPr>
        <w:t>.2本承诺函未尽事宜，由贵司与我方以书面形式另行约定。</w:t>
      </w:r>
    </w:p>
    <w:p>
      <w:pPr>
        <w:pStyle w:val="98"/>
        <w:keepNext w:val="0"/>
        <w:keepLines w:val="0"/>
        <w:pageBreakBefore w:val="0"/>
        <w:kinsoku/>
        <w:wordWrap/>
        <w:overflowPunct/>
        <w:topLinePunct w:val="0"/>
        <w:autoSpaceDE/>
        <w:autoSpaceDN/>
        <w:bidi w:val="0"/>
        <w:snapToGrid/>
        <w:spacing w:line="560" w:lineRule="exact"/>
        <w:ind w:left="0" w:leftChars="0" w:firstLine="480" w:firstLineChars="200"/>
        <w:textAlignment w:val="auto"/>
        <w:rPr>
          <w:rFonts w:hint="default" w:ascii="Times New Roman" w:hAnsi="Times New Roman" w:eastAsia="宋体" w:cs="Times New Roman"/>
          <w:spacing w:val="0"/>
          <w:sz w:val="24"/>
          <w:szCs w:val="24"/>
          <w:highlight w:val="none"/>
        </w:rPr>
      </w:pPr>
      <w:r>
        <w:rPr>
          <w:rFonts w:hint="default" w:ascii="Times New Roman" w:hAnsi="Times New Roman" w:eastAsia="宋体" w:cs="Times New Roman"/>
          <w:color w:val="auto"/>
          <w:spacing w:val="0"/>
          <w:kern w:val="2"/>
          <w:sz w:val="24"/>
          <w:szCs w:val="24"/>
          <w:highlight w:val="none"/>
        </w:rPr>
        <w:t>3</w:t>
      </w:r>
      <w:r>
        <w:rPr>
          <w:rFonts w:hint="default" w:ascii="Times New Roman" w:hAnsi="Times New Roman" w:eastAsia="宋体" w:cs="Times New Roman"/>
          <w:color w:val="auto"/>
          <w:spacing w:val="0"/>
          <w:kern w:val="2"/>
          <w:sz w:val="24"/>
          <w:szCs w:val="24"/>
          <w:highlight w:val="none"/>
          <w:lang w:val="zh-TW" w:eastAsia="zh-TW"/>
        </w:rPr>
        <w:t>.3本承诺函自我方签署之日起生效（该日之前我方已获得的保密信息亦适用本函的约定），除本承诺函另有约定外，我方在本承诺函项下的利益冲突承诺及保密义务在本项目的进行期间和本项目完成之后持续有效，直至贵司以书面形式明确表示我方无须再承担该等承诺及义务为止。</w:t>
      </w:r>
      <w:r>
        <w:rPr>
          <w:rFonts w:hint="default" w:ascii="Times New Roman" w:hAnsi="Times New Roman" w:eastAsia="宋体" w:cs="Times New Roman"/>
          <w:spacing w:val="0"/>
          <w:sz w:val="24"/>
          <w:szCs w:val="24"/>
          <w:highlight w:val="none"/>
          <w:lang w:val="zh-TW" w:eastAsia="zh-TW"/>
        </w:rPr>
        <w:t xml:space="preserve">  </w:t>
      </w:r>
    </w:p>
    <w:p>
      <w:pPr>
        <w:pStyle w:val="98"/>
        <w:keepNext w:val="0"/>
        <w:keepLines w:val="0"/>
        <w:pageBreakBefore w:val="0"/>
        <w:kinsoku/>
        <w:wordWrap/>
        <w:overflowPunct/>
        <w:topLinePunct w:val="0"/>
        <w:autoSpaceDE/>
        <w:autoSpaceDN/>
        <w:bidi w:val="0"/>
        <w:snapToGrid/>
        <w:spacing w:line="560" w:lineRule="exact"/>
        <w:ind w:left="0" w:leftChars="0"/>
        <w:textAlignment w:val="auto"/>
        <w:rPr>
          <w:rFonts w:hint="default" w:ascii="Times New Roman" w:hAnsi="Times New Roman" w:eastAsia="宋体" w:cs="Times New Roman"/>
          <w:color w:val="auto"/>
          <w:spacing w:val="0"/>
          <w:kern w:val="2"/>
          <w:sz w:val="24"/>
          <w:szCs w:val="24"/>
          <w:highlight w:val="none"/>
          <w:lang w:val="zh-TW" w:eastAsia="zh-TW"/>
        </w:rPr>
      </w:pPr>
    </w:p>
    <w:p>
      <w:pPr>
        <w:pStyle w:val="98"/>
        <w:keepNext w:val="0"/>
        <w:keepLines w:val="0"/>
        <w:pageBreakBefore w:val="0"/>
        <w:kinsoku/>
        <w:wordWrap/>
        <w:overflowPunct/>
        <w:topLinePunct w:val="0"/>
        <w:autoSpaceDE/>
        <w:autoSpaceDN/>
        <w:bidi w:val="0"/>
        <w:snapToGrid/>
        <w:spacing w:line="560" w:lineRule="exact"/>
        <w:ind w:left="0" w:leftChars="0"/>
        <w:textAlignment w:val="auto"/>
        <w:rPr>
          <w:rFonts w:hint="default" w:ascii="Times New Roman" w:hAnsi="Times New Roman" w:eastAsia="宋体" w:cs="Times New Roman"/>
          <w:color w:val="auto"/>
          <w:spacing w:val="0"/>
          <w:kern w:val="2"/>
          <w:sz w:val="24"/>
          <w:szCs w:val="24"/>
          <w:highlight w:val="none"/>
          <w:lang w:val="zh-TW" w:eastAsia="zh-TW"/>
        </w:rPr>
      </w:pPr>
    </w:p>
    <w:p>
      <w:pPr>
        <w:pStyle w:val="98"/>
        <w:keepNext w:val="0"/>
        <w:keepLines w:val="0"/>
        <w:pageBreakBefore w:val="0"/>
        <w:kinsoku/>
        <w:wordWrap/>
        <w:overflowPunct/>
        <w:topLinePunct w:val="0"/>
        <w:autoSpaceDE/>
        <w:autoSpaceDN/>
        <w:bidi w:val="0"/>
        <w:snapToGrid/>
        <w:spacing w:line="560" w:lineRule="exact"/>
        <w:ind w:left="0" w:leftChars="0"/>
        <w:textAlignment w:val="auto"/>
        <w:rPr>
          <w:rFonts w:hint="default" w:ascii="Times New Roman" w:hAnsi="Times New Roman" w:eastAsia="宋体" w:cs="Times New Roman"/>
          <w:color w:val="auto"/>
          <w:spacing w:val="0"/>
          <w:kern w:val="2"/>
          <w:sz w:val="24"/>
          <w:szCs w:val="24"/>
          <w:highlight w:val="none"/>
          <w:lang w:val="zh-TW" w:eastAsia="zh-TW"/>
        </w:rPr>
      </w:pPr>
    </w:p>
    <w:p>
      <w:pPr>
        <w:pStyle w:val="98"/>
        <w:keepNext w:val="0"/>
        <w:keepLines w:val="0"/>
        <w:pageBreakBefore w:val="0"/>
        <w:kinsoku/>
        <w:wordWrap/>
        <w:overflowPunct/>
        <w:topLinePunct w:val="0"/>
        <w:autoSpaceDE/>
        <w:autoSpaceDN/>
        <w:bidi w:val="0"/>
        <w:snapToGrid/>
        <w:spacing w:line="560" w:lineRule="exact"/>
        <w:ind w:left="0" w:leftChars="0"/>
        <w:textAlignment w:val="auto"/>
        <w:rPr>
          <w:rFonts w:hint="default" w:ascii="Times New Roman" w:hAnsi="Times New Roman" w:eastAsia="宋体" w:cs="Times New Roman"/>
          <w:color w:val="auto"/>
          <w:spacing w:val="0"/>
          <w:kern w:val="2"/>
          <w:sz w:val="24"/>
          <w:szCs w:val="24"/>
          <w:highlight w:val="none"/>
          <w:lang w:val="zh-TW" w:eastAsia="zh-TW"/>
        </w:rPr>
      </w:pPr>
    </w:p>
    <w:p>
      <w:pPr>
        <w:pStyle w:val="98"/>
        <w:keepNext w:val="0"/>
        <w:keepLines w:val="0"/>
        <w:pageBreakBefore w:val="0"/>
        <w:kinsoku/>
        <w:wordWrap/>
        <w:overflowPunct/>
        <w:topLinePunct w:val="0"/>
        <w:autoSpaceDE/>
        <w:autoSpaceDN/>
        <w:bidi w:val="0"/>
        <w:snapToGrid/>
        <w:spacing w:line="560" w:lineRule="exact"/>
        <w:ind w:left="0" w:leftChars="0"/>
        <w:textAlignment w:val="auto"/>
        <w:rPr>
          <w:rFonts w:hint="default" w:ascii="Times New Roman" w:hAnsi="Times New Roman" w:eastAsia="宋体" w:cs="Times New Roman"/>
          <w:color w:val="auto"/>
          <w:kern w:val="2"/>
          <w:sz w:val="24"/>
          <w:szCs w:val="24"/>
          <w:highlight w:val="none"/>
          <w:lang w:val="zh-TW" w:eastAsia="zh-TW"/>
        </w:rPr>
      </w:pPr>
      <w:r>
        <w:rPr>
          <w:rFonts w:hint="default" w:ascii="Times New Roman" w:hAnsi="Times New Roman" w:eastAsia="宋体" w:cs="Times New Roman"/>
          <w:color w:val="auto"/>
          <w:spacing w:val="0"/>
          <w:kern w:val="2"/>
          <w:sz w:val="24"/>
          <w:szCs w:val="24"/>
          <w:highlight w:val="none"/>
          <w:lang w:val="en-US" w:eastAsia="zh-CN"/>
        </w:rPr>
        <w:t>乙方</w:t>
      </w:r>
      <w:r>
        <w:rPr>
          <w:rFonts w:hint="default" w:ascii="Times New Roman" w:hAnsi="Times New Roman" w:eastAsia="宋体" w:cs="Times New Roman"/>
          <w:color w:val="auto"/>
          <w:spacing w:val="0"/>
          <w:kern w:val="2"/>
          <w:sz w:val="24"/>
          <w:szCs w:val="24"/>
          <w:highlight w:val="none"/>
          <w:lang w:val="zh-TW" w:eastAsia="zh-TW"/>
        </w:rPr>
        <w:t>（盖章）：　</w:t>
      </w:r>
      <w:r>
        <w:rPr>
          <w:rFonts w:hint="default" w:ascii="Times New Roman" w:hAnsi="Times New Roman" w:eastAsia="宋体" w:cs="Times New Roman"/>
          <w:color w:val="auto"/>
          <w:spacing w:val="0"/>
          <w:kern w:val="2"/>
          <w:sz w:val="24"/>
          <w:szCs w:val="24"/>
          <w:highlight w:val="none"/>
          <w:lang w:val="en-US" w:eastAsia="zh-CN"/>
        </w:rPr>
        <w:t xml:space="preserve">     </w:t>
      </w:r>
      <w:r>
        <w:rPr>
          <w:rFonts w:hint="default" w:ascii="Times New Roman" w:hAnsi="Times New Roman" w:eastAsia="宋体" w:cs="Times New Roman"/>
          <w:color w:val="auto"/>
          <w:spacing w:val="0"/>
          <w:kern w:val="2"/>
          <w:sz w:val="24"/>
          <w:szCs w:val="24"/>
          <w:highlight w:val="none"/>
          <w:lang w:val="zh-TW" w:eastAsia="zh-TW"/>
        </w:rPr>
        <w:t>　　　（</w:t>
      </w:r>
      <w:r>
        <w:rPr>
          <w:rFonts w:hint="default" w:ascii="Times New Roman" w:hAnsi="Times New Roman" w:eastAsia="宋体" w:cs="Times New Roman"/>
          <w:color w:val="auto"/>
          <w:spacing w:val="0"/>
          <w:kern w:val="2"/>
          <w:sz w:val="24"/>
          <w:szCs w:val="24"/>
          <w:highlight w:val="none"/>
          <w:lang w:val="en-US" w:eastAsia="zh-CN"/>
        </w:rPr>
        <w:t>乙方</w:t>
      </w:r>
      <w:r>
        <w:rPr>
          <w:rFonts w:hint="default" w:ascii="Times New Roman" w:hAnsi="Times New Roman" w:eastAsia="宋体" w:cs="Times New Roman"/>
          <w:color w:val="auto"/>
          <w:spacing w:val="0"/>
          <w:kern w:val="2"/>
          <w:sz w:val="24"/>
          <w:szCs w:val="24"/>
          <w:highlight w:val="none"/>
          <w:lang w:val="zh-TW" w:eastAsia="zh-TW"/>
        </w:rPr>
        <w:t>签</w:t>
      </w:r>
      <w:r>
        <w:rPr>
          <w:rFonts w:hint="default" w:ascii="Times New Roman" w:hAnsi="Times New Roman" w:eastAsia="宋体" w:cs="Times New Roman"/>
          <w:color w:val="auto"/>
          <w:spacing w:val="0"/>
          <w:kern w:val="2"/>
          <w:sz w:val="24"/>
          <w:szCs w:val="24"/>
          <w:highlight w:val="none"/>
          <w:lang w:val="en-US" w:eastAsia="zh-CN"/>
        </w:rPr>
        <w:t>名</w:t>
      </w:r>
      <w:r>
        <w:rPr>
          <w:rFonts w:hint="default" w:ascii="Times New Roman" w:hAnsi="Times New Roman" w:eastAsia="宋体" w:cs="Times New Roman"/>
          <w:color w:val="auto"/>
          <w:spacing w:val="0"/>
          <w:kern w:val="2"/>
          <w:sz w:val="24"/>
          <w:szCs w:val="24"/>
          <w:highlight w:val="none"/>
          <w:lang w:val="zh-TW" w:eastAsia="zh-TW"/>
        </w:rPr>
        <w:t>）：　　</w:t>
      </w:r>
      <w:r>
        <w:rPr>
          <w:rFonts w:hint="default" w:ascii="Times New Roman" w:hAnsi="Times New Roman" w:eastAsia="宋体" w:cs="Times New Roman"/>
          <w:color w:val="auto"/>
          <w:kern w:val="2"/>
          <w:sz w:val="24"/>
          <w:szCs w:val="24"/>
          <w:highlight w:val="none"/>
          <w:lang w:val="zh-TW" w:eastAsia="zh-TW"/>
        </w:rPr>
        <w:t>　　</w:t>
      </w:r>
    </w:p>
    <w:p>
      <w:pPr>
        <w:pStyle w:val="98"/>
        <w:spacing w:line="560" w:lineRule="exact"/>
        <w:rPr>
          <w:rFonts w:hint="default" w:ascii="Times New Roman" w:hAnsi="Times New Roman" w:eastAsia="宋体" w:cs="Times New Roman"/>
          <w:color w:val="auto"/>
          <w:kern w:val="2"/>
          <w:sz w:val="24"/>
          <w:szCs w:val="24"/>
          <w:highlight w:val="none"/>
          <w:lang w:val="zh-TW" w:eastAsia="zh-TW"/>
        </w:rPr>
      </w:pPr>
      <w:r>
        <w:rPr>
          <w:rFonts w:hint="default" w:ascii="Times New Roman" w:hAnsi="Times New Roman" w:eastAsia="宋体" w:cs="Times New Roman"/>
          <w:color w:val="auto"/>
          <w:kern w:val="2"/>
          <w:sz w:val="24"/>
          <w:szCs w:val="24"/>
          <w:highlight w:val="none"/>
          <w:lang w:val="zh-TW" w:eastAsia="zh-TW"/>
        </w:rPr>
        <w:t xml:space="preserve">日 </w:t>
      </w:r>
      <w:r>
        <w:rPr>
          <w:rFonts w:hint="default" w:ascii="Times New Roman" w:hAnsi="Times New Roman" w:eastAsia="宋体" w:cs="Times New Roman"/>
          <w:color w:val="auto"/>
          <w:kern w:val="2"/>
          <w:sz w:val="24"/>
          <w:szCs w:val="24"/>
          <w:highlight w:val="none"/>
          <w:lang w:val="en-US" w:eastAsia="zh-CN"/>
        </w:rPr>
        <w:t xml:space="preserve"> </w:t>
      </w:r>
      <w:r>
        <w:rPr>
          <w:rFonts w:hint="default" w:ascii="Times New Roman" w:hAnsi="Times New Roman" w:eastAsia="宋体" w:cs="Times New Roman"/>
          <w:color w:val="auto"/>
          <w:kern w:val="2"/>
          <w:sz w:val="24"/>
          <w:szCs w:val="24"/>
          <w:highlight w:val="none"/>
          <w:lang w:val="zh-TW" w:eastAsia="zh-TW"/>
        </w:rPr>
        <w:t>期：</w:t>
      </w:r>
    </w:p>
    <w:p>
      <w:pPr>
        <w:spacing w:line="560" w:lineRule="exact"/>
        <w:rPr>
          <w:szCs w:val="24"/>
          <w:highlight w:val="none"/>
        </w:rPr>
      </w:pPr>
    </w:p>
    <w:p>
      <w:pPr>
        <w:pStyle w:val="5"/>
        <w:spacing w:before="0" w:line="560" w:lineRule="exact"/>
        <w:rPr>
          <w:sz w:val="24"/>
          <w:szCs w:val="24"/>
          <w:highlight w:val="none"/>
        </w:rPr>
      </w:pPr>
    </w:p>
    <w:p>
      <w:pPr>
        <w:rPr>
          <w:rFonts w:hint="eastAsia" w:ascii="Times New Roman" w:hAnsi="Times New Roman"/>
          <w:highlight w:val="none"/>
        </w:rPr>
      </w:pPr>
      <w:bookmarkStart w:id="164" w:name="_Toc27526"/>
      <w:bookmarkStart w:id="165" w:name="_Toc525134814"/>
      <w:bookmarkStart w:id="166" w:name="_Toc246996338"/>
      <w:bookmarkStart w:id="167" w:name="_Toc179632787"/>
      <w:bookmarkStart w:id="168" w:name="_Toc247085853"/>
      <w:bookmarkStart w:id="169" w:name="_Toc246997081"/>
      <w:r>
        <w:rPr>
          <w:rFonts w:hint="eastAsia" w:ascii="Times New Roman" w:hAnsi="Times New Roman"/>
          <w:highlight w:val="none"/>
        </w:rPr>
        <w:br w:type="page"/>
      </w:r>
    </w:p>
    <w:p>
      <w:pPr>
        <w:pStyle w:val="27"/>
        <w:spacing w:before="120"/>
        <w:rPr>
          <w:rFonts w:ascii="Times New Roman" w:hAnsi="Times New Roman"/>
          <w:highlight w:val="none"/>
        </w:rPr>
      </w:pPr>
      <w:bookmarkStart w:id="170" w:name="_Toc22695"/>
      <w:bookmarkStart w:id="171" w:name="_Toc23681"/>
      <w:r>
        <w:rPr>
          <w:rFonts w:hint="eastAsia" w:ascii="Times New Roman" w:hAnsi="Times New Roman"/>
          <w:highlight w:val="none"/>
        </w:rPr>
        <w:t>第五章 采购需求</w:t>
      </w:r>
      <w:bookmarkEnd w:id="164"/>
      <w:bookmarkEnd w:id="165"/>
      <w:bookmarkEnd w:id="166"/>
      <w:bookmarkEnd w:id="167"/>
      <w:bookmarkEnd w:id="168"/>
      <w:bookmarkEnd w:id="169"/>
      <w:bookmarkEnd w:id="170"/>
      <w:bookmarkEnd w:id="171"/>
    </w:p>
    <w:p>
      <w:pPr>
        <w:snapToGrid w:val="0"/>
        <w:spacing w:line="480" w:lineRule="exact"/>
        <w:rPr>
          <w:b/>
          <w:sz w:val="24"/>
          <w:highlight w:val="none"/>
        </w:rPr>
      </w:pPr>
      <w:r>
        <w:rPr>
          <w:b/>
          <w:sz w:val="24"/>
          <w:highlight w:val="none"/>
        </w:rPr>
        <w:t>第一条 总则</w:t>
      </w:r>
    </w:p>
    <w:p>
      <w:pPr>
        <w:snapToGrid w:val="0"/>
        <w:spacing w:line="480" w:lineRule="exact"/>
        <w:rPr>
          <w:sz w:val="24"/>
          <w:highlight w:val="none"/>
        </w:rPr>
      </w:pPr>
      <w:r>
        <w:rPr>
          <w:sz w:val="24"/>
          <w:highlight w:val="none"/>
        </w:rPr>
        <w:t xml:space="preserve"> 1.本项目是指中国煤炭开发有限责任公司</w:t>
      </w:r>
      <w:r>
        <w:rPr>
          <w:rFonts w:hint="eastAsia"/>
          <w:sz w:val="24"/>
          <w:highlight w:val="none"/>
        </w:rPr>
        <w:t>常年法律顾问</w:t>
      </w:r>
      <w:r>
        <w:rPr>
          <w:sz w:val="24"/>
          <w:highlight w:val="none"/>
        </w:rPr>
        <w:t>服务</w:t>
      </w:r>
      <w:r>
        <w:rPr>
          <w:rFonts w:hint="eastAsia"/>
          <w:sz w:val="24"/>
          <w:highlight w:val="none"/>
        </w:rPr>
        <w:t>项目</w:t>
      </w:r>
      <w:r>
        <w:rPr>
          <w:sz w:val="24"/>
          <w:highlight w:val="none"/>
        </w:rPr>
        <w:t>采购。</w:t>
      </w:r>
    </w:p>
    <w:p>
      <w:pPr>
        <w:snapToGrid w:val="0"/>
        <w:spacing w:line="480" w:lineRule="exact"/>
        <w:rPr>
          <w:sz w:val="24"/>
          <w:highlight w:val="none"/>
        </w:rPr>
      </w:pPr>
      <w:r>
        <w:rPr>
          <w:sz w:val="24"/>
          <w:highlight w:val="none"/>
        </w:rPr>
        <w:t xml:space="preserve"> </w:t>
      </w:r>
      <w:r>
        <w:rPr>
          <w:rFonts w:hint="eastAsia"/>
          <w:sz w:val="24"/>
          <w:highlight w:val="none"/>
          <w:lang w:val="en-US" w:eastAsia="zh-CN"/>
        </w:rPr>
        <w:t>2</w:t>
      </w:r>
      <w:r>
        <w:rPr>
          <w:sz w:val="24"/>
          <w:highlight w:val="none"/>
        </w:rPr>
        <w:t>.</w:t>
      </w:r>
      <w:r>
        <w:rPr>
          <w:rFonts w:hint="eastAsia"/>
          <w:sz w:val="24"/>
          <w:highlight w:val="none"/>
          <w:lang w:val="en-US" w:eastAsia="zh-CN"/>
        </w:rPr>
        <w:t>服务范围：</w:t>
      </w:r>
      <w:r>
        <w:rPr>
          <w:rFonts w:hint="eastAsia"/>
          <w:highlight w:val="none"/>
        </w:rPr>
        <w:t>为中国煤炭开发有限责任公司及所属企业提供常年法律顾问服务，</w:t>
      </w:r>
      <w:r>
        <w:rPr>
          <w:rFonts w:hint="eastAsia"/>
          <w:color w:val="auto"/>
          <w:sz w:val="24"/>
          <w:highlight w:val="none"/>
          <w:lang w:val="en-US" w:eastAsia="zh-CN"/>
        </w:rPr>
        <w:t>以及中国中煤采购供应链涉及的法律事务</w:t>
      </w:r>
      <w:r>
        <w:rPr>
          <w:rFonts w:hint="eastAsia"/>
          <w:highlight w:val="none"/>
        </w:rPr>
        <w:t>提供常年法律顾问服务</w:t>
      </w:r>
      <w:r>
        <w:rPr>
          <w:sz w:val="24"/>
          <w:highlight w:val="none"/>
        </w:rPr>
        <w:t>。</w:t>
      </w:r>
    </w:p>
    <w:p>
      <w:pPr>
        <w:widowControl/>
        <w:tabs>
          <w:tab w:val="left" w:pos="360"/>
        </w:tabs>
        <w:snapToGrid w:val="0"/>
        <w:spacing w:line="480" w:lineRule="exact"/>
        <w:ind w:firstLine="600" w:firstLineChars="250"/>
        <w:jc w:val="left"/>
        <w:rPr>
          <w:kern w:val="0"/>
          <w:sz w:val="24"/>
          <w:highlight w:val="none"/>
        </w:rPr>
      </w:pPr>
      <w:r>
        <w:rPr>
          <w:rFonts w:hint="eastAsia"/>
          <w:sz w:val="24"/>
          <w:highlight w:val="none"/>
          <w:lang w:val="en-US" w:eastAsia="zh-CN"/>
        </w:rPr>
        <w:t>3.</w:t>
      </w:r>
      <w:r>
        <w:rPr>
          <w:sz w:val="24"/>
          <w:highlight w:val="none"/>
        </w:rPr>
        <w:t>采购内容</w:t>
      </w:r>
      <w:r>
        <w:rPr>
          <w:rFonts w:hint="eastAsia"/>
          <w:sz w:val="24"/>
          <w:highlight w:val="none"/>
        </w:rPr>
        <w:t>包括制度和合同法律审核，合同范本编制、参与重大谈判，法律培训、纠纷咨询等服务。</w:t>
      </w:r>
      <w:r>
        <w:rPr>
          <w:kern w:val="0"/>
          <w:sz w:val="24"/>
          <w:highlight w:val="none"/>
        </w:rPr>
        <w:t>自</w:t>
      </w:r>
      <w:r>
        <w:rPr>
          <w:rFonts w:hint="eastAsia"/>
          <w:kern w:val="0"/>
          <w:sz w:val="24"/>
          <w:highlight w:val="none"/>
        </w:rPr>
        <w:t>合同签订之日起</w:t>
      </w:r>
      <w:r>
        <w:rPr>
          <w:rFonts w:hint="eastAsia"/>
          <w:kern w:val="0"/>
          <w:sz w:val="24"/>
          <w:highlight w:val="none"/>
          <w:lang w:val="en-US" w:eastAsia="zh-CN"/>
        </w:rPr>
        <w:t>至12个月止</w:t>
      </w:r>
      <w:r>
        <w:rPr>
          <w:sz w:val="24"/>
          <w:highlight w:val="none"/>
        </w:rPr>
        <w:t>。</w:t>
      </w:r>
    </w:p>
    <w:p>
      <w:pPr>
        <w:snapToGrid w:val="0"/>
        <w:spacing w:line="480" w:lineRule="exact"/>
        <w:rPr>
          <w:b/>
          <w:sz w:val="24"/>
          <w:highlight w:val="none"/>
        </w:rPr>
      </w:pPr>
      <w:r>
        <w:rPr>
          <w:b/>
          <w:sz w:val="24"/>
          <w:highlight w:val="none"/>
        </w:rPr>
        <w:t>第二条 项目需求</w:t>
      </w:r>
    </w:p>
    <w:p>
      <w:pPr>
        <w:snapToGrid w:val="0"/>
        <w:spacing w:line="480" w:lineRule="exact"/>
        <w:rPr>
          <w:rFonts w:hint="default"/>
          <w:sz w:val="24"/>
          <w:highlight w:val="none"/>
          <w:lang w:val="en-US"/>
        </w:rPr>
      </w:pPr>
      <w:r>
        <w:rPr>
          <w:sz w:val="24"/>
          <w:highlight w:val="none"/>
        </w:rPr>
        <w:t>（一）</w:t>
      </w:r>
      <w:r>
        <w:rPr>
          <w:rFonts w:hint="eastAsia"/>
          <w:sz w:val="24"/>
          <w:highlight w:val="none"/>
          <w:lang w:val="en-US" w:eastAsia="zh-CN"/>
        </w:rPr>
        <w:t>制度及合规风控体系建立与审查</w:t>
      </w:r>
    </w:p>
    <w:p>
      <w:pPr>
        <w:snapToGrid w:val="0"/>
        <w:spacing w:line="480" w:lineRule="exact"/>
        <w:ind w:left="0" w:leftChars="0" w:firstLine="499" w:firstLineChars="208"/>
        <w:rPr>
          <w:rFonts w:hint="eastAsia"/>
          <w:sz w:val="24"/>
          <w:highlight w:val="none"/>
          <w:lang w:eastAsia="zh-CN"/>
        </w:rPr>
      </w:pPr>
      <w:r>
        <w:rPr>
          <w:rFonts w:hint="eastAsia"/>
          <w:sz w:val="24"/>
          <w:highlight w:val="none"/>
          <w:lang w:val="en-US" w:eastAsia="zh-CN"/>
        </w:rPr>
        <w:t>1.</w:t>
      </w:r>
      <w:r>
        <w:rPr>
          <w:sz w:val="24"/>
          <w:highlight w:val="none"/>
        </w:rPr>
        <w:t>协助审查、修改公司章程、内部规章制度等</w:t>
      </w:r>
      <w:r>
        <w:rPr>
          <w:rFonts w:hint="eastAsia"/>
          <w:sz w:val="24"/>
          <w:highlight w:val="none"/>
          <w:lang w:eastAsia="zh-CN"/>
        </w:rPr>
        <w:t>；</w:t>
      </w:r>
    </w:p>
    <w:p>
      <w:pPr>
        <w:snapToGrid w:val="0"/>
        <w:spacing w:line="480" w:lineRule="exact"/>
        <w:ind w:left="0" w:leftChars="0" w:firstLine="499" w:firstLineChars="208"/>
        <w:rPr>
          <w:rFonts w:hint="eastAsia"/>
          <w:sz w:val="24"/>
          <w:highlight w:val="none"/>
        </w:rPr>
      </w:pPr>
      <w:r>
        <w:rPr>
          <w:rFonts w:hint="eastAsia"/>
          <w:sz w:val="24"/>
          <w:highlight w:val="none"/>
          <w:lang w:val="en-US" w:eastAsia="zh-CN"/>
        </w:rPr>
        <w:t>2.</w:t>
      </w:r>
      <w:r>
        <w:rPr>
          <w:rFonts w:hint="eastAsia"/>
          <w:sz w:val="24"/>
          <w:highlight w:val="none"/>
        </w:rPr>
        <w:t>协助建立公司的合规管理制度、合同管理制度、内控风险制度、法律纠纷管理制度等；</w:t>
      </w:r>
    </w:p>
    <w:p>
      <w:pPr>
        <w:snapToGrid w:val="0"/>
        <w:spacing w:line="480" w:lineRule="exact"/>
        <w:ind w:left="0" w:leftChars="0" w:firstLine="499" w:firstLineChars="208"/>
        <w:rPr>
          <w:sz w:val="24"/>
          <w:highlight w:val="none"/>
        </w:rPr>
      </w:pPr>
      <w:r>
        <w:rPr>
          <w:rFonts w:hint="eastAsia"/>
          <w:sz w:val="24"/>
          <w:highlight w:val="none"/>
          <w:lang w:val="en-US" w:eastAsia="zh-CN"/>
        </w:rPr>
        <w:t>3.</w:t>
      </w:r>
      <w:r>
        <w:rPr>
          <w:rFonts w:hint="eastAsia"/>
          <w:sz w:val="24"/>
          <w:highlight w:val="none"/>
        </w:rPr>
        <w:t>协助草拟、提供、修订、审查合规管理相关文件：包括不限于</w:t>
      </w:r>
      <w:r>
        <w:rPr>
          <w:rFonts w:hint="eastAsia"/>
          <w:sz w:val="24"/>
          <w:highlight w:val="none"/>
          <w:lang w:val="en-US" w:eastAsia="zh-CN"/>
        </w:rPr>
        <w:t>合法</w:t>
      </w:r>
      <w:r>
        <w:rPr>
          <w:rFonts w:hint="eastAsia"/>
          <w:sz w:val="24"/>
          <w:highlight w:val="none"/>
        </w:rPr>
        <w:t>合规审查文件、合规承诺书</w:t>
      </w:r>
      <w:r>
        <w:rPr>
          <w:rFonts w:hint="eastAsia"/>
          <w:sz w:val="24"/>
          <w:highlight w:val="none"/>
          <w:lang w:eastAsia="zh-CN"/>
        </w:rPr>
        <w:t>、</w:t>
      </w:r>
      <w:r>
        <w:rPr>
          <w:rFonts w:hint="eastAsia"/>
          <w:sz w:val="24"/>
          <w:highlight w:val="none"/>
          <w:lang w:val="en-US" w:eastAsia="zh-CN"/>
        </w:rPr>
        <w:t>公司治理文件、</w:t>
      </w:r>
      <w:r>
        <w:rPr>
          <w:rFonts w:hint="eastAsia"/>
          <w:sz w:val="24"/>
          <w:highlight w:val="none"/>
        </w:rPr>
        <w:t>岗位</w:t>
      </w:r>
      <w:r>
        <w:rPr>
          <w:rFonts w:hint="eastAsia"/>
          <w:sz w:val="24"/>
          <w:highlight w:val="none"/>
          <w:lang w:val="en-US" w:eastAsia="zh-CN"/>
        </w:rPr>
        <w:t>合规</w:t>
      </w:r>
      <w:r>
        <w:rPr>
          <w:rFonts w:hint="eastAsia"/>
          <w:sz w:val="24"/>
          <w:highlight w:val="none"/>
        </w:rPr>
        <w:t>职责清单、</w:t>
      </w:r>
      <w:r>
        <w:rPr>
          <w:rFonts w:hint="eastAsia"/>
          <w:sz w:val="24"/>
          <w:highlight w:val="none"/>
          <w:lang w:val="en-US" w:eastAsia="zh-CN"/>
        </w:rPr>
        <w:t>合规</w:t>
      </w:r>
      <w:r>
        <w:rPr>
          <w:rFonts w:hint="eastAsia"/>
          <w:sz w:val="24"/>
          <w:highlight w:val="none"/>
        </w:rPr>
        <w:t>风险</w:t>
      </w:r>
      <w:r>
        <w:rPr>
          <w:rFonts w:hint="eastAsia"/>
          <w:sz w:val="24"/>
          <w:highlight w:val="none"/>
          <w:lang w:val="en-US" w:eastAsia="zh-CN"/>
        </w:rPr>
        <w:t>清单</w:t>
      </w:r>
      <w:r>
        <w:rPr>
          <w:rFonts w:hint="eastAsia"/>
          <w:sz w:val="24"/>
          <w:highlight w:val="none"/>
        </w:rPr>
        <w:t>、</w:t>
      </w:r>
      <w:r>
        <w:rPr>
          <w:rFonts w:hint="eastAsia"/>
          <w:sz w:val="24"/>
          <w:highlight w:val="none"/>
          <w:lang w:val="en-US" w:eastAsia="zh-CN"/>
        </w:rPr>
        <w:t>法律法规及国家监管政策库、专项合规义务文件等</w:t>
      </w:r>
      <w:r>
        <w:rPr>
          <w:rFonts w:hint="eastAsia"/>
          <w:sz w:val="24"/>
          <w:highlight w:val="none"/>
        </w:rPr>
        <w:t>。</w:t>
      </w:r>
    </w:p>
    <w:p>
      <w:pPr>
        <w:snapToGrid w:val="0"/>
        <w:spacing w:line="480" w:lineRule="exact"/>
        <w:rPr>
          <w:sz w:val="24"/>
          <w:highlight w:val="none"/>
        </w:rPr>
      </w:pPr>
      <w:r>
        <w:rPr>
          <w:sz w:val="24"/>
          <w:highlight w:val="none"/>
        </w:rPr>
        <w:t>（</w:t>
      </w:r>
      <w:r>
        <w:rPr>
          <w:rFonts w:hint="eastAsia"/>
          <w:sz w:val="24"/>
          <w:highlight w:val="none"/>
          <w:lang w:val="en-US" w:eastAsia="zh-CN"/>
        </w:rPr>
        <w:t>二</w:t>
      </w:r>
      <w:r>
        <w:rPr>
          <w:sz w:val="24"/>
          <w:highlight w:val="none"/>
        </w:rPr>
        <w:t>）合同</w:t>
      </w:r>
      <w:r>
        <w:rPr>
          <w:rFonts w:hint="eastAsia"/>
          <w:sz w:val="24"/>
          <w:highlight w:val="none"/>
          <w:lang w:val="en-US" w:eastAsia="zh-CN"/>
        </w:rPr>
        <w:t>范本编制及</w:t>
      </w:r>
      <w:r>
        <w:rPr>
          <w:sz w:val="24"/>
          <w:highlight w:val="none"/>
        </w:rPr>
        <w:t>审查</w:t>
      </w:r>
    </w:p>
    <w:p>
      <w:pPr>
        <w:snapToGrid w:val="0"/>
        <w:spacing w:line="480" w:lineRule="exact"/>
        <w:ind w:firstLine="480" w:firstLineChars="200"/>
        <w:rPr>
          <w:rFonts w:hint="eastAsia"/>
          <w:sz w:val="24"/>
          <w:highlight w:val="none"/>
        </w:rPr>
      </w:pPr>
      <w:r>
        <w:rPr>
          <w:rFonts w:hint="eastAsia"/>
          <w:sz w:val="24"/>
          <w:highlight w:val="none"/>
          <w:lang w:val="en-US" w:eastAsia="zh-CN"/>
        </w:rPr>
        <w:t>1.</w:t>
      </w:r>
      <w:r>
        <w:rPr>
          <w:rFonts w:hint="eastAsia"/>
          <w:sz w:val="24"/>
          <w:highlight w:val="none"/>
        </w:rPr>
        <w:t>协助草拟、提供、制订、修改、审查各类标准合同范本（含</w:t>
      </w:r>
      <w:r>
        <w:rPr>
          <w:rFonts w:hint="eastAsia"/>
          <w:sz w:val="24"/>
          <w:highlight w:val="none"/>
          <w:lang w:val="en-US" w:eastAsia="zh-CN"/>
        </w:rPr>
        <w:t>中国中煤采购</w:t>
      </w:r>
      <w:r>
        <w:rPr>
          <w:rFonts w:hint="eastAsia"/>
          <w:sz w:val="24"/>
          <w:highlight w:val="none"/>
        </w:rPr>
        <w:t>合同范本</w:t>
      </w:r>
      <w:r>
        <w:rPr>
          <w:rFonts w:hint="eastAsia"/>
          <w:sz w:val="24"/>
          <w:highlight w:val="none"/>
          <w:lang w:eastAsia="zh-CN"/>
        </w:rPr>
        <w:t>、</w:t>
      </w:r>
      <w:r>
        <w:rPr>
          <w:rFonts w:hint="eastAsia"/>
          <w:sz w:val="24"/>
          <w:highlight w:val="none"/>
          <w:lang w:val="en-US" w:eastAsia="zh-CN"/>
        </w:rPr>
        <w:t>中国中煤及中国中煤能源股份有限公司采购合同范本、开发公司及所属企业采购合同范本</w:t>
      </w:r>
      <w:r>
        <w:rPr>
          <w:rFonts w:hint="eastAsia"/>
          <w:sz w:val="24"/>
          <w:highlight w:val="none"/>
        </w:rPr>
        <w:t>），至少</w:t>
      </w:r>
      <w:r>
        <w:rPr>
          <w:rFonts w:hint="eastAsia"/>
          <w:sz w:val="24"/>
          <w:highlight w:val="none"/>
          <w:lang w:val="en-US" w:eastAsia="zh-CN"/>
        </w:rPr>
        <w:t>76</w:t>
      </w:r>
      <w:r>
        <w:rPr>
          <w:rFonts w:hint="eastAsia"/>
          <w:sz w:val="24"/>
          <w:highlight w:val="none"/>
        </w:rPr>
        <w:t>份</w:t>
      </w:r>
      <w:r>
        <w:rPr>
          <w:rFonts w:hint="eastAsia"/>
          <w:sz w:val="24"/>
          <w:highlight w:val="none"/>
          <w:lang w:eastAsia="zh-CN"/>
        </w:rPr>
        <w:t>（</w:t>
      </w:r>
      <w:r>
        <w:rPr>
          <w:rFonts w:hint="eastAsia"/>
          <w:sz w:val="24"/>
          <w:highlight w:val="none"/>
          <w:lang w:val="en-US" w:eastAsia="zh-CN"/>
        </w:rPr>
        <w:t>含历史范本46个</w:t>
      </w:r>
      <w:r>
        <w:rPr>
          <w:rFonts w:hint="eastAsia"/>
          <w:sz w:val="24"/>
          <w:highlight w:val="none"/>
          <w:lang w:eastAsia="zh-CN"/>
        </w:rPr>
        <w:t>），</w:t>
      </w:r>
      <w:r>
        <w:rPr>
          <w:rFonts w:hint="eastAsia"/>
          <w:sz w:val="24"/>
          <w:highlight w:val="none"/>
          <w:lang w:val="en-US" w:eastAsia="zh-CN"/>
        </w:rPr>
        <w:t>参加文本前期起草、京内外研讨、文本全过程修订、定稿排版、出具合法合规性审查法律意见书的全流程环节</w:t>
      </w:r>
      <w:r>
        <w:rPr>
          <w:rFonts w:hint="eastAsia"/>
          <w:sz w:val="24"/>
          <w:highlight w:val="none"/>
        </w:rPr>
        <w:t>。</w:t>
      </w:r>
    </w:p>
    <w:p>
      <w:pPr>
        <w:snapToGrid w:val="0"/>
        <w:spacing w:line="480" w:lineRule="exact"/>
        <w:ind w:firstLine="480" w:firstLineChars="200"/>
        <w:rPr>
          <w:rFonts w:hint="eastAsia"/>
          <w:sz w:val="24"/>
          <w:highlight w:val="none"/>
        </w:rPr>
      </w:pPr>
      <w:r>
        <w:rPr>
          <w:rFonts w:hint="eastAsia"/>
          <w:sz w:val="24"/>
          <w:highlight w:val="none"/>
          <w:lang w:eastAsia="zh-CN"/>
        </w:rPr>
        <w:t>2</w:t>
      </w:r>
      <w:r>
        <w:rPr>
          <w:rFonts w:hint="eastAsia"/>
          <w:sz w:val="24"/>
          <w:highlight w:val="none"/>
        </w:rPr>
        <w:t>.协助草拟、制订、审查或修改各类合同、协议等法律文件，包括国内交易合同和涉外交易合同（中英文）。其中，国内交易合同不限份数和字数；涉外交易合同每份1500元人民币计算，</w:t>
      </w:r>
      <w:r>
        <w:rPr>
          <w:rFonts w:hint="eastAsia"/>
          <w:sz w:val="24"/>
          <w:highlight w:val="none"/>
          <w:lang w:val="en-US" w:eastAsia="zh-CN"/>
        </w:rPr>
        <w:t>服务期内3</w:t>
      </w:r>
      <w:r>
        <w:rPr>
          <w:rFonts w:hint="eastAsia"/>
          <w:sz w:val="24"/>
          <w:highlight w:val="none"/>
        </w:rPr>
        <w:t>万元封顶，不限字数。</w:t>
      </w:r>
    </w:p>
    <w:p>
      <w:pPr>
        <w:snapToGrid w:val="0"/>
        <w:spacing w:line="480" w:lineRule="exact"/>
        <w:ind w:left="0" w:leftChars="0" w:firstLine="480" w:firstLineChars="200"/>
        <w:rPr>
          <w:rFonts w:hint="eastAsia"/>
          <w:sz w:val="24"/>
          <w:highlight w:val="none"/>
        </w:rPr>
      </w:pPr>
      <w:r>
        <w:rPr>
          <w:sz w:val="24"/>
          <w:highlight w:val="none"/>
        </w:rPr>
        <w:t>（</w:t>
      </w:r>
      <w:r>
        <w:rPr>
          <w:rFonts w:hint="eastAsia"/>
          <w:sz w:val="24"/>
          <w:highlight w:val="none"/>
          <w:lang w:val="en-US" w:eastAsia="zh-CN"/>
        </w:rPr>
        <w:t>三</w:t>
      </w:r>
      <w:r>
        <w:rPr>
          <w:sz w:val="24"/>
          <w:highlight w:val="none"/>
        </w:rPr>
        <w:t>）法律咨询</w:t>
      </w:r>
      <w:r>
        <w:rPr>
          <w:rFonts w:hint="eastAsia"/>
          <w:sz w:val="24"/>
          <w:highlight w:val="none"/>
        </w:rPr>
        <w:t>（不限小时）</w:t>
      </w:r>
    </w:p>
    <w:p>
      <w:pPr>
        <w:snapToGrid w:val="0"/>
        <w:spacing w:line="480" w:lineRule="exact"/>
        <w:ind w:firstLine="480" w:firstLineChars="200"/>
        <w:rPr>
          <w:rFonts w:hint="eastAsia"/>
          <w:sz w:val="24"/>
          <w:highlight w:val="none"/>
        </w:rPr>
      </w:pPr>
      <w:r>
        <w:rPr>
          <w:rFonts w:hint="eastAsia"/>
          <w:sz w:val="24"/>
          <w:highlight w:val="none"/>
          <w:lang w:val="en-US" w:eastAsia="zh-CN"/>
        </w:rPr>
        <w:t>1.</w:t>
      </w:r>
      <w:r>
        <w:rPr>
          <w:rFonts w:hint="eastAsia"/>
          <w:sz w:val="24"/>
          <w:highlight w:val="none"/>
        </w:rPr>
        <w:t>就采购人及采购人所属各企业与第三方在经济交往中的谈判、签约等商业行为提供法律方面的咨询意见（包括到采购人现场服务，不限</w:t>
      </w:r>
      <w:r>
        <w:rPr>
          <w:rFonts w:hint="eastAsia"/>
          <w:sz w:val="24"/>
          <w:highlight w:val="none"/>
          <w:lang w:val="en-US" w:eastAsia="zh-CN"/>
        </w:rPr>
        <w:t>时长</w:t>
      </w:r>
      <w:r>
        <w:rPr>
          <w:rFonts w:hint="eastAsia"/>
          <w:sz w:val="24"/>
          <w:highlight w:val="none"/>
        </w:rPr>
        <w:t>），包括：</w:t>
      </w:r>
    </w:p>
    <w:p>
      <w:pPr>
        <w:snapToGrid w:val="0"/>
        <w:spacing w:line="480" w:lineRule="exact"/>
        <w:ind w:firstLine="480" w:firstLineChars="200"/>
        <w:rPr>
          <w:rFonts w:hint="eastAsia"/>
          <w:sz w:val="24"/>
          <w:highlight w:val="none"/>
        </w:rPr>
      </w:pPr>
      <w:r>
        <w:rPr>
          <w:rFonts w:hint="eastAsia"/>
          <w:sz w:val="24"/>
          <w:highlight w:val="none"/>
        </w:rPr>
        <w:t>（1）为重大经营决策提供法律和政策依据；</w:t>
      </w:r>
    </w:p>
    <w:p>
      <w:pPr>
        <w:snapToGrid w:val="0"/>
        <w:spacing w:line="480" w:lineRule="exact"/>
        <w:ind w:firstLine="480" w:firstLineChars="200"/>
        <w:rPr>
          <w:rFonts w:hint="eastAsia"/>
          <w:sz w:val="24"/>
          <w:highlight w:val="none"/>
        </w:rPr>
      </w:pPr>
      <w:r>
        <w:rPr>
          <w:rFonts w:hint="eastAsia"/>
          <w:sz w:val="24"/>
          <w:highlight w:val="none"/>
        </w:rPr>
        <w:t>（2）为各项业务提供国内外法律咨询服务；</w:t>
      </w:r>
    </w:p>
    <w:p>
      <w:pPr>
        <w:snapToGrid w:val="0"/>
        <w:spacing w:line="480" w:lineRule="exact"/>
        <w:ind w:firstLine="480" w:firstLineChars="200"/>
        <w:rPr>
          <w:rFonts w:hint="eastAsia"/>
          <w:sz w:val="24"/>
          <w:highlight w:val="none"/>
        </w:rPr>
      </w:pPr>
      <w:r>
        <w:rPr>
          <w:rFonts w:hint="eastAsia"/>
          <w:sz w:val="24"/>
          <w:highlight w:val="none"/>
        </w:rPr>
        <w:t>（3）对采购人及采购人所属各企业发生的各类经济纠纷、劳动争议</w:t>
      </w:r>
      <w:r>
        <w:rPr>
          <w:rFonts w:hint="eastAsia"/>
          <w:sz w:val="24"/>
          <w:highlight w:val="none"/>
          <w:lang w:eastAsia="zh-CN"/>
        </w:rPr>
        <w:t>、</w:t>
      </w:r>
      <w:r>
        <w:rPr>
          <w:rFonts w:hint="eastAsia"/>
          <w:sz w:val="24"/>
          <w:highlight w:val="none"/>
          <w:lang w:val="en-US" w:eastAsia="zh-CN"/>
        </w:rPr>
        <w:t>行政争议、刑事案件、工商管理等</w:t>
      </w:r>
      <w:r>
        <w:rPr>
          <w:rFonts w:hint="eastAsia"/>
          <w:sz w:val="24"/>
          <w:highlight w:val="none"/>
        </w:rPr>
        <w:t>进行法律论证，提出解决方案，出具律师函，发表律师意见；</w:t>
      </w:r>
    </w:p>
    <w:p>
      <w:pPr>
        <w:snapToGrid w:val="0"/>
        <w:spacing w:line="480" w:lineRule="exact"/>
        <w:ind w:firstLine="480" w:firstLineChars="200"/>
        <w:rPr>
          <w:rFonts w:hint="eastAsia"/>
          <w:sz w:val="24"/>
          <w:highlight w:val="none"/>
        </w:rPr>
      </w:pPr>
      <w:r>
        <w:rPr>
          <w:rFonts w:hint="eastAsia"/>
          <w:sz w:val="24"/>
          <w:highlight w:val="none"/>
        </w:rPr>
        <w:t>（4）处理采购人交办的其</w:t>
      </w:r>
      <w:r>
        <w:rPr>
          <w:rFonts w:hint="eastAsia"/>
          <w:sz w:val="24"/>
          <w:highlight w:val="none"/>
          <w:lang w:eastAsia="zh-CN"/>
        </w:rPr>
        <w:t>他</w:t>
      </w:r>
      <w:r>
        <w:rPr>
          <w:rFonts w:hint="eastAsia"/>
          <w:sz w:val="24"/>
          <w:highlight w:val="none"/>
        </w:rPr>
        <w:t>法律事务，为采购人提供必要的法律帮助，维护采购人的合法权益。</w:t>
      </w:r>
    </w:p>
    <w:p>
      <w:pPr>
        <w:snapToGrid w:val="0"/>
        <w:spacing w:line="480" w:lineRule="exact"/>
        <w:ind w:firstLine="480" w:firstLineChars="200"/>
        <w:rPr>
          <w:rFonts w:hint="eastAsia" w:eastAsia="宋体"/>
          <w:sz w:val="24"/>
          <w:highlight w:val="none"/>
          <w:lang w:eastAsia="zh-CN"/>
        </w:rPr>
      </w:pPr>
      <w:r>
        <w:rPr>
          <w:rFonts w:hint="eastAsia"/>
          <w:sz w:val="24"/>
          <w:highlight w:val="none"/>
          <w:lang w:eastAsia="zh-CN"/>
        </w:rPr>
        <w:t>2</w:t>
      </w:r>
      <w:r>
        <w:rPr>
          <w:rFonts w:hint="eastAsia"/>
          <w:sz w:val="24"/>
          <w:highlight w:val="none"/>
        </w:rPr>
        <w:t>．报价人为采购人及所属企业提供重要谈判、重大合同签约的现场服务（不限次数）</w:t>
      </w:r>
      <w:r>
        <w:rPr>
          <w:rFonts w:hint="eastAsia"/>
          <w:sz w:val="24"/>
          <w:highlight w:val="none"/>
          <w:lang w:eastAsia="zh-CN"/>
        </w:rPr>
        <w:t>。</w:t>
      </w:r>
    </w:p>
    <w:p>
      <w:pPr>
        <w:snapToGrid w:val="0"/>
        <w:spacing w:line="480" w:lineRule="exact"/>
        <w:ind w:firstLine="480" w:firstLineChars="200"/>
        <w:rPr>
          <w:rFonts w:hint="eastAsia"/>
          <w:sz w:val="24"/>
          <w:highlight w:val="none"/>
        </w:rPr>
      </w:pPr>
      <w:r>
        <w:rPr>
          <w:rFonts w:hint="eastAsia"/>
          <w:sz w:val="24"/>
          <w:highlight w:val="none"/>
          <w:lang w:val="en-US" w:eastAsia="zh-CN"/>
        </w:rPr>
        <w:t>3</w:t>
      </w:r>
      <w:r>
        <w:rPr>
          <w:rFonts w:hint="eastAsia"/>
          <w:sz w:val="24"/>
          <w:highlight w:val="none"/>
          <w:lang w:eastAsia="zh-CN"/>
        </w:rPr>
        <w:t>.</w:t>
      </w:r>
      <w:r>
        <w:rPr>
          <w:rFonts w:hint="eastAsia"/>
          <w:sz w:val="24"/>
          <w:highlight w:val="none"/>
          <w:lang w:val="en-US" w:eastAsia="zh-CN"/>
        </w:rPr>
        <w:t xml:space="preserve"> </w:t>
      </w:r>
      <w:r>
        <w:rPr>
          <w:rFonts w:hint="eastAsia"/>
          <w:sz w:val="24"/>
          <w:highlight w:val="none"/>
        </w:rPr>
        <w:t>采购人及所属企业由于发生投资项目、融资项目、并购项目、公司重组或者仲裁、诉讼等事项需报价人提供的专项法律服务。</w:t>
      </w:r>
    </w:p>
    <w:p>
      <w:pPr>
        <w:snapToGrid w:val="0"/>
        <w:spacing w:line="480" w:lineRule="exact"/>
        <w:ind w:firstLine="480" w:firstLineChars="200"/>
        <w:rPr>
          <w:rFonts w:hint="default" w:eastAsia="宋体"/>
          <w:highlight w:val="none"/>
          <w:lang w:val="en-US" w:eastAsia="zh-CN"/>
        </w:rPr>
      </w:pPr>
      <w:r>
        <w:rPr>
          <w:rFonts w:hint="eastAsia"/>
          <w:sz w:val="24"/>
          <w:highlight w:val="none"/>
          <w:lang w:val="en-US" w:eastAsia="zh-CN"/>
        </w:rPr>
        <w:t>4. 提供中国中煤采购供应链日常业务所涉及的采购、投诉等事项的法律咨询及合法性审查意见。</w:t>
      </w:r>
    </w:p>
    <w:p>
      <w:pPr>
        <w:snapToGrid w:val="0"/>
        <w:spacing w:line="480" w:lineRule="exact"/>
        <w:rPr>
          <w:sz w:val="24"/>
          <w:highlight w:val="none"/>
        </w:rPr>
      </w:pPr>
      <w:r>
        <w:rPr>
          <w:sz w:val="24"/>
          <w:highlight w:val="none"/>
        </w:rPr>
        <w:t>（</w:t>
      </w:r>
      <w:r>
        <w:rPr>
          <w:rFonts w:hint="eastAsia"/>
          <w:sz w:val="24"/>
          <w:highlight w:val="none"/>
          <w:lang w:val="en-US" w:eastAsia="zh-CN"/>
        </w:rPr>
        <w:t>四</w:t>
      </w:r>
      <w:r>
        <w:rPr>
          <w:sz w:val="24"/>
          <w:highlight w:val="none"/>
        </w:rPr>
        <w:t>）法律培训</w:t>
      </w:r>
    </w:p>
    <w:p>
      <w:pPr>
        <w:snapToGrid w:val="0"/>
        <w:spacing w:line="480" w:lineRule="exact"/>
        <w:ind w:firstLine="480" w:firstLineChars="200"/>
        <w:rPr>
          <w:sz w:val="24"/>
          <w:highlight w:val="none"/>
        </w:rPr>
      </w:pPr>
      <w:r>
        <w:rPr>
          <w:sz w:val="24"/>
          <w:highlight w:val="none"/>
        </w:rPr>
        <w:t>根据公司实际侧重方向，讲授相应的法律知识，为职工提供法制宣传、教育、培训，</w:t>
      </w:r>
      <w:r>
        <w:rPr>
          <w:rFonts w:hint="eastAsia"/>
          <w:sz w:val="24"/>
          <w:highlight w:val="none"/>
          <w:lang w:val="en-US" w:eastAsia="zh-CN"/>
        </w:rPr>
        <w:t>服务期内</w:t>
      </w:r>
      <w:r>
        <w:rPr>
          <w:rFonts w:hint="eastAsia"/>
          <w:sz w:val="24"/>
          <w:highlight w:val="none"/>
        </w:rPr>
        <w:t>不少于</w:t>
      </w:r>
      <w:r>
        <w:rPr>
          <w:rFonts w:hint="eastAsia"/>
          <w:sz w:val="24"/>
          <w:highlight w:val="none"/>
          <w:lang w:val="en-US" w:eastAsia="zh-CN"/>
        </w:rPr>
        <w:t>4</w:t>
      </w:r>
      <w:r>
        <w:rPr>
          <w:rFonts w:hint="eastAsia"/>
          <w:sz w:val="24"/>
          <w:highlight w:val="none"/>
        </w:rPr>
        <w:t>次</w:t>
      </w:r>
      <w:r>
        <w:rPr>
          <w:sz w:val="24"/>
          <w:highlight w:val="none"/>
        </w:rPr>
        <w:t>（</w:t>
      </w:r>
      <w:r>
        <w:rPr>
          <w:rFonts w:hint="eastAsia"/>
          <w:sz w:val="24"/>
          <w:highlight w:val="none"/>
        </w:rPr>
        <w:t>每次不低于2小时讲授时间</w:t>
      </w:r>
      <w:r>
        <w:rPr>
          <w:sz w:val="24"/>
          <w:highlight w:val="none"/>
        </w:rPr>
        <w:t>）。</w:t>
      </w:r>
    </w:p>
    <w:p>
      <w:pPr>
        <w:snapToGrid w:val="0"/>
        <w:spacing w:line="480" w:lineRule="exact"/>
        <w:rPr>
          <w:sz w:val="24"/>
          <w:highlight w:val="none"/>
        </w:rPr>
      </w:pPr>
      <w:r>
        <w:rPr>
          <w:sz w:val="24"/>
          <w:highlight w:val="none"/>
        </w:rPr>
        <w:t>（</w:t>
      </w:r>
      <w:r>
        <w:rPr>
          <w:rFonts w:hint="eastAsia"/>
          <w:sz w:val="24"/>
          <w:highlight w:val="none"/>
          <w:lang w:val="en-US" w:eastAsia="zh-CN"/>
        </w:rPr>
        <w:t>五</w:t>
      </w:r>
      <w:r>
        <w:rPr>
          <w:sz w:val="24"/>
          <w:highlight w:val="none"/>
        </w:rPr>
        <w:t>）法律纠纷</w:t>
      </w:r>
    </w:p>
    <w:p>
      <w:pPr>
        <w:snapToGrid w:val="0"/>
        <w:spacing w:line="480" w:lineRule="exact"/>
        <w:ind w:firstLine="480" w:firstLineChars="200"/>
        <w:rPr>
          <w:rFonts w:hint="eastAsia" w:eastAsia="宋体"/>
          <w:sz w:val="24"/>
          <w:highlight w:val="none"/>
          <w:lang w:eastAsia="zh-CN"/>
        </w:rPr>
      </w:pPr>
      <w:r>
        <w:rPr>
          <w:sz w:val="24"/>
          <w:highlight w:val="none"/>
        </w:rPr>
        <w:t>1.参加公司涉及经济、民事、知识产权、劳动、行政、刑事等诉讼、非诉、调解、仲裁活动</w:t>
      </w:r>
      <w:r>
        <w:rPr>
          <w:rFonts w:hint="eastAsia"/>
          <w:sz w:val="24"/>
          <w:highlight w:val="none"/>
        </w:rPr>
        <w:t>的前期咨询、准备</w:t>
      </w:r>
      <w:r>
        <w:rPr>
          <w:rFonts w:hint="eastAsia"/>
          <w:sz w:val="24"/>
          <w:highlight w:val="none"/>
          <w:lang w:eastAsia="zh-CN"/>
        </w:rPr>
        <w:t>（</w:t>
      </w:r>
      <w:r>
        <w:rPr>
          <w:rFonts w:hint="eastAsia"/>
          <w:sz w:val="24"/>
          <w:highlight w:val="none"/>
          <w:lang w:val="en-US" w:eastAsia="zh-CN"/>
        </w:rPr>
        <w:t>不限次数</w:t>
      </w:r>
      <w:r>
        <w:rPr>
          <w:rFonts w:hint="eastAsia"/>
          <w:sz w:val="24"/>
          <w:highlight w:val="none"/>
          <w:lang w:eastAsia="zh-CN"/>
        </w:rPr>
        <w:t>）</w:t>
      </w:r>
      <w:r>
        <w:rPr>
          <w:rFonts w:hint="eastAsia"/>
          <w:sz w:val="24"/>
          <w:highlight w:val="none"/>
        </w:rPr>
        <w:t>；为法律纠纷中期后期提供法律咨询，包括诉讼仲裁法律文书的草拟、提供、修改和审核服务等；若涉及专项服务，按专项服务进行</w:t>
      </w:r>
      <w:r>
        <w:rPr>
          <w:rFonts w:hint="eastAsia"/>
          <w:sz w:val="24"/>
          <w:highlight w:val="none"/>
          <w:lang w:eastAsia="zh-CN"/>
        </w:rPr>
        <w:t>。</w:t>
      </w:r>
    </w:p>
    <w:p>
      <w:pPr>
        <w:snapToGrid w:val="0"/>
        <w:spacing w:line="480" w:lineRule="exact"/>
        <w:rPr>
          <w:sz w:val="24"/>
          <w:highlight w:val="none"/>
        </w:rPr>
      </w:pPr>
      <w:r>
        <w:rPr>
          <w:sz w:val="24"/>
          <w:highlight w:val="none"/>
        </w:rPr>
        <w:t>2.经公司授权，签署、送达或接收法律文书</w:t>
      </w:r>
      <w:r>
        <w:rPr>
          <w:rFonts w:hint="eastAsia"/>
          <w:sz w:val="24"/>
          <w:highlight w:val="none"/>
        </w:rPr>
        <w:t>和律师函</w:t>
      </w:r>
      <w:r>
        <w:rPr>
          <w:sz w:val="24"/>
          <w:highlight w:val="none"/>
        </w:rPr>
        <w:t>。</w:t>
      </w:r>
    </w:p>
    <w:p>
      <w:pPr>
        <w:snapToGrid w:val="0"/>
        <w:spacing w:line="480" w:lineRule="exact"/>
        <w:rPr>
          <w:sz w:val="24"/>
          <w:highlight w:val="none"/>
        </w:rPr>
      </w:pPr>
      <w:r>
        <w:rPr>
          <w:sz w:val="24"/>
          <w:highlight w:val="none"/>
        </w:rPr>
        <w:t>（</w:t>
      </w:r>
      <w:r>
        <w:rPr>
          <w:rFonts w:hint="eastAsia"/>
          <w:sz w:val="24"/>
          <w:highlight w:val="none"/>
          <w:lang w:val="en-US" w:eastAsia="zh-CN"/>
        </w:rPr>
        <w:t>六</w:t>
      </w:r>
      <w:r>
        <w:rPr>
          <w:sz w:val="24"/>
          <w:highlight w:val="none"/>
        </w:rPr>
        <w:t>）对接方式</w:t>
      </w:r>
    </w:p>
    <w:p>
      <w:pPr>
        <w:snapToGrid w:val="0"/>
        <w:spacing w:line="480" w:lineRule="exact"/>
        <w:ind w:firstLine="480" w:firstLineChars="200"/>
        <w:rPr>
          <w:rFonts w:hint="default" w:eastAsia="宋体"/>
          <w:sz w:val="24"/>
          <w:highlight w:val="none"/>
          <w:lang w:val="en-US" w:eastAsia="zh-CN"/>
        </w:rPr>
      </w:pPr>
      <w:r>
        <w:rPr>
          <w:sz w:val="24"/>
          <w:highlight w:val="none"/>
        </w:rPr>
        <w:t>供应方指定团队对接开发公司，供应方团队主要负责人对接开发公司法律岗位人员，供应方其他团队成员配合。</w:t>
      </w:r>
      <w:r>
        <w:rPr>
          <w:rFonts w:hint="eastAsia"/>
          <w:sz w:val="24"/>
          <w:highlight w:val="none"/>
          <w:lang w:val="en-US" w:eastAsia="zh-CN"/>
        </w:rPr>
        <w:t>除具体合同审核反应反馈外，其他法律服务应由主要负责人反应反馈意见。</w:t>
      </w:r>
    </w:p>
    <w:p>
      <w:pPr>
        <w:snapToGrid w:val="0"/>
        <w:spacing w:line="480" w:lineRule="exact"/>
        <w:rPr>
          <w:sz w:val="24"/>
          <w:highlight w:val="none"/>
        </w:rPr>
      </w:pPr>
      <w:r>
        <w:rPr>
          <w:sz w:val="24"/>
          <w:highlight w:val="none"/>
        </w:rPr>
        <w:t>（</w:t>
      </w:r>
      <w:r>
        <w:rPr>
          <w:rFonts w:hint="eastAsia"/>
          <w:sz w:val="24"/>
          <w:highlight w:val="none"/>
          <w:lang w:val="en-US" w:eastAsia="zh-CN"/>
        </w:rPr>
        <w:t>七</w:t>
      </w:r>
      <w:r>
        <w:rPr>
          <w:sz w:val="24"/>
          <w:highlight w:val="none"/>
        </w:rPr>
        <w:t>）沟通方式</w:t>
      </w:r>
    </w:p>
    <w:p>
      <w:pPr>
        <w:snapToGrid w:val="0"/>
        <w:spacing w:line="480" w:lineRule="exact"/>
        <w:rPr>
          <w:sz w:val="24"/>
          <w:highlight w:val="none"/>
        </w:rPr>
      </w:pPr>
      <w:r>
        <w:rPr>
          <w:sz w:val="24"/>
          <w:highlight w:val="none"/>
        </w:rPr>
        <w:t>1.日常事务：邮件、电话，微信对简单法律</w:t>
      </w:r>
      <w:r>
        <w:rPr>
          <w:rFonts w:hint="eastAsia"/>
          <w:sz w:val="24"/>
          <w:highlight w:val="none"/>
          <w:lang w:val="en-US" w:eastAsia="zh-CN"/>
        </w:rPr>
        <w:t>事项</w:t>
      </w:r>
      <w:r>
        <w:rPr>
          <w:sz w:val="24"/>
          <w:highlight w:val="none"/>
        </w:rPr>
        <w:t>进行咨询；</w:t>
      </w:r>
    </w:p>
    <w:p>
      <w:pPr>
        <w:snapToGrid w:val="0"/>
        <w:spacing w:line="480" w:lineRule="exact"/>
        <w:rPr>
          <w:sz w:val="24"/>
          <w:highlight w:val="none"/>
        </w:rPr>
      </w:pPr>
      <w:r>
        <w:rPr>
          <w:sz w:val="24"/>
          <w:highlight w:val="none"/>
        </w:rPr>
        <w:t>2.紧急事务：到场咨询；</w:t>
      </w:r>
    </w:p>
    <w:p>
      <w:pPr>
        <w:snapToGrid w:val="0"/>
        <w:spacing w:line="480" w:lineRule="exact"/>
        <w:rPr>
          <w:sz w:val="24"/>
          <w:highlight w:val="none"/>
        </w:rPr>
      </w:pPr>
      <w:r>
        <w:rPr>
          <w:sz w:val="24"/>
          <w:highlight w:val="none"/>
        </w:rPr>
        <w:t>（</w:t>
      </w:r>
      <w:r>
        <w:rPr>
          <w:rFonts w:hint="eastAsia"/>
          <w:sz w:val="24"/>
          <w:highlight w:val="none"/>
          <w:lang w:val="en-US" w:eastAsia="zh-CN"/>
        </w:rPr>
        <w:t>八</w:t>
      </w:r>
      <w:r>
        <w:rPr>
          <w:sz w:val="24"/>
          <w:highlight w:val="none"/>
        </w:rPr>
        <w:t>）需求处理时限</w:t>
      </w:r>
    </w:p>
    <w:p>
      <w:pPr>
        <w:snapToGrid w:val="0"/>
        <w:spacing w:line="480" w:lineRule="exact"/>
        <w:rPr>
          <w:rFonts w:hint="default" w:eastAsia="宋体"/>
          <w:sz w:val="24"/>
          <w:highlight w:val="none"/>
          <w:lang w:val="en-US" w:eastAsia="zh-CN"/>
        </w:rPr>
      </w:pPr>
      <w:r>
        <w:rPr>
          <w:sz w:val="24"/>
          <w:highlight w:val="none"/>
        </w:rPr>
        <w:t>1.</w:t>
      </w:r>
      <w:r>
        <w:rPr>
          <w:rFonts w:hint="eastAsia"/>
          <w:sz w:val="24"/>
          <w:highlight w:val="none"/>
          <w:lang w:val="en-US" w:eastAsia="zh-CN"/>
        </w:rPr>
        <w:t>1</w:t>
      </w:r>
      <w:r>
        <w:rPr>
          <w:sz w:val="24"/>
          <w:highlight w:val="none"/>
        </w:rPr>
        <w:t>个工作日内：合同</w:t>
      </w:r>
      <w:r>
        <w:rPr>
          <w:rFonts w:hint="eastAsia"/>
          <w:sz w:val="24"/>
          <w:highlight w:val="none"/>
        </w:rPr>
        <w:t>修改</w:t>
      </w:r>
      <w:r>
        <w:rPr>
          <w:sz w:val="24"/>
          <w:highlight w:val="none"/>
        </w:rPr>
        <w:t>类</w:t>
      </w:r>
      <w:r>
        <w:rPr>
          <w:rFonts w:hint="eastAsia"/>
          <w:sz w:val="24"/>
          <w:highlight w:val="none"/>
          <w:lang w:eastAsia="zh-CN"/>
        </w:rPr>
        <w:t>（</w:t>
      </w:r>
      <w:r>
        <w:rPr>
          <w:rFonts w:hint="eastAsia"/>
          <w:sz w:val="24"/>
          <w:highlight w:val="none"/>
          <w:lang w:val="en-US" w:eastAsia="zh-CN"/>
        </w:rPr>
        <w:t>中文</w:t>
      </w:r>
      <w:r>
        <w:rPr>
          <w:rFonts w:hint="eastAsia"/>
          <w:sz w:val="24"/>
          <w:highlight w:val="none"/>
          <w:lang w:eastAsia="zh-CN"/>
        </w:rPr>
        <w:t>）</w:t>
      </w:r>
      <w:r>
        <w:rPr>
          <w:sz w:val="24"/>
          <w:highlight w:val="none"/>
        </w:rPr>
        <w:t>、一般法律咨询事项；</w:t>
      </w:r>
      <w:r>
        <w:rPr>
          <w:rFonts w:hint="eastAsia"/>
          <w:sz w:val="24"/>
          <w:highlight w:val="none"/>
          <w:lang w:val="en-US" w:eastAsia="zh-CN"/>
        </w:rPr>
        <w:t>2个工作日内：制度类、法律纠纷、合同修改类（英文）、法律意见书、合规审查文件。</w:t>
      </w:r>
    </w:p>
    <w:p>
      <w:pPr>
        <w:snapToGrid w:val="0"/>
        <w:spacing w:line="480" w:lineRule="exact"/>
        <w:rPr>
          <w:sz w:val="24"/>
          <w:highlight w:val="none"/>
        </w:rPr>
      </w:pPr>
      <w:r>
        <w:rPr>
          <w:sz w:val="24"/>
          <w:highlight w:val="none"/>
        </w:rPr>
        <w:t>2.当天内：紧急咨询事项。</w:t>
      </w:r>
    </w:p>
    <w:p>
      <w:pPr>
        <w:snapToGrid w:val="0"/>
        <w:spacing w:line="480" w:lineRule="exact"/>
        <w:rPr>
          <w:rFonts w:hint="eastAsia"/>
          <w:sz w:val="24"/>
          <w:highlight w:val="none"/>
        </w:rPr>
      </w:pPr>
      <w:r>
        <w:rPr>
          <w:rFonts w:hint="eastAsia"/>
          <w:sz w:val="24"/>
          <w:highlight w:val="none"/>
        </w:rPr>
        <w:t>3.合同标准文本、重大事项法律意见、法律培训</w:t>
      </w:r>
      <w:r>
        <w:rPr>
          <w:rFonts w:hint="eastAsia"/>
          <w:sz w:val="24"/>
          <w:highlight w:val="none"/>
          <w:lang w:val="en-US" w:eastAsia="zh-CN"/>
        </w:rPr>
        <w:t>等</w:t>
      </w:r>
      <w:r>
        <w:rPr>
          <w:rFonts w:hint="eastAsia"/>
          <w:sz w:val="24"/>
          <w:highlight w:val="none"/>
        </w:rPr>
        <w:t>按照</w:t>
      </w:r>
      <w:r>
        <w:rPr>
          <w:rFonts w:hint="eastAsia"/>
          <w:sz w:val="24"/>
          <w:highlight w:val="none"/>
          <w:lang w:val="en-US" w:eastAsia="zh-CN"/>
        </w:rPr>
        <w:t>采购</w:t>
      </w:r>
      <w:r>
        <w:rPr>
          <w:rFonts w:hint="eastAsia"/>
          <w:sz w:val="24"/>
          <w:highlight w:val="none"/>
        </w:rPr>
        <w:t>人要求尽快提供。</w:t>
      </w:r>
    </w:p>
    <w:p>
      <w:pPr>
        <w:snapToGrid w:val="0"/>
        <w:spacing w:line="480" w:lineRule="exact"/>
        <w:rPr>
          <w:rFonts w:hint="default" w:eastAsia="宋体"/>
          <w:b/>
          <w:sz w:val="24"/>
          <w:highlight w:val="none"/>
          <w:lang w:val="en-US" w:eastAsia="zh-CN"/>
        </w:rPr>
      </w:pPr>
      <w:r>
        <w:rPr>
          <w:b/>
          <w:sz w:val="24"/>
          <w:highlight w:val="none"/>
        </w:rPr>
        <w:t>第</w:t>
      </w:r>
      <w:r>
        <w:rPr>
          <w:rFonts w:hint="eastAsia"/>
          <w:b/>
          <w:sz w:val="24"/>
          <w:highlight w:val="none"/>
          <w:lang w:val="en-US" w:eastAsia="zh-CN"/>
        </w:rPr>
        <w:t>三</w:t>
      </w:r>
      <w:r>
        <w:rPr>
          <w:b/>
          <w:sz w:val="24"/>
          <w:highlight w:val="none"/>
        </w:rPr>
        <w:t xml:space="preserve">条 </w:t>
      </w:r>
      <w:r>
        <w:rPr>
          <w:rFonts w:hint="eastAsia"/>
          <w:b/>
          <w:sz w:val="24"/>
          <w:highlight w:val="none"/>
          <w:lang w:val="en-US" w:eastAsia="zh-CN"/>
        </w:rPr>
        <w:t>服务要求</w:t>
      </w:r>
    </w:p>
    <w:p>
      <w:pPr>
        <w:snapToGrid w:val="0"/>
        <w:spacing w:before="0" w:after="0" w:line="480" w:lineRule="exact"/>
        <w:ind w:left="6" w:leftChars="0" w:firstLine="420" w:firstLineChars="175"/>
        <w:jc w:val="left"/>
        <w:rPr>
          <w:rFonts w:hint="default" w:ascii="Times New Roman" w:hAnsi="Times New Roman" w:eastAsia="宋体" w:cs="Times New Roman"/>
          <w:sz w:val="24"/>
          <w:highlight w:val="none"/>
          <w:lang w:val="en-US" w:eastAsia="zh-CN"/>
        </w:rPr>
      </w:pPr>
      <w:r>
        <w:rPr>
          <w:rFonts w:hint="default" w:ascii="Times New Roman" w:hAnsi="Times New Roman" w:eastAsia="宋体" w:cs="Times New Roman"/>
          <w:sz w:val="24"/>
          <w:highlight w:val="none"/>
        </w:rPr>
        <w:t>1.报价人委派牵头律师作为负责人组建律师团队作为采购人的法律顾问，</w:t>
      </w:r>
      <w:r>
        <w:rPr>
          <w:rFonts w:hint="eastAsia" w:cs="Times New Roman"/>
          <w:sz w:val="24"/>
          <w:highlight w:val="none"/>
          <w:lang w:val="en-US" w:eastAsia="zh-CN"/>
        </w:rPr>
        <w:t>报价人的项目团队中，核心团队（含项目负责人）成员不得超过5人，如</w:t>
      </w:r>
      <w:r>
        <w:rPr>
          <w:rFonts w:hint="default" w:ascii="Times New Roman" w:hAnsi="Times New Roman" w:eastAsia="宋体" w:cs="Times New Roman"/>
          <w:sz w:val="24"/>
          <w:highlight w:val="none"/>
        </w:rPr>
        <w:t>上述律师指派其他律师配合完成前述法律事务工作，</w:t>
      </w:r>
      <w:r>
        <w:rPr>
          <w:rFonts w:hint="eastAsia" w:cs="Times New Roman"/>
          <w:sz w:val="24"/>
          <w:highlight w:val="none"/>
          <w:lang w:val="en-US" w:eastAsia="zh-CN"/>
        </w:rPr>
        <w:t>或</w:t>
      </w:r>
      <w:r>
        <w:rPr>
          <w:rFonts w:hint="default" w:ascii="Times New Roman" w:hAnsi="Times New Roman" w:eastAsia="宋体" w:cs="Times New Roman"/>
          <w:sz w:val="24"/>
          <w:highlight w:val="none"/>
        </w:rPr>
        <w:t>更换律师团队负责人</w:t>
      </w:r>
      <w:r>
        <w:rPr>
          <w:rFonts w:hint="eastAsia" w:cs="Times New Roman"/>
          <w:sz w:val="24"/>
          <w:highlight w:val="none"/>
          <w:lang w:eastAsia="zh-CN"/>
        </w:rPr>
        <w:t>，</w:t>
      </w:r>
      <w:r>
        <w:rPr>
          <w:rFonts w:hint="eastAsia" w:cs="Times New Roman"/>
          <w:sz w:val="24"/>
          <w:highlight w:val="none"/>
          <w:lang w:val="en-US" w:eastAsia="zh-CN"/>
        </w:rPr>
        <w:t>均需事先取得采购人的认可。</w:t>
      </w:r>
    </w:p>
    <w:p>
      <w:pPr>
        <w:snapToGrid w:val="0"/>
        <w:spacing w:before="0" w:after="0" w:line="480" w:lineRule="exact"/>
        <w:ind w:left="6" w:leftChars="0" w:firstLine="420" w:firstLineChars="175"/>
        <w:jc w:val="left"/>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2.报价人律师应勤勉、尽责地完成第一条所列各项法律工作，按照双方事前约定的时间、地点进行工作，及时受理采购人委托的各项工作。</w:t>
      </w:r>
    </w:p>
    <w:p>
      <w:pPr>
        <w:snapToGrid w:val="0"/>
        <w:spacing w:before="0" w:after="0" w:line="480" w:lineRule="exact"/>
        <w:ind w:left="6" w:leftChars="0" w:firstLine="420" w:firstLineChars="175"/>
        <w:jc w:val="left"/>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3.报价人律师应在取得采购人提供的文件资料后，按时完成采购人委托的事项，根据采购人的要求通报工作进程。</w:t>
      </w:r>
    </w:p>
    <w:p>
      <w:pPr>
        <w:snapToGrid w:val="0"/>
        <w:spacing w:before="0" w:after="0" w:line="480" w:lineRule="exact"/>
        <w:ind w:left="6" w:leftChars="0" w:firstLine="420" w:firstLineChars="175"/>
        <w:jc w:val="left"/>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4.对采购人的法律咨询及法律事务一般应在合同规定的工作日内作书面、合规的答复，并对相关问题及时提出具体的可操作方案和解决途径。</w:t>
      </w:r>
    </w:p>
    <w:p>
      <w:pPr>
        <w:pStyle w:val="98"/>
        <w:snapToGrid/>
        <w:spacing w:before="48" w:after="48" w:line="560" w:lineRule="exact"/>
        <w:ind w:left="0" w:leftChars="0" w:firstLine="480" w:firstLineChars="200"/>
        <w:jc w:val="left"/>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5.报价人律师在涉及采购人的对抗性案件或者交易活动中，未经采购人同意，将不担任与采购人具有法律上利益冲突的另一方的法律顾问或代理人。</w:t>
      </w:r>
      <w:r>
        <w:rPr>
          <w:rFonts w:hint="default" w:ascii="Times New Roman" w:hAnsi="Times New Roman" w:eastAsia="宋体" w:cs="Times New Roman"/>
          <w:sz w:val="24"/>
          <w:highlight w:val="none"/>
          <w:lang w:val="en-US" w:eastAsia="zh-CN"/>
        </w:rPr>
        <w:t>报价人应当签署</w:t>
      </w:r>
      <w:r>
        <w:rPr>
          <w:rFonts w:hint="eastAsia" w:ascii="Times New Roman" w:hAnsi="Times New Roman" w:eastAsia="宋体" w:cs="Times New Roman"/>
          <w:sz w:val="24"/>
          <w:highlight w:val="none"/>
          <w:lang w:val="en-US" w:eastAsia="zh-CN"/>
        </w:rPr>
        <w:t>《</w:t>
      </w:r>
      <w:r>
        <w:rPr>
          <w:rFonts w:ascii="Times New Roman" w:hAnsi="Times New Roman" w:eastAsia="宋体" w:cs="Times New Roman"/>
          <w:spacing w:val="0"/>
          <w:sz w:val="24"/>
          <w:szCs w:val="32"/>
          <w:highlight w:val="none"/>
          <w:lang w:val="zh-TW" w:eastAsia="zh-TW"/>
        </w:rPr>
        <w:t>保密及无利益冲突承诺函</w:t>
      </w:r>
      <w:r>
        <w:rPr>
          <w:rFonts w:hint="eastAsia" w:ascii="Times New Roman" w:hAnsi="Times New Roman" w:eastAsia="宋体" w:cs="Times New Roman"/>
          <w:sz w:val="24"/>
          <w:highlight w:val="none"/>
          <w:lang w:val="en-US" w:eastAsia="zh-CN"/>
        </w:rPr>
        <w:t>》。</w:t>
      </w:r>
    </w:p>
    <w:p>
      <w:pPr>
        <w:snapToGrid w:val="0"/>
        <w:spacing w:before="0" w:after="0" w:line="480" w:lineRule="exact"/>
        <w:ind w:left="6" w:leftChars="0" w:firstLine="420" w:firstLineChars="175"/>
        <w:jc w:val="left"/>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6.法律文书应由顾问律师团队负责人亲自审核。</w:t>
      </w:r>
    </w:p>
    <w:p>
      <w:pPr>
        <w:snapToGrid w:val="0"/>
        <w:spacing w:before="0" w:after="0" w:line="480" w:lineRule="exact"/>
        <w:ind w:left="6" w:leftChars="0" w:firstLine="420" w:firstLineChars="175"/>
        <w:jc w:val="left"/>
        <w:rPr>
          <w:rFonts w:hint="default" w:ascii="Times New Roman" w:hAnsi="Times New Roman" w:eastAsia="宋体" w:cs="Times New Roman"/>
          <w:caps w:val="0"/>
          <w:sz w:val="24"/>
          <w:highlight w:val="none"/>
          <w:lang w:val="en-US" w:eastAsia="zh-CN"/>
        </w:rPr>
      </w:pPr>
      <w:r>
        <w:rPr>
          <w:rFonts w:hint="eastAsia" w:ascii="Times New Roman" w:hAnsi="Times New Roman" w:eastAsia="宋体" w:cs="Times New Roman"/>
          <w:b w:val="0"/>
          <w:sz w:val="24"/>
          <w:highlight w:val="none"/>
          <w:lang w:val="en-US" w:eastAsia="zh-CN"/>
        </w:rPr>
        <w:t>7.</w:t>
      </w:r>
      <w:r>
        <w:rPr>
          <w:rFonts w:hint="default" w:ascii="Times New Roman" w:hAnsi="Times New Roman" w:eastAsia="宋体" w:cs="Times New Roman"/>
          <w:caps w:val="0"/>
          <w:sz w:val="24"/>
          <w:highlight w:val="none"/>
          <w:lang w:val="en-US" w:eastAsia="zh-CN"/>
        </w:rPr>
        <w:t>成交供应商应使用CA证书的电子签章与采购人签署电子合同，且应当同意与采购人签订</w:t>
      </w:r>
      <w:r>
        <w:rPr>
          <w:rFonts w:hint="eastAsia" w:ascii="Times New Roman" w:hAnsi="Times New Roman" w:eastAsia="宋体" w:cs="Times New Roman"/>
          <w:caps w:val="0"/>
          <w:sz w:val="24"/>
          <w:highlight w:val="none"/>
          <w:lang w:val="en-US" w:eastAsia="zh-CN"/>
        </w:rPr>
        <w:t>标准</w:t>
      </w:r>
      <w:r>
        <w:rPr>
          <w:rFonts w:hint="default" w:ascii="Times New Roman" w:hAnsi="Times New Roman" w:eastAsia="宋体" w:cs="Times New Roman"/>
          <w:caps w:val="0"/>
          <w:sz w:val="24"/>
          <w:highlight w:val="none"/>
          <w:lang w:val="en-US" w:eastAsia="zh-CN"/>
        </w:rPr>
        <w:t>合同。有关电子合同及结构化合同的相关解释权归采购人，以采购人解释为准。</w:t>
      </w:r>
    </w:p>
    <w:p>
      <w:pPr>
        <w:pStyle w:val="98"/>
        <w:snapToGrid/>
        <w:spacing w:line="560" w:lineRule="exact"/>
        <w:ind w:left="0" w:firstLine="480" w:firstLineChars="200"/>
        <w:jc w:val="left"/>
        <w:rPr>
          <w:rFonts w:hint="default" w:ascii="Times New Roman" w:hAnsi="Times New Roman" w:eastAsia="宋体" w:cs="Times New Roman"/>
          <w:caps w:val="0"/>
          <w:sz w:val="24"/>
          <w:highlight w:val="none"/>
          <w:lang w:val="en-US" w:eastAsia="zh-CN"/>
        </w:rPr>
      </w:pPr>
      <w:r>
        <w:rPr>
          <w:rFonts w:hint="eastAsia" w:ascii="Times New Roman" w:hAnsi="Times New Roman" w:eastAsia="宋体" w:cs="Times New Roman"/>
          <w:caps w:val="0"/>
          <w:sz w:val="24"/>
          <w:highlight w:val="none"/>
          <w:lang w:val="en-US" w:eastAsia="zh-CN"/>
        </w:rPr>
        <w:t>8.采购人将对供应商进行半年工作考核，对供应商的工作响应时间、工作质量、服务态度等进行综合考评，如经采购人考核，认为供应商未能满足采购人要求的，采购人有权提前解除合同。</w:t>
      </w:r>
    </w:p>
    <w:p>
      <w:pPr>
        <w:ind w:firstLine="480"/>
        <w:rPr>
          <w:highlight w:val="none"/>
        </w:rPr>
      </w:pPr>
      <w:r>
        <w:rPr>
          <w:highlight w:val="none"/>
        </w:rPr>
        <w:br w:type="page"/>
      </w:r>
    </w:p>
    <w:p>
      <w:pPr>
        <w:pStyle w:val="27"/>
        <w:spacing w:before="120"/>
        <w:rPr>
          <w:rFonts w:ascii="Times New Roman" w:hAnsi="Times New Roman"/>
          <w:szCs w:val="24"/>
          <w:highlight w:val="none"/>
        </w:rPr>
      </w:pPr>
      <w:bookmarkStart w:id="172" w:name="_Toc18458"/>
      <w:bookmarkStart w:id="173" w:name="_Toc25636"/>
      <w:bookmarkStart w:id="174" w:name="_Toc395"/>
      <w:r>
        <w:rPr>
          <w:rFonts w:ascii="Times New Roman" w:hAnsi="Times New Roman"/>
          <w:highlight w:val="none"/>
        </w:rPr>
        <w:t>第</w:t>
      </w:r>
      <w:r>
        <w:rPr>
          <w:rFonts w:hint="eastAsia" w:ascii="Times New Roman" w:hAnsi="Times New Roman"/>
          <w:highlight w:val="none"/>
        </w:rPr>
        <w:t>六</w:t>
      </w:r>
      <w:r>
        <w:rPr>
          <w:rFonts w:ascii="Times New Roman" w:hAnsi="Times New Roman"/>
          <w:highlight w:val="none"/>
        </w:rPr>
        <w:t xml:space="preserve">章 </w:t>
      </w:r>
      <w:r>
        <w:rPr>
          <w:rFonts w:hint="eastAsia" w:ascii="Times New Roman" w:hAnsi="Times New Roman"/>
          <w:highlight w:val="none"/>
        </w:rPr>
        <w:t>报价文件</w:t>
      </w:r>
      <w:r>
        <w:rPr>
          <w:rFonts w:ascii="Times New Roman" w:hAnsi="Times New Roman"/>
          <w:highlight w:val="none"/>
        </w:rPr>
        <w:t>格式</w:t>
      </w:r>
      <w:bookmarkEnd w:id="172"/>
      <w:bookmarkEnd w:id="173"/>
      <w:bookmarkEnd w:id="174"/>
    </w:p>
    <w:p>
      <w:pPr>
        <w:ind w:firstLine="480"/>
        <w:rPr>
          <w:szCs w:val="24"/>
          <w:highlight w:val="none"/>
        </w:rPr>
      </w:pPr>
    </w:p>
    <w:p>
      <w:pPr>
        <w:pStyle w:val="15"/>
        <w:ind w:firstLine="0" w:firstLineChars="0"/>
        <w:jc w:val="left"/>
        <w:rPr>
          <w:rFonts w:cs="Arial"/>
          <w:sz w:val="72"/>
          <w:highlight w:val="none"/>
        </w:rPr>
      </w:pPr>
      <w:bookmarkStart w:id="175" w:name="_Toc453079648"/>
      <w:bookmarkStart w:id="176" w:name="_Toc453162709"/>
      <w:bookmarkStart w:id="177" w:name="_Toc453162622"/>
      <w:r>
        <w:rPr>
          <w:rFonts w:hint="eastAsia" w:cs="Arial"/>
          <w:sz w:val="72"/>
          <w:highlight w:val="none"/>
        </w:rPr>
        <w:t xml:space="preserve">      </w:t>
      </w:r>
      <w:r>
        <w:rPr>
          <w:rFonts w:hint="eastAsia" w:cs="Arial"/>
          <w:sz w:val="72"/>
          <w:highlight w:val="none"/>
          <w:u w:val="single"/>
        </w:rPr>
        <w:t xml:space="preserve">            项目</w:t>
      </w:r>
    </w:p>
    <w:p>
      <w:pPr>
        <w:pStyle w:val="15"/>
        <w:ind w:firstLine="0" w:firstLineChars="0"/>
        <w:jc w:val="center"/>
        <w:rPr>
          <w:rFonts w:eastAsia="黑体" w:cs="Arial"/>
          <w:sz w:val="32"/>
          <w:szCs w:val="32"/>
          <w:highlight w:val="none"/>
        </w:rPr>
      </w:pPr>
      <w:r>
        <w:rPr>
          <w:rFonts w:hint="eastAsia" w:eastAsia="黑体" w:cs="Arial"/>
          <w:sz w:val="84"/>
          <w:szCs w:val="84"/>
          <w:highlight w:val="none"/>
        </w:rPr>
        <w:t xml:space="preserve">报 价 </w:t>
      </w:r>
      <w:r>
        <w:rPr>
          <w:rFonts w:eastAsia="黑体" w:cs="Arial"/>
          <w:sz w:val="84"/>
          <w:szCs w:val="84"/>
          <w:highlight w:val="none"/>
        </w:rPr>
        <w:t>文</w:t>
      </w:r>
      <w:r>
        <w:rPr>
          <w:rFonts w:hint="eastAsia" w:eastAsia="黑体" w:cs="Arial"/>
          <w:sz w:val="84"/>
          <w:szCs w:val="84"/>
          <w:highlight w:val="none"/>
        </w:rPr>
        <w:t xml:space="preserve"> </w:t>
      </w:r>
      <w:r>
        <w:rPr>
          <w:rFonts w:eastAsia="黑体" w:cs="Arial"/>
          <w:sz w:val="84"/>
          <w:szCs w:val="84"/>
          <w:highlight w:val="none"/>
        </w:rPr>
        <w:t>件</w:t>
      </w:r>
    </w:p>
    <w:p>
      <w:pPr>
        <w:pStyle w:val="15"/>
        <w:ind w:firstLine="0" w:firstLineChars="0"/>
        <w:jc w:val="center"/>
        <w:rPr>
          <w:rFonts w:eastAsia="黑体" w:cs="Arial"/>
          <w:sz w:val="32"/>
          <w:szCs w:val="32"/>
          <w:highlight w:val="none"/>
          <w:u w:val="single"/>
        </w:rPr>
      </w:pPr>
      <w:r>
        <w:rPr>
          <w:rFonts w:hint="eastAsia" w:eastAsia="黑体" w:cs="Arial"/>
          <w:sz w:val="32"/>
          <w:szCs w:val="32"/>
          <w:highlight w:val="none"/>
        </w:rPr>
        <w:t>询价编码</w:t>
      </w:r>
      <w:r>
        <w:rPr>
          <w:rFonts w:eastAsia="黑体" w:cs="Arial"/>
          <w:sz w:val="32"/>
          <w:szCs w:val="32"/>
          <w:highlight w:val="none"/>
        </w:rPr>
        <w:t>：</w:t>
      </w:r>
      <w:r>
        <w:rPr>
          <w:rFonts w:hint="eastAsia" w:eastAsia="黑体" w:cs="Arial"/>
          <w:sz w:val="32"/>
          <w:szCs w:val="32"/>
          <w:highlight w:val="none"/>
          <w:u w:val="single"/>
        </w:rPr>
        <w:t xml:space="preserve">         </w:t>
      </w:r>
    </w:p>
    <w:p>
      <w:pPr>
        <w:pStyle w:val="15"/>
        <w:ind w:left="119" w:firstLine="0" w:firstLineChars="0"/>
        <w:jc w:val="center"/>
        <w:rPr>
          <w:rFonts w:cs="Arial"/>
          <w:highlight w:val="none"/>
        </w:rPr>
      </w:pPr>
    </w:p>
    <w:p>
      <w:pPr>
        <w:pStyle w:val="15"/>
        <w:ind w:left="119" w:firstLine="0" w:firstLineChars="0"/>
        <w:jc w:val="center"/>
        <w:rPr>
          <w:rFonts w:cs="Arial"/>
          <w:highlight w:val="none"/>
        </w:rPr>
      </w:pPr>
    </w:p>
    <w:p>
      <w:pPr>
        <w:pStyle w:val="15"/>
        <w:ind w:left="119" w:firstLine="0" w:firstLineChars="0"/>
        <w:jc w:val="center"/>
        <w:rPr>
          <w:rFonts w:cs="Arial"/>
          <w:highlight w:val="none"/>
        </w:rPr>
      </w:pPr>
    </w:p>
    <w:p>
      <w:pPr>
        <w:pStyle w:val="15"/>
        <w:ind w:left="119" w:firstLine="0" w:firstLineChars="0"/>
        <w:jc w:val="center"/>
        <w:rPr>
          <w:rFonts w:cs="Arial"/>
          <w:highlight w:val="none"/>
        </w:rPr>
      </w:pPr>
    </w:p>
    <w:p>
      <w:pPr>
        <w:pStyle w:val="15"/>
        <w:ind w:left="119" w:firstLine="0" w:firstLineChars="0"/>
        <w:jc w:val="center"/>
        <w:rPr>
          <w:rFonts w:cs="Arial"/>
          <w:highlight w:val="none"/>
        </w:rPr>
      </w:pPr>
    </w:p>
    <w:p>
      <w:pPr>
        <w:pStyle w:val="15"/>
        <w:ind w:left="119" w:firstLine="0" w:firstLineChars="0"/>
        <w:jc w:val="center"/>
        <w:rPr>
          <w:rFonts w:cs="Arial"/>
          <w:highlight w:val="none"/>
        </w:rPr>
      </w:pPr>
    </w:p>
    <w:p>
      <w:pPr>
        <w:pStyle w:val="15"/>
        <w:ind w:left="119" w:firstLine="0" w:firstLineChars="0"/>
        <w:jc w:val="center"/>
        <w:rPr>
          <w:rFonts w:cs="Arial"/>
          <w:highlight w:val="none"/>
        </w:rPr>
      </w:pPr>
    </w:p>
    <w:p>
      <w:pPr>
        <w:pStyle w:val="15"/>
        <w:ind w:left="119" w:firstLine="0" w:firstLineChars="0"/>
        <w:jc w:val="center"/>
        <w:rPr>
          <w:rFonts w:cs="Arial"/>
          <w:highlight w:val="none"/>
        </w:rPr>
      </w:pPr>
    </w:p>
    <w:p>
      <w:pPr>
        <w:pStyle w:val="15"/>
        <w:ind w:left="119" w:firstLine="0" w:firstLineChars="0"/>
        <w:jc w:val="center"/>
        <w:rPr>
          <w:rFonts w:cs="Arial"/>
          <w:highlight w:val="none"/>
        </w:rPr>
      </w:pPr>
    </w:p>
    <w:p>
      <w:pPr>
        <w:pStyle w:val="15"/>
        <w:ind w:left="119" w:firstLine="0" w:firstLineChars="0"/>
        <w:jc w:val="center"/>
        <w:rPr>
          <w:rFonts w:cs="Arial"/>
          <w:sz w:val="28"/>
          <w:szCs w:val="28"/>
          <w:highlight w:val="none"/>
        </w:rPr>
      </w:pPr>
      <w:r>
        <w:rPr>
          <w:rFonts w:cs="Arial"/>
          <w:sz w:val="28"/>
          <w:szCs w:val="28"/>
          <w:highlight w:val="none"/>
        </w:rPr>
        <w:t>供应商：</w:t>
      </w:r>
      <w:r>
        <w:rPr>
          <w:rFonts w:cs="Arial"/>
          <w:sz w:val="28"/>
          <w:szCs w:val="28"/>
          <w:highlight w:val="none"/>
          <w:u w:val="single"/>
        </w:rPr>
        <w:tab/>
      </w:r>
      <w:r>
        <w:rPr>
          <w:rFonts w:cs="Arial"/>
          <w:sz w:val="28"/>
          <w:szCs w:val="28"/>
          <w:highlight w:val="none"/>
          <w:u w:val="single"/>
        </w:rPr>
        <w:t xml:space="preserve"> </w:t>
      </w:r>
      <w:r>
        <w:rPr>
          <w:rFonts w:hint="eastAsia" w:cs="Arial"/>
          <w:sz w:val="28"/>
          <w:szCs w:val="28"/>
          <w:highlight w:val="none"/>
          <w:u w:val="single"/>
        </w:rPr>
        <w:t xml:space="preserve">       （盖章）</w:t>
      </w:r>
    </w:p>
    <w:p>
      <w:pPr>
        <w:pStyle w:val="15"/>
        <w:ind w:firstLine="0" w:firstLineChars="0"/>
        <w:jc w:val="center"/>
        <w:rPr>
          <w:rFonts w:cs="Arial"/>
          <w:sz w:val="28"/>
          <w:szCs w:val="28"/>
          <w:highlight w:val="none"/>
        </w:rPr>
      </w:pPr>
      <w:r>
        <w:rPr>
          <w:rFonts w:cs="Arial"/>
          <w:sz w:val="28"/>
          <w:szCs w:val="28"/>
          <w:highlight w:val="none"/>
        </w:rPr>
        <w:t xml:space="preserve">日 </w:t>
      </w:r>
      <w:r>
        <w:rPr>
          <w:rFonts w:hint="eastAsia" w:cs="Arial"/>
          <w:sz w:val="28"/>
          <w:szCs w:val="28"/>
          <w:highlight w:val="none"/>
        </w:rPr>
        <w:t xml:space="preserve"> </w:t>
      </w:r>
      <w:r>
        <w:rPr>
          <w:rFonts w:cs="Arial"/>
          <w:sz w:val="28"/>
          <w:szCs w:val="28"/>
          <w:highlight w:val="none"/>
        </w:rPr>
        <w:t>期：</w:t>
      </w:r>
      <w:r>
        <w:rPr>
          <w:rFonts w:hint="eastAsia" w:cs="Arial"/>
          <w:sz w:val="28"/>
          <w:szCs w:val="28"/>
          <w:highlight w:val="none"/>
          <w:u w:val="single"/>
        </w:rPr>
        <w:t xml:space="preserve">  </w:t>
      </w:r>
      <w:r>
        <w:rPr>
          <w:rFonts w:cs="Arial"/>
          <w:sz w:val="28"/>
          <w:szCs w:val="28"/>
          <w:highlight w:val="none"/>
          <w:u w:val="single"/>
        </w:rPr>
        <w:t xml:space="preserve">  </w:t>
      </w:r>
      <w:r>
        <w:rPr>
          <w:rFonts w:cs="Arial"/>
          <w:sz w:val="28"/>
          <w:szCs w:val="28"/>
          <w:highlight w:val="none"/>
        </w:rPr>
        <w:t>年</w:t>
      </w:r>
      <w:r>
        <w:rPr>
          <w:rFonts w:cs="Arial"/>
          <w:sz w:val="28"/>
          <w:szCs w:val="28"/>
          <w:highlight w:val="none"/>
          <w:u w:val="single"/>
        </w:rPr>
        <w:t xml:space="preserve"> </w:t>
      </w:r>
      <w:r>
        <w:rPr>
          <w:rFonts w:hint="eastAsia" w:cs="Arial"/>
          <w:sz w:val="28"/>
          <w:szCs w:val="28"/>
          <w:highlight w:val="none"/>
          <w:u w:val="single"/>
        </w:rPr>
        <w:t xml:space="preserve">  </w:t>
      </w:r>
      <w:r>
        <w:rPr>
          <w:rFonts w:cs="Arial"/>
          <w:sz w:val="28"/>
          <w:szCs w:val="28"/>
          <w:highlight w:val="none"/>
        </w:rPr>
        <w:t>月</w:t>
      </w:r>
      <w:r>
        <w:rPr>
          <w:rFonts w:hint="eastAsia" w:cs="Arial"/>
          <w:sz w:val="28"/>
          <w:szCs w:val="28"/>
          <w:highlight w:val="none"/>
          <w:u w:val="single"/>
        </w:rPr>
        <w:t xml:space="preserve">   </w:t>
      </w:r>
      <w:r>
        <w:rPr>
          <w:rFonts w:cs="Arial"/>
          <w:sz w:val="28"/>
          <w:szCs w:val="28"/>
          <w:highlight w:val="none"/>
        </w:rPr>
        <w:t>日</w:t>
      </w:r>
    </w:p>
    <w:p>
      <w:pPr>
        <w:ind w:firstLine="0" w:firstLineChars="0"/>
        <w:jc w:val="left"/>
        <w:rPr>
          <w:color w:val="000000"/>
          <w:szCs w:val="24"/>
          <w:highlight w:val="none"/>
        </w:rPr>
      </w:pPr>
    </w:p>
    <w:p>
      <w:pPr>
        <w:ind w:firstLine="480"/>
        <w:rPr>
          <w:color w:val="000000"/>
          <w:szCs w:val="24"/>
          <w:highlight w:val="none"/>
        </w:rPr>
      </w:pPr>
    </w:p>
    <w:p>
      <w:pPr>
        <w:ind w:firstLine="480"/>
        <w:jc w:val="center"/>
        <w:rPr>
          <w:rFonts w:eastAsia="黑体"/>
          <w:highlight w:val="none"/>
        </w:rPr>
      </w:pPr>
      <w:r>
        <w:rPr>
          <w:color w:val="000000"/>
          <w:highlight w:val="none"/>
        </w:rPr>
        <w:br w:type="page"/>
      </w:r>
      <w:bookmarkEnd w:id="175"/>
      <w:bookmarkEnd w:id="176"/>
      <w:bookmarkEnd w:id="177"/>
      <w:r>
        <w:rPr>
          <w:rFonts w:hint="eastAsia" w:eastAsia="黑体"/>
          <w:sz w:val="36"/>
          <w:highlight w:val="none"/>
        </w:rPr>
        <w:t>目  录</w:t>
      </w:r>
    </w:p>
    <w:p>
      <w:pPr>
        <w:spacing w:line="540" w:lineRule="exact"/>
        <w:ind w:firstLine="480"/>
        <w:rPr>
          <w:color w:val="000000"/>
          <w:highlight w:val="none"/>
        </w:rPr>
      </w:pPr>
    </w:p>
    <w:p>
      <w:pPr>
        <w:ind w:firstLine="480"/>
        <w:rPr>
          <w:highlight w:val="none"/>
        </w:rPr>
      </w:pPr>
      <w:r>
        <w:rPr>
          <w:rFonts w:hint="eastAsia"/>
          <w:highlight w:val="none"/>
        </w:rPr>
        <w:t>一、</w:t>
      </w:r>
      <w:r>
        <w:rPr>
          <w:highlight w:val="none"/>
        </w:rPr>
        <w:t>授权委托</w:t>
      </w:r>
      <w:r>
        <w:rPr>
          <w:color w:val="000000"/>
          <w:highlight w:val="none"/>
        </w:rPr>
        <w:t>书</w:t>
      </w:r>
    </w:p>
    <w:p>
      <w:pPr>
        <w:ind w:firstLine="480"/>
        <w:rPr>
          <w:highlight w:val="none"/>
        </w:rPr>
      </w:pPr>
      <w:r>
        <w:rPr>
          <w:rFonts w:hint="eastAsia"/>
          <w:highlight w:val="none"/>
        </w:rPr>
        <w:t>二、报价部分</w:t>
      </w:r>
    </w:p>
    <w:p>
      <w:pPr>
        <w:ind w:firstLine="480"/>
        <w:rPr>
          <w:rFonts w:hint="eastAsia" w:eastAsia="宋体"/>
          <w:highlight w:val="none"/>
          <w:lang w:eastAsia="zh-CN"/>
        </w:rPr>
      </w:pPr>
      <w:r>
        <w:rPr>
          <w:rFonts w:hint="eastAsia"/>
          <w:highlight w:val="none"/>
        </w:rPr>
        <w:t>三、</w:t>
      </w:r>
      <w:r>
        <w:rPr>
          <w:rFonts w:hint="default"/>
          <w:highlight w:val="none"/>
          <w:lang w:val="en-US"/>
        </w:rPr>
        <w:t>商务</w:t>
      </w:r>
      <w:r>
        <w:rPr>
          <w:rFonts w:hint="eastAsia"/>
          <w:highlight w:val="none"/>
        </w:rPr>
        <w:t>部分</w:t>
      </w:r>
      <w:r>
        <w:rPr>
          <w:rFonts w:hint="eastAsia"/>
          <w:highlight w:val="none"/>
          <w:lang w:eastAsia="zh-CN"/>
        </w:rPr>
        <w:t>（</w:t>
      </w:r>
      <w:r>
        <w:rPr>
          <w:rFonts w:hint="eastAsia"/>
          <w:highlight w:val="none"/>
          <w:lang w:val="en-US" w:eastAsia="zh-CN"/>
        </w:rPr>
        <w:t>工作团队及业绩</w:t>
      </w:r>
      <w:r>
        <w:rPr>
          <w:rFonts w:hint="eastAsia"/>
          <w:highlight w:val="none"/>
          <w:lang w:eastAsia="zh-CN"/>
        </w:rPr>
        <w:t>）</w:t>
      </w:r>
    </w:p>
    <w:p>
      <w:pPr>
        <w:ind w:firstLine="480"/>
        <w:rPr>
          <w:rFonts w:hint="default" w:eastAsia="黑体"/>
          <w:highlight w:val="none"/>
          <w:lang w:val="en-US" w:eastAsia="zh-CN"/>
        </w:rPr>
      </w:pPr>
      <w:r>
        <w:rPr>
          <w:rFonts w:hint="eastAsia"/>
          <w:highlight w:val="none"/>
        </w:rPr>
        <w:t>四、</w:t>
      </w:r>
      <w:r>
        <w:rPr>
          <w:rFonts w:hint="default"/>
          <w:highlight w:val="none"/>
          <w:lang w:val="en-US"/>
        </w:rPr>
        <w:t>技术</w:t>
      </w:r>
      <w:r>
        <w:rPr>
          <w:rFonts w:hint="eastAsia"/>
          <w:highlight w:val="none"/>
        </w:rPr>
        <w:t>部分</w:t>
      </w:r>
      <w:r>
        <w:rPr>
          <w:rFonts w:hint="eastAsia"/>
          <w:highlight w:val="none"/>
          <w:lang w:eastAsia="zh-CN"/>
        </w:rPr>
        <w:t>（</w:t>
      </w:r>
      <w:r>
        <w:rPr>
          <w:rFonts w:hint="eastAsia"/>
          <w:highlight w:val="none"/>
          <w:lang w:val="en-US" w:eastAsia="zh-CN"/>
        </w:rPr>
        <w:t>工作方案、专项服务建议及商务响应</w:t>
      </w:r>
      <w:r>
        <w:rPr>
          <w:rFonts w:hint="eastAsia"/>
          <w:highlight w:val="none"/>
          <w:lang w:eastAsia="zh-CN"/>
        </w:rPr>
        <w:t>）</w:t>
      </w:r>
    </w:p>
    <w:p>
      <w:pPr>
        <w:pStyle w:val="10"/>
        <w:ind w:firstLine="480"/>
        <w:rPr>
          <w:highlight w:val="none"/>
        </w:rPr>
      </w:pPr>
      <w:r>
        <w:rPr>
          <w:rFonts w:hint="default"/>
          <w:highlight w:val="none"/>
          <w:lang w:val="en-US"/>
        </w:rPr>
        <w:t>五</w:t>
      </w:r>
      <w:r>
        <w:rPr>
          <w:rFonts w:hint="eastAsia"/>
          <w:highlight w:val="none"/>
          <w:lang w:val="en-US" w:eastAsia="zh-CN"/>
        </w:rPr>
        <w:t>、</w:t>
      </w:r>
      <w:r>
        <w:rPr>
          <w:rFonts w:hint="eastAsia"/>
          <w:highlight w:val="none"/>
        </w:rPr>
        <w:t>偏离表</w:t>
      </w:r>
    </w:p>
    <w:p>
      <w:pPr>
        <w:ind w:firstLine="480"/>
        <w:rPr>
          <w:highlight w:val="none"/>
        </w:rPr>
      </w:pPr>
      <w:r>
        <w:rPr>
          <w:rFonts w:hint="eastAsia"/>
          <w:highlight w:val="none"/>
        </w:rPr>
        <w:t>六、供应商廉洁承诺书</w:t>
      </w:r>
    </w:p>
    <w:p>
      <w:pPr>
        <w:pStyle w:val="5"/>
        <w:spacing w:before="240"/>
        <w:rPr>
          <w:rFonts w:ascii="Times New Roman" w:hAnsi="Times New Roman"/>
          <w:color w:val="000000"/>
          <w:highlight w:val="none"/>
        </w:rPr>
      </w:pPr>
      <w:r>
        <w:rPr>
          <w:rFonts w:ascii="Times New Roman" w:hAnsi="Times New Roman"/>
          <w:highlight w:val="none"/>
        </w:rPr>
        <w:br w:type="page"/>
      </w:r>
      <w:bookmarkStart w:id="178" w:name="_Toc352691660"/>
      <w:bookmarkEnd w:id="178"/>
      <w:bookmarkStart w:id="179" w:name="_Toc369531696"/>
      <w:bookmarkEnd w:id="179"/>
      <w:bookmarkStart w:id="180" w:name="_Toc16824"/>
      <w:bookmarkEnd w:id="180"/>
      <w:bookmarkStart w:id="181" w:name="_Toc369531695"/>
      <w:bookmarkEnd w:id="181"/>
      <w:bookmarkStart w:id="182" w:name="_Toc16568"/>
      <w:bookmarkEnd w:id="182"/>
      <w:bookmarkStart w:id="183" w:name="_Toc352691659"/>
      <w:bookmarkEnd w:id="183"/>
      <w:bookmarkStart w:id="184" w:name="_Toc527560962"/>
      <w:bookmarkStart w:id="185" w:name="_Toc32600"/>
      <w:bookmarkStart w:id="186" w:name="_Toc26728"/>
      <w:bookmarkStart w:id="187" w:name="_Toc6899"/>
      <w:r>
        <w:rPr>
          <w:rFonts w:hint="eastAsia" w:ascii="Times New Roman" w:hAnsi="Times New Roman"/>
          <w:highlight w:val="none"/>
        </w:rPr>
        <w:t>一</w:t>
      </w:r>
      <w:r>
        <w:rPr>
          <w:rFonts w:ascii="Times New Roman" w:hAnsi="Times New Roman"/>
          <w:highlight w:val="none"/>
        </w:rPr>
        <w:t>、授权委托书</w:t>
      </w:r>
      <w:bookmarkEnd w:id="184"/>
      <w:bookmarkEnd w:id="185"/>
      <w:bookmarkEnd w:id="186"/>
      <w:bookmarkEnd w:id="187"/>
    </w:p>
    <w:p>
      <w:pPr>
        <w:ind w:firstLine="480"/>
        <w:rPr>
          <w:rFonts w:eastAsia="黑体"/>
          <w:color w:val="000000"/>
          <w:highlight w:val="none"/>
        </w:rPr>
      </w:pPr>
    </w:p>
    <w:p>
      <w:pPr>
        <w:ind w:firstLine="480"/>
        <w:rPr>
          <w:highlight w:val="none"/>
        </w:rPr>
      </w:pPr>
      <w:r>
        <w:rPr>
          <w:rFonts w:hint="eastAsia"/>
          <w:highlight w:val="none"/>
        </w:rPr>
        <w:t>本人</w:t>
      </w:r>
      <w:r>
        <w:rPr>
          <w:highlight w:val="none"/>
          <w:u w:val="single"/>
        </w:rPr>
        <w:t>（姓名）</w:t>
      </w:r>
      <w:r>
        <w:rPr>
          <w:highlight w:val="none"/>
        </w:rPr>
        <w:t>系</w:t>
      </w:r>
      <w:r>
        <w:rPr>
          <w:rFonts w:hint="eastAsia"/>
          <w:highlight w:val="none"/>
          <w:u w:val="single"/>
        </w:rPr>
        <w:t>（供应商名称）</w:t>
      </w:r>
      <w:r>
        <w:rPr>
          <w:highlight w:val="none"/>
        </w:rPr>
        <w:t>的</w:t>
      </w:r>
      <w:r>
        <w:rPr>
          <w:rFonts w:hint="eastAsia"/>
          <w:highlight w:val="none"/>
        </w:rPr>
        <w:t>法定代表人</w:t>
      </w:r>
      <w:r>
        <w:rPr>
          <w:rFonts w:hint="eastAsia"/>
          <w:highlight w:val="none"/>
          <w:u w:val="single"/>
        </w:rPr>
        <w:t>（单位负责人）</w:t>
      </w:r>
      <w:r>
        <w:rPr>
          <w:rFonts w:hint="eastAsia"/>
          <w:highlight w:val="none"/>
        </w:rPr>
        <w:t>，</w:t>
      </w:r>
      <w:r>
        <w:rPr>
          <w:highlight w:val="none"/>
        </w:rPr>
        <w:t>现委托</w:t>
      </w:r>
      <w:r>
        <w:rPr>
          <w:highlight w:val="none"/>
          <w:u w:val="single"/>
        </w:rPr>
        <w:t>（姓名）</w:t>
      </w:r>
      <w:r>
        <w:rPr>
          <w:highlight w:val="none"/>
        </w:rPr>
        <w:t>为我方代理人。代理人</w:t>
      </w:r>
      <w:r>
        <w:rPr>
          <w:rFonts w:hint="eastAsia"/>
          <w:highlight w:val="none"/>
        </w:rPr>
        <w:t>根据授权，</w:t>
      </w:r>
      <w:r>
        <w:rPr>
          <w:highlight w:val="none"/>
        </w:rPr>
        <w:t>以我方名义签署、澄清</w:t>
      </w:r>
      <w:r>
        <w:rPr>
          <w:rFonts w:hint="eastAsia"/>
          <w:highlight w:val="none"/>
        </w:rPr>
        <w:t>确认</w:t>
      </w:r>
      <w:r>
        <w:rPr>
          <w:highlight w:val="none"/>
        </w:rPr>
        <w:t>、递交、撤回、修改</w:t>
      </w:r>
      <w:r>
        <w:rPr>
          <w:rFonts w:hint="eastAsia"/>
          <w:highlight w:val="none"/>
        </w:rPr>
        <w:t xml:space="preserve"> </w:t>
      </w:r>
      <w:r>
        <w:rPr>
          <w:rFonts w:hint="eastAsia"/>
          <w:highlight w:val="none"/>
          <w:u w:val="single"/>
        </w:rPr>
        <w:t xml:space="preserve">       </w:t>
      </w:r>
      <w:r>
        <w:rPr>
          <w:rFonts w:hint="eastAsia"/>
          <w:highlight w:val="none"/>
        </w:rPr>
        <w:t>采购项目报价文件</w:t>
      </w:r>
      <w:r>
        <w:rPr>
          <w:highlight w:val="none"/>
        </w:rPr>
        <w:t>、签订合同和处理有关事宜，其法律后果由我方承担。</w:t>
      </w:r>
    </w:p>
    <w:p>
      <w:pPr>
        <w:ind w:firstLine="480"/>
        <w:rPr>
          <w:highlight w:val="none"/>
        </w:rPr>
      </w:pPr>
      <w:r>
        <w:rPr>
          <w:highlight w:val="none"/>
        </w:rPr>
        <w:t>委托期限：</w:t>
      </w:r>
      <w:r>
        <w:rPr>
          <w:rFonts w:hint="eastAsia"/>
          <w:highlight w:val="none"/>
          <w:u w:val="single"/>
        </w:rPr>
        <w:t xml:space="preserve"> </w:t>
      </w:r>
      <w:r>
        <w:rPr>
          <w:highlight w:val="none"/>
          <w:u w:val="single"/>
        </w:rPr>
        <w:t xml:space="preserve">                  </w:t>
      </w:r>
      <w:r>
        <w:rPr>
          <w:rFonts w:hint="eastAsia"/>
          <w:highlight w:val="none"/>
        </w:rPr>
        <w:t>。</w:t>
      </w:r>
    </w:p>
    <w:p>
      <w:pPr>
        <w:ind w:firstLine="480"/>
        <w:rPr>
          <w:highlight w:val="none"/>
        </w:rPr>
      </w:pPr>
      <w:r>
        <w:rPr>
          <w:highlight w:val="none"/>
        </w:rPr>
        <w:t>代理人无转委托权。</w:t>
      </w:r>
    </w:p>
    <w:p>
      <w:pPr>
        <w:ind w:firstLine="480"/>
        <w:rPr>
          <w:highlight w:val="none"/>
        </w:rPr>
      </w:pPr>
      <w:r>
        <w:rPr>
          <w:rFonts w:hint="eastAsia"/>
          <w:highlight w:val="none"/>
        </w:rPr>
        <w:t>附：法定代表人（单位负责人）身份证复印件及委托代理人身份证复印件</w:t>
      </w:r>
    </w:p>
    <w:p>
      <w:pPr>
        <w:ind w:firstLine="480"/>
        <w:rPr>
          <w:highlight w:val="none"/>
        </w:rPr>
      </w:pPr>
    </w:p>
    <w:p>
      <w:pPr>
        <w:ind w:firstLine="480"/>
        <w:rPr>
          <w:highlight w:val="none"/>
        </w:rPr>
      </w:pPr>
      <w:r>
        <w:rPr>
          <w:rFonts w:hint="eastAsia"/>
          <w:highlight w:val="none"/>
        </w:rPr>
        <w:t>注：本授权委托书需由供应商加盖单位公章并由其法定代表人（单位负责人）签字。</w:t>
      </w:r>
    </w:p>
    <w:p>
      <w:pPr>
        <w:ind w:firstLine="480"/>
        <w:rPr>
          <w:color w:val="000000"/>
          <w:highlight w:val="none"/>
        </w:rPr>
      </w:pPr>
    </w:p>
    <w:p>
      <w:pPr>
        <w:ind w:firstLine="3076" w:firstLineChars="1282"/>
        <w:rPr>
          <w:color w:val="000000"/>
          <w:highlight w:val="none"/>
          <w:u w:val="single"/>
        </w:rPr>
      </w:pPr>
      <w:r>
        <w:rPr>
          <w:color w:val="000000"/>
          <w:highlight w:val="none"/>
        </w:rPr>
        <w:t>供应商：</w:t>
      </w:r>
      <w:r>
        <w:rPr>
          <w:color w:val="000000"/>
          <w:highlight w:val="none"/>
          <w:u w:val="single"/>
        </w:rPr>
        <w:t>（单位公章）</w:t>
      </w:r>
      <w:r>
        <w:rPr>
          <w:rFonts w:hint="eastAsia"/>
          <w:color w:val="000000"/>
          <w:highlight w:val="none"/>
          <w:u w:val="single"/>
        </w:rPr>
        <w:t xml:space="preserve"> </w:t>
      </w:r>
      <w:r>
        <w:rPr>
          <w:color w:val="000000"/>
          <w:highlight w:val="none"/>
          <w:u w:val="single"/>
        </w:rPr>
        <w:t xml:space="preserve">                          </w:t>
      </w:r>
    </w:p>
    <w:p>
      <w:pPr>
        <w:ind w:firstLine="3076" w:firstLineChars="1282"/>
        <w:rPr>
          <w:color w:val="000000"/>
          <w:highlight w:val="none"/>
        </w:rPr>
      </w:pPr>
    </w:p>
    <w:p>
      <w:pPr>
        <w:ind w:firstLine="3074" w:firstLineChars="1281"/>
        <w:rPr>
          <w:color w:val="000000"/>
          <w:highlight w:val="none"/>
        </w:rPr>
      </w:pPr>
      <w:r>
        <w:rPr>
          <w:rFonts w:hint="eastAsia"/>
          <w:color w:val="000000"/>
          <w:highlight w:val="none"/>
        </w:rPr>
        <w:t>法定代表人（单位负责人）</w:t>
      </w:r>
      <w:r>
        <w:rPr>
          <w:color w:val="000000"/>
          <w:highlight w:val="none"/>
        </w:rPr>
        <w:t>：</w:t>
      </w:r>
      <w:r>
        <w:rPr>
          <w:color w:val="000000"/>
          <w:highlight w:val="none"/>
          <w:u w:val="single"/>
        </w:rPr>
        <w:t xml:space="preserve">（签字）              </w:t>
      </w:r>
    </w:p>
    <w:p>
      <w:pPr>
        <w:ind w:firstLine="3076" w:firstLineChars="1282"/>
        <w:rPr>
          <w:color w:val="000000"/>
          <w:highlight w:val="none"/>
        </w:rPr>
      </w:pPr>
    </w:p>
    <w:p>
      <w:pPr>
        <w:ind w:firstLine="3076" w:firstLineChars="1282"/>
        <w:rPr>
          <w:color w:val="000000"/>
          <w:highlight w:val="none"/>
          <w:u w:val="single"/>
        </w:rPr>
      </w:pPr>
      <w:r>
        <w:rPr>
          <w:color w:val="000000"/>
          <w:highlight w:val="none"/>
        </w:rPr>
        <w:t>委托代理人：</w:t>
      </w:r>
      <w:r>
        <w:rPr>
          <w:color w:val="000000"/>
          <w:highlight w:val="none"/>
          <w:u w:val="single"/>
        </w:rPr>
        <w:t xml:space="preserve">（签字）                           </w:t>
      </w:r>
    </w:p>
    <w:p>
      <w:pPr>
        <w:ind w:firstLine="3076" w:firstLineChars="1282"/>
        <w:rPr>
          <w:color w:val="000000"/>
          <w:highlight w:val="none"/>
        </w:rPr>
      </w:pPr>
    </w:p>
    <w:p>
      <w:pPr>
        <w:ind w:firstLine="3076" w:firstLineChars="1282"/>
        <w:rPr>
          <w:color w:val="000000"/>
          <w:highlight w:val="none"/>
        </w:rPr>
      </w:pPr>
    </w:p>
    <w:p>
      <w:pPr>
        <w:ind w:firstLine="4876" w:firstLineChars="2032"/>
        <w:rPr>
          <w:color w:val="000000"/>
          <w:highlight w:val="none"/>
        </w:rPr>
      </w:pPr>
      <w:r>
        <w:rPr>
          <w:color w:val="000000"/>
          <w:highlight w:val="none"/>
          <w:u w:val="single"/>
        </w:rPr>
        <w:t xml:space="preserve">       </w:t>
      </w:r>
      <w:r>
        <w:rPr>
          <w:color w:val="000000"/>
          <w:highlight w:val="none"/>
        </w:rPr>
        <w:t>年</w:t>
      </w:r>
      <w:r>
        <w:rPr>
          <w:color w:val="000000"/>
          <w:highlight w:val="none"/>
          <w:u w:val="single"/>
        </w:rPr>
        <w:t xml:space="preserve">       </w:t>
      </w:r>
      <w:r>
        <w:rPr>
          <w:color w:val="000000"/>
          <w:highlight w:val="none"/>
        </w:rPr>
        <w:t>月</w:t>
      </w:r>
      <w:r>
        <w:rPr>
          <w:color w:val="000000"/>
          <w:highlight w:val="none"/>
          <w:u w:val="single"/>
        </w:rPr>
        <w:t xml:space="preserve">       </w:t>
      </w:r>
      <w:r>
        <w:rPr>
          <w:color w:val="000000"/>
          <w:highlight w:val="none"/>
        </w:rPr>
        <w:t>日</w:t>
      </w:r>
    </w:p>
    <w:p>
      <w:pPr>
        <w:spacing w:line="400" w:lineRule="exact"/>
        <w:ind w:firstLine="480"/>
        <w:rPr>
          <w:color w:val="000000"/>
          <w:highlight w:val="none"/>
        </w:rPr>
      </w:pPr>
    </w:p>
    <w:p>
      <w:pPr>
        <w:spacing w:line="400" w:lineRule="exact"/>
        <w:ind w:firstLine="480"/>
        <w:rPr>
          <w:highlight w:val="none"/>
        </w:rPr>
      </w:pPr>
      <w:r>
        <w:rPr>
          <w:rFonts w:hint="eastAsia"/>
          <w:highlight w:val="none"/>
        </w:rPr>
        <w:t>注：如供应商法定代表人参加采购行为，只需附其身份证复印件。</w:t>
      </w:r>
    </w:p>
    <w:p>
      <w:pPr>
        <w:pStyle w:val="5"/>
        <w:spacing w:before="240"/>
        <w:rPr>
          <w:rFonts w:ascii="Times New Roman" w:hAnsi="Times New Roman"/>
          <w:highlight w:val="none"/>
        </w:rPr>
      </w:pPr>
      <w:bookmarkStart w:id="188" w:name="_Toc510370158"/>
      <w:bookmarkStart w:id="189" w:name="_Toc527560963"/>
      <w:r>
        <w:rPr>
          <w:rFonts w:ascii="Times New Roman" w:hAnsi="Times New Roman"/>
          <w:highlight w:val="none"/>
        </w:rPr>
        <w:br w:type="page"/>
      </w:r>
      <w:bookmarkStart w:id="190" w:name="_Toc5042"/>
      <w:bookmarkStart w:id="191" w:name="_Toc10487"/>
      <w:bookmarkStart w:id="192" w:name="_Toc22378"/>
      <w:r>
        <w:rPr>
          <w:rFonts w:hint="eastAsia" w:ascii="Times New Roman" w:hAnsi="Times New Roman"/>
          <w:highlight w:val="none"/>
        </w:rPr>
        <w:t>二、报价部分</w:t>
      </w:r>
      <w:bookmarkEnd w:id="188"/>
      <w:bookmarkEnd w:id="189"/>
      <w:bookmarkEnd w:id="190"/>
      <w:bookmarkEnd w:id="191"/>
      <w:bookmarkEnd w:id="192"/>
    </w:p>
    <w:p>
      <w:pPr>
        <w:ind w:firstLine="480"/>
        <w:rPr>
          <w:highlight w:val="none"/>
        </w:rPr>
      </w:pPr>
      <w:r>
        <w:rPr>
          <w:rFonts w:hint="eastAsia"/>
          <w:highlight w:val="none"/>
        </w:rPr>
        <w:t>1.报价说明</w:t>
      </w:r>
    </w:p>
    <w:p>
      <w:pPr>
        <w:ind w:firstLine="480"/>
        <w:rPr>
          <w:highlight w:val="none"/>
        </w:rPr>
      </w:pPr>
      <w:r>
        <w:rPr>
          <w:rFonts w:hint="eastAsia"/>
          <w:highlight w:val="none"/>
        </w:rPr>
        <w:t>1.1 本说明应与供应商须知、合同条款等文件一起参照阅读。</w:t>
      </w:r>
    </w:p>
    <w:p>
      <w:pPr>
        <w:ind w:firstLine="480"/>
        <w:rPr>
          <w:highlight w:val="none"/>
        </w:rPr>
      </w:pPr>
      <w:r>
        <w:rPr>
          <w:rFonts w:hint="eastAsia"/>
          <w:highlight w:val="none"/>
        </w:rPr>
        <w:t>1.2 除合同另有规定外，报价应包括供应商为完成本合同规定的工作所承担的全部费用，包括成本、税金、利润等，并考虑了应由供应商承担的义务、责任和风险所发生的费用。</w:t>
      </w:r>
    </w:p>
    <w:p>
      <w:pPr>
        <w:ind w:firstLine="480"/>
        <w:rPr>
          <w:highlight w:val="none"/>
        </w:rPr>
      </w:pPr>
      <w:bookmarkStart w:id="193" w:name="_Toc354089004"/>
      <w:r>
        <w:rPr>
          <w:rFonts w:hint="eastAsia"/>
          <w:highlight w:val="none"/>
        </w:rPr>
        <w:t>2</w:t>
      </w:r>
      <w:r>
        <w:rPr>
          <w:highlight w:val="none"/>
        </w:rPr>
        <w:t>.</w:t>
      </w:r>
      <w:r>
        <w:rPr>
          <w:rFonts w:hint="eastAsia"/>
          <w:highlight w:val="none"/>
        </w:rPr>
        <w:t>报价表</w:t>
      </w:r>
      <w:bookmarkEnd w:id="193"/>
    </w:p>
    <w:p>
      <w:pPr>
        <w:ind w:firstLine="480"/>
        <w:rPr>
          <w:highlight w:val="none"/>
        </w:rPr>
      </w:pPr>
      <w:r>
        <w:rPr>
          <w:rFonts w:hint="eastAsia"/>
          <w:highlight w:val="none"/>
        </w:rPr>
        <w:t>2.1报价汇总表（格式）</w:t>
      </w:r>
    </w:p>
    <w:p>
      <w:pPr>
        <w:pStyle w:val="67"/>
        <w:tabs>
          <w:tab w:val="left" w:pos="0"/>
          <w:tab w:val="left" w:pos="240"/>
          <w:tab w:val="left" w:pos="840"/>
          <w:tab w:val="left" w:pos="1080"/>
        </w:tabs>
        <w:spacing w:line="360" w:lineRule="auto"/>
        <w:ind w:firstLine="0" w:firstLineChars="0"/>
        <w:jc w:val="center"/>
        <w:rPr>
          <w:rFonts w:cs="Arial"/>
          <w:sz w:val="21"/>
          <w:szCs w:val="21"/>
          <w:highlight w:val="none"/>
        </w:rPr>
      </w:pPr>
      <w:r>
        <w:rPr>
          <w:rFonts w:hint="eastAsia"/>
          <w:b/>
          <w:szCs w:val="21"/>
          <w:highlight w:val="none"/>
        </w:rPr>
        <w:t>报价表</w:t>
      </w:r>
    </w:p>
    <w:p>
      <w:pPr>
        <w:ind w:firstLine="420"/>
        <w:jc w:val="right"/>
        <w:rPr>
          <w:b/>
          <w:szCs w:val="21"/>
          <w:highlight w:val="none"/>
          <w:u w:val="single"/>
        </w:rPr>
      </w:pPr>
      <w:r>
        <w:rPr>
          <w:rFonts w:hint="eastAsia" w:cs="Arial"/>
          <w:sz w:val="21"/>
          <w:szCs w:val="21"/>
          <w:highlight w:val="none"/>
        </w:rPr>
        <w:t>单位：人民币元</w:t>
      </w:r>
    </w:p>
    <w:tbl>
      <w:tblPr>
        <w:tblStyle w:val="29"/>
        <w:tblW w:w="901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54"/>
        <w:gridCol w:w="3906"/>
        <w:gridCol w:w="2087"/>
        <w:gridCol w:w="227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4" w:type="dxa"/>
            <w:vAlign w:val="center"/>
          </w:tcPr>
          <w:p>
            <w:pPr>
              <w:pStyle w:val="83"/>
              <w:rPr>
                <w:rFonts w:ascii="Times New Roman" w:hAnsi="Times New Roman"/>
                <w:highlight w:val="none"/>
              </w:rPr>
            </w:pPr>
            <w:r>
              <w:rPr>
                <w:rFonts w:hint="eastAsia" w:ascii="Times New Roman" w:hAnsi="Times New Roman"/>
                <w:highlight w:val="none"/>
              </w:rPr>
              <w:t>序号</w:t>
            </w:r>
          </w:p>
        </w:tc>
        <w:tc>
          <w:tcPr>
            <w:tcW w:w="3906" w:type="dxa"/>
            <w:vAlign w:val="center"/>
          </w:tcPr>
          <w:p>
            <w:pPr>
              <w:pStyle w:val="83"/>
              <w:jc w:val="center"/>
              <w:rPr>
                <w:rFonts w:ascii="Times New Roman" w:hAnsi="Times New Roman"/>
                <w:highlight w:val="none"/>
              </w:rPr>
            </w:pPr>
            <w:r>
              <w:rPr>
                <w:rFonts w:hint="eastAsia" w:ascii="Times New Roman" w:hAnsi="Times New Roman"/>
                <w:highlight w:val="none"/>
              </w:rPr>
              <w:t>项目</w:t>
            </w:r>
          </w:p>
        </w:tc>
        <w:tc>
          <w:tcPr>
            <w:tcW w:w="2087" w:type="dxa"/>
            <w:vAlign w:val="center"/>
          </w:tcPr>
          <w:p>
            <w:pPr>
              <w:pStyle w:val="83"/>
              <w:jc w:val="center"/>
              <w:rPr>
                <w:rFonts w:ascii="Times New Roman" w:hAnsi="Times New Roman"/>
                <w:highlight w:val="none"/>
              </w:rPr>
            </w:pPr>
            <w:r>
              <w:rPr>
                <w:rFonts w:hint="eastAsia" w:ascii="Times New Roman" w:hAnsi="Times New Roman"/>
                <w:highlight w:val="none"/>
              </w:rPr>
              <w:t>报价</w:t>
            </w:r>
          </w:p>
          <w:p>
            <w:pPr>
              <w:pStyle w:val="83"/>
              <w:jc w:val="center"/>
              <w:rPr>
                <w:rFonts w:ascii="Times New Roman" w:hAnsi="Times New Roman"/>
                <w:highlight w:val="none"/>
              </w:rPr>
            </w:pPr>
            <w:r>
              <w:rPr>
                <w:rFonts w:hint="eastAsia" w:ascii="Times New Roman" w:hAnsi="Times New Roman"/>
                <w:highlight w:val="none"/>
              </w:rPr>
              <w:t>（元）</w:t>
            </w:r>
          </w:p>
        </w:tc>
        <w:tc>
          <w:tcPr>
            <w:tcW w:w="2270" w:type="dxa"/>
            <w:vAlign w:val="center"/>
          </w:tcPr>
          <w:p>
            <w:pPr>
              <w:pStyle w:val="83"/>
              <w:jc w:val="center"/>
              <w:rPr>
                <w:rFonts w:ascii="Times New Roman" w:hAnsi="Times New Roman"/>
                <w:highlight w:val="none"/>
              </w:rPr>
            </w:pPr>
            <w:r>
              <w:rPr>
                <w:rFonts w:hint="eastAsia" w:ascii="Times New Roman" w:hAnsi="Times New Roman"/>
                <w:highlight w:val="none"/>
              </w:rPr>
              <w:t>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4" w:type="dxa"/>
            <w:vAlign w:val="center"/>
          </w:tcPr>
          <w:p>
            <w:pPr>
              <w:pStyle w:val="83"/>
              <w:jc w:val="center"/>
              <w:rPr>
                <w:rFonts w:ascii="Times New Roman" w:hAnsi="Times New Roman"/>
                <w:highlight w:val="none"/>
              </w:rPr>
            </w:pPr>
            <w:r>
              <w:rPr>
                <w:rFonts w:hint="eastAsia" w:ascii="Times New Roman" w:hAnsi="Times New Roman"/>
                <w:highlight w:val="none"/>
              </w:rPr>
              <w:t>1</w:t>
            </w:r>
          </w:p>
        </w:tc>
        <w:tc>
          <w:tcPr>
            <w:tcW w:w="3906" w:type="dxa"/>
            <w:vAlign w:val="center"/>
          </w:tcPr>
          <w:p>
            <w:pPr>
              <w:pStyle w:val="83"/>
              <w:jc w:val="center"/>
              <w:rPr>
                <w:rFonts w:ascii="Times New Roman" w:hAnsi="Times New Roman"/>
                <w:highlight w:val="none"/>
              </w:rPr>
            </w:pPr>
          </w:p>
        </w:tc>
        <w:tc>
          <w:tcPr>
            <w:tcW w:w="2087" w:type="dxa"/>
            <w:vAlign w:val="center"/>
          </w:tcPr>
          <w:p>
            <w:pPr>
              <w:pStyle w:val="83"/>
              <w:jc w:val="center"/>
              <w:rPr>
                <w:rFonts w:ascii="Times New Roman" w:hAnsi="Times New Roman"/>
                <w:highlight w:val="none"/>
              </w:rPr>
            </w:pPr>
          </w:p>
        </w:tc>
        <w:tc>
          <w:tcPr>
            <w:tcW w:w="2270" w:type="dxa"/>
            <w:vAlign w:val="center"/>
          </w:tcPr>
          <w:p>
            <w:pPr>
              <w:pStyle w:val="83"/>
              <w:jc w:val="center"/>
              <w:rPr>
                <w:rFonts w:ascii="Times New Roman" w:hAnsi="Times New Roman"/>
                <w:highlight w:val="none"/>
              </w:rPr>
            </w:pPr>
            <w:r>
              <w:rPr>
                <w:rFonts w:hint="eastAsia" w:ascii="Times New Roman" w:hAnsi="Times New Roman"/>
                <w:highlight w:val="none"/>
              </w:rPr>
              <w:t>报价为含税价</w:t>
            </w:r>
          </w:p>
          <w:p>
            <w:pPr>
              <w:pStyle w:val="83"/>
              <w:jc w:val="center"/>
              <w:rPr>
                <w:rFonts w:ascii="Times New Roman" w:hAnsi="Times New Roman"/>
                <w:highlight w:val="none"/>
              </w:rPr>
            </w:pPr>
            <w:r>
              <w:rPr>
                <w:rFonts w:hint="eastAsia" w:ascii="Times New Roman" w:hAnsi="Times New Roman"/>
                <w:highlight w:val="none"/>
              </w:rPr>
              <w:t>税率</w:t>
            </w:r>
            <w:r>
              <w:rPr>
                <w:rFonts w:hint="eastAsia" w:ascii="Times New Roman" w:hAnsi="Times New Roman"/>
                <w:highlight w:val="none"/>
                <w:u w:val="single"/>
              </w:rPr>
              <w:t xml:space="preserve">   </w:t>
            </w:r>
            <w:r>
              <w:rPr>
                <w:rFonts w:hint="eastAsia" w:ascii="Times New Roman" w:hAnsi="Times New Roman"/>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9017" w:type="dxa"/>
            <w:gridSpan w:val="4"/>
            <w:vAlign w:val="center"/>
          </w:tcPr>
          <w:p>
            <w:pPr>
              <w:ind w:firstLine="480"/>
              <w:jc w:val="left"/>
              <w:rPr>
                <w:highlight w:val="none"/>
                <w:u w:val="single"/>
              </w:rPr>
            </w:pPr>
            <w:r>
              <w:rPr>
                <w:rFonts w:hint="eastAsia"/>
                <w:highlight w:val="none"/>
              </w:rPr>
              <w:t>备注：报价含税费。</w:t>
            </w:r>
          </w:p>
          <w:p>
            <w:pPr>
              <w:pStyle w:val="83"/>
              <w:rPr>
                <w:rFonts w:ascii="Times New Roman" w:hAnsi="Times New Roman"/>
                <w:highlight w:val="none"/>
              </w:rPr>
            </w:pPr>
          </w:p>
        </w:tc>
      </w:tr>
    </w:tbl>
    <w:p>
      <w:pPr>
        <w:spacing w:line="360" w:lineRule="auto"/>
        <w:ind w:firstLine="480"/>
        <w:jc w:val="center"/>
        <w:rPr>
          <w:rFonts w:cs="Arial"/>
          <w:szCs w:val="21"/>
          <w:highlight w:val="none"/>
        </w:rPr>
      </w:pPr>
      <w:r>
        <w:rPr>
          <w:rFonts w:hint="eastAsia" w:cs="Arial"/>
          <w:szCs w:val="21"/>
          <w:highlight w:val="none"/>
        </w:rPr>
        <w:t xml:space="preserve">                        </w:t>
      </w:r>
    </w:p>
    <w:p>
      <w:pPr>
        <w:spacing w:line="360" w:lineRule="auto"/>
        <w:ind w:firstLine="480"/>
        <w:jc w:val="center"/>
        <w:rPr>
          <w:rFonts w:cs="Arial"/>
          <w:szCs w:val="21"/>
          <w:highlight w:val="none"/>
        </w:rPr>
      </w:pPr>
    </w:p>
    <w:p>
      <w:pPr>
        <w:wordWrap w:val="0"/>
        <w:spacing w:line="360" w:lineRule="auto"/>
        <w:ind w:firstLine="480"/>
        <w:jc w:val="right"/>
        <w:rPr>
          <w:rFonts w:cs="Arial"/>
          <w:szCs w:val="21"/>
          <w:highlight w:val="none"/>
          <w:u w:val="single"/>
        </w:rPr>
      </w:pPr>
      <w:r>
        <w:rPr>
          <w:rFonts w:hint="eastAsia" w:cs="Arial"/>
          <w:szCs w:val="21"/>
          <w:highlight w:val="none"/>
        </w:rPr>
        <w:t>供应商名称：</w:t>
      </w:r>
      <w:r>
        <w:rPr>
          <w:rFonts w:hint="eastAsia" w:cs="Arial"/>
          <w:szCs w:val="21"/>
          <w:highlight w:val="none"/>
          <w:u w:val="single"/>
        </w:rPr>
        <w:t xml:space="preserve"> </w:t>
      </w:r>
      <w:r>
        <w:rPr>
          <w:rFonts w:cs="Arial"/>
          <w:szCs w:val="21"/>
          <w:highlight w:val="none"/>
          <w:u w:val="single"/>
        </w:rPr>
        <w:t xml:space="preserve">  </w:t>
      </w:r>
      <w:r>
        <w:rPr>
          <w:rFonts w:hint="eastAsia" w:cs="Arial"/>
          <w:szCs w:val="21"/>
          <w:highlight w:val="none"/>
          <w:u w:val="single"/>
        </w:rPr>
        <w:t xml:space="preserve">（盖章） </w:t>
      </w:r>
      <w:r>
        <w:rPr>
          <w:rFonts w:cs="Arial"/>
          <w:szCs w:val="21"/>
          <w:highlight w:val="none"/>
          <w:u w:val="single"/>
        </w:rPr>
        <w:t xml:space="preserve">  </w:t>
      </w:r>
    </w:p>
    <w:p>
      <w:pPr>
        <w:spacing w:line="360" w:lineRule="auto"/>
        <w:ind w:firstLine="480"/>
        <w:jc w:val="right"/>
        <w:rPr>
          <w:rFonts w:cs="Arial"/>
          <w:szCs w:val="21"/>
          <w:highlight w:val="none"/>
        </w:rPr>
      </w:pPr>
      <w:r>
        <w:rPr>
          <w:rFonts w:hint="eastAsia" w:cs="Arial"/>
          <w:szCs w:val="21"/>
          <w:highlight w:val="none"/>
          <w:u w:val="single"/>
        </w:rPr>
        <w:t xml:space="preserve"> </w:t>
      </w:r>
      <w:r>
        <w:rPr>
          <w:rFonts w:cs="Arial"/>
          <w:szCs w:val="21"/>
          <w:highlight w:val="none"/>
          <w:u w:val="single"/>
        </w:rPr>
        <w:t xml:space="preserve">           </w:t>
      </w:r>
      <w:r>
        <w:rPr>
          <w:rFonts w:hint="eastAsia" w:cs="Arial"/>
          <w:szCs w:val="21"/>
          <w:highlight w:val="none"/>
        </w:rPr>
        <w:t>年</w:t>
      </w:r>
      <w:r>
        <w:rPr>
          <w:rFonts w:hint="eastAsia" w:cs="Arial"/>
          <w:szCs w:val="21"/>
          <w:highlight w:val="none"/>
          <w:u w:val="single"/>
        </w:rPr>
        <w:t xml:space="preserve">     </w:t>
      </w:r>
      <w:r>
        <w:rPr>
          <w:rFonts w:hint="eastAsia" w:cs="Arial"/>
          <w:szCs w:val="21"/>
          <w:highlight w:val="none"/>
        </w:rPr>
        <w:t>月</w:t>
      </w:r>
      <w:r>
        <w:rPr>
          <w:rFonts w:hint="eastAsia" w:cs="Arial"/>
          <w:szCs w:val="21"/>
          <w:highlight w:val="none"/>
          <w:u w:val="single"/>
        </w:rPr>
        <w:t xml:space="preserve">     </w:t>
      </w:r>
      <w:r>
        <w:rPr>
          <w:rFonts w:hint="eastAsia" w:cs="Arial"/>
          <w:szCs w:val="21"/>
          <w:highlight w:val="none"/>
        </w:rPr>
        <w:t>日</w:t>
      </w:r>
    </w:p>
    <w:p>
      <w:pPr>
        <w:spacing w:line="360" w:lineRule="auto"/>
        <w:ind w:firstLine="480"/>
        <w:rPr>
          <w:rFonts w:cs="Arial"/>
          <w:szCs w:val="21"/>
          <w:highlight w:val="none"/>
        </w:rPr>
      </w:pPr>
    </w:p>
    <w:p>
      <w:pPr>
        <w:spacing w:line="360" w:lineRule="auto"/>
        <w:ind w:firstLine="480"/>
        <w:rPr>
          <w:rFonts w:cs="Arial"/>
          <w:szCs w:val="21"/>
          <w:highlight w:val="none"/>
        </w:rPr>
      </w:pPr>
    </w:p>
    <w:p>
      <w:pPr>
        <w:ind w:firstLine="480"/>
        <w:rPr>
          <w:highlight w:val="none"/>
        </w:rPr>
      </w:pPr>
      <w:r>
        <w:rPr>
          <w:rFonts w:hint="eastAsia"/>
          <w:highlight w:val="none"/>
        </w:rPr>
        <w:t>2.2分项报价表</w:t>
      </w:r>
    </w:p>
    <w:p>
      <w:pPr>
        <w:ind w:firstLine="480"/>
        <w:rPr>
          <w:highlight w:val="none"/>
        </w:rPr>
      </w:pPr>
      <w:r>
        <w:rPr>
          <w:rFonts w:hint="eastAsia"/>
          <w:highlight w:val="none"/>
        </w:rPr>
        <w:t>格式自拟。</w:t>
      </w:r>
    </w:p>
    <w:p>
      <w:pPr>
        <w:pStyle w:val="5"/>
        <w:spacing w:before="240"/>
        <w:rPr>
          <w:rFonts w:hint="eastAsia" w:ascii="Times New Roman" w:hAnsi="Times New Roman" w:eastAsia="黑体"/>
          <w:highlight w:val="none"/>
          <w:lang w:eastAsia="zh-CN"/>
        </w:rPr>
      </w:pPr>
      <w:r>
        <w:rPr>
          <w:rFonts w:ascii="Times New Roman" w:hAnsi="Times New Roman"/>
          <w:highlight w:val="none"/>
        </w:rPr>
        <w:br w:type="page"/>
      </w:r>
      <w:bookmarkStart w:id="194" w:name="_Toc8770"/>
      <w:bookmarkStart w:id="195" w:name="_Toc24879"/>
      <w:bookmarkStart w:id="196" w:name="_Toc23990"/>
      <w:bookmarkStart w:id="197" w:name="_Toc527560964"/>
      <w:r>
        <w:rPr>
          <w:rFonts w:hint="eastAsia" w:ascii="Times New Roman" w:hAnsi="Times New Roman"/>
          <w:highlight w:val="none"/>
        </w:rPr>
        <w:t>三、商务部分</w:t>
      </w:r>
      <w:bookmarkEnd w:id="194"/>
      <w:r>
        <w:rPr>
          <w:rFonts w:hint="eastAsia" w:ascii="Times New Roman" w:hAnsi="Times New Roman"/>
          <w:highlight w:val="none"/>
          <w:lang w:eastAsia="zh-CN"/>
        </w:rPr>
        <w:t>（</w:t>
      </w:r>
      <w:r>
        <w:rPr>
          <w:rFonts w:hint="eastAsia" w:ascii="Times New Roman" w:hAnsi="Times New Roman"/>
          <w:highlight w:val="none"/>
          <w:lang w:val="en-US" w:eastAsia="zh-CN"/>
        </w:rPr>
        <w:t>工作团队及业绩</w:t>
      </w:r>
      <w:r>
        <w:rPr>
          <w:rFonts w:hint="eastAsia" w:ascii="Times New Roman" w:hAnsi="Times New Roman"/>
          <w:highlight w:val="none"/>
          <w:lang w:eastAsia="zh-CN"/>
        </w:rPr>
        <w:t>）</w:t>
      </w:r>
      <w:bookmarkEnd w:id="195"/>
      <w:bookmarkEnd w:id="196"/>
    </w:p>
    <w:bookmarkEnd w:id="197"/>
    <w:p>
      <w:pPr>
        <w:ind w:firstLine="480"/>
        <w:rPr>
          <w:rFonts w:cs="Arial"/>
          <w:color w:val="000000"/>
          <w:szCs w:val="21"/>
          <w:highlight w:val="none"/>
        </w:rPr>
      </w:pPr>
      <w:r>
        <w:rPr>
          <w:rFonts w:hint="eastAsia" w:cs="Arial"/>
          <w:color w:val="000000"/>
          <w:szCs w:val="21"/>
          <w:highlight w:val="none"/>
          <w:lang w:val="en-US" w:eastAsia="zh-CN"/>
        </w:rPr>
        <w:t>报价人业绩应附</w:t>
      </w:r>
      <w:r>
        <w:rPr>
          <w:rFonts w:cs="Arial"/>
          <w:color w:val="000000"/>
          <w:szCs w:val="21"/>
          <w:highlight w:val="none"/>
        </w:rPr>
        <w:t>企业法人营业执照副本、资质证书、</w:t>
      </w:r>
      <w:r>
        <w:rPr>
          <w:rFonts w:hint="eastAsia" w:cs="Arial"/>
          <w:color w:val="000000"/>
          <w:szCs w:val="21"/>
          <w:highlight w:val="none"/>
        </w:rPr>
        <w:t>类似业绩合同扫描件及供应商认为需要提供或询价文件要求提供的其他</w:t>
      </w:r>
      <w:r>
        <w:rPr>
          <w:rFonts w:cs="Arial"/>
          <w:color w:val="000000"/>
          <w:szCs w:val="21"/>
          <w:highlight w:val="none"/>
        </w:rPr>
        <w:t>资料影印件。</w:t>
      </w:r>
    </w:p>
    <w:p>
      <w:pPr>
        <w:ind w:firstLine="480"/>
        <w:rPr>
          <w:rFonts w:hint="eastAsia" w:eastAsia="宋体"/>
          <w:lang w:eastAsia="zh-CN"/>
        </w:rPr>
      </w:pPr>
      <w:r>
        <w:rPr>
          <w:rFonts w:hint="eastAsia"/>
        </w:rPr>
        <w:t>报价人的项目团队中</w:t>
      </w:r>
      <w:r>
        <w:rPr>
          <w:rFonts w:hint="eastAsia"/>
          <w:lang w:val="en-US" w:eastAsia="zh-CN"/>
        </w:rPr>
        <w:t>应至少包含项目负责人及核心团队成员</w:t>
      </w:r>
      <w:r>
        <w:rPr>
          <w:rFonts w:hint="eastAsia"/>
        </w:rPr>
        <w:t>，</w:t>
      </w:r>
      <w:r>
        <w:rPr>
          <w:rFonts w:hint="eastAsia"/>
          <w:lang w:val="en-US" w:eastAsia="zh-CN"/>
        </w:rPr>
        <w:t>项目负责人及核心团队成员合计最多</w:t>
      </w:r>
      <w:r>
        <w:rPr>
          <w:rFonts w:hint="eastAsia"/>
        </w:rPr>
        <w:t>不得超过</w:t>
      </w:r>
      <w:r>
        <w:rPr>
          <w:rFonts w:hint="eastAsia"/>
          <w:lang w:val="en-US" w:eastAsia="zh-CN"/>
        </w:rPr>
        <w:t>5</w:t>
      </w:r>
      <w:r>
        <w:rPr>
          <w:rFonts w:hint="eastAsia"/>
        </w:rPr>
        <w:t>人</w:t>
      </w:r>
      <w:r>
        <w:rPr>
          <w:rFonts w:hint="eastAsia"/>
          <w:lang w:eastAsia="zh-CN"/>
        </w:rPr>
        <w:t>。</w:t>
      </w:r>
    </w:p>
    <w:p>
      <w:pPr>
        <w:pStyle w:val="2"/>
      </w:pPr>
    </w:p>
    <w:p>
      <w:pPr>
        <w:widowControl/>
        <w:tabs>
          <w:tab w:val="left" w:pos="3846"/>
          <w:tab w:val="left" w:pos="5376"/>
          <w:tab w:val="left" w:pos="7077"/>
          <w:tab w:val="left" w:pos="8636"/>
        </w:tabs>
        <w:ind w:firstLine="4815" w:firstLineChars="2398"/>
        <w:rPr>
          <w:rFonts w:cs="宋体"/>
          <w:b/>
          <w:color w:val="000000"/>
          <w:kern w:val="0"/>
          <w:sz w:val="20"/>
          <w:highlight w:val="none"/>
        </w:rPr>
      </w:pPr>
    </w:p>
    <w:p>
      <w:pPr>
        <w:widowControl/>
        <w:tabs>
          <w:tab w:val="left" w:pos="3846"/>
          <w:tab w:val="left" w:pos="5376"/>
          <w:tab w:val="left" w:pos="7077"/>
          <w:tab w:val="left" w:pos="8636"/>
        </w:tabs>
        <w:ind w:firstLine="4435" w:firstLineChars="2008"/>
        <w:rPr>
          <w:rFonts w:cs="宋体"/>
          <w:b/>
          <w:color w:val="000000"/>
          <w:kern w:val="0"/>
          <w:sz w:val="22"/>
          <w:highlight w:val="none"/>
        </w:rPr>
      </w:pPr>
      <w:r>
        <w:rPr>
          <w:rFonts w:cs="宋体"/>
          <w:b/>
          <w:color w:val="000000"/>
          <w:kern w:val="0"/>
          <w:sz w:val="22"/>
          <w:highlight w:val="none"/>
        </w:rPr>
        <w:tab/>
      </w:r>
      <w:r>
        <w:rPr>
          <w:rFonts w:cs="宋体"/>
          <w:b/>
          <w:color w:val="000000"/>
          <w:kern w:val="0"/>
          <w:sz w:val="22"/>
          <w:highlight w:val="none"/>
        </w:rPr>
        <w:tab/>
      </w:r>
      <w:r>
        <w:rPr>
          <w:rFonts w:cs="宋体"/>
          <w:b/>
          <w:color w:val="000000"/>
          <w:kern w:val="0"/>
          <w:sz w:val="22"/>
          <w:highlight w:val="none"/>
        </w:rPr>
        <w:tab/>
      </w:r>
    </w:p>
    <w:p>
      <w:pPr>
        <w:pStyle w:val="5"/>
        <w:spacing w:before="240"/>
        <w:rPr>
          <w:rFonts w:ascii="Times New Roman" w:hAnsi="Times New Roman"/>
          <w:highlight w:val="none"/>
        </w:rPr>
      </w:pPr>
      <w:r>
        <w:rPr>
          <w:rFonts w:ascii="Times New Roman" w:hAnsi="Times New Roman" w:cs="宋体"/>
          <w:b/>
          <w:color w:val="000000"/>
          <w:sz w:val="22"/>
          <w:highlight w:val="none"/>
        </w:rPr>
        <w:br w:type="page"/>
      </w:r>
      <w:bookmarkStart w:id="198" w:name="_Toc527560965"/>
      <w:bookmarkStart w:id="199" w:name="_Toc23354"/>
      <w:bookmarkStart w:id="200" w:name="_Toc11216"/>
      <w:bookmarkStart w:id="201" w:name="_Toc6808"/>
      <w:r>
        <w:rPr>
          <w:rFonts w:hint="eastAsia" w:ascii="Times New Roman" w:hAnsi="Times New Roman"/>
          <w:highlight w:val="none"/>
        </w:rPr>
        <w:t>四、技术部分</w:t>
      </w:r>
      <w:bookmarkEnd w:id="198"/>
      <w:bookmarkEnd w:id="199"/>
      <w:r>
        <w:rPr>
          <w:rFonts w:hint="eastAsia" w:ascii="Times New Roman" w:hAnsi="Times New Roman"/>
          <w:highlight w:val="none"/>
        </w:rPr>
        <w:t>（工作方案、专项服务建议及商务响应）</w:t>
      </w:r>
      <w:bookmarkEnd w:id="200"/>
      <w:bookmarkEnd w:id="201"/>
    </w:p>
    <w:p>
      <w:pPr>
        <w:ind w:firstLine="480"/>
        <w:rPr>
          <w:highlight w:val="none"/>
        </w:rPr>
      </w:pPr>
      <w:r>
        <w:rPr>
          <w:rFonts w:hint="eastAsia"/>
          <w:highlight w:val="none"/>
        </w:rPr>
        <w:t>供应商根据采购需求自行编制，格式自拟。</w:t>
      </w:r>
    </w:p>
    <w:p>
      <w:pPr>
        <w:ind w:firstLine="480"/>
        <w:rPr>
          <w:highlight w:val="none"/>
        </w:rPr>
      </w:pPr>
      <w:r>
        <w:rPr>
          <w:rFonts w:hint="eastAsia"/>
          <w:highlight w:val="none"/>
        </w:rPr>
        <w:br w:type="page"/>
      </w:r>
    </w:p>
    <w:p>
      <w:pPr>
        <w:pStyle w:val="5"/>
        <w:spacing w:before="240"/>
        <w:rPr>
          <w:highlight w:val="none"/>
        </w:rPr>
      </w:pPr>
      <w:bookmarkStart w:id="202" w:name="_Toc17095"/>
      <w:bookmarkStart w:id="203" w:name="_Toc25548"/>
      <w:bookmarkStart w:id="204" w:name="_Toc133"/>
      <w:bookmarkStart w:id="205" w:name="_Toc23192"/>
      <w:r>
        <w:rPr>
          <w:rFonts w:hint="eastAsia"/>
          <w:highlight w:val="none"/>
        </w:rPr>
        <w:t>五、偏离表</w:t>
      </w:r>
      <w:bookmarkEnd w:id="202"/>
      <w:bookmarkEnd w:id="203"/>
      <w:bookmarkEnd w:id="204"/>
      <w:bookmarkEnd w:id="205"/>
    </w:p>
    <w:tbl>
      <w:tblPr>
        <w:tblStyle w:val="29"/>
        <w:tblW w:w="9590" w:type="dxa"/>
        <w:tblInd w:w="0" w:type="dxa"/>
        <w:tblLayout w:type="fixed"/>
        <w:tblCellMar>
          <w:top w:w="0" w:type="dxa"/>
          <w:left w:w="108" w:type="dxa"/>
          <w:bottom w:w="0" w:type="dxa"/>
          <w:right w:w="108" w:type="dxa"/>
        </w:tblCellMar>
      </w:tblPr>
      <w:tblGrid>
        <w:gridCol w:w="1101"/>
        <w:gridCol w:w="3391"/>
        <w:gridCol w:w="3724"/>
        <w:gridCol w:w="1374"/>
      </w:tblGrid>
      <w:tr>
        <w:tblPrEx>
          <w:tblCellMar>
            <w:top w:w="0" w:type="dxa"/>
            <w:left w:w="108" w:type="dxa"/>
            <w:bottom w:w="0" w:type="dxa"/>
            <w:right w:w="108" w:type="dxa"/>
          </w:tblCellMar>
        </w:tblPrEx>
        <w:trPr>
          <w:trHeight w:val="510" w:hRule="atLeast"/>
        </w:trPr>
        <w:tc>
          <w:tcPr>
            <w:tcW w:w="1101" w:type="dxa"/>
            <w:tcBorders>
              <w:top w:val="single" w:color="auto" w:sz="4" w:space="0"/>
              <w:left w:val="single" w:color="auto" w:sz="4" w:space="0"/>
              <w:bottom w:val="single" w:color="000000" w:sz="4" w:space="0"/>
              <w:right w:val="single" w:color="auto" w:sz="4" w:space="0"/>
            </w:tcBorders>
            <w:vAlign w:val="center"/>
          </w:tcPr>
          <w:p>
            <w:pPr>
              <w:pStyle w:val="83"/>
              <w:jc w:val="center"/>
              <w:rPr>
                <w:sz w:val="24"/>
                <w:szCs w:val="24"/>
                <w:highlight w:val="none"/>
              </w:rPr>
            </w:pPr>
            <w:r>
              <w:rPr>
                <w:rFonts w:hint="eastAsia"/>
                <w:sz w:val="24"/>
                <w:szCs w:val="24"/>
                <w:highlight w:val="none"/>
              </w:rPr>
              <w:t>序号</w:t>
            </w:r>
          </w:p>
        </w:tc>
        <w:tc>
          <w:tcPr>
            <w:tcW w:w="3391" w:type="dxa"/>
            <w:tcBorders>
              <w:top w:val="single" w:color="auto" w:sz="4" w:space="0"/>
              <w:left w:val="nil"/>
              <w:bottom w:val="single" w:color="auto" w:sz="4" w:space="0"/>
              <w:right w:val="single" w:color="000000" w:sz="4" w:space="0"/>
            </w:tcBorders>
            <w:vAlign w:val="center"/>
          </w:tcPr>
          <w:p>
            <w:pPr>
              <w:pStyle w:val="83"/>
              <w:jc w:val="center"/>
              <w:rPr>
                <w:sz w:val="24"/>
                <w:szCs w:val="24"/>
                <w:highlight w:val="none"/>
              </w:rPr>
            </w:pPr>
            <w:r>
              <w:rPr>
                <w:rFonts w:hint="eastAsia"/>
                <w:sz w:val="24"/>
                <w:szCs w:val="24"/>
                <w:highlight w:val="none"/>
              </w:rPr>
              <w:t>询价文件（条目及简要内容）</w:t>
            </w:r>
          </w:p>
        </w:tc>
        <w:tc>
          <w:tcPr>
            <w:tcW w:w="3724" w:type="dxa"/>
            <w:tcBorders>
              <w:top w:val="single" w:color="auto" w:sz="4" w:space="0"/>
              <w:left w:val="nil"/>
              <w:bottom w:val="single" w:color="auto" w:sz="4" w:space="0"/>
              <w:right w:val="single" w:color="000000" w:sz="4" w:space="0"/>
            </w:tcBorders>
            <w:vAlign w:val="center"/>
          </w:tcPr>
          <w:p>
            <w:pPr>
              <w:pStyle w:val="83"/>
              <w:jc w:val="center"/>
              <w:rPr>
                <w:sz w:val="24"/>
                <w:szCs w:val="24"/>
                <w:highlight w:val="none"/>
              </w:rPr>
            </w:pPr>
            <w:r>
              <w:rPr>
                <w:rFonts w:hint="eastAsia"/>
                <w:sz w:val="24"/>
                <w:szCs w:val="24"/>
                <w:highlight w:val="none"/>
              </w:rPr>
              <w:t>报价文件（条目及简要内容）</w:t>
            </w:r>
          </w:p>
        </w:tc>
        <w:tc>
          <w:tcPr>
            <w:tcW w:w="1374" w:type="dxa"/>
            <w:tcBorders>
              <w:top w:val="single" w:color="auto" w:sz="4" w:space="0"/>
              <w:left w:val="nil"/>
              <w:bottom w:val="single" w:color="auto" w:sz="4" w:space="0"/>
              <w:right w:val="single" w:color="auto" w:sz="4" w:space="0"/>
            </w:tcBorders>
            <w:noWrap/>
            <w:vAlign w:val="center"/>
          </w:tcPr>
          <w:p>
            <w:pPr>
              <w:pStyle w:val="83"/>
              <w:jc w:val="center"/>
              <w:rPr>
                <w:sz w:val="24"/>
                <w:szCs w:val="24"/>
                <w:highlight w:val="none"/>
              </w:rPr>
            </w:pPr>
            <w:r>
              <w:rPr>
                <w:rFonts w:hint="eastAsia"/>
                <w:sz w:val="24"/>
                <w:szCs w:val="24"/>
                <w:highlight w:val="none"/>
              </w:rPr>
              <w:t>备注</w:t>
            </w:r>
          </w:p>
        </w:tc>
      </w:tr>
      <w:tr>
        <w:tblPrEx>
          <w:tblCellMar>
            <w:top w:w="0" w:type="dxa"/>
            <w:left w:w="108" w:type="dxa"/>
            <w:bottom w:w="0" w:type="dxa"/>
            <w:right w:w="108" w:type="dxa"/>
          </w:tblCellMar>
        </w:tblPrEx>
        <w:trPr>
          <w:trHeight w:val="510" w:hRule="atLeast"/>
        </w:trPr>
        <w:tc>
          <w:tcPr>
            <w:tcW w:w="1101" w:type="dxa"/>
            <w:tcBorders>
              <w:top w:val="single" w:color="auto" w:sz="4" w:space="0"/>
              <w:left w:val="single" w:color="auto" w:sz="4" w:space="0"/>
              <w:bottom w:val="single" w:color="000000" w:sz="4" w:space="0"/>
              <w:right w:val="single" w:color="auto" w:sz="4" w:space="0"/>
            </w:tcBorders>
            <w:vAlign w:val="center"/>
          </w:tcPr>
          <w:p>
            <w:pPr>
              <w:pStyle w:val="83"/>
              <w:jc w:val="center"/>
              <w:rPr>
                <w:rFonts w:ascii="Times New Roman" w:hAnsi="Times New Roman"/>
                <w:sz w:val="24"/>
                <w:szCs w:val="24"/>
                <w:highlight w:val="none"/>
              </w:rPr>
            </w:pPr>
            <w:r>
              <w:rPr>
                <w:rFonts w:ascii="Times New Roman" w:hAnsi="Times New Roman"/>
                <w:sz w:val="24"/>
                <w:szCs w:val="24"/>
                <w:highlight w:val="none"/>
              </w:rPr>
              <w:t>1</w:t>
            </w:r>
          </w:p>
        </w:tc>
        <w:tc>
          <w:tcPr>
            <w:tcW w:w="3391" w:type="dxa"/>
            <w:tcBorders>
              <w:top w:val="single" w:color="auto" w:sz="4" w:space="0"/>
              <w:left w:val="nil"/>
              <w:bottom w:val="single" w:color="auto" w:sz="4" w:space="0"/>
              <w:right w:val="single" w:color="000000" w:sz="4" w:space="0"/>
            </w:tcBorders>
            <w:vAlign w:val="center"/>
          </w:tcPr>
          <w:p>
            <w:pPr>
              <w:pStyle w:val="83"/>
              <w:jc w:val="center"/>
              <w:rPr>
                <w:sz w:val="24"/>
                <w:szCs w:val="24"/>
                <w:highlight w:val="none"/>
              </w:rPr>
            </w:pPr>
          </w:p>
        </w:tc>
        <w:tc>
          <w:tcPr>
            <w:tcW w:w="3724" w:type="dxa"/>
            <w:tcBorders>
              <w:top w:val="single" w:color="auto" w:sz="4" w:space="0"/>
              <w:left w:val="nil"/>
              <w:bottom w:val="single" w:color="auto" w:sz="4" w:space="0"/>
              <w:right w:val="single" w:color="000000" w:sz="4" w:space="0"/>
            </w:tcBorders>
            <w:vAlign w:val="center"/>
          </w:tcPr>
          <w:p>
            <w:pPr>
              <w:pStyle w:val="83"/>
              <w:jc w:val="center"/>
              <w:rPr>
                <w:sz w:val="24"/>
                <w:szCs w:val="24"/>
                <w:highlight w:val="none"/>
              </w:rPr>
            </w:pPr>
          </w:p>
        </w:tc>
        <w:tc>
          <w:tcPr>
            <w:tcW w:w="1374" w:type="dxa"/>
            <w:vMerge w:val="restart"/>
            <w:tcBorders>
              <w:top w:val="nil"/>
              <w:left w:val="single" w:color="auto" w:sz="4" w:space="0"/>
              <w:bottom w:val="single" w:color="000000" w:sz="4" w:space="0"/>
              <w:right w:val="single" w:color="auto" w:sz="4" w:space="0"/>
            </w:tcBorders>
            <w:noWrap/>
            <w:vAlign w:val="center"/>
          </w:tcPr>
          <w:p>
            <w:pPr>
              <w:pStyle w:val="83"/>
              <w:jc w:val="center"/>
              <w:rPr>
                <w:sz w:val="24"/>
                <w:szCs w:val="24"/>
                <w:highlight w:val="none"/>
              </w:rPr>
            </w:pPr>
            <w:r>
              <w:rPr>
                <w:rFonts w:hint="eastAsia"/>
                <w:sz w:val="24"/>
                <w:szCs w:val="24"/>
                <w:highlight w:val="none"/>
              </w:rPr>
              <w:t>如无偏差填写“无”；如有偏差，须如实填写。</w:t>
            </w:r>
          </w:p>
        </w:tc>
      </w:tr>
      <w:tr>
        <w:tblPrEx>
          <w:tblCellMar>
            <w:top w:w="0" w:type="dxa"/>
            <w:left w:w="108" w:type="dxa"/>
            <w:bottom w:w="0" w:type="dxa"/>
            <w:right w:w="108" w:type="dxa"/>
          </w:tblCellMar>
        </w:tblPrEx>
        <w:trPr>
          <w:trHeight w:val="510" w:hRule="atLeast"/>
        </w:trPr>
        <w:tc>
          <w:tcPr>
            <w:tcW w:w="1101" w:type="dxa"/>
            <w:tcBorders>
              <w:top w:val="single" w:color="auto" w:sz="4" w:space="0"/>
              <w:left w:val="single" w:color="auto" w:sz="4" w:space="0"/>
              <w:bottom w:val="single" w:color="000000" w:sz="4" w:space="0"/>
              <w:right w:val="single" w:color="auto" w:sz="4" w:space="0"/>
            </w:tcBorders>
            <w:vAlign w:val="center"/>
          </w:tcPr>
          <w:p>
            <w:pPr>
              <w:pStyle w:val="83"/>
              <w:jc w:val="center"/>
              <w:rPr>
                <w:rFonts w:ascii="Times New Roman" w:hAnsi="Times New Roman"/>
                <w:sz w:val="24"/>
                <w:szCs w:val="24"/>
                <w:highlight w:val="none"/>
              </w:rPr>
            </w:pPr>
            <w:r>
              <w:rPr>
                <w:rFonts w:ascii="Times New Roman" w:hAnsi="Times New Roman"/>
                <w:sz w:val="24"/>
                <w:szCs w:val="24"/>
                <w:highlight w:val="none"/>
              </w:rPr>
              <w:t>2</w:t>
            </w:r>
          </w:p>
        </w:tc>
        <w:tc>
          <w:tcPr>
            <w:tcW w:w="3391" w:type="dxa"/>
            <w:tcBorders>
              <w:top w:val="single" w:color="auto" w:sz="4" w:space="0"/>
              <w:left w:val="nil"/>
              <w:bottom w:val="single" w:color="auto" w:sz="4" w:space="0"/>
              <w:right w:val="single" w:color="000000" w:sz="4" w:space="0"/>
            </w:tcBorders>
            <w:vAlign w:val="center"/>
          </w:tcPr>
          <w:p>
            <w:pPr>
              <w:pStyle w:val="83"/>
              <w:jc w:val="center"/>
              <w:rPr>
                <w:sz w:val="24"/>
                <w:szCs w:val="24"/>
                <w:highlight w:val="none"/>
              </w:rPr>
            </w:pPr>
          </w:p>
        </w:tc>
        <w:tc>
          <w:tcPr>
            <w:tcW w:w="3724" w:type="dxa"/>
            <w:tcBorders>
              <w:top w:val="single" w:color="auto" w:sz="4" w:space="0"/>
              <w:left w:val="nil"/>
              <w:bottom w:val="single" w:color="auto" w:sz="4" w:space="0"/>
              <w:right w:val="single" w:color="000000" w:sz="4" w:space="0"/>
            </w:tcBorders>
            <w:vAlign w:val="center"/>
          </w:tcPr>
          <w:p>
            <w:pPr>
              <w:pStyle w:val="83"/>
              <w:jc w:val="center"/>
              <w:rPr>
                <w:sz w:val="24"/>
                <w:szCs w:val="24"/>
                <w:highlight w:val="none"/>
              </w:rPr>
            </w:pPr>
          </w:p>
        </w:tc>
        <w:tc>
          <w:tcPr>
            <w:tcW w:w="1374" w:type="dxa"/>
            <w:vMerge w:val="continue"/>
            <w:tcBorders>
              <w:top w:val="nil"/>
              <w:left w:val="single" w:color="auto" w:sz="4" w:space="0"/>
              <w:bottom w:val="single" w:color="000000" w:sz="4" w:space="0"/>
              <w:right w:val="single" w:color="auto" w:sz="4" w:space="0"/>
            </w:tcBorders>
            <w:vAlign w:val="center"/>
          </w:tcPr>
          <w:p>
            <w:pPr>
              <w:pStyle w:val="83"/>
              <w:jc w:val="center"/>
              <w:rPr>
                <w:sz w:val="24"/>
                <w:szCs w:val="24"/>
                <w:highlight w:val="none"/>
              </w:rPr>
            </w:pPr>
          </w:p>
        </w:tc>
      </w:tr>
      <w:tr>
        <w:tblPrEx>
          <w:tblCellMar>
            <w:top w:w="0" w:type="dxa"/>
            <w:left w:w="108" w:type="dxa"/>
            <w:bottom w:w="0" w:type="dxa"/>
            <w:right w:w="108" w:type="dxa"/>
          </w:tblCellMar>
        </w:tblPrEx>
        <w:trPr>
          <w:trHeight w:val="510" w:hRule="atLeast"/>
        </w:trPr>
        <w:tc>
          <w:tcPr>
            <w:tcW w:w="1101" w:type="dxa"/>
            <w:tcBorders>
              <w:top w:val="single" w:color="auto" w:sz="4" w:space="0"/>
              <w:left w:val="single" w:color="auto" w:sz="4" w:space="0"/>
              <w:bottom w:val="single" w:color="000000" w:sz="4" w:space="0"/>
              <w:right w:val="single" w:color="auto" w:sz="4" w:space="0"/>
            </w:tcBorders>
            <w:vAlign w:val="center"/>
          </w:tcPr>
          <w:p>
            <w:pPr>
              <w:pStyle w:val="83"/>
              <w:jc w:val="center"/>
              <w:rPr>
                <w:rFonts w:ascii="Times New Roman" w:hAnsi="Times New Roman"/>
                <w:sz w:val="24"/>
                <w:szCs w:val="24"/>
                <w:highlight w:val="none"/>
              </w:rPr>
            </w:pPr>
            <w:r>
              <w:rPr>
                <w:rFonts w:ascii="Times New Roman" w:hAnsi="Times New Roman"/>
                <w:sz w:val="24"/>
                <w:szCs w:val="24"/>
                <w:highlight w:val="none"/>
              </w:rPr>
              <w:t>3</w:t>
            </w:r>
          </w:p>
        </w:tc>
        <w:tc>
          <w:tcPr>
            <w:tcW w:w="3391" w:type="dxa"/>
            <w:tcBorders>
              <w:top w:val="single" w:color="auto" w:sz="4" w:space="0"/>
              <w:left w:val="nil"/>
              <w:bottom w:val="single" w:color="auto" w:sz="4" w:space="0"/>
              <w:right w:val="single" w:color="000000" w:sz="4" w:space="0"/>
            </w:tcBorders>
            <w:vAlign w:val="center"/>
          </w:tcPr>
          <w:p>
            <w:pPr>
              <w:pStyle w:val="83"/>
              <w:jc w:val="center"/>
              <w:rPr>
                <w:sz w:val="24"/>
                <w:szCs w:val="24"/>
                <w:highlight w:val="none"/>
              </w:rPr>
            </w:pPr>
          </w:p>
        </w:tc>
        <w:tc>
          <w:tcPr>
            <w:tcW w:w="3724" w:type="dxa"/>
            <w:tcBorders>
              <w:top w:val="single" w:color="auto" w:sz="4" w:space="0"/>
              <w:left w:val="nil"/>
              <w:bottom w:val="single" w:color="auto" w:sz="4" w:space="0"/>
              <w:right w:val="single" w:color="000000" w:sz="4" w:space="0"/>
            </w:tcBorders>
            <w:vAlign w:val="center"/>
          </w:tcPr>
          <w:p>
            <w:pPr>
              <w:pStyle w:val="83"/>
              <w:jc w:val="center"/>
              <w:rPr>
                <w:sz w:val="24"/>
                <w:szCs w:val="24"/>
                <w:highlight w:val="none"/>
              </w:rPr>
            </w:pPr>
          </w:p>
        </w:tc>
        <w:tc>
          <w:tcPr>
            <w:tcW w:w="1374" w:type="dxa"/>
            <w:vMerge w:val="continue"/>
            <w:tcBorders>
              <w:top w:val="nil"/>
              <w:left w:val="single" w:color="auto" w:sz="4" w:space="0"/>
              <w:bottom w:val="single" w:color="000000" w:sz="4" w:space="0"/>
              <w:right w:val="single" w:color="auto" w:sz="4" w:space="0"/>
            </w:tcBorders>
            <w:vAlign w:val="center"/>
          </w:tcPr>
          <w:p>
            <w:pPr>
              <w:pStyle w:val="83"/>
              <w:jc w:val="center"/>
              <w:rPr>
                <w:sz w:val="24"/>
                <w:szCs w:val="24"/>
                <w:highlight w:val="none"/>
              </w:rPr>
            </w:pPr>
          </w:p>
        </w:tc>
      </w:tr>
      <w:tr>
        <w:tblPrEx>
          <w:tblCellMar>
            <w:top w:w="0" w:type="dxa"/>
            <w:left w:w="108" w:type="dxa"/>
            <w:bottom w:w="0" w:type="dxa"/>
            <w:right w:w="108" w:type="dxa"/>
          </w:tblCellMar>
        </w:tblPrEx>
        <w:trPr>
          <w:trHeight w:val="510" w:hRule="atLeast"/>
        </w:trPr>
        <w:tc>
          <w:tcPr>
            <w:tcW w:w="1101" w:type="dxa"/>
            <w:tcBorders>
              <w:top w:val="single" w:color="auto" w:sz="4" w:space="0"/>
              <w:left w:val="single" w:color="auto" w:sz="4" w:space="0"/>
              <w:bottom w:val="single" w:color="000000" w:sz="4" w:space="0"/>
              <w:right w:val="single" w:color="auto" w:sz="4" w:space="0"/>
            </w:tcBorders>
            <w:vAlign w:val="center"/>
          </w:tcPr>
          <w:p>
            <w:pPr>
              <w:pStyle w:val="83"/>
              <w:jc w:val="center"/>
              <w:rPr>
                <w:rFonts w:ascii="Times New Roman" w:hAnsi="Times New Roman"/>
                <w:sz w:val="24"/>
                <w:szCs w:val="24"/>
                <w:highlight w:val="none"/>
              </w:rPr>
            </w:pPr>
            <w:r>
              <w:rPr>
                <w:rFonts w:hint="eastAsia" w:ascii="Times New Roman" w:hAnsi="Times New Roman"/>
                <w:sz w:val="24"/>
                <w:szCs w:val="24"/>
                <w:highlight w:val="none"/>
              </w:rPr>
              <w:t>...</w:t>
            </w:r>
          </w:p>
        </w:tc>
        <w:tc>
          <w:tcPr>
            <w:tcW w:w="3391" w:type="dxa"/>
            <w:tcBorders>
              <w:top w:val="single" w:color="auto" w:sz="4" w:space="0"/>
              <w:left w:val="nil"/>
              <w:bottom w:val="single" w:color="auto" w:sz="4" w:space="0"/>
              <w:right w:val="single" w:color="000000" w:sz="4" w:space="0"/>
            </w:tcBorders>
            <w:vAlign w:val="center"/>
          </w:tcPr>
          <w:p>
            <w:pPr>
              <w:pStyle w:val="83"/>
              <w:jc w:val="center"/>
              <w:rPr>
                <w:sz w:val="24"/>
                <w:szCs w:val="24"/>
                <w:highlight w:val="none"/>
              </w:rPr>
            </w:pPr>
          </w:p>
        </w:tc>
        <w:tc>
          <w:tcPr>
            <w:tcW w:w="3724" w:type="dxa"/>
            <w:tcBorders>
              <w:top w:val="single" w:color="auto" w:sz="4" w:space="0"/>
              <w:left w:val="nil"/>
              <w:bottom w:val="single" w:color="auto" w:sz="4" w:space="0"/>
              <w:right w:val="single" w:color="000000" w:sz="4" w:space="0"/>
            </w:tcBorders>
            <w:vAlign w:val="center"/>
          </w:tcPr>
          <w:p>
            <w:pPr>
              <w:pStyle w:val="83"/>
              <w:jc w:val="center"/>
              <w:rPr>
                <w:sz w:val="24"/>
                <w:szCs w:val="24"/>
                <w:highlight w:val="none"/>
              </w:rPr>
            </w:pPr>
          </w:p>
        </w:tc>
        <w:tc>
          <w:tcPr>
            <w:tcW w:w="1374" w:type="dxa"/>
            <w:vMerge w:val="continue"/>
            <w:tcBorders>
              <w:top w:val="nil"/>
              <w:left w:val="single" w:color="auto" w:sz="4" w:space="0"/>
              <w:bottom w:val="single" w:color="000000" w:sz="4" w:space="0"/>
              <w:right w:val="single" w:color="auto" w:sz="4" w:space="0"/>
            </w:tcBorders>
            <w:vAlign w:val="center"/>
          </w:tcPr>
          <w:p>
            <w:pPr>
              <w:pStyle w:val="83"/>
              <w:jc w:val="center"/>
              <w:rPr>
                <w:sz w:val="24"/>
                <w:szCs w:val="24"/>
                <w:highlight w:val="none"/>
              </w:rPr>
            </w:pPr>
          </w:p>
        </w:tc>
      </w:tr>
    </w:tbl>
    <w:p>
      <w:pPr>
        <w:ind w:firstLine="480"/>
        <w:rPr>
          <w:highlight w:val="none"/>
        </w:rPr>
      </w:pPr>
      <w:r>
        <w:rPr>
          <w:rFonts w:hint="eastAsia"/>
          <w:highlight w:val="none"/>
        </w:rPr>
        <w:br w:type="page"/>
      </w:r>
    </w:p>
    <w:p>
      <w:pPr>
        <w:pStyle w:val="5"/>
        <w:spacing w:before="240"/>
        <w:rPr>
          <w:highlight w:val="none"/>
        </w:rPr>
      </w:pPr>
      <w:bookmarkStart w:id="206" w:name="_Toc17705"/>
      <w:bookmarkStart w:id="207" w:name="_Toc7467"/>
      <w:bookmarkStart w:id="208" w:name="_Toc25980"/>
      <w:r>
        <w:rPr>
          <w:rFonts w:hint="eastAsia"/>
          <w:highlight w:val="none"/>
        </w:rPr>
        <w:t>六、供应商廉洁承诺书</w:t>
      </w:r>
      <w:bookmarkEnd w:id="206"/>
      <w:bookmarkEnd w:id="207"/>
      <w:bookmarkEnd w:id="208"/>
    </w:p>
    <w:p>
      <w:pPr>
        <w:adjustRightInd/>
        <w:snapToGrid/>
        <w:ind w:firstLine="480"/>
        <w:rPr>
          <w:highlight w:val="none"/>
        </w:rPr>
      </w:pPr>
      <w:r>
        <w:rPr>
          <w:highlight w:val="none"/>
        </w:rPr>
        <w:t>为维护公平竞争的市场秩序，我方自愿在参与贵方组织的商业往来活动中，加强有关人员廉洁从业管理，恪守商业道德，从源头预防和遏制违法、违规、违纪行为发生，特作以下承诺：</w:t>
      </w:r>
    </w:p>
    <w:p>
      <w:pPr>
        <w:adjustRightInd/>
        <w:snapToGrid/>
        <w:ind w:firstLine="480"/>
        <w:rPr>
          <w:highlight w:val="none"/>
        </w:rPr>
      </w:pPr>
      <w:r>
        <w:rPr>
          <w:highlight w:val="none"/>
        </w:rPr>
        <w:t>一、严格遵守国家有关法律法规，坚持诚实守信原则，恪守商业道德，规范商务人员廉洁从业行为。</w:t>
      </w:r>
    </w:p>
    <w:p>
      <w:pPr>
        <w:adjustRightInd/>
        <w:snapToGrid/>
        <w:ind w:firstLine="480"/>
        <w:rPr>
          <w:highlight w:val="none"/>
        </w:rPr>
      </w:pPr>
      <w:r>
        <w:rPr>
          <w:highlight w:val="none"/>
        </w:rPr>
        <w:t>二、不伙同他人串标、围标或非法排挤竞争对手，不在商业活动中提供虚假资料，损害贵方合法权益。</w:t>
      </w:r>
    </w:p>
    <w:p>
      <w:pPr>
        <w:adjustRightInd/>
        <w:snapToGrid/>
        <w:ind w:firstLine="480"/>
        <w:rPr>
          <w:highlight w:val="none"/>
        </w:rPr>
      </w:pPr>
      <w:r>
        <w:rPr>
          <w:highlight w:val="none"/>
        </w:rPr>
        <w:t>三、不为贵方工作人员提供回扣、礼金、有价证券、贵重物品和报销个人费用。</w:t>
      </w:r>
    </w:p>
    <w:p>
      <w:pPr>
        <w:adjustRightInd/>
        <w:snapToGrid/>
        <w:ind w:firstLine="480"/>
        <w:rPr>
          <w:highlight w:val="none"/>
        </w:rPr>
      </w:pPr>
      <w:r>
        <w:rPr>
          <w:highlight w:val="none"/>
        </w:rPr>
        <w:t>四、不为贵方工作人员安排有可能影响公平、公正交易的宴请、健身、娱乐等活动。</w:t>
      </w:r>
    </w:p>
    <w:p>
      <w:pPr>
        <w:adjustRightInd/>
        <w:snapToGrid/>
        <w:ind w:firstLine="480"/>
        <w:rPr>
          <w:highlight w:val="none"/>
        </w:rPr>
      </w:pPr>
      <w:r>
        <w:rPr>
          <w:highlight w:val="none"/>
        </w:rPr>
        <w:t>五、不为贵方工作人员投资入股、个人借款或买卖股票、债券等提供方便。</w:t>
      </w:r>
    </w:p>
    <w:p>
      <w:pPr>
        <w:adjustRightInd/>
        <w:snapToGrid/>
        <w:ind w:firstLine="480"/>
        <w:rPr>
          <w:highlight w:val="none"/>
        </w:rPr>
      </w:pPr>
      <w:r>
        <w:rPr>
          <w:highlight w:val="none"/>
        </w:rPr>
        <w:t>六、不为贵方工作人员购买或装修住房、婚丧嫁娶、配偶子女上学或工作安排以及出国出境、旅游等提供方便。</w:t>
      </w:r>
    </w:p>
    <w:p>
      <w:pPr>
        <w:adjustRightInd/>
        <w:snapToGrid/>
        <w:ind w:firstLine="480"/>
        <w:rPr>
          <w:highlight w:val="none"/>
        </w:rPr>
      </w:pPr>
      <w:r>
        <w:rPr>
          <w:highlight w:val="none"/>
        </w:rPr>
        <w:t>七、不违反规定为贵方工作人员在我方相关企业挂名兼职、合伙经营、介绍承揽业务等提供方便。</w:t>
      </w:r>
    </w:p>
    <w:p>
      <w:pPr>
        <w:adjustRightInd/>
        <w:snapToGrid/>
        <w:ind w:firstLine="480"/>
        <w:rPr>
          <w:highlight w:val="none"/>
        </w:rPr>
      </w:pPr>
      <w:r>
        <w:rPr>
          <w:highlight w:val="none"/>
        </w:rPr>
        <w:t>八、不利用非法手段向贵方工作人员打探有关涉及贵方的商业秘密、业务渠道等。</w:t>
      </w:r>
    </w:p>
    <w:p>
      <w:pPr>
        <w:adjustRightInd/>
        <w:snapToGrid/>
        <w:ind w:firstLine="480"/>
        <w:rPr>
          <w:highlight w:val="none"/>
        </w:rPr>
      </w:pPr>
      <w:r>
        <w:rPr>
          <w:highlight w:val="none"/>
        </w:rPr>
        <w:t>九、贵方对涉嫌不廉洁的商业行为进行调查时，我方有配合提供证据、作证的义务。</w:t>
      </w:r>
    </w:p>
    <w:p>
      <w:pPr>
        <w:adjustRightInd/>
        <w:snapToGrid/>
        <w:ind w:firstLine="480"/>
        <w:rPr>
          <w:highlight w:val="none"/>
        </w:rPr>
      </w:pPr>
      <w:r>
        <w:rPr>
          <w:highlight w:val="none"/>
        </w:rPr>
        <w:t>十、未经贵方同意，我方不向任何新闻媒体、第三人述及有关贵方工作人员恪守商业道德方面的评价、信息。</w:t>
      </w:r>
    </w:p>
    <w:p>
      <w:pPr>
        <w:adjustRightInd/>
        <w:snapToGrid/>
        <w:ind w:firstLine="480"/>
        <w:rPr>
          <w:highlight w:val="none"/>
        </w:rPr>
      </w:pPr>
      <w:r>
        <w:rPr>
          <w:highlight w:val="none"/>
        </w:rPr>
        <w:t>我方自愿接受社会及贵方监督，如有违反约定，承诺及时对相关工作人员进行处分处理，并限期整改；如导致贵方工作人员受到纪律处分、组织处理或构成违法犯罪的，愿意按照双方约定赔付违约金，并列入永久禁入中煤市场黑名单；给贵方造成重大社会影响或重大经济损失的，同意解除、终止双方尚未履行完毕的业务合同，暂停结算合同未支付款项，赔偿贵方遭受的经济损失，并列入永久禁入中煤市场黑名单。</w:t>
      </w:r>
    </w:p>
    <w:p>
      <w:pPr>
        <w:adjustRightInd/>
        <w:snapToGrid/>
        <w:ind w:firstLine="0" w:firstLineChars="0"/>
        <w:rPr>
          <w:highlight w:val="none"/>
        </w:rPr>
      </w:pPr>
    </w:p>
    <w:p>
      <w:pPr>
        <w:adjustRightInd/>
        <w:snapToGrid/>
        <w:ind w:firstLine="480"/>
        <w:rPr>
          <w:highlight w:val="none"/>
        </w:rPr>
      </w:pPr>
      <w:r>
        <w:rPr>
          <w:highlight w:val="none"/>
        </w:rPr>
        <w:t xml:space="preserve">                         承诺方：（盖章）</w:t>
      </w:r>
    </w:p>
    <w:p>
      <w:pPr>
        <w:adjustRightInd/>
        <w:snapToGrid/>
        <w:ind w:firstLine="480"/>
        <w:rPr>
          <w:highlight w:val="none"/>
        </w:rPr>
      </w:pPr>
      <w:r>
        <w:rPr>
          <w:highlight w:val="none"/>
        </w:rPr>
        <w:t xml:space="preserve">                         授权代表：（签字）</w:t>
      </w:r>
    </w:p>
    <w:p>
      <w:pPr>
        <w:adjustRightInd/>
        <w:snapToGrid/>
        <w:ind w:firstLine="480"/>
        <w:rPr>
          <w:highlight w:val="none"/>
        </w:rPr>
      </w:pPr>
      <w:r>
        <w:rPr>
          <w:highlight w:val="none"/>
        </w:rPr>
        <w:t>地址：</w:t>
      </w:r>
    </w:p>
    <w:p>
      <w:pPr>
        <w:adjustRightInd/>
        <w:snapToGrid/>
        <w:ind w:firstLine="480"/>
        <w:rPr>
          <w:highlight w:val="none"/>
        </w:rPr>
      </w:pPr>
      <w:r>
        <w:rPr>
          <w:highlight w:val="none"/>
        </w:rPr>
        <w:t>电话：</w:t>
      </w:r>
    </w:p>
    <w:p>
      <w:pPr>
        <w:ind w:firstLine="0" w:firstLineChars="0"/>
        <w:rPr>
          <w:highlight w:val="none"/>
        </w:rPr>
      </w:pPr>
      <w:r>
        <w:rPr>
          <w:highlight w:val="none"/>
        </w:rPr>
        <w:t xml:space="preserve">                         年    月    日</w:t>
      </w:r>
    </w:p>
    <w:sectPr>
      <w:footerReference r:id="rId11" w:type="default"/>
      <w:pgSz w:w="11907" w:h="16839"/>
      <w:pgMar w:top="1797" w:right="1440" w:bottom="1797" w:left="1440" w:header="1135" w:footer="992" w:gutter="0"/>
      <w:pgBorders>
        <w:top w:val="none" w:sz="0" w:space="0"/>
        <w:left w:val="none" w:sz="0" w:space="0"/>
        <w:bottom w:val="none" w:sz="0" w:space="0"/>
        <w:right w:val="none" w:sz="0" w:space="0"/>
      </w:pgBorders>
      <w:cols w:space="720" w:num="1"/>
      <w:docGrid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华文中宋">
    <w:altName w:val="宋体"/>
    <w:panose1 w:val="02010600040101010101"/>
    <w:charset w:val="86"/>
    <w:family w:val="auto"/>
    <w:pitch w:val="default"/>
    <w:sig w:usb0="00000000" w:usb1="0000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Century Gothic">
    <w:altName w:val="Yu Gothic UI"/>
    <w:panose1 w:val="020B0502020202020204"/>
    <w:charset w:val="00"/>
    <w:family w:val="swiss"/>
    <w:pitch w:val="default"/>
    <w:sig w:usb0="00000000" w:usb1="00000000" w:usb2="00000000" w:usb3="00000000" w:csb0="2000009F" w:csb1="DFD70000"/>
  </w:font>
  <w:font w:name="Yu Gothic UI">
    <w:panose1 w:val="020B0500000000000000"/>
    <w:charset w:val="80"/>
    <w:family w:val="auto"/>
    <w:pitch w:val="default"/>
    <w:sig w:usb0="E00002FF" w:usb1="2AC7FDFF" w:usb2="00000016" w:usb3="00000000" w:csb0="2002009F" w:csb1="00000000"/>
  </w:font>
  <w:font w:name="楷体">
    <w:panose1 w:val="02010609060101010101"/>
    <w:charset w:val="86"/>
    <w:family w:val="modern"/>
    <w:pitch w:val="default"/>
    <w:sig w:usb0="800002BF" w:usb1="38CF7CFA" w:usb2="00000016"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方正小标宋简体">
    <w:panose1 w:val="02000000000000000000"/>
    <w:charset w:val="86"/>
    <w:family w:val="script"/>
    <w:pitch w:val="default"/>
    <w:sig w:usb0="A00002BF" w:usb1="184F6CFA" w:usb2="00000012" w:usb3="00000000" w:csb0="00040001" w:csb1="00000000"/>
  </w:font>
  <w:font w:name="方正仿宋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ind w:firstLine="360"/>
      <w:jc w:val="center"/>
      <w:rPr>
        <w:rFonts w:ascii="Arial" w:hAnsi="Arial" w:cs="Arial"/>
      </w:rPr>
    </w:pPr>
    <w:r>
      <w:rPr>
        <w:rFonts w:ascii="Arial" w:hAnsi="Arial" w:cs="Arial"/>
      </w:rPr>
      <w:fldChar w:fldCharType="begin"/>
    </w:r>
    <w:r>
      <w:rPr>
        <w:rFonts w:ascii="Arial" w:hAnsi="Arial" w:cs="Arial"/>
      </w:rPr>
      <w:instrText xml:space="preserve"> PAGE   \* MERGEFORMAT </w:instrText>
    </w:r>
    <w:r>
      <w:rPr>
        <w:rFonts w:ascii="Arial" w:hAnsi="Arial" w:cs="Arial"/>
      </w:rPr>
      <w:fldChar w:fldCharType="separate"/>
    </w:r>
    <w:r>
      <w:rPr>
        <w:rFonts w:ascii="Arial" w:hAnsi="Arial" w:cs="Arial"/>
        <w:lang w:val="zh-CN"/>
      </w:rPr>
      <w:t>4</w:t>
    </w:r>
    <w:r>
      <w:rPr>
        <w:rFonts w:ascii="Arial" w:hAnsi="Arial" w:cs="Aria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ind w:firstLine="360"/>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ind w:firstLine="360"/>
      <w:jc w:val="center"/>
    </w:pPr>
    <w:r>
      <w:rPr>
        <w:rStyle w:val="33"/>
      </w:rPr>
      <w:fldChar w:fldCharType="begin"/>
    </w:r>
    <w:r>
      <w:rPr>
        <w:rStyle w:val="33"/>
      </w:rPr>
      <w:instrText xml:space="preserve"> PAGE </w:instrText>
    </w:r>
    <w:r>
      <w:rPr>
        <w:rStyle w:val="33"/>
      </w:rPr>
      <w:fldChar w:fldCharType="separate"/>
    </w:r>
    <w:r>
      <w:rPr>
        <w:rStyle w:val="33"/>
      </w:rPr>
      <w:t>23</w:t>
    </w:r>
    <w:r>
      <w:rPr>
        <w:rStyle w:val="33"/>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80"/>
      </w:pPr>
      <w:r>
        <w:separator/>
      </w:r>
    </w:p>
  </w:footnote>
  <w:footnote w:type="continuationSeparator" w:id="1">
    <w:p>
      <w:pPr>
        <w:spacing w:line="24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ind w:firstLine="0" w:firstLineChars="0"/>
      <w:jc w:val="left"/>
      <w:rPr>
        <w:rFonts w:ascii="宋体" w:hAnsi="宋体"/>
        <w:szCs w:val="18"/>
      </w:rPr>
    </w:pPr>
    <w:r>
      <w:rPr>
        <w:rFonts w:ascii="宋体" w:hAnsi="宋体"/>
        <w:szCs w:val="18"/>
      </w:rPr>
      <w:drawing>
        <wp:inline distT="0" distB="0" distL="0" distR="0">
          <wp:extent cx="219075" cy="167640"/>
          <wp:effectExtent l="0" t="0" r="9525" b="10160"/>
          <wp:docPr id="4097" name="图片 5" descr="C:\Users\cc\Desktop\揭榜挂帅\赵栗君\logo (1).pnglogo (1)"/>
          <wp:cNvGraphicFramePr/>
          <a:graphic xmlns:a="http://schemas.openxmlformats.org/drawingml/2006/main">
            <a:graphicData uri="http://schemas.openxmlformats.org/drawingml/2006/picture">
              <pic:pic xmlns:pic="http://schemas.openxmlformats.org/drawingml/2006/picture">
                <pic:nvPicPr>
                  <pic:cNvPr id="4097" name="图片 5" descr="C:\Users\cc\Desktop\揭榜挂帅\赵栗君\logo (1).pnglogo (1)"/>
                  <pic:cNvPicPr/>
                </pic:nvPicPr>
                <pic:blipFill>
                  <a:blip r:embed="rId1" cstate="print"/>
                  <a:srcRect/>
                  <a:stretch>
                    <a:fillRect/>
                  </a:stretch>
                </pic:blipFill>
                <pic:spPr>
                  <a:xfrm>
                    <a:off x="0" y="0"/>
                    <a:ext cx="219075" cy="167640"/>
                  </a:xfrm>
                  <a:prstGeom prst="rect">
                    <a:avLst/>
                  </a:prstGeom>
                  <a:ln>
                    <a:noFill/>
                  </a:ln>
                </pic:spPr>
              </pic:pic>
            </a:graphicData>
          </a:graphic>
        </wp:inline>
      </w:drawing>
    </w:r>
    <w:r>
      <w:rPr>
        <w:rFonts w:hint="eastAsia" w:ascii="宋体" w:hAnsi="宋体"/>
        <w:szCs w:val="18"/>
      </w:rPr>
      <w:t>中国煤炭开发有限责任公司竞争谈判采购询价文件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bottom w:val="none" w:color="auto" w:sz="0" w:space="0"/>
      </w:pBdr>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D14438F"/>
    <w:multiLevelType w:val="singleLevel"/>
    <w:tmpl w:val="FD14438F"/>
    <w:lvl w:ilvl="0" w:tentative="0">
      <w:start w:val="1"/>
      <w:numFmt w:val="decimal"/>
      <w:pStyle w:val="17"/>
      <w:lvlText w:val="%1."/>
      <w:lvlJc w:val="left"/>
      <w:pPr>
        <w:tabs>
          <w:tab w:val="left" w:pos="2040"/>
        </w:tabs>
        <w:ind w:left="2040" w:hanging="360"/>
      </w:pPr>
    </w:lvl>
  </w:abstractNum>
  <w:abstractNum w:abstractNumId="1">
    <w:nsid w:val="00000000"/>
    <w:multiLevelType w:val="singleLevel"/>
    <w:tmpl w:val="00000000"/>
    <w:lvl w:ilvl="0" w:tentative="0">
      <w:start w:val="2"/>
      <w:numFmt w:val="chineseCounting"/>
      <w:suff w:val="space"/>
      <w:lvlText w:val="第%1章"/>
      <w:lvlJc w:val="left"/>
      <w:rPr>
        <w:rFonts w:hint="eastAsia"/>
      </w:rPr>
    </w:lvl>
  </w:abstractNum>
  <w:abstractNum w:abstractNumId="2">
    <w:nsid w:val="51F8CA14"/>
    <w:multiLevelType w:val="singleLevel"/>
    <w:tmpl w:val="51F8CA14"/>
    <w:lvl w:ilvl="0" w:tentative="0">
      <w:start w:val="1"/>
      <w:numFmt w:val="decimal"/>
      <w:suff w:val="space"/>
      <w:lvlText w:val="%1."/>
      <w:lvlJc w:val="left"/>
    </w:lvl>
  </w:abstractNum>
  <w:abstractNum w:abstractNumId="3">
    <w:nsid w:val="77AE6ADB"/>
    <w:multiLevelType w:val="singleLevel"/>
    <w:tmpl w:val="77AE6ADB"/>
    <w:lvl w:ilvl="0" w:tentative="0">
      <w:start w:val="1"/>
      <w:numFmt w:val="decimal"/>
      <w:suff w:val="space"/>
      <w:lvlText w:val="%1."/>
      <w:lvlJc w:val="left"/>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5"/>
  <w:drawingGridHorizontalSpacing w:val="120"/>
  <w:drawingGridVerticalSpacing w:val="163"/>
  <w:displayHorizontalDrawingGridEvery w:val="1"/>
  <w:displayVerticalDrawingGridEvery w:val="1"/>
  <w:noPunctuationKerning w:val="1"/>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01773CC0"/>
    <w:rsid w:val="046057CC"/>
    <w:rsid w:val="04C40719"/>
    <w:rsid w:val="05290F57"/>
    <w:rsid w:val="057743B8"/>
    <w:rsid w:val="061614DB"/>
    <w:rsid w:val="09026457"/>
    <w:rsid w:val="0C984458"/>
    <w:rsid w:val="0D2863B7"/>
    <w:rsid w:val="0E724201"/>
    <w:rsid w:val="0E9C279A"/>
    <w:rsid w:val="10B62239"/>
    <w:rsid w:val="136A730B"/>
    <w:rsid w:val="192D5D84"/>
    <w:rsid w:val="1E9D2F91"/>
    <w:rsid w:val="1F7033A3"/>
    <w:rsid w:val="20AB0A08"/>
    <w:rsid w:val="21F77FBB"/>
    <w:rsid w:val="2BCF42EC"/>
    <w:rsid w:val="313C6FE8"/>
    <w:rsid w:val="32042BA4"/>
    <w:rsid w:val="330E785B"/>
    <w:rsid w:val="35EF5721"/>
    <w:rsid w:val="3A7D24C4"/>
    <w:rsid w:val="417E7959"/>
    <w:rsid w:val="44C43561"/>
    <w:rsid w:val="45D06FC4"/>
    <w:rsid w:val="47332F94"/>
    <w:rsid w:val="47665287"/>
    <w:rsid w:val="48EA3B26"/>
    <w:rsid w:val="49994B3F"/>
    <w:rsid w:val="49FE46F2"/>
    <w:rsid w:val="4A38723F"/>
    <w:rsid w:val="53D162D8"/>
    <w:rsid w:val="54840334"/>
    <w:rsid w:val="57472EC1"/>
    <w:rsid w:val="5A403EEE"/>
    <w:rsid w:val="5CC64658"/>
    <w:rsid w:val="62A12A6F"/>
    <w:rsid w:val="66536FC4"/>
    <w:rsid w:val="670F1C12"/>
    <w:rsid w:val="6712451C"/>
    <w:rsid w:val="68606C3F"/>
    <w:rsid w:val="750758DC"/>
    <w:rsid w:val="7C4865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nhideWhenUsed="0" w:uiPriority="0" w:semiHidden="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qFormat="1"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napToGrid w:val="0"/>
      <w:spacing w:line="440" w:lineRule="exact"/>
      <w:ind w:firstLine="200" w:firstLineChars="200"/>
      <w:jc w:val="both"/>
    </w:pPr>
    <w:rPr>
      <w:rFonts w:ascii="Times New Roman" w:hAnsi="Times New Roman" w:eastAsia="宋体" w:cs="Times New Roman"/>
      <w:kern w:val="2"/>
      <w:sz w:val="24"/>
      <w:lang w:val="en-US" w:eastAsia="zh-CN" w:bidi="ar-SA"/>
    </w:rPr>
  </w:style>
  <w:style w:type="paragraph" w:styleId="4">
    <w:name w:val="heading 1"/>
    <w:basedOn w:val="1"/>
    <w:next w:val="1"/>
    <w:link w:val="37"/>
    <w:qFormat/>
    <w:uiPriority w:val="0"/>
    <w:pPr>
      <w:keepNext/>
      <w:keepLines/>
      <w:spacing w:before="340" w:after="330" w:line="578" w:lineRule="auto"/>
      <w:outlineLvl w:val="0"/>
    </w:pPr>
    <w:rPr>
      <w:b/>
      <w:bCs/>
      <w:kern w:val="44"/>
      <w:sz w:val="44"/>
      <w:szCs w:val="44"/>
    </w:rPr>
  </w:style>
  <w:style w:type="paragraph" w:styleId="5">
    <w:name w:val="heading 2"/>
    <w:basedOn w:val="1"/>
    <w:next w:val="1"/>
    <w:link w:val="38"/>
    <w:qFormat/>
    <w:uiPriority w:val="0"/>
    <w:pPr>
      <w:keepNext/>
      <w:keepLines/>
      <w:spacing w:before="100" w:beforeLines="100" w:line="240" w:lineRule="auto"/>
      <w:ind w:firstLine="0" w:firstLineChars="0"/>
      <w:jc w:val="left"/>
      <w:outlineLvl w:val="1"/>
    </w:pPr>
    <w:rPr>
      <w:rFonts w:ascii="Arial" w:hAnsi="Arial" w:eastAsia="黑体"/>
      <w:bCs/>
      <w:kern w:val="0"/>
      <w:sz w:val="28"/>
      <w:szCs w:val="32"/>
    </w:rPr>
  </w:style>
  <w:style w:type="paragraph" w:styleId="6">
    <w:name w:val="heading 3"/>
    <w:basedOn w:val="1"/>
    <w:next w:val="1"/>
    <w:link w:val="39"/>
    <w:qFormat/>
    <w:uiPriority w:val="0"/>
    <w:pPr>
      <w:keepNext/>
      <w:keepLines/>
      <w:spacing w:before="120" w:after="120"/>
      <w:outlineLvl w:val="2"/>
    </w:pPr>
    <w:rPr>
      <w:b/>
      <w:bCs/>
      <w:sz w:val="21"/>
      <w:szCs w:val="32"/>
    </w:rPr>
  </w:style>
  <w:style w:type="paragraph" w:styleId="7">
    <w:name w:val="heading 4"/>
    <w:basedOn w:val="1"/>
    <w:next w:val="1"/>
    <w:link w:val="40"/>
    <w:qFormat/>
    <w:uiPriority w:val="0"/>
    <w:pPr>
      <w:keepNext/>
      <w:keepLines/>
      <w:spacing w:line="360" w:lineRule="auto"/>
      <w:jc w:val="left"/>
      <w:outlineLvl w:val="3"/>
    </w:pPr>
    <w:rPr>
      <w:rFonts w:ascii="Cambria" w:hAnsi="Cambria" w:eastAsia="黑体"/>
      <w:bCs/>
      <w:szCs w:val="28"/>
    </w:rPr>
  </w:style>
  <w:style w:type="paragraph" w:styleId="8">
    <w:name w:val="heading 8"/>
    <w:basedOn w:val="1"/>
    <w:next w:val="1"/>
    <w:link w:val="41"/>
    <w:qFormat/>
    <w:uiPriority w:val="0"/>
    <w:pPr>
      <w:keepNext/>
      <w:keepLines/>
      <w:spacing w:before="240" w:after="64" w:line="320" w:lineRule="auto"/>
      <w:outlineLvl w:val="7"/>
    </w:pPr>
    <w:rPr>
      <w:rFonts w:ascii="Cambria" w:hAnsi="Cambria"/>
      <w:szCs w:val="24"/>
    </w:rPr>
  </w:style>
  <w:style w:type="character" w:default="1" w:styleId="31">
    <w:name w:val="Default Paragraph Font"/>
    <w:qFormat/>
    <w:uiPriority w:val="1"/>
  </w:style>
  <w:style w:type="table" w:default="1" w:styleId="29">
    <w:name w:val="Normal Table"/>
    <w:qFormat/>
    <w:uiPriority w:val="99"/>
    <w:tblPr>
      <w:tblCellMar>
        <w:top w:w="0" w:type="dxa"/>
        <w:left w:w="108" w:type="dxa"/>
        <w:bottom w:w="0" w:type="dxa"/>
        <w:right w:w="108" w:type="dxa"/>
      </w:tblCellMar>
    </w:tblPr>
  </w:style>
  <w:style w:type="paragraph" w:styleId="2">
    <w:name w:val="Body Text First Indent 2"/>
    <w:basedOn w:val="3"/>
    <w:qFormat/>
    <w:uiPriority w:val="0"/>
    <w:pPr>
      <w:spacing w:after="120" w:afterLines="0" w:line="240" w:lineRule="auto"/>
      <w:ind w:left="420" w:leftChars="200" w:firstLine="420"/>
    </w:pPr>
    <w:rPr>
      <w:sz w:val="21"/>
    </w:rPr>
  </w:style>
  <w:style w:type="paragraph" w:styleId="3">
    <w:name w:val="Body Text Indent"/>
    <w:basedOn w:val="1"/>
    <w:qFormat/>
    <w:uiPriority w:val="0"/>
    <w:pPr>
      <w:ind w:firstLine="444"/>
    </w:pPr>
    <w:rPr>
      <w:b/>
    </w:rPr>
  </w:style>
  <w:style w:type="paragraph" w:styleId="9">
    <w:name w:val="index 8"/>
    <w:basedOn w:val="1"/>
    <w:next w:val="1"/>
    <w:qFormat/>
    <w:uiPriority w:val="0"/>
    <w:pPr>
      <w:ind w:left="2940"/>
      <w:jc w:val="center"/>
    </w:pPr>
  </w:style>
  <w:style w:type="paragraph" w:styleId="10">
    <w:name w:val="Normal Indent"/>
    <w:basedOn w:val="1"/>
    <w:qFormat/>
    <w:uiPriority w:val="0"/>
    <w:pPr>
      <w:ind w:firstLine="420"/>
    </w:pPr>
  </w:style>
  <w:style w:type="paragraph" w:styleId="11">
    <w:name w:val="caption"/>
    <w:basedOn w:val="1"/>
    <w:next w:val="1"/>
    <w:qFormat/>
    <w:uiPriority w:val="0"/>
    <w:pPr>
      <w:spacing w:line="480" w:lineRule="auto"/>
    </w:pPr>
    <w:rPr>
      <w:rFonts w:ascii="华文中宋" w:hAnsi="华文中宋" w:eastAsia="华文中宋"/>
      <w:sz w:val="36"/>
    </w:rPr>
  </w:style>
  <w:style w:type="paragraph" w:styleId="12">
    <w:name w:val="Document Map"/>
    <w:basedOn w:val="1"/>
    <w:qFormat/>
    <w:uiPriority w:val="0"/>
    <w:pPr>
      <w:shd w:val="clear" w:color="auto" w:fill="000080"/>
    </w:pPr>
  </w:style>
  <w:style w:type="paragraph" w:styleId="13">
    <w:name w:val="annotation text"/>
    <w:basedOn w:val="1"/>
    <w:link w:val="42"/>
    <w:qFormat/>
    <w:uiPriority w:val="99"/>
    <w:pPr>
      <w:jc w:val="left"/>
    </w:pPr>
    <w:rPr>
      <w:sz w:val="21"/>
    </w:rPr>
  </w:style>
  <w:style w:type="paragraph" w:styleId="14">
    <w:name w:val="Body Text 3"/>
    <w:basedOn w:val="1"/>
    <w:link w:val="43"/>
    <w:qFormat/>
    <w:uiPriority w:val="0"/>
    <w:pPr>
      <w:spacing w:after="120" w:line="360" w:lineRule="auto"/>
    </w:pPr>
    <w:rPr>
      <w:kern w:val="0"/>
      <w:sz w:val="16"/>
      <w:szCs w:val="16"/>
    </w:rPr>
  </w:style>
  <w:style w:type="paragraph" w:styleId="15">
    <w:name w:val="Body Text"/>
    <w:basedOn w:val="1"/>
    <w:next w:val="2"/>
    <w:link w:val="44"/>
    <w:qFormat/>
    <w:uiPriority w:val="0"/>
    <w:pPr>
      <w:spacing w:line="360" w:lineRule="auto"/>
    </w:pPr>
  </w:style>
  <w:style w:type="paragraph" w:styleId="16">
    <w:name w:val="Plain Text"/>
    <w:basedOn w:val="1"/>
    <w:next w:val="17"/>
    <w:link w:val="45"/>
    <w:qFormat/>
    <w:uiPriority w:val="0"/>
    <w:rPr>
      <w:rFonts w:ascii="宋体" w:hAnsi="Courier New"/>
      <w:sz w:val="21"/>
    </w:rPr>
  </w:style>
  <w:style w:type="paragraph" w:styleId="17">
    <w:name w:val="List Number 5"/>
    <w:basedOn w:val="1"/>
    <w:qFormat/>
    <w:uiPriority w:val="0"/>
    <w:pPr>
      <w:numPr>
        <w:ilvl w:val="0"/>
        <w:numId w:val="1"/>
      </w:numPr>
    </w:pPr>
  </w:style>
  <w:style w:type="paragraph" w:styleId="18">
    <w:name w:val="Date"/>
    <w:basedOn w:val="1"/>
    <w:next w:val="1"/>
    <w:qFormat/>
    <w:uiPriority w:val="0"/>
  </w:style>
  <w:style w:type="paragraph" w:styleId="19">
    <w:name w:val="Body Text Indent 2"/>
    <w:basedOn w:val="1"/>
    <w:qFormat/>
    <w:uiPriority w:val="0"/>
    <w:pPr>
      <w:spacing w:line="360" w:lineRule="auto"/>
      <w:ind w:firstLine="420" w:firstLineChars="175"/>
    </w:pPr>
    <w:rPr>
      <w:rFonts w:ascii="宋体" w:hAnsi="宋体"/>
      <w:b/>
      <w:bCs/>
    </w:rPr>
  </w:style>
  <w:style w:type="paragraph" w:styleId="20">
    <w:name w:val="Balloon Text"/>
    <w:basedOn w:val="1"/>
    <w:link w:val="46"/>
    <w:qFormat/>
    <w:uiPriority w:val="0"/>
    <w:rPr>
      <w:sz w:val="18"/>
      <w:szCs w:val="18"/>
    </w:rPr>
  </w:style>
  <w:style w:type="paragraph" w:styleId="21">
    <w:name w:val="footer"/>
    <w:basedOn w:val="1"/>
    <w:link w:val="47"/>
    <w:qFormat/>
    <w:uiPriority w:val="99"/>
    <w:pPr>
      <w:tabs>
        <w:tab w:val="center" w:pos="4153"/>
        <w:tab w:val="right" w:pos="8306"/>
      </w:tabs>
      <w:jc w:val="left"/>
    </w:pPr>
    <w:rPr>
      <w:sz w:val="18"/>
    </w:rPr>
  </w:style>
  <w:style w:type="paragraph" w:styleId="22">
    <w:name w:val="header"/>
    <w:basedOn w:val="1"/>
    <w:link w:val="48"/>
    <w:qFormat/>
    <w:uiPriority w:val="99"/>
    <w:pPr>
      <w:pBdr>
        <w:bottom w:val="single" w:color="auto" w:sz="6" w:space="1"/>
      </w:pBdr>
      <w:tabs>
        <w:tab w:val="center" w:pos="4153"/>
        <w:tab w:val="right" w:pos="8306"/>
      </w:tabs>
      <w:jc w:val="center"/>
    </w:pPr>
    <w:rPr>
      <w:sz w:val="18"/>
    </w:rPr>
  </w:style>
  <w:style w:type="paragraph" w:styleId="23">
    <w:name w:val="toc 1"/>
    <w:basedOn w:val="1"/>
    <w:next w:val="1"/>
    <w:qFormat/>
    <w:uiPriority w:val="39"/>
  </w:style>
  <w:style w:type="paragraph" w:styleId="24">
    <w:name w:val="Body Text Indent 3"/>
    <w:basedOn w:val="1"/>
    <w:qFormat/>
    <w:uiPriority w:val="0"/>
    <w:pPr>
      <w:spacing w:after="156" w:afterLines="50"/>
      <w:ind w:firstLine="420"/>
    </w:pPr>
    <w:rPr>
      <w:szCs w:val="21"/>
    </w:rPr>
  </w:style>
  <w:style w:type="paragraph" w:styleId="25">
    <w:name w:val="toc 2"/>
    <w:basedOn w:val="1"/>
    <w:next w:val="1"/>
    <w:qFormat/>
    <w:uiPriority w:val="39"/>
    <w:pPr>
      <w:ind w:left="420" w:leftChars="200"/>
    </w:pPr>
  </w:style>
  <w:style w:type="paragraph" w:styleId="26">
    <w:name w:val="Normal (Web)"/>
    <w:basedOn w:val="1"/>
    <w:qFormat/>
    <w:uiPriority w:val="99"/>
    <w:pPr>
      <w:widowControl/>
      <w:spacing w:before="100" w:beforeAutospacing="1" w:after="100" w:afterAutospacing="1"/>
      <w:jc w:val="left"/>
    </w:pPr>
    <w:rPr>
      <w:rFonts w:ascii="宋体" w:hAnsi="宋体" w:cs="宋体"/>
      <w:kern w:val="0"/>
      <w:szCs w:val="24"/>
    </w:rPr>
  </w:style>
  <w:style w:type="paragraph" w:styleId="27">
    <w:name w:val="Title"/>
    <w:basedOn w:val="4"/>
    <w:next w:val="1"/>
    <w:link w:val="49"/>
    <w:qFormat/>
    <w:uiPriority w:val="0"/>
    <w:pPr>
      <w:spacing w:before="50" w:beforeLines="50" w:after="0" w:line="360" w:lineRule="auto"/>
      <w:ind w:firstLine="0" w:firstLineChars="0"/>
      <w:jc w:val="center"/>
    </w:pPr>
    <w:rPr>
      <w:rFonts w:ascii="Cambria" w:hAnsi="Cambria" w:eastAsia="黑体"/>
      <w:b w:val="0"/>
      <w:bCs w:val="0"/>
      <w:sz w:val="36"/>
      <w:szCs w:val="32"/>
    </w:rPr>
  </w:style>
  <w:style w:type="paragraph" w:styleId="28">
    <w:name w:val="annotation subject"/>
    <w:basedOn w:val="13"/>
    <w:next w:val="13"/>
    <w:link w:val="50"/>
    <w:qFormat/>
    <w:uiPriority w:val="0"/>
    <w:rPr>
      <w:b/>
      <w:bCs/>
    </w:rPr>
  </w:style>
  <w:style w:type="table" w:styleId="30">
    <w:name w:val="Table Grid"/>
    <w:basedOn w:val="29"/>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2">
    <w:name w:val="Strong"/>
    <w:qFormat/>
    <w:uiPriority w:val="22"/>
    <w:rPr>
      <w:b/>
      <w:bCs/>
    </w:rPr>
  </w:style>
  <w:style w:type="character" w:styleId="33">
    <w:name w:val="page number"/>
    <w:basedOn w:val="31"/>
    <w:qFormat/>
    <w:uiPriority w:val="0"/>
  </w:style>
  <w:style w:type="character" w:styleId="34">
    <w:name w:val="FollowedHyperlink"/>
    <w:qFormat/>
    <w:uiPriority w:val="0"/>
    <w:rPr>
      <w:color w:val="800080"/>
      <w:u w:val="single"/>
    </w:rPr>
  </w:style>
  <w:style w:type="character" w:styleId="35">
    <w:name w:val="Hyperlink"/>
    <w:qFormat/>
    <w:uiPriority w:val="99"/>
    <w:rPr>
      <w:color w:val="0000FF"/>
      <w:u w:val="single"/>
    </w:rPr>
  </w:style>
  <w:style w:type="character" w:styleId="36">
    <w:name w:val="annotation reference"/>
    <w:qFormat/>
    <w:uiPriority w:val="0"/>
    <w:rPr>
      <w:sz w:val="21"/>
      <w:szCs w:val="21"/>
    </w:rPr>
  </w:style>
  <w:style w:type="character" w:customStyle="1" w:styleId="37">
    <w:name w:val="标题 1 字符"/>
    <w:link w:val="4"/>
    <w:qFormat/>
    <w:uiPriority w:val="0"/>
    <w:rPr>
      <w:b/>
      <w:bCs/>
      <w:kern w:val="44"/>
      <w:sz w:val="44"/>
      <w:szCs w:val="44"/>
    </w:rPr>
  </w:style>
  <w:style w:type="character" w:customStyle="1" w:styleId="38">
    <w:name w:val="标题 2 字符"/>
    <w:link w:val="5"/>
    <w:qFormat/>
    <w:uiPriority w:val="0"/>
    <w:rPr>
      <w:rFonts w:ascii="Arial" w:hAnsi="Arial" w:eastAsia="黑体"/>
      <w:bCs/>
      <w:sz w:val="28"/>
      <w:szCs w:val="32"/>
    </w:rPr>
  </w:style>
  <w:style w:type="character" w:customStyle="1" w:styleId="39">
    <w:name w:val="标题 3 字符"/>
    <w:link w:val="6"/>
    <w:qFormat/>
    <w:uiPriority w:val="0"/>
    <w:rPr>
      <w:b/>
      <w:bCs/>
      <w:kern w:val="2"/>
      <w:sz w:val="21"/>
      <w:szCs w:val="32"/>
    </w:rPr>
  </w:style>
  <w:style w:type="character" w:customStyle="1" w:styleId="40">
    <w:name w:val="标题 4 字符"/>
    <w:link w:val="7"/>
    <w:qFormat/>
    <w:uiPriority w:val="0"/>
    <w:rPr>
      <w:rFonts w:ascii="Cambria" w:hAnsi="Cambria" w:eastAsia="黑体"/>
      <w:bCs/>
      <w:kern w:val="2"/>
      <w:sz w:val="24"/>
      <w:szCs w:val="28"/>
    </w:rPr>
  </w:style>
  <w:style w:type="character" w:customStyle="1" w:styleId="41">
    <w:name w:val="标题 8 字符"/>
    <w:link w:val="8"/>
    <w:qFormat/>
    <w:uiPriority w:val="0"/>
    <w:rPr>
      <w:rFonts w:ascii="Cambria" w:hAnsi="Cambria" w:eastAsia="宋体" w:cs="Times New Roman"/>
      <w:kern w:val="2"/>
      <w:sz w:val="24"/>
      <w:szCs w:val="24"/>
    </w:rPr>
  </w:style>
  <w:style w:type="character" w:customStyle="1" w:styleId="42">
    <w:name w:val="批注文字 字符"/>
    <w:link w:val="13"/>
    <w:qFormat/>
    <w:uiPriority w:val="99"/>
    <w:rPr>
      <w:kern w:val="2"/>
      <w:sz w:val="21"/>
    </w:rPr>
  </w:style>
  <w:style w:type="character" w:customStyle="1" w:styleId="43">
    <w:name w:val="正文文本 3 字符"/>
    <w:link w:val="14"/>
    <w:qFormat/>
    <w:uiPriority w:val="0"/>
    <w:rPr>
      <w:sz w:val="16"/>
      <w:szCs w:val="16"/>
    </w:rPr>
  </w:style>
  <w:style w:type="character" w:customStyle="1" w:styleId="44">
    <w:name w:val="正文文本 字符"/>
    <w:link w:val="15"/>
    <w:qFormat/>
    <w:uiPriority w:val="0"/>
    <w:rPr>
      <w:kern w:val="2"/>
      <w:sz w:val="24"/>
    </w:rPr>
  </w:style>
  <w:style w:type="character" w:customStyle="1" w:styleId="45">
    <w:name w:val="纯文本 字符"/>
    <w:link w:val="16"/>
    <w:qFormat/>
    <w:uiPriority w:val="0"/>
    <w:rPr>
      <w:rFonts w:ascii="宋体" w:hAnsi="Courier New"/>
      <w:kern w:val="2"/>
      <w:sz w:val="21"/>
    </w:rPr>
  </w:style>
  <w:style w:type="character" w:customStyle="1" w:styleId="46">
    <w:name w:val="批注框文本 字符"/>
    <w:link w:val="20"/>
    <w:qFormat/>
    <w:uiPriority w:val="0"/>
    <w:rPr>
      <w:kern w:val="2"/>
      <w:sz w:val="18"/>
      <w:szCs w:val="18"/>
    </w:rPr>
  </w:style>
  <w:style w:type="character" w:customStyle="1" w:styleId="47">
    <w:name w:val="页脚 字符"/>
    <w:link w:val="21"/>
    <w:qFormat/>
    <w:uiPriority w:val="99"/>
    <w:rPr>
      <w:kern w:val="2"/>
      <w:sz w:val="18"/>
    </w:rPr>
  </w:style>
  <w:style w:type="character" w:customStyle="1" w:styleId="48">
    <w:name w:val="页眉 字符"/>
    <w:link w:val="22"/>
    <w:qFormat/>
    <w:uiPriority w:val="99"/>
    <w:rPr>
      <w:kern w:val="2"/>
      <w:sz w:val="18"/>
    </w:rPr>
  </w:style>
  <w:style w:type="character" w:customStyle="1" w:styleId="49">
    <w:name w:val="标题 字符"/>
    <w:link w:val="27"/>
    <w:qFormat/>
    <w:uiPriority w:val="0"/>
    <w:rPr>
      <w:rFonts w:ascii="Cambria" w:hAnsi="Cambria" w:eastAsia="黑体"/>
      <w:kern w:val="44"/>
      <w:sz w:val="36"/>
      <w:szCs w:val="32"/>
    </w:rPr>
  </w:style>
  <w:style w:type="character" w:customStyle="1" w:styleId="50">
    <w:name w:val="批注主题 字符"/>
    <w:link w:val="28"/>
    <w:qFormat/>
    <w:uiPriority w:val="0"/>
    <w:rPr>
      <w:b/>
      <w:bCs/>
      <w:kern w:val="2"/>
      <w:sz w:val="21"/>
    </w:rPr>
  </w:style>
  <w:style w:type="character" w:customStyle="1" w:styleId="51">
    <w:name w:val="unnamed11"/>
    <w:qFormat/>
    <w:uiPriority w:val="0"/>
    <w:rPr>
      <w:u w:val="none"/>
    </w:rPr>
  </w:style>
  <w:style w:type="character" w:customStyle="1" w:styleId="52">
    <w:name w:val="专用功能1"/>
    <w:qFormat/>
    <w:uiPriority w:val="0"/>
    <w:rPr>
      <w:color w:val="666666"/>
      <w:sz w:val="20"/>
    </w:rPr>
  </w:style>
  <w:style w:type="character" w:customStyle="1" w:styleId="53">
    <w:name w:val="标题 2 Char"/>
    <w:qFormat/>
    <w:uiPriority w:val="0"/>
    <w:rPr>
      <w:rFonts w:ascii="Arial" w:hAnsi="Arial" w:eastAsia="黑体"/>
      <w:b/>
      <w:bCs/>
      <w:sz w:val="32"/>
      <w:szCs w:val="32"/>
    </w:rPr>
  </w:style>
  <w:style w:type="paragraph" w:customStyle="1" w:styleId="54">
    <w:name w:val="目录 71"/>
    <w:basedOn w:val="1"/>
    <w:next w:val="1"/>
    <w:qFormat/>
    <w:uiPriority w:val="0"/>
    <w:pPr>
      <w:ind w:left="1260"/>
      <w:jc w:val="left"/>
    </w:pPr>
    <w:rPr>
      <w:rFonts w:ascii="Calibri" w:hAnsi="Calibri" w:cs="Calibri"/>
      <w:sz w:val="18"/>
      <w:szCs w:val="18"/>
    </w:rPr>
  </w:style>
  <w:style w:type="paragraph" w:customStyle="1" w:styleId="55">
    <w:name w:val="正文1"/>
    <w:basedOn w:val="1"/>
    <w:qFormat/>
    <w:uiPriority w:val="0"/>
    <w:pPr>
      <w:spacing w:line="360" w:lineRule="atLeast"/>
      <w:jc w:val="left"/>
      <w:textAlignment w:val="baseline"/>
    </w:pPr>
    <w:rPr>
      <w:rFonts w:ascii="宋体"/>
      <w:b/>
      <w:kern w:val="0"/>
    </w:rPr>
  </w:style>
  <w:style w:type="paragraph" w:customStyle="1" w:styleId="56">
    <w:name w:val="_Style 52"/>
    <w:qFormat/>
    <w:uiPriority w:val="0"/>
    <w:rPr>
      <w:rFonts w:ascii="Times New Roman" w:hAnsi="Times New Roman" w:eastAsia="宋体" w:cs="Times New Roman"/>
      <w:kern w:val="2"/>
      <w:sz w:val="21"/>
      <w:lang w:val="en-US" w:eastAsia="zh-CN" w:bidi="ar-SA"/>
    </w:rPr>
  </w:style>
  <w:style w:type="paragraph" w:customStyle="1" w:styleId="57">
    <w:name w:val="缺省文本"/>
    <w:qFormat/>
    <w:uiPriority w:val="0"/>
    <w:pPr>
      <w:widowControl w:val="0"/>
      <w:autoSpaceDE w:val="0"/>
      <w:autoSpaceDN w:val="0"/>
      <w:adjustRightInd w:val="0"/>
    </w:pPr>
    <w:rPr>
      <w:rFonts w:ascii="Times New Roman" w:hAnsi="Times New Roman" w:eastAsia="宋体" w:cs="Times New Roman"/>
      <w:color w:val="000000"/>
      <w:szCs w:val="24"/>
      <w:lang w:val="en-US" w:eastAsia="zh-CN" w:bidi="ar-SA"/>
    </w:rPr>
  </w:style>
  <w:style w:type="paragraph" w:customStyle="1" w:styleId="58">
    <w:name w:val="目录 31"/>
    <w:basedOn w:val="1"/>
    <w:next w:val="1"/>
    <w:qFormat/>
    <w:uiPriority w:val="39"/>
    <w:pPr>
      <w:ind w:left="420"/>
      <w:jc w:val="left"/>
    </w:pPr>
    <w:rPr>
      <w:rFonts w:ascii="Calibri" w:hAnsi="Calibri" w:cs="Calibri"/>
      <w:i/>
      <w:iCs/>
      <w:sz w:val="20"/>
    </w:rPr>
  </w:style>
  <w:style w:type="paragraph" w:customStyle="1" w:styleId="59">
    <w:name w:val="目录 51"/>
    <w:basedOn w:val="1"/>
    <w:next w:val="1"/>
    <w:qFormat/>
    <w:uiPriority w:val="0"/>
    <w:pPr>
      <w:ind w:left="840"/>
      <w:jc w:val="left"/>
    </w:pPr>
    <w:rPr>
      <w:rFonts w:ascii="Calibri" w:hAnsi="Calibri" w:cs="Calibri"/>
      <w:sz w:val="18"/>
      <w:szCs w:val="18"/>
    </w:rPr>
  </w:style>
  <w:style w:type="paragraph" w:customStyle="1" w:styleId="60">
    <w:name w:val="目录 91"/>
    <w:basedOn w:val="1"/>
    <w:next w:val="1"/>
    <w:qFormat/>
    <w:uiPriority w:val="0"/>
    <w:pPr>
      <w:ind w:left="1680"/>
      <w:jc w:val="left"/>
    </w:pPr>
    <w:rPr>
      <w:rFonts w:ascii="Calibri" w:hAnsi="Calibri" w:cs="Calibri"/>
      <w:sz w:val="18"/>
      <w:szCs w:val="18"/>
    </w:rPr>
  </w:style>
  <w:style w:type="paragraph" w:customStyle="1" w:styleId="61">
    <w:name w:val="目录 81"/>
    <w:basedOn w:val="1"/>
    <w:next w:val="1"/>
    <w:qFormat/>
    <w:uiPriority w:val="0"/>
    <w:pPr>
      <w:ind w:left="1470"/>
      <w:jc w:val="left"/>
    </w:pPr>
    <w:rPr>
      <w:rFonts w:ascii="Calibri" w:hAnsi="Calibri" w:cs="Calibri"/>
      <w:sz w:val="18"/>
      <w:szCs w:val="18"/>
    </w:rPr>
  </w:style>
  <w:style w:type="paragraph" w:customStyle="1" w:styleId="62">
    <w:name w:val="目录 21"/>
    <w:basedOn w:val="1"/>
    <w:next w:val="1"/>
    <w:qFormat/>
    <w:uiPriority w:val="39"/>
    <w:pPr>
      <w:ind w:left="210"/>
      <w:jc w:val="left"/>
    </w:pPr>
    <w:rPr>
      <w:rFonts w:ascii="Calibri" w:hAnsi="Calibri" w:cs="Calibri"/>
      <w:smallCaps/>
      <w:sz w:val="20"/>
    </w:rPr>
  </w:style>
  <w:style w:type="paragraph" w:customStyle="1" w:styleId="63">
    <w:name w:val="目录 61"/>
    <w:basedOn w:val="1"/>
    <w:next w:val="1"/>
    <w:qFormat/>
    <w:uiPriority w:val="0"/>
    <w:pPr>
      <w:ind w:left="1050"/>
      <w:jc w:val="left"/>
    </w:pPr>
    <w:rPr>
      <w:rFonts w:ascii="Calibri" w:hAnsi="Calibri" w:cs="Calibri"/>
      <w:sz w:val="18"/>
      <w:szCs w:val="18"/>
    </w:rPr>
  </w:style>
  <w:style w:type="paragraph" w:customStyle="1" w:styleId="64">
    <w:name w:val="目录 11"/>
    <w:basedOn w:val="1"/>
    <w:next w:val="1"/>
    <w:qFormat/>
    <w:uiPriority w:val="39"/>
    <w:pPr>
      <w:spacing w:before="120" w:after="120"/>
      <w:jc w:val="left"/>
    </w:pPr>
    <w:rPr>
      <w:rFonts w:ascii="Calibri" w:hAnsi="Calibri" w:cs="Calibri"/>
      <w:b/>
      <w:bCs/>
      <w:caps/>
      <w:sz w:val="20"/>
    </w:rPr>
  </w:style>
  <w:style w:type="paragraph" w:customStyle="1" w:styleId="65">
    <w:name w:val="正文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66">
    <w:name w:val="目录 41"/>
    <w:basedOn w:val="1"/>
    <w:next w:val="1"/>
    <w:qFormat/>
    <w:uiPriority w:val="0"/>
    <w:pPr>
      <w:ind w:left="630"/>
      <w:jc w:val="left"/>
    </w:pPr>
    <w:rPr>
      <w:rFonts w:ascii="Calibri" w:hAnsi="Calibri" w:cs="Calibri"/>
      <w:sz w:val="18"/>
      <w:szCs w:val="18"/>
    </w:rPr>
  </w:style>
  <w:style w:type="paragraph" w:customStyle="1" w:styleId="67">
    <w:name w:val="样式2"/>
    <w:basedOn w:val="1"/>
    <w:qFormat/>
    <w:uiPriority w:val="0"/>
    <w:pPr>
      <w:spacing w:line="410" w:lineRule="atLeast"/>
      <w:jc w:val="left"/>
      <w:textAlignment w:val="baseline"/>
    </w:pPr>
    <w:rPr>
      <w:kern w:val="0"/>
    </w:rPr>
  </w:style>
  <w:style w:type="paragraph" w:customStyle="1" w:styleId="68">
    <w:name w:val="55"/>
    <w:basedOn w:val="1"/>
    <w:qFormat/>
    <w:uiPriority w:val="0"/>
    <w:pPr>
      <w:spacing w:line="500" w:lineRule="exact"/>
      <w:ind w:firstLine="629"/>
    </w:pPr>
    <w:rPr>
      <w:rFonts w:ascii="仿宋_GB2312" w:eastAsia="仿宋_GB2312"/>
      <w:sz w:val="28"/>
      <w:szCs w:val="28"/>
    </w:rPr>
  </w:style>
  <w:style w:type="paragraph" w:customStyle="1" w:styleId="69">
    <w:name w:val="p0"/>
    <w:basedOn w:val="1"/>
    <w:qFormat/>
    <w:uiPriority w:val="0"/>
    <w:pPr>
      <w:widowControl/>
    </w:pPr>
    <w:rPr>
      <w:kern w:val="0"/>
    </w:rPr>
  </w:style>
  <w:style w:type="paragraph" w:customStyle="1" w:styleId="70">
    <w:name w:val="表格侧编号"/>
    <w:next w:val="1"/>
    <w:qFormat/>
    <w:uiPriority w:val="0"/>
    <w:pPr>
      <w:widowControl w:val="0"/>
      <w:jc w:val="center"/>
    </w:pPr>
    <w:rPr>
      <w:rFonts w:ascii="宋体" w:hAnsi="宋体" w:eastAsia="宋体" w:cs="Times New Roman"/>
      <w:kern w:val="2"/>
      <w:sz w:val="21"/>
      <w:lang w:val="en-US" w:eastAsia="zh-CN" w:bidi="ar-SA"/>
    </w:rPr>
  </w:style>
  <w:style w:type="paragraph" w:customStyle="1" w:styleId="71">
    <w:name w:val="附件"/>
    <w:basedOn w:val="1"/>
    <w:qFormat/>
    <w:uiPriority w:val="0"/>
    <w:pPr>
      <w:spacing w:before="120" w:after="60"/>
      <w:jc w:val="center"/>
      <w:textAlignment w:val="center"/>
    </w:pPr>
    <w:rPr>
      <w:rFonts w:ascii="黑体" w:eastAsia="黑体"/>
      <w:b/>
      <w:kern w:val="0"/>
      <w:sz w:val="32"/>
      <w:szCs w:val="32"/>
    </w:rPr>
  </w:style>
  <w:style w:type="paragraph" w:customStyle="1" w:styleId="72">
    <w:name w:val="表格"/>
    <w:basedOn w:val="1"/>
    <w:qFormat/>
    <w:uiPriority w:val="0"/>
    <w:pPr>
      <w:spacing w:before="60" w:after="60"/>
      <w:jc w:val="center"/>
      <w:textAlignment w:val="baseline"/>
    </w:pPr>
    <w:rPr>
      <w:rFonts w:ascii="宋体"/>
      <w:kern w:val="0"/>
    </w:rPr>
  </w:style>
  <w:style w:type="paragraph" w:customStyle="1" w:styleId="73">
    <w:name w:val="Char"/>
    <w:basedOn w:val="1"/>
    <w:qFormat/>
    <w:uiPriority w:val="0"/>
    <w:pPr>
      <w:spacing w:line="360" w:lineRule="auto"/>
    </w:pPr>
    <w:rPr>
      <w:kern w:val="0"/>
    </w:rPr>
  </w:style>
  <w:style w:type="paragraph" w:customStyle="1" w:styleId="74">
    <w:name w:val="1"/>
    <w:basedOn w:val="1"/>
    <w:qFormat/>
    <w:uiPriority w:val="0"/>
    <w:pPr>
      <w:spacing w:after="156" w:afterLines="50" w:line="360" w:lineRule="auto"/>
      <w:ind w:firstLine="3243" w:firstLineChars="1080"/>
    </w:pPr>
    <w:rPr>
      <w:rFonts w:ascii="宋体" w:hAnsi="宋体"/>
      <w:b/>
      <w:sz w:val="30"/>
      <w:szCs w:val="21"/>
    </w:rPr>
  </w:style>
  <w:style w:type="paragraph" w:customStyle="1" w:styleId="75">
    <w:name w:val="金正文1"/>
    <w:basedOn w:val="1"/>
    <w:qFormat/>
    <w:uiPriority w:val="0"/>
    <w:pPr>
      <w:spacing w:line="360" w:lineRule="auto"/>
      <w:jc w:val="left"/>
    </w:pPr>
  </w:style>
  <w:style w:type="paragraph" w:customStyle="1" w:styleId="76">
    <w:name w:val="默认段落字体 Para Char Char Char Char"/>
    <w:basedOn w:val="1"/>
    <w:qFormat/>
    <w:uiPriority w:val="0"/>
  </w:style>
  <w:style w:type="paragraph" w:customStyle="1" w:styleId="77">
    <w:name w:val="正文文本 31"/>
    <w:basedOn w:val="1"/>
    <w:qFormat/>
    <w:uiPriority w:val="0"/>
    <w:pPr>
      <w:spacing w:line="360" w:lineRule="auto"/>
      <w:jc w:val="center"/>
      <w:textAlignment w:val="baseline"/>
    </w:pPr>
    <w:rPr>
      <w:rFonts w:ascii="宋体"/>
      <w:b/>
      <w:color w:val="FF0000"/>
      <w:kern w:val="0"/>
      <w:u w:val="single"/>
    </w:rPr>
  </w:style>
  <w:style w:type="paragraph" w:customStyle="1" w:styleId="78">
    <w:name w:val="样式 55 + (西文) Times New Roman (中文) 宋体 五号 加粗 行距: 1.5 倍行距"/>
    <w:basedOn w:val="68"/>
    <w:qFormat/>
    <w:uiPriority w:val="0"/>
    <w:pPr>
      <w:spacing w:line="360" w:lineRule="auto"/>
      <w:ind w:firstLine="0"/>
    </w:pPr>
    <w:rPr>
      <w:rFonts w:ascii="Times New Roman" w:eastAsia="黑体" w:cs="宋体"/>
      <w:bCs/>
      <w:szCs w:val="20"/>
    </w:rPr>
  </w:style>
  <w:style w:type="paragraph" w:customStyle="1" w:styleId="79">
    <w:name w:val="标题2（新）"/>
    <w:basedOn w:val="5"/>
    <w:qFormat/>
    <w:uiPriority w:val="0"/>
    <w:pPr>
      <w:widowControl/>
      <w:spacing w:before="0" w:line="440" w:lineRule="exact"/>
    </w:pPr>
    <w:rPr>
      <w:rFonts w:ascii="宋体" w:eastAsia="宋体" w:cs="宋体"/>
      <w:szCs w:val="28"/>
    </w:rPr>
  </w:style>
  <w:style w:type="paragraph" w:customStyle="1" w:styleId="80">
    <w:name w:val="Char Char Char"/>
    <w:basedOn w:val="1"/>
    <w:qFormat/>
    <w:uiPriority w:val="0"/>
    <w:rPr>
      <w:rFonts w:ascii="Tahoma" w:hAnsi="Tahoma"/>
    </w:rPr>
  </w:style>
  <w:style w:type="paragraph" w:customStyle="1" w:styleId="81">
    <w:name w:val="_Style 77"/>
    <w:basedOn w:val="4"/>
    <w:next w:val="1"/>
    <w:qFormat/>
    <w:uiPriority w:val="39"/>
    <w:pPr>
      <w:widowControl/>
      <w:spacing w:before="480" w:after="0" w:afterLines="50" w:line="276" w:lineRule="auto"/>
      <w:jc w:val="left"/>
      <w:outlineLvl w:val="9"/>
    </w:pPr>
    <w:rPr>
      <w:rFonts w:ascii="Cambria" w:hAnsi="Cambria"/>
      <w:color w:val="365F91"/>
      <w:kern w:val="0"/>
      <w:sz w:val="28"/>
      <w:szCs w:val="28"/>
    </w:rPr>
  </w:style>
  <w:style w:type="paragraph" w:customStyle="1" w:styleId="82">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styleId="83">
    <w:name w:val="No Spacing"/>
    <w:link w:val="84"/>
    <w:qFormat/>
    <w:uiPriority w:val="1"/>
    <w:rPr>
      <w:rFonts w:ascii="Calibri" w:hAnsi="Calibri" w:eastAsia="宋体" w:cs="Times New Roman"/>
      <w:sz w:val="22"/>
      <w:szCs w:val="22"/>
      <w:lang w:val="en-US" w:eastAsia="zh-CN" w:bidi="ar-SA"/>
    </w:rPr>
  </w:style>
  <w:style w:type="character" w:customStyle="1" w:styleId="84">
    <w:name w:val="无间隔 字符"/>
    <w:link w:val="83"/>
    <w:qFormat/>
    <w:uiPriority w:val="1"/>
    <w:rPr>
      <w:rFonts w:ascii="Calibri" w:hAnsi="Calibri"/>
      <w:sz w:val="22"/>
      <w:szCs w:val="22"/>
      <w:lang w:val="en-US" w:eastAsia="zh-CN" w:bidi="ar-SA"/>
    </w:rPr>
  </w:style>
  <w:style w:type="character" w:customStyle="1" w:styleId="85">
    <w:name w:val="正文文本 3 Char1"/>
    <w:qFormat/>
    <w:uiPriority w:val="99"/>
    <w:rPr>
      <w:kern w:val="2"/>
      <w:sz w:val="16"/>
      <w:szCs w:val="16"/>
    </w:rPr>
  </w:style>
  <w:style w:type="paragraph" w:customStyle="1" w:styleId="86">
    <w:name w:val="表格文字"/>
    <w:basedOn w:val="15"/>
    <w:qFormat/>
    <w:uiPriority w:val="0"/>
    <w:pPr>
      <w:spacing w:before="20" w:after="20" w:line="360" w:lineRule="atLeast"/>
      <w:textAlignment w:val="baseline"/>
    </w:pPr>
    <w:rPr>
      <w:rFonts w:ascii="Century Gothic" w:hAnsi="Century Gothic"/>
      <w:sz w:val="20"/>
    </w:rPr>
  </w:style>
  <w:style w:type="paragraph" w:customStyle="1" w:styleId="87">
    <w:name w:val="列出段落1"/>
    <w:basedOn w:val="1"/>
    <w:qFormat/>
    <w:uiPriority w:val="34"/>
    <w:pPr>
      <w:ind w:firstLine="420"/>
    </w:pPr>
  </w:style>
  <w:style w:type="paragraph" w:customStyle="1" w:styleId="88">
    <w:name w:val="Normal_43_0"/>
    <w:qFormat/>
    <w:uiPriority w:val="0"/>
    <w:pPr>
      <w:spacing w:before="120" w:after="240"/>
      <w:jc w:val="both"/>
    </w:pPr>
    <w:rPr>
      <w:rFonts w:ascii="Calibri" w:hAnsi="Calibri" w:eastAsia="Calibri" w:cs="Times New Roman"/>
      <w:sz w:val="22"/>
      <w:szCs w:val="22"/>
      <w:lang w:val="en-US" w:eastAsia="en-US" w:bidi="ar-SA"/>
    </w:rPr>
  </w:style>
  <w:style w:type="paragraph" w:customStyle="1" w:styleId="89">
    <w:name w:val="列出段落11"/>
    <w:basedOn w:val="1"/>
    <w:qFormat/>
    <w:uiPriority w:val="34"/>
    <w:pPr>
      <w:ind w:firstLine="420"/>
    </w:pPr>
    <w:rPr>
      <w:rFonts w:ascii="Calibri" w:hAnsi="Calibri"/>
      <w:szCs w:val="22"/>
    </w:rPr>
  </w:style>
  <w:style w:type="character" w:customStyle="1" w:styleId="90">
    <w:name w:val="无间隔 Char1"/>
    <w:qFormat/>
    <w:uiPriority w:val="1"/>
    <w:rPr>
      <w:rFonts w:ascii="Calibri" w:hAnsi="Calibri" w:eastAsia="宋体"/>
      <w:kern w:val="2"/>
      <w:sz w:val="21"/>
      <w:szCs w:val="22"/>
      <w:lang w:bidi="ar-SA"/>
    </w:rPr>
  </w:style>
  <w:style w:type="paragraph" w:customStyle="1" w:styleId="91">
    <w:name w:val="目录1"/>
    <w:basedOn w:val="1"/>
    <w:qFormat/>
    <w:uiPriority w:val="0"/>
    <w:rPr>
      <w:rFonts w:ascii="黑体" w:eastAsia="黑体"/>
      <w:sz w:val="52"/>
      <w:szCs w:val="52"/>
    </w:rPr>
  </w:style>
  <w:style w:type="character" w:customStyle="1" w:styleId="92">
    <w:name w:val="无间隔 Char"/>
    <w:qFormat/>
    <w:uiPriority w:val="1"/>
    <w:rPr>
      <w:rFonts w:ascii="Calibri" w:hAnsi="Calibri"/>
      <w:sz w:val="22"/>
      <w:szCs w:val="22"/>
      <w:lang w:val="en-US" w:eastAsia="zh-CN" w:bidi="ar-SA"/>
    </w:rPr>
  </w:style>
  <w:style w:type="paragraph" w:customStyle="1" w:styleId="93">
    <w:name w:val="CM20"/>
    <w:basedOn w:val="82"/>
    <w:next w:val="82"/>
    <w:qFormat/>
    <w:uiPriority w:val="99"/>
  </w:style>
  <w:style w:type="paragraph" w:customStyle="1" w:styleId="94">
    <w:name w:val="修订1"/>
    <w:qFormat/>
    <w:uiPriority w:val="99"/>
    <w:rPr>
      <w:rFonts w:ascii="Times New Roman" w:hAnsi="Times New Roman" w:eastAsia="宋体" w:cs="Times New Roman"/>
      <w:kern w:val="2"/>
      <w:sz w:val="24"/>
      <w:lang w:val="en-US" w:eastAsia="zh-CN" w:bidi="ar-SA"/>
    </w:rPr>
  </w:style>
  <w:style w:type="paragraph" w:customStyle="1" w:styleId="95">
    <w:name w:val="修订2"/>
    <w:qFormat/>
    <w:uiPriority w:val="99"/>
    <w:rPr>
      <w:rFonts w:ascii="Times New Roman" w:hAnsi="Times New Roman" w:eastAsia="宋体" w:cs="Times New Roman"/>
      <w:kern w:val="2"/>
      <w:sz w:val="24"/>
      <w:lang w:val="en-US" w:eastAsia="zh-CN" w:bidi="ar-SA"/>
    </w:rPr>
  </w:style>
  <w:style w:type="paragraph" w:customStyle="1" w:styleId="96">
    <w:name w:val="修订3"/>
    <w:qFormat/>
    <w:uiPriority w:val="99"/>
    <w:rPr>
      <w:rFonts w:ascii="Times New Roman" w:hAnsi="Times New Roman" w:eastAsia="宋体" w:cs="Times New Roman"/>
      <w:kern w:val="2"/>
      <w:sz w:val="24"/>
      <w:lang w:val="en-US" w:eastAsia="zh-CN" w:bidi="ar-SA"/>
    </w:rPr>
  </w:style>
  <w:style w:type="paragraph" w:customStyle="1" w:styleId="97">
    <w:name w:val="Revision_4b17ef83-5744-41db-b3fb-c3c266d143ef"/>
    <w:qFormat/>
    <w:uiPriority w:val="99"/>
    <w:rPr>
      <w:rFonts w:ascii="Times New Roman" w:hAnsi="Times New Roman" w:eastAsia="宋体" w:cs="Times New Roman"/>
      <w:kern w:val="2"/>
      <w:sz w:val="24"/>
      <w:lang w:val="en-US" w:eastAsia="zh-CN" w:bidi="ar-SA"/>
    </w:rPr>
  </w:style>
  <w:style w:type="paragraph" w:customStyle="1" w:styleId="98">
    <w:name w:val="正文 A"/>
    <w:qFormat/>
    <w:uiPriority w:val="0"/>
    <w:pPr>
      <w:widowControl w:val="0"/>
      <w:spacing w:line="560" w:lineRule="exact"/>
      <w:jc w:val="both"/>
    </w:pPr>
    <w:rPr>
      <w:rFonts w:ascii="仿宋_GB2312" w:hAnsi="仿宋_GB2312" w:eastAsia="仿宋_GB2312" w:cs="仿宋_GB2312"/>
      <w:color w:val="000000"/>
      <w:sz w:val="32"/>
      <w:szCs w:val="3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45</Pages>
  <Words>7044</Words>
  <Characters>7612</Characters>
  <Paragraphs>897</Paragraphs>
  <TotalTime>2</TotalTime>
  <ScaleCrop>false</ScaleCrop>
  <LinksUpToDate>false</LinksUpToDate>
  <CharactersWithSpaces>8162</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2023-04-25T09:28:00Z</dcterms:created>
  <dc:creator>cncdc</dc:creator>
  <cp:lastModifiedBy>皮耸</cp:lastModifiedBy>
  <cp:lastPrinted>2024-05-13T01:29:00Z</cp:lastPrinted>
  <dcterms:modified xsi:type="dcterms:W3CDTF">2025-12-01T02:23:01Z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95A7E33CFB84425F8D99406B533E2C3B_13</vt:lpwstr>
  </property>
  <property fmtid="{D5CDD505-2E9C-101B-9397-08002B2CF9AE}" pid="4" name="KSOTemplateDocerSaveRecord">
    <vt:lpwstr>eyJoZGlkIjoiNTU0ZmIwYTQ3NzlmZGUxZmU3Zjk0M2IyZTNmM2IxNjAiLCJ1c2VySWQiOiIxMDU5Nzg0MjY4In0=</vt:lpwstr>
  </property>
</Properties>
</file>