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hint="eastAsia" w:ascii="宋体" w:hAnsi="宋体"/>
          <w:b/>
          <w:bCs/>
          <w:caps/>
          <w:snapToGrid w:val="0"/>
          <w:kern w:val="0"/>
          <w:sz w:val="28"/>
          <w:szCs w:val="28"/>
        </w:rPr>
      </w:pPr>
      <w:r>
        <w:rPr>
          <w:rFonts w:hint="eastAsia" w:ascii="宋体" w:hAnsi="宋体"/>
          <w:b/>
          <w:bCs/>
          <w:caps/>
          <w:snapToGrid w:val="0"/>
          <w:kern w:val="0"/>
          <w:sz w:val="28"/>
          <w:szCs w:val="28"/>
          <w:lang w:val="en-US" w:eastAsia="zh-CN"/>
        </w:rPr>
        <w:t>5.6</w:t>
      </w:r>
      <w:r>
        <w:rPr>
          <w:rFonts w:hint="eastAsia" w:ascii="宋体" w:hAnsi="宋体"/>
          <w:b/>
          <w:bCs/>
          <w:caps/>
          <w:snapToGrid w:val="0"/>
          <w:kern w:val="0"/>
          <w:sz w:val="28"/>
          <w:szCs w:val="28"/>
        </w:rPr>
        <w:t>调节</w:t>
      </w:r>
      <w:r>
        <w:rPr>
          <w:rFonts w:hint="eastAsia" w:ascii="宋体" w:hAnsi="宋体"/>
          <w:b/>
          <w:bCs/>
          <w:caps/>
          <w:snapToGrid w:val="0"/>
          <w:kern w:val="0"/>
          <w:sz w:val="28"/>
          <w:szCs w:val="28"/>
          <w:lang w:eastAsia="zh-CN"/>
        </w:rPr>
        <w:t>阀</w:t>
      </w:r>
      <w:r>
        <w:rPr>
          <w:rFonts w:hint="eastAsia" w:ascii="宋体" w:hAnsi="宋体"/>
          <w:b/>
          <w:bCs/>
          <w:caps/>
          <w:snapToGrid w:val="0"/>
          <w:kern w:val="0"/>
          <w:sz w:val="28"/>
          <w:szCs w:val="28"/>
        </w:rPr>
        <w:t>通用技术要求</w:t>
      </w:r>
    </w:p>
    <w:p>
      <w:pPr>
        <w:pageBreakBefore w:val="0"/>
        <w:numPr>
          <w:ilvl w:val="0"/>
          <w:numId w:val="0"/>
        </w:numPr>
        <w:kinsoku/>
        <w:wordWrap/>
        <w:overflowPunct/>
        <w:bidi w:val="0"/>
        <w:snapToGrid/>
        <w:spacing w:line="360" w:lineRule="auto"/>
        <w:ind w:firstLine="964" w:firstLineChars="400"/>
        <w:rPr>
          <w:rFonts w:hint="eastAsia" w:ascii="宋体" w:hAnsi="宋体"/>
          <w:b/>
          <w:bCs/>
          <w:caps/>
          <w:snapToGrid w:val="0"/>
          <w:kern w:val="0"/>
          <w:sz w:val="28"/>
          <w:szCs w:val="28"/>
        </w:rPr>
      </w:pPr>
      <w:r>
        <w:rPr>
          <w:rFonts w:hint="eastAsia" w:ascii="宋体" w:hAnsi="宋体"/>
          <w:b/>
          <w:bCs/>
          <w:sz w:val="24"/>
          <w:lang w:val="en-US" w:eastAsia="zh-CN"/>
        </w:rPr>
        <w:t>有特种设备制造许可A1资质（仅限调节阀）。</w:t>
      </w:r>
    </w:p>
    <w:p>
      <w:pPr>
        <w:spacing w:line="360" w:lineRule="auto"/>
        <w:ind w:firstLine="944" w:firstLineChars="392"/>
        <w:rPr>
          <w:rFonts w:hint="eastAsia" w:ascii="宋体" w:hAnsi="宋体"/>
          <w:b/>
          <w:bCs/>
          <w:sz w:val="24"/>
        </w:rPr>
      </w:pPr>
      <w:r>
        <w:rPr>
          <w:rFonts w:hint="eastAsia" w:ascii="宋体" w:hAnsi="宋体"/>
          <w:b/>
          <w:bCs/>
          <w:sz w:val="24"/>
        </w:rPr>
        <w:t>投标方所提供的设备和材料低于本技术规格书规定的标准时，有权要求投标方进行更换，费用由投标方自负。气动调节阀</w:t>
      </w:r>
      <w:r>
        <w:rPr>
          <w:rFonts w:hint="eastAsia" w:ascii="宋体" w:hAnsi="宋体"/>
          <w:b/>
          <w:bCs/>
          <w:sz w:val="24"/>
          <w:lang w:eastAsia="zh-CN"/>
        </w:rPr>
        <w:t>采用</w:t>
      </w:r>
      <w:r>
        <w:rPr>
          <w:rFonts w:hint="eastAsia" w:ascii="宋体" w:hAnsi="宋体"/>
          <w:b/>
          <w:bCs/>
          <w:sz w:val="24"/>
        </w:rPr>
        <w:t>吴忠仪表、</w:t>
      </w:r>
      <w:r>
        <w:rPr>
          <w:rFonts w:hint="eastAsia" w:ascii="宋体" w:hAnsi="宋体"/>
          <w:b/>
          <w:bCs/>
          <w:sz w:val="24"/>
          <w:lang w:eastAsia="zh-CN"/>
        </w:rPr>
        <w:t>川仪、</w:t>
      </w:r>
      <w:r>
        <w:rPr>
          <w:rFonts w:hint="eastAsia" w:ascii="宋体" w:hAnsi="宋体"/>
          <w:b/>
          <w:bCs/>
          <w:sz w:val="24"/>
        </w:rPr>
        <w:t>上海阀特、徐州阿卡等品牌。</w:t>
      </w:r>
      <w:r>
        <w:rPr>
          <w:rFonts w:hint="eastAsia" w:ascii="宋体" w:hAnsi="宋体"/>
          <w:b/>
          <w:bCs/>
          <w:sz w:val="24"/>
          <w:lang w:val="en-US" w:eastAsia="zh-CN"/>
        </w:rPr>
        <w:t>成套提供连接螺栓垫片和紧固件。</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1所有的产品必须是全新的，不接受修复的产品。必须满足数据表要求。</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.2每台阀门应有永久性流体流向标识。</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.3要求能耐－</w:t>
      </w:r>
      <w:r>
        <w:rPr>
          <w:rFonts w:hint="eastAsia" w:ascii="宋体" w:hAnsi="宋体"/>
          <w:b w:val="0"/>
          <w:bCs w:val="0"/>
          <w:sz w:val="24"/>
          <w:lang w:val="en-US" w:eastAsia="zh-CN"/>
        </w:rPr>
        <w:t>40</w:t>
      </w:r>
      <w:r>
        <w:rPr>
          <w:rFonts w:hint="eastAsia" w:ascii="宋体" w:hAnsi="宋体"/>
          <w:b w:val="0"/>
          <w:bCs w:val="0"/>
          <w:sz w:val="24"/>
        </w:rPr>
        <w:t>℃环境温度。</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.4仪表铭牌应永久、牢固地固定在仪表上，铭牌材质为不锈钢。</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.5填料压盖的材料应等于或不低于阀体材质，对于易燃易爆或有毒性介质，须采用有严密外漏密封的高性能填料系统以最大限度地保证安全和环保要求。连接方式：使用压盖式连接，不得使用螺纹式连接。</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.6按照仪表数据表上提供的仪表参数，提供调节阀的计算书；调节阀的最大开度不得大于85%，最小开度不得小于10%。</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.7定位器采用智能型，输入信号：4~20mA DC（HART），定位器带自诊断功能，电气接口尺寸：1/2“NPT，防护等级：不低于IP65，防爆等级：</w:t>
      </w:r>
      <w:r>
        <w:rPr>
          <w:rFonts w:hint="eastAsia" w:ascii="宋体" w:hAnsi="宋体"/>
          <w:b w:val="0"/>
          <w:bCs w:val="0"/>
          <w:sz w:val="24"/>
          <w:lang w:eastAsia="zh-CN"/>
        </w:rPr>
        <w:t>采用</w:t>
      </w:r>
      <w:r>
        <w:rPr>
          <w:rFonts w:hint="eastAsia" w:ascii="宋体" w:hAnsi="宋体"/>
          <w:b/>
          <w:bCs/>
          <w:sz w:val="24"/>
        </w:rPr>
        <w:t>ExiaIICT4，</w:t>
      </w:r>
      <w:r>
        <w:rPr>
          <w:rFonts w:hint="eastAsia" w:ascii="宋体" w:hAnsi="宋体"/>
          <w:b w:val="0"/>
          <w:bCs w:val="0"/>
          <w:sz w:val="24"/>
        </w:rPr>
        <w:t>定位器基本精度：0.5级或更高。定位器须满足-40℃的环境要求。</w:t>
      </w:r>
    </w:p>
    <w:p>
      <w:pPr>
        <w:spacing w:line="360" w:lineRule="auto"/>
        <w:ind w:firstLine="944" w:firstLineChars="392"/>
        <w:rPr>
          <w:rFonts w:hint="eastAsia" w:ascii="宋体" w:hAnsi="宋体"/>
          <w:b/>
          <w:bCs/>
          <w:sz w:val="24"/>
        </w:rPr>
      </w:pPr>
      <w:r>
        <w:rPr>
          <w:rFonts w:hint="eastAsia" w:ascii="宋体" w:hAnsi="宋体"/>
          <w:b/>
          <w:bCs/>
          <w:sz w:val="24"/>
        </w:rPr>
        <w:t>定位器采用（气动调节阀）FisherDVC（6200系列）、Masoneilan（SVI-II AP系列）、Metso（NDX系列）。</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.8采用304不锈钢气源管线及管接头。</w:t>
      </w:r>
    </w:p>
    <w:p>
      <w:pPr>
        <w:spacing w:line="360" w:lineRule="auto"/>
        <w:ind w:firstLine="940" w:firstLineChars="392"/>
        <w:rPr>
          <w:rFonts w:hint="eastAsia" w:ascii="宋体" w:hAnsi="宋体"/>
          <w:b w:val="0"/>
          <w:bCs w:val="0"/>
          <w:sz w:val="24"/>
        </w:rPr>
      </w:pPr>
      <w:r>
        <w:rPr>
          <w:rFonts w:hint="eastAsia" w:ascii="宋体" w:hAnsi="宋体"/>
          <w:b w:val="0"/>
          <w:bCs w:val="0"/>
          <w:sz w:val="24"/>
          <w:lang w:val="en-US" w:eastAsia="zh-CN"/>
        </w:rPr>
        <w:t>5.6</w:t>
      </w:r>
      <w:r>
        <w:rPr>
          <w:rFonts w:hint="eastAsia" w:ascii="宋体" w:hAnsi="宋体"/>
          <w:b w:val="0"/>
          <w:bCs w:val="0"/>
          <w:sz w:val="24"/>
        </w:rPr>
        <w:t>.9空气过滤减压器使用不锈钢材质，选用Versa、ASCO、诺冠产品，入口配1/4-Φ</w:t>
      </w:r>
      <w:r>
        <w:rPr>
          <w:rFonts w:hint="eastAsia" w:ascii="宋体" w:hAnsi="宋体"/>
          <w:b w:val="0"/>
          <w:bCs w:val="0"/>
          <w:sz w:val="24"/>
          <w:lang w:val="en-US" w:eastAsia="zh-CN"/>
        </w:rPr>
        <w:t>8</w:t>
      </w:r>
      <w:r>
        <w:rPr>
          <w:rFonts w:hint="eastAsia" w:ascii="宋体" w:hAnsi="宋体"/>
          <w:b w:val="0"/>
          <w:bCs w:val="0"/>
          <w:sz w:val="24"/>
        </w:rPr>
        <w:t>接头。</w:t>
      </w:r>
      <w:r>
        <w:rPr>
          <w:rFonts w:hint="eastAsia" w:ascii="宋体" w:hAnsi="宋体"/>
          <w:b w:val="0"/>
          <w:bCs w:val="0"/>
          <w:sz w:val="24"/>
          <w:lang w:val="en-US" w:eastAsia="zh-CN"/>
        </w:rPr>
        <w:t xml:space="preserve"> </w:t>
      </w:r>
    </w:p>
    <w:p>
      <w:pPr>
        <w:autoSpaceDE w:val="0"/>
        <w:autoSpaceDN w:val="0"/>
        <w:adjustRightInd w:val="0"/>
        <w:snapToGrid w:val="0"/>
        <w:spacing w:line="360" w:lineRule="auto"/>
        <w:rPr>
          <w:rFonts w:hint="eastAsia" w:ascii="宋体" w:hAnsi="宋体"/>
          <w:b/>
          <w:bCs/>
          <w:caps/>
          <w:snapToGrid w:val="0"/>
          <w:kern w:val="0"/>
          <w:sz w:val="28"/>
          <w:szCs w:val="28"/>
          <w:lang w:val="en-US" w:eastAsia="zh-CN"/>
        </w:rPr>
      </w:pPr>
      <w:r>
        <w:rPr>
          <w:rFonts w:hint="eastAsia" w:ascii="宋体" w:hAnsi="宋体"/>
          <w:b/>
          <w:bCs/>
          <w:caps/>
          <w:snapToGrid w:val="0"/>
          <w:kern w:val="0"/>
          <w:sz w:val="28"/>
          <w:szCs w:val="28"/>
          <w:lang w:val="en-US" w:eastAsia="zh-CN"/>
        </w:rPr>
        <w:t>5.7气动蝶阀技术要求</w:t>
      </w:r>
    </w:p>
    <w:p>
      <w:pPr>
        <w:spacing w:line="360" w:lineRule="auto"/>
        <w:ind w:firstLine="944" w:firstLineChars="392"/>
        <w:rPr>
          <w:rFonts w:hint="eastAsia" w:ascii="宋体" w:hAnsi="宋体"/>
          <w:b/>
          <w:bCs/>
          <w:sz w:val="24"/>
          <w:lang w:val="en-US" w:eastAsia="zh-CN"/>
        </w:rPr>
      </w:pPr>
      <w:r>
        <w:rPr>
          <w:rFonts w:hint="eastAsia" w:ascii="宋体" w:hAnsi="宋体"/>
          <w:b/>
          <w:bCs/>
          <w:sz w:val="24"/>
          <w:lang w:val="en-US" w:eastAsia="zh-CN"/>
        </w:rPr>
        <w:t>物料编码为：100505102582的气动调节蝶阀PV-2200-1，总长度要求787mm，阀门法兰尺寸存在偏差，可采用法兰短接形式连接保证阀门总长度，法兰短接与阀门法兰采用法兰连接（工艺管道规格：</w:t>
      </w:r>
      <w:r>
        <w:rPr>
          <w:rFonts w:hint="default" w:ascii="Arial" w:hAnsi="Arial" w:cs="Arial"/>
          <w:b/>
          <w:bCs/>
          <w:sz w:val="24"/>
          <w:lang w:val="en-US" w:eastAsia="zh-CN"/>
        </w:rPr>
        <w:t>¢</w:t>
      </w:r>
      <w:r>
        <w:rPr>
          <w:rFonts w:hint="eastAsia" w:ascii="宋体" w:hAnsi="宋体" w:cs="宋体"/>
          <w:b/>
          <w:bCs/>
          <w:sz w:val="24"/>
          <w:lang w:val="en-US" w:eastAsia="zh-CN"/>
        </w:rPr>
        <w:t>406.4*12.5；管道材质：20#钢；DN250 Class600 RF）</w:t>
      </w:r>
      <w:r>
        <w:rPr>
          <w:rFonts w:hint="eastAsia" w:ascii="宋体" w:hAnsi="宋体"/>
          <w:b/>
          <w:bCs/>
          <w:sz w:val="24"/>
          <w:lang w:val="en-US" w:eastAsia="zh-CN"/>
        </w:rPr>
        <w:t>成套提供连接螺栓垫片和紧固件。</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5.7.0</w:t>
      </w:r>
      <w:r>
        <w:rPr>
          <w:rFonts w:hint="eastAsia" w:ascii="宋体" w:hAnsi="宋体"/>
          <w:b/>
          <w:bCs/>
          <w:sz w:val="24"/>
          <w:lang w:val="en-US" w:eastAsia="zh-CN"/>
        </w:rPr>
        <w:t>法</w:t>
      </w:r>
      <w:bookmarkStart w:id="0" w:name="_GoBack"/>
      <w:r>
        <w:rPr>
          <w:rFonts w:hint="eastAsia" w:ascii="宋体" w:hAnsi="宋体"/>
          <w:b/>
          <w:bCs/>
          <w:sz w:val="24"/>
          <w:lang w:val="en-US" w:eastAsia="zh-CN"/>
        </w:rPr>
        <w:t>兰接口尺寸及长短必须与</w:t>
      </w:r>
      <w:bookmarkEnd w:id="0"/>
      <w:r>
        <w:rPr>
          <w:rFonts w:hint="eastAsia" w:ascii="宋体" w:hAnsi="宋体"/>
          <w:b/>
          <w:bCs/>
          <w:sz w:val="24"/>
          <w:lang w:val="en-US" w:eastAsia="zh-CN"/>
        </w:rPr>
        <w:t>原有尺寸一致。</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5.7.1气动调节蝶阀采用无锡宝牛、无锡工装、吴忠仪表、川仪等品牌。</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5.7.2有特种设备制造许可A1资质（仅限蝶阀）。</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5.7.3配套执行机构必须是进口产品，采用Flowserve、STI、Bettis、Procontrol、Mesto品牌。输出力矩不低于额定工况阀门最大力矩的2倍。</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5.7.4定位器采用智能型，输入信号：4~20mA DC（HART），定位器带自诊断功能，电气接口尺寸：1/2“NPT，防护等级：不低于IP65，防爆等级：不低于ExiaIICT4，定位器基本精度：0.5级或更高。定位器须满足-40℃的环境要求。对于温度较高工况，（气动调节阀）FisherDVC（6200系列）、Flowserve(520系列以上)、Masoneilan（SVI-II AP系列）、Metso（NDX系列以上）。</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5.7.5本安电磁阀</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电磁阀为二位三通低温型，选用ASCO、VERSA、诺冠产品。须满足-40℃的环境温度。防爆等级： ExiaIICT4；316材质，电源：24V DC，低功耗产品。电磁阀应保证在距离控制室500m、使用￠1.5mm线径电缆在极端温度的情况下能够动作。</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5.7.6本安阀位开关</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接近式阀位开关采用P+F电感式，本安型。选用TOPWORX、WESTLOCK等品牌与现场型号相同。</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5.7.7采用304不锈钢气源管线及管接头。</w:t>
      </w:r>
    </w:p>
    <w:p>
      <w:pPr>
        <w:spacing w:line="360" w:lineRule="auto"/>
        <w:ind w:firstLine="940" w:firstLineChars="392"/>
        <w:rPr>
          <w:rFonts w:hint="eastAsia" w:ascii="宋体" w:hAnsi="宋体"/>
          <w:b w:val="0"/>
          <w:bCs w:val="0"/>
          <w:sz w:val="24"/>
          <w:lang w:val="en-US" w:eastAsia="zh-CN"/>
        </w:rPr>
      </w:pPr>
      <w:r>
        <w:rPr>
          <w:rFonts w:hint="eastAsia" w:ascii="宋体" w:hAnsi="宋体"/>
          <w:b w:val="0"/>
          <w:bCs w:val="0"/>
          <w:sz w:val="24"/>
          <w:lang w:val="en-US" w:eastAsia="zh-CN"/>
        </w:rPr>
        <w:t>5.7.8空气过滤减压器使用不锈钢材质，选用Versa、ASCO、诺冠产品，入口配1/4-Φ12.7接头。</w:t>
      </w:r>
    </w:p>
    <w:p>
      <w:pPr>
        <w:rPr>
          <w:rFonts w:hint="eastAsia" w:eastAsia="宋体"/>
          <w:lang w:eastAsia="zh-CN"/>
        </w:rPr>
      </w:pPr>
      <w:r>
        <w:rPr>
          <w:rFonts w:hint="eastAsia" w:eastAsia="宋体"/>
          <w:lang w:eastAsia="zh-CN"/>
        </w:rPr>
        <w:drawing>
          <wp:inline distT="0" distB="0" distL="114300" distR="114300">
            <wp:extent cx="5267325" cy="8245475"/>
            <wp:effectExtent l="0" t="0" r="9525" b="3175"/>
            <wp:docPr id="1" name="图片 1" descr="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02"/>
                    <pic:cNvPicPr>
                      <a:picLocks noChangeAspect="1"/>
                    </pic:cNvPicPr>
                  </pic:nvPicPr>
                  <pic:blipFill>
                    <a:blip r:embed="rId4"/>
                    <a:stretch>
                      <a:fillRect/>
                    </a:stretch>
                  </pic:blipFill>
                  <pic:spPr>
                    <a:xfrm>
                      <a:off x="0" y="0"/>
                      <a:ext cx="5267325" cy="8245475"/>
                    </a:xfrm>
                    <a:prstGeom prst="rect">
                      <a:avLst/>
                    </a:prstGeom>
                  </pic:spPr>
                </pic:pic>
              </a:graphicData>
            </a:graphic>
          </wp:inline>
        </w:drawing>
      </w:r>
    </w:p>
    <w:p>
      <w:pPr>
        <w:pStyle w:val="2"/>
        <w:numPr>
          <w:ilvl w:val="1"/>
          <w:numId w:val="0"/>
        </w:numPr>
        <w:ind w:left="645" w:leftChars="0" w:right="567" w:rightChars="0"/>
        <w:rPr>
          <w:rFonts w:hint="eastAsia"/>
          <w:lang w:eastAsia="zh-CN"/>
        </w:rPr>
      </w:pPr>
      <w:r>
        <w:rPr>
          <w:rFonts w:hint="eastAsia"/>
          <w:lang w:eastAsia="zh-CN"/>
        </w:rPr>
        <w:drawing>
          <wp:inline distT="0" distB="0" distL="114300" distR="114300">
            <wp:extent cx="5272405" cy="8662035"/>
            <wp:effectExtent l="0" t="0" r="4445" b="5715"/>
            <wp:docPr id="3" name="图片 3" descr="12（1-7）PV-2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1-7）PV-2200-01"/>
                    <pic:cNvPicPr>
                      <a:picLocks noChangeAspect="1"/>
                    </pic:cNvPicPr>
                  </pic:nvPicPr>
                  <pic:blipFill>
                    <a:blip r:embed="rId5"/>
                    <a:stretch>
                      <a:fillRect/>
                    </a:stretch>
                  </pic:blipFill>
                  <pic:spPr>
                    <a:xfrm>
                      <a:off x="0" y="0"/>
                      <a:ext cx="5272405" cy="86620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E86"/>
    <w:multiLevelType w:val="multilevel"/>
    <w:tmpl w:val="64C76E86"/>
    <w:lvl w:ilvl="0" w:tentative="0">
      <w:start w:val="1"/>
      <w:numFmt w:val="decimal"/>
      <w:suff w:val="space"/>
      <w:lvlText w:val="%1.0  "/>
      <w:lvlJc w:val="left"/>
      <w:pPr>
        <w:ind w:left="907" w:hanging="453"/>
      </w:pPr>
      <w:rPr>
        <w:rFonts w:hint="default" w:ascii="Arial" w:hAnsi="Arial"/>
        <w:b/>
        <w:i w:val="0"/>
        <w:caps w:val="0"/>
        <w:strike w:val="0"/>
        <w:dstrike w:val="0"/>
        <w:vanish w:val="0"/>
        <w:color w:val="auto"/>
        <w:sz w:val="20"/>
        <w:u w:val="none"/>
        <w:vertAlign w:val="baseline"/>
      </w:rPr>
    </w:lvl>
    <w:lvl w:ilvl="1" w:tentative="0">
      <w:start w:val="1"/>
      <w:numFmt w:val="decimal"/>
      <w:pStyle w:val="2"/>
      <w:suff w:val="space"/>
      <w:lvlText w:val="%1.%2  "/>
      <w:lvlJc w:val="left"/>
      <w:pPr>
        <w:ind w:left="1077" w:hanging="623"/>
      </w:pPr>
      <w:rPr>
        <w:rFonts w:hint="default" w:ascii="Arial" w:hAnsi="Arial"/>
        <w:b/>
        <w:i w:val="0"/>
        <w:caps w:val="0"/>
        <w:strike w:val="0"/>
        <w:dstrike w:val="0"/>
        <w:vanish w:val="0"/>
        <w:color w:val="auto"/>
        <w:sz w:val="20"/>
        <w:u w:val="none"/>
        <w:vertAlign w:val="baseline"/>
      </w:rPr>
    </w:lvl>
    <w:lvl w:ilvl="2" w:tentative="0">
      <w:start w:val="1"/>
      <w:numFmt w:val="decimal"/>
      <w:suff w:val="space"/>
      <w:lvlText w:val="%1.%2.%3"/>
      <w:lvlJc w:val="left"/>
      <w:pPr>
        <w:ind w:left="1077" w:hanging="510"/>
      </w:pPr>
      <w:rPr>
        <w:rFonts w:hint="default" w:ascii="Arial" w:hAnsi="Arial"/>
        <w:b/>
        <w:i w:val="0"/>
        <w:caps w:val="0"/>
        <w:strike w:val="0"/>
        <w:dstrike w:val="0"/>
        <w:vanish w:val="0"/>
        <w:color w:val="auto"/>
        <w:sz w:val="20"/>
        <w:u w:val="none"/>
        <w:vertAlign w:val="baseline"/>
      </w:rPr>
    </w:lvl>
    <w:lvl w:ilvl="3" w:tentative="0">
      <w:start w:val="1"/>
      <w:numFmt w:val="decimal"/>
      <w:suff w:val="space"/>
      <w:lvlText w:val="(%4)"/>
      <w:lvlJc w:val="left"/>
      <w:pPr>
        <w:ind w:left="1418" w:hanging="284"/>
      </w:pPr>
      <w:rPr>
        <w:rFonts w:hint="default" w:ascii="Arial" w:hAnsi="Arial"/>
        <w:b w:val="0"/>
        <w:i w:val="0"/>
        <w:caps w:val="0"/>
        <w:strike w:val="0"/>
        <w:dstrike w:val="0"/>
        <w:vanish w:val="0"/>
        <w:color w:val="auto"/>
        <w:sz w:val="20"/>
        <w:u w:val="none"/>
        <w:vertAlign w:val="baseline"/>
      </w:rPr>
    </w:lvl>
    <w:lvl w:ilvl="4" w:tentative="0">
      <w:start w:val="1"/>
      <w:numFmt w:val="lowerRoman"/>
      <w:lvlText w:val="(%5)"/>
      <w:lvlJc w:val="left"/>
      <w:pPr>
        <w:tabs>
          <w:tab w:val="left" w:pos="2138"/>
        </w:tabs>
        <w:ind w:left="1701" w:hanging="283"/>
      </w:pPr>
      <w:rPr>
        <w:rFonts w:hint="default" w:ascii="Arial" w:hAnsi="Arial"/>
        <w:b w:val="0"/>
        <w:i w:val="0"/>
        <w:caps w:val="0"/>
        <w:strike w:val="0"/>
        <w:dstrike w:val="0"/>
        <w:vanish w:val="0"/>
        <w:color w:val="auto"/>
        <w:spacing w:val="-14"/>
        <w:sz w:val="18"/>
        <w:vertAlign w:val="baseline"/>
      </w:rPr>
    </w:lvl>
    <w:lvl w:ilvl="5" w:tentative="0">
      <w:start w:val="1"/>
      <w:numFmt w:val="lowerLetter"/>
      <w:lvlText w:val="(%6)"/>
      <w:lvlJc w:val="left"/>
      <w:pPr>
        <w:tabs>
          <w:tab w:val="left" w:pos="2061"/>
        </w:tabs>
        <w:ind w:left="1985" w:hanging="28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F2FE2"/>
    <w:rsid w:val="61E50274"/>
    <w:rsid w:val="73AC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numPr>
        <w:ilvl w:val="1"/>
        <w:numId w:val="1"/>
      </w:numPr>
      <w:tabs>
        <w:tab w:val="left" w:pos="1170"/>
      </w:tabs>
      <w:spacing w:before="480"/>
      <w:ind w:left="1170" w:right="567" w:hanging="525"/>
      <w:jc w:val="both"/>
      <w:outlineLvl w:val="1"/>
    </w:pPr>
    <w:rPr>
      <w:rFonts w:ascii="Arial" w:hAnsi="Arial"/>
      <w:b/>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2022-01-06T03:03:00Z</dcterms:created>
  <dc:creator>Administrator</dc:creator>
  <cp:lastModifiedBy>秋草逢霜</cp:lastModifiedBy>
  <dcterms:modified xsi:type="dcterms:W3CDTF">2022-01-06T05:46:59Z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