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beforeLines="100" w:line="360" w:lineRule="auto"/>
        <w:jc w:val="both"/>
        <w:textAlignment w:val="auto"/>
        <w:rPr>
          <w:rStyle w:val="129"/>
          <w:rFonts w:hint="eastAsia" w:ascii="宋体" w:hAnsi="宋体" w:eastAsia="宋体" w:cs="宋体"/>
          <w:b/>
          <w:bCs w:val="0"/>
          <w:color w:val="auto"/>
          <w:sz w:val="52"/>
          <w:szCs w:val="52"/>
        </w:rPr>
      </w:pPr>
    </w:p>
    <w:p>
      <w:pPr>
        <w:keepNext w:val="0"/>
        <w:keepLines w:val="0"/>
        <w:pageBreakBefore w:val="0"/>
        <w:widowControl w:val="0"/>
        <w:kinsoku/>
        <w:wordWrap/>
        <w:overflowPunct/>
        <w:topLinePunct w:val="0"/>
        <w:autoSpaceDE/>
        <w:autoSpaceDN/>
        <w:bidi w:val="0"/>
        <w:adjustRightInd w:val="0"/>
        <w:snapToGrid w:val="0"/>
        <w:spacing w:beforeLines="100" w:line="360" w:lineRule="auto"/>
        <w:jc w:val="center"/>
        <w:textAlignment w:val="auto"/>
        <w:rPr>
          <w:rStyle w:val="129"/>
          <w:rFonts w:hint="eastAsia" w:ascii="宋体" w:hAnsi="宋体" w:eastAsia="宋体" w:cs="宋体"/>
          <w:b/>
          <w:bCs w:val="0"/>
          <w:color w:val="auto"/>
          <w:sz w:val="52"/>
          <w:szCs w:val="52"/>
        </w:rPr>
      </w:pPr>
      <w:r>
        <w:rPr>
          <w:rStyle w:val="129"/>
          <w:rFonts w:hint="eastAsia" w:ascii="宋体" w:hAnsi="宋体" w:eastAsia="宋体" w:cs="宋体"/>
          <w:b/>
          <w:bCs w:val="0"/>
          <w:color w:val="auto"/>
          <w:sz w:val="52"/>
          <w:szCs w:val="52"/>
        </w:rPr>
        <w:t>中煤鄂尔多斯能源化工有限公司</w:t>
      </w:r>
    </w:p>
    <w:p>
      <w:pPr>
        <w:keepNext w:val="0"/>
        <w:keepLines w:val="0"/>
        <w:pageBreakBefore w:val="0"/>
        <w:widowControl w:val="0"/>
        <w:kinsoku/>
        <w:wordWrap/>
        <w:overflowPunct/>
        <w:topLinePunct w:val="0"/>
        <w:autoSpaceDE/>
        <w:autoSpaceDN/>
        <w:bidi w:val="0"/>
        <w:adjustRightInd w:val="0"/>
        <w:snapToGrid w:val="0"/>
        <w:spacing w:line="360" w:lineRule="auto"/>
        <w:ind w:left="-100" w:leftChars="-50" w:right="-100" w:rightChars="-50"/>
        <w:jc w:val="center"/>
        <w:textAlignment w:val="auto"/>
        <w:rPr>
          <w:rStyle w:val="129"/>
          <w:rFonts w:hint="eastAsia" w:ascii="宋体" w:hAnsi="宋体" w:eastAsia="宋体" w:cs="宋体"/>
          <w:b/>
          <w:bCs w:val="0"/>
          <w:color w:val="0000FF"/>
          <w:sz w:val="52"/>
          <w:szCs w:val="52"/>
        </w:rPr>
      </w:pPr>
      <w:r>
        <w:rPr>
          <w:rStyle w:val="129"/>
          <w:rFonts w:hint="eastAsia" w:ascii="宋体" w:hAnsi="宋体" w:eastAsia="宋体" w:cs="宋体"/>
          <w:b/>
          <w:bCs w:val="0"/>
          <w:color w:val="auto"/>
          <w:w w:val="85"/>
          <w:sz w:val="52"/>
          <w:szCs w:val="52"/>
        </w:rPr>
        <w:t>仓储中心卸煤场地抑尘技术改造</w:t>
      </w:r>
      <w:r>
        <w:rPr>
          <w:rStyle w:val="129"/>
          <w:rFonts w:hint="eastAsia" w:ascii="宋体" w:hAnsi="宋体" w:eastAsia="宋体" w:cs="宋体"/>
          <w:b/>
          <w:bCs w:val="0"/>
          <w:color w:val="auto"/>
          <w:w w:val="85"/>
          <w:sz w:val="52"/>
          <w:szCs w:val="52"/>
          <w:lang w:val="en-US" w:eastAsia="zh-CN"/>
        </w:rPr>
        <w:t>项目</w:t>
      </w:r>
      <w:r>
        <w:rPr>
          <w:rStyle w:val="129"/>
          <w:rFonts w:hint="eastAsia" w:ascii="宋体" w:hAnsi="宋体" w:eastAsia="宋体" w:cs="宋体"/>
          <w:b/>
          <w:bCs w:val="0"/>
          <w:color w:val="auto"/>
          <w:w w:val="85"/>
          <w:sz w:val="52"/>
          <w:szCs w:val="52"/>
        </w:rPr>
        <w:t>EPC总承包</w:t>
      </w:r>
      <w:r>
        <w:rPr>
          <w:rStyle w:val="129"/>
          <w:rFonts w:hint="eastAsia" w:ascii="宋体" w:hAnsi="宋体" w:eastAsia="宋体" w:cs="宋体"/>
          <w:b/>
          <w:bCs w:val="0"/>
          <w:color w:val="auto"/>
          <w:w w:val="90"/>
          <w:sz w:val="52"/>
          <w:szCs w:val="52"/>
        </w:rPr>
        <w:t>建筑安装工程采购文件</w:t>
      </w:r>
    </w:p>
    <w:p>
      <w:pPr>
        <w:adjustRightInd w:val="0"/>
        <w:snapToGrid w:val="0"/>
        <w:ind w:firstLine="1687" w:firstLineChars="200"/>
        <w:rPr>
          <w:rStyle w:val="129"/>
          <w:rFonts w:hint="default" w:ascii="Times New Roman" w:hAnsi="Times New Roman" w:eastAsia="黑体" w:cs="Times New Roman"/>
          <w:b/>
          <w:color w:val="auto"/>
          <w:sz w:val="84"/>
          <w:highlight w:val="none"/>
        </w:rPr>
      </w:pPr>
    </w:p>
    <w:p>
      <w:pPr>
        <w:adjustRightInd w:val="0"/>
        <w:snapToGrid w:val="0"/>
        <w:ind w:firstLine="400" w:firstLineChars="200"/>
        <w:rPr>
          <w:rStyle w:val="129"/>
          <w:rFonts w:hint="default" w:ascii="Times New Roman" w:hAnsi="Times New Roman" w:cs="Times New Roman"/>
          <w:color w:val="auto"/>
          <w:szCs w:val="21"/>
          <w:highlight w:val="none"/>
        </w:rPr>
      </w:pPr>
    </w:p>
    <w:p>
      <w:pPr>
        <w:pStyle w:val="8"/>
        <w:rPr>
          <w:rStyle w:val="129"/>
          <w:rFonts w:hint="default" w:ascii="Times New Roman" w:hAnsi="Times New Roman" w:cs="Times New Roman"/>
          <w:color w:val="auto"/>
          <w:szCs w:val="21"/>
          <w:highlight w:val="none"/>
        </w:rPr>
      </w:pPr>
    </w:p>
    <w:p>
      <w:pPr>
        <w:pStyle w:val="8"/>
        <w:rPr>
          <w:rStyle w:val="129"/>
          <w:rFonts w:hint="default" w:ascii="Times New Roman" w:hAnsi="Times New Roman" w:cs="Times New Roman"/>
          <w:color w:val="auto"/>
          <w:szCs w:val="21"/>
          <w:highlight w:val="none"/>
        </w:rPr>
      </w:pPr>
    </w:p>
    <w:p>
      <w:pPr>
        <w:pStyle w:val="8"/>
        <w:rPr>
          <w:rStyle w:val="129"/>
          <w:rFonts w:hint="default" w:ascii="Times New Roman" w:hAnsi="Times New Roman" w:cs="Times New Roman"/>
          <w:color w:val="auto"/>
          <w:szCs w:val="21"/>
          <w:highlight w:val="none"/>
        </w:rPr>
      </w:pPr>
    </w:p>
    <w:p>
      <w:pPr>
        <w:pStyle w:val="8"/>
        <w:rPr>
          <w:rStyle w:val="129"/>
          <w:rFonts w:hint="default" w:ascii="Times New Roman" w:hAnsi="Times New Roman" w:cs="Times New Roman"/>
          <w:color w:val="auto"/>
          <w:szCs w:val="21"/>
          <w:highlight w:val="none"/>
        </w:rPr>
      </w:pPr>
    </w:p>
    <w:p>
      <w:pPr>
        <w:pStyle w:val="8"/>
        <w:rPr>
          <w:rStyle w:val="129"/>
          <w:rFonts w:hint="default" w:ascii="Times New Roman" w:hAnsi="Times New Roman" w:cs="Times New Roman"/>
          <w:color w:val="auto"/>
          <w:szCs w:val="21"/>
          <w:highlight w:val="none"/>
        </w:rPr>
      </w:pPr>
    </w:p>
    <w:p>
      <w:pPr>
        <w:pStyle w:val="8"/>
        <w:rPr>
          <w:rStyle w:val="129"/>
          <w:rFonts w:hint="default" w:ascii="Times New Roman" w:hAnsi="Times New Roman" w:cs="Times New Roman"/>
          <w:color w:val="auto"/>
          <w:szCs w:val="21"/>
          <w:highlight w:val="none"/>
        </w:rPr>
      </w:pPr>
    </w:p>
    <w:p>
      <w:pPr>
        <w:pStyle w:val="8"/>
        <w:rPr>
          <w:rStyle w:val="129"/>
          <w:rFonts w:hint="default" w:ascii="Times New Roman" w:hAnsi="Times New Roman" w:cs="Times New Roman"/>
          <w:color w:val="auto"/>
          <w:szCs w:val="21"/>
          <w:highlight w:val="none"/>
        </w:rPr>
      </w:pPr>
    </w:p>
    <w:p>
      <w:pPr>
        <w:pStyle w:val="8"/>
        <w:rPr>
          <w:rStyle w:val="129"/>
          <w:rFonts w:hint="default" w:ascii="Times New Roman" w:hAnsi="Times New Roman" w:cs="Times New Roman"/>
          <w:color w:val="auto"/>
          <w:szCs w:val="21"/>
          <w:highlight w:val="none"/>
        </w:rPr>
      </w:pPr>
    </w:p>
    <w:p>
      <w:pPr>
        <w:pStyle w:val="8"/>
        <w:rPr>
          <w:rStyle w:val="129"/>
          <w:rFonts w:hint="default" w:ascii="Times New Roman" w:hAnsi="Times New Roman" w:cs="Times New Roman"/>
          <w:color w:val="auto"/>
          <w:szCs w:val="21"/>
          <w:highlight w:val="none"/>
        </w:rPr>
      </w:pPr>
    </w:p>
    <w:p>
      <w:pPr>
        <w:adjustRightInd w:val="0"/>
        <w:snapToGrid w:val="0"/>
        <w:ind w:firstLine="640" w:firstLineChars="200"/>
        <w:jc w:val="center"/>
        <w:rPr>
          <w:rFonts w:hint="default" w:ascii="Times New Roman" w:hAnsi="Times New Roman" w:cs="Times New Roman"/>
          <w:color w:val="auto"/>
          <w:sz w:val="32"/>
          <w:szCs w:val="32"/>
          <w:highlight w:val="none"/>
        </w:rPr>
      </w:pPr>
    </w:p>
    <w:p>
      <w:pPr>
        <w:adjustRightInd w:val="0"/>
        <w:snapToGrid w:val="0"/>
        <w:spacing w:line="360" w:lineRule="auto"/>
        <w:ind w:firstLine="1280" w:firstLineChars="400"/>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采购项目编号：XJ2024090957</w:t>
      </w:r>
    </w:p>
    <w:p>
      <w:pPr>
        <w:adjustRightInd w:val="0"/>
        <w:snapToGrid w:val="0"/>
        <w:spacing w:line="360" w:lineRule="auto"/>
        <w:ind w:firstLine="1280" w:firstLineChars="400"/>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采   购   人：中煤天津设计工程有限责任公司</w:t>
      </w:r>
    </w:p>
    <w:p>
      <w:pPr>
        <w:adjustRightInd w:val="0"/>
        <w:snapToGrid w:val="0"/>
        <w:ind w:firstLine="602" w:firstLineChars="200"/>
        <w:jc w:val="center"/>
        <w:rPr>
          <w:rFonts w:hint="default" w:ascii="Times New Roman" w:hAnsi="Times New Roman" w:cs="Times New Roman"/>
          <w:b/>
          <w:color w:val="auto"/>
          <w:sz w:val="30"/>
          <w:szCs w:val="30"/>
          <w:highlight w:val="none"/>
        </w:rPr>
      </w:pPr>
    </w:p>
    <w:p>
      <w:pPr>
        <w:pStyle w:val="8"/>
        <w:rPr>
          <w:rFonts w:hint="default" w:ascii="Times New Roman" w:hAnsi="Times New Roman" w:cs="Times New Roman"/>
          <w:b/>
          <w:color w:val="auto"/>
          <w:sz w:val="30"/>
          <w:szCs w:val="30"/>
          <w:highlight w:val="none"/>
        </w:rPr>
      </w:pPr>
    </w:p>
    <w:p>
      <w:pPr>
        <w:rPr>
          <w:rFonts w:hint="default" w:ascii="Times New Roman" w:hAnsi="Times New Roman" w:cs="Times New Roman"/>
          <w:b/>
          <w:color w:val="auto"/>
          <w:sz w:val="30"/>
          <w:szCs w:val="30"/>
          <w:highlight w:val="none"/>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pStyle w:val="8"/>
        <w:rPr>
          <w:rFonts w:hint="default" w:ascii="Times New Roman" w:hAnsi="Times New Roman" w:cs="Times New Roman"/>
          <w:b/>
          <w:color w:val="auto"/>
          <w:sz w:val="30"/>
          <w:szCs w:val="30"/>
          <w:highlight w:val="none"/>
        </w:rPr>
      </w:pPr>
    </w:p>
    <w:p>
      <w:pPr>
        <w:pStyle w:val="2"/>
        <w:spacing w:line="360" w:lineRule="auto"/>
        <w:jc w:val="center"/>
        <w:rPr>
          <w:rFonts w:hint="default" w:ascii="Times New Roman" w:hAnsi="Times New Roman" w:eastAsia="黑体" w:cs="Times New Roman"/>
          <w:bCs/>
          <w:color w:val="auto"/>
          <w:kern w:val="2"/>
          <w:sz w:val="36"/>
          <w:szCs w:val="36"/>
          <w:highlight w:val="none"/>
        </w:rPr>
      </w:pPr>
      <w:r>
        <w:rPr>
          <w:rFonts w:hint="default" w:ascii="Times New Roman" w:hAnsi="Times New Roman" w:cs="Times New Roman"/>
          <w:color w:val="auto"/>
          <w:sz w:val="32"/>
          <w:szCs w:val="32"/>
          <w:highlight w:val="none"/>
        </w:rPr>
        <w:t>202</w:t>
      </w:r>
      <w:r>
        <w:rPr>
          <w:rFonts w:hint="eastAsia" w:cs="Times New Roman"/>
          <w:color w:val="auto"/>
          <w:sz w:val="32"/>
          <w:szCs w:val="32"/>
          <w:highlight w:val="none"/>
          <w:lang w:val="en-US" w:eastAsia="zh-CN"/>
        </w:rPr>
        <w:t>4</w:t>
      </w:r>
      <w:r>
        <w:rPr>
          <w:rFonts w:hint="default" w:ascii="Times New Roman" w:hAnsi="Times New Roman" w:cs="Times New Roman"/>
          <w:color w:val="auto"/>
          <w:sz w:val="32"/>
          <w:szCs w:val="32"/>
          <w:highlight w:val="none"/>
        </w:rPr>
        <w:t>年</w:t>
      </w:r>
      <w:r>
        <w:rPr>
          <w:rFonts w:hint="eastAsia" w:cs="Times New Roman"/>
          <w:color w:val="auto"/>
          <w:sz w:val="32"/>
          <w:szCs w:val="32"/>
          <w:highlight w:val="none"/>
          <w:lang w:val="en-US" w:eastAsia="zh-CN"/>
        </w:rPr>
        <w:t>8</w:t>
      </w:r>
      <w:r>
        <w:rPr>
          <w:rFonts w:hint="default" w:ascii="Times New Roman" w:hAnsi="Times New Roman" w:cs="Times New Roman"/>
          <w:color w:val="auto"/>
          <w:sz w:val="32"/>
          <w:szCs w:val="32"/>
          <w:highlight w:val="none"/>
        </w:rPr>
        <w:t>月</w:t>
      </w:r>
    </w:p>
    <w:p>
      <w:pPr>
        <w:pStyle w:val="34"/>
        <w:ind w:firstLine="4392" w:firstLineChars="1823"/>
        <w:rPr>
          <w:rFonts w:hint="default" w:ascii="Times New Roman" w:hAnsi="Times New Roman" w:cs="Times New Roman"/>
          <w:color w:val="auto"/>
          <w:highlight w:val="none"/>
        </w:rPr>
      </w:pPr>
      <w:r>
        <w:rPr>
          <w:rFonts w:hint="default" w:ascii="Times New Roman" w:hAnsi="Times New Roman" w:eastAsia="宋体" w:cs="Times New Roman"/>
          <w:color w:val="auto"/>
          <w:highlight w:val="none"/>
        </w:rPr>
        <w:br w:type="page"/>
      </w:r>
      <w:r>
        <w:rPr>
          <w:rFonts w:hint="default" w:ascii="Times New Roman" w:hAnsi="Times New Roman" w:eastAsia="宋体" w:cs="Times New Roman"/>
          <w:color w:val="auto"/>
          <w:highlight w:val="none"/>
        </w:rPr>
        <w:fldChar w:fldCharType="begin"/>
      </w:r>
      <w:r>
        <w:rPr>
          <w:rFonts w:hint="default" w:ascii="Times New Roman" w:hAnsi="Times New Roman" w:eastAsia="宋体" w:cs="Times New Roman"/>
          <w:color w:val="auto"/>
          <w:highlight w:val="none"/>
        </w:rPr>
        <w:instrText xml:space="preserve"> TOC \o "1-2" \h \z \u </w:instrText>
      </w:r>
      <w:r>
        <w:rPr>
          <w:rFonts w:hint="default" w:ascii="Times New Roman" w:hAnsi="Times New Roman" w:eastAsia="宋体" w:cs="Times New Roman"/>
          <w:color w:val="auto"/>
          <w:highlight w:val="none"/>
        </w:rPr>
        <w:fldChar w:fldCharType="separate"/>
      </w:r>
    </w:p>
    <w:p>
      <w:pPr>
        <w:pStyle w:val="34"/>
        <w:rPr>
          <w:rFonts w:hint="default" w:ascii="Times New Roman" w:hAnsi="Times New Roman" w:cs="Times New Roman"/>
          <w:b w:val="0"/>
          <w:bCs w:val="0"/>
          <w:caps w:val="0"/>
          <w:color w:val="auto"/>
          <w:sz w:val="21"/>
          <w:szCs w:val="22"/>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"_Toc10184872"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第一章 采购公</w:t>
      </w:r>
      <w:r>
        <w:rPr>
          <w:rFonts w:hint="default" w:ascii="Times New Roman" w:hAnsi="Times New Roman" w:cs="Times New Roman"/>
          <w:color w:val="auto"/>
          <w:highlight w:val="none"/>
        </w:rPr>
        <w:fldChar w:fldCharType="end"/>
      </w:r>
      <w:r>
        <w:rPr>
          <w:rFonts w:hint="default" w:ascii="Times New Roman" w:hAnsi="Times New Roman" w:cs="Times New Roman"/>
          <w:color w:val="auto"/>
          <w:highlight w:val="none"/>
        </w:rPr>
        <w:t>告</w:t>
      </w:r>
    </w:p>
    <w:p>
      <w:pPr>
        <w:pStyle w:val="34"/>
        <w:rPr>
          <w:rFonts w:hint="default" w:ascii="Times New Roman" w:hAnsi="Times New Roman" w:cs="Times New Roman"/>
          <w:color w:val="auto"/>
          <w:highlight w:val="none"/>
        </w:rPr>
      </w:pPr>
    </w:p>
    <w:p>
      <w:pPr>
        <w:pStyle w:val="34"/>
        <w:rPr>
          <w:rFonts w:hint="default" w:ascii="Times New Roman" w:hAnsi="Times New Roman" w:eastAsia="宋体" w:cs="Times New Roman"/>
          <w:b w:val="0"/>
          <w:bCs w:val="0"/>
          <w:caps w:val="0"/>
          <w:color w:val="auto"/>
          <w:sz w:val="21"/>
          <w:szCs w:val="22"/>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"_Toc10184873"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第二章 供应商须知及前附表</w:t>
      </w:r>
      <w:r>
        <w:rPr>
          <w:rFonts w:hint="default" w:ascii="Times New Roman" w:hAnsi="Times New Roman" w:cs="Times New Roman"/>
          <w:color w:val="auto"/>
          <w:highlight w:val="none"/>
        </w:rPr>
        <w:fldChar w:fldCharType="end"/>
      </w:r>
    </w:p>
    <w:p>
      <w:pPr>
        <w:pStyle w:val="34"/>
        <w:rPr>
          <w:rFonts w:hint="default" w:ascii="Times New Roman" w:hAnsi="Times New Roman" w:cs="Times New Roman"/>
          <w:color w:val="auto"/>
          <w:highlight w:val="none"/>
        </w:rPr>
      </w:pPr>
    </w:p>
    <w:p>
      <w:pPr>
        <w:pStyle w:val="34"/>
        <w:rPr>
          <w:rFonts w:hint="default" w:ascii="Times New Roman" w:hAnsi="Times New Roman" w:eastAsia="宋体" w:cs="Times New Roman"/>
          <w:b w:val="0"/>
          <w:bCs w:val="0"/>
          <w:caps w:val="0"/>
          <w:color w:val="auto"/>
          <w:sz w:val="21"/>
          <w:szCs w:val="22"/>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"_Toc10184881"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第三章 合同主要条款</w:t>
      </w:r>
      <w:r>
        <w:rPr>
          <w:rFonts w:hint="default" w:ascii="Times New Roman" w:hAnsi="Times New Roman" w:cs="Times New Roman"/>
          <w:color w:val="auto"/>
          <w:highlight w:val="none"/>
        </w:rPr>
        <w:fldChar w:fldCharType="end"/>
      </w:r>
    </w:p>
    <w:p>
      <w:pPr>
        <w:pStyle w:val="34"/>
        <w:rPr>
          <w:rFonts w:hint="default" w:ascii="Times New Roman" w:hAnsi="Times New Roman" w:cs="Times New Roman"/>
          <w:color w:val="auto"/>
          <w:highlight w:val="none"/>
        </w:rPr>
      </w:pPr>
    </w:p>
    <w:p>
      <w:pPr>
        <w:pStyle w:val="34"/>
        <w:rPr>
          <w:rFonts w:hint="default" w:ascii="Times New Roman" w:hAnsi="Times New Roman" w:eastAsia="宋体" w:cs="Times New Roman"/>
          <w:b w:val="0"/>
          <w:bCs w:val="0"/>
          <w:caps w:val="0"/>
          <w:color w:val="auto"/>
          <w:sz w:val="21"/>
          <w:szCs w:val="22"/>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"_Toc10184882"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第四章 技术规格书</w:t>
      </w:r>
      <w:r>
        <w:rPr>
          <w:rFonts w:hint="default" w:ascii="Times New Roman" w:hAnsi="Times New Roman" w:cs="Times New Roman"/>
          <w:color w:val="auto"/>
          <w:highlight w:val="none"/>
        </w:rPr>
        <w:fldChar w:fldCharType="end"/>
      </w:r>
    </w:p>
    <w:p>
      <w:pPr>
        <w:pStyle w:val="34"/>
        <w:rPr>
          <w:rFonts w:hint="default" w:ascii="Times New Roman" w:hAnsi="Times New Roman" w:cs="Times New Roman"/>
          <w:color w:val="auto"/>
          <w:highlight w:val="none"/>
        </w:rPr>
      </w:pPr>
    </w:p>
    <w:p>
      <w:pPr>
        <w:pStyle w:val="34"/>
        <w:rPr>
          <w:rFonts w:hint="default" w:ascii="Times New Roman" w:hAnsi="Times New Roman" w:cs="Times New Roman"/>
          <w:color w:val="auto"/>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"_Toc10184883"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t>第五章 采购响应文件格式</w:t>
      </w:r>
      <w:r>
        <w:rPr>
          <w:rFonts w:hint="default" w:ascii="Times New Roman" w:hAnsi="Times New Roman" w:cs="Times New Roman"/>
          <w:color w:val="auto"/>
          <w:highlight w:val="none"/>
        </w:rPr>
        <w:fldChar w:fldCharType="end"/>
      </w:r>
    </w:p>
    <w:p>
      <w:pPr>
        <w:ind w:firstLine="100" w:firstLineChars="50"/>
        <w:jc w:val="center"/>
        <w:outlineLvl w:val="0"/>
        <w:rPr>
          <w:rFonts w:hint="default" w:ascii="Times New Roman" w:hAnsi="Times New Roman" w:cs="Times New Roman"/>
          <w:color w:val="auto"/>
          <w:highlight w:val="none"/>
        </w:rPr>
        <w:sectPr>
          <w:footerReference r:id="rId4" w:type="first"/>
          <w:footerReference r:id="rId3" w:type="default"/>
          <w:type w:val="continuous"/>
          <w:pgSz w:w="11907" w:h="16840"/>
          <w:pgMar w:top="1418" w:right="1275" w:bottom="1418" w:left="1531" w:header="1021" w:footer="907" w:gutter="0"/>
          <w:cols w:space="720" w:num="1"/>
          <w:docGrid w:linePitch="312" w:charSpace="0"/>
        </w:sectPr>
      </w:pPr>
    </w:p>
    <w:p>
      <w:pPr>
        <w:pStyle w:val="4"/>
        <w:bidi w:val="0"/>
        <w:jc w:val="center"/>
        <w:rPr>
          <w:rFonts w:hint="default" w:ascii="Times New Roman" w:hAnsi="Times New Roman" w:cs="Times New Roman"/>
          <w:b/>
          <w:color w:val="auto"/>
          <w:kern w:val="2"/>
          <w:sz w:val="44"/>
          <w:szCs w:val="44"/>
          <w:highlight w:val="none"/>
        </w:rPr>
      </w:pPr>
      <w:r>
        <w:rPr>
          <w:rFonts w:hint="default" w:ascii="Times New Roman" w:hAnsi="Times New Roman" w:cs="Times New Roman"/>
          <w:color w:val="auto"/>
          <w:highlight w:val="none"/>
        </w:rPr>
        <w:fldChar w:fldCharType="end"/>
      </w:r>
      <w:bookmarkStart w:id="0" w:name="_Toc4336"/>
      <w:bookmarkStart w:id="1" w:name="_Toc10184872"/>
      <w:bookmarkStart w:id="2" w:name="_Toc376164237"/>
      <w:bookmarkStart w:id="3" w:name="_Toc376793708"/>
      <w:bookmarkStart w:id="4" w:name="_Toc199065441"/>
      <w:bookmarkStart w:id="5" w:name="_Toc376793572"/>
      <w:bookmarkStart w:id="6" w:name="_Toc376793553"/>
      <w:bookmarkStart w:id="7" w:name="_Toc382509453"/>
      <w:bookmarkStart w:id="8" w:name="_Toc199040648"/>
      <w:bookmarkStart w:id="9" w:name="_Toc199062850"/>
      <w:r>
        <w:rPr>
          <w:rFonts w:hint="default" w:ascii="Times New Roman" w:hAnsi="Times New Roman" w:cs="Times New Roman"/>
          <w:b/>
          <w:color w:val="auto"/>
          <w:kern w:val="2"/>
          <w:sz w:val="44"/>
          <w:szCs w:val="44"/>
          <w:highlight w:val="none"/>
        </w:rPr>
        <w:t>第一章</w:t>
      </w:r>
      <w:bookmarkEnd w:id="0"/>
      <w:r>
        <w:rPr>
          <w:rFonts w:hint="default" w:ascii="Times New Roman" w:hAnsi="Times New Roman" w:cs="Times New Roman"/>
          <w:b/>
          <w:color w:val="auto"/>
          <w:kern w:val="2"/>
          <w:sz w:val="44"/>
          <w:szCs w:val="44"/>
          <w:highlight w:val="none"/>
        </w:rPr>
        <w:t xml:space="preserve"> 采购</w:t>
      </w:r>
      <w:bookmarkEnd w:id="1"/>
      <w:r>
        <w:rPr>
          <w:rFonts w:hint="default" w:ascii="Times New Roman" w:hAnsi="Times New Roman" w:cs="Times New Roman"/>
          <w:b/>
          <w:color w:val="auto"/>
          <w:kern w:val="2"/>
          <w:sz w:val="44"/>
          <w:szCs w:val="44"/>
          <w:highlight w:val="none"/>
        </w:rPr>
        <w:t>公告</w:t>
      </w:r>
    </w:p>
    <w:p>
      <w:pPr>
        <w:pStyle w:val="44"/>
        <w:spacing w:line="384" w:lineRule="atLeast"/>
        <w:rPr>
          <w:rFonts w:hint="default" w:ascii="Times New Roman" w:hAnsi="Times New Roman" w:cs="Times New Roman"/>
          <w:color w:val="auto"/>
          <w:szCs w:val="22"/>
          <w:highlight w:val="none"/>
        </w:rPr>
      </w:pPr>
      <w:r>
        <w:rPr>
          <w:rFonts w:hint="default" w:ascii="Times New Roman" w:hAnsi="Times New Roman" w:cs="Times New Roman"/>
          <w:color w:val="auto"/>
          <w:highlight w:val="none"/>
        </w:rPr>
        <w:t>项目编号：XJ2024090957</w:t>
      </w:r>
    </w:p>
    <w:p>
      <w:pPr>
        <w:pStyle w:val="44"/>
        <w:spacing w:line="384" w:lineRule="atLeast"/>
        <w:rPr>
          <w:rFonts w:hint="default" w:ascii="Times New Roman" w:hAnsi="Times New Roman" w:cs="Times New Roman"/>
          <w:color w:val="auto"/>
          <w:highlight w:val="none"/>
        </w:rPr>
      </w:pPr>
      <w:r>
        <w:rPr>
          <w:rFonts w:hint="default" w:ascii="Times New Roman" w:hAnsi="Times New Roman" w:cs="Times New Roman"/>
          <w:color w:val="auto"/>
          <w:highlight w:val="none"/>
        </w:rPr>
        <w:t>类       别：</w:t>
      </w:r>
      <w:r>
        <w:rPr>
          <w:rFonts w:hint="eastAsia" w:ascii="Times New Roman" w:cs="Times New Roman"/>
          <w:color w:val="auto"/>
          <w:highlight w:val="none"/>
          <w:lang w:val="en-US" w:eastAsia="zh-CN"/>
        </w:rPr>
        <w:t>单一来源</w:t>
      </w:r>
      <w:r>
        <w:rPr>
          <w:rFonts w:hint="default" w:ascii="Times New Roman" w:hAnsi="Times New Roman" w:cs="Times New Roman"/>
          <w:color w:val="auto"/>
          <w:highlight w:val="none"/>
        </w:rPr>
        <w:t>谈判</w:t>
      </w:r>
    </w:p>
    <w:p>
      <w:pPr>
        <w:pStyle w:val="8"/>
        <w:ind w:firstLine="0"/>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谈判时间：2024-09-</w:t>
      </w:r>
      <w:r>
        <w:rPr>
          <w:rFonts w:hint="eastAsia" w:cs="Times New Roman"/>
          <w:color w:val="auto"/>
          <w:kern w:val="0"/>
          <w:sz w:val="24"/>
          <w:highlight w:val="none"/>
          <w:lang w:val="en-US" w:eastAsia="zh-CN"/>
        </w:rPr>
        <w:t>11</w:t>
      </w:r>
      <w:r>
        <w:rPr>
          <w:rFonts w:hint="default" w:ascii="Times New Roman" w:hAnsi="Times New Roman" w:cs="Times New Roman"/>
          <w:color w:val="auto"/>
          <w:kern w:val="0"/>
          <w:sz w:val="24"/>
          <w:highlight w:val="none"/>
        </w:rPr>
        <w:t xml:space="preserve"> 09:00:00</w:t>
      </w:r>
      <w:bookmarkStart w:id="175" w:name="_GoBack"/>
      <w:bookmarkEnd w:id="175"/>
    </w:p>
    <w:p>
      <w:pPr>
        <w:rPr>
          <w:rFonts w:hint="default" w:ascii="Times New Roman" w:hAnsi="Times New Roman" w:cs="Times New Roman"/>
          <w:color w:val="auto"/>
          <w:highlight w:val="none"/>
        </w:rPr>
      </w:pPr>
    </w:p>
    <w:p>
      <w:pPr>
        <w:pStyle w:val="4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480" w:firstLineChars="20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根据相关法律法规，遵循公开、公平、公正和诚实信用的原则，现对</w:t>
      </w:r>
      <w:r>
        <w:rPr>
          <w:rFonts w:hint="eastAsia" w:hAnsi="宋体" w:cs="宋体"/>
          <w:color w:val="auto"/>
          <w:kern w:val="2"/>
          <w:szCs w:val="20"/>
          <w:lang w:val="en-US" w:eastAsia="zh-CN" w:bidi="ar"/>
          <w14:ligatures w14:val="standardContextual"/>
        </w:rPr>
        <w:t>中煤鄂尔多斯能源化工有限公司仓储中心卸煤场地抑尘技术改造项目EPC总承包项目建</w:t>
      </w:r>
      <w:r>
        <w:rPr>
          <w:rFonts w:hint="eastAsia" w:hAnsi="宋体" w:cs="宋体"/>
          <w:kern w:val="2"/>
          <w:szCs w:val="20"/>
          <w:lang w:val="en-US" w:eastAsia="zh-CN" w:bidi="ar"/>
          <w14:ligatures w14:val="standardContextual"/>
        </w:rPr>
        <w:t>筑</w:t>
      </w:r>
      <w:r>
        <w:rPr>
          <w:rFonts w:hint="eastAsia" w:hAnsi="宋体" w:cs="宋体"/>
          <w:kern w:val="2"/>
          <w:szCs w:val="20"/>
          <w:lang w:bidi="ar"/>
          <w14:ligatures w14:val="standardContextual"/>
        </w:rPr>
        <w:t>安装工程分包</w:t>
      </w:r>
      <w:r>
        <w:rPr>
          <w:rFonts w:hint="default" w:ascii="Times New Roman" w:hAnsi="Times New Roman" w:cs="Times New Roman"/>
          <w:color w:val="auto"/>
          <w:highlight w:val="none"/>
        </w:rPr>
        <w:t>进行</w:t>
      </w:r>
      <w:r>
        <w:rPr>
          <w:rFonts w:hint="eastAsia" w:ascii="Times New Roman" w:cs="Times New Roman"/>
          <w:color w:val="auto"/>
          <w:highlight w:val="none"/>
          <w:lang w:val="en-US" w:eastAsia="zh-CN"/>
        </w:rPr>
        <w:t>单一来源</w:t>
      </w:r>
      <w:r>
        <w:rPr>
          <w:rFonts w:hint="default" w:ascii="Times New Roman" w:hAnsi="Times New Roman" w:cs="Times New Roman"/>
          <w:color w:val="auto"/>
          <w:highlight w:val="none"/>
        </w:rPr>
        <w:t>谈判。</w:t>
      </w:r>
    </w:p>
    <w:p>
      <w:pPr>
        <w:pStyle w:val="5"/>
        <w:keepNext/>
        <w:keepLines/>
        <w:pageBreakBefore w:val="0"/>
        <w:widowControl/>
        <w:numPr>
          <w:ilvl w:val="0"/>
          <w:numId w:val="4"/>
        </w:numPr>
        <w:kinsoku/>
        <w:wordWrap/>
        <w:overflowPunct/>
        <w:topLinePunct w:val="0"/>
        <w:autoSpaceDE/>
        <w:autoSpaceDN/>
        <w:bidi w:val="0"/>
        <w:adjustRightInd/>
        <w:snapToGrid/>
        <w:spacing w:before="0" w:after="0" w:line="560" w:lineRule="exact"/>
        <w:textAlignment w:val="auto"/>
        <w:rPr>
          <w:rFonts w:hint="default"/>
          <w:sz w:val="28"/>
          <w:szCs w:val="28"/>
        </w:rPr>
      </w:pPr>
      <w:r>
        <w:rPr>
          <w:rFonts w:hint="default"/>
          <w:sz w:val="28"/>
          <w:szCs w:val="28"/>
        </w:rPr>
        <w:t>采购范围</w:t>
      </w:r>
    </w:p>
    <w:p>
      <w:pPr>
        <w:pStyle w:val="4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480" w:firstLineChars="200"/>
        <w:textAlignment w:val="auto"/>
        <w:rPr>
          <w:rFonts w:hint="eastAsia" w:ascii="宋体" w:hAnsi="宋体" w:eastAsia="宋体" w:cs="宋体"/>
          <w:kern w:val="2"/>
          <w:szCs w:val="20"/>
          <w:lang w:bidi="ar"/>
          <w14:ligatures w14:val="standardContextual"/>
        </w:rPr>
      </w:pPr>
      <w:r>
        <w:rPr>
          <w:rFonts w:hint="eastAsia" w:ascii="宋体" w:hAnsi="宋体" w:eastAsia="宋体" w:cs="宋体"/>
          <w:kern w:val="2"/>
          <w:szCs w:val="20"/>
          <w:lang w:bidi="ar"/>
          <w14:ligatures w14:val="standardContextual"/>
        </w:rPr>
        <w:t>煤场骨架膜钢结构及围护工程设计包括但不限于:(1)钢结构骨架。（2）外围护膜材围护系统：外围护膜材及配套附件。</w:t>
      </w:r>
    </w:p>
    <w:p>
      <w:pPr>
        <w:pStyle w:val="4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480" w:firstLineChars="200"/>
        <w:textAlignment w:val="auto"/>
        <w:rPr>
          <w:rFonts w:hint="eastAsia" w:ascii="宋体" w:hAnsi="宋体" w:eastAsia="宋体" w:cs="宋体"/>
          <w:kern w:val="2"/>
          <w:szCs w:val="20"/>
          <w:lang w:bidi="ar"/>
          <w14:ligatures w14:val="standardContextual"/>
        </w:rPr>
      </w:pPr>
      <w:r>
        <w:rPr>
          <w:rFonts w:hint="eastAsia" w:ascii="宋体" w:hAnsi="宋体" w:eastAsia="宋体" w:cs="宋体"/>
          <w:kern w:val="2"/>
          <w:szCs w:val="20"/>
          <w:lang w:bidi="ar"/>
          <w14:ligatures w14:val="standardContextual"/>
        </w:rPr>
        <w:t>土建安装工程分包范围包括但不限于：竣工图、设备及材料供货、运输、现场开箱验收、储存、安装、消缺、调试（特殊说明的除外）及保证、保修、移交生产、达标投产等，以及配套土建（包括地基开挖及装修装饰、建构筑物、建构筑物基础、设备基础、地基处理等）、给排水、消防、暖通、供配电的建设。同时也包括分包范围内的必要的备品备件、专用工具以及相关技术资料等。</w:t>
      </w:r>
    </w:p>
    <w:p>
      <w:pPr>
        <w:pStyle w:val="4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480" w:firstLineChars="200"/>
        <w:textAlignment w:val="auto"/>
        <w:rPr>
          <w:rFonts w:hint="eastAsia" w:ascii="宋体" w:hAnsi="宋体" w:eastAsia="宋体" w:cs="宋体"/>
          <w:kern w:val="2"/>
          <w:szCs w:val="20"/>
          <w:lang w:bidi="ar"/>
          <w14:ligatures w14:val="standardContextual"/>
        </w:rPr>
      </w:pPr>
      <w:r>
        <w:rPr>
          <w:rFonts w:hint="eastAsia" w:ascii="宋体" w:hAnsi="宋体" w:eastAsia="宋体" w:cs="宋体"/>
          <w:kern w:val="2"/>
          <w:szCs w:val="20"/>
          <w:lang w:bidi="ar"/>
          <w14:ligatures w14:val="standardContextual"/>
        </w:rPr>
        <w:t>土建工程包含但不限于相应的电气（含电缆桥架、支架及管线）、楼面及屋顶防水、给水排水、采暖、通风、通讯、照明、消防、环保、安全、卫生、防雷、接地设施、综合布线、外墙保温粉刷及与室外管线连接等施工、供货、运输、安装及性能保证、竣工验收、售后服务等工作。</w:t>
      </w:r>
    </w:p>
    <w:p>
      <w:pPr>
        <w:pStyle w:val="5"/>
        <w:keepNext/>
        <w:keepLines/>
        <w:pageBreakBefore w:val="0"/>
        <w:widowControl/>
        <w:numPr>
          <w:ilvl w:val="0"/>
          <w:numId w:val="4"/>
        </w:numPr>
        <w:kinsoku/>
        <w:wordWrap/>
        <w:overflowPunct/>
        <w:topLinePunct w:val="0"/>
        <w:autoSpaceDE/>
        <w:autoSpaceDN/>
        <w:bidi w:val="0"/>
        <w:adjustRightInd/>
        <w:snapToGrid/>
        <w:spacing w:before="0" w:after="0" w:line="560" w:lineRule="exact"/>
        <w:textAlignment w:val="auto"/>
        <w:rPr>
          <w:rFonts w:hint="default" w:eastAsia="宋体"/>
          <w:sz w:val="28"/>
          <w:szCs w:val="28"/>
          <w:lang w:val="en-US" w:eastAsia="zh-CN"/>
        </w:rPr>
      </w:pPr>
      <w:r>
        <w:rPr>
          <w:rFonts w:hint="default" w:eastAsia="宋体"/>
          <w:sz w:val="28"/>
          <w:szCs w:val="28"/>
          <w:lang w:val="en-US" w:eastAsia="zh-CN"/>
        </w:rPr>
        <w:t>主要内容</w:t>
      </w:r>
    </w:p>
    <w:p>
      <w:pPr>
        <w:pStyle w:val="4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480" w:firstLineChars="200"/>
        <w:textAlignment w:val="auto"/>
        <w:rPr>
          <w:rFonts w:hint="eastAsia" w:ascii="宋体" w:hAnsi="宋体" w:eastAsia="宋体" w:cs="宋体"/>
          <w:kern w:val="2"/>
          <w:szCs w:val="20"/>
          <w:lang w:bidi="ar"/>
          <w14:ligatures w14:val="standardContextual"/>
        </w:rPr>
      </w:pPr>
      <w:r>
        <w:rPr>
          <w:rFonts w:hint="eastAsia" w:ascii="宋体" w:hAnsi="宋体" w:eastAsia="宋体" w:cs="宋体"/>
          <w:kern w:val="2"/>
          <w:szCs w:val="20"/>
          <w:lang w:bidi="ar"/>
          <w14:ligatures w14:val="standardContextual"/>
        </w:rPr>
        <w:t>投标人负责包含但不限于：</w:t>
      </w:r>
      <w:r>
        <w:rPr>
          <w:rFonts w:hint="eastAsia" w:ascii="宋体" w:hAnsi="宋体" w:eastAsia="宋体" w:cs="宋体"/>
          <w:kern w:val="2"/>
          <w:szCs w:val="20"/>
          <w:lang w:val="en-US" w:eastAsia="zh-CN" w:bidi="ar"/>
          <w14:ligatures w14:val="standardContextual"/>
        </w:rPr>
        <w:t>仓储中心卸煤场地抑尘技术改造项目范围内的封闭式卸煤棚、洗车房、消防泵房、</w:t>
      </w:r>
      <w:r>
        <w:rPr>
          <w:rFonts w:hint="eastAsia" w:ascii="宋体" w:hAnsi="宋体" w:eastAsia="宋体" w:cs="宋体"/>
          <w:kern w:val="2"/>
          <w:szCs w:val="20"/>
          <w:lang w:bidi="ar"/>
          <w14:ligatures w14:val="standardContextual"/>
        </w:rPr>
        <w:t>给排水管网、</w:t>
      </w:r>
      <w:r>
        <w:rPr>
          <w:rFonts w:hint="eastAsia" w:ascii="宋体" w:hAnsi="宋体" w:eastAsia="宋体" w:cs="宋体"/>
          <w:kern w:val="2"/>
          <w:szCs w:val="20"/>
          <w:lang w:val="en-US" w:eastAsia="zh-CN" w:bidi="ar"/>
          <w14:ligatures w14:val="standardContextual"/>
        </w:rPr>
        <w:t>消防管网、供热管网、</w:t>
      </w:r>
      <w:r>
        <w:rPr>
          <w:rFonts w:hint="eastAsia" w:ascii="宋体" w:hAnsi="宋体" w:eastAsia="宋体" w:cs="宋体"/>
          <w:kern w:val="2"/>
          <w:szCs w:val="20"/>
          <w:lang w:bidi="ar"/>
          <w14:ligatures w14:val="standardContextual"/>
        </w:rPr>
        <w:t>配套设施、消防、暖通、电源建设</w:t>
      </w:r>
      <w:r>
        <w:rPr>
          <w:rFonts w:hint="eastAsia" w:ascii="宋体" w:hAnsi="宋体" w:eastAsia="宋体" w:cs="宋体"/>
          <w:kern w:val="2"/>
          <w:szCs w:val="20"/>
          <w:lang w:val="en-US" w:eastAsia="zh-CN" w:bidi="ar"/>
          <w14:ligatures w14:val="standardContextual"/>
        </w:rPr>
        <w:t>、道路及场地硬化、现有设施拆除</w:t>
      </w:r>
      <w:r>
        <w:rPr>
          <w:rFonts w:hint="eastAsia" w:ascii="宋体" w:hAnsi="宋体" w:eastAsia="宋体" w:cs="宋体"/>
          <w:kern w:val="2"/>
          <w:szCs w:val="20"/>
          <w:lang w:bidi="ar"/>
          <w14:ligatures w14:val="standardContextual"/>
        </w:rPr>
        <w:t>等土建供货施工、试验及检查、消缺等工作；</w:t>
      </w:r>
      <w:r>
        <w:rPr>
          <w:rFonts w:hint="eastAsia" w:ascii="宋体" w:hAnsi="宋体" w:eastAsia="宋体" w:cs="宋体"/>
          <w:kern w:val="2"/>
          <w:szCs w:val="20"/>
          <w:lang w:val="en-US" w:eastAsia="zh-CN" w:bidi="ar"/>
          <w14:ligatures w14:val="standardContextual"/>
        </w:rPr>
        <w:t>暖通系统、给排水系统、消防系统、供配电系统设备安装（含材料）、</w:t>
      </w:r>
      <w:r>
        <w:rPr>
          <w:rFonts w:hint="eastAsia" w:ascii="宋体" w:hAnsi="宋体" w:eastAsia="宋体" w:cs="宋体"/>
          <w:kern w:val="2"/>
          <w:szCs w:val="20"/>
          <w:lang w:bidi="ar"/>
          <w14:ligatures w14:val="standardContextual"/>
        </w:rPr>
        <w:t>调试、试验及检查、消缺等工作；设备基础的二次灌浆、预埋件、预埋件配套的螺母垫圈等系统稳定运行需要的所有建筑安装工程。</w:t>
      </w:r>
    </w:p>
    <w:p>
      <w:pPr>
        <w:pStyle w:val="4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480" w:firstLineChars="200"/>
        <w:textAlignment w:val="auto"/>
        <w:rPr>
          <w:rFonts w:hint="eastAsia" w:ascii="宋体" w:hAnsi="宋体" w:eastAsia="宋体" w:cs="宋体"/>
          <w:kern w:val="2"/>
          <w:szCs w:val="20"/>
          <w:lang w:eastAsia="zh-CN" w:bidi="ar"/>
          <w14:ligatures w14:val="standardContextual"/>
        </w:rPr>
      </w:pPr>
      <w:r>
        <w:rPr>
          <w:rFonts w:hint="eastAsia" w:ascii="宋体" w:hAnsi="宋体" w:eastAsia="宋体" w:cs="宋体"/>
          <w:kern w:val="2"/>
          <w:szCs w:val="20"/>
          <w:lang w:val="en-US" w:eastAsia="zh-CN" w:bidi="ar"/>
          <w14:ligatures w14:val="standardContextual"/>
        </w:rPr>
        <w:t>封闭式卸煤棚为骨架膜结构，煤场骨架膜钢结构柱脚标高以上全部钢结构及围护工程设计：</w:t>
      </w:r>
      <w:r>
        <w:rPr>
          <w:rFonts w:hint="eastAsia" w:ascii="宋体" w:hAnsi="宋体" w:eastAsia="宋体" w:cs="宋体"/>
          <w:kern w:val="2"/>
          <w:szCs w:val="20"/>
          <w:lang w:bidi="ar"/>
          <w14:ligatures w14:val="standardContextual"/>
        </w:rPr>
        <w:t>1.投标方需提供骨架膜三维计算模型、对下部混凝土立柱作用力、盖章版计算书、盖章版骨架膜施工图纸等文件。2.投标方应负责骨架膜煤场消防、安全等主管部门要求的相关专家审查，设计方案需通过招标方认可的第三方专家审查。竣工后投标方应负责骨架膜煤场通过环保、消防、安全等相关部门的专项验收，取得相应的验收合格证</w:t>
      </w:r>
      <w:r>
        <w:rPr>
          <w:rFonts w:hint="eastAsia" w:ascii="宋体" w:hAnsi="宋体" w:eastAsia="宋体" w:cs="宋体"/>
          <w:kern w:val="2"/>
          <w:szCs w:val="20"/>
          <w:lang w:eastAsia="zh-CN" w:bidi="ar"/>
          <w14:ligatures w14:val="standardContextual"/>
        </w:rPr>
        <w:t>。</w:t>
      </w:r>
    </w:p>
    <w:p>
      <w:pPr>
        <w:pStyle w:val="4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480" w:firstLineChars="200"/>
        <w:textAlignment w:val="auto"/>
        <w:rPr>
          <w:rFonts w:hint="eastAsia" w:ascii="宋体" w:hAnsi="宋体" w:eastAsia="宋体" w:cs="宋体"/>
          <w:kern w:val="2"/>
          <w:szCs w:val="20"/>
          <w:lang w:eastAsia="zh-CN" w:bidi="ar"/>
          <w14:ligatures w14:val="standardContextual"/>
        </w:rPr>
      </w:pPr>
      <w:r>
        <w:rPr>
          <w:rFonts w:hint="default" w:ascii="宋体" w:hAnsi="宋体" w:eastAsia="宋体" w:cs="宋体"/>
          <w:kern w:val="2"/>
          <w:szCs w:val="20"/>
          <w:lang w:bidi="ar"/>
          <w14:ligatures w14:val="standardContextual"/>
        </w:rPr>
        <w:t>详见技术规格书</w:t>
      </w:r>
      <w:r>
        <w:rPr>
          <w:rFonts w:hint="eastAsia" w:ascii="宋体" w:hAnsi="宋体" w:eastAsia="宋体" w:cs="宋体"/>
          <w:kern w:val="2"/>
          <w:szCs w:val="20"/>
          <w:lang w:eastAsia="zh-CN" w:bidi="ar"/>
          <w14:ligatures w14:val="standardContextual"/>
        </w:rPr>
        <w:t>。</w:t>
      </w:r>
    </w:p>
    <w:p>
      <w:pPr>
        <w:pStyle w:val="5"/>
        <w:keepNext/>
        <w:keepLines/>
        <w:pageBreakBefore w:val="0"/>
        <w:widowControl/>
        <w:kinsoku/>
        <w:wordWrap/>
        <w:overflowPunct/>
        <w:topLinePunct w:val="0"/>
        <w:autoSpaceDE/>
        <w:autoSpaceDN/>
        <w:bidi w:val="0"/>
        <w:adjustRightInd/>
        <w:snapToGrid/>
        <w:spacing w:before="0" w:after="0" w:line="560" w:lineRule="exact"/>
        <w:textAlignment w:val="auto"/>
        <w:rPr>
          <w:rFonts w:hint="default"/>
          <w:sz w:val="28"/>
          <w:szCs w:val="28"/>
          <w:lang w:val="en-US" w:eastAsia="zh-CN"/>
        </w:rPr>
      </w:pPr>
      <w:r>
        <w:rPr>
          <w:rFonts w:hint="eastAsia"/>
          <w:sz w:val="28"/>
          <w:szCs w:val="28"/>
          <w:lang w:val="en-US" w:eastAsia="zh-CN"/>
        </w:rPr>
        <w:t>3</w:t>
      </w:r>
      <w:r>
        <w:rPr>
          <w:rFonts w:hint="default"/>
          <w:sz w:val="28"/>
          <w:szCs w:val="28"/>
          <w:lang w:val="en-US" w:eastAsia="zh-CN"/>
        </w:rPr>
        <w:t>、质量标准</w:t>
      </w:r>
    </w:p>
    <w:p>
      <w:pPr>
        <w:pStyle w:val="44"/>
        <w:pageBreakBefore w:val="0"/>
        <w:widowControl/>
        <w:kinsoku/>
        <w:wordWrap/>
        <w:overflowPunct/>
        <w:topLinePunct w:val="0"/>
        <w:autoSpaceDE/>
        <w:autoSpaceDN/>
        <w:bidi w:val="0"/>
        <w:adjustRightInd/>
        <w:snapToGrid/>
        <w:spacing w:before="0" w:beforeAutospacing="0" w:after="0" w:afterAutospacing="0" w:line="560" w:lineRule="exact"/>
        <w:ind w:firstLine="480" w:firstLineChars="20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按技术规格书内标准。</w:t>
      </w:r>
    </w:p>
    <w:p>
      <w:pPr>
        <w:pStyle w:val="44"/>
        <w:pageBreakBefore w:val="0"/>
        <w:widowControl/>
        <w:numPr>
          <w:ilvl w:val="0"/>
          <w:numId w:val="0"/>
        </w:numPr>
        <w:kinsoku/>
        <w:overflowPunct/>
        <w:topLinePunct w:val="0"/>
        <w:autoSpaceDE/>
        <w:autoSpaceDN/>
        <w:bidi w:val="0"/>
        <w:adjustRightInd/>
        <w:snapToGrid/>
        <w:spacing w:before="0" w:beforeAutospacing="0" w:after="0" w:afterAutospacing="0" w:line="560" w:lineRule="exact"/>
        <w:ind w:leftChars="0"/>
        <w:textAlignment w:val="auto"/>
        <w:rPr>
          <w:rFonts w:hint="default" w:ascii="宋体" w:hAnsi="宋体" w:eastAsia="宋体" w:cs="宋体"/>
          <w:b w:val="0"/>
          <w:bCs w:val="0"/>
          <w:color w:val="auto"/>
          <w:kern w:val="2"/>
          <w:sz w:val="24"/>
          <w:szCs w:val="20"/>
          <w:lang w:val="en-US" w:eastAsia="zh-CN" w:bidi="ar"/>
          <w14:ligatures w14:val="standardContextual"/>
        </w:rPr>
      </w:pPr>
      <w:r>
        <w:rPr>
          <w:rFonts w:hint="eastAsia" w:ascii="Cambria" w:hAnsi="Cambria" w:eastAsia="宋体" w:cs="Times New Roman"/>
          <w:b/>
          <w:bCs/>
          <w:sz w:val="28"/>
          <w:szCs w:val="28"/>
          <w:lang w:val="en-US" w:eastAsia="zh-CN" w:bidi="ar-SA"/>
        </w:rPr>
        <w:t>4、</w:t>
      </w:r>
      <w:r>
        <w:rPr>
          <w:rFonts w:hint="default" w:ascii="Cambria" w:hAnsi="Cambria" w:eastAsia="宋体" w:cs="Times New Roman"/>
          <w:b/>
          <w:bCs/>
          <w:sz w:val="28"/>
          <w:szCs w:val="28"/>
          <w:lang w:val="en-US" w:eastAsia="zh-CN" w:bidi="ar-SA"/>
        </w:rPr>
        <w:t>交货地点：</w:t>
      </w:r>
      <w:r>
        <w:rPr>
          <w:rFonts w:hint="eastAsia" w:ascii="宋体" w:hAnsi="宋体" w:eastAsia="宋体" w:cs="宋体"/>
          <w:b w:val="0"/>
          <w:bCs w:val="0"/>
          <w:color w:val="auto"/>
          <w:kern w:val="2"/>
          <w:sz w:val="24"/>
          <w:szCs w:val="20"/>
          <w:lang w:val="en-US" w:eastAsia="zh-CN" w:bidi="ar"/>
          <w14:ligatures w14:val="standardContextual"/>
        </w:rPr>
        <w:t>内蒙古自治区鄂尔多斯市乌审旗图克镇工业园区内</w:t>
      </w:r>
      <w:r>
        <w:rPr>
          <w:rFonts w:hint="default" w:ascii="宋体" w:hAnsi="宋体" w:eastAsia="宋体" w:cs="宋体"/>
          <w:b w:val="0"/>
          <w:bCs w:val="0"/>
          <w:color w:val="auto"/>
          <w:kern w:val="2"/>
          <w:sz w:val="24"/>
          <w:szCs w:val="20"/>
          <w:lang w:val="en-US" w:eastAsia="zh-CN" w:bidi="ar"/>
          <w14:ligatures w14:val="standardContextual"/>
        </w:rPr>
        <w:t>。</w:t>
      </w:r>
    </w:p>
    <w:p>
      <w:pPr>
        <w:pStyle w:val="44"/>
        <w:pageBreakBefore w:val="0"/>
        <w:widowControl/>
        <w:numPr>
          <w:ilvl w:val="0"/>
          <w:numId w:val="0"/>
        </w:numPr>
        <w:kinsoku/>
        <w:overflowPunct/>
        <w:topLinePunct w:val="0"/>
        <w:autoSpaceDE/>
        <w:autoSpaceDN/>
        <w:bidi w:val="0"/>
        <w:adjustRightInd/>
        <w:snapToGrid/>
        <w:spacing w:before="0" w:beforeAutospacing="0" w:after="0" w:afterAutospacing="0" w:line="560" w:lineRule="exact"/>
        <w:ind w:leftChars="0"/>
        <w:textAlignment w:val="auto"/>
        <w:rPr>
          <w:rFonts w:hint="eastAsia" w:ascii="宋体" w:hAnsi="宋体" w:eastAsia="宋体" w:cs="宋体"/>
          <w:b w:val="0"/>
          <w:bCs w:val="0"/>
          <w:color w:val="auto"/>
          <w:kern w:val="2"/>
          <w:sz w:val="24"/>
          <w:szCs w:val="20"/>
          <w:lang w:val="en-US" w:eastAsia="zh-CN" w:bidi="ar"/>
          <w14:ligatures w14:val="standardContextual"/>
        </w:rPr>
      </w:pPr>
      <w:r>
        <w:rPr>
          <w:rFonts w:hint="eastAsia" w:ascii="Cambria" w:hAnsi="Cambria" w:eastAsia="宋体" w:cs="Times New Roman"/>
          <w:b/>
          <w:bCs/>
          <w:sz w:val="28"/>
          <w:szCs w:val="28"/>
          <w:lang w:val="en-US" w:eastAsia="zh-CN" w:bidi="ar-SA"/>
        </w:rPr>
        <w:t>5、</w:t>
      </w:r>
      <w:r>
        <w:rPr>
          <w:rFonts w:hint="default" w:ascii="Cambria" w:hAnsi="Cambria" w:eastAsia="宋体" w:cs="Times New Roman"/>
          <w:b/>
          <w:bCs/>
          <w:sz w:val="28"/>
          <w:szCs w:val="28"/>
          <w:lang w:val="en-US" w:eastAsia="zh-CN" w:bidi="ar-SA"/>
        </w:rPr>
        <w:t>工期</w:t>
      </w:r>
      <w:r>
        <w:rPr>
          <w:rFonts w:hint="eastAsia" w:ascii="Cambria" w:hAnsi="Cambria" w:eastAsia="宋体" w:cs="Times New Roman"/>
          <w:b/>
          <w:bCs/>
          <w:sz w:val="28"/>
          <w:szCs w:val="28"/>
          <w:lang w:val="en-US" w:eastAsia="zh-CN" w:bidi="ar-SA"/>
        </w:rPr>
        <w:t>：</w:t>
      </w:r>
      <w:r>
        <w:rPr>
          <w:rFonts w:hint="eastAsia" w:ascii="宋体" w:hAnsi="宋体" w:eastAsia="宋体" w:cs="宋体"/>
          <w:b w:val="0"/>
          <w:bCs w:val="0"/>
          <w:color w:val="auto"/>
          <w:kern w:val="2"/>
          <w:sz w:val="24"/>
          <w:szCs w:val="20"/>
          <w:lang w:val="en-US" w:eastAsia="zh-CN" w:bidi="ar"/>
          <w14:ligatures w14:val="standardContextual"/>
        </w:rPr>
        <w:t>2025年01月10日前全部完成。</w:t>
      </w:r>
    </w:p>
    <w:p>
      <w:pPr>
        <w:pStyle w:val="44"/>
        <w:pageBreakBefore w:val="0"/>
        <w:widowControl/>
        <w:numPr>
          <w:ilvl w:val="0"/>
          <w:numId w:val="0"/>
        </w:numPr>
        <w:kinsoku/>
        <w:overflowPunct/>
        <w:topLinePunct w:val="0"/>
        <w:autoSpaceDE/>
        <w:autoSpaceDN/>
        <w:bidi w:val="0"/>
        <w:adjustRightInd/>
        <w:snapToGrid/>
        <w:spacing w:before="0" w:beforeAutospacing="0" w:after="0" w:afterAutospacing="0" w:line="560" w:lineRule="exact"/>
        <w:ind w:leftChars="0"/>
        <w:textAlignment w:val="auto"/>
        <w:rPr>
          <w:rFonts w:hint="default" w:ascii="Times New Roman" w:hAnsi="Times New Roman" w:cs="Times New Roman"/>
          <w:color w:val="auto"/>
          <w:sz w:val="28"/>
          <w:szCs w:val="28"/>
          <w:highlight w:val="none"/>
        </w:rPr>
      </w:pPr>
      <w:r>
        <w:rPr>
          <w:rFonts w:hint="eastAsia" w:ascii="Cambria" w:hAnsi="Cambria" w:cs="Times New Roman"/>
          <w:b/>
          <w:bCs/>
          <w:sz w:val="28"/>
          <w:szCs w:val="28"/>
          <w:lang w:val="en-US" w:eastAsia="zh-CN" w:bidi="ar-SA"/>
        </w:rPr>
        <w:t>6、</w:t>
      </w:r>
      <w:r>
        <w:rPr>
          <w:rFonts w:hint="default" w:ascii="Cambria" w:hAnsi="Cambria" w:cs="Times New Roman"/>
          <w:b/>
          <w:bCs/>
          <w:sz w:val="28"/>
          <w:szCs w:val="28"/>
          <w:lang w:val="en-US" w:eastAsia="zh-CN" w:bidi="ar-SA"/>
        </w:rPr>
        <w:t>付款方式</w:t>
      </w:r>
    </w:p>
    <w:p>
      <w:pPr>
        <w:pStyle w:val="44"/>
        <w:pageBreakBefore w:val="0"/>
        <w:widowControl/>
        <w:numPr>
          <w:ilvl w:val="0"/>
          <w:numId w:val="0"/>
        </w:numPr>
        <w:kinsoku/>
        <w:overflowPunct/>
        <w:topLinePunct w:val="0"/>
        <w:autoSpaceDE/>
        <w:autoSpaceDN/>
        <w:bidi w:val="0"/>
        <w:adjustRightInd/>
        <w:snapToGrid/>
        <w:spacing w:before="0" w:beforeAutospacing="0" w:after="0" w:afterAutospacing="0" w:line="560" w:lineRule="exact"/>
        <w:ind w:leftChars="0"/>
        <w:textAlignment w:val="auto"/>
        <w:rPr>
          <w:rFonts w:hint="eastAsia" w:ascii="宋体" w:hAnsi="宋体" w:eastAsia="宋体" w:cs="宋体"/>
          <w:b w:val="0"/>
          <w:bCs w:val="0"/>
          <w:color w:val="auto"/>
          <w:kern w:val="2"/>
          <w:sz w:val="24"/>
          <w:szCs w:val="20"/>
          <w:lang w:val="en-US" w:eastAsia="zh-CN" w:bidi="ar"/>
          <w14:ligatures w14:val="standardContextual"/>
        </w:rPr>
      </w:pPr>
      <w:r>
        <w:rPr>
          <w:rFonts w:hint="eastAsia" w:hAnsi="宋体" w:cs="宋体"/>
          <w:b w:val="0"/>
          <w:bCs w:val="0"/>
          <w:color w:val="auto"/>
          <w:kern w:val="2"/>
          <w:sz w:val="24"/>
          <w:szCs w:val="20"/>
          <w:lang w:val="en-US" w:eastAsia="zh-CN" w:bidi="ar"/>
          <w14:ligatures w14:val="standardContextual"/>
        </w:rPr>
        <w:t>6.1</w:t>
      </w:r>
      <w:r>
        <w:rPr>
          <w:rFonts w:hint="eastAsia" w:ascii="宋体" w:hAnsi="宋体" w:eastAsia="宋体" w:cs="宋体"/>
          <w:b w:val="0"/>
          <w:bCs w:val="0"/>
          <w:color w:val="auto"/>
          <w:kern w:val="2"/>
          <w:sz w:val="24"/>
          <w:szCs w:val="20"/>
          <w:lang w:val="en-US" w:eastAsia="zh-CN" w:bidi="ar"/>
          <w14:ligatures w14:val="standardContextual"/>
        </w:rPr>
        <w:t>承包人向分包人预付工程款的时间和数额：无。</w:t>
      </w:r>
    </w:p>
    <w:p>
      <w:pPr>
        <w:pStyle w:val="44"/>
        <w:pageBreakBefore w:val="0"/>
        <w:widowControl/>
        <w:numPr>
          <w:ilvl w:val="0"/>
          <w:numId w:val="0"/>
        </w:numPr>
        <w:kinsoku/>
        <w:overflowPunct/>
        <w:topLinePunct w:val="0"/>
        <w:autoSpaceDE/>
        <w:autoSpaceDN/>
        <w:bidi w:val="0"/>
        <w:adjustRightInd/>
        <w:snapToGrid/>
        <w:spacing w:before="0" w:beforeAutospacing="0" w:after="0" w:afterAutospacing="0" w:line="560" w:lineRule="exact"/>
        <w:ind w:leftChars="0"/>
        <w:textAlignment w:val="auto"/>
        <w:rPr>
          <w:rFonts w:hint="eastAsia" w:ascii="宋体" w:hAnsi="宋体" w:eastAsia="宋体" w:cs="宋体"/>
          <w:b w:val="0"/>
          <w:bCs w:val="0"/>
          <w:color w:val="auto"/>
          <w:kern w:val="2"/>
          <w:sz w:val="24"/>
          <w:szCs w:val="20"/>
          <w:lang w:val="en-US" w:eastAsia="zh-CN" w:bidi="ar"/>
          <w14:ligatures w14:val="standardContextual"/>
        </w:rPr>
      </w:pPr>
      <w:r>
        <w:rPr>
          <w:rFonts w:hint="eastAsia" w:hAnsi="宋体" w:cs="宋体"/>
          <w:b w:val="0"/>
          <w:bCs w:val="0"/>
          <w:color w:val="auto"/>
          <w:kern w:val="2"/>
          <w:sz w:val="24"/>
          <w:szCs w:val="20"/>
          <w:lang w:val="en-US" w:eastAsia="zh-CN" w:bidi="ar"/>
          <w14:ligatures w14:val="standardContextual"/>
        </w:rPr>
        <w:t>6</w:t>
      </w:r>
      <w:r>
        <w:rPr>
          <w:rFonts w:hint="eastAsia" w:ascii="宋体" w:hAnsi="宋体" w:eastAsia="宋体" w:cs="宋体"/>
          <w:b w:val="0"/>
          <w:bCs w:val="0"/>
          <w:color w:val="auto"/>
          <w:kern w:val="2"/>
          <w:sz w:val="24"/>
          <w:szCs w:val="20"/>
          <w:lang w:val="en-US" w:eastAsia="zh-CN" w:bidi="ar"/>
          <w14:ligatures w14:val="standardContextual"/>
        </w:rPr>
        <w:t>.2 承包人向分包人支付工程款（进度款）的时间和方式：</w:t>
      </w:r>
    </w:p>
    <w:p>
      <w:pPr>
        <w:pStyle w:val="44"/>
        <w:pageBreakBefore w:val="0"/>
        <w:widowControl/>
        <w:numPr>
          <w:ilvl w:val="0"/>
          <w:numId w:val="0"/>
        </w:numPr>
        <w:kinsoku/>
        <w:overflowPunct/>
        <w:topLinePunct w:val="0"/>
        <w:autoSpaceDE/>
        <w:autoSpaceDN/>
        <w:bidi w:val="0"/>
        <w:adjustRightInd/>
        <w:snapToGrid/>
        <w:spacing w:before="0" w:beforeAutospacing="0" w:after="0" w:afterAutospacing="0" w:line="560" w:lineRule="exact"/>
        <w:ind w:leftChars="0"/>
        <w:textAlignment w:val="auto"/>
        <w:rPr>
          <w:rFonts w:hint="eastAsia" w:ascii="宋体" w:hAnsi="宋体" w:eastAsia="宋体" w:cs="宋体"/>
          <w:b w:val="0"/>
          <w:bCs w:val="0"/>
          <w:color w:val="auto"/>
          <w:kern w:val="2"/>
          <w:sz w:val="24"/>
          <w:szCs w:val="20"/>
          <w:lang w:val="en-US" w:eastAsia="zh-CN" w:bidi="ar"/>
          <w14:ligatures w14:val="standardContextual"/>
        </w:rPr>
      </w:pPr>
      <w:r>
        <w:rPr>
          <w:rFonts w:hint="eastAsia" w:ascii="宋体" w:hAnsi="宋体" w:eastAsia="宋体" w:cs="宋体"/>
          <w:b w:val="0"/>
          <w:bCs w:val="0"/>
          <w:color w:val="auto"/>
          <w:kern w:val="2"/>
          <w:sz w:val="24"/>
          <w:szCs w:val="20"/>
          <w:lang w:val="en-US" w:eastAsia="zh-CN" w:bidi="ar"/>
          <w14:ligatures w14:val="standardContextual"/>
        </w:rPr>
        <w:t>（1）工程进度款按月支付，进度款按工程进度（已完成进度审批并经确认）审批。承包人收到当期进度结算金额100%的增值税专用发票，且承包人收到发包人相应款项后支付工程进度款的【80%】；</w:t>
      </w:r>
    </w:p>
    <w:p>
      <w:pPr>
        <w:pStyle w:val="44"/>
        <w:pageBreakBefore w:val="0"/>
        <w:widowControl/>
        <w:numPr>
          <w:ilvl w:val="0"/>
          <w:numId w:val="0"/>
        </w:numPr>
        <w:kinsoku/>
        <w:overflowPunct/>
        <w:topLinePunct w:val="0"/>
        <w:autoSpaceDE/>
        <w:autoSpaceDN/>
        <w:bidi w:val="0"/>
        <w:adjustRightInd/>
        <w:snapToGrid/>
        <w:spacing w:before="0" w:beforeAutospacing="0" w:after="0" w:afterAutospacing="0" w:line="560" w:lineRule="exact"/>
        <w:ind w:leftChars="0"/>
        <w:textAlignment w:val="auto"/>
        <w:rPr>
          <w:rFonts w:hint="eastAsia" w:ascii="宋体" w:hAnsi="宋体" w:eastAsia="宋体" w:cs="宋体"/>
          <w:b w:val="0"/>
          <w:bCs w:val="0"/>
          <w:color w:val="auto"/>
          <w:kern w:val="2"/>
          <w:sz w:val="24"/>
          <w:szCs w:val="20"/>
          <w:lang w:val="en-US" w:eastAsia="zh-CN" w:bidi="ar"/>
          <w14:ligatures w14:val="standardContextual"/>
        </w:rPr>
      </w:pPr>
      <w:r>
        <w:rPr>
          <w:rFonts w:hint="eastAsia" w:ascii="宋体" w:hAnsi="宋体" w:eastAsia="宋体" w:cs="宋体"/>
          <w:b w:val="0"/>
          <w:bCs w:val="0"/>
          <w:color w:val="auto"/>
          <w:kern w:val="2"/>
          <w:sz w:val="24"/>
          <w:szCs w:val="20"/>
          <w:lang w:val="en-US" w:eastAsia="zh-CN" w:bidi="ar"/>
          <w14:ligatures w14:val="standardContextual"/>
        </w:rPr>
        <w:t>（2）项目竣工验收通过，待竣工决算审计结束后且招标人收到业主相应款项后支付工程进度款的【17%】；</w:t>
      </w:r>
    </w:p>
    <w:p>
      <w:pPr>
        <w:pStyle w:val="44"/>
        <w:pageBreakBefore w:val="0"/>
        <w:widowControl/>
        <w:numPr>
          <w:ilvl w:val="0"/>
          <w:numId w:val="0"/>
        </w:numPr>
        <w:kinsoku/>
        <w:overflowPunct/>
        <w:topLinePunct w:val="0"/>
        <w:autoSpaceDE/>
        <w:autoSpaceDN/>
        <w:bidi w:val="0"/>
        <w:adjustRightInd/>
        <w:snapToGrid/>
        <w:spacing w:before="0" w:beforeAutospacing="0" w:after="0" w:afterAutospacing="0" w:line="560" w:lineRule="exact"/>
        <w:ind w:leftChars="0"/>
        <w:textAlignment w:val="auto"/>
        <w:rPr>
          <w:rFonts w:hint="eastAsia" w:ascii="宋体" w:hAnsi="宋体" w:eastAsia="宋体" w:cs="宋体"/>
          <w:b w:val="0"/>
          <w:bCs w:val="0"/>
          <w:color w:val="auto"/>
          <w:kern w:val="2"/>
          <w:sz w:val="24"/>
          <w:szCs w:val="20"/>
          <w:lang w:val="en-US" w:eastAsia="zh-CN" w:bidi="ar"/>
          <w14:ligatures w14:val="standardContextual"/>
        </w:rPr>
      </w:pPr>
      <w:r>
        <w:rPr>
          <w:rFonts w:hint="eastAsia" w:ascii="宋体" w:hAnsi="宋体" w:eastAsia="宋体" w:cs="宋体"/>
          <w:b w:val="0"/>
          <w:bCs w:val="0"/>
          <w:color w:val="auto"/>
          <w:kern w:val="2"/>
          <w:sz w:val="24"/>
          <w:szCs w:val="20"/>
          <w:lang w:val="en-US" w:eastAsia="zh-CN" w:bidi="ar"/>
          <w14:ligatures w14:val="standardContextual"/>
        </w:rPr>
        <w:t>（3）工程竣工结算总价款的【3%】作为质量保证金，质量保证金持续到竣工验收通过，质保期（二年）满后且经使用单位确认无质量问题后，收到发包人相应款项后支付工程质保金（无息）。</w:t>
      </w:r>
    </w:p>
    <w:p>
      <w:pPr>
        <w:pStyle w:val="44"/>
        <w:pageBreakBefore w:val="0"/>
        <w:widowControl/>
        <w:numPr>
          <w:ilvl w:val="0"/>
          <w:numId w:val="0"/>
        </w:numPr>
        <w:kinsoku/>
        <w:overflowPunct/>
        <w:topLinePunct w:val="0"/>
        <w:autoSpaceDE/>
        <w:autoSpaceDN/>
        <w:bidi w:val="0"/>
        <w:adjustRightInd/>
        <w:snapToGrid/>
        <w:spacing w:before="0" w:beforeAutospacing="0" w:after="0" w:afterAutospacing="0" w:line="560" w:lineRule="exact"/>
        <w:ind w:leftChars="0" w:firstLine="480" w:firstLineChars="200"/>
        <w:textAlignment w:val="auto"/>
        <w:rPr>
          <w:rFonts w:hint="eastAsia" w:ascii="宋体" w:hAnsi="宋体" w:eastAsia="宋体" w:cs="宋体"/>
          <w:b w:val="0"/>
          <w:bCs w:val="0"/>
          <w:color w:val="auto"/>
          <w:kern w:val="2"/>
          <w:sz w:val="24"/>
          <w:szCs w:val="20"/>
          <w:lang w:val="en-US" w:eastAsia="zh-CN" w:bidi="ar"/>
          <w14:ligatures w14:val="standardContextual"/>
        </w:rPr>
      </w:pPr>
      <w:r>
        <w:rPr>
          <w:rFonts w:hint="eastAsia" w:ascii="宋体" w:hAnsi="宋体" w:eastAsia="宋体" w:cs="宋体"/>
          <w:b w:val="0"/>
          <w:bCs w:val="0"/>
          <w:color w:val="auto"/>
          <w:kern w:val="2"/>
          <w:sz w:val="24"/>
          <w:szCs w:val="20"/>
          <w:lang w:val="en-US" w:eastAsia="zh-CN" w:bidi="ar"/>
          <w14:ligatures w14:val="standardContextual"/>
        </w:rPr>
        <w:t>因分包人原因造成发包人对承包人的罚款，承包人将双倍处罚分包人，所罚款项在支付的进度款中直接扣除。</w:t>
      </w:r>
    </w:p>
    <w:p>
      <w:pPr>
        <w:pStyle w:val="44"/>
        <w:pageBreakBefore w:val="0"/>
        <w:widowControl/>
        <w:numPr>
          <w:ilvl w:val="0"/>
          <w:numId w:val="0"/>
        </w:numPr>
        <w:kinsoku/>
        <w:overflowPunct/>
        <w:topLinePunct w:val="0"/>
        <w:autoSpaceDE/>
        <w:autoSpaceDN/>
        <w:bidi w:val="0"/>
        <w:adjustRightInd/>
        <w:snapToGrid/>
        <w:spacing w:before="0" w:beforeAutospacing="0" w:after="0" w:afterAutospacing="0" w:line="560" w:lineRule="exact"/>
        <w:ind w:leftChars="0" w:firstLine="480" w:firstLineChars="200"/>
        <w:textAlignment w:val="auto"/>
        <w:rPr>
          <w:rFonts w:ascii="宋体" w:hAnsi="宋体" w:eastAsia="宋体"/>
          <w:b/>
          <w:color w:val="0000FF"/>
          <w:highlight w:val="none"/>
        </w:rPr>
      </w:pPr>
      <w:r>
        <w:rPr>
          <w:rFonts w:hint="eastAsia" w:ascii="宋体" w:hAnsi="宋体" w:eastAsia="宋体" w:cs="宋体"/>
          <w:b w:val="0"/>
          <w:bCs w:val="0"/>
          <w:color w:val="auto"/>
          <w:kern w:val="2"/>
          <w:sz w:val="24"/>
          <w:szCs w:val="20"/>
          <w:lang w:val="en-US" w:eastAsia="zh-CN" w:bidi="ar"/>
          <w14:ligatures w14:val="standardContextual"/>
        </w:rPr>
        <w:t>进度款的支付方式为：银行转账或银行承兑汇票。</w:t>
      </w:r>
    </w:p>
    <w:p>
      <w:pPr>
        <w:pStyle w:val="5"/>
        <w:pageBreakBefore w:val="0"/>
        <w:widowControl/>
        <w:kinsoku/>
        <w:overflowPunct/>
        <w:topLinePunct w:val="0"/>
        <w:autoSpaceDE/>
        <w:autoSpaceDN/>
        <w:bidi w:val="0"/>
        <w:adjustRightInd/>
        <w:snapToGrid/>
        <w:spacing w:before="0" w:after="0" w:line="560" w:lineRule="exact"/>
        <w:textAlignment w:val="auto"/>
        <w:rPr>
          <w:rFonts w:hint="default" w:ascii="Cambria" w:hAnsi="Cambria" w:cs="Times New Roman"/>
          <w:b/>
          <w:bCs/>
          <w:sz w:val="28"/>
          <w:szCs w:val="28"/>
          <w:lang w:val="en-US" w:eastAsia="zh-CN" w:bidi="ar-SA"/>
        </w:rPr>
      </w:pPr>
      <w:r>
        <w:rPr>
          <w:rFonts w:hint="eastAsia" w:ascii="Cambria" w:hAnsi="Cambria" w:cs="Times New Roman"/>
          <w:b/>
          <w:bCs/>
          <w:sz w:val="28"/>
          <w:szCs w:val="28"/>
          <w:lang w:val="en-US" w:eastAsia="zh-CN" w:bidi="ar-SA"/>
        </w:rPr>
        <w:t>7</w:t>
      </w:r>
      <w:r>
        <w:rPr>
          <w:rFonts w:hint="default" w:ascii="Cambria" w:hAnsi="Cambria" w:cs="Times New Roman"/>
          <w:b/>
          <w:bCs/>
          <w:sz w:val="28"/>
          <w:szCs w:val="28"/>
          <w:lang w:val="en-US" w:eastAsia="zh-CN" w:bidi="ar-SA"/>
        </w:rPr>
        <w:t>、供应商资格要求</w:t>
      </w:r>
    </w:p>
    <w:p>
      <w:pPr>
        <w:pStyle w:val="44"/>
        <w:pageBreakBefore w:val="0"/>
        <w:widowControl/>
        <w:kinsoku/>
        <w:overflowPunct/>
        <w:topLinePunct w:val="0"/>
        <w:autoSpaceDE/>
        <w:autoSpaceDN/>
        <w:bidi w:val="0"/>
        <w:adjustRightInd/>
        <w:snapToGrid/>
        <w:spacing w:before="0" w:beforeAutospacing="0" w:after="0" w:afterAutospacing="0" w:line="560" w:lineRule="exact"/>
        <w:ind w:firstLine="480" w:firstLineChars="20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（1）报价人必须是合格的独立法人企业，且具有履行合同能力的增值税一般纳税人。</w:t>
      </w:r>
    </w:p>
    <w:p>
      <w:pPr>
        <w:pStyle w:val="44"/>
        <w:pageBreakBefore w:val="0"/>
        <w:widowControl/>
        <w:kinsoku/>
        <w:overflowPunct/>
        <w:topLinePunct w:val="0"/>
        <w:autoSpaceDE/>
        <w:autoSpaceDN/>
        <w:bidi w:val="0"/>
        <w:adjustRightInd/>
        <w:snapToGrid/>
        <w:spacing w:before="0" w:beforeAutospacing="0" w:after="0" w:afterAutospacing="0" w:line="560" w:lineRule="exact"/>
        <w:ind w:firstLine="480" w:firstLineChars="20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（2）报价人应具有良好的信誉，并具备履行合同所需的财务和技术能力，财务状况须提供近三年</w:t>
      </w:r>
      <w:r>
        <w:rPr>
          <w:rFonts w:hint="eastAsia" w:ascii="Times New Roman" w:cs="Times New Roman"/>
          <w:color w:val="auto"/>
          <w:highlight w:val="none"/>
          <w:lang w:eastAsia="zh-CN"/>
        </w:rPr>
        <w:t>（</w:t>
      </w:r>
      <w:r>
        <w:rPr>
          <w:rFonts w:hint="eastAsia" w:ascii="Times New Roman" w:cs="Times New Roman"/>
          <w:color w:val="auto"/>
          <w:highlight w:val="none"/>
          <w:lang w:val="en-US" w:eastAsia="zh-CN"/>
        </w:rPr>
        <w:t>2021-2023</w:t>
      </w:r>
      <w:r>
        <w:rPr>
          <w:rFonts w:hint="eastAsia" w:ascii="Times New Roman" w:cs="Times New Roman"/>
          <w:color w:val="auto"/>
          <w:highlight w:val="none"/>
          <w:lang w:eastAsia="zh-CN"/>
        </w:rPr>
        <w:t>）</w:t>
      </w:r>
      <w:r>
        <w:rPr>
          <w:rFonts w:hint="eastAsia" w:ascii="Times New Roman" w:cs="Times New Roman"/>
          <w:color w:val="auto"/>
          <w:highlight w:val="none"/>
          <w:lang w:val="en-US" w:eastAsia="zh-CN"/>
        </w:rPr>
        <w:t>或公司成来以来</w:t>
      </w:r>
      <w:r>
        <w:rPr>
          <w:rFonts w:hint="default" w:ascii="Times New Roman" w:hAnsi="Times New Roman" w:cs="Times New Roman"/>
          <w:color w:val="auto"/>
          <w:highlight w:val="none"/>
        </w:rPr>
        <w:t>的财务报表。</w:t>
      </w:r>
    </w:p>
    <w:p>
      <w:pPr>
        <w:pStyle w:val="44"/>
        <w:pageBreakBefore w:val="0"/>
        <w:widowControl/>
        <w:kinsoku/>
        <w:overflowPunct/>
        <w:topLinePunct w:val="0"/>
        <w:autoSpaceDE/>
        <w:autoSpaceDN/>
        <w:bidi w:val="0"/>
        <w:adjustRightInd/>
        <w:snapToGrid/>
        <w:spacing w:before="0" w:beforeAutospacing="0" w:after="0" w:afterAutospacing="0" w:line="560" w:lineRule="exact"/>
        <w:ind w:firstLine="480" w:firstLineChars="20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（3）供应商需具备建筑工程施工总承包</w:t>
      </w:r>
      <w:r>
        <w:rPr>
          <w:rFonts w:hint="eastAsia" w:ascii="Times New Roman" w:cs="Times New Roman"/>
          <w:color w:val="auto"/>
          <w:highlight w:val="none"/>
          <w:lang w:val="en-US" w:eastAsia="zh-CN"/>
        </w:rPr>
        <w:t>一</w:t>
      </w:r>
      <w:r>
        <w:rPr>
          <w:rFonts w:hint="default" w:ascii="Times New Roman" w:hAnsi="Times New Roman" w:cs="Times New Roman"/>
          <w:color w:val="auto"/>
          <w:highlight w:val="none"/>
        </w:rPr>
        <w:t>级资质，</w:t>
      </w:r>
      <w:r>
        <w:rPr>
          <w:rFonts w:hint="eastAsia" w:ascii="Times New Roman" w:hAnsi="Times New Roman" w:cs="Times New Roman"/>
          <w:color w:val="auto"/>
          <w:highlight w:val="none"/>
          <w:lang w:val="en-US" w:eastAsia="zh-CN"/>
        </w:rPr>
        <w:t>钢结构工程专业承包一级，</w:t>
      </w:r>
      <w:r>
        <w:rPr>
          <w:rFonts w:hint="default" w:ascii="Times New Roman" w:hAnsi="Times New Roman" w:cs="Times New Roman"/>
          <w:color w:val="auto"/>
          <w:highlight w:val="none"/>
        </w:rPr>
        <w:t>并具备安全生产许可证。</w:t>
      </w:r>
    </w:p>
    <w:p>
      <w:pPr>
        <w:pStyle w:val="44"/>
        <w:pageBreakBefore w:val="0"/>
        <w:widowControl/>
        <w:kinsoku/>
        <w:overflowPunct/>
        <w:topLinePunct w:val="0"/>
        <w:autoSpaceDE/>
        <w:autoSpaceDN/>
        <w:bidi w:val="0"/>
        <w:adjustRightInd/>
        <w:snapToGrid/>
        <w:spacing w:before="0" w:beforeAutospacing="0" w:after="0" w:afterAutospacing="0" w:line="560" w:lineRule="exact"/>
        <w:ind w:firstLine="480" w:firstLineChars="200"/>
        <w:textAlignment w:val="auto"/>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rPr>
        <w:t>（4）报价人拟投入的项目经理须具备一级注册建造师执业资格，且在本项目合同期内不得兼职其他项目</w:t>
      </w:r>
      <w:r>
        <w:rPr>
          <w:rFonts w:hint="eastAsia" w:ascii="Times New Roman" w:cs="Times New Roman"/>
          <w:color w:val="auto"/>
          <w:highlight w:val="none"/>
          <w:lang w:eastAsia="zh-CN"/>
        </w:rPr>
        <w:t>，</w:t>
      </w:r>
      <w:r>
        <w:rPr>
          <w:rFonts w:hint="eastAsia" w:ascii="Times New Roman" w:cs="Times New Roman"/>
          <w:color w:val="auto"/>
          <w:highlight w:val="none"/>
          <w:lang w:val="en-US" w:eastAsia="zh-CN"/>
        </w:rPr>
        <w:t>项目经理需提供在供应商单位社保证明文件。</w:t>
      </w:r>
    </w:p>
    <w:p>
      <w:pPr>
        <w:pStyle w:val="44"/>
        <w:pageBreakBefore w:val="0"/>
        <w:widowControl/>
        <w:kinsoku/>
        <w:overflowPunct/>
        <w:topLinePunct w:val="0"/>
        <w:autoSpaceDE/>
        <w:autoSpaceDN/>
        <w:bidi w:val="0"/>
        <w:adjustRightInd/>
        <w:snapToGrid/>
        <w:spacing w:before="0" w:beforeAutospacing="0" w:after="0" w:afterAutospacing="0" w:line="560" w:lineRule="exact"/>
        <w:ind w:firstLine="480" w:firstLineChars="20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（5）报价人近五年内</w:t>
      </w:r>
      <w:r>
        <w:rPr>
          <w:rFonts w:hint="eastAsia" w:ascii="Times New Roman" w:cs="Times New Roman"/>
          <w:color w:val="auto"/>
          <w:highlight w:val="none"/>
          <w:lang w:eastAsia="zh-CN"/>
        </w:rPr>
        <w:t>（</w:t>
      </w:r>
      <w:r>
        <w:rPr>
          <w:rFonts w:hint="eastAsia" w:ascii="Times New Roman" w:cs="Times New Roman"/>
          <w:color w:val="auto"/>
          <w:highlight w:val="none"/>
          <w:lang w:val="en-US" w:eastAsia="zh-CN"/>
        </w:rPr>
        <w:t>2017-2022年</w:t>
      </w:r>
      <w:r>
        <w:rPr>
          <w:rFonts w:hint="eastAsia" w:ascii="Times New Roman" w:cs="Times New Roman"/>
          <w:color w:val="auto"/>
          <w:highlight w:val="none"/>
          <w:lang w:eastAsia="zh-CN"/>
        </w:rPr>
        <w:t>）</w:t>
      </w:r>
      <w:r>
        <w:rPr>
          <w:rFonts w:hint="default" w:ascii="Times New Roman" w:hAnsi="Times New Roman" w:cs="Times New Roman"/>
          <w:color w:val="auto"/>
          <w:highlight w:val="none"/>
        </w:rPr>
        <w:t>须具</w:t>
      </w:r>
      <w:r>
        <w:rPr>
          <w:rFonts w:hint="eastAsia" w:ascii="Times New Roman" w:cs="Times New Roman"/>
          <w:color w:val="auto"/>
          <w:highlight w:val="none"/>
          <w:lang w:val="en-US" w:eastAsia="zh-CN"/>
        </w:rPr>
        <w:t>相关类型</w:t>
      </w:r>
      <w:r>
        <w:rPr>
          <w:rFonts w:hint="default" w:ascii="Times New Roman" w:hAnsi="Times New Roman" w:cs="Times New Roman"/>
          <w:color w:val="auto"/>
          <w:highlight w:val="none"/>
        </w:rPr>
        <w:t>业绩。（需提供报价人单位的业绩合同</w:t>
      </w:r>
      <w:r>
        <w:rPr>
          <w:rFonts w:hint="eastAsia" w:ascii="Times New Roman" w:cs="Times New Roman"/>
          <w:color w:val="auto"/>
          <w:highlight w:val="none"/>
          <w:lang w:val="en-US" w:eastAsia="zh-CN"/>
        </w:rPr>
        <w:t>及相关</w:t>
      </w:r>
      <w:r>
        <w:rPr>
          <w:rFonts w:hint="default" w:ascii="Times New Roman" w:hAnsi="Times New Roman" w:cs="Times New Roman"/>
          <w:color w:val="auto"/>
          <w:highlight w:val="none"/>
        </w:rPr>
        <w:t>证明文件）</w:t>
      </w:r>
    </w:p>
    <w:p>
      <w:pPr>
        <w:pStyle w:val="44"/>
        <w:pageBreakBefore w:val="0"/>
        <w:widowControl/>
        <w:kinsoku/>
        <w:overflowPunct/>
        <w:topLinePunct w:val="0"/>
        <w:autoSpaceDE/>
        <w:autoSpaceDN/>
        <w:bidi w:val="0"/>
        <w:adjustRightInd/>
        <w:snapToGrid/>
        <w:spacing w:before="0" w:beforeAutospacing="0" w:after="0" w:afterAutospacing="0" w:line="560" w:lineRule="exact"/>
        <w:ind w:firstLine="480" w:firstLineChars="20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（6）报价人及报价人所报产品须具有满足本项目的国家强制许可资质。</w:t>
      </w:r>
    </w:p>
    <w:p>
      <w:pPr>
        <w:pStyle w:val="44"/>
        <w:pageBreakBefore w:val="0"/>
        <w:widowControl/>
        <w:kinsoku/>
        <w:overflowPunct/>
        <w:topLinePunct w:val="0"/>
        <w:autoSpaceDE/>
        <w:autoSpaceDN/>
        <w:bidi w:val="0"/>
        <w:adjustRightInd/>
        <w:snapToGrid/>
        <w:spacing w:before="0" w:beforeAutospacing="0" w:after="0" w:afterAutospacing="0" w:line="560" w:lineRule="exact"/>
        <w:ind w:firstLine="480" w:firstLineChars="200"/>
        <w:textAlignment w:val="auto"/>
        <w:rPr>
          <w:rFonts w:hint="eastAsia" w:ascii="Times New Roman" w:hAnsi="Times New Roman" w:eastAsia="宋体" w:cs="Times New Roman"/>
          <w:color w:val="auto"/>
          <w:highlight w:val="none"/>
          <w:lang w:eastAsia="zh-CN"/>
        </w:rPr>
      </w:pPr>
      <w:r>
        <w:rPr>
          <w:rFonts w:hint="default" w:ascii="Times New Roman" w:hAnsi="Times New Roman" w:cs="Times New Roman"/>
          <w:color w:val="auto"/>
          <w:highlight w:val="none"/>
        </w:rPr>
        <w:t>（7）具有以下情形的不得参与本次采购活动： 在“信用中国”网站（www.creditchina.gov.cn）等渠道列入失信被执行人（需附截图）</w:t>
      </w:r>
      <w:r>
        <w:rPr>
          <w:rFonts w:hint="eastAsia" w:ascii="Times New Roman" w:cs="Times New Roman"/>
          <w:color w:val="auto"/>
          <w:highlight w:val="none"/>
          <w:lang w:eastAsia="zh-CN"/>
        </w:rPr>
        <w:t>。</w:t>
      </w:r>
    </w:p>
    <w:p>
      <w:pPr>
        <w:pStyle w:val="5"/>
        <w:pageBreakBefore w:val="0"/>
        <w:widowControl/>
        <w:kinsoku/>
        <w:overflowPunct/>
        <w:topLinePunct w:val="0"/>
        <w:autoSpaceDE/>
        <w:autoSpaceDN/>
        <w:bidi w:val="0"/>
        <w:adjustRightInd/>
        <w:snapToGrid/>
        <w:spacing w:before="0" w:after="0" w:line="560" w:lineRule="exact"/>
        <w:textAlignment w:val="auto"/>
        <w:rPr>
          <w:rFonts w:hint="default" w:ascii="Cambria" w:hAnsi="Cambria" w:cs="Times New Roman"/>
          <w:b/>
          <w:bCs/>
          <w:sz w:val="28"/>
          <w:szCs w:val="28"/>
          <w:lang w:val="en-US" w:eastAsia="zh-CN" w:bidi="ar-SA"/>
        </w:rPr>
      </w:pPr>
      <w:r>
        <w:rPr>
          <w:rFonts w:hint="eastAsia" w:ascii="Cambria" w:hAnsi="Cambria" w:cs="Times New Roman"/>
          <w:b/>
          <w:bCs/>
          <w:sz w:val="28"/>
          <w:szCs w:val="28"/>
          <w:lang w:val="en-US" w:eastAsia="zh-CN" w:bidi="ar-SA"/>
        </w:rPr>
        <w:t>8</w:t>
      </w:r>
      <w:r>
        <w:rPr>
          <w:rFonts w:hint="default" w:ascii="Cambria" w:hAnsi="Cambria" w:cs="Times New Roman"/>
          <w:b/>
          <w:bCs/>
          <w:sz w:val="28"/>
          <w:szCs w:val="28"/>
          <w:lang w:val="en-US" w:eastAsia="zh-CN" w:bidi="ar-SA"/>
        </w:rPr>
        <w:t>、联系方式</w:t>
      </w:r>
    </w:p>
    <w:p>
      <w:pPr>
        <w:pStyle w:val="44"/>
        <w:pageBreakBefore w:val="0"/>
        <w:widowControl/>
        <w:kinsoku/>
        <w:overflowPunct/>
        <w:topLinePunct w:val="0"/>
        <w:autoSpaceDE/>
        <w:autoSpaceDN/>
        <w:bidi w:val="0"/>
        <w:adjustRightInd/>
        <w:snapToGrid/>
        <w:spacing w:before="0" w:beforeAutospacing="0" w:after="0" w:afterAutospacing="0" w:line="560" w:lineRule="exact"/>
        <w:ind w:firstLine="480" w:firstLineChars="20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采购人：中煤天津设计工程有限责任公司</w:t>
      </w:r>
    </w:p>
    <w:p>
      <w:pPr>
        <w:pStyle w:val="44"/>
        <w:pageBreakBefore w:val="0"/>
        <w:widowControl/>
        <w:kinsoku/>
        <w:overflowPunct/>
        <w:topLinePunct w:val="0"/>
        <w:autoSpaceDE/>
        <w:autoSpaceDN/>
        <w:bidi w:val="0"/>
        <w:adjustRightInd/>
        <w:snapToGrid/>
        <w:spacing w:before="0" w:beforeAutospacing="0" w:after="0" w:afterAutospacing="0" w:line="560" w:lineRule="exact"/>
        <w:ind w:firstLine="480" w:firstLineChars="20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地址：天津市红桥区大丰路安顺大厦（西北角水游城）3号楼</w:t>
      </w:r>
    </w:p>
    <w:p>
      <w:pPr>
        <w:pageBreakBefore w:val="0"/>
        <w:widowControl/>
        <w:kinsoku/>
        <w:wordWrap w:val="0"/>
        <w:overflowPunct/>
        <w:topLinePunct w:val="0"/>
        <w:autoSpaceDE/>
        <w:autoSpaceDN/>
        <w:bidi w:val="0"/>
        <w:adjustRightInd/>
        <w:snapToGrid/>
        <w:spacing w:line="560" w:lineRule="exact"/>
        <w:ind w:left="225" w:firstLine="240" w:firstLineChars="100"/>
        <w:textAlignment w:val="auto"/>
        <w:rPr>
          <w:rFonts w:hint="eastAsia" w:ascii="Times New Roman" w:hAnsi="Times New Roman" w:eastAsia="宋体" w:cs="Times New Roman"/>
          <w:bCs/>
          <w:color w:val="auto"/>
          <w:sz w:val="24"/>
          <w:szCs w:val="24"/>
          <w:highlight w:val="none"/>
          <w:lang w:eastAsia="zh-CN"/>
        </w:rPr>
      </w:pPr>
      <w:r>
        <w:rPr>
          <w:rFonts w:hint="default" w:ascii="Times New Roman" w:hAnsi="Times New Roman" w:cs="Times New Roman" w:eastAsiaTheme="minorEastAsia"/>
          <w:bCs/>
          <w:color w:val="auto"/>
          <w:sz w:val="24"/>
          <w:szCs w:val="24"/>
          <w:highlight w:val="none"/>
        </w:rPr>
        <w:t>项目联系人：</w:t>
      </w:r>
      <w:r>
        <w:rPr>
          <w:rFonts w:hint="default" w:ascii="Times New Roman" w:hAnsi="Times New Roman" w:cs="Times New Roman"/>
          <w:color w:val="auto"/>
          <w:sz w:val="24"/>
          <w:szCs w:val="24"/>
          <w:highlight w:val="none"/>
        </w:rPr>
        <w:t>罗</w:t>
      </w:r>
      <w:r>
        <w:rPr>
          <w:rFonts w:hint="eastAsia" w:cs="Times New Roman"/>
          <w:color w:val="auto"/>
          <w:sz w:val="24"/>
          <w:szCs w:val="24"/>
          <w:highlight w:val="none"/>
          <w:lang w:val="en-US" w:eastAsia="zh-CN"/>
        </w:rPr>
        <w:t>芳</w:t>
      </w:r>
    </w:p>
    <w:p>
      <w:pPr>
        <w:pStyle w:val="44"/>
        <w:pageBreakBefore w:val="0"/>
        <w:widowControl/>
        <w:kinsoku/>
        <w:wordWrap/>
        <w:overflowPunct/>
        <w:topLinePunct w:val="0"/>
        <w:autoSpaceDE/>
        <w:autoSpaceDN/>
        <w:bidi w:val="0"/>
        <w:adjustRightInd/>
        <w:snapToGrid/>
        <w:spacing w:before="0" w:beforeAutospacing="0" w:after="0" w:afterAutospacing="0" w:line="560" w:lineRule="exact"/>
        <w:ind w:firstLine="480" w:firstLineChars="200"/>
        <w:textAlignment w:val="auto"/>
        <w:rPr>
          <w:rFonts w:hint="default" w:ascii="Times New Roman" w:hAnsi="Times New Roman" w:eastAsia="宋体" w:cs="Times New Roman"/>
          <w:bCs/>
          <w:color w:val="auto"/>
          <w:highlight w:val="none"/>
          <w:lang w:val="en-US" w:eastAsia="zh-CN"/>
        </w:rPr>
      </w:pPr>
      <w:r>
        <w:rPr>
          <w:rFonts w:hint="default" w:ascii="Times New Roman" w:hAnsi="Times New Roman" w:cs="Times New Roman"/>
          <w:color w:val="auto"/>
          <w:highlight w:val="none"/>
        </w:rPr>
        <w:t>电  话：</w:t>
      </w:r>
      <w:r>
        <w:rPr>
          <w:rFonts w:hint="default" w:ascii="Times New Roman" w:hAnsi="Times New Roman" w:cs="Times New Roman"/>
          <w:bCs/>
          <w:color w:val="auto"/>
          <w:highlight w:val="none"/>
        </w:rPr>
        <w:t>1</w:t>
      </w:r>
      <w:r>
        <w:rPr>
          <w:rFonts w:hint="eastAsia" w:ascii="Times New Roman" w:cs="Times New Roman"/>
          <w:bCs/>
          <w:color w:val="auto"/>
          <w:highlight w:val="none"/>
          <w:lang w:val="en-US" w:eastAsia="zh-CN"/>
        </w:rPr>
        <w:t>8</w:t>
      </w:r>
      <w:r>
        <w:rPr>
          <w:rFonts w:hint="default" w:ascii="Times New Roman" w:hAnsi="Times New Roman" w:cs="Times New Roman"/>
          <w:bCs/>
          <w:color w:val="auto"/>
          <w:highlight w:val="none"/>
        </w:rPr>
        <w:t>8</w:t>
      </w:r>
      <w:r>
        <w:rPr>
          <w:rFonts w:hint="eastAsia" w:ascii="Times New Roman" w:cs="Times New Roman"/>
          <w:bCs/>
          <w:color w:val="auto"/>
          <w:highlight w:val="none"/>
          <w:lang w:val="en-US" w:eastAsia="zh-CN"/>
        </w:rPr>
        <w:t>32046637</w:t>
      </w:r>
    </w:p>
    <w:p>
      <w:pPr>
        <w:pStyle w:val="5"/>
        <w:pageBreakBefore w:val="0"/>
        <w:widowControl/>
        <w:kinsoku/>
        <w:wordWrap/>
        <w:overflowPunct/>
        <w:topLinePunct w:val="0"/>
        <w:autoSpaceDE/>
        <w:autoSpaceDN/>
        <w:bidi w:val="0"/>
        <w:adjustRightInd/>
        <w:snapToGrid/>
        <w:spacing w:line="560" w:lineRule="exact"/>
        <w:textAlignment w:val="auto"/>
        <w:rPr>
          <w:rFonts w:hint="default" w:ascii="Cambria" w:hAnsi="Cambria" w:cs="Times New Roman"/>
          <w:b/>
          <w:bCs/>
          <w:sz w:val="28"/>
          <w:szCs w:val="28"/>
          <w:lang w:val="en-US" w:eastAsia="zh-CN" w:bidi="ar-SA"/>
        </w:rPr>
      </w:pPr>
      <w:r>
        <w:rPr>
          <w:rFonts w:hint="eastAsia" w:ascii="Cambria" w:hAnsi="Cambria" w:cs="Times New Roman"/>
          <w:b/>
          <w:bCs/>
          <w:sz w:val="28"/>
          <w:szCs w:val="28"/>
          <w:lang w:val="en-US" w:eastAsia="zh-CN" w:bidi="ar-SA"/>
        </w:rPr>
        <w:t>9</w:t>
      </w:r>
      <w:r>
        <w:rPr>
          <w:rFonts w:hint="default" w:ascii="Cambria" w:hAnsi="Cambria" w:cs="Times New Roman"/>
          <w:b/>
          <w:bCs/>
          <w:sz w:val="28"/>
          <w:szCs w:val="28"/>
          <w:lang w:val="en-US" w:eastAsia="zh-CN" w:bidi="ar-SA"/>
        </w:rPr>
        <w:t>、投标须知</w:t>
      </w:r>
    </w:p>
    <w:p>
      <w:pPr>
        <w:pStyle w:val="44"/>
        <w:pageBreakBefore w:val="0"/>
        <w:widowControl/>
        <w:kinsoku/>
        <w:wordWrap/>
        <w:overflowPunct/>
        <w:topLinePunct w:val="0"/>
        <w:autoSpaceDE/>
        <w:autoSpaceDN/>
        <w:bidi w:val="0"/>
        <w:adjustRightInd/>
        <w:snapToGrid/>
        <w:spacing w:before="0" w:beforeAutospacing="0" w:after="0" w:afterAutospacing="0" w:line="560" w:lineRule="exact"/>
        <w:ind w:firstLine="480" w:firstLineChars="20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请各投标供应商投标时将投标文件扫描件（签字盖章版本）作为附件上传，如未按规定上传投标文件将被视为未响应招标文件。</w:t>
      </w:r>
    </w:p>
    <w:p>
      <w:pPr>
        <w:spacing w:line="360" w:lineRule="auto"/>
        <w:jc w:val="both"/>
        <w:rPr>
          <w:rFonts w:hint="default" w:ascii="Times New Roman" w:hAnsi="Times New Roman" w:cs="Times New Roman"/>
          <w:bCs/>
          <w:color w:val="auto"/>
          <w:sz w:val="24"/>
          <w:szCs w:val="24"/>
          <w:highlight w:val="none"/>
        </w:rPr>
      </w:pPr>
    </w:p>
    <w:p>
      <w:pPr>
        <w:rPr>
          <w:rFonts w:hint="default" w:ascii="Times New Roman" w:hAnsi="Times New Roman" w:cs="Times New Roman"/>
          <w:color w:val="auto"/>
          <w:highlight w:val="none"/>
        </w:rPr>
      </w:pPr>
      <w:r>
        <w:rPr>
          <w:rFonts w:hint="default" w:ascii="Times New Roman" w:hAnsi="Times New Roman" w:cs="Times New Roman"/>
          <w:color w:val="auto"/>
          <w:highlight w:val="none"/>
        </w:rPr>
        <w:br w:type="page"/>
      </w:r>
    </w:p>
    <w:p>
      <w:pPr>
        <w:pStyle w:val="4"/>
        <w:bidi w:val="0"/>
        <w:jc w:val="center"/>
        <w:rPr>
          <w:rFonts w:hint="default" w:ascii="Times New Roman" w:hAnsi="Times New Roman" w:cs="Times New Roman"/>
          <w:b/>
          <w:color w:val="auto"/>
          <w:kern w:val="2"/>
          <w:sz w:val="44"/>
          <w:szCs w:val="44"/>
          <w:highlight w:val="none"/>
        </w:rPr>
      </w:pPr>
      <w:bookmarkStart w:id="10" w:name="_Toc28419"/>
      <w:bookmarkStart w:id="11" w:name="_Toc10184873"/>
      <w:r>
        <w:rPr>
          <w:rFonts w:hint="default" w:ascii="Times New Roman" w:hAnsi="Times New Roman" w:cs="Times New Roman"/>
          <w:b/>
          <w:color w:val="auto"/>
          <w:kern w:val="2"/>
          <w:sz w:val="44"/>
          <w:szCs w:val="44"/>
          <w:highlight w:val="none"/>
        </w:rPr>
        <w:t>第二章 供应商须知</w:t>
      </w:r>
      <w:bookmarkStart w:id="12" w:name="_Toc35881739"/>
      <w:bookmarkStart w:id="13" w:name="_Toc33084454"/>
      <w:bookmarkStart w:id="14" w:name="_Toc33094937"/>
      <w:bookmarkStart w:id="15" w:name="_Toc40668281"/>
      <w:bookmarkStart w:id="16" w:name="_Toc34382767"/>
      <w:bookmarkStart w:id="17" w:name="_Toc33084570"/>
      <w:bookmarkStart w:id="18" w:name="_Toc34420943"/>
      <w:bookmarkStart w:id="19" w:name="_Toc33094715"/>
      <w:bookmarkStart w:id="20" w:name="_Toc35881603"/>
      <w:bookmarkStart w:id="21" w:name="_Toc37576450"/>
      <w:bookmarkStart w:id="22" w:name="_Toc35882139"/>
      <w:bookmarkStart w:id="23" w:name="_Toc33094625"/>
      <w:bookmarkStart w:id="24" w:name="_Toc37576399"/>
      <w:bookmarkStart w:id="25" w:name="_Toc35882039"/>
      <w:bookmarkStart w:id="26" w:name="_Toc35883024"/>
      <w:r>
        <w:rPr>
          <w:rFonts w:hint="default" w:ascii="Times New Roman" w:hAnsi="Times New Roman" w:cs="Times New Roman"/>
          <w:b/>
          <w:color w:val="auto"/>
          <w:kern w:val="2"/>
          <w:sz w:val="44"/>
          <w:szCs w:val="44"/>
          <w:highlight w:val="none"/>
        </w:rPr>
        <w:t>及前附表</w:t>
      </w:r>
      <w:bookmarkEnd w:id="2"/>
      <w:bookmarkEnd w:id="3"/>
      <w:bookmarkEnd w:id="4"/>
      <w:bookmarkEnd w:id="5"/>
      <w:bookmarkEnd w:id="6"/>
      <w:bookmarkEnd w:id="7"/>
      <w:bookmarkEnd w:id="8"/>
      <w:bookmarkEnd w:id="9"/>
      <w:bookmarkEnd w:id="10"/>
      <w:bookmarkEnd w:id="11"/>
    </w:p>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Pr>
        <w:pStyle w:val="5"/>
        <w:spacing w:line="360" w:lineRule="auto"/>
        <w:jc w:val="center"/>
        <w:rPr>
          <w:rFonts w:hint="default" w:ascii="Times New Roman" w:hAnsi="Times New Roman" w:cs="Times New Roman"/>
          <w:color w:val="auto"/>
          <w:highlight w:val="none"/>
        </w:rPr>
      </w:pPr>
      <w:bookmarkStart w:id="27" w:name="_Toc195209739"/>
      <w:bookmarkStart w:id="28" w:name="_Toc17216785"/>
      <w:bookmarkStart w:id="29" w:name="_Toc67210880"/>
      <w:bookmarkStart w:id="30" w:name="_Toc10184874"/>
      <w:bookmarkStart w:id="31" w:name="_Toc199062851"/>
      <w:bookmarkStart w:id="32" w:name="_Toc376164238"/>
      <w:bookmarkStart w:id="33" w:name="_Toc191969098"/>
      <w:bookmarkStart w:id="34" w:name="_Toc199040649"/>
      <w:bookmarkStart w:id="35" w:name="_Toc10122263"/>
      <w:bookmarkStart w:id="36" w:name="_Toc199065442"/>
      <w:bookmarkStart w:id="37" w:name="_Toc1396_WPSOffice_Level2"/>
      <w:bookmarkStart w:id="38" w:name="_Toc376793555"/>
      <w:bookmarkStart w:id="39" w:name="_Toc382505439"/>
      <w:bookmarkStart w:id="40" w:name="_Toc382509454"/>
      <w:bookmarkStart w:id="41" w:name="_Toc376793574"/>
      <w:bookmarkStart w:id="42" w:name="_Toc376793710"/>
      <w:r>
        <w:rPr>
          <w:rFonts w:hint="default" w:ascii="Times New Roman" w:hAnsi="Times New Roman" w:cs="Times New Roman"/>
          <w:color w:val="auto"/>
          <w:highlight w:val="none"/>
        </w:rPr>
        <w:t>供应商须知前附表</w:t>
      </w:r>
      <w:bookmarkEnd w:id="27"/>
      <w:bookmarkEnd w:id="28"/>
      <w:bookmarkEnd w:id="29"/>
      <w:bookmarkEnd w:id="30"/>
      <w:bookmarkEnd w:id="31"/>
      <w:bookmarkEnd w:id="32"/>
      <w:bookmarkEnd w:id="33"/>
      <w:bookmarkEnd w:id="34"/>
      <w:bookmarkEnd w:id="35"/>
      <w:bookmarkEnd w:id="36"/>
      <w:bookmarkEnd w:id="37"/>
    </w:p>
    <w:tbl>
      <w:tblPr>
        <w:tblStyle w:val="50"/>
        <w:tblW w:w="9492" w:type="dxa"/>
        <w:tblInd w:w="-17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8"/>
        <w:gridCol w:w="1977"/>
        <w:gridCol w:w="669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2" w:hRule="atLeast"/>
          <w:tblHeader/>
        </w:trPr>
        <w:tc>
          <w:tcPr>
            <w:tcW w:w="81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项号</w:t>
            </w:r>
          </w:p>
        </w:tc>
        <w:tc>
          <w:tcPr>
            <w:tcW w:w="197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内    容</w:t>
            </w:r>
          </w:p>
        </w:tc>
        <w:tc>
          <w:tcPr>
            <w:tcW w:w="6697" w:type="dxa"/>
            <w:tcBorders>
              <w:top w:val="single" w:color="auto" w:sz="4" w:space="0"/>
              <w:left w:val="single" w:color="auto" w:sz="4" w:space="0"/>
              <w:bottom w:val="single" w:color="auto" w:sz="4" w:space="0"/>
              <w:right w:val="single" w:color="auto" w:sz="4" w:space="0"/>
            </w:tcBorders>
            <w:vAlign w:val="center"/>
          </w:tcPr>
          <w:p>
            <w:pPr>
              <w:tabs>
                <w:tab w:val="left" w:pos="1180"/>
              </w:tabs>
              <w:jc w:val="center"/>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说明与要求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31" w:hRule="atLeast"/>
        </w:trPr>
        <w:tc>
          <w:tcPr>
            <w:tcW w:w="81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w:t>
            </w:r>
          </w:p>
        </w:tc>
        <w:tc>
          <w:tcPr>
            <w:tcW w:w="1977" w:type="dxa"/>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cs="Times New Roman"/>
                <w:bCs/>
                <w:color w:val="auto"/>
                <w:sz w:val="24"/>
                <w:szCs w:val="24"/>
                <w:highlight w:val="none"/>
              </w:rPr>
            </w:pPr>
            <w:r>
              <w:rPr>
                <w:rFonts w:hint="default" w:ascii="Times New Roman" w:hAnsi="Times New Roman" w:cs="Times New Roman"/>
                <w:bCs/>
                <w:color w:val="auto"/>
                <w:sz w:val="24"/>
                <w:szCs w:val="24"/>
                <w:highlight w:val="none"/>
              </w:rPr>
              <w:t>项目名称</w:t>
            </w:r>
          </w:p>
        </w:tc>
        <w:tc>
          <w:tcPr>
            <w:tcW w:w="6697"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color w:val="auto"/>
                <w:highlight w:val="none"/>
              </w:rPr>
            </w:pPr>
          </w:p>
          <w:p>
            <w:pPr>
              <w:adjustRightInd w:val="0"/>
              <w:snapToGrid w:val="0"/>
              <w:spacing w:line="360" w:lineRule="auto"/>
              <w:rPr>
                <w:rFonts w:hint="eastAsia" w:ascii="Times New Roman" w:hAnsi="Times New Roman" w:eastAsia="宋体" w:cs="Times New Roman"/>
                <w:bCs/>
                <w:color w:val="auto"/>
                <w:spacing w:val="-4"/>
                <w:sz w:val="24"/>
                <w:szCs w:val="24"/>
                <w:highlight w:val="none"/>
                <w:lang w:eastAsia="zh-CN"/>
              </w:rPr>
            </w:pPr>
            <w:r>
              <w:rPr>
                <w:rFonts w:hint="eastAsia" w:ascii="Times New Roman" w:hAnsi="Times New Roman" w:eastAsia="宋体" w:cs="Times New Roman"/>
                <w:b w:val="0"/>
                <w:bCs w:val="0"/>
                <w:color w:val="auto"/>
                <w:sz w:val="24"/>
                <w:szCs w:val="24"/>
                <w:highlight w:val="none"/>
                <w:lang w:val="en-US" w:eastAsia="zh-CN" w:bidi="ar-SA"/>
              </w:rPr>
              <w:t>中煤鄂尔多斯能源化工有限公司仓储中心卸煤场地抑尘技术改造项目EPC总承包建筑安装工程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81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2</w:t>
            </w:r>
          </w:p>
        </w:tc>
        <w:tc>
          <w:tcPr>
            <w:tcW w:w="1977" w:type="dxa"/>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cs="Times New Roman"/>
                <w:bCs/>
                <w:color w:val="auto"/>
                <w:sz w:val="24"/>
                <w:szCs w:val="24"/>
                <w:highlight w:val="none"/>
              </w:rPr>
            </w:pPr>
            <w:r>
              <w:rPr>
                <w:rFonts w:hint="default" w:ascii="Times New Roman" w:hAnsi="Times New Roman" w:cs="Times New Roman"/>
                <w:bCs/>
                <w:color w:val="auto"/>
                <w:sz w:val="24"/>
                <w:szCs w:val="24"/>
                <w:highlight w:val="none"/>
              </w:rPr>
              <w:t>到货地点</w:t>
            </w:r>
          </w:p>
        </w:tc>
        <w:tc>
          <w:tcPr>
            <w:tcW w:w="6697" w:type="dxa"/>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cs="Times New Roman"/>
                <w:bCs/>
                <w:color w:val="auto"/>
                <w:sz w:val="24"/>
                <w:szCs w:val="24"/>
                <w:highlight w:val="none"/>
              </w:rPr>
            </w:pPr>
            <w:r>
              <w:rPr>
                <w:rFonts w:hint="eastAsia" w:ascii="Times New Roman" w:hAnsi="Times New Roman" w:eastAsia="宋体" w:cs="Times New Roman"/>
                <w:b w:val="0"/>
                <w:bCs w:val="0"/>
                <w:color w:val="auto"/>
                <w:sz w:val="24"/>
                <w:szCs w:val="24"/>
                <w:highlight w:val="none"/>
                <w:lang w:val="en-US" w:eastAsia="zh-CN" w:bidi="ar-SA"/>
              </w:rPr>
              <w:t>内蒙古自治区鄂尔多斯市乌审旗图克镇工业园区内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81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3</w:t>
            </w:r>
          </w:p>
        </w:tc>
        <w:tc>
          <w:tcPr>
            <w:tcW w:w="1977" w:type="dxa"/>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报价方式</w:t>
            </w:r>
          </w:p>
        </w:tc>
        <w:tc>
          <w:tcPr>
            <w:tcW w:w="6697" w:type="dxa"/>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cs="Times New Roman"/>
                <w:color w:val="auto"/>
                <w:sz w:val="24"/>
                <w:szCs w:val="24"/>
                <w:highlight w:val="none"/>
              </w:rPr>
            </w:pPr>
            <w:r>
              <w:rPr>
                <w:rFonts w:hint="default" w:ascii="Times New Roman" w:hAnsi="Times New Roman" w:cs="Times New Roman"/>
                <w:bCs/>
                <w:color w:val="auto"/>
                <w:sz w:val="24"/>
                <w:szCs w:val="24"/>
                <w:highlight w:val="none"/>
              </w:rPr>
              <w:t>固定总价（含税）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6" w:hRule="atLeast"/>
        </w:trPr>
        <w:tc>
          <w:tcPr>
            <w:tcW w:w="81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4</w:t>
            </w:r>
          </w:p>
        </w:tc>
        <w:tc>
          <w:tcPr>
            <w:tcW w:w="1977" w:type="dxa"/>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采购内容及范围</w:t>
            </w:r>
          </w:p>
        </w:tc>
        <w:tc>
          <w:tcPr>
            <w:tcW w:w="6697" w:type="dxa"/>
            <w:tcBorders>
              <w:top w:val="single" w:color="auto" w:sz="4" w:space="0"/>
              <w:left w:val="single" w:color="auto" w:sz="4" w:space="0"/>
              <w:bottom w:val="single" w:color="auto" w:sz="4" w:space="0"/>
              <w:right w:val="single" w:color="auto" w:sz="4" w:space="0"/>
            </w:tcBorders>
            <w:vAlign w:val="center"/>
          </w:tcPr>
          <w:p>
            <w:pPr>
              <w:pStyle w:val="44"/>
              <w:tabs>
                <w:tab w:val="left" w:pos="720"/>
              </w:tabs>
              <w:spacing w:before="0" w:beforeAutospacing="0" w:after="0" w:afterAutospacing="0" w:line="260" w:lineRule="exact"/>
              <w:ind w:left="-2" w:leftChars="-1" w:right="28"/>
              <w:jc w:val="both"/>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详见采购文件技术规范书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61" w:hRule="atLeast"/>
        </w:trPr>
        <w:tc>
          <w:tcPr>
            <w:tcW w:w="81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5</w:t>
            </w:r>
          </w:p>
        </w:tc>
        <w:tc>
          <w:tcPr>
            <w:tcW w:w="1977" w:type="dxa"/>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资金来源</w:t>
            </w:r>
          </w:p>
        </w:tc>
        <w:tc>
          <w:tcPr>
            <w:tcW w:w="6697" w:type="dxa"/>
            <w:tcBorders>
              <w:top w:val="single" w:color="auto" w:sz="4" w:space="0"/>
              <w:left w:val="single" w:color="auto" w:sz="4" w:space="0"/>
              <w:bottom w:val="single" w:color="auto" w:sz="4" w:space="0"/>
              <w:right w:val="single" w:color="auto" w:sz="4" w:space="0"/>
            </w:tcBorders>
            <w:vAlign w:val="center"/>
          </w:tcPr>
          <w:p>
            <w:pPr>
              <w:pStyle w:val="30"/>
              <w:ind w:left="0"/>
              <w:rPr>
                <w:rFonts w:hint="default" w:ascii="Times New Roman" w:hAnsi="Times New Roman" w:cs="Times New Roman"/>
                <w:color w:val="auto"/>
                <w:kern w:val="0"/>
                <w:sz w:val="24"/>
                <w:szCs w:val="24"/>
                <w:highlight w:val="none"/>
              </w:rPr>
            </w:pPr>
            <w:r>
              <w:rPr>
                <w:rFonts w:hint="default" w:ascii="Times New Roman" w:hAnsi="Times New Roman" w:cs="Times New Roman"/>
                <w:color w:val="auto"/>
                <w:kern w:val="0"/>
                <w:sz w:val="24"/>
                <w:szCs w:val="24"/>
                <w:highlight w:val="none"/>
              </w:rPr>
              <w:t>企业自筹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81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6</w:t>
            </w:r>
          </w:p>
        </w:tc>
        <w:tc>
          <w:tcPr>
            <w:tcW w:w="1977" w:type="dxa"/>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供应商资格标准</w:t>
            </w:r>
          </w:p>
        </w:tc>
        <w:tc>
          <w:tcPr>
            <w:tcW w:w="6697" w:type="dxa"/>
            <w:tcBorders>
              <w:top w:val="single" w:color="auto" w:sz="4" w:space="0"/>
              <w:left w:val="single" w:color="auto" w:sz="4" w:space="0"/>
              <w:bottom w:val="single" w:color="auto" w:sz="4" w:space="0"/>
              <w:right w:val="single" w:color="auto" w:sz="4" w:space="0"/>
            </w:tcBorders>
            <w:vAlign w:val="center"/>
          </w:tcPr>
          <w:p>
            <w:pPr>
              <w:pStyle w:val="44"/>
              <w:pageBreakBefore w:val="0"/>
              <w:widowControl/>
              <w:kinsoku/>
              <w:overflowPunct/>
              <w:topLinePunct w:val="0"/>
              <w:autoSpaceDE/>
              <w:autoSpaceDN/>
              <w:bidi w:val="0"/>
              <w:adjustRightInd/>
              <w:snapToGrid/>
              <w:spacing w:before="0" w:beforeAutospacing="0" w:after="0" w:afterAutospacing="0" w:line="560" w:lineRule="exact"/>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（1）报价人必须是合格的独立法人企业，且具有履行合同能力的增值税一般纳税人。</w:t>
            </w:r>
          </w:p>
          <w:p>
            <w:pPr>
              <w:pStyle w:val="44"/>
              <w:pageBreakBefore w:val="0"/>
              <w:widowControl/>
              <w:kinsoku/>
              <w:overflowPunct/>
              <w:topLinePunct w:val="0"/>
              <w:autoSpaceDE/>
              <w:autoSpaceDN/>
              <w:bidi w:val="0"/>
              <w:adjustRightInd/>
              <w:snapToGrid/>
              <w:spacing w:before="0" w:beforeAutospacing="0" w:after="0" w:afterAutospacing="0" w:line="560" w:lineRule="exact"/>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（2）报价人应具有良好的信誉，并具备履行合同所需的财务和技术能力，财务状况须提供近三年</w:t>
            </w:r>
            <w:r>
              <w:rPr>
                <w:rFonts w:hint="eastAsia" w:ascii="Times New Roman" w:cs="Times New Roman"/>
                <w:color w:val="auto"/>
                <w:highlight w:val="none"/>
                <w:lang w:eastAsia="zh-CN"/>
              </w:rPr>
              <w:t>（</w:t>
            </w:r>
            <w:r>
              <w:rPr>
                <w:rFonts w:hint="eastAsia" w:ascii="Times New Roman" w:cs="Times New Roman"/>
                <w:color w:val="auto"/>
                <w:highlight w:val="none"/>
                <w:lang w:val="en-US" w:eastAsia="zh-CN"/>
              </w:rPr>
              <w:t>2021-2023</w:t>
            </w:r>
            <w:r>
              <w:rPr>
                <w:rFonts w:hint="eastAsia" w:ascii="Times New Roman" w:cs="Times New Roman"/>
                <w:color w:val="auto"/>
                <w:highlight w:val="none"/>
                <w:lang w:eastAsia="zh-CN"/>
              </w:rPr>
              <w:t>）</w:t>
            </w:r>
            <w:r>
              <w:rPr>
                <w:rFonts w:hint="eastAsia" w:ascii="Times New Roman" w:cs="Times New Roman"/>
                <w:color w:val="auto"/>
                <w:highlight w:val="none"/>
                <w:lang w:val="en-US" w:eastAsia="zh-CN"/>
              </w:rPr>
              <w:t>或公司成来以来</w:t>
            </w:r>
            <w:r>
              <w:rPr>
                <w:rFonts w:hint="default" w:ascii="Times New Roman" w:hAnsi="Times New Roman" w:cs="Times New Roman"/>
                <w:color w:val="auto"/>
                <w:highlight w:val="none"/>
              </w:rPr>
              <w:t>的财务报表。</w:t>
            </w:r>
          </w:p>
          <w:p>
            <w:pPr>
              <w:pStyle w:val="44"/>
              <w:pageBreakBefore w:val="0"/>
              <w:widowControl/>
              <w:kinsoku/>
              <w:overflowPunct/>
              <w:topLinePunct w:val="0"/>
              <w:autoSpaceDE/>
              <w:autoSpaceDN/>
              <w:bidi w:val="0"/>
              <w:adjustRightInd/>
              <w:snapToGrid/>
              <w:spacing w:before="0" w:beforeAutospacing="0" w:after="0" w:afterAutospacing="0" w:line="560" w:lineRule="exact"/>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（3）供应商需具备建筑工程施工总承包</w:t>
            </w:r>
            <w:r>
              <w:rPr>
                <w:rFonts w:hint="eastAsia" w:ascii="Times New Roman" w:cs="Times New Roman"/>
                <w:color w:val="auto"/>
                <w:highlight w:val="none"/>
                <w:lang w:val="en-US" w:eastAsia="zh-CN"/>
              </w:rPr>
              <w:t>一</w:t>
            </w:r>
            <w:r>
              <w:rPr>
                <w:rFonts w:hint="default" w:ascii="Times New Roman" w:hAnsi="Times New Roman" w:cs="Times New Roman"/>
                <w:color w:val="auto"/>
                <w:highlight w:val="none"/>
              </w:rPr>
              <w:t>级资质，</w:t>
            </w:r>
            <w:r>
              <w:rPr>
                <w:rFonts w:hint="eastAsia" w:ascii="Times New Roman" w:hAnsi="Times New Roman" w:cs="Times New Roman"/>
                <w:color w:val="auto"/>
                <w:highlight w:val="none"/>
                <w:lang w:val="en-US" w:eastAsia="zh-CN"/>
              </w:rPr>
              <w:t>钢结构工程专业承包一级，</w:t>
            </w:r>
            <w:r>
              <w:rPr>
                <w:rFonts w:hint="default" w:ascii="Times New Roman" w:hAnsi="Times New Roman" w:cs="Times New Roman"/>
                <w:color w:val="auto"/>
                <w:highlight w:val="none"/>
              </w:rPr>
              <w:t>并具备安全生产许可证。</w:t>
            </w:r>
          </w:p>
          <w:p>
            <w:pPr>
              <w:pStyle w:val="44"/>
              <w:pageBreakBefore w:val="0"/>
              <w:widowControl/>
              <w:kinsoku/>
              <w:overflowPunct/>
              <w:topLinePunct w:val="0"/>
              <w:autoSpaceDE/>
              <w:autoSpaceDN/>
              <w:bidi w:val="0"/>
              <w:adjustRightInd/>
              <w:snapToGrid/>
              <w:spacing w:before="0" w:beforeAutospacing="0" w:after="0" w:afterAutospacing="0" w:line="560" w:lineRule="exact"/>
              <w:textAlignment w:val="auto"/>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rPr>
              <w:t>（4）报价人拟投入的项目经理须具备一级注册建造师执业资格，且在本项目合同期内不得兼职其他项目</w:t>
            </w:r>
            <w:r>
              <w:rPr>
                <w:rFonts w:hint="eastAsia" w:ascii="Times New Roman" w:cs="Times New Roman"/>
                <w:color w:val="auto"/>
                <w:highlight w:val="none"/>
                <w:lang w:eastAsia="zh-CN"/>
              </w:rPr>
              <w:t>，</w:t>
            </w:r>
            <w:r>
              <w:rPr>
                <w:rFonts w:hint="eastAsia" w:ascii="Times New Roman" w:cs="Times New Roman"/>
                <w:color w:val="auto"/>
                <w:highlight w:val="none"/>
                <w:lang w:val="en-US" w:eastAsia="zh-CN"/>
              </w:rPr>
              <w:t>项目经理需提供在供应商单位社保证明文件。</w:t>
            </w:r>
          </w:p>
          <w:p>
            <w:pPr>
              <w:pStyle w:val="44"/>
              <w:pageBreakBefore w:val="0"/>
              <w:widowControl/>
              <w:kinsoku/>
              <w:overflowPunct/>
              <w:topLinePunct w:val="0"/>
              <w:autoSpaceDE/>
              <w:autoSpaceDN/>
              <w:bidi w:val="0"/>
              <w:adjustRightInd/>
              <w:snapToGrid/>
              <w:spacing w:before="0" w:beforeAutospacing="0" w:after="0" w:afterAutospacing="0" w:line="560" w:lineRule="exact"/>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（5）报价人近五年内</w:t>
            </w:r>
            <w:r>
              <w:rPr>
                <w:rFonts w:hint="eastAsia" w:ascii="Times New Roman" w:cs="Times New Roman"/>
                <w:color w:val="auto"/>
                <w:highlight w:val="none"/>
                <w:lang w:eastAsia="zh-CN"/>
              </w:rPr>
              <w:t>（</w:t>
            </w:r>
            <w:r>
              <w:rPr>
                <w:rFonts w:hint="eastAsia" w:ascii="Times New Roman" w:cs="Times New Roman"/>
                <w:color w:val="auto"/>
                <w:highlight w:val="none"/>
                <w:lang w:val="en-US" w:eastAsia="zh-CN"/>
              </w:rPr>
              <w:t>2017-2022年</w:t>
            </w:r>
            <w:r>
              <w:rPr>
                <w:rFonts w:hint="eastAsia" w:ascii="Times New Roman" w:cs="Times New Roman"/>
                <w:color w:val="auto"/>
                <w:highlight w:val="none"/>
                <w:lang w:eastAsia="zh-CN"/>
              </w:rPr>
              <w:t>）</w:t>
            </w:r>
            <w:r>
              <w:rPr>
                <w:rFonts w:hint="default" w:ascii="Times New Roman" w:hAnsi="Times New Roman" w:cs="Times New Roman"/>
                <w:color w:val="auto"/>
                <w:highlight w:val="none"/>
              </w:rPr>
              <w:t>须具</w:t>
            </w:r>
            <w:r>
              <w:rPr>
                <w:rFonts w:hint="eastAsia" w:ascii="Times New Roman" w:cs="Times New Roman"/>
                <w:color w:val="auto"/>
                <w:highlight w:val="none"/>
                <w:lang w:val="en-US" w:eastAsia="zh-CN"/>
              </w:rPr>
              <w:t>相关类型</w:t>
            </w:r>
            <w:r>
              <w:rPr>
                <w:rFonts w:hint="default" w:ascii="Times New Roman" w:hAnsi="Times New Roman" w:cs="Times New Roman"/>
                <w:color w:val="auto"/>
                <w:highlight w:val="none"/>
              </w:rPr>
              <w:t>业绩。（需提供报价人单位的业绩合同</w:t>
            </w:r>
            <w:r>
              <w:rPr>
                <w:rFonts w:hint="eastAsia" w:ascii="Times New Roman" w:cs="Times New Roman"/>
                <w:color w:val="auto"/>
                <w:highlight w:val="none"/>
                <w:lang w:val="en-US" w:eastAsia="zh-CN"/>
              </w:rPr>
              <w:t>及相关</w:t>
            </w:r>
            <w:r>
              <w:rPr>
                <w:rFonts w:hint="default" w:ascii="Times New Roman" w:hAnsi="Times New Roman" w:cs="Times New Roman"/>
                <w:color w:val="auto"/>
                <w:highlight w:val="none"/>
              </w:rPr>
              <w:t>证明文件）</w:t>
            </w:r>
          </w:p>
          <w:p>
            <w:pPr>
              <w:pStyle w:val="44"/>
              <w:pageBreakBefore w:val="0"/>
              <w:widowControl/>
              <w:kinsoku/>
              <w:overflowPunct/>
              <w:topLinePunct w:val="0"/>
              <w:autoSpaceDE/>
              <w:autoSpaceDN/>
              <w:bidi w:val="0"/>
              <w:adjustRightInd/>
              <w:snapToGrid/>
              <w:spacing w:before="0" w:beforeAutospacing="0" w:after="0" w:afterAutospacing="0" w:line="560" w:lineRule="exact"/>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（6）报价人及报价人所报产品须具有满足本项目的国家强制许可资质。</w:t>
            </w:r>
          </w:p>
          <w:p>
            <w:pPr>
              <w:pStyle w:val="44"/>
              <w:spacing w:before="0" w:beforeAutospacing="0" w:after="0" w:afterAutospacing="0" w:line="48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t>（7）具有以下情形的不得参与本次采购活动： 在“信用中国”网站（www.creditchina.gov.cn）等渠道列入失信被执行人（需附截图）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79" w:hRule="atLeast"/>
        </w:trPr>
        <w:tc>
          <w:tcPr>
            <w:tcW w:w="81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7</w:t>
            </w:r>
          </w:p>
        </w:tc>
        <w:tc>
          <w:tcPr>
            <w:tcW w:w="1977" w:type="dxa"/>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资格审查方式</w:t>
            </w:r>
          </w:p>
        </w:tc>
        <w:tc>
          <w:tcPr>
            <w:tcW w:w="6697" w:type="dxa"/>
            <w:tcBorders>
              <w:top w:val="single" w:color="auto" w:sz="4" w:space="0"/>
              <w:left w:val="single" w:color="auto" w:sz="4" w:space="0"/>
              <w:bottom w:val="single" w:color="auto" w:sz="4" w:space="0"/>
              <w:right w:val="single" w:color="auto" w:sz="4" w:space="0"/>
            </w:tcBorders>
            <w:vAlign w:val="center"/>
          </w:tcPr>
          <w:p>
            <w:pPr>
              <w:pStyle w:val="30"/>
              <w:ind w:left="0"/>
              <w:rPr>
                <w:rFonts w:hint="default" w:ascii="Times New Roman" w:hAnsi="Times New Roman" w:cs="Times New Roman"/>
                <w:color w:val="auto"/>
                <w:kern w:val="0"/>
                <w:sz w:val="24"/>
                <w:szCs w:val="24"/>
                <w:highlight w:val="none"/>
              </w:rPr>
            </w:pPr>
            <w:r>
              <w:rPr>
                <w:rFonts w:hint="default" w:ascii="Times New Roman" w:hAnsi="Times New Roman" w:cs="Times New Roman"/>
                <w:color w:val="auto"/>
                <w:kern w:val="0"/>
                <w:sz w:val="24"/>
                <w:szCs w:val="24"/>
                <w:highlight w:val="none"/>
              </w:rPr>
              <w:t>资格后审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53" w:hRule="atLeast"/>
        </w:trPr>
        <w:tc>
          <w:tcPr>
            <w:tcW w:w="81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8</w:t>
            </w:r>
          </w:p>
        </w:tc>
        <w:tc>
          <w:tcPr>
            <w:tcW w:w="1977" w:type="dxa"/>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采购有效期</w:t>
            </w:r>
          </w:p>
        </w:tc>
        <w:tc>
          <w:tcPr>
            <w:tcW w:w="6697" w:type="dxa"/>
            <w:tcBorders>
              <w:top w:val="single" w:color="auto" w:sz="4" w:space="0"/>
              <w:left w:val="single" w:color="auto" w:sz="4" w:space="0"/>
              <w:bottom w:val="single" w:color="auto" w:sz="4" w:space="0"/>
              <w:right w:val="single" w:color="auto" w:sz="4" w:space="0"/>
            </w:tcBorders>
            <w:vAlign w:val="center"/>
          </w:tcPr>
          <w:p>
            <w:pPr>
              <w:ind w:leftChars="-23" w:hanging="45" w:hangingChars="19"/>
              <w:jc w:val="both"/>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自洽谈之日起90日历日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27" w:hRule="atLeast"/>
        </w:trPr>
        <w:tc>
          <w:tcPr>
            <w:tcW w:w="81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9</w:t>
            </w:r>
          </w:p>
        </w:tc>
        <w:tc>
          <w:tcPr>
            <w:tcW w:w="1977" w:type="dxa"/>
            <w:tcBorders>
              <w:top w:val="single" w:color="auto" w:sz="4" w:space="0"/>
              <w:left w:val="single" w:color="auto" w:sz="4" w:space="0"/>
              <w:bottom w:val="single" w:color="auto" w:sz="4" w:space="0"/>
              <w:right w:val="single" w:color="auto" w:sz="4" w:space="0"/>
            </w:tcBorders>
            <w:vAlign w:val="center"/>
          </w:tcPr>
          <w:p>
            <w:pPr>
              <w:pStyle w:val="30"/>
              <w:ind w:left="0"/>
              <w:rPr>
                <w:rFonts w:hint="default" w:ascii="Times New Roman" w:hAnsi="Times New Roman" w:cs="Times New Roman"/>
                <w:color w:val="auto"/>
                <w:kern w:val="0"/>
                <w:sz w:val="24"/>
                <w:szCs w:val="24"/>
                <w:highlight w:val="none"/>
              </w:rPr>
            </w:pPr>
            <w:r>
              <w:rPr>
                <w:rFonts w:hint="default" w:ascii="Times New Roman" w:hAnsi="Times New Roman" w:cs="Times New Roman"/>
                <w:color w:val="auto"/>
                <w:kern w:val="0"/>
                <w:sz w:val="24"/>
                <w:szCs w:val="24"/>
                <w:highlight w:val="none"/>
              </w:rPr>
              <w:t>现场勘查</w:t>
            </w:r>
          </w:p>
        </w:tc>
        <w:tc>
          <w:tcPr>
            <w:tcW w:w="6697" w:type="dxa"/>
            <w:tcBorders>
              <w:top w:val="single" w:color="auto" w:sz="4" w:space="0"/>
              <w:left w:val="single" w:color="auto" w:sz="4" w:space="0"/>
              <w:bottom w:val="single" w:color="auto" w:sz="4" w:space="0"/>
              <w:right w:val="single" w:color="auto" w:sz="4" w:space="0"/>
            </w:tcBorders>
            <w:vAlign w:val="center"/>
          </w:tcPr>
          <w:p>
            <w:pPr>
              <w:widowControl w:val="0"/>
              <w:snapToGrid w:val="0"/>
              <w:jc w:val="both"/>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采购人不安排踏勘。供应商可自行安排，相关一切费用自理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95" w:hRule="atLeast"/>
        </w:trPr>
        <w:tc>
          <w:tcPr>
            <w:tcW w:w="81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10</w:t>
            </w:r>
          </w:p>
        </w:tc>
        <w:tc>
          <w:tcPr>
            <w:tcW w:w="1977" w:type="dxa"/>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响应文件份数及封装要求</w:t>
            </w:r>
          </w:p>
        </w:tc>
        <w:tc>
          <w:tcPr>
            <w:tcW w:w="6697"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投标文件电子版（签字盖章扫描版）请于报价截止时间前同投标报价一起上传至中煤易购平台。如未按规定上传投标文件将被视为未响应招标文件。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1" w:hRule="atLeast"/>
        </w:trPr>
        <w:tc>
          <w:tcPr>
            <w:tcW w:w="81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11</w:t>
            </w:r>
          </w:p>
        </w:tc>
        <w:tc>
          <w:tcPr>
            <w:tcW w:w="1977" w:type="dxa"/>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装订要求</w:t>
            </w:r>
          </w:p>
        </w:tc>
        <w:tc>
          <w:tcPr>
            <w:tcW w:w="6697" w:type="dxa"/>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竖向左侧软皮胶订，不允许活页装订。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1" w:hRule="atLeast"/>
        </w:trPr>
        <w:tc>
          <w:tcPr>
            <w:tcW w:w="81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12</w:t>
            </w:r>
          </w:p>
        </w:tc>
        <w:tc>
          <w:tcPr>
            <w:tcW w:w="1977" w:type="dxa"/>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cs="Times New Roman"/>
                <w:color w:val="auto"/>
                <w:sz w:val="24"/>
                <w:szCs w:val="24"/>
                <w:highlight w:val="none"/>
              </w:rPr>
            </w:pPr>
            <w:r>
              <w:rPr>
                <w:rFonts w:hint="eastAsia" w:ascii="宋体"/>
                <w:color w:val="auto"/>
                <w:sz w:val="24"/>
                <w:szCs w:val="24"/>
                <w:highlight w:val="none"/>
                <w:lang w:val="en-US" w:eastAsia="zh-CN"/>
              </w:rPr>
              <w:t>供应商需提供资料</w:t>
            </w:r>
          </w:p>
        </w:tc>
        <w:tc>
          <w:tcPr>
            <w:tcW w:w="6697" w:type="dxa"/>
            <w:tcBorders>
              <w:top w:val="single" w:color="auto" w:sz="4" w:space="0"/>
              <w:left w:val="single" w:color="auto" w:sz="4" w:space="0"/>
              <w:bottom w:val="single" w:color="auto" w:sz="4" w:space="0"/>
              <w:right w:val="single" w:color="auto" w:sz="4" w:space="0"/>
            </w:tcBorders>
            <w:vAlign w:val="center"/>
          </w:tcPr>
          <w:p>
            <w:pPr>
              <w:pStyle w:val="30"/>
              <w:ind w:left="0" w:leftChars="0"/>
              <w:rPr>
                <w:rFonts w:hint="default" w:ascii="Times New Roman" w:hAnsi="Times New Roman" w:cs="Times New Roman"/>
                <w:color w:val="auto"/>
                <w:sz w:val="24"/>
                <w:szCs w:val="24"/>
                <w:highlight w:val="none"/>
              </w:rPr>
            </w:pPr>
            <w:r>
              <w:rPr>
                <w:rFonts w:hint="eastAsia" w:ascii="宋体" w:hAnsi="Times New Roman" w:cs="Times New Roman"/>
                <w:color w:val="auto"/>
                <w:kern w:val="0"/>
                <w:sz w:val="24"/>
                <w:szCs w:val="24"/>
                <w:highlight w:val="none"/>
              </w:rPr>
              <w:t>供</w:t>
            </w:r>
            <w:r>
              <w:rPr>
                <w:rFonts w:hint="eastAsia" w:ascii="宋体"/>
                <w:color w:val="auto"/>
                <w:kern w:val="0"/>
                <w:sz w:val="24"/>
                <w:szCs w:val="24"/>
                <w:highlight w:val="none"/>
              </w:rPr>
              <w:t>应商法人授权代表需提供本人在供应商单位近半年社保证明文</w:t>
            </w:r>
            <w:r>
              <w:rPr>
                <w:rFonts w:hint="eastAsia" w:hAnsi="宋体" w:cs="宋体"/>
                <w:color w:val="auto"/>
                <w:highlight w:val="none"/>
              </w:rPr>
              <w:t>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8" w:hRule="atLeast"/>
        </w:trPr>
        <w:tc>
          <w:tcPr>
            <w:tcW w:w="8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color w:val="auto"/>
                <w:sz w:val="24"/>
                <w:szCs w:val="24"/>
                <w:highlight w:val="none"/>
                <w:lang w:eastAsia="zh-CN"/>
              </w:rPr>
            </w:pPr>
            <w:r>
              <w:rPr>
                <w:rFonts w:hint="default" w:ascii="Times New Roman" w:hAnsi="Times New Roman" w:cs="Times New Roman"/>
                <w:color w:val="auto"/>
                <w:sz w:val="24"/>
                <w:szCs w:val="24"/>
                <w:highlight w:val="none"/>
              </w:rPr>
              <w:t>1</w:t>
            </w:r>
            <w:r>
              <w:rPr>
                <w:rFonts w:hint="eastAsia" w:cs="Times New Roman"/>
                <w:color w:val="auto"/>
                <w:sz w:val="24"/>
                <w:szCs w:val="24"/>
                <w:highlight w:val="none"/>
                <w:lang w:val="en-US" w:eastAsia="zh-CN"/>
              </w:rPr>
              <w:t>3</w:t>
            </w:r>
          </w:p>
        </w:tc>
        <w:tc>
          <w:tcPr>
            <w:tcW w:w="1977" w:type="dxa"/>
            <w:tcBorders>
              <w:top w:val="single" w:color="auto" w:sz="4" w:space="0"/>
              <w:left w:val="single" w:color="auto" w:sz="4" w:space="0"/>
              <w:bottom w:val="single" w:color="auto" w:sz="4" w:space="0"/>
              <w:right w:val="single" w:color="auto" w:sz="4" w:space="0"/>
            </w:tcBorders>
            <w:vAlign w:val="center"/>
          </w:tcPr>
          <w:p>
            <w:pPr>
              <w:pStyle w:val="8"/>
              <w:ind w:firstLine="0"/>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成交供应商</w:t>
            </w:r>
          </w:p>
        </w:tc>
        <w:tc>
          <w:tcPr>
            <w:tcW w:w="6697" w:type="dxa"/>
            <w:tcBorders>
              <w:top w:val="single" w:color="auto" w:sz="4" w:space="0"/>
              <w:left w:val="single" w:color="auto" w:sz="4" w:space="0"/>
              <w:bottom w:val="single" w:color="auto" w:sz="4" w:space="0"/>
              <w:right w:val="single" w:color="auto" w:sz="4" w:space="0"/>
            </w:tcBorders>
            <w:vAlign w:val="center"/>
          </w:tcPr>
          <w:p>
            <w:pPr>
              <w:pStyle w:val="8"/>
              <w:ind w:firstLine="0"/>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由采购人确定成交供应商。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0" w:hRule="atLeast"/>
        </w:trPr>
        <w:tc>
          <w:tcPr>
            <w:tcW w:w="8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color w:val="auto"/>
                <w:sz w:val="24"/>
                <w:szCs w:val="24"/>
                <w:highlight w:val="none"/>
                <w:lang w:eastAsia="zh-CN"/>
              </w:rPr>
            </w:pPr>
            <w:r>
              <w:rPr>
                <w:rFonts w:hint="default" w:ascii="Times New Roman" w:hAnsi="Times New Roman" w:cs="Times New Roman"/>
                <w:color w:val="auto"/>
                <w:sz w:val="24"/>
                <w:szCs w:val="24"/>
                <w:highlight w:val="none"/>
              </w:rPr>
              <w:t>1</w:t>
            </w:r>
            <w:r>
              <w:rPr>
                <w:rFonts w:hint="eastAsia" w:cs="Times New Roman"/>
                <w:color w:val="auto"/>
                <w:sz w:val="24"/>
                <w:szCs w:val="24"/>
                <w:highlight w:val="none"/>
                <w:lang w:val="en-US" w:eastAsia="zh-CN"/>
              </w:rPr>
              <w:t>4</w:t>
            </w:r>
          </w:p>
        </w:tc>
        <w:tc>
          <w:tcPr>
            <w:tcW w:w="8674" w:type="dxa"/>
            <w:gridSpan w:val="2"/>
            <w:tcBorders>
              <w:top w:val="single" w:color="auto" w:sz="4" w:space="0"/>
              <w:left w:val="single" w:color="auto" w:sz="4" w:space="0"/>
              <w:bottom w:val="single" w:color="auto" w:sz="4" w:space="0"/>
              <w:right w:val="single" w:color="auto" w:sz="4" w:space="0"/>
            </w:tcBorders>
            <w:vAlign w:val="center"/>
          </w:tcPr>
          <w:p>
            <w:pPr>
              <w:pStyle w:val="44"/>
              <w:tabs>
                <w:tab w:val="left" w:pos="720"/>
              </w:tabs>
              <w:spacing w:before="0" w:beforeAutospacing="0" w:after="0" w:afterAutospacing="0" w:line="288" w:lineRule="auto"/>
              <w:ind w:right="26"/>
              <w:jc w:val="both"/>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采购人：中煤天津设计工程有限责任公司</w:t>
            </w:r>
          </w:p>
          <w:p>
            <w:pPr>
              <w:pStyle w:val="44"/>
              <w:tabs>
                <w:tab w:val="left" w:pos="720"/>
              </w:tabs>
              <w:spacing w:before="0" w:beforeAutospacing="0" w:after="0" w:afterAutospacing="0" w:line="288" w:lineRule="auto"/>
              <w:ind w:right="26"/>
              <w:jc w:val="both"/>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地址：天津市红桥区大丰路安顺大厦（西北角水游城）3号楼</w:t>
            </w:r>
          </w:p>
          <w:p>
            <w:pPr>
              <w:pStyle w:val="44"/>
              <w:tabs>
                <w:tab w:val="left" w:pos="720"/>
              </w:tabs>
              <w:spacing w:before="0" w:beforeAutospacing="0" w:after="0" w:afterAutospacing="0" w:line="288" w:lineRule="auto"/>
              <w:ind w:right="26"/>
              <w:jc w:val="both"/>
              <w:rPr>
                <w:rFonts w:hint="eastAsia" w:ascii="Times New Roman" w:hAnsi="Times New Roman" w:eastAsia="宋体" w:cs="Times New Roman"/>
                <w:bCs/>
                <w:color w:val="auto"/>
                <w:highlight w:val="none"/>
                <w:lang w:eastAsia="zh-CN"/>
              </w:rPr>
            </w:pPr>
            <w:r>
              <w:rPr>
                <w:rFonts w:hint="default" w:ascii="Times New Roman" w:hAnsi="Times New Roman" w:cs="Times New Roman"/>
                <w:bCs/>
                <w:color w:val="auto"/>
                <w:highlight w:val="none"/>
              </w:rPr>
              <w:t>项目联系人：罗</w:t>
            </w:r>
            <w:r>
              <w:rPr>
                <w:rFonts w:hint="eastAsia" w:ascii="Times New Roman" w:cs="Times New Roman"/>
                <w:bCs/>
                <w:color w:val="auto"/>
                <w:highlight w:val="none"/>
                <w:lang w:val="en-US" w:eastAsia="zh-CN"/>
              </w:rPr>
              <w:t>芳</w:t>
            </w:r>
          </w:p>
          <w:p>
            <w:pPr>
              <w:pStyle w:val="44"/>
              <w:tabs>
                <w:tab w:val="left" w:pos="720"/>
              </w:tabs>
              <w:spacing w:before="0" w:beforeAutospacing="0" w:after="0" w:afterAutospacing="0" w:line="288" w:lineRule="auto"/>
              <w:ind w:right="26"/>
              <w:jc w:val="both"/>
              <w:rPr>
                <w:rFonts w:hint="default" w:ascii="Times New Roman" w:hAnsi="Times New Roman" w:eastAsia="宋体" w:cs="Times New Roman"/>
                <w:color w:val="auto"/>
                <w:highlight w:val="none"/>
                <w:lang w:val="en-US" w:eastAsia="zh-CN"/>
              </w:rPr>
            </w:pPr>
            <w:r>
              <w:rPr>
                <w:rFonts w:hint="default" w:ascii="Times New Roman" w:hAnsi="Times New Roman" w:cs="Times New Roman"/>
                <w:bCs/>
                <w:color w:val="auto"/>
                <w:highlight w:val="none"/>
              </w:rPr>
              <w:t>电  话：1</w:t>
            </w:r>
            <w:r>
              <w:rPr>
                <w:rFonts w:hint="eastAsia" w:ascii="Times New Roman" w:cs="Times New Roman"/>
                <w:bCs/>
                <w:color w:val="auto"/>
                <w:highlight w:val="none"/>
                <w:lang w:val="en-US" w:eastAsia="zh-CN"/>
              </w:rPr>
              <w:t>8</w:t>
            </w:r>
            <w:r>
              <w:rPr>
                <w:rFonts w:hint="default" w:ascii="Times New Roman" w:hAnsi="Times New Roman" w:cs="Times New Roman"/>
                <w:bCs/>
                <w:color w:val="auto"/>
                <w:highlight w:val="none"/>
              </w:rPr>
              <w:t>8</w:t>
            </w:r>
            <w:r>
              <w:rPr>
                <w:rFonts w:hint="eastAsia" w:ascii="Times New Roman" w:cs="Times New Roman"/>
                <w:bCs/>
                <w:color w:val="auto"/>
                <w:highlight w:val="none"/>
                <w:lang w:val="en-US" w:eastAsia="zh-CN"/>
              </w:rPr>
              <w:t>32046637</w:t>
            </w:r>
          </w:p>
        </w:tc>
      </w:tr>
    </w:tbl>
    <w:p>
      <w:pPr>
        <w:spacing w:line="360" w:lineRule="auto"/>
        <w:ind w:left="567" w:hanging="567"/>
        <w:jc w:val="center"/>
        <w:outlineLvl w:val="1"/>
        <w:rPr>
          <w:rFonts w:hint="eastAsia" w:ascii="Cambria" w:hAnsi="Cambria"/>
          <w:bCs/>
          <w:color w:val="auto"/>
          <w:kern w:val="28"/>
          <w:sz w:val="32"/>
          <w:szCs w:val="32"/>
          <w:highlight w:val="none"/>
        </w:rPr>
      </w:pPr>
      <w:r>
        <w:rPr>
          <w:rFonts w:hint="default" w:ascii="Times New Roman" w:hAnsi="Times New Roman" w:cs="Times New Roman"/>
          <w:color w:val="auto"/>
          <w:kern w:val="2"/>
          <w:highlight w:val="none"/>
        </w:rPr>
        <w:br w:type="page"/>
      </w:r>
      <w:bookmarkEnd w:id="38"/>
      <w:bookmarkEnd w:id="39"/>
      <w:bookmarkEnd w:id="40"/>
      <w:bookmarkEnd w:id="41"/>
      <w:bookmarkEnd w:id="42"/>
      <w:bookmarkStart w:id="43" w:name="_Toc382509460"/>
      <w:r>
        <w:rPr>
          <w:rFonts w:hint="eastAsia" w:ascii="Times New Roman" w:hAnsi="Times New Roman" w:eastAsia="宋体" w:cs="Times New Roman"/>
          <w:b/>
          <w:bCs/>
          <w:color w:val="auto"/>
          <w:sz w:val="32"/>
          <w:szCs w:val="32"/>
          <w:highlight w:val="none"/>
          <w:lang w:val="en-US" w:eastAsia="zh-CN" w:bidi="ar-SA"/>
        </w:rPr>
        <w:t>一、总则</w:t>
      </w:r>
    </w:p>
    <w:p>
      <w:pPr>
        <w:pStyle w:val="174"/>
        <w:numPr>
          <w:ilvl w:val="0"/>
          <w:numId w:val="0"/>
        </w:numPr>
        <w:ind w:right="210"/>
        <w:rPr>
          <w:rFonts w:hint="eastAsia" w:cs="宋体"/>
          <w:b/>
          <w:color w:val="auto"/>
          <w:highlight w:val="none"/>
        </w:rPr>
      </w:pPr>
      <w:r>
        <w:rPr>
          <w:rFonts w:hint="eastAsia" w:cs="宋体"/>
          <w:b/>
          <w:color w:val="auto"/>
          <w:highlight w:val="none"/>
        </w:rPr>
        <w:t>1.1项目概况</w:t>
      </w:r>
    </w:p>
    <w:p>
      <w:pPr>
        <w:pStyle w:val="174"/>
        <w:numPr>
          <w:ilvl w:val="3"/>
          <w:numId w:val="5"/>
        </w:numPr>
        <w:ind w:right="210"/>
        <w:rPr>
          <w:rFonts w:hint="eastAsia" w:cs="宋体"/>
          <w:color w:val="auto"/>
          <w:highlight w:val="none"/>
        </w:rPr>
      </w:pPr>
      <w:r>
        <w:rPr>
          <w:rFonts w:hint="eastAsia" w:cs="宋体"/>
          <w:color w:val="auto"/>
          <w:highlight w:val="none"/>
        </w:rPr>
        <w:t>根据《中华人民共和国招标投标法》等有关法律、法规和规章的规定，本招标项目已具备</w:t>
      </w:r>
      <w:r>
        <w:rPr>
          <w:rFonts w:hint="eastAsia" w:cs="宋体"/>
          <w:color w:val="auto"/>
          <w:highlight w:val="none"/>
          <w:lang w:val="en-US" w:eastAsia="zh-CN"/>
        </w:rPr>
        <w:t>采购</w:t>
      </w:r>
      <w:r>
        <w:rPr>
          <w:rFonts w:hint="eastAsia" w:cs="宋体"/>
          <w:color w:val="auto"/>
          <w:highlight w:val="none"/>
        </w:rPr>
        <w:t>条件，现对本项目进行</w:t>
      </w:r>
      <w:r>
        <w:rPr>
          <w:rFonts w:hint="eastAsia" w:cs="宋体"/>
          <w:color w:val="auto"/>
          <w:highlight w:val="none"/>
          <w:lang w:val="en-US" w:eastAsia="zh-CN"/>
        </w:rPr>
        <w:t>采购</w:t>
      </w:r>
      <w:r>
        <w:rPr>
          <w:rFonts w:hint="eastAsia" w:cs="宋体"/>
          <w:color w:val="auto"/>
          <w:highlight w:val="none"/>
        </w:rPr>
        <w:t>。</w:t>
      </w:r>
    </w:p>
    <w:p>
      <w:pPr>
        <w:pStyle w:val="174"/>
        <w:numPr>
          <w:ilvl w:val="3"/>
          <w:numId w:val="5"/>
        </w:numPr>
        <w:ind w:right="210"/>
        <w:rPr>
          <w:rFonts w:hint="eastAsia" w:cs="宋体"/>
          <w:color w:val="auto"/>
          <w:highlight w:val="none"/>
        </w:rPr>
      </w:pPr>
      <w:r>
        <w:rPr>
          <w:rFonts w:hint="eastAsia" w:cs="宋体"/>
          <w:color w:val="auto"/>
          <w:highlight w:val="none"/>
        </w:rPr>
        <w:t>本</w:t>
      </w:r>
      <w:r>
        <w:rPr>
          <w:rFonts w:hint="eastAsia" w:cs="宋体"/>
          <w:color w:val="auto"/>
          <w:highlight w:val="none"/>
          <w:lang w:val="en-US" w:eastAsia="zh-CN"/>
        </w:rPr>
        <w:t>采购</w:t>
      </w:r>
      <w:r>
        <w:rPr>
          <w:rFonts w:hint="eastAsia" w:cs="宋体"/>
          <w:color w:val="auto"/>
          <w:highlight w:val="none"/>
        </w:rPr>
        <w:t>项目</w:t>
      </w:r>
      <w:r>
        <w:rPr>
          <w:rFonts w:hint="eastAsia" w:cs="宋体"/>
          <w:color w:val="auto"/>
          <w:highlight w:val="none"/>
          <w:lang w:val="en-US" w:eastAsia="zh-CN"/>
        </w:rPr>
        <w:t>采购</w:t>
      </w:r>
      <w:r>
        <w:rPr>
          <w:rFonts w:hint="eastAsia" w:cs="宋体"/>
          <w:color w:val="auto"/>
          <w:highlight w:val="none"/>
        </w:rPr>
        <w:t>人：见投标人须知前附表。</w:t>
      </w:r>
    </w:p>
    <w:p>
      <w:pPr>
        <w:pStyle w:val="174"/>
        <w:numPr>
          <w:ilvl w:val="3"/>
          <w:numId w:val="5"/>
        </w:numPr>
        <w:ind w:right="210"/>
        <w:rPr>
          <w:rFonts w:hint="eastAsia" w:cs="宋体"/>
          <w:color w:val="auto"/>
          <w:highlight w:val="none"/>
        </w:rPr>
      </w:pPr>
      <w:r>
        <w:rPr>
          <w:rFonts w:hint="eastAsia" w:cs="宋体"/>
          <w:color w:val="auto"/>
          <w:highlight w:val="none"/>
        </w:rPr>
        <w:t>本</w:t>
      </w:r>
      <w:r>
        <w:rPr>
          <w:rFonts w:hint="eastAsia" w:cs="宋体"/>
          <w:color w:val="auto"/>
          <w:highlight w:val="none"/>
          <w:lang w:val="en-US" w:eastAsia="zh-CN"/>
        </w:rPr>
        <w:t>采购</w:t>
      </w:r>
      <w:r>
        <w:rPr>
          <w:rFonts w:hint="eastAsia" w:cs="宋体"/>
          <w:color w:val="auto"/>
          <w:highlight w:val="none"/>
        </w:rPr>
        <w:t>项目名称：见投标人须知前附表。</w:t>
      </w:r>
    </w:p>
    <w:p>
      <w:pPr>
        <w:pStyle w:val="174"/>
        <w:numPr>
          <w:ilvl w:val="3"/>
          <w:numId w:val="5"/>
        </w:numPr>
        <w:ind w:right="210"/>
        <w:rPr>
          <w:rFonts w:hint="eastAsia" w:cs="宋体"/>
          <w:color w:val="auto"/>
          <w:highlight w:val="none"/>
        </w:rPr>
      </w:pPr>
      <w:r>
        <w:rPr>
          <w:rFonts w:hint="eastAsia" w:cs="宋体"/>
          <w:color w:val="auto"/>
          <w:highlight w:val="none"/>
        </w:rPr>
        <w:t>本</w:t>
      </w:r>
      <w:r>
        <w:rPr>
          <w:rFonts w:hint="eastAsia" w:cs="宋体"/>
          <w:color w:val="auto"/>
          <w:highlight w:val="none"/>
          <w:lang w:val="en-US" w:eastAsia="zh-CN"/>
        </w:rPr>
        <w:t>采购</w:t>
      </w:r>
      <w:r>
        <w:rPr>
          <w:rFonts w:hint="eastAsia" w:cs="宋体"/>
          <w:color w:val="auto"/>
          <w:highlight w:val="none"/>
        </w:rPr>
        <w:t>项目建设地点：见投标人须知前附表。</w:t>
      </w:r>
    </w:p>
    <w:p>
      <w:pPr>
        <w:pStyle w:val="174"/>
        <w:numPr>
          <w:ilvl w:val="0"/>
          <w:numId w:val="0"/>
        </w:numPr>
        <w:ind w:right="210"/>
        <w:rPr>
          <w:rFonts w:hint="eastAsia" w:cs="宋体"/>
          <w:b/>
          <w:color w:val="auto"/>
          <w:highlight w:val="none"/>
        </w:rPr>
      </w:pPr>
      <w:r>
        <w:rPr>
          <w:rFonts w:hint="eastAsia" w:cs="宋体"/>
          <w:b/>
          <w:color w:val="auto"/>
          <w:highlight w:val="none"/>
        </w:rPr>
        <w:t>1.2资金来源和落实情况</w:t>
      </w:r>
    </w:p>
    <w:p>
      <w:pPr>
        <w:pStyle w:val="174"/>
        <w:numPr>
          <w:ilvl w:val="0"/>
          <w:numId w:val="0"/>
        </w:numPr>
        <w:ind w:left="210" w:right="210"/>
        <w:rPr>
          <w:rFonts w:hint="eastAsia" w:cs="宋体"/>
          <w:color w:val="auto"/>
          <w:highlight w:val="none"/>
        </w:rPr>
      </w:pPr>
      <w:r>
        <w:rPr>
          <w:rFonts w:hint="eastAsia" w:cs="宋体"/>
          <w:color w:val="auto"/>
          <w:highlight w:val="none"/>
        </w:rPr>
        <w:t>1.2.1本</w:t>
      </w:r>
      <w:r>
        <w:rPr>
          <w:rFonts w:hint="eastAsia" w:cs="宋体"/>
          <w:color w:val="auto"/>
          <w:highlight w:val="none"/>
          <w:lang w:val="en-US" w:eastAsia="zh-CN"/>
        </w:rPr>
        <w:t>采购</w:t>
      </w:r>
      <w:r>
        <w:rPr>
          <w:rFonts w:hint="eastAsia" w:cs="宋体"/>
          <w:color w:val="auto"/>
          <w:highlight w:val="none"/>
        </w:rPr>
        <w:t>项目的资金来源：见投标人须知前附表。</w:t>
      </w:r>
    </w:p>
    <w:p>
      <w:pPr>
        <w:pStyle w:val="174"/>
        <w:numPr>
          <w:ilvl w:val="0"/>
          <w:numId w:val="0"/>
        </w:numPr>
        <w:ind w:left="210" w:right="210"/>
        <w:rPr>
          <w:rFonts w:hint="eastAsia" w:cs="宋体"/>
          <w:color w:val="auto"/>
          <w:highlight w:val="none"/>
        </w:rPr>
      </w:pPr>
      <w:r>
        <w:rPr>
          <w:rFonts w:hint="eastAsia" w:cs="宋体"/>
          <w:color w:val="auto"/>
          <w:highlight w:val="none"/>
        </w:rPr>
        <w:t>1.2.2本</w:t>
      </w:r>
      <w:r>
        <w:rPr>
          <w:rFonts w:hint="eastAsia" w:cs="宋体"/>
          <w:color w:val="auto"/>
          <w:highlight w:val="none"/>
          <w:lang w:val="en-US" w:eastAsia="zh-CN"/>
        </w:rPr>
        <w:t>采购</w:t>
      </w:r>
      <w:r>
        <w:rPr>
          <w:rFonts w:hint="eastAsia" w:cs="宋体"/>
          <w:color w:val="auto"/>
          <w:highlight w:val="none"/>
        </w:rPr>
        <w:t>项目的出资比例：见投标人须知前附表。</w:t>
      </w:r>
    </w:p>
    <w:p>
      <w:pPr>
        <w:pStyle w:val="174"/>
        <w:numPr>
          <w:ilvl w:val="0"/>
          <w:numId w:val="0"/>
        </w:numPr>
        <w:ind w:left="210" w:right="210"/>
        <w:rPr>
          <w:rFonts w:hint="eastAsia" w:cs="宋体"/>
          <w:color w:val="auto"/>
          <w:highlight w:val="none"/>
        </w:rPr>
      </w:pPr>
      <w:r>
        <w:rPr>
          <w:rFonts w:hint="eastAsia" w:cs="宋体"/>
          <w:color w:val="auto"/>
          <w:highlight w:val="none"/>
        </w:rPr>
        <w:t>1.2.3本</w:t>
      </w:r>
      <w:r>
        <w:rPr>
          <w:rFonts w:hint="eastAsia" w:cs="宋体"/>
          <w:color w:val="auto"/>
          <w:highlight w:val="none"/>
          <w:lang w:val="en-US" w:eastAsia="zh-CN"/>
        </w:rPr>
        <w:t>采购</w:t>
      </w:r>
      <w:r>
        <w:rPr>
          <w:rFonts w:hint="eastAsia" w:cs="宋体"/>
          <w:color w:val="auto"/>
          <w:highlight w:val="none"/>
        </w:rPr>
        <w:t>项目的资金落实情况：见投标人须知前附表。</w:t>
      </w:r>
    </w:p>
    <w:p>
      <w:pPr>
        <w:pStyle w:val="174"/>
        <w:numPr>
          <w:ilvl w:val="0"/>
          <w:numId w:val="0"/>
        </w:numPr>
        <w:ind w:right="210"/>
        <w:rPr>
          <w:rFonts w:hint="eastAsia" w:cs="宋体"/>
          <w:b/>
          <w:color w:val="auto"/>
          <w:highlight w:val="none"/>
        </w:rPr>
      </w:pPr>
      <w:r>
        <w:rPr>
          <w:rFonts w:hint="eastAsia" w:cs="宋体"/>
          <w:b/>
          <w:color w:val="auto"/>
          <w:highlight w:val="none"/>
        </w:rPr>
        <w:t>1.3</w:t>
      </w:r>
      <w:r>
        <w:rPr>
          <w:rFonts w:hint="eastAsia" w:cs="宋体"/>
          <w:color w:val="auto"/>
          <w:highlight w:val="none"/>
          <w:lang w:val="en-US" w:eastAsia="zh-CN"/>
        </w:rPr>
        <w:t>采购</w:t>
      </w:r>
      <w:r>
        <w:rPr>
          <w:rFonts w:hint="eastAsia" w:cs="宋体"/>
          <w:b/>
          <w:color w:val="auto"/>
          <w:highlight w:val="none"/>
        </w:rPr>
        <w:t>范围、计划工期和质量要求</w:t>
      </w:r>
    </w:p>
    <w:p>
      <w:pPr>
        <w:pStyle w:val="174"/>
        <w:numPr>
          <w:ilvl w:val="0"/>
          <w:numId w:val="0"/>
        </w:numPr>
        <w:ind w:left="210" w:right="210"/>
        <w:rPr>
          <w:rFonts w:hint="eastAsia" w:cs="宋体"/>
          <w:color w:val="auto"/>
          <w:highlight w:val="none"/>
        </w:rPr>
      </w:pPr>
      <w:r>
        <w:rPr>
          <w:rFonts w:hint="eastAsia" w:cs="宋体"/>
          <w:color w:val="auto"/>
          <w:highlight w:val="none"/>
        </w:rPr>
        <w:t>1.3.1本次</w:t>
      </w:r>
      <w:r>
        <w:rPr>
          <w:rFonts w:hint="eastAsia" w:cs="宋体"/>
          <w:color w:val="auto"/>
          <w:highlight w:val="none"/>
          <w:lang w:val="en-US" w:eastAsia="zh-CN"/>
        </w:rPr>
        <w:t>采购</w:t>
      </w:r>
      <w:r>
        <w:rPr>
          <w:rFonts w:hint="eastAsia" w:cs="宋体"/>
          <w:color w:val="auto"/>
          <w:highlight w:val="none"/>
        </w:rPr>
        <w:t>范围：见投标人须知前附表。</w:t>
      </w:r>
    </w:p>
    <w:p>
      <w:pPr>
        <w:pStyle w:val="174"/>
        <w:numPr>
          <w:ilvl w:val="0"/>
          <w:numId w:val="0"/>
        </w:numPr>
        <w:ind w:left="210" w:right="210"/>
        <w:rPr>
          <w:rFonts w:hint="eastAsia" w:cs="宋体"/>
          <w:color w:val="auto"/>
          <w:highlight w:val="none"/>
        </w:rPr>
      </w:pPr>
      <w:r>
        <w:rPr>
          <w:rFonts w:hint="eastAsia" w:cs="宋体"/>
          <w:color w:val="auto"/>
          <w:highlight w:val="none"/>
        </w:rPr>
        <w:t>1.3.2本</w:t>
      </w:r>
      <w:r>
        <w:rPr>
          <w:rFonts w:hint="eastAsia" w:cs="宋体"/>
          <w:color w:val="auto"/>
          <w:highlight w:val="none"/>
          <w:lang w:val="en-US" w:eastAsia="zh-CN"/>
        </w:rPr>
        <w:t>采购</w:t>
      </w:r>
      <w:r>
        <w:rPr>
          <w:rFonts w:hint="eastAsia" w:cs="宋体"/>
          <w:color w:val="auto"/>
          <w:highlight w:val="none"/>
        </w:rPr>
        <w:t>项目的计划工期：见投标人须知前附表。</w:t>
      </w:r>
    </w:p>
    <w:p>
      <w:pPr>
        <w:pStyle w:val="174"/>
        <w:numPr>
          <w:ilvl w:val="0"/>
          <w:numId w:val="0"/>
        </w:numPr>
        <w:ind w:left="210" w:right="210"/>
        <w:rPr>
          <w:rFonts w:hint="eastAsia" w:cs="宋体"/>
          <w:color w:val="auto"/>
          <w:highlight w:val="none"/>
        </w:rPr>
      </w:pPr>
      <w:r>
        <w:rPr>
          <w:rFonts w:hint="eastAsia" w:cs="宋体"/>
          <w:color w:val="auto"/>
          <w:highlight w:val="none"/>
        </w:rPr>
        <w:t>1.3.3本</w:t>
      </w:r>
      <w:r>
        <w:rPr>
          <w:rFonts w:hint="eastAsia" w:cs="宋体"/>
          <w:color w:val="auto"/>
          <w:highlight w:val="none"/>
          <w:lang w:val="en-US" w:eastAsia="zh-CN"/>
        </w:rPr>
        <w:t>采购</w:t>
      </w:r>
      <w:r>
        <w:rPr>
          <w:rFonts w:hint="eastAsia" w:cs="宋体"/>
          <w:color w:val="auto"/>
          <w:highlight w:val="none"/>
        </w:rPr>
        <w:t>项目的质量要求：见投标人须知前附表。</w:t>
      </w:r>
    </w:p>
    <w:p>
      <w:pPr>
        <w:pStyle w:val="174"/>
        <w:numPr>
          <w:ilvl w:val="0"/>
          <w:numId w:val="0"/>
        </w:numPr>
        <w:ind w:right="210"/>
        <w:rPr>
          <w:rFonts w:hint="eastAsia" w:cs="宋体"/>
          <w:b/>
          <w:color w:val="auto"/>
          <w:highlight w:val="none"/>
        </w:rPr>
      </w:pPr>
      <w:r>
        <w:rPr>
          <w:rFonts w:hint="eastAsia" w:cs="宋体"/>
          <w:b/>
          <w:color w:val="auto"/>
          <w:highlight w:val="none"/>
        </w:rPr>
        <w:t>1.4投标人资格要求</w:t>
      </w:r>
    </w:p>
    <w:p>
      <w:pPr>
        <w:pStyle w:val="174"/>
        <w:numPr>
          <w:ilvl w:val="0"/>
          <w:numId w:val="0"/>
        </w:numPr>
        <w:ind w:left="210" w:right="210"/>
        <w:rPr>
          <w:rFonts w:hint="eastAsia" w:cs="宋体"/>
          <w:color w:val="auto"/>
          <w:highlight w:val="none"/>
        </w:rPr>
      </w:pPr>
      <w:r>
        <w:rPr>
          <w:rFonts w:hint="eastAsia" w:cs="宋体"/>
          <w:color w:val="auto"/>
          <w:highlight w:val="none"/>
        </w:rPr>
        <w:t>1.4.1见投标人须知前附表。</w:t>
      </w:r>
    </w:p>
    <w:p>
      <w:pPr>
        <w:pStyle w:val="174"/>
        <w:numPr>
          <w:ilvl w:val="0"/>
          <w:numId w:val="0"/>
        </w:numPr>
        <w:ind w:left="210" w:right="210"/>
        <w:rPr>
          <w:rFonts w:hint="eastAsia" w:cs="宋体"/>
          <w:color w:val="auto"/>
          <w:highlight w:val="none"/>
        </w:rPr>
      </w:pPr>
      <w:r>
        <w:rPr>
          <w:rFonts w:hint="eastAsia" w:cs="宋体"/>
          <w:color w:val="auto"/>
          <w:highlight w:val="none"/>
        </w:rPr>
        <w:t>1.4.2投标人不得存在下列情形之一：</w:t>
      </w:r>
    </w:p>
    <w:p>
      <w:pPr>
        <w:numPr>
          <w:ilvl w:val="0"/>
          <w:numId w:val="6"/>
        </w:numPr>
        <w:autoSpaceDE w:val="0"/>
        <w:autoSpaceDN w:val="0"/>
        <w:adjustRightInd w:val="0"/>
        <w:snapToGrid w:val="0"/>
        <w:spacing w:line="360" w:lineRule="auto"/>
        <w:ind w:left="1259" w:right="-23"/>
        <w:jc w:val="left"/>
        <w:rPr>
          <w:rFonts w:hint="eastAsia" w:ascii="宋体" w:hAnsi="宋体" w:cs="宋体"/>
          <w:color w:val="auto"/>
          <w:kern w:val="0"/>
          <w:position w:val="-1"/>
          <w:sz w:val="24"/>
          <w:szCs w:val="24"/>
          <w:highlight w:val="none"/>
        </w:rPr>
      </w:pPr>
      <w:r>
        <w:rPr>
          <w:rFonts w:hint="eastAsia" w:ascii="宋体" w:hAnsi="宋体" w:cs="宋体"/>
          <w:color w:val="auto"/>
          <w:kern w:val="0"/>
          <w:position w:val="-1"/>
          <w:sz w:val="24"/>
          <w:szCs w:val="24"/>
          <w:highlight w:val="none"/>
        </w:rPr>
        <w:t>为</w:t>
      </w:r>
      <w:r>
        <w:rPr>
          <w:rFonts w:hint="eastAsia" w:cs="宋体"/>
          <w:color w:val="auto"/>
          <w:highlight w:val="none"/>
          <w:lang w:val="en-US" w:eastAsia="zh-CN"/>
        </w:rPr>
        <w:t>采购</w:t>
      </w:r>
      <w:r>
        <w:rPr>
          <w:rFonts w:hint="eastAsia" w:ascii="宋体" w:hAnsi="宋体" w:cs="宋体"/>
          <w:color w:val="auto"/>
          <w:kern w:val="0"/>
          <w:position w:val="-1"/>
          <w:sz w:val="24"/>
          <w:szCs w:val="24"/>
          <w:highlight w:val="none"/>
        </w:rPr>
        <w:t>人不具有独立法人资格的附属机构（单位）；</w:t>
      </w:r>
    </w:p>
    <w:p>
      <w:pPr>
        <w:numPr>
          <w:ilvl w:val="0"/>
          <w:numId w:val="6"/>
        </w:numPr>
        <w:autoSpaceDE w:val="0"/>
        <w:autoSpaceDN w:val="0"/>
        <w:adjustRightInd w:val="0"/>
        <w:snapToGrid w:val="0"/>
        <w:spacing w:line="360" w:lineRule="auto"/>
        <w:ind w:left="1259" w:right="-23"/>
        <w:jc w:val="left"/>
        <w:rPr>
          <w:rFonts w:hint="eastAsia" w:ascii="宋体" w:hAnsi="宋体" w:cs="宋体"/>
          <w:color w:val="auto"/>
          <w:kern w:val="0"/>
          <w:position w:val="-1"/>
          <w:sz w:val="24"/>
          <w:szCs w:val="24"/>
          <w:highlight w:val="none"/>
        </w:rPr>
      </w:pPr>
      <w:r>
        <w:rPr>
          <w:rFonts w:hint="eastAsia" w:ascii="宋体" w:hAnsi="宋体" w:cs="宋体"/>
          <w:color w:val="auto"/>
          <w:kern w:val="0"/>
          <w:position w:val="-1"/>
          <w:sz w:val="24"/>
          <w:szCs w:val="24"/>
          <w:highlight w:val="none"/>
        </w:rPr>
        <w:t>为本</w:t>
      </w:r>
      <w:r>
        <w:rPr>
          <w:rFonts w:hint="eastAsia" w:ascii="宋体" w:hAnsi="宋体" w:cs="宋体"/>
          <w:color w:val="auto"/>
          <w:kern w:val="0"/>
          <w:position w:val="-1"/>
          <w:sz w:val="24"/>
          <w:szCs w:val="24"/>
          <w:highlight w:val="none"/>
          <w:lang w:val="en-US" w:eastAsia="zh-CN"/>
        </w:rPr>
        <w:t>采购</w:t>
      </w:r>
      <w:r>
        <w:rPr>
          <w:rFonts w:hint="eastAsia" w:ascii="宋体" w:hAnsi="宋体" w:cs="宋体"/>
          <w:color w:val="auto"/>
          <w:kern w:val="0"/>
          <w:position w:val="-1"/>
          <w:sz w:val="24"/>
          <w:szCs w:val="24"/>
          <w:highlight w:val="none"/>
        </w:rPr>
        <w:t>项目前期准备提供设计或咨询服务的，但设计施工总承包的除外；</w:t>
      </w:r>
    </w:p>
    <w:p>
      <w:pPr>
        <w:numPr>
          <w:ilvl w:val="0"/>
          <w:numId w:val="6"/>
        </w:numPr>
        <w:autoSpaceDE w:val="0"/>
        <w:autoSpaceDN w:val="0"/>
        <w:adjustRightInd w:val="0"/>
        <w:snapToGrid w:val="0"/>
        <w:spacing w:line="360" w:lineRule="auto"/>
        <w:ind w:left="1259" w:right="-23"/>
        <w:jc w:val="left"/>
        <w:rPr>
          <w:rFonts w:hint="eastAsia" w:ascii="宋体" w:hAnsi="宋体" w:cs="宋体"/>
          <w:color w:val="auto"/>
          <w:kern w:val="0"/>
          <w:position w:val="-1"/>
          <w:sz w:val="24"/>
          <w:szCs w:val="24"/>
          <w:highlight w:val="none"/>
        </w:rPr>
      </w:pPr>
      <w:r>
        <w:rPr>
          <w:rFonts w:hint="eastAsia" w:ascii="宋体" w:hAnsi="宋体" w:cs="宋体"/>
          <w:color w:val="auto"/>
          <w:kern w:val="0"/>
          <w:position w:val="-1"/>
          <w:sz w:val="24"/>
          <w:szCs w:val="24"/>
          <w:highlight w:val="none"/>
        </w:rPr>
        <w:t>为本</w:t>
      </w:r>
      <w:r>
        <w:rPr>
          <w:rFonts w:hint="eastAsia" w:ascii="宋体" w:hAnsi="宋体" w:cs="宋体"/>
          <w:color w:val="auto"/>
          <w:kern w:val="0"/>
          <w:position w:val="-1"/>
          <w:sz w:val="24"/>
          <w:szCs w:val="24"/>
          <w:highlight w:val="none"/>
          <w:lang w:val="en-US" w:eastAsia="zh-CN"/>
        </w:rPr>
        <w:t>采购</w:t>
      </w:r>
      <w:r>
        <w:rPr>
          <w:rFonts w:hint="eastAsia" w:ascii="宋体" w:hAnsi="宋体" w:cs="宋体"/>
          <w:color w:val="auto"/>
          <w:kern w:val="0"/>
          <w:position w:val="-1"/>
          <w:sz w:val="24"/>
          <w:szCs w:val="24"/>
          <w:highlight w:val="none"/>
        </w:rPr>
        <w:t>项目的监理人；</w:t>
      </w:r>
    </w:p>
    <w:p>
      <w:pPr>
        <w:numPr>
          <w:ilvl w:val="0"/>
          <w:numId w:val="6"/>
        </w:numPr>
        <w:autoSpaceDE w:val="0"/>
        <w:autoSpaceDN w:val="0"/>
        <w:adjustRightInd w:val="0"/>
        <w:snapToGrid w:val="0"/>
        <w:spacing w:line="360" w:lineRule="auto"/>
        <w:ind w:left="1259" w:right="-23"/>
        <w:jc w:val="left"/>
        <w:rPr>
          <w:rFonts w:hint="eastAsia" w:ascii="宋体" w:hAnsi="宋体" w:cs="宋体"/>
          <w:color w:val="auto"/>
          <w:kern w:val="0"/>
          <w:position w:val="-1"/>
          <w:sz w:val="24"/>
          <w:szCs w:val="24"/>
          <w:highlight w:val="none"/>
        </w:rPr>
      </w:pPr>
      <w:r>
        <w:rPr>
          <w:rFonts w:hint="eastAsia" w:ascii="宋体" w:hAnsi="宋体" w:cs="宋体"/>
          <w:color w:val="auto"/>
          <w:kern w:val="0"/>
          <w:position w:val="-1"/>
          <w:sz w:val="24"/>
          <w:szCs w:val="24"/>
          <w:highlight w:val="none"/>
        </w:rPr>
        <w:t>为本</w:t>
      </w:r>
      <w:r>
        <w:rPr>
          <w:rFonts w:hint="eastAsia" w:ascii="宋体" w:hAnsi="宋体" w:cs="宋体"/>
          <w:color w:val="auto"/>
          <w:kern w:val="0"/>
          <w:position w:val="-1"/>
          <w:sz w:val="24"/>
          <w:szCs w:val="24"/>
          <w:highlight w:val="none"/>
          <w:lang w:val="en-US" w:eastAsia="zh-CN"/>
        </w:rPr>
        <w:t>采购</w:t>
      </w:r>
      <w:r>
        <w:rPr>
          <w:rFonts w:hint="eastAsia" w:ascii="宋体" w:hAnsi="宋体" w:cs="宋体"/>
          <w:color w:val="auto"/>
          <w:kern w:val="0"/>
          <w:position w:val="-1"/>
          <w:sz w:val="24"/>
          <w:szCs w:val="24"/>
          <w:highlight w:val="none"/>
        </w:rPr>
        <w:t>项目的代建人；</w:t>
      </w:r>
    </w:p>
    <w:p>
      <w:pPr>
        <w:numPr>
          <w:ilvl w:val="0"/>
          <w:numId w:val="6"/>
        </w:numPr>
        <w:autoSpaceDE w:val="0"/>
        <w:autoSpaceDN w:val="0"/>
        <w:adjustRightInd w:val="0"/>
        <w:snapToGrid w:val="0"/>
        <w:spacing w:line="360" w:lineRule="auto"/>
        <w:ind w:left="1259" w:right="-23"/>
        <w:jc w:val="left"/>
        <w:rPr>
          <w:rFonts w:hint="eastAsia" w:ascii="宋体" w:hAnsi="宋体" w:cs="宋体"/>
          <w:color w:val="auto"/>
          <w:kern w:val="0"/>
          <w:position w:val="-1"/>
          <w:sz w:val="24"/>
          <w:szCs w:val="24"/>
          <w:highlight w:val="none"/>
        </w:rPr>
      </w:pPr>
      <w:r>
        <w:rPr>
          <w:rFonts w:hint="eastAsia" w:ascii="宋体" w:hAnsi="宋体" w:cs="宋体"/>
          <w:color w:val="auto"/>
          <w:kern w:val="0"/>
          <w:position w:val="-1"/>
          <w:sz w:val="24"/>
          <w:szCs w:val="24"/>
          <w:highlight w:val="none"/>
        </w:rPr>
        <w:t>为本</w:t>
      </w:r>
      <w:r>
        <w:rPr>
          <w:rFonts w:hint="eastAsia" w:ascii="宋体" w:hAnsi="宋体" w:cs="宋体"/>
          <w:color w:val="auto"/>
          <w:kern w:val="0"/>
          <w:position w:val="-1"/>
          <w:sz w:val="24"/>
          <w:szCs w:val="24"/>
          <w:highlight w:val="none"/>
          <w:lang w:val="en-US" w:eastAsia="zh-CN"/>
        </w:rPr>
        <w:t>采购</w:t>
      </w:r>
      <w:r>
        <w:rPr>
          <w:rFonts w:hint="eastAsia" w:ascii="宋体" w:hAnsi="宋体" w:cs="宋体"/>
          <w:color w:val="auto"/>
          <w:kern w:val="0"/>
          <w:position w:val="-1"/>
          <w:sz w:val="24"/>
          <w:szCs w:val="24"/>
          <w:highlight w:val="none"/>
        </w:rPr>
        <w:t>项目提供招标代理服务的；</w:t>
      </w:r>
    </w:p>
    <w:p>
      <w:pPr>
        <w:numPr>
          <w:ilvl w:val="0"/>
          <w:numId w:val="6"/>
        </w:numPr>
        <w:autoSpaceDE w:val="0"/>
        <w:autoSpaceDN w:val="0"/>
        <w:adjustRightInd w:val="0"/>
        <w:snapToGrid w:val="0"/>
        <w:spacing w:line="360" w:lineRule="auto"/>
        <w:ind w:left="1259" w:right="-23"/>
        <w:jc w:val="left"/>
        <w:rPr>
          <w:rFonts w:hint="eastAsia" w:ascii="宋体" w:hAnsi="宋体" w:cs="宋体"/>
          <w:color w:val="auto"/>
          <w:kern w:val="0"/>
          <w:position w:val="-1"/>
          <w:sz w:val="24"/>
          <w:szCs w:val="24"/>
          <w:highlight w:val="none"/>
        </w:rPr>
      </w:pPr>
      <w:r>
        <w:rPr>
          <w:rFonts w:hint="eastAsia" w:ascii="宋体" w:hAnsi="宋体" w:cs="宋体"/>
          <w:color w:val="auto"/>
          <w:kern w:val="0"/>
          <w:position w:val="-1"/>
          <w:sz w:val="24"/>
          <w:szCs w:val="24"/>
          <w:highlight w:val="none"/>
        </w:rPr>
        <w:t>与本</w:t>
      </w:r>
      <w:r>
        <w:rPr>
          <w:rFonts w:hint="eastAsia" w:ascii="宋体" w:hAnsi="宋体" w:cs="宋体"/>
          <w:color w:val="auto"/>
          <w:kern w:val="0"/>
          <w:position w:val="-1"/>
          <w:sz w:val="24"/>
          <w:szCs w:val="24"/>
          <w:highlight w:val="none"/>
          <w:lang w:val="en-US" w:eastAsia="zh-CN"/>
        </w:rPr>
        <w:t>采购</w:t>
      </w:r>
      <w:r>
        <w:rPr>
          <w:rFonts w:hint="eastAsia" w:ascii="宋体" w:hAnsi="宋体" w:cs="宋体"/>
          <w:color w:val="auto"/>
          <w:kern w:val="0"/>
          <w:position w:val="-1"/>
          <w:sz w:val="24"/>
          <w:szCs w:val="24"/>
          <w:highlight w:val="none"/>
        </w:rPr>
        <w:t>项目的监理人或代建人或招标代理机构同为一个法定代表人的；</w:t>
      </w:r>
    </w:p>
    <w:p>
      <w:pPr>
        <w:numPr>
          <w:ilvl w:val="0"/>
          <w:numId w:val="6"/>
        </w:numPr>
        <w:autoSpaceDE w:val="0"/>
        <w:autoSpaceDN w:val="0"/>
        <w:adjustRightInd w:val="0"/>
        <w:snapToGrid w:val="0"/>
        <w:spacing w:line="360" w:lineRule="auto"/>
        <w:ind w:left="1259" w:right="-23"/>
        <w:jc w:val="left"/>
        <w:rPr>
          <w:rFonts w:hint="eastAsia" w:ascii="宋体" w:hAnsi="宋体" w:cs="宋体"/>
          <w:color w:val="auto"/>
          <w:kern w:val="0"/>
          <w:position w:val="-1"/>
          <w:sz w:val="24"/>
          <w:szCs w:val="24"/>
          <w:highlight w:val="none"/>
        </w:rPr>
      </w:pPr>
      <w:r>
        <w:rPr>
          <w:rFonts w:hint="eastAsia" w:ascii="宋体" w:hAnsi="宋体" w:cs="宋体"/>
          <w:color w:val="auto"/>
          <w:kern w:val="0"/>
          <w:position w:val="-1"/>
          <w:sz w:val="24"/>
          <w:szCs w:val="24"/>
          <w:highlight w:val="none"/>
        </w:rPr>
        <w:t>与本</w:t>
      </w:r>
      <w:r>
        <w:rPr>
          <w:rFonts w:hint="eastAsia" w:ascii="宋体" w:hAnsi="宋体" w:cs="宋体"/>
          <w:color w:val="auto"/>
          <w:kern w:val="0"/>
          <w:position w:val="-1"/>
          <w:sz w:val="24"/>
          <w:szCs w:val="24"/>
          <w:highlight w:val="none"/>
          <w:lang w:val="en-US" w:eastAsia="zh-CN"/>
        </w:rPr>
        <w:t>采购</w:t>
      </w:r>
      <w:r>
        <w:rPr>
          <w:rFonts w:hint="eastAsia" w:ascii="宋体" w:hAnsi="宋体" w:cs="宋体"/>
          <w:color w:val="auto"/>
          <w:kern w:val="0"/>
          <w:position w:val="-1"/>
          <w:sz w:val="24"/>
          <w:szCs w:val="24"/>
          <w:highlight w:val="none"/>
        </w:rPr>
        <w:t>项目的监理人或代建人或招标代理机构相互控股或参股的；</w:t>
      </w:r>
    </w:p>
    <w:p>
      <w:pPr>
        <w:numPr>
          <w:ilvl w:val="0"/>
          <w:numId w:val="6"/>
        </w:numPr>
        <w:autoSpaceDE w:val="0"/>
        <w:autoSpaceDN w:val="0"/>
        <w:adjustRightInd w:val="0"/>
        <w:snapToGrid w:val="0"/>
        <w:spacing w:line="360" w:lineRule="auto"/>
        <w:ind w:left="1259" w:right="-23"/>
        <w:jc w:val="left"/>
        <w:rPr>
          <w:rFonts w:hint="eastAsia" w:ascii="宋体" w:hAnsi="宋体" w:cs="宋体"/>
          <w:color w:val="auto"/>
          <w:kern w:val="0"/>
          <w:position w:val="-1"/>
          <w:sz w:val="24"/>
          <w:szCs w:val="24"/>
          <w:highlight w:val="none"/>
        </w:rPr>
      </w:pPr>
      <w:r>
        <w:rPr>
          <w:rFonts w:hint="eastAsia" w:ascii="宋体" w:hAnsi="宋体" w:cs="宋体"/>
          <w:color w:val="auto"/>
          <w:kern w:val="0"/>
          <w:position w:val="-1"/>
          <w:sz w:val="24"/>
          <w:szCs w:val="24"/>
          <w:highlight w:val="none"/>
        </w:rPr>
        <w:t>与本</w:t>
      </w:r>
      <w:r>
        <w:rPr>
          <w:rFonts w:hint="eastAsia" w:ascii="宋体" w:hAnsi="宋体" w:cs="宋体"/>
          <w:color w:val="auto"/>
          <w:kern w:val="0"/>
          <w:position w:val="-1"/>
          <w:sz w:val="24"/>
          <w:szCs w:val="24"/>
          <w:highlight w:val="none"/>
          <w:lang w:val="en-US" w:eastAsia="zh-CN"/>
        </w:rPr>
        <w:t>采购</w:t>
      </w:r>
      <w:r>
        <w:rPr>
          <w:rFonts w:hint="eastAsia" w:ascii="宋体" w:hAnsi="宋体" w:cs="宋体"/>
          <w:color w:val="auto"/>
          <w:kern w:val="0"/>
          <w:position w:val="-1"/>
          <w:sz w:val="24"/>
          <w:szCs w:val="24"/>
          <w:highlight w:val="none"/>
        </w:rPr>
        <w:t>项目的监理人或代建人或招标代理机构相互任职或工作的；</w:t>
      </w:r>
    </w:p>
    <w:p>
      <w:pPr>
        <w:numPr>
          <w:ilvl w:val="0"/>
          <w:numId w:val="6"/>
        </w:numPr>
        <w:autoSpaceDE w:val="0"/>
        <w:autoSpaceDN w:val="0"/>
        <w:adjustRightInd w:val="0"/>
        <w:snapToGrid w:val="0"/>
        <w:spacing w:line="360" w:lineRule="auto"/>
        <w:ind w:left="1259" w:right="-23"/>
        <w:jc w:val="left"/>
        <w:rPr>
          <w:rFonts w:hint="eastAsia" w:ascii="宋体" w:hAnsi="宋体" w:cs="宋体"/>
          <w:color w:val="auto"/>
          <w:kern w:val="0"/>
          <w:position w:val="-1"/>
          <w:sz w:val="24"/>
          <w:szCs w:val="24"/>
          <w:highlight w:val="none"/>
        </w:rPr>
      </w:pPr>
      <w:r>
        <w:rPr>
          <w:rFonts w:hint="eastAsia" w:ascii="宋体" w:hAnsi="宋体" w:cs="宋体"/>
          <w:color w:val="auto"/>
          <w:kern w:val="0"/>
          <w:position w:val="-1"/>
          <w:sz w:val="24"/>
          <w:szCs w:val="24"/>
          <w:highlight w:val="none"/>
        </w:rPr>
        <w:t>被责令停业的；</w:t>
      </w:r>
    </w:p>
    <w:p>
      <w:pPr>
        <w:numPr>
          <w:ilvl w:val="0"/>
          <w:numId w:val="6"/>
        </w:numPr>
        <w:autoSpaceDE w:val="0"/>
        <w:autoSpaceDN w:val="0"/>
        <w:adjustRightInd w:val="0"/>
        <w:snapToGrid w:val="0"/>
        <w:spacing w:line="360" w:lineRule="auto"/>
        <w:ind w:left="1259" w:right="-23"/>
        <w:jc w:val="left"/>
        <w:rPr>
          <w:rFonts w:hint="eastAsia" w:ascii="宋体" w:hAnsi="宋体" w:cs="宋体"/>
          <w:color w:val="auto"/>
          <w:kern w:val="0"/>
          <w:position w:val="-1"/>
          <w:sz w:val="24"/>
          <w:szCs w:val="24"/>
          <w:highlight w:val="none"/>
        </w:rPr>
      </w:pPr>
      <w:r>
        <w:rPr>
          <w:rFonts w:hint="eastAsia" w:ascii="宋体" w:hAnsi="宋体" w:cs="宋体"/>
          <w:color w:val="auto"/>
          <w:kern w:val="0"/>
          <w:position w:val="-1"/>
          <w:sz w:val="24"/>
          <w:szCs w:val="24"/>
          <w:highlight w:val="none"/>
        </w:rPr>
        <w:t>被暂停或取消投标资格的；</w:t>
      </w:r>
    </w:p>
    <w:p>
      <w:pPr>
        <w:numPr>
          <w:ilvl w:val="0"/>
          <w:numId w:val="6"/>
        </w:numPr>
        <w:autoSpaceDE w:val="0"/>
        <w:autoSpaceDN w:val="0"/>
        <w:adjustRightInd w:val="0"/>
        <w:snapToGrid w:val="0"/>
        <w:spacing w:line="360" w:lineRule="auto"/>
        <w:ind w:left="1259" w:right="-23"/>
        <w:jc w:val="left"/>
        <w:rPr>
          <w:rFonts w:hint="eastAsia" w:ascii="宋体" w:hAnsi="宋体" w:cs="宋体"/>
          <w:color w:val="auto"/>
          <w:kern w:val="0"/>
          <w:position w:val="-1"/>
          <w:sz w:val="24"/>
          <w:szCs w:val="24"/>
          <w:highlight w:val="none"/>
        </w:rPr>
      </w:pPr>
      <w:r>
        <w:rPr>
          <w:rFonts w:hint="eastAsia" w:ascii="宋体" w:hAnsi="宋体" w:cs="宋体"/>
          <w:color w:val="auto"/>
          <w:kern w:val="0"/>
          <w:position w:val="-1"/>
          <w:sz w:val="24"/>
          <w:szCs w:val="24"/>
          <w:highlight w:val="none"/>
        </w:rPr>
        <w:t>财产被接管或冻结的；</w:t>
      </w:r>
    </w:p>
    <w:p>
      <w:pPr>
        <w:numPr>
          <w:ilvl w:val="0"/>
          <w:numId w:val="6"/>
        </w:numPr>
        <w:autoSpaceDE w:val="0"/>
        <w:autoSpaceDN w:val="0"/>
        <w:adjustRightInd w:val="0"/>
        <w:snapToGrid w:val="0"/>
        <w:spacing w:line="360" w:lineRule="auto"/>
        <w:ind w:left="1259" w:right="-23"/>
        <w:jc w:val="left"/>
        <w:rPr>
          <w:rFonts w:hint="eastAsia" w:ascii="宋体" w:hAnsi="宋体" w:cs="宋体"/>
          <w:color w:val="auto"/>
          <w:kern w:val="0"/>
          <w:position w:val="-1"/>
          <w:sz w:val="24"/>
          <w:szCs w:val="24"/>
          <w:highlight w:val="none"/>
        </w:rPr>
      </w:pPr>
      <w:r>
        <w:rPr>
          <w:rFonts w:hint="eastAsia" w:ascii="宋体" w:hAnsi="宋体" w:cs="宋体"/>
          <w:color w:val="auto"/>
          <w:kern w:val="0"/>
          <w:position w:val="-1"/>
          <w:sz w:val="24"/>
          <w:szCs w:val="24"/>
          <w:highlight w:val="none"/>
        </w:rPr>
        <w:t>在最近三年内有骗取中标或严重违约或重大工程质量问题的。</w:t>
      </w:r>
    </w:p>
    <w:p>
      <w:pPr>
        <w:numPr>
          <w:ilvl w:val="0"/>
          <w:numId w:val="6"/>
        </w:numPr>
        <w:autoSpaceDE w:val="0"/>
        <w:autoSpaceDN w:val="0"/>
        <w:adjustRightInd w:val="0"/>
        <w:snapToGrid w:val="0"/>
        <w:spacing w:line="360" w:lineRule="auto"/>
        <w:ind w:left="1259" w:right="-23"/>
        <w:jc w:val="left"/>
        <w:rPr>
          <w:rFonts w:hint="eastAsia" w:ascii="宋体" w:hAnsi="宋体" w:cs="宋体"/>
          <w:color w:val="auto"/>
          <w:kern w:val="0"/>
          <w:position w:val="-1"/>
          <w:sz w:val="24"/>
          <w:szCs w:val="24"/>
          <w:highlight w:val="none"/>
        </w:rPr>
      </w:pPr>
      <w:r>
        <w:rPr>
          <w:rFonts w:hint="eastAsia" w:ascii="宋体" w:hAnsi="宋体" w:cs="宋体"/>
          <w:color w:val="auto"/>
          <w:kern w:val="0"/>
          <w:position w:val="-1"/>
          <w:sz w:val="24"/>
          <w:szCs w:val="24"/>
          <w:highlight w:val="none"/>
        </w:rPr>
        <w:t>单位负责人为同一人或者存在控股、管理关系的不同单位，不得参加投标。</w:t>
      </w:r>
    </w:p>
    <w:p>
      <w:pPr>
        <w:pStyle w:val="174"/>
        <w:numPr>
          <w:ilvl w:val="0"/>
          <w:numId w:val="0"/>
        </w:numPr>
        <w:ind w:right="210"/>
        <w:rPr>
          <w:rFonts w:hint="eastAsia" w:cs="宋体"/>
          <w:b/>
          <w:color w:val="auto"/>
          <w:highlight w:val="none"/>
        </w:rPr>
      </w:pPr>
      <w:r>
        <w:rPr>
          <w:rFonts w:hint="eastAsia" w:cs="宋体"/>
          <w:b/>
          <w:color w:val="auto"/>
          <w:highlight w:val="none"/>
        </w:rPr>
        <w:t>1.5费用承担</w:t>
      </w:r>
    </w:p>
    <w:p>
      <w:pPr>
        <w:autoSpaceDE w:val="0"/>
        <w:autoSpaceDN w:val="0"/>
        <w:adjustRightInd w:val="0"/>
        <w:snapToGrid w:val="0"/>
        <w:spacing w:before="29" w:line="360" w:lineRule="auto"/>
        <w:ind w:right="-159"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投标人准备和参加</w:t>
      </w:r>
      <w:r>
        <w:rPr>
          <w:rFonts w:hint="eastAsia" w:ascii="宋体" w:hAnsi="宋体" w:cs="宋体"/>
          <w:color w:val="auto"/>
          <w:kern w:val="0"/>
          <w:position w:val="-1"/>
          <w:sz w:val="24"/>
          <w:szCs w:val="24"/>
          <w:highlight w:val="none"/>
          <w:lang w:val="en-US" w:eastAsia="zh-CN"/>
        </w:rPr>
        <w:t>采购</w:t>
      </w:r>
      <w:r>
        <w:rPr>
          <w:rFonts w:hint="eastAsia" w:ascii="宋体" w:hAnsi="宋体" w:cs="宋体"/>
          <w:color w:val="auto"/>
          <w:kern w:val="0"/>
          <w:sz w:val="24"/>
          <w:szCs w:val="24"/>
          <w:highlight w:val="none"/>
        </w:rPr>
        <w:t>活动发生的费用自理。</w:t>
      </w:r>
    </w:p>
    <w:p>
      <w:pPr>
        <w:pStyle w:val="174"/>
        <w:numPr>
          <w:ilvl w:val="0"/>
          <w:numId w:val="0"/>
        </w:numPr>
        <w:ind w:right="210"/>
        <w:rPr>
          <w:rFonts w:hint="eastAsia" w:cs="宋体"/>
          <w:b/>
          <w:color w:val="auto"/>
          <w:highlight w:val="none"/>
        </w:rPr>
      </w:pPr>
      <w:r>
        <w:rPr>
          <w:rFonts w:hint="eastAsia" w:cs="宋体"/>
          <w:b/>
          <w:color w:val="auto"/>
          <w:highlight w:val="none"/>
        </w:rPr>
        <w:t>1.6保密</w:t>
      </w:r>
    </w:p>
    <w:p>
      <w:pPr>
        <w:autoSpaceDE w:val="0"/>
        <w:autoSpaceDN w:val="0"/>
        <w:adjustRightInd w:val="0"/>
        <w:snapToGrid w:val="0"/>
        <w:spacing w:before="29" w:line="360" w:lineRule="auto"/>
        <w:ind w:right="-159"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参与</w:t>
      </w:r>
      <w:r>
        <w:rPr>
          <w:rFonts w:hint="eastAsia" w:ascii="宋体" w:hAnsi="宋体" w:cs="宋体"/>
          <w:color w:val="auto"/>
          <w:kern w:val="0"/>
          <w:position w:val="-1"/>
          <w:sz w:val="24"/>
          <w:szCs w:val="24"/>
          <w:highlight w:val="none"/>
          <w:lang w:val="en-US" w:eastAsia="zh-CN"/>
        </w:rPr>
        <w:t>采购</w:t>
      </w:r>
      <w:r>
        <w:rPr>
          <w:rFonts w:hint="eastAsia" w:ascii="宋体" w:hAnsi="宋体" w:cs="宋体"/>
          <w:color w:val="auto"/>
          <w:kern w:val="0"/>
          <w:sz w:val="24"/>
          <w:szCs w:val="24"/>
          <w:highlight w:val="none"/>
        </w:rPr>
        <w:t>投标活动的各方应对招标文件和投标文件中的商业和技术等秘密保密，违者应对由此造成的后果承担法律责任。</w:t>
      </w:r>
    </w:p>
    <w:p>
      <w:pPr>
        <w:pStyle w:val="174"/>
        <w:numPr>
          <w:ilvl w:val="0"/>
          <w:numId w:val="0"/>
        </w:numPr>
        <w:ind w:right="210"/>
        <w:rPr>
          <w:rFonts w:hint="eastAsia" w:cs="宋体"/>
          <w:b/>
          <w:color w:val="auto"/>
          <w:highlight w:val="none"/>
        </w:rPr>
      </w:pPr>
      <w:r>
        <w:rPr>
          <w:rFonts w:hint="eastAsia" w:cs="宋体"/>
          <w:b/>
          <w:color w:val="auto"/>
          <w:highlight w:val="none"/>
        </w:rPr>
        <w:t>1.7语言文字</w:t>
      </w:r>
    </w:p>
    <w:p>
      <w:pPr>
        <w:autoSpaceDE w:val="0"/>
        <w:autoSpaceDN w:val="0"/>
        <w:adjustRightInd w:val="0"/>
        <w:snapToGrid w:val="0"/>
        <w:spacing w:before="29" w:line="360" w:lineRule="auto"/>
        <w:ind w:right="-159"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除专用术语外，与</w:t>
      </w:r>
      <w:r>
        <w:rPr>
          <w:rFonts w:hint="eastAsia" w:ascii="宋体" w:hAnsi="宋体" w:cs="宋体"/>
          <w:color w:val="auto"/>
          <w:kern w:val="0"/>
          <w:position w:val="-1"/>
          <w:sz w:val="24"/>
          <w:szCs w:val="24"/>
          <w:highlight w:val="none"/>
          <w:lang w:val="en-US" w:eastAsia="zh-CN"/>
        </w:rPr>
        <w:t>采购</w:t>
      </w:r>
      <w:r>
        <w:rPr>
          <w:rFonts w:hint="eastAsia" w:ascii="宋体" w:hAnsi="宋体" w:cs="宋体"/>
          <w:color w:val="auto"/>
          <w:kern w:val="0"/>
          <w:sz w:val="24"/>
          <w:szCs w:val="24"/>
          <w:highlight w:val="none"/>
        </w:rPr>
        <w:t>投标有关的语言均使用中文。必要时专用术语应附有中文注释。</w:t>
      </w:r>
    </w:p>
    <w:p>
      <w:pPr>
        <w:pStyle w:val="174"/>
        <w:numPr>
          <w:ilvl w:val="0"/>
          <w:numId w:val="0"/>
        </w:numPr>
        <w:ind w:right="210"/>
        <w:rPr>
          <w:rFonts w:hint="eastAsia" w:cs="宋体"/>
          <w:b/>
          <w:color w:val="auto"/>
          <w:highlight w:val="none"/>
        </w:rPr>
      </w:pPr>
      <w:r>
        <w:rPr>
          <w:rFonts w:hint="eastAsia" w:cs="宋体"/>
          <w:b/>
          <w:color w:val="auto"/>
          <w:highlight w:val="none"/>
        </w:rPr>
        <w:t>1.8计量单位</w:t>
      </w:r>
    </w:p>
    <w:p>
      <w:pPr>
        <w:autoSpaceDE w:val="0"/>
        <w:autoSpaceDN w:val="0"/>
        <w:adjustRightInd w:val="0"/>
        <w:snapToGrid w:val="0"/>
        <w:spacing w:before="29" w:line="360" w:lineRule="auto"/>
        <w:ind w:right="-159"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所有计量均采用中华人民共和国法定计量单位。</w:t>
      </w:r>
    </w:p>
    <w:p>
      <w:pPr>
        <w:pStyle w:val="174"/>
        <w:numPr>
          <w:ilvl w:val="0"/>
          <w:numId w:val="0"/>
        </w:numPr>
        <w:ind w:right="210"/>
        <w:rPr>
          <w:rFonts w:hint="eastAsia" w:cs="宋体"/>
          <w:b/>
          <w:color w:val="auto"/>
          <w:highlight w:val="none"/>
        </w:rPr>
      </w:pPr>
      <w:r>
        <w:rPr>
          <w:rFonts w:hint="eastAsia" w:cs="宋体"/>
          <w:b/>
          <w:color w:val="auto"/>
          <w:highlight w:val="none"/>
        </w:rPr>
        <w:t>1.9踏勘现场</w:t>
      </w:r>
    </w:p>
    <w:p>
      <w:pPr>
        <w:pStyle w:val="174"/>
        <w:numPr>
          <w:ilvl w:val="0"/>
          <w:numId w:val="0"/>
        </w:numPr>
        <w:ind w:left="210" w:right="210"/>
        <w:rPr>
          <w:rFonts w:hint="eastAsia" w:cs="宋体"/>
          <w:color w:val="auto"/>
          <w:highlight w:val="none"/>
        </w:rPr>
      </w:pPr>
      <w:r>
        <w:rPr>
          <w:rFonts w:hint="eastAsia" w:cs="宋体"/>
          <w:color w:val="auto"/>
          <w:highlight w:val="none"/>
        </w:rPr>
        <w:t>1.9.1投标人须知前附表规定组织踏勘现场的，</w:t>
      </w:r>
      <w:r>
        <w:rPr>
          <w:rFonts w:hint="eastAsia" w:ascii="宋体" w:hAnsi="宋体" w:cs="宋体"/>
          <w:color w:val="auto"/>
          <w:kern w:val="0"/>
          <w:position w:val="-1"/>
          <w:sz w:val="24"/>
          <w:szCs w:val="24"/>
          <w:highlight w:val="none"/>
          <w:lang w:val="en-US" w:eastAsia="zh-CN"/>
        </w:rPr>
        <w:t>采购</w:t>
      </w:r>
      <w:r>
        <w:rPr>
          <w:rFonts w:hint="eastAsia" w:cs="宋体"/>
          <w:color w:val="auto"/>
          <w:highlight w:val="none"/>
        </w:rPr>
        <w:t>人按投标人须知前附表规定的时间、地点组织投标人踏勘项目现场。</w:t>
      </w:r>
    </w:p>
    <w:p>
      <w:pPr>
        <w:numPr>
          <w:ilvl w:val="0"/>
          <w:numId w:val="7"/>
        </w:numPr>
        <w:autoSpaceDE w:val="0"/>
        <w:autoSpaceDN w:val="0"/>
        <w:adjustRightInd w:val="0"/>
        <w:snapToGrid w:val="0"/>
        <w:spacing w:line="360" w:lineRule="auto"/>
        <w:ind w:left="1259" w:right="-23"/>
        <w:jc w:val="left"/>
        <w:rPr>
          <w:rFonts w:hint="eastAsia" w:ascii="宋体" w:hAnsi="宋体" w:cs="宋体"/>
          <w:color w:val="auto"/>
          <w:kern w:val="0"/>
          <w:position w:val="-1"/>
          <w:sz w:val="24"/>
          <w:szCs w:val="24"/>
          <w:highlight w:val="none"/>
        </w:rPr>
      </w:pPr>
      <w:r>
        <w:rPr>
          <w:rFonts w:hint="eastAsia" w:ascii="宋体" w:hAnsi="宋体" w:cs="宋体"/>
          <w:color w:val="auto"/>
          <w:kern w:val="0"/>
          <w:position w:val="-1"/>
          <w:sz w:val="24"/>
          <w:szCs w:val="24"/>
          <w:highlight w:val="none"/>
        </w:rPr>
        <w:t>投标人踏勘现场发生的费用自理。</w:t>
      </w:r>
    </w:p>
    <w:p>
      <w:pPr>
        <w:numPr>
          <w:ilvl w:val="0"/>
          <w:numId w:val="7"/>
        </w:numPr>
        <w:autoSpaceDE w:val="0"/>
        <w:autoSpaceDN w:val="0"/>
        <w:adjustRightInd w:val="0"/>
        <w:snapToGrid w:val="0"/>
        <w:spacing w:line="360" w:lineRule="auto"/>
        <w:ind w:left="1259" w:right="-23"/>
        <w:jc w:val="left"/>
        <w:rPr>
          <w:rFonts w:hint="eastAsia" w:ascii="宋体" w:hAnsi="宋体" w:cs="宋体"/>
          <w:color w:val="auto"/>
          <w:kern w:val="0"/>
          <w:position w:val="-1"/>
          <w:sz w:val="24"/>
          <w:szCs w:val="24"/>
          <w:highlight w:val="none"/>
        </w:rPr>
      </w:pPr>
      <w:r>
        <w:rPr>
          <w:rFonts w:hint="eastAsia" w:ascii="宋体" w:hAnsi="宋体" w:cs="宋体"/>
          <w:color w:val="auto"/>
          <w:kern w:val="0"/>
          <w:position w:val="-1"/>
          <w:sz w:val="24"/>
          <w:szCs w:val="24"/>
          <w:highlight w:val="none"/>
        </w:rPr>
        <w:t>除招标人的原因外，投标人自行负责在踏勘现场中所发生的人员伤亡和财产损失。</w:t>
      </w:r>
    </w:p>
    <w:p>
      <w:pPr>
        <w:pStyle w:val="174"/>
        <w:numPr>
          <w:ilvl w:val="0"/>
          <w:numId w:val="0"/>
        </w:numPr>
        <w:ind w:left="210" w:right="210"/>
        <w:rPr>
          <w:rFonts w:hint="eastAsia" w:cs="宋体"/>
          <w:color w:val="auto"/>
          <w:highlight w:val="none"/>
        </w:rPr>
      </w:pPr>
      <w:r>
        <w:rPr>
          <w:rFonts w:hint="eastAsia" w:cs="宋体"/>
          <w:color w:val="auto"/>
          <w:highlight w:val="none"/>
        </w:rPr>
        <w:t>1.9.2</w:t>
      </w:r>
      <w:r>
        <w:rPr>
          <w:rFonts w:hint="eastAsia" w:ascii="宋体" w:hAnsi="宋体" w:cs="宋体"/>
          <w:color w:val="auto"/>
          <w:kern w:val="0"/>
          <w:position w:val="-1"/>
          <w:sz w:val="24"/>
          <w:szCs w:val="24"/>
          <w:highlight w:val="none"/>
          <w:lang w:val="en-US" w:eastAsia="zh-CN"/>
        </w:rPr>
        <w:t>采购</w:t>
      </w:r>
      <w:r>
        <w:rPr>
          <w:rFonts w:hint="eastAsia" w:cs="宋体"/>
          <w:color w:val="auto"/>
          <w:highlight w:val="none"/>
        </w:rPr>
        <w:t>人在踏勘现场中介绍的工程场地和相关的周边环境情况，供投标人在编制投标文件时参考，招标人不对投标人据此作出的判断和决策负责。</w:t>
      </w:r>
    </w:p>
    <w:p>
      <w:pPr>
        <w:pStyle w:val="174"/>
        <w:numPr>
          <w:ilvl w:val="0"/>
          <w:numId w:val="0"/>
        </w:numPr>
        <w:ind w:right="210"/>
        <w:rPr>
          <w:rFonts w:hint="eastAsia" w:cs="宋体"/>
          <w:b/>
          <w:color w:val="auto"/>
          <w:highlight w:val="none"/>
        </w:rPr>
      </w:pPr>
      <w:r>
        <w:rPr>
          <w:rFonts w:hint="eastAsia" w:cs="宋体"/>
          <w:b/>
          <w:color w:val="auto"/>
          <w:highlight w:val="none"/>
        </w:rPr>
        <w:t>1.1</w:t>
      </w:r>
      <w:r>
        <w:rPr>
          <w:rFonts w:hint="eastAsia" w:cs="宋体"/>
          <w:b/>
          <w:color w:val="auto"/>
          <w:highlight w:val="none"/>
          <w:lang w:val="en-US" w:eastAsia="zh-CN"/>
        </w:rPr>
        <w:t>0</w:t>
      </w:r>
      <w:r>
        <w:rPr>
          <w:rFonts w:hint="eastAsia" w:cs="宋体"/>
          <w:b/>
          <w:color w:val="auto"/>
          <w:highlight w:val="none"/>
        </w:rPr>
        <w:t>分包</w:t>
      </w:r>
    </w:p>
    <w:p>
      <w:pPr>
        <w:autoSpaceDE w:val="0"/>
        <w:autoSpaceDN w:val="0"/>
        <w:adjustRightInd w:val="0"/>
        <w:snapToGrid w:val="0"/>
        <w:spacing w:before="29" w:line="360" w:lineRule="auto"/>
        <w:ind w:right="-159"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投标人拟在中标后将中标项目的部分非主体</w:t>
      </w:r>
      <w:r>
        <w:rPr>
          <w:rFonts w:hint="eastAsia" w:ascii="宋体" w:hAnsi="宋体" w:cs="宋体"/>
          <w:color w:val="auto"/>
          <w:spacing w:val="-16"/>
          <w:kern w:val="0"/>
          <w:sz w:val="24"/>
          <w:szCs w:val="24"/>
          <w:highlight w:val="none"/>
        </w:rPr>
        <w:t>、</w:t>
      </w:r>
      <w:r>
        <w:rPr>
          <w:rFonts w:hint="eastAsia" w:ascii="宋体" w:hAnsi="宋体" w:cs="宋体"/>
          <w:color w:val="auto"/>
          <w:kern w:val="0"/>
          <w:sz w:val="24"/>
          <w:szCs w:val="24"/>
          <w:highlight w:val="none"/>
        </w:rPr>
        <w:t>非关键性工作进行分包的</w:t>
      </w:r>
      <w:r>
        <w:rPr>
          <w:rFonts w:hint="eastAsia" w:ascii="宋体" w:hAnsi="宋体" w:cs="宋体"/>
          <w:color w:val="auto"/>
          <w:spacing w:val="-16"/>
          <w:kern w:val="0"/>
          <w:sz w:val="24"/>
          <w:szCs w:val="24"/>
          <w:highlight w:val="none"/>
        </w:rPr>
        <w:t>，</w:t>
      </w:r>
      <w:r>
        <w:rPr>
          <w:rFonts w:hint="eastAsia" w:ascii="宋体" w:hAnsi="宋体" w:cs="宋体"/>
          <w:color w:val="auto"/>
          <w:kern w:val="0"/>
          <w:sz w:val="24"/>
          <w:szCs w:val="24"/>
          <w:highlight w:val="none"/>
        </w:rPr>
        <w:t>应符合投标人须知前附表规定的分包内容、分包金额和接受分包的第三人资质要求等限制性条件。</w:t>
      </w:r>
    </w:p>
    <w:p>
      <w:pPr>
        <w:spacing w:line="360" w:lineRule="auto"/>
        <w:jc w:val="center"/>
        <w:outlineLvl w:val="1"/>
        <w:rPr>
          <w:rFonts w:hint="eastAsia" w:ascii="Cambria" w:hAnsi="Cambria"/>
          <w:b/>
          <w:bCs w:val="0"/>
          <w:color w:val="auto"/>
          <w:kern w:val="28"/>
          <w:sz w:val="32"/>
          <w:szCs w:val="32"/>
          <w:highlight w:val="none"/>
        </w:rPr>
      </w:pPr>
      <w:bookmarkStart w:id="44" w:name="_Toc405302854"/>
      <w:bookmarkStart w:id="45" w:name="_Toc438129406"/>
      <w:bookmarkStart w:id="46" w:name="_Toc405303365"/>
      <w:r>
        <w:rPr>
          <w:rFonts w:hint="eastAsia" w:ascii="Cambria" w:hAnsi="Cambria"/>
          <w:b/>
          <w:bCs w:val="0"/>
          <w:color w:val="auto"/>
          <w:kern w:val="28"/>
          <w:sz w:val="32"/>
          <w:szCs w:val="32"/>
          <w:highlight w:val="none"/>
        </w:rPr>
        <w:t>二、</w:t>
      </w:r>
      <w:r>
        <w:rPr>
          <w:rFonts w:hint="eastAsia" w:ascii="Cambria" w:hAnsi="Cambria"/>
          <w:b/>
          <w:bCs w:val="0"/>
          <w:color w:val="auto"/>
          <w:kern w:val="28"/>
          <w:sz w:val="32"/>
          <w:szCs w:val="32"/>
          <w:highlight w:val="none"/>
          <w:lang w:val="en-US" w:eastAsia="zh-CN"/>
        </w:rPr>
        <w:t>采购</w:t>
      </w:r>
      <w:r>
        <w:rPr>
          <w:rFonts w:hint="eastAsia" w:ascii="Cambria" w:hAnsi="Cambria"/>
          <w:b/>
          <w:bCs w:val="0"/>
          <w:color w:val="auto"/>
          <w:kern w:val="28"/>
          <w:sz w:val="32"/>
          <w:szCs w:val="32"/>
          <w:highlight w:val="none"/>
        </w:rPr>
        <w:t>文件</w:t>
      </w:r>
      <w:bookmarkEnd w:id="44"/>
      <w:bookmarkEnd w:id="45"/>
      <w:bookmarkEnd w:id="46"/>
    </w:p>
    <w:p>
      <w:pPr>
        <w:pStyle w:val="174"/>
        <w:numPr>
          <w:ilvl w:val="0"/>
          <w:numId w:val="0"/>
        </w:numPr>
        <w:ind w:left="567" w:right="210"/>
        <w:rPr>
          <w:rFonts w:hint="eastAsia" w:cs="宋体"/>
          <w:b/>
          <w:bCs w:val="0"/>
          <w:color w:val="auto"/>
          <w:highlight w:val="none"/>
        </w:rPr>
      </w:pPr>
      <w:r>
        <w:rPr>
          <w:rFonts w:hint="eastAsia" w:cs="宋体"/>
          <w:b/>
          <w:bCs w:val="0"/>
          <w:color w:val="auto"/>
          <w:highlight w:val="none"/>
        </w:rPr>
        <w:t xml:space="preserve">2.1 </w:t>
      </w:r>
      <w:r>
        <w:rPr>
          <w:rFonts w:hint="eastAsia" w:ascii="宋体" w:hAnsi="宋体" w:cs="宋体"/>
          <w:b/>
          <w:bCs w:val="0"/>
          <w:color w:val="auto"/>
          <w:kern w:val="0"/>
          <w:position w:val="-1"/>
          <w:sz w:val="24"/>
          <w:szCs w:val="24"/>
          <w:highlight w:val="none"/>
          <w:lang w:val="en-US" w:eastAsia="zh-CN"/>
        </w:rPr>
        <w:t>采购</w:t>
      </w:r>
      <w:r>
        <w:rPr>
          <w:rFonts w:hint="eastAsia" w:cs="宋体"/>
          <w:b/>
          <w:bCs w:val="0"/>
          <w:color w:val="auto"/>
          <w:highlight w:val="none"/>
        </w:rPr>
        <w:t>文件的组成</w:t>
      </w:r>
    </w:p>
    <w:p>
      <w:pPr>
        <w:autoSpaceDE w:val="0"/>
        <w:autoSpaceDN w:val="0"/>
        <w:adjustRightInd w:val="0"/>
        <w:snapToGrid w:val="0"/>
        <w:spacing w:before="29" w:line="360" w:lineRule="auto"/>
        <w:ind w:right="-159"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本</w:t>
      </w:r>
      <w:r>
        <w:rPr>
          <w:rFonts w:hint="eastAsia" w:ascii="宋体" w:hAnsi="宋体" w:cs="宋体"/>
          <w:color w:val="auto"/>
          <w:kern w:val="0"/>
          <w:position w:val="-1"/>
          <w:sz w:val="24"/>
          <w:szCs w:val="24"/>
          <w:highlight w:val="none"/>
          <w:lang w:val="en-US" w:eastAsia="zh-CN"/>
        </w:rPr>
        <w:t>采购</w:t>
      </w:r>
      <w:r>
        <w:rPr>
          <w:rFonts w:hint="eastAsia" w:ascii="宋体" w:hAnsi="宋体" w:cs="宋体"/>
          <w:color w:val="auto"/>
          <w:kern w:val="0"/>
          <w:sz w:val="24"/>
          <w:szCs w:val="24"/>
          <w:highlight w:val="none"/>
        </w:rPr>
        <w:t>文件包括：</w:t>
      </w:r>
    </w:p>
    <w:p>
      <w:pPr>
        <w:numPr>
          <w:ilvl w:val="1"/>
          <w:numId w:val="8"/>
        </w:numPr>
        <w:autoSpaceDE w:val="0"/>
        <w:autoSpaceDN w:val="0"/>
        <w:adjustRightInd w:val="0"/>
        <w:snapToGrid w:val="0"/>
        <w:spacing w:before="37" w:line="360" w:lineRule="auto"/>
        <w:ind w:right="-2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投标邀请书</w:t>
      </w:r>
    </w:p>
    <w:p>
      <w:pPr>
        <w:numPr>
          <w:ilvl w:val="1"/>
          <w:numId w:val="8"/>
        </w:numPr>
        <w:autoSpaceDE w:val="0"/>
        <w:autoSpaceDN w:val="0"/>
        <w:adjustRightInd w:val="0"/>
        <w:snapToGrid w:val="0"/>
        <w:spacing w:before="36" w:line="360" w:lineRule="auto"/>
        <w:ind w:right="-2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投标</w:t>
      </w:r>
      <w:r>
        <w:rPr>
          <w:rFonts w:hint="eastAsia" w:ascii="宋体" w:hAnsi="宋体" w:cs="宋体"/>
          <w:color w:val="auto"/>
          <w:spacing w:val="-1"/>
          <w:kern w:val="0"/>
          <w:sz w:val="24"/>
          <w:szCs w:val="24"/>
          <w:highlight w:val="none"/>
        </w:rPr>
        <w:t>人</w:t>
      </w:r>
      <w:r>
        <w:rPr>
          <w:rFonts w:hint="eastAsia" w:ascii="宋体" w:hAnsi="宋体" w:cs="宋体"/>
          <w:color w:val="auto"/>
          <w:kern w:val="0"/>
          <w:sz w:val="24"/>
          <w:szCs w:val="24"/>
          <w:highlight w:val="none"/>
        </w:rPr>
        <w:t>须知；</w:t>
      </w:r>
    </w:p>
    <w:p>
      <w:pPr>
        <w:numPr>
          <w:ilvl w:val="1"/>
          <w:numId w:val="8"/>
        </w:numPr>
        <w:autoSpaceDE w:val="0"/>
        <w:autoSpaceDN w:val="0"/>
        <w:adjustRightInd w:val="0"/>
        <w:snapToGrid w:val="0"/>
        <w:spacing w:before="36" w:line="360" w:lineRule="auto"/>
        <w:ind w:right="-2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评标</w:t>
      </w:r>
      <w:r>
        <w:rPr>
          <w:rFonts w:hint="eastAsia" w:ascii="宋体" w:hAnsi="宋体" w:cs="宋体"/>
          <w:color w:val="auto"/>
          <w:spacing w:val="-1"/>
          <w:kern w:val="0"/>
          <w:sz w:val="24"/>
          <w:szCs w:val="24"/>
          <w:highlight w:val="none"/>
        </w:rPr>
        <w:t>办</w:t>
      </w:r>
      <w:r>
        <w:rPr>
          <w:rFonts w:hint="eastAsia" w:ascii="宋体" w:hAnsi="宋体" w:cs="宋体"/>
          <w:color w:val="auto"/>
          <w:kern w:val="0"/>
          <w:sz w:val="24"/>
          <w:szCs w:val="24"/>
          <w:highlight w:val="none"/>
        </w:rPr>
        <w:t>法；</w:t>
      </w:r>
    </w:p>
    <w:p>
      <w:pPr>
        <w:numPr>
          <w:ilvl w:val="1"/>
          <w:numId w:val="8"/>
        </w:numPr>
        <w:autoSpaceDE w:val="0"/>
        <w:autoSpaceDN w:val="0"/>
        <w:adjustRightInd w:val="0"/>
        <w:snapToGrid w:val="0"/>
        <w:spacing w:before="37" w:line="360" w:lineRule="auto"/>
        <w:ind w:right="-2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合同</w:t>
      </w:r>
      <w:r>
        <w:rPr>
          <w:rFonts w:hint="eastAsia" w:ascii="宋体" w:hAnsi="宋体" w:cs="宋体"/>
          <w:color w:val="auto"/>
          <w:spacing w:val="-1"/>
          <w:kern w:val="0"/>
          <w:sz w:val="24"/>
          <w:szCs w:val="24"/>
          <w:highlight w:val="none"/>
        </w:rPr>
        <w:t>条</w:t>
      </w:r>
      <w:r>
        <w:rPr>
          <w:rFonts w:hint="eastAsia" w:ascii="宋体" w:hAnsi="宋体" w:cs="宋体"/>
          <w:color w:val="auto"/>
          <w:kern w:val="0"/>
          <w:sz w:val="24"/>
          <w:szCs w:val="24"/>
          <w:highlight w:val="none"/>
        </w:rPr>
        <w:t>款；</w:t>
      </w:r>
    </w:p>
    <w:p>
      <w:pPr>
        <w:numPr>
          <w:ilvl w:val="1"/>
          <w:numId w:val="8"/>
        </w:numPr>
        <w:autoSpaceDE w:val="0"/>
        <w:autoSpaceDN w:val="0"/>
        <w:adjustRightInd w:val="0"/>
        <w:snapToGrid w:val="0"/>
        <w:spacing w:before="36" w:line="360" w:lineRule="auto"/>
        <w:ind w:right="-2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技术要求；</w:t>
      </w:r>
    </w:p>
    <w:p>
      <w:pPr>
        <w:numPr>
          <w:ilvl w:val="1"/>
          <w:numId w:val="8"/>
        </w:numPr>
        <w:autoSpaceDE w:val="0"/>
        <w:autoSpaceDN w:val="0"/>
        <w:adjustRightInd w:val="0"/>
        <w:snapToGrid w:val="0"/>
        <w:spacing w:before="36" w:line="360" w:lineRule="auto"/>
        <w:ind w:right="-2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投标文件格式；</w:t>
      </w:r>
    </w:p>
    <w:p>
      <w:pPr>
        <w:autoSpaceDE w:val="0"/>
        <w:autoSpaceDN w:val="0"/>
        <w:adjustRightInd w:val="0"/>
        <w:snapToGrid w:val="0"/>
        <w:spacing w:before="29" w:line="360" w:lineRule="auto"/>
        <w:ind w:right="-159"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根据本章规定对</w:t>
      </w:r>
      <w:r>
        <w:rPr>
          <w:rFonts w:hint="eastAsia" w:ascii="宋体" w:hAnsi="宋体" w:cs="宋体"/>
          <w:color w:val="auto"/>
          <w:kern w:val="0"/>
          <w:position w:val="-1"/>
          <w:sz w:val="24"/>
          <w:szCs w:val="24"/>
          <w:highlight w:val="none"/>
          <w:lang w:val="en-US" w:eastAsia="zh-CN"/>
        </w:rPr>
        <w:t>采购</w:t>
      </w:r>
      <w:r>
        <w:rPr>
          <w:rFonts w:hint="eastAsia" w:ascii="宋体" w:hAnsi="宋体" w:cs="宋体"/>
          <w:color w:val="auto"/>
          <w:kern w:val="0"/>
          <w:sz w:val="24"/>
          <w:szCs w:val="24"/>
          <w:highlight w:val="none"/>
        </w:rPr>
        <w:t>文件所作的澄清、修改，构成</w:t>
      </w:r>
      <w:r>
        <w:rPr>
          <w:rFonts w:hint="eastAsia" w:ascii="宋体" w:hAnsi="宋体" w:cs="宋体"/>
          <w:color w:val="auto"/>
          <w:kern w:val="0"/>
          <w:position w:val="-1"/>
          <w:sz w:val="24"/>
          <w:szCs w:val="24"/>
          <w:highlight w:val="none"/>
          <w:lang w:val="en-US" w:eastAsia="zh-CN"/>
        </w:rPr>
        <w:t>采购</w:t>
      </w:r>
      <w:r>
        <w:rPr>
          <w:rFonts w:hint="eastAsia" w:ascii="宋体" w:hAnsi="宋体" w:cs="宋体"/>
          <w:color w:val="auto"/>
          <w:kern w:val="0"/>
          <w:sz w:val="24"/>
          <w:szCs w:val="24"/>
          <w:highlight w:val="none"/>
        </w:rPr>
        <w:t>文件的组成部分。</w:t>
      </w:r>
    </w:p>
    <w:p>
      <w:pPr>
        <w:pStyle w:val="174"/>
        <w:numPr>
          <w:ilvl w:val="0"/>
          <w:numId w:val="0"/>
        </w:numPr>
        <w:ind w:left="567" w:right="210"/>
        <w:rPr>
          <w:rFonts w:hint="eastAsia" w:cs="宋体"/>
          <w:bCs/>
          <w:color w:val="auto"/>
          <w:highlight w:val="none"/>
        </w:rPr>
      </w:pPr>
      <w:bookmarkStart w:id="47" w:name="_Toc448152360"/>
      <w:bookmarkStart w:id="48" w:name="_Toc405303163"/>
      <w:bookmarkStart w:id="49" w:name="_Toc445195936"/>
      <w:r>
        <w:rPr>
          <w:rFonts w:hint="eastAsia" w:cs="宋体"/>
          <w:b/>
          <w:color w:val="auto"/>
          <w:highlight w:val="none"/>
        </w:rPr>
        <w:t xml:space="preserve">2.2 </w:t>
      </w:r>
      <w:r>
        <w:rPr>
          <w:rFonts w:hint="eastAsia" w:ascii="宋体" w:hAnsi="宋体" w:cs="宋体"/>
          <w:color w:val="auto"/>
          <w:kern w:val="0"/>
          <w:position w:val="-1"/>
          <w:sz w:val="24"/>
          <w:szCs w:val="24"/>
          <w:highlight w:val="none"/>
          <w:lang w:val="en-US" w:eastAsia="zh-CN"/>
        </w:rPr>
        <w:t>采购</w:t>
      </w:r>
      <w:r>
        <w:rPr>
          <w:rFonts w:hint="eastAsia" w:cs="宋体"/>
          <w:b/>
          <w:color w:val="auto"/>
          <w:highlight w:val="none"/>
        </w:rPr>
        <w:t>文件的澄清</w:t>
      </w:r>
      <w:r>
        <w:rPr>
          <w:rFonts w:hint="eastAsia" w:cs="宋体"/>
          <w:b/>
          <w:color w:val="auto"/>
          <w:highlight w:val="none"/>
        </w:rPr>
        <w:br w:type="textWrapping"/>
      </w:r>
      <w:r>
        <w:rPr>
          <w:rFonts w:hint="eastAsia" w:cs="宋体"/>
          <w:bCs/>
          <w:color w:val="auto"/>
          <w:highlight w:val="none"/>
        </w:rPr>
        <w:t>2.2.1投标人应仔细阅读和检查招标文件的全部内容。如发现缺页或附件不全，应及时向招标人提出，以便补齐。</w:t>
      </w:r>
    </w:p>
    <w:bookmarkEnd w:id="47"/>
    <w:bookmarkEnd w:id="48"/>
    <w:bookmarkEnd w:id="49"/>
    <w:p>
      <w:pPr>
        <w:spacing w:line="360" w:lineRule="auto"/>
        <w:ind w:left="567" w:hanging="567"/>
        <w:jc w:val="center"/>
        <w:rPr>
          <w:rFonts w:hint="eastAsia" w:ascii="Cambria" w:hAnsi="Cambria"/>
          <w:bCs/>
          <w:color w:val="auto"/>
          <w:kern w:val="28"/>
          <w:sz w:val="32"/>
          <w:szCs w:val="32"/>
          <w:highlight w:val="none"/>
        </w:rPr>
      </w:pPr>
    </w:p>
    <w:p>
      <w:pPr>
        <w:spacing w:line="360" w:lineRule="auto"/>
        <w:ind w:left="567" w:hanging="567"/>
        <w:jc w:val="center"/>
        <w:rPr>
          <w:rFonts w:hint="eastAsia" w:ascii="Cambria" w:hAnsi="Cambria"/>
          <w:bCs/>
          <w:color w:val="auto"/>
          <w:kern w:val="28"/>
          <w:sz w:val="32"/>
          <w:szCs w:val="32"/>
          <w:highlight w:val="none"/>
        </w:rPr>
      </w:pPr>
    </w:p>
    <w:p>
      <w:pPr>
        <w:spacing w:line="360" w:lineRule="auto"/>
        <w:ind w:left="567" w:hanging="567"/>
        <w:jc w:val="center"/>
        <w:outlineLvl w:val="1"/>
        <w:rPr>
          <w:rFonts w:hint="eastAsia" w:ascii="Cambria" w:hAnsi="Cambria"/>
          <w:b/>
          <w:bCs w:val="0"/>
          <w:color w:val="auto"/>
          <w:kern w:val="28"/>
          <w:sz w:val="32"/>
          <w:szCs w:val="32"/>
          <w:highlight w:val="none"/>
        </w:rPr>
      </w:pPr>
      <w:r>
        <w:rPr>
          <w:rFonts w:hint="eastAsia" w:ascii="Cambria" w:hAnsi="Cambria"/>
          <w:b/>
          <w:bCs w:val="0"/>
          <w:color w:val="auto"/>
          <w:kern w:val="28"/>
          <w:sz w:val="32"/>
          <w:szCs w:val="32"/>
          <w:highlight w:val="none"/>
        </w:rPr>
        <w:t>三、投标文件</w:t>
      </w:r>
    </w:p>
    <w:p>
      <w:pPr>
        <w:pStyle w:val="174"/>
        <w:numPr>
          <w:ilvl w:val="0"/>
          <w:numId w:val="0"/>
        </w:numPr>
        <w:ind w:right="210"/>
        <w:rPr>
          <w:rFonts w:hint="eastAsia" w:cs="宋体"/>
          <w:b/>
          <w:color w:val="auto"/>
          <w:highlight w:val="none"/>
        </w:rPr>
      </w:pPr>
      <w:r>
        <w:rPr>
          <w:rFonts w:hint="eastAsia" w:cs="宋体"/>
          <w:b/>
          <w:color w:val="auto"/>
          <w:highlight w:val="none"/>
        </w:rPr>
        <w:t>3.1投标文件的组成</w:t>
      </w:r>
    </w:p>
    <w:p>
      <w:pPr>
        <w:numPr>
          <w:ilvl w:val="1"/>
          <w:numId w:val="9"/>
        </w:numPr>
        <w:autoSpaceDE w:val="0"/>
        <w:autoSpaceDN w:val="0"/>
        <w:adjustRightInd w:val="0"/>
        <w:snapToGrid w:val="0"/>
        <w:spacing w:before="28" w:line="360" w:lineRule="auto"/>
        <w:ind w:right="-2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投标</w:t>
      </w:r>
      <w:r>
        <w:rPr>
          <w:rFonts w:hint="eastAsia" w:ascii="宋体" w:hAnsi="宋体" w:cs="宋体"/>
          <w:color w:val="auto"/>
          <w:spacing w:val="-1"/>
          <w:kern w:val="0"/>
          <w:sz w:val="24"/>
          <w:szCs w:val="24"/>
          <w:highlight w:val="none"/>
        </w:rPr>
        <w:t>函</w:t>
      </w:r>
      <w:r>
        <w:rPr>
          <w:rFonts w:hint="eastAsia" w:ascii="宋体" w:hAnsi="宋体" w:cs="宋体"/>
          <w:color w:val="auto"/>
          <w:kern w:val="0"/>
          <w:sz w:val="24"/>
          <w:szCs w:val="24"/>
          <w:highlight w:val="none"/>
        </w:rPr>
        <w:t>；</w:t>
      </w:r>
    </w:p>
    <w:p>
      <w:pPr>
        <w:numPr>
          <w:ilvl w:val="1"/>
          <w:numId w:val="9"/>
        </w:numPr>
        <w:autoSpaceDE w:val="0"/>
        <w:autoSpaceDN w:val="0"/>
        <w:adjustRightInd w:val="0"/>
        <w:snapToGrid w:val="0"/>
        <w:spacing w:before="28" w:line="360" w:lineRule="auto"/>
        <w:ind w:right="-2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法定</w:t>
      </w:r>
      <w:r>
        <w:rPr>
          <w:rFonts w:hint="eastAsia" w:ascii="宋体" w:hAnsi="宋体" w:cs="宋体"/>
          <w:color w:val="auto"/>
          <w:spacing w:val="-1"/>
          <w:kern w:val="0"/>
          <w:sz w:val="24"/>
          <w:szCs w:val="24"/>
          <w:highlight w:val="none"/>
        </w:rPr>
        <w:t>代</w:t>
      </w:r>
      <w:r>
        <w:rPr>
          <w:rFonts w:hint="eastAsia" w:ascii="宋体" w:hAnsi="宋体" w:cs="宋体"/>
          <w:color w:val="auto"/>
          <w:kern w:val="0"/>
          <w:sz w:val="24"/>
          <w:szCs w:val="24"/>
          <w:highlight w:val="none"/>
        </w:rPr>
        <w:t>表人身份证明和法人授权委托书；</w:t>
      </w:r>
    </w:p>
    <w:p>
      <w:pPr>
        <w:numPr>
          <w:ilvl w:val="1"/>
          <w:numId w:val="9"/>
        </w:numPr>
        <w:autoSpaceDE w:val="0"/>
        <w:autoSpaceDN w:val="0"/>
        <w:adjustRightInd w:val="0"/>
        <w:snapToGrid w:val="0"/>
        <w:spacing w:before="28" w:line="360" w:lineRule="auto"/>
        <w:ind w:right="-2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投标报价</w:t>
      </w:r>
    </w:p>
    <w:p>
      <w:pPr>
        <w:numPr>
          <w:ilvl w:val="1"/>
          <w:numId w:val="9"/>
        </w:numPr>
        <w:autoSpaceDE w:val="0"/>
        <w:autoSpaceDN w:val="0"/>
        <w:adjustRightInd w:val="0"/>
        <w:snapToGrid w:val="0"/>
        <w:spacing w:before="28" w:line="360" w:lineRule="auto"/>
        <w:ind w:right="-2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投标文件商务部分</w:t>
      </w:r>
    </w:p>
    <w:p>
      <w:pPr>
        <w:numPr>
          <w:ilvl w:val="1"/>
          <w:numId w:val="9"/>
        </w:numPr>
        <w:autoSpaceDE w:val="0"/>
        <w:autoSpaceDN w:val="0"/>
        <w:adjustRightInd w:val="0"/>
        <w:snapToGrid w:val="0"/>
        <w:spacing w:before="28" w:line="360" w:lineRule="auto"/>
        <w:ind w:right="-2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投标文件技术部分</w:t>
      </w:r>
    </w:p>
    <w:p>
      <w:pPr>
        <w:pStyle w:val="174"/>
        <w:numPr>
          <w:ilvl w:val="0"/>
          <w:numId w:val="0"/>
        </w:numPr>
        <w:ind w:right="210"/>
        <w:rPr>
          <w:rFonts w:hint="eastAsia" w:cs="宋体"/>
          <w:b/>
          <w:color w:val="auto"/>
          <w:highlight w:val="none"/>
        </w:rPr>
      </w:pPr>
      <w:r>
        <w:rPr>
          <w:rFonts w:hint="eastAsia" w:cs="宋体"/>
          <w:b/>
          <w:color w:val="auto"/>
          <w:highlight w:val="none"/>
        </w:rPr>
        <w:t>3.2投标报价与结算依据</w:t>
      </w:r>
    </w:p>
    <w:p>
      <w:pPr>
        <w:pStyle w:val="174"/>
        <w:numPr>
          <w:ilvl w:val="0"/>
          <w:numId w:val="0"/>
        </w:numPr>
        <w:ind w:right="210"/>
        <w:rPr>
          <w:rFonts w:hint="eastAsia" w:cs="宋体"/>
          <w:color w:val="auto"/>
          <w:highlight w:val="none"/>
        </w:rPr>
      </w:pPr>
      <w:r>
        <w:rPr>
          <w:rFonts w:hint="eastAsia" w:cs="宋体"/>
          <w:color w:val="auto"/>
          <w:highlight w:val="none"/>
        </w:rPr>
        <w:t>3.2.1投标人应根据招标人提供的各种技术资料、图纸等，根据施工现场实际情况，充分考虑到各种风险，合理报出投标价格。</w:t>
      </w:r>
    </w:p>
    <w:p>
      <w:pPr>
        <w:pStyle w:val="174"/>
        <w:numPr>
          <w:ilvl w:val="0"/>
          <w:numId w:val="0"/>
        </w:numPr>
        <w:ind w:right="210"/>
        <w:rPr>
          <w:rFonts w:hint="eastAsia"/>
          <w:b/>
          <w:bCs/>
          <w:color w:val="auto"/>
          <w:szCs w:val="21"/>
          <w:highlight w:val="none"/>
        </w:rPr>
      </w:pPr>
      <w:r>
        <w:rPr>
          <w:rFonts w:hint="eastAsia" w:cs="宋体"/>
          <w:color w:val="auto"/>
          <w:highlight w:val="none"/>
        </w:rPr>
        <w:t>3.2.2</w:t>
      </w:r>
      <w:r>
        <w:rPr>
          <w:rFonts w:hint="eastAsia" w:cs="宋体"/>
          <w:b/>
          <w:bCs/>
          <w:color w:val="auto"/>
          <w:highlight w:val="none"/>
        </w:rPr>
        <w:t>本工程</w:t>
      </w:r>
      <w:r>
        <w:rPr>
          <w:b/>
          <w:bCs/>
          <w:color w:val="auto"/>
          <w:szCs w:val="21"/>
          <w:highlight w:val="none"/>
        </w:rPr>
        <w:t>投标报价为</w:t>
      </w:r>
      <w:r>
        <w:rPr>
          <w:rFonts w:hint="eastAsia"/>
          <w:b/>
          <w:bCs/>
          <w:color w:val="auto"/>
          <w:szCs w:val="21"/>
          <w:highlight w:val="none"/>
        </w:rPr>
        <w:t>固定总价，</w:t>
      </w:r>
      <w:r>
        <w:rPr>
          <w:rFonts w:hint="eastAsia" w:cs="宋体"/>
          <w:color w:val="auto"/>
          <w:highlight w:val="none"/>
        </w:rPr>
        <w:t>在合同实施期间不因市场变化因素而变动，投标人在计算报价时可考虑一定的风险系数。投标报价应包含完成招标图纸范围内全部工程的所有费用，即包括：人工费（工资、福利、交通、食宿、通信、劳保、社保）、安装费用、材料、设备与工器具投入、管理、标准化建设、环保等措施费、政策性文件规定及合同包含的所有风险、责任等各项应有费用。</w:t>
      </w:r>
      <w:r>
        <w:rPr>
          <w:rFonts w:hint="eastAsia" w:cs="宋体"/>
          <w:b/>
          <w:bCs/>
          <w:color w:val="auto"/>
          <w:highlight w:val="none"/>
        </w:rPr>
        <w:t>报价要求含增值税</w:t>
      </w:r>
      <w:r>
        <w:rPr>
          <w:rFonts w:hint="eastAsia"/>
          <w:b/>
          <w:bCs/>
          <w:color w:val="auto"/>
          <w:szCs w:val="21"/>
          <w:highlight w:val="none"/>
        </w:rPr>
        <w:t>。</w:t>
      </w:r>
    </w:p>
    <w:p>
      <w:pPr>
        <w:pStyle w:val="174"/>
        <w:numPr>
          <w:ilvl w:val="0"/>
          <w:numId w:val="0"/>
        </w:numPr>
        <w:ind w:right="210" w:firstLine="490" w:firstLineChars="200"/>
        <w:rPr>
          <w:rFonts w:hint="eastAsia" w:cs="宋体"/>
          <w:color w:val="auto"/>
          <w:highlight w:val="none"/>
        </w:rPr>
      </w:pPr>
      <w:r>
        <w:rPr>
          <w:rFonts w:hint="eastAsia"/>
          <w:b/>
          <w:bCs/>
          <w:color w:val="auto"/>
          <w:szCs w:val="21"/>
          <w:highlight w:val="none"/>
        </w:rPr>
        <w:t>投标人报价还应包含：地方关系协调费。</w:t>
      </w:r>
    </w:p>
    <w:p>
      <w:pPr>
        <w:pStyle w:val="174"/>
        <w:numPr>
          <w:ilvl w:val="0"/>
          <w:numId w:val="0"/>
        </w:numPr>
        <w:ind w:right="210" w:firstLine="488" w:firstLineChars="200"/>
        <w:rPr>
          <w:rFonts w:hint="eastAsia" w:cs="宋体"/>
          <w:color w:val="auto"/>
          <w:highlight w:val="none"/>
        </w:rPr>
      </w:pPr>
      <w:r>
        <w:rPr>
          <w:rFonts w:hint="eastAsia" w:cs="宋体"/>
          <w:color w:val="auto"/>
          <w:highlight w:val="none"/>
        </w:rPr>
        <w:t>本工程的投标报价应是投标须知所确定工程招标范围内完成全部工作所需的费用。其中包括设备、材料、劳务、管理、运输、安装、试验、质保期正常养护、利润、保险及政策性文件规定等各项应有费用,除投标人特别声明报价中不包含的费用外，其他的所有费用均包含在报价中。</w:t>
      </w:r>
    </w:p>
    <w:p>
      <w:pPr>
        <w:pStyle w:val="174"/>
        <w:numPr>
          <w:ilvl w:val="0"/>
          <w:numId w:val="0"/>
        </w:numPr>
        <w:ind w:right="210"/>
        <w:rPr>
          <w:rFonts w:hint="eastAsia" w:cs="宋体"/>
          <w:color w:val="auto"/>
          <w:highlight w:val="none"/>
        </w:rPr>
      </w:pPr>
      <w:r>
        <w:rPr>
          <w:rFonts w:hint="eastAsia" w:cs="宋体"/>
          <w:color w:val="auto"/>
          <w:highlight w:val="none"/>
        </w:rPr>
        <w:t>3.2.3</w:t>
      </w:r>
      <w:r>
        <w:rPr>
          <w:bCs/>
          <w:color w:val="auto"/>
          <w:highlight w:val="none"/>
        </w:rPr>
        <w:t>报价应根据</w:t>
      </w:r>
      <w:r>
        <w:rPr>
          <w:rFonts w:hint="eastAsia"/>
          <w:bCs/>
          <w:color w:val="auto"/>
          <w:highlight w:val="none"/>
        </w:rPr>
        <w:t>采购</w:t>
      </w:r>
      <w:r>
        <w:rPr>
          <w:bCs/>
          <w:color w:val="auto"/>
          <w:highlight w:val="none"/>
        </w:rPr>
        <w:t>文件中的投标须知、质量技术要求</w:t>
      </w:r>
      <w:r>
        <w:rPr>
          <w:rFonts w:hint="eastAsia"/>
          <w:bCs/>
          <w:color w:val="auto"/>
          <w:highlight w:val="none"/>
        </w:rPr>
        <w:t>及供应商</w:t>
      </w:r>
      <w:r>
        <w:rPr>
          <w:bCs/>
          <w:color w:val="auto"/>
          <w:highlight w:val="none"/>
        </w:rPr>
        <w:t>自身情况，依据企业及市场价格信息并综合考虑各种风险自主编制报价。</w:t>
      </w:r>
    </w:p>
    <w:p>
      <w:pPr>
        <w:pStyle w:val="174"/>
        <w:numPr>
          <w:ilvl w:val="0"/>
          <w:numId w:val="0"/>
        </w:numPr>
        <w:ind w:right="210"/>
        <w:rPr>
          <w:rFonts w:hint="eastAsia" w:cs="宋体"/>
          <w:color w:val="auto"/>
          <w:highlight w:val="none"/>
        </w:rPr>
      </w:pPr>
      <w:r>
        <w:rPr>
          <w:rFonts w:hint="eastAsia" w:cs="宋体"/>
          <w:color w:val="auto"/>
          <w:highlight w:val="none"/>
        </w:rPr>
        <w:t>3.2.4</w:t>
      </w:r>
      <w:r>
        <w:rPr>
          <w:bCs/>
          <w:color w:val="auto"/>
          <w:highlight w:val="none"/>
        </w:rPr>
        <w:t>为保证</w:t>
      </w:r>
      <w:r>
        <w:rPr>
          <w:rFonts w:hint="eastAsia"/>
          <w:bCs/>
          <w:color w:val="auto"/>
          <w:highlight w:val="none"/>
        </w:rPr>
        <w:t>项目</w:t>
      </w:r>
      <w:r>
        <w:rPr>
          <w:bCs/>
          <w:color w:val="auto"/>
          <w:highlight w:val="none"/>
        </w:rPr>
        <w:t>顺利进行和项目目标实现，当</w:t>
      </w:r>
      <w:r>
        <w:rPr>
          <w:rFonts w:hint="eastAsia"/>
          <w:bCs/>
          <w:color w:val="auto"/>
          <w:highlight w:val="none"/>
        </w:rPr>
        <w:t>招标</w:t>
      </w:r>
      <w:r>
        <w:rPr>
          <w:bCs/>
          <w:color w:val="auto"/>
          <w:highlight w:val="none"/>
        </w:rPr>
        <w:t>人认为需要调整工序或加大资源投入而赶工时，不再另行支付赶工费用</w:t>
      </w:r>
      <w:r>
        <w:rPr>
          <w:rFonts w:hint="eastAsia" w:cs="宋体"/>
          <w:color w:val="auto"/>
          <w:highlight w:val="none"/>
        </w:rPr>
        <w:t xml:space="preserve">。 </w:t>
      </w:r>
    </w:p>
    <w:p>
      <w:pPr>
        <w:pStyle w:val="174"/>
        <w:numPr>
          <w:ilvl w:val="0"/>
          <w:numId w:val="0"/>
        </w:numPr>
        <w:ind w:right="210"/>
        <w:rPr>
          <w:rFonts w:hint="eastAsia" w:cs="宋体"/>
          <w:color w:val="auto"/>
          <w:highlight w:val="none"/>
        </w:rPr>
      </w:pPr>
      <w:r>
        <w:rPr>
          <w:rFonts w:hint="eastAsia" w:cs="宋体"/>
          <w:color w:val="auto"/>
          <w:highlight w:val="none"/>
        </w:rPr>
        <w:t>3.2.5投标人应按招标人提供的图纸及相关资料报价，图纸中标明的工程量不作为投标报价的依据，投标报价中的工程量由投标人按照招标人提供的图纸自行计算和确定。</w:t>
      </w:r>
    </w:p>
    <w:p>
      <w:pPr>
        <w:pStyle w:val="174"/>
        <w:numPr>
          <w:ilvl w:val="0"/>
          <w:numId w:val="0"/>
        </w:numPr>
        <w:ind w:right="210"/>
        <w:rPr>
          <w:rFonts w:hint="eastAsia" w:cs="宋体"/>
          <w:color w:val="auto"/>
          <w:highlight w:val="none"/>
        </w:rPr>
      </w:pPr>
      <w:r>
        <w:rPr>
          <w:rFonts w:hint="eastAsia"/>
          <w:color w:val="auto"/>
          <w:highlight w:val="none"/>
        </w:rPr>
        <w:t>3.2.6</w:t>
      </w:r>
      <w:r>
        <w:rPr>
          <w:rFonts w:hint="eastAsia"/>
          <w:bCs/>
          <w:color w:val="auto"/>
          <w:highlight w:val="none"/>
        </w:rPr>
        <w:t>经招标人同意，供应商</w:t>
      </w:r>
      <w:r>
        <w:rPr>
          <w:bCs/>
          <w:color w:val="auto"/>
          <w:highlight w:val="none"/>
        </w:rPr>
        <w:t>可到现场踏勘现场以充分了解现场位置、道路、储存空间、装卸限制及任何其他足以影响</w:t>
      </w:r>
      <w:r>
        <w:rPr>
          <w:rFonts w:hint="eastAsia"/>
          <w:bCs/>
          <w:color w:val="auto"/>
          <w:highlight w:val="none"/>
        </w:rPr>
        <w:t>报</w:t>
      </w:r>
      <w:r>
        <w:rPr>
          <w:bCs/>
          <w:color w:val="auto"/>
          <w:highlight w:val="none"/>
        </w:rPr>
        <w:t>价的情况，任何因忽视或误解情况而导致的索赔或工期延长申请将不被批准</w:t>
      </w:r>
      <w:r>
        <w:rPr>
          <w:rFonts w:hint="eastAsia"/>
          <w:color w:val="auto"/>
          <w:highlight w:val="none"/>
        </w:rPr>
        <w:t>。</w:t>
      </w:r>
    </w:p>
    <w:p>
      <w:pPr>
        <w:pStyle w:val="174"/>
        <w:numPr>
          <w:ilvl w:val="0"/>
          <w:numId w:val="0"/>
        </w:numPr>
        <w:ind w:right="210"/>
        <w:rPr>
          <w:rFonts w:hint="eastAsia" w:cs="宋体"/>
          <w:color w:val="auto"/>
          <w:highlight w:val="none"/>
        </w:rPr>
      </w:pPr>
      <w:bookmarkStart w:id="50" w:name="_Toc405455203"/>
      <w:bookmarkStart w:id="51" w:name="_Toc405303186"/>
      <w:bookmarkStart w:id="52" w:name="_Toc394671674"/>
      <w:r>
        <w:rPr>
          <w:rFonts w:hint="eastAsia" w:cs="宋体"/>
          <w:color w:val="auto"/>
          <w:highlight w:val="none"/>
        </w:rPr>
        <w:t>3.2.7投标报价编制依据</w:t>
      </w:r>
      <w:bookmarkEnd w:id="50"/>
      <w:bookmarkEnd w:id="51"/>
      <w:bookmarkEnd w:id="52"/>
    </w:p>
    <w:p>
      <w:pPr>
        <w:numPr>
          <w:ilvl w:val="0"/>
          <w:numId w:val="10"/>
        </w:numPr>
        <w:autoSpaceDE w:val="0"/>
        <w:autoSpaceDN w:val="0"/>
        <w:adjustRightInd w:val="0"/>
        <w:snapToGrid w:val="0"/>
        <w:spacing w:before="28" w:line="360" w:lineRule="auto"/>
        <w:ind w:right="-29"/>
        <w:jc w:val="left"/>
        <w:rPr>
          <w:rFonts w:hint="eastAsia" w:ascii="宋体" w:hAnsi="宋体" w:cs="宋体"/>
          <w:color w:val="auto"/>
          <w:spacing w:val="1"/>
          <w:kern w:val="0"/>
          <w:sz w:val="24"/>
          <w:szCs w:val="24"/>
          <w:highlight w:val="none"/>
        </w:rPr>
      </w:pPr>
      <w:r>
        <w:rPr>
          <w:rFonts w:hint="eastAsia" w:ascii="宋体" w:hAnsi="宋体" w:cs="宋体"/>
          <w:color w:val="auto"/>
          <w:spacing w:val="1"/>
          <w:kern w:val="0"/>
          <w:sz w:val="24"/>
          <w:szCs w:val="24"/>
          <w:highlight w:val="none"/>
        </w:rPr>
        <w:t>招标文件给出的招标范围、技术附件、图纸；</w:t>
      </w:r>
    </w:p>
    <w:p>
      <w:pPr>
        <w:numPr>
          <w:ilvl w:val="0"/>
          <w:numId w:val="10"/>
        </w:numPr>
        <w:autoSpaceDE w:val="0"/>
        <w:autoSpaceDN w:val="0"/>
        <w:adjustRightInd w:val="0"/>
        <w:snapToGrid w:val="0"/>
        <w:spacing w:before="28" w:line="360" w:lineRule="auto"/>
        <w:ind w:right="-29"/>
        <w:jc w:val="left"/>
        <w:rPr>
          <w:rFonts w:hint="eastAsia" w:ascii="宋体" w:hAnsi="宋体" w:cs="宋体"/>
          <w:color w:val="auto"/>
          <w:spacing w:val="1"/>
          <w:kern w:val="0"/>
          <w:sz w:val="24"/>
          <w:szCs w:val="24"/>
          <w:highlight w:val="none"/>
        </w:rPr>
      </w:pPr>
      <w:r>
        <w:rPr>
          <w:rFonts w:hint="eastAsia" w:ascii="宋体" w:hAnsi="宋体" w:cs="宋体"/>
          <w:color w:val="auto"/>
          <w:spacing w:val="1"/>
          <w:kern w:val="0"/>
          <w:sz w:val="24"/>
          <w:szCs w:val="24"/>
          <w:highlight w:val="none"/>
        </w:rPr>
        <w:t>国家行业定额；</w:t>
      </w:r>
    </w:p>
    <w:p>
      <w:pPr>
        <w:numPr>
          <w:ilvl w:val="0"/>
          <w:numId w:val="10"/>
        </w:numPr>
        <w:autoSpaceDE w:val="0"/>
        <w:autoSpaceDN w:val="0"/>
        <w:adjustRightInd w:val="0"/>
        <w:snapToGrid w:val="0"/>
        <w:spacing w:before="28" w:line="360" w:lineRule="auto"/>
        <w:ind w:right="-29"/>
        <w:jc w:val="left"/>
        <w:rPr>
          <w:rFonts w:hint="eastAsia" w:ascii="宋体" w:hAnsi="宋体" w:cs="宋体"/>
          <w:color w:val="auto"/>
          <w:spacing w:val="1"/>
          <w:kern w:val="0"/>
          <w:sz w:val="24"/>
          <w:szCs w:val="24"/>
          <w:highlight w:val="none"/>
        </w:rPr>
      </w:pPr>
      <w:r>
        <w:rPr>
          <w:rFonts w:hint="eastAsia" w:ascii="宋体" w:hAnsi="宋体" w:cs="宋体"/>
          <w:color w:val="auto"/>
          <w:spacing w:val="1"/>
          <w:kern w:val="0"/>
          <w:sz w:val="24"/>
          <w:szCs w:val="24"/>
          <w:highlight w:val="none"/>
        </w:rPr>
        <w:t>项目建设地的材料价格信息；</w:t>
      </w:r>
    </w:p>
    <w:p>
      <w:pPr>
        <w:numPr>
          <w:ilvl w:val="0"/>
          <w:numId w:val="10"/>
        </w:numPr>
        <w:autoSpaceDE w:val="0"/>
        <w:autoSpaceDN w:val="0"/>
        <w:adjustRightInd w:val="0"/>
        <w:snapToGrid w:val="0"/>
        <w:spacing w:before="28" w:line="360" w:lineRule="auto"/>
        <w:ind w:right="-29"/>
        <w:jc w:val="left"/>
        <w:rPr>
          <w:rFonts w:hint="eastAsia" w:ascii="宋体" w:hAnsi="宋体" w:cs="宋体"/>
          <w:color w:val="auto"/>
          <w:spacing w:val="1"/>
          <w:kern w:val="0"/>
          <w:sz w:val="24"/>
          <w:szCs w:val="24"/>
          <w:highlight w:val="none"/>
        </w:rPr>
      </w:pPr>
      <w:r>
        <w:rPr>
          <w:rFonts w:hint="eastAsia" w:ascii="宋体" w:hAnsi="宋体" w:cs="宋体"/>
          <w:color w:val="auto"/>
          <w:spacing w:val="1"/>
          <w:kern w:val="0"/>
          <w:sz w:val="24"/>
          <w:szCs w:val="24"/>
          <w:highlight w:val="none"/>
        </w:rPr>
        <w:t>企业定额和风险分析。</w:t>
      </w:r>
    </w:p>
    <w:p>
      <w:pPr>
        <w:pStyle w:val="174"/>
        <w:numPr>
          <w:ilvl w:val="0"/>
          <w:numId w:val="0"/>
        </w:numPr>
        <w:ind w:right="210"/>
        <w:rPr>
          <w:rFonts w:hint="eastAsia" w:cs="宋体"/>
          <w:b/>
          <w:color w:val="auto"/>
          <w:highlight w:val="none"/>
        </w:rPr>
      </w:pPr>
      <w:r>
        <w:rPr>
          <w:rFonts w:hint="eastAsia" w:cs="宋体"/>
          <w:b/>
          <w:color w:val="auto"/>
          <w:highlight w:val="none"/>
        </w:rPr>
        <w:t>3.5资格审查资料（适用于未进行资格预审的）</w:t>
      </w:r>
    </w:p>
    <w:p>
      <w:pPr>
        <w:pStyle w:val="174"/>
        <w:numPr>
          <w:ilvl w:val="0"/>
          <w:numId w:val="0"/>
        </w:numPr>
        <w:ind w:left="210" w:right="210"/>
        <w:rPr>
          <w:rFonts w:hint="eastAsia" w:cs="宋体"/>
          <w:color w:val="auto"/>
          <w:highlight w:val="none"/>
        </w:rPr>
      </w:pPr>
      <w:r>
        <w:rPr>
          <w:rFonts w:hint="eastAsia" w:cs="宋体"/>
          <w:color w:val="auto"/>
          <w:highlight w:val="none"/>
        </w:rPr>
        <w:t>3.5.1“投标人基本情况表”应附投标人营业执照副本及其年检合格的证明材料、资质证书副本和安全生产许可证等材料的复印件。</w:t>
      </w:r>
    </w:p>
    <w:p>
      <w:pPr>
        <w:pStyle w:val="174"/>
        <w:numPr>
          <w:ilvl w:val="0"/>
          <w:numId w:val="0"/>
        </w:numPr>
        <w:ind w:left="210" w:right="210"/>
        <w:rPr>
          <w:rFonts w:hint="eastAsia" w:cs="宋体"/>
          <w:color w:val="auto"/>
          <w:highlight w:val="none"/>
        </w:rPr>
      </w:pPr>
      <w:r>
        <w:rPr>
          <w:rFonts w:hint="eastAsia" w:cs="宋体"/>
          <w:color w:val="auto"/>
          <w:highlight w:val="none"/>
        </w:rPr>
        <w:t>3.5.2“近年财务状况表”应附经会计师事务所或审计机构审计的财务会计报表，包括资产负债表、现金流量表、利润表和财务情况说明书的复印件，具体年份要求见投标人须知前附表。</w:t>
      </w:r>
    </w:p>
    <w:p>
      <w:pPr>
        <w:pStyle w:val="174"/>
        <w:numPr>
          <w:ilvl w:val="0"/>
          <w:numId w:val="0"/>
        </w:numPr>
        <w:ind w:left="210" w:right="210"/>
        <w:rPr>
          <w:rFonts w:hint="eastAsia" w:cs="宋体"/>
          <w:color w:val="auto"/>
          <w:highlight w:val="none"/>
        </w:rPr>
      </w:pPr>
      <w:r>
        <w:rPr>
          <w:rFonts w:hint="eastAsia" w:cs="宋体"/>
          <w:color w:val="auto"/>
          <w:highlight w:val="none"/>
        </w:rPr>
        <w:t>3.5.3“近年完成或在建的类似项目情况表”（应附中标通知书、合同协议书等的复印件），具体年份要求见投标人须知前附表。</w:t>
      </w:r>
    </w:p>
    <w:p>
      <w:pPr>
        <w:pStyle w:val="174"/>
        <w:numPr>
          <w:ilvl w:val="0"/>
          <w:numId w:val="0"/>
        </w:numPr>
        <w:ind w:right="210"/>
        <w:rPr>
          <w:rFonts w:hint="eastAsia" w:cs="宋体"/>
          <w:b/>
          <w:color w:val="auto"/>
          <w:highlight w:val="none"/>
        </w:rPr>
      </w:pPr>
      <w:r>
        <w:rPr>
          <w:rFonts w:hint="eastAsia" w:cs="宋体"/>
          <w:b/>
          <w:color w:val="auto"/>
          <w:highlight w:val="none"/>
        </w:rPr>
        <w:t>3.6备选投标方案</w:t>
      </w:r>
    </w:p>
    <w:p>
      <w:pPr>
        <w:autoSpaceDE w:val="0"/>
        <w:autoSpaceDN w:val="0"/>
        <w:adjustRightInd w:val="0"/>
        <w:snapToGrid w:val="0"/>
        <w:spacing w:before="29" w:line="360" w:lineRule="auto"/>
        <w:ind w:right="-159"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pPr>
        <w:pStyle w:val="174"/>
        <w:numPr>
          <w:ilvl w:val="0"/>
          <w:numId w:val="0"/>
        </w:numPr>
        <w:ind w:right="210"/>
        <w:rPr>
          <w:rFonts w:hint="eastAsia" w:cs="宋体"/>
          <w:b/>
          <w:color w:val="auto"/>
          <w:highlight w:val="none"/>
        </w:rPr>
      </w:pPr>
      <w:r>
        <w:rPr>
          <w:rFonts w:hint="eastAsia" w:cs="宋体"/>
          <w:b/>
          <w:color w:val="auto"/>
          <w:highlight w:val="none"/>
        </w:rPr>
        <w:t>3.7投标文件的编制</w:t>
      </w:r>
    </w:p>
    <w:p>
      <w:pPr>
        <w:pStyle w:val="174"/>
        <w:numPr>
          <w:ilvl w:val="0"/>
          <w:numId w:val="0"/>
        </w:numPr>
        <w:ind w:right="210" w:firstLine="244" w:firstLineChars="100"/>
        <w:rPr>
          <w:rFonts w:hint="eastAsia" w:cs="宋体"/>
          <w:color w:val="auto"/>
          <w:highlight w:val="none"/>
        </w:rPr>
      </w:pPr>
      <w:r>
        <w:rPr>
          <w:rFonts w:hint="eastAsia" w:cs="宋体"/>
          <w:color w:val="auto"/>
          <w:highlight w:val="none"/>
        </w:rPr>
        <w:t>3.7.1投标文件应按第</w:t>
      </w:r>
      <w:r>
        <w:rPr>
          <w:rFonts w:hint="eastAsia" w:cs="宋体"/>
          <w:color w:val="auto"/>
          <w:highlight w:val="none"/>
          <w:lang w:val="en-US" w:eastAsia="zh-CN"/>
        </w:rPr>
        <w:t>五</w:t>
      </w:r>
      <w:r>
        <w:rPr>
          <w:rFonts w:hint="eastAsia" w:cs="宋体"/>
          <w:color w:val="auto"/>
          <w:highlight w:val="none"/>
        </w:rPr>
        <w:t>章“投标文件格式”进行编写，如有必要，可以增加附页，作为投标文件的组成部分。</w:t>
      </w:r>
    </w:p>
    <w:p>
      <w:pPr>
        <w:pStyle w:val="174"/>
        <w:numPr>
          <w:ilvl w:val="0"/>
          <w:numId w:val="0"/>
        </w:numPr>
        <w:ind w:left="210" w:right="210"/>
        <w:rPr>
          <w:rFonts w:hint="eastAsia" w:cs="宋体"/>
          <w:color w:val="auto"/>
          <w:highlight w:val="none"/>
        </w:rPr>
      </w:pPr>
      <w:r>
        <w:rPr>
          <w:rFonts w:hint="eastAsia" w:cs="宋体"/>
          <w:color w:val="auto"/>
          <w:highlight w:val="none"/>
        </w:rPr>
        <w:t>3.7.2投标文件应当对招标文件有关工期、投标有效期、施工方案、质量要求、技术标准和要求、招标范围等实质性内容作出响应。</w:t>
      </w:r>
    </w:p>
    <w:p>
      <w:pPr>
        <w:pStyle w:val="174"/>
        <w:numPr>
          <w:ilvl w:val="0"/>
          <w:numId w:val="0"/>
        </w:numPr>
        <w:ind w:left="210" w:right="210"/>
        <w:rPr>
          <w:rFonts w:hint="eastAsia" w:cs="宋体"/>
          <w:color w:val="auto"/>
          <w:highlight w:val="none"/>
        </w:rPr>
      </w:pPr>
      <w:r>
        <w:rPr>
          <w:rFonts w:hint="eastAsia" w:cs="宋体"/>
          <w:color w:val="auto"/>
          <w:highlight w:val="none"/>
        </w:rPr>
        <w:t>3.7.3投标文件由投标人的法定代表人或其委托代理人签字并盖公章。</w:t>
      </w:r>
      <w:r>
        <w:rPr>
          <w:rFonts w:hint="eastAsia" w:cs="宋体"/>
          <w:b/>
          <w:bCs/>
          <w:color w:val="auto"/>
          <w:highlight w:val="none"/>
        </w:rPr>
        <w:t>其中，投标函及对投标文件的澄清和说明应加盖投标单位公章，并由投标人的法定代表或其委托代理人签字。</w:t>
      </w:r>
    </w:p>
    <w:p>
      <w:pPr>
        <w:pStyle w:val="174"/>
        <w:numPr>
          <w:ilvl w:val="0"/>
          <w:numId w:val="0"/>
        </w:numPr>
        <w:ind w:right="210" w:firstLine="244" w:firstLineChars="100"/>
        <w:rPr>
          <w:rFonts w:hint="eastAsia" w:cs="宋体"/>
          <w:color w:val="auto"/>
          <w:highlight w:val="none"/>
        </w:rPr>
      </w:pPr>
      <w:r>
        <w:rPr>
          <w:rFonts w:hint="eastAsia" w:cs="宋体"/>
          <w:color w:val="auto"/>
          <w:highlight w:val="none"/>
        </w:rPr>
        <w:t>3.7.4如果投标文件由委托代理人签署，则投标人须提交授权委托书，</w:t>
      </w:r>
      <w:r>
        <w:rPr>
          <w:rFonts w:hint="eastAsia" w:cs="宋体"/>
          <w:b/>
          <w:bCs/>
          <w:color w:val="auto"/>
          <w:highlight w:val="none"/>
        </w:rPr>
        <w:t>授权委托书应按第</w:t>
      </w:r>
      <w:r>
        <w:rPr>
          <w:rFonts w:hint="eastAsia" w:cs="宋体"/>
          <w:b/>
          <w:bCs/>
          <w:color w:val="auto"/>
          <w:highlight w:val="none"/>
          <w:lang w:val="en-US" w:eastAsia="zh-CN"/>
        </w:rPr>
        <w:t>五</w:t>
      </w:r>
      <w:r>
        <w:rPr>
          <w:rFonts w:hint="eastAsia" w:cs="宋体"/>
          <w:b/>
          <w:bCs/>
          <w:color w:val="auto"/>
          <w:highlight w:val="none"/>
        </w:rPr>
        <w:t>章“投标文件格式”的要求出具</w:t>
      </w:r>
      <w:r>
        <w:rPr>
          <w:rFonts w:hint="eastAsia" w:cs="宋体"/>
          <w:color w:val="auto"/>
          <w:highlight w:val="none"/>
        </w:rPr>
        <w:t>。</w:t>
      </w:r>
    </w:p>
    <w:p>
      <w:pPr>
        <w:pStyle w:val="174"/>
        <w:numPr>
          <w:ilvl w:val="0"/>
          <w:numId w:val="0"/>
        </w:numPr>
        <w:ind w:right="210" w:firstLine="244" w:firstLineChars="100"/>
        <w:rPr>
          <w:rFonts w:hint="eastAsia" w:cs="宋体"/>
          <w:color w:val="auto"/>
          <w:highlight w:val="none"/>
        </w:rPr>
      </w:pPr>
      <w:r>
        <w:rPr>
          <w:rFonts w:hint="eastAsia" w:cs="宋体"/>
          <w:color w:val="auto"/>
          <w:highlight w:val="none"/>
        </w:rPr>
        <w:t>3.7.5如果由投标人的法定代表人亲自签署投标文件，则投标人需提交法定代表人身份证明。</w:t>
      </w:r>
    </w:p>
    <w:p>
      <w:pPr>
        <w:pStyle w:val="174"/>
        <w:numPr>
          <w:ilvl w:val="0"/>
          <w:numId w:val="0"/>
        </w:numPr>
        <w:ind w:right="210" w:firstLine="244" w:firstLineChars="100"/>
        <w:rPr>
          <w:rFonts w:hint="eastAsia" w:cs="宋体"/>
          <w:color w:val="auto"/>
          <w:highlight w:val="none"/>
        </w:rPr>
      </w:pPr>
      <w:r>
        <w:rPr>
          <w:rFonts w:hint="eastAsia" w:cs="宋体"/>
          <w:color w:val="auto"/>
          <w:highlight w:val="none"/>
        </w:rPr>
        <w:t>3.7.6投标文件应尽量避免涂改、行间插字或删除。如果出现上述情况，改动之处应加盖单位章或由投标人的法定代表人或其授权的代理人签字确认。签字或盖章的具体要求见投标人须知前附表。</w:t>
      </w:r>
    </w:p>
    <w:p>
      <w:pPr>
        <w:spacing w:line="360" w:lineRule="auto"/>
        <w:ind w:left="567" w:hanging="567"/>
        <w:jc w:val="center"/>
        <w:outlineLvl w:val="1"/>
        <w:rPr>
          <w:rFonts w:hint="default" w:ascii="Cambria" w:hAnsi="Cambria" w:eastAsia="宋体"/>
          <w:b/>
          <w:bCs w:val="0"/>
          <w:color w:val="auto"/>
          <w:kern w:val="28"/>
          <w:sz w:val="32"/>
          <w:szCs w:val="32"/>
          <w:highlight w:val="none"/>
          <w:lang w:val="en-US" w:eastAsia="zh-CN"/>
        </w:rPr>
      </w:pPr>
      <w:r>
        <w:rPr>
          <w:rFonts w:hint="eastAsia" w:ascii="Cambria" w:hAnsi="Cambria"/>
          <w:b/>
          <w:bCs w:val="0"/>
          <w:color w:val="auto"/>
          <w:kern w:val="28"/>
          <w:sz w:val="32"/>
          <w:szCs w:val="32"/>
          <w:highlight w:val="none"/>
          <w:lang w:val="en-US" w:eastAsia="zh-CN"/>
        </w:rPr>
        <w:t>四</w:t>
      </w:r>
      <w:r>
        <w:rPr>
          <w:rFonts w:hint="eastAsia" w:ascii="Cambria" w:hAnsi="Cambria"/>
          <w:b/>
          <w:bCs w:val="0"/>
          <w:color w:val="auto"/>
          <w:kern w:val="28"/>
          <w:sz w:val="32"/>
          <w:szCs w:val="32"/>
          <w:highlight w:val="none"/>
        </w:rPr>
        <w:t>、投标文件</w:t>
      </w:r>
      <w:r>
        <w:rPr>
          <w:rFonts w:hint="eastAsia" w:ascii="Cambria" w:hAnsi="Cambria"/>
          <w:b/>
          <w:bCs w:val="0"/>
          <w:color w:val="auto"/>
          <w:kern w:val="28"/>
          <w:sz w:val="32"/>
          <w:szCs w:val="32"/>
          <w:highlight w:val="none"/>
          <w:lang w:val="en-US" w:eastAsia="zh-CN"/>
        </w:rPr>
        <w:t>递交和投标截止时间</w:t>
      </w:r>
    </w:p>
    <w:p>
      <w:pPr>
        <w:bidi w:val="0"/>
        <w:rPr>
          <w:rFonts w:hint="eastAsia"/>
        </w:rPr>
      </w:pPr>
    </w:p>
    <w:p>
      <w:pPr>
        <w:pStyle w:val="174"/>
        <w:numPr>
          <w:ilvl w:val="0"/>
          <w:numId w:val="0"/>
        </w:numPr>
        <w:ind w:right="210"/>
        <w:rPr>
          <w:rFonts w:hint="eastAsia" w:cs="宋体"/>
          <w:b/>
          <w:color w:val="auto"/>
          <w:highlight w:val="none"/>
        </w:rPr>
      </w:pPr>
      <w:r>
        <w:rPr>
          <w:rFonts w:hint="eastAsia" w:cs="宋体"/>
          <w:b/>
          <w:color w:val="auto"/>
          <w:highlight w:val="none"/>
        </w:rPr>
        <w:t>4.</w:t>
      </w:r>
      <w:r>
        <w:rPr>
          <w:rFonts w:hint="eastAsia" w:cs="宋体"/>
          <w:b/>
          <w:color w:val="auto"/>
          <w:highlight w:val="none"/>
          <w:lang w:val="en-US" w:eastAsia="zh-CN"/>
        </w:rPr>
        <w:t>1</w:t>
      </w:r>
      <w:r>
        <w:rPr>
          <w:rFonts w:hint="eastAsia" w:ascii="宋体" w:hAnsi="宋体" w:cs="宋体"/>
          <w:color w:val="auto"/>
          <w:kern w:val="0"/>
          <w:position w:val="-1"/>
          <w:sz w:val="24"/>
          <w:szCs w:val="24"/>
          <w:highlight w:val="none"/>
          <w:lang w:val="en-US" w:eastAsia="zh-CN"/>
        </w:rPr>
        <w:t>采购</w:t>
      </w:r>
      <w:r>
        <w:rPr>
          <w:rFonts w:hint="eastAsia" w:cs="宋体"/>
          <w:b/>
          <w:color w:val="auto"/>
          <w:highlight w:val="none"/>
        </w:rPr>
        <w:t>文件的递交</w:t>
      </w:r>
    </w:p>
    <w:p>
      <w:pPr>
        <w:pStyle w:val="174"/>
        <w:numPr>
          <w:ilvl w:val="0"/>
          <w:numId w:val="0"/>
        </w:numPr>
        <w:ind w:left="210" w:right="210"/>
        <w:rPr>
          <w:rFonts w:hint="eastAsia" w:cs="宋体"/>
          <w:color w:val="auto"/>
          <w:highlight w:val="none"/>
        </w:rPr>
      </w:pPr>
      <w:r>
        <w:rPr>
          <w:rFonts w:hint="eastAsia" w:cs="宋体"/>
          <w:color w:val="auto"/>
          <w:highlight w:val="none"/>
        </w:rPr>
        <w:t>投标人应在本章规定的投标截止时间前</w:t>
      </w:r>
      <w:r>
        <w:rPr>
          <w:rFonts w:hint="eastAsia" w:cs="宋体"/>
          <w:color w:val="auto"/>
          <w:highlight w:val="none"/>
          <w:lang w:val="en-US" w:eastAsia="zh-CN"/>
        </w:rPr>
        <w:t>在中煤易购上</w:t>
      </w:r>
      <w:r>
        <w:rPr>
          <w:rFonts w:hint="eastAsia" w:cs="宋体"/>
          <w:color w:val="auto"/>
          <w:highlight w:val="none"/>
        </w:rPr>
        <w:t>递交投标文件。</w:t>
      </w:r>
    </w:p>
    <w:p>
      <w:pPr>
        <w:tabs>
          <w:tab w:val="left" w:pos="0"/>
          <w:tab w:val="decimal" w:pos="6240"/>
          <w:tab w:val="right" w:leader="dot" w:pos="10800"/>
        </w:tabs>
        <w:adjustRightInd w:val="0"/>
        <w:snapToGrid w:val="0"/>
        <w:spacing w:line="360" w:lineRule="auto"/>
        <w:ind w:right="20" w:rightChars="10"/>
        <w:jc w:val="left"/>
        <w:rPr>
          <w:rFonts w:hint="eastAsia" w:ascii="宋体" w:hAnsi="宋体"/>
          <w:b/>
          <w:bCs/>
          <w:color w:val="auto"/>
          <w:sz w:val="24"/>
          <w:highlight w:val="none"/>
        </w:rPr>
      </w:pPr>
      <w:r>
        <w:rPr>
          <w:rFonts w:hint="eastAsia" w:ascii="宋体" w:hAnsi="宋体"/>
          <w:b/>
          <w:bCs/>
          <w:color w:val="auto"/>
          <w:sz w:val="24"/>
          <w:highlight w:val="none"/>
        </w:rPr>
        <w:t>4.</w:t>
      </w:r>
      <w:r>
        <w:rPr>
          <w:rFonts w:hint="eastAsia" w:ascii="宋体" w:hAnsi="宋体"/>
          <w:b/>
          <w:bCs/>
          <w:color w:val="auto"/>
          <w:sz w:val="24"/>
          <w:highlight w:val="none"/>
          <w:lang w:val="en-US" w:eastAsia="zh-CN"/>
        </w:rPr>
        <w:t>2</w:t>
      </w:r>
      <w:r>
        <w:rPr>
          <w:rFonts w:hint="eastAsia" w:ascii="宋体" w:hAnsi="宋体"/>
          <w:b/>
          <w:bCs/>
          <w:color w:val="auto"/>
          <w:sz w:val="24"/>
          <w:highlight w:val="none"/>
        </w:rPr>
        <w:t>投标截止时间</w:t>
      </w:r>
    </w:p>
    <w:p>
      <w:pPr>
        <w:widowControl/>
        <w:autoSpaceDE w:val="0"/>
        <w:autoSpaceDN w:val="0"/>
        <w:adjustRightInd w:val="0"/>
        <w:spacing w:line="300" w:lineRule="auto"/>
        <w:ind w:firstLine="240" w:firstLineChars="100"/>
        <w:jc w:val="left"/>
        <w:rPr>
          <w:rFonts w:hint="eastAsia" w:ascii="宋体" w:hAnsi="宋体"/>
          <w:bCs/>
          <w:color w:val="auto"/>
          <w:kern w:val="0"/>
          <w:sz w:val="24"/>
          <w:highlight w:val="none"/>
          <w:shd w:val="clear" w:color="auto" w:fill="FFFFFF"/>
          <w:lang w:bidi="en-US"/>
        </w:rPr>
      </w:pPr>
      <w:r>
        <w:rPr>
          <w:rFonts w:hint="eastAsia" w:ascii="宋体" w:hAnsi="宋体"/>
          <w:color w:val="auto"/>
          <w:kern w:val="0"/>
          <w:sz w:val="24"/>
          <w:highlight w:val="none"/>
          <w:shd w:val="clear" w:color="auto" w:fill="FFFFFF"/>
          <w:lang w:bidi="en-US"/>
        </w:rPr>
        <w:t>所有投标文件都必须按招标方在公告/投标邀请书中规定的投标截止时间前</w:t>
      </w:r>
      <w:r>
        <w:rPr>
          <w:rFonts w:hint="eastAsia" w:ascii="宋体" w:hAnsi="宋体"/>
          <w:color w:val="auto"/>
          <w:kern w:val="0"/>
          <w:sz w:val="24"/>
          <w:highlight w:val="none"/>
          <w:shd w:val="clear" w:color="auto" w:fill="FFFFFF"/>
          <w:lang w:val="en-US" w:eastAsia="zh-CN" w:bidi="en-US"/>
        </w:rPr>
        <w:t>上传。</w:t>
      </w:r>
    </w:p>
    <w:p>
      <w:pPr>
        <w:numPr>
          <w:ilvl w:val="0"/>
          <w:numId w:val="11"/>
        </w:numPr>
        <w:spacing w:line="360" w:lineRule="auto"/>
        <w:ind w:left="567" w:hanging="567"/>
        <w:jc w:val="center"/>
        <w:outlineLvl w:val="1"/>
        <w:rPr>
          <w:rFonts w:hint="eastAsia" w:ascii="Cambria" w:hAnsi="Cambria"/>
          <w:b/>
          <w:bCs w:val="0"/>
          <w:color w:val="auto"/>
          <w:kern w:val="28"/>
          <w:sz w:val="32"/>
          <w:szCs w:val="32"/>
          <w:highlight w:val="none"/>
        </w:rPr>
      </w:pPr>
      <w:r>
        <w:rPr>
          <w:rFonts w:hint="eastAsia" w:ascii="Cambria" w:hAnsi="Cambria"/>
          <w:b/>
          <w:bCs w:val="0"/>
          <w:color w:val="auto"/>
          <w:kern w:val="28"/>
          <w:sz w:val="32"/>
          <w:szCs w:val="32"/>
          <w:highlight w:val="none"/>
        </w:rPr>
        <w:t>开标</w:t>
      </w:r>
    </w:p>
    <w:p>
      <w:pPr>
        <w:pStyle w:val="174"/>
        <w:numPr>
          <w:ilvl w:val="0"/>
          <w:numId w:val="0"/>
        </w:numPr>
        <w:ind w:right="210"/>
        <w:rPr>
          <w:rFonts w:hint="eastAsia"/>
        </w:rPr>
      </w:pPr>
    </w:p>
    <w:p>
      <w:pPr>
        <w:pStyle w:val="174"/>
        <w:numPr>
          <w:ilvl w:val="0"/>
          <w:numId w:val="0"/>
        </w:numPr>
        <w:ind w:right="210"/>
        <w:rPr>
          <w:rFonts w:hint="eastAsia" w:cs="宋体"/>
          <w:b/>
          <w:color w:val="auto"/>
          <w:highlight w:val="none"/>
        </w:rPr>
      </w:pPr>
      <w:r>
        <w:rPr>
          <w:rFonts w:hint="eastAsia" w:cs="宋体"/>
          <w:b/>
          <w:color w:val="auto"/>
          <w:highlight w:val="none"/>
        </w:rPr>
        <w:t>5.1开标时投标文件有下列情形之一的，该投标文件将被拒绝：</w:t>
      </w:r>
    </w:p>
    <w:p>
      <w:pPr>
        <w:pStyle w:val="174"/>
        <w:numPr>
          <w:ilvl w:val="0"/>
          <w:numId w:val="0"/>
        </w:numPr>
        <w:ind w:right="210" w:firstLine="490" w:firstLineChars="200"/>
        <w:rPr>
          <w:rFonts w:hint="eastAsia" w:cs="宋体"/>
          <w:b/>
          <w:color w:val="auto"/>
          <w:highlight w:val="none"/>
        </w:rPr>
      </w:pPr>
      <w:r>
        <w:rPr>
          <w:rFonts w:hint="eastAsia" w:cs="宋体"/>
          <w:b/>
          <w:color w:val="auto"/>
          <w:highlight w:val="none"/>
        </w:rPr>
        <w:t xml:space="preserve"> 投标文件逾期</w:t>
      </w:r>
      <w:r>
        <w:rPr>
          <w:rFonts w:hint="eastAsia" w:cs="宋体"/>
          <w:b/>
          <w:color w:val="auto"/>
          <w:highlight w:val="none"/>
          <w:lang w:val="en-US" w:eastAsia="zh-CN"/>
        </w:rPr>
        <w:t>上传</w:t>
      </w:r>
      <w:r>
        <w:rPr>
          <w:rFonts w:hint="eastAsia" w:cs="宋体"/>
          <w:b/>
          <w:color w:val="auto"/>
          <w:highlight w:val="none"/>
        </w:rPr>
        <w:t>的；</w:t>
      </w:r>
    </w:p>
    <w:p>
      <w:pPr>
        <w:pStyle w:val="174"/>
        <w:numPr>
          <w:ilvl w:val="0"/>
          <w:numId w:val="0"/>
        </w:numPr>
        <w:ind w:right="210"/>
        <w:rPr>
          <w:rFonts w:hint="eastAsia" w:cs="宋体"/>
          <w:b/>
          <w:color w:val="auto"/>
          <w:highlight w:val="none"/>
        </w:rPr>
      </w:pPr>
      <w:r>
        <w:rPr>
          <w:rFonts w:hint="eastAsia" w:cs="宋体"/>
          <w:b/>
          <w:color w:val="auto"/>
          <w:highlight w:val="none"/>
        </w:rPr>
        <w:t>5.2开标时间和地点</w:t>
      </w:r>
    </w:p>
    <w:p>
      <w:pPr>
        <w:autoSpaceDE w:val="0"/>
        <w:autoSpaceDN w:val="0"/>
        <w:adjustRightInd w:val="0"/>
        <w:snapToGrid w:val="0"/>
        <w:spacing w:before="29" w:line="360" w:lineRule="auto"/>
        <w:ind w:right="-159"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招标人在本章规定的投标截止时间（开标时间）和投标人须知前附表规定的</w:t>
      </w:r>
      <w:r>
        <w:rPr>
          <w:rFonts w:hint="eastAsia" w:ascii="宋体" w:hAnsi="宋体" w:cs="宋体"/>
          <w:color w:val="auto"/>
          <w:kern w:val="0"/>
          <w:sz w:val="24"/>
          <w:szCs w:val="24"/>
          <w:highlight w:val="none"/>
          <w:lang w:val="en-US" w:eastAsia="zh-CN"/>
        </w:rPr>
        <w:t>时间</w:t>
      </w:r>
      <w:r>
        <w:rPr>
          <w:rFonts w:hint="eastAsia" w:ascii="宋体" w:hAnsi="宋体" w:cs="宋体"/>
          <w:color w:val="auto"/>
          <w:kern w:val="0"/>
          <w:sz w:val="24"/>
          <w:szCs w:val="24"/>
          <w:highlight w:val="none"/>
        </w:rPr>
        <w:t>开标。</w:t>
      </w:r>
    </w:p>
    <w:p>
      <w:pPr>
        <w:spacing w:line="360" w:lineRule="auto"/>
        <w:ind w:left="567" w:hanging="567"/>
        <w:jc w:val="center"/>
        <w:outlineLvl w:val="1"/>
        <w:rPr>
          <w:rFonts w:hint="eastAsia" w:ascii="Cambria" w:hAnsi="Cambria"/>
          <w:b/>
          <w:bCs w:val="0"/>
          <w:color w:val="auto"/>
          <w:kern w:val="28"/>
          <w:sz w:val="32"/>
          <w:szCs w:val="32"/>
          <w:highlight w:val="none"/>
        </w:rPr>
      </w:pPr>
      <w:bookmarkStart w:id="53" w:name="_Toc405302858"/>
      <w:bookmarkStart w:id="54" w:name="_Toc438129410"/>
      <w:bookmarkStart w:id="55" w:name="_Toc405303369"/>
      <w:r>
        <w:rPr>
          <w:rFonts w:hint="eastAsia" w:ascii="Cambria" w:hAnsi="Cambria"/>
          <w:b/>
          <w:bCs w:val="0"/>
          <w:color w:val="auto"/>
          <w:kern w:val="28"/>
          <w:sz w:val="32"/>
          <w:szCs w:val="32"/>
          <w:highlight w:val="none"/>
        </w:rPr>
        <w:t>六、</w:t>
      </w:r>
      <w:r>
        <w:rPr>
          <w:rFonts w:hint="eastAsia" w:ascii="Cambria" w:hAnsi="Cambria"/>
          <w:b/>
          <w:bCs w:val="0"/>
          <w:color w:val="auto"/>
          <w:kern w:val="28"/>
          <w:sz w:val="32"/>
          <w:szCs w:val="32"/>
          <w:highlight w:val="none"/>
          <w:lang w:val="en-US" w:eastAsia="zh-CN"/>
        </w:rPr>
        <w:t>评审及谈判</w:t>
      </w:r>
      <w:bookmarkEnd w:id="53"/>
      <w:bookmarkEnd w:id="54"/>
      <w:bookmarkEnd w:id="55"/>
    </w:p>
    <w:p>
      <w:pPr>
        <w:pStyle w:val="44"/>
        <w:widowControl w:val="0"/>
        <w:tabs>
          <w:tab w:val="left" w:pos="720"/>
        </w:tabs>
        <w:spacing w:before="0" w:beforeAutospacing="0" w:after="0" w:afterAutospacing="0" w:line="360" w:lineRule="auto"/>
        <w:ind w:left="-2" w:leftChars="-1" w:right="28" w:firstLine="482" w:firstLineChars="200"/>
        <w:jc w:val="both"/>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1.评审</w:t>
      </w:r>
    </w:p>
    <w:p>
      <w:pPr>
        <w:pStyle w:val="44"/>
        <w:widowControl w:val="0"/>
        <w:tabs>
          <w:tab w:val="left" w:pos="720"/>
        </w:tabs>
        <w:spacing w:before="0" w:beforeAutospacing="0" w:after="0" w:afterAutospacing="0" w:line="360" w:lineRule="auto"/>
        <w:ind w:left="-2" w:leftChars="-1" w:right="28" w:firstLine="480" w:firstLineChars="200"/>
        <w:jc w:val="both"/>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1.1采购方将在“供应商须知前附表”规定的时间组织洽谈。供应商应由其法定代表人或授权代表以及专业技术人员参与。</w:t>
      </w:r>
    </w:p>
    <w:p>
      <w:pPr>
        <w:pStyle w:val="44"/>
        <w:widowControl w:val="0"/>
        <w:tabs>
          <w:tab w:val="left" w:pos="720"/>
        </w:tabs>
        <w:spacing w:before="0" w:beforeAutospacing="0" w:after="0" w:afterAutospacing="0" w:line="360" w:lineRule="auto"/>
        <w:ind w:left="-2" w:leftChars="-1" w:right="28" w:firstLine="480" w:firstLineChars="200"/>
        <w:jc w:val="both"/>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1.2采购方的洽谈小组由采购人依法依规组建，采购人代表、商务代表及技术人员三名或三名以上单数评审人员组成。</w:t>
      </w:r>
    </w:p>
    <w:p>
      <w:pPr>
        <w:pStyle w:val="44"/>
        <w:widowControl w:val="0"/>
        <w:tabs>
          <w:tab w:val="left" w:pos="720"/>
        </w:tabs>
        <w:spacing w:before="0" w:beforeAutospacing="0" w:after="0" w:afterAutospacing="0" w:line="360" w:lineRule="auto"/>
        <w:ind w:left="-2" w:leftChars="-1" w:right="28" w:firstLine="480" w:firstLineChars="200"/>
        <w:jc w:val="both"/>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1.3洽谈开始前，洽谈小组将首先认真审查各供应商之间是否存在相互围串、报价文件造假等其他禁止报价的情形和供应商提交的采购响应文件，了解其与采购文件的要求是否有偏离，包括但不限于以下内容：</w:t>
      </w:r>
    </w:p>
    <w:p>
      <w:pPr>
        <w:pStyle w:val="44"/>
        <w:widowControl w:val="0"/>
        <w:tabs>
          <w:tab w:val="left" w:pos="720"/>
        </w:tabs>
        <w:spacing w:before="0" w:beforeAutospacing="0" w:after="0" w:afterAutospacing="0" w:line="360" w:lineRule="auto"/>
        <w:ind w:left="-2" w:leftChars="-1" w:right="28" w:firstLine="480" w:firstLineChars="200"/>
        <w:jc w:val="both"/>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1.4.1  采购响应文件是否存在混装、雷同、报价规律性差异等情形；</w:t>
      </w:r>
    </w:p>
    <w:p>
      <w:pPr>
        <w:pStyle w:val="44"/>
        <w:widowControl w:val="0"/>
        <w:tabs>
          <w:tab w:val="left" w:pos="720"/>
        </w:tabs>
        <w:spacing w:before="0" w:beforeAutospacing="0" w:after="0" w:afterAutospacing="0" w:line="360" w:lineRule="auto"/>
        <w:ind w:left="-2" w:leftChars="-1" w:right="28" w:firstLine="480" w:firstLineChars="200"/>
        <w:jc w:val="both"/>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1.4.2 采购响应文件是否照规定的要求进行编制、装订和签署；</w:t>
      </w:r>
    </w:p>
    <w:p>
      <w:pPr>
        <w:pStyle w:val="44"/>
        <w:widowControl w:val="0"/>
        <w:tabs>
          <w:tab w:val="left" w:pos="720"/>
        </w:tabs>
        <w:spacing w:before="0" w:beforeAutospacing="0" w:after="0" w:afterAutospacing="0" w:line="360" w:lineRule="auto"/>
        <w:ind w:left="-2" w:leftChars="-1" w:right="28" w:firstLine="480" w:firstLineChars="200"/>
        <w:jc w:val="both"/>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1.4.3 所提交的各种资格证明文件是否满足报价人资格要求并真实、完整、合法、有效；</w:t>
      </w:r>
    </w:p>
    <w:p>
      <w:pPr>
        <w:pStyle w:val="44"/>
        <w:widowControl w:val="0"/>
        <w:tabs>
          <w:tab w:val="left" w:pos="720"/>
        </w:tabs>
        <w:spacing w:before="0" w:beforeAutospacing="0" w:after="0" w:afterAutospacing="0" w:line="360" w:lineRule="auto"/>
        <w:ind w:left="-2" w:leftChars="-1" w:right="28" w:firstLine="480" w:firstLineChars="200"/>
        <w:jc w:val="both"/>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1.4.4 根据采购文件要求所提出的技术方案是否完整、可行；</w:t>
      </w:r>
    </w:p>
    <w:p>
      <w:pPr>
        <w:pStyle w:val="44"/>
        <w:widowControl w:val="0"/>
        <w:tabs>
          <w:tab w:val="left" w:pos="720"/>
        </w:tabs>
        <w:spacing w:before="0" w:beforeAutospacing="0" w:after="0" w:afterAutospacing="0" w:line="360" w:lineRule="auto"/>
        <w:ind w:left="-2" w:leftChars="-1" w:right="28" w:firstLine="480" w:firstLineChars="200"/>
        <w:jc w:val="both"/>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1.4.5 采购响应书对法律、法规和采购文件其他明确要求的符合性。</w:t>
      </w:r>
    </w:p>
    <w:p>
      <w:pPr>
        <w:pStyle w:val="44"/>
        <w:widowControl w:val="0"/>
        <w:tabs>
          <w:tab w:val="left" w:pos="720"/>
        </w:tabs>
        <w:spacing w:before="0" w:beforeAutospacing="0" w:after="0" w:afterAutospacing="0" w:line="360" w:lineRule="auto"/>
        <w:ind w:left="-2" w:leftChars="-1" w:right="28" w:firstLine="480" w:firstLineChars="200"/>
        <w:jc w:val="both"/>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1.5 在掌握了供应商采购响应文件的基本情况后，洽谈小组将与供应商进行磋商、谈判。</w:t>
      </w:r>
    </w:p>
    <w:p>
      <w:pPr>
        <w:pStyle w:val="44"/>
        <w:widowControl w:val="0"/>
        <w:tabs>
          <w:tab w:val="left" w:pos="720"/>
        </w:tabs>
        <w:spacing w:before="0" w:beforeAutospacing="0" w:after="0" w:afterAutospacing="0" w:line="360" w:lineRule="auto"/>
        <w:ind w:left="-2" w:leftChars="-1" w:right="28" w:firstLine="482" w:firstLineChars="200"/>
        <w:jc w:val="both"/>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2、谈判</w:t>
      </w:r>
    </w:p>
    <w:p>
      <w:pPr>
        <w:pStyle w:val="44"/>
        <w:widowControl w:val="0"/>
        <w:tabs>
          <w:tab w:val="left" w:pos="720"/>
        </w:tabs>
        <w:spacing w:line="360" w:lineRule="auto"/>
        <w:ind w:left="-2" w:leftChars="-1" w:right="28" w:firstLine="480" w:firstLineChars="200"/>
        <w:jc w:val="both"/>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2.1谈判小组按照递交的采购响应性文件应就采购项目的技术要求、市场价格、工程承诺等与供应商进行谈判,</w:t>
      </w:r>
      <w:r>
        <w:rPr>
          <w:rFonts w:hint="default" w:ascii="Times New Roman" w:hAnsi="Times New Roman" w:cs="Times New Roman"/>
          <w:color w:val="auto"/>
          <w:highlight w:val="none"/>
        </w:rPr>
        <w:t>并给予所有参加谈判的供应商平等的机会</w:t>
      </w:r>
      <w:r>
        <w:rPr>
          <w:rFonts w:hint="default" w:ascii="Times New Roman" w:hAnsi="Times New Roman" w:cs="Times New Roman"/>
          <w:bCs/>
          <w:color w:val="auto"/>
          <w:highlight w:val="none"/>
        </w:rPr>
        <w:t>。在第一轮谈判中，首先会要求供应商就采购响应书中含糊不清、错漏的地方进行澄清，并提出问题，然后与供应商就其价格构成与高低进行谈判。在其后的谈判中，谈判小组将要求供应商就之前提出的问题进行确认，然后报出自己能承受的最终价格，以书面形式确认，并由法定代表人或其授权人签署；</w:t>
      </w:r>
    </w:p>
    <w:p>
      <w:pPr>
        <w:pStyle w:val="44"/>
        <w:widowControl w:val="0"/>
        <w:tabs>
          <w:tab w:val="left" w:pos="720"/>
        </w:tabs>
        <w:spacing w:before="0" w:beforeAutospacing="0" w:after="0" w:afterAutospacing="0" w:line="360" w:lineRule="auto"/>
        <w:ind w:left="-2" w:leftChars="-1" w:right="28" w:firstLine="480" w:firstLineChars="200"/>
        <w:jc w:val="both"/>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2.2谈判中，采购方的采购文件如有实质性变动的，谈判小组将以书面形式通知参加谈判的供应商。供应商也可以对自己采购响应文件中的有关技术配置、售后服务和报价等方面的问题进行修改，以符合采购文件的要求；</w:t>
      </w:r>
    </w:p>
    <w:p>
      <w:pPr>
        <w:pStyle w:val="44"/>
        <w:widowControl w:val="0"/>
        <w:tabs>
          <w:tab w:val="left" w:pos="720"/>
        </w:tabs>
        <w:spacing w:line="360" w:lineRule="auto"/>
        <w:ind w:left="-2" w:leftChars="-1" w:right="28" w:firstLine="480" w:firstLineChars="200"/>
        <w:jc w:val="both"/>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2.3谈判小组将依据供应商最终提交的最终确认文件进行认真的审查，如满足采购文件的要求、价格合理，谈判小组将推荐成交候选供应商。否则，重新组织采购或终止采购。</w:t>
      </w:r>
    </w:p>
    <w:p>
      <w:pPr>
        <w:pStyle w:val="44"/>
        <w:widowControl w:val="0"/>
        <w:tabs>
          <w:tab w:val="left" w:pos="720"/>
        </w:tabs>
        <w:spacing w:before="0" w:beforeAutospacing="0" w:after="0" w:afterAutospacing="0" w:line="360" w:lineRule="auto"/>
        <w:ind w:left="-2" w:leftChars="-1" w:right="28" w:firstLine="480" w:firstLineChars="200"/>
        <w:jc w:val="both"/>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2.4谈判的任何一方在未征得另一方同意的情况下，不得向第三方透露与谈判有关的一切技术资料、价格或其他信息。</w:t>
      </w:r>
    </w:p>
    <w:p>
      <w:pPr>
        <w:pStyle w:val="44"/>
        <w:widowControl w:val="0"/>
        <w:tabs>
          <w:tab w:val="left" w:pos="720"/>
        </w:tabs>
        <w:spacing w:before="0" w:beforeAutospacing="0" w:after="0" w:afterAutospacing="0" w:line="360" w:lineRule="auto"/>
        <w:ind w:left="-2" w:leftChars="-1" w:right="28" w:firstLine="482" w:firstLineChars="200"/>
        <w:jc w:val="both"/>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3、评审报告</w:t>
      </w:r>
    </w:p>
    <w:p>
      <w:pPr>
        <w:pStyle w:val="44"/>
        <w:widowControl w:val="0"/>
        <w:tabs>
          <w:tab w:val="left" w:pos="720"/>
        </w:tabs>
        <w:spacing w:before="0" w:beforeAutospacing="0" w:after="0" w:afterAutospacing="0" w:line="360" w:lineRule="auto"/>
        <w:ind w:left="-2" w:leftChars="-1" w:right="28" w:firstLine="480" w:firstLineChars="200"/>
        <w:jc w:val="both"/>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3.1 洽谈小组完成评审后，应当向采购人提出书面评审报告。</w:t>
      </w:r>
    </w:p>
    <w:p>
      <w:pPr>
        <w:pStyle w:val="44"/>
        <w:widowControl w:val="0"/>
        <w:tabs>
          <w:tab w:val="left" w:pos="720"/>
        </w:tabs>
        <w:spacing w:before="0" w:beforeAutospacing="0" w:after="0" w:afterAutospacing="0" w:line="360" w:lineRule="auto"/>
        <w:ind w:left="-2" w:leftChars="-1" w:right="28" w:firstLine="480" w:firstLineChars="200"/>
        <w:jc w:val="both"/>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3.2 评审报告由洽谈小组全体成员签字。对评审结论持有异议的洽谈小组成员可以书面方式阐述其不同意见和理由。洽谈小组成员拒绝在评审报告上签字且不陈述其不同意见和理由的，视为同意评审结论。洽谈小组应当对此作出书面说明并记录在案。</w:t>
      </w:r>
    </w:p>
    <w:p>
      <w:pPr>
        <w:pStyle w:val="44"/>
        <w:widowControl w:val="0"/>
        <w:tabs>
          <w:tab w:val="left" w:pos="720"/>
        </w:tabs>
        <w:spacing w:before="0" w:beforeAutospacing="0" w:after="0" w:afterAutospacing="0" w:line="360" w:lineRule="auto"/>
        <w:ind w:left="-2" w:leftChars="-1" w:right="28" w:firstLine="480" w:firstLineChars="200"/>
        <w:jc w:val="both"/>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3.3 洽谈小组向采购人提交书面评审报告后，洽谈小组即告解散。</w:t>
      </w:r>
    </w:p>
    <w:p>
      <w:pPr>
        <w:spacing w:line="360" w:lineRule="auto"/>
        <w:ind w:left="567" w:hanging="567"/>
        <w:jc w:val="center"/>
        <w:outlineLvl w:val="1"/>
        <w:rPr>
          <w:rFonts w:hint="eastAsia" w:ascii="Cambria" w:hAnsi="Cambria"/>
          <w:b/>
          <w:bCs/>
          <w:color w:val="auto"/>
          <w:kern w:val="28"/>
          <w:sz w:val="32"/>
          <w:szCs w:val="32"/>
          <w:highlight w:val="none"/>
        </w:rPr>
      </w:pPr>
      <w:r>
        <w:rPr>
          <w:rFonts w:hint="eastAsia" w:ascii="宋体" w:hAnsi="宋体"/>
          <w:b/>
          <w:bCs/>
          <w:color w:val="auto"/>
          <w:sz w:val="32"/>
          <w:szCs w:val="32"/>
          <w:highlight w:val="none"/>
        </w:rPr>
        <w:t>七、</w:t>
      </w:r>
      <w:r>
        <w:rPr>
          <w:rFonts w:hint="eastAsia" w:ascii="Cambria" w:hAnsi="Cambria"/>
          <w:b/>
          <w:bCs/>
          <w:color w:val="auto"/>
          <w:kern w:val="28"/>
          <w:sz w:val="32"/>
          <w:szCs w:val="32"/>
          <w:highlight w:val="none"/>
        </w:rPr>
        <w:t>合同授予</w:t>
      </w:r>
    </w:p>
    <w:p>
      <w:pPr>
        <w:pStyle w:val="174"/>
        <w:numPr>
          <w:ilvl w:val="0"/>
          <w:numId w:val="0"/>
        </w:numPr>
        <w:ind w:right="210"/>
        <w:rPr>
          <w:rFonts w:hint="eastAsia" w:cs="宋体"/>
          <w:b/>
          <w:color w:val="auto"/>
          <w:highlight w:val="none"/>
        </w:rPr>
      </w:pPr>
      <w:r>
        <w:rPr>
          <w:rFonts w:hint="eastAsia" w:cs="宋体"/>
          <w:b/>
          <w:color w:val="auto"/>
          <w:highlight w:val="none"/>
        </w:rPr>
        <w:t>7.1定标方式</w:t>
      </w:r>
    </w:p>
    <w:p>
      <w:pPr>
        <w:numPr>
          <w:ilvl w:val="0"/>
          <w:numId w:val="12"/>
        </w:numPr>
        <w:spacing w:line="360" w:lineRule="auto"/>
        <w:rPr>
          <w:color w:val="auto"/>
          <w:sz w:val="24"/>
          <w:highlight w:val="none"/>
        </w:rPr>
      </w:pPr>
      <w:r>
        <w:rPr>
          <w:rFonts w:hint="eastAsia"/>
          <w:color w:val="auto"/>
          <w:sz w:val="24"/>
          <w:highlight w:val="none"/>
        </w:rPr>
        <w:t>合同将授予其投标实质上响应招标文件的要求，能最大限度地满足招标文件中规定的各项综合评价标准，并能圆满地履行合同的投标人。</w:t>
      </w:r>
    </w:p>
    <w:p>
      <w:pPr>
        <w:pStyle w:val="174"/>
        <w:numPr>
          <w:ilvl w:val="0"/>
          <w:numId w:val="0"/>
        </w:numPr>
        <w:ind w:right="210"/>
        <w:rPr>
          <w:rFonts w:hint="eastAsia" w:cs="宋体"/>
          <w:b/>
          <w:color w:val="auto"/>
          <w:highlight w:val="none"/>
        </w:rPr>
      </w:pPr>
      <w:r>
        <w:rPr>
          <w:rFonts w:hint="eastAsia" w:cs="宋体"/>
          <w:b/>
          <w:color w:val="auto"/>
          <w:highlight w:val="none"/>
        </w:rPr>
        <w:t>7.2中标通知</w:t>
      </w:r>
    </w:p>
    <w:p>
      <w:pPr>
        <w:autoSpaceDE w:val="0"/>
        <w:autoSpaceDN w:val="0"/>
        <w:adjustRightInd w:val="0"/>
        <w:snapToGrid w:val="0"/>
        <w:spacing w:before="29" w:line="360" w:lineRule="auto"/>
        <w:ind w:right="-159"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在投标有效期内，</w:t>
      </w:r>
      <w:r>
        <w:rPr>
          <w:rFonts w:hint="eastAsia" w:ascii="宋体" w:hAnsi="宋体" w:cs="宋体"/>
          <w:color w:val="auto"/>
          <w:kern w:val="0"/>
          <w:position w:val="-1"/>
          <w:sz w:val="24"/>
          <w:szCs w:val="24"/>
          <w:highlight w:val="none"/>
          <w:lang w:val="en-US" w:eastAsia="zh-CN"/>
        </w:rPr>
        <w:t>采购</w:t>
      </w:r>
      <w:r>
        <w:rPr>
          <w:rFonts w:hint="eastAsia" w:ascii="宋体" w:hAnsi="宋体" w:cs="宋体"/>
          <w:color w:val="auto"/>
          <w:kern w:val="0"/>
          <w:sz w:val="24"/>
          <w:szCs w:val="24"/>
          <w:highlight w:val="none"/>
        </w:rPr>
        <w:t>人以书面形式向中标人发出中标通知书，同时将中标结果通知未中标的投标人。</w:t>
      </w:r>
    </w:p>
    <w:p>
      <w:pPr>
        <w:pStyle w:val="174"/>
        <w:numPr>
          <w:ilvl w:val="0"/>
          <w:numId w:val="0"/>
        </w:numPr>
        <w:ind w:right="210"/>
        <w:rPr>
          <w:rFonts w:hint="eastAsia" w:cs="宋体"/>
          <w:b/>
          <w:color w:val="auto"/>
          <w:highlight w:val="none"/>
        </w:rPr>
      </w:pPr>
      <w:r>
        <w:rPr>
          <w:rFonts w:hint="eastAsia" w:cs="宋体"/>
          <w:b/>
          <w:color w:val="auto"/>
          <w:highlight w:val="none"/>
        </w:rPr>
        <w:t>7.</w:t>
      </w:r>
      <w:r>
        <w:rPr>
          <w:rFonts w:hint="eastAsia" w:cs="宋体"/>
          <w:b/>
          <w:color w:val="auto"/>
          <w:highlight w:val="none"/>
          <w:lang w:val="en-US" w:eastAsia="zh-CN"/>
        </w:rPr>
        <w:t>3</w:t>
      </w:r>
      <w:r>
        <w:rPr>
          <w:rFonts w:hint="eastAsia" w:cs="宋体"/>
          <w:b/>
          <w:color w:val="auto"/>
          <w:highlight w:val="none"/>
        </w:rPr>
        <w:t>签订合同</w:t>
      </w:r>
    </w:p>
    <w:p>
      <w:pPr>
        <w:pStyle w:val="174"/>
        <w:numPr>
          <w:ilvl w:val="0"/>
          <w:numId w:val="0"/>
        </w:numPr>
        <w:ind w:right="210" w:firstLine="244" w:firstLineChars="100"/>
        <w:rPr>
          <w:rFonts w:hint="eastAsia" w:cs="宋体"/>
          <w:color w:val="auto"/>
          <w:highlight w:val="none"/>
        </w:rPr>
      </w:pPr>
      <w:r>
        <w:rPr>
          <w:rFonts w:hint="eastAsia" w:cs="宋体"/>
          <w:color w:val="auto"/>
          <w:highlight w:val="none"/>
        </w:rPr>
        <w:t>7.</w:t>
      </w:r>
      <w:r>
        <w:rPr>
          <w:rFonts w:hint="eastAsia" w:cs="宋体"/>
          <w:color w:val="auto"/>
          <w:highlight w:val="none"/>
          <w:lang w:val="en-US" w:eastAsia="zh-CN"/>
        </w:rPr>
        <w:t>3</w:t>
      </w:r>
      <w:r>
        <w:rPr>
          <w:rFonts w:hint="eastAsia" w:cs="宋体"/>
          <w:color w:val="auto"/>
          <w:highlight w:val="none"/>
        </w:rPr>
        <w:t>.1</w:t>
      </w:r>
      <w:r>
        <w:rPr>
          <w:rFonts w:hint="eastAsia" w:ascii="宋体" w:hAnsi="宋体" w:cs="宋体"/>
          <w:color w:val="auto"/>
          <w:kern w:val="0"/>
          <w:position w:val="-1"/>
          <w:sz w:val="24"/>
          <w:szCs w:val="24"/>
          <w:highlight w:val="none"/>
          <w:lang w:val="en-US" w:eastAsia="zh-CN"/>
        </w:rPr>
        <w:t>采购</w:t>
      </w:r>
      <w:r>
        <w:rPr>
          <w:rFonts w:hint="eastAsia" w:cs="宋体"/>
          <w:color w:val="auto"/>
          <w:highlight w:val="none"/>
        </w:rPr>
        <w:t>人和中标人应当自中标通知书发出之日起 30 天内，根据招标文件和中标人的投标文件订立书面合同。中标人无正当理由拒签合同的，</w:t>
      </w:r>
      <w:r>
        <w:rPr>
          <w:rFonts w:hint="eastAsia" w:ascii="宋体" w:hAnsi="宋体" w:cs="宋体"/>
          <w:color w:val="auto"/>
          <w:kern w:val="0"/>
          <w:position w:val="-1"/>
          <w:sz w:val="24"/>
          <w:szCs w:val="24"/>
          <w:highlight w:val="none"/>
          <w:lang w:val="en-US" w:eastAsia="zh-CN"/>
        </w:rPr>
        <w:t>采购</w:t>
      </w:r>
      <w:r>
        <w:rPr>
          <w:rFonts w:hint="eastAsia" w:cs="宋体"/>
          <w:color w:val="auto"/>
          <w:highlight w:val="none"/>
        </w:rPr>
        <w:t>人取消其中标资格。</w:t>
      </w:r>
    </w:p>
    <w:p>
      <w:pPr>
        <w:pStyle w:val="174"/>
        <w:numPr>
          <w:ilvl w:val="0"/>
          <w:numId w:val="0"/>
        </w:numPr>
        <w:ind w:right="210" w:firstLine="244" w:firstLineChars="100"/>
        <w:rPr>
          <w:rFonts w:hint="eastAsia" w:cs="宋体"/>
          <w:bCs/>
          <w:color w:val="auto"/>
          <w:highlight w:val="none"/>
        </w:rPr>
      </w:pPr>
      <w:r>
        <w:rPr>
          <w:rFonts w:hint="eastAsia" w:cs="宋体"/>
          <w:color w:val="auto"/>
          <w:highlight w:val="none"/>
        </w:rPr>
        <w:t>7.</w:t>
      </w:r>
      <w:r>
        <w:rPr>
          <w:rFonts w:hint="eastAsia" w:cs="宋体"/>
          <w:color w:val="auto"/>
          <w:highlight w:val="none"/>
          <w:lang w:val="en-US" w:eastAsia="zh-CN"/>
        </w:rPr>
        <w:t>3</w:t>
      </w:r>
      <w:r>
        <w:rPr>
          <w:rFonts w:hint="eastAsia" w:cs="宋体"/>
          <w:color w:val="auto"/>
          <w:highlight w:val="none"/>
        </w:rPr>
        <w:t>.2发出中标通知书后，招标人无正当理由拒签合同的，给中标人造成损失的，还应当赔偿损失。</w:t>
      </w:r>
    </w:p>
    <w:p>
      <w:pPr>
        <w:pStyle w:val="174"/>
        <w:numPr>
          <w:ilvl w:val="0"/>
          <w:numId w:val="0"/>
        </w:numPr>
        <w:ind w:right="210" w:firstLine="244" w:firstLineChars="100"/>
        <w:rPr>
          <w:rFonts w:hint="eastAsia" w:cs="宋体"/>
          <w:bCs/>
          <w:color w:val="auto"/>
          <w:highlight w:val="none"/>
        </w:rPr>
      </w:pPr>
      <w:r>
        <w:rPr>
          <w:rFonts w:hint="eastAsia" w:cs="宋体"/>
          <w:bCs/>
          <w:color w:val="auto"/>
          <w:highlight w:val="none"/>
        </w:rPr>
        <w:t>7.</w:t>
      </w:r>
      <w:r>
        <w:rPr>
          <w:rFonts w:hint="eastAsia" w:cs="宋体"/>
          <w:bCs/>
          <w:color w:val="auto"/>
          <w:highlight w:val="none"/>
          <w:lang w:val="en-US" w:eastAsia="zh-CN"/>
        </w:rPr>
        <w:t>3</w:t>
      </w:r>
      <w:r>
        <w:rPr>
          <w:rFonts w:hint="eastAsia" w:cs="宋体"/>
          <w:bCs/>
          <w:color w:val="auto"/>
          <w:highlight w:val="none"/>
        </w:rPr>
        <w:t>.3招标文件、中标人的投标文件及其澄清文件等，均为签订协议的依据。</w:t>
      </w:r>
    </w:p>
    <w:p>
      <w:pPr>
        <w:pStyle w:val="174"/>
        <w:numPr>
          <w:ilvl w:val="0"/>
          <w:numId w:val="0"/>
        </w:numPr>
        <w:ind w:right="210" w:firstLine="244" w:firstLineChars="100"/>
        <w:rPr>
          <w:rFonts w:hint="eastAsia" w:cs="宋体"/>
          <w:color w:val="auto"/>
          <w:highlight w:val="none"/>
        </w:rPr>
      </w:pPr>
      <w:r>
        <w:rPr>
          <w:rFonts w:hint="eastAsia" w:cs="宋体"/>
          <w:bCs/>
          <w:color w:val="auto"/>
          <w:highlight w:val="none"/>
        </w:rPr>
        <w:t>7.</w:t>
      </w:r>
      <w:r>
        <w:rPr>
          <w:rFonts w:hint="eastAsia" w:cs="宋体"/>
          <w:bCs/>
          <w:color w:val="auto"/>
          <w:highlight w:val="none"/>
          <w:lang w:val="en-US" w:eastAsia="zh-CN"/>
        </w:rPr>
        <w:t>3</w:t>
      </w:r>
      <w:r>
        <w:rPr>
          <w:rFonts w:hint="eastAsia" w:cs="宋体"/>
          <w:bCs/>
          <w:color w:val="auto"/>
          <w:highlight w:val="none"/>
        </w:rPr>
        <w:t>.4甲方应将合同授予能够满意的履行合同义务合理投标价的投标人。</w:t>
      </w:r>
    </w:p>
    <w:p>
      <w:pPr>
        <w:pStyle w:val="174"/>
        <w:numPr>
          <w:ilvl w:val="0"/>
          <w:numId w:val="0"/>
        </w:numPr>
        <w:ind w:right="210" w:firstLine="244" w:firstLineChars="100"/>
        <w:rPr>
          <w:rFonts w:hint="eastAsia" w:cs="宋体"/>
          <w:bCs/>
          <w:color w:val="auto"/>
          <w:highlight w:val="none"/>
        </w:rPr>
      </w:pPr>
      <w:r>
        <w:rPr>
          <w:rFonts w:hint="eastAsia" w:cs="宋体"/>
          <w:bCs/>
          <w:color w:val="auto"/>
          <w:highlight w:val="none"/>
        </w:rPr>
        <w:t>7.</w:t>
      </w:r>
      <w:r>
        <w:rPr>
          <w:rFonts w:hint="eastAsia" w:cs="宋体"/>
          <w:bCs/>
          <w:color w:val="auto"/>
          <w:highlight w:val="none"/>
          <w:lang w:val="en-US" w:eastAsia="zh-CN"/>
        </w:rPr>
        <w:t>3</w:t>
      </w:r>
      <w:r>
        <w:rPr>
          <w:rFonts w:hint="eastAsia" w:cs="宋体"/>
          <w:bCs/>
          <w:color w:val="auto"/>
          <w:highlight w:val="none"/>
        </w:rPr>
        <w:t>.5甲方有授予合同时变更数量的权利。</w:t>
      </w:r>
    </w:p>
    <w:p>
      <w:pPr>
        <w:spacing w:line="360" w:lineRule="auto"/>
        <w:ind w:left="567" w:hanging="567"/>
        <w:jc w:val="center"/>
        <w:rPr>
          <w:rFonts w:hint="eastAsia" w:ascii="Cambria" w:hAnsi="Cambria"/>
          <w:bCs/>
          <w:color w:val="auto"/>
          <w:kern w:val="28"/>
          <w:sz w:val="32"/>
          <w:szCs w:val="32"/>
          <w:highlight w:val="none"/>
        </w:rPr>
      </w:pPr>
    </w:p>
    <w:p>
      <w:pPr>
        <w:spacing w:line="360" w:lineRule="auto"/>
        <w:ind w:left="567" w:hanging="567"/>
        <w:jc w:val="center"/>
        <w:rPr>
          <w:rFonts w:hint="eastAsia" w:ascii="Cambria" w:hAnsi="Cambria"/>
          <w:bCs/>
          <w:color w:val="auto"/>
          <w:kern w:val="28"/>
          <w:sz w:val="32"/>
          <w:szCs w:val="32"/>
          <w:highlight w:val="none"/>
        </w:rPr>
      </w:pPr>
    </w:p>
    <w:p>
      <w:pPr>
        <w:widowControl/>
        <w:spacing w:line="360" w:lineRule="auto"/>
        <w:ind w:firstLine="488" w:firstLineChars="200"/>
        <w:rPr>
          <w:rFonts w:hint="eastAsia" w:ascii="宋体" w:hAnsi="宋体" w:cs="宋体"/>
          <w:color w:val="auto"/>
          <w:spacing w:val="2"/>
          <w:kern w:val="0"/>
          <w:sz w:val="24"/>
          <w:szCs w:val="24"/>
          <w:highlight w:val="none"/>
        </w:rPr>
      </w:pPr>
    </w:p>
    <w:p>
      <w:pPr>
        <w:widowControl/>
        <w:spacing w:line="360" w:lineRule="auto"/>
        <w:ind w:firstLine="488" w:firstLineChars="200"/>
        <w:rPr>
          <w:rFonts w:hint="eastAsia" w:ascii="宋体" w:hAnsi="宋体" w:cs="宋体"/>
          <w:color w:val="auto"/>
          <w:spacing w:val="2"/>
          <w:kern w:val="0"/>
          <w:sz w:val="24"/>
          <w:szCs w:val="24"/>
          <w:highlight w:val="none"/>
        </w:rPr>
      </w:pPr>
    </w:p>
    <w:p>
      <w:pPr>
        <w:rPr>
          <w:rFonts w:hint="eastAsia" w:ascii="宋体" w:hAnsi="宋体" w:cs="宋体"/>
          <w:color w:val="auto"/>
          <w:spacing w:val="2"/>
          <w:kern w:val="0"/>
          <w:sz w:val="24"/>
          <w:szCs w:val="24"/>
          <w:highlight w:val="none"/>
        </w:rPr>
      </w:pPr>
      <w:r>
        <w:rPr>
          <w:rFonts w:hint="eastAsia" w:ascii="宋体" w:hAnsi="宋体" w:cs="宋体"/>
          <w:color w:val="auto"/>
          <w:spacing w:val="2"/>
          <w:kern w:val="0"/>
          <w:sz w:val="24"/>
          <w:szCs w:val="24"/>
          <w:highlight w:val="none"/>
        </w:rPr>
        <w:br w:type="page"/>
      </w:r>
    </w:p>
    <w:p>
      <w:pPr>
        <w:bidi w:val="0"/>
        <w:rPr>
          <w:rFonts w:hint="eastAsia"/>
        </w:rPr>
      </w:pPr>
    </w:p>
    <w:p>
      <w:pPr>
        <w:spacing w:line="360" w:lineRule="auto"/>
        <w:ind w:left="567" w:hanging="567"/>
        <w:jc w:val="center"/>
        <w:outlineLvl w:val="1"/>
        <w:rPr>
          <w:rFonts w:hint="eastAsia" w:ascii="宋体" w:hAnsi="宋体"/>
          <w:b/>
          <w:bCs/>
          <w:color w:val="auto"/>
          <w:sz w:val="32"/>
          <w:szCs w:val="32"/>
          <w:highlight w:val="none"/>
        </w:rPr>
      </w:pPr>
      <w:r>
        <w:rPr>
          <w:rFonts w:hint="eastAsia" w:ascii="宋体" w:hAnsi="宋体"/>
          <w:b/>
          <w:bCs/>
          <w:color w:val="auto"/>
          <w:sz w:val="32"/>
          <w:szCs w:val="32"/>
          <w:highlight w:val="none"/>
          <w:lang w:val="en-US" w:eastAsia="zh-CN"/>
        </w:rPr>
        <w:t>八</w:t>
      </w:r>
      <w:r>
        <w:rPr>
          <w:rFonts w:hint="eastAsia" w:ascii="宋体" w:hAnsi="宋体"/>
          <w:b/>
          <w:bCs/>
          <w:color w:val="auto"/>
          <w:sz w:val="32"/>
          <w:szCs w:val="32"/>
          <w:highlight w:val="none"/>
        </w:rPr>
        <w:t>、投标人纪律要求</w:t>
      </w:r>
    </w:p>
    <w:p>
      <w:pPr>
        <w:spacing w:line="360" w:lineRule="auto"/>
        <w:ind w:firstLine="482" w:firstLineChars="200"/>
        <w:rPr>
          <w:rFonts w:ascii="宋体" w:hAnsi="宋体"/>
          <w:b/>
          <w:color w:val="auto"/>
          <w:sz w:val="24"/>
          <w:szCs w:val="24"/>
          <w:highlight w:val="none"/>
        </w:rPr>
      </w:pPr>
      <w:r>
        <w:rPr>
          <w:rFonts w:ascii="宋体" w:hAnsi="宋体"/>
          <w:b/>
          <w:color w:val="auto"/>
          <w:sz w:val="24"/>
          <w:szCs w:val="24"/>
          <w:highlight w:val="none"/>
        </w:rPr>
        <w:t>投标人有下列情形之一的，</w:t>
      </w:r>
      <w:r>
        <w:rPr>
          <w:rFonts w:hint="eastAsia" w:ascii="宋体" w:hAnsi="宋体"/>
          <w:b/>
          <w:color w:val="auto"/>
          <w:sz w:val="24"/>
          <w:szCs w:val="24"/>
          <w:highlight w:val="none"/>
        </w:rPr>
        <w:t>投</w:t>
      </w:r>
      <w:r>
        <w:rPr>
          <w:rFonts w:ascii="宋体" w:hAnsi="宋体"/>
          <w:b/>
          <w:color w:val="auto"/>
          <w:sz w:val="24"/>
          <w:szCs w:val="24"/>
          <w:highlight w:val="none"/>
        </w:rPr>
        <w:t>标无效，给招标人造成损失的，依法承担赔偿责任；依情节严重程度取消其一至三年内参加</w:t>
      </w:r>
      <w:r>
        <w:rPr>
          <w:rFonts w:hint="eastAsia" w:ascii="宋体" w:hAnsi="宋体"/>
          <w:b/>
          <w:color w:val="auto"/>
          <w:sz w:val="24"/>
          <w:szCs w:val="24"/>
          <w:highlight w:val="none"/>
        </w:rPr>
        <w:t>中煤天津设计工程</w:t>
      </w:r>
      <w:r>
        <w:rPr>
          <w:rFonts w:ascii="宋体" w:hAnsi="宋体"/>
          <w:b/>
          <w:color w:val="auto"/>
          <w:sz w:val="24"/>
          <w:szCs w:val="24"/>
          <w:highlight w:val="none"/>
        </w:rPr>
        <w:t>公司投标资格</w:t>
      </w:r>
      <w:r>
        <w:rPr>
          <w:rFonts w:hint="eastAsia" w:ascii="宋体" w:hAnsi="宋体"/>
          <w:b/>
          <w:color w:val="auto"/>
          <w:sz w:val="24"/>
          <w:szCs w:val="24"/>
          <w:highlight w:val="none"/>
        </w:rPr>
        <w:t>并上报中煤集团</w:t>
      </w:r>
      <w:r>
        <w:rPr>
          <w:rFonts w:ascii="宋体" w:hAnsi="宋体"/>
          <w:b/>
          <w:color w:val="auto"/>
          <w:sz w:val="24"/>
          <w:szCs w:val="24"/>
          <w:highlight w:val="none"/>
        </w:rPr>
        <w:t>等处罚；构成犯罪的，依法追究刑事责任：</w:t>
      </w:r>
    </w:p>
    <w:p>
      <w:pPr>
        <w:spacing w:line="360" w:lineRule="auto"/>
        <w:rPr>
          <w:rFonts w:ascii="宋体" w:hAnsi="宋体"/>
          <w:b/>
          <w:color w:val="auto"/>
          <w:sz w:val="24"/>
          <w:szCs w:val="24"/>
          <w:highlight w:val="none"/>
        </w:rPr>
      </w:pPr>
      <w:r>
        <w:rPr>
          <w:rFonts w:ascii="宋体" w:hAnsi="宋体"/>
          <w:b/>
          <w:color w:val="auto"/>
          <w:sz w:val="24"/>
          <w:szCs w:val="24"/>
          <w:highlight w:val="none"/>
        </w:rPr>
        <w:t>（</w:t>
      </w:r>
      <w:r>
        <w:rPr>
          <w:rFonts w:hint="eastAsia" w:ascii="宋体" w:hAnsi="宋体"/>
          <w:b/>
          <w:color w:val="auto"/>
          <w:sz w:val="24"/>
          <w:szCs w:val="24"/>
          <w:highlight w:val="none"/>
        </w:rPr>
        <w:t>1</w:t>
      </w:r>
      <w:r>
        <w:rPr>
          <w:rFonts w:ascii="宋体" w:hAnsi="宋体"/>
          <w:b/>
          <w:color w:val="auto"/>
          <w:sz w:val="24"/>
          <w:szCs w:val="24"/>
          <w:highlight w:val="none"/>
        </w:rPr>
        <w:t>）相互串通投标或者与招标人串通投标的，或者以向招标人或者评标委员会成员行贿的手段谋取中标的；</w:t>
      </w:r>
    </w:p>
    <w:p>
      <w:pPr>
        <w:spacing w:line="360" w:lineRule="auto"/>
        <w:rPr>
          <w:rFonts w:ascii="宋体" w:hAnsi="宋体"/>
          <w:b/>
          <w:color w:val="auto"/>
          <w:sz w:val="24"/>
          <w:szCs w:val="24"/>
          <w:highlight w:val="none"/>
        </w:rPr>
      </w:pPr>
      <w:r>
        <w:rPr>
          <w:rFonts w:ascii="宋体" w:hAnsi="宋体"/>
          <w:b/>
          <w:color w:val="auto"/>
          <w:sz w:val="24"/>
          <w:szCs w:val="24"/>
          <w:highlight w:val="none"/>
        </w:rPr>
        <w:t>（</w:t>
      </w:r>
      <w:r>
        <w:rPr>
          <w:rFonts w:hint="eastAsia" w:ascii="宋体" w:hAnsi="宋体"/>
          <w:b/>
          <w:color w:val="auto"/>
          <w:sz w:val="24"/>
          <w:szCs w:val="24"/>
          <w:highlight w:val="none"/>
        </w:rPr>
        <w:t>2</w:t>
      </w:r>
      <w:r>
        <w:rPr>
          <w:rFonts w:ascii="宋体" w:hAnsi="宋体"/>
          <w:b/>
          <w:color w:val="auto"/>
          <w:sz w:val="24"/>
          <w:szCs w:val="24"/>
          <w:highlight w:val="none"/>
        </w:rPr>
        <w:t>）以他人名义投标，或者以其他方式弄虚作假骗取中标的；</w:t>
      </w:r>
    </w:p>
    <w:p>
      <w:pPr>
        <w:spacing w:line="360" w:lineRule="auto"/>
        <w:rPr>
          <w:rFonts w:ascii="宋体" w:hAnsi="宋体"/>
          <w:b/>
          <w:color w:val="auto"/>
          <w:sz w:val="24"/>
          <w:szCs w:val="24"/>
          <w:highlight w:val="none"/>
        </w:rPr>
      </w:pPr>
      <w:r>
        <w:rPr>
          <w:rFonts w:ascii="宋体" w:hAnsi="宋体"/>
          <w:b/>
          <w:color w:val="auto"/>
          <w:sz w:val="24"/>
          <w:szCs w:val="24"/>
          <w:highlight w:val="none"/>
        </w:rPr>
        <w:t>（</w:t>
      </w:r>
      <w:r>
        <w:rPr>
          <w:rFonts w:hint="eastAsia" w:ascii="宋体" w:hAnsi="宋体"/>
          <w:b/>
          <w:color w:val="auto"/>
          <w:sz w:val="24"/>
          <w:szCs w:val="24"/>
          <w:highlight w:val="none"/>
        </w:rPr>
        <w:t>3</w:t>
      </w:r>
      <w:r>
        <w:rPr>
          <w:rFonts w:ascii="宋体" w:hAnsi="宋体"/>
          <w:b/>
          <w:color w:val="auto"/>
          <w:sz w:val="24"/>
          <w:szCs w:val="24"/>
          <w:highlight w:val="none"/>
        </w:rPr>
        <w:t>）投标人收到中标通知书后，无正当理由不与招标人订立合同，在签订合同时向招标人提出附加条件，或者不按照招标文件要求提交履约保证金的；</w:t>
      </w:r>
    </w:p>
    <w:p>
      <w:pPr>
        <w:spacing w:line="360" w:lineRule="auto"/>
        <w:rPr>
          <w:rFonts w:ascii="宋体" w:hAnsi="宋体"/>
          <w:b/>
          <w:color w:val="auto"/>
          <w:sz w:val="24"/>
          <w:szCs w:val="24"/>
          <w:highlight w:val="none"/>
        </w:rPr>
      </w:pPr>
      <w:r>
        <w:rPr>
          <w:rFonts w:ascii="宋体" w:hAnsi="宋体"/>
          <w:b/>
          <w:color w:val="auto"/>
          <w:sz w:val="24"/>
          <w:szCs w:val="24"/>
          <w:highlight w:val="none"/>
        </w:rPr>
        <w:t>（</w:t>
      </w:r>
      <w:r>
        <w:rPr>
          <w:rFonts w:hint="eastAsia" w:ascii="宋体" w:hAnsi="宋体"/>
          <w:b/>
          <w:color w:val="auto"/>
          <w:sz w:val="24"/>
          <w:szCs w:val="24"/>
          <w:highlight w:val="none"/>
        </w:rPr>
        <w:t>4</w:t>
      </w:r>
      <w:r>
        <w:rPr>
          <w:rFonts w:ascii="宋体" w:hAnsi="宋体"/>
          <w:b/>
          <w:color w:val="auto"/>
          <w:sz w:val="24"/>
          <w:szCs w:val="24"/>
          <w:highlight w:val="none"/>
        </w:rPr>
        <w:t>）投标人捏造事实、伪造材料或者以非法手段取得证明材料进行恶意投诉的。</w:t>
      </w:r>
    </w:p>
    <w:p>
      <w:pPr>
        <w:widowControl/>
        <w:spacing w:line="360" w:lineRule="auto"/>
        <w:ind w:firstLine="482" w:firstLineChars="200"/>
        <w:rPr>
          <w:rStyle w:val="66"/>
          <w:rFonts w:hint="default" w:ascii="Times New Roman" w:hAnsi="Times New Roman" w:cs="Times New Roman"/>
          <w:b/>
          <w:bCs/>
          <w:color w:val="auto"/>
          <w:highlight w:val="none"/>
        </w:rPr>
        <w:sectPr>
          <w:pgSz w:w="11906" w:h="16838"/>
          <w:pgMar w:top="1440" w:right="1800" w:bottom="1440" w:left="1800" w:header="851" w:footer="992" w:gutter="0"/>
          <w:pgNumType w:start="1"/>
          <w:cols w:space="720" w:num="1"/>
          <w:docGrid w:type="lines" w:linePitch="312" w:charSpace="0"/>
        </w:sectPr>
      </w:pPr>
      <w:r>
        <w:rPr>
          <w:rFonts w:ascii="宋体" w:hAnsi="宋体"/>
          <w:b/>
          <w:color w:val="auto"/>
          <w:sz w:val="24"/>
          <w:szCs w:val="24"/>
          <w:highlight w:val="none"/>
        </w:rPr>
        <w:t>投标人中标后，将中标项目全部转让给他人的，将中标项目肢解后分别转让给他人的，违反招标投标法和实施条例规定将中标项目的部分主体、关键性工作分包给他人的，或者分包人再次分包的，除按照国家规定处罚外，取消其一至三年内参加</w:t>
      </w:r>
      <w:r>
        <w:rPr>
          <w:rFonts w:hint="eastAsia" w:ascii="宋体" w:hAnsi="宋体"/>
          <w:b/>
          <w:color w:val="auto"/>
          <w:sz w:val="24"/>
          <w:szCs w:val="24"/>
          <w:highlight w:val="none"/>
        </w:rPr>
        <w:t>中煤</w:t>
      </w:r>
      <w:r>
        <w:rPr>
          <w:rFonts w:ascii="宋体" w:hAnsi="宋体"/>
          <w:b/>
          <w:color w:val="auto"/>
          <w:sz w:val="24"/>
          <w:szCs w:val="24"/>
          <w:highlight w:val="none"/>
        </w:rPr>
        <w:t>集团公司的投标资格。</w:t>
      </w:r>
    </w:p>
    <w:bookmarkEnd w:id="43"/>
    <w:p>
      <w:pPr>
        <w:pStyle w:val="4"/>
        <w:bidi w:val="0"/>
        <w:jc w:val="center"/>
        <w:rPr>
          <w:rFonts w:hint="default" w:ascii="Times New Roman" w:hAnsi="Times New Roman" w:cs="Times New Roman"/>
          <w:b/>
          <w:color w:val="auto"/>
          <w:kern w:val="2"/>
          <w:sz w:val="44"/>
          <w:szCs w:val="44"/>
          <w:highlight w:val="none"/>
        </w:rPr>
      </w:pPr>
      <w:bookmarkStart w:id="56" w:name="_Toc9289"/>
      <w:bookmarkStart w:id="57" w:name="_Toc376793587"/>
      <w:bookmarkStart w:id="58" w:name="_Toc376793568"/>
      <w:bookmarkStart w:id="59" w:name="_Toc376793722"/>
      <w:bookmarkStart w:id="60" w:name="_Toc10184882"/>
      <w:bookmarkStart w:id="61" w:name="_Toc382509462"/>
      <w:r>
        <w:rPr>
          <w:rFonts w:hint="default" w:ascii="Times New Roman" w:hAnsi="Times New Roman" w:cs="Times New Roman"/>
          <w:b/>
          <w:color w:val="auto"/>
          <w:kern w:val="2"/>
          <w:sz w:val="44"/>
          <w:szCs w:val="44"/>
          <w:highlight w:val="none"/>
        </w:rPr>
        <w:fldChar w:fldCharType="begin"/>
      </w:r>
      <w:r>
        <w:rPr>
          <w:rFonts w:hint="default" w:ascii="Times New Roman" w:hAnsi="Times New Roman" w:cs="Times New Roman"/>
          <w:b/>
          <w:color w:val="auto"/>
          <w:kern w:val="2"/>
          <w:sz w:val="44"/>
          <w:szCs w:val="44"/>
          <w:highlight w:val="none"/>
        </w:rPr>
        <w:instrText xml:space="preserve"> HYPERLINK \l "_Toc10184881" </w:instrText>
      </w:r>
      <w:r>
        <w:rPr>
          <w:rFonts w:hint="default" w:ascii="Times New Roman" w:hAnsi="Times New Roman" w:cs="Times New Roman"/>
          <w:b/>
          <w:color w:val="auto"/>
          <w:kern w:val="2"/>
          <w:sz w:val="44"/>
          <w:szCs w:val="44"/>
          <w:highlight w:val="none"/>
        </w:rPr>
        <w:fldChar w:fldCharType="separate"/>
      </w:r>
      <w:r>
        <w:rPr>
          <w:rFonts w:hint="default" w:ascii="Times New Roman" w:hAnsi="Times New Roman" w:cs="Times New Roman"/>
          <w:b/>
          <w:color w:val="auto"/>
          <w:kern w:val="2"/>
          <w:sz w:val="44"/>
          <w:szCs w:val="44"/>
          <w:highlight w:val="none"/>
        </w:rPr>
        <w:t>第三章 合同主要条款</w:t>
      </w:r>
      <w:r>
        <w:rPr>
          <w:rFonts w:hint="default" w:ascii="Times New Roman" w:hAnsi="Times New Roman" w:cs="Times New Roman"/>
          <w:b/>
          <w:color w:val="auto"/>
          <w:kern w:val="2"/>
          <w:sz w:val="44"/>
          <w:szCs w:val="44"/>
          <w:highlight w:val="none"/>
        </w:rPr>
        <w:fldChar w:fldCharType="end"/>
      </w:r>
    </w:p>
    <w:p>
      <w:pPr>
        <w:spacing w:line="420" w:lineRule="exact"/>
        <w:rPr>
          <w:rFonts w:hint="default" w:ascii="Times New Roman" w:hAnsi="Times New Roman" w:cs="Times New Roman"/>
          <w:color w:val="auto"/>
          <w:sz w:val="30"/>
          <w:highlight w:val="none"/>
        </w:rPr>
      </w:pPr>
    </w:p>
    <w:p>
      <w:pPr>
        <w:spacing w:line="420" w:lineRule="exact"/>
        <w:jc w:val="center"/>
        <w:rPr>
          <w:rFonts w:hint="default" w:ascii="Times New Roman" w:hAnsi="Times New Roman" w:eastAsia="仿宋_GB2312" w:cs="Times New Roman"/>
          <w:color w:val="auto"/>
          <w:sz w:val="48"/>
          <w:szCs w:val="48"/>
          <w:highlight w:val="none"/>
        </w:rPr>
      </w:pPr>
    </w:p>
    <w:p>
      <w:pPr>
        <w:jc w:val="center"/>
        <w:rPr>
          <w:rFonts w:hint="eastAsia"/>
          <w:b/>
          <w:bCs/>
          <w:sz w:val="44"/>
        </w:rPr>
      </w:pPr>
      <w:r>
        <w:rPr>
          <w:rFonts w:hint="eastAsia"/>
          <w:b/>
          <w:bCs/>
          <w:sz w:val="44"/>
        </w:rPr>
        <w:t>第一部分　　协议书</w:t>
      </w:r>
    </w:p>
    <w:p>
      <w:pPr>
        <w:jc w:val="center"/>
        <w:rPr>
          <w:rFonts w:hint="eastAsia"/>
          <w:b/>
          <w:bCs/>
          <w:sz w:val="44"/>
        </w:rPr>
      </w:pPr>
    </w:p>
    <w:p>
      <w:pPr>
        <w:spacing w:line="460" w:lineRule="exact"/>
        <w:ind w:firstLine="400" w:firstLineChars="200"/>
        <w:rPr>
          <w:rFonts w:hint="eastAsia"/>
        </w:rPr>
      </w:pPr>
      <w:r>
        <w:rPr>
          <w:rFonts w:hint="eastAsia"/>
        </w:rPr>
        <w:t>承包人（全称）：</w:t>
      </w:r>
      <w:r>
        <w:rPr>
          <w:rFonts w:hint="eastAsia"/>
          <w:u w:val="single"/>
        </w:rPr>
        <w:t xml:space="preserve">                            </w:t>
      </w:r>
    </w:p>
    <w:p>
      <w:pPr>
        <w:spacing w:line="460" w:lineRule="exact"/>
        <w:ind w:firstLine="400" w:firstLineChars="200"/>
        <w:rPr>
          <w:rFonts w:hint="eastAsia"/>
        </w:rPr>
      </w:pPr>
      <w:r>
        <w:rPr>
          <w:rFonts w:hint="eastAsia"/>
        </w:rPr>
        <w:t>分包人（全称）：</w:t>
      </w:r>
      <w:r>
        <w:rPr>
          <w:rFonts w:hint="eastAsia"/>
          <w:u w:val="single"/>
        </w:rPr>
        <w:t xml:space="preserve">                            </w:t>
      </w:r>
    </w:p>
    <w:p>
      <w:pPr>
        <w:spacing w:line="460" w:lineRule="exact"/>
        <w:rPr>
          <w:rFonts w:hint="eastAsia"/>
        </w:rPr>
      </w:pPr>
    </w:p>
    <w:p>
      <w:pPr>
        <w:spacing w:line="460" w:lineRule="exact"/>
        <w:ind w:firstLine="420"/>
        <w:rPr>
          <w:rFonts w:hint="eastAsia"/>
        </w:rPr>
      </w:pPr>
      <w:r>
        <w:rPr>
          <w:rFonts w:hint="eastAsia"/>
        </w:rPr>
        <w:t>依照《中华人民共和国合同法》、《中华人民共和国建筑法》及其它有关法律、行政法规，遵循平等、自愿、公平和诚实信用的原则，鉴于</w:t>
      </w:r>
      <w:r>
        <w:rPr>
          <w:rFonts w:hint="eastAsia"/>
          <w:u w:val="single"/>
        </w:rPr>
        <w:t xml:space="preserve">                        </w:t>
      </w:r>
      <w:r>
        <w:rPr>
          <w:rFonts w:hint="eastAsia"/>
        </w:rPr>
        <w:t>（以下简称为“发包人”）与承包人已经签订施工总承包合同（以下称为“总包合同”），承包人和分包人双方就分包工程施工事项经协商达成一致，订立本合同。</w:t>
      </w:r>
    </w:p>
    <w:p>
      <w:pPr>
        <w:ind w:firstLine="400" w:firstLineChars="200"/>
        <w:rPr>
          <w:rFonts w:hint="eastAsia"/>
        </w:rPr>
      </w:pPr>
      <w:r>
        <w:rPr>
          <w:rFonts w:hint="eastAsia"/>
        </w:rPr>
        <w:t>一、分包工程概况</w:t>
      </w:r>
    </w:p>
    <w:p>
      <w:pPr>
        <w:spacing w:line="460" w:lineRule="exact"/>
        <w:rPr>
          <w:rFonts w:hint="eastAsia"/>
        </w:rPr>
      </w:pPr>
      <w:r>
        <w:rPr>
          <w:rFonts w:hint="eastAsia"/>
        </w:rPr>
        <w:t xml:space="preserve">    分包工程名称：</w:t>
      </w:r>
    </w:p>
    <w:p>
      <w:pPr>
        <w:spacing w:line="460" w:lineRule="exact"/>
        <w:rPr>
          <w:rFonts w:hint="eastAsia"/>
        </w:rPr>
      </w:pPr>
      <w:r>
        <w:rPr>
          <w:rFonts w:hint="eastAsia"/>
        </w:rPr>
        <w:t xml:space="preserve">    分包工程地点：</w:t>
      </w:r>
    </w:p>
    <w:p>
      <w:pPr>
        <w:spacing w:line="460" w:lineRule="exact"/>
        <w:rPr>
          <w:rFonts w:hint="eastAsia"/>
        </w:rPr>
      </w:pPr>
      <w:r>
        <w:rPr>
          <w:rFonts w:hint="eastAsia"/>
        </w:rPr>
        <w:t xml:space="preserve">    分包工程承包范围： </w:t>
      </w:r>
    </w:p>
    <w:p>
      <w:pPr>
        <w:spacing w:line="460" w:lineRule="exact"/>
        <w:ind w:firstLine="400" w:firstLineChars="200"/>
        <w:rPr>
          <w:rFonts w:hint="eastAsia"/>
        </w:rPr>
      </w:pPr>
      <w:r>
        <w:rPr>
          <w:rFonts w:hint="eastAsia"/>
        </w:rPr>
        <w:t>二、分包合同价款</w:t>
      </w:r>
    </w:p>
    <w:p>
      <w:pPr>
        <w:spacing w:line="460" w:lineRule="exact"/>
        <w:ind w:firstLine="435"/>
        <w:rPr>
          <w:rFonts w:hint="eastAsia"/>
        </w:rPr>
      </w:pPr>
      <w:r>
        <w:rPr>
          <w:rFonts w:hint="eastAsia"/>
        </w:rPr>
        <w:t>金额：大写：人民币</w:t>
      </w:r>
      <w:r>
        <w:rPr>
          <w:rFonts w:hint="eastAsia"/>
          <w:u w:val="single"/>
        </w:rPr>
        <w:t xml:space="preserve">           </w:t>
      </w:r>
      <w:r>
        <w:rPr>
          <w:u w:val="single"/>
        </w:rPr>
        <w:t xml:space="preserve">           </w:t>
      </w:r>
      <w:r>
        <w:rPr>
          <w:rFonts w:hint="eastAsia"/>
          <w:u w:val="single"/>
        </w:rPr>
        <w:t>元</w:t>
      </w:r>
      <w:r>
        <w:rPr>
          <w:rFonts w:hint="eastAsia"/>
        </w:rPr>
        <w:t>，</w:t>
      </w:r>
    </w:p>
    <w:p>
      <w:pPr>
        <w:spacing w:line="460" w:lineRule="exact"/>
        <w:ind w:firstLine="1014" w:firstLineChars="507"/>
        <w:rPr>
          <w:rFonts w:hint="eastAsia"/>
          <w:u w:val="single"/>
        </w:rPr>
      </w:pPr>
      <w:r>
        <w:rPr>
          <w:rFonts w:hint="eastAsia"/>
        </w:rPr>
        <w:t>小写：</w:t>
      </w:r>
      <w:r>
        <w:rPr>
          <w:rFonts w:hint="eastAsia"/>
          <w:u w:val="single"/>
        </w:rPr>
        <w:t xml:space="preserve">             </w:t>
      </w:r>
      <w:r>
        <w:rPr>
          <w:rFonts w:hint="eastAsia"/>
        </w:rPr>
        <w:t>元。</w:t>
      </w:r>
    </w:p>
    <w:p>
      <w:pPr>
        <w:spacing w:line="460" w:lineRule="exact"/>
        <w:ind w:firstLine="400" w:firstLineChars="200"/>
        <w:rPr>
          <w:rFonts w:hint="eastAsia"/>
        </w:rPr>
      </w:pPr>
      <w:r>
        <w:rPr>
          <w:rFonts w:hint="eastAsia"/>
        </w:rPr>
        <w:t>三、工期</w:t>
      </w:r>
    </w:p>
    <w:p>
      <w:pPr>
        <w:spacing w:line="460" w:lineRule="exact"/>
        <w:rPr>
          <w:rFonts w:hint="eastAsia"/>
        </w:rPr>
      </w:pPr>
      <w:r>
        <w:rPr>
          <w:rFonts w:hint="eastAsia"/>
        </w:rPr>
        <w:t xml:space="preserve">    开工日期：本分包工程定于</w:t>
      </w:r>
      <w:r>
        <w:rPr>
          <w:rFonts w:hint="eastAsia"/>
          <w:u w:val="single"/>
        </w:rPr>
        <w:tab/>
      </w:r>
      <w:r>
        <w:rPr>
          <w:rFonts w:hint="eastAsia"/>
          <w:u w:val="single"/>
        </w:rPr>
        <w:tab/>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日开工；</w:t>
      </w:r>
    </w:p>
    <w:p>
      <w:pPr>
        <w:spacing w:line="460" w:lineRule="exact"/>
        <w:rPr>
          <w:rFonts w:hint="eastAsia"/>
        </w:rPr>
      </w:pPr>
      <w:r>
        <w:rPr>
          <w:rFonts w:hint="eastAsia"/>
        </w:rPr>
        <w:t xml:space="preserve">    竣工日期：本分包工程定于</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日竣工；</w:t>
      </w:r>
    </w:p>
    <w:p>
      <w:pPr>
        <w:spacing w:line="460" w:lineRule="exact"/>
        <w:rPr>
          <w:rFonts w:hint="eastAsia"/>
        </w:rPr>
      </w:pPr>
      <w:r>
        <w:rPr>
          <w:rFonts w:hint="eastAsia"/>
        </w:rPr>
        <w:t xml:space="preserve">    合同工期总日历天数为：</w:t>
      </w:r>
      <w:r>
        <w:rPr>
          <w:rFonts w:hint="eastAsia"/>
          <w:u w:val="single"/>
        </w:rPr>
        <w:t xml:space="preserve">      </w:t>
      </w:r>
      <w:r>
        <w:rPr>
          <w:rFonts w:hint="eastAsia"/>
        </w:rPr>
        <w:t xml:space="preserve"> 天。</w:t>
      </w:r>
    </w:p>
    <w:p>
      <w:pPr>
        <w:spacing w:line="460" w:lineRule="exact"/>
        <w:ind w:firstLine="400" w:firstLineChars="200"/>
        <w:rPr>
          <w:rFonts w:hint="eastAsia"/>
        </w:rPr>
      </w:pPr>
      <w:r>
        <w:rPr>
          <w:rFonts w:hint="eastAsia"/>
        </w:rPr>
        <w:t>四、工程质量标准</w:t>
      </w:r>
    </w:p>
    <w:p>
      <w:pPr>
        <w:spacing w:line="460" w:lineRule="exact"/>
        <w:rPr>
          <w:rFonts w:hint="eastAsia"/>
        </w:rPr>
      </w:pPr>
      <w:r>
        <w:rPr>
          <w:rFonts w:hint="eastAsia"/>
        </w:rPr>
        <w:t xml:space="preserve">    本分包工程质量标准双方约定为：</w:t>
      </w:r>
      <w:r>
        <w:rPr>
          <w:rFonts w:hint="eastAsia"/>
          <w:u w:val="single"/>
        </w:rPr>
        <w:t xml:space="preserve">                                      </w:t>
      </w:r>
    </w:p>
    <w:p>
      <w:pPr>
        <w:spacing w:line="460" w:lineRule="exact"/>
        <w:ind w:firstLine="400" w:firstLineChars="200"/>
        <w:rPr>
          <w:rFonts w:hint="eastAsia"/>
        </w:rPr>
      </w:pPr>
      <w:r>
        <w:rPr>
          <w:rFonts w:hint="eastAsia"/>
        </w:rPr>
        <w:t>五、组成分包合同的文件包括：</w:t>
      </w:r>
    </w:p>
    <w:p>
      <w:pPr>
        <w:spacing w:line="460" w:lineRule="exact"/>
        <w:ind w:firstLine="400" w:firstLineChars="200"/>
        <w:rPr>
          <w:rFonts w:hint="eastAsia"/>
        </w:rPr>
      </w:pPr>
      <w:r>
        <w:rPr>
          <w:rFonts w:hint="eastAsia"/>
        </w:rPr>
        <w:t>1、本合同协议书；</w:t>
      </w:r>
    </w:p>
    <w:p>
      <w:pPr>
        <w:spacing w:line="460" w:lineRule="exact"/>
        <w:ind w:firstLine="400" w:firstLineChars="200"/>
        <w:rPr>
          <w:rFonts w:hint="eastAsia"/>
        </w:rPr>
      </w:pPr>
      <w:r>
        <w:rPr>
          <w:rFonts w:hint="eastAsia"/>
        </w:rPr>
        <w:t>2、中标通知书（如有时）；</w:t>
      </w:r>
    </w:p>
    <w:p>
      <w:pPr>
        <w:spacing w:line="460" w:lineRule="exact"/>
        <w:ind w:firstLine="400" w:firstLineChars="200"/>
        <w:rPr>
          <w:rFonts w:hint="eastAsia"/>
        </w:rPr>
      </w:pPr>
      <w:r>
        <w:rPr>
          <w:rFonts w:hint="eastAsia"/>
        </w:rPr>
        <w:t>3、分包人的报价书；</w:t>
      </w:r>
    </w:p>
    <w:p>
      <w:pPr>
        <w:spacing w:line="460" w:lineRule="exact"/>
        <w:ind w:firstLine="400" w:firstLineChars="200"/>
        <w:rPr>
          <w:rFonts w:hint="eastAsia"/>
        </w:rPr>
      </w:pPr>
      <w:r>
        <w:rPr>
          <w:rFonts w:hint="eastAsia"/>
        </w:rPr>
        <w:t>4、除总包合同工程价款之外的总包合同文件；</w:t>
      </w:r>
    </w:p>
    <w:p>
      <w:pPr>
        <w:spacing w:line="460" w:lineRule="exact"/>
        <w:ind w:firstLine="400" w:firstLineChars="200"/>
        <w:rPr>
          <w:rFonts w:hint="eastAsia"/>
        </w:rPr>
      </w:pPr>
      <w:r>
        <w:rPr>
          <w:rFonts w:hint="eastAsia"/>
        </w:rPr>
        <w:t>5、本合同专用条款；</w:t>
      </w:r>
    </w:p>
    <w:p>
      <w:pPr>
        <w:spacing w:line="460" w:lineRule="exact"/>
        <w:ind w:firstLine="400" w:firstLineChars="200"/>
        <w:rPr>
          <w:rFonts w:hint="eastAsia"/>
        </w:rPr>
      </w:pPr>
      <w:r>
        <w:rPr>
          <w:rFonts w:hint="eastAsia"/>
        </w:rPr>
        <w:t>6、本合同通用条款；</w:t>
      </w:r>
    </w:p>
    <w:p>
      <w:pPr>
        <w:spacing w:line="460" w:lineRule="exact"/>
        <w:ind w:firstLine="400" w:firstLineChars="200"/>
        <w:rPr>
          <w:rFonts w:hint="eastAsia"/>
        </w:rPr>
      </w:pPr>
      <w:r>
        <w:rPr>
          <w:rFonts w:hint="eastAsia"/>
        </w:rPr>
        <w:t>7、本合同工程建设标准、图纸及有关技术文件；</w:t>
      </w:r>
    </w:p>
    <w:p>
      <w:pPr>
        <w:spacing w:line="460" w:lineRule="exact"/>
        <w:ind w:firstLine="400" w:firstLineChars="200"/>
        <w:rPr>
          <w:rFonts w:hint="eastAsia"/>
        </w:rPr>
      </w:pPr>
      <w:r>
        <w:rPr>
          <w:rFonts w:hint="eastAsia"/>
        </w:rPr>
        <w:t>8、合同履行过程中，承包人和分包人协商一致的其它书面文件。</w:t>
      </w:r>
    </w:p>
    <w:p>
      <w:pPr>
        <w:spacing w:line="460" w:lineRule="exact"/>
        <w:ind w:firstLine="420" w:firstLineChars="200"/>
        <w:rPr>
          <w:rFonts w:hint="eastAsia"/>
          <w:sz w:val="21"/>
          <w:szCs w:val="22"/>
        </w:rPr>
      </w:pPr>
      <w:r>
        <w:rPr>
          <w:rFonts w:hint="eastAsia"/>
          <w:sz w:val="21"/>
          <w:szCs w:val="22"/>
        </w:rPr>
        <w:t>六、本协议书中有关词语的含义与本合同第二部分《通用条款》中分别赋予它们的定义相同。</w:t>
      </w:r>
    </w:p>
    <w:p>
      <w:pPr>
        <w:spacing w:line="460" w:lineRule="exact"/>
        <w:ind w:firstLine="420" w:firstLineChars="200"/>
        <w:rPr>
          <w:rFonts w:hint="eastAsia"/>
          <w:sz w:val="21"/>
          <w:szCs w:val="22"/>
        </w:rPr>
      </w:pPr>
      <w:r>
        <w:rPr>
          <w:rFonts w:hint="eastAsia"/>
          <w:sz w:val="21"/>
          <w:szCs w:val="22"/>
        </w:rPr>
        <w:t>七、分包人向承包人承诺，按照合同约定的工期和质量标准，完成本协议书第一条约定的工程（以下简称为“分包工程”），并在质量保修期内承担保修责任。</w:t>
      </w:r>
    </w:p>
    <w:p>
      <w:pPr>
        <w:spacing w:line="460" w:lineRule="exact"/>
        <w:ind w:firstLine="420" w:firstLineChars="200"/>
        <w:rPr>
          <w:rFonts w:hint="eastAsia"/>
          <w:sz w:val="21"/>
          <w:szCs w:val="22"/>
        </w:rPr>
      </w:pPr>
      <w:r>
        <w:rPr>
          <w:rFonts w:hint="eastAsia"/>
          <w:sz w:val="21"/>
          <w:szCs w:val="22"/>
        </w:rPr>
        <w:t>八、承包人向分包人承诺，按照合同约定的期限和方式，支付本协议书第二条约定的合同价款（以下简称“分包合同价”），以及其他应当支付的款项。</w:t>
      </w:r>
    </w:p>
    <w:p>
      <w:pPr>
        <w:spacing w:line="460" w:lineRule="exact"/>
        <w:ind w:firstLine="400" w:firstLineChars="200"/>
        <w:rPr>
          <w:rFonts w:hint="eastAsia"/>
        </w:rPr>
      </w:pPr>
      <w:r>
        <w:rPr>
          <w:rFonts w:hint="eastAsia"/>
        </w:rPr>
        <w:t>九、分包人向承包人承诺，履行总包合同中与分包工程有关的承包人的所有义务，并与承包人承担履行分包工程合同以及确保分包工程质量的连带责任。</w:t>
      </w:r>
    </w:p>
    <w:p>
      <w:pPr>
        <w:spacing w:line="460" w:lineRule="exact"/>
        <w:ind w:firstLine="400" w:firstLineChars="200"/>
        <w:rPr>
          <w:rFonts w:hint="eastAsia"/>
        </w:rPr>
      </w:pPr>
      <w:r>
        <w:rPr>
          <w:rFonts w:hint="eastAsia"/>
        </w:rPr>
        <w:t>十、合同的生效</w:t>
      </w:r>
    </w:p>
    <w:p>
      <w:pPr>
        <w:spacing w:line="460" w:lineRule="exact"/>
      </w:pPr>
      <w:r>
        <w:t xml:space="preserve">    </w:t>
      </w:r>
      <w:r>
        <w:rPr>
          <w:rFonts w:hint="eastAsia"/>
        </w:rPr>
        <w:t>合同订立时间：</w:t>
      </w:r>
      <w:r>
        <w:rPr>
          <w:u w:val="single"/>
        </w:rPr>
        <w:t xml:space="preserve">    </w:t>
      </w:r>
      <w:r>
        <w:rPr>
          <w:rFonts w:hint="eastAsia"/>
          <w:u w:val="single"/>
        </w:rPr>
        <w:t xml:space="preserve"> </w:t>
      </w:r>
      <w:r>
        <w:rPr>
          <w:u w:val="single"/>
        </w:rPr>
        <w:t xml:space="preserve">  </w:t>
      </w:r>
      <w:r>
        <w:rPr>
          <w:rFonts w:hint="eastAsia"/>
        </w:rPr>
        <w:t>年</w:t>
      </w:r>
      <w:r>
        <w:rPr>
          <w:u w:val="single"/>
        </w:rPr>
        <w:t xml:space="preserve">  </w:t>
      </w:r>
      <w:r>
        <w:rPr>
          <w:rFonts w:hint="eastAsia"/>
          <w:u w:val="single"/>
        </w:rPr>
        <w:t xml:space="preserve">    </w:t>
      </w:r>
      <w:r>
        <w:rPr>
          <w:u w:val="single"/>
        </w:rPr>
        <w:t xml:space="preserve">  </w:t>
      </w:r>
      <w:r>
        <w:rPr>
          <w:rFonts w:hint="eastAsia"/>
        </w:rPr>
        <w:t>月</w:t>
      </w:r>
      <w:r>
        <w:rPr>
          <w:u w:val="single"/>
        </w:rPr>
        <w:t xml:space="preserve">  </w:t>
      </w:r>
      <w:r>
        <w:rPr>
          <w:rFonts w:hint="eastAsia"/>
          <w:u w:val="single"/>
        </w:rPr>
        <w:t xml:space="preserve">  </w:t>
      </w:r>
      <w:r>
        <w:rPr>
          <w:u w:val="single"/>
        </w:rPr>
        <w:t xml:space="preserve"> </w:t>
      </w:r>
      <w:r>
        <w:rPr>
          <w:rFonts w:hint="eastAsia"/>
          <w:u w:val="single"/>
        </w:rPr>
        <w:t xml:space="preserve"> </w:t>
      </w:r>
      <w:r>
        <w:rPr>
          <w:rFonts w:hint="eastAsia"/>
        </w:rPr>
        <w:t>日；</w:t>
      </w:r>
    </w:p>
    <w:p>
      <w:pPr>
        <w:spacing w:line="460" w:lineRule="exact"/>
      </w:pPr>
      <w:r>
        <w:t xml:space="preserve">    </w:t>
      </w:r>
      <w:r>
        <w:rPr>
          <w:rFonts w:hint="eastAsia"/>
        </w:rPr>
        <w:t>合同订立地点：</w:t>
      </w:r>
      <w:r>
        <w:rPr>
          <w:rFonts w:hint="eastAsia"/>
          <w:u w:val="single"/>
        </w:rPr>
        <w:t xml:space="preserve">   </w:t>
      </w:r>
      <w:r>
        <w:rPr>
          <w:u w:val="single"/>
        </w:rPr>
        <w:t xml:space="preserve">             </w:t>
      </w:r>
      <w:r>
        <w:rPr>
          <w:rFonts w:hint="eastAsia"/>
          <w:u w:val="single"/>
        </w:rPr>
        <w:t xml:space="preserve">    </w:t>
      </w:r>
      <w:r>
        <w:rPr>
          <w:u w:val="single"/>
        </w:rPr>
        <w:t xml:space="preserve">   </w:t>
      </w:r>
      <w:r>
        <w:rPr>
          <w:rFonts w:hint="eastAsia"/>
          <w:u w:val="single"/>
        </w:rPr>
        <w:t xml:space="preserve"> </w:t>
      </w:r>
      <w:r>
        <w:rPr>
          <w:u w:val="single"/>
        </w:rPr>
        <w:t xml:space="preserve">   </w:t>
      </w:r>
      <w:r>
        <w:t xml:space="preserve">       </w:t>
      </w:r>
    </w:p>
    <w:p>
      <w:pPr>
        <w:spacing w:line="460" w:lineRule="exact"/>
        <w:rPr>
          <w:rFonts w:hint="eastAsia"/>
        </w:rPr>
      </w:pPr>
      <w:r>
        <w:t xml:space="preserve">    </w:t>
      </w:r>
      <w:r>
        <w:rPr>
          <w:rFonts w:hint="eastAsia"/>
        </w:rPr>
        <w:t>本合同双方约定</w:t>
      </w:r>
      <w:r>
        <w:rPr>
          <w:u w:val="single"/>
        </w:rPr>
        <w:t xml:space="preserve">        </w:t>
      </w:r>
      <w:r>
        <w:rPr>
          <w:rFonts w:hint="eastAsia"/>
          <w:u w:val="single"/>
        </w:rPr>
        <w:t xml:space="preserve">        </w:t>
      </w:r>
      <w:r>
        <w:rPr>
          <w:u w:val="single"/>
        </w:rPr>
        <w:t xml:space="preserve"> </w:t>
      </w:r>
      <w:r>
        <w:rPr>
          <w:rFonts w:hint="eastAsia"/>
          <w:u w:val="single"/>
        </w:rPr>
        <w:t xml:space="preserve">  </w:t>
      </w:r>
      <w:r>
        <w:rPr>
          <w:u w:val="single"/>
        </w:rPr>
        <w:t xml:space="preserve">  </w:t>
      </w:r>
      <w:r>
        <w:rPr>
          <w:rFonts w:hint="eastAsia"/>
        </w:rPr>
        <w:t>后生效。</w:t>
      </w:r>
    </w:p>
    <w:p>
      <w:pPr>
        <w:spacing w:line="460" w:lineRule="exact"/>
        <w:rPr>
          <w:rFonts w:hint="eastAsia"/>
        </w:rPr>
      </w:pPr>
    </w:p>
    <w:p>
      <w:pPr>
        <w:spacing w:line="460" w:lineRule="exact"/>
      </w:pPr>
      <w:r>
        <w:t xml:space="preserve">   </w:t>
      </w:r>
      <w:r>
        <w:rPr>
          <w:rFonts w:hint="eastAsia"/>
        </w:rPr>
        <w:t xml:space="preserve"> 承包人：（公章）</w:t>
      </w:r>
      <w:r>
        <w:t xml:space="preserve">             </w:t>
      </w:r>
      <w:r>
        <w:rPr>
          <w:rFonts w:hint="eastAsia"/>
        </w:rPr>
        <w:t xml:space="preserve">        分包人：（公章）</w:t>
      </w:r>
    </w:p>
    <w:p>
      <w:pPr>
        <w:spacing w:line="460" w:lineRule="exact"/>
      </w:pPr>
      <w:r>
        <w:t xml:space="preserve">    </w:t>
      </w:r>
      <w:r>
        <w:rPr>
          <w:rFonts w:hint="eastAsia"/>
        </w:rPr>
        <w:t>住所：</w:t>
      </w:r>
      <w:r>
        <w:t xml:space="preserve">                      </w:t>
      </w:r>
      <w:r>
        <w:rPr>
          <w:rFonts w:hint="eastAsia"/>
        </w:rPr>
        <w:t xml:space="preserve">        </w:t>
      </w:r>
      <w:r>
        <w:rPr>
          <w:rFonts w:hint="eastAsia"/>
          <w:lang w:val="en-US" w:eastAsia="zh-CN"/>
        </w:rPr>
        <w:t xml:space="preserve">            </w:t>
      </w:r>
      <w:r>
        <w:rPr>
          <w:rFonts w:hint="eastAsia"/>
        </w:rPr>
        <w:t>住所：</w:t>
      </w:r>
      <w:r>
        <w:t xml:space="preserve">                </w:t>
      </w:r>
    </w:p>
    <w:p>
      <w:pPr>
        <w:spacing w:line="460" w:lineRule="exact"/>
      </w:pPr>
      <w:r>
        <w:t xml:space="preserve">    </w:t>
      </w:r>
      <w:r>
        <w:rPr>
          <w:rFonts w:hint="eastAsia"/>
        </w:rPr>
        <w:t>法定代表人：</w:t>
      </w:r>
      <w:r>
        <w:t xml:space="preserve">                </w:t>
      </w:r>
      <w:r>
        <w:rPr>
          <w:rFonts w:hint="eastAsia"/>
          <w:lang w:val="en-US" w:eastAsia="zh-CN"/>
        </w:rPr>
        <w:t xml:space="preserve">              </w:t>
      </w:r>
      <w:r>
        <w:rPr>
          <w:rFonts w:hint="eastAsia"/>
        </w:rPr>
        <w:t>法定代表人：</w:t>
      </w:r>
      <w:r>
        <w:t xml:space="preserve">          </w:t>
      </w:r>
    </w:p>
    <w:p>
      <w:pPr>
        <w:spacing w:line="460" w:lineRule="exact"/>
      </w:pPr>
      <w:r>
        <w:t xml:space="preserve">    </w:t>
      </w:r>
      <w:r>
        <w:rPr>
          <w:rFonts w:hint="eastAsia"/>
        </w:rPr>
        <w:t>委托代理人：</w:t>
      </w:r>
      <w:r>
        <w:t xml:space="preserve">                 </w:t>
      </w:r>
      <w:r>
        <w:rPr>
          <w:rFonts w:hint="eastAsia"/>
        </w:rPr>
        <w:tab/>
      </w:r>
      <w:r>
        <w:rPr>
          <w:rFonts w:hint="eastAsia"/>
        </w:rPr>
        <w:t>委托代理人：</w:t>
      </w:r>
      <w:r>
        <w:t xml:space="preserve">          </w:t>
      </w:r>
    </w:p>
    <w:p>
      <w:pPr>
        <w:spacing w:line="460" w:lineRule="exact"/>
      </w:pPr>
      <w:r>
        <w:t xml:space="preserve">    </w:t>
      </w:r>
      <w:r>
        <w:rPr>
          <w:rFonts w:hint="eastAsia"/>
        </w:rPr>
        <w:t>电话：</w:t>
      </w:r>
      <w:r>
        <w:t xml:space="preserve">                      </w:t>
      </w:r>
      <w:r>
        <w:rPr>
          <w:rFonts w:hint="eastAsia"/>
        </w:rPr>
        <w:tab/>
      </w:r>
      <w:r>
        <w:rPr>
          <w:rFonts w:hint="eastAsia"/>
        </w:rPr>
        <w:tab/>
      </w:r>
      <w:r>
        <w:rPr>
          <w:rFonts w:hint="eastAsia"/>
        </w:rPr>
        <w:t>电话：</w:t>
      </w:r>
      <w:r>
        <w:t xml:space="preserve">                </w:t>
      </w:r>
    </w:p>
    <w:p>
      <w:pPr>
        <w:spacing w:line="460" w:lineRule="exact"/>
      </w:pPr>
      <w:r>
        <w:t xml:space="preserve">    </w:t>
      </w:r>
      <w:r>
        <w:rPr>
          <w:rFonts w:hint="eastAsia"/>
        </w:rPr>
        <w:t>传真：</w:t>
      </w:r>
      <w:r>
        <w:t xml:space="preserve">                      </w:t>
      </w:r>
      <w:r>
        <w:rPr>
          <w:rFonts w:hint="eastAsia"/>
        </w:rPr>
        <w:tab/>
      </w:r>
      <w:r>
        <w:rPr>
          <w:rFonts w:hint="eastAsia"/>
        </w:rPr>
        <w:tab/>
      </w:r>
      <w:r>
        <w:rPr>
          <w:rFonts w:hint="eastAsia"/>
        </w:rPr>
        <w:t>传真：</w:t>
      </w:r>
      <w:r>
        <w:t xml:space="preserve">                </w:t>
      </w:r>
    </w:p>
    <w:p>
      <w:pPr>
        <w:spacing w:line="460" w:lineRule="exact"/>
      </w:pPr>
      <w:r>
        <w:t xml:space="preserve">    </w:t>
      </w:r>
      <w:r>
        <w:rPr>
          <w:rFonts w:hint="eastAsia"/>
        </w:rPr>
        <w:t>开户银行：</w:t>
      </w:r>
      <w:r>
        <w:t xml:space="preserve">                   </w:t>
      </w:r>
      <w:r>
        <w:rPr>
          <w:rFonts w:hint="eastAsia"/>
        </w:rPr>
        <w:tab/>
      </w:r>
      <w:r>
        <w:rPr>
          <w:rFonts w:hint="eastAsia"/>
        </w:rPr>
        <w:tab/>
      </w:r>
      <w:r>
        <w:rPr>
          <w:rFonts w:hint="eastAsia"/>
        </w:rPr>
        <w:t>开户银行：</w:t>
      </w:r>
      <w:r>
        <w:t xml:space="preserve">            </w:t>
      </w:r>
    </w:p>
    <w:p>
      <w:pPr>
        <w:spacing w:line="460" w:lineRule="exact"/>
      </w:pPr>
      <w:r>
        <w:t xml:space="preserve">    </w:t>
      </w:r>
      <w:r>
        <w:rPr>
          <w:rFonts w:hint="eastAsia"/>
        </w:rPr>
        <w:t>帐号：</w:t>
      </w:r>
      <w:r>
        <w:t xml:space="preserve">                      </w:t>
      </w:r>
      <w:r>
        <w:rPr>
          <w:rFonts w:hint="eastAsia"/>
        </w:rPr>
        <w:tab/>
      </w:r>
      <w:r>
        <w:rPr>
          <w:rFonts w:hint="eastAsia"/>
        </w:rPr>
        <w:tab/>
      </w:r>
      <w:r>
        <w:rPr>
          <w:rFonts w:hint="eastAsia"/>
        </w:rPr>
        <w:t>帐号：</w:t>
      </w:r>
      <w:r>
        <w:t xml:space="preserve">                </w:t>
      </w:r>
    </w:p>
    <w:p>
      <w:pPr>
        <w:spacing w:line="460" w:lineRule="exact"/>
      </w:pPr>
      <w:r>
        <w:t xml:space="preserve">    </w:t>
      </w:r>
      <w:r>
        <w:rPr>
          <w:rFonts w:hint="eastAsia"/>
        </w:rPr>
        <w:t>邮政编码：</w:t>
      </w:r>
      <w:r>
        <w:t xml:space="preserve">                   </w:t>
      </w:r>
      <w:r>
        <w:rPr>
          <w:rFonts w:hint="eastAsia"/>
        </w:rPr>
        <w:tab/>
      </w:r>
      <w:r>
        <w:rPr>
          <w:rFonts w:hint="eastAsia"/>
        </w:rPr>
        <w:tab/>
      </w:r>
      <w:r>
        <w:rPr>
          <w:rFonts w:hint="eastAsia"/>
        </w:rPr>
        <w:t>邮政编码：</w:t>
      </w:r>
      <w:r>
        <w:t xml:space="preserve">            </w:t>
      </w:r>
    </w:p>
    <w:p>
      <w:pPr>
        <w:spacing w:line="460" w:lineRule="exact"/>
        <w:jc w:val="center"/>
        <w:rPr>
          <w:rFonts w:hint="eastAsia"/>
          <w:b/>
          <w:sz w:val="36"/>
          <w:szCs w:val="36"/>
        </w:rPr>
      </w:pPr>
      <w:r>
        <w:br w:type="page"/>
      </w:r>
      <w:r>
        <w:rPr>
          <w:rFonts w:hint="eastAsia"/>
          <w:b/>
          <w:sz w:val="36"/>
          <w:szCs w:val="36"/>
        </w:rPr>
        <w:t>第二部分  通用条款</w:t>
      </w:r>
    </w:p>
    <w:p>
      <w:pPr>
        <w:pStyle w:val="5"/>
        <w:jc w:val="center"/>
        <w:rPr>
          <w:rFonts w:hint="eastAsia"/>
        </w:rPr>
      </w:pPr>
      <w:r>
        <w:rPr>
          <w:rFonts w:hint="eastAsia"/>
        </w:rPr>
        <w:t>一、词语定义及合同文件</w:t>
      </w:r>
    </w:p>
    <w:p>
      <w:pPr>
        <w:pStyle w:val="6"/>
        <w:ind w:firstLine="321" w:firstLineChars="100"/>
        <w:rPr>
          <w:rFonts w:hint="eastAsia"/>
        </w:rPr>
      </w:pPr>
      <w:r>
        <w:rPr>
          <w:rFonts w:hint="eastAsia"/>
        </w:rPr>
        <w:t>1、词语定义</w:t>
      </w:r>
    </w:p>
    <w:p>
      <w:pPr>
        <w:spacing w:line="480" w:lineRule="exact"/>
        <w:ind w:left="360"/>
        <w:rPr>
          <w:rFonts w:hint="eastAsia"/>
        </w:rPr>
      </w:pPr>
      <w:r>
        <w:rPr>
          <w:rFonts w:hint="eastAsia"/>
        </w:rPr>
        <w:t>下列词语除专用条款另有约定外，应具有本条款所赋予的定义：</w:t>
      </w:r>
    </w:p>
    <w:p>
      <w:pPr>
        <w:spacing w:line="480" w:lineRule="exact"/>
        <w:ind w:firstLine="435"/>
        <w:rPr>
          <w:rFonts w:hint="eastAsia"/>
        </w:rPr>
      </w:pPr>
      <w:r>
        <w:t>1.</w:t>
      </w:r>
      <w:r>
        <w:rPr>
          <w:rFonts w:hint="eastAsia"/>
        </w:rPr>
        <w:t>1 通用条款：是根据法律、行政法规规定及建设工程施工的需要订立，通用于分包工程施工的条款。</w:t>
      </w:r>
    </w:p>
    <w:p>
      <w:pPr>
        <w:spacing w:line="480" w:lineRule="exact"/>
        <w:ind w:firstLine="435"/>
        <w:rPr>
          <w:rFonts w:hint="eastAsia"/>
          <w:b/>
        </w:rPr>
      </w:pPr>
      <w:r>
        <w:rPr>
          <w:rFonts w:hint="eastAsia"/>
        </w:rPr>
        <w:t>1</w:t>
      </w:r>
      <w:r>
        <w:t>.</w:t>
      </w:r>
      <w:r>
        <w:rPr>
          <w:rFonts w:hint="eastAsia"/>
        </w:rPr>
        <w:t>2 专用条款：是承包人与分包人根据法律、行政法规规定，结合具体工程实际，经协商达成一致意见的条款，是对通用条款的具体化、补充或修改。</w:t>
      </w:r>
    </w:p>
    <w:p>
      <w:pPr>
        <w:spacing w:line="480" w:lineRule="exact"/>
        <w:rPr>
          <w:rFonts w:hint="eastAsia"/>
        </w:rPr>
      </w:pPr>
      <w:r>
        <w:rPr>
          <w:rFonts w:hint="eastAsia"/>
        </w:rPr>
        <w:t xml:space="preserve">    </w:t>
      </w:r>
      <w:r>
        <w:t>1.</w:t>
      </w:r>
      <w:r>
        <w:rPr>
          <w:rFonts w:hint="eastAsia"/>
        </w:rPr>
        <w:t>3 发包人：指在总包合同协议书中约定的具有工程发包主体资格和支付工程价款能力的当事人，以及取得该当事人资格的合法继承人。</w:t>
      </w:r>
    </w:p>
    <w:p>
      <w:pPr>
        <w:spacing w:line="480" w:lineRule="exact"/>
        <w:ind w:firstLine="435"/>
        <w:rPr>
          <w:rFonts w:hint="eastAsia"/>
        </w:rPr>
      </w:pPr>
      <w:r>
        <w:rPr>
          <w:rFonts w:hint="eastAsia"/>
        </w:rPr>
        <w:t>1</w:t>
      </w:r>
      <w:r>
        <w:t>.</w:t>
      </w:r>
      <w:r>
        <w:rPr>
          <w:rFonts w:hint="eastAsia"/>
        </w:rPr>
        <w:t>4 承包人：指在总包合同协议书中约定的，被发包人接受的具有工程施工总承包主体资格的当事人，以及取得该当事人资格的合法继承人。</w:t>
      </w:r>
    </w:p>
    <w:p>
      <w:pPr>
        <w:spacing w:line="480" w:lineRule="exact"/>
        <w:ind w:firstLine="435"/>
        <w:rPr>
          <w:rFonts w:hint="eastAsia"/>
        </w:rPr>
      </w:pPr>
      <w:r>
        <w:rPr>
          <w:rFonts w:hint="eastAsia"/>
        </w:rPr>
        <w:t>1</w:t>
      </w:r>
      <w:r>
        <w:t>.</w:t>
      </w:r>
      <w:r>
        <w:rPr>
          <w:rFonts w:hint="eastAsia"/>
        </w:rPr>
        <w:t>5 分包人：指在本分包合同协议书中约定的，被承包人接受的具有分包该工程资格的当事人，以及取得该当事人资格的合法继承人。</w:t>
      </w:r>
    </w:p>
    <w:p>
      <w:pPr>
        <w:spacing w:line="480" w:lineRule="exact"/>
        <w:ind w:firstLine="400" w:firstLineChars="200"/>
        <w:rPr>
          <w:rFonts w:hint="eastAsia"/>
        </w:rPr>
      </w:pPr>
      <w:r>
        <w:rPr>
          <w:rFonts w:hint="eastAsia"/>
        </w:rPr>
        <w:t>1.6 总包工程：指由发包人和承包人在总包合同协议书中约定的承包范围内的工程。</w:t>
      </w:r>
    </w:p>
    <w:p>
      <w:pPr>
        <w:spacing w:line="480" w:lineRule="exact"/>
        <w:ind w:firstLine="435"/>
        <w:rPr>
          <w:rFonts w:hint="eastAsia"/>
        </w:rPr>
      </w:pPr>
      <w:r>
        <w:rPr>
          <w:rFonts w:hint="eastAsia"/>
        </w:rPr>
        <w:t>1.7 分包工程：指由承包人和分包人在本合同协议书中约定的分包范围内的工程。</w:t>
      </w:r>
    </w:p>
    <w:p>
      <w:pPr>
        <w:spacing w:line="480" w:lineRule="exact"/>
        <w:rPr>
          <w:rFonts w:hint="eastAsia"/>
        </w:rPr>
      </w:pPr>
      <w:r>
        <w:rPr>
          <w:rFonts w:hint="eastAsia"/>
        </w:rPr>
        <w:t xml:space="preserve">    </w:t>
      </w:r>
      <w:r>
        <w:t>1.</w:t>
      </w:r>
      <w:r>
        <w:rPr>
          <w:rFonts w:hint="eastAsia"/>
        </w:rPr>
        <w:t>8 工程师：指在总包合同中约定的由工程监理单位委派的工程师或发包人指定的履行总包合同的代表，其具体身份和职权由发包人和承包人在总包合同专用条款中约定。</w:t>
      </w:r>
    </w:p>
    <w:p>
      <w:pPr>
        <w:spacing w:line="480" w:lineRule="exact"/>
        <w:rPr>
          <w:rFonts w:hint="eastAsia"/>
        </w:rPr>
      </w:pPr>
      <w:r>
        <w:rPr>
          <w:rFonts w:hint="eastAsia"/>
        </w:rPr>
        <w:t xml:space="preserve">    1.9 项目经理：指承包人在总包合同专用条款和本合同专用条款中指定的负责施工管理、履行总包合同及本合同的代表。</w:t>
      </w:r>
    </w:p>
    <w:p>
      <w:pPr>
        <w:spacing w:line="480" w:lineRule="exact"/>
        <w:rPr>
          <w:rFonts w:hint="eastAsia"/>
        </w:rPr>
      </w:pPr>
      <w:r>
        <w:rPr>
          <w:rFonts w:hint="eastAsia"/>
        </w:rPr>
        <w:t xml:space="preserve">    1</w:t>
      </w:r>
      <w:r>
        <w:t>.</w:t>
      </w:r>
      <w:r>
        <w:rPr>
          <w:rFonts w:hint="eastAsia"/>
        </w:rPr>
        <w:t>10 分包项目经理：指由分包人在分包合同专用条款中指定的负责施工管理和履行分包合同的代表。</w:t>
      </w:r>
    </w:p>
    <w:p>
      <w:pPr>
        <w:spacing w:line="480" w:lineRule="exact"/>
        <w:ind w:firstLine="435"/>
        <w:rPr>
          <w:rFonts w:hint="eastAsia"/>
        </w:rPr>
      </w:pPr>
      <w:r>
        <w:rPr>
          <w:rFonts w:hint="eastAsia"/>
        </w:rPr>
        <w:t>1</w:t>
      </w:r>
      <w:r>
        <w:t>.</w:t>
      </w:r>
      <w:r>
        <w:rPr>
          <w:rFonts w:hint="eastAsia"/>
        </w:rPr>
        <w:t>11 总包合同：指发包人与承包人之间签订的施工总承包合同，由协议书、通用条款和专用条款组成。</w:t>
      </w:r>
    </w:p>
    <w:p>
      <w:pPr>
        <w:spacing w:line="480" w:lineRule="exact"/>
        <w:ind w:firstLine="435"/>
        <w:rPr>
          <w:rFonts w:hint="eastAsia"/>
        </w:rPr>
      </w:pPr>
      <w:r>
        <w:rPr>
          <w:rFonts w:hint="eastAsia"/>
        </w:rPr>
        <w:t>1.12 总包合同条款：指中华人民共和国建设部和国家工商行政管理局于1999年修订印发的《建设工程施工合同文本》（建建[1999]313号）中的施工合同通用条款，以及经发包人和承包人协商一致的专用条款。</w:t>
      </w:r>
    </w:p>
    <w:p>
      <w:pPr>
        <w:spacing w:line="480" w:lineRule="exact"/>
        <w:rPr>
          <w:rFonts w:hint="eastAsia"/>
        </w:rPr>
      </w:pPr>
      <w:r>
        <w:rPr>
          <w:rFonts w:hint="eastAsia"/>
        </w:rPr>
        <w:t xml:space="preserve">    1</w:t>
      </w:r>
      <w:r>
        <w:t>.</w:t>
      </w:r>
      <w:r>
        <w:rPr>
          <w:rFonts w:hint="eastAsia"/>
        </w:rPr>
        <w:t>13 分包合同：指承包人和分包人之间签订的施工专业分包合同，由协议书、通用条款和专用条款组成。</w:t>
      </w:r>
    </w:p>
    <w:p>
      <w:pPr>
        <w:spacing w:line="480" w:lineRule="exact"/>
        <w:rPr>
          <w:rFonts w:hint="eastAsia"/>
        </w:rPr>
      </w:pPr>
      <w:r>
        <w:rPr>
          <w:rFonts w:hint="eastAsia"/>
        </w:rPr>
        <w:t xml:space="preserve">    1.14 工程建设标准：指与分包工程相关的工程建设标准，以及经承包人确认的，对工程建设标准进行的任何修改或增补。</w:t>
      </w:r>
    </w:p>
    <w:p>
      <w:pPr>
        <w:spacing w:line="480" w:lineRule="exact"/>
        <w:rPr>
          <w:rFonts w:hint="eastAsia"/>
        </w:rPr>
      </w:pPr>
      <w:r>
        <w:rPr>
          <w:rFonts w:hint="eastAsia"/>
        </w:rPr>
        <w:t xml:space="preserve">    1.15 图纸：指由承包人提供的符合总包合同要求及分包合同需要的所有图纸、计算书、配套说明以及相关的技术资料。</w:t>
      </w:r>
    </w:p>
    <w:p>
      <w:pPr>
        <w:spacing w:line="480" w:lineRule="exact"/>
        <w:rPr>
          <w:rFonts w:hint="eastAsia"/>
        </w:rPr>
      </w:pPr>
      <w:r>
        <w:rPr>
          <w:rFonts w:hint="eastAsia"/>
        </w:rPr>
        <w:t xml:space="preserve">    1.16 报价书：指由分包人根据分包合同的规定，为完成分包工程，向承包人提出的分包合同报价。在承包人采用招标方式确定分包人时，该报价书应与中标通知书中的中标价格一致。</w:t>
      </w:r>
    </w:p>
    <w:p>
      <w:pPr>
        <w:spacing w:line="480" w:lineRule="exact"/>
        <w:rPr>
          <w:rFonts w:hint="eastAsia"/>
        </w:rPr>
      </w:pPr>
      <w:r>
        <w:rPr>
          <w:rFonts w:hint="eastAsia"/>
        </w:rPr>
        <w:t xml:space="preserve">    1.17 中标通知书：指由承包人发出的确定分包人中标的通知。</w:t>
      </w:r>
    </w:p>
    <w:p>
      <w:pPr>
        <w:spacing w:line="480" w:lineRule="exact"/>
        <w:rPr>
          <w:rFonts w:hint="eastAsia"/>
        </w:rPr>
      </w:pPr>
      <w:r>
        <w:rPr>
          <w:rFonts w:hint="eastAsia"/>
        </w:rPr>
        <w:t xml:space="preserve">    1.18 开工日期：指承包人和分包人在本合同协议书中约定的，分包人开始施工的绝对或相对的日期。</w:t>
      </w:r>
    </w:p>
    <w:p>
      <w:pPr>
        <w:spacing w:line="480" w:lineRule="exact"/>
        <w:rPr>
          <w:rFonts w:hint="eastAsia"/>
        </w:rPr>
      </w:pPr>
      <w:r>
        <w:rPr>
          <w:rFonts w:hint="eastAsia"/>
        </w:rPr>
        <w:t xml:space="preserve">    1.19 竣工日期：指承包人和分包人在本合同协议书中约定的，分包人完成分包工程的绝对或相对的日期。</w:t>
      </w:r>
    </w:p>
    <w:p>
      <w:pPr>
        <w:spacing w:line="480" w:lineRule="exact"/>
        <w:ind w:firstLine="435"/>
        <w:rPr>
          <w:rFonts w:hint="eastAsia"/>
        </w:rPr>
      </w:pPr>
      <w:r>
        <w:rPr>
          <w:rFonts w:hint="eastAsia"/>
        </w:rPr>
        <w:t>1.20合同价款：指承包人与分包人在本合同协议书中约定，承包人用以支付分包人按照分包合同完成分包范围内全部工程并承担质量保修责任的款项。</w:t>
      </w:r>
    </w:p>
    <w:p>
      <w:pPr>
        <w:spacing w:line="480" w:lineRule="exact"/>
        <w:ind w:firstLine="435"/>
        <w:rPr>
          <w:rFonts w:hint="eastAsia"/>
        </w:rPr>
      </w:pPr>
      <w:r>
        <w:rPr>
          <w:rFonts w:hint="eastAsia"/>
        </w:rPr>
        <w:t>1.21追加合同价款：指在分包合同履行过程中发生需要增加合同款项的情况，经承包人确认后，按双方约定的计算合同价款的方法增加的合同价款。</w:t>
      </w:r>
    </w:p>
    <w:p>
      <w:pPr>
        <w:spacing w:line="480" w:lineRule="exact"/>
        <w:rPr>
          <w:rFonts w:hint="eastAsia"/>
        </w:rPr>
      </w:pPr>
      <w:r>
        <w:rPr>
          <w:rFonts w:hint="eastAsia"/>
        </w:rPr>
        <w:t xml:space="preserve">    1.22 施工场地：指由承包人提供的用于分包工程施工的场所，以及承包人在现场总平面图中具体指定的供分包人施工使用的任何其他场所。 </w:t>
      </w:r>
    </w:p>
    <w:p>
      <w:pPr>
        <w:spacing w:line="480" w:lineRule="exact"/>
        <w:ind w:firstLine="400" w:firstLineChars="200"/>
        <w:rPr>
          <w:rFonts w:hint="eastAsia"/>
        </w:rPr>
      </w:pPr>
      <w:r>
        <w:rPr>
          <w:rFonts w:hint="eastAsia"/>
        </w:rPr>
        <w:t>1.23 书面形式：指分包合同、信件和数据电文（包括电报、电传、传真、电子数据交换和电子邮件）等可以有形地表现所载内容的形式。</w:t>
      </w:r>
    </w:p>
    <w:p>
      <w:pPr>
        <w:spacing w:line="480" w:lineRule="exact"/>
        <w:ind w:firstLine="435"/>
        <w:rPr>
          <w:rFonts w:hint="eastAsia"/>
        </w:rPr>
      </w:pPr>
      <w:r>
        <w:rPr>
          <w:rFonts w:hint="eastAsia"/>
        </w:rPr>
        <w:t>1.24 违约责任：指合同一方不履行合同义务或履行合同义务不符合约定内容，所应承担的责任。</w:t>
      </w:r>
    </w:p>
    <w:p>
      <w:pPr>
        <w:spacing w:line="480" w:lineRule="exact"/>
        <w:ind w:firstLine="435"/>
        <w:rPr>
          <w:rFonts w:hint="eastAsia"/>
        </w:rPr>
      </w:pPr>
      <w:r>
        <w:rPr>
          <w:rFonts w:hint="eastAsia"/>
        </w:rPr>
        <w:t>1.25 索赔：指在合同履行过程中，对于并非自己的过错，而是应由对方承担责任的情况造成的实际损失，向对方提出经济补偿和（或）工期顺延的要求。</w:t>
      </w:r>
    </w:p>
    <w:p>
      <w:pPr>
        <w:spacing w:line="480" w:lineRule="exact"/>
        <w:ind w:firstLine="435"/>
        <w:rPr>
          <w:rFonts w:hint="eastAsia"/>
        </w:rPr>
      </w:pPr>
      <w:r>
        <w:rPr>
          <w:rFonts w:hint="eastAsia"/>
        </w:rPr>
        <w:t>1.26 不可抗力：指不能预见、不能避免并不能克服的客观情况。</w:t>
      </w:r>
    </w:p>
    <w:p>
      <w:pPr>
        <w:spacing w:line="480" w:lineRule="exact"/>
        <w:ind w:firstLine="435"/>
        <w:rPr>
          <w:rFonts w:hint="eastAsia"/>
        </w:rPr>
      </w:pPr>
      <w:r>
        <w:rPr>
          <w:rFonts w:hint="eastAsia"/>
        </w:rPr>
        <w:t>1.27 小时或天：本合同中规定按小时计算时间的，从事件有效开始时计算（不扣除休息时间）；规定按天计算时间的，开始当天不计入，从次日开始计算。时限的最后一天是休息日或者其他法定节假日的，以休息日或节假日次日为时限的最后一天，但竣工日期除外。时限的最后一天的截止时间为当日24时。</w:t>
      </w:r>
    </w:p>
    <w:p>
      <w:pPr>
        <w:pStyle w:val="6"/>
        <w:ind w:firstLine="321" w:firstLineChars="100"/>
        <w:rPr>
          <w:rFonts w:hint="eastAsia"/>
        </w:rPr>
      </w:pPr>
      <w:r>
        <w:rPr>
          <w:rFonts w:hint="eastAsia"/>
        </w:rPr>
        <w:t>2</w:t>
      </w:r>
      <w:r>
        <w:rPr>
          <w:rFonts w:hint="eastAsia" w:ascii="宋体" w:hAnsi="宋体"/>
        </w:rPr>
        <w:t>、</w:t>
      </w:r>
      <w:r>
        <w:rPr>
          <w:rFonts w:hint="eastAsia"/>
        </w:rPr>
        <w:t>合同文件及解释顺序</w:t>
      </w:r>
    </w:p>
    <w:p>
      <w:pPr>
        <w:spacing w:line="480" w:lineRule="exact"/>
        <w:rPr>
          <w:rFonts w:hint="eastAsia"/>
        </w:rPr>
      </w:pPr>
      <w:r>
        <w:rPr>
          <w:rFonts w:hint="eastAsia"/>
        </w:rPr>
        <w:t xml:space="preserve">    2.1合同文件应能互相解释，互为说明。除本合同专用条款另有约定外，组成本合同的文件及优先解释顺序如下：</w:t>
      </w:r>
    </w:p>
    <w:p>
      <w:pPr>
        <w:spacing w:line="480" w:lineRule="exact"/>
        <w:ind w:left="204" w:leftChars="102" w:firstLine="200" w:firstLineChars="100"/>
        <w:rPr>
          <w:rFonts w:hint="eastAsia"/>
        </w:rPr>
      </w:pPr>
      <w:r>
        <w:rPr>
          <w:rFonts w:hint="eastAsia"/>
        </w:rPr>
        <w:t>（1）、本合同协议书；</w:t>
      </w:r>
    </w:p>
    <w:p>
      <w:pPr>
        <w:spacing w:line="480" w:lineRule="exact"/>
        <w:ind w:left="204" w:leftChars="102" w:firstLine="200" w:firstLineChars="100"/>
        <w:rPr>
          <w:rFonts w:hint="eastAsia"/>
        </w:rPr>
      </w:pPr>
      <w:r>
        <w:rPr>
          <w:rFonts w:hint="eastAsia"/>
        </w:rPr>
        <w:t>（2）、中标通知书（如有时）；</w:t>
      </w:r>
    </w:p>
    <w:p>
      <w:pPr>
        <w:spacing w:line="480" w:lineRule="exact"/>
        <w:ind w:left="204" w:leftChars="102" w:firstLine="200" w:firstLineChars="100"/>
        <w:rPr>
          <w:rFonts w:hint="eastAsia"/>
        </w:rPr>
      </w:pPr>
      <w:r>
        <w:rPr>
          <w:rFonts w:hint="eastAsia"/>
        </w:rPr>
        <w:t>（3）、分包人的投标函及报价书；</w:t>
      </w:r>
    </w:p>
    <w:p>
      <w:pPr>
        <w:spacing w:line="480" w:lineRule="exact"/>
        <w:ind w:left="204" w:leftChars="102" w:firstLine="200" w:firstLineChars="100"/>
        <w:rPr>
          <w:rFonts w:hint="eastAsia"/>
          <w:bCs/>
        </w:rPr>
      </w:pPr>
      <w:r>
        <w:rPr>
          <w:rFonts w:hint="eastAsia"/>
          <w:bCs/>
        </w:rPr>
        <w:t>（4）、除总包合同工程价款之外的总包合同文件。</w:t>
      </w:r>
    </w:p>
    <w:p>
      <w:pPr>
        <w:spacing w:line="480" w:lineRule="exact"/>
        <w:ind w:left="204" w:leftChars="102" w:firstLine="200" w:firstLineChars="100"/>
        <w:rPr>
          <w:rFonts w:hint="eastAsia"/>
        </w:rPr>
      </w:pPr>
      <w:r>
        <w:rPr>
          <w:rFonts w:hint="eastAsia"/>
        </w:rPr>
        <w:t>（5）、本合同专用条款；</w:t>
      </w:r>
    </w:p>
    <w:p>
      <w:pPr>
        <w:spacing w:line="480" w:lineRule="exact"/>
        <w:ind w:left="204" w:leftChars="102" w:firstLine="200" w:firstLineChars="100"/>
        <w:rPr>
          <w:rFonts w:hint="eastAsia"/>
        </w:rPr>
      </w:pPr>
      <w:r>
        <w:rPr>
          <w:rFonts w:hint="eastAsia"/>
        </w:rPr>
        <w:t>（6）、本合同通用条款；</w:t>
      </w:r>
    </w:p>
    <w:p>
      <w:pPr>
        <w:spacing w:line="480" w:lineRule="exact"/>
        <w:ind w:left="204" w:leftChars="102" w:firstLine="200" w:firstLineChars="100"/>
        <w:rPr>
          <w:rFonts w:hint="eastAsia"/>
        </w:rPr>
      </w:pPr>
      <w:r>
        <w:rPr>
          <w:rFonts w:hint="eastAsia"/>
        </w:rPr>
        <w:t>（7）、本合同工程建设标准、图纸；</w:t>
      </w:r>
    </w:p>
    <w:p>
      <w:pPr>
        <w:spacing w:line="480" w:lineRule="exact"/>
        <w:ind w:left="204" w:leftChars="102" w:firstLine="200" w:firstLineChars="100"/>
        <w:rPr>
          <w:rFonts w:hint="eastAsia"/>
          <w:bCs/>
        </w:rPr>
      </w:pPr>
      <w:r>
        <w:rPr>
          <w:rFonts w:hint="eastAsia"/>
          <w:bCs/>
        </w:rPr>
        <w:t>（8）、合同履行过程中，承包人和分包人协商一致的其他书面文件。</w:t>
      </w:r>
    </w:p>
    <w:p>
      <w:pPr>
        <w:spacing w:line="480" w:lineRule="exact"/>
        <w:ind w:firstLine="435"/>
        <w:rPr>
          <w:rFonts w:hint="eastAsia"/>
        </w:rPr>
      </w:pPr>
      <w:r>
        <w:rPr>
          <w:rFonts w:hint="eastAsia"/>
        </w:rPr>
        <w:t>2.2 当合同文件内容出现含糊不清或不相一致时，应在不影响工程正常进行的情况下，由分包人和承包人协商解决。双方协商不成时，按本合同通用条款第28条关于争议的约定处理。</w:t>
      </w:r>
    </w:p>
    <w:p>
      <w:pPr>
        <w:pStyle w:val="6"/>
        <w:ind w:firstLine="321" w:firstLineChars="100"/>
        <w:rPr>
          <w:rFonts w:hint="eastAsia"/>
        </w:rPr>
      </w:pPr>
      <w:r>
        <w:rPr>
          <w:rFonts w:hint="eastAsia"/>
        </w:rPr>
        <w:t>3</w:t>
      </w:r>
      <w:r>
        <w:rPr>
          <w:rFonts w:hint="eastAsia" w:ascii="宋体" w:hAnsi="宋体"/>
        </w:rPr>
        <w:t>、</w:t>
      </w:r>
      <w:r>
        <w:rPr>
          <w:rFonts w:hint="eastAsia"/>
        </w:rPr>
        <w:t>语言文字和适用法律、行政法规及工程建设标准</w:t>
      </w:r>
    </w:p>
    <w:p>
      <w:pPr>
        <w:spacing w:line="480" w:lineRule="exact"/>
        <w:rPr>
          <w:rFonts w:hint="eastAsia"/>
        </w:rPr>
      </w:pPr>
      <w:r>
        <w:rPr>
          <w:rFonts w:hint="eastAsia"/>
        </w:rPr>
        <w:t xml:space="preserve">    3.1 语言文字</w:t>
      </w:r>
    </w:p>
    <w:p>
      <w:pPr>
        <w:spacing w:line="480" w:lineRule="exact"/>
        <w:rPr>
          <w:rFonts w:hint="eastAsia"/>
        </w:rPr>
      </w:pPr>
      <w:r>
        <w:rPr>
          <w:rFonts w:hint="eastAsia"/>
        </w:rPr>
        <w:t xml:space="preserve">    除本合同专用条款中另有约定，本合同文件使用的语言文字应与总包合同文件使用的语言文字相同。</w:t>
      </w:r>
    </w:p>
    <w:p>
      <w:pPr>
        <w:spacing w:line="480" w:lineRule="exact"/>
        <w:rPr>
          <w:rFonts w:hint="eastAsia"/>
        </w:rPr>
      </w:pPr>
      <w:r>
        <w:rPr>
          <w:rFonts w:hint="eastAsia"/>
        </w:rPr>
        <w:t xml:space="preserve">    3.2 适用法律和行政法规</w:t>
      </w:r>
    </w:p>
    <w:p>
      <w:pPr>
        <w:spacing w:line="480" w:lineRule="exact"/>
        <w:rPr>
          <w:rFonts w:hint="eastAsia"/>
        </w:rPr>
      </w:pPr>
      <w:r>
        <w:rPr>
          <w:rFonts w:hint="eastAsia"/>
        </w:rPr>
        <w:t xml:space="preserve">    除本合同专用条款中另有约定，本合同适用的法律、法规应与总包合同中规定适用的法律、法规相同。需要明示的法律、行政法规在专用条款内约定。</w:t>
      </w:r>
    </w:p>
    <w:p>
      <w:pPr>
        <w:spacing w:line="480" w:lineRule="exact"/>
        <w:rPr>
          <w:rFonts w:hint="eastAsia"/>
        </w:rPr>
      </w:pPr>
      <w:r>
        <w:rPr>
          <w:rFonts w:hint="eastAsia"/>
        </w:rPr>
        <w:t xml:space="preserve">    3.3 适用工程建设标准</w:t>
      </w:r>
    </w:p>
    <w:p>
      <w:pPr>
        <w:spacing w:line="480" w:lineRule="exact"/>
        <w:rPr>
          <w:rFonts w:hint="eastAsia"/>
        </w:rPr>
      </w:pPr>
      <w:r>
        <w:rPr>
          <w:rFonts w:hint="eastAsia"/>
        </w:rPr>
        <w:t xml:space="preserve">    双方在本合同专用条款内约定适用的工程建设标准的名称；本合同专用条款没有具体约定的，应使用总包合同中所规定的与分包工程有关的工程建设标准。承包人应按本合同专用条款约定的时间向分包人提供一式两份约定的工程建设标准。</w:t>
      </w:r>
    </w:p>
    <w:p>
      <w:pPr>
        <w:spacing w:line="480" w:lineRule="exact"/>
        <w:rPr>
          <w:rFonts w:hint="eastAsia"/>
        </w:rPr>
      </w:pPr>
      <w:r>
        <w:rPr>
          <w:rFonts w:hint="eastAsia"/>
        </w:rPr>
        <w:t xml:space="preserve">    本合同中没有相应工程建设标准的，应由承包人按照本合同专用条款约定的时间向分包人提出施工技术要求，分包人按约定的时间和要求提出施工工艺，经承包人确认后执行。</w:t>
      </w:r>
    </w:p>
    <w:p>
      <w:pPr>
        <w:pStyle w:val="6"/>
        <w:ind w:firstLine="321" w:firstLineChars="100"/>
        <w:rPr>
          <w:rFonts w:hint="eastAsia"/>
        </w:rPr>
      </w:pPr>
      <w:r>
        <w:rPr>
          <w:rFonts w:hint="eastAsia"/>
        </w:rPr>
        <w:t>4</w:t>
      </w:r>
      <w:r>
        <w:rPr>
          <w:rFonts w:hint="eastAsia" w:ascii="宋体" w:hAnsi="宋体"/>
        </w:rPr>
        <w:t>、</w:t>
      </w:r>
      <w:r>
        <w:rPr>
          <w:rFonts w:hint="eastAsia"/>
        </w:rPr>
        <w:t>图纸</w:t>
      </w:r>
    </w:p>
    <w:p>
      <w:pPr>
        <w:spacing w:line="480" w:lineRule="exact"/>
        <w:rPr>
          <w:rFonts w:hint="eastAsia"/>
        </w:rPr>
      </w:pPr>
      <w:r>
        <w:rPr>
          <w:rFonts w:hint="eastAsia"/>
        </w:rPr>
        <w:t xml:space="preserve">    4.1 承包人应按照本合同专用条款约定的日期和套数，向分包人提供图纸。分包人需要增加约定以外图纸套数的，承包人应代为复制，复制费用由分包人承担；如根据总包合同，承包人对工程图纸负有保密义务的，分包人应负责分包工程范围内图纸的保密工作，分包人的保密义务在分包合同终止后，应当继续履行。</w:t>
      </w:r>
    </w:p>
    <w:p>
      <w:pPr>
        <w:spacing w:line="480" w:lineRule="exact"/>
        <w:rPr>
          <w:rFonts w:hint="eastAsia"/>
        </w:rPr>
      </w:pPr>
      <w:r>
        <w:rPr>
          <w:rFonts w:hint="eastAsia"/>
        </w:rPr>
        <w:t xml:space="preserve">    4.2 如分包工程的图纸不能完全满足施工需要，并且承包人委托分包人进行深化施工图设计的，分包人应在其设计资质等级和业务允许的范围内，在原分包工程图纸的基础上，根据国家有关工程建设标准进行深化设计，分包人的深化设计须经过承包人确认后方可进行施工。如分包人不具备相应的设计资质，应由承包人委托具有相应资质的单位进行深化设计。分包人应对自行设计的图纸负有全部的法律责任。</w:t>
      </w:r>
    </w:p>
    <w:p>
      <w:pPr>
        <w:spacing w:line="480" w:lineRule="exact"/>
        <w:rPr>
          <w:rFonts w:hint="eastAsia"/>
        </w:rPr>
      </w:pPr>
      <w:r>
        <w:rPr>
          <w:rFonts w:hint="eastAsia"/>
        </w:rPr>
        <w:tab/>
      </w:r>
      <w:r>
        <w:rPr>
          <w:rFonts w:hint="eastAsia"/>
        </w:rPr>
        <w:t>关于承包人委托分包人进行深化施工图设计的范围及发生的费用，双方应在专用条款中约定。</w:t>
      </w:r>
    </w:p>
    <w:p>
      <w:pPr>
        <w:spacing w:line="480" w:lineRule="exact"/>
        <w:ind w:firstLine="420"/>
        <w:rPr>
          <w:rFonts w:hint="eastAsia"/>
        </w:rPr>
      </w:pPr>
      <w:r>
        <w:rPr>
          <w:rFonts w:hint="eastAsia"/>
        </w:rPr>
        <w:t>4.3承包人提供的图纸不能满足分包工程施工需要时，双方在专用条款内约定复制、重新绘制、翻译、购买标准图纸等的责任和费用承担。</w:t>
      </w:r>
    </w:p>
    <w:p>
      <w:pPr>
        <w:pStyle w:val="5"/>
        <w:jc w:val="center"/>
        <w:rPr>
          <w:rFonts w:hint="eastAsia"/>
        </w:rPr>
      </w:pPr>
      <w:r>
        <w:rPr>
          <w:rFonts w:hint="eastAsia"/>
        </w:rPr>
        <w:t>二、双方一般权利和义务</w:t>
      </w:r>
    </w:p>
    <w:p>
      <w:pPr>
        <w:pStyle w:val="6"/>
        <w:ind w:firstLine="321" w:firstLineChars="100"/>
        <w:rPr>
          <w:rFonts w:hint="eastAsia"/>
        </w:rPr>
      </w:pPr>
      <w:r>
        <w:rPr>
          <w:rFonts w:hint="eastAsia"/>
        </w:rPr>
        <w:t>5、总包合同</w:t>
      </w:r>
    </w:p>
    <w:p>
      <w:pPr>
        <w:spacing w:line="480" w:lineRule="exact"/>
        <w:rPr>
          <w:rFonts w:hint="eastAsia"/>
        </w:rPr>
      </w:pPr>
      <w:r>
        <w:rPr>
          <w:rFonts w:hint="eastAsia"/>
        </w:rPr>
        <w:t xml:space="preserve">    5.1 分包人对总包合同的了解</w:t>
      </w:r>
    </w:p>
    <w:p>
      <w:pPr>
        <w:spacing w:line="480" w:lineRule="exact"/>
        <w:rPr>
          <w:rFonts w:hint="eastAsia"/>
        </w:rPr>
      </w:pPr>
      <w:r>
        <w:rPr>
          <w:rFonts w:hint="eastAsia"/>
        </w:rPr>
        <w:t xml:space="preserve">    承包人应提供总包合同（有关承包工程的价格内容除外）供分包人查阅。当分包人要求时，承包人应向分包人提供一份总包合同（有关承包工程的价格内容除外）的副本或复印件。分包人应全面了解总包合同的各项规定（有关承包工程的价格内容除外）。</w:t>
      </w:r>
    </w:p>
    <w:p>
      <w:pPr>
        <w:spacing w:line="480" w:lineRule="exact"/>
        <w:rPr>
          <w:rFonts w:hint="eastAsia"/>
        </w:rPr>
      </w:pPr>
      <w:r>
        <w:rPr>
          <w:rFonts w:hint="eastAsia"/>
        </w:rPr>
        <w:t xml:space="preserve">    5.2 分包人对有关分包工程的责任</w:t>
      </w:r>
    </w:p>
    <w:p>
      <w:pPr>
        <w:spacing w:line="480" w:lineRule="exact"/>
        <w:ind w:firstLine="435"/>
        <w:rPr>
          <w:rFonts w:hint="eastAsia"/>
        </w:rPr>
      </w:pPr>
      <w:r>
        <w:rPr>
          <w:rFonts w:hint="eastAsia"/>
        </w:rPr>
        <w:t>除本合同条款另有约定，分包人应履行并承担总包合同中与分包工程有关的承包人的所有义务与责任，同时应避免因分包人自身行为或疏漏造成承包人违反总包合同中约定的承包人义务的情况发生。</w:t>
      </w:r>
    </w:p>
    <w:p>
      <w:pPr>
        <w:spacing w:line="480" w:lineRule="exact"/>
        <w:ind w:firstLine="435"/>
        <w:rPr>
          <w:rFonts w:hint="eastAsia"/>
        </w:rPr>
      </w:pPr>
      <w:r>
        <w:rPr>
          <w:rFonts w:hint="eastAsia"/>
        </w:rPr>
        <w:t>5.3 分包人与发包人的关系</w:t>
      </w:r>
    </w:p>
    <w:p>
      <w:pPr>
        <w:spacing w:line="480" w:lineRule="exact"/>
        <w:ind w:firstLine="435"/>
        <w:rPr>
          <w:rFonts w:hint="eastAsia"/>
        </w:rPr>
      </w:pPr>
      <w:r>
        <w:rPr>
          <w:rFonts w:hint="eastAsia"/>
        </w:rPr>
        <w:t>分包人须服从承包人转发的发包人或工程师与分包工程有关的指令。未经承包人允许，分包人不得以任何理由与发包人或工程师发生直接工作联系，分包人不得直接致函发包人或工程师，也不得直接接受发包人或工程师的指令。如分包人与发包人或工程师发生直接工作联系，将被视为违约，并承担违约责任。</w:t>
      </w:r>
    </w:p>
    <w:p>
      <w:pPr>
        <w:pStyle w:val="6"/>
        <w:ind w:firstLine="321" w:firstLineChars="100"/>
        <w:rPr>
          <w:rFonts w:hint="eastAsia"/>
        </w:rPr>
      </w:pPr>
      <w:r>
        <w:rPr>
          <w:rFonts w:hint="eastAsia"/>
        </w:rPr>
        <w:t>6、指令和决定</w:t>
      </w:r>
    </w:p>
    <w:p>
      <w:pPr>
        <w:spacing w:line="480" w:lineRule="exact"/>
        <w:rPr>
          <w:rFonts w:hint="eastAsia"/>
        </w:rPr>
      </w:pPr>
      <w:r>
        <w:rPr>
          <w:rFonts w:hint="eastAsia"/>
        </w:rPr>
        <w:t xml:space="preserve">    6.1 承包人指令</w:t>
      </w:r>
    </w:p>
    <w:p>
      <w:pPr>
        <w:spacing w:line="480" w:lineRule="exact"/>
        <w:rPr>
          <w:rFonts w:hint="eastAsia"/>
        </w:rPr>
      </w:pPr>
      <w:r>
        <w:rPr>
          <w:rFonts w:hint="eastAsia"/>
        </w:rPr>
        <w:t xml:space="preserve">    就分包工程范围内的有关工作，承包人随时可以向分包人发出指令，分包人应执行承包人根据分包合同所发出的所有指令。分包人拒不执行指令，承包人可委托其他施工单位完成该指令事项，发生的费用从应付给分包人的相应款项中扣除。</w:t>
      </w:r>
    </w:p>
    <w:p>
      <w:pPr>
        <w:spacing w:line="480" w:lineRule="exact"/>
        <w:rPr>
          <w:rFonts w:hint="eastAsia"/>
        </w:rPr>
      </w:pPr>
      <w:r>
        <w:rPr>
          <w:rFonts w:hint="eastAsia"/>
        </w:rPr>
        <w:t xml:space="preserve">    6.2 发包人或工程师指令</w:t>
      </w:r>
    </w:p>
    <w:p>
      <w:pPr>
        <w:spacing w:line="480" w:lineRule="exact"/>
        <w:ind w:firstLine="420"/>
        <w:rPr>
          <w:rFonts w:hint="eastAsia"/>
        </w:rPr>
      </w:pPr>
      <w:r>
        <w:rPr>
          <w:rFonts w:hint="eastAsia"/>
        </w:rPr>
        <w:t>就分包工程范围内的有关工作，分包人应执行经承包人确认和转发的发包人或工程师发出的所有指令和决定。</w:t>
      </w:r>
    </w:p>
    <w:p>
      <w:pPr>
        <w:pStyle w:val="6"/>
        <w:ind w:firstLine="321" w:firstLineChars="100"/>
        <w:rPr>
          <w:rFonts w:hint="eastAsia"/>
        </w:rPr>
      </w:pPr>
      <w:r>
        <w:rPr>
          <w:rFonts w:hint="eastAsia"/>
        </w:rPr>
        <w:t>7、项目经理</w:t>
      </w:r>
    </w:p>
    <w:p>
      <w:pPr>
        <w:spacing w:line="480" w:lineRule="exact"/>
        <w:ind w:firstLine="400" w:firstLineChars="200"/>
        <w:rPr>
          <w:rFonts w:hint="eastAsia"/>
          <w:b/>
        </w:rPr>
      </w:pPr>
      <w:r>
        <w:rPr>
          <w:rFonts w:hint="eastAsia"/>
        </w:rPr>
        <w:t>7.1 项目经理的姓名、职称在本合同专用条款内写明。</w:t>
      </w:r>
    </w:p>
    <w:p>
      <w:pPr>
        <w:spacing w:line="480" w:lineRule="exact"/>
        <w:rPr>
          <w:rFonts w:hint="eastAsia"/>
        </w:rPr>
      </w:pPr>
      <w:r>
        <w:rPr>
          <w:rFonts w:hint="eastAsia"/>
        </w:rPr>
        <w:t xml:space="preserve">    7.2 项目经理可授权具体的管理人员行使自己的部分权利，并在认为有必要时可撤回授权，授权和撤回均应提前7天以书面形式通知分包人，委派书及撤回通知作为分包合同的附件。</w:t>
      </w:r>
    </w:p>
    <w:p>
      <w:pPr>
        <w:spacing w:line="480" w:lineRule="exact"/>
        <w:rPr>
          <w:rFonts w:hint="eastAsia"/>
        </w:rPr>
      </w:pPr>
      <w:r>
        <w:rPr>
          <w:rFonts w:hint="eastAsia"/>
        </w:rPr>
        <w:t xml:space="preserve">    7.3 承包人所发出的指令、通知，由项目经理（或其授权人）签字后，以书面形式交给分包人，分包项目经理在回执上签署自己的姓名及收到时间后生效。确有必要时，项目经理可发出口头指令，并在48小时内给予书面确认。项目经理在48小时后未予书面确认的，分包人应于承包人发出口头指令后7天内提出书面确认要求，项目经理在分包人提出确认要求后7天内不予答复，应视为分包人要求已被确认。分包人认为承包人指令不合理，应在收到指令后24小时内提出书面申告，承包人在收到分包人申告后24小时内作出修改指令或继续执行原指令的决定，并以书面形式通知分包人。紧急情况下，项目经理可发出要求分包人立即执行的指令，分包人如有异议也应执行。如承包人发出错误的指令，并给分包人造成经济损失的，则承包人应给予分包人相应的补偿，但因分包人违反分包合同引起的损失除外。</w:t>
      </w:r>
    </w:p>
    <w:p>
      <w:pPr>
        <w:spacing w:line="480" w:lineRule="exact"/>
        <w:rPr>
          <w:rFonts w:hint="eastAsia"/>
        </w:rPr>
      </w:pPr>
      <w:r>
        <w:rPr>
          <w:rFonts w:hint="eastAsia"/>
        </w:rPr>
        <w:t xml:space="preserve">    7.4 项目经理应按分包合同的约定，及时向分包人提供所需的指令、批准、图纸并履行其它约定的义务，否则分包人应在约定时间后24小时内将具体要求、需要的理由及延误的后果通知承包人，项目经理在收到通知后48小时内不予答复，应承担因延误造成的损失。</w:t>
      </w:r>
    </w:p>
    <w:p>
      <w:pPr>
        <w:spacing w:line="480" w:lineRule="exact"/>
        <w:rPr>
          <w:rFonts w:hint="eastAsia"/>
        </w:rPr>
      </w:pPr>
      <w:r>
        <w:rPr>
          <w:rFonts w:hint="eastAsia"/>
        </w:rPr>
        <w:t xml:space="preserve">    7.5 承包人如需更换项目经理，应至少提前7天以书面形式通知分包人，后任继续行使前任的职权，履行前任的义务。</w:t>
      </w:r>
    </w:p>
    <w:p>
      <w:pPr>
        <w:pStyle w:val="6"/>
        <w:ind w:firstLine="321" w:firstLineChars="100"/>
        <w:rPr>
          <w:rFonts w:hint="eastAsia"/>
        </w:rPr>
      </w:pPr>
      <w:r>
        <w:rPr>
          <w:rFonts w:hint="eastAsia"/>
        </w:rPr>
        <w:t>8、分包项目经理</w:t>
      </w:r>
    </w:p>
    <w:p>
      <w:pPr>
        <w:spacing w:line="480" w:lineRule="exact"/>
        <w:ind w:firstLine="400" w:firstLineChars="200"/>
        <w:rPr>
          <w:rFonts w:hint="eastAsia"/>
          <w:b/>
        </w:rPr>
      </w:pPr>
      <w:r>
        <w:rPr>
          <w:rFonts w:hint="eastAsia"/>
        </w:rPr>
        <w:t>8.1 分包项目经理的姓名、职称在本合同专用条款内写明。</w:t>
      </w:r>
    </w:p>
    <w:p>
      <w:pPr>
        <w:spacing w:line="480" w:lineRule="exact"/>
        <w:rPr>
          <w:rFonts w:hint="eastAsia"/>
        </w:rPr>
      </w:pPr>
      <w:r>
        <w:rPr>
          <w:rFonts w:hint="eastAsia"/>
        </w:rPr>
        <w:t xml:space="preserve">    8.2 分包人依据合同发出的请求和通知，以书面形式由分包项目经理签字后送交项目经理，项目经理在回执上签署姓名和收到的时间后生效。</w:t>
      </w:r>
    </w:p>
    <w:p>
      <w:pPr>
        <w:spacing w:line="480" w:lineRule="exact"/>
        <w:rPr>
          <w:rFonts w:hint="eastAsia"/>
        </w:rPr>
      </w:pPr>
      <w:r>
        <w:rPr>
          <w:rFonts w:hint="eastAsia"/>
        </w:rPr>
        <w:t xml:space="preserve">    8.3分包项目经理按项目经理批准的施工组织设计（或施工方案）和依据分包合同发出的指令组织施工。在情况紧急且无法与项目经理取得联系时，分包项目经理应采取保证人员生命和工程、财产安全的紧急措施，并在采取措施后48小时内向项目经理送交报告。责任在承包人或第三人，由承包人承担由此发生的追加合同价款，相应顺延工期；责任在分包人，由分包人承担费用，不顺延工期。</w:t>
      </w:r>
    </w:p>
    <w:p>
      <w:pPr>
        <w:spacing w:line="480" w:lineRule="exact"/>
        <w:ind w:firstLine="400" w:firstLineChars="200"/>
        <w:rPr>
          <w:rFonts w:hint="eastAsia"/>
        </w:rPr>
      </w:pPr>
      <w:r>
        <w:rPr>
          <w:rFonts w:hint="eastAsia"/>
        </w:rPr>
        <w:t>8.4 分包人如需更换分包项目经理，应至少提前7天以书面形式通知承包人，并征得承包人同意，后任继续行使前任的职权，履行前任的义务。</w:t>
      </w:r>
    </w:p>
    <w:p>
      <w:pPr>
        <w:spacing w:line="480" w:lineRule="exact"/>
        <w:ind w:firstLine="400" w:firstLineChars="200"/>
        <w:rPr>
          <w:rFonts w:hint="eastAsia"/>
        </w:rPr>
      </w:pPr>
      <w:r>
        <w:rPr>
          <w:rFonts w:hint="eastAsia"/>
        </w:rPr>
        <w:t>8.5 承包人可与分包人协商，建议更换其认为不称职的分包项目经理。</w:t>
      </w:r>
    </w:p>
    <w:p>
      <w:pPr>
        <w:pStyle w:val="6"/>
        <w:rPr>
          <w:rFonts w:hint="eastAsia"/>
        </w:rPr>
      </w:pPr>
      <w:r>
        <w:rPr>
          <w:rFonts w:hint="eastAsia"/>
        </w:rPr>
        <w:t>9、承包人的工作</w:t>
      </w:r>
    </w:p>
    <w:p>
      <w:pPr>
        <w:spacing w:line="480" w:lineRule="exact"/>
        <w:rPr>
          <w:rFonts w:hint="eastAsia"/>
        </w:rPr>
      </w:pPr>
      <w:r>
        <w:rPr>
          <w:rFonts w:hint="eastAsia"/>
        </w:rPr>
        <w:t xml:space="preserve">    9.1 承包人应按本合同专用条款约定的内容和时间，一次或分阶段完成下列工作：</w:t>
      </w:r>
    </w:p>
    <w:p>
      <w:pPr>
        <w:spacing w:line="480" w:lineRule="exact"/>
        <w:rPr>
          <w:rFonts w:hint="eastAsia"/>
        </w:rPr>
      </w:pPr>
      <w:r>
        <w:rPr>
          <w:rFonts w:hint="eastAsia"/>
        </w:rPr>
        <w:t xml:space="preserve">    （1）向分包人提供根据总包合同由发包人办理的与分包工程相关的各种证件、批件、各种相关资料，向分包人提供具备施工条件的施工场地。</w:t>
      </w:r>
    </w:p>
    <w:p>
      <w:pPr>
        <w:spacing w:line="480" w:lineRule="exact"/>
        <w:rPr>
          <w:rFonts w:hint="eastAsia"/>
        </w:rPr>
      </w:pPr>
      <w:r>
        <w:rPr>
          <w:rFonts w:hint="eastAsia"/>
        </w:rPr>
        <w:t xml:space="preserve">    （2）按本合同专用条款约定的时间，组织分包人参加发包人组织的图纸会审，向分包人进行设计图纸交底。</w:t>
      </w:r>
    </w:p>
    <w:p>
      <w:pPr>
        <w:spacing w:line="480" w:lineRule="exact"/>
        <w:rPr>
          <w:rFonts w:hint="eastAsia"/>
        </w:rPr>
      </w:pPr>
      <w:r>
        <w:rPr>
          <w:rFonts w:hint="eastAsia"/>
        </w:rPr>
        <w:t xml:space="preserve">    （3）提供本合同专用条款中约定的设备和设施，并承担因此发生的费用。</w:t>
      </w:r>
    </w:p>
    <w:p>
      <w:pPr>
        <w:spacing w:line="480" w:lineRule="exact"/>
        <w:rPr>
          <w:rFonts w:hint="eastAsia"/>
        </w:rPr>
      </w:pPr>
      <w:r>
        <w:rPr>
          <w:rFonts w:hint="eastAsia"/>
        </w:rPr>
        <w:t xml:space="preserve">    （4）随时为分包人提供确保分包工程的施工所要求的施工场地和通道等，满足施工运输的需要，保证施工期间的畅通。</w:t>
      </w:r>
    </w:p>
    <w:p>
      <w:pPr>
        <w:spacing w:line="480" w:lineRule="exact"/>
        <w:ind w:firstLine="435"/>
        <w:rPr>
          <w:rFonts w:hint="eastAsia"/>
        </w:rPr>
      </w:pPr>
      <w:r>
        <w:rPr>
          <w:rFonts w:hint="eastAsia"/>
        </w:rPr>
        <w:t>（5）负责整个施工场地的管理工作，协调分包人与同一施工场地的其它分包人之间的交叉配合，确保分包人按照经批准的施工组织设计进行施工。</w:t>
      </w:r>
    </w:p>
    <w:p>
      <w:pPr>
        <w:spacing w:line="480" w:lineRule="exact"/>
        <w:ind w:firstLine="435"/>
        <w:rPr>
          <w:rFonts w:hint="eastAsia"/>
        </w:rPr>
      </w:pPr>
      <w:r>
        <w:rPr>
          <w:rFonts w:hint="eastAsia"/>
        </w:rPr>
        <w:t>（6）承包人应做的其他工作，双方在本合同专用条款内约定。</w:t>
      </w:r>
    </w:p>
    <w:p>
      <w:pPr>
        <w:spacing w:line="480" w:lineRule="exact"/>
        <w:ind w:firstLine="435"/>
        <w:rPr>
          <w:rFonts w:hint="eastAsia"/>
        </w:rPr>
      </w:pPr>
      <w:r>
        <w:rPr>
          <w:rFonts w:hint="eastAsia"/>
        </w:rPr>
        <w:t xml:space="preserve"> 9.2 承包人未履行前款各项义务，导致工期延误或给分包人造成损失的，承包人赔偿分包人的相应损失，顺延延误的工期。</w:t>
      </w:r>
    </w:p>
    <w:p>
      <w:pPr>
        <w:pStyle w:val="6"/>
        <w:ind w:firstLine="321" w:firstLineChars="100"/>
        <w:rPr>
          <w:rFonts w:hint="eastAsia"/>
        </w:rPr>
      </w:pPr>
      <w:r>
        <w:rPr>
          <w:rFonts w:hint="eastAsia"/>
        </w:rPr>
        <w:t>10、分包人的工作</w:t>
      </w:r>
    </w:p>
    <w:p>
      <w:pPr>
        <w:spacing w:line="480" w:lineRule="exact"/>
        <w:rPr>
          <w:rFonts w:hint="eastAsia"/>
        </w:rPr>
      </w:pPr>
      <w:r>
        <w:rPr>
          <w:rFonts w:hint="eastAsia"/>
        </w:rPr>
        <w:t xml:space="preserve">    10.1分包人应按本合同专用条款约定的内容和时间，完成下列工作：</w:t>
      </w:r>
    </w:p>
    <w:p>
      <w:pPr>
        <w:spacing w:line="480" w:lineRule="exact"/>
        <w:rPr>
          <w:rFonts w:hint="eastAsia"/>
        </w:rPr>
      </w:pPr>
      <w:r>
        <w:rPr>
          <w:rFonts w:hint="eastAsia"/>
        </w:rPr>
        <w:t xml:space="preserve">    （1）分包人应按照分包合同的约定，对分包工程进行设计（分包合同有约定时）、施工、竣工和保修。分包人在审阅分包合同和（或）总包合同时，或在分包合同的施工中，如发现分包工程的设计或工程建设标准、技术要求存在错误、遗漏、失误或其它缺陷，应立即通知承包人。</w:t>
      </w:r>
    </w:p>
    <w:p>
      <w:pPr>
        <w:spacing w:line="480" w:lineRule="exact"/>
        <w:ind w:firstLine="435"/>
        <w:rPr>
          <w:rFonts w:hint="eastAsia"/>
        </w:rPr>
      </w:pPr>
      <w:r>
        <w:rPr>
          <w:rFonts w:hint="eastAsia"/>
        </w:rPr>
        <w:t>（2）按照本合同专用条款约定的时间，完成规定的设计内容，报承包人确认后在分包工程中使用。承包人承担由此发生的费用。</w:t>
      </w:r>
    </w:p>
    <w:p>
      <w:pPr>
        <w:spacing w:line="480" w:lineRule="exact"/>
        <w:ind w:firstLine="435"/>
        <w:rPr>
          <w:rFonts w:hint="eastAsia"/>
        </w:rPr>
      </w:pPr>
      <w:r>
        <w:rPr>
          <w:rFonts w:hint="eastAsia"/>
        </w:rPr>
        <w:t>（3）在本合同专用条款约定的时间内，向承包人提供年、季、月度工程进度计划及相应进度统计报表。分包人不能按承包人批准的进度计划施工时，应根据承包人的要求提交一份修订的进度计划，以保证分包工程如期竣工。</w:t>
      </w:r>
    </w:p>
    <w:p>
      <w:pPr>
        <w:spacing w:line="480" w:lineRule="exact"/>
        <w:rPr>
          <w:rFonts w:hint="eastAsia"/>
        </w:rPr>
      </w:pPr>
      <w:r>
        <w:rPr>
          <w:rFonts w:hint="eastAsia"/>
        </w:rPr>
        <w:t xml:space="preserve">    （4）分包人应在专用条款约定的时间内，向承包人提交一份详细施工组织设计，承包人应在专用条款约定的时间内批准，分包人方可执行。</w:t>
      </w:r>
    </w:p>
    <w:p>
      <w:pPr>
        <w:spacing w:line="480" w:lineRule="exact"/>
        <w:rPr>
          <w:rFonts w:hint="eastAsia"/>
        </w:rPr>
      </w:pPr>
      <w:r>
        <w:rPr>
          <w:rFonts w:hint="eastAsia"/>
        </w:rPr>
        <w:t xml:space="preserve">    （5）遵守政府有关主管部门对施工场地交通、施工噪音以及环境保护和安全文明生产等的管理规定，按规定办理有关手续，并以书面形式通知承包人，承包人承担由此发生的费用，因分包人责任造成的罚款除外。</w:t>
      </w:r>
    </w:p>
    <w:p>
      <w:pPr>
        <w:spacing w:line="480" w:lineRule="exact"/>
        <w:rPr>
          <w:rFonts w:hint="eastAsia"/>
        </w:rPr>
      </w:pPr>
      <w:r>
        <w:rPr>
          <w:rFonts w:hint="eastAsia"/>
        </w:rPr>
        <w:t xml:space="preserve">    （6）、分包人应允许承包人、发包人、工程师及其三方中任何一方授权的人员在工作时间内，合理进入分包工程施工场地或材料存放的地点，以及施工场地以外与分包合同有关的分包人的任何工作或准备的地点，分包人应提供方便。</w:t>
      </w:r>
    </w:p>
    <w:p>
      <w:pPr>
        <w:spacing w:line="480" w:lineRule="exact"/>
        <w:ind w:firstLine="435"/>
        <w:rPr>
          <w:rFonts w:hint="eastAsia"/>
        </w:rPr>
      </w:pPr>
      <w:r>
        <w:rPr>
          <w:rFonts w:hint="eastAsia"/>
        </w:rPr>
        <w:t>（7）、已竣工工程未交付承包人之前，分包人应负责已完分包工程的成品保护工作，保护期间发生损坏，分包人自费予以修复；承包人要求分包人采取特殊措施保护的工程部位和相应的追加合同价款，双方在本合同专用条款内约定。</w:t>
      </w:r>
    </w:p>
    <w:p>
      <w:pPr>
        <w:spacing w:line="480" w:lineRule="exact"/>
        <w:ind w:firstLine="435"/>
        <w:rPr>
          <w:rFonts w:hint="eastAsia"/>
        </w:rPr>
      </w:pPr>
      <w:r>
        <w:rPr>
          <w:rFonts w:hint="eastAsia"/>
        </w:rPr>
        <w:t>（8）分包人应做的其他工作，双方在本合同专用条款内约定。</w:t>
      </w:r>
    </w:p>
    <w:p>
      <w:pPr>
        <w:spacing w:line="480" w:lineRule="exact"/>
        <w:rPr>
          <w:rFonts w:hint="eastAsia"/>
        </w:rPr>
      </w:pPr>
      <w:r>
        <w:rPr>
          <w:rFonts w:hint="eastAsia"/>
        </w:rPr>
        <w:t xml:space="preserve">     10.2 分包人未履行前款各项义务，造成承包人损失的，分包人赔偿承包人有关损失。</w:t>
      </w:r>
    </w:p>
    <w:p>
      <w:pPr>
        <w:pStyle w:val="6"/>
        <w:ind w:firstLine="321" w:firstLineChars="100"/>
        <w:rPr>
          <w:rFonts w:hint="eastAsia"/>
        </w:rPr>
      </w:pPr>
      <w:r>
        <w:rPr>
          <w:rFonts w:hint="eastAsia"/>
        </w:rPr>
        <w:t>11、总包合同解除</w:t>
      </w:r>
    </w:p>
    <w:p>
      <w:pPr>
        <w:spacing w:line="480" w:lineRule="exact"/>
        <w:rPr>
          <w:rFonts w:hint="eastAsia"/>
        </w:rPr>
      </w:pPr>
      <w:r>
        <w:rPr>
          <w:rFonts w:hint="eastAsia"/>
        </w:rPr>
        <w:t xml:space="preserve">    11.1 如在分包人没有全面履行分包合同义务之前，总包合同解除，则承包人应及时通知分包人解除分包合同，分包人接到通知后应尽快撤离现场。</w:t>
      </w:r>
    </w:p>
    <w:p>
      <w:pPr>
        <w:spacing w:line="480" w:lineRule="exact"/>
        <w:rPr>
          <w:rFonts w:hint="eastAsia"/>
        </w:rPr>
      </w:pPr>
      <w:r>
        <w:rPr>
          <w:rFonts w:hint="eastAsia"/>
        </w:rPr>
        <w:t xml:space="preserve">    11.2 因本合同第11.1款原因终止分包合同，分包人可以得到：已完工程价款、分包人员工的遣散费、二次搬运费等补偿。 如本合同第11.1款约定的总包合同终止是因为分包人的严重违约，则只能得到已完工程价款补偿。</w:t>
      </w:r>
    </w:p>
    <w:p>
      <w:pPr>
        <w:spacing w:line="480" w:lineRule="exact"/>
        <w:rPr>
          <w:rFonts w:hint="eastAsia"/>
        </w:rPr>
      </w:pPr>
      <w:r>
        <w:rPr>
          <w:rFonts w:hint="eastAsia"/>
        </w:rPr>
        <w:t xml:space="preserve">    11.3 在本合同第11.1款解除分包合同的情况下，分包人经承包人同意为分包工程已采购或已运至施工场地的材料设备，应全部移交给承包人，由承包人按本合同专用条款约定的价格支付给分包人。</w:t>
      </w:r>
    </w:p>
    <w:p>
      <w:pPr>
        <w:pStyle w:val="6"/>
        <w:ind w:firstLine="321" w:firstLineChars="100"/>
        <w:rPr>
          <w:rFonts w:hint="eastAsia"/>
        </w:rPr>
      </w:pPr>
      <w:r>
        <w:rPr>
          <w:rFonts w:hint="eastAsia"/>
        </w:rPr>
        <w:t>12、转包与再分包</w:t>
      </w:r>
    </w:p>
    <w:p>
      <w:pPr>
        <w:spacing w:line="480" w:lineRule="exact"/>
        <w:ind w:firstLine="435"/>
        <w:rPr>
          <w:rFonts w:hint="eastAsia"/>
        </w:rPr>
      </w:pPr>
      <w:r>
        <w:rPr>
          <w:rFonts w:hint="eastAsia"/>
          <w:bCs/>
        </w:rPr>
        <w:t>12</w:t>
      </w:r>
      <w:r>
        <w:rPr>
          <w:rFonts w:hint="eastAsia"/>
        </w:rPr>
        <w:t>.</w:t>
      </w:r>
      <w:r>
        <w:rPr>
          <w:rFonts w:hint="eastAsia"/>
          <w:bCs/>
        </w:rPr>
        <w:t>1 除12</w:t>
      </w:r>
      <w:r>
        <w:rPr>
          <w:rFonts w:hint="eastAsia"/>
        </w:rPr>
        <w:t>.2款规定的情况外，</w:t>
      </w:r>
      <w:r>
        <w:rPr>
          <w:rFonts w:hint="eastAsia"/>
          <w:bCs/>
        </w:rPr>
        <w:t>分包人不得将其承包的分包工程转包给他人，也不得将其承包的分包工程的全部或部分再分包给他人。如分包人将其承包的分包工程转包或再分包，将</w:t>
      </w:r>
      <w:r>
        <w:rPr>
          <w:rFonts w:hint="eastAsia"/>
        </w:rPr>
        <w:t>被视为违约，并承担违约责任。</w:t>
      </w:r>
    </w:p>
    <w:p>
      <w:pPr>
        <w:spacing w:line="480" w:lineRule="exact"/>
        <w:ind w:firstLine="400" w:firstLineChars="200"/>
        <w:rPr>
          <w:rFonts w:hint="eastAsia"/>
        </w:rPr>
      </w:pPr>
      <w:r>
        <w:rPr>
          <w:rFonts w:hint="eastAsia"/>
          <w:bCs/>
        </w:rPr>
        <w:t>12</w:t>
      </w:r>
      <w:r>
        <w:rPr>
          <w:rFonts w:hint="eastAsia"/>
        </w:rPr>
        <w:t>.2 分包人经承包人同意可以将劳务作业再分包给具有相应劳务分包资质的劳务分包企业。</w:t>
      </w:r>
    </w:p>
    <w:p>
      <w:pPr>
        <w:spacing w:line="480" w:lineRule="exact"/>
        <w:ind w:firstLine="400" w:firstLineChars="200"/>
        <w:rPr>
          <w:rFonts w:hint="eastAsia"/>
          <w:bCs/>
        </w:rPr>
      </w:pPr>
      <w:r>
        <w:rPr>
          <w:rFonts w:hint="eastAsia"/>
          <w:bCs/>
        </w:rPr>
        <w:t>12</w:t>
      </w:r>
      <w:r>
        <w:rPr>
          <w:rFonts w:hint="eastAsia"/>
        </w:rPr>
        <w:t>.3 分包人应对再分包的劳务作业的质量等相关事宜进行督促和检查，并承担相关连带责任。</w:t>
      </w:r>
    </w:p>
    <w:p>
      <w:pPr>
        <w:pStyle w:val="5"/>
        <w:jc w:val="center"/>
        <w:rPr>
          <w:rFonts w:hint="eastAsia"/>
        </w:rPr>
      </w:pPr>
      <w:r>
        <w:rPr>
          <w:rFonts w:hint="eastAsia"/>
        </w:rPr>
        <w:t>三、工期</w:t>
      </w:r>
    </w:p>
    <w:p>
      <w:pPr>
        <w:pStyle w:val="6"/>
        <w:ind w:firstLine="321" w:firstLineChars="100"/>
        <w:rPr>
          <w:rFonts w:hint="eastAsia"/>
        </w:rPr>
      </w:pPr>
      <w:r>
        <w:rPr>
          <w:rFonts w:hint="eastAsia"/>
        </w:rPr>
        <w:t>13、开工与延期开工</w:t>
      </w:r>
    </w:p>
    <w:p>
      <w:pPr>
        <w:spacing w:line="480" w:lineRule="exact"/>
      </w:pPr>
      <w:r>
        <w:rPr>
          <w:rFonts w:hint="eastAsia"/>
        </w:rPr>
        <w:t xml:space="preserve">    13.1 分包人应当按照本合同协议书约定的开工日期开工。分包人不能按时开工，应当不迟于本合同协议书约定的开工日期前5天，以书面形式向承包人提出延期开工的理由。承包人应当在接到延期开工申请后的</w:t>
      </w:r>
      <w:r>
        <w:t>48</w:t>
      </w:r>
      <w:r>
        <w:rPr>
          <w:rFonts w:hint="eastAsia"/>
        </w:rPr>
        <w:t>小时内以书面形式答复分包人。承包人在接到延期开工申请后</w:t>
      </w:r>
      <w:r>
        <w:t>48</w:t>
      </w:r>
      <w:r>
        <w:rPr>
          <w:rFonts w:hint="eastAsia"/>
        </w:rPr>
        <w:t>小时内不答复，视为同意分包人要求，工期相应顺延。承包人不同意延期要求或分包人未在规定时间内提出延期开工要求，工期不予顺延。</w:t>
      </w:r>
    </w:p>
    <w:p>
      <w:pPr>
        <w:spacing w:line="480" w:lineRule="exact"/>
        <w:rPr>
          <w:rFonts w:hint="eastAsia"/>
        </w:rPr>
      </w:pPr>
      <w:r>
        <w:t xml:space="preserve">   </w:t>
      </w:r>
      <w:r>
        <w:rPr>
          <w:rFonts w:hint="eastAsia"/>
        </w:rPr>
        <w:t xml:space="preserve"> </w:t>
      </w:r>
      <w:r>
        <w:t>1</w:t>
      </w:r>
      <w:r>
        <w:rPr>
          <w:rFonts w:hint="eastAsia"/>
        </w:rPr>
        <w:t>3</w:t>
      </w:r>
      <w:r>
        <w:t>.2</w:t>
      </w:r>
      <w:r>
        <w:rPr>
          <w:rFonts w:hint="eastAsia"/>
        </w:rPr>
        <w:t xml:space="preserve"> 因承包人原因不能按照本合同协议书约定的开工日期开工，项目经理应以书面形式通知分包人，推迟开工日期。承包人赔偿分包人因延期开工造成的损失，并相应顺延工期。</w:t>
      </w:r>
    </w:p>
    <w:p>
      <w:pPr>
        <w:pStyle w:val="6"/>
        <w:ind w:firstLine="321" w:firstLineChars="100"/>
        <w:rPr>
          <w:rFonts w:hint="eastAsia"/>
        </w:rPr>
      </w:pPr>
      <w:r>
        <w:rPr>
          <w:rFonts w:hint="eastAsia"/>
        </w:rPr>
        <w:t>14、工期延误</w:t>
      </w:r>
    </w:p>
    <w:p>
      <w:pPr>
        <w:spacing w:line="480" w:lineRule="exact"/>
        <w:rPr>
          <w:rFonts w:hint="eastAsia"/>
        </w:rPr>
      </w:pPr>
      <w:r>
        <w:rPr>
          <w:rFonts w:hint="eastAsia"/>
        </w:rPr>
        <w:t xml:space="preserve">    14.1 因下列原因之一造成分包工程工期延误，经项目经理确认，工期相应顺延：</w:t>
      </w:r>
    </w:p>
    <w:p>
      <w:pPr>
        <w:spacing w:line="480" w:lineRule="exact"/>
        <w:ind w:firstLine="420"/>
        <w:rPr>
          <w:rFonts w:hint="eastAsia"/>
        </w:rPr>
      </w:pPr>
      <w:r>
        <w:rPr>
          <w:rFonts w:hint="eastAsia"/>
        </w:rPr>
        <w:t>（1）承包人根据总包合同从工程师处获得与分包合同相关的竣工时间延长；</w:t>
      </w:r>
    </w:p>
    <w:p>
      <w:pPr>
        <w:spacing w:line="480" w:lineRule="exact"/>
        <w:ind w:firstLine="420"/>
        <w:rPr>
          <w:rFonts w:hint="eastAsia"/>
        </w:rPr>
      </w:pPr>
      <w:r>
        <w:rPr>
          <w:rFonts w:hint="eastAsia"/>
        </w:rPr>
        <w:t>（2）承包人未按本合同专用条款的约定提供图纸、开工条件、设备设施、施工场地；</w:t>
      </w:r>
    </w:p>
    <w:p>
      <w:pPr>
        <w:spacing w:line="480" w:lineRule="exact"/>
        <w:ind w:firstLine="420"/>
        <w:rPr>
          <w:rFonts w:hint="eastAsia"/>
        </w:rPr>
      </w:pPr>
      <w:r>
        <w:rPr>
          <w:rFonts w:hint="eastAsia"/>
        </w:rPr>
        <w:t>（3）承包人未按约定日期支付工程预付款、进度款，致使分包工程施工不能正常进行；</w:t>
      </w:r>
    </w:p>
    <w:p>
      <w:pPr>
        <w:spacing w:line="480" w:lineRule="exact"/>
        <w:ind w:firstLine="420"/>
        <w:rPr>
          <w:rFonts w:hint="eastAsia"/>
        </w:rPr>
      </w:pPr>
      <w:r>
        <w:rPr>
          <w:rFonts w:hint="eastAsia"/>
        </w:rPr>
        <w:t>（4）项目经理未按分包合同约定提供所需的指令、批准或所发出的指令错误，致使分包工程施工不能正常进行；</w:t>
      </w:r>
    </w:p>
    <w:p>
      <w:pPr>
        <w:spacing w:line="480" w:lineRule="exact"/>
        <w:ind w:firstLine="420"/>
        <w:rPr>
          <w:rFonts w:hint="eastAsia"/>
        </w:rPr>
      </w:pPr>
      <w:r>
        <w:rPr>
          <w:rFonts w:hint="eastAsia"/>
        </w:rPr>
        <w:t>（5）非分包人原因的分包工程范围内的工程变更及工程量增加；</w:t>
      </w:r>
    </w:p>
    <w:p>
      <w:pPr>
        <w:spacing w:line="480" w:lineRule="exact"/>
        <w:ind w:firstLine="420"/>
        <w:rPr>
          <w:rFonts w:hint="eastAsia"/>
        </w:rPr>
      </w:pPr>
      <w:r>
        <w:rPr>
          <w:rFonts w:hint="eastAsia"/>
        </w:rPr>
        <w:t>（6）不可抗力的原因；</w:t>
      </w:r>
    </w:p>
    <w:p>
      <w:pPr>
        <w:spacing w:line="480" w:lineRule="exact"/>
        <w:ind w:firstLine="420"/>
        <w:rPr>
          <w:rFonts w:hint="eastAsia"/>
        </w:rPr>
      </w:pPr>
      <w:r>
        <w:rPr>
          <w:rFonts w:hint="eastAsia"/>
        </w:rPr>
        <w:t>（7）本合同专用条款中约定的或项目经理同意工期顺延的其他情况。</w:t>
      </w:r>
    </w:p>
    <w:p>
      <w:pPr>
        <w:spacing w:line="480" w:lineRule="exact"/>
      </w:pPr>
      <w:r>
        <w:rPr>
          <w:rFonts w:hint="eastAsia"/>
        </w:rPr>
        <w:t xml:space="preserve">    14.2 分包人应在14.1款约定情况发生后14天内，就延误的工期以书面形式向承包人提出报告。承包人在收到报告后14天内予以确认，逾期不予确认也不提出修改意见，视为同意顺延工期。</w:t>
      </w:r>
    </w:p>
    <w:p>
      <w:pPr>
        <w:spacing w:line="480" w:lineRule="exact"/>
        <w:rPr>
          <w:rFonts w:hint="eastAsia"/>
        </w:rPr>
      </w:pPr>
    </w:p>
    <w:p>
      <w:pPr>
        <w:pStyle w:val="6"/>
        <w:ind w:firstLine="321" w:firstLineChars="100"/>
        <w:rPr>
          <w:rFonts w:hint="eastAsia"/>
        </w:rPr>
      </w:pPr>
      <w:r>
        <w:rPr>
          <w:rFonts w:hint="eastAsia"/>
        </w:rPr>
        <w:t>15、暂停施工</w:t>
      </w:r>
    </w:p>
    <w:p>
      <w:pPr>
        <w:spacing w:line="480" w:lineRule="exact"/>
        <w:ind w:firstLine="420"/>
        <w:rPr>
          <w:rFonts w:hint="eastAsia"/>
        </w:rPr>
      </w:pPr>
      <w:r>
        <w:rPr>
          <w:rFonts w:hint="eastAsia"/>
        </w:rPr>
        <w:t>15.1 发包人或工程师认为确有必要暂停施工时，应以书面形式通过承包人向分包人发出暂停施工指令，并在提出要求后48小时内提出书面处理意见。分包人停工和复工程序以及暂停施工所发生的费用，按总包合同相应条款履行。</w:t>
      </w:r>
    </w:p>
    <w:p>
      <w:pPr>
        <w:pStyle w:val="6"/>
        <w:ind w:firstLine="321" w:firstLineChars="100"/>
        <w:rPr>
          <w:rFonts w:hint="eastAsia" w:ascii="宋体" w:hAnsi="宋体"/>
        </w:rPr>
      </w:pPr>
      <w:r>
        <w:rPr>
          <w:rFonts w:hint="eastAsia"/>
        </w:rPr>
        <w:t>16、工程竣工</w:t>
      </w:r>
    </w:p>
    <w:p>
      <w:pPr>
        <w:spacing w:line="480" w:lineRule="exact"/>
        <w:ind w:firstLine="400" w:firstLineChars="200"/>
        <w:rPr>
          <w:rFonts w:hint="eastAsia"/>
        </w:rPr>
      </w:pPr>
      <w:r>
        <w:rPr>
          <w:rFonts w:hint="eastAsia"/>
        </w:rPr>
        <w:t>16.1 分包人应按照本合同协议书约定的竣工日期或承包人同意顺延的工期竣工。</w:t>
      </w:r>
    </w:p>
    <w:p>
      <w:pPr>
        <w:spacing w:line="480" w:lineRule="exact"/>
        <w:rPr>
          <w:rFonts w:hint="eastAsia"/>
        </w:rPr>
      </w:pPr>
      <w:r>
        <w:t xml:space="preserve">   </w:t>
      </w:r>
      <w:r>
        <w:rPr>
          <w:rFonts w:hint="eastAsia"/>
        </w:rPr>
        <w:t xml:space="preserve"> </w:t>
      </w:r>
      <w:r>
        <w:t>1</w:t>
      </w:r>
      <w:r>
        <w:rPr>
          <w:rFonts w:hint="eastAsia"/>
        </w:rPr>
        <w:t>6</w:t>
      </w:r>
      <w:r>
        <w:t>.</w:t>
      </w:r>
      <w:r>
        <w:rPr>
          <w:rFonts w:hint="eastAsia"/>
        </w:rPr>
        <w:t>2</w:t>
      </w:r>
      <w:r>
        <w:t xml:space="preserve"> </w:t>
      </w:r>
      <w:r>
        <w:rPr>
          <w:rFonts w:hint="eastAsia"/>
        </w:rPr>
        <w:t>因分包人原因不能按照本合同协议书约定的竣工日期或承包人同意顺延的工期竣工的，分包人承担违约责任。</w:t>
      </w:r>
    </w:p>
    <w:p>
      <w:pPr>
        <w:spacing w:line="480" w:lineRule="exact"/>
        <w:ind w:firstLine="420"/>
        <w:rPr>
          <w:rFonts w:hint="eastAsia"/>
        </w:rPr>
      </w:pPr>
      <w:r>
        <w:rPr>
          <w:rFonts w:hint="eastAsia"/>
        </w:rPr>
        <w:t>16.3 提前竣工程序按总包合同相应条款履行。</w:t>
      </w:r>
    </w:p>
    <w:p>
      <w:pPr>
        <w:pStyle w:val="5"/>
        <w:jc w:val="center"/>
        <w:rPr>
          <w:rFonts w:hint="eastAsia"/>
        </w:rPr>
      </w:pPr>
      <w:r>
        <w:rPr>
          <w:rFonts w:hint="eastAsia"/>
        </w:rPr>
        <w:t>四、质量与安全</w:t>
      </w:r>
    </w:p>
    <w:p>
      <w:pPr>
        <w:pStyle w:val="6"/>
        <w:ind w:firstLine="321" w:firstLineChars="100"/>
        <w:rPr>
          <w:rFonts w:hint="eastAsia"/>
        </w:rPr>
      </w:pPr>
      <w:r>
        <w:rPr>
          <w:rFonts w:hint="eastAsia"/>
        </w:rPr>
        <w:t>17、质量检查与验收</w:t>
      </w:r>
    </w:p>
    <w:p>
      <w:pPr>
        <w:spacing w:line="480" w:lineRule="exact"/>
        <w:ind w:firstLine="420"/>
        <w:rPr>
          <w:rFonts w:hint="eastAsia"/>
        </w:rPr>
      </w:pPr>
      <w:r>
        <w:rPr>
          <w:rFonts w:hint="eastAsia"/>
        </w:rPr>
        <w:t>17.1 分包工程质量应达到本合同协议书和本合同专用条款约定的工程质量标准，质量评定标准按照总包合同相应条款履行。因分包人原因工程质量达不到约定的质量标准，分包人应承担违约责任，违约金计算方法或额度在本合同专用条款内约定。</w:t>
      </w:r>
    </w:p>
    <w:p>
      <w:pPr>
        <w:spacing w:line="480" w:lineRule="exact"/>
        <w:ind w:firstLine="420"/>
        <w:rPr>
          <w:rFonts w:hint="eastAsia"/>
        </w:rPr>
      </w:pPr>
      <w:r>
        <w:rPr>
          <w:rFonts w:hint="eastAsia"/>
        </w:rPr>
        <w:t>17.2 双方对工程质量的争议，按照总包合同相应的条款履行。</w:t>
      </w:r>
    </w:p>
    <w:p>
      <w:pPr>
        <w:spacing w:line="480" w:lineRule="exact"/>
        <w:ind w:firstLine="400" w:firstLineChars="200"/>
        <w:rPr>
          <w:rFonts w:hint="eastAsia"/>
        </w:rPr>
      </w:pPr>
      <w:r>
        <w:rPr>
          <w:rFonts w:hint="eastAsia"/>
        </w:rPr>
        <w:t>17.3 分包工程的检查、验收及工程试车等，按照总包合同相应的条款履行。分包人应就分包工程向承包人承担总包合同约定的承包人应承担的义务，但并不免除承包人根据总包合同应承担的总包质量管理的责任。</w:t>
      </w:r>
    </w:p>
    <w:p>
      <w:pPr>
        <w:spacing w:line="480" w:lineRule="exact"/>
        <w:ind w:firstLine="400" w:firstLineChars="200"/>
        <w:rPr>
          <w:rFonts w:hint="eastAsia"/>
        </w:rPr>
      </w:pPr>
      <w:r>
        <w:rPr>
          <w:rFonts w:hint="eastAsia"/>
        </w:rPr>
        <w:t>17.4 分包人应允许并配合承包人或工程师进入分包人施工场地检查工程质量。</w:t>
      </w:r>
    </w:p>
    <w:p>
      <w:pPr>
        <w:pStyle w:val="6"/>
        <w:ind w:firstLine="321" w:firstLineChars="100"/>
        <w:rPr>
          <w:rFonts w:hint="eastAsia"/>
        </w:rPr>
      </w:pPr>
      <w:r>
        <w:rPr>
          <w:rFonts w:hint="eastAsia"/>
        </w:rPr>
        <w:t>18、安全施工</w:t>
      </w:r>
    </w:p>
    <w:p>
      <w:pPr>
        <w:spacing w:line="480" w:lineRule="exact"/>
        <w:ind w:firstLine="420"/>
        <w:rPr>
          <w:rFonts w:hint="eastAsia"/>
        </w:rPr>
      </w:pPr>
      <w:r>
        <w:rPr>
          <w:rFonts w:hint="eastAsia"/>
        </w:rPr>
        <w:t>18.1 分包人应遵守工程建设安全生产有关管理规定，严格按照安全标准组织施工，承担由于自身安全措施不力造成事故的责任和因此发生的费用。</w:t>
      </w:r>
    </w:p>
    <w:p>
      <w:pPr>
        <w:spacing w:line="480" w:lineRule="exact"/>
        <w:ind w:firstLine="420"/>
        <w:rPr>
          <w:rFonts w:hint="eastAsia"/>
        </w:rPr>
      </w:pPr>
      <w:r>
        <w:rPr>
          <w:rFonts w:hint="eastAsia"/>
        </w:rPr>
        <w:t>18.2 在施工场地涉及危险地区或需要安全防护措施施工时，分包人应提出安全防护措施，经承包人批准后实施，发生的相应费用由承包人承担。</w:t>
      </w:r>
    </w:p>
    <w:p>
      <w:pPr>
        <w:spacing w:line="480" w:lineRule="exact"/>
        <w:ind w:firstLine="420"/>
        <w:rPr>
          <w:rFonts w:hint="eastAsia"/>
          <w:b/>
          <w:bCs/>
        </w:rPr>
      </w:pPr>
      <w:r>
        <w:rPr>
          <w:rFonts w:hint="eastAsia"/>
        </w:rPr>
        <w:t>18.3 发生安全事故，按照总包合同相应条款处理。</w:t>
      </w:r>
    </w:p>
    <w:p>
      <w:pPr>
        <w:pStyle w:val="5"/>
        <w:jc w:val="center"/>
        <w:rPr>
          <w:rFonts w:hint="eastAsia"/>
        </w:rPr>
      </w:pPr>
      <w:r>
        <w:rPr>
          <w:rFonts w:hint="eastAsia"/>
        </w:rPr>
        <w:t>五、合同价款与支付</w:t>
      </w:r>
    </w:p>
    <w:p>
      <w:pPr>
        <w:pStyle w:val="6"/>
        <w:ind w:firstLine="321" w:firstLineChars="100"/>
        <w:rPr>
          <w:rFonts w:hint="eastAsia"/>
        </w:rPr>
      </w:pPr>
      <w:r>
        <w:rPr>
          <w:rFonts w:hint="eastAsia"/>
        </w:rPr>
        <w:t>19、合同价款及调整</w:t>
      </w:r>
    </w:p>
    <w:p>
      <w:pPr>
        <w:spacing w:line="360" w:lineRule="auto"/>
        <w:rPr>
          <w:rFonts w:hint="eastAsia"/>
        </w:rPr>
      </w:pPr>
      <w:r>
        <w:rPr>
          <w:rFonts w:hint="eastAsia"/>
        </w:rPr>
        <w:t xml:space="preserve">    19.1 招标工程的合同价款由承包人与分包人依据中标通知书中的中标价格在本合同协议书内约定；非招标工程的合同价款由承包人与分包人依据工程报价书在本合同协议书内约定。</w:t>
      </w:r>
    </w:p>
    <w:p>
      <w:pPr>
        <w:spacing w:line="480" w:lineRule="exact"/>
      </w:pPr>
      <w:r>
        <w:t xml:space="preserve">  </w:t>
      </w:r>
      <w:r>
        <w:rPr>
          <w:rFonts w:hint="eastAsia"/>
        </w:rPr>
        <w:t xml:space="preserve">  19.2分包工程合同价款在本合同协议书内约定后，任何一方不得擅自改变。下列三种确定合同价款的方式，双方可在本合同专用条款内约定采用其中一种（应与总包合同约定的方式一致）：</w:t>
      </w:r>
    </w:p>
    <w:p>
      <w:pPr>
        <w:spacing w:line="480" w:lineRule="exact"/>
      </w:pPr>
      <w:r>
        <w:t xml:space="preserve">    </w:t>
      </w:r>
      <w:r>
        <w:rPr>
          <w:rFonts w:hint="eastAsia"/>
        </w:rPr>
        <w:t>（1）固定价格。双方在本合同专用条款内约定合同价款包含的风险范围和风险费用的计算方法，在约定的风险范围内合同价款不再调整。风险范围以外的合同价款调整方法，应当在专用条款内约定。</w:t>
      </w:r>
    </w:p>
    <w:p>
      <w:pPr>
        <w:spacing w:line="480" w:lineRule="exact"/>
      </w:pPr>
      <w:r>
        <w:t xml:space="preserve">    </w:t>
      </w:r>
      <w:r>
        <w:rPr>
          <w:rFonts w:hint="eastAsia"/>
        </w:rPr>
        <w:t>（2）可调价格。合同价款可根据双方的约定而调整，双方在本合同专用条款内约定合同价款调整方法。</w:t>
      </w:r>
    </w:p>
    <w:p>
      <w:pPr>
        <w:spacing w:line="480" w:lineRule="exact"/>
        <w:ind w:firstLine="420"/>
        <w:rPr>
          <w:rFonts w:hint="eastAsia"/>
        </w:rPr>
      </w:pPr>
      <w:r>
        <w:rPr>
          <w:rFonts w:hint="eastAsia"/>
        </w:rPr>
        <w:t>（3）成本加酬金。合同价款包括成本和酬金两部分，双方在本合同专用条款内约定成本构成和酬金的计算方法。</w:t>
      </w:r>
    </w:p>
    <w:p>
      <w:pPr>
        <w:spacing w:line="480" w:lineRule="exact"/>
      </w:pPr>
      <w:r>
        <w:rPr>
          <w:rFonts w:hint="eastAsia"/>
        </w:rPr>
        <w:t xml:space="preserve">    19</w:t>
      </w:r>
      <w:r>
        <w:t>.</w:t>
      </w:r>
      <w:r>
        <w:rPr>
          <w:rFonts w:hint="eastAsia"/>
        </w:rPr>
        <w:t>3可调价格计价方式中合同价款的调整因素包括：</w:t>
      </w:r>
    </w:p>
    <w:p>
      <w:pPr>
        <w:spacing w:line="480" w:lineRule="exact"/>
      </w:pPr>
      <w:r>
        <w:t xml:space="preserve">   </w:t>
      </w:r>
      <w:r>
        <w:rPr>
          <w:rFonts w:hint="eastAsia"/>
        </w:rPr>
        <w:t xml:space="preserve"> （1）法律、行政法规和国家有关政策变化影响合同价款；</w:t>
      </w:r>
    </w:p>
    <w:p>
      <w:pPr>
        <w:spacing w:line="480" w:lineRule="exact"/>
        <w:ind w:firstLine="435"/>
        <w:rPr>
          <w:rFonts w:hint="eastAsia"/>
        </w:rPr>
      </w:pPr>
      <w:r>
        <w:rPr>
          <w:rFonts w:hint="eastAsia"/>
        </w:rPr>
        <w:t>（2）工程造价管理部门公布的价格调整；</w:t>
      </w:r>
    </w:p>
    <w:p>
      <w:pPr>
        <w:spacing w:line="480" w:lineRule="exact"/>
        <w:ind w:firstLine="435"/>
        <w:rPr>
          <w:rFonts w:hint="eastAsia"/>
        </w:rPr>
      </w:pPr>
      <w:r>
        <w:rPr>
          <w:rFonts w:hint="eastAsia"/>
        </w:rPr>
        <w:t>（3）一周内非分包人原因停水、停电、停气造成停工累计超过8小时；</w:t>
      </w:r>
    </w:p>
    <w:p>
      <w:pPr>
        <w:spacing w:line="480" w:lineRule="exact"/>
        <w:ind w:firstLine="435"/>
      </w:pPr>
      <w:r>
        <w:rPr>
          <w:rFonts w:hint="eastAsia"/>
        </w:rPr>
        <w:t>（4）双方约定的其他因素。</w:t>
      </w:r>
    </w:p>
    <w:p>
      <w:pPr>
        <w:spacing w:line="480" w:lineRule="exact"/>
        <w:ind w:firstLine="435"/>
        <w:rPr>
          <w:rFonts w:hint="eastAsia"/>
        </w:rPr>
      </w:pPr>
      <w:r>
        <w:rPr>
          <w:rFonts w:hint="eastAsia"/>
        </w:rPr>
        <w:t>19</w:t>
      </w:r>
      <w:r>
        <w:t>.</w:t>
      </w:r>
      <w:r>
        <w:rPr>
          <w:rFonts w:hint="eastAsia"/>
        </w:rPr>
        <w:t>4 分包人应当在19.3款情况发生后</w:t>
      </w:r>
      <w:r>
        <w:t>1</w:t>
      </w:r>
      <w:r>
        <w:rPr>
          <w:rFonts w:hint="eastAsia"/>
        </w:rPr>
        <w:t>0天内，将调整原因、金额以书面形式通知承包人，承包人确认调整金额后作为追加合同价款，与工程价款同期支付。承包人收到通知后10天内不予确认也不提出修改意见，视为已经同意该项调整。</w:t>
      </w:r>
    </w:p>
    <w:p>
      <w:pPr>
        <w:spacing w:line="480" w:lineRule="exact"/>
        <w:ind w:firstLine="400" w:firstLineChars="200"/>
      </w:pPr>
      <w:r>
        <w:rPr>
          <w:rFonts w:hint="eastAsia"/>
        </w:rPr>
        <w:t>19.5 分包合同价款与总包合同相应部分价款无任何连带关系。</w:t>
      </w:r>
    </w:p>
    <w:p>
      <w:pPr>
        <w:pStyle w:val="6"/>
        <w:ind w:firstLine="321" w:firstLineChars="100"/>
        <w:rPr>
          <w:rFonts w:hint="eastAsia"/>
        </w:rPr>
      </w:pPr>
      <w:r>
        <w:rPr>
          <w:rFonts w:hint="eastAsia"/>
        </w:rPr>
        <w:t>20、工程量的确认</w:t>
      </w:r>
    </w:p>
    <w:p>
      <w:pPr>
        <w:spacing w:line="480" w:lineRule="exact"/>
        <w:rPr>
          <w:rFonts w:hint="eastAsia"/>
        </w:rPr>
      </w:pPr>
      <w:r>
        <w:rPr>
          <w:rFonts w:hint="eastAsia"/>
        </w:rPr>
        <w:t xml:space="preserve">    20.1分包人应按本合同专用条款约定的时间向承包人提交已完工程量报告，承包人接到报告后7天内自行按设计图纸计量或报经工程师计量。承包人在自行计量或由工程师计量前24小时应通知分包人，分包人为计量提供便利条件并派人参加。分包人收到通知后不参加计量，计量结果有效，作为工程价款支付的依据；承包人不按约定时间通知分包人，致使分包人未能参加计量，计量结果无效。</w:t>
      </w:r>
    </w:p>
    <w:p>
      <w:pPr>
        <w:spacing w:line="480" w:lineRule="exact"/>
      </w:pPr>
      <w:r>
        <w:rPr>
          <w:rFonts w:hint="eastAsia"/>
        </w:rPr>
        <w:t xml:space="preserve">    20.2 承包人在收到分包人报告后7天内未进行计量或因工程师的原因未计量的，从第8天起，分包人报告中开列的工程量即视为被确认，作为工程价款支付的依据。</w:t>
      </w:r>
    </w:p>
    <w:p>
      <w:pPr>
        <w:spacing w:line="480" w:lineRule="exact"/>
        <w:ind w:firstLine="435"/>
        <w:rPr>
          <w:rFonts w:hint="eastAsia"/>
        </w:rPr>
      </w:pPr>
      <w:r>
        <w:rPr>
          <w:rFonts w:hint="eastAsia"/>
        </w:rPr>
        <w:t>20</w:t>
      </w:r>
      <w:r>
        <w:t>.</w:t>
      </w:r>
      <w:r>
        <w:rPr>
          <w:rFonts w:hint="eastAsia"/>
        </w:rPr>
        <w:t>3</w:t>
      </w:r>
      <w:r>
        <w:t xml:space="preserve"> </w:t>
      </w:r>
      <w:r>
        <w:rPr>
          <w:rFonts w:hint="eastAsia"/>
        </w:rPr>
        <w:t>分包人未按本合同专用条款约定的时间向承包人提交已完工程量报告，或其所提交的报告不符合承包人要求且未做整改的，承包人不予计量。</w:t>
      </w:r>
    </w:p>
    <w:p>
      <w:pPr>
        <w:spacing w:line="480" w:lineRule="exact"/>
        <w:ind w:firstLine="435"/>
      </w:pPr>
      <w:r>
        <w:rPr>
          <w:rFonts w:hint="eastAsia"/>
        </w:rPr>
        <w:t>20</w:t>
      </w:r>
      <w:r>
        <w:t>.</w:t>
      </w:r>
      <w:r>
        <w:rPr>
          <w:rFonts w:hint="eastAsia"/>
        </w:rPr>
        <w:t>4 对分包人自行超出设计图纸范围和因分包人原因造成返工的工程量，承包人不予计量。</w:t>
      </w:r>
    </w:p>
    <w:p>
      <w:pPr>
        <w:pStyle w:val="6"/>
        <w:ind w:firstLine="321" w:firstLineChars="100"/>
        <w:rPr>
          <w:rFonts w:hint="eastAsia"/>
        </w:rPr>
      </w:pPr>
      <w:r>
        <w:rPr>
          <w:rFonts w:hint="eastAsia"/>
        </w:rPr>
        <w:t>21、合同价款的支付</w:t>
      </w:r>
    </w:p>
    <w:p>
      <w:pPr>
        <w:spacing w:line="480" w:lineRule="exact"/>
        <w:rPr>
          <w:rFonts w:hint="eastAsia"/>
        </w:rPr>
      </w:pPr>
      <w:r>
        <w:rPr>
          <w:rFonts w:hint="eastAsia"/>
        </w:rPr>
        <w:t xml:space="preserve">    21.1 实行工程预付款的，双方应在本合同专用条款内约定承包人向分包人预付工程款的时间和数额，开工后按约定的时间和比例逐次扣回。</w:t>
      </w:r>
    </w:p>
    <w:p>
      <w:pPr>
        <w:spacing w:line="480" w:lineRule="exact"/>
        <w:ind w:firstLine="435"/>
        <w:rPr>
          <w:rFonts w:hint="eastAsia"/>
        </w:rPr>
      </w:pPr>
      <w:r>
        <w:rPr>
          <w:rFonts w:hint="eastAsia"/>
        </w:rPr>
        <w:t>21.2 在确认计量结果后</w:t>
      </w:r>
      <w:r>
        <w:t>1</w:t>
      </w:r>
      <w:r>
        <w:rPr>
          <w:rFonts w:hint="eastAsia"/>
        </w:rPr>
        <w:t>0天内，承包人应按专用条款约定的时间和方式，向分包人支付工程款（进度款）。按约定时间承包人应扣回的预付款，与工程款（进度款）同期结算。</w:t>
      </w:r>
    </w:p>
    <w:p>
      <w:pPr>
        <w:spacing w:line="480" w:lineRule="exact"/>
        <w:ind w:firstLine="435"/>
        <w:rPr>
          <w:rFonts w:hint="eastAsia"/>
        </w:rPr>
      </w:pPr>
      <w:r>
        <w:rPr>
          <w:rFonts w:hint="eastAsia"/>
        </w:rPr>
        <w:t>21.3分包合同约定的工程变更调整的合同价款、合同价款的调整、索赔的价款或费用以及其他约定的追加合同价款，应与工程进度款同期调整支付。</w:t>
      </w:r>
    </w:p>
    <w:p>
      <w:pPr>
        <w:spacing w:line="480" w:lineRule="exact"/>
        <w:ind w:firstLine="435"/>
        <w:rPr>
          <w:rFonts w:hint="eastAsia"/>
        </w:rPr>
      </w:pPr>
      <w:r>
        <w:rPr>
          <w:rFonts w:hint="eastAsia"/>
        </w:rPr>
        <w:t>21.4 承包人超过约定的支付时间不支付工程款（预付款、进度款），分包人可向承包人发出要求付款的通知。</w:t>
      </w:r>
    </w:p>
    <w:p>
      <w:pPr>
        <w:spacing w:line="480" w:lineRule="exact"/>
        <w:ind w:firstLine="435"/>
        <w:rPr>
          <w:rFonts w:hint="eastAsia"/>
        </w:rPr>
      </w:pPr>
      <w:r>
        <w:rPr>
          <w:rFonts w:hint="eastAsia"/>
        </w:rPr>
        <w:t>21.5承包人不按分包合同约定支付工程款（预付款、进度款），导致施工无法进行，分包人可停止施工，由承包人承担违约责任。</w:t>
      </w:r>
    </w:p>
    <w:p>
      <w:pPr>
        <w:spacing w:line="480" w:lineRule="exact"/>
        <w:rPr>
          <w:rFonts w:hint="eastAsia"/>
        </w:rPr>
      </w:pPr>
    </w:p>
    <w:p>
      <w:pPr>
        <w:pStyle w:val="5"/>
        <w:jc w:val="center"/>
        <w:rPr>
          <w:rFonts w:hint="eastAsia"/>
        </w:rPr>
      </w:pPr>
      <w:r>
        <w:rPr>
          <w:rFonts w:hint="eastAsia"/>
        </w:rPr>
        <w:t>六、工程变更</w:t>
      </w:r>
    </w:p>
    <w:p>
      <w:pPr>
        <w:pStyle w:val="6"/>
        <w:ind w:firstLine="321" w:firstLineChars="100"/>
        <w:rPr>
          <w:rFonts w:hint="eastAsia"/>
        </w:rPr>
      </w:pPr>
      <w:r>
        <w:rPr>
          <w:rFonts w:hint="eastAsia"/>
        </w:rPr>
        <w:t>22、工程变更</w:t>
      </w:r>
    </w:p>
    <w:p>
      <w:pPr>
        <w:spacing w:line="480" w:lineRule="exact"/>
        <w:rPr>
          <w:rFonts w:hint="eastAsia"/>
        </w:rPr>
      </w:pPr>
      <w:r>
        <w:rPr>
          <w:rFonts w:hint="eastAsia"/>
          <w:b/>
          <w:bCs/>
        </w:rPr>
        <w:t xml:space="preserve">   </w:t>
      </w:r>
      <w:r>
        <w:rPr>
          <w:rFonts w:hint="eastAsia"/>
        </w:rPr>
        <w:t xml:space="preserve"> 22.1 分包人应根据以下指令，以更改、增补或省略的方式对分包工程进行变更：</w:t>
      </w:r>
    </w:p>
    <w:p>
      <w:pPr>
        <w:spacing w:line="480" w:lineRule="exact"/>
        <w:rPr>
          <w:rFonts w:hint="eastAsia"/>
        </w:rPr>
      </w:pPr>
      <w:r>
        <w:rPr>
          <w:rFonts w:hint="eastAsia"/>
        </w:rPr>
        <w:t xml:space="preserve">    （1）工程师根据总包合同作出的变更指令。该变更指令由工程师作出并经承包人确认后通知分包人；</w:t>
      </w:r>
    </w:p>
    <w:p>
      <w:pPr>
        <w:spacing w:line="480" w:lineRule="exact"/>
        <w:rPr>
          <w:rFonts w:hint="eastAsia"/>
        </w:rPr>
      </w:pPr>
      <w:r>
        <w:rPr>
          <w:rFonts w:hint="eastAsia"/>
        </w:rPr>
        <w:t xml:space="preserve">    （2）除上述（1）项以外的承包人作出的变更指令。</w:t>
      </w:r>
    </w:p>
    <w:p>
      <w:pPr>
        <w:spacing w:line="480" w:lineRule="exact"/>
        <w:rPr>
          <w:rFonts w:hint="eastAsia"/>
        </w:rPr>
      </w:pPr>
      <w:r>
        <w:rPr>
          <w:rFonts w:hint="eastAsia"/>
        </w:rPr>
        <w:t xml:space="preserve">    22.2 分包人不执行从发包人或工程师处直接收到的未经承包人确认的有关分包工程变更的指令。如分包人直接收到此类变更指令，应立即通知项目经理并向项目经理提供一份该直接指令的复印件。项目经理应在24小时内提出关于对该指令的处理意见。</w:t>
      </w:r>
    </w:p>
    <w:p>
      <w:pPr>
        <w:spacing w:line="480" w:lineRule="exact"/>
        <w:ind w:firstLine="400" w:firstLineChars="200"/>
        <w:rPr>
          <w:rFonts w:hint="eastAsia"/>
        </w:rPr>
      </w:pPr>
      <w:r>
        <w:rPr>
          <w:rFonts w:hint="eastAsia"/>
        </w:rPr>
        <w:t>22.3 分包工程变更价款的确定应按照总包合同的相应条款履行。分包人应在工程变更确定后11天内向承包人提出变更分包工程价款的报告，经承包人确认后调整合同价款。</w:t>
      </w:r>
    </w:p>
    <w:p>
      <w:pPr>
        <w:spacing w:line="480" w:lineRule="exact"/>
        <w:ind w:firstLine="400" w:firstLineChars="200"/>
        <w:rPr>
          <w:rFonts w:hint="eastAsia"/>
        </w:rPr>
      </w:pPr>
      <w:r>
        <w:rPr>
          <w:rFonts w:hint="eastAsia"/>
        </w:rPr>
        <w:t>22.4 分包人在双方确定变更后11天内不向承包人提出变更分包工程价款的报告，视为该项变更不涉及合同价款的变更。</w:t>
      </w:r>
    </w:p>
    <w:p>
      <w:pPr>
        <w:spacing w:line="480" w:lineRule="exact"/>
        <w:ind w:firstLine="400" w:firstLineChars="200"/>
        <w:rPr>
          <w:rFonts w:hint="eastAsia"/>
        </w:rPr>
      </w:pPr>
      <w:r>
        <w:rPr>
          <w:rFonts w:hint="eastAsia"/>
        </w:rPr>
        <w:t>22.5 承包人在收到变更分包工程价款报告之日起17天内予以确认，无正当理由逾期未予确认时，视为该报告已被确认。</w:t>
      </w:r>
    </w:p>
    <w:p>
      <w:pPr>
        <w:pStyle w:val="5"/>
        <w:jc w:val="center"/>
        <w:rPr>
          <w:rFonts w:hint="eastAsia"/>
        </w:rPr>
      </w:pPr>
      <w:r>
        <w:rPr>
          <w:rFonts w:hint="eastAsia"/>
        </w:rPr>
        <w:t>七、竣工验收及结算</w:t>
      </w:r>
    </w:p>
    <w:p>
      <w:pPr>
        <w:pStyle w:val="6"/>
        <w:ind w:firstLine="321" w:firstLineChars="100"/>
        <w:rPr>
          <w:rFonts w:hint="eastAsia"/>
        </w:rPr>
      </w:pPr>
      <w:r>
        <w:rPr>
          <w:rFonts w:hint="eastAsia"/>
        </w:rPr>
        <w:t>23、竣工验收</w:t>
      </w:r>
    </w:p>
    <w:p>
      <w:pPr>
        <w:spacing w:line="480" w:lineRule="exact"/>
        <w:ind w:firstLine="400" w:firstLineChars="200"/>
        <w:rPr>
          <w:rFonts w:hint="eastAsia"/>
        </w:rPr>
      </w:pPr>
      <w:r>
        <w:rPr>
          <w:rFonts w:hint="eastAsia"/>
        </w:rPr>
        <w:t>23.1 分包工程具备竣工验收条件的，分包人应向承包人提供完整的竣工资料及竣工验收报告。双方约定由分包人提供竣工图的，应在专用条款内约定提交日期和份数。</w:t>
      </w:r>
    </w:p>
    <w:p>
      <w:pPr>
        <w:spacing w:line="480" w:lineRule="exact"/>
        <w:ind w:firstLine="400" w:firstLineChars="200"/>
        <w:rPr>
          <w:rFonts w:hint="eastAsia"/>
          <w:color w:val="0000FF"/>
        </w:rPr>
      </w:pPr>
      <w:r>
        <w:rPr>
          <w:rFonts w:hint="eastAsia"/>
        </w:rPr>
        <w:t>23.2 承包人应在收到分包人提供的竣工验收报告之日起3日内通知发包人进行验收，分包人应配合承包人进行验收。根据总包合同无需由发包人验收的部分，承包人应按照总包合同约定的验收程序自行验收</w:t>
      </w:r>
      <w:r>
        <w:rPr>
          <w:rFonts w:hint="eastAsia"/>
          <w:color w:val="0000FF"/>
        </w:rPr>
        <w:t>。</w:t>
      </w:r>
      <w:r>
        <w:rPr>
          <w:rFonts w:hint="eastAsia"/>
        </w:rPr>
        <w:t>发包人未能按照总包合同及时组织验收的，承包人应按照总包合同规定的发包人验收的期限及程序自行组织验收，并视为分包工程竣工验收通过。</w:t>
      </w:r>
    </w:p>
    <w:p>
      <w:pPr>
        <w:spacing w:line="480" w:lineRule="exact"/>
        <w:ind w:firstLine="400" w:firstLineChars="200"/>
        <w:rPr>
          <w:rFonts w:hint="eastAsia"/>
        </w:rPr>
      </w:pPr>
      <w:r>
        <w:rPr>
          <w:rFonts w:hint="eastAsia"/>
        </w:rPr>
        <w:t>23.3分包工程竣工验收未能通过且属于分包人原因的，分包人负责修复相应缺陷并承担相应的质量责任。</w:t>
      </w:r>
    </w:p>
    <w:p>
      <w:pPr>
        <w:spacing w:line="480" w:lineRule="exact"/>
        <w:ind w:firstLine="420"/>
        <w:rPr>
          <w:rFonts w:hint="eastAsia"/>
        </w:rPr>
      </w:pPr>
      <w:r>
        <w:rPr>
          <w:rFonts w:hint="eastAsia"/>
        </w:rPr>
        <w:t>23.4 分包工程竣工日期为分包人提供竣工验收报告之日。需要修复的，为提供修复后竣工报告之日。</w:t>
      </w:r>
    </w:p>
    <w:p>
      <w:pPr>
        <w:pStyle w:val="6"/>
        <w:ind w:firstLine="321" w:firstLineChars="100"/>
        <w:rPr>
          <w:rFonts w:hint="eastAsia"/>
        </w:rPr>
      </w:pPr>
      <w:r>
        <w:rPr>
          <w:rFonts w:hint="eastAsia"/>
        </w:rPr>
        <w:t>24、竣工结算及移交</w:t>
      </w:r>
    </w:p>
    <w:p>
      <w:pPr>
        <w:spacing w:line="480" w:lineRule="exact"/>
        <w:ind w:firstLine="435"/>
        <w:rPr>
          <w:rFonts w:hint="eastAsia"/>
        </w:rPr>
      </w:pPr>
      <w:r>
        <w:rPr>
          <w:rFonts w:hint="eastAsia"/>
        </w:rPr>
        <w:t>24</w:t>
      </w:r>
      <w:r>
        <w:t>.</w:t>
      </w:r>
      <w:r>
        <w:rPr>
          <w:rFonts w:hint="eastAsia"/>
        </w:rPr>
        <w:t>1 分包工程竣工验收报告经承包人认可后14天内，分包人向承包人递交分包工程竣工结算报告及完整的结算资料，双方按照本合同协议书约定的合同价款及本合同专用条款约定的合同价款调整内容，进行工程竣工结算。</w:t>
      </w:r>
    </w:p>
    <w:p>
      <w:pPr>
        <w:spacing w:line="480" w:lineRule="exact"/>
        <w:ind w:firstLine="435"/>
        <w:rPr>
          <w:rFonts w:hint="eastAsia"/>
        </w:rPr>
      </w:pPr>
      <w:r>
        <w:rPr>
          <w:rFonts w:hint="eastAsia"/>
        </w:rPr>
        <w:t>24.2 承包人收到分包人递交的分包工程竣工结算报告及结算资料后28天内进行核实，给予确认或者提出明确的修改意见。承包人确认竣工结算报告后7天内向分包人支付分包工程竣工结算价款。分包人收到竣工结算价款之日起7天内，将竣工工程交付承包人。</w:t>
      </w:r>
    </w:p>
    <w:p>
      <w:pPr>
        <w:spacing w:line="480" w:lineRule="exact"/>
        <w:ind w:firstLine="400" w:firstLineChars="200"/>
        <w:rPr>
          <w:rFonts w:hint="eastAsia"/>
        </w:rPr>
      </w:pPr>
      <w:r>
        <w:rPr>
          <w:rFonts w:hint="eastAsia"/>
        </w:rPr>
        <w:t>24.3 承包人收到分包工程竣工结算报告及结算资料后28天内无正当理由不支付工程竣工结算价款，从第29天起按分包人同期向银行贷款利率支付拖欠工程价款的利息，并承担违约责任。</w:t>
      </w:r>
    </w:p>
    <w:p>
      <w:pPr>
        <w:pStyle w:val="6"/>
        <w:ind w:firstLine="321" w:firstLineChars="100"/>
        <w:rPr>
          <w:rFonts w:hint="eastAsia"/>
        </w:rPr>
      </w:pPr>
      <w:r>
        <w:rPr>
          <w:rFonts w:hint="eastAsia"/>
        </w:rPr>
        <w:t>25、质量保修</w:t>
      </w:r>
    </w:p>
    <w:p>
      <w:pPr>
        <w:spacing w:line="480" w:lineRule="exact"/>
        <w:rPr>
          <w:rFonts w:hint="eastAsia"/>
        </w:rPr>
      </w:pPr>
      <w:r>
        <w:rPr>
          <w:rFonts w:hint="eastAsia"/>
        </w:rPr>
        <w:t xml:space="preserve">    25.1 在包括分包工程的总包工程竣工交付使用后，分包人应按国家有关规定对分包工程出现的缺陷进行保修，具体保修责任按照分包人与承包人在工程竣工验收之前签订的质量保修书执行。</w:t>
      </w:r>
    </w:p>
    <w:p>
      <w:pPr>
        <w:pStyle w:val="5"/>
        <w:ind w:firstLine="321" w:firstLineChars="100"/>
        <w:jc w:val="center"/>
        <w:rPr>
          <w:rFonts w:hint="eastAsia"/>
        </w:rPr>
      </w:pPr>
      <w:r>
        <w:rPr>
          <w:rFonts w:hint="eastAsia"/>
        </w:rPr>
        <w:t>八、违约、索赔及争议</w:t>
      </w:r>
    </w:p>
    <w:p>
      <w:pPr>
        <w:pStyle w:val="6"/>
        <w:ind w:firstLine="321" w:firstLineChars="100"/>
        <w:rPr>
          <w:rFonts w:hint="eastAsia"/>
        </w:rPr>
      </w:pPr>
      <w:r>
        <w:rPr>
          <w:rFonts w:hint="eastAsia"/>
        </w:rPr>
        <w:t>26、违约</w:t>
      </w:r>
    </w:p>
    <w:p>
      <w:pPr>
        <w:ind w:firstLine="435"/>
        <w:rPr>
          <w:rFonts w:hint="eastAsia"/>
        </w:rPr>
      </w:pPr>
      <w:r>
        <w:rPr>
          <w:rFonts w:hint="eastAsia"/>
        </w:rPr>
        <w:t>26.1当发生下列情况之一时，视为承包人违约：</w:t>
      </w:r>
    </w:p>
    <w:p>
      <w:pPr>
        <w:spacing w:line="360" w:lineRule="auto"/>
        <w:ind w:firstLine="400" w:firstLineChars="200"/>
        <w:rPr>
          <w:rFonts w:hint="eastAsia"/>
        </w:rPr>
      </w:pPr>
      <w:r>
        <w:rPr>
          <w:rFonts w:hint="eastAsia"/>
        </w:rPr>
        <w:t>（1）本合同通用条款第21.5款提到的承包人不按分包合同的约定支付工程预付款、工程进度款，导致施工无法进行；</w:t>
      </w:r>
    </w:p>
    <w:p>
      <w:pPr>
        <w:spacing w:line="360" w:lineRule="auto"/>
        <w:ind w:firstLine="400" w:firstLineChars="200"/>
        <w:rPr>
          <w:rFonts w:hint="eastAsia"/>
        </w:rPr>
      </w:pPr>
      <w:r>
        <w:rPr>
          <w:rFonts w:hint="eastAsia"/>
        </w:rPr>
        <w:t>（2）本合同通用条款第24.3款提到的承包人不按分包合同的约定支付工程竣工结算价款；</w:t>
      </w:r>
    </w:p>
    <w:p>
      <w:pPr>
        <w:spacing w:line="360" w:lineRule="auto"/>
        <w:ind w:left="435"/>
        <w:rPr>
          <w:rFonts w:hint="eastAsia"/>
        </w:rPr>
      </w:pPr>
      <w:r>
        <w:rPr>
          <w:rFonts w:hint="eastAsia"/>
        </w:rPr>
        <w:t>（3）承包人不履行分包合同义务或不按分包合同约定履行义务的其他情况。</w:t>
      </w:r>
    </w:p>
    <w:p>
      <w:pPr>
        <w:pStyle w:val="22"/>
        <w:spacing w:line="360" w:lineRule="auto"/>
        <w:rPr>
          <w:rFonts w:hint="eastAsia"/>
          <w:color w:val="auto"/>
        </w:rPr>
      </w:pPr>
      <w:r>
        <w:rPr>
          <w:rFonts w:hint="eastAsia"/>
          <w:color w:val="auto"/>
        </w:rPr>
        <w:t>承包人承担违约责任，赔偿因其违约给分包人造成的经济损失，顺延延误的工期。双方在本合同专用条款内约定承包人赔偿分包人损失的计算方法或承包人应当支付违约金的数额。</w:t>
      </w:r>
    </w:p>
    <w:p>
      <w:pPr>
        <w:spacing w:line="360" w:lineRule="auto"/>
        <w:ind w:firstLine="435"/>
        <w:rPr>
          <w:rFonts w:hint="eastAsia"/>
        </w:rPr>
      </w:pPr>
      <w:r>
        <w:rPr>
          <w:rFonts w:hint="eastAsia"/>
        </w:rPr>
        <w:t>26.2当发生下列情况之一时，视为分包人违约：</w:t>
      </w:r>
    </w:p>
    <w:p>
      <w:pPr>
        <w:spacing w:line="360" w:lineRule="auto"/>
        <w:ind w:left="435"/>
        <w:rPr>
          <w:rFonts w:hint="eastAsia"/>
        </w:rPr>
      </w:pPr>
      <w:r>
        <w:rPr>
          <w:rFonts w:hint="eastAsia"/>
        </w:rPr>
        <w:t>（1）本合同通用条款第5</w:t>
      </w:r>
      <w:r>
        <w:t>.</w:t>
      </w:r>
      <w:r>
        <w:rPr>
          <w:rFonts w:hint="eastAsia"/>
        </w:rPr>
        <w:t>3款提到的如分包人与发包人或工程师发生直接工作联系；</w:t>
      </w:r>
    </w:p>
    <w:p>
      <w:pPr>
        <w:spacing w:line="360" w:lineRule="auto"/>
        <w:ind w:firstLine="435"/>
        <w:rPr>
          <w:rFonts w:hint="eastAsia"/>
        </w:rPr>
      </w:pPr>
      <w:r>
        <w:rPr>
          <w:rFonts w:hint="eastAsia"/>
        </w:rPr>
        <w:t>（2）本合同通用条款第</w:t>
      </w:r>
      <w:r>
        <w:t>1</w:t>
      </w:r>
      <w:r>
        <w:rPr>
          <w:rFonts w:hint="eastAsia"/>
        </w:rPr>
        <w:t>2</w:t>
      </w:r>
      <w:r>
        <w:t>.</w:t>
      </w:r>
      <w:r>
        <w:rPr>
          <w:rFonts w:hint="eastAsia"/>
        </w:rPr>
        <w:t>1款提到的</w:t>
      </w:r>
      <w:r>
        <w:rPr>
          <w:rFonts w:hint="eastAsia"/>
          <w:bCs/>
        </w:rPr>
        <w:t>分包人将其承包的分包工程转包或再分包；</w:t>
      </w:r>
    </w:p>
    <w:p>
      <w:pPr>
        <w:spacing w:line="360" w:lineRule="auto"/>
        <w:ind w:firstLine="400" w:firstLineChars="200"/>
        <w:rPr>
          <w:rFonts w:hint="eastAsia"/>
        </w:rPr>
      </w:pPr>
      <w:r>
        <w:rPr>
          <w:rFonts w:hint="eastAsia"/>
        </w:rPr>
        <w:t>（3）本合同通用条款第</w:t>
      </w:r>
      <w:r>
        <w:t>1</w:t>
      </w:r>
      <w:r>
        <w:rPr>
          <w:rFonts w:hint="eastAsia"/>
        </w:rPr>
        <w:t>6</w:t>
      </w:r>
      <w:r>
        <w:t>.</w:t>
      </w:r>
      <w:r>
        <w:rPr>
          <w:rFonts w:hint="eastAsia"/>
        </w:rPr>
        <w:t>2款提到的因分包人原因不能按照本合同协议书约定的竣工日期或承包人同意顺延的工期竣工的；</w:t>
      </w:r>
    </w:p>
    <w:p>
      <w:pPr>
        <w:spacing w:line="360" w:lineRule="auto"/>
        <w:ind w:firstLine="420"/>
        <w:rPr>
          <w:rFonts w:hint="eastAsia"/>
        </w:rPr>
      </w:pPr>
      <w:r>
        <w:rPr>
          <w:rFonts w:hint="eastAsia"/>
        </w:rPr>
        <w:t>（4）本合同通用条款第17.1款提到的因分包人原因工程质量达不到约定的质量标准；</w:t>
      </w:r>
    </w:p>
    <w:p>
      <w:pPr>
        <w:spacing w:line="360" w:lineRule="auto"/>
        <w:ind w:left="435"/>
        <w:rPr>
          <w:rFonts w:hint="eastAsia"/>
        </w:rPr>
      </w:pPr>
      <w:r>
        <w:rPr>
          <w:rFonts w:hint="eastAsia"/>
        </w:rPr>
        <w:t>（5）分包人不履行分包合同义务或不按分包合同约定履行义务的其他情况。</w:t>
      </w:r>
    </w:p>
    <w:p>
      <w:pPr>
        <w:spacing w:line="360" w:lineRule="auto"/>
        <w:ind w:firstLine="400" w:firstLineChars="200"/>
        <w:rPr>
          <w:rFonts w:hint="eastAsia"/>
        </w:rPr>
      </w:pPr>
      <w:r>
        <w:rPr>
          <w:rFonts w:hint="eastAsia"/>
        </w:rPr>
        <w:t>分包人承担违约责任，赔偿因其违约给承包人造成的经济损失。双方在本合同专用条款内约定分包人赔偿承包人损失的计算方法或分包人应当支付违约金的数额。</w:t>
      </w:r>
    </w:p>
    <w:p>
      <w:pPr>
        <w:spacing w:line="480" w:lineRule="exact"/>
        <w:ind w:firstLine="435"/>
        <w:rPr>
          <w:rFonts w:hint="eastAsia"/>
        </w:rPr>
      </w:pPr>
      <w:r>
        <w:rPr>
          <w:rFonts w:hint="eastAsia"/>
        </w:rPr>
        <w:t xml:space="preserve"> 26.3 分包人违反本合同可能产生的后果</w:t>
      </w:r>
    </w:p>
    <w:p>
      <w:pPr>
        <w:spacing w:line="480" w:lineRule="exact"/>
        <w:ind w:firstLine="435"/>
        <w:rPr>
          <w:rFonts w:hint="eastAsia"/>
          <w:b/>
        </w:rPr>
      </w:pPr>
      <w:r>
        <w:rPr>
          <w:rFonts w:hint="eastAsia"/>
        </w:rPr>
        <w:t>如分包人有违反分包合同的行为，分包人应保障承包人免于承担因此违约造成的工期延误、经济损失及根据总包合同承包人将负责的任何赔偿费，在此情况下，承包人可从本应支付分包人的任何价款中扣除此笔经济损失及赔偿费，并且不排除采用其它补救方法的可能。</w:t>
      </w:r>
    </w:p>
    <w:p>
      <w:pPr>
        <w:pStyle w:val="6"/>
        <w:ind w:firstLine="321" w:firstLineChars="100"/>
        <w:rPr>
          <w:rFonts w:hint="eastAsia"/>
        </w:rPr>
      </w:pPr>
      <w:r>
        <w:rPr>
          <w:rFonts w:hint="eastAsia"/>
        </w:rPr>
        <w:t>27、索赔</w:t>
      </w:r>
    </w:p>
    <w:p>
      <w:pPr>
        <w:spacing w:line="480" w:lineRule="exact"/>
        <w:ind w:firstLine="435"/>
        <w:rPr>
          <w:rFonts w:hint="eastAsia"/>
        </w:rPr>
      </w:pPr>
      <w:r>
        <w:rPr>
          <w:rFonts w:hint="eastAsia"/>
        </w:rPr>
        <w:t>27.1 当一方向另一方提出索赔时，要有正当的索赔理由，且有索赔事件发生时的有效证据。</w:t>
      </w:r>
    </w:p>
    <w:p>
      <w:pPr>
        <w:spacing w:line="480" w:lineRule="exact"/>
        <w:ind w:firstLine="435"/>
        <w:rPr>
          <w:rFonts w:hint="eastAsia"/>
        </w:rPr>
      </w:pPr>
      <w:r>
        <w:rPr>
          <w:rFonts w:hint="eastAsia"/>
        </w:rPr>
        <w:t>27.2 承包人未能按分包合同的约定履行自己的各项义务或发生错误以及应由承包人承担责任的其他情况，造成工期延误和（或）分包人不能及时得到合同价款或分包人的其他经济损失，分包人可按总包合同约定的程序以书面形式向承包人索赔。</w:t>
      </w:r>
    </w:p>
    <w:p>
      <w:pPr>
        <w:spacing w:line="480" w:lineRule="exact"/>
        <w:ind w:firstLine="435"/>
        <w:rPr>
          <w:rFonts w:hint="eastAsia"/>
        </w:rPr>
      </w:pPr>
      <w:r>
        <w:rPr>
          <w:rFonts w:hint="eastAsia"/>
        </w:rPr>
        <w:t>27.3 在分包工程施工过程中，如分包人遇到不利外部条件等根据总包合同可以索赔的情况，分包人可按照总包合同约定的索赔程序通过承包人提出索赔要求。在承包人收到分包人索赔报告后21天内给予分包人明确的答复，或要求进一步补充索赔理由和证据。索赔成功后，承包人应将相应部分转交分包人。</w:t>
      </w:r>
    </w:p>
    <w:p>
      <w:pPr>
        <w:pStyle w:val="31"/>
        <w:rPr>
          <w:rFonts w:hint="eastAsia"/>
          <w:color w:val="auto"/>
        </w:rPr>
      </w:pPr>
      <w:r>
        <w:rPr>
          <w:rFonts w:hint="eastAsia"/>
          <w:color w:val="auto"/>
        </w:rPr>
        <w:t>分包人应按照总包合同的规定及时向承包人提交分包工程的索赔报告，以保证承包人可以及时向发包人进行索赔。承包人在35天内未能对分包人的索赔报告给予答复，视为分包人的索赔报告已经得到批准。</w:t>
      </w:r>
    </w:p>
    <w:p>
      <w:pPr>
        <w:spacing w:line="480" w:lineRule="exact"/>
        <w:ind w:firstLine="435"/>
        <w:rPr>
          <w:rFonts w:hint="eastAsia"/>
        </w:rPr>
      </w:pPr>
      <w:r>
        <w:rPr>
          <w:rFonts w:hint="eastAsia"/>
        </w:rPr>
        <w:t>27.4承包人根据总包合同的约定向工程师递交任何索赔意向通知或其它资料，要求分包人协助时，分包人应就分包工程方面的情况，以书面形式向承包人发出相关通知或其它资料以及保持并出示同期施工记录，以便承包人能遵守总包合同有关索赔的约定。</w:t>
      </w:r>
    </w:p>
    <w:p>
      <w:pPr>
        <w:spacing w:line="480" w:lineRule="exact"/>
        <w:ind w:firstLine="435"/>
        <w:rPr>
          <w:rFonts w:hint="eastAsia"/>
        </w:rPr>
      </w:pPr>
      <w:r>
        <w:rPr>
          <w:rFonts w:hint="eastAsia"/>
        </w:rPr>
        <w:t>分包人未予积极配合，使得承包人涉及到分包工程的索赔未获成功，则承包人可在按分包合同约定应支付给分包人的金额中扣除上述本应获得的索赔款项中适当比例的部分。</w:t>
      </w:r>
    </w:p>
    <w:p>
      <w:pPr>
        <w:pStyle w:val="6"/>
        <w:ind w:firstLine="321" w:firstLineChars="100"/>
        <w:rPr>
          <w:rFonts w:hint="eastAsia"/>
        </w:rPr>
      </w:pPr>
      <w:r>
        <w:rPr>
          <w:rFonts w:hint="eastAsia"/>
        </w:rPr>
        <w:t>28、争议</w:t>
      </w:r>
    </w:p>
    <w:p>
      <w:pPr>
        <w:spacing w:line="480" w:lineRule="exact"/>
        <w:ind w:firstLine="420"/>
      </w:pPr>
      <w:r>
        <w:rPr>
          <w:rFonts w:hint="eastAsia"/>
        </w:rPr>
        <w:t>28.1承包人分包人在履行合同时发生争议，可以和解或者要求有关部门调解。当事人不愿和解、调解或者和解、调解不成的，双方可以在本合同专用条款内约定以下一种方式解决争议：</w:t>
      </w:r>
    </w:p>
    <w:p>
      <w:pPr>
        <w:spacing w:line="480" w:lineRule="exact"/>
      </w:pPr>
      <w:r>
        <w:t xml:space="preserve">    </w:t>
      </w:r>
      <w:r>
        <w:rPr>
          <w:rFonts w:hint="eastAsia"/>
        </w:rPr>
        <w:t>（1）双方达成仲裁协议，向约定的仲裁委员会申请仲裁；</w:t>
      </w:r>
    </w:p>
    <w:p>
      <w:pPr>
        <w:spacing w:line="480" w:lineRule="exact"/>
        <w:ind w:firstLine="420"/>
        <w:rPr>
          <w:rFonts w:hint="eastAsia"/>
        </w:rPr>
      </w:pPr>
      <w:r>
        <w:rPr>
          <w:rFonts w:hint="eastAsia"/>
        </w:rPr>
        <w:t>（2）向有管辖权的人民法院起诉。</w:t>
      </w:r>
    </w:p>
    <w:p>
      <w:pPr>
        <w:spacing w:line="480" w:lineRule="exact"/>
        <w:ind w:firstLine="420"/>
        <w:rPr>
          <w:rFonts w:hint="eastAsia"/>
        </w:rPr>
      </w:pPr>
      <w:r>
        <w:rPr>
          <w:rFonts w:hint="eastAsia"/>
        </w:rPr>
        <w:t>28.2 发生争议后，除非出现下列情况，双方应继续履行合同，保持分包工程施工连续，保护好已完工程：</w:t>
      </w:r>
    </w:p>
    <w:p>
      <w:pPr>
        <w:spacing w:line="480" w:lineRule="exact"/>
        <w:ind w:firstLine="400" w:firstLineChars="200"/>
        <w:rPr>
          <w:rFonts w:hint="eastAsia"/>
        </w:rPr>
      </w:pPr>
      <w:r>
        <w:rPr>
          <w:rFonts w:hint="eastAsia"/>
        </w:rPr>
        <w:t>（1）单方违约导致合同确已无法履行，双方协议停止施工；</w:t>
      </w:r>
    </w:p>
    <w:p>
      <w:pPr>
        <w:spacing w:line="480" w:lineRule="exact"/>
        <w:ind w:firstLine="435"/>
        <w:rPr>
          <w:rFonts w:hint="eastAsia"/>
        </w:rPr>
      </w:pPr>
      <w:r>
        <w:rPr>
          <w:rFonts w:hint="eastAsia"/>
        </w:rPr>
        <w:t>（2）调解要求停止施工，且为双方接受；</w:t>
      </w:r>
    </w:p>
    <w:p>
      <w:pPr>
        <w:spacing w:line="480" w:lineRule="exact"/>
        <w:ind w:firstLine="435"/>
        <w:rPr>
          <w:rFonts w:hint="eastAsia"/>
        </w:rPr>
      </w:pPr>
      <w:r>
        <w:rPr>
          <w:rFonts w:hint="eastAsia"/>
        </w:rPr>
        <w:t>（3）仲裁机构要求停止施工；</w:t>
      </w:r>
    </w:p>
    <w:p>
      <w:pPr>
        <w:spacing w:line="480" w:lineRule="exact"/>
        <w:ind w:firstLine="435"/>
        <w:rPr>
          <w:rFonts w:hint="eastAsia"/>
        </w:rPr>
      </w:pPr>
      <w:r>
        <w:rPr>
          <w:rFonts w:hint="eastAsia"/>
        </w:rPr>
        <w:t>（4）法院要求停止施工。</w:t>
      </w:r>
    </w:p>
    <w:p>
      <w:pPr>
        <w:pStyle w:val="5"/>
        <w:jc w:val="center"/>
        <w:rPr>
          <w:rFonts w:hint="eastAsia"/>
        </w:rPr>
      </w:pPr>
      <w:r>
        <w:rPr>
          <w:rFonts w:hint="eastAsia"/>
        </w:rPr>
        <w:t>九、保障、保险及担保</w:t>
      </w:r>
    </w:p>
    <w:p>
      <w:pPr>
        <w:pStyle w:val="6"/>
        <w:ind w:firstLine="321" w:firstLineChars="100"/>
        <w:rPr>
          <w:rFonts w:hint="eastAsia"/>
        </w:rPr>
      </w:pPr>
      <w:r>
        <w:rPr>
          <w:rFonts w:hint="eastAsia"/>
        </w:rPr>
        <w:t>29、保障</w:t>
      </w:r>
    </w:p>
    <w:p>
      <w:pPr>
        <w:spacing w:line="480" w:lineRule="exact"/>
        <w:rPr>
          <w:rFonts w:hint="eastAsia"/>
        </w:rPr>
      </w:pPr>
      <w:r>
        <w:rPr>
          <w:rFonts w:hint="eastAsia"/>
        </w:rPr>
        <w:t xml:space="preserve">    29.1 除应由承包人承担的风险外，分包人应保障承包人免于承受在分包工程施工过程中及修补缺陷引起的下列损失、索赔及与此有关的索赔、诉讼、损害赔偿：</w:t>
      </w:r>
    </w:p>
    <w:p>
      <w:pPr>
        <w:spacing w:line="480" w:lineRule="exact"/>
        <w:rPr>
          <w:rFonts w:hint="eastAsia"/>
        </w:rPr>
      </w:pPr>
      <w:r>
        <w:rPr>
          <w:rFonts w:hint="eastAsia"/>
        </w:rPr>
        <w:t xml:space="preserve">    （1）、人员的伤亡；</w:t>
      </w:r>
    </w:p>
    <w:p>
      <w:pPr>
        <w:spacing w:line="480" w:lineRule="exact"/>
        <w:rPr>
          <w:rFonts w:hint="eastAsia"/>
        </w:rPr>
      </w:pPr>
      <w:r>
        <w:rPr>
          <w:rFonts w:hint="eastAsia"/>
        </w:rPr>
        <w:t xml:space="preserve">    （2）、分包工程以外的任何财产的损失或损害。</w:t>
      </w:r>
    </w:p>
    <w:p>
      <w:pPr>
        <w:spacing w:line="480" w:lineRule="exact"/>
        <w:rPr>
          <w:rFonts w:hint="eastAsia"/>
        </w:rPr>
      </w:pPr>
      <w:r>
        <w:rPr>
          <w:rFonts w:hint="eastAsia"/>
        </w:rPr>
        <w:t xml:space="preserve">    上列损失应由造成损失的责任方承担。</w:t>
      </w:r>
    </w:p>
    <w:p>
      <w:pPr>
        <w:spacing w:line="480" w:lineRule="exact"/>
        <w:rPr>
          <w:rFonts w:hint="eastAsia"/>
        </w:rPr>
      </w:pPr>
      <w:r>
        <w:rPr>
          <w:rFonts w:hint="eastAsia"/>
        </w:rPr>
        <w:t xml:space="preserve">    29.2 承包人应保障分包人免于承担与下列事宜有关的索赔、诉讼、损害赔偿费、诉讼费、指控费和其它开支：</w:t>
      </w:r>
    </w:p>
    <w:p>
      <w:pPr>
        <w:spacing w:line="480" w:lineRule="exact"/>
        <w:rPr>
          <w:rFonts w:hint="eastAsia"/>
        </w:rPr>
      </w:pPr>
      <w:r>
        <w:rPr>
          <w:rFonts w:hint="eastAsia"/>
        </w:rPr>
        <w:t xml:space="preserve">    （1）、按分包合同约定，实施和完成分包合同以及保修过程当中所导致的无法避免的对财产的损害；</w:t>
      </w:r>
    </w:p>
    <w:p>
      <w:pPr>
        <w:spacing w:line="480" w:lineRule="exact"/>
        <w:rPr>
          <w:rFonts w:hint="eastAsia"/>
        </w:rPr>
      </w:pPr>
      <w:r>
        <w:rPr>
          <w:rFonts w:hint="eastAsia"/>
        </w:rPr>
        <w:t xml:space="preserve">    （2）、由于发包人、承包人或其它分包商的行为或疏忽造成的人员伤亡或财产损失或损害，或与此相关的索赔、诉讼等。</w:t>
      </w:r>
    </w:p>
    <w:p>
      <w:pPr>
        <w:spacing w:line="480" w:lineRule="exact"/>
        <w:rPr>
          <w:rFonts w:hint="eastAsia"/>
        </w:rPr>
      </w:pPr>
      <w:r>
        <w:t xml:space="preserve">   </w:t>
      </w:r>
      <w:r>
        <w:rPr>
          <w:rFonts w:hint="eastAsia"/>
        </w:rPr>
        <w:t>上列损失应由造成损失的责任方承担。</w:t>
      </w:r>
    </w:p>
    <w:p>
      <w:pPr>
        <w:pStyle w:val="6"/>
        <w:ind w:firstLine="321" w:firstLineChars="100"/>
      </w:pPr>
      <w:r>
        <w:rPr>
          <w:rFonts w:hint="eastAsia"/>
        </w:rPr>
        <w:t>30、保险</w:t>
      </w:r>
    </w:p>
    <w:p>
      <w:pPr>
        <w:spacing w:line="480" w:lineRule="exact"/>
      </w:pPr>
      <w:r>
        <w:t xml:space="preserve">    </w:t>
      </w:r>
      <w:r>
        <w:rPr>
          <w:rFonts w:hint="eastAsia"/>
        </w:rPr>
        <w:t>30</w:t>
      </w:r>
      <w:r>
        <w:t>.</w:t>
      </w:r>
      <w:r>
        <w:rPr>
          <w:rFonts w:hint="eastAsia"/>
        </w:rPr>
        <w:t>1</w:t>
      </w:r>
      <w:r>
        <w:t xml:space="preserve"> </w:t>
      </w:r>
      <w:r>
        <w:rPr>
          <w:rFonts w:hint="eastAsia"/>
        </w:rPr>
        <w:t>承包人应为运至施工场地内用于分包工程的材料和待安装设备办理保险。发包人已经办理的保险视为承包人办理的保险。</w:t>
      </w:r>
    </w:p>
    <w:p>
      <w:pPr>
        <w:spacing w:line="480" w:lineRule="exact"/>
      </w:pPr>
      <w:r>
        <w:t xml:space="preserve">    </w:t>
      </w:r>
      <w:r>
        <w:rPr>
          <w:rFonts w:hint="eastAsia"/>
        </w:rPr>
        <w:t>30</w:t>
      </w:r>
      <w:r>
        <w:t>.2</w:t>
      </w:r>
      <w:r>
        <w:rPr>
          <w:rFonts w:hint="eastAsia"/>
        </w:rPr>
        <w:t xml:space="preserve"> 分包人必须为从事危险作业的职工办理意外伤害保险，并为施工场地内自有人员生命财产和施工机械设备办理保险，支付保险费用。</w:t>
      </w:r>
    </w:p>
    <w:p>
      <w:pPr>
        <w:spacing w:line="480" w:lineRule="exact"/>
        <w:ind w:firstLine="420"/>
        <w:rPr>
          <w:rFonts w:hint="eastAsia"/>
        </w:rPr>
      </w:pPr>
      <w:r>
        <w:rPr>
          <w:rFonts w:hint="eastAsia"/>
        </w:rPr>
        <w:t>30</w:t>
      </w:r>
      <w:r>
        <w:t>.</w:t>
      </w:r>
      <w:r>
        <w:rPr>
          <w:rFonts w:hint="eastAsia"/>
        </w:rPr>
        <w:t>3 保险事故发生时，承包人分包人均有责任尽力采取必要的措施，防止或者减少损失。</w:t>
      </w:r>
    </w:p>
    <w:p>
      <w:pPr>
        <w:spacing w:line="480" w:lineRule="exact"/>
        <w:ind w:firstLine="420"/>
        <w:rPr>
          <w:rFonts w:hint="eastAsia"/>
        </w:rPr>
      </w:pPr>
      <w:r>
        <w:rPr>
          <w:rFonts w:hint="eastAsia"/>
        </w:rPr>
        <w:t>30</w:t>
      </w:r>
      <w:r>
        <w:t>.</w:t>
      </w:r>
      <w:r>
        <w:rPr>
          <w:rFonts w:hint="eastAsia"/>
        </w:rPr>
        <w:t>4 具体投保内容和相关责任，承包人分包人在本合同专用条款内约定。</w:t>
      </w:r>
    </w:p>
    <w:p>
      <w:pPr>
        <w:pStyle w:val="6"/>
        <w:ind w:firstLine="321" w:firstLineChars="100"/>
        <w:rPr>
          <w:rFonts w:hint="eastAsia"/>
        </w:rPr>
      </w:pPr>
      <w:r>
        <w:rPr>
          <w:rFonts w:hint="eastAsia"/>
        </w:rPr>
        <w:t>31、担保</w:t>
      </w:r>
    </w:p>
    <w:p>
      <w:pPr>
        <w:spacing w:line="480" w:lineRule="exact"/>
        <w:rPr>
          <w:rFonts w:hint="eastAsia"/>
        </w:rPr>
      </w:pPr>
      <w:r>
        <w:rPr>
          <w:rFonts w:hint="eastAsia"/>
        </w:rPr>
        <w:t xml:space="preserve">    31.1如分包合同要求承包人向分包人提供支付担保时，承包人应与分包人协商担保方式和担保额度，在本合同专用条款内约定。</w:t>
      </w:r>
    </w:p>
    <w:p>
      <w:pPr>
        <w:spacing w:line="480" w:lineRule="exact"/>
        <w:ind w:firstLine="435"/>
        <w:rPr>
          <w:rFonts w:hint="eastAsia"/>
        </w:rPr>
      </w:pPr>
      <w:r>
        <w:rPr>
          <w:rFonts w:hint="eastAsia"/>
        </w:rPr>
        <w:t>31.2如分包合同要求分包人向承包人提供履约担保时，分包人应与承包人协商担保方式和担保额度，在本合同专用条款内约定。</w:t>
      </w:r>
    </w:p>
    <w:p>
      <w:pPr>
        <w:spacing w:line="480" w:lineRule="exact"/>
        <w:ind w:firstLine="400" w:firstLineChars="200"/>
        <w:rPr>
          <w:rFonts w:hint="eastAsia"/>
          <w:b/>
        </w:rPr>
      </w:pPr>
      <w:r>
        <w:rPr>
          <w:rFonts w:hint="eastAsia"/>
        </w:rPr>
        <w:t>31.3分包人提供的履约担保，不应超过总包合同中承包人向发包人提供的履约担保的额度。</w:t>
      </w:r>
    </w:p>
    <w:p>
      <w:pPr>
        <w:pStyle w:val="5"/>
        <w:jc w:val="center"/>
        <w:rPr>
          <w:rFonts w:hint="eastAsia"/>
        </w:rPr>
      </w:pPr>
      <w:r>
        <w:rPr>
          <w:rFonts w:hint="eastAsia"/>
        </w:rPr>
        <w:t>十、其他</w:t>
      </w:r>
    </w:p>
    <w:p>
      <w:pPr>
        <w:pStyle w:val="6"/>
        <w:ind w:firstLine="321" w:firstLineChars="100"/>
        <w:rPr>
          <w:rFonts w:hint="eastAsia"/>
        </w:rPr>
      </w:pPr>
      <w:r>
        <w:rPr>
          <w:rFonts w:hint="eastAsia"/>
        </w:rPr>
        <w:t>32、材料设备供应</w:t>
      </w:r>
    </w:p>
    <w:p>
      <w:pPr>
        <w:spacing w:line="480" w:lineRule="exact"/>
        <w:ind w:firstLine="435"/>
        <w:rPr>
          <w:rFonts w:hint="eastAsia"/>
        </w:rPr>
      </w:pPr>
      <w:r>
        <w:rPr>
          <w:rFonts w:hint="eastAsia"/>
        </w:rPr>
        <w:t>32.1有关材料设备供应的数量、程序及责任均按总包合同中发包人与承包人的有关约定履行。</w:t>
      </w:r>
    </w:p>
    <w:p>
      <w:pPr>
        <w:spacing w:line="480" w:lineRule="exact"/>
        <w:ind w:firstLine="435"/>
        <w:rPr>
          <w:rFonts w:hint="eastAsia"/>
        </w:rPr>
      </w:pPr>
      <w:r>
        <w:rPr>
          <w:rFonts w:hint="eastAsia"/>
        </w:rPr>
        <w:t>32.2总包合同约定就分包工程部分由发包人供应的材料设备，视为承包人供应的材料设备。</w:t>
      </w:r>
    </w:p>
    <w:p>
      <w:pPr>
        <w:spacing w:line="480" w:lineRule="exact"/>
        <w:ind w:firstLine="435"/>
        <w:rPr>
          <w:rFonts w:hint="eastAsia"/>
        </w:rPr>
      </w:pPr>
      <w:r>
        <w:rPr>
          <w:rFonts w:hint="eastAsia"/>
        </w:rPr>
        <w:t>32.3 除32.2款外的材料设备应由分包人按照本合同专用条款的约定采购，并提供产品合格证明，承包人不得指定生产厂或供应商。</w:t>
      </w:r>
    </w:p>
    <w:p>
      <w:pPr>
        <w:pStyle w:val="6"/>
        <w:ind w:firstLine="321" w:firstLineChars="100"/>
        <w:rPr>
          <w:rFonts w:hint="eastAsia"/>
        </w:rPr>
      </w:pPr>
      <w:r>
        <w:rPr>
          <w:rFonts w:hint="eastAsia"/>
        </w:rPr>
        <w:t>33、文物</w:t>
      </w:r>
    </w:p>
    <w:p>
      <w:pPr>
        <w:spacing w:line="480" w:lineRule="exact"/>
        <w:rPr>
          <w:rFonts w:hint="eastAsia"/>
          <w:b/>
        </w:rPr>
      </w:pPr>
      <w:r>
        <w:rPr>
          <w:rFonts w:hint="eastAsia"/>
          <w:b/>
        </w:rPr>
        <w:t xml:space="preserve">    </w:t>
      </w:r>
      <w:r>
        <w:rPr>
          <w:rFonts w:hint="eastAsia"/>
        </w:rPr>
        <w:t>33.1 承包人根据总包合同，应将涉及分包人施工场地以内需要保护的文物或古树名木通知分包人，分包人在施工中应认真保护，需要采取保护措施时，由承包人承担所需费用。</w:t>
      </w:r>
    </w:p>
    <w:p>
      <w:pPr>
        <w:spacing w:line="480" w:lineRule="exact"/>
        <w:rPr>
          <w:rFonts w:hint="eastAsia"/>
          <w:b/>
        </w:rPr>
      </w:pPr>
      <w:r>
        <w:rPr>
          <w:rFonts w:hint="eastAsia"/>
          <w:b/>
        </w:rPr>
        <w:t xml:space="preserve">    </w:t>
      </w:r>
      <w:r>
        <w:rPr>
          <w:rFonts w:hint="eastAsia"/>
        </w:rPr>
        <w:t>33.2 分包人在其施工场地内发现文物，应采取保护措施，并按照总包合同约定的时间和程序报告承包人。</w:t>
      </w:r>
    </w:p>
    <w:p>
      <w:pPr>
        <w:pStyle w:val="6"/>
        <w:ind w:firstLine="321" w:firstLineChars="100"/>
        <w:rPr>
          <w:rFonts w:hint="eastAsia"/>
        </w:rPr>
      </w:pPr>
      <w:r>
        <w:rPr>
          <w:rFonts w:hint="eastAsia"/>
        </w:rPr>
        <w:t>34、不可抗力</w:t>
      </w:r>
    </w:p>
    <w:p>
      <w:pPr>
        <w:spacing w:line="480" w:lineRule="exact"/>
        <w:ind w:firstLine="400" w:firstLineChars="200"/>
        <w:rPr>
          <w:rFonts w:hint="eastAsia"/>
        </w:rPr>
      </w:pPr>
      <w:r>
        <w:rPr>
          <w:rFonts w:hint="eastAsia"/>
        </w:rPr>
        <w:t>34.1 不可抗力包括的范围以及事件处理同总包合同相应条款。</w:t>
      </w:r>
    </w:p>
    <w:p>
      <w:pPr>
        <w:spacing w:line="480" w:lineRule="exact"/>
        <w:ind w:firstLine="400" w:firstLineChars="200"/>
        <w:rPr>
          <w:rFonts w:hint="eastAsia"/>
          <w:b/>
        </w:rPr>
      </w:pPr>
      <w:r>
        <w:rPr>
          <w:rFonts w:hint="eastAsia"/>
        </w:rPr>
        <w:t>34.2 不可抗力事件发生涉及分包人施工场地的，分包人应立即通知承包人，在力所能及的条件下，迅速采取措施，尽力减少损失。</w:t>
      </w:r>
    </w:p>
    <w:p>
      <w:pPr>
        <w:spacing w:line="480" w:lineRule="exact"/>
        <w:ind w:firstLine="400" w:firstLineChars="200"/>
        <w:rPr>
          <w:rFonts w:hint="eastAsia"/>
        </w:rPr>
      </w:pPr>
      <w:r>
        <w:rPr>
          <w:rFonts w:hint="eastAsia"/>
        </w:rPr>
        <w:t>34.3 分包人承担自身的人员和财产的损失。</w:t>
      </w:r>
    </w:p>
    <w:p>
      <w:pPr>
        <w:spacing w:line="480" w:lineRule="exact"/>
        <w:ind w:firstLine="400" w:firstLineChars="200"/>
        <w:rPr>
          <w:rFonts w:hint="eastAsia"/>
          <w:b/>
          <w:color w:val="FF0000"/>
        </w:rPr>
      </w:pPr>
      <w:r>
        <w:rPr>
          <w:rFonts w:hint="eastAsia"/>
        </w:rPr>
        <w:t>34.4 因合同一方延迟履行合同后发生不可抗力的，不能免除延迟履行方的相应责任。</w:t>
      </w:r>
    </w:p>
    <w:p>
      <w:pPr>
        <w:pStyle w:val="6"/>
        <w:ind w:firstLine="321" w:firstLineChars="100"/>
        <w:rPr>
          <w:rFonts w:hint="eastAsia"/>
        </w:rPr>
      </w:pPr>
      <w:r>
        <w:rPr>
          <w:rFonts w:hint="eastAsia"/>
        </w:rPr>
        <w:t>35、分包合同解除</w:t>
      </w:r>
    </w:p>
    <w:p>
      <w:pPr>
        <w:spacing w:line="480" w:lineRule="exact"/>
        <w:ind w:firstLine="400" w:firstLineChars="200"/>
        <w:rPr>
          <w:rFonts w:hint="eastAsia"/>
        </w:rPr>
      </w:pPr>
      <w:r>
        <w:rPr>
          <w:rFonts w:hint="eastAsia"/>
        </w:rPr>
        <w:t>35.1承包人和分包人协商一致，可以解除分包合同。</w:t>
      </w:r>
    </w:p>
    <w:p>
      <w:pPr>
        <w:spacing w:line="480" w:lineRule="exact"/>
        <w:ind w:firstLine="400" w:firstLineChars="200"/>
        <w:rPr>
          <w:rFonts w:hint="eastAsia"/>
        </w:rPr>
      </w:pPr>
      <w:r>
        <w:rPr>
          <w:rFonts w:hint="eastAsia"/>
        </w:rPr>
        <w:t>35.2 发生本合同通用条款21.5款情况，停止施工超过28天，承包人仍不支付工程款（预付款、进度款），分包人有权解除合同。</w:t>
      </w:r>
    </w:p>
    <w:p>
      <w:pPr>
        <w:spacing w:line="480" w:lineRule="exact"/>
        <w:ind w:firstLine="400" w:firstLineChars="200"/>
        <w:rPr>
          <w:rFonts w:hint="eastAsia"/>
        </w:rPr>
      </w:pPr>
      <w:r>
        <w:rPr>
          <w:rFonts w:hint="eastAsia"/>
        </w:rPr>
        <w:t>35.3 如分包人再分包或转包其承包的工程，承包人有权解除合同。</w:t>
      </w:r>
    </w:p>
    <w:p>
      <w:pPr>
        <w:spacing w:line="480" w:lineRule="exact"/>
        <w:ind w:firstLine="400" w:firstLineChars="200"/>
        <w:rPr>
          <w:rFonts w:hint="eastAsia"/>
        </w:rPr>
      </w:pPr>
      <w:r>
        <w:rPr>
          <w:rFonts w:hint="eastAsia"/>
        </w:rPr>
        <w:t>35.4有下列情形之一的，承包人分包人可以解除合同：</w:t>
      </w:r>
    </w:p>
    <w:p>
      <w:pPr>
        <w:spacing w:line="480" w:lineRule="exact"/>
        <w:ind w:firstLine="400" w:firstLineChars="200"/>
        <w:rPr>
          <w:rFonts w:hint="eastAsia"/>
        </w:rPr>
      </w:pPr>
      <w:r>
        <w:rPr>
          <w:rFonts w:hint="eastAsia"/>
        </w:rPr>
        <w:t>（1）因不可抗力导致合同无法履行；</w:t>
      </w:r>
    </w:p>
    <w:p>
      <w:pPr>
        <w:spacing w:line="480" w:lineRule="exact"/>
        <w:ind w:firstLine="400" w:firstLineChars="200"/>
        <w:rPr>
          <w:rFonts w:hint="eastAsia"/>
        </w:rPr>
      </w:pPr>
      <w:r>
        <w:rPr>
          <w:rFonts w:hint="eastAsia"/>
        </w:rPr>
        <w:t>（2）因一方违约（包括因发包人原因造成工程停建或缓建）导致合同无法履行。</w:t>
      </w:r>
    </w:p>
    <w:p>
      <w:pPr>
        <w:spacing w:line="480" w:lineRule="exact"/>
        <w:ind w:firstLine="400" w:firstLineChars="200"/>
        <w:rPr>
          <w:rFonts w:hint="eastAsia"/>
        </w:rPr>
      </w:pPr>
      <w:r>
        <w:rPr>
          <w:rFonts w:hint="eastAsia"/>
        </w:rPr>
        <w:t>35.5 分包合同解除程序以及善后处理均按总包合同相应条款履行。</w:t>
      </w:r>
    </w:p>
    <w:p>
      <w:pPr>
        <w:spacing w:line="480" w:lineRule="exact"/>
        <w:ind w:firstLine="400" w:firstLineChars="200"/>
        <w:rPr>
          <w:rFonts w:hint="eastAsia"/>
          <w:b/>
          <w:color w:val="0000FF"/>
        </w:rPr>
      </w:pPr>
      <w:r>
        <w:rPr>
          <w:rFonts w:hint="eastAsia"/>
        </w:rPr>
        <w:t>35.6 分包合同解除后，不影响双方在合同中约定的结算条款的效力。</w:t>
      </w:r>
    </w:p>
    <w:p>
      <w:pPr>
        <w:pStyle w:val="6"/>
        <w:ind w:firstLine="321" w:firstLineChars="100"/>
        <w:rPr>
          <w:rFonts w:hint="eastAsia"/>
        </w:rPr>
      </w:pPr>
      <w:r>
        <w:rPr>
          <w:rFonts w:hint="eastAsia"/>
        </w:rPr>
        <w:t>36、合同生效与终止</w:t>
      </w:r>
    </w:p>
    <w:p>
      <w:pPr>
        <w:spacing w:line="480" w:lineRule="exact"/>
        <w:rPr>
          <w:rFonts w:hint="eastAsia"/>
          <w:b/>
        </w:rPr>
      </w:pPr>
      <w:r>
        <w:rPr>
          <w:rFonts w:hint="eastAsia"/>
          <w:b/>
        </w:rPr>
        <w:t xml:space="preserve">    </w:t>
      </w:r>
      <w:r>
        <w:rPr>
          <w:rFonts w:hint="eastAsia"/>
        </w:rPr>
        <w:t>36.1 承包人分包人在本合同协议书中约定合同生效方式。</w:t>
      </w:r>
    </w:p>
    <w:p>
      <w:pPr>
        <w:spacing w:line="480" w:lineRule="exact"/>
        <w:ind w:firstLine="420"/>
        <w:rPr>
          <w:rFonts w:hint="eastAsia"/>
        </w:rPr>
      </w:pPr>
      <w:r>
        <w:rPr>
          <w:rFonts w:hint="eastAsia"/>
        </w:rPr>
        <w:t>36.2 承包人分包人履行合同全部义务，竣工结算价款支付完毕，分包人向承包人交付竣工的分包工程后，本合同即告终止。</w:t>
      </w:r>
    </w:p>
    <w:p>
      <w:pPr>
        <w:spacing w:line="480" w:lineRule="exact"/>
        <w:ind w:firstLine="420"/>
      </w:pPr>
      <w:r>
        <w:rPr>
          <w:rFonts w:hint="eastAsia"/>
        </w:rPr>
        <w:t>36.3 分包合同的权利义务终止后，承包人分包人应遵循诚实信用原则，履行通知、协助、保密等义务。</w:t>
      </w:r>
    </w:p>
    <w:p>
      <w:pPr>
        <w:pStyle w:val="6"/>
        <w:ind w:firstLine="321" w:firstLineChars="100"/>
        <w:rPr>
          <w:rFonts w:hint="eastAsia"/>
        </w:rPr>
      </w:pPr>
      <w:r>
        <w:rPr>
          <w:rFonts w:hint="eastAsia"/>
        </w:rPr>
        <w:t>37、合同份数</w:t>
      </w:r>
    </w:p>
    <w:p>
      <w:pPr>
        <w:spacing w:line="480" w:lineRule="exact"/>
        <w:ind w:firstLine="420"/>
        <w:rPr>
          <w:rFonts w:hint="eastAsia"/>
        </w:rPr>
      </w:pPr>
      <w:r>
        <w:rPr>
          <w:rFonts w:hint="eastAsia"/>
        </w:rPr>
        <w:t>37.1 本合同正本两份，具有同等效力，由承包人分包人分别保存一份。</w:t>
      </w:r>
    </w:p>
    <w:p>
      <w:pPr>
        <w:spacing w:line="480" w:lineRule="exact"/>
        <w:ind w:firstLine="420"/>
      </w:pPr>
      <w:r>
        <w:rPr>
          <w:rFonts w:hint="eastAsia"/>
        </w:rPr>
        <w:t>37.2 本合同副本份数，由双方根据需要在本合同专用条款内约定。</w:t>
      </w:r>
    </w:p>
    <w:p>
      <w:pPr>
        <w:pStyle w:val="6"/>
        <w:ind w:firstLine="321" w:firstLineChars="100"/>
        <w:rPr>
          <w:rFonts w:hint="eastAsia"/>
        </w:rPr>
      </w:pPr>
      <w:r>
        <w:rPr>
          <w:rFonts w:hint="eastAsia"/>
        </w:rPr>
        <w:t>38、</w:t>
      </w:r>
      <w:r>
        <w:rPr>
          <w:rFonts w:hint="eastAsia"/>
          <w:bCs w:val="0"/>
        </w:rPr>
        <w:t>补充条款</w:t>
      </w:r>
    </w:p>
    <w:p>
      <w:pPr>
        <w:spacing w:line="480" w:lineRule="exact"/>
        <w:rPr>
          <w:rFonts w:hint="eastAsia"/>
        </w:rPr>
      </w:pPr>
      <w:r>
        <w:rPr>
          <w:rFonts w:hint="eastAsia"/>
        </w:rPr>
        <w:t xml:space="preserve">    双方根据有关法律、行政法规规定，结合工程实际，经协商一致后，可对本合同通用条款内容具体化、补充或修改，在本合同专用条款内约定。</w:t>
      </w:r>
    </w:p>
    <w:p>
      <w:pPr>
        <w:spacing w:line="480" w:lineRule="exact"/>
        <w:jc w:val="center"/>
        <w:rPr>
          <w:rFonts w:hint="eastAsia"/>
          <w:b/>
          <w:sz w:val="36"/>
          <w:szCs w:val="36"/>
        </w:rPr>
      </w:pPr>
      <w:r>
        <w:br w:type="page"/>
      </w:r>
      <w:r>
        <w:rPr>
          <w:rFonts w:hint="eastAsia"/>
          <w:b/>
          <w:sz w:val="36"/>
          <w:szCs w:val="36"/>
        </w:rPr>
        <w:t>第三部分</w:t>
      </w:r>
      <w:r>
        <w:rPr>
          <w:rFonts w:hint="eastAsia"/>
          <w:b/>
          <w:sz w:val="36"/>
          <w:szCs w:val="36"/>
        </w:rPr>
        <w:tab/>
      </w:r>
      <w:r>
        <w:rPr>
          <w:rFonts w:hint="eastAsia"/>
          <w:b/>
          <w:sz w:val="36"/>
          <w:szCs w:val="36"/>
        </w:rPr>
        <w:tab/>
      </w:r>
      <w:r>
        <w:rPr>
          <w:rFonts w:hint="eastAsia"/>
          <w:b/>
          <w:sz w:val="36"/>
          <w:szCs w:val="36"/>
        </w:rPr>
        <w:t>专用条款</w:t>
      </w:r>
    </w:p>
    <w:p>
      <w:pPr>
        <w:pStyle w:val="5"/>
        <w:numPr>
          <w:ilvl w:val="0"/>
          <w:numId w:val="13"/>
        </w:numPr>
        <w:jc w:val="center"/>
        <w:rPr>
          <w:rFonts w:hint="eastAsia"/>
        </w:rPr>
      </w:pPr>
      <w:r>
        <w:rPr>
          <w:rFonts w:hint="eastAsia"/>
        </w:rPr>
        <w:t>词语定义及合同文件</w:t>
      </w:r>
    </w:p>
    <w:p>
      <w:pPr>
        <w:pStyle w:val="6"/>
        <w:ind w:firstLine="321" w:firstLineChars="100"/>
        <w:rPr>
          <w:rFonts w:hint="eastAsia"/>
        </w:rPr>
      </w:pPr>
      <w:r>
        <w:rPr>
          <w:rFonts w:hint="eastAsia"/>
        </w:rPr>
        <w:t>2、合同文件及解释顺序</w:t>
      </w:r>
    </w:p>
    <w:p>
      <w:pPr>
        <w:spacing w:line="420" w:lineRule="exact"/>
        <w:ind w:firstLine="400" w:firstLineChars="200"/>
        <w:rPr>
          <w:rFonts w:hint="eastAsia"/>
        </w:rPr>
      </w:pPr>
      <w:r>
        <w:rPr>
          <w:rFonts w:hint="eastAsia"/>
        </w:rPr>
        <w:t>合同文件及解释顺序：</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rFonts w:hint="eastAsia"/>
          <w:u w:val="single"/>
        </w:rPr>
        <w:t xml:space="preserve">                            </w:t>
      </w:r>
      <w:r>
        <w:rPr>
          <w:u w:val="single"/>
        </w:rPr>
        <w:tab/>
      </w:r>
      <w:r>
        <w:rPr>
          <w:rFonts w:hint="eastAsia"/>
          <w:u w:val="single"/>
        </w:rPr>
        <w:t xml:space="preserve">  </w:t>
      </w:r>
      <w:r>
        <w:rPr>
          <w:u w:val="single"/>
        </w:rPr>
        <w:tab/>
      </w:r>
      <w:r>
        <w:rPr>
          <w:rFonts w:hint="eastAsia"/>
          <w:u w:val="single"/>
        </w:rPr>
        <w:t xml:space="preserve">    </w:t>
      </w:r>
    </w:p>
    <w:p>
      <w:pPr>
        <w:ind w:firstLine="435"/>
        <w:rPr>
          <w:rFonts w:hint="eastAsia"/>
        </w:rPr>
      </w:pPr>
    </w:p>
    <w:p>
      <w:pPr>
        <w:pStyle w:val="6"/>
        <w:ind w:firstLine="321" w:firstLineChars="100"/>
        <w:rPr>
          <w:rFonts w:hint="eastAsia"/>
        </w:rPr>
      </w:pPr>
      <w:r>
        <w:t>3</w:t>
      </w:r>
      <w:r>
        <w:rPr>
          <w:rFonts w:hint="eastAsia"/>
        </w:rPr>
        <w:t>、语言文字和适用法律、行政法规及工程建设标准</w:t>
      </w:r>
    </w:p>
    <w:p>
      <w:pPr>
        <w:spacing w:line="420" w:lineRule="exact"/>
        <w:rPr>
          <w:rFonts w:hint="eastAsia"/>
        </w:rPr>
      </w:pPr>
      <w:r>
        <w:t xml:space="preserve">  </w:t>
      </w:r>
      <w:r>
        <w:rPr>
          <w:rFonts w:hint="eastAsia"/>
        </w:rPr>
        <w:t xml:space="preserve">  </w:t>
      </w:r>
      <w:r>
        <w:t xml:space="preserve">3.1 </w:t>
      </w:r>
      <w:r>
        <w:rPr>
          <w:rFonts w:hint="eastAsia"/>
        </w:rPr>
        <w:t>除总包合同文件规定的语言文字外，本合同还使用</w:t>
      </w:r>
      <w:r>
        <w:rPr>
          <w:rFonts w:hint="eastAsia"/>
          <w:u w:val="single"/>
        </w:rPr>
        <w:tab/>
      </w:r>
      <w:r>
        <w:rPr>
          <w:rFonts w:hint="eastAsia"/>
          <w:u w:val="single"/>
        </w:rPr>
        <w:t xml:space="preserve">  </w:t>
      </w:r>
      <w:r>
        <w:rPr>
          <w:u w:val="single"/>
        </w:rPr>
        <w:t xml:space="preserve"> </w:t>
      </w:r>
      <w:r>
        <w:rPr>
          <w:rFonts w:hint="eastAsia"/>
        </w:rPr>
        <w:t>语言文字。</w:t>
      </w:r>
    </w:p>
    <w:p>
      <w:pPr>
        <w:spacing w:line="420" w:lineRule="exact"/>
        <w:rPr>
          <w:rFonts w:hint="eastAsia"/>
        </w:rPr>
      </w:pPr>
      <w:r>
        <w:t xml:space="preserve">  </w:t>
      </w:r>
      <w:r>
        <w:rPr>
          <w:rFonts w:hint="eastAsia"/>
        </w:rPr>
        <w:t xml:space="preserve">  </w:t>
      </w:r>
      <w:r>
        <w:t>3.2</w:t>
      </w:r>
      <w:r>
        <w:rPr>
          <w:rFonts w:hint="eastAsia"/>
        </w:rPr>
        <w:t xml:space="preserve"> 本合同需要明示的法律、行政法规和规章：</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rFonts w:hint="eastAsia"/>
          <w:u w:val="single"/>
        </w:rPr>
        <w:t xml:space="preserve">    </w:t>
      </w:r>
    </w:p>
    <w:p>
      <w:pPr>
        <w:spacing w:line="420" w:lineRule="exact"/>
        <w:rPr>
          <w:rFonts w:hint="eastAsia"/>
        </w:rPr>
      </w:pPr>
      <w:r>
        <w:t xml:space="preserve">  </w:t>
      </w:r>
      <w:r>
        <w:rPr>
          <w:rFonts w:hint="eastAsia"/>
        </w:rPr>
        <w:t xml:space="preserve">  </w:t>
      </w:r>
      <w:r>
        <w:t xml:space="preserve">3.3 </w:t>
      </w:r>
      <w:r>
        <w:rPr>
          <w:rFonts w:hint="eastAsia"/>
        </w:rPr>
        <w:t>本分包工程适用的工程建设标准：</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rPr>
        <w:t>，除以上工程建设标准以外，总包合同中约定的与分包工程相关的工程建设标准均适用于本分包工程。</w:t>
      </w:r>
    </w:p>
    <w:p>
      <w:pPr>
        <w:spacing w:line="420" w:lineRule="exact"/>
        <w:ind w:firstLine="435"/>
        <w:rPr>
          <w:rFonts w:hint="eastAsia"/>
        </w:rPr>
      </w:pPr>
      <w:r>
        <w:rPr>
          <w:rFonts w:hint="eastAsia"/>
        </w:rPr>
        <w:t>承包人向分包人提出施工技术要求的内容和时间</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spacing w:line="420" w:lineRule="exact"/>
        <w:ind w:firstLine="435"/>
        <w:rPr>
          <w:rFonts w:hint="eastAsia"/>
        </w:rPr>
      </w:pPr>
      <w:r>
        <w:rPr>
          <w:rFonts w:hint="eastAsia"/>
        </w:rPr>
        <w:t>分包人向承包人提出相应的施工工艺的时间</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pStyle w:val="6"/>
        <w:ind w:firstLine="321" w:firstLineChars="100"/>
        <w:rPr>
          <w:rFonts w:hint="eastAsia"/>
        </w:rPr>
      </w:pPr>
      <w:r>
        <w:rPr>
          <w:rFonts w:hint="eastAsia"/>
        </w:rPr>
        <w:t xml:space="preserve">4、图纸  </w:t>
      </w:r>
    </w:p>
    <w:p>
      <w:pPr>
        <w:spacing w:line="420" w:lineRule="exact"/>
        <w:ind w:firstLine="435"/>
        <w:rPr>
          <w:rFonts w:hint="eastAsia"/>
          <w:u w:val="single"/>
        </w:rPr>
      </w:pPr>
      <w:r>
        <w:rPr>
          <w:rFonts w:hint="eastAsia"/>
        </w:rPr>
        <w:t>4.1 承包人向分包人提供图纸的日期：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spacing w:line="420" w:lineRule="exact"/>
        <w:ind w:firstLine="800" w:firstLineChars="400"/>
        <w:rPr>
          <w:rFonts w:hint="eastAsia"/>
        </w:rPr>
      </w:pPr>
      <w:r>
        <w:rPr>
          <w:rFonts w:hint="eastAsia"/>
        </w:rPr>
        <w:t>承包人向分包人提供图纸的套数：</w:t>
      </w:r>
      <w:r>
        <w:rPr>
          <w:rFonts w:hint="eastAsia"/>
          <w:u w:val="single"/>
        </w:rPr>
        <w:t xml:space="preserve">         </w:t>
      </w:r>
      <w:r>
        <w:rPr>
          <w:rFonts w:hint="eastAsia"/>
        </w:rPr>
        <w:t xml:space="preserve"> 。</w:t>
      </w:r>
    </w:p>
    <w:p>
      <w:pPr>
        <w:spacing w:line="420" w:lineRule="exact"/>
        <w:rPr>
          <w:rFonts w:hint="eastAsia"/>
          <w:u w:val="single"/>
        </w:rPr>
      </w:pPr>
      <w:r>
        <w:rPr>
          <w:rFonts w:hint="eastAsia"/>
        </w:rPr>
        <w:t xml:space="preserve">    4.2 承包人委托分包人进行深化施工图设计的委托范围及费用承担：</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 xml:space="preserve">       </w:t>
      </w:r>
      <w:r>
        <w:rPr>
          <w:rFonts w:hint="eastAsia"/>
          <w:u w:val="single"/>
        </w:rPr>
        <w:tab/>
      </w:r>
      <w:r>
        <w:rPr>
          <w:rFonts w:hint="eastAsia"/>
          <w:u w:val="single"/>
        </w:rPr>
        <w:tab/>
      </w:r>
      <w:r>
        <w:rPr>
          <w:rFonts w:hint="eastAsia"/>
          <w:u w:val="single"/>
        </w:rPr>
        <w:tab/>
      </w:r>
      <w:r>
        <w:rPr>
          <w:rFonts w:hint="eastAsia"/>
          <w:u w:val="single"/>
        </w:rPr>
        <w:t xml:space="preserve">    </w:t>
      </w:r>
    </w:p>
    <w:p>
      <w:pPr>
        <w:spacing w:line="420" w:lineRule="exact"/>
        <w:rPr>
          <w:rFonts w:hint="eastAsia"/>
          <w:u w:val="single"/>
        </w:rPr>
      </w:pPr>
      <w:r>
        <w:rPr>
          <w:rFonts w:hint="eastAsia"/>
        </w:rPr>
        <w:t xml:space="preserve">    4.3 复制、重新绘制、翻译、购买标准图纸的责任和费用承担</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 xml:space="preserve">            </w:t>
      </w:r>
    </w:p>
    <w:p>
      <w:pPr>
        <w:spacing w:line="420" w:lineRule="exact"/>
        <w:ind w:firstLine="200" w:firstLineChars="100"/>
        <w:rPr>
          <w:rFonts w:hint="eastAsia"/>
        </w:rPr>
      </w:pPr>
      <w:r>
        <w:rPr>
          <w:rFonts w:hint="eastAsia"/>
        </w:rPr>
        <w:t xml:space="preserve">  4.4 关于使用国外图纸的要求及费用承担：</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 xml:space="preserve">        </w:t>
      </w:r>
      <w:r>
        <w:rPr>
          <w:rFonts w:hint="eastAsia"/>
        </w:rPr>
        <w:tab/>
      </w:r>
    </w:p>
    <w:p>
      <w:pPr>
        <w:pStyle w:val="5"/>
        <w:jc w:val="center"/>
        <w:rPr>
          <w:rFonts w:hint="eastAsia"/>
        </w:rPr>
      </w:pPr>
      <w:r>
        <w:rPr>
          <w:rFonts w:hint="eastAsia"/>
        </w:rPr>
        <w:t>二、双方一般权利和义务</w:t>
      </w:r>
    </w:p>
    <w:p>
      <w:pPr>
        <w:pStyle w:val="6"/>
        <w:ind w:firstLine="321" w:firstLineChars="100"/>
        <w:rPr>
          <w:rFonts w:hint="eastAsia"/>
        </w:rPr>
      </w:pPr>
      <w:r>
        <w:rPr>
          <w:rFonts w:hint="eastAsia"/>
        </w:rPr>
        <w:t>7、项目经理</w:t>
      </w:r>
    </w:p>
    <w:p>
      <w:pPr>
        <w:spacing w:line="420" w:lineRule="exact"/>
        <w:rPr>
          <w:rFonts w:hint="eastAsia"/>
        </w:rPr>
      </w:pPr>
      <w:r>
        <w:rPr>
          <w:rFonts w:hint="eastAsia"/>
        </w:rPr>
        <w:t xml:space="preserve">    姓名：</w:t>
      </w:r>
      <w:r>
        <w:rPr>
          <w:rFonts w:hint="eastAsia"/>
          <w:u w:val="single"/>
        </w:rPr>
        <w:t xml:space="preserve">            </w:t>
      </w:r>
      <w:r>
        <w:rPr>
          <w:rFonts w:hint="eastAsia"/>
        </w:rPr>
        <w:t xml:space="preserve">      职务</w:t>
      </w:r>
      <w:r>
        <w:rPr>
          <w:rFonts w:hint="eastAsia"/>
          <w:u w:val="single"/>
        </w:rPr>
        <w:t xml:space="preserve">               </w:t>
      </w:r>
      <w:r>
        <w:rPr>
          <w:rFonts w:hint="eastAsia"/>
        </w:rPr>
        <w:t>（任命书作为分包合同附件）。</w:t>
      </w:r>
    </w:p>
    <w:p>
      <w:pPr>
        <w:pStyle w:val="6"/>
        <w:ind w:firstLine="321" w:firstLineChars="100"/>
        <w:rPr>
          <w:rFonts w:hint="eastAsia"/>
        </w:rPr>
      </w:pPr>
      <w:r>
        <w:rPr>
          <w:rFonts w:hint="eastAsia"/>
        </w:rPr>
        <w:t>8、分包项目经理</w:t>
      </w:r>
    </w:p>
    <w:p>
      <w:pPr>
        <w:spacing w:line="420" w:lineRule="exact"/>
        <w:ind w:firstLine="200" w:firstLineChars="100"/>
        <w:rPr>
          <w:rFonts w:hint="eastAsia"/>
        </w:rPr>
      </w:pPr>
      <w:r>
        <w:rPr>
          <w:rFonts w:hint="eastAsia"/>
        </w:rPr>
        <w:t xml:space="preserve">  姓名：</w:t>
      </w:r>
      <w:r>
        <w:rPr>
          <w:rFonts w:hint="eastAsia"/>
          <w:u w:val="single"/>
        </w:rPr>
        <w:t xml:space="preserve">            </w:t>
      </w:r>
      <w:r>
        <w:rPr>
          <w:rFonts w:hint="eastAsia"/>
        </w:rPr>
        <w:t xml:space="preserve">       职务</w:t>
      </w:r>
      <w:r>
        <w:rPr>
          <w:rFonts w:hint="eastAsia"/>
          <w:u w:val="single"/>
        </w:rPr>
        <w:t xml:space="preserve">               </w:t>
      </w:r>
      <w:r>
        <w:rPr>
          <w:rFonts w:hint="eastAsia"/>
        </w:rPr>
        <w:t>（任命书作为分包合同附件）。</w:t>
      </w:r>
    </w:p>
    <w:p>
      <w:pPr>
        <w:pStyle w:val="6"/>
        <w:ind w:firstLine="321" w:firstLineChars="100"/>
        <w:rPr>
          <w:rFonts w:hint="eastAsia"/>
        </w:rPr>
      </w:pPr>
      <w:r>
        <w:rPr>
          <w:rFonts w:hint="eastAsia"/>
        </w:rPr>
        <w:t>9、承包人的工作</w:t>
      </w:r>
    </w:p>
    <w:p>
      <w:pPr>
        <w:spacing w:line="420" w:lineRule="exact"/>
        <w:ind w:firstLine="435"/>
        <w:rPr>
          <w:rFonts w:hint="eastAsia"/>
        </w:rPr>
      </w:pPr>
      <w:r>
        <w:rPr>
          <w:rFonts w:hint="eastAsia"/>
        </w:rPr>
        <w:t>9.1 承包人应完成下列工作：</w:t>
      </w:r>
    </w:p>
    <w:p>
      <w:pPr>
        <w:spacing w:line="420" w:lineRule="exact"/>
        <w:ind w:firstLine="435"/>
        <w:rPr>
          <w:rFonts w:hint="eastAsia"/>
        </w:rPr>
      </w:pPr>
      <w:r>
        <w:rPr>
          <w:rFonts w:hint="eastAsia"/>
        </w:rPr>
        <w:t>（1）向分包人提供施工场地和施工所需的证件、批件的名称和完成时间：</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 xml:space="preserve">                                                 </w:t>
      </w:r>
      <w:r>
        <w:rPr>
          <w:rFonts w:hint="eastAsia"/>
          <w:u w:val="single"/>
        </w:rPr>
        <w:tab/>
      </w:r>
      <w:r>
        <w:rPr>
          <w:rFonts w:hint="eastAsia"/>
          <w:u w:val="single"/>
        </w:rPr>
        <w:t xml:space="preserve">                </w:t>
      </w:r>
    </w:p>
    <w:p>
      <w:pPr>
        <w:spacing w:line="420" w:lineRule="exact"/>
        <w:ind w:firstLine="435"/>
        <w:rPr>
          <w:rFonts w:hint="eastAsia"/>
          <w:u w:val="single"/>
        </w:rPr>
      </w:pPr>
      <w:r>
        <w:rPr>
          <w:rFonts w:hint="eastAsia"/>
        </w:rPr>
        <w:t>（2）组织分包人参加发包人会审图纸的时间：</w:t>
      </w:r>
      <w:r>
        <w:rPr>
          <w:rFonts w:hint="eastAsia"/>
          <w:u w:val="single"/>
        </w:rPr>
        <w:tab/>
      </w:r>
      <w:r>
        <w:rPr>
          <w:rFonts w:hint="eastAsia"/>
          <w:u w:val="single"/>
        </w:rPr>
        <w:t xml:space="preserve"> </w:t>
      </w:r>
      <w:r>
        <w:rPr>
          <w:rFonts w:hint="eastAsia"/>
        </w:rPr>
        <w:t>年</w:t>
      </w:r>
      <w:r>
        <w:rPr>
          <w:rFonts w:hint="eastAsia"/>
          <w:u w:val="single"/>
        </w:rPr>
        <w:tab/>
      </w:r>
      <w:r>
        <w:rPr>
          <w:rFonts w:hint="eastAsia"/>
          <w:u w:val="single"/>
        </w:rPr>
        <w:tab/>
      </w:r>
      <w:r>
        <w:rPr>
          <w:rFonts w:hint="eastAsia"/>
        </w:rPr>
        <w:t>月</w:t>
      </w:r>
      <w:r>
        <w:rPr>
          <w:rFonts w:hint="eastAsia"/>
          <w:u w:val="single"/>
        </w:rPr>
        <w:tab/>
      </w:r>
      <w:r>
        <w:rPr>
          <w:rFonts w:hint="eastAsia"/>
          <w:u w:val="single"/>
        </w:rPr>
        <w:t xml:space="preserve"> </w:t>
      </w:r>
      <w:r>
        <w:rPr>
          <w:rFonts w:hint="eastAsia"/>
        </w:rPr>
        <w:t>日；</w:t>
      </w:r>
    </w:p>
    <w:p>
      <w:pPr>
        <w:spacing w:line="420" w:lineRule="exact"/>
        <w:ind w:firstLine="814" w:firstLineChars="407"/>
        <w:rPr>
          <w:rFonts w:hint="eastAsia"/>
        </w:rPr>
      </w:pPr>
      <w:r>
        <w:rPr>
          <w:rFonts w:hint="eastAsia"/>
        </w:rPr>
        <w:t>向分包人进行设计图纸交底的时间：</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spacing w:line="420" w:lineRule="exact"/>
        <w:ind w:firstLine="435"/>
        <w:rPr>
          <w:rFonts w:hint="eastAsia"/>
        </w:rPr>
      </w:pPr>
      <w:r>
        <w:rPr>
          <w:rFonts w:hint="eastAsia"/>
        </w:rPr>
        <w:t>（3）承包人为本分包工程的实施提供的机械设备和（或）其他设施（如有时），及费用承担：</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 xml:space="preserve"> </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 xml:space="preserve"> </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 xml:space="preserve">                               </w:t>
      </w:r>
      <w:r>
        <w:rPr>
          <w:rFonts w:hint="eastAsia"/>
          <w:u w:val="single"/>
        </w:rPr>
        <w:tab/>
      </w:r>
      <w:r>
        <w:rPr>
          <w:rFonts w:hint="eastAsia"/>
          <w:u w:val="single"/>
        </w:rPr>
        <w:t xml:space="preserve">                                                                           </w:t>
      </w:r>
    </w:p>
    <w:p>
      <w:pPr>
        <w:spacing w:line="420" w:lineRule="exact"/>
        <w:rPr>
          <w:rFonts w:hint="eastAsia"/>
        </w:rPr>
      </w:pPr>
      <w:r>
        <w:rPr>
          <w:rFonts w:hint="eastAsia"/>
        </w:rPr>
        <w:t xml:space="preserve">    （6）、双方约定承包人应做的其它工作：</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 xml:space="preserve">        </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pPr>
        <w:pStyle w:val="6"/>
        <w:ind w:firstLine="321" w:firstLineChars="100"/>
        <w:rPr>
          <w:rFonts w:hint="eastAsia"/>
        </w:rPr>
      </w:pPr>
      <w:r>
        <w:rPr>
          <w:rFonts w:hint="eastAsia"/>
        </w:rPr>
        <w:t>10、分包人的工作</w:t>
      </w:r>
    </w:p>
    <w:p>
      <w:pPr>
        <w:spacing w:line="420" w:lineRule="exact"/>
        <w:ind w:firstLine="435"/>
        <w:rPr>
          <w:rFonts w:hint="eastAsia"/>
        </w:rPr>
      </w:pPr>
      <w:r>
        <w:rPr>
          <w:rFonts w:hint="eastAsia"/>
        </w:rPr>
        <w:t>10.1 分包人应完成下列工作：</w:t>
      </w:r>
    </w:p>
    <w:p>
      <w:pPr>
        <w:spacing w:line="420" w:lineRule="exact"/>
        <w:ind w:firstLine="435"/>
        <w:rPr>
          <w:rFonts w:hint="eastAsia"/>
        </w:rPr>
      </w:pPr>
      <w:r>
        <w:rPr>
          <w:rFonts w:hint="eastAsia"/>
        </w:rPr>
        <w:t>（2）需完成的设计内容和提交时间：</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 xml:space="preserve">                                                                 </w:t>
      </w:r>
    </w:p>
    <w:p>
      <w:pPr>
        <w:spacing w:line="420" w:lineRule="exact"/>
        <w:ind w:firstLine="435"/>
        <w:rPr>
          <w:rFonts w:hint="eastAsia"/>
          <w:u w:val="single"/>
        </w:rPr>
      </w:pPr>
      <w:r>
        <w:rPr>
          <w:rFonts w:hint="eastAsia"/>
        </w:rPr>
        <w:t>（3）分包人应在本合同签订生效后</w:t>
      </w:r>
      <w:r>
        <w:rPr>
          <w:rFonts w:hint="eastAsia"/>
          <w:u w:val="single"/>
        </w:rPr>
        <w:tab/>
      </w:r>
      <w:r>
        <w:rPr>
          <w:rFonts w:hint="eastAsia"/>
          <w:u w:val="single"/>
        </w:rPr>
        <w:t xml:space="preserve">   </w:t>
      </w:r>
      <w:r>
        <w:rPr>
          <w:rFonts w:hint="eastAsia"/>
        </w:rPr>
        <w:t xml:space="preserve"> 天内向项目经理提交分包工程总体进度计划。分包人向承包人提交年、季度、月度、周工程进度计划及相应的进度统计报表时间为：</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 xml:space="preserve">         </w:t>
      </w:r>
      <w:r>
        <w:rPr>
          <w:rFonts w:hint="eastAsia"/>
          <w:u w:val="single"/>
        </w:rPr>
        <w:tab/>
      </w:r>
      <w:r>
        <w:rPr>
          <w:rFonts w:hint="eastAsia"/>
          <w:u w:val="single"/>
        </w:rPr>
        <w:t xml:space="preserve"> </w:t>
      </w:r>
      <w:r>
        <w:rPr>
          <w:rFonts w:hint="eastAsia"/>
          <w:u w:val="single"/>
        </w:rPr>
        <w:tab/>
      </w:r>
      <w:r>
        <w:rPr>
          <w:rFonts w:hint="eastAsia"/>
          <w:u w:val="single"/>
        </w:rPr>
        <w:t xml:space="preserve">            </w:t>
      </w:r>
    </w:p>
    <w:p>
      <w:pPr>
        <w:spacing w:line="420" w:lineRule="exact"/>
        <w:ind w:firstLine="435"/>
        <w:rPr>
          <w:rFonts w:hint="eastAsia"/>
        </w:rPr>
      </w:pPr>
      <w:r>
        <w:rPr>
          <w:rFonts w:hint="eastAsia"/>
        </w:rPr>
        <w:t>承包人批准工程进度计划的时间：</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spacing w:line="420" w:lineRule="exact"/>
        <w:ind w:firstLine="435"/>
        <w:rPr>
          <w:rFonts w:hint="eastAsia"/>
        </w:rPr>
      </w:pPr>
      <w:r>
        <w:rPr>
          <w:rFonts w:hint="eastAsia"/>
        </w:rPr>
        <w:t>（4）向承包人提交施工组织设计的时间：</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spacing w:line="420" w:lineRule="exact"/>
        <w:ind w:firstLine="435"/>
        <w:rPr>
          <w:rFonts w:hint="eastAsia"/>
        </w:rPr>
      </w:pPr>
      <w:r>
        <w:rPr>
          <w:rFonts w:hint="eastAsia"/>
        </w:rPr>
        <w:t xml:space="preserve">    承包人批准施工组织设计的时间：</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spacing w:line="420" w:lineRule="exact"/>
        <w:ind w:firstLine="435"/>
        <w:rPr>
          <w:rFonts w:hint="eastAsia"/>
          <w:u w:val="single"/>
        </w:rPr>
      </w:pPr>
      <w:r>
        <w:rPr>
          <w:rFonts w:hint="eastAsia"/>
        </w:rPr>
        <w:t>（7）已完工程成品保护的特殊要求及费用承担：</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 xml:space="preserve">                                                    </w:t>
      </w:r>
    </w:p>
    <w:p>
      <w:pPr>
        <w:spacing w:line="420" w:lineRule="exact"/>
        <w:ind w:firstLine="400" w:firstLineChars="200"/>
        <w:rPr>
          <w:rFonts w:hint="eastAsia"/>
          <w:u w:val="single"/>
        </w:rPr>
      </w:pPr>
      <w:r>
        <w:rPr>
          <w:rFonts w:hint="eastAsia"/>
        </w:rPr>
        <w:t>（8）双方约定分包人应做的其它工作：</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 xml:space="preserve">        </w:t>
      </w:r>
    </w:p>
    <w:p>
      <w:pPr>
        <w:pStyle w:val="5"/>
        <w:numPr>
          <w:ilvl w:val="0"/>
          <w:numId w:val="14"/>
        </w:numPr>
        <w:jc w:val="center"/>
        <w:rPr>
          <w:rFonts w:hint="eastAsia"/>
        </w:rPr>
      </w:pPr>
      <w:r>
        <w:rPr>
          <w:rFonts w:hint="eastAsia"/>
        </w:rPr>
        <w:t>工期</w:t>
      </w:r>
    </w:p>
    <w:p>
      <w:pPr>
        <w:pStyle w:val="6"/>
        <w:ind w:firstLine="321" w:firstLineChars="100"/>
        <w:rPr>
          <w:rFonts w:hint="eastAsia"/>
        </w:rPr>
      </w:pPr>
      <w:r>
        <w:rPr>
          <w:rFonts w:hint="eastAsia"/>
        </w:rPr>
        <w:t>14、工期延误</w:t>
      </w:r>
    </w:p>
    <w:p>
      <w:pPr>
        <w:spacing w:line="420" w:lineRule="exact"/>
        <w:ind w:firstLine="435"/>
        <w:rPr>
          <w:rFonts w:hint="eastAsia"/>
        </w:rPr>
      </w:pPr>
      <w:r>
        <w:rPr>
          <w:rFonts w:hint="eastAsia"/>
        </w:rPr>
        <w:t>14.1 双方约定工期顺延的其他情况：</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 xml:space="preserve">                        </w:t>
      </w:r>
    </w:p>
    <w:p>
      <w:pPr>
        <w:spacing w:line="420" w:lineRule="exact"/>
        <w:ind w:firstLine="435"/>
        <w:rPr>
          <w:rFonts w:hint="eastAsia"/>
        </w:rPr>
      </w:pPr>
    </w:p>
    <w:p>
      <w:pPr>
        <w:pStyle w:val="5"/>
        <w:jc w:val="center"/>
        <w:rPr>
          <w:rFonts w:hint="eastAsia"/>
        </w:rPr>
      </w:pPr>
      <w:r>
        <w:rPr>
          <w:rFonts w:hint="eastAsia"/>
        </w:rPr>
        <w:t>四、质量与安全</w:t>
      </w:r>
    </w:p>
    <w:p>
      <w:pPr>
        <w:pStyle w:val="6"/>
        <w:ind w:firstLine="321" w:firstLineChars="100"/>
        <w:rPr>
          <w:rFonts w:hint="eastAsia"/>
        </w:rPr>
      </w:pPr>
      <w:r>
        <w:rPr>
          <w:rFonts w:hint="eastAsia"/>
        </w:rPr>
        <w:t>17、质量检查与验收</w:t>
      </w:r>
    </w:p>
    <w:p>
      <w:pPr>
        <w:spacing w:line="420" w:lineRule="exact"/>
        <w:rPr>
          <w:rFonts w:hint="eastAsia"/>
        </w:rPr>
      </w:pPr>
      <w:r>
        <w:rPr>
          <w:rFonts w:hint="eastAsia"/>
        </w:rPr>
        <w:t xml:space="preserve">    17.1 双方关于分包工程质量标准的约定：</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 xml:space="preserve">                </w:t>
      </w:r>
    </w:p>
    <w:p>
      <w:pPr>
        <w:spacing w:line="420" w:lineRule="exact"/>
        <w:rPr>
          <w:rFonts w:hint="eastAsia"/>
        </w:rPr>
      </w:pPr>
      <w:r>
        <w:rPr>
          <w:rFonts w:hint="eastAsia"/>
        </w:rPr>
        <w:t xml:space="preserve">    </w:t>
      </w:r>
    </w:p>
    <w:p>
      <w:pPr>
        <w:pStyle w:val="5"/>
        <w:jc w:val="center"/>
        <w:rPr>
          <w:rFonts w:hint="eastAsia"/>
        </w:rPr>
      </w:pPr>
      <w:r>
        <w:rPr>
          <w:rFonts w:hint="eastAsia"/>
        </w:rPr>
        <w:t>五、合同价款与支付</w:t>
      </w:r>
    </w:p>
    <w:p>
      <w:pPr>
        <w:pStyle w:val="6"/>
        <w:ind w:firstLine="321" w:firstLineChars="100"/>
        <w:rPr>
          <w:rFonts w:hint="eastAsia"/>
        </w:rPr>
      </w:pPr>
      <w:r>
        <w:rPr>
          <w:rFonts w:hint="eastAsia"/>
        </w:rPr>
        <w:t>19、合同价款及其调整</w:t>
      </w:r>
    </w:p>
    <w:p>
      <w:pPr>
        <w:tabs>
          <w:tab w:val="right" w:pos="8306"/>
        </w:tabs>
        <w:spacing w:line="420" w:lineRule="exact"/>
        <w:rPr>
          <w:rFonts w:hint="eastAsia"/>
        </w:rPr>
      </w:pPr>
      <w:r>
        <w:rPr>
          <w:rFonts w:hint="eastAsia"/>
        </w:rPr>
        <w:t xml:space="preserve">    19.2 本合同价款采用</w:t>
      </w:r>
      <w:r>
        <w:rPr>
          <w:rFonts w:hint="eastAsia"/>
          <w:u w:val="single"/>
        </w:rPr>
        <w:t xml:space="preserve">                       </w:t>
      </w:r>
      <w:r>
        <w:rPr>
          <w:rFonts w:hint="eastAsia"/>
        </w:rPr>
        <w:t>种方式确定。</w:t>
      </w:r>
      <w:r>
        <w:tab/>
      </w:r>
    </w:p>
    <w:p>
      <w:pPr>
        <w:spacing w:line="420" w:lineRule="exact"/>
        <w:ind w:firstLine="400" w:firstLineChars="200"/>
        <w:rPr>
          <w:rFonts w:hint="eastAsia"/>
          <w:u w:val="single"/>
        </w:rPr>
      </w:pPr>
      <w:r>
        <w:rPr>
          <w:rFonts w:hint="eastAsia"/>
        </w:rPr>
        <w:t>（1）采用固定价格的，合同价款包括的风险范围：</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 xml:space="preserve">            </w:t>
      </w:r>
    </w:p>
    <w:p>
      <w:pPr>
        <w:spacing w:line="420" w:lineRule="exact"/>
        <w:ind w:firstLine="400" w:firstLineChars="200"/>
        <w:rPr>
          <w:rFonts w:hint="eastAsia"/>
        </w:rPr>
      </w:pPr>
      <w:r>
        <w:rPr>
          <w:rFonts w:hint="eastAsia"/>
        </w:rPr>
        <w:t>风险费用的计算方法：</w:t>
      </w:r>
      <w:r>
        <w:rPr>
          <w:rFonts w:hint="eastAsia"/>
          <w:u w:val="single"/>
        </w:rPr>
        <w:t xml:space="preserve">                                                    </w:t>
      </w:r>
    </w:p>
    <w:p>
      <w:pPr>
        <w:spacing w:line="420" w:lineRule="exact"/>
        <w:ind w:firstLine="400" w:firstLineChars="200"/>
        <w:rPr>
          <w:rFonts w:hint="eastAsia"/>
        </w:rPr>
      </w:pPr>
      <w:r>
        <w:rPr>
          <w:rFonts w:hint="eastAsia"/>
        </w:rPr>
        <w:t>风险范围以外合同价款调整方法为：</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 xml:space="preserve">                        </w:t>
      </w:r>
    </w:p>
    <w:p>
      <w:pPr>
        <w:spacing w:line="420" w:lineRule="exact"/>
        <w:rPr>
          <w:rFonts w:hint="eastAsia"/>
        </w:rPr>
      </w:pPr>
      <w:r>
        <w:rPr>
          <w:rFonts w:hint="eastAsia"/>
        </w:rPr>
        <w:t xml:space="preserve">    （2）采用可调价格的，合同价款的调整方法：</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 xml:space="preserve">            </w:t>
      </w:r>
    </w:p>
    <w:p>
      <w:pPr>
        <w:spacing w:line="420" w:lineRule="exact"/>
        <w:ind w:left="200" w:leftChars="100" w:firstLine="200" w:firstLineChars="100"/>
        <w:rPr>
          <w:rFonts w:hint="eastAsia"/>
        </w:rPr>
      </w:pPr>
      <w:r>
        <w:rPr>
          <w:rFonts w:hint="eastAsia"/>
        </w:rPr>
        <w:t>（3）采用成本加酬金的，有关成本加酬金的约定为：</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 xml:space="preserve">            </w:t>
      </w:r>
    </w:p>
    <w:p>
      <w:pPr>
        <w:spacing w:line="420" w:lineRule="exact"/>
        <w:ind w:left="200" w:leftChars="100" w:firstLine="400" w:firstLineChars="200"/>
        <w:rPr>
          <w:rFonts w:hint="eastAsia"/>
        </w:rPr>
      </w:pPr>
      <w:r>
        <w:rPr>
          <w:rFonts w:hint="eastAsia"/>
        </w:rPr>
        <w:t>19.3双方约定合同价款的其他调整因素：</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 xml:space="preserve">                    </w:t>
      </w:r>
    </w:p>
    <w:p>
      <w:pPr>
        <w:spacing w:line="420" w:lineRule="exact"/>
        <w:rPr>
          <w:rFonts w:hint="eastAsia"/>
          <w:b/>
        </w:rPr>
      </w:pPr>
    </w:p>
    <w:p>
      <w:pPr>
        <w:pStyle w:val="6"/>
        <w:ind w:firstLine="321" w:firstLineChars="100"/>
        <w:rPr>
          <w:rFonts w:hint="eastAsia"/>
        </w:rPr>
      </w:pPr>
      <w:r>
        <w:rPr>
          <w:rFonts w:hint="eastAsia"/>
        </w:rPr>
        <w:t>20、工程量确认</w:t>
      </w:r>
    </w:p>
    <w:p>
      <w:pPr>
        <w:spacing w:line="420" w:lineRule="exact"/>
        <w:rPr>
          <w:rFonts w:hint="eastAsia"/>
        </w:rPr>
      </w:pPr>
      <w:r>
        <w:rPr>
          <w:rFonts w:hint="eastAsia"/>
        </w:rPr>
        <w:t xml:space="preserve">    20.1 分包人向承包人提交已完工程量报告的时间：</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 xml:space="preserve">            </w:t>
      </w:r>
      <w:r>
        <w:rPr>
          <w:rFonts w:hint="eastAsia"/>
        </w:rPr>
        <w:tab/>
      </w:r>
    </w:p>
    <w:p>
      <w:pPr>
        <w:spacing w:line="420" w:lineRule="exact"/>
        <w:rPr>
          <w:rFonts w:hint="eastAsia"/>
          <w:b/>
        </w:rPr>
      </w:pPr>
    </w:p>
    <w:p>
      <w:pPr>
        <w:pStyle w:val="6"/>
        <w:ind w:firstLine="321" w:firstLineChars="100"/>
        <w:rPr>
          <w:rFonts w:hint="eastAsia"/>
        </w:rPr>
      </w:pPr>
      <w:r>
        <w:rPr>
          <w:rFonts w:hint="eastAsia"/>
        </w:rPr>
        <w:t>21、合同价款的支付</w:t>
      </w:r>
    </w:p>
    <w:p>
      <w:pPr>
        <w:spacing w:line="420" w:lineRule="exact"/>
        <w:ind w:firstLine="435"/>
        <w:rPr>
          <w:rFonts w:hint="eastAsia"/>
        </w:rPr>
      </w:pPr>
      <w:r>
        <w:rPr>
          <w:rFonts w:hint="eastAsia"/>
          <w:bCs/>
        </w:rPr>
        <w:t>21</w:t>
      </w:r>
      <w:r>
        <w:rPr>
          <w:rFonts w:hint="eastAsia"/>
        </w:rPr>
        <w:t>.1 承包人向分包人预付工程款的时间和数额：</w:t>
      </w:r>
      <w:r>
        <w:softHyphen/>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 xml:space="preserve">     </w:t>
      </w:r>
      <w:r>
        <w:rPr>
          <w:rFonts w:hint="eastAsia"/>
          <w:u w:val="single"/>
        </w:rPr>
        <w:tab/>
      </w:r>
      <w:r>
        <w:rPr>
          <w:rFonts w:hint="eastAsia"/>
          <w:u w:val="single"/>
        </w:rPr>
        <w:t xml:space="preserve">        </w:t>
      </w:r>
    </w:p>
    <w:p>
      <w:pPr>
        <w:spacing w:line="420" w:lineRule="exact"/>
        <w:ind w:firstLine="435"/>
        <w:rPr>
          <w:bCs/>
        </w:rPr>
      </w:pPr>
      <w:r>
        <w:rPr>
          <w:rFonts w:hint="eastAsia"/>
        </w:rPr>
        <w:t>扣回时间和比例：</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 xml:space="preserve"> </w:t>
      </w:r>
      <w:r>
        <w:rPr>
          <w:rFonts w:hint="eastAsia"/>
        </w:rPr>
        <w:t>。</w:t>
      </w:r>
    </w:p>
    <w:p>
      <w:pPr>
        <w:spacing w:line="420" w:lineRule="exact"/>
        <w:ind w:firstLine="400" w:firstLineChars="200"/>
        <w:rPr>
          <w:rFonts w:hint="eastAsia"/>
          <w:b/>
        </w:rPr>
      </w:pPr>
      <w:r>
        <w:rPr>
          <w:rFonts w:hint="eastAsia"/>
          <w:bCs/>
        </w:rPr>
        <w:t>21</w:t>
      </w:r>
      <w:r>
        <w:rPr>
          <w:rFonts w:hint="eastAsia"/>
        </w:rPr>
        <w:t>.2 承包人向分包人支付工程款（进度款）的时间和方式：</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 xml:space="preserve">                                  </w:t>
      </w:r>
      <w:r>
        <w:rPr>
          <w:rFonts w:hint="eastAsia"/>
          <w:u w:val="single"/>
        </w:rPr>
        <w:tab/>
      </w:r>
      <w:r>
        <w:rPr>
          <w:rFonts w:hint="eastAsia"/>
          <w:u w:val="single"/>
        </w:rPr>
        <w:t xml:space="preserve">        </w:t>
      </w:r>
    </w:p>
    <w:p>
      <w:pPr>
        <w:spacing w:line="420" w:lineRule="exact"/>
        <w:rPr>
          <w:rFonts w:hint="eastAsia"/>
          <w:b/>
        </w:rPr>
      </w:pPr>
      <w:r>
        <w:rPr>
          <w:rFonts w:hint="eastAsia"/>
          <w:b/>
        </w:rPr>
        <w:t xml:space="preserve">     </w:t>
      </w:r>
    </w:p>
    <w:p>
      <w:pPr>
        <w:pStyle w:val="5"/>
        <w:jc w:val="center"/>
        <w:rPr>
          <w:rFonts w:hint="eastAsia"/>
        </w:rPr>
      </w:pPr>
      <w:r>
        <w:rPr>
          <w:rFonts w:hint="eastAsia"/>
        </w:rPr>
        <w:t>七、竣工验收及结算</w:t>
      </w:r>
    </w:p>
    <w:p>
      <w:pPr>
        <w:pStyle w:val="6"/>
        <w:ind w:firstLine="321" w:firstLineChars="100"/>
        <w:rPr>
          <w:rFonts w:hint="eastAsia"/>
        </w:rPr>
      </w:pPr>
      <w:r>
        <w:rPr>
          <w:rFonts w:hint="eastAsia"/>
        </w:rPr>
        <w:t>23、竣工验收</w:t>
      </w:r>
    </w:p>
    <w:p>
      <w:pPr>
        <w:spacing w:line="480" w:lineRule="exact"/>
        <w:ind w:firstLine="400" w:firstLineChars="200"/>
        <w:rPr>
          <w:rFonts w:hint="eastAsia"/>
        </w:rPr>
      </w:pPr>
      <w:r>
        <w:rPr>
          <w:rFonts w:hint="eastAsia"/>
        </w:rPr>
        <w:t>23.1分包人提供竣工图的日期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 xml:space="preserve">日。                                 </w:t>
      </w:r>
    </w:p>
    <w:p>
      <w:pPr>
        <w:spacing w:line="480" w:lineRule="exact"/>
        <w:ind w:firstLine="800" w:firstLineChars="400"/>
        <w:rPr>
          <w:rFonts w:hint="eastAsia"/>
        </w:rPr>
      </w:pPr>
      <w:r>
        <w:rPr>
          <w:rFonts w:hint="eastAsia"/>
        </w:rPr>
        <w:t>分包人提供竣工图的份数</w:t>
      </w:r>
      <w:r>
        <w:rPr>
          <w:rFonts w:hint="eastAsia"/>
          <w:u w:val="single"/>
        </w:rPr>
        <w:t xml:space="preserve">                </w:t>
      </w:r>
      <w:r>
        <w:rPr>
          <w:rFonts w:hint="eastAsia"/>
        </w:rPr>
        <w:t>份。</w:t>
      </w:r>
    </w:p>
    <w:p>
      <w:pPr>
        <w:spacing w:line="420" w:lineRule="exact"/>
        <w:rPr>
          <w:rFonts w:hint="eastAsia"/>
          <w:b/>
        </w:rPr>
      </w:pPr>
    </w:p>
    <w:p>
      <w:pPr>
        <w:pStyle w:val="5"/>
        <w:ind w:firstLine="321" w:firstLineChars="100"/>
        <w:jc w:val="center"/>
        <w:rPr>
          <w:rFonts w:hint="eastAsia"/>
        </w:rPr>
      </w:pPr>
      <w:r>
        <w:rPr>
          <w:rFonts w:hint="eastAsia"/>
        </w:rPr>
        <w:t>八、违约、索赔及争议</w:t>
      </w:r>
    </w:p>
    <w:p>
      <w:pPr>
        <w:pStyle w:val="6"/>
        <w:ind w:firstLine="321" w:firstLineChars="100"/>
        <w:rPr>
          <w:rFonts w:hint="eastAsia"/>
        </w:rPr>
      </w:pPr>
      <w:r>
        <w:rPr>
          <w:rFonts w:hint="eastAsia"/>
        </w:rPr>
        <w:t>26、违约</w:t>
      </w:r>
    </w:p>
    <w:p>
      <w:pPr>
        <w:ind w:firstLine="435"/>
        <w:rPr>
          <w:rFonts w:hint="eastAsia"/>
        </w:rPr>
      </w:pPr>
      <w:r>
        <w:rPr>
          <w:rFonts w:hint="eastAsia"/>
          <w:bCs/>
        </w:rPr>
        <w:t>26</w:t>
      </w:r>
      <w:r>
        <w:rPr>
          <w:rFonts w:hint="eastAsia"/>
        </w:rPr>
        <w:t>.1 本合同关于承包人违约的具体责任：</w:t>
      </w:r>
    </w:p>
    <w:p>
      <w:pPr>
        <w:spacing w:line="420" w:lineRule="exact"/>
        <w:ind w:firstLine="400" w:firstLineChars="200"/>
        <w:rPr>
          <w:rFonts w:hint="eastAsia"/>
          <w:b/>
        </w:rPr>
      </w:pPr>
      <w:r>
        <w:rPr>
          <w:rFonts w:hint="eastAsia"/>
        </w:rPr>
        <w:t>（1）本合同通用条款第21.5款约定的承包人违约应承担的违约责任：</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 xml:space="preserve">                                  </w:t>
      </w:r>
      <w:r>
        <w:rPr>
          <w:rFonts w:hint="eastAsia"/>
          <w:u w:val="single"/>
        </w:rPr>
        <w:tab/>
      </w:r>
      <w:r>
        <w:rPr>
          <w:rFonts w:hint="eastAsia"/>
          <w:u w:val="single"/>
        </w:rPr>
        <w:t xml:space="preserve">                                                                          </w:t>
      </w:r>
    </w:p>
    <w:p>
      <w:pPr>
        <w:spacing w:line="420" w:lineRule="exact"/>
        <w:ind w:firstLine="400" w:firstLineChars="200"/>
        <w:rPr>
          <w:rFonts w:hint="eastAsia"/>
          <w:b/>
        </w:rPr>
      </w:pPr>
      <w:r>
        <w:rPr>
          <w:rFonts w:hint="eastAsia"/>
        </w:rPr>
        <w:t>（2）本合同通用条款第24.3款约定的承包人违约应承担的违约责任：</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 xml:space="preserve">                                  </w:t>
      </w:r>
      <w:r>
        <w:rPr>
          <w:rFonts w:hint="eastAsia"/>
          <w:u w:val="single"/>
        </w:rPr>
        <w:tab/>
      </w:r>
      <w:r>
        <w:rPr>
          <w:rFonts w:hint="eastAsia"/>
          <w:u w:val="single"/>
        </w:rPr>
        <w:t xml:space="preserve">                                                                          </w:t>
      </w:r>
    </w:p>
    <w:p>
      <w:pPr>
        <w:spacing w:line="420" w:lineRule="exact"/>
        <w:rPr>
          <w:rFonts w:hint="eastAsia"/>
          <w:bCs/>
        </w:rPr>
      </w:pPr>
      <w:r>
        <w:rPr>
          <w:rFonts w:hint="eastAsia"/>
          <w:b/>
        </w:rPr>
        <w:t xml:space="preserve"> </w:t>
      </w:r>
      <w:r>
        <w:rPr>
          <w:rFonts w:hint="eastAsia"/>
          <w:bCs/>
        </w:rPr>
        <w:t xml:space="preserve">   （3）双方约定的承包人的其他违约责任：</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 xml:space="preserve">                                                                           </w:t>
      </w:r>
    </w:p>
    <w:p>
      <w:pPr>
        <w:ind w:firstLine="435"/>
        <w:rPr>
          <w:rFonts w:hint="eastAsia"/>
        </w:rPr>
      </w:pPr>
      <w:r>
        <w:rPr>
          <w:rFonts w:hint="eastAsia"/>
          <w:bCs/>
        </w:rPr>
        <w:t>26</w:t>
      </w:r>
      <w:r>
        <w:rPr>
          <w:rFonts w:hint="eastAsia"/>
        </w:rPr>
        <w:t>.2 本合同关于分包人违约的具体责任：</w:t>
      </w:r>
    </w:p>
    <w:p>
      <w:pPr>
        <w:spacing w:line="420" w:lineRule="exact"/>
        <w:ind w:firstLine="400" w:firstLineChars="200"/>
        <w:rPr>
          <w:rFonts w:hint="eastAsia"/>
          <w:b/>
        </w:rPr>
      </w:pPr>
      <w:r>
        <w:rPr>
          <w:rFonts w:hint="eastAsia"/>
        </w:rPr>
        <w:t>（1）本合同通用条款第5.3款约定的分包人违约应承担的违约责任：</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 xml:space="preserve">                                  </w:t>
      </w:r>
      <w:r>
        <w:rPr>
          <w:rFonts w:hint="eastAsia"/>
          <w:u w:val="single"/>
        </w:rPr>
        <w:tab/>
      </w:r>
      <w:r>
        <w:rPr>
          <w:rFonts w:hint="eastAsia"/>
          <w:u w:val="single"/>
        </w:rPr>
        <w:t xml:space="preserve">   </w:t>
      </w:r>
    </w:p>
    <w:p>
      <w:pPr>
        <w:spacing w:line="420" w:lineRule="exact"/>
        <w:ind w:firstLine="400" w:firstLineChars="200"/>
        <w:rPr>
          <w:rFonts w:hint="eastAsia"/>
          <w:u w:val="single"/>
        </w:rPr>
      </w:pPr>
      <w:r>
        <w:rPr>
          <w:rFonts w:hint="eastAsia"/>
        </w:rPr>
        <w:t>（2）本合同通用条款第12.1款约定的分包人违约应承担的违约责任：</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 xml:space="preserve">                                  </w:t>
      </w:r>
      <w:r>
        <w:rPr>
          <w:rFonts w:hint="eastAsia"/>
          <w:u w:val="single"/>
        </w:rPr>
        <w:tab/>
      </w:r>
      <w:r>
        <w:rPr>
          <w:rFonts w:hint="eastAsia"/>
          <w:u w:val="single"/>
        </w:rPr>
        <w:t xml:space="preserve">                                                                          </w:t>
      </w:r>
    </w:p>
    <w:p>
      <w:pPr>
        <w:spacing w:line="420" w:lineRule="exact"/>
        <w:ind w:firstLine="400" w:firstLineChars="200"/>
        <w:rPr>
          <w:rFonts w:hint="eastAsia"/>
          <w:b/>
        </w:rPr>
      </w:pPr>
      <w:r>
        <w:rPr>
          <w:rFonts w:hint="eastAsia"/>
        </w:rPr>
        <w:t>（3）本合同通用条款第16.2款约定的分包人违约应承担的违约责任：</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 xml:space="preserve">                                  </w:t>
      </w:r>
      <w:r>
        <w:rPr>
          <w:rFonts w:hint="eastAsia"/>
          <w:u w:val="single"/>
        </w:rPr>
        <w:tab/>
      </w:r>
      <w:r>
        <w:rPr>
          <w:rFonts w:hint="eastAsia"/>
          <w:u w:val="single"/>
        </w:rPr>
        <w:t xml:space="preserve">                                                                         </w:t>
      </w:r>
    </w:p>
    <w:p>
      <w:pPr>
        <w:spacing w:line="420" w:lineRule="exact"/>
        <w:ind w:firstLine="400" w:firstLineChars="200"/>
        <w:rPr>
          <w:rFonts w:hint="eastAsia"/>
          <w:u w:val="single"/>
        </w:rPr>
      </w:pPr>
      <w:r>
        <w:rPr>
          <w:rFonts w:hint="eastAsia"/>
        </w:rPr>
        <w:t>（4）本合同通用条款第17.1款约定的分包人违约应承担的违约责任：</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 xml:space="preserve">                                  </w:t>
      </w:r>
      <w:r>
        <w:rPr>
          <w:rFonts w:hint="eastAsia"/>
          <w:u w:val="single"/>
        </w:rPr>
        <w:tab/>
      </w:r>
      <w:r>
        <w:rPr>
          <w:rFonts w:hint="eastAsia"/>
          <w:u w:val="single"/>
        </w:rPr>
        <w:t xml:space="preserve">                                                                         </w:t>
      </w:r>
    </w:p>
    <w:p>
      <w:pPr>
        <w:spacing w:line="420" w:lineRule="exact"/>
        <w:rPr>
          <w:rFonts w:hint="eastAsia"/>
          <w:bCs/>
        </w:rPr>
      </w:pPr>
      <w:r>
        <w:rPr>
          <w:rFonts w:hint="eastAsia"/>
          <w:b/>
        </w:rPr>
        <w:t xml:space="preserve"> </w:t>
      </w:r>
      <w:r>
        <w:rPr>
          <w:rFonts w:hint="eastAsia"/>
          <w:bCs/>
        </w:rPr>
        <w:t xml:space="preserve">   （5）双方约定的分包人的其他违约责任：</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 xml:space="preserve">                                                                           </w:t>
      </w:r>
    </w:p>
    <w:p>
      <w:pPr>
        <w:pStyle w:val="6"/>
        <w:ind w:firstLine="321" w:firstLineChars="100"/>
        <w:rPr>
          <w:rFonts w:hint="eastAsia"/>
        </w:rPr>
      </w:pPr>
      <w:r>
        <w:rPr>
          <w:rFonts w:hint="eastAsia"/>
        </w:rPr>
        <w:t>28、争议</w:t>
      </w:r>
    </w:p>
    <w:p>
      <w:pPr>
        <w:spacing w:line="420" w:lineRule="exact"/>
        <w:ind w:firstLine="400" w:firstLineChars="200"/>
        <w:rPr>
          <w:rFonts w:hint="eastAsia"/>
        </w:rPr>
      </w:pPr>
      <w:r>
        <w:rPr>
          <w:rFonts w:hint="eastAsia"/>
        </w:rPr>
        <w:t>28.1 双方约定，在履行分包合同过程中发生争议，双方协商解决或者调解不成时，按下列第</w:t>
      </w:r>
      <w:r>
        <w:rPr>
          <w:rFonts w:hint="eastAsia"/>
          <w:u w:val="single"/>
        </w:rPr>
        <w:t xml:space="preserve">    </w:t>
      </w:r>
      <w:r>
        <w:rPr>
          <w:rFonts w:hint="eastAsia"/>
        </w:rPr>
        <w:t>种方式解决争议：</w:t>
      </w:r>
    </w:p>
    <w:p>
      <w:pPr>
        <w:spacing w:line="420" w:lineRule="exact"/>
        <w:ind w:firstLine="400" w:firstLineChars="200"/>
        <w:rPr>
          <w:rFonts w:hint="eastAsia"/>
        </w:rPr>
      </w:pPr>
      <w:r>
        <w:rPr>
          <w:rFonts w:hint="eastAsia"/>
        </w:rPr>
        <w:t>（1）将争议提交</w:t>
      </w:r>
      <w:r>
        <w:rPr>
          <w:rFonts w:hint="eastAsia"/>
          <w:u w:val="single"/>
        </w:rPr>
        <w:t xml:space="preserve">       </w:t>
      </w:r>
      <w:r>
        <w:rPr>
          <w:rFonts w:hint="eastAsia"/>
          <w:u w:val="single"/>
        </w:rPr>
        <w:tab/>
      </w:r>
      <w:r>
        <w:rPr>
          <w:rFonts w:hint="eastAsia"/>
          <w:u w:val="single"/>
        </w:rPr>
        <w:t xml:space="preserve">    </w:t>
      </w:r>
      <w:r>
        <w:rPr>
          <w:rFonts w:hint="eastAsia"/>
        </w:rPr>
        <w:t xml:space="preserve"> 仲裁委员会申请仲裁；</w:t>
      </w:r>
    </w:p>
    <w:p>
      <w:pPr>
        <w:spacing w:line="420" w:lineRule="exact"/>
        <w:ind w:firstLine="400" w:firstLineChars="200"/>
        <w:rPr>
          <w:rFonts w:hint="eastAsia"/>
          <w:color w:val="0000FF"/>
        </w:rPr>
      </w:pPr>
      <w:r>
        <w:rPr>
          <w:rFonts w:hint="eastAsia"/>
        </w:rPr>
        <w:t>（2）依法向有管辖权的人民法院提起诉讼。</w:t>
      </w:r>
    </w:p>
    <w:p>
      <w:pPr>
        <w:spacing w:line="420" w:lineRule="exact"/>
        <w:rPr>
          <w:rFonts w:hint="eastAsia"/>
        </w:rPr>
      </w:pPr>
    </w:p>
    <w:p>
      <w:pPr>
        <w:pStyle w:val="5"/>
        <w:jc w:val="center"/>
        <w:rPr>
          <w:rFonts w:hint="eastAsia"/>
        </w:rPr>
      </w:pPr>
      <w:r>
        <w:rPr>
          <w:rFonts w:hint="eastAsia"/>
        </w:rPr>
        <w:t>九、保障、保险及担保</w:t>
      </w:r>
    </w:p>
    <w:p>
      <w:pPr>
        <w:pStyle w:val="6"/>
        <w:ind w:firstLine="321" w:firstLineChars="100"/>
        <w:rPr>
          <w:rFonts w:hint="eastAsia"/>
        </w:rPr>
      </w:pPr>
      <w:r>
        <w:rPr>
          <w:rFonts w:hint="eastAsia"/>
        </w:rPr>
        <w:t>30、保险</w:t>
      </w:r>
    </w:p>
    <w:p>
      <w:pPr>
        <w:spacing w:line="360" w:lineRule="auto"/>
        <w:rPr>
          <w:rFonts w:hint="eastAsia"/>
          <w:bCs/>
        </w:rPr>
      </w:pPr>
      <w:r>
        <w:rPr>
          <w:rFonts w:hint="eastAsia"/>
        </w:rPr>
        <w:t xml:space="preserve">   30.1 承包人投保内容和责任：</w:t>
      </w:r>
      <w:r>
        <w:rPr>
          <w:rFonts w:hint="eastAsia"/>
          <w:u w:val="single"/>
        </w:rPr>
        <w:tab/>
      </w:r>
      <w:r>
        <w:rPr>
          <w:rFonts w:hint="eastAsia"/>
          <w:u w:val="single"/>
        </w:rPr>
        <w:tab/>
      </w:r>
      <w:r>
        <w:rPr>
          <w:rFonts w:hint="eastAsia"/>
          <w:u w:val="single"/>
        </w:rPr>
        <w:tab/>
      </w:r>
      <w:r>
        <w:rPr>
          <w:rFonts w:hint="eastAsia"/>
          <w:u w:val="single"/>
        </w:rPr>
        <w:t xml:space="preserve">                       </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 xml:space="preserve">                                                                            </w:t>
      </w:r>
    </w:p>
    <w:p>
      <w:pPr>
        <w:spacing w:line="360" w:lineRule="auto"/>
        <w:ind w:firstLine="435"/>
        <w:rPr>
          <w:rFonts w:hint="eastAsia"/>
          <w:u w:val="single"/>
        </w:rPr>
      </w:pPr>
      <w:r>
        <w:rPr>
          <w:rFonts w:hint="eastAsia"/>
        </w:rPr>
        <w:t>30.2 分包人投保内容和责任：</w:t>
      </w:r>
      <w:r>
        <w:rPr>
          <w:rFonts w:hint="eastAsia"/>
          <w:u w:val="single"/>
        </w:rPr>
        <w:tab/>
      </w:r>
      <w:r>
        <w:rPr>
          <w:rFonts w:hint="eastAsia"/>
          <w:u w:val="single"/>
        </w:rPr>
        <w:t xml:space="preserve">         </w:t>
      </w:r>
      <w:r>
        <w:rPr>
          <w:rFonts w:hint="eastAsia"/>
          <w:u w:val="single"/>
        </w:rPr>
        <w:tab/>
      </w:r>
      <w:r>
        <w:rPr>
          <w:rFonts w:hint="eastAsia"/>
          <w:u w:val="single"/>
        </w:rPr>
        <w:t xml:space="preserve">                        </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 xml:space="preserve">                                                                           </w:t>
      </w:r>
    </w:p>
    <w:p>
      <w:pPr>
        <w:pStyle w:val="6"/>
        <w:ind w:firstLine="321" w:firstLineChars="100"/>
        <w:rPr>
          <w:rFonts w:hint="eastAsia"/>
        </w:rPr>
      </w:pPr>
      <w:r>
        <w:rPr>
          <w:rFonts w:hint="eastAsia"/>
        </w:rPr>
        <w:t>31、担保</w:t>
      </w:r>
    </w:p>
    <w:p>
      <w:pPr>
        <w:spacing w:line="420" w:lineRule="exact"/>
        <w:ind w:firstLine="435"/>
        <w:rPr>
          <w:rFonts w:hint="eastAsia"/>
        </w:rPr>
      </w:pPr>
      <w:r>
        <w:rPr>
          <w:rFonts w:hint="eastAsia"/>
          <w:bCs/>
        </w:rPr>
        <w:t>31.1承包人向分包人提供支付担保，担保方式：</w:t>
      </w:r>
      <w:r>
        <w:rPr>
          <w:rFonts w:hint="eastAsia"/>
          <w:u w:val="single"/>
        </w:rPr>
        <w:tab/>
      </w:r>
      <w:r>
        <w:rPr>
          <w:rFonts w:hint="eastAsia"/>
          <w:u w:val="single"/>
        </w:rPr>
        <w:tab/>
      </w:r>
      <w:r>
        <w:rPr>
          <w:rFonts w:hint="eastAsia"/>
          <w:u w:val="single"/>
        </w:rPr>
        <w:t xml:space="preserve">  </w:t>
      </w:r>
      <w:r>
        <w:rPr>
          <w:rFonts w:hint="eastAsia"/>
          <w:u w:val="single"/>
        </w:rPr>
        <w:tab/>
      </w:r>
      <w:r>
        <w:rPr>
          <w:rFonts w:hint="eastAsia"/>
        </w:rPr>
        <w:t>；</w:t>
      </w:r>
      <w:r>
        <w:rPr>
          <w:rFonts w:hint="eastAsia"/>
          <w:b/>
        </w:rPr>
        <w:t xml:space="preserve"> </w:t>
      </w:r>
      <w:r>
        <w:rPr>
          <w:rFonts w:hint="eastAsia"/>
          <w:bCs/>
        </w:rPr>
        <w:t>担保额度</w:t>
      </w:r>
      <w:r>
        <w:rPr>
          <w:rFonts w:hint="eastAsia"/>
          <w:u w:val="single"/>
        </w:rPr>
        <w:tab/>
      </w:r>
      <w:r>
        <w:rPr>
          <w:rFonts w:hint="eastAsia"/>
          <w:u w:val="single"/>
        </w:rPr>
        <w:tab/>
      </w:r>
      <w:r>
        <w:rPr>
          <w:rFonts w:hint="eastAsia"/>
          <w:u w:val="single"/>
        </w:rPr>
        <w:tab/>
      </w:r>
      <w:r>
        <w:rPr>
          <w:rFonts w:hint="eastAsia"/>
          <w:u w:val="single"/>
        </w:rPr>
        <w:t xml:space="preserve">  </w:t>
      </w:r>
    </w:p>
    <w:p>
      <w:pPr>
        <w:spacing w:line="420" w:lineRule="exact"/>
        <w:ind w:firstLine="435"/>
        <w:rPr>
          <w:rFonts w:hint="eastAsia"/>
        </w:rPr>
      </w:pPr>
      <w:r>
        <w:rPr>
          <w:rFonts w:hint="eastAsia"/>
        </w:rPr>
        <w:t>31.2分包人向承包人提供履约担保，</w:t>
      </w:r>
      <w:r>
        <w:rPr>
          <w:rFonts w:hint="eastAsia"/>
          <w:bCs/>
        </w:rPr>
        <w:t>担保方式：</w:t>
      </w:r>
      <w:r>
        <w:rPr>
          <w:rFonts w:hint="eastAsia"/>
          <w:u w:val="single"/>
        </w:rPr>
        <w:tab/>
      </w:r>
      <w:r>
        <w:rPr>
          <w:rFonts w:hint="eastAsia"/>
          <w:u w:val="single"/>
        </w:rPr>
        <w:tab/>
      </w:r>
      <w:r>
        <w:rPr>
          <w:rFonts w:hint="eastAsia"/>
          <w:u w:val="single"/>
        </w:rPr>
        <w:t xml:space="preserve">  </w:t>
      </w:r>
      <w:r>
        <w:rPr>
          <w:rFonts w:hint="eastAsia"/>
          <w:u w:val="single"/>
        </w:rPr>
        <w:tab/>
      </w:r>
      <w:r>
        <w:rPr>
          <w:rFonts w:hint="eastAsia"/>
        </w:rPr>
        <w:t>；</w:t>
      </w:r>
      <w:r>
        <w:rPr>
          <w:rFonts w:hint="eastAsia"/>
          <w:b/>
        </w:rPr>
        <w:t xml:space="preserve"> </w:t>
      </w:r>
      <w:r>
        <w:rPr>
          <w:rFonts w:hint="eastAsia"/>
          <w:bCs/>
        </w:rPr>
        <w:t>担保额度</w:t>
      </w:r>
      <w:r>
        <w:rPr>
          <w:rFonts w:hint="eastAsia"/>
          <w:u w:val="single"/>
        </w:rPr>
        <w:tab/>
      </w:r>
      <w:r>
        <w:rPr>
          <w:rFonts w:hint="eastAsia"/>
          <w:u w:val="single"/>
        </w:rPr>
        <w:tab/>
      </w:r>
      <w:r>
        <w:rPr>
          <w:rFonts w:hint="eastAsia"/>
          <w:u w:val="single"/>
        </w:rPr>
        <w:tab/>
      </w:r>
      <w:r>
        <w:rPr>
          <w:rFonts w:hint="eastAsia"/>
          <w:u w:val="single"/>
        </w:rPr>
        <w:t xml:space="preserve">   </w:t>
      </w:r>
      <w:r>
        <w:rPr>
          <w:rFonts w:hint="eastAsia"/>
        </w:rPr>
        <w:tab/>
      </w:r>
    </w:p>
    <w:p>
      <w:pPr>
        <w:pStyle w:val="5"/>
        <w:jc w:val="center"/>
        <w:rPr>
          <w:rFonts w:hint="eastAsia"/>
        </w:rPr>
      </w:pPr>
      <w:r>
        <w:rPr>
          <w:rFonts w:hint="eastAsia"/>
        </w:rPr>
        <w:t>十、其他</w:t>
      </w:r>
    </w:p>
    <w:p>
      <w:pPr>
        <w:pStyle w:val="6"/>
        <w:ind w:firstLine="321" w:firstLineChars="100"/>
        <w:rPr>
          <w:rFonts w:hint="eastAsia"/>
        </w:rPr>
      </w:pPr>
      <w:r>
        <w:rPr>
          <w:rFonts w:hint="eastAsia"/>
        </w:rPr>
        <w:t>32、材料设备供应</w:t>
      </w:r>
    </w:p>
    <w:p>
      <w:pPr>
        <w:ind w:firstLine="400" w:firstLineChars="200"/>
        <w:rPr>
          <w:rFonts w:hint="eastAsia"/>
          <w:color w:val="FF0000"/>
        </w:rPr>
      </w:pPr>
      <w:r>
        <w:rPr>
          <w:rFonts w:hint="eastAsia"/>
        </w:rPr>
        <w:t>32.3 由分包人采购材料设备的约定：</w:t>
      </w:r>
      <w:r>
        <w:rPr>
          <w:rFonts w:hint="eastAsia"/>
          <w:u w:val="single"/>
        </w:rPr>
        <w:tab/>
      </w:r>
      <w:r>
        <w:rPr>
          <w:rFonts w:hint="eastAsia"/>
          <w:u w:val="single"/>
        </w:rPr>
        <w:t xml:space="preserve">         </w:t>
      </w:r>
      <w:r>
        <w:rPr>
          <w:rFonts w:hint="eastAsia"/>
          <w:u w:val="single"/>
        </w:rPr>
        <w:tab/>
      </w:r>
      <w:r>
        <w:rPr>
          <w:rFonts w:hint="eastAsia"/>
          <w:u w:val="single"/>
        </w:rPr>
        <w:t xml:space="preserve">                           </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 xml:space="preserve">                                                               </w:t>
      </w:r>
    </w:p>
    <w:p>
      <w:pPr>
        <w:pStyle w:val="6"/>
        <w:ind w:firstLine="321" w:firstLineChars="100"/>
        <w:rPr>
          <w:rFonts w:hint="eastAsia"/>
        </w:rPr>
      </w:pPr>
      <w:r>
        <w:rPr>
          <w:rFonts w:hint="eastAsia"/>
        </w:rPr>
        <w:t>37、合同份数</w:t>
      </w:r>
    </w:p>
    <w:p>
      <w:pPr>
        <w:spacing w:line="420" w:lineRule="exact"/>
        <w:ind w:firstLine="400" w:firstLineChars="200"/>
        <w:rPr>
          <w:rFonts w:hint="eastAsia"/>
        </w:rPr>
      </w:pPr>
      <w:r>
        <w:rPr>
          <w:rFonts w:hint="eastAsia"/>
        </w:rPr>
        <w:t>36.2 双方约定本合同副本</w:t>
      </w:r>
      <w:r>
        <w:rPr>
          <w:rFonts w:hint="eastAsia"/>
          <w:u w:val="single"/>
        </w:rPr>
        <w:t xml:space="preserve">    </w:t>
      </w:r>
      <w:r>
        <w:rPr>
          <w:rFonts w:hint="eastAsia"/>
        </w:rPr>
        <w:t>份，其中，承包人</w:t>
      </w:r>
      <w:r>
        <w:rPr>
          <w:rFonts w:hint="eastAsia"/>
          <w:u w:val="single"/>
        </w:rPr>
        <w:t xml:space="preserve">    </w:t>
      </w:r>
      <w:r>
        <w:rPr>
          <w:rFonts w:hint="eastAsia"/>
        </w:rPr>
        <w:t>份，分包人</w:t>
      </w:r>
      <w:r>
        <w:rPr>
          <w:rFonts w:hint="eastAsia"/>
          <w:u w:val="single"/>
        </w:rPr>
        <w:t xml:space="preserve">    </w:t>
      </w:r>
      <w:r>
        <w:rPr>
          <w:rFonts w:hint="eastAsia"/>
        </w:rPr>
        <w:t>份。</w:t>
      </w:r>
    </w:p>
    <w:p>
      <w:pPr>
        <w:spacing w:line="420" w:lineRule="exact"/>
        <w:rPr>
          <w:rFonts w:hint="eastAsia"/>
          <w:b/>
          <w:bCs/>
        </w:rPr>
      </w:pPr>
    </w:p>
    <w:p>
      <w:pPr>
        <w:pStyle w:val="6"/>
        <w:ind w:firstLine="320" w:firstLineChars="100"/>
        <w:rPr>
          <w:rFonts w:hint="eastAsia"/>
        </w:rPr>
      </w:pPr>
      <w:r>
        <w:rPr>
          <w:rFonts w:hint="eastAsia"/>
          <w:b w:val="0"/>
          <w:bCs w:val="0"/>
        </w:rPr>
        <w:t>38、</w:t>
      </w:r>
      <w:r>
        <w:rPr>
          <w:rFonts w:hint="eastAsia"/>
        </w:rPr>
        <w:t>补充条款：</w:t>
      </w:r>
    </w:p>
    <w:p>
      <w:pPr>
        <w:spacing w:line="420" w:lineRule="exact"/>
        <w:ind w:firstLine="400" w:firstLineChars="200"/>
        <w:rPr>
          <w:rFonts w:hint="eastAsia"/>
          <w:u w:val="single"/>
          <w:lang w:val="en-US" w:eastAsia="zh-CN"/>
        </w:rPr>
      </w:pP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lang w:val="en-US" w:eastAsia="zh-CN"/>
        </w:rPr>
        <w:t xml:space="preserve"> </w:t>
      </w:r>
    </w:p>
    <w:p>
      <w:pPr>
        <w:spacing w:line="420" w:lineRule="exact"/>
        <w:ind w:firstLine="400" w:firstLineChars="200"/>
        <w:rPr>
          <w:rFonts w:hint="eastAsia"/>
        </w:rPr>
      </w:pPr>
      <w:r>
        <w:t>合同附件为合同的组成部分，与合同具有同等法律</w:t>
      </w:r>
      <w:r>
        <w:rPr>
          <w:rFonts w:hint="eastAsia"/>
        </w:rPr>
        <w:t>效力</w:t>
      </w:r>
      <w:r>
        <w:t>。</w:t>
      </w:r>
    </w:p>
    <w:p>
      <w:pPr>
        <w:widowControl w:val="0"/>
        <w:tabs>
          <w:tab w:val="left" w:pos="1980"/>
        </w:tabs>
        <w:autoSpaceDE w:val="0"/>
        <w:autoSpaceDN w:val="0"/>
        <w:adjustRightInd w:val="0"/>
        <w:spacing w:line="400" w:lineRule="exact"/>
        <w:rPr>
          <w:rFonts w:ascii="宋体" w:hAnsi="宋体" w:cs="宋体"/>
          <w:color w:val="auto"/>
          <w:sz w:val="24"/>
          <w:szCs w:val="22"/>
          <w:highlight w:val="none"/>
        </w:rPr>
      </w:pPr>
    </w:p>
    <w:p>
      <w:pPr>
        <w:pStyle w:val="9"/>
        <w:bidi w:val="0"/>
      </w:pPr>
      <w:r>
        <w:t>附件</w:t>
      </w:r>
      <w:r>
        <w:rPr>
          <w:rFonts w:hint="eastAsia"/>
        </w:rPr>
        <w:t>2</w:t>
      </w:r>
    </w:p>
    <w:p>
      <w:pPr>
        <w:widowControl w:val="0"/>
        <w:autoSpaceDE w:val="0"/>
        <w:autoSpaceDN w:val="0"/>
        <w:spacing w:before="49"/>
        <w:ind w:left="2455" w:right="2465"/>
        <w:jc w:val="center"/>
        <w:rPr>
          <w:rFonts w:ascii="宋体" w:hAnsi="宋体" w:cs="宋体"/>
          <w:color w:val="auto"/>
          <w:sz w:val="28"/>
          <w:szCs w:val="28"/>
          <w:highlight w:val="none"/>
        </w:rPr>
      </w:pPr>
      <w:r>
        <w:rPr>
          <w:rFonts w:ascii="宋体" w:hAnsi="宋体" w:cs="宋体"/>
          <w:color w:val="auto"/>
          <w:spacing w:val="-1"/>
          <w:sz w:val="28"/>
          <w:szCs w:val="28"/>
          <w:highlight w:val="none"/>
        </w:rPr>
        <w:t>供需双方廉洁互保协议</w:t>
      </w:r>
    </w:p>
    <w:p>
      <w:pPr>
        <w:widowControl w:val="0"/>
        <w:autoSpaceDE w:val="0"/>
        <w:autoSpaceDN w:val="0"/>
        <w:spacing w:before="120" w:line="276" w:lineRule="auto"/>
        <w:rPr>
          <w:rFonts w:cs="宋体" w:asciiTheme="minorEastAsia" w:hAnsiTheme="minorEastAsia" w:eastAsiaTheme="minorEastAsia"/>
          <w:color w:val="auto"/>
          <w:spacing w:val="-2"/>
          <w:highlight w:val="none"/>
        </w:rPr>
      </w:pPr>
      <w:r>
        <w:rPr>
          <w:rFonts w:cs="宋体" w:asciiTheme="minorEastAsia" w:hAnsiTheme="minorEastAsia" w:eastAsiaTheme="minorEastAsia"/>
          <w:color w:val="auto"/>
          <w:spacing w:val="-2"/>
          <w:highlight w:val="none"/>
        </w:rPr>
        <w:t xml:space="preserve">甲方（承包人）： </w:t>
      </w:r>
    </w:p>
    <w:p>
      <w:pPr>
        <w:widowControl w:val="0"/>
        <w:autoSpaceDE w:val="0"/>
        <w:autoSpaceDN w:val="0"/>
        <w:spacing w:before="248" w:line="276" w:lineRule="auto"/>
        <w:ind w:right="3389"/>
        <w:rPr>
          <w:rFonts w:cs="宋体" w:asciiTheme="minorEastAsia" w:hAnsiTheme="minorEastAsia" w:eastAsiaTheme="minorEastAsia"/>
          <w:color w:val="auto"/>
          <w:highlight w:val="none"/>
        </w:rPr>
      </w:pPr>
      <w:r>
        <w:rPr>
          <w:rFonts w:cs="宋体" w:asciiTheme="minorEastAsia" w:hAnsiTheme="minorEastAsia" w:eastAsiaTheme="minorEastAsia"/>
          <w:color w:val="auto"/>
          <w:spacing w:val="-4"/>
          <w:highlight w:val="none"/>
        </w:rPr>
        <w:t>乙方（分包人）：</w:t>
      </w:r>
    </w:p>
    <w:p>
      <w:pPr>
        <w:widowControl w:val="0"/>
        <w:autoSpaceDE w:val="0"/>
        <w:autoSpaceDN w:val="0"/>
        <w:spacing w:before="1" w:line="386" w:lineRule="auto"/>
        <w:ind w:left="134" w:right="329" w:firstLine="565"/>
        <w:jc w:val="both"/>
        <w:rPr>
          <w:rFonts w:cs="宋体" w:asciiTheme="minorEastAsia" w:hAnsiTheme="minorEastAsia" w:eastAsiaTheme="minorEastAsia"/>
          <w:color w:val="auto"/>
          <w:highlight w:val="none"/>
        </w:rPr>
      </w:pPr>
      <w:r>
        <w:rPr>
          <w:rFonts w:cs="宋体" w:asciiTheme="minorEastAsia" w:hAnsiTheme="minorEastAsia" w:eastAsiaTheme="minorEastAsia"/>
          <w:color w:val="auto"/>
          <w:spacing w:val="17"/>
          <w:highlight w:val="none"/>
        </w:rPr>
        <w:t>为规范双方业务往来活动，建立诚实守信的商务合作关系，共</w:t>
      </w:r>
      <w:r>
        <w:rPr>
          <w:rFonts w:cs="宋体" w:asciiTheme="minorEastAsia" w:hAnsiTheme="minorEastAsia" w:eastAsiaTheme="minorEastAsia"/>
          <w:color w:val="auto"/>
          <w:spacing w:val="16"/>
          <w:highlight w:val="none"/>
        </w:rPr>
        <w:t>同维护双方合法权益，防止违法违纪现象发生，经友好协商，双方</w:t>
      </w:r>
      <w:r>
        <w:rPr>
          <w:rFonts w:cs="宋体" w:asciiTheme="minorEastAsia" w:hAnsiTheme="minorEastAsia" w:eastAsiaTheme="minorEastAsia"/>
          <w:color w:val="auto"/>
          <w:spacing w:val="-2"/>
          <w:highlight w:val="none"/>
        </w:rPr>
        <w:t>就业务往来中的廉洁事宜达成此互保协议。</w:t>
      </w:r>
    </w:p>
    <w:p>
      <w:pPr>
        <w:widowControl w:val="0"/>
        <w:autoSpaceDE w:val="0"/>
        <w:autoSpaceDN w:val="0"/>
        <w:spacing w:before="1"/>
        <w:ind w:left="689"/>
        <w:rPr>
          <w:rFonts w:cs="宋体" w:asciiTheme="minorEastAsia" w:hAnsiTheme="minorEastAsia" w:eastAsiaTheme="minorEastAsia"/>
          <w:color w:val="auto"/>
          <w:highlight w:val="none"/>
        </w:rPr>
      </w:pPr>
      <w:r>
        <w:rPr>
          <w:rFonts w:cs="宋体" w:asciiTheme="minorEastAsia" w:hAnsiTheme="minorEastAsia" w:eastAsiaTheme="minorEastAsia"/>
          <w:color w:val="auto"/>
          <w:spacing w:val="-2"/>
          <w:highlight w:val="none"/>
        </w:rPr>
        <w:t>第一条</w:t>
      </w:r>
      <w:r>
        <w:rPr>
          <w:rFonts w:cs="宋体" w:asciiTheme="minorEastAsia" w:hAnsiTheme="minorEastAsia" w:eastAsiaTheme="minorEastAsia"/>
          <w:color w:val="auto"/>
          <w:spacing w:val="-3"/>
          <w:highlight w:val="none"/>
        </w:rPr>
        <w:t>甲乙双方共同的权利和义务</w:t>
      </w:r>
    </w:p>
    <w:p>
      <w:pPr>
        <w:widowControl w:val="0"/>
        <w:numPr>
          <w:ilvl w:val="0"/>
          <w:numId w:val="15"/>
        </w:numPr>
        <w:tabs>
          <w:tab w:val="left" w:pos="1429"/>
          <w:tab w:val="left" w:pos="1430"/>
        </w:tabs>
        <w:autoSpaceDE w:val="0"/>
        <w:autoSpaceDN w:val="0"/>
        <w:spacing w:line="360" w:lineRule="auto"/>
        <w:ind w:left="0" w:firstLine="588" w:firstLineChars="300"/>
        <w:rPr>
          <w:rFonts w:cs="宋体" w:asciiTheme="minorEastAsia" w:hAnsiTheme="minorEastAsia" w:eastAsiaTheme="minorEastAsia"/>
          <w:color w:val="auto"/>
          <w:highlight w:val="none"/>
        </w:rPr>
      </w:pPr>
      <w:r>
        <w:rPr>
          <w:rFonts w:cs="宋体" w:asciiTheme="minorEastAsia" w:hAnsiTheme="minorEastAsia" w:eastAsiaTheme="minorEastAsia"/>
          <w:color w:val="auto"/>
          <w:spacing w:val="-2"/>
          <w:highlight w:val="none"/>
        </w:rPr>
        <w:t>严格遵守国家有关法律法规，坚持诚实守信原则，恪守商业道德，规范商务人员廉洁从业行为。</w:t>
      </w:r>
    </w:p>
    <w:p>
      <w:pPr>
        <w:widowControl w:val="0"/>
        <w:numPr>
          <w:ilvl w:val="0"/>
          <w:numId w:val="15"/>
        </w:numPr>
        <w:tabs>
          <w:tab w:val="left" w:pos="905"/>
        </w:tabs>
        <w:autoSpaceDE w:val="0"/>
        <w:autoSpaceDN w:val="0"/>
        <w:spacing w:line="360" w:lineRule="auto"/>
        <w:ind w:left="0" w:firstLine="714" w:firstLineChars="300"/>
        <w:rPr>
          <w:rFonts w:cs="宋体" w:asciiTheme="minorEastAsia" w:hAnsiTheme="minorEastAsia" w:eastAsiaTheme="minorEastAsia"/>
          <w:color w:val="auto"/>
          <w:highlight w:val="none"/>
        </w:rPr>
      </w:pPr>
      <w:r>
        <w:rPr>
          <w:rFonts w:cs="宋体" w:asciiTheme="minorEastAsia" w:hAnsiTheme="minorEastAsia" w:eastAsiaTheme="minorEastAsia"/>
          <w:color w:val="auto"/>
          <w:spacing w:val="19"/>
          <w:highlight w:val="none"/>
        </w:rPr>
        <w:t>双方业务活动坚持公开、公正、诚信、透明的原则（</w:t>
      </w:r>
      <w:r>
        <w:rPr>
          <w:rFonts w:cs="宋体" w:asciiTheme="minorEastAsia" w:hAnsiTheme="minorEastAsia" w:eastAsiaTheme="minorEastAsia"/>
          <w:color w:val="auto"/>
          <w:spacing w:val="9"/>
          <w:highlight w:val="none"/>
        </w:rPr>
        <w:t>商业秘</w:t>
      </w:r>
      <w:r>
        <w:rPr>
          <w:rFonts w:cs="宋体" w:asciiTheme="minorEastAsia" w:hAnsiTheme="minorEastAsia" w:eastAsiaTheme="minorEastAsia"/>
          <w:color w:val="auto"/>
          <w:highlight w:val="none"/>
        </w:rPr>
        <w:t>密和合同文件另有规定的除外），</w:t>
      </w:r>
      <w:r>
        <w:rPr>
          <w:rFonts w:cs="宋体" w:asciiTheme="minorEastAsia" w:hAnsiTheme="minorEastAsia" w:eastAsiaTheme="minorEastAsia"/>
          <w:color w:val="auto"/>
          <w:spacing w:val="-1"/>
          <w:highlight w:val="none"/>
        </w:rPr>
        <w:t>不得损害国家和对方利益。</w:t>
      </w:r>
    </w:p>
    <w:p>
      <w:pPr>
        <w:widowControl w:val="0"/>
        <w:numPr>
          <w:ilvl w:val="0"/>
          <w:numId w:val="15"/>
        </w:numPr>
        <w:tabs>
          <w:tab w:val="left" w:pos="905"/>
        </w:tabs>
        <w:autoSpaceDE w:val="0"/>
        <w:autoSpaceDN w:val="0"/>
        <w:spacing w:line="360" w:lineRule="auto"/>
        <w:ind w:left="0" w:firstLine="696" w:firstLineChars="300"/>
        <w:jc w:val="both"/>
        <w:rPr>
          <w:rFonts w:cs="宋体" w:asciiTheme="minorEastAsia" w:hAnsiTheme="minorEastAsia" w:eastAsiaTheme="minorEastAsia"/>
          <w:color w:val="auto"/>
          <w:highlight w:val="none"/>
        </w:rPr>
      </w:pPr>
      <w:r>
        <w:rPr>
          <w:rFonts w:cs="宋体" w:asciiTheme="minorEastAsia" w:hAnsiTheme="minorEastAsia" w:eastAsiaTheme="minorEastAsia"/>
          <w:color w:val="auto"/>
          <w:spacing w:val="16"/>
          <w:highlight w:val="none"/>
        </w:rPr>
        <w:t>发现对方工作人员在业务活动中有违反廉洁规定的行为，有及时要求对方纠正并向对方举报的权利和义务；涉嫌违法的，可以</w:t>
      </w:r>
      <w:r>
        <w:rPr>
          <w:rFonts w:cs="宋体" w:asciiTheme="minorEastAsia" w:hAnsiTheme="minorEastAsia" w:eastAsiaTheme="minorEastAsia"/>
          <w:color w:val="auto"/>
          <w:spacing w:val="-2"/>
          <w:highlight w:val="none"/>
        </w:rPr>
        <w:t>依法向有关部门举报。</w:t>
      </w:r>
    </w:p>
    <w:p>
      <w:pPr>
        <w:widowControl w:val="0"/>
        <w:numPr>
          <w:ilvl w:val="0"/>
          <w:numId w:val="15"/>
        </w:numPr>
        <w:tabs>
          <w:tab w:val="left" w:pos="905"/>
        </w:tabs>
        <w:autoSpaceDE w:val="0"/>
        <w:autoSpaceDN w:val="0"/>
        <w:spacing w:line="360" w:lineRule="auto"/>
        <w:ind w:left="0" w:firstLine="702" w:firstLineChars="300"/>
        <w:rPr>
          <w:rFonts w:cs="宋体" w:asciiTheme="minorEastAsia" w:hAnsiTheme="minorEastAsia" w:eastAsiaTheme="minorEastAsia"/>
          <w:color w:val="auto"/>
          <w:highlight w:val="none"/>
        </w:rPr>
      </w:pPr>
      <w:r>
        <w:rPr>
          <w:rFonts w:cs="宋体" w:asciiTheme="minorEastAsia" w:hAnsiTheme="minorEastAsia" w:eastAsiaTheme="minorEastAsia"/>
          <w:color w:val="auto"/>
          <w:spacing w:val="17"/>
          <w:highlight w:val="none"/>
        </w:rPr>
        <w:t>对涉嫌不廉洁的商业行为进行调查时，双方有相互配合、提</w:t>
      </w:r>
      <w:r>
        <w:rPr>
          <w:rFonts w:cs="宋体" w:asciiTheme="minorEastAsia" w:hAnsiTheme="minorEastAsia" w:eastAsiaTheme="minorEastAsia"/>
          <w:color w:val="auto"/>
          <w:spacing w:val="-1"/>
          <w:highlight w:val="none"/>
        </w:rPr>
        <w:t>供证据、作证的义务。</w:t>
      </w:r>
    </w:p>
    <w:p>
      <w:pPr>
        <w:widowControl w:val="0"/>
        <w:numPr>
          <w:ilvl w:val="0"/>
          <w:numId w:val="15"/>
        </w:numPr>
        <w:tabs>
          <w:tab w:val="left" w:pos="905"/>
        </w:tabs>
        <w:autoSpaceDE w:val="0"/>
        <w:autoSpaceDN w:val="0"/>
        <w:spacing w:line="360" w:lineRule="auto"/>
        <w:ind w:left="0" w:firstLine="702" w:firstLineChars="300"/>
        <w:rPr>
          <w:rFonts w:cs="宋体" w:asciiTheme="minorEastAsia" w:hAnsiTheme="minorEastAsia" w:eastAsiaTheme="minorEastAsia"/>
          <w:color w:val="auto"/>
          <w:highlight w:val="none"/>
        </w:rPr>
      </w:pPr>
      <w:r>
        <w:rPr>
          <w:rFonts w:cs="宋体" w:asciiTheme="minorEastAsia" w:hAnsiTheme="minorEastAsia" w:eastAsiaTheme="minorEastAsia"/>
          <w:color w:val="auto"/>
          <w:spacing w:val="17"/>
          <w:highlight w:val="none"/>
        </w:rPr>
        <w:t>未经对方同意，不向任何新闻媒体、第三人述及有关对方工</w:t>
      </w:r>
      <w:r>
        <w:rPr>
          <w:rFonts w:cs="宋体" w:asciiTheme="minorEastAsia" w:hAnsiTheme="minorEastAsia" w:eastAsiaTheme="minorEastAsia"/>
          <w:color w:val="auto"/>
          <w:spacing w:val="-2"/>
          <w:highlight w:val="none"/>
        </w:rPr>
        <w:t>作人员恪守商业道德方面的评价、信息。</w:t>
      </w:r>
    </w:p>
    <w:p>
      <w:pPr>
        <w:widowControl w:val="0"/>
        <w:numPr>
          <w:ilvl w:val="0"/>
          <w:numId w:val="15"/>
        </w:numPr>
        <w:tabs>
          <w:tab w:val="left" w:pos="905"/>
        </w:tabs>
        <w:autoSpaceDE w:val="0"/>
        <w:autoSpaceDN w:val="0"/>
        <w:spacing w:line="360" w:lineRule="auto"/>
        <w:ind w:left="0" w:firstLine="702" w:firstLineChars="300"/>
        <w:rPr>
          <w:rFonts w:cs="宋体" w:asciiTheme="minorEastAsia" w:hAnsiTheme="minorEastAsia" w:eastAsiaTheme="minorEastAsia"/>
          <w:color w:val="auto"/>
          <w:highlight w:val="none"/>
        </w:rPr>
      </w:pPr>
      <w:r>
        <w:rPr>
          <w:rFonts w:cs="宋体" w:asciiTheme="minorEastAsia" w:hAnsiTheme="minorEastAsia" w:eastAsiaTheme="minorEastAsia"/>
          <w:color w:val="auto"/>
          <w:spacing w:val="17"/>
          <w:highlight w:val="none"/>
        </w:rPr>
        <w:t>双方应依法保护举报人员，不得以任何方式对举报人员进行</w:t>
      </w:r>
      <w:r>
        <w:rPr>
          <w:rFonts w:cs="宋体" w:asciiTheme="minorEastAsia" w:hAnsiTheme="minorEastAsia" w:eastAsiaTheme="minorEastAsia"/>
          <w:color w:val="auto"/>
          <w:spacing w:val="-2"/>
          <w:highlight w:val="none"/>
        </w:rPr>
        <w:t>打击报复。</w:t>
      </w:r>
    </w:p>
    <w:p>
      <w:pPr>
        <w:widowControl w:val="0"/>
        <w:autoSpaceDE w:val="0"/>
        <w:autoSpaceDN w:val="0"/>
        <w:spacing w:line="304" w:lineRule="exact"/>
        <w:ind w:left="689"/>
        <w:rPr>
          <w:rFonts w:cs="宋体" w:asciiTheme="minorEastAsia" w:hAnsiTheme="minorEastAsia" w:eastAsiaTheme="minorEastAsia"/>
          <w:color w:val="auto"/>
          <w:highlight w:val="none"/>
        </w:rPr>
      </w:pPr>
      <w:r>
        <w:rPr>
          <w:rFonts w:cs="宋体" w:asciiTheme="minorEastAsia" w:hAnsiTheme="minorEastAsia" w:eastAsiaTheme="minorEastAsia"/>
          <w:color w:val="auto"/>
          <w:spacing w:val="-2"/>
          <w:highlight w:val="none"/>
        </w:rPr>
        <w:t>第二条</w:t>
      </w:r>
      <w:r>
        <w:rPr>
          <w:rFonts w:cs="宋体" w:asciiTheme="minorEastAsia" w:hAnsiTheme="minorEastAsia" w:eastAsiaTheme="minorEastAsia"/>
          <w:color w:val="auto"/>
          <w:spacing w:val="-4"/>
          <w:highlight w:val="none"/>
        </w:rPr>
        <w:t>甲方的廉洁责任</w:t>
      </w:r>
    </w:p>
    <w:p>
      <w:pPr>
        <w:widowControl w:val="0"/>
        <w:numPr>
          <w:ilvl w:val="0"/>
          <w:numId w:val="16"/>
        </w:numPr>
        <w:tabs>
          <w:tab w:val="left" w:pos="939"/>
        </w:tabs>
        <w:autoSpaceDE w:val="0"/>
        <w:autoSpaceDN w:val="0"/>
        <w:spacing w:before="221" w:line="393" w:lineRule="auto"/>
        <w:ind w:left="134" w:right="424" w:firstLine="575"/>
        <w:rPr>
          <w:rFonts w:cs="宋体" w:asciiTheme="minorEastAsia" w:hAnsiTheme="minorEastAsia" w:eastAsiaTheme="minorEastAsia"/>
          <w:color w:val="auto"/>
          <w:highlight w:val="none"/>
        </w:rPr>
      </w:pPr>
      <w:r>
        <w:rPr>
          <w:rFonts w:cs="宋体" w:asciiTheme="minorEastAsia" w:hAnsiTheme="minorEastAsia" w:eastAsiaTheme="minorEastAsia"/>
          <w:color w:val="auto"/>
          <w:spacing w:val="14"/>
          <w:highlight w:val="none"/>
        </w:rPr>
        <w:t>甲方工作人员不得以任何形式索要或接受乙方的礼金、礼品</w:t>
      </w:r>
      <w:r>
        <w:rPr>
          <w:rFonts w:cs="宋体" w:asciiTheme="minorEastAsia" w:hAnsiTheme="minorEastAsia" w:eastAsiaTheme="minorEastAsia"/>
          <w:color w:val="auto"/>
          <w:spacing w:val="-2"/>
          <w:highlight w:val="none"/>
        </w:rPr>
        <w:t>和有价证券，不得在乙方报销任何应由个人支付的各种费用。</w:t>
      </w:r>
    </w:p>
    <w:p>
      <w:pPr>
        <w:widowControl w:val="0"/>
        <w:numPr>
          <w:ilvl w:val="0"/>
          <w:numId w:val="16"/>
        </w:numPr>
        <w:tabs>
          <w:tab w:val="left" w:pos="945"/>
        </w:tabs>
        <w:autoSpaceDE w:val="0"/>
        <w:autoSpaceDN w:val="0"/>
        <w:spacing w:before="72" w:line="393" w:lineRule="auto"/>
        <w:ind w:left="145" w:right="344" w:firstLine="540"/>
        <w:jc w:val="both"/>
        <w:rPr>
          <w:rFonts w:cs="宋体" w:asciiTheme="minorEastAsia" w:hAnsiTheme="minorEastAsia" w:eastAsiaTheme="minorEastAsia"/>
          <w:color w:val="auto"/>
          <w:highlight w:val="none"/>
        </w:rPr>
      </w:pPr>
      <w:r>
        <w:rPr>
          <w:rFonts w:cs="宋体" w:asciiTheme="minorEastAsia" w:hAnsiTheme="minorEastAsia" w:eastAsiaTheme="minorEastAsia"/>
          <w:color w:val="auto"/>
          <w:spacing w:val="15"/>
          <w:highlight w:val="none"/>
        </w:rPr>
        <w:t>甲方工作人员不得私自参加乙方安排的宴请，不得私自接受乙方提供的通讯、交通工具和办公用品，不得向乙方泄露谈判中的</w:t>
      </w:r>
      <w:r>
        <w:rPr>
          <w:rFonts w:cs="宋体" w:asciiTheme="minorEastAsia" w:hAnsiTheme="minorEastAsia" w:eastAsiaTheme="minorEastAsia"/>
          <w:color w:val="auto"/>
          <w:spacing w:val="-2"/>
          <w:highlight w:val="none"/>
        </w:rPr>
        <w:t>商业秘密。</w:t>
      </w:r>
    </w:p>
    <w:p>
      <w:pPr>
        <w:widowControl w:val="0"/>
        <w:numPr>
          <w:ilvl w:val="0"/>
          <w:numId w:val="16"/>
        </w:numPr>
        <w:tabs>
          <w:tab w:val="left" w:pos="945"/>
        </w:tabs>
        <w:autoSpaceDE w:val="0"/>
        <w:autoSpaceDN w:val="0"/>
        <w:spacing w:line="360" w:lineRule="auto"/>
        <w:ind w:left="0" w:firstLine="594" w:firstLineChars="300"/>
        <w:rPr>
          <w:rFonts w:cs="宋体" w:asciiTheme="minorEastAsia" w:hAnsiTheme="minorEastAsia" w:eastAsiaTheme="minorEastAsia"/>
          <w:color w:val="auto"/>
          <w:highlight w:val="none"/>
        </w:rPr>
      </w:pPr>
      <w:r>
        <w:rPr>
          <w:rFonts w:cs="宋体" w:asciiTheme="minorEastAsia" w:hAnsiTheme="minorEastAsia" w:eastAsiaTheme="minorEastAsia"/>
          <w:color w:val="auto"/>
          <w:spacing w:val="-1"/>
          <w:highlight w:val="none"/>
        </w:rPr>
        <w:t>甲方工作人员不得要求或者接受乙方以住房装修、婚丧嫁娶、家属及其他亲属的工作安排、出国出境、旅游等为理由所提供的方</w:t>
      </w:r>
      <w:r>
        <w:rPr>
          <w:rFonts w:cs="宋体" w:asciiTheme="minorEastAsia" w:hAnsiTheme="minorEastAsia" w:eastAsiaTheme="minorEastAsia"/>
          <w:color w:val="auto"/>
          <w:spacing w:val="-5"/>
          <w:highlight w:val="none"/>
        </w:rPr>
        <w:t>便。</w:t>
      </w:r>
    </w:p>
    <w:p>
      <w:pPr>
        <w:widowControl w:val="0"/>
        <w:numPr>
          <w:ilvl w:val="0"/>
          <w:numId w:val="16"/>
        </w:numPr>
        <w:tabs>
          <w:tab w:val="left" w:pos="945"/>
        </w:tabs>
        <w:autoSpaceDE w:val="0"/>
        <w:autoSpaceDN w:val="0"/>
        <w:spacing w:line="360" w:lineRule="auto"/>
        <w:ind w:left="0" w:firstLine="594" w:firstLineChars="300"/>
        <w:rPr>
          <w:rFonts w:cs="宋体" w:asciiTheme="minorEastAsia" w:hAnsiTheme="minorEastAsia" w:eastAsiaTheme="minorEastAsia"/>
          <w:color w:val="auto"/>
          <w:highlight w:val="none"/>
        </w:rPr>
      </w:pPr>
      <w:r>
        <w:rPr>
          <w:rFonts w:cs="宋体" w:asciiTheme="minorEastAsia" w:hAnsiTheme="minorEastAsia" w:eastAsiaTheme="minorEastAsia"/>
          <w:color w:val="auto"/>
          <w:spacing w:val="-1"/>
          <w:highlight w:val="none"/>
        </w:rPr>
        <w:t>甲方工作人员不得以任何理由向乙方推荐物资供应单位、工程承包或劳务分包单位，合同另有约定除外。</w:t>
      </w:r>
    </w:p>
    <w:p>
      <w:pPr>
        <w:widowControl w:val="0"/>
        <w:autoSpaceDE w:val="0"/>
        <w:autoSpaceDN w:val="0"/>
        <w:spacing w:before="197"/>
        <w:ind w:left="690"/>
        <w:rPr>
          <w:rFonts w:cs="宋体" w:asciiTheme="minorEastAsia" w:hAnsiTheme="minorEastAsia" w:eastAsiaTheme="minorEastAsia"/>
          <w:color w:val="auto"/>
          <w:highlight w:val="none"/>
        </w:rPr>
      </w:pPr>
      <w:r>
        <w:rPr>
          <w:rFonts w:cs="宋体" w:asciiTheme="minorEastAsia" w:hAnsiTheme="minorEastAsia" w:eastAsiaTheme="minorEastAsia"/>
          <w:color w:val="auto"/>
          <w:spacing w:val="-2"/>
          <w:highlight w:val="none"/>
        </w:rPr>
        <w:t>第三条</w:t>
      </w:r>
      <w:r>
        <w:rPr>
          <w:rFonts w:cs="宋体" w:asciiTheme="minorEastAsia" w:hAnsiTheme="minorEastAsia" w:eastAsiaTheme="minorEastAsia"/>
          <w:color w:val="auto"/>
          <w:spacing w:val="-4"/>
          <w:highlight w:val="none"/>
        </w:rPr>
        <w:t>乙方的廉洁责任</w:t>
      </w:r>
    </w:p>
    <w:p>
      <w:pPr>
        <w:widowControl w:val="0"/>
        <w:numPr>
          <w:ilvl w:val="0"/>
          <w:numId w:val="17"/>
        </w:numPr>
        <w:tabs>
          <w:tab w:val="left" w:pos="940"/>
        </w:tabs>
        <w:autoSpaceDE w:val="0"/>
        <w:autoSpaceDN w:val="0"/>
        <w:spacing w:line="360" w:lineRule="auto"/>
        <w:ind w:left="0" w:right="200" w:rightChars="100" w:firstLine="588" w:firstLineChars="300"/>
        <w:rPr>
          <w:rFonts w:cs="宋体" w:asciiTheme="minorEastAsia" w:hAnsiTheme="minorEastAsia" w:eastAsiaTheme="minorEastAsia"/>
          <w:color w:val="auto"/>
          <w:highlight w:val="none"/>
        </w:rPr>
      </w:pPr>
      <w:r>
        <w:rPr>
          <w:rFonts w:cs="宋体" w:asciiTheme="minorEastAsia" w:hAnsiTheme="minorEastAsia" w:eastAsiaTheme="minorEastAsia"/>
          <w:color w:val="auto"/>
          <w:spacing w:val="-2"/>
          <w:highlight w:val="none"/>
        </w:rPr>
        <w:t>乙方及其工作人员不得为甲方工作人员提供回扣、礼金、有价证券、贵重物品和报销个人费用。</w:t>
      </w:r>
    </w:p>
    <w:p>
      <w:pPr>
        <w:widowControl w:val="0"/>
        <w:numPr>
          <w:ilvl w:val="0"/>
          <w:numId w:val="17"/>
        </w:numPr>
        <w:tabs>
          <w:tab w:val="left" w:pos="935"/>
        </w:tabs>
        <w:autoSpaceDE w:val="0"/>
        <w:autoSpaceDN w:val="0"/>
        <w:spacing w:line="360" w:lineRule="auto"/>
        <w:ind w:left="0" w:right="200" w:rightChars="100" w:firstLine="594" w:firstLineChars="300"/>
        <w:rPr>
          <w:rFonts w:cs="宋体" w:asciiTheme="minorEastAsia" w:hAnsiTheme="minorEastAsia" w:eastAsiaTheme="minorEastAsia"/>
          <w:color w:val="auto"/>
          <w:highlight w:val="none"/>
        </w:rPr>
      </w:pPr>
      <w:r>
        <w:rPr>
          <w:rFonts w:cs="宋体" w:asciiTheme="minorEastAsia" w:hAnsiTheme="minorEastAsia" w:eastAsiaTheme="minorEastAsia"/>
          <w:color w:val="auto"/>
          <w:spacing w:val="-1"/>
          <w:highlight w:val="none"/>
        </w:rPr>
        <w:t>乙方及其工作人员不得为甲方工作人员安排有可能影响公平、公正交易的宴请、健身、娱乐等活动。</w:t>
      </w:r>
    </w:p>
    <w:p>
      <w:pPr>
        <w:widowControl w:val="0"/>
        <w:numPr>
          <w:ilvl w:val="0"/>
          <w:numId w:val="17"/>
        </w:numPr>
        <w:tabs>
          <w:tab w:val="left" w:pos="940"/>
        </w:tabs>
        <w:autoSpaceDE w:val="0"/>
        <w:autoSpaceDN w:val="0"/>
        <w:spacing w:line="360" w:lineRule="auto"/>
        <w:ind w:left="0" w:right="200" w:rightChars="100" w:firstLine="588" w:firstLineChars="300"/>
        <w:rPr>
          <w:rFonts w:cs="宋体" w:asciiTheme="minorEastAsia" w:hAnsiTheme="minorEastAsia" w:eastAsiaTheme="minorEastAsia"/>
          <w:color w:val="auto"/>
          <w:highlight w:val="none"/>
        </w:rPr>
      </w:pPr>
      <w:r>
        <w:rPr>
          <w:rFonts w:cs="宋体" w:asciiTheme="minorEastAsia" w:hAnsiTheme="minorEastAsia" w:eastAsiaTheme="minorEastAsia"/>
          <w:color w:val="auto"/>
          <w:spacing w:val="-2"/>
          <w:highlight w:val="none"/>
        </w:rPr>
        <w:t>乙方及其工作人员不得为甲方工作人员投资入股、个人借款或买卖股票、债券等提供方便。</w:t>
      </w:r>
    </w:p>
    <w:p>
      <w:pPr>
        <w:widowControl w:val="0"/>
        <w:numPr>
          <w:ilvl w:val="0"/>
          <w:numId w:val="17"/>
        </w:numPr>
        <w:tabs>
          <w:tab w:val="left" w:pos="940"/>
        </w:tabs>
        <w:autoSpaceDE w:val="0"/>
        <w:autoSpaceDN w:val="0"/>
        <w:spacing w:line="360" w:lineRule="auto"/>
        <w:ind w:left="0" w:right="200" w:rightChars="100" w:firstLine="594" w:firstLineChars="300"/>
        <w:rPr>
          <w:rFonts w:cs="宋体" w:asciiTheme="minorEastAsia" w:hAnsiTheme="minorEastAsia" w:eastAsiaTheme="minorEastAsia"/>
          <w:color w:val="auto"/>
          <w:highlight w:val="none"/>
        </w:rPr>
      </w:pPr>
      <w:r>
        <w:rPr>
          <w:rFonts w:cs="宋体" w:asciiTheme="minorEastAsia" w:hAnsiTheme="minorEastAsia" w:eastAsiaTheme="minorEastAsia"/>
          <w:color w:val="auto"/>
          <w:spacing w:val="-1"/>
          <w:highlight w:val="none"/>
        </w:rPr>
        <w:t>乙方及其工作人员不得为甲方工作人员购买或装修住房、婚丧嫁娶、配偶子女上学或工作安排以及出国出境、旅游等提供方便。</w:t>
      </w:r>
    </w:p>
    <w:p>
      <w:pPr>
        <w:widowControl w:val="0"/>
        <w:numPr>
          <w:ilvl w:val="0"/>
          <w:numId w:val="17"/>
        </w:numPr>
        <w:tabs>
          <w:tab w:val="left" w:pos="940"/>
        </w:tabs>
        <w:autoSpaceDE w:val="0"/>
        <w:autoSpaceDN w:val="0"/>
        <w:spacing w:line="360" w:lineRule="auto"/>
        <w:ind w:left="0" w:right="200" w:rightChars="100" w:firstLine="588" w:firstLineChars="300"/>
        <w:rPr>
          <w:rFonts w:cs="宋体" w:asciiTheme="minorEastAsia" w:hAnsiTheme="minorEastAsia" w:eastAsiaTheme="minorEastAsia"/>
          <w:color w:val="auto"/>
          <w:highlight w:val="none"/>
        </w:rPr>
      </w:pPr>
      <w:r>
        <w:rPr>
          <w:rFonts w:cs="宋体" w:asciiTheme="minorEastAsia" w:hAnsiTheme="minorEastAsia" w:eastAsiaTheme="minorEastAsia"/>
          <w:color w:val="auto"/>
          <w:spacing w:val="-2"/>
          <w:highlight w:val="none"/>
        </w:rPr>
        <w:t>乙方及其工作人员不得为甲方工作人员在其相关企业挂名兼职、合伙经营、介绍承揽业务等提供方便。</w:t>
      </w:r>
    </w:p>
    <w:p>
      <w:pPr>
        <w:widowControl w:val="0"/>
        <w:numPr>
          <w:ilvl w:val="0"/>
          <w:numId w:val="17"/>
        </w:numPr>
        <w:tabs>
          <w:tab w:val="left" w:pos="935"/>
        </w:tabs>
        <w:autoSpaceDE w:val="0"/>
        <w:autoSpaceDN w:val="0"/>
        <w:spacing w:line="360" w:lineRule="auto"/>
        <w:ind w:left="0" w:right="200" w:rightChars="100" w:firstLine="594" w:firstLineChars="300"/>
        <w:rPr>
          <w:rFonts w:cs="宋体" w:asciiTheme="minorEastAsia" w:hAnsiTheme="minorEastAsia" w:eastAsiaTheme="minorEastAsia"/>
          <w:color w:val="auto"/>
          <w:highlight w:val="none"/>
        </w:rPr>
      </w:pPr>
      <w:r>
        <w:rPr>
          <w:rFonts w:cs="宋体" w:asciiTheme="minorEastAsia" w:hAnsiTheme="minorEastAsia" w:eastAsiaTheme="minorEastAsia"/>
          <w:color w:val="auto"/>
          <w:spacing w:val="-1"/>
          <w:highlight w:val="none"/>
        </w:rPr>
        <w:t>乙方及其工作人员不得利用非法手段向甲方工作人员打探有关涉及甲方的商业秘密、业务渠道等。</w:t>
      </w:r>
    </w:p>
    <w:p>
      <w:pPr>
        <w:widowControl w:val="0"/>
        <w:numPr>
          <w:ilvl w:val="0"/>
          <w:numId w:val="17"/>
        </w:numPr>
        <w:tabs>
          <w:tab w:val="left" w:pos="935"/>
        </w:tabs>
        <w:autoSpaceDE w:val="0"/>
        <w:autoSpaceDN w:val="0"/>
        <w:spacing w:line="360" w:lineRule="auto"/>
        <w:ind w:left="0" w:right="200" w:rightChars="100" w:firstLine="588" w:firstLineChars="300"/>
        <w:rPr>
          <w:rFonts w:cs="宋体" w:asciiTheme="minorEastAsia" w:hAnsiTheme="minorEastAsia" w:eastAsiaTheme="minorEastAsia"/>
          <w:color w:val="auto"/>
          <w:highlight w:val="none"/>
        </w:rPr>
      </w:pPr>
      <w:r>
        <w:rPr>
          <w:rFonts w:cs="宋体" w:asciiTheme="minorEastAsia" w:hAnsiTheme="minorEastAsia" w:eastAsiaTheme="minorEastAsia"/>
          <w:color w:val="auto"/>
          <w:spacing w:val="-2"/>
          <w:highlight w:val="none"/>
        </w:rPr>
        <w:t>乙方及其工作人员与甲方发生业务往来过程中，不得有弄虚作假、以次充好、虚结虚算等违反诚信原则的行为。</w:t>
      </w:r>
    </w:p>
    <w:p>
      <w:pPr>
        <w:widowControl w:val="0"/>
        <w:numPr>
          <w:ilvl w:val="0"/>
          <w:numId w:val="17"/>
        </w:numPr>
        <w:tabs>
          <w:tab w:val="left" w:pos="905"/>
        </w:tabs>
        <w:autoSpaceDE w:val="0"/>
        <w:autoSpaceDN w:val="0"/>
        <w:spacing w:line="360" w:lineRule="auto"/>
        <w:ind w:left="0" w:firstLine="600" w:firstLineChars="300"/>
        <w:rPr>
          <w:rFonts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其它违反廉洁规定的行为</w:t>
      </w:r>
      <w:r>
        <w:rPr>
          <w:rFonts w:cs="宋体" w:asciiTheme="minorEastAsia" w:hAnsiTheme="minorEastAsia" w:eastAsiaTheme="minorEastAsia"/>
          <w:color w:val="auto"/>
          <w:spacing w:val="-10"/>
          <w:position w:val="-6"/>
          <w:highlight w:val="none"/>
        </w:rPr>
        <w:t>。</w:t>
      </w:r>
    </w:p>
    <w:p>
      <w:pPr>
        <w:widowControl w:val="0"/>
        <w:autoSpaceDE w:val="0"/>
        <w:autoSpaceDN w:val="0"/>
        <w:spacing w:line="360" w:lineRule="auto"/>
        <w:ind w:firstLine="600" w:firstLineChars="300"/>
        <w:rPr>
          <w:rFonts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第四条</w:t>
      </w:r>
      <w:r>
        <w:rPr>
          <w:rFonts w:cs="宋体" w:asciiTheme="minorEastAsia" w:hAnsiTheme="minorEastAsia" w:eastAsiaTheme="minorEastAsia"/>
          <w:color w:val="auto"/>
          <w:spacing w:val="-10"/>
          <w:highlight w:val="none"/>
        </w:rPr>
        <w:t xml:space="preserve"> </w:t>
      </w:r>
      <w:r>
        <w:rPr>
          <w:rFonts w:cs="宋体" w:asciiTheme="minorEastAsia" w:hAnsiTheme="minorEastAsia" w:eastAsiaTheme="minorEastAsia"/>
          <w:color w:val="auto"/>
          <w:spacing w:val="-1"/>
          <w:highlight w:val="none"/>
        </w:rPr>
        <w:t>甲方工作人员有违反本协议行为的，甲方应按照管理</w:t>
      </w:r>
      <w:r>
        <w:rPr>
          <w:rFonts w:cs="宋体" w:asciiTheme="minorEastAsia" w:hAnsiTheme="minorEastAsia" w:eastAsiaTheme="minorEastAsia"/>
          <w:color w:val="auto"/>
          <w:spacing w:val="-2"/>
          <w:highlight w:val="none"/>
        </w:rPr>
        <w:t>权限，依据有关规定给予纪律处分、组织处理或经济处罚；涉嫌犯罪的，移交司法机关追究法律责任。</w:t>
      </w:r>
    </w:p>
    <w:p>
      <w:pPr>
        <w:widowControl w:val="0"/>
        <w:autoSpaceDE w:val="0"/>
        <w:autoSpaceDN w:val="0"/>
        <w:spacing w:line="360" w:lineRule="auto"/>
        <w:ind w:firstLine="600" w:firstLineChars="300"/>
        <w:rPr>
          <w:rFonts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第五条</w:t>
      </w:r>
      <w:r>
        <w:rPr>
          <w:rFonts w:cs="宋体" w:asciiTheme="minorEastAsia" w:hAnsiTheme="minorEastAsia" w:eastAsiaTheme="minorEastAsia"/>
          <w:color w:val="auto"/>
          <w:spacing w:val="-10"/>
          <w:highlight w:val="none"/>
        </w:rPr>
        <w:t xml:space="preserve"> </w:t>
      </w:r>
      <w:r>
        <w:rPr>
          <w:rFonts w:cs="宋体" w:asciiTheme="minorEastAsia" w:hAnsiTheme="minorEastAsia" w:eastAsiaTheme="minorEastAsia"/>
          <w:color w:val="auto"/>
          <w:spacing w:val="-1"/>
          <w:highlight w:val="none"/>
        </w:rPr>
        <w:t>乙方及其工作人员有违反本协议行为的，甲方有权根据情节和所造成的影响采取以下相应措施：</w:t>
      </w:r>
    </w:p>
    <w:p>
      <w:pPr>
        <w:widowControl w:val="0"/>
        <w:numPr>
          <w:ilvl w:val="0"/>
          <w:numId w:val="18"/>
        </w:numPr>
        <w:tabs>
          <w:tab w:val="left" w:pos="910"/>
        </w:tabs>
        <w:autoSpaceDE w:val="0"/>
        <w:autoSpaceDN w:val="0"/>
        <w:spacing w:line="360" w:lineRule="auto"/>
        <w:ind w:left="0" w:firstLine="696" w:firstLineChars="300"/>
        <w:rPr>
          <w:rFonts w:cs="宋体" w:asciiTheme="minorEastAsia" w:hAnsiTheme="minorEastAsia" w:eastAsiaTheme="minorEastAsia"/>
          <w:color w:val="auto"/>
          <w:highlight w:val="none"/>
        </w:rPr>
      </w:pPr>
      <w:r>
        <w:rPr>
          <w:rFonts w:cs="宋体" w:asciiTheme="minorEastAsia" w:hAnsiTheme="minorEastAsia" w:eastAsiaTheme="minorEastAsia"/>
          <w:color w:val="auto"/>
          <w:spacing w:val="16"/>
          <w:highlight w:val="none"/>
        </w:rPr>
        <w:t>情节轻微的，要求乙方对相关工作人员进行处分处理，并限</w:t>
      </w:r>
      <w:r>
        <w:rPr>
          <w:rFonts w:cs="宋体" w:asciiTheme="minorEastAsia" w:hAnsiTheme="minorEastAsia" w:eastAsiaTheme="minorEastAsia"/>
          <w:color w:val="auto"/>
          <w:spacing w:val="-4"/>
          <w:highlight w:val="none"/>
        </w:rPr>
        <w:t>期整改。</w:t>
      </w:r>
    </w:p>
    <w:p>
      <w:pPr>
        <w:widowControl w:val="0"/>
        <w:numPr>
          <w:ilvl w:val="0"/>
          <w:numId w:val="18"/>
        </w:numPr>
        <w:tabs>
          <w:tab w:val="left" w:pos="915"/>
        </w:tabs>
        <w:autoSpaceDE w:val="0"/>
        <w:autoSpaceDN w:val="0"/>
        <w:spacing w:line="360" w:lineRule="auto"/>
        <w:ind w:left="0" w:firstLine="696" w:firstLineChars="300"/>
        <w:rPr>
          <w:rFonts w:cs="宋体" w:asciiTheme="minorEastAsia" w:hAnsiTheme="minorEastAsia" w:eastAsiaTheme="minorEastAsia"/>
          <w:color w:val="auto"/>
          <w:highlight w:val="none"/>
        </w:rPr>
      </w:pPr>
      <w:r>
        <w:rPr>
          <w:rFonts w:cs="宋体" w:asciiTheme="minorEastAsia" w:hAnsiTheme="minorEastAsia" w:eastAsiaTheme="minorEastAsia"/>
          <w:color w:val="auto"/>
          <w:spacing w:val="16"/>
          <w:highlight w:val="none"/>
        </w:rPr>
        <w:t>导致甲方工作人员受到纪律处分、组织处理或构成违法犯罪</w:t>
      </w:r>
    </w:p>
    <w:p>
      <w:pPr>
        <w:widowControl w:val="0"/>
        <w:autoSpaceDE w:val="0"/>
        <w:autoSpaceDN w:val="0"/>
        <w:spacing w:line="360" w:lineRule="auto"/>
        <w:ind w:firstLine="714" w:firstLineChars="300"/>
        <w:rPr>
          <w:rFonts w:cs="宋体" w:asciiTheme="minorEastAsia" w:hAnsiTheme="minorEastAsia" w:eastAsiaTheme="minorEastAsia"/>
          <w:color w:val="auto"/>
          <w:highlight w:val="none"/>
        </w:rPr>
      </w:pPr>
      <w:r>
        <w:rPr>
          <w:rFonts w:cs="宋体" w:asciiTheme="minorEastAsia" w:hAnsiTheme="minorEastAsia" w:eastAsiaTheme="minorEastAsia"/>
          <w:color w:val="auto"/>
          <w:spacing w:val="19"/>
          <w:highlight w:val="none"/>
        </w:rPr>
        <w:t>的，扣罚乙方合同金额50%</w:t>
      </w:r>
      <w:r>
        <w:rPr>
          <w:rFonts w:cs="宋体" w:asciiTheme="minorEastAsia" w:hAnsiTheme="minorEastAsia" w:eastAsiaTheme="minorEastAsia"/>
          <w:color w:val="auto"/>
          <w:spacing w:val="16"/>
          <w:highlight w:val="none"/>
        </w:rPr>
        <w:t>的违约金，列入永久禁入中煤市场黑名</w:t>
      </w:r>
      <w:r>
        <w:rPr>
          <w:rFonts w:cs="宋体" w:asciiTheme="minorEastAsia" w:hAnsiTheme="minorEastAsia" w:eastAsiaTheme="minorEastAsia"/>
          <w:color w:val="auto"/>
          <w:spacing w:val="-5"/>
          <w:highlight w:val="none"/>
        </w:rPr>
        <w:t>单。</w:t>
      </w:r>
    </w:p>
    <w:p>
      <w:pPr>
        <w:widowControl w:val="0"/>
        <w:numPr>
          <w:ilvl w:val="0"/>
          <w:numId w:val="18"/>
        </w:numPr>
        <w:tabs>
          <w:tab w:val="left" w:pos="910"/>
        </w:tabs>
        <w:autoSpaceDE w:val="0"/>
        <w:autoSpaceDN w:val="0"/>
        <w:spacing w:line="360" w:lineRule="auto"/>
        <w:ind w:left="0" w:firstLine="594" w:firstLineChars="300"/>
        <w:rPr>
          <w:rFonts w:cs="宋体" w:asciiTheme="minorEastAsia" w:hAnsiTheme="minorEastAsia" w:eastAsiaTheme="minorEastAsia"/>
          <w:color w:val="auto"/>
          <w:highlight w:val="none"/>
        </w:rPr>
      </w:pPr>
      <w:r>
        <w:rPr>
          <w:rFonts w:cs="宋体" w:asciiTheme="minorEastAsia" w:hAnsiTheme="minorEastAsia" w:eastAsiaTheme="minorEastAsia"/>
          <w:color w:val="auto"/>
          <w:spacing w:val="-1"/>
          <w:highlight w:val="none"/>
        </w:rPr>
        <w:t>给甲方造成重大社会影响或重大经济损失的，甲方有权解除、</w:t>
      </w:r>
      <w:r>
        <w:rPr>
          <w:rFonts w:cs="宋体" w:asciiTheme="minorEastAsia" w:hAnsiTheme="minorEastAsia" w:eastAsiaTheme="minorEastAsia"/>
          <w:color w:val="auto"/>
          <w:spacing w:val="-2"/>
          <w:highlight w:val="none"/>
        </w:rPr>
        <w:t>终止双方尚未履行完毕的业务合同，暂停支付合同未结算款项，甲方遭受的损失由乙方负责赔偿，乙方因甲方解除合同产生的损失由乙方自行承担，列入永久禁入中煤市场黑名单。</w:t>
      </w:r>
    </w:p>
    <w:p>
      <w:pPr>
        <w:widowControl w:val="0"/>
        <w:autoSpaceDE w:val="0"/>
        <w:autoSpaceDN w:val="0"/>
        <w:spacing w:line="360" w:lineRule="auto"/>
        <w:ind w:firstLine="786" w:firstLineChars="300"/>
        <w:jc w:val="both"/>
        <w:rPr>
          <w:rFonts w:cs="宋体" w:asciiTheme="minorEastAsia" w:hAnsiTheme="minorEastAsia" w:eastAsiaTheme="minorEastAsia"/>
          <w:color w:val="auto"/>
          <w:highlight w:val="none"/>
        </w:rPr>
      </w:pPr>
      <w:r>
        <w:rPr>
          <w:rFonts w:cs="宋体" w:asciiTheme="minorEastAsia" w:hAnsiTheme="minorEastAsia" w:eastAsiaTheme="minorEastAsia"/>
          <w:color w:val="auto"/>
          <w:spacing w:val="31"/>
          <w:highlight w:val="none"/>
        </w:rPr>
        <w:t>第六</w:t>
      </w:r>
      <w:r>
        <w:rPr>
          <w:rFonts w:cs="宋体" w:asciiTheme="minorEastAsia" w:hAnsiTheme="minorEastAsia" w:eastAsiaTheme="minorEastAsia"/>
          <w:color w:val="auto"/>
          <w:spacing w:val="-17"/>
          <w:highlight w:val="none"/>
        </w:rPr>
        <w:t xml:space="preserve">条 </w:t>
      </w:r>
      <w:r>
        <w:rPr>
          <w:rFonts w:cs="宋体" w:asciiTheme="minorEastAsia" w:hAnsiTheme="minorEastAsia" w:eastAsiaTheme="minorEastAsia"/>
          <w:color w:val="auto"/>
          <w:spacing w:val="23"/>
          <w:highlight w:val="none"/>
        </w:rPr>
        <w:t>本协议作为双方签订的所有业务合同的组成部分， 与</w:t>
      </w:r>
      <w:r>
        <w:rPr>
          <w:rFonts w:cs="宋体" w:asciiTheme="minorEastAsia" w:hAnsiTheme="minorEastAsia" w:eastAsiaTheme="minorEastAsia"/>
          <w:color w:val="auto"/>
          <w:spacing w:val="-2"/>
          <w:highlight w:val="none"/>
        </w:rPr>
        <w:t>业务合同具有同等法律效力。</w:t>
      </w:r>
    </w:p>
    <w:p>
      <w:pPr>
        <w:widowControl w:val="0"/>
        <w:autoSpaceDE w:val="0"/>
        <w:autoSpaceDN w:val="0"/>
        <w:spacing w:line="360" w:lineRule="auto"/>
        <w:ind w:firstLine="792" w:firstLineChars="300"/>
        <w:jc w:val="both"/>
        <w:rPr>
          <w:rFonts w:cs="宋体" w:asciiTheme="minorEastAsia" w:hAnsiTheme="minorEastAsia" w:eastAsiaTheme="minorEastAsia"/>
          <w:color w:val="auto"/>
          <w:highlight w:val="none"/>
        </w:rPr>
      </w:pPr>
      <w:r>
        <w:rPr>
          <w:rFonts w:cs="宋体" w:asciiTheme="minorEastAsia" w:hAnsiTheme="minorEastAsia" w:eastAsiaTheme="minorEastAsia"/>
          <w:color w:val="auto"/>
          <w:spacing w:val="32"/>
          <w:highlight w:val="none"/>
        </w:rPr>
        <w:t>第七</w:t>
      </w:r>
      <w:r>
        <w:rPr>
          <w:rFonts w:cs="宋体" w:asciiTheme="minorEastAsia" w:hAnsiTheme="minorEastAsia" w:eastAsiaTheme="minorEastAsia"/>
          <w:color w:val="auto"/>
          <w:spacing w:val="-17"/>
          <w:highlight w:val="none"/>
        </w:rPr>
        <w:t xml:space="preserve">条 </w:t>
      </w:r>
      <w:r>
        <w:rPr>
          <w:rFonts w:cs="宋体" w:asciiTheme="minorEastAsia" w:hAnsiTheme="minorEastAsia" w:eastAsiaTheme="minorEastAsia"/>
          <w:color w:val="auto"/>
          <w:spacing w:val="23"/>
          <w:highlight w:val="none"/>
        </w:rPr>
        <w:t>本协议自双方签字盖章之日起生效， 有效期与合同履</w:t>
      </w:r>
      <w:r>
        <w:rPr>
          <w:rFonts w:cs="宋体" w:asciiTheme="minorEastAsia" w:hAnsiTheme="minorEastAsia" w:eastAsiaTheme="minorEastAsia"/>
          <w:color w:val="auto"/>
          <w:spacing w:val="-2"/>
          <w:highlight w:val="none"/>
        </w:rPr>
        <w:t>约期一致。</w:t>
      </w:r>
    </w:p>
    <w:p>
      <w:pPr>
        <w:widowControl w:val="0"/>
        <w:autoSpaceDE w:val="0"/>
        <w:autoSpaceDN w:val="0"/>
        <w:spacing w:before="12"/>
        <w:rPr>
          <w:rFonts w:cs="宋体" w:asciiTheme="minorEastAsia" w:hAnsiTheme="minorEastAsia" w:eastAsiaTheme="minorEastAsia"/>
          <w:color w:val="auto"/>
          <w:highlight w:val="none"/>
        </w:rPr>
      </w:pPr>
    </w:p>
    <w:p>
      <w:pPr>
        <w:widowControl w:val="0"/>
        <w:tabs>
          <w:tab w:val="left" w:pos="4420"/>
        </w:tabs>
        <w:autoSpaceDE w:val="0"/>
        <w:autoSpaceDN w:val="0"/>
        <w:spacing w:line="720" w:lineRule="auto"/>
        <w:ind w:firstLine="400" w:firstLineChars="200"/>
        <w:rPr>
          <w:rFonts w:cs="宋体" w:asciiTheme="minorEastAsia" w:hAnsiTheme="minorEastAsia" w:eastAsiaTheme="minorEastAsia"/>
          <w:color w:val="auto"/>
          <w:highlight w:val="none"/>
        </w:rPr>
      </w:pPr>
      <w:r>
        <w:rPr>
          <w:rFonts w:cs="宋体" w:asciiTheme="minorEastAsia" w:hAnsiTheme="minorEastAsia" w:eastAsiaTheme="minorEastAsia"/>
          <w:color w:val="auto"/>
          <w:highlight w:val="none"/>
        </w:rPr>
        <w:t>甲方：（盖章</w:t>
      </w:r>
      <w:r>
        <w:rPr>
          <w:rFonts w:cs="宋体" w:asciiTheme="minorEastAsia" w:hAnsiTheme="minorEastAsia" w:eastAsiaTheme="minorEastAsia"/>
          <w:color w:val="auto"/>
          <w:spacing w:val="-10"/>
          <w:highlight w:val="none"/>
        </w:rPr>
        <w:t>）</w:t>
      </w:r>
      <w:r>
        <w:rPr>
          <w:rFonts w:cs="宋体" w:asciiTheme="minorEastAsia" w:hAnsiTheme="minorEastAsia" w:eastAsiaTheme="minorEastAsia"/>
          <w:color w:val="auto"/>
          <w:highlight w:val="none"/>
        </w:rPr>
        <w:tab/>
      </w:r>
      <w:r>
        <w:rPr>
          <w:rFonts w:cs="宋体" w:asciiTheme="minorEastAsia" w:hAnsiTheme="minorEastAsia" w:eastAsiaTheme="minorEastAsia"/>
          <w:color w:val="auto"/>
          <w:highlight w:val="none"/>
        </w:rPr>
        <w:t>乙方：（盖章</w:t>
      </w:r>
      <w:r>
        <w:rPr>
          <w:rFonts w:cs="宋体" w:asciiTheme="minorEastAsia" w:hAnsiTheme="minorEastAsia" w:eastAsiaTheme="minorEastAsia"/>
          <w:color w:val="auto"/>
          <w:spacing w:val="-10"/>
          <w:highlight w:val="none"/>
        </w:rPr>
        <w:t>）</w:t>
      </w:r>
    </w:p>
    <w:p>
      <w:pPr>
        <w:spacing w:line="720" w:lineRule="auto"/>
        <w:ind w:firstLine="400" w:firstLineChars="2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法定代表人或授奴代表:</w:t>
      </w:r>
      <w:r>
        <w:rPr>
          <w:rFonts w:hint="eastAsia" w:asciiTheme="minorEastAsia" w:hAnsiTheme="minorEastAsia" w:eastAsiaTheme="minorEastAsia"/>
          <w:color w:val="auto"/>
          <w:highlight w:val="none"/>
        </w:rPr>
        <w:t xml:space="preserve"> </w:t>
      </w:r>
      <w:r>
        <w:rPr>
          <w:rFonts w:asciiTheme="minorEastAsia" w:hAnsiTheme="minorEastAsia" w:eastAsiaTheme="minorEastAsia"/>
          <w:color w:val="auto"/>
          <w:highlight w:val="none"/>
        </w:rPr>
        <w:t xml:space="preserve">                   </w:t>
      </w:r>
      <w:r>
        <w:rPr>
          <w:rFonts w:hint="eastAsia" w:cs="宋体" w:asciiTheme="minorEastAsia" w:hAnsiTheme="minorEastAsia" w:eastAsiaTheme="minorEastAsia"/>
          <w:color w:val="auto"/>
          <w:highlight w:val="none"/>
        </w:rPr>
        <w:t>法定代表人或授奴代表:</w:t>
      </w:r>
    </w:p>
    <w:p>
      <w:pPr>
        <w:widowControl w:val="0"/>
        <w:autoSpaceDE w:val="0"/>
        <w:autoSpaceDN w:val="0"/>
        <w:rPr>
          <w:rFonts w:ascii="宋体" w:hAnsi="宋体" w:cs="宋体"/>
          <w:color w:val="auto"/>
          <w:szCs w:val="26"/>
          <w:highlight w:val="none"/>
        </w:rPr>
      </w:pPr>
      <w:r>
        <w:rPr>
          <w:rFonts w:ascii="宋体" w:hAnsi="宋体" w:cs="宋体"/>
          <w:color w:val="auto"/>
          <w:szCs w:val="26"/>
          <w:highlight w:val="none"/>
        </w:rPr>
        <w:t>签字盖章页，本页无正文。</w:t>
      </w:r>
    </w:p>
    <w:p>
      <w:pPr>
        <w:widowControl w:val="0"/>
        <w:autoSpaceDE w:val="0"/>
        <w:autoSpaceDN w:val="0"/>
        <w:rPr>
          <w:rFonts w:ascii="宋体" w:hAnsi="宋体" w:cs="宋体"/>
          <w:color w:val="auto"/>
          <w:szCs w:val="26"/>
          <w:highlight w:val="none"/>
        </w:rPr>
      </w:pPr>
    </w:p>
    <w:p>
      <w:pPr>
        <w:widowControl w:val="0"/>
        <w:autoSpaceDE w:val="0"/>
        <w:autoSpaceDN w:val="0"/>
        <w:rPr>
          <w:rFonts w:ascii="宋体" w:hAnsi="宋体" w:cs="宋体"/>
          <w:color w:val="auto"/>
          <w:szCs w:val="26"/>
          <w:highlight w:val="none"/>
        </w:rPr>
      </w:pPr>
    </w:p>
    <w:p>
      <w:pPr>
        <w:widowControl w:val="0"/>
        <w:tabs>
          <w:tab w:val="left" w:pos="1980"/>
        </w:tabs>
        <w:autoSpaceDE w:val="0"/>
        <w:autoSpaceDN w:val="0"/>
        <w:adjustRightInd w:val="0"/>
        <w:spacing w:line="400" w:lineRule="exact"/>
        <w:rPr>
          <w:rFonts w:ascii="宋体" w:hAnsi="宋体" w:cs="宋体"/>
          <w:color w:val="auto"/>
          <w:sz w:val="24"/>
          <w:szCs w:val="22"/>
          <w:highlight w:val="none"/>
        </w:rPr>
        <w:sectPr>
          <w:footerReference r:id="rId5" w:type="default"/>
          <w:pgSz w:w="11906" w:h="16838"/>
          <w:pgMar w:top="1440" w:right="1800" w:bottom="1440" w:left="1800" w:header="851" w:footer="992" w:gutter="0"/>
          <w:cols w:space="425" w:num="1"/>
          <w:docGrid w:type="lines" w:linePitch="312" w:charSpace="0"/>
        </w:sectPr>
      </w:pPr>
    </w:p>
    <w:p>
      <w:pPr>
        <w:pStyle w:val="9"/>
        <w:bidi w:val="0"/>
      </w:pPr>
      <w:r>
        <w:t>附件</w:t>
      </w:r>
      <w:r>
        <w:rPr>
          <w:rFonts w:hint="eastAsia"/>
        </w:rPr>
        <w:t>3</w:t>
      </w:r>
    </w:p>
    <w:p>
      <w:pPr>
        <w:widowControl w:val="0"/>
        <w:tabs>
          <w:tab w:val="left" w:pos="1980"/>
        </w:tabs>
        <w:autoSpaceDE w:val="0"/>
        <w:autoSpaceDN w:val="0"/>
        <w:adjustRightInd w:val="0"/>
        <w:spacing w:line="400" w:lineRule="exact"/>
        <w:ind w:firstLine="560" w:firstLineChars="200"/>
        <w:jc w:val="center"/>
        <w:rPr>
          <w:rFonts w:ascii="宋体" w:hAnsi="宋体" w:cs="宋体"/>
          <w:color w:val="auto"/>
          <w:sz w:val="28"/>
          <w:szCs w:val="22"/>
          <w:highlight w:val="none"/>
        </w:rPr>
      </w:pPr>
      <w:r>
        <w:rPr>
          <w:rFonts w:hint="eastAsia" w:ascii="宋体" w:hAnsi="宋体" w:cs="宋体"/>
          <w:color w:val="auto"/>
          <w:sz w:val="28"/>
          <w:szCs w:val="22"/>
          <w:highlight w:val="none"/>
        </w:rPr>
        <w:t>安全管理协议</w:t>
      </w:r>
    </w:p>
    <w:p>
      <w:pPr>
        <w:pStyle w:val="2"/>
        <w:kinsoku w:val="0"/>
        <w:overflowPunct w:val="0"/>
        <w:spacing w:line="360" w:lineRule="auto"/>
        <w:rPr>
          <w:rFonts w:asciiTheme="minorEastAsia" w:hAnsiTheme="minorEastAsia" w:eastAsiaTheme="minorEastAsia"/>
          <w:b w:val="0"/>
          <w:color w:val="auto"/>
          <w:sz w:val="22"/>
          <w:szCs w:val="22"/>
          <w:highlight w:val="none"/>
        </w:rPr>
      </w:pPr>
      <w:r>
        <w:rPr>
          <w:rFonts w:hint="eastAsia" w:asciiTheme="minorEastAsia" w:hAnsiTheme="minorEastAsia" w:eastAsiaTheme="minorEastAsia"/>
          <w:b w:val="0"/>
          <w:color w:val="auto"/>
          <w:position w:val="4"/>
          <w:sz w:val="22"/>
          <w:szCs w:val="22"/>
          <w:highlight w:val="none"/>
        </w:rPr>
        <w:t>甲方（承包人</w:t>
      </w:r>
      <w:r>
        <w:rPr>
          <w:rFonts w:hint="eastAsia" w:asciiTheme="minorEastAsia" w:hAnsiTheme="minorEastAsia" w:eastAsiaTheme="minorEastAsia"/>
          <w:b w:val="0"/>
          <w:color w:val="auto"/>
          <w:position w:val="3"/>
          <w:sz w:val="22"/>
          <w:szCs w:val="22"/>
          <w:highlight w:val="none"/>
        </w:rPr>
        <w:t>）：</w:t>
      </w:r>
      <w:r>
        <w:rPr>
          <w:rFonts w:asciiTheme="minorEastAsia" w:hAnsiTheme="minorEastAsia" w:eastAsiaTheme="minorEastAsia"/>
          <w:b w:val="0"/>
          <w:color w:val="auto"/>
          <w:sz w:val="22"/>
          <w:szCs w:val="22"/>
          <w:highlight w:val="none"/>
        </w:rPr>
        <w:t xml:space="preserve"> </w:t>
      </w:r>
    </w:p>
    <w:p>
      <w:pPr>
        <w:pStyle w:val="2"/>
        <w:kinsoku w:val="0"/>
        <w:overflowPunct w:val="0"/>
        <w:spacing w:line="360" w:lineRule="auto"/>
        <w:rPr>
          <w:rFonts w:asciiTheme="minorEastAsia" w:hAnsiTheme="minorEastAsia" w:eastAsiaTheme="minorEastAsia"/>
          <w:b w:val="0"/>
          <w:color w:val="auto"/>
          <w:sz w:val="22"/>
          <w:szCs w:val="22"/>
          <w:highlight w:val="none"/>
        </w:rPr>
      </w:pPr>
      <w:r>
        <w:rPr>
          <w:rFonts w:hint="eastAsia" w:asciiTheme="minorEastAsia" w:hAnsiTheme="minorEastAsia" w:eastAsiaTheme="minorEastAsia"/>
          <w:b w:val="0"/>
          <w:color w:val="auto"/>
          <w:position w:val="4"/>
          <w:sz w:val="22"/>
          <w:szCs w:val="22"/>
          <w:highlight w:val="none"/>
        </w:rPr>
        <w:t>地点：</w:t>
      </w:r>
    </w:p>
    <w:p>
      <w:pPr>
        <w:pStyle w:val="2"/>
        <w:kinsoku w:val="0"/>
        <w:overflowPunct w:val="0"/>
        <w:spacing w:line="360" w:lineRule="auto"/>
        <w:rPr>
          <w:rFonts w:asciiTheme="minorEastAsia" w:hAnsiTheme="minorEastAsia" w:eastAsiaTheme="minorEastAsia"/>
          <w:b w:val="0"/>
          <w:color w:val="auto"/>
          <w:spacing w:val="-2"/>
          <w:sz w:val="22"/>
          <w:szCs w:val="22"/>
          <w:highlight w:val="none"/>
        </w:rPr>
      </w:pPr>
      <w:r>
        <w:rPr>
          <w:rFonts w:hint="eastAsia" w:asciiTheme="minorEastAsia" w:hAnsiTheme="minorEastAsia" w:eastAsiaTheme="minorEastAsia"/>
          <w:b w:val="0"/>
          <w:color w:val="auto"/>
          <w:spacing w:val="-2"/>
          <w:position w:val="1"/>
          <w:sz w:val="22"/>
          <w:szCs w:val="22"/>
          <w:highlight w:val="none"/>
        </w:rPr>
        <w:t>法定代表人：</w:t>
      </w:r>
    </w:p>
    <w:p>
      <w:pPr>
        <w:pStyle w:val="2"/>
        <w:kinsoku w:val="0"/>
        <w:overflowPunct w:val="0"/>
        <w:spacing w:line="360" w:lineRule="auto"/>
        <w:rPr>
          <w:rFonts w:asciiTheme="minorEastAsia" w:hAnsiTheme="minorEastAsia" w:eastAsiaTheme="minorEastAsia"/>
          <w:b w:val="0"/>
          <w:color w:val="auto"/>
          <w:position w:val="4"/>
          <w:sz w:val="22"/>
          <w:szCs w:val="22"/>
          <w:highlight w:val="none"/>
        </w:rPr>
      </w:pPr>
    </w:p>
    <w:p>
      <w:pPr>
        <w:pStyle w:val="2"/>
        <w:kinsoku w:val="0"/>
        <w:overflowPunct w:val="0"/>
        <w:spacing w:line="360" w:lineRule="auto"/>
        <w:rPr>
          <w:rFonts w:hint="eastAsia" w:asciiTheme="minorEastAsia" w:hAnsiTheme="minorEastAsia" w:eastAsiaTheme="minorEastAsia"/>
          <w:b w:val="0"/>
          <w:color w:val="auto"/>
          <w:position w:val="4"/>
          <w:sz w:val="22"/>
          <w:szCs w:val="22"/>
          <w:highlight w:val="none"/>
        </w:rPr>
      </w:pPr>
      <w:r>
        <w:rPr>
          <w:rFonts w:hint="eastAsia" w:asciiTheme="minorEastAsia" w:hAnsiTheme="minorEastAsia" w:eastAsiaTheme="minorEastAsia"/>
          <w:b w:val="0"/>
          <w:color w:val="auto"/>
          <w:position w:val="4"/>
          <w:sz w:val="22"/>
          <w:szCs w:val="22"/>
          <w:highlight w:val="none"/>
        </w:rPr>
        <w:t>乙方（分包人）：</w:t>
      </w:r>
    </w:p>
    <w:p>
      <w:pPr>
        <w:pStyle w:val="2"/>
        <w:kinsoku w:val="0"/>
        <w:overflowPunct w:val="0"/>
        <w:spacing w:line="360" w:lineRule="auto"/>
        <w:rPr>
          <w:rFonts w:hint="eastAsia" w:asciiTheme="minorEastAsia" w:hAnsiTheme="minorEastAsia" w:eastAsiaTheme="minorEastAsia"/>
          <w:b w:val="0"/>
          <w:color w:val="auto"/>
          <w:position w:val="4"/>
          <w:sz w:val="22"/>
          <w:szCs w:val="22"/>
          <w:highlight w:val="none"/>
        </w:rPr>
      </w:pPr>
      <w:r>
        <w:rPr>
          <w:rFonts w:hint="eastAsia" w:asciiTheme="minorEastAsia" w:hAnsiTheme="minorEastAsia" w:eastAsiaTheme="minorEastAsia"/>
          <w:b w:val="0"/>
          <w:color w:val="auto"/>
          <w:position w:val="4"/>
          <w:sz w:val="22"/>
          <w:szCs w:val="22"/>
          <w:highlight w:val="none"/>
        </w:rPr>
        <w:t xml:space="preserve">地址： </w:t>
      </w:r>
    </w:p>
    <w:p>
      <w:pPr>
        <w:pStyle w:val="2"/>
        <w:kinsoku w:val="0"/>
        <w:overflowPunct w:val="0"/>
        <w:spacing w:line="360" w:lineRule="auto"/>
        <w:rPr>
          <w:rFonts w:hint="eastAsia" w:asciiTheme="minorEastAsia" w:hAnsiTheme="minorEastAsia" w:eastAsiaTheme="minorEastAsia"/>
          <w:b w:val="0"/>
          <w:color w:val="auto"/>
          <w:position w:val="4"/>
          <w:sz w:val="22"/>
          <w:szCs w:val="22"/>
          <w:highlight w:val="none"/>
        </w:rPr>
      </w:pPr>
      <w:r>
        <w:rPr>
          <w:rFonts w:hint="eastAsia" w:asciiTheme="minorEastAsia" w:hAnsiTheme="minorEastAsia" w:eastAsiaTheme="minorEastAsia"/>
          <w:b w:val="0"/>
          <w:color w:val="auto"/>
          <w:position w:val="4"/>
          <w:sz w:val="22"/>
          <w:szCs w:val="22"/>
          <w:highlight w:val="none"/>
        </w:rPr>
        <w:t>法定代表人：</w:t>
      </w:r>
    </w:p>
    <w:p>
      <w:pPr>
        <w:pStyle w:val="2"/>
        <w:kinsoku w:val="0"/>
        <w:overflowPunct w:val="0"/>
        <w:spacing w:line="360" w:lineRule="auto"/>
        <w:rPr>
          <w:rFonts w:hint="eastAsia" w:asciiTheme="minorEastAsia" w:hAnsiTheme="minorEastAsia" w:eastAsiaTheme="minorEastAsia"/>
          <w:b w:val="0"/>
          <w:color w:val="auto"/>
          <w:position w:val="4"/>
          <w:sz w:val="22"/>
          <w:szCs w:val="22"/>
          <w:highlight w:val="none"/>
        </w:rPr>
      </w:pPr>
      <w:r>
        <w:rPr>
          <w:rFonts w:hint="eastAsia" w:asciiTheme="minorEastAsia" w:hAnsiTheme="minorEastAsia" w:eastAsiaTheme="minorEastAsia"/>
          <w:b w:val="0"/>
          <w:color w:val="auto"/>
          <w:position w:val="4"/>
          <w:sz w:val="22"/>
          <w:szCs w:val="22"/>
          <w:highlight w:val="none"/>
        </w:rPr>
        <w:t>电话：</w:t>
      </w:r>
    </w:p>
    <w:p>
      <w:pPr>
        <w:pStyle w:val="2"/>
        <w:kinsoku w:val="0"/>
        <w:overflowPunct w:val="0"/>
        <w:spacing w:line="360" w:lineRule="auto"/>
        <w:rPr>
          <w:rFonts w:hint="eastAsia" w:asciiTheme="minorEastAsia" w:hAnsiTheme="minorEastAsia" w:eastAsiaTheme="minorEastAsia"/>
          <w:b w:val="0"/>
          <w:color w:val="auto"/>
          <w:position w:val="4"/>
          <w:sz w:val="22"/>
          <w:szCs w:val="22"/>
          <w:highlight w:val="none"/>
        </w:rPr>
      </w:pPr>
      <w:r>
        <w:rPr>
          <w:rFonts w:hint="eastAsia" w:asciiTheme="minorEastAsia" w:hAnsiTheme="minorEastAsia" w:eastAsiaTheme="minorEastAsia"/>
          <w:b w:val="0"/>
          <w:color w:val="auto"/>
          <w:position w:val="4"/>
          <w:sz w:val="22"/>
          <w:szCs w:val="22"/>
          <w:highlight w:val="none"/>
        </w:rPr>
        <w:t>营业执照：</w:t>
      </w:r>
    </w:p>
    <w:p>
      <w:pPr>
        <w:pStyle w:val="2"/>
        <w:kinsoku w:val="0"/>
        <w:overflowPunct w:val="0"/>
        <w:spacing w:line="360" w:lineRule="auto"/>
        <w:rPr>
          <w:rFonts w:hint="eastAsia" w:asciiTheme="minorEastAsia" w:hAnsiTheme="minorEastAsia" w:eastAsiaTheme="minorEastAsia"/>
          <w:b w:val="0"/>
          <w:color w:val="auto"/>
          <w:position w:val="4"/>
          <w:sz w:val="22"/>
          <w:szCs w:val="22"/>
          <w:highlight w:val="none"/>
        </w:rPr>
      </w:pPr>
      <w:r>
        <w:rPr>
          <w:rFonts w:hint="eastAsia" w:asciiTheme="minorEastAsia" w:hAnsiTheme="minorEastAsia" w:eastAsiaTheme="minorEastAsia"/>
          <w:b w:val="0"/>
          <w:color w:val="auto"/>
          <w:position w:val="4"/>
          <w:sz w:val="22"/>
          <w:szCs w:val="22"/>
          <w:highlight w:val="none"/>
        </w:rPr>
        <w:t>企业等级：</w:t>
      </w:r>
    </w:p>
    <w:p>
      <w:pPr>
        <w:pStyle w:val="2"/>
        <w:kinsoku w:val="0"/>
        <w:overflowPunct w:val="0"/>
        <w:spacing w:line="360" w:lineRule="auto"/>
        <w:rPr>
          <w:rFonts w:hint="eastAsia" w:asciiTheme="minorEastAsia" w:hAnsiTheme="minorEastAsia" w:eastAsiaTheme="minorEastAsia"/>
          <w:b w:val="0"/>
          <w:color w:val="auto"/>
          <w:position w:val="4"/>
          <w:sz w:val="22"/>
          <w:szCs w:val="22"/>
          <w:highlight w:val="none"/>
        </w:rPr>
      </w:pPr>
      <w:r>
        <w:rPr>
          <w:rFonts w:hint="eastAsia" w:asciiTheme="minorEastAsia" w:hAnsiTheme="minorEastAsia" w:eastAsiaTheme="minorEastAsia"/>
          <w:b w:val="0"/>
          <w:color w:val="auto"/>
          <w:position w:val="4"/>
          <w:sz w:val="22"/>
          <w:szCs w:val="22"/>
          <w:highlight w:val="none"/>
        </w:rPr>
        <w:t>安全许可证号：</w:t>
      </w:r>
    </w:p>
    <w:p>
      <w:pPr>
        <w:pStyle w:val="2"/>
        <w:kinsoku w:val="0"/>
        <w:overflowPunct w:val="0"/>
        <w:spacing w:line="360" w:lineRule="auto"/>
        <w:rPr>
          <w:rFonts w:hint="eastAsia" w:asciiTheme="minorEastAsia" w:hAnsiTheme="minorEastAsia" w:eastAsiaTheme="minorEastAsia"/>
          <w:b w:val="0"/>
          <w:color w:val="auto"/>
          <w:position w:val="4"/>
          <w:sz w:val="22"/>
          <w:szCs w:val="22"/>
          <w:highlight w:val="none"/>
        </w:rPr>
      </w:pPr>
      <w:r>
        <w:rPr>
          <w:rFonts w:hint="eastAsia" w:asciiTheme="minorEastAsia" w:hAnsiTheme="minorEastAsia" w:eastAsiaTheme="minorEastAsia"/>
          <w:b w:val="0"/>
          <w:color w:val="auto"/>
          <w:position w:val="4"/>
          <w:sz w:val="22"/>
          <w:szCs w:val="22"/>
          <w:highlight w:val="none"/>
        </w:rPr>
        <w:t>安全管理机构名称：</w:t>
      </w:r>
    </w:p>
    <w:p>
      <w:pPr>
        <w:pStyle w:val="2"/>
        <w:kinsoku w:val="0"/>
        <w:overflowPunct w:val="0"/>
        <w:spacing w:line="360" w:lineRule="auto"/>
        <w:rPr>
          <w:rFonts w:hint="eastAsia" w:asciiTheme="minorEastAsia" w:hAnsiTheme="minorEastAsia" w:eastAsiaTheme="minorEastAsia"/>
          <w:b w:val="0"/>
          <w:color w:val="auto"/>
          <w:position w:val="4"/>
          <w:sz w:val="22"/>
          <w:szCs w:val="22"/>
          <w:highlight w:val="none"/>
        </w:rPr>
      </w:pPr>
      <w:r>
        <w:rPr>
          <w:rFonts w:hint="eastAsia" w:asciiTheme="minorEastAsia" w:hAnsiTheme="minorEastAsia" w:eastAsiaTheme="minorEastAsia"/>
          <w:b w:val="0"/>
          <w:color w:val="auto"/>
          <w:position w:val="4"/>
          <w:sz w:val="22"/>
          <w:szCs w:val="22"/>
          <w:highlight w:val="none"/>
        </w:rPr>
        <w:t>安全责任人：</w:t>
      </w:r>
    </w:p>
    <w:p>
      <w:pPr>
        <w:pStyle w:val="2"/>
        <w:kinsoku w:val="0"/>
        <w:overflowPunct w:val="0"/>
        <w:spacing w:line="360" w:lineRule="auto"/>
        <w:rPr>
          <w:rFonts w:hint="eastAsia" w:asciiTheme="minorEastAsia" w:hAnsiTheme="minorEastAsia" w:eastAsiaTheme="minorEastAsia"/>
          <w:b w:val="0"/>
          <w:color w:val="auto"/>
          <w:position w:val="4"/>
          <w:sz w:val="22"/>
          <w:szCs w:val="22"/>
          <w:highlight w:val="none"/>
        </w:rPr>
      </w:pPr>
      <w:r>
        <w:rPr>
          <w:rFonts w:hint="eastAsia" w:asciiTheme="minorEastAsia" w:hAnsiTheme="minorEastAsia" w:eastAsiaTheme="minorEastAsia"/>
          <w:b w:val="0"/>
          <w:color w:val="auto"/>
          <w:position w:val="4"/>
          <w:sz w:val="22"/>
          <w:szCs w:val="22"/>
          <w:highlight w:val="none"/>
        </w:rPr>
        <w:t>电话：</w:t>
      </w:r>
    </w:p>
    <w:p>
      <w:pPr>
        <w:bidi w:val="0"/>
      </w:pPr>
      <w:r>
        <w:rPr>
          <w:rFonts w:hint="eastAsia"/>
        </w:rPr>
        <w:t>工程项目名称：中煤华晋集团韩咀煤业有限公司瓦斯抽采工程项目</w:t>
      </w:r>
    </w:p>
    <w:p>
      <w:pPr>
        <w:pStyle w:val="2"/>
        <w:kinsoku w:val="0"/>
        <w:overflowPunct w:val="0"/>
        <w:spacing w:line="360" w:lineRule="auto"/>
        <w:rPr>
          <w:rFonts w:asciiTheme="minorEastAsia" w:hAnsiTheme="minorEastAsia" w:eastAsiaTheme="minorEastAsia"/>
          <w:b w:val="0"/>
          <w:color w:val="auto"/>
          <w:sz w:val="22"/>
          <w:szCs w:val="22"/>
          <w:highlight w:val="none"/>
        </w:rPr>
      </w:pPr>
    </w:p>
    <w:p>
      <w:pPr>
        <w:bidi w:val="0"/>
      </w:pPr>
      <w:r>
        <w:rPr>
          <w:rFonts w:hint="eastAsia"/>
        </w:rPr>
        <w:t>工程项目期限：施工合同期</w:t>
      </w:r>
    </w:p>
    <w:p>
      <w:pPr>
        <w:pStyle w:val="2"/>
        <w:kinsoku w:val="0"/>
        <w:overflowPunct w:val="0"/>
        <w:spacing w:line="360" w:lineRule="auto"/>
        <w:ind w:firstLine="559"/>
        <w:rPr>
          <w:rFonts w:asciiTheme="minorEastAsia" w:hAnsiTheme="minorEastAsia" w:eastAsiaTheme="minorEastAsia"/>
          <w:b w:val="0"/>
          <w:color w:val="auto"/>
          <w:sz w:val="22"/>
          <w:szCs w:val="22"/>
          <w:highlight w:val="none"/>
        </w:rPr>
      </w:pPr>
      <w:r>
        <w:rPr>
          <w:rFonts w:hint="eastAsia" w:asciiTheme="minorEastAsia" w:hAnsiTheme="minorEastAsia" w:eastAsiaTheme="minorEastAsia"/>
          <w:b w:val="0"/>
          <w:color w:val="auto"/>
          <w:sz w:val="22"/>
          <w:szCs w:val="22"/>
          <w:highlight w:val="none"/>
        </w:rPr>
        <w:t>鉴于：</w:t>
      </w:r>
      <w:r>
        <w:rPr>
          <w:rFonts w:asciiTheme="minorEastAsia" w:hAnsiTheme="minorEastAsia" w:eastAsiaTheme="minorEastAsia"/>
          <w:b w:val="0"/>
          <w:color w:val="auto"/>
          <w:sz w:val="22"/>
          <w:szCs w:val="22"/>
          <w:highlight w:val="none"/>
        </w:rPr>
        <w:t>1</w:t>
      </w:r>
      <w:r>
        <w:rPr>
          <w:rFonts w:hint="eastAsia" w:asciiTheme="minorEastAsia" w:hAnsiTheme="minorEastAsia" w:eastAsiaTheme="minorEastAsia"/>
          <w:b w:val="0"/>
          <w:color w:val="auto"/>
          <w:sz w:val="22"/>
          <w:szCs w:val="22"/>
          <w:highlight w:val="none"/>
        </w:rPr>
        <w:t>、甲乙双方己经就甲方瓦斯抽采工程签订承包施工合同</w:t>
      </w:r>
      <w:r>
        <w:rPr>
          <w:rFonts w:asciiTheme="minorEastAsia" w:hAnsiTheme="minorEastAsia" w:eastAsiaTheme="minorEastAsia"/>
          <w:b w:val="0"/>
          <w:color w:val="auto"/>
          <w:sz w:val="22"/>
          <w:szCs w:val="22"/>
          <w:highlight w:val="none"/>
        </w:rPr>
        <w:t>,</w:t>
      </w:r>
      <w:r>
        <w:rPr>
          <w:rFonts w:hint="eastAsia" w:asciiTheme="minorEastAsia" w:hAnsiTheme="minorEastAsia" w:eastAsiaTheme="minorEastAsia"/>
          <w:b w:val="0"/>
          <w:color w:val="auto"/>
          <w:sz w:val="22"/>
          <w:szCs w:val="22"/>
          <w:highlight w:val="none"/>
        </w:rPr>
        <w:t>甲方总承包项目建设相关手续齐全完备，且乙方具有承建该项地面工程施工的企业资质等级，</w:t>
      </w:r>
      <w:r>
        <w:rPr>
          <w:rFonts w:asciiTheme="minorEastAsia" w:hAnsiTheme="minorEastAsia" w:eastAsiaTheme="minorEastAsia"/>
          <w:b w:val="0"/>
          <w:color w:val="auto"/>
          <w:sz w:val="22"/>
          <w:szCs w:val="22"/>
          <w:highlight w:val="none"/>
        </w:rPr>
        <w:t xml:space="preserve"> </w:t>
      </w:r>
      <w:r>
        <w:rPr>
          <w:rFonts w:hint="eastAsia" w:asciiTheme="minorEastAsia" w:hAnsiTheme="minorEastAsia" w:eastAsiaTheme="minorEastAsia"/>
          <w:b w:val="0"/>
          <w:color w:val="auto"/>
          <w:sz w:val="22"/>
          <w:szCs w:val="22"/>
          <w:highlight w:val="none"/>
        </w:rPr>
        <w:t>持有建设厅颁发的《企业法人营业执照》、安全生产监督管理局颁发的《安全生产许可证》以及税务机关颁发的《税务登记证》等相关证件。</w:t>
      </w:r>
    </w:p>
    <w:p>
      <w:pPr>
        <w:pStyle w:val="2"/>
        <w:kinsoku w:val="0"/>
        <w:overflowPunct w:val="0"/>
        <w:spacing w:line="360" w:lineRule="auto"/>
        <w:ind w:firstLine="550" w:firstLineChars="250"/>
        <w:rPr>
          <w:rFonts w:asciiTheme="minorEastAsia" w:hAnsiTheme="minorEastAsia" w:eastAsiaTheme="minorEastAsia"/>
          <w:b w:val="0"/>
          <w:color w:val="auto"/>
          <w:sz w:val="22"/>
          <w:szCs w:val="22"/>
          <w:highlight w:val="none"/>
        </w:rPr>
      </w:pPr>
      <w:r>
        <w:rPr>
          <w:rFonts w:asciiTheme="minorEastAsia" w:hAnsiTheme="minorEastAsia" w:eastAsiaTheme="minorEastAsia"/>
          <w:b w:val="0"/>
          <w:color w:val="auto"/>
          <w:sz w:val="22"/>
          <w:szCs w:val="22"/>
          <w:highlight w:val="none"/>
        </w:rPr>
        <mc:AlternateContent>
          <mc:Choice Requires="wps">
            <w:drawing>
              <wp:anchor distT="0" distB="0" distL="114300" distR="114300" simplePos="0" relativeHeight="251659264" behindDoc="1" locked="0" layoutInCell="0" allowOverlap="1">
                <wp:simplePos x="0" y="0"/>
                <wp:positionH relativeFrom="page">
                  <wp:posOffset>120650</wp:posOffset>
                </wp:positionH>
                <wp:positionV relativeFrom="page">
                  <wp:posOffset>937260</wp:posOffset>
                </wp:positionV>
                <wp:extent cx="7353300" cy="9550400"/>
                <wp:effectExtent l="0" t="0" r="0" b="0"/>
                <wp:wrapNone/>
                <wp:docPr id="35" name="矩形 35"/>
                <wp:cNvGraphicFramePr/>
                <a:graphic xmlns:a="http://schemas.openxmlformats.org/drawingml/2006/main">
                  <a:graphicData uri="http://schemas.microsoft.com/office/word/2010/wordprocessingShape">
                    <wps:wsp>
                      <wps:cNvSpPr>
                        <a:spLocks noChangeArrowheads="1"/>
                      </wps:cNvSpPr>
                      <wps:spPr bwMode="auto">
                        <a:xfrm>
                          <a:off x="0" y="0"/>
                          <a:ext cx="7353300" cy="9550400"/>
                        </a:xfrm>
                        <a:prstGeom prst="rect">
                          <a:avLst/>
                        </a:prstGeom>
                        <a:noFill/>
                        <a:ln>
                          <a:noFill/>
                        </a:ln>
                      </wps:spPr>
                      <wps:txbx>
                        <w:txbxContent>
                          <w:p>
                            <w:pPr>
                              <w:pStyle w:val="2"/>
                              <w:kinsoku w:val="0"/>
                              <w:overflowPunct w:val="0"/>
                              <w:spacing w:line="360" w:lineRule="auto"/>
                              <w:rPr>
                                <w:sz w:val="24"/>
                                <w:szCs w:val="24"/>
                              </w:rPr>
                            </w:pPr>
                          </w:p>
                          <w:p>
                            <w:pPr>
                              <w:pStyle w:val="2"/>
                              <w:kinsoku w:val="0"/>
                              <w:overflowPunct w:val="0"/>
                              <w:spacing w:line="360" w:lineRule="auto"/>
                              <w:rPr>
                                <w:sz w:val="24"/>
                                <w:szCs w:val="24"/>
                              </w:rPr>
                            </w:pPr>
                          </w:p>
                        </w:txbxContent>
                      </wps:txbx>
                      <wps:bodyPr rot="0" vert="horz" wrap="square" lIns="0" tIns="0" rIns="0" bIns="0" anchor="t" anchorCtr="0" upright="1">
                        <a:noAutofit/>
                      </wps:bodyPr>
                    </wps:wsp>
                  </a:graphicData>
                </a:graphic>
              </wp:anchor>
            </w:drawing>
          </mc:Choice>
          <mc:Fallback>
            <w:pict>
              <v:rect id="_x0000_s1026" o:spid="_x0000_s1026" o:spt="1" style="position:absolute;left:0pt;margin-left:9.5pt;margin-top:73.8pt;height:752pt;width:579pt;mso-position-horizontal-relative:page;mso-position-vertical-relative:page;z-index:-251657216;mso-width-relative:page;mso-height-relative:page;" filled="f" stroked="f" coordsize="21600,21600" o:allowincell="f" o:gfxdata="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10;4S3G2QAAAAwBAAAPAAAAAAAAAAEAIAAAACIAAABkcnMvZG93bnJldi54bWxQSwECFAAUAAAACACH&#10;TuJAzi7LjuoBAACtAwAADgAAAAAAAAABACAAAAAoAQAAZHJzL2Uyb0RvYy54bWxQSwUGAAAAAAYA&#10;BgBZAQAAhAUAAAAA&#10;">
                <v:fill on="f" focussize="0,0"/>
                <v:stroke on="f"/>
                <v:imagedata o:title=""/>
                <o:lock v:ext="edit" aspectratio="f"/>
                <v:textbox inset="0mm,0mm,0mm,0mm">
                  <w:txbxContent>
                    <w:p>
                      <w:pPr>
                        <w:pStyle w:val="2"/>
                        <w:kinsoku w:val="0"/>
                        <w:overflowPunct w:val="0"/>
                        <w:spacing w:line="360" w:lineRule="auto"/>
                        <w:rPr>
                          <w:sz w:val="24"/>
                          <w:szCs w:val="24"/>
                        </w:rPr>
                      </w:pPr>
                    </w:p>
                    <w:p>
                      <w:pPr>
                        <w:pStyle w:val="2"/>
                        <w:kinsoku w:val="0"/>
                        <w:overflowPunct w:val="0"/>
                        <w:spacing w:line="360" w:lineRule="auto"/>
                        <w:rPr>
                          <w:sz w:val="24"/>
                          <w:szCs w:val="24"/>
                        </w:rPr>
                      </w:pPr>
                    </w:p>
                  </w:txbxContent>
                </v:textbox>
              </v:rect>
            </w:pict>
          </mc:Fallback>
        </mc:AlternateContent>
      </w:r>
      <w:r>
        <w:rPr>
          <w:rFonts w:cs="SimSun-ExtB" w:asciiTheme="minorEastAsia" w:hAnsiTheme="minorEastAsia" w:eastAsiaTheme="minorEastAsia"/>
          <w:b w:val="0"/>
          <w:color w:val="auto"/>
          <w:sz w:val="22"/>
          <w:szCs w:val="22"/>
          <w:highlight w:val="none"/>
        </w:rPr>
        <w:t>2</w:t>
      </w:r>
      <w:r>
        <w:rPr>
          <w:rFonts w:hint="eastAsia" w:asciiTheme="minorEastAsia" w:hAnsiTheme="minorEastAsia" w:eastAsiaTheme="minorEastAsia"/>
          <w:b w:val="0"/>
          <w:color w:val="auto"/>
          <w:sz w:val="22"/>
          <w:szCs w:val="22"/>
          <w:highlight w:val="none"/>
        </w:rPr>
        <w:t>、为加强该工程施工期间的安全生产管理，明确甲、乙双方安全管理职责，根据中华人民共和国《安全生产法》、《矿山安全法》、《煤矿安全规程》、《关于进一步加强煤矿建设项目安全管理的通知》（发改能源</w:t>
      </w:r>
      <w:r>
        <w:rPr>
          <w:rFonts w:cs="SimSun-ExtB" w:asciiTheme="minorEastAsia" w:hAnsiTheme="minorEastAsia" w:eastAsiaTheme="minorEastAsia"/>
          <w:b w:val="0"/>
          <w:color w:val="auto"/>
          <w:sz w:val="22"/>
          <w:szCs w:val="22"/>
          <w:highlight w:val="none"/>
        </w:rPr>
        <w:t xml:space="preserve">[2010]709 </w:t>
      </w:r>
      <w:r>
        <w:rPr>
          <w:rFonts w:hint="eastAsia" w:asciiTheme="minorEastAsia" w:hAnsiTheme="minorEastAsia" w:eastAsiaTheme="minorEastAsia"/>
          <w:b w:val="0"/>
          <w:color w:val="auto"/>
          <w:sz w:val="22"/>
          <w:szCs w:val="22"/>
          <w:highlight w:val="none"/>
        </w:rPr>
        <w:t>号</w:t>
      </w:r>
      <w:r>
        <w:rPr>
          <w:rFonts w:asciiTheme="minorEastAsia" w:hAnsiTheme="minorEastAsia" w:eastAsiaTheme="minorEastAsia"/>
          <w:b w:val="0"/>
          <w:color w:val="auto"/>
          <w:sz w:val="22"/>
          <w:szCs w:val="22"/>
          <w:highlight w:val="none"/>
        </w:rPr>
        <w:t xml:space="preserve"> </w:t>
      </w:r>
      <w:r>
        <w:rPr>
          <w:rFonts w:hint="eastAsia" w:asciiTheme="minorEastAsia" w:hAnsiTheme="minorEastAsia" w:eastAsiaTheme="minorEastAsia"/>
          <w:b w:val="0"/>
          <w:color w:val="auto"/>
          <w:sz w:val="22"/>
          <w:szCs w:val="22"/>
          <w:highlight w:val="none"/>
        </w:rPr>
        <w:t>）、《煤矿建设安全规定》（晋煤办发【</w:t>
      </w:r>
      <w:r>
        <w:rPr>
          <w:rFonts w:asciiTheme="minorEastAsia" w:hAnsiTheme="minorEastAsia" w:eastAsiaTheme="minorEastAsia"/>
          <w:b w:val="0"/>
          <w:color w:val="auto"/>
          <w:sz w:val="22"/>
          <w:szCs w:val="22"/>
          <w:highlight w:val="none"/>
        </w:rPr>
        <w:t>2009</w:t>
      </w:r>
      <w:r>
        <w:rPr>
          <w:rFonts w:hint="eastAsia" w:asciiTheme="minorEastAsia" w:hAnsiTheme="minorEastAsia" w:eastAsiaTheme="minorEastAsia"/>
          <w:b w:val="0"/>
          <w:color w:val="auto"/>
          <w:sz w:val="22"/>
          <w:szCs w:val="22"/>
          <w:highlight w:val="none"/>
        </w:rPr>
        <w:t>】</w:t>
      </w:r>
      <w:r>
        <w:rPr>
          <w:rFonts w:asciiTheme="minorEastAsia" w:hAnsiTheme="minorEastAsia" w:eastAsiaTheme="minorEastAsia"/>
          <w:b w:val="0"/>
          <w:color w:val="auto"/>
          <w:sz w:val="22"/>
          <w:szCs w:val="22"/>
          <w:highlight w:val="none"/>
        </w:rPr>
        <w:t xml:space="preserve"> </w:t>
      </w:r>
      <w:r>
        <w:rPr>
          <w:rFonts w:cs="SimSun-ExtB" w:asciiTheme="minorEastAsia" w:hAnsiTheme="minorEastAsia" w:eastAsiaTheme="minorEastAsia"/>
          <w:b w:val="0"/>
          <w:color w:val="auto"/>
          <w:sz w:val="22"/>
          <w:szCs w:val="22"/>
          <w:highlight w:val="none"/>
        </w:rPr>
        <w:t xml:space="preserve">151 </w:t>
      </w:r>
      <w:r>
        <w:rPr>
          <w:rFonts w:hint="eastAsia" w:asciiTheme="minorEastAsia" w:hAnsiTheme="minorEastAsia" w:eastAsiaTheme="minorEastAsia"/>
          <w:b w:val="0"/>
          <w:color w:val="auto"/>
          <w:sz w:val="22"/>
          <w:szCs w:val="22"/>
          <w:highlight w:val="none"/>
        </w:rPr>
        <w:t>号》）</w:t>
      </w:r>
      <w:r>
        <w:rPr>
          <w:rFonts w:asciiTheme="minorEastAsia" w:hAnsiTheme="minorEastAsia" w:eastAsiaTheme="minorEastAsia"/>
          <w:b w:val="0"/>
          <w:color w:val="auto"/>
          <w:sz w:val="22"/>
          <w:szCs w:val="22"/>
          <w:highlight w:val="none"/>
        </w:rPr>
        <w:t xml:space="preserve"> </w:t>
      </w:r>
      <w:r>
        <w:rPr>
          <w:rFonts w:hint="eastAsia" w:asciiTheme="minorEastAsia" w:hAnsiTheme="minorEastAsia" w:eastAsiaTheme="minorEastAsia"/>
          <w:b w:val="0"/>
          <w:color w:val="auto"/>
          <w:sz w:val="22"/>
          <w:szCs w:val="22"/>
          <w:highlight w:val="none"/>
        </w:rPr>
        <w:t>及有关的法律法规、规程和标准要求，结合中煤华晋集团韩咀煤业有限公司有关安全管理制度、项目建设实际及施工单位情况，本着平等自愿原则，经甲、乙双方协商，达成如下协议，以资共同遵守，明确责任。</w:t>
      </w:r>
    </w:p>
    <w:p>
      <w:pPr>
        <w:pStyle w:val="2"/>
        <w:kinsoku w:val="0"/>
        <w:overflowPunct w:val="0"/>
        <w:spacing w:line="360" w:lineRule="auto"/>
        <w:jc w:val="center"/>
        <w:rPr>
          <w:rFonts w:asciiTheme="minorEastAsia" w:hAnsiTheme="minorEastAsia" w:eastAsiaTheme="minorEastAsia"/>
          <w:b w:val="0"/>
          <w:color w:val="auto"/>
          <w:sz w:val="22"/>
          <w:szCs w:val="22"/>
          <w:highlight w:val="none"/>
        </w:rPr>
      </w:pPr>
      <w:r>
        <w:rPr>
          <w:rFonts w:hint="eastAsia" w:asciiTheme="minorEastAsia" w:hAnsiTheme="minorEastAsia" w:eastAsiaTheme="minorEastAsia"/>
          <w:b w:val="0"/>
          <w:color w:val="auto"/>
          <w:sz w:val="22"/>
          <w:szCs w:val="22"/>
          <w:highlight w:val="none"/>
        </w:rPr>
        <w:t>第一章</w:t>
      </w:r>
      <w:r>
        <w:rPr>
          <w:rFonts w:asciiTheme="minorEastAsia" w:hAnsiTheme="minorEastAsia" w:eastAsiaTheme="minorEastAsia"/>
          <w:b w:val="0"/>
          <w:color w:val="auto"/>
          <w:sz w:val="22"/>
          <w:szCs w:val="22"/>
          <w:highlight w:val="none"/>
        </w:rPr>
        <w:t xml:space="preserve"> </w:t>
      </w:r>
      <w:r>
        <w:rPr>
          <w:rFonts w:hint="eastAsia" w:asciiTheme="minorEastAsia" w:hAnsiTheme="minorEastAsia" w:eastAsiaTheme="minorEastAsia"/>
          <w:b w:val="0"/>
          <w:color w:val="auto"/>
          <w:sz w:val="22"/>
          <w:szCs w:val="22"/>
          <w:highlight w:val="none"/>
        </w:rPr>
        <w:t>甲方安全生产管理责任</w:t>
      </w:r>
    </w:p>
    <w:p>
      <w:pPr>
        <w:pStyle w:val="2"/>
        <w:kinsoku w:val="0"/>
        <w:overflowPunct w:val="0"/>
        <w:spacing w:line="360" w:lineRule="auto"/>
        <w:ind w:firstLine="601"/>
        <w:rPr>
          <w:rFonts w:asciiTheme="minorEastAsia" w:hAnsiTheme="minorEastAsia" w:eastAsiaTheme="minorEastAsia"/>
          <w:b w:val="0"/>
          <w:color w:val="auto"/>
          <w:sz w:val="22"/>
          <w:szCs w:val="22"/>
          <w:highlight w:val="none"/>
        </w:rPr>
      </w:pPr>
      <w:r>
        <w:rPr>
          <w:rFonts w:hint="eastAsia" w:asciiTheme="minorEastAsia" w:hAnsiTheme="minorEastAsia" w:eastAsiaTheme="minorEastAsia"/>
          <w:b w:val="0"/>
          <w:color w:val="auto"/>
          <w:sz w:val="22"/>
          <w:szCs w:val="22"/>
          <w:highlight w:val="none"/>
        </w:rPr>
        <w:t>第一条</w:t>
      </w:r>
      <w:r>
        <w:rPr>
          <w:rFonts w:asciiTheme="minorEastAsia" w:hAnsiTheme="minorEastAsia" w:eastAsiaTheme="minorEastAsia"/>
          <w:b w:val="0"/>
          <w:color w:val="auto"/>
          <w:sz w:val="22"/>
          <w:szCs w:val="22"/>
          <w:highlight w:val="none"/>
        </w:rPr>
        <w:t xml:space="preserve"> </w:t>
      </w:r>
      <w:r>
        <w:rPr>
          <w:rFonts w:hint="eastAsia" w:asciiTheme="minorEastAsia" w:hAnsiTheme="minorEastAsia" w:eastAsiaTheme="minorEastAsia"/>
          <w:b w:val="0"/>
          <w:color w:val="auto"/>
          <w:sz w:val="22"/>
          <w:szCs w:val="22"/>
          <w:highlight w:val="none"/>
        </w:rPr>
        <w:t>按照国家、省及上级有关安全管理要求，对中煤华晋集团韩咀煤业有限公司地面维修工程项目负安全监督管理职责，对该项目施工单位进行统一管理。建立健全安全生产保证体系，制定本单位安全生产规章制度，保证矿山安全生产投入的有限实施。安全生产规章制度包括安全办公会议制度、安全目标管理制度、安全投入保障制度、安全质量标准化管理制度、安全教育与培训制度、重大隐患排查与治理制度、矿井主要灾害预防制度、安全监督检查制度、安全技术审批备案制度、事故应急救援管理制度、事故统计和调查处理报告制度、安全操作管理制度、月度验收管理制度、安全奖罚制度等。</w:t>
      </w:r>
    </w:p>
    <w:p>
      <w:pPr>
        <w:pStyle w:val="2"/>
        <w:kinsoku w:val="0"/>
        <w:overflowPunct w:val="0"/>
        <w:spacing w:line="360" w:lineRule="auto"/>
        <w:ind w:firstLine="440" w:firstLineChars="200"/>
        <w:rPr>
          <w:rFonts w:asciiTheme="minorEastAsia" w:hAnsiTheme="minorEastAsia" w:eastAsiaTheme="minorEastAsia"/>
          <w:b w:val="0"/>
          <w:color w:val="auto"/>
          <w:sz w:val="22"/>
          <w:szCs w:val="22"/>
          <w:highlight w:val="none"/>
        </w:rPr>
      </w:pPr>
      <w:r>
        <w:rPr>
          <w:rFonts w:hint="eastAsia" w:asciiTheme="minorEastAsia" w:hAnsiTheme="minorEastAsia" w:eastAsiaTheme="minorEastAsia"/>
          <w:b w:val="0"/>
          <w:color w:val="auto"/>
          <w:sz w:val="22"/>
          <w:szCs w:val="22"/>
          <w:highlight w:val="none"/>
        </w:rPr>
        <w:t>设立相应的安全管理机构，明确一名行政副职专管安全工作，配备必要的安全管理人员，负责安全管理和检查工作，安全负责人及安全管理人员必须具备相关专业、经验并经过安全资格培训，持证上岗，人员数量满足要求。对项目安全生产工作统一协调，统一监管，将乙方的安全生产纳入甲方的安全监督管理体系，制定的生产安全事故应急救援预案中必须有乙方施工安全的内容。</w:t>
      </w:r>
    </w:p>
    <w:p>
      <w:pPr>
        <w:pStyle w:val="2"/>
        <w:kinsoku w:val="0"/>
        <w:overflowPunct w:val="0"/>
        <w:spacing w:line="360" w:lineRule="auto"/>
        <w:rPr>
          <w:rFonts w:asciiTheme="minorEastAsia" w:hAnsiTheme="minorEastAsia" w:eastAsiaTheme="minorEastAsia"/>
          <w:b w:val="0"/>
          <w:color w:val="auto"/>
          <w:sz w:val="22"/>
          <w:szCs w:val="22"/>
          <w:highlight w:val="none"/>
        </w:rPr>
      </w:pPr>
      <w:r>
        <w:rPr>
          <w:rFonts w:hint="eastAsia" w:asciiTheme="minorEastAsia" w:hAnsiTheme="minorEastAsia" w:eastAsiaTheme="minorEastAsia"/>
          <w:b w:val="0"/>
          <w:color w:val="auto"/>
          <w:sz w:val="22"/>
          <w:szCs w:val="22"/>
          <w:highlight w:val="none"/>
        </w:rPr>
        <w:t>第二条</w:t>
      </w:r>
      <w:r>
        <w:rPr>
          <w:rFonts w:asciiTheme="minorEastAsia" w:hAnsiTheme="minorEastAsia" w:eastAsiaTheme="minorEastAsia"/>
          <w:b w:val="0"/>
          <w:color w:val="auto"/>
          <w:sz w:val="22"/>
          <w:szCs w:val="22"/>
          <w:highlight w:val="none"/>
        </w:rPr>
        <w:t xml:space="preserve"> </w:t>
      </w:r>
      <w:r>
        <w:rPr>
          <w:rFonts w:hint="eastAsia" w:asciiTheme="minorEastAsia" w:hAnsiTheme="minorEastAsia" w:eastAsiaTheme="minorEastAsia"/>
          <w:b w:val="0"/>
          <w:color w:val="auto"/>
          <w:sz w:val="22"/>
          <w:szCs w:val="22"/>
          <w:highlight w:val="none"/>
        </w:rPr>
        <w:t>有监督、检查乙方安全生产的权利和责任，及时将本单</w:t>
      </w:r>
    </w:p>
    <w:p>
      <w:pPr>
        <w:pStyle w:val="2"/>
        <w:kinsoku w:val="0"/>
        <w:overflowPunct w:val="0"/>
        <w:spacing w:line="360" w:lineRule="auto"/>
        <w:ind w:firstLine="11"/>
        <w:rPr>
          <w:rFonts w:asciiTheme="minorEastAsia" w:hAnsiTheme="minorEastAsia" w:eastAsiaTheme="minorEastAsia"/>
          <w:b w:val="0"/>
          <w:color w:val="auto"/>
          <w:sz w:val="22"/>
          <w:szCs w:val="22"/>
          <w:highlight w:val="none"/>
        </w:rPr>
      </w:pPr>
      <w:r>
        <w:rPr>
          <w:rFonts w:hint="eastAsia" w:asciiTheme="minorEastAsia" w:hAnsiTheme="minorEastAsia" w:eastAsiaTheme="minorEastAsia"/>
          <w:b w:val="0"/>
          <w:color w:val="auto"/>
          <w:sz w:val="22"/>
          <w:szCs w:val="22"/>
          <w:highlight w:val="none"/>
        </w:rPr>
        <w:t>位及上级主管部门安全管理规定向乙方宣传贯彻，及时进行有关的安全技术交底。当乙方违反甲方及上级主管部门有关规定时，甲方有权按照上级主管部门有关安全管理规定对乙方进行处罚。</w:t>
      </w:r>
    </w:p>
    <w:p>
      <w:pPr>
        <w:pStyle w:val="2"/>
        <w:kinsoku w:val="0"/>
        <w:overflowPunct w:val="0"/>
        <w:spacing w:line="360" w:lineRule="auto"/>
        <w:ind w:firstLine="440" w:firstLineChars="200"/>
        <w:rPr>
          <w:rFonts w:asciiTheme="minorEastAsia" w:hAnsiTheme="minorEastAsia" w:eastAsiaTheme="minorEastAsia"/>
          <w:b w:val="0"/>
          <w:color w:val="auto"/>
          <w:sz w:val="22"/>
          <w:szCs w:val="22"/>
          <w:highlight w:val="none"/>
        </w:rPr>
      </w:pPr>
      <w:r>
        <w:rPr>
          <w:rFonts w:hint="eastAsia" w:asciiTheme="minorEastAsia" w:hAnsiTheme="minorEastAsia" w:eastAsiaTheme="minorEastAsia"/>
          <w:b w:val="0"/>
          <w:color w:val="auto"/>
          <w:sz w:val="22"/>
          <w:szCs w:val="22"/>
          <w:highlight w:val="none"/>
        </w:rPr>
        <w:t>第三条</w:t>
      </w:r>
      <w:r>
        <w:rPr>
          <w:rFonts w:asciiTheme="minorEastAsia" w:hAnsiTheme="minorEastAsia" w:eastAsiaTheme="minorEastAsia"/>
          <w:b w:val="0"/>
          <w:color w:val="auto"/>
          <w:sz w:val="22"/>
          <w:szCs w:val="22"/>
          <w:highlight w:val="none"/>
        </w:rPr>
        <w:t xml:space="preserve"> </w:t>
      </w:r>
      <w:r>
        <w:rPr>
          <w:rFonts w:hint="eastAsia" w:asciiTheme="minorEastAsia" w:hAnsiTheme="minorEastAsia" w:eastAsiaTheme="minorEastAsia"/>
          <w:b w:val="0"/>
          <w:color w:val="auto"/>
          <w:sz w:val="22"/>
          <w:szCs w:val="22"/>
          <w:highlight w:val="none"/>
        </w:rPr>
        <w:t>建立安全例会、安全检查、领导干部入井和值班制度，定期召开有乙方参加的安全工作会议，检查、落实和总结前一阶段的安全工作，安排部署下一阶段安全工作。</w:t>
      </w:r>
    </w:p>
    <w:p>
      <w:pPr>
        <w:pStyle w:val="2"/>
        <w:kinsoku w:val="0"/>
        <w:overflowPunct w:val="0"/>
        <w:spacing w:line="360" w:lineRule="auto"/>
        <w:ind w:firstLine="440" w:firstLineChars="200"/>
        <w:rPr>
          <w:rFonts w:asciiTheme="minorEastAsia" w:hAnsiTheme="minorEastAsia" w:eastAsiaTheme="minorEastAsia"/>
          <w:b w:val="0"/>
          <w:color w:val="auto"/>
          <w:sz w:val="22"/>
          <w:szCs w:val="22"/>
          <w:highlight w:val="none"/>
        </w:rPr>
      </w:pPr>
      <w:r>
        <w:rPr>
          <w:rFonts w:hint="eastAsia" w:asciiTheme="minorEastAsia" w:hAnsiTheme="minorEastAsia" w:eastAsiaTheme="minorEastAsia"/>
          <w:b w:val="0"/>
          <w:color w:val="auto"/>
          <w:sz w:val="22"/>
          <w:szCs w:val="22"/>
          <w:highlight w:val="none"/>
        </w:rPr>
        <w:t>第四条</w:t>
      </w:r>
      <w:r>
        <w:rPr>
          <w:rFonts w:asciiTheme="minorEastAsia" w:hAnsiTheme="minorEastAsia" w:eastAsiaTheme="minorEastAsia"/>
          <w:b w:val="0"/>
          <w:color w:val="auto"/>
          <w:sz w:val="22"/>
          <w:szCs w:val="22"/>
          <w:highlight w:val="none"/>
        </w:rPr>
        <w:t xml:space="preserve"> </w:t>
      </w:r>
      <w:r>
        <w:rPr>
          <w:rFonts w:hint="eastAsia" w:asciiTheme="minorEastAsia" w:hAnsiTheme="minorEastAsia" w:eastAsiaTheme="minorEastAsia"/>
          <w:b w:val="0"/>
          <w:color w:val="auto"/>
          <w:sz w:val="22"/>
          <w:szCs w:val="22"/>
          <w:highlight w:val="none"/>
        </w:rPr>
        <w:t>定期或不定期对乙方的施工现场进行全面的安全检查，安全检查包括制度建设、机构设置、管理人员配备培训、持证情况，特殊工种配备及持证情况、现场人员培训、安全文件学习、规程措施贯彻考核、劳动用工、意外伤害保险以及其他安全事项，发现安全隐患及时向乙方提出“五定”（定人员、定期限、定措施、定标准、定资金）整改要求，并落实整改情况；对乙方未按期完成整改要求的，甲方有权按照上级主管部门及甲方相关安全管理规定对乙方进行经济处罚，必要时停止其施工。</w:t>
      </w:r>
    </w:p>
    <w:p>
      <w:pPr>
        <w:pStyle w:val="2"/>
        <w:kinsoku w:val="0"/>
        <w:overflowPunct w:val="0"/>
        <w:spacing w:line="360" w:lineRule="auto"/>
        <w:ind w:firstLine="440" w:firstLineChars="200"/>
        <w:rPr>
          <w:rFonts w:asciiTheme="minorEastAsia" w:hAnsiTheme="minorEastAsia" w:eastAsiaTheme="minorEastAsia"/>
          <w:b w:val="0"/>
          <w:color w:val="auto"/>
          <w:sz w:val="22"/>
          <w:szCs w:val="22"/>
          <w:highlight w:val="none"/>
        </w:rPr>
      </w:pPr>
      <w:r>
        <w:rPr>
          <w:rFonts w:hint="eastAsia" w:asciiTheme="minorEastAsia" w:hAnsiTheme="minorEastAsia" w:eastAsiaTheme="minorEastAsia"/>
          <w:b w:val="0"/>
          <w:color w:val="auto"/>
          <w:sz w:val="22"/>
          <w:szCs w:val="22"/>
          <w:highlight w:val="none"/>
        </w:rPr>
        <w:t>第五条</w:t>
      </w:r>
      <w:r>
        <w:rPr>
          <w:rFonts w:asciiTheme="minorEastAsia" w:hAnsiTheme="minorEastAsia" w:eastAsiaTheme="minorEastAsia"/>
          <w:b w:val="0"/>
          <w:color w:val="auto"/>
          <w:sz w:val="22"/>
          <w:szCs w:val="22"/>
          <w:highlight w:val="none"/>
        </w:rPr>
        <w:t xml:space="preserve"> </w:t>
      </w:r>
      <w:r>
        <w:rPr>
          <w:rFonts w:hint="eastAsia" w:asciiTheme="minorEastAsia" w:hAnsiTheme="minorEastAsia" w:eastAsiaTheme="minorEastAsia"/>
          <w:b w:val="0"/>
          <w:color w:val="auto"/>
          <w:sz w:val="22"/>
          <w:szCs w:val="22"/>
          <w:highlight w:val="none"/>
        </w:rPr>
        <w:t>甲方应当同时督促各方专职安全管理人员对施工现场进行安全监督检查。发现安全事故隐患，应当迅速向各方负责人和安全生产管理机构报告；发现违章指挥、违章操作、违反劳动纪律的，应当立即制止，并严肃查处；发生生产安全事故，应当及时、如实向有关安全主管部门报告，并组织实施事故救险。</w:t>
      </w:r>
    </w:p>
    <w:p>
      <w:pPr>
        <w:pStyle w:val="2"/>
        <w:kinsoku w:val="0"/>
        <w:overflowPunct w:val="0"/>
        <w:spacing w:line="360" w:lineRule="auto"/>
        <w:ind w:firstLine="440" w:firstLineChars="200"/>
        <w:rPr>
          <w:rFonts w:asciiTheme="minorEastAsia" w:hAnsiTheme="minorEastAsia" w:eastAsiaTheme="minorEastAsia"/>
          <w:b w:val="0"/>
          <w:color w:val="auto"/>
          <w:sz w:val="22"/>
          <w:szCs w:val="22"/>
          <w:highlight w:val="none"/>
        </w:rPr>
      </w:pPr>
      <w:r>
        <w:rPr>
          <w:rFonts w:hint="eastAsia" w:asciiTheme="minorEastAsia" w:hAnsiTheme="minorEastAsia" w:eastAsiaTheme="minorEastAsia"/>
          <w:b w:val="0"/>
          <w:color w:val="auto"/>
          <w:sz w:val="22"/>
          <w:szCs w:val="22"/>
          <w:highlight w:val="none"/>
        </w:rPr>
        <w:t>第六条</w:t>
      </w:r>
      <w:r>
        <w:rPr>
          <w:rFonts w:asciiTheme="minorEastAsia" w:hAnsiTheme="minorEastAsia" w:eastAsiaTheme="minorEastAsia"/>
          <w:b w:val="0"/>
          <w:color w:val="auto"/>
          <w:sz w:val="22"/>
          <w:szCs w:val="22"/>
          <w:highlight w:val="none"/>
        </w:rPr>
        <w:t xml:space="preserve"> </w:t>
      </w:r>
      <w:r>
        <w:rPr>
          <w:rFonts w:hint="eastAsia" w:asciiTheme="minorEastAsia" w:hAnsiTheme="minorEastAsia" w:eastAsiaTheme="minorEastAsia"/>
          <w:b w:val="0"/>
          <w:color w:val="auto"/>
          <w:sz w:val="22"/>
          <w:szCs w:val="22"/>
          <w:highlight w:val="none"/>
        </w:rPr>
        <w:t>甲方在检查中对乙方发生的“三违”现象，除进行批评教育外有权按照上级部门及甲方安全管理规定对其进行经济处罚。</w:t>
      </w:r>
    </w:p>
    <w:p>
      <w:pPr>
        <w:pStyle w:val="2"/>
        <w:kinsoku w:val="0"/>
        <w:overflowPunct w:val="0"/>
        <w:spacing w:line="360" w:lineRule="auto"/>
        <w:ind w:firstLine="614"/>
        <w:rPr>
          <w:rFonts w:asciiTheme="minorEastAsia" w:hAnsiTheme="minorEastAsia" w:eastAsiaTheme="minorEastAsia"/>
          <w:b w:val="0"/>
          <w:color w:val="auto"/>
          <w:sz w:val="22"/>
          <w:szCs w:val="22"/>
          <w:highlight w:val="none"/>
        </w:rPr>
      </w:pPr>
      <w:r>
        <w:rPr>
          <w:rFonts w:hint="eastAsia" w:asciiTheme="minorEastAsia" w:hAnsiTheme="minorEastAsia" w:eastAsiaTheme="minorEastAsia"/>
          <w:b w:val="0"/>
          <w:color w:val="auto"/>
          <w:sz w:val="22"/>
          <w:szCs w:val="22"/>
          <w:highlight w:val="none"/>
        </w:rPr>
        <w:t>第七条</w:t>
      </w:r>
      <w:r>
        <w:rPr>
          <w:rFonts w:asciiTheme="minorEastAsia" w:hAnsiTheme="minorEastAsia" w:eastAsiaTheme="minorEastAsia"/>
          <w:b w:val="0"/>
          <w:color w:val="auto"/>
          <w:sz w:val="22"/>
          <w:szCs w:val="22"/>
          <w:highlight w:val="none"/>
        </w:rPr>
        <w:t xml:space="preserve"> </w:t>
      </w:r>
      <w:r>
        <w:rPr>
          <w:rFonts w:hint="eastAsia" w:asciiTheme="minorEastAsia" w:hAnsiTheme="minorEastAsia" w:eastAsiaTheme="minorEastAsia"/>
          <w:b w:val="0"/>
          <w:color w:val="auto"/>
          <w:sz w:val="22"/>
          <w:szCs w:val="22"/>
          <w:highlight w:val="none"/>
        </w:rPr>
        <w:t>甲方要严格落实安全生产应急管理责任，完善应急预案，按规定建立矿山救援队伍或与具备救援能力的救援队伍签订协议，配备必要的应急物资、装备和设施，定期组织演练，应急预案要包括乙方部分。发生生产安全事故或灾害事故时，甲方有义务及时通</w:t>
      </w:r>
      <w:r>
        <w:rPr>
          <w:rFonts w:asciiTheme="minorEastAsia" w:hAnsiTheme="minorEastAsia" w:eastAsiaTheme="minorEastAsia"/>
          <w:b w:val="0"/>
          <w:color w:val="auto"/>
          <w:sz w:val="22"/>
          <w:szCs w:val="22"/>
          <w:highlight w:val="none"/>
        </w:rPr>
        <mc:AlternateContent>
          <mc:Choice Requires="wps">
            <w:drawing>
              <wp:anchor distT="0" distB="0" distL="114300" distR="114300" simplePos="0" relativeHeight="251660288" behindDoc="1" locked="0" layoutInCell="0" allowOverlap="1">
                <wp:simplePos x="0" y="0"/>
                <wp:positionH relativeFrom="page">
                  <wp:posOffset>218440</wp:posOffset>
                </wp:positionH>
                <wp:positionV relativeFrom="page">
                  <wp:posOffset>949325</wp:posOffset>
                </wp:positionV>
                <wp:extent cx="7175500" cy="9436100"/>
                <wp:effectExtent l="0" t="0" r="0" b="0"/>
                <wp:wrapNone/>
                <wp:docPr id="34" name="矩形 34"/>
                <wp:cNvGraphicFramePr/>
                <a:graphic xmlns:a="http://schemas.openxmlformats.org/drawingml/2006/main">
                  <a:graphicData uri="http://schemas.microsoft.com/office/word/2010/wordprocessingShape">
                    <wps:wsp>
                      <wps:cNvSpPr>
                        <a:spLocks noChangeArrowheads="1"/>
                      </wps:cNvSpPr>
                      <wps:spPr bwMode="auto">
                        <a:xfrm>
                          <a:off x="0" y="0"/>
                          <a:ext cx="7175500" cy="9436100"/>
                        </a:xfrm>
                        <a:prstGeom prst="rect">
                          <a:avLst/>
                        </a:prstGeom>
                        <a:noFill/>
                        <a:ln>
                          <a:noFill/>
                        </a:ln>
                      </wps:spPr>
                      <wps:txbx>
                        <w:txbxContent>
                          <w:p>
                            <w:pPr>
                              <w:spacing w:line="14860" w:lineRule="atLeast"/>
                              <w:rPr>
                                <w:sz w:val="24"/>
                                <w:szCs w:val="24"/>
                              </w:rPr>
                            </w:pPr>
                          </w:p>
                          <w:p>
                            <w:pPr>
                              <w:rPr>
                                <w:sz w:val="24"/>
                                <w:szCs w:val="24"/>
                              </w:rPr>
                            </w:pPr>
                          </w:p>
                        </w:txbxContent>
                      </wps:txbx>
                      <wps:bodyPr rot="0" vert="horz" wrap="square" lIns="0" tIns="0" rIns="0" bIns="0" anchor="t" anchorCtr="0" upright="1">
                        <a:noAutofit/>
                      </wps:bodyPr>
                    </wps:wsp>
                  </a:graphicData>
                </a:graphic>
              </wp:anchor>
            </w:drawing>
          </mc:Choice>
          <mc:Fallback>
            <w:pict>
              <v:rect id="_x0000_s1026" o:spid="_x0000_s1026" o:spt="1" style="position:absolute;left:0pt;margin-left:17.2pt;margin-top:74.75pt;height:743pt;width:565pt;mso-position-horizontal-relative:page;mso-position-vertical-relative:page;z-index:-251656192;mso-width-relative:page;mso-height-relative:page;" filled="f" stroked="f" coordsize="21600,21600" o:allowincell="f" o:gfxdata="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VaiKZ9sAAAAMAQAADwAAAAAAAAABACAAAAAiAAAAZHJzL2Rvd25yZXYueG1sUEsBAhQAFAAAAAgA&#10;h07iQFum+bDpAQAArQMAAA4AAAAAAAAAAQAgAAAAKgEAAGRycy9lMm9Eb2MueG1sUEsFBgAAAAAG&#10;AAYAWQEAAIUFAAAAAA==&#10;">
                <v:fill on="f" focussize="0,0"/>
                <v:stroke on="f"/>
                <v:imagedata o:title=""/>
                <o:lock v:ext="edit" aspectratio="f"/>
                <v:textbox inset="0mm,0mm,0mm,0mm">
                  <w:txbxContent>
                    <w:p>
                      <w:pPr>
                        <w:spacing w:line="14860" w:lineRule="atLeast"/>
                        <w:rPr>
                          <w:sz w:val="24"/>
                          <w:szCs w:val="24"/>
                        </w:rPr>
                      </w:pPr>
                    </w:p>
                    <w:p>
                      <w:pPr>
                        <w:rPr>
                          <w:sz w:val="24"/>
                          <w:szCs w:val="24"/>
                        </w:rPr>
                      </w:pPr>
                    </w:p>
                  </w:txbxContent>
                </v:textbox>
              </v:rect>
            </w:pict>
          </mc:Fallback>
        </mc:AlternateContent>
      </w:r>
      <w:r>
        <w:rPr>
          <w:rFonts w:hint="eastAsia" w:asciiTheme="minorEastAsia" w:hAnsiTheme="minorEastAsia" w:eastAsiaTheme="minorEastAsia"/>
          <w:b w:val="0"/>
          <w:color w:val="auto"/>
          <w:sz w:val="22"/>
          <w:szCs w:val="22"/>
          <w:highlight w:val="none"/>
        </w:rPr>
        <w:t>知事故可能波及的乙方施工范围内人员撤离。并及时向有关部门报告，采取积极有效措施协助或指导乙方进行安全救护。</w:t>
      </w:r>
    </w:p>
    <w:p>
      <w:pPr>
        <w:pStyle w:val="2"/>
        <w:kinsoku w:val="0"/>
        <w:overflowPunct w:val="0"/>
        <w:spacing w:line="360" w:lineRule="auto"/>
        <w:ind w:firstLine="440" w:firstLineChars="200"/>
        <w:rPr>
          <w:rFonts w:asciiTheme="minorEastAsia" w:hAnsiTheme="minorEastAsia" w:eastAsiaTheme="minorEastAsia"/>
          <w:b w:val="0"/>
          <w:color w:val="auto"/>
          <w:sz w:val="22"/>
          <w:szCs w:val="22"/>
          <w:highlight w:val="none"/>
        </w:rPr>
      </w:pPr>
      <w:r>
        <w:rPr>
          <w:rFonts w:hint="eastAsia" w:asciiTheme="minorEastAsia" w:hAnsiTheme="minorEastAsia" w:eastAsiaTheme="minorEastAsia"/>
          <w:b w:val="0"/>
          <w:color w:val="auto"/>
          <w:sz w:val="22"/>
          <w:szCs w:val="22"/>
          <w:highlight w:val="none"/>
        </w:rPr>
        <w:t>第八条</w:t>
      </w:r>
      <w:r>
        <w:rPr>
          <w:rFonts w:asciiTheme="minorEastAsia" w:hAnsiTheme="minorEastAsia" w:eastAsiaTheme="minorEastAsia"/>
          <w:b w:val="0"/>
          <w:color w:val="auto"/>
          <w:sz w:val="22"/>
          <w:szCs w:val="22"/>
          <w:highlight w:val="none"/>
        </w:rPr>
        <w:t xml:space="preserve"> </w:t>
      </w:r>
      <w:r>
        <w:rPr>
          <w:rFonts w:hint="eastAsia" w:asciiTheme="minorEastAsia" w:hAnsiTheme="minorEastAsia" w:eastAsiaTheme="minorEastAsia"/>
          <w:b w:val="0"/>
          <w:color w:val="auto"/>
          <w:sz w:val="22"/>
          <w:szCs w:val="22"/>
          <w:highlight w:val="none"/>
        </w:rPr>
        <w:t>甲方不得对乙方提出不符合安全生产法律、法规和强制性标准规定的要求。</w:t>
      </w:r>
    </w:p>
    <w:p>
      <w:pPr>
        <w:pStyle w:val="2"/>
        <w:kinsoku w:val="0"/>
        <w:overflowPunct w:val="0"/>
        <w:spacing w:line="360" w:lineRule="auto"/>
        <w:ind w:firstLine="440" w:firstLineChars="200"/>
        <w:rPr>
          <w:rFonts w:asciiTheme="minorEastAsia" w:hAnsiTheme="minorEastAsia" w:eastAsiaTheme="minorEastAsia"/>
          <w:b w:val="0"/>
          <w:color w:val="auto"/>
          <w:sz w:val="22"/>
          <w:szCs w:val="22"/>
          <w:highlight w:val="none"/>
        </w:rPr>
      </w:pPr>
      <w:r>
        <w:rPr>
          <w:rFonts w:hint="eastAsia" w:asciiTheme="minorEastAsia" w:hAnsiTheme="minorEastAsia" w:eastAsiaTheme="minorEastAsia"/>
          <w:b w:val="0"/>
          <w:color w:val="auto"/>
          <w:sz w:val="22"/>
          <w:szCs w:val="22"/>
          <w:highlight w:val="none"/>
        </w:rPr>
        <w:t>第九条</w:t>
      </w:r>
      <w:r>
        <w:rPr>
          <w:rFonts w:asciiTheme="minorEastAsia" w:hAnsiTheme="minorEastAsia" w:eastAsiaTheme="minorEastAsia"/>
          <w:b w:val="0"/>
          <w:color w:val="auto"/>
          <w:sz w:val="22"/>
          <w:szCs w:val="22"/>
          <w:highlight w:val="none"/>
        </w:rPr>
        <w:t xml:space="preserve"> </w:t>
      </w:r>
      <w:r>
        <w:rPr>
          <w:rFonts w:hint="eastAsia" w:asciiTheme="minorEastAsia" w:hAnsiTheme="minorEastAsia" w:eastAsiaTheme="minorEastAsia"/>
          <w:b w:val="0"/>
          <w:color w:val="auto"/>
          <w:sz w:val="22"/>
          <w:szCs w:val="22"/>
          <w:highlight w:val="none"/>
        </w:rPr>
        <w:t>甲方应当为乙方工伤人员提供救护、医疗便利。</w:t>
      </w:r>
    </w:p>
    <w:p>
      <w:pPr>
        <w:pStyle w:val="2"/>
        <w:kinsoku w:val="0"/>
        <w:overflowPunct w:val="0"/>
        <w:spacing w:line="360" w:lineRule="auto"/>
        <w:jc w:val="center"/>
        <w:rPr>
          <w:rFonts w:asciiTheme="minorEastAsia" w:hAnsiTheme="minorEastAsia" w:eastAsiaTheme="minorEastAsia"/>
          <w:b w:val="0"/>
          <w:color w:val="auto"/>
          <w:sz w:val="22"/>
          <w:szCs w:val="22"/>
          <w:highlight w:val="none"/>
        </w:rPr>
      </w:pPr>
      <w:r>
        <w:rPr>
          <w:rFonts w:hint="eastAsia" w:asciiTheme="minorEastAsia" w:hAnsiTheme="minorEastAsia" w:eastAsiaTheme="minorEastAsia"/>
          <w:b w:val="0"/>
          <w:color w:val="auto"/>
          <w:sz w:val="22"/>
          <w:szCs w:val="22"/>
          <w:highlight w:val="none"/>
        </w:rPr>
        <w:t>第二章</w:t>
      </w:r>
      <w:r>
        <w:rPr>
          <w:rFonts w:asciiTheme="minorEastAsia" w:hAnsiTheme="minorEastAsia" w:eastAsiaTheme="minorEastAsia"/>
          <w:b w:val="0"/>
          <w:color w:val="auto"/>
          <w:sz w:val="22"/>
          <w:szCs w:val="22"/>
          <w:highlight w:val="none"/>
        </w:rPr>
        <w:t xml:space="preserve"> </w:t>
      </w:r>
      <w:r>
        <w:rPr>
          <w:rFonts w:hint="eastAsia" w:asciiTheme="minorEastAsia" w:hAnsiTheme="minorEastAsia" w:eastAsiaTheme="minorEastAsia"/>
          <w:b w:val="0"/>
          <w:color w:val="auto"/>
          <w:sz w:val="22"/>
          <w:szCs w:val="22"/>
          <w:highlight w:val="none"/>
        </w:rPr>
        <w:t>乙方安全生产管理责任</w:t>
      </w:r>
    </w:p>
    <w:p>
      <w:pPr>
        <w:pStyle w:val="2"/>
        <w:kinsoku w:val="0"/>
        <w:overflowPunct w:val="0"/>
        <w:spacing w:line="360" w:lineRule="auto"/>
        <w:ind w:firstLine="586"/>
        <w:rPr>
          <w:rFonts w:asciiTheme="minorEastAsia" w:hAnsiTheme="minorEastAsia" w:eastAsiaTheme="minorEastAsia"/>
          <w:b w:val="0"/>
          <w:color w:val="auto"/>
          <w:sz w:val="22"/>
          <w:szCs w:val="22"/>
          <w:highlight w:val="none"/>
        </w:rPr>
      </w:pPr>
      <w:r>
        <w:rPr>
          <w:rFonts w:hint="eastAsia" w:asciiTheme="minorEastAsia" w:hAnsiTheme="minorEastAsia" w:eastAsiaTheme="minorEastAsia"/>
          <w:b w:val="0"/>
          <w:color w:val="auto"/>
          <w:sz w:val="22"/>
          <w:szCs w:val="22"/>
          <w:highlight w:val="none"/>
        </w:rPr>
        <w:t>第十条</w:t>
      </w:r>
      <w:r>
        <w:rPr>
          <w:rFonts w:asciiTheme="minorEastAsia" w:hAnsiTheme="minorEastAsia" w:eastAsiaTheme="minorEastAsia"/>
          <w:b w:val="0"/>
          <w:color w:val="auto"/>
          <w:sz w:val="22"/>
          <w:szCs w:val="22"/>
          <w:highlight w:val="none"/>
        </w:rPr>
        <w:t xml:space="preserve"> </w:t>
      </w:r>
      <w:r>
        <w:rPr>
          <w:rFonts w:hint="eastAsia" w:asciiTheme="minorEastAsia" w:hAnsiTheme="minorEastAsia" w:eastAsiaTheme="minorEastAsia"/>
          <w:b w:val="0"/>
          <w:color w:val="auto"/>
          <w:sz w:val="22"/>
          <w:szCs w:val="22"/>
          <w:highlight w:val="none"/>
        </w:rPr>
        <w:t>乙方对所施工的工程安全工作负责，并接受甲方的统一监督管理，在施工中贯彻落实国家、地方政府相关法律法规和甲方的安全生产规章制度。</w:t>
      </w:r>
    </w:p>
    <w:p>
      <w:pPr>
        <w:pStyle w:val="2"/>
        <w:kinsoku w:val="0"/>
        <w:overflowPunct w:val="0"/>
        <w:spacing w:line="360" w:lineRule="auto"/>
        <w:ind w:firstLine="591"/>
        <w:rPr>
          <w:rFonts w:asciiTheme="minorEastAsia" w:hAnsiTheme="minorEastAsia" w:eastAsiaTheme="minorEastAsia"/>
          <w:b w:val="0"/>
          <w:color w:val="auto"/>
          <w:sz w:val="22"/>
          <w:szCs w:val="22"/>
          <w:highlight w:val="none"/>
        </w:rPr>
      </w:pPr>
      <w:r>
        <w:rPr>
          <w:rFonts w:hint="eastAsia" w:asciiTheme="minorEastAsia" w:hAnsiTheme="minorEastAsia" w:eastAsiaTheme="minorEastAsia"/>
          <w:b w:val="0"/>
          <w:color w:val="auto"/>
          <w:sz w:val="22"/>
          <w:szCs w:val="22"/>
          <w:highlight w:val="none"/>
        </w:rPr>
        <w:t>第十一条</w:t>
      </w:r>
      <w:r>
        <w:rPr>
          <w:rFonts w:asciiTheme="minorEastAsia" w:hAnsiTheme="minorEastAsia" w:eastAsiaTheme="minorEastAsia"/>
          <w:b w:val="0"/>
          <w:color w:val="auto"/>
          <w:sz w:val="22"/>
          <w:szCs w:val="22"/>
          <w:highlight w:val="none"/>
        </w:rPr>
        <w:t xml:space="preserve"> </w:t>
      </w:r>
      <w:r>
        <w:rPr>
          <w:rFonts w:hint="eastAsia" w:asciiTheme="minorEastAsia" w:hAnsiTheme="minorEastAsia" w:eastAsiaTheme="minorEastAsia"/>
          <w:b w:val="0"/>
          <w:color w:val="auto"/>
          <w:sz w:val="22"/>
          <w:szCs w:val="22"/>
          <w:highlight w:val="none"/>
        </w:rPr>
        <w:t>乙方应当建立健全施工安全生产保证体系，建立安全规章制度和各工种操作规程，落实各项安全技术措施要求，严格施工现场安全管理，推行安全生产目标管理和施工现场安全质量标准化建设，保证安全生产条件所需费用的投入。安全生产规章制度包括安全生产责任制度、安全办公会议制度、安全技术例会制度、安全目标管理制度、安全投入保障制度、安全资金和物品管理制度、安全质量标准化管理制度、安全教育与培训制度、安全监督检查制度、安全奖罚制度、安全技术审批制度、安全技术交底制度、事故应急救援预案及管理制度、事故统计和调查处理报告制度、安全操作管理制度、调度通讯系统管理制度、安全设施（劳保）配备检查管理制度、振动、锅炉、压力容器管理制度、安全操作规程汇编等一系列关系到安全生产的制度，汇编成册备查，以上制度要随变化了的情况及时补充修订。</w:t>
      </w:r>
    </w:p>
    <w:p>
      <w:pPr>
        <w:pStyle w:val="2"/>
        <w:kinsoku w:val="0"/>
        <w:overflowPunct w:val="0"/>
        <w:spacing w:line="360" w:lineRule="auto"/>
        <w:ind w:firstLine="593"/>
        <w:rPr>
          <w:rFonts w:asciiTheme="minorEastAsia" w:hAnsiTheme="minorEastAsia" w:eastAsiaTheme="minorEastAsia"/>
          <w:b w:val="0"/>
          <w:color w:val="auto"/>
          <w:sz w:val="22"/>
          <w:szCs w:val="22"/>
          <w:highlight w:val="none"/>
        </w:rPr>
      </w:pPr>
      <w:r>
        <w:rPr>
          <w:rFonts w:hint="eastAsia" w:asciiTheme="minorEastAsia" w:hAnsiTheme="minorEastAsia" w:eastAsiaTheme="minorEastAsia"/>
          <w:b w:val="0"/>
          <w:color w:val="auto"/>
          <w:sz w:val="22"/>
          <w:szCs w:val="22"/>
          <w:highlight w:val="none"/>
        </w:rPr>
        <w:t>第十二条</w:t>
      </w:r>
      <w:r>
        <w:rPr>
          <w:rFonts w:asciiTheme="minorEastAsia" w:hAnsiTheme="minorEastAsia" w:eastAsiaTheme="minorEastAsia"/>
          <w:b w:val="0"/>
          <w:color w:val="auto"/>
          <w:sz w:val="22"/>
          <w:szCs w:val="22"/>
          <w:highlight w:val="none"/>
        </w:rPr>
        <w:t xml:space="preserve"> </w:t>
      </w:r>
      <w:r>
        <w:rPr>
          <w:rFonts w:hint="eastAsia" w:asciiTheme="minorEastAsia" w:hAnsiTheme="minorEastAsia" w:eastAsiaTheme="minorEastAsia"/>
          <w:b w:val="0"/>
          <w:color w:val="auto"/>
          <w:sz w:val="22"/>
          <w:szCs w:val="22"/>
          <w:highlight w:val="none"/>
        </w:rPr>
        <w:t>乙方项目负责人应当由取得相应执业资格的人员担任，并取得相应的安全管理资格证和上岗作业证。负责矿山工</w:t>
      </w:r>
    </w:p>
    <w:p>
      <w:pPr>
        <w:pStyle w:val="2"/>
        <w:kinsoku w:val="0"/>
        <w:overflowPunct w:val="0"/>
        <w:spacing w:line="360" w:lineRule="auto"/>
        <w:rPr>
          <w:rFonts w:asciiTheme="minorEastAsia" w:hAnsiTheme="minorEastAsia" w:eastAsiaTheme="minorEastAsia"/>
          <w:b w:val="0"/>
          <w:color w:val="auto"/>
          <w:sz w:val="22"/>
          <w:szCs w:val="22"/>
          <w:highlight w:val="none"/>
        </w:rPr>
      </w:pPr>
      <w:r>
        <w:rPr>
          <w:rFonts w:hint="eastAsia" w:asciiTheme="minorEastAsia" w:hAnsiTheme="minorEastAsia" w:eastAsiaTheme="minorEastAsia"/>
          <w:b w:val="0"/>
          <w:color w:val="auto"/>
          <w:sz w:val="22"/>
          <w:szCs w:val="22"/>
          <w:highlight w:val="none"/>
        </w:rPr>
        <w:t>程项目的生产安全，负责建立落实安全管理体系、安全管理机构、安全生产规章制度和操作规程，配齐安全检查人员，确保安全生产投入的有效使用，协调平衡安全同其他业务的关系。并根据工程特点组织制定作业规程（安全施工措施），</w:t>
      </w:r>
      <w:r>
        <w:rPr>
          <w:rFonts w:asciiTheme="minorEastAsia" w:hAnsiTheme="minorEastAsia" w:eastAsiaTheme="minorEastAsia"/>
          <w:b w:val="0"/>
          <w:color w:val="auto"/>
          <w:sz w:val="22"/>
          <w:szCs w:val="22"/>
          <w:highlight w:val="none"/>
        </w:rPr>
        <w:t xml:space="preserve"> </w:t>
      </w:r>
      <w:r>
        <w:rPr>
          <w:rFonts w:hint="eastAsia" w:asciiTheme="minorEastAsia" w:hAnsiTheme="minorEastAsia" w:eastAsiaTheme="minorEastAsia"/>
          <w:b w:val="0"/>
          <w:color w:val="auto"/>
          <w:sz w:val="22"/>
          <w:szCs w:val="22"/>
          <w:highlight w:val="none"/>
        </w:rPr>
        <w:t>消除安全事故隐患，及时、如实报告生产安全情况。</w:t>
      </w:r>
    </w:p>
    <w:p>
      <w:pPr>
        <w:pStyle w:val="2"/>
        <w:kinsoku w:val="0"/>
        <w:overflowPunct w:val="0"/>
        <w:spacing w:line="360" w:lineRule="auto"/>
        <w:ind w:firstLine="615"/>
        <w:rPr>
          <w:rFonts w:asciiTheme="minorEastAsia" w:hAnsiTheme="minorEastAsia" w:eastAsiaTheme="minorEastAsia"/>
          <w:b w:val="0"/>
          <w:color w:val="auto"/>
          <w:sz w:val="22"/>
          <w:szCs w:val="22"/>
          <w:highlight w:val="none"/>
        </w:rPr>
      </w:pPr>
      <w:r>
        <w:rPr>
          <w:rFonts w:hint="eastAsia" w:asciiTheme="minorEastAsia" w:hAnsiTheme="minorEastAsia" w:eastAsiaTheme="minorEastAsia"/>
          <w:b w:val="0"/>
          <w:color w:val="auto"/>
          <w:sz w:val="22"/>
          <w:szCs w:val="22"/>
          <w:highlight w:val="none"/>
        </w:rPr>
        <w:t>第十三条</w:t>
      </w:r>
      <w:r>
        <w:rPr>
          <w:rFonts w:asciiTheme="minorEastAsia" w:hAnsiTheme="minorEastAsia" w:eastAsiaTheme="minorEastAsia"/>
          <w:b w:val="0"/>
          <w:color w:val="auto"/>
          <w:sz w:val="22"/>
          <w:szCs w:val="22"/>
          <w:highlight w:val="none"/>
        </w:rPr>
        <w:t xml:space="preserve"> </w:t>
      </w:r>
      <w:r>
        <w:rPr>
          <w:rFonts w:hint="eastAsia" w:asciiTheme="minorEastAsia" w:hAnsiTheme="minorEastAsia" w:eastAsiaTheme="minorEastAsia"/>
          <w:b w:val="0"/>
          <w:color w:val="auto"/>
          <w:sz w:val="22"/>
          <w:szCs w:val="22"/>
          <w:highlight w:val="none"/>
        </w:rPr>
        <w:t>设立相应的安全管理机构，明确一名行政副职专管安全工作，配备必要的安全管理人员，负责安全管理和检查工作。必须按照各自的组织机构设置情况，以正式文件或履行相关审批手续的形式正式发布各种安全生产规章制度，乙方要将上述各种安全生产规章制度专人管理，随时备查。</w:t>
      </w:r>
    </w:p>
    <w:p>
      <w:pPr>
        <w:pStyle w:val="2"/>
        <w:kinsoku w:val="0"/>
        <w:overflowPunct w:val="0"/>
        <w:spacing w:line="360" w:lineRule="auto"/>
        <w:ind w:firstLine="610"/>
        <w:rPr>
          <w:rFonts w:asciiTheme="minorEastAsia" w:hAnsiTheme="minorEastAsia" w:eastAsiaTheme="minorEastAsia"/>
          <w:b w:val="0"/>
          <w:color w:val="auto"/>
          <w:sz w:val="22"/>
          <w:szCs w:val="22"/>
          <w:highlight w:val="none"/>
        </w:rPr>
      </w:pPr>
      <w:r>
        <w:rPr>
          <w:rFonts w:hint="eastAsia" w:asciiTheme="minorEastAsia" w:hAnsiTheme="minorEastAsia" w:eastAsiaTheme="minorEastAsia"/>
          <w:b w:val="0"/>
          <w:color w:val="auto"/>
          <w:sz w:val="22"/>
          <w:szCs w:val="22"/>
          <w:highlight w:val="none"/>
        </w:rPr>
        <w:t>乙方应当为工程施工配备数量满足施工要求的专职安全员。专职安全员应当持证上岗，并按规定独立行使职权。所有安全管理人员证件等资料必须汇编成册备查。</w:t>
      </w:r>
    </w:p>
    <w:p>
      <w:pPr>
        <w:pStyle w:val="2"/>
        <w:kinsoku w:val="0"/>
        <w:overflowPunct w:val="0"/>
        <w:spacing w:line="360" w:lineRule="auto"/>
        <w:rPr>
          <w:rFonts w:asciiTheme="minorEastAsia" w:hAnsiTheme="minorEastAsia" w:eastAsiaTheme="minorEastAsia"/>
          <w:b w:val="0"/>
          <w:color w:val="auto"/>
          <w:sz w:val="22"/>
          <w:szCs w:val="22"/>
          <w:highlight w:val="none"/>
        </w:rPr>
      </w:pPr>
      <w:r>
        <w:rPr>
          <w:rFonts w:hint="eastAsia" w:asciiTheme="minorEastAsia" w:hAnsiTheme="minorEastAsia" w:eastAsiaTheme="minorEastAsia"/>
          <w:b w:val="0"/>
          <w:color w:val="auto"/>
          <w:sz w:val="22"/>
          <w:szCs w:val="22"/>
          <w:highlight w:val="none"/>
        </w:rPr>
        <w:t>第十四条</w:t>
      </w:r>
      <w:r>
        <w:rPr>
          <w:rFonts w:asciiTheme="minorEastAsia" w:hAnsiTheme="minorEastAsia" w:eastAsiaTheme="minorEastAsia"/>
          <w:b w:val="0"/>
          <w:color w:val="auto"/>
          <w:sz w:val="22"/>
          <w:szCs w:val="22"/>
          <w:highlight w:val="none"/>
        </w:rPr>
        <w:t xml:space="preserve"> </w:t>
      </w:r>
      <w:r>
        <w:rPr>
          <w:rFonts w:hint="eastAsia" w:asciiTheme="minorEastAsia" w:hAnsiTheme="minorEastAsia" w:eastAsiaTheme="minorEastAsia"/>
          <w:b w:val="0"/>
          <w:color w:val="auto"/>
          <w:sz w:val="22"/>
          <w:szCs w:val="22"/>
          <w:highlight w:val="none"/>
        </w:rPr>
        <w:t>乙方不得将所承包工程转包、违法分包。</w:t>
      </w:r>
    </w:p>
    <w:p>
      <w:pPr>
        <w:pStyle w:val="2"/>
        <w:kinsoku w:val="0"/>
        <w:overflowPunct w:val="0"/>
        <w:spacing w:line="360" w:lineRule="auto"/>
        <w:ind w:firstLine="629"/>
        <w:rPr>
          <w:rFonts w:asciiTheme="minorEastAsia" w:hAnsiTheme="minorEastAsia" w:eastAsiaTheme="minorEastAsia"/>
          <w:b w:val="0"/>
          <w:color w:val="auto"/>
          <w:sz w:val="22"/>
          <w:szCs w:val="22"/>
          <w:highlight w:val="none"/>
        </w:rPr>
      </w:pPr>
      <w:r>
        <w:rPr>
          <w:rFonts w:hint="eastAsia" w:asciiTheme="minorEastAsia" w:hAnsiTheme="minorEastAsia" w:eastAsiaTheme="minorEastAsia"/>
          <w:b w:val="0"/>
          <w:color w:val="auto"/>
          <w:sz w:val="22"/>
          <w:szCs w:val="22"/>
          <w:highlight w:val="none"/>
        </w:rPr>
        <w:t>第十五条</w:t>
      </w:r>
      <w:r>
        <w:rPr>
          <w:rFonts w:asciiTheme="minorEastAsia" w:hAnsiTheme="minorEastAsia" w:eastAsiaTheme="minorEastAsia"/>
          <w:b w:val="0"/>
          <w:color w:val="auto"/>
          <w:sz w:val="22"/>
          <w:szCs w:val="22"/>
          <w:highlight w:val="none"/>
        </w:rPr>
        <w:t xml:space="preserve"> </w:t>
      </w:r>
      <w:r>
        <w:rPr>
          <w:rFonts w:hint="eastAsia" w:asciiTheme="minorEastAsia" w:hAnsiTheme="minorEastAsia" w:eastAsiaTheme="minorEastAsia"/>
          <w:b w:val="0"/>
          <w:color w:val="auto"/>
          <w:sz w:val="22"/>
          <w:szCs w:val="22"/>
          <w:highlight w:val="none"/>
        </w:rPr>
        <w:t>乙方应当落实劳动生产教育培训制度，加强对本单位所有人员的安全生产教育和培训，根据单位的实际建立安全培训机构，配备相应的师资。如实告知作业场所和工作岗位存在的危险因素、防范措施以及事故应急措施，保证从业人员熟悉并严格执行有关的安全生产规章制度和安全操作规程，掌握本岗位的安全操作技能，具备必要的安全防范知识。未经安全生产教育和培训合格人员，不得上岗作业。特种作业人员应当经国家规定的有关部门组织专门培训，经考核合格，取得上岗证书后，方可上岗作业，特种作业人员数量必须满足施工要求。培训内容包括安全技术理论知识、矿井灾害发生规律、预防措施和处置方法、安全生产的方针政策、法律法规和安全规章制度、工种岗位责任制、操作规程、井下自</w:t>
      </w:r>
    </w:p>
    <w:p>
      <w:pPr>
        <w:pStyle w:val="2"/>
        <w:kinsoku w:val="0"/>
        <w:overflowPunct w:val="0"/>
        <w:spacing w:line="360" w:lineRule="auto"/>
        <w:rPr>
          <w:rFonts w:asciiTheme="minorEastAsia" w:hAnsiTheme="minorEastAsia" w:eastAsiaTheme="minorEastAsia"/>
          <w:b w:val="0"/>
          <w:color w:val="auto"/>
          <w:sz w:val="22"/>
          <w:szCs w:val="22"/>
          <w:highlight w:val="none"/>
        </w:rPr>
      </w:pPr>
      <w:r>
        <w:rPr>
          <w:rFonts w:hint="eastAsia" w:asciiTheme="minorEastAsia" w:hAnsiTheme="minorEastAsia" w:eastAsiaTheme="minorEastAsia"/>
          <w:b w:val="0"/>
          <w:color w:val="auto"/>
          <w:sz w:val="22"/>
          <w:szCs w:val="22"/>
          <w:highlight w:val="none"/>
        </w:rPr>
        <w:t>救、互救和创伤急救等基本知识。培训时间必须达到国家规定学时，所有培训资料包括培训、计划教案、培训签到表、试卷、成绩等都必须存档备查。</w:t>
      </w:r>
    </w:p>
    <w:p>
      <w:pPr>
        <w:pStyle w:val="2"/>
        <w:kinsoku w:val="0"/>
        <w:overflowPunct w:val="0"/>
        <w:spacing w:line="360" w:lineRule="auto"/>
        <w:ind w:firstLine="579"/>
        <w:rPr>
          <w:rFonts w:asciiTheme="minorEastAsia" w:hAnsiTheme="minorEastAsia" w:eastAsiaTheme="minorEastAsia"/>
          <w:b w:val="0"/>
          <w:color w:val="auto"/>
          <w:sz w:val="22"/>
          <w:szCs w:val="22"/>
          <w:highlight w:val="none"/>
        </w:rPr>
      </w:pPr>
      <w:r>
        <w:rPr>
          <w:rFonts w:asciiTheme="minorEastAsia" w:hAnsiTheme="minorEastAsia" w:eastAsiaTheme="minorEastAsia"/>
          <w:b w:val="0"/>
          <w:color w:val="auto"/>
          <w:sz w:val="22"/>
          <w:szCs w:val="22"/>
          <w:highlight w:val="none"/>
        </w:rPr>
        <mc:AlternateContent>
          <mc:Choice Requires="wps">
            <w:drawing>
              <wp:anchor distT="0" distB="0" distL="114300" distR="114300" simplePos="0" relativeHeight="251661312" behindDoc="1" locked="0" layoutInCell="0" allowOverlap="1">
                <wp:simplePos x="0" y="0"/>
                <wp:positionH relativeFrom="page">
                  <wp:posOffset>218440</wp:posOffset>
                </wp:positionH>
                <wp:positionV relativeFrom="page">
                  <wp:posOffset>949960</wp:posOffset>
                </wp:positionV>
                <wp:extent cx="7112000" cy="8966200"/>
                <wp:effectExtent l="0" t="0" r="0" b="0"/>
                <wp:wrapNone/>
                <wp:docPr id="33" name="矩形 33"/>
                <wp:cNvGraphicFramePr/>
                <a:graphic xmlns:a="http://schemas.openxmlformats.org/drawingml/2006/main">
                  <a:graphicData uri="http://schemas.microsoft.com/office/word/2010/wordprocessingShape">
                    <wps:wsp>
                      <wps:cNvSpPr>
                        <a:spLocks noChangeArrowheads="1"/>
                      </wps:cNvSpPr>
                      <wps:spPr bwMode="auto">
                        <a:xfrm>
                          <a:off x="0" y="0"/>
                          <a:ext cx="7112000" cy="8966200"/>
                        </a:xfrm>
                        <a:prstGeom prst="rect">
                          <a:avLst/>
                        </a:prstGeom>
                        <a:noFill/>
                        <a:ln>
                          <a:noFill/>
                        </a:ln>
                      </wps:spPr>
                      <wps:txbx>
                        <w:txbxContent>
                          <w:p>
                            <w:pPr>
                              <w:spacing w:line="14120" w:lineRule="atLeast"/>
                              <w:rPr>
                                <w:rFonts w:hint="eastAsia" w:eastAsia="宋体"/>
                                <w:sz w:val="24"/>
                                <w:szCs w:val="24"/>
                                <w:lang w:val="en-US" w:eastAsia="zh-CN"/>
                              </w:rPr>
                            </w:pPr>
                            <w:r>
                              <w:rPr>
                                <w:rFonts w:hint="eastAsia"/>
                                <w:sz w:val="24"/>
                                <w:szCs w:val="24"/>
                                <w:lang w:val="en-US" w:eastAsia="zh-CN"/>
                              </w:rPr>
                              <w:t xml:space="preserve"> </w:t>
                            </w:r>
                          </w:p>
                          <w:p>
                            <w:pPr>
                              <w:rPr>
                                <w:sz w:val="24"/>
                                <w:szCs w:val="24"/>
                              </w:rPr>
                            </w:pPr>
                          </w:p>
                        </w:txbxContent>
                      </wps:txbx>
                      <wps:bodyPr rot="0" vert="horz" wrap="square" lIns="0" tIns="0" rIns="0" bIns="0" anchor="t" anchorCtr="0" upright="1">
                        <a:noAutofit/>
                      </wps:bodyPr>
                    </wps:wsp>
                  </a:graphicData>
                </a:graphic>
              </wp:anchor>
            </w:drawing>
          </mc:Choice>
          <mc:Fallback>
            <w:pict>
              <v:rect id="_x0000_s1026" o:spid="_x0000_s1026" o:spt="1" style="position:absolute;left:0pt;margin-left:17.2pt;margin-top:74.8pt;height:706pt;width:560pt;mso-position-horizontal-relative:page;mso-position-vertical-relative:page;z-index:-251655168;mso-width-relative:page;mso-height-relative:page;" filled="f" stroked="f" coordsize="21600,21600" o:allowincell="f" o:gfxdata="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I&#10;ytn+2wAAAAwBAAAPAAAAAAAAAAEAIAAAACIAAABkcnMvZG93bnJldi54bWxQSwECFAAUAAAACACH&#10;TuJA96f1K+gBAACtAwAADgAAAAAAAAABACAAAAAqAQAAZHJzL2Uyb0RvYy54bWxQSwUGAAAAAAYA&#10;BgBZAQAAhAUAAAAA&#10;">
                <v:fill on="f" focussize="0,0"/>
                <v:stroke on="f"/>
                <v:imagedata o:title=""/>
                <o:lock v:ext="edit" aspectratio="f"/>
                <v:textbox inset="0mm,0mm,0mm,0mm">
                  <w:txbxContent>
                    <w:p>
                      <w:pPr>
                        <w:spacing w:line="14120" w:lineRule="atLeast"/>
                        <w:rPr>
                          <w:rFonts w:hint="eastAsia" w:eastAsia="宋体"/>
                          <w:sz w:val="24"/>
                          <w:szCs w:val="24"/>
                          <w:lang w:val="en-US" w:eastAsia="zh-CN"/>
                        </w:rPr>
                      </w:pPr>
                      <w:r>
                        <w:rPr>
                          <w:rFonts w:hint="eastAsia"/>
                          <w:sz w:val="24"/>
                          <w:szCs w:val="24"/>
                          <w:lang w:val="en-US" w:eastAsia="zh-CN"/>
                        </w:rPr>
                        <w:t xml:space="preserve"> </w:t>
                      </w:r>
                    </w:p>
                    <w:p>
                      <w:pPr>
                        <w:rPr>
                          <w:sz w:val="24"/>
                          <w:szCs w:val="24"/>
                        </w:rPr>
                      </w:pPr>
                    </w:p>
                  </w:txbxContent>
                </v:textbox>
              </v:rect>
            </w:pict>
          </mc:Fallback>
        </mc:AlternateContent>
      </w:r>
      <w:r>
        <w:rPr>
          <w:rFonts w:hint="eastAsia" w:asciiTheme="minorEastAsia" w:hAnsiTheme="minorEastAsia" w:eastAsiaTheme="minorEastAsia"/>
          <w:b w:val="0"/>
          <w:color w:val="auto"/>
          <w:sz w:val="22"/>
          <w:szCs w:val="22"/>
          <w:highlight w:val="none"/>
        </w:rPr>
        <w:t>第十六条</w:t>
      </w:r>
      <w:r>
        <w:rPr>
          <w:rFonts w:asciiTheme="minorEastAsia" w:hAnsiTheme="minorEastAsia" w:eastAsiaTheme="minorEastAsia"/>
          <w:b w:val="0"/>
          <w:color w:val="auto"/>
          <w:sz w:val="22"/>
          <w:szCs w:val="22"/>
          <w:highlight w:val="none"/>
        </w:rPr>
        <w:t xml:space="preserve"> </w:t>
      </w:r>
      <w:r>
        <w:rPr>
          <w:rFonts w:hint="eastAsia" w:asciiTheme="minorEastAsia" w:hAnsiTheme="minorEastAsia" w:eastAsiaTheme="minorEastAsia"/>
          <w:b w:val="0"/>
          <w:color w:val="auto"/>
          <w:sz w:val="22"/>
          <w:szCs w:val="22"/>
          <w:highlight w:val="none"/>
        </w:rPr>
        <w:t>乙方必须依法与从业人员签订有效的劳动用工合同，为从业人员参加施工现场意外伤害保险，为从业人员交纳保险费。意外伤害保险费由乙方支付。意外伤害保险期限自建设工程开工之日起至竣工验收移交合格止，用工合同签订、保险缴纳必须与人员变化同步。</w:t>
      </w:r>
    </w:p>
    <w:p>
      <w:pPr>
        <w:pStyle w:val="2"/>
        <w:kinsoku w:val="0"/>
        <w:overflowPunct w:val="0"/>
        <w:spacing w:line="360" w:lineRule="auto"/>
        <w:ind w:firstLine="582"/>
        <w:rPr>
          <w:rFonts w:asciiTheme="minorEastAsia" w:hAnsiTheme="minorEastAsia" w:eastAsiaTheme="minorEastAsia"/>
          <w:b w:val="0"/>
          <w:color w:val="auto"/>
          <w:sz w:val="22"/>
          <w:szCs w:val="22"/>
          <w:highlight w:val="none"/>
        </w:rPr>
      </w:pPr>
      <w:r>
        <w:rPr>
          <w:rFonts w:hint="eastAsia" w:asciiTheme="minorEastAsia" w:hAnsiTheme="minorEastAsia" w:eastAsiaTheme="minorEastAsia"/>
          <w:b w:val="0"/>
          <w:color w:val="auto"/>
          <w:sz w:val="22"/>
          <w:szCs w:val="22"/>
          <w:highlight w:val="none"/>
        </w:rPr>
        <w:t>第十七条</w:t>
      </w:r>
      <w:r>
        <w:rPr>
          <w:rFonts w:asciiTheme="minorEastAsia" w:hAnsiTheme="minorEastAsia" w:eastAsiaTheme="minorEastAsia"/>
          <w:b w:val="0"/>
          <w:color w:val="auto"/>
          <w:sz w:val="22"/>
          <w:szCs w:val="22"/>
          <w:highlight w:val="none"/>
        </w:rPr>
        <w:t xml:space="preserve"> </w:t>
      </w:r>
      <w:r>
        <w:rPr>
          <w:rFonts w:hint="eastAsia" w:asciiTheme="minorEastAsia" w:hAnsiTheme="minorEastAsia" w:eastAsiaTheme="minorEastAsia"/>
          <w:b w:val="0"/>
          <w:color w:val="auto"/>
          <w:sz w:val="22"/>
          <w:szCs w:val="22"/>
          <w:highlight w:val="none"/>
        </w:rPr>
        <w:t>乙方应当按规定为作业人员提供符合安全生产和技术规范要求的施工机具和劳动防护用品，并告知其正确的使用方法。乙方在采用新工艺、新技术、新材料或者使用新设备时，必须了解、掌握其安全技术特性，采用有效的安全防护措施，并对从业人员进行专门的安全培训。</w:t>
      </w:r>
    </w:p>
    <w:p>
      <w:pPr>
        <w:pStyle w:val="2"/>
        <w:kinsoku w:val="0"/>
        <w:overflowPunct w:val="0"/>
        <w:spacing w:line="360" w:lineRule="auto"/>
        <w:ind w:firstLine="586"/>
        <w:rPr>
          <w:rFonts w:asciiTheme="minorEastAsia" w:hAnsiTheme="minorEastAsia" w:eastAsiaTheme="minorEastAsia"/>
          <w:b w:val="0"/>
          <w:color w:val="auto"/>
          <w:sz w:val="22"/>
          <w:szCs w:val="22"/>
          <w:highlight w:val="none"/>
        </w:rPr>
      </w:pPr>
      <w:r>
        <w:rPr>
          <w:rFonts w:hint="eastAsia" w:asciiTheme="minorEastAsia" w:hAnsiTheme="minorEastAsia" w:eastAsiaTheme="minorEastAsia"/>
          <w:b w:val="0"/>
          <w:color w:val="auto"/>
          <w:sz w:val="22"/>
          <w:szCs w:val="22"/>
          <w:highlight w:val="none"/>
        </w:rPr>
        <w:t>第十八条</w:t>
      </w:r>
      <w:r>
        <w:rPr>
          <w:rFonts w:asciiTheme="minorEastAsia" w:hAnsiTheme="minorEastAsia" w:eastAsiaTheme="minorEastAsia"/>
          <w:b w:val="0"/>
          <w:color w:val="auto"/>
          <w:sz w:val="22"/>
          <w:szCs w:val="22"/>
          <w:highlight w:val="none"/>
        </w:rPr>
        <w:t xml:space="preserve"> </w:t>
      </w:r>
      <w:r>
        <w:rPr>
          <w:rFonts w:hint="eastAsia" w:asciiTheme="minorEastAsia" w:hAnsiTheme="minorEastAsia" w:eastAsiaTheme="minorEastAsia"/>
          <w:b w:val="0"/>
          <w:color w:val="auto"/>
          <w:sz w:val="22"/>
          <w:szCs w:val="22"/>
          <w:highlight w:val="none"/>
        </w:rPr>
        <w:t>乙方在工程（包括单位、单项工程）开工前必须履行开工手续，并报附相关资料；编制的施工组织设计、作业规程和安全技术措施，须按相关手续履行审批签字手续，并报甲方相关部门审查备案后，方可实施。</w:t>
      </w:r>
    </w:p>
    <w:p>
      <w:pPr>
        <w:pStyle w:val="2"/>
        <w:kinsoku w:val="0"/>
        <w:overflowPunct w:val="0"/>
        <w:spacing w:line="360" w:lineRule="auto"/>
        <w:ind w:firstLine="586"/>
        <w:rPr>
          <w:rFonts w:asciiTheme="minorEastAsia" w:hAnsiTheme="minorEastAsia" w:eastAsiaTheme="minorEastAsia"/>
          <w:b w:val="0"/>
          <w:color w:val="auto"/>
          <w:sz w:val="22"/>
          <w:szCs w:val="22"/>
          <w:highlight w:val="none"/>
        </w:rPr>
      </w:pPr>
      <w:r>
        <w:rPr>
          <w:rFonts w:hint="eastAsia" w:asciiTheme="minorEastAsia" w:hAnsiTheme="minorEastAsia" w:eastAsiaTheme="minorEastAsia"/>
          <w:b w:val="0"/>
          <w:color w:val="auto"/>
          <w:sz w:val="22"/>
          <w:szCs w:val="22"/>
          <w:highlight w:val="none"/>
        </w:rPr>
        <w:t>第十九条</w:t>
      </w:r>
      <w:r>
        <w:rPr>
          <w:rFonts w:asciiTheme="minorEastAsia" w:hAnsiTheme="minorEastAsia" w:eastAsiaTheme="minorEastAsia"/>
          <w:b w:val="0"/>
          <w:color w:val="auto"/>
          <w:sz w:val="22"/>
          <w:szCs w:val="22"/>
          <w:highlight w:val="none"/>
        </w:rPr>
        <w:t xml:space="preserve"> </w:t>
      </w:r>
      <w:r>
        <w:rPr>
          <w:rFonts w:hint="eastAsia" w:asciiTheme="minorEastAsia" w:hAnsiTheme="minorEastAsia" w:eastAsiaTheme="minorEastAsia"/>
          <w:b w:val="0"/>
          <w:color w:val="auto"/>
          <w:sz w:val="22"/>
          <w:szCs w:val="22"/>
          <w:highlight w:val="none"/>
        </w:rPr>
        <w:t>乙方应在该项目工程开工前，进行安全技术现场交底，并在开工前由项目技术负责人按照安全技术交底制度，结合现场周围情况逐条对所有施工人员进行书面交底，被交底人员均应在交底记录上签名确认。</w:t>
      </w:r>
    </w:p>
    <w:p>
      <w:pPr>
        <w:pStyle w:val="2"/>
        <w:kinsoku w:val="0"/>
        <w:overflowPunct w:val="0"/>
        <w:spacing w:line="360" w:lineRule="auto"/>
        <w:ind w:firstLine="440" w:firstLineChars="200"/>
        <w:rPr>
          <w:rFonts w:asciiTheme="minorEastAsia" w:hAnsiTheme="minorEastAsia" w:eastAsiaTheme="minorEastAsia"/>
          <w:b w:val="0"/>
          <w:color w:val="auto"/>
          <w:sz w:val="22"/>
          <w:szCs w:val="22"/>
          <w:highlight w:val="none"/>
        </w:rPr>
      </w:pPr>
      <w:r>
        <w:rPr>
          <w:rFonts w:hint="eastAsia" w:asciiTheme="minorEastAsia" w:hAnsiTheme="minorEastAsia" w:eastAsiaTheme="minorEastAsia"/>
          <w:b w:val="0"/>
          <w:color w:val="auto"/>
          <w:sz w:val="22"/>
          <w:szCs w:val="22"/>
          <w:highlight w:val="none"/>
        </w:rPr>
        <w:t>第二十条</w:t>
      </w:r>
      <w:r>
        <w:rPr>
          <w:rFonts w:asciiTheme="minorEastAsia" w:hAnsiTheme="minorEastAsia" w:eastAsiaTheme="minorEastAsia"/>
          <w:b w:val="0"/>
          <w:color w:val="auto"/>
          <w:sz w:val="22"/>
          <w:szCs w:val="22"/>
          <w:highlight w:val="none"/>
        </w:rPr>
        <w:t xml:space="preserve"> </w:t>
      </w:r>
      <w:r>
        <w:rPr>
          <w:rFonts w:hint="eastAsia" w:asciiTheme="minorEastAsia" w:hAnsiTheme="minorEastAsia" w:eastAsiaTheme="minorEastAsia"/>
          <w:b w:val="0"/>
          <w:color w:val="auto"/>
          <w:sz w:val="22"/>
          <w:szCs w:val="22"/>
          <w:highlight w:val="none"/>
        </w:rPr>
        <w:t>乙方应当根据不同施工阶段和环境变化，及时补充完善作业规程（安全技术措施），</w:t>
      </w:r>
      <w:r>
        <w:rPr>
          <w:rFonts w:asciiTheme="minorEastAsia" w:hAnsiTheme="minorEastAsia" w:eastAsiaTheme="minorEastAsia"/>
          <w:b w:val="0"/>
          <w:color w:val="auto"/>
          <w:sz w:val="22"/>
          <w:szCs w:val="22"/>
          <w:highlight w:val="none"/>
        </w:rPr>
        <w:t xml:space="preserve"> </w:t>
      </w:r>
      <w:r>
        <w:rPr>
          <w:rFonts w:hint="eastAsia" w:asciiTheme="minorEastAsia" w:hAnsiTheme="minorEastAsia" w:eastAsiaTheme="minorEastAsia"/>
          <w:b w:val="0"/>
          <w:color w:val="auto"/>
          <w:sz w:val="22"/>
          <w:szCs w:val="22"/>
          <w:highlight w:val="none"/>
        </w:rPr>
        <w:t>根据队伍调整、人员变化等及时重新进行安全技术交底和作业规程（安全技术措施）贯彻考核。在施工现场采取相应的安全防护措施。安全防护措施应当符合国</w:t>
      </w:r>
    </w:p>
    <w:p>
      <w:pPr>
        <w:pStyle w:val="2"/>
        <w:kinsoku w:val="0"/>
        <w:overflowPunct w:val="0"/>
        <w:spacing w:line="360" w:lineRule="auto"/>
        <w:rPr>
          <w:rFonts w:asciiTheme="minorEastAsia" w:hAnsiTheme="minorEastAsia" w:eastAsiaTheme="minorEastAsia"/>
          <w:b w:val="0"/>
          <w:color w:val="auto"/>
          <w:sz w:val="22"/>
          <w:szCs w:val="22"/>
          <w:highlight w:val="none"/>
        </w:rPr>
      </w:pPr>
      <w:r>
        <w:rPr>
          <w:rFonts w:hint="eastAsia" w:asciiTheme="minorEastAsia" w:hAnsiTheme="minorEastAsia" w:eastAsiaTheme="minorEastAsia"/>
          <w:b w:val="0"/>
          <w:color w:val="auto"/>
          <w:sz w:val="22"/>
          <w:szCs w:val="22"/>
          <w:highlight w:val="none"/>
        </w:rPr>
        <w:t>家劳动安全、环境保护、卫生及消防标准。</w:t>
      </w:r>
    </w:p>
    <w:p>
      <w:pPr>
        <w:pStyle w:val="2"/>
        <w:kinsoku w:val="0"/>
        <w:overflowPunct w:val="0"/>
        <w:spacing w:line="360" w:lineRule="auto"/>
        <w:ind w:firstLine="440" w:firstLineChars="200"/>
        <w:rPr>
          <w:rFonts w:asciiTheme="minorEastAsia" w:hAnsiTheme="minorEastAsia" w:eastAsiaTheme="minorEastAsia"/>
          <w:b w:val="0"/>
          <w:color w:val="auto"/>
          <w:spacing w:val="-10"/>
          <w:position w:val="2"/>
          <w:sz w:val="22"/>
          <w:szCs w:val="22"/>
          <w:highlight w:val="none"/>
        </w:rPr>
      </w:pPr>
      <w:r>
        <w:rPr>
          <w:rFonts w:hint="eastAsia" w:asciiTheme="minorEastAsia" w:hAnsiTheme="minorEastAsia" w:eastAsiaTheme="minorEastAsia"/>
          <w:b w:val="0"/>
          <w:color w:val="auto"/>
          <w:sz w:val="22"/>
          <w:szCs w:val="22"/>
          <w:highlight w:val="none"/>
        </w:rPr>
        <w:t>第二十一条</w:t>
      </w:r>
      <w:r>
        <w:rPr>
          <w:rFonts w:asciiTheme="minorEastAsia" w:hAnsiTheme="minorEastAsia" w:eastAsiaTheme="minorEastAsia"/>
          <w:b w:val="0"/>
          <w:color w:val="auto"/>
          <w:spacing w:val="-12"/>
          <w:sz w:val="22"/>
          <w:szCs w:val="22"/>
          <w:highlight w:val="none"/>
        </w:rPr>
        <w:t xml:space="preserve"> </w:t>
      </w:r>
      <w:r>
        <w:rPr>
          <w:rFonts w:hint="eastAsia" w:asciiTheme="minorEastAsia" w:hAnsiTheme="minorEastAsia" w:eastAsiaTheme="minorEastAsia"/>
          <w:b w:val="0"/>
          <w:color w:val="auto"/>
          <w:position w:val="1"/>
          <w:sz w:val="22"/>
          <w:szCs w:val="22"/>
          <w:highlight w:val="none"/>
        </w:rPr>
        <w:t>乙方应当负责施工现场内的安全设施的</w:t>
      </w:r>
      <w:r>
        <w:rPr>
          <w:rFonts w:hint="eastAsia" w:asciiTheme="minorEastAsia" w:hAnsiTheme="minorEastAsia" w:eastAsiaTheme="minorEastAsia"/>
          <w:b w:val="0"/>
          <w:color w:val="auto"/>
          <w:position w:val="2"/>
          <w:sz w:val="22"/>
          <w:szCs w:val="22"/>
          <w:highlight w:val="none"/>
        </w:rPr>
        <w:t>建立、正</w:t>
      </w:r>
      <w:r>
        <w:rPr>
          <w:rFonts w:hint="eastAsia" w:asciiTheme="minorEastAsia" w:hAnsiTheme="minorEastAsia" w:eastAsiaTheme="minorEastAsia"/>
          <w:b w:val="0"/>
          <w:color w:val="auto"/>
          <w:spacing w:val="-10"/>
          <w:position w:val="2"/>
          <w:sz w:val="22"/>
          <w:szCs w:val="22"/>
          <w:highlight w:val="none"/>
        </w:rPr>
        <w:t>常</w:t>
      </w:r>
      <w:r>
        <w:rPr>
          <w:rFonts w:hint="eastAsia" w:asciiTheme="minorEastAsia" w:hAnsiTheme="minorEastAsia" w:eastAsiaTheme="minorEastAsia"/>
          <w:b w:val="0"/>
          <w:color w:val="auto"/>
          <w:spacing w:val="-4"/>
          <w:sz w:val="22"/>
          <w:szCs w:val="22"/>
          <w:highlight w:val="none"/>
        </w:rPr>
        <w:t>使用及检修维护工作</w:t>
      </w:r>
      <w:r>
        <w:rPr>
          <w:rFonts w:hint="eastAsia" w:asciiTheme="minorEastAsia" w:hAnsiTheme="minorEastAsia" w:eastAsiaTheme="minorEastAsia"/>
          <w:b w:val="0"/>
          <w:color w:val="auto"/>
          <w:spacing w:val="-66"/>
          <w:sz w:val="22"/>
          <w:szCs w:val="22"/>
          <w:highlight w:val="none"/>
        </w:rPr>
        <w:t>；</w:t>
      </w:r>
      <w:r>
        <w:rPr>
          <w:rFonts w:hint="eastAsia" w:asciiTheme="minorEastAsia" w:hAnsiTheme="minorEastAsia" w:eastAsiaTheme="minorEastAsia"/>
          <w:b w:val="0"/>
          <w:color w:val="auto"/>
          <w:spacing w:val="-4"/>
          <w:position w:val="1"/>
          <w:sz w:val="22"/>
          <w:szCs w:val="22"/>
          <w:highlight w:val="none"/>
        </w:rPr>
        <w:t>并应在有较大危险</w:t>
      </w:r>
      <w:r>
        <w:rPr>
          <w:rFonts w:hint="eastAsia" w:asciiTheme="minorEastAsia" w:hAnsiTheme="minorEastAsia" w:eastAsiaTheme="minorEastAsia"/>
          <w:b w:val="0"/>
          <w:color w:val="auto"/>
          <w:spacing w:val="-4"/>
          <w:position w:val="2"/>
          <w:sz w:val="22"/>
          <w:szCs w:val="22"/>
          <w:highlight w:val="none"/>
        </w:rPr>
        <w:t>因素的场所</w:t>
      </w:r>
      <w:r>
        <w:rPr>
          <w:rFonts w:hint="eastAsia" w:asciiTheme="minorEastAsia" w:hAnsiTheme="minorEastAsia" w:eastAsiaTheme="minorEastAsia"/>
          <w:b w:val="0"/>
          <w:color w:val="auto"/>
          <w:spacing w:val="-77"/>
          <w:position w:val="2"/>
          <w:sz w:val="22"/>
          <w:szCs w:val="22"/>
          <w:highlight w:val="none"/>
        </w:rPr>
        <w:t>、</w:t>
      </w:r>
      <w:r>
        <w:rPr>
          <w:rFonts w:hint="eastAsia" w:asciiTheme="minorEastAsia" w:hAnsiTheme="minorEastAsia" w:eastAsiaTheme="minorEastAsia"/>
          <w:b w:val="0"/>
          <w:color w:val="auto"/>
          <w:spacing w:val="-4"/>
          <w:position w:val="2"/>
          <w:sz w:val="22"/>
          <w:szCs w:val="22"/>
          <w:highlight w:val="none"/>
        </w:rPr>
        <w:t>设施</w:t>
      </w:r>
      <w:r>
        <w:rPr>
          <w:rFonts w:hint="eastAsia" w:asciiTheme="minorEastAsia" w:hAnsiTheme="minorEastAsia" w:eastAsiaTheme="minorEastAsia"/>
          <w:b w:val="0"/>
          <w:color w:val="auto"/>
          <w:spacing w:val="-71"/>
          <w:position w:val="2"/>
          <w:sz w:val="22"/>
          <w:szCs w:val="22"/>
          <w:highlight w:val="none"/>
        </w:rPr>
        <w:t>、</w:t>
      </w:r>
      <w:r>
        <w:rPr>
          <w:rFonts w:hint="eastAsia" w:asciiTheme="minorEastAsia" w:hAnsiTheme="minorEastAsia" w:eastAsiaTheme="minorEastAsia"/>
          <w:b w:val="0"/>
          <w:color w:val="auto"/>
          <w:spacing w:val="-4"/>
          <w:position w:val="3"/>
          <w:sz w:val="22"/>
          <w:szCs w:val="22"/>
          <w:highlight w:val="none"/>
        </w:rPr>
        <w:t>设备上</w:t>
      </w:r>
      <w:r>
        <w:rPr>
          <w:rFonts w:asciiTheme="minorEastAsia" w:hAnsiTheme="minorEastAsia" w:eastAsiaTheme="minorEastAsia"/>
          <w:b w:val="0"/>
          <w:color w:val="auto"/>
          <w:spacing w:val="-10"/>
          <w:position w:val="3"/>
          <w:sz w:val="22"/>
          <w:szCs w:val="22"/>
          <w:highlight w:val="none"/>
        </w:rPr>
        <w:t>,</w:t>
      </w:r>
      <w:r>
        <w:rPr>
          <w:rFonts w:hint="eastAsia" w:asciiTheme="minorEastAsia" w:hAnsiTheme="minorEastAsia" w:eastAsiaTheme="minorEastAsia"/>
          <w:b w:val="0"/>
          <w:color w:val="auto"/>
          <w:spacing w:val="-2"/>
          <w:position w:val="2"/>
          <w:sz w:val="22"/>
          <w:szCs w:val="22"/>
          <w:highlight w:val="none"/>
        </w:rPr>
        <w:t>设置明显的、符合</w:t>
      </w:r>
      <w:r>
        <w:rPr>
          <w:rFonts w:hint="eastAsia" w:asciiTheme="minorEastAsia" w:hAnsiTheme="minorEastAsia" w:eastAsiaTheme="minorEastAsia"/>
          <w:b w:val="0"/>
          <w:color w:val="auto"/>
          <w:spacing w:val="-2"/>
          <w:position w:val="1"/>
          <w:sz w:val="22"/>
          <w:szCs w:val="22"/>
          <w:highlight w:val="none"/>
        </w:rPr>
        <w:t>国家标准的安全警示</w:t>
      </w:r>
      <w:r>
        <w:rPr>
          <w:rFonts w:hint="eastAsia" w:asciiTheme="minorEastAsia" w:hAnsiTheme="minorEastAsia" w:eastAsiaTheme="minorEastAsia"/>
          <w:b w:val="0"/>
          <w:color w:val="auto"/>
          <w:spacing w:val="-2"/>
          <w:sz w:val="22"/>
          <w:szCs w:val="22"/>
          <w:highlight w:val="none"/>
        </w:rPr>
        <w:t>标志</w:t>
      </w:r>
      <w:r>
        <w:rPr>
          <w:rFonts w:hint="eastAsia" w:asciiTheme="minorEastAsia" w:hAnsiTheme="minorEastAsia" w:eastAsiaTheme="minorEastAsia"/>
          <w:b w:val="0"/>
          <w:color w:val="auto"/>
          <w:spacing w:val="-10"/>
          <w:sz w:val="22"/>
          <w:szCs w:val="22"/>
          <w:highlight w:val="none"/>
        </w:rPr>
        <w:t>。</w:t>
      </w:r>
    </w:p>
    <w:p>
      <w:pPr>
        <w:pStyle w:val="2"/>
        <w:kinsoku w:val="0"/>
        <w:overflowPunct w:val="0"/>
        <w:spacing w:line="360" w:lineRule="auto"/>
        <w:ind w:firstLine="440" w:firstLineChars="200"/>
        <w:rPr>
          <w:rFonts w:asciiTheme="minorEastAsia" w:hAnsiTheme="minorEastAsia" w:eastAsiaTheme="minorEastAsia"/>
          <w:b w:val="0"/>
          <w:color w:val="auto"/>
          <w:spacing w:val="-2"/>
          <w:sz w:val="22"/>
          <w:szCs w:val="22"/>
          <w:highlight w:val="none"/>
        </w:rPr>
      </w:pPr>
      <w:r>
        <w:rPr>
          <w:rFonts w:hint="eastAsia" w:asciiTheme="minorEastAsia" w:hAnsiTheme="minorEastAsia" w:eastAsiaTheme="minorEastAsia"/>
          <w:b w:val="0"/>
          <w:color w:val="auto"/>
          <w:position w:val="2"/>
          <w:sz w:val="22"/>
          <w:szCs w:val="22"/>
          <w:highlight w:val="none"/>
        </w:rPr>
        <w:t>第二</w:t>
      </w:r>
      <w:r>
        <w:rPr>
          <w:rFonts w:hint="eastAsia" w:asciiTheme="minorEastAsia" w:hAnsiTheme="minorEastAsia" w:eastAsiaTheme="minorEastAsia"/>
          <w:b w:val="0"/>
          <w:color w:val="auto"/>
          <w:position w:val="1"/>
          <w:sz w:val="22"/>
          <w:szCs w:val="22"/>
          <w:highlight w:val="none"/>
        </w:rPr>
        <w:t>十二条</w:t>
      </w:r>
      <w:r>
        <w:rPr>
          <w:rFonts w:asciiTheme="minorEastAsia" w:hAnsiTheme="minorEastAsia" w:eastAsiaTheme="minorEastAsia"/>
          <w:b w:val="0"/>
          <w:color w:val="auto"/>
          <w:position w:val="1"/>
          <w:sz w:val="22"/>
          <w:szCs w:val="22"/>
          <w:highlight w:val="none"/>
        </w:rPr>
        <w:t xml:space="preserve"> </w:t>
      </w:r>
      <w:r>
        <w:rPr>
          <w:rFonts w:hint="eastAsia" w:asciiTheme="minorEastAsia" w:hAnsiTheme="minorEastAsia" w:eastAsiaTheme="minorEastAsia"/>
          <w:b w:val="0"/>
          <w:color w:val="auto"/>
          <w:position w:val="2"/>
          <w:sz w:val="22"/>
          <w:szCs w:val="22"/>
          <w:highlight w:val="none"/>
        </w:rPr>
        <w:t>乙</w:t>
      </w:r>
      <w:r>
        <w:rPr>
          <w:rFonts w:hint="eastAsia" w:asciiTheme="minorEastAsia" w:hAnsiTheme="minorEastAsia" w:eastAsiaTheme="minorEastAsia"/>
          <w:b w:val="0"/>
          <w:color w:val="auto"/>
          <w:position w:val="1"/>
          <w:sz w:val="22"/>
          <w:szCs w:val="22"/>
          <w:highlight w:val="none"/>
        </w:rPr>
        <w:t>方应当遵守施</w:t>
      </w:r>
      <w:r>
        <w:rPr>
          <w:rFonts w:hint="eastAsia" w:asciiTheme="minorEastAsia" w:hAnsiTheme="minorEastAsia" w:eastAsiaTheme="minorEastAsia"/>
          <w:b w:val="0"/>
          <w:color w:val="auto"/>
          <w:sz w:val="22"/>
          <w:szCs w:val="22"/>
          <w:highlight w:val="none"/>
        </w:rPr>
        <w:t>工安全的技术标准、操作规程和制</w:t>
      </w:r>
      <w:r>
        <w:rPr>
          <w:rFonts w:hint="eastAsia" w:asciiTheme="minorEastAsia" w:hAnsiTheme="minorEastAsia" w:eastAsiaTheme="minorEastAsia"/>
          <w:b w:val="0"/>
          <w:color w:val="auto"/>
          <w:spacing w:val="-2"/>
          <w:sz w:val="22"/>
          <w:szCs w:val="22"/>
          <w:highlight w:val="none"/>
        </w:rPr>
        <w:t>度</w:t>
      </w:r>
      <w:r>
        <w:rPr>
          <w:rFonts w:hint="eastAsia" w:asciiTheme="minorEastAsia" w:hAnsiTheme="minorEastAsia" w:eastAsiaTheme="minorEastAsia"/>
          <w:b w:val="0"/>
          <w:color w:val="auto"/>
          <w:spacing w:val="-2"/>
          <w:position w:val="3"/>
          <w:sz w:val="22"/>
          <w:szCs w:val="22"/>
          <w:highlight w:val="none"/>
        </w:rPr>
        <w:t>，</w:t>
      </w:r>
      <w:r>
        <w:rPr>
          <w:rFonts w:hint="eastAsia" w:asciiTheme="minorEastAsia" w:hAnsiTheme="minorEastAsia" w:eastAsiaTheme="minorEastAsia"/>
          <w:b w:val="0"/>
          <w:color w:val="auto"/>
          <w:spacing w:val="-2"/>
          <w:position w:val="2"/>
          <w:sz w:val="22"/>
          <w:szCs w:val="22"/>
          <w:highlight w:val="none"/>
        </w:rPr>
        <w:t>不得违章指挥、</w:t>
      </w:r>
      <w:r>
        <w:rPr>
          <w:rFonts w:hint="eastAsia" w:asciiTheme="minorEastAsia" w:hAnsiTheme="minorEastAsia" w:eastAsiaTheme="minorEastAsia"/>
          <w:b w:val="0"/>
          <w:color w:val="auto"/>
          <w:spacing w:val="-2"/>
          <w:position w:val="1"/>
          <w:sz w:val="22"/>
          <w:szCs w:val="22"/>
          <w:highlight w:val="none"/>
        </w:rPr>
        <w:t>违章作业和违反劳动纪律。</w:t>
      </w:r>
      <w:r>
        <w:rPr>
          <w:rFonts w:hint="eastAsia" w:asciiTheme="minorEastAsia" w:hAnsiTheme="minorEastAsia" w:eastAsiaTheme="minorEastAsia"/>
          <w:b w:val="0"/>
          <w:color w:val="auto"/>
          <w:spacing w:val="-2"/>
          <w:sz w:val="22"/>
          <w:szCs w:val="22"/>
          <w:highlight w:val="none"/>
        </w:rPr>
        <w:t>发现违章指挥、违章</w:t>
      </w:r>
      <w:r>
        <w:rPr>
          <w:rFonts w:hint="eastAsia" w:asciiTheme="minorEastAsia" w:hAnsiTheme="minorEastAsia" w:eastAsiaTheme="minorEastAsia"/>
          <w:b w:val="0"/>
          <w:color w:val="auto"/>
          <w:spacing w:val="-2"/>
          <w:position w:val="2"/>
          <w:sz w:val="22"/>
          <w:szCs w:val="22"/>
          <w:highlight w:val="none"/>
        </w:rPr>
        <w:t>作业和违反劳动纪律的，</w:t>
      </w:r>
      <w:r>
        <w:rPr>
          <w:rFonts w:hint="eastAsia" w:asciiTheme="minorEastAsia" w:hAnsiTheme="minorEastAsia" w:eastAsiaTheme="minorEastAsia"/>
          <w:b w:val="0"/>
          <w:color w:val="auto"/>
          <w:spacing w:val="-2"/>
          <w:position w:val="1"/>
          <w:sz w:val="22"/>
          <w:szCs w:val="22"/>
          <w:highlight w:val="none"/>
        </w:rPr>
        <w:t>应当立即制止，并按照约</w:t>
      </w:r>
      <w:r>
        <w:rPr>
          <w:rFonts w:hint="eastAsia" w:asciiTheme="minorEastAsia" w:hAnsiTheme="minorEastAsia" w:eastAsiaTheme="minorEastAsia"/>
          <w:b w:val="0"/>
          <w:color w:val="auto"/>
          <w:spacing w:val="-2"/>
          <w:sz w:val="22"/>
          <w:szCs w:val="22"/>
          <w:highlight w:val="none"/>
        </w:rPr>
        <w:t>定予以处罚。</w:t>
      </w:r>
    </w:p>
    <w:p>
      <w:pPr>
        <w:pStyle w:val="2"/>
        <w:kinsoku w:val="0"/>
        <w:overflowPunct w:val="0"/>
        <w:spacing w:line="360" w:lineRule="auto"/>
        <w:ind w:firstLine="440" w:firstLineChars="200"/>
        <w:rPr>
          <w:rFonts w:asciiTheme="minorEastAsia" w:hAnsiTheme="minorEastAsia" w:eastAsiaTheme="minorEastAsia"/>
          <w:b w:val="0"/>
          <w:color w:val="auto"/>
          <w:sz w:val="22"/>
          <w:szCs w:val="22"/>
          <w:highlight w:val="none"/>
        </w:rPr>
      </w:pPr>
      <w:r>
        <w:rPr>
          <w:rFonts w:hint="eastAsia" w:asciiTheme="minorEastAsia" w:hAnsiTheme="minorEastAsia" w:eastAsiaTheme="minorEastAsia"/>
          <w:b w:val="0"/>
          <w:color w:val="auto"/>
          <w:sz w:val="22"/>
          <w:szCs w:val="22"/>
          <w:highlight w:val="none"/>
        </w:rPr>
        <w:t>第二十三条</w:t>
      </w:r>
      <w:r>
        <w:rPr>
          <w:rFonts w:asciiTheme="minorEastAsia" w:hAnsiTheme="minorEastAsia" w:eastAsiaTheme="minorEastAsia"/>
          <w:b w:val="0"/>
          <w:color w:val="auto"/>
          <w:sz w:val="22"/>
          <w:szCs w:val="22"/>
          <w:highlight w:val="none"/>
        </w:rPr>
        <w:t xml:space="preserve"> </w:t>
      </w:r>
      <w:r>
        <w:rPr>
          <w:rFonts w:hint="eastAsia" w:asciiTheme="minorEastAsia" w:hAnsiTheme="minorEastAsia" w:eastAsiaTheme="minorEastAsia"/>
          <w:b w:val="0"/>
          <w:color w:val="auto"/>
          <w:sz w:val="22"/>
          <w:szCs w:val="22"/>
          <w:highlight w:val="none"/>
        </w:rPr>
        <w:t>乙方施工现场应当建立定期安全检查、隐患排查；专项检查、专项隐患排查；经常性安全检查；季节性、节假日安全检查；职工自检、不定期检查和安全日检等制度，并做好安全检查记录</w:t>
      </w:r>
      <w:r>
        <w:rPr>
          <w:rFonts w:asciiTheme="minorEastAsia" w:hAnsiTheme="minorEastAsia" w:eastAsiaTheme="minorEastAsia"/>
          <w:b w:val="0"/>
          <w:color w:val="auto"/>
          <w:sz w:val="22"/>
          <w:szCs w:val="22"/>
          <w:highlight w:val="none"/>
        </w:rPr>
        <w:t>,</w:t>
      </w:r>
      <w:r>
        <w:rPr>
          <w:rFonts w:hint="eastAsia" w:asciiTheme="minorEastAsia" w:hAnsiTheme="minorEastAsia" w:eastAsiaTheme="minorEastAsia"/>
          <w:b w:val="0"/>
          <w:color w:val="auto"/>
          <w:sz w:val="22"/>
          <w:szCs w:val="22"/>
          <w:highlight w:val="none"/>
        </w:rPr>
        <w:t>对存在的事故隐患必须按“五定”（定人员、定期限、定措施、定标准、定资金）及时整改，不能整改的要及时上报。并及时向甲方通报排查情况；对甲方或其他相关单位检查出的事故隐患，乙方必须按要求在规定时间内整改完毕。</w:t>
      </w:r>
    </w:p>
    <w:p>
      <w:pPr>
        <w:pStyle w:val="2"/>
        <w:kinsoku w:val="0"/>
        <w:overflowPunct w:val="0"/>
        <w:spacing w:line="360" w:lineRule="auto"/>
        <w:ind w:firstLine="440" w:firstLineChars="200"/>
        <w:rPr>
          <w:rFonts w:asciiTheme="minorEastAsia" w:hAnsiTheme="minorEastAsia" w:eastAsiaTheme="minorEastAsia"/>
          <w:b w:val="0"/>
          <w:color w:val="auto"/>
          <w:sz w:val="22"/>
          <w:szCs w:val="22"/>
          <w:highlight w:val="none"/>
        </w:rPr>
      </w:pPr>
      <w:r>
        <w:rPr>
          <w:rFonts w:hint="eastAsia" w:asciiTheme="minorEastAsia" w:hAnsiTheme="minorEastAsia" w:eastAsiaTheme="minorEastAsia"/>
          <w:b w:val="0"/>
          <w:color w:val="auto"/>
          <w:sz w:val="22"/>
          <w:szCs w:val="22"/>
          <w:highlight w:val="none"/>
        </w:rPr>
        <w:t>对于施工通讯系统（包括内外线电话）、安全设施、机械设备、警示标志等，应当定期检查、维修和保养，并建立检查、维修和保养登记制度。</w:t>
      </w:r>
    </w:p>
    <w:p>
      <w:pPr>
        <w:pStyle w:val="2"/>
        <w:kinsoku w:val="0"/>
        <w:overflowPunct w:val="0"/>
        <w:spacing w:line="360" w:lineRule="auto"/>
        <w:ind w:firstLine="607"/>
        <w:rPr>
          <w:rFonts w:asciiTheme="minorEastAsia" w:hAnsiTheme="minorEastAsia" w:eastAsiaTheme="minorEastAsia"/>
          <w:b w:val="0"/>
          <w:color w:val="auto"/>
          <w:sz w:val="22"/>
          <w:szCs w:val="22"/>
          <w:highlight w:val="none"/>
        </w:rPr>
      </w:pPr>
      <w:r>
        <w:rPr>
          <w:rFonts w:hint="eastAsia" w:asciiTheme="minorEastAsia" w:hAnsiTheme="minorEastAsia" w:eastAsiaTheme="minorEastAsia"/>
          <w:b w:val="0"/>
          <w:color w:val="auto"/>
          <w:sz w:val="22"/>
          <w:szCs w:val="22"/>
          <w:highlight w:val="none"/>
        </w:rPr>
        <w:t>第二十四条</w:t>
      </w:r>
      <w:r>
        <w:rPr>
          <w:rFonts w:asciiTheme="minorEastAsia" w:hAnsiTheme="minorEastAsia" w:eastAsiaTheme="minorEastAsia"/>
          <w:b w:val="0"/>
          <w:color w:val="auto"/>
          <w:sz w:val="22"/>
          <w:szCs w:val="22"/>
          <w:highlight w:val="none"/>
        </w:rPr>
        <w:t xml:space="preserve"> </w:t>
      </w:r>
      <w:r>
        <w:rPr>
          <w:rFonts w:hint="eastAsia" w:asciiTheme="minorEastAsia" w:hAnsiTheme="minorEastAsia" w:eastAsiaTheme="minorEastAsia"/>
          <w:b w:val="0"/>
          <w:color w:val="auto"/>
          <w:sz w:val="22"/>
          <w:szCs w:val="22"/>
          <w:highlight w:val="none"/>
        </w:rPr>
        <w:t>乙方要严格按照国家相关规定、规范、标准，定期对达到检测、校验期限的仪器、仪表和设备、容器送有资质的单位检测、校验，该淘汰的要坚决淘汰；严禁使用国家明令淘汰或限期淘汰以及严禁使用的仪器、仪表和设备、容器；要建立仪器、仪表和设备、容器管理制度和定期检测、校验台账，实行专人负责。</w:t>
      </w:r>
    </w:p>
    <w:p>
      <w:pPr>
        <w:pStyle w:val="2"/>
        <w:kinsoku w:val="0"/>
        <w:overflowPunct w:val="0"/>
        <w:spacing w:line="360" w:lineRule="auto"/>
        <w:ind w:firstLine="607"/>
        <w:rPr>
          <w:rFonts w:asciiTheme="minorEastAsia" w:hAnsiTheme="minorEastAsia" w:eastAsiaTheme="minorEastAsia"/>
          <w:b w:val="0"/>
          <w:color w:val="auto"/>
          <w:sz w:val="22"/>
          <w:szCs w:val="22"/>
          <w:highlight w:val="none"/>
        </w:rPr>
      </w:pPr>
      <w:r>
        <w:rPr>
          <w:rFonts w:hint="eastAsia" w:asciiTheme="minorEastAsia" w:hAnsiTheme="minorEastAsia" w:eastAsiaTheme="minorEastAsia"/>
          <w:b w:val="0"/>
          <w:color w:val="auto"/>
          <w:sz w:val="22"/>
          <w:szCs w:val="22"/>
          <w:highlight w:val="none"/>
        </w:rPr>
        <w:t>第二十五条</w:t>
      </w:r>
      <w:r>
        <w:rPr>
          <w:rFonts w:asciiTheme="minorEastAsia" w:hAnsiTheme="minorEastAsia" w:eastAsiaTheme="minorEastAsia"/>
          <w:b w:val="0"/>
          <w:color w:val="auto"/>
          <w:sz w:val="22"/>
          <w:szCs w:val="22"/>
          <w:highlight w:val="none"/>
        </w:rPr>
        <w:t xml:space="preserve"> </w:t>
      </w:r>
      <w:r>
        <w:rPr>
          <w:rFonts w:hint="eastAsia" w:asciiTheme="minorEastAsia" w:hAnsiTheme="minorEastAsia" w:eastAsiaTheme="minorEastAsia"/>
          <w:b w:val="0"/>
          <w:color w:val="auto"/>
          <w:sz w:val="22"/>
          <w:szCs w:val="22"/>
          <w:highlight w:val="none"/>
        </w:rPr>
        <w:t>乙方要针对施工场地周围存在山体滑坡、垮塌、泥石流，以及洪灾导致溃坝、溃堤、淤积危险河道等自然灾害威胁</w:t>
      </w:r>
    </w:p>
    <w:p>
      <w:pPr>
        <w:pStyle w:val="2"/>
        <w:kinsoku w:val="0"/>
        <w:overflowPunct w:val="0"/>
        <w:spacing w:line="360" w:lineRule="auto"/>
        <w:rPr>
          <w:rFonts w:asciiTheme="minorEastAsia" w:hAnsiTheme="minorEastAsia" w:eastAsiaTheme="minorEastAsia"/>
          <w:b w:val="0"/>
          <w:color w:val="auto"/>
          <w:sz w:val="22"/>
          <w:szCs w:val="22"/>
          <w:highlight w:val="none"/>
        </w:rPr>
      </w:pPr>
      <w:r>
        <w:rPr>
          <w:rFonts w:hint="eastAsia" w:asciiTheme="minorEastAsia" w:hAnsiTheme="minorEastAsia" w:eastAsiaTheme="minorEastAsia"/>
          <w:b w:val="0"/>
          <w:color w:val="auto"/>
          <w:sz w:val="22"/>
          <w:szCs w:val="22"/>
          <w:highlight w:val="none"/>
        </w:rPr>
        <w:t>要制定落实防范治理措施，专人负责；制定落实风、雨、电、雪、冰冻、地震等可能造停电、停风、淹井事故的防范措施；可能威胁到在建矿井的废弃井口、涌水通道填堵封实；落实雨季“三防”（防洪、防排水、防雷电）、冬季“四防”（“防寒、防冻、防火、防中毒”）</w:t>
      </w:r>
      <w:r>
        <w:rPr>
          <w:rFonts w:asciiTheme="minorEastAsia" w:hAnsiTheme="minorEastAsia" w:eastAsiaTheme="minorEastAsia"/>
          <w:b w:val="0"/>
          <w:color w:val="auto"/>
          <w:sz w:val="22"/>
          <w:szCs w:val="22"/>
          <w:highlight w:val="none"/>
        </w:rPr>
        <w:t xml:space="preserve"> </w:t>
      </w:r>
      <w:r>
        <w:rPr>
          <w:rFonts w:hint="eastAsia" w:asciiTheme="minorEastAsia" w:hAnsiTheme="minorEastAsia" w:eastAsiaTheme="minorEastAsia"/>
          <w:b w:val="0"/>
          <w:color w:val="auto"/>
          <w:sz w:val="22"/>
          <w:szCs w:val="22"/>
          <w:highlight w:val="none"/>
        </w:rPr>
        <w:t>工作，</w:t>
      </w:r>
      <w:r>
        <w:rPr>
          <w:rFonts w:asciiTheme="minorEastAsia" w:hAnsiTheme="minorEastAsia" w:eastAsiaTheme="minorEastAsia"/>
          <w:b w:val="0"/>
          <w:color w:val="auto"/>
          <w:sz w:val="22"/>
          <w:szCs w:val="22"/>
          <w:highlight w:val="none"/>
        </w:rPr>
        <mc:AlternateContent>
          <mc:Choice Requires="wps">
            <w:drawing>
              <wp:anchor distT="0" distB="0" distL="114300" distR="114300" simplePos="0" relativeHeight="251662336" behindDoc="1" locked="0" layoutInCell="0" allowOverlap="1">
                <wp:simplePos x="0" y="0"/>
                <wp:positionH relativeFrom="page">
                  <wp:posOffset>88265</wp:posOffset>
                </wp:positionH>
                <wp:positionV relativeFrom="page">
                  <wp:posOffset>950595</wp:posOffset>
                </wp:positionV>
                <wp:extent cx="7251700" cy="8966200"/>
                <wp:effectExtent l="0" t="0" r="0" b="0"/>
                <wp:wrapNone/>
                <wp:docPr id="31" name="矩形 31"/>
                <wp:cNvGraphicFramePr/>
                <a:graphic xmlns:a="http://schemas.openxmlformats.org/drawingml/2006/main">
                  <a:graphicData uri="http://schemas.microsoft.com/office/word/2010/wordprocessingShape">
                    <wps:wsp>
                      <wps:cNvSpPr>
                        <a:spLocks noChangeArrowheads="1"/>
                      </wps:cNvSpPr>
                      <wps:spPr bwMode="auto">
                        <a:xfrm>
                          <a:off x="0" y="0"/>
                          <a:ext cx="7251700" cy="8966200"/>
                        </a:xfrm>
                        <a:prstGeom prst="rect">
                          <a:avLst/>
                        </a:prstGeom>
                        <a:noFill/>
                        <a:ln>
                          <a:noFill/>
                        </a:ln>
                      </wps:spPr>
                      <wps:txbx>
                        <w:txbxContent>
                          <w:p>
                            <w:pPr>
                              <w:rPr>
                                <w:sz w:val="24"/>
                                <w:szCs w:val="24"/>
                              </w:rPr>
                            </w:pPr>
                          </w:p>
                        </w:txbxContent>
                      </wps:txbx>
                      <wps:bodyPr rot="0" vert="horz" wrap="square" lIns="0" tIns="0" rIns="0" bIns="0" anchor="t" anchorCtr="0" upright="1">
                        <a:noAutofit/>
                      </wps:bodyPr>
                    </wps:wsp>
                  </a:graphicData>
                </a:graphic>
              </wp:anchor>
            </w:drawing>
          </mc:Choice>
          <mc:Fallback>
            <w:pict>
              <v:rect id="_x0000_s1026" o:spid="_x0000_s1026" o:spt="1" style="position:absolute;left:0pt;margin-left:6.95pt;margin-top:74.85pt;height:706pt;width:571pt;mso-position-horizontal-relative:page;mso-position-vertical-relative:page;z-index:-251654144;mso-width-relative:page;mso-height-relative:page;" filled="f" stroked="f" coordsize="21600,21600" o:allowincell="f" o:gfxdata="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z&#10;F5b12wAAAAwBAAAPAAAAAAAAAAEAIAAAACIAAABkcnMvZG93bnJldi54bWxQSwECFAAUAAAACACH&#10;TuJAUGa99OgBAACtAwAADgAAAAAAAAABACAAAAAqAQAAZHJzL2Uyb0RvYy54bWxQSwUGAAAAAAYA&#10;BgBZAQAAhAUAAAAA&#10;">
                <v:fill on="f" focussize="0,0"/>
                <v:stroke on="f"/>
                <v:imagedata o:title=""/>
                <o:lock v:ext="edit" aspectratio="f"/>
                <v:textbox inset="0mm,0mm,0mm,0mm">
                  <w:txbxContent>
                    <w:p>
                      <w:pPr>
                        <w:rPr>
                          <w:sz w:val="24"/>
                          <w:szCs w:val="24"/>
                        </w:rPr>
                      </w:pPr>
                    </w:p>
                  </w:txbxContent>
                </v:textbox>
              </v:rect>
            </w:pict>
          </mc:Fallback>
        </mc:AlternateContent>
      </w:r>
      <w:r>
        <w:rPr>
          <w:rFonts w:hint="eastAsia" w:asciiTheme="minorEastAsia" w:hAnsiTheme="minorEastAsia" w:eastAsiaTheme="minorEastAsia"/>
          <w:b w:val="0"/>
          <w:color w:val="auto"/>
          <w:sz w:val="22"/>
          <w:szCs w:val="22"/>
          <w:highlight w:val="none"/>
        </w:rPr>
        <w:t>要制定切实可行的措施。</w:t>
      </w:r>
    </w:p>
    <w:p>
      <w:pPr>
        <w:pStyle w:val="2"/>
        <w:kinsoku w:val="0"/>
        <w:overflowPunct w:val="0"/>
        <w:spacing w:line="360" w:lineRule="auto"/>
        <w:ind w:firstLine="440" w:firstLineChars="200"/>
        <w:rPr>
          <w:rFonts w:asciiTheme="minorEastAsia" w:hAnsiTheme="minorEastAsia" w:eastAsiaTheme="minorEastAsia"/>
          <w:b w:val="0"/>
          <w:color w:val="auto"/>
          <w:sz w:val="22"/>
          <w:szCs w:val="22"/>
          <w:highlight w:val="none"/>
        </w:rPr>
      </w:pPr>
      <w:r>
        <w:rPr>
          <w:rFonts w:hint="eastAsia" w:asciiTheme="minorEastAsia" w:hAnsiTheme="minorEastAsia" w:eastAsiaTheme="minorEastAsia"/>
          <w:b w:val="0"/>
          <w:color w:val="auto"/>
          <w:sz w:val="22"/>
          <w:szCs w:val="22"/>
          <w:highlight w:val="none"/>
        </w:rPr>
        <w:t>第二十六条</w:t>
      </w:r>
      <w:r>
        <w:rPr>
          <w:rFonts w:asciiTheme="minorEastAsia" w:hAnsiTheme="minorEastAsia" w:eastAsiaTheme="minorEastAsia"/>
          <w:b w:val="0"/>
          <w:color w:val="auto"/>
          <w:sz w:val="22"/>
          <w:szCs w:val="22"/>
          <w:highlight w:val="none"/>
        </w:rPr>
        <w:t xml:space="preserve"> </w:t>
      </w:r>
      <w:r>
        <w:rPr>
          <w:rFonts w:hint="eastAsia" w:asciiTheme="minorEastAsia" w:hAnsiTheme="minorEastAsia" w:eastAsiaTheme="minorEastAsia"/>
          <w:b w:val="0"/>
          <w:color w:val="auto"/>
          <w:sz w:val="22"/>
          <w:szCs w:val="22"/>
          <w:highlight w:val="none"/>
        </w:rPr>
        <w:t>乙方应当教育职工爱护矿山安全生产设施。损坏安全生产设施要及时恢复，乙方承担由此所造成的一切后果。</w:t>
      </w:r>
    </w:p>
    <w:p>
      <w:pPr>
        <w:pStyle w:val="2"/>
        <w:kinsoku w:val="0"/>
        <w:overflowPunct w:val="0"/>
        <w:spacing w:line="360" w:lineRule="auto"/>
        <w:ind w:firstLine="440" w:firstLineChars="200"/>
        <w:rPr>
          <w:rFonts w:asciiTheme="minorEastAsia" w:hAnsiTheme="minorEastAsia" w:eastAsiaTheme="minorEastAsia"/>
          <w:b w:val="0"/>
          <w:color w:val="auto"/>
          <w:sz w:val="22"/>
          <w:szCs w:val="22"/>
          <w:highlight w:val="none"/>
        </w:rPr>
      </w:pPr>
      <w:r>
        <w:rPr>
          <w:rFonts w:hint="eastAsia" w:asciiTheme="minorEastAsia" w:hAnsiTheme="minorEastAsia" w:eastAsiaTheme="minorEastAsia"/>
          <w:b w:val="0"/>
          <w:color w:val="auto"/>
          <w:sz w:val="22"/>
          <w:szCs w:val="22"/>
          <w:highlight w:val="none"/>
        </w:rPr>
        <w:t>第二十七条</w:t>
      </w:r>
      <w:r>
        <w:rPr>
          <w:rFonts w:asciiTheme="minorEastAsia" w:hAnsiTheme="minorEastAsia" w:eastAsiaTheme="minorEastAsia"/>
          <w:b w:val="0"/>
          <w:color w:val="auto"/>
          <w:sz w:val="22"/>
          <w:szCs w:val="22"/>
          <w:highlight w:val="none"/>
        </w:rPr>
        <w:t xml:space="preserve"> </w:t>
      </w:r>
      <w:r>
        <w:rPr>
          <w:rFonts w:hint="eastAsia" w:asciiTheme="minorEastAsia" w:hAnsiTheme="minorEastAsia" w:eastAsiaTheme="minorEastAsia"/>
          <w:b w:val="0"/>
          <w:color w:val="auto"/>
          <w:sz w:val="22"/>
          <w:szCs w:val="22"/>
          <w:highlight w:val="none"/>
        </w:rPr>
        <w:t>因乙方原因造成重大事故隐患或发生事故，致使甲方受到上级主管部门经济处罚或遭受其它损失的，由乙方承担。</w:t>
      </w:r>
    </w:p>
    <w:p>
      <w:pPr>
        <w:pStyle w:val="2"/>
        <w:kinsoku w:val="0"/>
        <w:overflowPunct w:val="0"/>
        <w:spacing w:line="360" w:lineRule="auto"/>
        <w:ind w:firstLine="440" w:firstLineChars="200"/>
        <w:rPr>
          <w:rFonts w:asciiTheme="minorEastAsia" w:hAnsiTheme="minorEastAsia" w:eastAsiaTheme="minorEastAsia"/>
          <w:b w:val="0"/>
          <w:color w:val="auto"/>
          <w:sz w:val="22"/>
          <w:szCs w:val="22"/>
          <w:highlight w:val="none"/>
        </w:rPr>
      </w:pPr>
      <w:r>
        <w:rPr>
          <w:rFonts w:hint="eastAsia" w:asciiTheme="minorEastAsia" w:hAnsiTheme="minorEastAsia" w:eastAsiaTheme="minorEastAsia"/>
          <w:b w:val="0"/>
          <w:color w:val="auto"/>
          <w:sz w:val="22"/>
          <w:szCs w:val="22"/>
          <w:highlight w:val="none"/>
        </w:rPr>
        <w:t>第二十八条</w:t>
      </w:r>
      <w:r>
        <w:rPr>
          <w:rFonts w:asciiTheme="minorEastAsia" w:hAnsiTheme="minorEastAsia" w:eastAsiaTheme="minorEastAsia"/>
          <w:b w:val="0"/>
          <w:color w:val="auto"/>
          <w:sz w:val="22"/>
          <w:szCs w:val="22"/>
          <w:highlight w:val="none"/>
        </w:rPr>
        <w:t xml:space="preserve"> </w:t>
      </w:r>
      <w:r>
        <w:rPr>
          <w:rFonts w:hint="eastAsia" w:asciiTheme="minorEastAsia" w:hAnsiTheme="minorEastAsia" w:eastAsiaTheme="minorEastAsia"/>
          <w:b w:val="0"/>
          <w:color w:val="auto"/>
          <w:sz w:val="22"/>
          <w:szCs w:val="22"/>
          <w:highlight w:val="none"/>
        </w:rPr>
        <w:t>发生灾害事故时，乙方应当及时向甲方通报，并认真执行甲方抢险、救灾命令，一切人员、材料、设备等均无条件服从甲方调度。</w:t>
      </w:r>
    </w:p>
    <w:p>
      <w:pPr>
        <w:pStyle w:val="2"/>
        <w:kinsoku w:val="0"/>
        <w:overflowPunct w:val="0"/>
        <w:spacing w:line="360" w:lineRule="auto"/>
        <w:ind w:firstLine="440" w:firstLineChars="200"/>
        <w:rPr>
          <w:rFonts w:asciiTheme="minorEastAsia" w:hAnsiTheme="minorEastAsia" w:eastAsiaTheme="minorEastAsia"/>
          <w:b w:val="0"/>
          <w:color w:val="auto"/>
          <w:sz w:val="22"/>
          <w:szCs w:val="22"/>
          <w:highlight w:val="none"/>
        </w:rPr>
      </w:pPr>
      <w:r>
        <w:rPr>
          <w:rFonts w:hint="eastAsia" w:asciiTheme="minorEastAsia" w:hAnsiTheme="minorEastAsia" w:eastAsiaTheme="minorEastAsia"/>
          <w:b w:val="0"/>
          <w:color w:val="auto"/>
          <w:sz w:val="22"/>
          <w:szCs w:val="22"/>
          <w:highlight w:val="none"/>
        </w:rPr>
        <w:t>第二十九条</w:t>
      </w:r>
      <w:r>
        <w:rPr>
          <w:rFonts w:asciiTheme="minorEastAsia" w:hAnsiTheme="minorEastAsia" w:eastAsiaTheme="minorEastAsia"/>
          <w:b w:val="0"/>
          <w:color w:val="auto"/>
          <w:sz w:val="22"/>
          <w:szCs w:val="22"/>
          <w:highlight w:val="none"/>
        </w:rPr>
        <w:t xml:space="preserve"> </w:t>
      </w:r>
      <w:r>
        <w:rPr>
          <w:rFonts w:hint="eastAsia" w:asciiTheme="minorEastAsia" w:hAnsiTheme="minorEastAsia" w:eastAsiaTheme="minorEastAsia"/>
          <w:b w:val="0"/>
          <w:color w:val="auto"/>
          <w:sz w:val="22"/>
          <w:szCs w:val="22"/>
          <w:highlight w:val="none"/>
        </w:rPr>
        <w:t>发生伤亡事故时，乙方应当及时、如实报告，不得迟报、瞒报、谎报；不得故意破坏事故现场，毁灭相关证据。</w:t>
      </w:r>
    </w:p>
    <w:p>
      <w:pPr>
        <w:pStyle w:val="2"/>
        <w:kinsoku w:val="0"/>
        <w:overflowPunct w:val="0"/>
        <w:spacing w:line="360" w:lineRule="auto"/>
        <w:ind w:firstLine="440" w:firstLineChars="200"/>
        <w:rPr>
          <w:rFonts w:asciiTheme="minorEastAsia" w:hAnsiTheme="minorEastAsia" w:eastAsiaTheme="minorEastAsia"/>
          <w:b w:val="0"/>
          <w:color w:val="auto"/>
          <w:sz w:val="22"/>
          <w:szCs w:val="22"/>
          <w:highlight w:val="none"/>
        </w:rPr>
      </w:pPr>
      <w:r>
        <w:rPr>
          <w:rFonts w:hint="eastAsia" w:asciiTheme="minorEastAsia" w:hAnsiTheme="minorEastAsia" w:eastAsiaTheme="minorEastAsia"/>
          <w:b w:val="0"/>
          <w:color w:val="auto"/>
          <w:sz w:val="22"/>
          <w:szCs w:val="22"/>
          <w:highlight w:val="none"/>
        </w:rPr>
        <w:t>第三十条</w:t>
      </w:r>
      <w:r>
        <w:rPr>
          <w:rFonts w:asciiTheme="minorEastAsia" w:hAnsiTheme="minorEastAsia" w:eastAsiaTheme="minorEastAsia"/>
          <w:b w:val="0"/>
          <w:color w:val="auto"/>
          <w:sz w:val="22"/>
          <w:szCs w:val="22"/>
          <w:highlight w:val="none"/>
        </w:rPr>
        <w:t xml:space="preserve"> </w:t>
      </w:r>
      <w:r>
        <w:rPr>
          <w:rFonts w:hint="eastAsia" w:asciiTheme="minorEastAsia" w:hAnsiTheme="minorEastAsia" w:eastAsiaTheme="minorEastAsia"/>
          <w:b w:val="0"/>
          <w:color w:val="auto"/>
          <w:sz w:val="22"/>
          <w:szCs w:val="22"/>
          <w:highlight w:val="none"/>
        </w:rPr>
        <w:t>发生生产安全事故后，乙方应当视具体情况采取必要措施，防止事故扩大，保护事故现场。需要移动现场物品时，应当做出标记和书面记录，妥善保管有关证物，并作好记录。</w:t>
      </w:r>
    </w:p>
    <w:p>
      <w:pPr>
        <w:pStyle w:val="2"/>
        <w:kinsoku w:val="0"/>
        <w:overflowPunct w:val="0"/>
        <w:spacing w:line="360" w:lineRule="auto"/>
        <w:ind w:firstLine="440" w:firstLineChars="200"/>
        <w:rPr>
          <w:rFonts w:asciiTheme="minorEastAsia" w:hAnsiTheme="minorEastAsia" w:eastAsiaTheme="minorEastAsia"/>
          <w:b w:val="0"/>
          <w:color w:val="auto"/>
          <w:sz w:val="22"/>
          <w:szCs w:val="22"/>
          <w:highlight w:val="none"/>
        </w:rPr>
      </w:pPr>
      <w:r>
        <w:rPr>
          <w:rFonts w:hint="eastAsia" w:asciiTheme="minorEastAsia" w:hAnsiTheme="minorEastAsia" w:eastAsiaTheme="minorEastAsia"/>
          <w:b w:val="0"/>
          <w:color w:val="auto"/>
          <w:sz w:val="22"/>
          <w:szCs w:val="22"/>
          <w:highlight w:val="none"/>
        </w:rPr>
        <w:t>第三十一条</w:t>
      </w:r>
      <w:r>
        <w:rPr>
          <w:rFonts w:asciiTheme="minorEastAsia" w:hAnsiTheme="minorEastAsia" w:eastAsiaTheme="minorEastAsia"/>
          <w:b w:val="0"/>
          <w:color w:val="auto"/>
          <w:sz w:val="22"/>
          <w:szCs w:val="22"/>
          <w:highlight w:val="none"/>
        </w:rPr>
        <w:t xml:space="preserve"> </w:t>
      </w:r>
      <w:r>
        <w:rPr>
          <w:rFonts w:hint="eastAsia" w:asciiTheme="minorEastAsia" w:hAnsiTheme="minorEastAsia" w:eastAsiaTheme="minorEastAsia"/>
          <w:b w:val="0"/>
          <w:color w:val="auto"/>
          <w:sz w:val="22"/>
          <w:szCs w:val="22"/>
          <w:highlight w:val="none"/>
        </w:rPr>
        <w:t>乙方与其它施工单位在施工区域内共同作业时须签订安全生产管理协议，明确各方的安全管理职责，并报甲方备案。</w:t>
      </w:r>
    </w:p>
    <w:p>
      <w:pPr>
        <w:pStyle w:val="2"/>
        <w:tabs>
          <w:tab w:val="left" w:pos="1333"/>
        </w:tabs>
        <w:kinsoku w:val="0"/>
        <w:overflowPunct w:val="0"/>
        <w:spacing w:line="360" w:lineRule="auto"/>
        <w:jc w:val="center"/>
        <w:rPr>
          <w:rFonts w:asciiTheme="minorEastAsia" w:hAnsiTheme="minorEastAsia" w:eastAsiaTheme="minorEastAsia"/>
          <w:b w:val="0"/>
          <w:color w:val="auto"/>
          <w:sz w:val="22"/>
          <w:szCs w:val="22"/>
          <w:highlight w:val="none"/>
        </w:rPr>
      </w:pPr>
      <w:r>
        <w:rPr>
          <w:rFonts w:hint="eastAsia" w:asciiTheme="minorEastAsia" w:hAnsiTheme="minorEastAsia" w:eastAsiaTheme="minorEastAsia"/>
          <w:b w:val="0"/>
          <w:color w:val="auto"/>
          <w:sz w:val="22"/>
          <w:szCs w:val="22"/>
          <w:highlight w:val="none"/>
        </w:rPr>
        <w:t>第三章</w:t>
      </w:r>
      <w:r>
        <w:rPr>
          <w:rFonts w:asciiTheme="minorEastAsia" w:hAnsiTheme="minorEastAsia" w:eastAsiaTheme="minorEastAsia"/>
          <w:b w:val="0"/>
          <w:color w:val="auto"/>
          <w:sz w:val="22"/>
          <w:szCs w:val="22"/>
          <w:highlight w:val="none"/>
        </w:rPr>
        <w:tab/>
      </w:r>
      <w:r>
        <w:rPr>
          <w:rFonts w:hint="eastAsia" w:asciiTheme="minorEastAsia" w:hAnsiTheme="minorEastAsia" w:eastAsiaTheme="minorEastAsia"/>
          <w:b w:val="0"/>
          <w:color w:val="auto"/>
          <w:sz w:val="22"/>
          <w:szCs w:val="22"/>
          <w:highlight w:val="none"/>
        </w:rPr>
        <w:t>安全生产管理责任罚则</w:t>
      </w:r>
    </w:p>
    <w:p>
      <w:pPr>
        <w:pStyle w:val="2"/>
        <w:kinsoku w:val="0"/>
        <w:overflowPunct w:val="0"/>
        <w:spacing w:line="360" w:lineRule="auto"/>
        <w:ind w:firstLine="579"/>
        <w:rPr>
          <w:rFonts w:asciiTheme="minorEastAsia" w:hAnsiTheme="minorEastAsia" w:eastAsiaTheme="minorEastAsia"/>
          <w:b w:val="0"/>
          <w:color w:val="auto"/>
          <w:sz w:val="22"/>
          <w:szCs w:val="22"/>
          <w:highlight w:val="none"/>
        </w:rPr>
      </w:pPr>
      <w:r>
        <w:rPr>
          <w:rFonts w:hint="eastAsia" w:asciiTheme="minorEastAsia" w:hAnsiTheme="minorEastAsia" w:eastAsiaTheme="minorEastAsia"/>
          <w:b w:val="0"/>
          <w:color w:val="auto"/>
          <w:sz w:val="22"/>
          <w:szCs w:val="22"/>
          <w:highlight w:val="none"/>
        </w:rPr>
        <w:t>第三十二条</w:t>
      </w:r>
      <w:r>
        <w:rPr>
          <w:rFonts w:asciiTheme="minorEastAsia" w:hAnsiTheme="minorEastAsia" w:eastAsiaTheme="minorEastAsia"/>
          <w:b w:val="0"/>
          <w:color w:val="auto"/>
          <w:sz w:val="22"/>
          <w:szCs w:val="22"/>
          <w:highlight w:val="none"/>
        </w:rPr>
        <w:t xml:space="preserve"> </w:t>
      </w:r>
      <w:r>
        <w:rPr>
          <w:rFonts w:hint="eastAsia" w:asciiTheme="minorEastAsia" w:hAnsiTheme="minorEastAsia" w:eastAsiaTheme="minorEastAsia"/>
          <w:b w:val="0"/>
          <w:color w:val="auto"/>
          <w:sz w:val="22"/>
          <w:szCs w:val="22"/>
          <w:highlight w:val="none"/>
        </w:rPr>
        <w:t>甲方违反本协议第七条约定，发生灾害事故可能波及乙方施工范围时，没有及时通知乙方人员撤离，给乙方造成伤亡及事故损失，责任由甲方承担。</w:t>
      </w:r>
    </w:p>
    <w:p>
      <w:pPr>
        <w:pStyle w:val="2"/>
        <w:kinsoku w:val="0"/>
        <w:overflowPunct w:val="0"/>
        <w:spacing w:line="360" w:lineRule="auto"/>
        <w:ind w:firstLine="579"/>
        <w:rPr>
          <w:rFonts w:asciiTheme="minorEastAsia" w:hAnsiTheme="minorEastAsia" w:eastAsiaTheme="minorEastAsia"/>
          <w:b w:val="0"/>
          <w:color w:val="auto"/>
          <w:sz w:val="22"/>
          <w:szCs w:val="22"/>
          <w:highlight w:val="none"/>
        </w:rPr>
      </w:pPr>
      <w:r>
        <w:rPr>
          <w:rFonts w:hint="eastAsia" w:asciiTheme="minorEastAsia" w:hAnsiTheme="minorEastAsia" w:eastAsiaTheme="minorEastAsia"/>
          <w:b w:val="0"/>
          <w:color w:val="auto"/>
          <w:sz w:val="22"/>
          <w:szCs w:val="22"/>
          <w:highlight w:val="none"/>
        </w:rPr>
        <w:t>第三十三条</w:t>
      </w:r>
      <w:r>
        <w:rPr>
          <w:rFonts w:asciiTheme="minorEastAsia" w:hAnsiTheme="minorEastAsia" w:eastAsiaTheme="minorEastAsia"/>
          <w:b w:val="0"/>
          <w:color w:val="auto"/>
          <w:sz w:val="22"/>
          <w:szCs w:val="22"/>
          <w:highlight w:val="none"/>
        </w:rPr>
        <w:t xml:space="preserve"> </w:t>
      </w:r>
      <w:r>
        <w:rPr>
          <w:rFonts w:hint="eastAsia" w:asciiTheme="minorEastAsia" w:hAnsiTheme="minorEastAsia" w:eastAsiaTheme="minorEastAsia"/>
          <w:b w:val="0"/>
          <w:color w:val="auto"/>
          <w:sz w:val="22"/>
          <w:szCs w:val="22"/>
          <w:highlight w:val="none"/>
        </w:rPr>
        <w:t>甲方违反本协议第八条约定，在接到报告后，没有及时要求乙方停工并组织相关单位制定应急安全防范措施或提出修改设计并按程序重新报批的，对乙方造成责任、事故、灾害及其他损失的，应承担全部责任及损失。</w:t>
      </w:r>
    </w:p>
    <w:p>
      <w:pPr>
        <w:pStyle w:val="2"/>
        <w:kinsoku w:val="0"/>
        <w:overflowPunct w:val="0"/>
        <w:spacing w:line="360" w:lineRule="auto"/>
        <w:ind w:right="100" w:rightChars="50" w:firstLine="440" w:firstLineChars="200"/>
        <w:jc w:val="left"/>
        <w:rPr>
          <w:rFonts w:asciiTheme="minorEastAsia" w:hAnsiTheme="minorEastAsia" w:eastAsiaTheme="minorEastAsia"/>
          <w:b w:val="0"/>
          <w:color w:val="auto"/>
          <w:sz w:val="22"/>
          <w:szCs w:val="22"/>
          <w:highlight w:val="none"/>
        </w:rPr>
      </w:pPr>
      <w:r>
        <w:rPr>
          <w:rFonts w:hint="eastAsia" w:asciiTheme="minorEastAsia" w:hAnsiTheme="minorEastAsia" w:eastAsiaTheme="minorEastAsia"/>
          <w:b w:val="0"/>
          <w:color w:val="auto"/>
          <w:sz w:val="22"/>
          <w:szCs w:val="22"/>
          <w:highlight w:val="none"/>
        </w:rPr>
        <w:t>第三十四条</w:t>
      </w:r>
      <w:r>
        <w:rPr>
          <w:rFonts w:asciiTheme="minorEastAsia" w:hAnsiTheme="minorEastAsia" w:eastAsiaTheme="minorEastAsia"/>
          <w:b w:val="0"/>
          <w:color w:val="auto"/>
          <w:sz w:val="22"/>
          <w:szCs w:val="22"/>
          <w:highlight w:val="none"/>
        </w:rPr>
        <w:t xml:space="preserve"> </w:t>
      </w:r>
      <w:r>
        <w:rPr>
          <w:rFonts w:hint="eastAsia" w:asciiTheme="minorEastAsia" w:hAnsiTheme="minorEastAsia" w:eastAsiaTheme="minorEastAsia"/>
          <w:b w:val="0"/>
          <w:color w:val="auto"/>
          <w:sz w:val="22"/>
          <w:szCs w:val="22"/>
          <w:highlight w:val="none"/>
        </w:rPr>
        <w:t>甲方违反本协议第九条约定，对乙方提出不符合安全生产法律、法规和强制性标准规定的要求，乙方有权拒绝执行，如乙方在没有提出异议的情况下默认执行，由此造成经济、伤亡及事故损失，甲乙方按上级事故调查部门调查结果承担相应责任。</w:t>
      </w:r>
    </w:p>
    <w:p>
      <w:pPr>
        <w:pStyle w:val="2"/>
        <w:kinsoku w:val="0"/>
        <w:overflowPunct w:val="0"/>
        <w:spacing w:line="360" w:lineRule="auto"/>
        <w:ind w:right="100" w:rightChars="50" w:firstLine="440" w:firstLineChars="200"/>
        <w:rPr>
          <w:rFonts w:asciiTheme="minorEastAsia" w:hAnsiTheme="minorEastAsia" w:eastAsiaTheme="minorEastAsia"/>
          <w:b w:val="0"/>
          <w:color w:val="auto"/>
          <w:sz w:val="22"/>
          <w:szCs w:val="22"/>
          <w:highlight w:val="none"/>
        </w:rPr>
      </w:pPr>
      <w:r>
        <w:rPr>
          <w:rFonts w:hint="eastAsia" w:asciiTheme="minorEastAsia" w:hAnsiTheme="minorEastAsia" w:eastAsiaTheme="minorEastAsia"/>
          <w:b w:val="0"/>
          <w:color w:val="auto"/>
          <w:sz w:val="22"/>
          <w:szCs w:val="22"/>
          <w:highlight w:val="none"/>
        </w:rPr>
        <w:t>第三十五条</w:t>
      </w:r>
      <w:r>
        <w:rPr>
          <w:rFonts w:asciiTheme="minorEastAsia" w:hAnsiTheme="minorEastAsia" w:eastAsiaTheme="minorEastAsia"/>
          <w:b w:val="0"/>
          <w:color w:val="auto"/>
          <w:sz w:val="22"/>
          <w:szCs w:val="22"/>
          <w:highlight w:val="none"/>
        </w:rPr>
        <w:t xml:space="preserve"> </w:t>
      </w:r>
      <w:r>
        <w:rPr>
          <w:rFonts w:hint="eastAsia" w:asciiTheme="minorEastAsia" w:hAnsiTheme="minorEastAsia" w:eastAsiaTheme="minorEastAsia"/>
          <w:b w:val="0"/>
          <w:color w:val="auto"/>
          <w:sz w:val="22"/>
          <w:szCs w:val="22"/>
          <w:highlight w:val="none"/>
        </w:rPr>
        <w:t>乙方项目负责人由没有取得相应执业资格的人员担任，没有取得相应的安全管理资格证和上岗作业证。没有尽到安全管理责任，乙方要在甲方规定限期内整改，由此造成的对甲、乙方的责任、事故、灾害及其他经济损失的，乙方应承担全部责任及损失。</w:t>
      </w:r>
    </w:p>
    <w:p>
      <w:pPr>
        <w:pStyle w:val="2"/>
        <w:kinsoku w:val="0"/>
        <w:overflowPunct w:val="0"/>
        <w:spacing w:line="360" w:lineRule="auto"/>
        <w:ind w:firstLine="440" w:firstLineChars="200"/>
        <w:rPr>
          <w:rFonts w:asciiTheme="minorEastAsia" w:hAnsiTheme="minorEastAsia" w:eastAsiaTheme="minorEastAsia"/>
          <w:b w:val="0"/>
          <w:color w:val="auto"/>
          <w:sz w:val="22"/>
          <w:szCs w:val="22"/>
          <w:highlight w:val="none"/>
        </w:rPr>
      </w:pPr>
      <w:r>
        <w:rPr>
          <w:rFonts w:hint="eastAsia" w:asciiTheme="minorEastAsia" w:hAnsiTheme="minorEastAsia" w:eastAsiaTheme="minorEastAsia"/>
          <w:b w:val="0"/>
          <w:color w:val="auto"/>
          <w:sz w:val="22"/>
          <w:szCs w:val="22"/>
          <w:highlight w:val="none"/>
        </w:rPr>
        <w:t>第三十六条</w:t>
      </w:r>
      <w:r>
        <w:rPr>
          <w:rFonts w:asciiTheme="minorEastAsia" w:hAnsiTheme="minorEastAsia" w:eastAsiaTheme="minorEastAsia"/>
          <w:b w:val="0"/>
          <w:color w:val="auto"/>
          <w:sz w:val="22"/>
          <w:szCs w:val="22"/>
          <w:highlight w:val="none"/>
        </w:rPr>
        <w:t xml:space="preserve"> </w:t>
      </w:r>
      <w:r>
        <w:rPr>
          <w:rFonts w:hint="eastAsia" w:asciiTheme="minorEastAsia" w:hAnsiTheme="minorEastAsia" w:eastAsiaTheme="minorEastAsia"/>
          <w:b w:val="0"/>
          <w:color w:val="auto"/>
          <w:sz w:val="22"/>
          <w:szCs w:val="22"/>
          <w:highlight w:val="none"/>
        </w:rPr>
        <w:t>乙方没有落实劳动生产教育培训制度从业人员未经安全生产教育，特种作业人员未经考核合格，取得上岗证书</w:t>
      </w:r>
      <w:r>
        <w:rPr>
          <w:rFonts w:asciiTheme="minorEastAsia" w:hAnsiTheme="minorEastAsia" w:eastAsiaTheme="minorEastAsia"/>
          <w:b w:val="0"/>
          <w:color w:val="auto"/>
          <w:sz w:val="22"/>
          <w:szCs w:val="22"/>
          <w:highlight w:val="none"/>
        </w:rPr>
        <w:t>,</w:t>
      </w:r>
      <w:r>
        <w:rPr>
          <w:rFonts w:hint="eastAsia" w:asciiTheme="minorEastAsia" w:hAnsiTheme="minorEastAsia" w:eastAsiaTheme="minorEastAsia"/>
          <w:b w:val="0"/>
          <w:color w:val="auto"/>
          <w:sz w:val="22"/>
          <w:szCs w:val="22"/>
          <w:highlight w:val="none"/>
        </w:rPr>
        <w:t>特种作业人员数量不满足施工要求等。甲方除要求乙方限期按要求配齐外，并处罚款</w:t>
      </w:r>
      <w:r>
        <w:rPr>
          <w:rFonts w:asciiTheme="minorEastAsia" w:hAnsiTheme="minorEastAsia" w:eastAsiaTheme="minorEastAsia"/>
          <w:b w:val="0"/>
          <w:color w:val="auto"/>
          <w:sz w:val="22"/>
          <w:szCs w:val="22"/>
          <w:highlight w:val="none"/>
        </w:rPr>
        <w:t xml:space="preserve"> 1000-3000</w:t>
      </w:r>
      <w:r>
        <w:rPr>
          <w:rFonts w:hint="eastAsia" w:asciiTheme="minorEastAsia" w:hAnsiTheme="minorEastAsia" w:eastAsiaTheme="minorEastAsia"/>
          <w:b w:val="0"/>
          <w:color w:val="auto"/>
          <w:sz w:val="22"/>
          <w:szCs w:val="22"/>
          <w:highlight w:val="none"/>
        </w:rPr>
        <w:t>元，在施工中发生的一切责任、事故、灾害及其他经济损失的，乙方应承担全部责任。并赔偿由此对甲方造成的损失。</w:t>
      </w:r>
    </w:p>
    <w:p>
      <w:pPr>
        <w:pStyle w:val="2"/>
        <w:kinsoku w:val="0"/>
        <w:overflowPunct w:val="0"/>
        <w:spacing w:line="360" w:lineRule="auto"/>
        <w:ind w:firstLine="613"/>
        <w:rPr>
          <w:rFonts w:asciiTheme="minorEastAsia" w:hAnsiTheme="minorEastAsia" w:eastAsiaTheme="minorEastAsia"/>
          <w:b w:val="0"/>
          <w:color w:val="auto"/>
          <w:sz w:val="22"/>
          <w:szCs w:val="22"/>
          <w:highlight w:val="none"/>
        </w:rPr>
      </w:pPr>
      <w:r>
        <w:rPr>
          <w:rFonts w:hint="eastAsia" w:asciiTheme="minorEastAsia" w:hAnsiTheme="minorEastAsia" w:eastAsiaTheme="minorEastAsia"/>
          <w:b w:val="0"/>
          <w:color w:val="auto"/>
          <w:sz w:val="22"/>
          <w:szCs w:val="22"/>
          <w:highlight w:val="none"/>
        </w:rPr>
        <w:t>第三十七条</w:t>
      </w:r>
      <w:r>
        <w:rPr>
          <w:rFonts w:asciiTheme="minorEastAsia" w:hAnsiTheme="minorEastAsia" w:eastAsiaTheme="minorEastAsia"/>
          <w:b w:val="0"/>
          <w:color w:val="auto"/>
          <w:sz w:val="22"/>
          <w:szCs w:val="22"/>
          <w:highlight w:val="none"/>
        </w:rPr>
        <w:t xml:space="preserve"> </w:t>
      </w:r>
      <w:r>
        <w:rPr>
          <w:rFonts w:hint="eastAsia" w:asciiTheme="minorEastAsia" w:hAnsiTheme="minorEastAsia" w:eastAsiaTheme="minorEastAsia"/>
          <w:b w:val="0"/>
          <w:color w:val="auto"/>
          <w:sz w:val="22"/>
          <w:szCs w:val="22"/>
          <w:highlight w:val="none"/>
        </w:rPr>
        <w:t>乙方没有及时与从业人员签订劳动用合同，没有依法为从业人员参加现场意外伤害保险，为其从业人员交纳保险费的，甲方除要求乙方限期整改外，并视情节轻重处罚款</w:t>
      </w:r>
      <w:r>
        <w:rPr>
          <w:rFonts w:asciiTheme="minorEastAsia" w:hAnsiTheme="minorEastAsia" w:eastAsiaTheme="minorEastAsia"/>
          <w:b w:val="0"/>
          <w:color w:val="auto"/>
          <w:sz w:val="22"/>
          <w:szCs w:val="22"/>
          <w:highlight w:val="none"/>
        </w:rPr>
        <w:t xml:space="preserve"> 2000-5000 </w:t>
      </w:r>
      <w:r>
        <w:rPr>
          <w:rFonts w:hint="eastAsia" w:asciiTheme="minorEastAsia" w:hAnsiTheme="minorEastAsia" w:eastAsiaTheme="minorEastAsia"/>
          <w:b w:val="0"/>
          <w:color w:val="auto"/>
          <w:sz w:val="22"/>
          <w:szCs w:val="22"/>
          <w:highlight w:val="none"/>
        </w:rPr>
        <w:t>元，由此造成的一切损失及责任由乙方全部承担。</w:t>
      </w:r>
    </w:p>
    <w:p>
      <w:pPr>
        <w:pStyle w:val="2"/>
        <w:kinsoku w:val="0"/>
        <w:overflowPunct w:val="0"/>
        <w:spacing w:line="360" w:lineRule="auto"/>
        <w:ind w:firstLine="603"/>
        <w:rPr>
          <w:rFonts w:asciiTheme="minorEastAsia" w:hAnsiTheme="minorEastAsia" w:eastAsiaTheme="minorEastAsia"/>
          <w:b w:val="0"/>
          <w:color w:val="auto"/>
          <w:sz w:val="22"/>
          <w:szCs w:val="22"/>
          <w:highlight w:val="none"/>
        </w:rPr>
      </w:pPr>
      <w:r>
        <w:rPr>
          <w:rFonts w:hint="eastAsia" w:asciiTheme="minorEastAsia" w:hAnsiTheme="minorEastAsia" w:eastAsiaTheme="minorEastAsia"/>
          <w:b w:val="0"/>
          <w:color w:val="auto"/>
          <w:sz w:val="22"/>
          <w:szCs w:val="22"/>
          <w:highlight w:val="none"/>
        </w:rPr>
        <w:t>第三十八条</w:t>
      </w:r>
      <w:r>
        <w:rPr>
          <w:rFonts w:asciiTheme="minorEastAsia" w:hAnsiTheme="minorEastAsia" w:eastAsiaTheme="minorEastAsia"/>
          <w:b w:val="0"/>
          <w:color w:val="auto"/>
          <w:sz w:val="22"/>
          <w:szCs w:val="22"/>
          <w:highlight w:val="none"/>
        </w:rPr>
        <w:t xml:space="preserve"> </w:t>
      </w:r>
      <w:r>
        <w:rPr>
          <w:rFonts w:hint="eastAsia" w:asciiTheme="minorEastAsia" w:hAnsiTheme="minorEastAsia" w:eastAsiaTheme="minorEastAsia"/>
          <w:b w:val="0"/>
          <w:color w:val="auto"/>
          <w:sz w:val="22"/>
          <w:szCs w:val="22"/>
          <w:highlight w:val="none"/>
        </w:rPr>
        <w:t>发生灾害事故时，乙方没有及时向甲方通报，没有认真执行甲方抢险、救灾命令，人员、材料、设备等不服从甲方调度。造成的一切后果，全部由乙方承担。</w:t>
      </w:r>
    </w:p>
    <w:p>
      <w:pPr>
        <w:pStyle w:val="2"/>
        <w:tabs>
          <w:tab w:val="left" w:pos="4568"/>
        </w:tabs>
        <w:kinsoku w:val="0"/>
        <w:overflowPunct w:val="0"/>
        <w:spacing w:line="360" w:lineRule="auto"/>
        <w:ind w:firstLine="600"/>
        <w:rPr>
          <w:rFonts w:asciiTheme="minorEastAsia" w:hAnsiTheme="minorEastAsia" w:eastAsiaTheme="minorEastAsia"/>
          <w:b w:val="0"/>
          <w:color w:val="auto"/>
          <w:sz w:val="22"/>
          <w:szCs w:val="22"/>
          <w:highlight w:val="none"/>
        </w:rPr>
      </w:pPr>
      <w:r>
        <w:rPr>
          <w:rFonts w:hint="eastAsia" w:asciiTheme="minorEastAsia" w:hAnsiTheme="minorEastAsia" w:eastAsiaTheme="minorEastAsia"/>
          <w:b w:val="0"/>
          <w:color w:val="auto"/>
          <w:sz w:val="22"/>
          <w:szCs w:val="22"/>
          <w:highlight w:val="none"/>
        </w:rPr>
        <w:t>第三十九条</w:t>
      </w:r>
      <w:r>
        <w:rPr>
          <w:rFonts w:asciiTheme="minorEastAsia" w:hAnsiTheme="minorEastAsia" w:eastAsiaTheme="minorEastAsia"/>
          <w:b w:val="0"/>
          <w:color w:val="auto"/>
          <w:sz w:val="22"/>
          <w:szCs w:val="22"/>
          <w:highlight w:val="none"/>
        </w:rPr>
        <w:t xml:space="preserve"> </w:t>
      </w:r>
      <w:r>
        <w:rPr>
          <w:rFonts w:hint="eastAsia" w:asciiTheme="minorEastAsia" w:hAnsiTheme="minorEastAsia" w:eastAsiaTheme="minorEastAsia"/>
          <w:b w:val="0"/>
          <w:color w:val="auto"/>
          <w:sz w:val="22"/>
          <w:szCs w:val="22"/>
          <w:highlight w:val="none"/>
        </w:rPr>
        <w:t>发生伤亡事故时，没有及时、如实报告，发生迟报、瞒报、谎报</w:t>
      </w:r>
      <w:r>
        <w:rPr>
          <w:rFonts w:asciiTheme="minorEastAsia" w:hAnsiTheme="minorEastAsia" w:eastAsiaTheme="minorEastAsia"/>
          <w:b w:val="0"/>
          <w:color w:val="auto"/>
          <w:sz w:val="22"/>
          <w:szCs w:val="22"/>
          <w:highlight w:val="none"/>
        </w:rPr>
        <w:t>;</w:t>
      </w:r>
      <w:r>
        <w:rPr>
          <w:rFonts w:hint="eastAsia" w:asciiTheme="minorEastAsia" w:hAnsiTheme="minorEastAsia" w:eastAsiaTheme="minorEastAsia"/>
          <w:b w:val="0"/>
          <w:color w:val="auto"/>
          <w:sz w:val="22"/>
          <w:szCs w:val="22"/>
          <w:highlight w:val="none"/>
        </w:rPr>
        <w:t>故意破坏事故现场，毁灭相关证据的。除处以</w:t>
      </w:r>
      <w:r>
        <w:rPr>
          <w:rFonts w:asciiTheme="minorEastAsia" w:hAnsiTheme="minorEastAsia" w:eastAsiaTheme="minorEastAsia"/>
          <w:b w:val="0"/>
          <w:color w:val="auto"/>
          <w:sz w:val="22"/>
          <w:szCs w:val="22"/>
          <w:highlight w:val="none"/>
        </w:rPr>
        <w:t>10000-30000</w:t>
      </w:r>
      <w:r>
        <w:rPr>
          <w:rFonts w:hint="eastAsia" w:asciiTheme="minorEastAsia" w:hAnsiTheme="minorEastAsia" w:eastAsiaTheme="minorEastAsia"/>
          <w:b w:val="0"/>
          <w:color w:val="auto"/>
          <w:sz w:val="22"/>
          <w:szCs w:val="22"/>
          <w:highlight w:val="none"/>
        </w:rPr>
        <w:t>元的罚款外。造成的一切后果，由乙方承担。</w:t>
      </w:r>
    </w:p>
    <w:p>
      <w:pPr>
        <w:pStyle w:val="2"/>
        <w:kinsoku w:val="0"/>
        <w:overflowPunct w:val="0"/>
        <w:spacing w:line="360" w:lineRule="auto"/>
        <w:ind w:firstLine="597"/>
        <w:rPr>
          <w:rFonts w:asciiTheme="minorEastAsia" w:hAnsiTheme="minorEastAsia" w:eastAsiaTheme="minorEastAsia"/>
          <w:b w:val="0"/>
          <w:color w:val="auto"/>
          <w:sz w:val="22"/>
          <w:szCs w:val="22"/>
          <w:highlight w:val="none"/>
        </w:rPr>
      </w:pPr>
      <w:r>
        <w:rPr>
          <w:rFonts w:hint="eastAsia" w:asciiTheme="minorEastAsia" w:hAnsiTheme="minorEastAsia" w:eastAsiaTheme="minorEastAsia"/>
          <w:b w:val="0"/>
          <w:color w:val="auto"/>
          <w:sz w:val="22"/>
          <w:szCs w:val="22"/>
          <w:highlight w:val="none"/>
        </w:rPr>
        <w:t>第四十条</w:t>
      </w:r>
      <w:r>
        <w:rPr>
          <w:rFonts w:asciiTheme="minorEastAsia" w:hAnsiTheme="minorEastAsia" w:eastAsiaTheme="minorEastAsia"/>
          <w:b w:val="0"/>
          <w:color w:val="auto"/>
          <w:sz w:val="22"/>
          <w:szCs w:val="22"/>
          <w:highlight w:val="none"/>
        </w:rPr>
        <w:t xml:space="preserve"> </w:t>
      </w:r>
      <w:r>
        <w:rPr>
          <w:rFonts w:hint="eastAsia" w:asciiTheme="minorEastAsia" w:hAnsiTheme="minorEastAsia" w:eastAsiaTheme="minorEastAsia"/>
          <w:b w:val="0"/>
          <w:color w:val="auto"/>
          <w:sz w:val="22"/>
          <w:szCs w:val="22"/>
          <w:highlight w:val="none"/>
        </w:rPr>
        <w:t>因乙方原因发生重大事故隐患或对甲方及上级查出的事故隐患没有按规定措施、期限整改的，必须按规定措施、期限予以整改，并处以</w:t>
      </w:r>
      <w:r>
        <w:rPr>
          <w:rFonts w:asciiTheme="minorEastAsia" w:hAnsiTheme="minorEastAsia" w:eastAsiaTheme="minorEastAsia"/>
          <w:b w:val="0"/>
          <w:color w:val="auto"/>
          <w:sz w:val="22"/>
          <w:szCs w:val="22"/>
          <w:highlight w:val="none"/>
        </w:rPr>
        <w:t>3000-5000</w:t>
      </w:r>
      <w:r>
        <w:rPr>
          <w:rFonts w:hint="eastAsia" w:asciiTheme="minorEastAsia" w:hAnsiTheme="minorEastAsia" w:eastAsiaTheme="minorEastAsia"/>
          <w:b w:val="0"/>
          <w:color w:val="auto"/>
          <w:sz w:val="22"/>
          <w:szCs w:val="22"/>
          <w:highlight w:val="none"/>
        </w:rPr>
        <w:t>元的罚款；如在规定期限内仍未整改，加</w:t>
      </w:r>
      <w:r>
        <w:rPr>
          <w:rFonts w:asciiTheme="minorEastAsia" w:hAnsiTheme="minorEastAsia" w:eastAsiaTheme="minorEastAsia"/>
          <w:b w:val="0"/>
          <w:color w:val="auto"/>
          <w:sz w:val="22"/>
          <w:szCs w:val="22"/>
          <w:highlight w:val="none"/>
        </w:rPr>
        <mc:AlternateContent>
          <mc:Choice Requires="wps">
            <w:drawing>
              <wp:anchor distT="0" distB="0" distL="114300" distR="114300" simplePos="0" relativeHeight="251663360" behindDoc="1" locked="0" layoutInCell="0" allowOverlap="1">
                <wp:simplePos x="0" y="0"/>
                <wp:positionH relativeFrom="page">
                  <wp:posOffset>88265</wp:posOffset>
                </wp:positionH>
                <wp:positionV relativeFrom="page">
                  <wp:posOffset>949960</wp:posOffset>
                </wp:positionV>
                <wp:extent cx="7251700" cy="8966200"/>
                <wp:effectExtent l="0" t="0" r="0" b="0"/>
                <wp:wrapNone/>
                <wp:docPr id="30" name="矩形 30"/>
                <wp:cNvGraphicFramePr/>
                <a:graphic xmlns:a="http://schemas.openxmlformats.org/drawingml/2006/main">
                  <a:graphicData uri="http://schemas.microsoft.com/office/word/2010/wordprocessingShape">
                    <wps:wsp>
                      <wps:cNvSpPr>
                        <a:spLocks noChangeArrowheads="1"/>
                      </wps:cNvSpPr>
                      <wps:spPr bwMode="auto">
                        <a:xfrm>
                          <a:off x="0" y="0"/>
                          <a:ext cx="7251700" cy="8966200"/>
                        </a:xfrm>
                        <a:prstGeom prst="rect">
                          <a:avLst/>
                        </a:prstGeom>
                        <a:noFill/>
                        <a:ln>
                          <a:noFill/>
                        </a:ln>
                      </wps:spPr>
                      <wps:txbx>
                        <w:txbxContent>
                          <w:p>
                            <w:pPr>
                              <w:spacing w:line="14120" w:lineRule="atLeast"/>
                              <w:rPr>
                                <w:sz w:val="24"/>
                                <w:szCs w:val="24"/>
                              </w:rPr>
                            </w:pPr>
                          </w:p>
                          <w:p>
                            <w:pPr>
                              <w:rPr>
                                <w:sz w:val="24"/>
                                <w:szCs w:val="24"/>
                              </w:rPr>
                            </w:pPr>
                          </w:p>
                        </w:txbxContent>
                      </wps:txbx>
                      <wps:bodyPr rot="0" vert="horz" wrap="square" lIns="0" tIns="0" rIns="0" bIns="0" anchor="t" anchorCtr="0" upright="1">
                        <a:noAutofit/>
                      </wps:bodyPr>
                    </wps:wsp>
                  </a:graphicData>
                </a:graphic>
              </wp:anchor>
            </w:drawing>
          </mc:Choice>
          <mc:Fallback>
            <w:pict>
              <v:rect id="_x0000_s1026" o:spid="_x0000_s1026" o:spt="1" style="position:absolute;left:0pt;margin-left:6.95pt;margin-top:74.8pt;height:706pt;width:571pt;mso-position-horizontal-relative:page;mso-position-vertical-relative:page;z-index:-251653120;mso-width-relative:page;mso-height-relative:page;" filled="f" stroked="f" coordsize="21600,21600" o:allowincell="f" o:gfxdata="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C&#10;nP1s2gAAAAwBAAAPAAAAAAAAAAEAIAAAACIAAABkcnMvZG93bnJldi54bWxQSwECFAAUAAAACACH&#10;TuJAvCUfuOkBAACtAwAADgAAAAAAAAABACAAAAApAQAAZHJzL2Uyb0RvYy54bWxQSwUGAAAAAAYA&#10;BgBZAQAAhAUAAAAA&#10;">
                <v:fill on="f" focussize="0,0"/>
                <v:stroke on="f"/>
                <v:imagedata o:title=""/>
                <o:lock v:ext="edit" aspectratio="f"/>
                <v:textbox inset="0mm,0mm,0mm,0mm">
                  <w:txbxContent>
                    <w:p>
                      <w:pPr>
                        <w:spacing w:line="14120" w:lineRule="atLeast"/>
                        <w:rPr>
                          <w:sz w:val="24"/>
                          <w:szCs w:val="24"/>
                        </w:rPr>
                      </w:pPr>
                    </w:p>
                    <w:p>
                      <w:pPr>
                        <w:rPr>
                          <w:sz w:val="24"/>
                          <w:szCs w:val="24"/>
                        </w:rPr>
                      </w:pPr>
                    </w:p>
                  </w:txbxContent>
                </v:textbox>
              </v:rect>
            </w:pict>
          </mc:Fallback>
        </mc:AlternateContent>
      </w:r>
      <w:r>
        <w:rPr>
          <w:rFonts w:hint="eastAsia" w:asciiTheme="minorEastAsia" w:hAnsiTheme="minorEastAsia" w:eastAsiaTheme="minorEastAsia"/>
          <w:b w:val="0"/>
          <w:color w:val="auto"/>
          <w:sz w:val="22"/>
          <w:szCs w:val="22"/>
          <w:highlight w:val="none"/>
        </w:rPr>
        <w:t>倍处罚。</w:t>
      </w:r>
    </w:p>
    <w:p>
      <w:pPr>
        <w:pStyle w:val="2"/>
        <w:kinsoku w:val="0"/>
        <w:overflowPunct w:val="0"/>
        <w:spacing w:line="360" w:lineRule="auto"/>
        <w:ind w:firstLine="581"/>
        <w:rPr>
          <w:rFonts w:asciiTheme="minorEastAsia" w:hAnsiTheme="minorEastAsia" w:eastAsiaTheme="minorEastAsia"/>
          <w:b w:val="0"/>
          <w:color w:val="auto"/>
          <w:sz w:val="22"/>
          <w:szCs w:val="22"/>
          <w:highlight w:val="none"/>
        </w:rPr>
      </w:pPr>
      <w:r>
        <w:rPr>
          <w:rFonts w:hint="eastAsia" w:asciiTheme="minorEastAsia" w:hAnsiTheme="minorEastAsia" w:eastAsiaTheme="minorEastAsia"/>
          <w:b w:val="0"/>
          <w:color w:val="auto"/>
          <w:sz w:val="22"/>
          <w:szCs w:val="22"/>
          <w:highlight w:val="none"/>
        </w:rPr>
        <w:t>第四十一条</w:t>
      </w:r>
      <w:r>
        <w:rPr>
          <w:rFonts w:asciiTheme="minorEastAsia" w:hAnsiTheme="minorEastAsia" w:eastAsiaTheme="minorEastAsia"/>
          <w:b w:val="0"/>
          <w:color w:val="auto"/>
          <w:sz w:val="22"/>
          <w:szCs w:val="22"/>
          <w:highlight w:val="none"/>
        </w:rPr>
        <w:t xml:space="preserve"> </w:t>
      </w:r>
      <w:r>
        <w:rPr>
          <w:rFonts w:hint="eastAsia" w:asciiTheme="minorEastAsia" w:hAnsiTheme="minorEastAsia" w:eastAsiaTheme="minorEastAsia"/>
          <w:b w:val="0"/>
          <w:color w:val="auto"/>
          <w:sz w:val="22"/>
          <w:szCs w:val="22"/>
          <w:highlight w:val="none"/>
        </w:rPr>
        <w:t>乙方作业区域内若发生重大安全未遂事故时，根据情节轻重，甲方对其按</w:t>
      </w:r>
      <w:r>
        <w:rPr>
          <w:rFonts w:asciiTheme="minorEastAsia" w:hAnsiTheme="minorEastAsia" w:eastAsiaTheme="minorEastAsia"/>
          <w:b w:val="0"/>
          <w:color w:val="auto"/>
          <w:sz w:val="22"/>
          <w:szCs w:val="22"/>
          <w:highlight w:val="none"/>
        </w:rPr>
        <w:t xml:space="preserve"> 10000-30000</w:t>
      </w:r>
      <w:r>
        <w:rPr>
          <w:rFonts w:hint="eastAsia" w:asciiTheme="minorEastAsia" w:hAnsiTheme="minorEastAsia" w:eastAsiaTheme="minorEastAsia"/>
          <w:b w:val="0"/>
          <w:color w:val="auto"/>
          <w:sz w:val="22"/>
          <w:szCs w:val="22"/>
          <w:highlight w:val="none"/>
        </w:rPr>
        <w:t>元</w:t>
      </w:r>
      <w:r>
        <w:rPr>
          <w:rFonts w:asciiTheme="minorEastAsia" w:hAnsiTheme="minorEastAsia" w:eastAsiaTheme="minorEastAsia"/>
          <w:b w:val="0"/>
          <w:color w:val="auto"/>
          <w:sz w:val="22"/>
          <w:szCs w:val="22"/>
          <w:highlight w:val="none"/>
        </w:rPr>
        <w:t xml:space="preserve">/ </w:t>
      </w:r>
      <w:r>
        <w:rPr>
          <w:rFonts w:hint="eastAsia" w:asciiTheme="minorEastAsia" w:hAnsiTheme="minorEastAsia" w:eastAsiaTheme="minorEastAsia"/>
          <w:b w:val="0"/>
          <w:color w:val="auto"/>
          <w:sz w:val="22"/>
          <w:szCs w:val="22"/>
          <w:highlight w:val="none"/>
        </w:rPr>
        <w:t>次进行处罚，情节严重或造成重大损失的，按照上级部门追查决定执行。</w:t>
      </w:r>
    </w:p>
    <w:p>
      <w:pPr>
        <w:pStyle w:val="2"/>
        <w:kinsoku w:val="0"/>
        <w:overflowPunct w:val="0"/>
        <w:spacing w:line="360" w:lineRule="auto"/>
        <w:ind w:firstLine="440" w:firstLineChars="200"/>
        <w:rPr>
          <w:rFonts w:asciiTheme="minorEastAsia" w:hAnsiTheme="minorEastAsia" w:eastAsiaTheme="minorEastAsia"/>
          <w:b w:val="0"/>
          <w:color w:val="auto"/>
          <w:sz w:val="22"/>
          <w:szCs w:val="22"/>
          <w:highlight w:val="none"/>
        </w:rPr>
      </w:pPr>
      <w:r>
        <w:rPr>
          <w:rFonts w:hint="eastAsia" w:asciiTheme="minorEastAsia" w:hAnsiTheme="minorEastAsia" w:eastAsiaTheme="minorEastAsia"/>
          <w:b w:val="0"/>
          <w:color w:val="auto"/>
          <w:sz w:val="22"/>
          <w:szCs w:val="22"/>
          <w:highlight w:val="none"/>
        </w:rPr>
        <w:t>第四十二条</w:t>
      </w:r>
      <w:r>
        <w:rPr>
          <w:rFonts w:asciiTheme="minorEastAsia" w:hAnsiTheme="minorEastAsia" w:eastAsiaTheme="minorEastAsia"/>
          <w:b w:val="0"/>
          <w:color w:val="auto"/>
          <w:sz w:val="22"/>
          <w:szCs w:val="22"/>
          <w:highlight w:val="none"/>
        </w:rPr>
        <w:t xml:space="preserve"> </w:t>
      </w:r>
      <w:r>
        <w:rPr>
          <w:rFonts w:hint="eastAsia" w:asciiTheme="minorEastAsia" w:hAnsiTheme="minorEastAsia" w:eastAsiaTheme="minorEastAsia"/>
          <w:b w:val="0"/>
          <w:color w:val="auto"/>
          <w:sz w:val="22"/>
          <w:szCs w:val="22"/>
          <w:highlight w:val="none"/>
        </w:rPr>
        <w:t>各类安全奖罚由甲方安全管理部门负责奖罚兑现，奖罚均在月度结算中扣除。</w:t>
      </w:r>
    </w:p>
    <w:p>
      <w:pPr>
        <w:pStyle w:val="2"/>
        <w:kinsoku w:val="0"/>
        <w:overflowPunct w:val="0"/>
        <w:spacing w:line="360" w:lineRule="auto"/>
        <w:ind w:firstLine="440" w:firstLineChars="200"/>
        <w:rPr>
          <w:rFonts w:asciiTheme="minorEastAsia" w:hAnsiTheme="minorEastAsia" w:eastAsiaTheme="minorEastAsia"/>
          <w:b w:val="0"/>
          <w:color w:val="auto"/>
          <w:sz w:val="22"/>
          <w:szCs w:val="22"/>
          <w:highlight w:val="none"/>
        </w:rPr>
      </w:pPr>
      <w:r>
        <w:rPr>
          <w:rFonts w:hint="eastAsia" w:asciiTheme="minorEastAsia" w:hAnsiTheme="minorEastAsia" w:eastAsiaTheme="minorEastAsia"/>
          <w:b w:val="0"/>
          <w:color w:val="auto"/>
          <w:sz w:val="22"/>
          <w:szCs w:val="22"/>
          <w:highlight w:val="none"/>
        </w:rPr>
        <w:t>第四十三条</w:t>
      </w:r>
      <w:r>
        <w:rPr>
          <w:rFonts w:asciiTheme="minorEastAsia" w:hAnsiTheme="minorEastAsia" w:eastAsiaTheme="minorEastAsia"/>
          <w:b w:val="0"/>
          <w:color w:val="auto"/>
          <w:sz w:val="22"/>
          <w:szCs w:val="22"/>
          <w:highlight w:val="none"/>
        </w:rPr>
        <w:t xml:space="preserve"> </w:t>
      </w:r>
      <w:r>
        <w:rPr>
          <w:rFonts w:hint="eastAsia" w:asciiTheme="minorEastAsia" w:hAnsiTheme="minorEastAsia" w:eastAsiaTheme="minorEastAsia"/>
          <w:b w:val="0"/>
          <w:color w:val="auto"/>
          <w:sz w:val="22"/>
          <w:szCs w:val="22"/>
          <w:highlight w:val="none"/>
        </w:rPr>
        <w:t>甲方对乙方安全管理绩效进行定期考核，对安全工作中做出突出成绩的有关人员进行奖励。</w:t>
      </w:r>
    </w:p>
    <w:p>
      <w:pPr>
        <w:pStyle w:val="2"/>
        <w:kinsoku w:val="0"/>
        <w:overflowPunct w:val="0"/>
        <w:spacing w:line="360" w:lineRule="auto"/>
        <w:ind w:firstLine="440" w:firstLineChars="200"/>
        <w:rPr>
          <w:rFonts w:asciiTheme="minorEastAsia" w:hAnsiTheme="minorEastAsia" w:eastAsiaTheme="minorEastAsia"/>
          <w:b w:val="0"/>
          <w:color w:val="auto"/>
          <w:sz w:val="22"/>
          <w:szCs w:val="22"/>
          <w:highlight w:val="none"/>
        </w:rPr>
      </w:pPr>
      <w:r>
        <w:rPr>
          <w:rFonts w:hint="eastAsia" w:asciiTheme="minorEastAsia" w:hAnsiTheme="minorEastAsia" w:eastAsiaTheme="minorEastAsia"/>
          <w:b w:val="0"/>
          <w:color w:val="auto"/>
          <w:sz w:val="22"/>
          <w:szCs w:val="22"/>
          <w:highlight w:val="none"/>
        </w:rPr>
        <w:t>第四十四条</w:t>
      </w:r>
      <w:r>
        <w:rPr>
          <w:rFonts w:asciiTheme="minorEastAsia" w:hAnsiTheme="minorEastAsia" w:eastAsiaTheme="minorEastAsia"/>
          <w:b w:val="0"/>
          <w:color w:val="auto"/>
          <w:sz w:val="22"/>
          <w:szCs w:val="22"/>
          <w:highlight w:val="none"/>
        </w:rPr>
        <w:t xml:space="preserve"> </w:t>
      </w:r>
      <w:r>
        <w:rPr>
          <w:rFonts w:hint="eastAsia" w:asciiTheme="minorEastAsia" w:hAnsiTheme="minorEastAsia" w:eastAsiaTheme="minorEastAsia"/>
          <w:b w:val="0"/>
          <w:color w:val="auto"/>
          <w:sz w:val="22"/>
          <w:szCs w:val="22"/>
          <w:highlight w:val="none"/>
        </w:rPr>
        <w:t>因乙方原因发生事故，甲方应积极协助救护，其医疗及相关处理费用由乙方承担；给甲方造成伤亡事故及损失，责任由乙方承担。</w:t>
      </w:r>
    </w:p>
    <w:p>
      <w:pPr>
        <w:pStyle w:val="2"/>
        <w:kinsoku w:val="0"/>
        <w:overflowPunct w:val="0"/>
        <w:spacing w:line="360" w:lineRule="auto"/>
        <w:ind w:firstLine="440" w:firstLineChars="200"/>
        <w:rPr>
          <w:rFonts w:asciiTheme="minorEastAsia" w:hAnsiTheme="minorEastAsia" w:eastAsiaTheme="minorEastAsia"/>
          <w:b w:val="0"/>
          <w:color w:val="auto"/>
          <w:sz w:val="22"/>
          <w:szCs w:val="22"/>
          <w:highlight w:val="none"/>
        </w:rPr>
      </w:pPr>
      <w:r>
        <w:rPr>
          <w:rFonts w:hint="eastAsia" w:asciiTheme="minorEastAsia" w:hAnsiTheme="minorEastAsia" w:eastAsiaTheme="minorEastAsia"/>
          <w:b w:val="0"/>
          <w:color w:val="auto"/>
          <w:sz w:val="22"/>
          <w:szCs w:val="22"/>
          <w:highlight w:val="none"/>
        </w:rPr>
        <w:t>第四十五条</w:t>
      </w:r>
      <w:r>
        <w:rPr>
          <w:rFonts w:asciiTheme="minorEastAsia" w:hAnsiTheme="minorEastAsia" w:eastAsiaTheme="minorEastAsia"/>
          <w:b w:val="0"/>
          <w:color w:val="auto"/>
          <w:sz w:val="22"/>
          <w:szCs w:val="22"/>
          <w:highlight w:val="none"/>
        </w:rPr>
        <w:t xml:space="preserve"> </w:t>
      </w:r>
      <w:r>
        <w:rPr>
          <w:rFonts w:hint="eastAsia" w:asciiTheme="minorEastAsia" w:hAnsiTheme="minorEastAsia" w:eastAsiaTheme="minorEastAsia"/>
          <w:b w:val="0"/>
          <w:color w:val="auto"/>
          <w:sz w:val="22"/>
          <w:szCs w:val="22"/>
          <w:highlight w:val="none"/>
        </w:rPr>
        <w:t>因不可抗力原因造成伤亡及事故损失，其费用按国家法律、法规的有关规定执行。</w:t>
      </w:r>
    </w:p>
    <w:p>
      <w:pPr>
        <w:pStyle w:val="2"/>
        <w:kinsoku w:val="0"/>
        <w:overflowPunct w:val="0"/>
        <w:spacing w:line="360" w:lineRule="auto"/>
        <w:ind w:firstLine="440" w:firstLineChars="200"/>
        <w:rPr>
          <w:rFonts w:asciiTheme="minorEastAsia" w:hAnsiTheme="minorEastAsia" w:eastAsiaTheme="minorEastAsia"/>
          <w:b w:val="0"/>
          <w:color w:val="auto"/>
          <w:sz w:val="22"/>
          <w:szCs w:val="22"/>
          <w:highlight w:val="none"/>
        </w:rPr>
      </w:pPr>
      <w:r>
        <w:rPr>
          <w:rFonts w:hint="eastAsia" w:asciiTheme="minorEastAsia" w:hAnsiTheme="minorEastAsia" w:eastAsiaTheme="minorEastAsia"/>
          <w:b w:val="0"/>
          <w:color w:val="auto"/>
          <w:sz w:val="22"/>
          <w:szCs w:val="22"/>
          <w:highlight w:val="none"/>
        </w:rPr>
        <w:t>第四十六条</w:t>
      </w:r>
      <w:r>
        <w:rPr>
          <w:rFonts w:asciiTheme="minorEastAsia" w:hAnsiTheme="minorEastAsia" w:eastAsiaTheme="minorEastAsia"/>
          <w:b w:val="0"/>
          <w:color w:val="auto"/>
          <w:sz w:val="22"/>
          <w:szCs w:val="22"/>
          <w:highlight w:val="none"/>
        </w:rPr>
        <w:t xml:space="preserve"> </w:t>
      </w:r>
      <w:r>
        <w:rPr>
          <w:rFonts w:hint="eastAsia" w:asciiTheme="minorEastAsia" w:hAnsiTheme="minorEastAsia" w:eastAsiaTheme="minorEastAsia"/>
          <w:b w:val="0"/>
          <w:color w:val="auto"/>
          <w:sz w:val="22"/>
          <w:szCs w:val="22"/>
          <w:highlight w:val="none"/>
        </w:rPr>
        <w:t>甲乙双方违反约定，触犯国家、省有关法律法规的，由有关部门按照有关法律法规的规定进行处罚。</w:t>
      </w:r>
    </w:p>
    <w:p>
      <w:pPr>
        <w:pStyle w:val="2"/>
        <w:kinsoku w:val="0"/>
        <w:overflowPunct w:val="0"/>
        <w:spacing w:line="360" w:lineRule="auto"/>
        <w:ind w:firstLine="440" w:firstLineChars="200"/>
        <w:rPr>
          <w:rFonts w:asciiTheme="minorEastAsia" w:hAnsiTheme="minorEastAsia" w:eastAsiaTheme="minorEastAsia"/>
          <w:b w:val="0"/>
          <w:color w:val="auto"/>
          <w:sz w:val="22"/>
          <w:szCs w:val="22"/>
          <w:highlight w:val="none"/>
        </w:rPr>
      </w:pPr>
      <w:r>
        <w:rPr>
          <w:rFonts w:hint="eastAsia" w:asciiTheme="minorEastAsia" w:hAnsiTheme="minorEastAsia" w:eastAsiaTheme="minorEastAsia"/>
          <w:b w:val="0"/>
          <w:color w:val="auto"/>
          <w:sz w:val="22"/>
          <w:szCs w:val="22"/>
          <w:highlight w:val="none"/>
        </w:rPr>
        <w:t>第四十七条</w:t>
      </w:r>
      <w:r>
        <w:rPr>
          <w:rFonts w:asciiTheme="minorEastAsia" w:hAnsiTheme="minorEastAsia" w:eastAsiaTheme="minorEastAsia"/>
          <w:b w:val="0"/>
          <w:color w:val="auto"/>
          <w:sz w:val="22"/>
          <w:szCs w:val="22"/>
          <w:highlight w:val="none"/>
        </w:rPr>
        <w:t xml:space="preserve"> </w:t>
      </w:r>
      <w:r>
        <w:rPr>
          <w:rFonts w:hint="eastAsia" w:asciiTheme="minorEastAsia" w:hAnsiTheme="minorEastAsia" w:eastAsiaTheme="minorEastAsia"/>
          <w:b w:val="0"/>
          <w:color w:val="auto"/>
          <w:sz w:val="22"/>
          <w:szCs w:val="22"/>
          <w:highlight w:val="none"/>
        </w:rPr>
        <w:t>根据中煤集团关于煤矿外委队伍安全管理指导意见（修订）文件规定，如乙方发生较大以上事故、年度内发生两起死亡责任事故的；安全质量标准化考核连续两月不达标的；队伍资质不符合、过期或失效的；挂靠、转包、违法分包的，甲方将按照规定予以清退并上报集团公司。</w:t>
      </w:r>
    </w:p>
    <w:p>
      <w:pPr>
        <w:bidi w:val="0"/>
      </w:pPr>
      <w:r>
        <w:rPr>
          <w:rFonts w:hint="eastAsia"/>
        </w:rPr>
        <w:t>第四章</w:t>
      </w:r>
      <w:r>
        <w:t xml:space="preserve">  </w:t>
      </w:r>
      <w:r>
        <w:rPr>
          <w:rFonts w:hint="eastAsia"/>
        </w:rPr>
        <w:t>一般规定</w:t>
      </w:r>
    </w:p>
    <w:p>
      <w:pPr>
        <w:pStyle w:val="2"/>
        <w:kinsoku w:val="0"/>
        <w:overflowPunct w:val="0"/>
        <w:spacing w:line="360" w:lineRule="auto"/>
        <w:ind w:firstLine="587"/>
        <w:rPr>
          <w:rFonts w:asciiTheme="minorEastAsia" w:hAnsiTheme="minorEastAsia" w:eastAsiaTheme="minorEastAsia"/>
          <w:b w:val="0"/>
          <w:color w:val="auto"/>
          <w:sz w:val="22"/>
          <w:szCs w:val="22"/>
          <w:highlight w:val="none"/>
        </w:rPr>
      </w:pPr>
      <w:r>
        <w:rPr>
          <w:rFonts w:hint="eastAsia" w:asciiTheme="minorEastAsia" w:hAnsiTheme="minorEastAsia" w:eastAsiaTheme="minorEastAsia"/>
          <w:b w:val="0"/>
          <w:color w:val="auto"/>
          <w:sz w:val="22"/>
          <w:szCs w:val="22"/>
          <w:highlight w:val="none"/>
        </w:rPr>
        <w:t>第四十八条</w:t>
      </w:r>
      <w:r>
        <w:rPr>
          <w:rFonts w:asciiTheme="minorEastAsia" w:hAnsiTheme="minorEastAsia" w:eastAsiaTheme="minorEastAsia"/>
          <w:b w:val="0"/>
          <w:color w:val="auto"/>
          <w:sz w:val="22"/>
          <w:szCs w:val="22"/>
          <w:highlight w:val="none"/>
        </w:rPr>
        <w:t xml:space="preserve"> </w:t>
      </w:r>
      <w:r>
        <w:rPr>
          <w:rFonts w:hint="eastAsia" w:asciiTheme="minorEastAsia" w:hAnsiTheme="minorEastAsia" w:eastAsiaTheme="minorEastAsia"/>
          <w:b w:val="0"/>
          <w:color w:val="auto"/>
          <w:sz w:val="22"/>
          <w:szCs w:val="22"/>
          <w:highlight w:val="none"/>
        </w:rPr>
        <w:t>本协议在执行中所发生的一切指令、通知、整改单等，都必须以书面文字为准（包括电子文件、传真、</w:t>
      </w:r>
      <w:r>
        <w:rPr>
          <w:rFonts w:asciiTheme="minorEastAsia" w:hAnsiTheme="minorEastAsia" w:eastAsiaTheme="minorEastAsia"/>
          <w:b w:val="0"/>
          <w:color w:val="auto"/>
          <w:sz w:val="22"/>
          <w:szCs w:val="22"/>
          <w:highlight w:val="none"/>
        </w:rPr>
        <w:t xml:space="preserve"> </w:t>
      </w:r>
      <w:r>
        <w:rPr>
          <w:rFonts w:hint="eastAsia" w:asciiTheme="minorEastAsia" w:hAnsiTheme="minorEastAsia" w:eastAsiaTheme="minorEastAsia"/>
          <w:b w:val="0"/>
          <w:color w:val="auto"/>
          <w:sz w:val="22"/>
          <w:szCs w:val="22"/>
          <w:highlight w:val="none"/>
        </w:rPr>
        <w:t>扫描件、邮件等），</w:t>
      </w:r>
      <w:r>
        <w:rPr>
          <w:rFonts w:asciiTheme="minorEastAsia" w:hAnsiTheme="minorEastAsia" w:eastAsiaTheme="minorEastAsia"/>
          <w:b w:val="0"/>
          <w:color w:val="auto"/>
          <w:sz w:val="22"/>
          <w:szCs w:val="22"/>
          <w:highlight w:val="none"/>
        </w:rPr>
        <w:t xml:space="preserve"> </w:t>
      </w:r>
      <w:r>
        <w:rPr>
          <w:rFonts w:hint="eastAsia" w:asciiTheme="minorEastAsia" w:hAnsiTheme="minorEastAsia" w:eastAsiaTheme="minorEastAsia"/>
          <w:b w:val="0"/>
          <w:color w:val="auto"/>
          <w:sz w:val="22"/>
          <w:szCs w:val="22"/>
          <w:highlight w:val="none"/>
        </w:rPr>
        <w:t>如确属情况特殊现场不能形成书面记录、指令、通知等，必须在</w:t>
      </w:r>
      <w:r>
        <w:rPr>
          <w:rFonts w:asciiTheme="minorEastAsia" w:hAnsiTheme="minorEastAsia" w:eastAsiaTheme="minorEastAsia"/>
          <w:b w:val="0"/>
          <w:color w:val="auto"/>
          <w:sz w:val="22"/>
          <w:szCs w:val="22"/>
          <w:highlight w:val="none"/>
        </w:rPr>
        <w:t xml:space="preserve"> 48 </w:t>
      </w:r>
      <w:r>
        <w:rPr>
          <w:rFonts w:hint="eastAsia" w:asciiTheme="minorEastAsia" w:hAnsiTheme="minorEastAsia" w:eastAsiaTheme="minorEastAsia"/>
          <w:b w:val="0"/>
          <w:color w:val="auto"/>
          <w:sz w:val="22"/>
          <w:szCs w:val="22"/>
          <w:highlight w:val="none"/>
        </w:rPr>
        <w:t>小时内补齐。</w:t>
      </w:r>
    </w:p>
    <w:p>
      <w:pPr>
        <w:pStyle w:val="2"/>
        <w:kinsoku w:val="0"/>
        <w:overflowPunct w:val="0"/>
        <w:spacing w:line="360" w:lineRule="auto"/>
        <w:ind w:firstLine="590"/>
        <w:rPr>
          <w:rFonts w:asciiTheme="minorEastAsia" w:hAnsiTheme="minorEastAsia" w:eastAsiaTheme="minorEastAsia"/>
          <w:b w:val="0"/>
          <w:color w:val="auto"/>
          <w:sz w:val="22"/>
          <w:szCs w:val="22"/>
          <w:highlight w:val="none"/>
        </w:rPr>
      </w:pPr>
      <w:r>
        <w:rPr>
          <w:rFonts w:hint="eastAsia" w:asciiTheme="minorEastAsia" w:hAnsiTheme="minorEastAsia" w:eastAsiaTheme="minorEastAsia"/>
          <w:b w:val="0"/>
          <w:color w:val="auto"/>
          <w:sz w:val="22"/>
          <w:szCs w:val="22"/>
          <w:highlight w:val="none"/>
        </w:rPr>
        <w:t>第四十九条</w:t>
      </w:r>
      <w:r>
        <w:rPr>
          <w:rFonts w:asciiTheme="minorEastAsia" w:hAnsiTheme="minorEastAsia" w:eastAsiaTheme="minorEastAsia"/>
          <w:b w:val="0"/>
          <w:color w:val="auto"/>
          <w:sz w:val="22"/>
          <w:szCs w:val="22"/>
          <w:highlight w:val="none"/>
        </w:rPr>
        <w:t xml:space="preserve"> </w:t>
      </w:r>
      <w:r>
        <w:rPr>
          <w:rFonts w:hint="eastAsia" w:asciiTheme="minorEastAsia" w:hAnsiTheme="minorEastAsia" w:eastAsiaTheme="minorEastAsia"/>
          <w:b w:val="0"/>
          <w:color w:val="auto"/>
          <w:sz w:val="22"/>
          <w:szCs w:val="22"/>
          <w:highlight w:val="none"/>
        </w:rPr>
        <w:t>本协议执行中如发生争议，应甲乙双方协调解决；协调不成，任何一方均可向运城人民法院提起诉讼。</w:t>
      </w:r>
    </w:p>
    <w:p>
      <w:pPr>
        <w:pStyle w:val="2"/>
        <w:kinsoku w:val="0"/>
        <w:overflowPunct w:val="0"/>
        <w:spacing w:line="360" w:lineRule="auto"/>
        <w:ind w:firstLine="561"/>
        <w:rPr>
          <w:rFonts w:asciiTheme="minorEastAsia" w:hAnsiTheme="minorEastAsia" w:eastAsiaTheme="minorEastAsia"/>
          <w:b w:val="0"/>
          <w:color w:val="auto"/>
          <w:sz w:val="22"/>
          <w:szCs w:val="22"/>
          <w:highlight w:val="none"/>
        </w:rPr>
      </w:pPr>
      <w:r>
        <w:rPr>
          <w:rFonts w:hint="eastAsia" w:asciiTheme="minorEastAsia" w:hAnsiTheme="minorEastAsia" w:eastAsiaTheme="minorEastAsia"/>
          <w:b w:val="0"/>
          <w:color w:val="auto"/>
          <w:sz w:val="22"/>
          <w:szCs w:val="22"/>
          <w:highlight w:val="none"/>
        </w:rPr>
        <w:t>第五十条</w:t>
      </w:r>
      <w:r>
        <w:rPr>
          <w:rFonts w:asciiTheme="minorEastAsia" w:hAnsiTheme="minorEastAsia" w:eastAsiaTheme="minorEastAsia"/>
          <w:b w:val="0"/>
          <w:color w:val="auto"/>
          <w:sz w:val="22"/>
          <w:szCs w:val="22"/>
          <w:highlight w:val="none"/>
        </w:rPr>
        <w:t xml:space="preserve"> </w:t>
      </w:r>
      <w:r>
        <w:rPr>
          <w:rFonts w:hint="eastAsia" w:asciiTheme="minorEastAsia" w:hAnsiTheme="minorEastAsia" w:eastAsiaTheme="minorEastAsia"/>
          <w:b w:val="0"/>
          <w:color w:val="auto"/>
          <w:sz w:val="22"/>
          <w:szCs w:val="22"/>
          <w:highlight w:val="none"/>
        </w:rPr>
        <w:t>本协议在执行中如有未尽事宜，国家法律、法规有规定的，从其规定；国家法律、法规没有规定的，由甲乙双方共同协商签订补充协议，补充协议与本协议效力相同。双方对本协议内容均己充分知悉，理解；对于本协议涉及的相关内容甲方也已充分告知了乙方。</w:t>
      </w:r>
    </w:p>
    <w:p>
      <w:pPr>
        <w:pStyle w:val="2"/>
        <w:kinsoku w:val="0"/>
        <w:overflowPunct w:val="0"/>
        <w:spacing w:line="360" w:lineRule="auto"/>
        <w:ind w:firstLine="440" w:firstLineChars="200"/>
        <w:rPr>
          <w:rFonts w:asciiTheme="minorEastAsia" w:hAnsiTheme="minorEastAsia" w:eastAsiaTheme="minorEastAsia"/>
          <w:b w:val="0"/>
          <w:color w:val="auto"/>
          <w:sz w:val="22"/>
          <w:szCs w:val="22"/>
          <w:highlight w:val="none"/>
        </w:rPr>
      </w:pPr>
      <w:r>
        <w:rPr>
          <w:rFonts w:hint="eastAsia" w:asciiTheme="minorEastAsia" w:hAnsiTheme="minorEastAsia" w:eastAsiaTheme="minorEastAsia"/>
          <w:b w:val="0"/>
          <w:color w:val="auto"/>
          <w:sz w:val="22"/>
          <w:szCs w:val="22"/>
          <w:highlight w:val="none"/>
        </w:rPr>
        <w:t>第五十一条</w:t>
      </w:r>
      <w:r>
        <w:rPr>
          <w:rFonts w:asciiTheme="minorEastAsia" w:hAnsiTheme="minorEastAsia" w:eastAsiaTheme="minorEastAsia"/>
          <w:b w:val="0"/>
          <w:color w:val="auto"/>
          <w:sz w:val="22"/>
          <w:szCs w:val="22"/>
          <w:highlight w:val="none"/>
        </w:rPr>
        <w:t xml:space="preserve"> </w:t>
      </w:r>
      <w:r>
        <w:rPr>
          <w:rFonts w:hint="eastAsia" w:asciiTheme="minorEastAsia" w:hAnsiTheme="minorEastAsia" w:eastAsiaTheme="minorEastAsia"/>
          <w:b w:val="0"/>
          <w:color w:val="auto"/>
          <w:sz w:val="22"/>
          <w:szCs w:val="22"/>
          <w:highlight w:val="none"/>
        </w:rPr>
        <w:t>本协议壹式拾份，效力相同，甲方执伍份，乙方执伍份。</w:t>
      </w:r>
    </w:p>
    <w:p>
      <w:pPr>
        <w:pStyle w:val="2"/>
        <w:kinsoku w:val="0"/>
        <w:overflowPunct w:val="0"/>
        <w:spacing w:line="360" w:lineRule="auto"/>
        <w:ind w:firstLine="440" w:firstLineChars="200"/>
        <w:rPr>
          <w:rFonts w:asciiTheme="minorEastAsia" w:hAnsiTheme="minorEastAsia" w:eastAsiaTheme="minorEastAsia"/>
          <w:b w:val="0"/>
          <w:color w:val="auto"/>
          <w:sz w:val="22"/>
          <w:szCs w:val="22"/>
          <w:highlight w:val="none"/>
        </w:rPr>
      </w:pPr>
      <w:r>
        <w:rPr>
          <w:rFonts w:hint="eastAsia" w:asciiTheme="minorEastAsia" w:hAnsiTheme="minorEastAsia" w:eastAsiaTheme="minorEastAsia"/>
          <w:b w:val="0"/>
          <w:color w:val="auto"/>
          <w:sz w:val="22"/>
          <w:szCs w:val="22"/>
          <w:highlight w:val="none"/>
        </w:rPr>
        <w:t>第五十二条</w:t>
      </w:r>
      <w:r>
        <w:rPr>
          <w:rFonts w:asciiTheme="minorEastAsia" w:hAnsiTheme="minorEastAsia" w:eastAsiaTheme="minorEastAsia"/>
          <w:b w:val="0"/>
          <w:color w:val="auto"/>
          <w:sz w:val="22"/>
          <w:szCs w:val="22"/>
          <w:highlight w:val="none"/>
        </w:rPr>
        <w:t xml:space="preserve"> </w:t>
      </w:r>
      <w:r>
        <w:rPr>
          <w:rFonts w:hint="eastAsia" w:asciiTheme="minorEastAsia" w:hAnsiTheme="minorEastAsia" w:eastAsiaTheme="minorEastAsia"/>
          <w:b w:val="0"/>
          <w:color w:val="auto"/>
          <w:sz w:val="22"/>
          <w:szCs w:val="22"/>
          <w:highlight w:val="none"/>
        </w:rPr>
        <w:t>本协议由双方法定代表人或授权代表签字或盖章并</w:t>
      </w:r>
    </w:p>
    <w:p>
      <w:pPr>
        <w:pStyle w:val="2"/>
        <w:kinsoku w:val="0"/>
        <w:overflowPunct w:val="0"/>
        <w:spacing w:line="360" w:lineRule="auto"/>
        <w:ind w:firstLine="440" w:firstLineChars="200"/>
        <w:rPr>
          <w:rFonts w:asciiTheme="minorEastAsia" w:hAnsiTheme="minorEastAsia" w:eastAsiaTheme="minorEastAsia"/>
          <w:b w:val="0"/>
          <w:color w:val="auto"/>
          <w:sz w:val="22"/>
          <w:szCs w:val="22"/>
          <w:highlight w:val="none"/>
        </w:rPr>
      </w:pPr>
      <w:r>
        <w:rPr>
          <w:rFonts w:hint="eastAsia" w:asciiTheme="minorEastAsia" w:hAnsiTheme="minorEastAsia" w:eastAsiaTheme="minorEastAsia"/>
          <w:b w:val="0"/>
          <w:color w:val="auto"/>
          <w:sz w:val="22"/>
          <w:szCs w:val="22"/>
          <w:highlight w:val="none"/>
        </w:rPr>
        <w:t>加盖合同专用章或公章之后生效。</w:t>
      </w:r>
    </w:p>
    <w:p>
      <w:pPr>
        <w:pStyle w:val="2"/>
        <w:kinsoku w:val="0"/>
        <w:overflowPunct w:val="0"/>
        <w:rPr>
          <w:color w:val="auto"/>
          <w:position w:val="1"/>
          <w:sz w:val="28"/>
          <w:szCs w:val="28"/>
          <w:highlight w:val="none"/>
        </w:rPr>
      </w:pPr>
    </w:p>
    <w:p>
      <w:pPr>
        <w:pStyle w:val="2"/>
        <w:kinsoku w:val="0"/>
        <w:overflowPunct w:val="0"/>
        <w:rPr>
          <w:b w:val="0"/>
          <w:color w:val="auto"/>
          <w:spacing w:val="-10"/>
          <w:sz w:val="24"/>
          <w:szCs w:val="28"/>
          <w:highlight w:val="none"/>
        </w:rPr>
      </w:pPr>
      <w:r>
        <w:rPr>
          <w:rFonts w:hint="eastAsia"/>
          <w:b w:val="0"/>
          <w:color w:val="auto"/>
          <w:position w:val="1"/>
          <w:sz w:val="24"/>
          <w:szCs w:val="28"/>
          <w:highlight w:val="none"/>
        </w:rPr>
        <w:t>甲方</w:t>
      </w:r>
      <w:r>
        <w:rPr>
          <w:rFonts w:hint="eastAsia"/>
          <w:b w:val="0"/>
          <w:color w:val="auto"/>
          <w:spacing w:val="-196"/>
          <w:w w:val="102"/>
          <w:position w:val="1"/>
          <w:sz w:val="24"/>
          <w:szCs w:val="28"/>
          <w:highlight w:val="none"/>
        </w:rPr>
        <w:t>：</w:t>
      </w:r>
      <w:r>
        <w:rPr>
          <w:rFonts w:hint="eastAsia"/>
          <w:b w:val="0"/>
          <w:color w:val="auto"/>
          <w:w w:val="98"/>
          <w:sz w:val="24"/>
          <w:szCs w:val="28"/>
          <w:highlight w:val="none"/>
        </w:rPr>
        <w:t>（</w:t>
      </w:r>
      <w:r>
        <w:rPr>
          <w:rFonts w:hint="eastAsia"/>
          <w:b w:val="0"/>
          <w:color w:val="auto"/>
          <w:sz w:val="24"/>
          <w:szCs w:val="28"/>
          <w:highlight w:val="none"/>
        </w:rPr>
        <w:t>盖章</w:t>
      </w:r>
      <w:r>
        <w:rPr>
          <w:rFonts w:hint="eastAsia"/>
          <w:b w:val="0"/>
          <w:color w:val="auto"/>
          <w:spacing w:val="-10"/>
          <w:sz w:val="24"/>
          <w:szCs w:val="28"/>
          <w:highlight w:val="none"/>
        </w:rPr>
        <w:t>）</w:t>
      </w:r>
      <w:r>
        <w:rPr>
          <w:b w:val="0"/>
          <w:color w:val="auto"/>
          <w:spacing w:val="-10"/>
          <w:sz w:val="24"/>
          <w:szCs w:val="28"/>
          <w:highlight w:val="none"/>
        </w:rPr>
        <w:t xml:space="preserve">                         </w:t>
      </w:r>
      <w:r>
        <w:rPr>
          <w:rFonts w:hint="eastAsia"/>
          <w:b w:val="0"/>
          <w:color w:val="auto"/>
          <w:spacing w:val="-10"/>
          <w:sz w:val="24"/>
          <w:szCs w:val="28"/>
          <w:highlight w:val="none"/>
        </w:rPr>
        <w:t>乙方：（盖章）</w:t>
      </w:r>
    </w:p>
    <w:p>
      <w:pPr>
        <w:pStyle w:val="2"/>
        <w:kinsoku w:val="0"/>
        <w:overflowPunct w:val="0"/>
        <w:rPr>
          <w:b w:val="0"/>
          <w:color w:val="auto"/>
          <w:spacing w:val="-10"/>
          <w:sz w:val="24"/>
          <w:szCs w:val="28"/>
          <w:highlight w:val="none"/>
        </w:rPr>
      </w:pPr>
      <w:r>
        <w:rPr>
          <w:rFonts w:hint="eastAsia"/>
          <w:b w:val="0"/>
          <w:color w:val="auto"/>
          <w:spacing w:val="-4"/>
          <w:position w:val="1"/>
          <w:sz w:val="24"/>
          <w:szCs w:val="28"/>
          <w:highlight w:val="none"/>
        </w:rPr>
        <w:t>法定</w:t>
      </w:r>
      <w:r>
        <w:rPr>
          <w:rFonts w:hint="eastAsia"/>
          <w:b w:val="0"/>
          <w:color w:val="auto"/>
          <w:spacing w:val="-4"/>
          <w:sz w:val="24"/>
          <w:szCs w:val="28"/>
          <w:highlight w:val="none"/>
        </w:rPr>
        <w:t>代表</w:t>
      </w:r>
      <w:r>
        <w:rPr>
          <w:rFonts w:hint="eastAsia"/>
          <w:b w:val="0"/>
          <w:color w:val="auto"/>
          <w:spacing w:val="-10"/>
          <w:sz w:val="24"/>
          <w:szCs w:val="28"/>
          <w:highlight w:val="none"/>
        </w:rPr>
        <w:t>人</w:t>
      </w:r>
      <w:r>
        <w:rPr>
          <w:b w:val="0"/>
          <w:color w:val="auto"/>
          <w:spacing w:val="-10"/>
          <w:sz w:val="24"/>
          <w:szCs w:val="28"/>
          <w:highlight w:val="none"/>
        </w:rPr>
        <w:t xml:space="preserve">                            </w:t>
      </w:r>
      <w:r>
        <w:rPr>
          <w:rFonts w:hint="eastAsia"/>
          <w:b w:val="0"/>
          <w:color w:val="auto"/>
          <w:spacing w:val="-10"/>
          <w:sz w:val="24"/>
          <w:szCs w:val="28"/>
          <w:highlight w:val="none"/>
        </w:rPr>
        <w:t>法定代表人</w:t>
      </w:r>
    </w:p>
    <w:p>
      <w:pPr>
        <w:pStyle w:val="2"/>
        <w:kinsoku w:val="0"/>
        <w:overflowPunct w:val="0"/>
        <w:spacing w:before="171"/>
        <w:rPr>
          <w:b w:val="0"/>
          <w:color w:val="auto"/>
          <w:sz w:val="24"/>
          <w:szCs w:val="28"/>
          <w:highlight w:val="none"/>
        </w:rPr>
      </w:pPr>
      <w:r>
        <w:rPr>
          <w:rFonts w:hint="eastAsia"/>
          <w:b w:val="0"/>
          <w:color w:val="auto"/>
          <w:position w:val="1"/>
          <w:sz w:val="24"/>
          <w:szCs w:val="28"/>
          <w:highlight w:val="none"/>
        </w:rPr>
        <w:t>或授权</w:t>
      </w:r>
      <w:r>
        <w:rPr>
          <w:rFonts w:hint="eastAsia"/>
          <w:b w:val="0"/>
          <w:color w:val="auto"/>
          <w:sz w:val="24"/>
          <w:szCs w:val="28"/>
          <w:highlight w:val="none"/>
        </w:rPr>
        <w:t>代表</w:t>
      </w:r>
      <w:r>
        <w:rPr>
          <w:b w:val="0"/>
          <w:color w:val="auto"/>
          <w:spacing w:val="-10"/>
          <w:sz w:val="24"/>
          <w:szCs w:val="28"/>
          <w:highlight w:val="none"/>
        </w:rPr>
        <w:t>:</w:t>
      </w:r>
      <w:r>
        <w:rPr>
          <w:b w:val="0"/>
          <w:color w:val="auto"/>
          <w:sz w:val="20"/>
          <w:highlight w:val="none"/>
        </w:rPr>
        <w:t xml:space="preserve">                           </w:t>
      </w:r>
      <w:r>
        <w:rPr>
          <w:rFonts w:hint="eastAsia"/>
          <w:b w:val="0"/>
          <w:color w:val="auto"/>
          <w:spacing w:val="-10"/>
          <w:sz w:val="24"/>
          <w:szCs w:val="28"/>
          <w:highlight w:val="none"/>
        </w:rPr>
        <w:t>或授权代表</w:t>
      </w:r>
      <w:r>
        <w:rPr>
          <w:b w:val="0"/>
          <w:color w:val="auto"/>
          <w:spacing w:val="-10"/>
          <w:sz w:val="24"/>
          <w:szCs w:val="28"/>
          <w:highlight w:val="none"/>
        </w:rPr>
        <w:t xml:space="preserve">: </w:t>
      </w:r>
    </w:p>
    <w:p>
      <w:pPr>
        <w:widowControl w:val="0"/>
        <w:tabs>
          <w:tab w:val="left" w:pos="1980"/>
        </w:tabs>
        <w:autoSpaceDE w:val="0"/>
        <w:autoSpaceDN w:val="0"/>
        <w:adjustRightInd w:val="0"/>
        <w:spacing w:line="400" w:lineRule="exact"/>
        <w:ind w:firstLine="480" w:firstLineChars="200"/>
        <w:jc w:val="center"/>
        <w:rPr>
          <w:rFonts w:ascii="宋体" w:hAnsi="宋体" w:cs="宋体"/>
          <w:color w:val="auto"/>
          <w:sz w:val="24"/>
          <w:szCs w:val="22"/>
          <w:highlight w:val="none"/>
        </w:rPr>
      </w:pPr>
    </w:p>
    <w:p>
      <w:pPr>
        <w:pStyle w:val="180"/>
        <w:ind w:firstLine="0" w:firstLineChars="0"/>
        <w:outlineLvl w:val="1"/>
        <w:rPr>
          <w:rFonts w:asciiTheme="minorEastAsia" w:hAnsiTheme="minorEastAsia" w:eastAsiaTheme="minorEastAsia"/>
          <w:bCs/>
          <w:color w:val="auto"/>
          <w:sz w:val="28"/>
          <w:szCs w:val="28"/>
          <w:highlight w:val="none"/>
        </w:rPr>
        <w:sectPr>
          <w:pgSz w:w="11906" w:h="16838"/>
          <w:pgMar w:top="1440" w:right="1800" w:bottom="1440" w:left="1800" w:header="851" w:footer="992" w:gutter="0"/>
          <w:cols w:space="425" w:num="1"/>
          <w:docGrid w:type="lines" w:linePitch="312" w:charSpace="0"/>
        </w:sectPr>
      </w:pPr>
    </w:p>
    <w:p>
      <w:pPr>
        <w:pStyle w:val="9"/>
        <w:bidi w:val="0"/>
      </w:pPr>
      <w:r>
        <w:rPr>
          <w:rFonts w:hint="eastAsia"/>
        </w:rPr>
        <w:t>附件</w:t>
      </w:r>
      <w:r>
        <w:t>4</w:t>
      </w:r>
    </w:p>
    <w:p>
      <w:pPr>
        <w:spacing w:line="360" w:lineRule="auto"/>
        <w:ind w:firstLine="640" w:firstLineChars="200"/>
        <w:jc w:val="center"/>
        <w:rPr>
          <w:color w:val="auto"/>
          <w:sz w:val="32"/>
          <w:szCs w:val="32"/>
          <w:highlight w:val="none"/>
        </w:rPr>
      </w:pPr>
      <w:r>
        <w:rPr>
          <w:color w:val="auto"/>
          <w:sz w:val="32"/>
          <w:szCs w:val="32"/>
          <w:highlight w:val="none"/>
        </w:rPr>
        <w:t>不拖欠工资承诺书</w:t>
      </w:r>
    </w:p>
    <w:p>
      <w:pPr>
        <w:spacing w:line="360" w:lineRule="auto"/>
        <w:rPr>
          <w:color w:val="auto"/>
          <w:sz w:val="21"/>
          <w:szCs w:val="21"/>
          <w:highlight w:val="none"/>
        </w:rPr>
      </w:pPr>
      <w:r>
        <w:rPr>
          <w:color w:val="auto"/>
          <w:sz w:val="21"/>
          <w:szCs w:val="21"/>
          <w:highlight w:val="none"/>
        </w:rPr>
        <w:t>致：中煤天津设计工程有限责任公司</w:t>
      </w:r>
    </w:p>
    <w:p>
      <w:pPr>
        <w:spacing w:line="360" w:lineRule="auto"/>
        <w:ind w:firstLine="420" w:firstLineChars="200"/>
        <w:rPr>
          <w:color w:val="auto"/>
          <w:sz w:val="21"/>
          <w:szCs w:val="21"/>
          <w:highlight w:val="none"/>
        </w:rPr>
      </w:pPr>
      <w:r>
        <w:rPr>
          <w:color w:val="auto"/>
          <w:sz w:val="21"/>
          <w:szCs w:val="21"/>
          <w:highlight w:val="none"/>
        </w:rPr>
        <w:t>为保护农民工的合法权益，做到不拖欠农民工工资，我们郑重承诺，我单位分包的</w:t>
      </w:r>
      <w:r>
        <w:rPr>
          <w:rFonts w:hint="eastAsia"/>
          <w:color w:val="auto"/>
          <w:sz w:val="21"/>
          <w:szCs w:val="21"/>
          <w:highlight w:val="none"/>
          <w:u w:val="single"/>
        </w:rPr>
        <w:t>X</w:t>
      </w:r>
      <w:r>
        <w:rPr>
          <w:color w:val="auto"/>
          <w:sz w:val="21"/>
          <w:szCs w:val="21"/>
          <w:highlight w:val="none"/>
          <w:u w:val="single"/>
        </w:rPr>
        <w:t>XX</w:t>
      </w:r>
      <w:r>
        <w:rPr>
          <w:rFonts w:hint="eastAsia"/>
          <w:color w:val="auto"/>
          <w:sz w:val="21"/>
          <w:szCs w:val="21"/>
          <w:highlight w:val="none"/>
          <w:u w:val="single"/>
        </w:rPr>
        <w:t>工程分包合同</w:t>
      </w:r>
      <w:r>
        <w:rPr>
          <w:color w:val="auto"/>
          <w:sz w:val="21"/>
          <w:szCs w:val="21"/>
          <w:highlight w:val="none"/>
        </w:rPr>
        <w:t>项目，将保证做到：</w:t>
      </w:r>
    </w:p>
    <w:p>
      <w:pPr>
        <w:spacing w:line="360" w:lineRule="auto"/>
        <w:rPr>
          <w:color w:val="auto"/>
          <w:sz w:val="21"/>
          <w:szCs w:val="21"/>
          <w:highlight w:val="none"/>
        </w:rPr>
      </w:pPr>
      <w:r>
        <w:rPr>
          <w:color w:val="auto"/>
          <w:sz w:val="21"/>
          <w:szCs w:val="21"/>
          <w:highlight w:val="none"/>
        </w:rPr>
        <w:t xml:space="preserve">    1、按照《劳动法》规定雇佣和使用农民工，工资将直接发放给农民工本人，保证不发给“包工头”。</w:t>
      </w:r>
    </w:p>
    <w:p>
      <w:pPr>
        <w:spacing w:line="360" w:lineRule="auto"/>
        <w:ind w:firstLine="420" w:firstLineChars="200"/>
        <w:rPr>
          <w:color w:val="auto"/>
          <w:sz w:val="21"/>
          <w:szCs w:val="21"/>
          <w:highlight w:val="none"/>
        </w:rPr>
      </w:pPr>
      <w:r>
        <w:rPr>
          <w:color w:val="auto"/>
          <w:sz w:val="21"/>
          <w:szCs w:val="21"/>
          <w:highlight w:val="none"/>
        </w:rPr>
        <w:t>2、我单位将负责按照合同规定及时结付农民工工资。</w:t>
      </w:r>
    </w:p>
    <w:p>
      <w:pPr>
        <w:spacing w:line="360" w:lineRule="auto"/>
        <w:ind w:firstLine="420" w:firstLineChars="200"/>
        <w:rPr>
          <w:color w:val="auto"/>
          <w:sz w:val="21"/>
          <w:szCs w:val="21"/>
          <w:highlight w:val="none"/>
        </w:rPr>
      </w:pPr>
      <w:r>
        <w:rPr>
          <w:color w:val="auto"/>
          <w:sz w:val="21"/>
          <w:szCs w:val="21"/>
          <w:highlight w:val="none"/>
        </w:rPr>
        <w:t>3、如果发生违反规定不签订劳动合同，拖欠或克扣农民工工资行为，造成农民工上访，及其它突发事件或公共事件，我单位愿意接受劳动行政部门按照有关劳动保障法律规定给予处罚。</w:t>
      </w:r>
    </w:p>
    <w:p>
      <w:pPr>
        <w:spacing w:line="360" w:lineRule="auto"/>
        <w:rPr>
          <w:color w:val="auto"/>
          <w:sz w:val="21"/>
          <w:szCs w:val="21"/>
          <w:highlight w:val="none"/>
        </w:rPr>
      </w:pPr>
    </w:p>
    <w:p>
      <w:pPr>
        <w:spacing w:line="360" w:lineRule="auto"/>
        <w:rPr>
          <w:color w:val="auto"/>
          <w:sz w:val="21"/>
          <w:szCs w:val="21"/>
          <w:highlight w:val="none"/>
        </w:rPr>
      </w:pPr>
      <w:r>
        <w:rPr>
          <w:color w:val="auto"/>
          <w:sz w:val="21"/>
          <w:szCs w:val="21"/>
          <w:highlight w:val="none"/>
        </w:rPr>
        <w:t>分包人：</w:t>
      </w:r>
      <w:r>
        <w:rPr>
          <w:color w:val="auto"/>
          <w:sz w:val="21"/>
          <w:szCs w:val="22"/>
          <w:highlight w:val="none"/>
        </w:rPr>
        <w:t xml:space="preserve">    </w:t>
      </w:r>
      <w:r>
        <w:rPr>
          <w:color w:val="auto"/>
          <w:sz w:val="21"/>
          <w:szCs w:val="21"/>
          <w:highlight w:val="none"/>
        </w:rPr>
        <w:t>（章）</w:t>
      </w:r>
    </w:p>
    <w:p>
      <w:pPr>
        <w:spacing w:line="360" w:lineRule="auto"/>
        <w:rPr>
          <w:color w:val="auto"/>
          <w:sz w:val="21"/>
          <w:szCs w:val="21"/>
          <w:highlight w:val="none"/>
        </w:rPr>
      </w:pPr>
    </w:p>
    <w:p>
      <w:pPr>
        <w:spacing w:line="360" w:lineRule="auto"/>
        <w:rPr>
          <w:color w:val="auto"/>
          <w:sz w:val="21"/>
          <w:szCs w:val="21"/>
          <w:highlight w:val="none"/>
        </w:rPr>
      </w:pPr>
      <w:r>
        <w:rPr>
          <w:color w:val="auto"/>
          <w:sz w:val="21"/>
          <w:szCs w:val="21"/>
          <w:highlight w:val="none"/>
        </w:rPr>
        <w:t>法 定 代 表 人</w:t>
      </w:r>
    </w:p>
    <w:p>
      <w:pPr>
        <w:spacing w:line="360" w:lineRule="auto"/>
        <w:rPr>
          <w:color w:val="auto"/>
          <w:sz w:val="21"/>
          <w:szCs w:val="21"/>
          <w:highlight w:val="none"/>
        </w:rPr>
      </w:pPr>
      <w:r>
        <w:rPr>
          <w:color w:val="auto"/>
          <w:sz w:val="21"/>
          <w:szCs w:val="21"/>
          <w:highlight w:val="none"/>
        </w:rPr>
        <w:t>(或授权委托人)：</w:t>
      </w:r>
    </w:p>
    <w:p>
      <w:pPr>
        <w:spacing w:line="360" w:lineRule="auto"/>
        <w:rPr>
          <w:color w:val="auto"/>
          <w:sz w:val="21"/>
          <w:szCs w:val="21"/>
          <w:highlight w:val="none"/>
        </w:rPr>
        <w:sectPr>
          <w:pgSz w:w="11906" w:h="16838"/>
          <w:pgMar w:top="1440" w:right="1800" w:bottom="1440" w:left="1800" w:header="851" w:footer="992" w:gutter="0"/>
          <w:cols w:space="425" w:num="1"/>
          <w:docGrid w:type="lines" w:linePitch="312" w:charSpace="0"/>
        </w:sectPr>
      </w:pPr>
    </w:p>
    <w:bookmarkEnd w:id="56"/>
    <w:bookmarkEnd w:id="57"/>
    <w:bookmarkEnd w:id="58"/>
    <w:bookmarkEnd w:id="59"/>
    <w:bookmarkEnd w:id="60"/>
    <w:bookmarkEnd w:id="61"/>
    <w:p>
      <w:pPr>
        <w:keepNext w:val="0"/>
        <w:keepLines w:val="0"/>
        <w:pageBreakBefore w:val="0"/>
        <w:widowControl w:val="0"/>
        <w:kinsoku/>
        <w:wordWrap/>
        <w:overflowPunct/>
        <w:topLinePunct w:val="0"/>
        <w:autoSpaceDE/>
        <w:autoSpaceDN/>
        <w:bidi w:val="0"/>
        <w:adjustRightInd w:val="0"/>
        <w:snapToGrid w:val="0"/>
        <w:spacing w:beforeLines="100" w:line="360" w:lineRule="auto"/>
        <w:jc w:val="center"/>
        <w:textAlignment w:val="auto"/>
        <w:rPr>
          <w:rStyle w:val="129"/>
          <w:rFonts w:hint="default" w:ascii="宋体" w:hAnsi="宋体" w:eastAsia="宋体" w:cs="宋体"/>
          <w:b/>
          <w:bCs w:val="0"/>
          <w:color w:val="auto"/>
          <w:sz w:val="52"/>
          <w:szCs w:val="52"/>
          <w:lang w:val="en-US" w:eastAsia="zh-CN"/>
        </w:rPr>
      </w:pPr>
      <w:bookmarkStart w:id="62" w:name="_Toc10184883"/>
      <w:bookmarkStart w:id="63" w:name="_Toc10122274"/>
      <w:bookmarkStart w:id="64" w:name="_Toc22166"/>
      <w:r>
        <w:rPr>
          <w:rFonts w:hint="default" w:ascii="Times New Roman" w:hAnsi="Times New Roman" w:cs="Times New Roman"/>
          <w:b/>
          <w:color w:val="auto"/>
          <w:kern w:val="2"/>
          <w:sz w:val="44"/>
          <w:szCs w:val="44"/>
          <w:highlight w:val="none"/>
        </w:rPr>
        <w:fldChar w:fldCharType="begin"/>
      </w:r>
      <w:r>
        <w:rPr>
          <w:rFonts w:hint="default" w:ascii="Times New Roman" w:hAnsi="Times New Roman" w:cs="Times New Roman"/>
          <w:b/>
          <w:color w:val="auto"/>
          <w:kern w:val="2"/>
          <w:sz w:val="44"/>
          <w:szCs w:val="44"/>
          <w:highlight w:val="none"/>
        </w:rPr>
        <w:instrText xml:space="preserve"> HYPERLINK \l "_Toc10184881" </w:instrText>
      </w:r>
      <w:r>
        <w:rPr>
          <w:rFonts w:hint="default" w:ascii="Times New Roman" w:hAnsi="Times New Roman" w:cs="Times New Roman"/>
          <w:b/>
          <w:color w:val="auto"/>
          <w:kern w:val="2"/>
          <w:sz w:val="44"/>
          <w:szCs w:val="44"/>
          <w:highlight w:val="none"/>
        </w:rPr>
        <w:fldChar w:fldCharType="separate"/>
      </w:r>
      <w:r>
        <w:rPr>
          <w:rFonts w:hint="default" w:ascii="Times New Roman" w:hAnsi="Times New Roman" w:cs="Times New Roman"/>
          <w:b/>
          <w:color w:val="auto"/>
          <w:kern w:val="2"/>
          <w:sz w:val="44"/>
          <w:szCs w:val="44"/>
          <w:highlight w:val="none"/>
        </w:rPr>
        <w:t>第</w:t>
      </w:r>
      <w:r>
        <w:rPr>
          <w:rFonts w:hint="eastAsia" w:cs="Times New Roman"/>
          <w:b/>
          <w:color w:val="auto"/>
          <w:kern w:val="2"/>
          <w:sz w:val="44"/>
          <w:szCs w:val="44"/>
          <w:highlight w:val="none"/>
          <w:lang w:val="en-US" w:eastAsia="zh-CN"/>
        </w:rPr>
        <w:t>四</w:t>
      </w:r>
      <w:r>
        <w:rPr>
          <w:rFonts w:hint="default" w:ascii="Times New Roman" w:hAnsi="Times New Roman" w:cs="Times New Roman"/>
          <w:b/>
          <w:color w:val="auto"/>
          <w:kern w:val="2"/>
          <w:sz w:val="44"/>
          <w:szCs w:val="44"/>
          <w:highlight w:val="none"/>
        </w:rPr>
        <w:t xml:space="preserve">章 </w:t>
      </w:r>
      <w:r>
        <w:rPr>
          <w:rFonts w:hint="eastAsia" w:ascii="Times New Roman" w:hAnsi="Times New Roman" w:cs="Times New Roman"/>
          <w:b/>
          <w:color w:val="auto"/>
          <w:kern w:val="2"/>
          <w:sz w:val="44"/>
          <w:szCs w:val="44"/>
          <w:highlight w:val="none"/>
          <w:lang w:val="en-US" w:eastAsia="zh-CN"/>
        </w:rPr>
        <w:t>技术</w:t>
      </w:r>
      <w:r>
        <w:rPr>
          <w:rFonts w:hint="default" w:ascii="Times New Roman" w:hAnsi="Times New Roman" w:cs="Times New Roman"/>
          <w:b/>
          <w:color w:val="auto"/>
          <w:kern w:val="2"/>
          <w:sz w:val="44"/>
          <w:szCs w:val="44"/>
          <w:highlight w:val="none"/>
        </w:rPr>
        <w:fldChar w:fldCharType="end"/>
      </w:r>
      <w:r>
        <w:rPr>
          <w:rFonts w:hint="eastAsia" w:cs="Times New Roman"/>
          <w:b/>
          <w:color w:val="auto"/>
          <w:kern w:val="2"/>
          <w:sz w:val="44"/>
          <w:szCs w:val="44"/>
          <w:highlight w:val="none"/>
          <w:lang w:val="en-US" w:eastAsia="zh-CN"/>
        </w:rPr>
        <w:t>规格书</w:t>
      </w:r>
    </w:p>
    <w:p>
      <w:pPr>
        <w:keepNext w:val="0"/>
        <w:keepLines w:val="0"/>
        <w:pageBreakBefore w:val="0"/>
        <w:widowControl w:val="0"/>
        <w:kinsoku/>
        <w:wordWrap/>
        <w:overflowPunct/>
        <w:topLinePunct w:val="0"/>
        <w:autoSpaceDE/>
        <w:autoSpaceDN/>
        <w:bidi w:val="0"/>
        <w:adjustRightInd w:val="0"/>
        <w:snapToGrid w:val="0"/>
        <w:spacing w:beforeLines="100" w:line="360" w:lineRule="auto"/>
        <w:jc w:val="center"/>
        <w:textAlignment w:val="auto"/>
        <w:rPr>
          <w:rStyle w:val="129"/>
          <w:rFonts w:hint="eastAsia" w:ascii="宋体" w:hAnsi="宋体" w:eastAsia="宋体" w:cs="宋体"/>
          <w:b/>
          <w:bCs w:val="0"/>
          <w:color w:val="auto"/>
          <w:sz w:val="52"/>
          <w:szCs w:val="52"/>
        </w:rPr>
      </w:pPr>
      <w:r>
        <w:rPr>
          <w:rStyle w:val="129"/>
          <w:rFonts w:hint="eastAsia" w:ascii="宋体" w:hAnsi="宋体" w:eastAsia="宋体" w:cs="宋体"/>
          <w:b/>
          <w:bCs w:val="0"/>
          <w:color w:val="auto"/>
          <w:sz w:val="52"/>
          <w:szCs w:val="52"/>
        </w:rPr>
        <w:t>中煤鄂尔多斯能源化工有限公司</w:t>
      </w:r>
    </w:p>
    <w:p>
      <w:pPr>
        <w:keepNext w:val="0"/>
        <w:keepLines w:val="0"/>
        <w:pageBreakBefore w:val="0"/>
        <w:widowControl w:val="0"/>
        <w:kinsoku/>
        <w:wordWrap/>
        <w:overflowPunct/>
        <w:topLinePunct w:val="0"/>
        <w:autoSpaceDE/>
        <w:autoSpaceDN/>
        <w:bidi w:val="0"/>
        <w:adjustRightInd w:val="0"/>
        <w:snapToGrid w:val="0"/>
        <w:spacing w:line="360" w:lineRule="auto"/>
        <w:ind w:left="-100" w:leftChars="-50" w:right="-100" w:rightChars="-50"/>
        <w:jc w:val="center"/>
        <w:textAlignment w:val="auto"/>
        <w:rPr>
          <w:rStyle w:val="129"/>
          <w:rFonts w:hint="eastAsia" w:ascii="宋体" w:hAnsi="宋体" w:eastAsia="宋体" w:cs="宋体"/>
          <w:b/>
          <w:bCs w:val="0"/>
          <w:color w:val="0000FF"/>
          <w:sz w:val="52"/>
          <w:szCs w:val="52"/>
        </w:rPr>
      </w:pPr>
      <w:r>
        <w:rPr>
          <w:rStyle w:val="129"/>
          <w:rFonts w:hint="eastAsia" w:ascii="宋体" w:hAnsi="宋体" w:eastAsia="宋体" w:cs="宋体"/>
          <w:b/>
          <w:bCs w:val="0"/>
          <w:color w:val="auto"/>
          <w:w w:val="85"/>
          <w:sz w:val="52"/>
          <w:szCs w:val="52"/>
        </w:rPr>
        <w:t>仓储中心卸煤场地抑尘技术改造</w:t>
      </w:r>
      <w:r>
        <w:rPr>
          <w:rStyle w:val="129"/>
          <w:rFonts w:hint="eastAsia" w:ascii="宋体" w:hAnsi="宋体" w:eastAsia="宋体" w:cs="宋体"/>
          <w:b/>
          <w:bCs w:val="0"/>
          <w:color w:val="auto"/>
          <w:w w:val="85"/>
          <w:sz w:val="52"/>
          <w:szCs w:val="52"/>
          <w:lang w:val="en-US" w:eastAsia="zh-CN"/>
        </w:rPr>
        <w:t>项目</w:t>
      </w:r>
      <w:r>
        <w:rPr>
          <w:rStyle w:val="129"/>
          <w:rFonts w:hint="eastAsia" w:ascii="宋体" w:hAnsi="宋体" w:eastAsia="宋体" w:cs="宋体"/>
          <w:b/>
          <w:bCs w:val="0"/>
          <w:color w:val="auto"/>
          <w:w w:val="85"/>
          <w:sz w:val="52"/>
          <w:szCs w:val="52"/>
        </w:rPr>
        <w:t>EPC总承包</w:t>
      </w:r>
      <w:r>
        <w:rPr>
          <w:rStyle w:val="129"/>
          <w:rFonts w:hint="eastAsia" w:ascii="宋体" w:hAnsi="宋体" w:eastAsia="宋体" w:cs="宋体"/>
          <w:b/>
          <w:bCs w:val="0"/>
          <w:color w:val="auto"/>
          <w:w w:val="90"/>
          <w:sz w:val="52"/>
          <w:szCs w:val="52"/>
        </w:rPr>
        <w:t>建筑安装工程采购文件</w:t>
      </w:r>
    </w:p>
    <w:p>
      <w:pPr>
        <w:adjustRightInd w:val="0"/>
        <w:snapToGrid w:val="0"/>
        <w:ind w:firstLine="1687"/>
        <w:rPr>
          <w:rStyle w:val="129"/>
          <w:rFonts w:eastAsia="黑体"/>
          <w:b/>
          <w:sz w:val="84"/>
        </w:rPr>
      </w:pPr>
    </w:p>
    <w:p>
      <w:pPr>
        <w:adjustRightInd w:val="0"/>
        <w:snapToGrid w:val="0"/>
        <w:ind w:firstLine="1687"/>
        <w:rPr>
          <w:rStyle w:val="129"/>
          <w:rFonts w:eastAsia="黑体"/>
          <w:b/>
          <w:sz w:val="84"/>
        </w:rPr>
      </w:pPr>
    </w:p>
    <w:p>
      <w:pPr>
        <w:jc w:val="center"/>
        <w:rPr>
          <w:rStyle w:val="129"/>
          <w:sz w:val="84"/>
          <w:szCs w:val="84"/>
        </w:rPr>
      </w:pPr>
      <w:r>
        <w:rPr>
          <w:rFonts w:ascii="黑体" w:hAnsi="黑体" w:eastAsia="黑体"/>
          <w:b/>
          <w:sz w:val="84"/>
          <w:szCs w:val="84"/>
        </w:rPr>
        <w:t>技术规格书</w:t>
      </w:r>
    </w:p>
    <w:p>
      <w:pPr>
        <w:pStyle w:val="8"/>
        <w:rPr>
          <w:rStyle w:val="129"/>
          <w:szCs w:val="21"/>
        </w:rPr>
      </w:pPr>
    </w:p>
    <w:p>
      <w:pPr>
        <w:pStyle w:val="8"/>
        <w:rPr>
          <w:rStyle w:val="129"/>
          <w:szCs w:val="21"/>
        </w:rPr>
      </w:pPr>
    </w:p>
    <w:p>
      <w:pPr>
        <w:pStyle w:val="8"/>
        <w:rPr>
          <w:rStyle w:val="129"/>
          <w:szCs w:val="21"/>
        </w:rPr>
      </w:pPr>
    </w:p>
    <w:p>
      <w:pPr>
        <w:pStyle w:val="8"/>
        <w:rPr>
          <w:rStyle w:val="129"/>
          <w:szCs w:val="21"/>
        </w:rPr>
      </w:pPr>
    </w:p>
    <w:p>
      <w:pPr>
        <w:pStyle w:val="8"/>
        <w:rPr>
          <w:rStyle w:val="129"/>
          <w:szCs w:val="21"/>
        </w:rPr>
      </w:pPr>
    </w:p>
    <w:p>
      <w:pPr>
        <w:pStyle w:val="8"/>
        <w:rPr>
          <w:rStyle w:val="129"/>
          <w:szCs w:val="21"/>
        </w:rPr>
      </w:pPr>
    </w:p>
    <w:p>
      <w:pPr>
        <w:rPr>
          <w:rStyle w:val="129"/>
          <w:szCs w:val="21"/>
        </w:rPr>
      </w:pPr>
    </w:p>
    <w:p>
      <w:pPr>
        <w:pStyle w:val="2"/>
        <w:rPr>
          <w:rStyle w:val="129"/>
          <w:szCs w:val="21"/>
        </w:rPr>
      </w:pPr>
    </w:p>
    <w:p>
      <w:pPr>
        <w:pStyle w:val="3"/>
        <w:rPr>
          <w:rStyle w:val="129"/>
          <w:szCs w:val="21"/>
        </w:rPr>
      </w:pPr>
    </w:p>
    <w:p/>
    <w:p>
      <w:pPr>
        <w:pStyle w:val="8"/>
        <w:rPr>
          <w:rStyle w:val="129"/>
          <w:szCs w:val="21"/>
        </w:rPr>
      </w:pPr>
    </w:p>
    <w:p>
      <w:pPr>
        <w:ind w:firstLine="1285" w:firstLineChars="400"/>
        <w:rPr>
          <w:rFonts w:asciiTheme="minorEastAsia" w:hAnsiTheme="minorEastAsia"/>
          <w:b/>
          <w:sz w:val="32"/>
          <w:szCs w:val="32"/>
        </w:rPr>
      </w:pPr>
      <w:r>
        <w:rPr>
          <w:rFonts w:asciiTheme="minorEastAsia" w:hAnsiTheme="minorEastAsia"/>
          <w:b/>
          <w:sz w:val="32"/>
          <w:szCs w:val="32"/>
        </w:rPr>
        <w:t>采   购   人：中煤天津设计工程有限责任公司</w:t>
      </w:r>
    </w:p>
    <w:p>
      <w:pPr>
        <w:jc w:val="center"/>
        <w:rPr>
          <w:rFonts w:asciiTheme="minorEastAsia" w:hAnsiTheme="minorEastAsia"/>
          <w:b/>
          <w:sz w:val="32"/>
          <w:szCs w:val="32"/>
        </w:rPr>
        <w:sectPr>
          <w:headerReference r:id="rId8" w:type="first"/>
          <w:footerReference r:id="rId11" w:type="first"/>
          <w:headerReference r:id="rId6" w:type="default"/>
          <w:footerReference r:id="rId9" w:type="default"/>
          <w:headerReference r:id="rId7" w:type="even"/>
          <w:footerReference r:id="rId10" w:type="even"/>
          <w:pgSz w:w="11907" w:h="16840"/>
          <w:pgMar w:top="1418" w:right="1304" w:bottom="1418" w:left="1531" w:header="851" w:footer="992" w:gutter="0"/>
          <w:cols w:space="425" w:num="1"/>
          <w:docGrid w:type="lines" w:linePitch="318" w:charSpace="-782"/>
        </w:sectPr>
      </w:pPr>
      <w:r>
        <w:rPr>
          <w:rFonts w:hint="eastAsia" w:asciiTheme="minorEastAsia" w:hAnsiTheme="minorEastAsia"/>
          <w:b/>
          <w:sz w:val="32"/>
          <w:szCs w:val="32"/>
          <w:lang w:val="en-US" w:eastAsia="zh-CN"/>
        </w:rPr>
        <w:t xml:space="preserve">   </w:t>
      </w:r>
      <w:r>
        <w:rPr>
          <w:rFonts w:asciiTheme="minorEastAsia" w:hAnsiTheme="minorEastAsia"/>
          <w:b/>
          <w:sz w:val="32"/>
          <w:szCs w:val="32"/>
        </w:rPr>
        <w:t>202</w:t>
      </w:r>
      <w:r>
        <w:rPr>
          <w:rFonts w:hint="eastAsia" w:asciiTheme="minorEastAsia" w:hAnsiTheme="minorEastAsia"/>
          <w:b/>
          <w:sz w:val="32"/>
          <w:szCs w:val="32"/>
        </w:rPr>
        <w:t>4</w:t>
      </w:r>
      <w:r>
        <w:rPr>
          <w:rFonts w:asciiTheme="minorEastAsia" w:hAnsiTheme="minorEastAsia"/>
          <w:b/>
          <w:sz w:val="32"/>
          <w:szCs w:val="32"/>
        </w:rPr>
        <w:t>年</w:t>
      </w:r>
      <w:r>
        <w:rPr>
          <w:rFonts w:hint="eastAsia" w:asciiTheme="minorEastAsia" w:hAnsiTheme="minorEastAsia"/>
          <w:b/>
          <w:sz w:val="32"/>
          <w:szCs w:val="32"/>
          <w:lang w:val="en-US" w:eastAsia="zh-CN"/>
        </w:rPr>
        <w:t>8</w:t>
      </w:r>
      <w:r>
        <w:rPr>
          <w:rFonts w:asciiTheme="minorEastAsia" w:hAnsiTheme="minorEastAsia"/>
          <w:b/>
          <w:sz w:val="32"/>
          <w:szCs w:val="32"/>
        </w:rPr>
        <w:t>月</w:t>
      </w:r>
    </w:p>
    <w:p>
      <w:pPr>
        <w:pStyle w:val="44"/>
        <w:widowControl w:val="0"/>
        <w:spacing w:before="0" w:beforeAutospacing="0" w:after="0" w:afterAutospacing="0" w:line="500" w:lineRule="exact"/>
        <w:ind w:firstLine="554" w:firstLineChars="200"/>
        <w:jc w:val="both"/>
        <w:rPr>
          <w:rFonts w:hint="eastAsia" w:ascii="黑体" w:hAnsi="黑体" w:eastAsia="黑体" w:cs="黑体"/>
          <w:b/>
          <w:bCs/>
          <w:kern w:val="2"/>
          <w:sz w:val="28"/>
          <w:szCs w:val="28"/>
          <w:lang w:bidi="ar"/>
          <w14:ligatures w14:val="standardContextual"/>
        </w:rPr>
      </w:pPr>
      <w:r>
        <w:rPr>
          <w:rFonts w:hint="eastAsia" w:ascii="黑体" w:hAnsi="黑体" w:eastAsia="黑体" w:cs="黑体"/>
          <w:b/>
          <w:bCs/>
          <w:kern w:val="2"/>
          <w:sz w:val="28"/>
          <w:szCs w:val="28"/>
          <w:lang w:bidi="ar"/>
          <w14:ligatures w14:val="standardContextual"/>
        </w:rPr>
        <w:t>一、总体要求</w:t>
      </w:r>
    </w:p>
    <w:p>
      <w:pPr>
        <w:pStyle w:val="44"/>
        <w:widowControl w:val="0"/>
        <w:spacing w:before="0" w:beforeAutospacing="0" w:after="0" w:afterAutospacing="0" w:line="500" w:lineRule="exact"/>
        <w:ind w:firstLine="474" w:firstLineChars="200"/>
        <w:jc w:val="both"/>
        <w:rPr>
          <w:rFonts w:hint="eastAsia" w:hAnsi="宋体" w:cs="宋体"/>
          <w:b/>
          <w:bCs/>
          <w:kern w:val="2"/>
          <w:szCs w:val="20"/>
          <w:lang w:bidi="ar"/>
          <w14:ligatures w14:val="standardContextual"/>
        </w:rPr>
      </w:pPr>
      <w:r>
        <w:rPr>
          <w:rFonts w:hint="eastAsia" w:hAnsi="宋体" w:cs="宋体"/>
          <w:b/>
          <w:bCs/>
          <w:kern w:val="2"/>
          <w:szCs w:val="20"/>
          <w:lang w:bidi="ar"/>
          <w14:ligatures w14:val="standardContextual"/>
        </w:rPr>
        <w:t>1总则</w:t>
      </w:r>
      <w:bookmarkStart w:id="65" w:name="_Toc196365488"/>
    </w:p>
    <w:p>
      <w:pPr>
        <w:pStyle w:val="44"/>
        <w:widowControl w:val="0"/>
        <w:spacing w:before="0" w:beforeAutospacing="0" w:after="0" w:afterAutospacing="0" w:line="500" w:lineRule="exact"/>
        <w:ind w:firstLine="474" w:firstLineChars="200"/>
        <w:jc w:val="both"/>
        <w:rPr>
          <w:rFonts w:hint="eastAsia" w:hAnsi="宋体" w:cs="宋体"/>
          <w:kern w:val="2"/>
          <w:szCs w:val="20"/>
          <w:lang w:bidi="ar"/>
          <w14:ligatures w14:val="standardContextual"/>
        </w:rPr>
      </w:pPr>
      <w:r>
        <w:rPr>
          <w:rFonts w:hint="eastAsia" w:hAnsi="宋体" w:cs="宋体"/>
          <w:kern w:val="2"/>
          <w:szCs w:val="20"/>
          <w:lang w:val="en-US" w:eastAsia="zh-CN" w:bidi="ar"/>
          <w14:ligatures w14:val="standardContextual"/>
        </w:rPr>
        <w:t>1.1</w:t>
      </w:r>
      <w:r>
        <w:rPr>
          <w:rFonts w:hint="eastAsia" w:hAnsi="宋体" w:cs="宋体"/>
          <w:kern w:val="2"/>
          <w:szCs w:val="20"/>
          <w:lang w:bidi="ar"/>
          <w14:ligatures w14:val="standardContextual"/>
        </w:rPr>
        <w:t>本技术规格书适用于</w:t>
      </w:r>
      <w:r>
        <w:rPr>
          <w:rFonts w:hint="eastAsia" w:hAnsi="宋体" w:cs="宋体"/>
          <w:color w:val="auto"/>
          <w:kern w:val="2"/>
          <w:szCs w:val="20"/>
          <w:lang w:val="en-US" w:eastAsia="zh-CN" w:bidi="ar"/>
          <w14:ligatures w14:val="standardContextual"/>
        </w:rPr>
        <w:t>中煤鄂尔多斯能源化工有限公司仓储中心卸煤场地抑尘技术改造项目EPC总承包项目建</w:t>
      </w:r>
      <w:r>
        <w:rPr>
          <w:rFonts w:hint="eastAsia" w:hAnsi="宋体" w:cs="宋体"/>
          <w:kern w:val="2"/>
          <w:szCs w:val="20"/>
          <w:lang w:val="en-US" w:eastAsia="zh-CN" w:bidi="ar"/>
          <w14:ligatures w14:val="standardContextual"/>
        </w:rPr>
        <w:t>筑</w:t>
      </w:r>
      <w:r>
        <w:rPr>
          <w:rFonts w:hint="eastAsia" w:hAnsi="宋体" w:cs="宋体"/>
          <w:kern w:val="2"/>
          <w:szCs w:val="20"/>
          <w:lang w:bidi="ar"/>
          <w14:ligatures w14:val="standardContextual"/>
        </w:rPr>
        <w:t>安装工程分包。本技术规格书提出对建设项目的性能、供货、安装调试和检验试验，以及配套土建、给排水、消防、暖通、供配电等方面的技术要求。</w:t>
      </w:r>
    </w:p>
    <w:p>
      <w:pPr>
        <w:pStyle w:val="44"/>
        <w:widowControl w:val="0"/>
        <w:spacing w:before="0" w:beforeAutospacing="0" w:after="0" w:afterAutospacing="0" w:line="500" w:lineRule="exact"/>
        <w:ind w:firstLine="474" w:firstLineChars="200"/>
        <w:jc w:val="both"/>
        <w:rPr>
          <w:rFonts w:hint="eastAsia" w:hAnsi="宋体" w:cs="宋体"/>
          <w:kern w:val="2"/>
          <w:szCs w:val="20"/>
          <w:lang w:bidi="ar"/>
          <w14:ligatures w14:val="standardContextual"/>
        </w:rPr>
      </w:pPr>
      <w:r>
        <w:rPr>
          <w:rFonts w:hint="eastAsia" w:hAnsi="宋体" w:cs="宋体"/>
          <w:kern w:val="2"/>
          <w:szCs w:val="20"/>
          <w:lang w:bidi="ar"/>
          <w14:ligatures w14:val="standardContextual"/>
        </w:rPr>
        <w:t>1.1.1 分包范围</w:t>
      </w:r>
    </w:p>
    <w:p>
      <w:pPr>
        <w:pStyle w:val="44"/>
        <w:widowControl w:val="0"/>
        <w:spacing w:before="0" w:beforeAutospacing="0" w:after="0" w:afterAutospacing="0" w:line="500" w:lineRule="exact"/>
        <w:ind w:firstLine="474" w:firstLineChars="200"/>
        <w:jc w:val="both"/>
        <w:rPr>
          <w:rFonts w:hint="eastAsia" w:hAnsi="宋体" w:cs="宋体"/>
          <w:color w:val="auto"/>
          <w:kern w:val="2"/>
          <w:szCs w:val="20"/>
          <w:lang w:val="en-US" w:eastAsia="zh-CN" w:bidi="ar"/>
          <w14:ligatures w14:val="standardContextual"/>
        </w:rPr>
      </w:pPr>
      <w:r>
        <w:rPr>
          <w:rFonts w:hint="eastAsia" w:hAnsi="宋体" w:cs="宋体"/>
          <w:color w:val="auto"/>
          <w:kern w:val="2"/>
          <w:szCs w:val="20"/>
          <w:lang w:val="en-US" w:eastAsia="zh-CN" w:bidi="ar"/>
          <w14:ligatures w14:val="standardContextual"/>
        </w:rPr>
        <w:t>煤场骨架膜钢结构及围护工程设计包括但不限于:(1)钢结构骨架。（2）外围护膜材围护系统：外围护膜材及配套附件。</w:t>
      </w:r>
    </w:p>
    <w:p>
      <w:pPr>
        <w:pStyle w:val="44"/>
        <w:widowControl w:val="0"/>
        <w:spacing w:before="0" w:beforeAutospacing="0" w:after="0" w:afterAutospacing="0" w:line="500" w:lineRule="exact"/>
        <w:ind w:firstLine="474" w:firstLineChars="200"/>
        <w:jc w:val="both"/>
        <w:rPr>
          <w:rFonts w:hint="eastAsia" w:hAnsi="宋体" w:cs="宋体"/>
          <w:kern w:val="2"/>
          <w:szCs w:val="20"/>
          <w:lang w:bidi="ar"/>
          <w14:ligatures w14:val="standardContextual"/>
        </w:rPr>
      </w:pPr>
      <w:r>
        <w:rPr>
          <w:rFonts w:hint="eastAsia" w:hAnsi="宋体" w:cs="宋体"/>
          <w:kern w:val="2"/>
          <w:szCs w:val="20"/>
          <w:lang w:bidi="ar"/>
          <w14:ligatures w14:val="standardContextual"/>
        </w:rPr>
        <w:t>土建安装工程分包范围包括但不限于：竣工图、设备及材料供货、运输、现场开箱验收、储存、安装、消缺、调试（特殊说明的除外）及保证、保修、移交生产、达标投产等，以及配套土建（包括地基开挖及装修装饰、建构筑物、建构筑物基础、设备基础、地基处理等）、给排水、消防、暖通、供配电的建设</w:t>
      </w:r>
      <w:r>
        <w:rPr>
          <w:rFonts w:hint="eastAsia" w:hAnsi="宋体" w:cs="宋体"/>
          <w:color w:val="auto"/>
          <w:kern w:val="2"/>
          <w:szCs w:val="20"/>
          <w:lang w:val="en-US" w:eastAsia="zh-CN" w:bidi="ar"/>
          <w14:ligatures w14:val="standardContextual"/>
        </w:rPr>
        <w:t>、道路及场地硬化、现有设施拆除。同</w:t>
      </w:r>
      <w:r>
        <w:rPr>
          <w:rFonts w:hint="eastAsia" w:hAnsi="宋体" w:cs="宋体"/>
          <w:kern w:val="2"/>
          <w:szCs w:val="20"/>
          <w:lang w:bidi="ar"/>
          <w14:ligatures w14:val="standardContextual"/>
        </w:rPr>
        <w:t>时也包括分包范围内的必要的备品备件、专用工具以及相关技术资料等。</w:t>
      </w:r>
    </w:p>
    <w:p>
      <w:pPr>
        <w:pStyle w:val="44"/>
        <w:widowControl w:val="0"/>
        <w:spacing w:before="0" w:beforeAutospacing="0" w:after="0" w:afterAutospacing="0" w:line="500" w:lineRule="exact"/>
        <w:ind w:firstLine="474" w:firstLineChars="200"/>
        <w:jc w:val="both"/>
        <w:rPr>
          <w:rFonts w:hint="eastAsia" w:hAnsi="宋体" w:cs="宋体"/>
          <w:kern w:val="2"/>
          <w:szCs w:val="20"/>
          <w:lang w:bidi="ar"/>
          <w14:ligatures w14:val="standardContextual"/>
        </w:rPr>
      </w:pPr>
      <w:r>
        <w:rPr>
          <w:rFonts w:hint="eastAsia" w:hAnsi="宋体" w:cs="宋体"/>
          <w:kern w:val="2"/>
          <w:szCs w:val="20"/>
          <w:lang w:bidi="ar"/>
          <w14:ligatures w14:val="standardContextual"/>
        </w:rPr>
        <w:t>土建工程包含但不限于相应的电气（含电缆桥架、支架及管线）、楼面及屋顶防水、给水排水、采暖、通风、通讯、照明、消防、环保、安全、卫生、防雷、接地设施、综合布线、外墙保温粉刷及与室外管线连接等施工、供货、运输、安装及性能保证、竣工验收、售后服务等工作。</w:t>
      </w:r>
    </w:p>
    <w:p>
      <w:pPr>
        <w:pStyle w:val="44"/>
        <w:widowControl w:val="0"/>
        <w:spacing w:before="0" w:beforeAutospacing="0" w:after="0" w:afterAutospacing="0" w:line="500" w:lineRule="exact"/>
        <w:ind w:firstLine="474" w:firstLineChars="200"/>
        <w:jc w:val="both"/>
        <w:rPr>
          <w:rFonts w:hint="eastAsia" w:hAnsi="宋体" w:cs="宋体"/>
          <w:kern w:val="2"/>
          <w:szCs w:val="20"/>
          <w:lang w:bidi="ar"/>
          <w14:ligatures w14:val="standardContextual"/>
        </w:rPr>
      </w:pPr>
      <w:r>
        <w:rPr>
          <w:rFonts w:hint="eastAsia" w:hAnsi="宋体" w:cs="宋体"/>
          <w:kern w:val="2"/>
          <w:szCs w:val="20"/>
          <w:lang w:bidi="ar"/>
          <w14:ligatures w14:val="standardContextual"/>
        </w:rPr>
        <w:t>1.1.2 主要内容</w:t>
      </w:r>
    </w:p>
    <w:p>
      <w:pPr>
        <w:pStyle w:val="44"/>
        <w:widowControl w:val="0"/>
        <w:spacing w:before="0" w:beforeAutospacing="0" w:after="0" w:afterAutospacing="0" w:line="500" w:lineRule="exact"/>
        <w:ind w:firstLine="474" w:firstLineChars="200"/>
        <w:jc w:val="both"/>
        <w:rPr>
          <w:rFonts w:hint="eastAsia" w:hAnsi="宋体" w:cs="宋体"/>
          <w:color w:val="auto"/>
          <w:kern w:val="2"/>
          <w:szCs w:val="20"/>
          <w:lang w:bidi="ar"/>
          <w14:ligatures w14:val="standardContextual"/>
        </w:rPr>
      </w:pPr>
      <w:r>
        <w:rPr>
          <w:rFonts w:hint="eastAsia" w:hAnsi="宋体" w:cs="宋体"/>
          <w:color w:val="auto"/>
          <w:kern w:val="2"/>
          <w:szCs w:val="20"/>
          <w:lang w:bidi="ar"/>
          <w14:ligatures w14:val="standardContextual"/>
        </w:rPr>
        <w:t>投标人负责包含但不限于：</w:t>
      </w:r>
      <w:r>
        <w:rPr>
          <w:rFonts w:hint="eastAsia" w:hAnsi="宋体" w:cs="宋体"/>
          <w:color w:val="auto"/>
          <w:kern w:val="2"/>
          <w:szCs w:val="20"/>
          <w:lang w:val="en-US" w:eastAsia="zh-CN" w:bidi="ar"/>
          <w14:ligatures w14:val="standardContextual"/>
        </w:rPr>
        <w:t>仓储中心卸煤场地抑尘技术改造项目范围内的封闭式卸煤棚、洗车房、消防泵房、</w:t>
      </w:r>
      <w:r>
        <w:rPr>
          <w:rFonts w:hint="eastAsia" w:hAnsi="宋体" w:cs="宋体"/>
          <w:color w:val="auto"/>
          <w:kern w:val="2"/>
          <w:szCs w:val="20"/>
          <w:lang w:bidi="ar"/>
          <w14:ligatures w14:val="standardContextual"/>
        </w:rPr>
        <w:t>给排水管网、</w:t>
      </w:r>
      <w:r>
        <w:rPr>
          <w:rFonts w:hint="eastAsia" w:hAnsi="宋体" w:cs="宋体"/>
          <w:color w:val="auto"/>
          <w:kern w:val="2"/>
          <w:szCs w:val="20"/>
          <w:lang w:val="en-US" w:eastAsia="zh-CN" w:bidi="ar"/>
          <w14:ligatures w14:val="standardContextual"/>
        </w:rPr>
        <w:t>消防管网、供热管网、</w:t>
      </w:r>
      <w:r>
        <w:rPr>
          <w:rFonts w:hint="eastAsia" w:hAnsi="宋体" w:cs="宋体"/>
          <w:color w:val="auto"/>
          <w:kern w:val="2"/>
          <w:szCs w:val="20"/>
          <w:lang w:bidi="ar"/>
          <w14:ligatures w14:val="standardContextual"/>
        </w:rPr>
        <w:t>配套设施、消防、暖通、电源建设</w:t>
      </w:r>
      <w:r>
        <w:rPr>
          <w:rFonts w:hint="eastAsia" w:hAnsi="宋体" w:cs="宋体"/>
          <w:kern w:val="2"/>
          <w:szCs w:val="20"/>
          <w:lang w:eastAsia="zh-CN" w:bidi="ar"/>
          <w14:ligatures w14:val="standardContextual"/>
        </w:rPr>
        <w:t>、</w:t>
      </w:r>
      <w:r>
        <w:rPr>
          <w:rFonts w:hint="eastAsia" w:hAnsi="宋体" w:cs="宋体"/>
          <w:kern w:val="2"/>
          <w:szCs w:val="20"/>
          <w:lang w:val="en-US" w:eastAsia="zh-CN" w:bidi="ar"/>
          <w14:ligatures w14:val="standardContextual"/>
        </w:rPr>
        <w:t>道路及场地硬化、现有设施拆除</w:t>
      </w:r>
      <w:r>
        <w:rPr>
          <w:rFonts w:hint="eastAsia" w:hAnsi="宋体" w:cs="宋体"/>
          <w:kern w:val="2"/>
          <w:szCs w:val="20"/>
          <w:lang w:bidi="ar"/>
          <w14:ligatures w14:val="standardContextual"/>
        </w:rPr>
        <w:t>等土建</w:t>
      </w:r>
      <w:r>
        <w:rPr>
          <w:rFonts w:hint="eastAsia" w:hAnsi="宋体" w:cs="宋体"/>
          <w:color w:val="auto"/>
          <w:kern w:val="2"/>
          <w:szCs w:val="20"/>
          <w:lang w:bidi="ar"/>
          <w14:ligatures w14:val="standardContextual"/>
        </w:rPr>
        <w:t>供货施工、试验及检查、消缺等工作；</w:t>
      </w:r>
      <w:r>
        <w:rPr>
          <w:rFonts w:hint="eastAsia" w:hAnsi="宋体" w:cs="宋体"/>
          <w:color w:val="auto"/>
          <w:kern w:val="2"/>
          <w:szCs w:val="20"/>
          <w:lang w:val="en-US" w:eastAsia="zh-CN" w:bidi="ar"/>
          <w14:ligatures w14:val="standardContextual"/>
        </w:rPr>
        <w:t>暖通系统、给排水系统、消防系统、供配电系统设备安装（含材料）、</w:t>
      </w:r>
      <w:r>
        <w:rPr>
          <w:rFonts w:hint="eastAsia" w:hAnsi="宋体" w:cs="宋体"/>
          <w:color w:val="auto"/>
          <w:kern w:val="2"/>
          <w:szCs w:val="20"/>
          <w:lang w:bidi="ar"/>
          <w14:ligatures w14:val="standardContextual"/>
        </w:rPr>
        <w:t>调试、试验及检查、消缺等工作；设备基础的二次灌浆、预埋件、预埋件配套的螺母垫圈等系统稳定运行需要的所有建筑安装工程。</w:t>
      </w:r>
    </w:p>
    <w:p>
      <w:pPr>
        <w:pStyle w:val="44"/>
        <w:widowControl w:val="0"/>
        <w:spacing w:before="0" w:beforeAutospacing="0" w:after="0" w:afterAutospacing="0" w:line="500" w:lineRule="exact"/>
        <w:ind w:firstLine="474" w:firstLineChars="200"/>
        <w:jc w:val="both"/>
        <w:rPr>
          <w:rFonts w:hint="eastAsia" w:hAnsi="宋体" w:cs="宋体"/>
          <w:kern w:val="2"/>
          <w:szCs w:val="20"/>
          <w:lang w:eastAsia="zh-CN" w:bidi="ar"/>
          <w14:ligatures w14:val="standardContextual"/>
        </w:rPr>
      </w:pPr>
      <w:r>
        <w:rPr>
          <w:rFonts w:hint="eastAsia" w:hAnsi="宋体" w:cs="宋体"/>
          <w:kern w:val="2"/>
          <w:szCs w:val="20"/>
          <w:lang w:val="en-US" w:eastAsia="zh-CN" w:bidi="ar"/>
          <w14:ligatures w14:val="standardContextual"/>
        </w:rPr>
        <w:t>煤场骨架膜钢结构柱脚标高以上全部钢结构及围护工程设计：</w:t>
      </w:r>
      <w:r>
        <w:rPr>
          <w:rFonts w:hint="eastAsia" w:hAnsi="宋体" w:cs="宋体"/>
          <w:kern w:val="2"/>
          <w:szCs w:val="20"/>
          <w:lang w:eastAsia="zh-CN" w:bidi="ar"/>
          <w14:ligatures w14:val="standardContextual"/>
        </w:rPr>
        <w:t>1.投标方需提供骨架膜三维计算模型、对下部混凝土立柱作用力、盖章版计算书、盖章版骨架膜施工图纸等文件。2.投标方应负责骨架膜煤场消防、安全等主管部门要求的相关专家审查，设计方案需通过招标方认可的第三方专家审查。竣工后投标方应负责骨架膜煤场通过环保、消防、安全等相关部门的专项验收，取得相应的验收合格证。</w:t>
      </w:r>
    </w:p>
    <w:p>
      <w:pPr>
        <w:pStyle w:val="44"/>
        <w:widowControl w:val="0"/>
        <w:spacing w:before="0" w:beforeAutospacing="0" w:after="0" w:afterAutospacing="0" w:line="500" w:lineRule="exact"/>
        <w:ind w:firstLine="474" w:firstLineChars="200"/>
        <w:jc w:val="both"/>
        <w:rPr>
          <w:rFonts w:hint="eastAsia" w:hAnsi="宋体" w:cs="宋体"/>
          <w:kern w:val="2"/>
          <w:szCs w:val="20"/>
          <w:lang w:bidi="ar"/>
          <w14:ligatures w14:val="standardContextual"/>
        </w:rPr>
      </w:pPr>
      <w:r>
        <w:rPr>
          <w:rFonts w:hint="eastAsia" w:hAnsi="宋体" w:cs="宋体"/>
          <w:kern w:val="2"/>
          <w:szCs w:val="20"/>
          <w:lang w:bidi="ar"/>
          <w14:ligatures w14:val="standardContextual"/>
        </w:rPr>
        <w:t>1.1.3 其他要求</w:t>
      </w:r>
    </w:p>
    <w:p>
      <w:pPr>
        <w:pStyle w:val="44"/>
        <w:widowControl w:val="0"/>
        <w:spacing w:before="0" w:beforeAutospacing="0" w:after="0" w:afterAutospacing="0" w:line="500" w:lineRule="exact"/>
        <w:ind w:firstLine="474" w:firstLineChars="200"/>
        <w:jc w:val="both"/>
        <w:rPr>
          <w:rFonts w:hint="eastAsia" w:hAnsi="宋体" w:cs="宋体"/>
          <w:kern w:val="2"/>
          <w:szCs w:val="20"/>
          <w:lang w:bidi="ar"/>
          <w14:ligatures w14:val="standardContextual"/>
        </w:rPr>
      </w:pPr>
      <w:r>
        <w:rPr>
          <w:rFonts w:hint="eastAsia" w:hAnsi="宋体" w:cs="宋体"/>
          <w:kern w:val="2"/>
          <w:szCs w:val="20"/>
          <w:lang w:bidi="ar"/>
          <w14:ligatures w14:val="standardContextual"/>
        </w:rPr>
        <w:t>投标人必须配合招标人负责的单机调试、系统调试和联合调试、验收和移交工作。</w:t>
      </w:r>
    </w:p>
    <w:p>
      <w:pPr>
        <w:pStyle w:val="44"/>
        <w:widowControl w:val="0"/>
        <w:spacing w:before="0" w:beforeAutospacing="0" w:after="0" w:afterAutospacing="0" w:line="500" w:lineRule="exact"/>
        <w:ind w:firstLine="474" w:firstLineChars="200"/>
        <w:jc w:val="both"/>
        <w:rPr>
          <w:rFonts w:hint="eastAsia" w:hAnsi="宋体" w:cs="宋体"/>
          <w:kern w:val="2"/>
          <w:szCs w:val="20"/>
          <w:lang w:bidi="ar"/>
          <w14:ligatures w14:val="standardContextual"/>
        </w:rPr>
      </w:pPr>
      <w:r>
        <w:rPr>
          <w:rFonts w:hint="eastAsia" w:hAnsi="宋体" w:cs="宋体"/>
          <w:kern w:val="2"/>
          <w:szCs w:val="20"/>
          <w:lang w:bidi="ar"/>
          <w14:ligatures w14:val="standardContextual"/>
        </w:rPr>
        <w:t>投标人调试方案由投标人与招标人、业主商议后确定，严格遵守招标人、业主提出的相关管理制度，确保调试和试运行的顺利开展，以利于工程的顺利移交。投标人为业主的运行和维修人员提供安全的工作环境。</w:t>
      </w:r>
    </w:p>
    <w:p>
      <w:pPr>
        <w:pStyle w:val="44"/>
        <w:widowControl w:val="0"/>
        <w:spacing w:before="0" w:beforeAutospacing="0" w:after="0" w:afterAutospacing="0" w:line="500" w:lineRule="exact"/>
        <w:ind w:firstLine="474" w:firstLineChars="200"/>
        <w:jc w:val="both"/>
        <w:rPr>
          <w:rFonts w:hint="eastAsia" w:hAnsi="宋体" w:cs="宋体"/>
          <w:kern w:val="2"/>
          <w:szCs w:val="20"/>
          <w:lang w:bidi="ar"/>
          <w14:ligatures w14:val="standardContextual"/>
        </w:rPr>
      </w:pPr>
      <w:r>
        <w:rPr>
          <w:rFonts w:hint="eastAsia" w:hAnsi="宋体" w:cs="宋体"/>
          <w:kern w:val="2"/>
          <w:szCs w:val="20"/>
          <w:lang w:bidi="ar"/>
          <w14:ligatures w14:val="standardContextual"/>
        </w:rPr>
        <w:t>投标人负责本工程的设备卸货、设备材料代保管、厂内装卸、厂内运输、仓储、保养等工作。</w:t>
      </w:r>
    </w:p>
    <w:p>
      <w:pPr>
        <w:pStyle w:val="44"/>
        <w:widowControl w:val="0"/>
        <w:spacing w:before="0" w:beforeAutospacing="0" w:after="0" w:afterAutospacing="0" w:line="500" w:lineRule="exact"/>
        <w:ind w:firstLine="474" w:firstLineChars="200"/>
        <w:jc w:val="both"/>
        <w:rPr>
          <w:rFonts w:hint="eastAsia" w:hAnsi="宋体" w:cs="宋体"/>
          <w:kern w:val="2"/>
          <w:szCs w:val="20"/>
          <w:lang w:bidi="ar"/>
          <w14:ligatures w14:val="standardContextual"/>
        </w:rPr>
      </w:pPr>
      <w:r>
        <w:rPr>
          <w:rFonts w:hint="eastAsia" w:hAnsi="宋体" w:cs="宋体"/>
          <w:kern w:val="2"/>
          <w:szCs w:val="20"/>
          <w:lang w:bidi="ar"/>
          <w14:ligatures w14:val="standardContextual"/>
        </w:rPr>
        <w:t>投标人及其代理或雇员的行为由投标人负责，其违约责任由投标人承担。</w:t>
      </w:r>
    </w:p>
    <w:p>
      <w:pPr>
        <w:pStyle w:val="44"/>
        <w:widowControl w:val="0"/>
        <w:spacing w:before="0" w:beforeAutospacing="0" w:after="0" w:afterAutospacing="0" w:line="500" w:lineRule="exact"/>
        <w:ind w:firstLine="474" w:firstLineChars="200"/>
        <w:jc w:val="both"/>
        <w:rPr>
          <w:rFonts w:hint="eastAsia" w:hAnsi="宋体" w:cs="宋体"/>
          <w:kern w:val="2"/>
          <w:szCs w:val="20"/>
          <w:lang w:bidi="ar"/>
          <w14:ligatures w14:val="standardContextual"/>
        </w:rPr>
      </w:pPr>
      <w:r>
        <w:rPr>
          <w:rFonts w:hint="eastAsia" w:hAnsi="宋体" w:cs="宋体"/>
          <w:kern w:val="2"/>
          <w:szCs w:val="20"/>
          <w:lang w:bidi="ar"/>
          <w14:ligatures w14:val="standardContextual"/>
        </w:rPr>
        <w:t>土建、安装、调试、监造、设备材料代保管的项目经理、技术负责人、专业工程师、安健环工程师、质量工程师必须是投标人本单位在册职工，并接受招标人的定期检查。</w:t>
      </w:r>
    </w:p>
    <w:p>
      <w:pPr>
        <w:pStyle w:val="44"/>
        <w:widowControl w:val="0"/>
        <w:spacing w:before="0" w:beforeAutospacing="0" w:after="0" w:afterAutospacing="0" w:line="500" w:lineRule="exact"/>
        <w:ind w:firstLine="474" w:firstLineChars="200"/>
        <w:jc w:val="both"/>
        <w:rPr>
          <w:rFonts w:hint="eastAsia" w:hAnsi="宋体" w:cs="宋体"/>
          <w:kern w:val="2"/>
          <w:szCs w:val="20"/>
          <w:lang w:bidi="ar"/>
          <w14:ligatures w14:val="standardContextual"/>
        </w:rPr>
      </w:pPr>
      <w:r>
        <w:rPr>
          <w:rFonts w:hint="eastAsia" w:hAnsi="宋体" w:cs="宋体"/>
          <w:kern w:val="2"/>
          <w:szCs w:val="20"/>
          <w:lang w:bidi="ar"/>
          <w14:ligatures w14:val="standardContextual"/>
        </w:rPr>
        <w:t>投标人承担分包范围内的施工、办公、生活、用电、用水、通信的费用。</w:t>
      </w:r>
    </w:p>
    <w:p>
      <w:pPr>
        <w:pStyle w:val="44"/>
        <w:widowControl w:val="0"/>
        <w:spacing w:before="0" w:beforeAutospacing="0" w:after="0" w:afterAutospacing="0" w:line="500" w:lineRule="exact"/>
        <w:ind w:firstLine="474" w:firstLineChars="200"/>
        <w:jc w:val="both"/>
        <w:rPr>
          <w:rFonts w:hint="eastAsia" w:hAnsi="宋体" w:cs="宋体"/>
          <w:kern w:val="2"/>
          <w:szCs w:val="20"/>
          <w:lang w:bidi="ar"/>
          <w14:ligatures w14:val="standardContextual"/>
        </w:rPr>
      </w:pPr>
      <w:r>
        <w:rPr>
          <w:rFonts w:hint="eastAsia" w:hAnsi="宋体" w:cs="宋体"/>
          <w:kern w:val="2"/>
          <w:szCs w:val="20"/>
          <w:lang w:bidi="ar"/>
          <w14:ligatures w14:val="standardContextual"/>
        </w:rPr>
        <w:t>投标人负责施工期间的产生的工业垃圾、生活垃圾及危废由投标人委托第三方有资质单位进行处理，并保存相关视频资料和过程资料，相关费用由投标人承担。</w:t>
      </w:r>
    </w:p>
    <w:p>
      <w:pPr>
        <w:pStyle w:val="44"/>
        <w:widowControl w:val="0"/>
        <w:spacing w:before="0" w:beforeAutospacing="0" w:after="0" w:afterAutospacing="0" w:line="500" w:lineRule="exact"/>
        <w:ind w:firstLine="474" w:firstLineChars="200"/>
        <w:jc w:val="both"/>
        <w:rPr>
          <w:rFonts w:hint="eastAsia" w:hAnsi="宋体" w:cs="宋体"/>
          <w:kern w:val="2"/>
          <w:szCs w:val="20"/>
          <w:lang w:bidi="ar"/>
          <w14:ligatures w14:val="standardContextual"/>
        </w:rPr>
      </w:pPr>
      <w:r>
        <w:rPr>
          <w:rFonts w:hint="eastAsia" w:hAnsi="宋体" w:cs="宋体"/>
          <w:kern w:val="2"/>
          <w:szCs w:val="20"/>
          <w:lang w:bidi="ar"/>
          <w14:ligatures w14:val="standardContextual"/>
        </w:rPr>
        <w:t>投标人承担分包范围内涉及会务费、评审费、专家费等费用。</w:t>
      </w:r>
    </w:p>
    <w:p>
      <w:pPr>
        <w:pStyle w:val="44"/>
        <w:widowControl w:val="0"/>
        <w:spacing w:before="0" w:beforeAutospacing="0" w:after="0" w:afterAutospacing="0" w:line="500" w:lineRule="exact"/>
        <w:ind w:firstLine="474" w:firstLineChars="200"/>
        <w:jc w:val="both"/>
        <w:rPr>
          <w:rFonts w:hint="eastAsia" w:hAnsi="宋体" w:cs="宋体"/>
          <w:kern w:val="2"/>
          <w:szCs w:val="20"/>
          <w:lang w:bidi="ar"/>
          <w14:ligatures w14:val="standardContextual"/>
        </w:rPr>
      </w:pPr>
      <w:r>
        <w:rPr>
          <w:rFonts w:hint="eastAsia" w:hAnsi="宋体" w:cs="宋体"/>
          <w:kern w:val="2"/>
          <w:szCs w:val="20"/>
          <w:lang w:bidi="ar"/>
          <w14:ligatures w14:val="standardContextual"/>
        </w:rPr>
        <w:t>分包范围内所需的保险均由投标人负责投保，所需的费用已经包含在合同总价中。投标人负责投保险种包括但不限于：货物运输险、建安一切险及投标人的人员、施工机械保险等。</w:t>
      </w:r>
    </w:p>
    <w:p>
      <w:pPr>
        <w:pStyle w:val="44"/>
        <w:widowControl w:val="0"/>
        <w:spacing w:before="0" w:beforeAutospacing="0" w:after="0" w:afterAutospacing="0" w:line="500" w:lineRule="exact"/>
        <w:ind w:firstLine="474" w:firstLineChars="200"/>
        <w:jc w:val="both"/>
        <w:rPr>
          <w:rFonts w:hint="eastAsia" w:hAnsi="宋体" w:cs="宋体"/>
          <w:kern w:val="2"/>
          <w:szCs w:val="20"/>
          <w:lang w:bidi="ar"/>
          <w14:ligatures w14:val="standardContextual"/>
        </w:rPr>
      </w:pPr>
      <w:r>
        <w:rPr>
          <w:rFonts w:hint="eastAsia" w:hAnsi="宋体" w:cs="宋体"/>
          <w:kern w:val="2"/>
          <w:szCs w:val="20"/>
          <w:lang w:bidi="ar"/>
          <w14:ligatures w14:val="standardContextual"/>
        </w:rPr>
        <w:t>分包范围内相关的全部检验、特种设备检测、试验项目，除明确业主、招标人负责的项目外，均由投标人负责。</w:t>
      </w:r>
    </w:p>
    <w:p>
      <w:pPr>
        <w:pStyle w:val="44"/>
        <w:widowControl w:val="0"/>
        <w:spacing w:before="0" w:beforeAutospacing="0" w:after="0" w:afterAutospacing="0" w:line="500" w:lineRule="exact"/>
        <w:ind w:firstLine="474" w:firstLineChars="200"/>
        <w:jc w:val="both"/>
        <w:rPr>
          <w:rFonts w:hint="eastAsia" w:hAnsi="宋体" w:cs="宋体"/>
          <w:kern w:val="2"/>
          <w:szCs w:val="20"/>
          <w:lang w:bidi="ar"/>
          <w14:ligatures w14:val="standardContextual"/>
        </w:rPr>
      </w:pPr>
      <w:r>
        <w:rPr>
          <w:rFonts w:hint="eastAsia" w:hAnsi="宋体" w:cs="宋体"/>
          <w:kern w:val="2"/>
          <w:szCs w:val="20"/>
          <w:lang w:bidi="ar"/>
          <w14:ligatures w14:val="standardContextual"/>
        </w:rPr>
        <w:t>投标人应保证提供的产品符合安全、健康、环保标准的要求。</w:t>
      </w:r>
    </w:p>
    <w:p>
      <w:pPr>
        <w:pStyle w:val="44"/>
        <w:widowControl w:val="0"/>
        <w:spacing w:before="0" w:beforeAutospacing="0" w:after="0" w:afterAutospacing="0" w:line="500" w:lineRule="exact"/>
        <w:ind w:firstLine="474" w:firstLineChars="200"/>
        <w:jc w:val="both"/>
        <w:rPr>
          <w:rFonts w:hint="eastAsia" w:hAnsi="宋体" w:cs="宋体"/>
          <w:kern w:val="2"/>
          <w:szCs w:val="20"/>
          <w:lang w:bidi="ar"/>
          <w14:ligatures w14:val="standardContextual"/>
        </w:rPr>
      </w:pPr>
      <w:r>
        <w:rPr>
          <w:rFonts w:hint="eastAsia" w:hAnsi="宋体" w:cs="宋体"/>
          <w:kern w:val="2"/>
          <w:szCs w:val="20"/>
          <w:lang w:bidi="ar"/>
          <w14:ligatures w14:val="standardContextual"/>
        </w:rPr>
        <w:t>投标人负责分包范围通过环保、消防、安全、施工、运行、调试等验收。</w:t>
      </w:r>
    </w:p>
    <w:p>
      <w:pPr>
        <w:pStyle w:val="44"/>
        <w:widowControl w:val="0"/>
        <w:spacing w:before="0" w:beforeAutospacing="0" w:after="0" w:afterAutospacing="0" w:line="500" w:lineRule="exact"/>
        <w:ind w:firstLine="474" w:firstLineChars="200"/>
        <w:jc w:val="both"/>
        <w:rPr>
          <w:rFonts w:hint="eastAsia" w:hAnsi="宋体" w:cs="宋体"/>
          <w:kern w:val="2"/>
          <w:szCs w:val="20"/>
          <w:lang w:bidi="ar"/>
          <w14:ligatures w14:val="standardContextual"/>
        </w:rPr>
      </w:pPr>
      <w:r>
        <w:rPr>
          <w:rFonts w:hint="eastAsia" w:hAnsi="宋体" w:cs="宋体"/>
          <w:kern w:val="2"/>
          <w:szCs w:val="20"/>
          <w:lang w:bidi="ar"/>
          <w14:ligatures w14:val="standardContextual"/>
        </w:rPr>
        <w:t>投标人负责分包范围内的成品保护、安全、文明、环保等工程施工措施。</w:t>
      </w:r>
    </w:p>
    <w:p>
      <w:pPr>
        <w:pStyle w:val="44"/>
        <w:widowControl w:val="0"/>
        <w:spacing w:before="0" w:beforeAutospacing="0" w:after="0" w:afterAutospacing="0" w:line="500" w:lineRule="exact"/>
        <w:ind w:firstLine="474" w:firstLineChars="200"/>
        <w:jc w:val="both"/>
        <w:rPr>
          <w:rFonts w:hint="eastAsia" w:hAnsi="宋体" w:cs="宋体"/>
          <w:color w:val="auto"/>
          <w:kern w:val="2"/>
          <w:szCs w:val="20"/>
          <w:lang w:bidi="ar"/>
          <w14:ligatures w14:val="standardContextual"/>
        </w:rPr>
      </w:pPr>
      <w:r>
        <w:rPr>
          <w:rFonts w:hint="eastAsia" w:hAnsi="宋体" w:cs="宋体"/>
          <w:color w:val="auto"/>
          <w:kern w:val="2"/>
          <w:szCs w:val="20"/>
          <w:lang w:bidi="ar"/>
          <w14:ligatures w14:val="standardContextual"/>
        </w:rPr>
        <w:t>1.1.4 招标人负责主要内容</w:t>
      </w:r>
    </w:p>
    <w:p>
      <w:pPr>
        <w:pStyle w:val="44"/>
        <w:widowControl w:val="0"/>
        <w:spacing w:before="0" w:beforeAutospacing="0" w:after="0" w:afterAutospacing="0" w:line="500" w:lineRule="exact"/>
        <w:ind w:firstLine="474" w:firstLineChars="200"/>
        <w:jc w:val="both"/>
        <w:rPr>
          <w:rFonts w:hint="default" w:hAnsi="宋体" w:cs="宋体"/>
          <w:color w:val="auto"/>
          <w:kern w:val="2"/>
          <w:szCs w:val="20"/>
          <w:lang w:val="en-US" w:eastAsia="zh-CN" w:bidi="ar"/>
          <w14:ligatures w14:val="standardContextual"/>
        </w:rPr>
      </w:pPr>
      <w:r>
        <w:rPr>
          <w:rFonts w:hint="eastAsia" w:hAnsi="宋体" w:cs="宋体"/>
          <w:color w:val="auto"/>
          <w:kern w:val="2"/>
          <w:szCs w:val="20"/>
          <w:lang w:val="en-US" w:eastAsia="zh-CN" w:bidi="ar"/>
          <w14:ligatures w14:val="standardContextual"/>
        </w:rPr>
        <w:t>招标人负责主要内容：吸尘车、洒水车、配电系统设备、抑尘设备、风机设备、自动消防炮设备、雾炮设备、消防泵房设备、洗车平台设备、弱电系统设备（含</w:t>
      </w:r>
      <w:r>
        <w:rPr>
          <w:rFonts w:hint="eastAsia" w:asciiTheme="minorEastAsia" w:hAnsiTheme="minorEastAsia"/>
          <w:color w:val="auto"/>
          <w:sz w:val="24"/>
          <w:lang w:val="en-US" w:eastAsia="zh-CN"/>
        </w:rPr>
        <w:t>工业电视</w:t>
      </w:r>
      <w:r>
        <w:rPr>
          <w:rFonts w:hint="eastAsia" w:ascii="宋体" w:hAnsi="宋体" w:eastAsia="宋体" w:cs="宋体"/>
          <w:kern w:val="2"/>
          <w:szCs w:val="20"/>
          <w:lang w:val="en-US" w:eastAsia="zh-CN" w:bidi="ar"/>
          <w14:ligatures w14:val="standardContextual"/>
        </w:rPr>
        <w:t>系统、调度通信系统、火灾自动报警系统、气体监测系统、火灾监控预警系统共5个系统的设备、材料及安装）等的供货和技术服务工作</w:t>
      </w:r>
      <w:r>
        <w:rPr>
          <w:rFonts w:hint="eastAsia" w:hAnsi="宋体" w:cs="宋体"/>
          <w:color w:val="auto"/>
          <w:kern w:val="2"/>
          <w:szCs w:val="20"/>
          <w:lang w:val="en-US" w:eastAsia="zh-CN" w:bidi="ar"/>
          <w14:ligatures w14:val="standardContextual"/>
        </w:rPr>
        <w:t>。煤场骨架膜钢结构柱脚标高以下钢筋混凝土柱及基础，混凝土挡墙及基础。</w:t>
      </w:r>
    </w:p>
    <w:p>
      <w:pPr>
        <w:pStyle w:val="44"/>
        <w:widowControl w:val="0"/>
        <w:spacing w:before="0" w:beforeAutospacing="0" w:after="0" w:afterAutospacing="0" w:line="500" w:lineRule="exact"/>
        <w:ind w:firstLine="474" w:firstLineChars="200"/>
        <w:jc w:val="both"/>
        <w:rPr>
          <w:rFonts w:hint="eastAsia" w:hAnsi="宋体" w:cs="宋体"/>
          <w:kern w:val="2"/>
          <w:szCs w:val="20"/>
          <w:lang w:bidi="ar"/>
          <w14:ligatures w14:val="standardContextual"/>
        </w:rPr>
      </w:pPr>
      <w:r>
        <w:rPr>
          <w:rFonts w:hint="eastAsia" w:hAnsi="宋体" w:cs="宋体"/>
          <w:kern w:val="2"/>
          <w:szCs w:val="20"/>
          <w:lang w:bidi="ar"/>
          <w14:ligatures w14:val="standardContextual"/>
        </w:rPr>
        <w:t>1.2 本技术规范书所提及的要求和供货范围都是最低限度的要求，并未对一切技术细节作出规定，也未充分地详述有关标准和规范的条文，投标人应保证提供符合本技术规范书和相关工业标准的功能齐全的优质产品及其相应服务。对国家有关安全、环保等强制性标准必须满足其要求。投标人须执行本规范书所列要求、标准。本规范书中未提及的内容均应满足或优于本规范书所列的国家标准、电力行业标准和有关国际标准。有矛盾时，按较严格标准执行。在签订合同之后，到投标人交货之日期间，招标人有权提出因规范、标准和规程发生变化而产生的一些补充或修改要求，投标人应执行招标人提出的要求，合同价格不变。</w:t>
      </w:r>
    </w:p>
    <w:p>
      <w:pPr>
        <w:pStyle w:val="44"/>
        <w:widowControl w:val="0"/>
        <w:spacing w:before="0" w:beforeAutospacing="0" w:after="0" w:afterAutospacing="0" w:line="500" w:lineRule="exact"/>
        <w:ind w:firstLine="474" w:firstLineChars="200"/>
        <w:jc w:val="both"/>
        <w:rPr>
          <w:rFonts w:hint="eastAsia" w:hAnsi="宋体" w:cs="宋体"/>
          <w:kern w:val="2"/>
          <w:szCs w:val="20"/>
          <w:lang w:bidi="ar"/>
          <w14:ligatures w14:val="standardContextual"/>
        </w:rPr>
      </w:pPr>
      <w:r>
        <w:rPr>
          <w:rFonts w:hint="eastAsia" w:hAnsi="宋体" w:cs="宋体"/>
          <w:kern w:val="2"/>
          <w:szCs w:val="20"/>
          <w:lang w:bidi="ar"/>
          <w14:ligatures w14:val="standardContextual"/>
        </w:rPr>
        <w:t>1.3分包范围内采用的专利涉及到的全部费用均被认为已包含在报价中，投标人保证招标人不承担有关专利的一切责任。</w:t>
      </w:r>
    </w:p>
    <w:p>
      <w:pPr>
        <w:pStyle w:val="44"/>
        <w:widowControl w:val="0"/>
        <w:spacing w:before="0" w:beforeAutospacing="0" w:after="0" w:afterAutospacing="0" w:line="500" w:lineRule="exact"/>
        <w:ind w:firstLine="474" w:firstLineChars="200"/>
        <w:jc w:val="both"/>
        <w:rPr>
          <w:rFonts w:hint="eastAsia" w:hAnsi="宋体" w:cs="宋体"/>
          <w:kern w:val="2"/>
          <w:szCs w:val="20"/>
          <w:lang w:bidi="ar"/>
          <w14:ligatures w14:val="standardContextual"/>
        </w:rPr>
      </w:pPr>
      <w:r>
        <w:rPr>
          <w:rFonts w:hint="eastAsia" w:hAnsi="宋体" w:cs="宋体"/>
          <w:kern w:val="2"/>
          <w:szCs w:val="20"/>
          <w:lang w:bidi="ar"/>
          <w14:ligatures w14:val="standardContextual"/>
        </w:rPr>
        <w:t>1.4最终确定的技术协议作为订货合同的附件，并与合同文件具有相同的法律效力。</w:t>
      </w:r>
    </w:p>
    <w:p>
      <w:pPr>
        <w:pStyle w:val="44"/>
        <w:widowControl w:val="0"/>
        <w:spacing w:before="0" w:beforeAutospacing="0" w:after="0" w:afterAutospacing="0" w:line="500" w:lineRule="exact"/>
        <w:ind w:firstLine="474" w:firstLineChars="200"/>
        <w:jc w:val="both"/>
        <w:rPr>
          <w:rFonts w:hint="eastAsia" w:hAnsi="宋体" w:cs="宋体"/>
          <w:kern w:val="2"/>
          <w:szCs w:val="20"/>
          <w:lang w:bidi="ar"/>
          <w14:ligatures w14:val="standardContextual"/>
        </w:rPr>
      </w:pPr>
      <w:r>
        <w:rPr>
          <w:rFonts w:hint="eastAsia" w:hAnsi="宋体" w:cs="宋体"/>
          <w:color w:val="auto"/>
          <w:kern w:val="2"/>
          <w:szCs w:val="20"/>
          <w:lang w:bidi="ar"/>
          <w14:ligatures w14:val="standardContextual"/>
        </w:rPr>
        <w:t>1.5</w:t>
      </w:r>
      <w:r>
        <w:rPr>
          <w:rFonts w:hint="eastAsia" w:hAnsi="宋体" w:cs="宋体"/>
          <w:color w:val="auto"/>
          <w:kern w:val="2"/>
          <w:szCs w:val="20"/>
          <w:highlight w:val="none"/>
          <w:lang w:bidi="ar"/>
          <w14:ligatures w14:val="standardContextual"/>
        </w:rPr>
        <w:t>本工程</w:t>
      </w:r>
      <w:r>
        <w:rPr>
          <w:rFonts w:hint="eastAsia" w:hAnsi="宋体" w:cs="宋体"/>
          <w:color w:val="auto"/>
          <w:kern w:val="2"/>
          <w:szCs w:val="20"/>
          <w:highlight w:val="none"/>
          <w:lang w:val="en-US" w:eastAsia="zh-CN" w:bidi="ar"/>
          <w14:ligatures w14:val="standardContextual"/>
        </w:rPr>
        <w:t>设备</w:t>
      </w:r>
      <w:r>
        <w:rPr>
          <w:rFonts w:hint="eastAsia" w:hAnsi="宋体" w:cs="宋体"/>
          <w:color w:val="auto"/>
          <w:kern w:val="2"/>
          <w:szCs w:val="20"/>
          <w:highlight w:val="none"/>
          <w:lang w:bidi="ar"/>
          <w14:ligatures w14:val="standardContextual"/>
        </w:rPr>
        <w:t>的质保期（以商务合同为准）为验收合格后</w:t>
      </w:r>
      <w:r>
        <w:rPr>
          <w:rFonts w:hint="eastAsia" w:hAnsi="宋体" w:cs="宋体"/>
          <w:color w:val="auto"/>
          <w:kern w:val="2"/>
          <w:szCs w:val="20"/>
          <w:highlight w:val="none"/>
          <w:lang w:val="en-US" w:eastAsia="zh-CN" w:bidi="ar"/>
          <w14:ligatures w14:val="standardContextual"/>
        </w:rPr>
        <w:t>两</w:t>
      </w:r>
      <w:r>
        <w:rPr>
          <w:rFonts w:hint="eastAsia" w:hAnsi="宋体" w:cs="宋体"/>
          <w:color w:val="auto"/>
          <w:kern w:val="2"/>
          <w:szCs w:val="20"/>
          <w:highlight w:val="none"/>
          <w:lang w:bidi="ar"/>
          <w14:ligatures w14:val="standardContextual"/>
        </w:rPr>
        <w:t>年（自项目最终验收合格之日算起）</w:t>
      </w:r>
      <w:r>
        <w:rPr>
          <w:rFonts w:hint="eastAsia" w:hAnsi="宋体" w:cs="宋体"/>
          <w:color w:val="auto"/>
          <w:kern w:val="2"/>
          <w:szCs w:val="20"/>
          <w:lang w:bidi="ar"/>
          <w14:ligatures w14:val="standardContextual"/>
        </w:rPr>
        <w:t>，</w:t>
      </w:r>
      <w:r>
        <w:rPr>
          <w:rFonts w:hint="eastAsia" w:hAnsi="宋体" w:cs="宋体"/>
          <w:kern w:val="2"/>
          <w:szCs w:val="20"/>
          <w:lang w:bidi="ar"/>
          <w14:ligatures w14:val="standardContextual"/>
        </w:rPr>
        <w:t>另有要求的硬件，按要求质保时间执行；建筑及安装工程质保期为两年，在质保期内如果在正常使用情况下达不到技术协议书的要求，投标人应无偿更换并调试相应设备，若经更换调试后仍无法满足要求，则招标人将酌情扣除相应的质保金，且不需再办理任何法律或行政手续。</w:t>
      </w:r>
    </w:p>
    <w:p>
      <w:pPr>
        <w:pStyle w:val="44"/>
        <w:widowControl w:val="0"/>
        <w:spacing w:before="0" w:beforeAutospacing="0" w:after="0" w:afterAutospacing="0" w:line="500" w:lineRule="exact"/>
        <w:ind w:firstLine="474" w:firstLineChars="200"/>
        <w:jc w:val="both"/>
        <w:rPr>
          <w:rFonts w:hint="eastAsia" w:hAnsi="宋体" w:cs="宋体"/>
          <w:kern w:val="2"/>
          <w:szCs w:val="20"/>
          <w:lang w:bidi="ar"/>
          <w14:ligatures w14:val="standardContextual"/>
        </w:rPr>
      </w:pPr>
      <w:r>
        <w:rPr>
          <w:rFonts w:hint="eastAsia" w:hAnsi="宋体" w:cs="宋体"/>
          <w:kern w:val="2"/>
          <w:szCs w:val="20"/>
          <w:lang w:bidi="ar"/>
          <w14:ligatures w14:val="standardContextual"/>
        </w:rPr>
        <w:t>1.6合同签定15日内，投标人必须提供一份详尽的施工进度计划表。</w:t>
      </w:r>
    </w:p>
    <w:p>
      <w:pPr>
        <w:pStyle w:val="44"/>
        <w:widowControl w:val="0"/>
        <w:spacing w:before="0" w:beforeAutospacing="0" w:after="0" w:afterAutospacing="0" w:line="500" w:lineRule="exact"/>
        <w:ind w:firstLine="474" w:firstLineChars="200"/>
        <w:jc w:val="both"/>
        <w:rPr>
          <w:rFonts w:hint="eastAsia" w:hAnsi="宋体" w:cs="宋体"/>
          <w:kern w:val="2"/>
          <w:szCs w:val="20"/>
          <w:lang w:bidi="ar"/>
          <w14:ligatures w14:val="standardContextual"/>
        </w:rPr>
      </w:pPr>
      <w:r>
        <w:rPr>
          <w:rFonts w:hint="eastAsia" w:hAnsi="宋体" w:cs="宋体"/>
          <w:kern w:val="2"/>
          <w:szCs w:val="20"/>
          <w:lang w:bidi="ar"/>
          <w14:ligatures w14:val="standardContextual"/>
        </w:rPr>
        <w:t>1.7投标文件中提供的各项材料证明必须真实，如提供的材料证明有虚假信息将视为不响应技术规格书的要求。</w:t>
      </w:r>
    </w:p>
    <w:p>
      <w:pPr>
        <w:pStyle w:val="44"/>
        <w:widowControl w:val="0"/>
        <w:spacing w:before="0" w:beforeAutospacing="0" w:after="0" w:afterAutospacing="0" w:line="500" w:lineRule="exact"/>
        <w:ind w:firstLine="474" w:firstLineChars="200"/>
        <w:jc w:val="both"/>
        <w:rPr>
          <w:rFonts w:hint="eastAsia" w:hAnsi="宋体" w:cs="宋体"/>
          <w:kern w:val="2"/>
          <w:szCs w:val="20"/>
          <w:lang w:bidi="ar"/>
          <w14:ligatures w14:val="standardContextual"/>
        </w:rPr>
      </w:pPr>
      <w:r>
        <w:rPr>
          <w:rFonts w:hint="eastAsia" w:hAnsi="宋体" w:cs="宋体"/>
          <w:kern w:val="2"/>
          <w:szCs w:val="20"/>
          <w:lang w:bidi="ar"/>
          <w14:ligatures w14:val="standardContextual"/>
        </w:rPr>
        <w:t>1.8本技术规格书中对系统设计区域内未明确说明的设施、建筑物、网络布线距离长度等，投标人可以进行现场实际勘测。本项目涉及到范围外的设备、构建筑物等临时拆除或造成破损，由投标人负责恢复至原有状态。涉及有可能破坏工程范围外的设备、构建筑物等投标人必须事先采取经招标人同意的必要措施进行监测和保护。</w:t>
      </w:r>
    </w:p>
    <w:p>
      <w:pPr>
        <w:pStyle w:val="44"/>
        <w:widowControl w:val="0"/>
        <w:spacing w:before="0" w:beforeAutospacing="0" w:after="0" w:afterAutospacing="0" w:line="500" w:lineRule="exact"/>
        <w:ind w:firstLine="474" w:firstLineChars="200"/>
        <w:jc w:val="both"/>
        <w:rPr>
          <w:rFonts w:hint="eastAsia" w:hAnsi="宋体" w:cs="宋体"/>
          <w:kern w:val="2"/>
          <w:szCs w:val="20"/>
          <w:lang w:bidi="ar"/>
          <w14:ligatures w14:val="standardContextual"/>
        </w:rPr>
      </w:pPr>
      <w:r>
        <w:rPr>
          <w:rFonts w:hint="eastAsia" w:hAnsi="宋体" w:cs="宋体"/>
          <w:kern w:val="2"/>
          <w:szCs w:val="20"/>
          <w:lang w:bidi="ar"/>
          <w14:ligatures w14:val="standardContextual"/>
        </w:rPr>
        <w:t>1.9 投标文件及合同规定的文件，包括图纸、计算、说明、使用手册、通讯联络和服务等，均应使用中国法定单位制（SI）和中文。</w:t>
      </w:r>
    </w:p>
    <w:p>
      <w:pPr>
        <w:pStyle w:val="44"/>
        <w:widowControl w:val="0"/>
        <w:spacing w:before="0" w:beforeAutospacing="0" w:after="0" w:afterAutospacing="0" w:line="500" w:lineRule="exact"/>
        <w:ind w:firstLine="474" w:firstLineChars="200"/>
        <w:jc w:val="both"/>
        <w:rPr>
          <w:rFonts w:hint="eastAsia" w:hAnsi="宋体" w:cs="宋体"/>
          <w:color w:val="auto"/>
          <w:kern w:val="2"/>
          <w:szCs w:val="20"/>
          <w:lang w:bidi="ar"/>
          <w14:ligatures w14:val="standardContextual"/>
        </w:rPr>
      </w:pPr>
      <w:r>
        <w:rPr>
          <w:rFonts w:hint="eastAsia" w:hAnsi="宋体" w:cs="宋体"/>
          <w:kern w:val="2"/>
          <w:szCs w:val="20"/>
          <w:lang w:bidi="ar"/>
          <w14:ligatures w14:val="standardContextual"/>
        </w:rPr>
        <w:t>1.10本项目工期要求（以商务合同为准）：合同签订后、开工批复之日起</w:t>
      </w:r>
      <w:r>
        <w:rPr>
          <w:rFonts w:hint="eastAsia" w:hAnsi="宋体" w:cs="宋体"/>
          <w:color w:val="auto"/>
          <w:kern w:val="2"/>
          <w:szCs w:val="20"/>
          <w:lang w:val="en-US" w:eastAsia="zh-CN" w:bidi="ar"/>
          <w14:ligatures w14:val="standardContextual"/>
        </w:rPr>
        <w:t>4</w:t>
      </w:r>
      <w:r>
        <w:rPr>
          <w:rFonts w:hint="eastAsia" w:hAnsi="宋体" w:cs="宋体"/>
          <w:color w:val="auto"/>
          <w:kern w:val="2"/>
          <w:szCs w:val="20"/>
          <w:lang w:bidi="ar"/>
          <w14:ligatures w14:val="standardContextual"/>
        </w:rPr>
        <w:t>个月内完成联合调试。调试结束1个月内通过性能试验，完成验收。</w:t>
      </w:r>
    </w:p>
    <w:p>
      <w:pPr>
        <w:pStyle w:val="44"/>
        <w:widowControl w:val="0"/>
        <w:spacing w:before="0" w:beforeAutospacing="0" w:after="0" w:afterAutospacing="0" w:line="500" w:lineRule="exact"/>
        <w:ind w:firstLine="474" w:firstLineChars="200"/>
        <w:jc w:val="both"/>
        <w:rPr>
          <w:rFonts w:hint="eastAsia" w:hAnsi="宋体" w:cs="宋体"/>
          <w:color w:val="auto"/>
          <w:kern w:val="2"/>
          <w:szCs w:val="20"/>
          <w:lang w:bidi="ar"/>
          <w14:ligatures w14:val="standardContextual"/>
        </w:rPr>
      </w:pPr>
      <w:r>
        <w:rPr>
          <w:rFonts w:hint="eastAsia" w:hAnsi="宋体" w:cs="宋体"/>
          <w:color w:val="auto"/>
          <w:kern w:val="2"/>
          <w:szCs w:val="20"/>
          <w:lang w:bidi="ar"/>
          <w14:ligatures w14:val="standardContextual"/>
        </w:rPr>
        <w:t>1.11项目设计及施工必须满足中煤平朔集团有限公司安全文明管理及标准化管理的要求，所有文明整改及标准化设施配置费用全部包含在投标总价范围内。</w:t>
      </w:r>
    </w:p>
    <w:p>
      <w:pPr>
        <w:pStyle w:val="44"/>
        <w:widowControl w:val="0"/>
        <w:spacing w:before="0" w:beforeAutospacing="0" w:after="0" w:afterAutospacing="0" w:line="500" w:lineRule="exact"/>
        <w:ind w:firstLine="474" w:firstLineChars="200"/>
        <w:jc w:val="both"/>
        <w:rPr>
          <w:rFonts w:hint="eastAsia" w:hAnsi="宋体" w:cs="宋体"/>
          <w:color w:val="auto"/>
          <w:kern w:val="2"/>
          <w:szCs w:val="20"/>
          <w:lang w:bidi="ar"/>
          <w14:ligatures w14:val="standardContextual"/>
        </w:rPr>
      </w:pPr>
      <w:r>
        <w:rPr>
          <w:rFonts w:hint="eastAsia" w:hAnsi="宋体" w:cs="宋体"/>
          <w:color w:val="auto"/>
          <w:kern w:val="2"/>
          <w:szCs w:val="20"/>
          <w:lang w:bidi="ar"/>
          <w14:ligatures w14:val="standardContextual"/>
        </w:rPr>
        <w:t>1.12 投标人必须考虑一定的风险系数并认真计算，不应遗留须在合同执行中再行议价和另外支付费用的项目。工程量具体以施工图为准，施工图纸内的所有工作内容均已包含在本工程范围内。</w:t>
      </w:r>
    </w:p>
    <w:p>
      <w:pPr>
        <w:pStyle w:val="44"/>
        <w:widowControl w:val="0"/>
        <w:spacing w:before="0" w:beforeAutospacing="0" w:after="0" w:afterAutospacing="0" w:line="500" w:lineRule="exact"/>
        <w:ind w:firstLine="474" w:firstLineChars="200"/>
        <w:jc w:val="both"/>
        <w:rPr>
          <w:rFonts w:hint="eastAsia" w:hAnsi="宋体" w:cs="宋体"/>
          <w:color w:val="auto"/>
          <w:kern w:val="2"/>
          <w:szCs w:val="20"/>
          <w:lang w:bidi="ar"/>
          <w14:ligatures w14:val="standardContextual"/>
        </w:rPr>
      </w:pPr>
      <w:r>
        <w:rPr>
          <w:rFonts w:hint="eastAsia" w:hAnsi="宋体" w:cs="宋体"/>
          <w:color w:val="auto"/>
          <w:kern w:val="2"/>
          <w:szCs w:val="20"/>
          <w:lang w:bidi="ar"/>
          <w14:ligatures w14:val="standardContextual"/>
        </w:rPr>
        <w:t>1.13本技术规范书未尽事宜，双方协商确定。</w:t>
      </w:r>
    </w:p>
    <w:p>
      <w:pPr>
        <w:pStyle w:val="44"/>
        <w:widowControl w:val="0"/>
        <w:spacing w:before="0" w:beforeAutospacing="0" w:after="0" w:afterAutospacing="0" w:line="500" w:lineRule="exact"/>
        <w:ind w:firstLine="474" w:firstLineChars="200"/>
        <w:jc w:val="both"/>
        <w:rPr>
          <w:rFonts w:hint="eastAsia" w:hAnsi="宋体" w:cs="宋体"/>
          <w:color w:val="auto"/>
          <w:kern w:val="2"/>
          <w:szCs w:val="20"/>
          <w:lang w:bidi="ar"/>
          <w14:ligatures w14:val="standardContextual"/>
        </w:rPr>
      </w:pPr>
      <w:r>
        <w:rPr>
          <w:rFonts w:hint="eastAsia" w:hAnsi="宋体" w:cs="宋体"/>
          <w:b/>
          <w:bCs/>
          <w:color w:val="auto"/>
          <w:kern w:val="2"/>
          <w:szCs w:val="20"/>
          <w:lang w:bidi="ar"/>
          <w14:ligatures w14:val="standardContextual"/>
        </w:rPr>
        <w:t>2 工程概况</w:t>
      </w:r>
      <w:bookmarkEnd w:id="65"/>
    </w:p>
    <w:p>
      <w:pPr>
        <w:pStyle w:val="44"/>
        <w:widowControl w:val="0"/>
        <w:spacing w:before="0" w:beforeAutospacing="0" w:after="0" w:afterAutospacing="0" w:line="500" w:lineRule="exact"/>
        <w:ind w:firstLine="474" w:firstLineChars="200"/>
        <w:jc w:val="both"/>
        <w:rPr>
          <w:rFonts w:hint="eastAsia" w:hAnsi="宋体" w:cs="宋体"/>
          <w:b/>
          <w:bCs/>
          <w:color w:val="auto"/>
          <w:kern w:val="2"/>
          <w:szCs w:val="20"/>
          <w:lang w:bidi="ar"/>
          <w14:ligatures w14:val="standardContextual"/>
        </w:rPr>
      </w:pPr>
      <w:bookmarkStart w:id="66" w:name="OLE_LINK3"/>
      <w:bookmarkStart w:id="67" w:name="OLE_LINK2"/>
      <w:r>
        <w:rPr>
          <w:rFonts w:hint="eastAsia" w:hAnsi="宋体" w:cs="宋体"/>
          <w:b/>
          <w:bCs/>
          <w:color w:val="auto"/>
          <w:kern w:val="2"/>
          <w:szCs w:val="20"/>
          <w:lang w:bidi="ar"/>
          <w14:ligatures w14:val="standardContextual"/>
        </w:rPr>
        <w:t>2.1 项目概况</w:t>
      </w:r>
    </w:p>
    <w:p>
      <w:pPr>
        <w:pStyle w:val="44"/>
        <w:widowControl w:val="0"/>
        <w:spacing w:before="0" w:beforeAutospacing="0" w:after="0" w:afterAutospacing="0" w:line="500" w:lineRule="exact"/>
        <w:ind w:firstLine="474" w:firstLineChars="200"/>
        <w:jc w:val="both"/>
        <w:rPr>
          <w:rFonts w:hint="eastAsia" w:hAnsi="宋体" w:cs="宋体"/>
          <w:color w:val="auto"/>
          <w:kern w:val="2"/>
          <w:szCs w:val="20"/>
          <w:lang w:val="en-US" w:eastAsia="zh-CN" w:bidi="ar"/>
          <w14:ligatures w14:val="standardContextual"/>
        </w:rPr>
      </w:pPr>
      <w:r>
        <w:rPr>
          <w:rFonts w:hint="eastAsia" w:hAnsi="宋体" w:cs="宋体"/>
          <w:color w:val="auto"/>
          <w:kern w:val="2"/>
          <w:szCs w:val="20"/>
          <w:lang w:val="en-US" w:eastAsia="zh-CN" w:bidi="ar"/>
          <w14:ligatures w14:val="standardContextual"/>
        </w:rPr>
        <w:t>本项目为</w:t>
      </w:r>
      <w:r>
        <w:rPr>
          <w:rFonts w:hint="eastAsia" w:hAnsi="宋体" w:cs="宋体"/>
          <w:color w:val="auto"/>
          <w:kern w:val="2"/>
          <w:szCs w:val="20"/>
          <w:lang w:bidi="ar"/>
          <w14:ligatures w14:val="standardContextual"/>
        </w:rPr>
        <w:t>中煤鄂尔多斯能源化工有限公司仓储中心卸煤场地抑尘技术改造项目EPC总承包</w:t>
      </w:r>
      <w:r>
        <w:rPr>
          <w:rFonts w:hint="eastAsia" w:hAnsi="宋体" w:cs="宋体"/>
          <w:color w:val="auto"/>
          <w:kern w:val="2"/>
          <w:szCs w:val="20"/>
          <w:lang w:val="en-US" w:eastAsia="zh-CN" w:bidi="ar"/>
          <w14:ligatures w14:val="standardContextual"/>
        </w:rPr>
        <w:t>工程，</w:t>
      </w:r>
      <w:r>
        <w:rPr>
          <w:rFonts w:hint="eastAsia" w:hAnsi="宋体" w:cs="宋体"/>
          <w:color w:val="auto"/>
          <w:kern w:val="2"/>
          <w:szCs w:val="20"/>
          <w:lang w:bidi="ar"/>
          <w14:ligatures w14:val="standardContextual"/>
        </w:rPr>
        <w:t>隶属于隶属于中煤鄂尔多斯能源化工有限公司</w:t>
      </w:r>
      <w:r>
        <w:rPr>
          <w:rFonts w:hint="eastAsia" w:hAnsi="宋体" w:cs="宋体"/>
          <w:color w:val="auto"/>
          <w:kern w:val="2"/>
          <w:szCs w:val="20"/>
          <w:lang w:eastAsia="zh-CN" w:bidi="ar"/>
          <w14:ligatures w14:val="standardContextual"/>
        </w:rPr>
        <w:t>，</w:t>
      </w:r>
      <w:r>
        <w:rPr>
          <w:rFonts w:hint="eastAsia" w:hAnsi="宋体" w:cs="宋体"/>
          <w:color w:val="auto"/>
          <w:kern w:val="2"/>
          <w:szCs w:val="20"/>
          <w:lang w:bidi="ar"/>
          <w14:ligatures w14:val="standardContextual"/>
        </w:rPr>
        <w:t>位于内蒙古自治区鄂尔多斯市乌审旗图克镇工业园区内</w:t>
      </w:r>
      <w:r>
        <w:rPr>
          <w:rFonts w:hint="eastAsia" w:hAnsi="宋体" w:cs="宋体"/>
          <w:color w:val="auto"/>
          <w:kern w:val="2"/>
          <w:szCs w:val="20"/>
          <w:lang w:eastAsia="zh-CN" w:bidi="ar"/>
          <w14:ligatures w14:val="standardContextual"/>
        </w:rPr>
        <w:t>。</w:t>
      </w:r>
    </w:p>
    <w:bookmarkEnd w:id="66"/>
    <w:bookmarkEnd w:id="67"/>
    <w:p>
      <w:pPr>
        <w:pStyle w:val="44"/>
        <w:widowControl w:val="0"/>
        <w:spacing w:before="0" w:beforeAutospacing="0" w:after="0" w:afterAutospacing="0" w:line="500" w:lineRule="exact"/>
        <w:ind w:firstLine="474" w:firstLineChars="200"/>
        <w:jc w:val="both"/>
        <w:rPr>
          <w:rFonts w:hint="eastAsia" w:hAnsi="宋体" w:cs="宋体"/>
          <w:b/>
          <w:bCs/>
          <w:color w:val="auto"/>
          <w:kern w:val="2"/>
          <w:szCs w:val="20"/>
          <w:lang w:bidi="ar"/>
          <w14:ligatures w14:val="standardContextual"/>
        </w:rPr>
      </w:pPr>
      <w:r>
        <w:rPr>
          <w:rFonts w:hint="eastAsia" w:hAnsi="宋体" w:cs="宋体"/>
          <w:b/>
          <w:bCs/>
          <w:color w:val="auto"/>
          <w:kern w:val="2"/>
          <w:szCs w:val="20"/>
          <w:lang w:bidi="ar"/>
          <w14:ligatures w14:val="standardContextual"/>
        </w:rPr>
        <w:t>2.</w:t>
      </w:r>
      <w:r>
        <w:rPr>
          <w:rFonts w:hint="eastAsia" w:hAnsi="宋体" w:cs="宋体"/>
          <w:b/>
          <w:bCs/>
          <w:color w:val="auto"/>
          <w:kern w:val="2"/>
          <w:szCs w:val="20"/>
          <w:lang w:val="en-US" w:eastAsia="zh-CN" w:bidi="ar"/>
          <w14:ligatures w14:val="standardContextual"/>
        </w:rPr>
        <w:t>2</w:t>
      </w:r>
      <w:r>
        <w:rPr>
          <w:rFonts w:hint="eastAsia" w:hAnsi="宋体" w:cs="宋体"/>
          <w:b/>
          <w:bCs/>
          <w:color w:val="auto"/>
          <w:kern w:val="2"/>
          <w:szCs w:val="20"/>
          <w:lang w:bidi="ar"/>
          <w14:ligatures w14:val="standardContextual"/>
        </w:rPr>
        <w:t xml:space="preserve"> </w:t>
      </w:r>
      <w:r>
        <w:rPr>
          <w:rFonts w:hint="eastAsia" w:hAnsi="宋体" w:cs="宋体"/>
          <w:b/>
          <w:bCs/>
          <w:color w:val="auto"/>
          <w:kern w:val="2"/>
          <w:szCs w:val="20"/>
          <w:lang w:val="en-US" w:eastAsia="zh-CN" w:bidi="ar"/>
          <w14:ligatures w14:val="standardContextual"/>
        </w:rPr>
        <w:t>建设单位</w:t>
      </w:r>
      <w:r>
        <w:rPr>
          <w:rFonts w:hint="eastAsia" w:hAnsi="宋体" w:cs="宋体"/>
          <w:b/>
          <w:bCs/>
          <w:color w:val="auto"/>
          <w:kern w:val="2"/>
          <w:szCs w:val="20"/>
          <w:lang w:bidi="ar"/>
          <w14:ligatures w14:val="standardContextual"/>
        </w:rPr>
        <w:t>概况</w:t>
      </w:r>
    </w:p>
    <w:p>
      <w:pPr>
        <w:pStyle w:val="44"/>
        <w:widowControl w:val="0"/>
        <w:spacing w:before="0" w:beforeAutospacing="0" w:after="0" w:afterAutospacing="0" w:line="500" w:lineRule="exact"/>
        <w:ind w:firstLine="474" w:firstLineChars="200"/>
        <w:jc w:val="both"/>
        <w:rPr>
          <w:rFonts w:hint="eastAsia" w:hAnsi="宋体" w:cs="宋体"/>
          <w:color w:val="auto"/>
          <w:kern w:val="2"/>
          <w:szCs w:val="20"/>
          <w:lang w:bidi="ar"/>
          <w14:ligatures w14:val="standardContextual"/>
        </w:rPr>
      </w:pPr>
      <w:r>
        <w:rPr>
          <w:rFonts w:hint="eastAsia" w:hAnsi="宋体" w:cs="宋体"/>
          <w:color w:val="auto"/>
          <w:kern w:val="2"/>
          <w:szCs w:val="20"/>
          <w:lang w:bidi="ar"/>
          <w14:ligatures w14:val="standardContextual"/>
        </w:rPr>
        <w:t>中煤鄂尔多斯能源化工有限公司是中煤能源股份有限公司在鄂尔多斯地区设立的全资子公司。中煤图克大化肥项目是由内蒙古自治区发展和改革委员会备案，利用当地丰富的煤炭资源自主投资建设的大型煤化工项目，是中煤集团打造蒙陕地区大型能源化工基地的重要组成部分。</w:t>
      </w:r>
    </w:p>
    <w:p>
      <w:pPr>
        <w:pStyle w:val="44"/>
        <w:widowControl w:val="0"/>
        <w:spacing w:before="0" w:beforeAutospacing="0" w:after="0" w:afterAutospacing="0" w:line="500" w:lineRule="exact"/>
        <w:ind w:firstLine="474" w:firstLineChars="200"/>
        <w:jc w:val="both"/>
        <w:rPr>
          <w:rFonts w:hint="eastAsia" w:hAnsi="宋体" w:cs="宋体"/>
          <w:color w:val="auto"/>
          <w:kern w:val="2"/>
          <w:szCs w:val="20"/>
          <w:lang w:bidi="ar"/>
          <w14:ligatures w14:val="standardContextual"/>
        </w:rPr>
      </w:pPr>
      <w:r>
        <w:rPr>
          <w:rFonts w:hint="eastAsia" w:hAnsi="宋体" w:cs="宋体"/>
          <w:color w:val="auto"/>
          <w:kern w:val="2"/>
          <w:szCs w:val="20"/>
          <w:lang w:bidi="ar"/>
          <w14:ligatures w14:val="standardContextual"/>
        </w:rPr>
        <w:t>项目位于内蒙古自治区鄂尔多斯市乌审旗图克镇工业园区。北距东乌铁路约30km，南靠S313省道，东南有包西铁路、包茂高速公路临境而过，距鄂尔多斯飞机场70km，铁路、公路、航空四通八达，交通运输便捷。项目设计建设规模为年产200万吨合成氨、350万吨尿素，总投资为200亿元，占地面积126.79公顷。</w:t>
      </w:r>
    </w:p>
    <w:p>
      <w:pPr>
        <w:pStyle w:val="44"/>
        <w:widowControl w:val="0"/>
        <w:spacing w:before="0" w:beforeAutospacing="0" w:after="0" w:afterAutospacing="0" w:line="500" w:lineRule="exact"/>
        <w:ind w:firstLine="474" w:firstLineChars="200"/>
        <w:jc w:val="both"/>
        <w:rPr>
          <w:rFonts w:hint="eastAsia" w:hAnsi="宋体" w:cs="宋体"/>
          <w:color w:val="auto"/>
          <w:kern w:val="2"/>
          <w:szCs w:val="20"/>
          <w:lang w:bidi="ar"/>
          <w14:ligatures w14:val="standardContextual"/>
        </w:rPr>
      </w:pPr>
      <w:r>
        <w:rPr>
          <w:rFonts w:hint="eastAsia" w:hAnsi="宋体" w:cs="宋体"/>
          <w:color w:val="auto"/>
          <w:kern w:val="2"/>
          <w:szCs w:val="20"/>
          <w:lang w:bidi="ar"/>
          <w14:ligatures w14:val="standardContextual"/>
        </w:rPr>
        <w:t>项目一期工程于2013年8月投入运行，已持续为公司创造了良好的效益，二期合成气制年产100万吨甲醇技术改造工程（以下简称：100万吨甲醇技改工程）已建成投入运行，实现向中煤蒙大公司烯烃装置提供MTO级甲醇原料。</w:t>
      </w:r>
    </w:p>
    <w:p>
      <w:pPr>
        <w:pStyle w:val="44"/>
        <w:widowControl w:val="0"/>
        <w:spacing w:before="0" w:beforeAutospacing="0" w:after="0" w:afterAutospacing="0" w:line="500" w:lineRule="exact"/>
        <w:ind w:firstLine="474" w:firstLineChars="200"/>
        <w:jc w:val="both"/>
        <w:rPr>
          <w:rFonts w:hint="eastAsia" w:hAnsi="宋体" w:cs="宋体"/>
          <w:color w:val="auto"/>
          <w:kern w:val="2"/>
          <w:szCs w:val="20"/>
          <w:lang w:val="en-US" w:eastAsia="zh-CN" w:bidi="ar"/>
          <w14:ligatures w14:val="standardContextual"/>
        </w:rPr>
      </w:pPr>
      <w:r>
        <w:rPr>
          <w:rFonts w:hint="eastAsia" w:hAnsi="宋体" w:cs="宋体"/>
          <w:b/>
          <w:bCs/>
          <w:color w:val="auto"/>
          <w:kern w:val="2"/>
          <w:szCs w:val="20"/>
          <w:lang w:bidi="ar"/>
          <w14:ligatures w14:val="standardContextual"/>
        </w:rPr>
        <w:t>2.</w:t>
      </w:r>
      <w:r>
        <w:rPr>
          <w:rFonts w:hint="eastAsia" w:hAnsi="宋体" w:cs="宋体"/>
          <w:b/>
          <w:bCs/>
          <w:color w:val="auto"/>
          <w:kern w:val="2"/>
          <w:szCs w:val="20"/>
          <w:lang w:val="en-US" w:eastAsia="zh-CN" w:bidi="ar"/>
          <w14:ligatures w14:val="standardContextual"/>
        </w:rPr>
        <w:t>3</w:t>
      </w:r>
      <w:r>
        <w:rPr>
          <w:rFonts w:hint="eastAsia" w:hAnsi="宋体" w:cs="宋体"/>
          <w:b/>
          <w:bCs/>
          <w:color w:val="auto"/>
          <w:kern w:val="2"/>
          <w:szCs w:val="20"/>
          <w:lang w:bidi="ar"/>
          <w14:ligatures w14:val="standardContextual"/>
        </w:rPr>
        <w:t xml:space="preserve"> 项目位置</w:t>
      </w:r>
      <w:r>
        <w:rPr>
          <w:rFonts w:hint="eastAsia" w:hAnsi="宋体" w:cs="宋体"/>
          <w:color w:val="auto"/>
          <w:kern w:val="2"/>
          <w:szCs w:val="20"/>
          <w:lang w:val="en-US" w:eastAsia="zh-CN" w:bidi="ar"/>
          <w14:ligatures w14:val="standardContextual"/>
        </w:rPr>
        <w:t xml:space="preserve"> </w:t>
      </w:r>
    </w:p>
    <w:p>
      <w:pPr>
        <w:pStyle w:val="44"/>
        <w:widowControl w:val="0"/>
        <w:spacing w:before="0" w:beforeAutospacing="0" w:after="0" w:afterAutospacing="0" w:line="500" w:lineRule="exact"/>
        <w:ind w:firstLine="474" w:firstLineChars="200"/>
        <w:jc w:val="both"/>
        <w:rPr>
          <w:rFonts w:hint="eastAsia" w:hAnsi="宋体" w:cs="宋体"/>
          <w:color w:val="auto"/>
          <w:kern w:val="2"/>
          <w:szCs w:val="20"/>
          <w:lang w:bidi="ar"/>
          <w14:ligatures w14:val="standardContextual"/>
        </w:rPr>
      </w:pPr>
      <w:r>
        <w:rPr>
          <w:rFonts w:hint="eastAsia" w:hAnsi="宋体" w:cs="宋体"/>
          <w:color w:val="auto"/>
          <w:kern w:val="2"/>
          <w:szCs w:val="20"/>
          <w:lang w:val="en-US" w:eastAsia="zh-CN" w:bidi="ar"/>
          <w14:ligatures w14:val="standardContextual"/>
        </w:rPr>
        <w:t>项目</w:t>
      </w:r>
      <w:r>
        <w:rPr>
          <w:rFonts w:hint="eastAsia" w:hAnsi="宋体" w:cs="宋体"/>
          <w:color w:val="auto"/>
          <w:kern w:val="2"/>
          <w:szCs w:val="20"/>
          <w:lang w:bidi="ar"/>
          <w14:ligatures w14:val="standardContextual"/>
        </w:rPr>
        <w:t>位于内蒙古自治区鄂尔多斯市乌审旗图克镇工业园区。北距东乌铁路约30km，南靠S313省道，东南有包西铁路、包茂高速公路临境而过，距鄂尔多斯飞机场70km，铁路、公路、航空四通八达，交通运输便捷。项目设计建设规模为年产200万吨合成氨、350万吨尿素，总投资为200亿元，占地面积126.79公顷。</w:t>
      </w:r>
    </w:p>
    <w:p>
      <w:pPr>
        <w:pStyle w:val="44"/>
        <w:widowControl w:val="0"/>
        <w:spacing w:before="0" w:beforeAutospacing="0" w:after="0" w:afterAutospacing="0" w:line="500" w:lineRule="exact"/>
        <w:ind w:firstLine="474" w:firstLineChars="200"/>
        <w:jc w:val="both"/>
        <w:rPr>
          <w:rFonts w:hint="default" w:hAnsi="宋体" w:cs="宋体"/>
          <w:b/>
          <w:bCs/>
          <w:color w:val="auto"/>
          <w:kern w:val="2"/>
          <w:szCs w:val="20"/>
          <w:lang w:val="en-US" w:eastAsia="zh-CN" w:bidi="ar"/>
          <w14:ligatures w14:val="standardContextual"/>
        </w:rPr>
      </w:pPr>
      <w:r>
        <w:rPr>
          <w:rFonts w:hint="eastAsia" w:hAnsi="宋体" w:cs="宋体"/>
          <w:b/>
          <w:bCs/>
          <w:color w:val="auto"/>
          <w:kern w:val="2"/>
          <w:szCs w:val="20"/>
          <w:lang w:bidi="ar"/>
          <w14:ligatures w14:val="standardContextual"/>
        </w:rPr>
        <w:t>2.</w:t>
      </w:r>
      <w:r>
        <w:rPr>
          <w:rFonts w:hint="eastAsia" w:hAnsi="宋体" w:cs="宋体"/>
          <w:b/>
          <w:bCs/>
          <w:color w:val="auto"/>
          <w:kern w:val="2"/>
          <w:szCs w:val="20"/>
          <w:lang w:val="en-US" w:eastAsia="zh-CN" w:bidi="ar"/>
          <w14:ligatures w14:val="standardContextual"/>
        </w:rPr>
        <w:t>4地理概况</w:t>
      </w:r>
    </w:p>
    <w:p>
      <w:pPr>
        <w:pStyle w:val="44"/>
        <w:widowControl w:val="0"/>
        <w:spacing w:before="0" w:beforeAutospacing="0" w:after="0" w:afterAutospacing="0" w:line="500" w:lineRule="exact"/>
        <w:ind w:firstLine="474" w:firstLineChars="200"/>
        <w:jc w:val="both"/>
        <w:rPr>
          <w:rFonts w:hint="eastAsia" w:hAnsi="宋体" w:cs="宋体"/>
          <w:color w:val="auto"/>
          <w:kern w:val="2"/>
          <w:szCs w:val="20"/>
          <w:lang w:bidi="ar"/>
          <w14:ligatures w14:val="standardContextual"/>
        </w:rPr>
      </w:pPr>
      <w:r>
        <w:rPr>
          <w:rFonts w:hint="eastAsia" w:hAnsi="宋体" w:cs="宋体"/>
          <w:color w:val="auto"/>
          <w:kern w:val="2"/>
          <w:szCs w:val="20"/>
          <w:lang w:val="en-US" w:eastAsia="zh-CN" w:bidi="ar"/>
          <w14:ligatures w14:val="standardContextual"/>
        </w:rPr>
        <w:t>2.4.1</w:t>
      </w:r>
      <w:r>
        <w:rPr>
          <w:rFonts w:hint="eastAsia" w:hAnsi="宋体" w:cs="宋体"/>
          <w:color w:val="auto"/>
          <w:kern w:val="2"/>
          <w:szCs w:val="20"/>
          <w:lang w:bidi="ar"/>
          <w14:ligatures w14:val="standardContextual"/>
        </w:rPr>
        <w:t>地形地貌</w:t>
      </w:r>
    </w:p>
    <w:p>
      <w:pPr>
        <w:pStyle w:val="44"/>
        <w:widowControl w:val="0"/>
        <w:spacing w:before="0" w:beforeAutospacing="0" w:after="0" w:afterAutospacing="0" w:line="500" w:lineRule="exact"/>
        <w:ind w:firstLine="474" w:firstLineChars="200"/>
        <w:jc w:val="both"/>
        <w:rPr>
          <w:rFonts w:hint="eastAsia" w:hAnsi="宋体" w:cs="宋体"/>
          <w:color w:val="auto"/>
          <w:kern w:val="2"/>
          <w:szCs w:val="20"/>
          <w:lang w:bidi="ar"/>
          <w14:ligatures w14:val="standardContextual"/>
        </w:rPr>
      </w:pPr>
      <w:r>
        <w:rPr>
          <w:rFonts w:hint="eastAsia" w:hAnsi="宋体" w:cs="宋体"/>
          <w:color w:val="auto"/>
          <w:kern w:val="2"/>
          <w:szCs w:val="20"/>
          <w:lang w:bidi="ar"/>
          <w14:ligatures w14:val="standardContextual"/>
        </w:rPr>
        <w:t>本项目地处内蒙古乌审旗境内，鄂尔多斯高原南部剥蚀丘陵区及毛乌素沙漠区。鄂尔多斯高原南部剥蚀丘陵区，丘坡与谷地相间，地形相对平缓，地表大部为风积沙所覆盖。毛乌素沙漠地区人烟稀少，以风积沙丘、沙地和涧滩洼地为主，沙丘相对高差约5～10m，现阶段多为固定、半固定沙丘（地），少量为流动沙丘（地）。</w:t>
      </w:r>
    </w:p>
    <w:p>
      <w:pPr>
        <w:pStyle w:val="44"/>
        <w:widowControl w:val="0"/>
        <w:spacing w:before="0" w:beforeAutospacing="0" w:after="0" w:afterAutospacing="0" w:line="500" w:lineRule="exact"/>
        <w:ind w:firstLine="474" w:firstLineChars="200"/>
        <w:jc w:val="both"/>
        <w:rPr>
          <w:rFonts w:hint="eastAsia" w:hAnsi="宋体" w:cs="宋体"/>
          <w:color w:val="auto"/>
          <w:kern w:val="2"/>
          <w:szCs w:val="20"/>
          <w:lang w:bidi="ar"/>
          <w14:ligatures w14:val="standardContextual"/>
        </w:rPr>
      </w:pPr>
      <w:r>
        <w:rPr>
          <w:rFonts w:hint="eastAsia" w:hAnsi="宋体" w:cs="宋体"/>
          <w:color w:val="auto"/>
          <w:kern w:val="2"/>
          <w:szCs w:val="20"/>
          <w:lang w:val="en-US" w:eastAsia="zh-CN" w:bidi="ar"/>
          <w14:ligatures w14:val="standardContextual"/>
        </w:rPr>
        <w:t>2.4.2</w:t>
      </w:r>
      <w:r>
        <w:rPr>
          <w:rFonts w:hint="eastAsia" w:hAnsi="宋体" w:cs="宋体"/>
          <w:color w:val="auto"/>
          <w:kern w:val="2"/>
          <w:szCs w:val="20"/>
          <w:lang w:bidi="ar"/>
          <w14:ligatures w14:val="standardContextual"/>
        </w:rPr>
        <w:t>工程地质特征</w:t>
      </w:r>
    </w:p>
    <w:p>
      <w:pPr>
        <w:pStyle w:val="44"/>
        <w:widowControl w:val="0"/>
        <w:spacing w:before="0" w:beforeAutospacing="0" w:after="0" w:afterAutospacing="0" w:line="500" w:lineRule="exact"/>
        <w:ind w:firstLine="474" w:firstLineChars="200"/>
        <w:jc w:val="both"/>
        <w:rPr>
          <w:rFonts w:hint="eastAsia" w:hAnsi="宋体" w:cs="宋体"/>
          <w:color w:val="auto"/>
          <w:kern w:val="2"/>
          <w:szCs w:val="20"/>
          <w:lang w:bidi="ar"/>
          <w14:ligatures w14:val="standardContextual"/>
        </w:rPr>
      </w:pPr>
      <w:r>
        <w:rPr>
          <w:rFonts w:hint="eastAsia" w:hAnsi="宋体" w:cs="宋体"/>
          <w:color w:val="auto"/>
          <w:kern w:val="2"/>
          <w:szCs w:val="20"/>
          <w:lang w:bidi="ar"/>
          <w14:ligatures w14:val="standardContextual"/>
        </w:rPr>
        <w:t>本次设计暂参照业主提供的中煤西安设计工程有限责任公司（2018年6月）编制的《中煤鄂尔多斯能源化工有限公司 合成气制年产100万吨甲醇技术改造项目备煤系统岩土工程勘察报告（详勘）》。</w:t>
      </w:r>
    </w:p>
    <w:p>
      <w:pPr>
        <w:pStyle w:val="44"/>
        <w:widowControl w:val="0"/>
        <w:spacing w:before="0" w:beforeAutospacing="0" w:after="0" w:afterAutospacing="0" w:line="500" w:lineRule="exact"/>
        <w:ind w:firstLine="474" w:firstLineChars="200"/>
        <w:jc w:val="both"/>
        <w:rPr>
          <w:rFonts w:hint="eastAsia" w:hAnsi="宋体" w:cs="宋体"/>
          <w:color w:val="auto"/>
          <w:kern w:val="2"/>
          <w:szCs w:val="20"/>
          <w:lang w:bidi="ar"/>
          <w14:ligatures w14:val="standardContextual"/>
        </w:rPr>
      </w:pPr>
      <w:r>
        <w:rPr>
          <w:rFonts w:hint="eastAsia" w:hAnsi="宋体" w:cs="宋体"/>
          <w:color w:val="auto"/>
          <w:kern w:val="2"/>
          <w:szCs w:val="20"/>
          <w:lang w:bidi="ar"/>
          <w14:ligatures w14:val="standardContextual"/>
        </w:rPr>
        <w:t>按其物理力学性质的差异性，共分为5个工程地质层</w:t>
      </w:r>
    </w:p>
    <w:p>
      <w:pPr>
        <w:pStyle w:val="44"/>
        <w:widowControl w:val="0"/>
        <w:spacing w:before="0" w:beforeAutospacing="0" w:after="0" w:afterAutospacing="0" w:line="500" w:lineRule="exact"/>
        <w:ind w:firstLine="474" w:firstLineChars="200"/>
        <w:jc w:val="both"/>
        <w:rPr>
          <w:rFonts w:hint="eastAsia" w:hAnsi="宋体" w:cs="宋体"/>
          <w:color w:val="auto"/>
          <w:kern w:val="2"/>
          <w:szCs w:val="20"/>
          <w:lang w:bidi="ar"/>
          <w14:ligatures w14:val="standardContextual"/>
        </w:rPr>
      </w:pPr>
      <w:r>
        <w:rPr>
          <w:rFonts w:hint="eastAsia" w:hAnsi="宋体" w:cs="宋体"/>
          <w:color w:val="auto"/>
          <w:kern w:val="2"/>
          <w:szCs w:val="20"/>
          <w:lang w:bidi="ar"/>
          <w14:ligatures w14:val="standardContextual"/>
        </w:rPr>
        <w:t>①杂填土：杂填土：杂色，松散~稍密，稍湿，土质不均匀，主要由煤矸石、建筑垃圾回填而成。在场地局部分布。</w:t>
      </w:r>
    </w:p>
    <w:p>
      <w:pPr>
        <w:pStyle w:val="44"/>
        <w:widowControl w:val="0"/>
        <w:spacing w:before="0" w:beforeAutospacing="0" w:after="0" w:afterAutospacing="0" w:line="500" w:lineRule="exact"/>
        <w:ind w:firstLine="474" w:firstLineChars="200"/>
        <w:jc w:val="both"/>
        <w:rPr>
          <w:rFonts w:hint="eastAsia" w:hAnsi="宋体" w:cs="宋体"/>
          <w:color w:val="auto"/>
          <w:kern w:val="2"/>
          <w:szCs w:val="20"/>
          <w:lang w:bidi="ar"/>
          <w14:ligatures w14:val="standardContextual"/>
        </w:rPr>
      </w:pPr>
      <w:r>
        <w:rPr>
          <w:rFonts w:hint="eastAsia" w:hAnsi="宋体" w:cs="宋体"/>
          <w:color w:val="auto"/>
          <w:kern w:val="2"/>
          <w:szCs w:val="20"/>
          <w:lang w:bidi="ar"/>
          <w14:ligatures w14:val="standardContextual"/>
        </w:rPr>
        <w:t>②素填土：浅黄色，松散~稍密，稍湿，土质不均匀，主要由粉细砂回填而成。在场地局部分布。</w:t>
      </w:r>
    </w:p>
    <w:p>
      <w:pPr>
        <w:pStyle w:val="44"/>
        <w:widowControl w:val="0"/>
        <w:spacing w:before="0" w:beforeAutospacing="0" w:after="0" w:afterAutospacing="0" w:line="500" w:lineRule="exact"/>
        <w:ind w:firstLine="474" w:firstLineChars="200"/>
        <w:jc w:val="both"/>
        <w:rPr>
          <w:rFonts w:hint="eastAsia" w:hAnsi="宋体" w:cs="宋体"/>
          <w:color w:val="auto"/>
          <w:kern w:val="2"/>
          <w:szCs w:val="20"/>
          <w:lang w:bidi="ar"/>
          <w14:ligatures w14:val="standardContextual"/>
        </w:rPr>
      </w:pPr>
      <w:r>
        <w:rPr>
          <w:rFonts w:hint="eastAsia" w:hAnsi="宋体" w:cs="宋体"/>
          <w:color w:val="auto"/>
          <w:kern w:val="2"/>
          <w:szCs w:val="20"/>
          <w:lang w:bidi="ar"/>
          <w14:ligatures w14:val="standardContextual"/>
        </w:rPr>
        <w:t>③细砂：浅黄色，稍湿，稍密。矿物成分以石英、长石为主，含少量云母，分选性好，级配不良，实测标贯平均击数13击，场地内普遍分布。</w:t>
      </w:r>
    </w:p>
    <w:p>
      <w:pPr>
        <w:pStyle w:val="44"/>
        <w:widowControl w:val="0"/>
        <w:spacing w:before="0" w:beforeAutospacing="0" w:after="0" w:afterAutospacing="0" w:line="500" w:lineRule="exact"/>
        <w:ind w:firstLine="474" w:firstLineChars="200"/>
        <w:jc w:val="both"/>
        <w:rPr>
          <w:rFonts w:hint="eastAsia" w:hAnsi="宋体" w:cs="宋体"/>
          <w:color w:val="auto"/>
          <w:kern w:val="2"/>
          <w:szCs w:val="20"/>
          <w:lang w:bidi="ar"/>
          <w14:ligatures w14:val="standardContextual"/>
        </w:rPr>
      </w:pPr>
      <w:r>
        <w:rPr>
          <w:rFonts w:hint="eastAsia" w:hAnsi="宋体" w:cs="宋体"/>
          <w:color w:val="auto"/>
          <w:kern w:val="2"/>
          <w:szCs w:val="20"/>
          <w:lang w:bidi="ar"/>
          <w14:ligatures w14:val="standardContextual"/>
        </w:rPr>
        <w:t>④强风化砂岩：棕红色，砂质结构，层状构造，手摸有砂感，节理裂隙强烈发育，岩芯呈碎块状和薄饼状，锤击易断，成分以长石、石英为主。场地内普遍分布。</w:t>
      </w:r>
    </w:p>
    <w:p>
      <w:pPr>
        <w:pStyle w:val="44"/>
        <w:widowControl w:val="0"/>
        <w:spacing w:before="0" w:beforeAutospacing="0" w:after="0" w:afterAutospacing="0" w:line="500" w:lineRule="exact"/>
        <w:ind w:firstLine="474" w:firstLineChars="200"/>
        <w:jc w:val="both"/>
        <w:rPr>
          <w:rFonts w:hint="eastAsia" w:hAnsi="宋体" w:cs="宋体"/>
          <w:color w:val="auto"/>
          <w:kern w:val="2"/>
          <w:szCs w:val="20"/>
          <w:lang w:bidi="ar"/>
          <w14:ligatures w14:val="standardContextual"/>
        </w:rPr>
      </w:pPr>
      <w:r>
        <w:rPr>
          <w:rFonts w:hint="eastAsia" w:hAnsi="宋体" w:cs="宋体"/>
          <w:color w:val="auto"/>
          <w:kern w:val="2"/>
          <w:szCs w:val="20"/>
          <w:lang w:bidi="ar"/>
          <w14:ligatures w14:val="standardContextual"/>
        </w:rPr>
        <w:t>⑤中风化砂岩：棕红色，砂质结构，层状构造，手摸有砂感，节理裂隙发育，岩芯呈碎块状和短柱状，锤击易断，成分以长石、石英为主。地内普遍分布。</w:t>
      </w:r>
    </w:p>
    <w:p>
      <w:pPr>
        <w:pStyle w:val="44"/>
        <w:widowControl w:val="0"/>
        <w:spacing w:before="0" w:beforeAutospacing="0" w:after="0" w:afterAutospacing="0" w:line="500" w:lineRule="exact"/>
        <w:ind w:firstLine="474" w:firstLineChars="200"/>
        <w:jc w:val="both"/>
        <w:rPr>
          <w:rFonts w:hint="eastAsia" w:hAnsi="宋体" w:cs="宋体"/>
          <w:color w:val="auto"/>
          <w:kern w:val="2"/>
          <w:szCs w:val="20"/>
          <w:lang w:bidi="ar"/>
          <w14:ligatures w14:val="standardContextual"/>
        </w:rPr>
      </w:pPr>
      <w:r>
        <w:rPr>
          <w:rFonts w:hint="eastAsia" w:hAnsi="宋体" w:cs="宋体"/>
          <w:color w:val="auto"/>
          <w:kern w:val="2"/>
          <w:szCs w:val="20"/>
          <w:lang w:bidi="ar"/>
          <w14:ligatures w14:val="standardContextual"/>
        </w:rPr>
        <w:t>地基土承载力特征值及压缩模量建议值见表2-1。</w:t>
      </w:r>
    </w:p>
    <w:p>
      <w:pPr>
        <w:pStyle w:val="44"/>
        <w:widowControl w:val="0"/>
        <w:spacing w:before="0" w:beforeAutospacing="0" w:after="0" w:afterAutospacing="0" w:line="500" w:lineRule="exact"/>
        <w:ind w:firstLine="474" w:firstLineChars="200"/>
        <w:jc w:val="both"/>
        <w:rPr>
          <w:rFonts w:hint="eastAsia" w:hAnsi="宋体" w:cs="宋体"/>
          <w:color w:val="auto"/>
          <w:kern w:val="2"/>
          <w:szCs w:val="20"/>
          <w:lang w:bidi="ar"/>
          <w14:ligatures w14:val="standardContextual"/>
        </w:rPr>
      </w:pPr>
      <w:r>
        <w:rPr>
          <w:rFonts w:hint="eastAsia" w:hAnsi="宋体" w:cs="宋体"/>
          <w:color w:val="auto"/>
          <w:kern w:val="2"/>
          <w:szCs w:val="20"/>
          <w:lang w:bidi="ar"/>
          <w14:ligatures w14:val="standardContextual"/>
        </w:rPr>
        <w:t>表2-1             地基土承载力特征值及压缩模量建议值</w:t>
      </w:r>
    </w:p>
    <w:tbl>
      <w:tblPr>
        <w:tblStyle w:val="50"/>
        <w:tblW w:w="9287"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463"/>
        <w:gridCol w:w="2062"/>
        <w:gridCol w:w="1999"/>
        <w:gridCol w:w="276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jc w:val="center"/>
        </w:trPr>
        <w:tc>
          <w:tcPr>
            <w:tcW w:w="2463" w:type="dxa"/>
            <w:tcBorders>
              <w:top w:val="single" w:color="auto" w:sz="12" w:space="0"/>
              <w:left w:val="single" w:color="auto" w:sz="12" w:space="0"/>
              <w:bottom w:val="single" w:color="auto" w:sz="4" w:space="0"/>
              <w:right w:val="single" w:color="auto" w:sz="4" w:space="0"/>
            </w:tcBorders>
            <w:shd w:val="clear" w:color="auto" w:fill="auto"/>
            <w:vAlign w:val="center"/>
          </w:tcPr>
          <w:p>
            <w:pPr>
              <w:widowControl/>
              <w:jc w:val="center"/>
              <w:rPr>
                <w:rFonts w:hint="eastAsia" w:ascii="宋体" w:hAnsi="宋体" w:eastAsia="宋体"/>
                <w:color w:val="auto"/>
                <w:kern w:val="0"/>
                <w:sz w:val="21"/>
                <w:szCs w:val="21"/>
                <w14:ligatures w14:val="none"/>
              </w:rPr>
            </w:pPr>
            <w:r>
              <w:rPr>
                <w:rFonts w:hint="eastAsia" w:ascii="宋体" w:hAnsi="宋体" w:eastAsia="宋体"/>
                <w:color w:val="auto"/>
                <w:kern w:val="0"/>
                <w:sz w:val="21"/>
                <w:szCs w:val="21"/>
                <w14:ligatures w14:val="none"/>
              </w:rPr>
              <w:t>层号</w:t>
            </w:r>
          </w:p>
        </w:tc>
        <w:tc>
          <w:tcPr>
            <w:tcW w:w="2062" w:type="dxa"/>
            <w:tcBorders>
              <w:top w:val="single" w:color="auto" w:sz="12"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olor w:val="auto"/>
                <w:kern w:val="0"/>
                <w:sz w:val="21"/>
                <w:szCs w:val="21"/>
                <w14:ligatures w14:val="none"/>
              </w:rPr>
            </w:pPr>
            <w:r>
              <w:rPr>
                <w:rFonts w:hint="eastAsia" w:ascii="宋体" w:hAnsi="宋体" w:eastAsia="宋体"/>
                <w:color w:val="auto"/>
                <w:kern w:val="0"/>
                <w:sz w:val="21"/>
                <w:szCs w:val="21"/>
                <w14:ligatures w14:val="none"/>
              </w:rPr>
              <w:t>③</w:t>
            </w:r>
          </w:p>
        </w:tc>
        <w:tc>
          <w:tcPr>
            <w:tcW w:w="1999" w:type="dxa"/>
            <w:tcBorders>
              <w:top w:val="single" w:color="auto" w:sz="12"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olor w:val="auto"/>
                <w:kern w:val="0"/>
                <w:sz w:val="21"/>
                <w:szCs w:val="21"/>
                <w14:ligatures w14:val="none"/>
              </w:rPr>
            </w:pPr>
            <w:r>
              <w:rPr>
                <w:rFonts w:hint="eastAsia" w:ascii="宋体" w:hAnsi="宋体" w:eastAsia="宋体"/>
                <w:color w:val="auto"/>
                <w:kern w:val="0"/>
                <w:sz w:val="21"/>
                <w:szCs w:val="21"/>
                <w14:ligatures w14:val="none"/>
              </w:rPr>
              <w:t>④</w:t>
            </w:r>
          </w:p>
        </w:tc>
        <w:tc>
          <w:tcPr>
            <w:tcW w:w="2763" w:type="dxa"/>
            <w:tcBorders>
              <w:top w:val="single" w:color="auto" w:sz="12" w:space="0"/>
              <w:left w:val="single" w:color="auto" w:sz="4" w:space="0"/>
              <w:bottom w:val="single" w:color="auto" w:sz="4" w:space="0"/>
              <w:right w:val="single" w:color="auto" w:sz="12" w:space="0"/>
            </w:tcBorders>
            <w:shd w:val="clear" w:color="auto" w:fill="auto"/>
            <w:vAlign w:val="center"/>
          </w:tcPr>
          <w:p>
            <w:pPr>
              <w:widowControl/>
              <w:jc w:val="center"/>
              <w:rPr>
                <w:rFonts w:hint="eastAsia" w:ascii="宋体" w:hAnsi="宋体" w:eastAsia="宋体"/>
                <w:color w:val="auto"/>
                <w:kern w:val="0"/>
                <w:sz w:val="21"/>
                <w:szCs w:val="21"/>
                <w14:ligatures w14:val="none"/>
              </w:rPr>
            </w:pPr>
            <w:r>
              <w:rPr>
                <w:rFonts w:hint="eastAsia" w:ascii="宋体" w:hAnsi="宋体" w:eastAsia="宋体"/>
                <w:color w:val="auto"/>
                <w:kern w:val="0"/>
                <w:sz w:val="21"/>
                <w:szCs w:val="21"/>
                <w14:ligatures w14:val="none"/>
              </w:rPr>
              <w:t>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2463"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rPr>
                <w:rFonts w:hint="eastAsia" w:ascii="宋体" w:hAnsi="宋体" w:eastAsia="宋体"/>
                <w:color w:val="auto"/>
                <w:kern w:val="0"/>
                <w:sz w:val="21"/>
                <w:szCs w:val="21"/>
                <w14:ligatures w14:val="none"/>
              </w:rPr>
            </w:pPr>
            <w:r>
              <w:rPr>
                <w:rFonts w:hint="eastAsia" w:ascii="宋体" w:hAnsi="宋体" w:eastAsia="宋体"/>
                <w:color w:val="auto"/>
                <w:kern w:val="0"/>
                <w:sz w:val="21"/>
                <w:szCs w:val="21"/>
                <w14:ligatures w14:val="none"/>
              </w:rPr>
              <w:t>岩土名称</w:t>
            </w:r>
          </w:p>
        </w:tc>
        <w:tc>
          <w:tcPr>
            <w:tcW w:w="20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olor w:val="auto"/>
                <w:kern w:val="0"/>
                <w:sz w:val="21"/>
                <w:szCs w:val="21"/>
                <w14:ligatures w14:val="none"/>
              </w:rPr>
            </w:pPr>
            <w:r>
              <w:rPr>
                <w:rFonts w:hint="eastAsia" w:ascii="宋体" w:hAnsi="宋体" w:eastAsia="宋体"/>
                <w:color w:val="auto"/>
                <w:kern w:val="0"/>
                <w:sz w:val="21"/>
                <w:szCs w:val="21"/>
                <w14:ligatures w14:val="none"/>
              </w:rPr>
              <w:t>细砂</w:t>
            </w:r>
          </w:p>
        </w:tc>
        <w:tc>
          <w:tcPr>
            <w:tcW w:w="19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olor w:val="auto"/>
                <w:kern w:val="0"/>
                <w:sz w:val="21"/>
                <w:szCs w:val="21"/>
                <w14:ligatures w14:val="none"/>
              </w:rPr>
            </w:pPr>
            <w:r>
              <w:rPr>
                <w:rFonts w:hint="eastAsia" w:ascii="宋体" w:hAnsi="宋体" w:eastAsia="宋体"/>
                <w:color w:val="auto"/>
                <w:kern w:val="0"/>
                <w:sz w:val="21"/>
                <w:szCs w:val="21"/>
                <w14:ligatures w14:val="none"/>
              </w:rPr>
              <w:t>强风化砂岩</w:t>
            </w:r>
          </w:p>
        </w:tc>
        <w:tc>
          <w:tcPr>
            <w:tcW w:w="2763"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center"/>
              <w:rPr>
                <w:rFonts w:hint="eastAsia" w:ascii="宋体" w:hAnsi="宋体" w:eastAsia="宋体"/>
                <w:color w:val="auto"/>
                <w:kern w:val="0"/>
                <w:sz w:val="21"/>
                <w:szCs w:val="21"/>
                <w14:ligatures w14:val="none"/>
              </w:rPr>
            </w:pPr>
            <w:r>
              <w:rPr>
                <w:rFonts w:hint="eastAsia" w:ascii="宋体" w:hAnsi="宋体" w:eastAsia="宋体"/>
                <w:color w:val="auto"/>
                <w:kern w:val="0"/>
                <w:sz w:val="21"/>
                <w:szCs w:val="21"/>
                <w14:ligatures w14:val="none"/>
              </w:rPr>
              <w:t>中风化砂岩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2463"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rPr>
                <w:rFonts w:hint="eastAsia" w:ascii="宋体" w:hAnsi="宋体" w:eastAsia="宋体"/>
                <w:color w:val="auto"/>
                <w:kern w:val="0"/>
                <w:sz w:val="21"/>
                <w:szCs w:val="21"/>
                <w14:ligatures w14:val="none"/>
              </w:rPr>
            </w:pPr>
            <w:r>
              <w:rPr>
                <w:rFonts w:hint="eastAsia" w:ascii="宋体" w:hAnsi="宋体" w:eastAsia="宋体"/>
                <w:color w:val="auto"/>
                <w:kern w:val="0"/>
                <w:sz w:val="21"/>
                <w:szCs w:val="21"/>
                <w14:ligatures w14:val="none"/>
              </w:rPr>
              <w:t>fak(kPa)</w:t>
            </w:r>
          </w:p>
        </w:tc>
        <w:tc>
          <w:tcPr>
            <w:tcW w:w="20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olor w:val="auto"/>
                <w:kern w:val="0"/>
                <w:sz w:val="21"/>
                <w:szCs w:val="21"/>
                <w14:ligatures w14:val="none"/>
              </w:rPr>
            </w:pPr>
            <w:r>
              <w:rPr>
                <w:rFonts w:hint="eastAsia" w:ascii="宋体" w:hAnsi="宋体" w:eastAsia="宋体"/>
                <w:color w:val="auto"/>
                <w:kern w:val="0"/>
                <w:sz w:val="21"/>
                <w:szCs w:val="21"/>
                <w14:ligatures w14:val="none"/>
              </w:rPr>
              <w:t>120</w:t>
            </w:r>
          </w:p>
        </w:tc>
        <w:tc>
          <w:tcPr>
            <w:tcW w:w="19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olor w:val="auto"/>
                <w:kern w:val="0"/>
                <w:sz w:val="21"/>
                <w:szCs w:val="21"/>
                <w14:ligatures w14:val="none"/>
              </w:rPr>
            </w:pPr>
            <w:r>
              <w:rPr>
                <w:rFonts w:hint="eastAsia" w:ascii="宋体" w:hAnsi="宋体" w:eastAsia="宋体"/>
                <w:color w:val="auto"/>
                <w:kern w:val="0"/>
                <w:sz w:val="21"/>
                <w:szCs w:val="21"/>
                <w14:ligatures w14:val="none"/>
              </w:rPr>
              <w:t>400</w:t>
            </w:r>
          </w:p>
        </w:tc>
        <w:tc>
          <w:tcPr>
            <w:tcW w:w="2763"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center"/>
              <w:rPr>
                <w:rFonts w:hint="eastAsia" w:ascii="宋体" w:hAnsi="宋体" w:eastAsia="宋体"/>
                <w:color w:val="auto"/>
                <w:kern w:val="0"/>
                <w:sz w:val="21"/>
                <w:szCs w:val="21"/>
                <w14:ligatures w14:val="none"/>
              </w:rPr>
            </w:pPr>
            <w:r>
              <w:rPr>
                <w:rFonts w:hint="eastAsia" w:ascii="宋体" w:hAnsi="宋体" w:eastAsia="宋体"/>
                <w:color w:val="auto"/>
                <w:kern w:val="0"/>
                <w:sz w:val="21"/>
                <w:szCs w:val="21"/>
                <w14:ligatures w14:val="none"/>
              </w:rPr>
              <w:t>480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11" w:hRule="atLeast"/>
          <w:jc w:val="center"/>
        </w:trPr>
        <w:tc>
          <w:tcPr>
            <w:tcW w:w="2463" w:type="dxa"/>
            <w:tcBorders>
              <w:top w:val="single" w:color="auto" w:sz="4" w:space="0"/>
              <w:left w:val="single" w:color="auto" w:sz="12" w:space="0"/>
              <w:bottom w:val="single" w:color="auto" w:sz="12" w:space="0"/>
              <w:right w:val="single" w:color="auto" w:sz="4" w:space="0"/>
            </w:tcBorders>
            <w:shd w:val="clear" w:color="auto" w:fill="auto"/>
            <w:vAlign w:val="center"/>
          </w:tcPr>
          <w:p>
            <w:pPr>
              <w:widowControl/>
              <w:jc w:val="center"/>
              <w:rPr>
                <w:rFonts w:hint="eastAsia" w:ascii="宋体" w:hAnsi="宋体" w:eastAsia="宋体"/>
                <w:color w:val="auto"/>
                <w:kern w:val="0"/>
                <w:sz w:val="21"/>
                <w:szCs w:val="21"/>
                <w14:ligatures w14:val="none"/>
              </w:rPr>
            </w:pPr>
            <w:r>
              <w:rPr>
                <w:rFonts w:hint="eastAsia" w:ascii="宋体" w:hAnsi="宋体" w:eastAsia="宋体"/>
                <w:color w:val="auto"/>
                <w:kern w:val="0"/>
                <w:sz w:val="21"/>
                <w:szCs w:val="21"/>
                <w14:ligatures w14:val="none"/>
              </w:rPr>
              <w:t>Es(MPa)</w:t>
            </w:r>
          </w:p>
        </w:tc>
        <w:tc>
          <w:tcPr>
            <w:tcW w:w="2062" w:type="dxa"/>
            <w:tcBorders>
              <w:top w:val="single" w:color="auto" w:sz="4" w:space="0"/>
              <w:left w:val="single" w:color="auto" w:sz="4" w:space="0"/>
              <w:bottom w:val="single" w:color="auto" w:sz="12" w:space="0"/>
              <w:right w:val="single" w:color="auto" w:sz="4" w:space="0"/>
            </w:tcBorders>
            <w:shd w:val="clear" w:color="auto" w:fill="auto"/>
            <w:vAlign w:val="center"/>
          </w:tcPr>
          <w:p>
            <w:pPr>
              <w:widowControl/>
              <w:jc w:val="center"/>
              <w:rPr>
                <w:rFonts w:hint="eastAsia" w:ascii="宋体" w:hAnsi="宋体" w:eastAsia="宋体"/>
                <w:color w:val="auto"/>
                <w:kern w:val="0"/>
                <w:sz w:val="21"/>
                <w:szCs w:val="21"/>
                <w14:ligatures w14:val="none"/>
              </w:rPr>
            </w:pPr>
            <w:r>
              <w:rPr>
                <w:rFonts w:hint="eastAsia" w:ascii="宋体" w:hAnsi="宋体" w:eastAsia="宋体"/>
                <w:color w:val="auto"/>
                <w:kern w:val="0"/>
                <w:sz w:val="21"/>
                <w:szCs w:val="21"/>
                <w14:ligatures w14:val="none"/>
              </w:rPr>
              <w:t>5.0</w:t>
            </w:r>
          </w:p>
        </w:tc>
        <w:tc>
          <w:tcPr>
            <w:tcW w:w="1999" w:type="dxa"/>
            <w:tcBorders>
              <w:top w:val="single" w:color="auto" w:sz="4" w:space="0"/>
              <w:left w:val="single" w:color="auto" w:sz="4" w:space="0"/>
              <w:bottom w:val="single" w:color="auto" w:sz="12" w:space="0"/>
              <w:right w:val="single" w:color="auto" w:sz="4" w:space="0"/>
            </w:tcBorders>
            <w:shd w:val="clear" w:color="auto" w:fill="auto"/>
            <w:vAlign w:val="center"/>
          </w:tcPr>
          <w:p>
            <w:pPr>
              <w:widowControl/>
              <w:jc w:val="center"/>
              <w:rPr>
                <w:rFonts w:hint="eastAsia" w:ascii="宋体" w:hAnsi="宋体" w:eastAsia="宋体"/>
                <w:color w:val="auto"/>
                <w:kern w:val="0"/>
                <w:sz w:val="21"/>
                <w:szCs w:val="21"/>
                <w14:ligatures w14:val="none"/>
              </w:rPr>
            </w:pPr>
            <w:r>
              <w:rPr>
                <w:rFonts w:hint="eastAsia" w:ascii="宋体" w:hAnsi="宋体" w:eastAsia="宋体"/>
                <w:color w:val="auto"/>
                <w:kern w:val="0"/>
                <w:sz w:val="21"/>
                <w:szCs w:val="21"/>
                <w14:ligatures w14:val="none"/>
              </w:rPr>
              <w:t>21.0</w:t>
            </w:r>
          </w:p>
        </w:tc>
        <w:tc>
          <w:tcPr>
            <w:tcW w:w="2763" w:type="dxa"/>
            <w:tcBorders>
              <w:top w:val="single" w:color="auto" w:sz="4" w:space="0"/>
              <w:left w:val="single" w:color="auto" w:sz="4" w:space="0"/>
              <w:bottom w:val="single" w:color="auto" w:sz="12" w:space="0"/>
              <w:right w:val="single" w:color="auto" w:sz="12" w:space="0"/>
            </w:tcBorders>
            <w:shd w:val="clear" w:color="auto" w:fill="auto"/>
            <w:vAlign w:val="center"/>
          </w:tcPr>
          <w:p>
            <w:pPr>
              <w:widowControl/>
              <w:jc w:val="center"/>
              <w:rPr>
                <w:rFonts w:hint="eastAsia" w:ascii="宋体" w:hAnsi="宋体" w:eastAsia="宋体"/>
                <w:color w:val="auto"/>
                <w:kern w:val="0"/>
                <w:sz w:val="21"/>
                <w:szCs w:val="21"/>
                <w14:ligatures w14:val="none"/>
              </w:rPr>
            </w:pPr>
            <w:r>
              <w:rPr>
                <w:rFonts w:hint="eastAsia" w:ascii="宋体" w:hAnsi="宋体" w:eastAsia="宋体"/>
                <w:color w:val="auto"/>
                <w:kern w:val="0"/>
                <w:sz w:val="21"/>
                <w:szCs w:val="21"/>
                <w14:ligatures w14:val="none"/>
              </w:rPr>
              <w:t>30.0</w:t>
            </w:r>
          </w:p>
        </w:tc>
      </w:tr>
    </w:tbl>
    <w:p>
      <w:pPr>
        <w:pStyle w:val="44"/>
        <w:widowControl w:val="0"/>
        <w:spacing w:before="0" w:beforeAutospacing="0" w:after="0" w:afterAutospacing="0" w:line="500" w:lineRule="exact"/>
        <w:ind w:firstLine="474" w:firstLineChars="200"/>
        <w:jc w:val="both"/>
        <w:rPr>
          <w:rFonts w:hint="eastAsia" w:hAnsi="宋体" w:cs="宋体"/>
          <w:color w:val="auto"/>
          <w:kern w:val="2"/>
          <w:szCs w:val="20"/>
          <w:lang w:bidi="ar"/>
          <w14:ligatures w14:val="standardContextual"/>
        </w:rPr>
      </w:pPr>
      <w:r>
        <w:rPr>
          <w:rFonts w:hint="eastAsia" w:hAnsi="宋体" w:cs="宋体"/>
          <w:color w:val="auto"/>
          <w:kern w:val="2"/>
          <w:szCs w:val="20"/>
          <w:lang w:val="en-US" w:eastAsia="zh-CN" w:bidi="ar"/>
          <w14:ligatures w14:val="standardContextual"/>
        </w:rPr>
        <w:t>2.4.3</w:t>
      </w:r>
      <w:r>
        <w:rPr>
          <w:rFonts w:hint="eastAsia" w:hAnsi="宋体" w:cs="宋体"/>
          <w:color w:val="auto"/>
          <w:kern w:val="2"/>
          <w:szCs w:val="20"/>
          <w:lang w:bidi="ar"/>
          <w14:ligatures w14:val="standardContextual"/>
        </w:rPr>
        <w:t>水文地质特征</w:t>
      </w:r>
    </w:p>
    <w:p>
      <w:pPr>
        <w:pStyle w:val="44"/>
        <w:widowControl w:val="0"/>
        <w:spacing w:before="0" w:beforeAutospacing="0" w:after="0" w:afterAutospacing="0" w:line="500" w:lineRule="exact"/>
        <w:ind w:firstLine="474" w:firstLineChars="200"/>
        <w:jc w:val="both"/>
        <w:rPr>
          <w:rFonts w:hint="eastAsia" w:hAnsi="宋体" w:cs="宋体"/>
          <w:color w:val="auto"/>
          <w:kern w:val="2"/>
          <w:szCs w:val="20"/>
          <w:lang w:bidi="ar"/>
          <w14:ligatures w14:val="standardContextual"/>
        </w:rPr>
      </w:pPr>
      <w:r>
        <w:rPr>
          <w:rFonts w:hint="eastAsia" w:hAnsi="宋体" w:cs="宋体"/>
          <w:color w:val="auto"/>
          <w:kern w:val="2"/>
          <w:szCs w:val="20"/>
          <w:lang w:bidi="ar"/>
          <w14:ligatures w14:val="standardContextual"/>
        </w:rPr>
        <w:t>地表水系不发育，仅在部分地势低洼地段分布，在雨季存在季节性积水，呈小型泥淖状零星分布。区内地下水主要补给来源为大气降水，主要类型有第四系松散层孔隙水、碎屑岩类基岩裂隙水。水质一般对普通混凝土无侵蚀性。</w:t>
      </w:r>
    </w:p>
    <w:p>
      <w:pPr>
        <w:pStyle w:val="44"/>
        <w:widowControl w:val="0"/>
        <w:spacing w:before="0" w:beforeAutospacing="0" w:after="0" w:afterAutospacing="0" w:line="500" w:lineRule="exact"/>
        <w:ind w:firstLine="474" w:firstLineChars="200"/>
        <w:jc w:val="both"/>
        <w:rPr>
          <w:rFonts w:hint="eastAsia" w:hAnsi="宋体" w:cs="宋体"/>
          <w:color w:val="auto"/>
          <w:kern w:val="2"/>
          <w:szCs w:val="20"/>
          <w:lang w:bidi="ar"/>
          <w14:ligatures w14:val="standardContextual"/>
        </w:rPr>
      </w:pPr>
      <w:r>
        <w:rPr>
          <w:rFonts w:hint="eastAsia" w:hAnsi="宋体" w:cs="宋体"/>
          <w:color w:val="auto"/>
          <w:kern w:val="2"/>
          <w:szCs w:val="20"/>
          <w:lang w:val="en-US" w:eastAsia="zh-CN" w:bidi="ar"/>
          <w14:ligatures w14:val="standardContextual"/>
        </w:rPr>
        <w:t>2.4.4</w:t>
      </w:r>
      <w:r>
        <w:rPr>
          <w:rFonts w:hint="eastAsia" w:hAnsi="宋体" w:cs="宋体"/>
          <w:color w:val="auto"/>
          <w:kern w:val="2"/>
          <w:szCs w:val="20"/>
          <w:lang w:bidi="ar"/>
          <w14:ligatures w14:val="standardContextual"/>
        </w:rPr>
        <w:t>气象</w:t>
      </w:r>
    </w:p>
    <w:p>
      <w:pPr>
        <w:pStyle w:val="44"/>
        <w:widowControl w:val="0"/>
        <w:spacing w:before="0" w:beforeAutospacing="0" w:after="0" w:afterAutospacing="0" w:line="500" w:lineRule="exact"/>
        <w:ind w:firstLine="474" w:firstLineChars="200"/>
        <w:jc w:val="both"/>
        <w:rPr>
          <w:rFonts w:hint="eastAsia" w:hAnsi="宋体" w:cs="宋体"/>
          <w:color w:val="auto"/>
          <w:kern w:val="2"/>
          <w:szCs w:val="20"/>
          <w:lang w:bidi="ar"/>
          <w14:ligatures w14:val="standardContextual"/>
        </w:rPr>
      </w:pPr>
      <w:r>
        <w:rPr>
          <w:rFonts w:hint="eastAsia" w:hAnsi="宋体" w:cs="宋体"/>
          <w:color w:val="auto"/>
          <w:kern w:val="2"/>
          <w:szCs w:val="20"/>
          <w:lang w:bidi="ar"/>
          <w14:ligatures w14:val="standardContextual"/>
        </w:rPr>
        <w:t>本区内气候特征属于干旱的温带高原大陆性沙漠气候，太阳辐射强烈，日照丰富，干燥少雨，风大沙多，无霜期短。冬季漫长寒冷，夏季炎热短暂，春季回暖升温快，秋季气温下降显著。</w:t>
      </w:r>
    </w:p>
    <w:p>
      <w:pPr>
        <w:pStyle w:val="44"/>
        <w:widowControl w:val="0"/>
        <w:spacing w:before="0" w:beforeAutospacing="0" w:after="0" w:afterAutospacing="0" w:line="500" w:lineRule="exact"/>
        <w:ind w:firstLine="474" w:firstLineChars="200"/>
        <w:jc w:val="both"/>
        <w:rPr>
          <w:rFonts w:hint="eastAsia" w:hAnsi="宋体" w:cs="宋体"/>
          <w:color w:val="auto"/>
          <w:kern w:val="2"/>
          <w:szCs w:val="20"/>
          <w:lang w:bidi="ar"/>
          <w14:ligatures w14:val="standardContextual"/>
        </w:rPr>
      </w:pPr>
      <w:r>
        <w:rPr>
          <w:rFonts w:hint="eastAsia" w:hAnsi="宋体" w:cs="宋体"/>
          <w:color w:val="auto"/>
          <w:kern w:val="2"/>
          <w:szCs w:val="20"/>
          <w:lang w:bidi="ar"/>
          <w14:ligatures w14:val="standardContextual"/>
        </w:rPr>
        <w:t>根据鄂尔多斯市乌审旗气象台历年资料：当地最高气温+36.6℃,最低气温为-30.1℃，年平均气温8.7℃；年降水量为194.7～531.6mm，平均为396.0mm，且多集中于7、8、9三个月内；年蒸发量为2297.4～2833.7mm，平均为2534.2mm，年蒸发量为年降水量的5～12倍，平均6倍多。区内风多雨少，最大风速为28.7m/s，一般风速2.3～5.2m/s，且以西北风为主，基本风压值为0.5kN/m</w:t>
      </w:r>
      <w:r>
        <w:rPr>
          <w:rFonts w:hint="eastAsia" w:hAnsi="宋体" w:cs="宋体"/>
          <w:color w:val="auto"/>
          <w:kern w:val="2"/>
          <w:szCs w:val="20"/>
          <w:vertAlign w:val="superscript"/>
          <w:lang w:bidi="ar"/>
          <w14:ligatures w14:val="standardContextual"/>
        </w:rPr>
        <w:t>2</w:t>
      </w:r>
      <w:r>
        <w:rPr>
          <w:rFonts w:hint="eastAsia" w:hAnsi="宋体" w:cs="宋体"/>
          <w:color w:val="auto"/>
          <w:kern w:val="2"/>
          <w:szCs w:val="20"/>
          <w:lang w:bidi="ar"/>
          <w14:ligatures w14:val="standardContextual"/>
        </w:rPr>
        <w:t>。冻结期一般从10月份开始至次年4月份，最大冻土深度为1.71m，最大沙尘暴日为50d/a，基本雪压值为0.35kN/m</w:t>
      </w:r>
      <w:r>
        <w:rPr>
          <w:rFonts w:hint="eastAsia" w:hAnsi="宋体" w:cs="宋体"/>
          <w:color w:val="auto"/>
          <w:kern w:val="2"/>
          <w:szCs w:val="20"/>
          <w:vertAlign w:val="superscript"/>
          <w:lang w:bidi="ar"/>
          <w14:ligatures w14:val="standardContextual"/>
        </w:rPr>
        <w:t>2</w:t>
      </w:r>
      <w:r>
        <w:rPr>
          <w:rFonts w:hint="eastAsia" w:hAnsi="宋体" w:cs="宋体"/>
          <w:color w:val="auto"/>
          <w:kern w:val="2"/>
          <w:szCs w:val="20"/>
          <w:lang w:bidi="ar"/>
          <w14:ligatures w14:val="standardContextual"/>
        </w:rPr>
        <w:t>。年平均干燥度为6.40，年平均潮湿系数为0.16。</w:t>
      </w:r>
    </w:p>
    <w:p>
      <w:pPr>
        <w:pStyle w:val="44"/>
        <w:widowControl w:val="0"/>
        <w:spacing w:before="0" w:beforeAutospacing="0" w:after="0" w:afterAutospacing="0" w:line="500" w:lineRule="exact"/>
        <w:ind w:firstLine="474" w:firstLineChars="200"/>
        <w:jc w:val="both"/>
        <w:rPr>
          <w:rFonts w:hint="eastAsia" w:hAnsi="宋体" w:cs="宋体"/>
          <w:color w:val="auto"/>
          <w:kern w:val="2"/>
          <w:szCs w:val="20"/>
          <w:lang w:bidi="ar"/>
          <w14:ligatures w14:val="standardContextual"/>
        </w:rPr>
      </w:pPr>
      <w:r>
        <w:rPr>
          <w:rFonts w:hint="eastAsia" w:hAnsi="宋体" w:cs="宋体"/>
          <w:color w:val="auto"/>
          <w:kern w:val="2"/>
          <w:szCs w:val="20"/>
          <w:lang w:val="en-US" w:eastAsia="zh-CN" w:bidi="ar"/>
          <w14:ligatures w14:val="standardContextual"/>
        </w:rPr>
        <w:t>2.4.5</w:t>
      </w:r>
      <w:r>
        <w:rPr>
          <w:rFonts w:hint="eastAsia" w:hAnsi="宋体" w:cs="宋体"/>
          <w:color w:val="auto"/>
          <w:kern w:val="2"/>
          <w:szCs w:val="20"/>
          <w:lang w:bidi="ar"/>
          <w14:ligatures w14:val="standardContextual"/>
        </w:rPr>
        <w:t>地震动参数</w:t>
      </w:r>
    </w:p>
    <w:p>
      <w:pPr>
        <w:pStyle w:val="44"/>
        <w:widowControl w:val="0"/>
        <w:spacing w:before="0" w:beforeAutospacing="0" w:after="0" w:afterAutospacing="0" w:line="500" w:lineRule="exact"/>
        <w:ind w:firstLine="474" w:firstLineChars="200"/>
        <w:jc w:val="both"/>
        <w:rPr>
          <w:rFonts w:hint="eastAsia" w:hAnsi="宋体" w:cs="宋体"/>
          <w:color w:val="auto"/>
          <w:kern w:val="2"/>
          <w:szCs w:val="20"/>
          <w:lang w:bidi="ar"/>
          <w14:ligatures w14:val="standardContextual"/>
        </w:rPr>
      </w:pPr>
      <w:r>
        <w:rPr>
          <w:rFonts w:hint="eastAsia" w:hAnsi="宋体" w:cs="宋体"/>
          <w:color w:val="auto"/>
          <w:kern w:val="2"/>
          <w:szCs w:val="20"/>
          <w:lang w:bidi="ar"/>
          <w14:ligatures w14:val="standardContextual"/>
        </w:rPr>
        <w:t>根据《中国地震动参数区划图》（GB 18306-2015），本区地震动峰值加速度值为0.05g，相当于地震基本烈度为6度，地震动反应谱特征周期分区为一区。</w:t>
      </w:r>
    </w:p>
    <w:p>
      <w:pPr>
        <w:pStyle w:val="44"/>
        <w:widowControl w:val="0"/>
        <w:spacing w:before="0" w:beforeAutospacing="0" w:after="0" w:afterAutospacing="0" w:line="500" w:lineRule="exact"/>
        <w:ind w:firstLine="474" w:firstLineChars="200"/>
        <w:jc w:val="both"/>
        <w:rPr>
          <w:rFonts w:hint="default" w:hAnsi="宋体" w:cs="宋体"/>
          <w:color w:val="auto"/>
          <w:kern w:val="2"/>
          <w:szCs w:val="20"/>
          <w:lang w:val="en-US" w:eastAsia="zh-CN" w:bidi="ar"/>
          <w14:ligatures w14:val="standardContextual"/>
        </w:rPr>
      </w:pPr>
      <w:r>
        <w:rPr>
          <w:rFonts w:hint="eastAsia" w:hAnsi="宋体" w:cs="宋体"/>
          <w:b/>
          <w:bCs/>
          <w:color w:val="auto"/>
          <w:kern w:val="2"/>
          <w:szCs w:val="20"/>
          <w:lang w:bidi="ar"/>
          <w14:ligatures w14:val="standardContextual"/>
        </w:rPr>
        <w:t>2.</w:t>
      </w:r>
      <w:r>
        <w:rPr>
          <w:rFonts w:hint="eastAsia" w:hAnsi="宋体" w:cs="宋体"/>
          <w:b/>
          <w:bCs/>
          <w:color w:val="auto"/>
          <w:kern w:val="2"/>
          <w:szCs w:val="20"/>
          <w:lang w:val="en-US" w:eastAsia="zh-CN" w:bidi="ar"/>
          <w14:ligatures w14:val="standardContextual"/>
        </w:rPr>
        <w:t>5主要建设条件</w:t>
      </w:r>
    </w:p>
    <w:p>
      <w:pPr>
        <w:pStyle w:val="44"/>
        <w:widowControl w:val="0"/>
        <w:spacing w:before="0" w:beforeAutospacing="0" w:after="0" w:afterAutospacing="0" w:line="500" w:lineRule="exact"/>
        <w:ind w:firstLine="474" w:firstLineChars="200"/>
        <w:jc w:val="both"/>
        <w:rPr>
          <w:rFonts w:hint="eastAsia" w:hAnsi="宋体" w:cs="宋体"/>
          <w:color w:val="auto"/>
          <w:kern w:val="2"/>
          <w:szCs w:val="20"/>
          <w:lang w:bidi="ar"/>
          <w14:ligatures w14:val="standardContextual"/>
        </w:rPr>
      </w:pPr>
      <w:r>
        <w:rPr>
          <w:rFonts w:hint="eastAsia" w:hAnsi="宋体" w:cs="宋体"/>
          <w:color w:val="auto"/>
          <w:kern w:val="2"/>
          <w:szCs w:val="20"/>
          <w:lang w:val="en-US" w:eastAsia="zh-CN" w:bidi="ar"/>
          <w14:ligatures w14:val="standardContextual"/>
        </w:rPr>
        <w:t>2.5.1</w:t>
      </w:r>
      <w:r>
        <w:rPr>
          <w:rFonts w:hint="eastAsia" w:hAnsi="宋体" w:cs="宋体"/>
          <w:color w:val="auto"/>
          <w:kern w:val="2"/>
          <w:szCs w:val="20"/>
          <w:lang w:bidi="ar"/>
          <w14:ligatures w14:val="standardContextual"/>
        </w:rPr>
        <w:t>现有备煤装置工艺现状</w:t>
      </w:r>
    </w:p>
    <w:p>
      <w:pPr>
        <w:pStyle w:val="44"/>
        <w:widowControl w:val="0"/>
        <w:spacing w:before="0" w:beforeAutospacing="0" w:after="0" w:afterAutospacing="0" w:line="500" w:lineRule="exact"/>
        <w:ind w:firstLine="474" w:firstLineChars="200"/>
        <w:jc w:val="both"/>
        <w:rPr>
          <w:rFonts w:hint="eastAsia" w:hAnsi="宋体" w:cs="宋体"/>
          <w:color w:val="auto"/>
          <w:kern w:val="2"/>
          <w:szCs w:val="20"/>
          <w:lang w:bidi="ar"/>
          <w14:ligatures w14:val="standardContextual"/>
        </w:rPr>
      </w:pPr>
      <w:r>
        <w:rPr>
          <w:rFonts w:hint="eastAsia" w:hAnsi="宋体" w:cs="宋体"/>
          <w:color w:val="auto"/>
          <w:kern w:val="2"/>
          <w:szCs w:val="20"/>
          <w:lang w:bidi="ar"/>
          <w14:ligatures w14:val="standardContextual"/>
        </w:rPr>
        <w:t>备煤装置位于厂区西北角，由入场煤快速检测系统、汽车卸煤系统、厂外筛分系统、厂内筛分系统、物料存储系统、葫芦素来煤输煤系统以及各转载点组成。</w:t>
      </w:r>
    </w:p>
    <w:p>
      <w:pPr>
        <w:pStyle w:val="44"/>
        <w:widowControl w:val="0"/>
        <w:spacing w:before="0" w:beforeAutospacing="0" w:after="0" w:afterAutospacing="0" w:line="500" w:lineRule="exact"/>
        <w:ind w:firstLine="474" w:firstLineChars="200"/>
        <w:jc w:val="both"/>
        <w:rPr>
          <w:rFonts w:hint="eastAsia" w:hAnsi="宋体" w:cs="宋体"/>
          <w:color w:val="auto"/>
          <w:kern w:val="2"/>
          <w:szCs w:val="20"/>
          <w:lang w:bidi="ar"/>
          <w14:ligatures w14:val="standardContextual"/>
        </w:rPr>
      </w:pPr>
      <w:r>
        <w:rPr>
          <w:rFonts w:hint="eastAsia" w:hAnsi="宋体" w:cs="宋体"/>
          <w:color w:val="auto"/>
          <w:kern w:val="2"/>
          <w:szCs w:val="20"/>
          <w:lang w:bidi="ar"/>
          <w14:ligatures w14:val="standardContextual"/>
        </w:rPr>
        <w:t>入场煤快速检测系统设置在备煤装置北侧进场道路处，设置3个检测通道，每个通道设置1套有源插入式快速煤质检测装置，检验合格后方可进场卸煤。</w:t>
      </w:r>
    </w:p>
    <w:p>
      <w:pPr>
        <w:pStyle w:val="44"/>
        <w:widowControl w:val="0"/>
        <w:spacing w:before="0" w:beforeAutospacing="0" w:after="0" w:afterAutospacing="0" w:line="500" w:lineRule="exact"/>
        <w:ind w:firstLine="474" w:firstLineChars="200"/>
        <w:jc w:val="both"/>
        <w:rPr>
          <w:rFonts w:hint="eastAsia" w:hAnsi="宋体" w:cs="宋体"/>
          <w:color w:val="auto"/>
          <w:kern w:val="2"/>
          <w:szCs w:val="20"/>
          <w:lang w:bidi="ar"/>
          <w14:ligatures w14:val="standardContextual"/>
        </w:rPr>
      </w:pPr>
      <w:r>
        <w:rPr>
          <w:rFonts w:hint="eastAsia" w:hAnsi="宋体" w:cs="宋体"/>
          <w:color w:val="auto"/>
          <w:kern w:val="2"/>
          <w:szCs w:val="20"/>
          <w:lang w:bidi="ar"/>
          <w14:ligatures w14:val="standardContextual"/>
        </w:rPr>
        <w:t>汽车卸煤系统包含4座受煤坑、4台重车衡（包含二期新增两台）、1台空车衡以及两套汽车煤采样系统（包含二期新增一套汽车采样系统）；设计受煤能力1600t/h。</w:t>
      </w:r>
    </w:p>
    <w:p>
      <w:pPr>
        <w:pStyle w:val="44"/>
        <w:widowControl w:val="0"/>
        <w:spacing w:before="0" w:beforeAutospacing="0" w:after="0" w:afterAutospacing="0" w:line="500" w:lineRule="exact"/>
        <w:ind w:firstLine="474" w:firstLineChars="200"/>
        <w:jc w:val="both"/>
        <w:rPr>
          <w:rFonts w:hint="eastAsia" w:hAnsi="宋体" w:cs="宋体"/>
          <w:color w:val="auto"/>
          <w:kern w:val="2"/>
          <w:szCs w:val="20"/>
          <w:lang w:bidi="ar"/>
          <w14:ligatures w14:val="standardContextual"/>
        </w:rPr>
      </w:pPr>
      <w:r>
        <w:rPr>
          <w:rFonts w:hint="eastAsia" w:hAnsi="宋体" w:cs="宋体"/>
          <w:color w:val="auto"/>
          <w:kern w:val="2"/>
          <w:szCs w:val="20"/>
          <w:lang w:bidi="ar"/>
          <w14:ligatures w14:val="standardContextual"/>
        </w:rPr>
        <w:t>厂外筛分系统包含3台双层分级筛（含二期新增一套分级筛）、3台大块煤破碎机（含二期新增一套破碎机），每台分级筛处理能力600t/h，每台破碎机处理能力220t/h。</w:t>
      </w:r>
    </w:p>
    <w:p>
      <w:pPr>
        <w:pStyle w:val="44"/>
        <w:widowControl w:val="0"/>
        <w:spacing w:before="0" w:beforeAutospacing="0" w:after="0" w:afterAutospacing="0" w:line="500" w:lineRule="exact"/>
        <w:ind w:firstLine="474" w:firstLineChars="200"/>
        <w:jc w:val="both"/>
        <w:rPr>
          <w:rFonts w:hint="eastAsia" w:hAnsi="宋体" w:cs="宋体"/>
          <w:color w:val="auto"/>
          <w:kern w:val="2"/>
          <w:szCs w:val="20"/>
          <w:lang w:bidi="ar"/>
          <w14:ligatures w14:val="standardContextual"/>
        </w:rPr>
      </w:pPr>
      <w:r>
        <w:rPr>
          <w:rFonts w:hint="eastAsia" w:hAnsi="宋体" w:cs="宋体"/>
          <w:color w:val="auto"/>
          <w:kern w:val="2"/>
          <w:szCs w:val="20"/>
          <w:lang w:bidi="ar"/>
          <w14:ligatures w14:val="standardContextual"/>
        </w:rPr>
        <w:t>厂内筛分系统包含2台弛张筛，每台处理能力750t/h。</w:t>
      </w:r>
    </w:p>
    <w:p>
      <w:pPr>
        <w:pStyle w:val="44"/>
        <w:widowControl w:val="0"/>
        <w:spacing w:before="0" w:beforeAutospacing="0" w:after="0" w:afterAutospacing="0" w:line="500" w:lineRule="exact"/>
        <w:ind w:firstLine="474" w:firstLineChars="200"/>
        <w:jc w:val="both"/>
        <w:rPr>
          <w:rFonts w:hint="eastAsia" w:hAnsi="宋体" w:cs="宋体"/>
          <w:color w:val="auto"/>
          <w:kern w:val="2"/>
          <w:szCs w:val="20"/>
          <w:lang w:bidi="ar"/>
          <w14:ligatures w14:val="standardContextual"/>
        </w:rPr>
      </w:pPr>
      <w:r>
        <w:rPr>
          <w:rFonts w:hint="eastAsia" w:hAnsi="宋体" w:cs="宋体"/>
          <w:color w:val="auto"/>
          <w:kern w:val="2"/>
          <w:szCs w:val="20"/>
          <w:lang w:bidi="ar"/>
          <w14:ligatures w14:val="standardContextual"/>
        </w:rPr>
        <w:t>物料存储系统包含一座圆形料场（设计储量8万吨）、一座块煤球仓（设计储量6万吨）、一座粉煤缓冲仓（设计储量4000吨）；其中圆形料场内可分堆存放原料煤及燃料煤。</w:t>
      </w:r>
    </w:p>
    <w:p>
      <w:pPr>
        <w:pStyle w:val="44"/>
        <w:widowControl w:val="0"/>
        <w:spacing w:before="0" w:beforeAutospacing="0" w:after="0" w:afterAutospacing="0" w:line="500" w:lineRule="exact"/>
        <w:ind w:firstLine="474" w:firstLineChars="200"/>
        <w:jc w:val="both"/>
        <w:rPr>
          <w:rFonts w:hint="eastAsia" w:hAnsi="宋体" w:cs="宋体"/>
          <w:color w:val="auto"/>
          <w:kern w:val="2"/>
          <w:szCs w:val="20"/>
          <w:lang w:bidi="ar"/>
          <w14:ligatures w14:val="standardContextual"/>
        </w:rPr>
      </w:pPr>
      <w:r>
        <w:rPr>
          <w:rFonts w:hint="eastAsia" w:hAnsi="宋体" w:cs="宋体"/>
          <w:color w:val="auto"/>
          <w:kern w:val="2"/>
          <w:szCs w:val="20"/>
          <w:lang w:bidi="ar"/>
          <w14:ligatures w14:val="standardContextual"/>
        </w:rPr>
        <w:t>葫芦素来煤系统接自中天合创公司长距离输煤系统4号转载点，主运输送机全长约3km，设计输送运量1600t/h，来煤既可以进入块煤球仓，也可进入圆形料场。</w:t>
      </w:r>
    </w:p>
    <w:p>
      <w:pPr>
        <w:pStyle w:val="44"/>
        <w:widowControl w:val="0"/>
        <w:spacing w:before="0" w:beforeAutospacing="0" w:after="0" w:afterAutospacing="0" w:line="500" w:lineRule="exact"/>
        <w:ind w:firstLine="474" w:firstLineChars="200"/>
        <w:jc w:val="both"/>
        <w:rPr>
          <w:rFonts w:hint="eastAsia" w:hAnsi="宋体" w:cs="宋体"/>
          <w:color w:val="auto"/>
          <w:kern w:val="2"/>
          <w:szCs w:val="20"/>
          <w:lang w:bidi="ar"/>
          <w14:ligatures w14:val="standardContextual"/>
        </w:rPr>
      </w:pPr>
      <w:r>
        <w:rPr>
          <w:rFonts w:hint="eastAsia" w:hAnsi="宋体" w:cs="宋体"/>
          <w:color w:val="auto"/>
          <w:kern w:val="2"/>
          <w:szCs w:val="20"/>
          <w:lang w:val="en-US" w:eastAsia="zh-CN" w:bidi="ar"/>
          <w14:ligatures w14:val="standardContextual"/>
        </w:rPr>
        <w:t>2.5.2</w:t>
      </w:r>
      <w:r>
        <w:rPr>
          <w:rFonts w:hint="eastAsia" w:hAnsi="宋体" w:cs="宋体"/>
          <w:color w:val="auto"/>
          <w:kern w:val="2"/>
          <w:szCs w:val="20"/>
          <w:lang w:bidi="ar"/>
          <w14:ligatures w14:val="standardContextual"/>
        </w:rPr>
        <w:t>汽车卸煤场地现状</w:t>
      </w:r>
    </w:p>
    <w:p>
      <w:pPr>
        <w:pStyle w:val="44"/>
        <w:widowControl w:val="0"/>
        <w:spacing w:before="0" w:beforeAutospacing="0" w:after="0" w:afterAutospacing="0" w:line="500" w:lineRule="exact"/>
        <w:ind w:firstLine="474" w:firstLineChars="200"/>
        <w:jc w:val="both"/>
        <w:rPr>
          <w:rFonts w:hint="eastAsia" w:hAnsi="宋体" w:cs="宋体"/>
          <w:color w:val="auto"/>
          <w:kern w:val="2"/>
          <w:szCs w:val="20"/>
          <w:lang w:bidi="ar"/>
          <w14:ligatures w14:val="standardContextual"/>
        </w:rPr>
      </w:pPr>
      <w:r>
        <w:rPr>
          <w:rFonts w:hint="eastAsia" w:hAnsi="宋体" w:cs="宋体"/>
          <w:color w:val="auto"/>
          <w:kern w:val="2"/>
          <w:szCs w:val="20"/>
          <w:lang w:bidi="ar"/>
          <w14:ligatures w14:val="standardContextual"/>
        </w:rPr>
        <w:t>中煤鄂能化化工园区用煤主要采购周边煤矿煤炭，采用汽车运输方式；其中母杜柴登矿井来煤约5500～6000t/d，纳林河二号井来煤约6000t/d，大海则矿井来煤约1500t/d,其他周边矿井来煤约2000～3000t/d，每天卸煤车辆最多时约600辆。</w:t>
      </w:r>
    </w:p>
    <w:p>
      <w:pPr>
        <w:pStyle w:val="44"/>
        <w:widowControl w:val="0"/>
        <w:spacing w:before="0" w:beforeAutospacing="0" w:after="0" w:afterAutospacing="0" w:line="500" w:lineRule="exact"/>
        <w:ind w:firstLine="474" w:firstLineChars="200"/>
        <w:jc w:val="both"/>
        <w:rPr>
          <w:rFonts w:hint="eastAsia" w:hAnsi="宋体" w:cs="宋体"/>
          <w:color w:val="auto"/>
          <w:kern w:val="2"/>
          <w:szCs w:val="20"/>
          <w:lang w:bidi="ar"/>
          <w14:ligatures w14:val="standardContextual"/>
        </w:rPr>
      </w:pPr>
      <w:r>
        <w:rPr>
          <w:rFonts w:hint="eastAsia" w:hAnsi="宋体" w:cs="宋体"/>
          <w:color w:val="auto"/>
          <w:kern w:val="2"/>
          <w:szCs w:val="20"/>
          <w:lang w:bidi="ar"/>
          <w14:ligatures w14:val="standardContextual"/>
        </w:rPr>
        <w:t>汽车卸煤场地东西长约89m、南北宽约73m，场地四周设有防风抑尘墙（墙高约12m）。场地中部设置4座受煤坑，每座受煤坑上口尺寸5.8×8.3m。受煤坑上方设有顶棚。每天不同批次的煤车随机抽取一定比例的车辆进行人工粒度及煤质检测，人工检测的煤炭临时堆放在卸煤场地内。由于目前汽车卸煤系统没有设置除尘设施，且场地内有临时存放煤炭，造成卸煤场地环境粉尘浓度大，且由于场地不封闭，对周边环境造成一定的污染。</w:t>
      </w:r>
    </w:p>
    <w:p>
      <w:pPr>
        <w:pStyle w:val="44"/>
        <w:widowControl w:val="0"/>
        <w:spacing w:before="0" w:beforeAutospacing="0" w:after="0" w:afterAutospacing="0" w:line="500" w:lineRule="exact"/>
        <w:ind w:firstLine="474" w:firstLineChars="200"/>
        <w:jc w:val="both"/>
        <w:rPr>
          <w:rFonts w:hint="eastAsia" w:hAnsi="宋体" w:cs="宋体"/>
          <w:color w:val="auto"/>
          <w:kern w:val="2"/>
          <w:szCs w:val="20"/>
          <w:lang w:bidi="ar"/>
          <w14:ligatures w14:val="standardContextual"/>
        </w:rPr>
      </w:pPr>
      <w:r>
        <w:rPr>
          <w:rFonts w:hint="eastAsia" w:hAnsi="宋体" w:cs="宋体"/>
          <w:color w:val="auto"/>
          <w:kern w:val="2"/>
          <w:szCs w:val="20"/>
          <w:lang w:val="en-US" w:eastAsia="zh-CN" w:bidi="ar"/>
          <w14:ligatures w14:val="standardContextual"/>
        </w:rPr>
        <w:t>2.5.3</w:t>
      </w:r>
      <w:r>
        <w:rPr>
          <w:rFonts w:hint="eastAsia" w:hAnsi="宋体" w:cs="宋体"/>
          <w:color w:val="auto"/>
          <w:kern w:val="2"/>
          <w:szCs w:val="20"/>
          <w:lang w:bidi="ar"/>
          <w14:ligatures w14:val="standardContextual"/>
        </w:rPr>
        <w:t>水源</w:t>
      </w:r>
    </w:p>
    <w:p>
      <w:pPr>
        <w:pStyle w:val="44"/>
        <w:widowControl w:val="0"/>
        <w:spacing w:before="0" w:beforeAutospacing="0" w:after="0" w:afterAutospacing="0" w:line="500" w:lineRule="exact"/>
        <w:ind w:firstLine="474" w:firstLineChars="200"/>
        <w:jc w:val="both"/>
        <w:rPr>
          <w:rFonts w:hint="eastAsia" w:hAnsi="宋体" w:cs="宋体"/>
          <w:color w:val="auto"/>
          <w:kern w:val="2"/>
          <w:szCs w:val="20"/>
          <w:lang w:bidi="ar"/>
          <w14:ligatures w14:val="standardContextual"/>
        </w:rPr>
      </w:pPr>
      <w:r>
        <w:rPr>
          <w:rFonts w:hint="eastAsia" w:hAnsi="宋体" w:cs="宋体"/>
          <w:color w:val="auto"/>
          <w:kern w:val="2"/>
          <w:szCs w:val="20"/>
          <w:lang w:bidi="ar"/>
          <w14:ligatures w14:val="standardContextual"/>
        </w:rPr>
        <w:t>生产用水由厂区已有生产给水管网供给；室内消火栓、室外消火栓用水由厂区已有消防给水管网供给。经校核已有生产给水、室内消火栓给水、室外消火栓给水系统能满足本工程用水要求。室内消防炮用水由新增消防水池经新增消防炮加压泵加压供给，水池可以保证消防储水不被动用。</w:t>
      </w:r>
    </w:p>
    <w:p>
      <w:pPr>
        <w:pStyle w:val="44"/>
        <w:widowControl w:val="0"/>
        <w:spacing w:before="0" w:beforeAutospacing="0" w:after="0" w:afterAutospacing="0" w:line="500" w:lineRule="exact"/>
        <w:ind w:firstLine="474" w:firstLineChars="200"/>
        <w:jc w:val="both"/>
        <w:rPr>
          <w:rFonts w:hint="eastAsia" w:hAnsi="宋体" w:cs="宋体"/>
          <w:color w:val="auto"/>
          <w:kern w:val="2"/>
          <w:szCs w:val="20"/>
          <w:lang w:bidi="ar"/>
          <w14:ligatures w14:val="standardContextual"/>
        </w:rPr>
      </w:pPr>
      <w:r>
        <w:rPr>
          <w:rFonts w:hint="eastAsia" w:hAnsi="宋体" w:cs="宋体"/>
          <w:color w:val="auto"/>
          <w:kern w:val="2"/>
          <w:szCs w:val="20"/>
          <w:lang w:val="en-US" w:eastAsia="zh-CN" w:bidi="ar"/>
          <w14:ligatures w14:val="standardContextual"/>
        </w:rPr>
        <w:t>2.5.4</w:t>
      </w:r>
      <w:r>
        <w:rPr>
          <w:rFonts w:hint="eastAsia" w:hAnsi="宋体" w:cs="宋体"/>
          <w:color w:val="auto"/>
          <w:kern w:val="2"/>
          <w:szCs w:val="20"/>
          <w:lang w:bidi="ar"/>
          <w14:ligatures w14:val="standardContextual"/>
        </w:rPr>
        <w:t>热源</w:t>
      </w:r>
    </w:p>
    <w:p>
      <w:pPr>
        <w:pStyle w:val="44"/>
        <w:widowControl w:val="0"/>
        <w:spacing w:before="0" w:beforeAutospacing="0" w:after="0" w:afterAutospacing="0" w:line="500" w:lineRule="exact"/>
        <w:ind w:firstLine="474" w:firstLineChars="200"/>
        <w:jc w:val="both"/>
        <w:rPr>
          <w:rFonts w:hint="eastAsia" w:hAnsi="宋体" w:cs="宋体"/>
          <w:color w:val="auto"/>
          <w:kern w:val="2"/>
          <w:szCs w:val="20"/>
          <w:lang w:bidi="ar"/>
          <w14:ligatures w14:val="standardContextual"/>
        </w:rPr>
      </w:pPr>
      <w:r>
        <w:rPr>
          <w:rFonts w:hint="eastAsia" w:hAnsi="宋体" w:cs="宋体"/>
          <w:color w:val="auto"/>
          <w:kern w:val="2"/>
          <w:szCs w:val="20"/>
          <w:lang w:bidi="ar"/>
          <w14:ligatures w14:val="standardContextual"/>
        </w:rPr>
        <w:t>热源接自室外供热管网，接口位于现有6号转载点室外，新增负荷很小，现有供热管网满足新增建筑物供暖需要。</w:t>
      </w:r>
    </w:p>
    <w:p>
      <w:pPr>
        <w:pStyle w:val="44"/>
        <w:widowControl w:val="0"/>
        <w:spacing w:before="0" w:beforeAutospacing="0" w:after="0" w:afterAutospacing="0" w:line="500" w:lineRule="exact"/>
        <w:ind w:firstLine="474" w:firstLineChars="200"/>
        <w:jc w:val="both"/>
        <w:rPr>
          <w:rFonts w:hint="eastAsia" w:hAnsi="宋体" w:cs="宋体"/>
          <w:color w:val="auto"/>
          <w:kern w:val="2"/>
          <w:szCs w:val="20"/>
          <w:lang w:bidi="ar"/>
          <w14:ligatures w14:val="standardContextual"/>
        </w:rPr>
      </w:pPr>
      <w:r>
        <w:rPr>
          <w:rFonts w:hint="eastAsia" w:hAnsi="宋体" w:cs="宋体"/>
          <w:color w:val="auto"/>
          <w:kern w:val="2"/>
          <w:szCs w:val="20"/>
          <w:lang w:val="en-US" w:eastAsia="zh-CN" w:bidi="ar"/>
          <w14:ligatures w14:val="standardContextual"/>
        </w:rPr>
        <w:t>2.5.5</w:t>
      </w:r>
      <w:r>
        <w:rPr>
          <w:rFonts w:hint="eastAsia" w:hAnsi="宋体" w:cs="宋体"/>
          <w:color w:val="auto"/>
          <w:kern w:val="2"/>
          <w:szCs w:val="20"/>
          <w:lang w:bidi="ar"/>
          <w14:ligatures w14:val="standardContextual"/>
        </w:rPr>
        <w:t>电源</w:t>
      </w:r>
    </w:p>
    <w:p>
      <w:pPr>
        <w:pStyle w:val="44"/>
        <w:widowControl w:val="0"/>
        <w:spacing w:before="0" w:beforeAutospacing="0" w:after="0" w:afterAutospacing="0" w:line="500" w:lineRule="exact"/>
        <w:ind w:firstLine="474" w:firstLineChars="200"/>
        <w:jc w:val="both"/>
        <w:rPr>
          <w:rFonts w:hint="eastAsia" w:hAnsi="宋体" w:cs="宋体"/>
          <w:color w:val="auto"/>
          <w:kern w:val="2"/>
          <w:szCs w:val="20"/>
          <w:lang w:val="en-US" w:eastAsia="zh-CN" w:bidi="ar"/>
          <w14:ligatures w14:val="standardContextual"/>
        </w:rPr>
      </w:pPr>
      <w:r>
        <w:rPr>
          <w:rFonts w:hint="eastAsia" w:hAnsi="宋体" w:cs="宋体"/>
          <w:color w:val="auto"/>
          <w:kern w:val="2"/>
          <w:szCs w:val="20"/>
          <w:lang w:val="en-US" w:eastAsia="zh-CN" w:bidi="ar"/>
          <w14:ligatures w14:val="standardContextual"/>
        </w:rPr>
        <w:t>现有备煤车间变电所位于卸煤场地东侧约60m。本工程电源可引至现有备煤车间变电所。</w:t>
      </w:r>
    </w:p>
    <w:p>
      <w:pPr>
        <w:pStyle w:val="44"/>
        <w:widowControl w:val="0"/>
        <w:spacing w:before="0" w:beforeAutospacing="0" w:after="0" w:afterAutospacing="0" w:line="500" w:lineRule="exact"/>
        <w:ind w:firstLine="474" w:firstLineChars="200"/>
        <w:jc w:val="both"/>
        <w:rPr>
          <w:rFonts w:hint="eastAsia" w:hAnsi="宋体" w:cs="宋体"/>
          <w:color w:val="auto"/>
          <w:kern w:val="2"/>
          <w:szCs w:val="20"/>
          <w:lang w:bidi="ar"/>
          <w14:ligatures w14:val="standardContextual"/>
        </w:rPr>
      </w:pPr>
      <w:r>
        <w:rPr>
          <w:rFonts w:hint="eastAsia" w:hAnsi="宋体" w:cs="宋体"/>
          <w:color w:val="auto"/>
          <w:kern w:val="2"/>
          <w:szCs w:val="20"/>
          <w:lang w:val="en-US" w:eastAsia="zh-CN" w:bidi="ar"/>
          <w14:ligatures w14:val="standardContextual"/>
        </w:rPr>
        <w:t>2.5.6</w:t>
      </w:r>
      <w:r>
        <w:rPr>
          <w:rFonts w:hint="eastAsia" w:hAnsi="宋体" w:cs="宋体"/>
          <w:color w:val="auto"/>
          <w:kern w:val="2"/>
          <w:szCs w:val="20"/>
          <w:lang w:bidi="ar"/>
          <w14:ligatures w14:val="standardContextual"/>
        </w:rPr>
        <w:t>建材</w:t>
      </w:r>
    </w:p>
    <w:p>
      <w:pPr>
        <w:pStyle w:val="44"/>
        <w:widowControl w:val="0"/>
        <w:spacing w:before="0" w:beforeAutospacing="0" w:after="0" w:afterAutospacing="0" w:line="500" w:lineRule="exact"/>
        <w:ind w:firstLine="474" w:firstLineChars="200"/>
        <w:jc w:val="both"/>
        <w:rPr>
          <w:rFonts w:hint="eastAsia" w:hAnsi="宋体" w:cs="宋体"/>
          <w:color w:val="auto"/>
          <w:kern w:val="2"/>
          <w:szCs w:val="20"/>
          <w:lang w:val="en-US" w:eastAsia="zh-CN" w:bidi="ar"/>
          <w14:ligatures w14:val="standardContextual"/>
        </w:rPr>
      </w:pPr>
      <w:r>
        <w:rPr>
          <w:rFonts w:hint="eastAsia" w:hAnsi="宋体" w:cs="宋体"/>
          <w:color w:val="auto"/>
          <w:kern w:val="2"/>
          <w:szCs w:val="20"/>
          <w:lang w:val="en-US" w:eastAsia="zh-CN" w:bidi="ar"/>
          <w14:ligatures w14:val="standardContextual"/>
        </w:rPr>
        <w:t>主要建筑材料就近取材，地方建材如：水泥、砌体、砂石、白灰、钢材、木材等都能满足需要。</w:t>
      </w:r>
    </w:p>
    <w:p>
      <w:pPr>
        <w:pStyle w:val="44"/>
        <w:widowControl w:val="0"/>
        <w:spacing w:before="0" w:beforeAutospacing="0" w:after="0" w:afterAutospacing="0" w:line="500" w:lineRule="exact"/>
        <w:ind w:firstLine="474" w:firstLineChars="200"/>
        <w:jc w:val="both"/>
        <w:rPr>
          <w:rFonts w:hint="eastAsia" w:hAnsi="宋体" w:cs="宋体"/>
          <w:color w:val="auto"/>
          <w:kern w:val="2"/>
          <w:szCs w:val="20"/>
          <w:lang w:val="en-US" w:eastAsia="zh-CN" w:bidi="ar"/>
          <w14:ligatures w14:val="standardContextual"/>
        </w:rPr>
      </w:pPr>
      <w:r>
        <w:rPr>
          <w:rFonts w:hint="eastAsia" w:hAnsi="宋体" w:cs="宋体"/>
          <w:b/>
          <w:bCs/>
          <w:color w:val="auto"/>
          <w:kern w:val="2"/>
          <w:szCs w:val="20"/>
          <w:lang w:bidi="ar"/>
          <w14:ligatures w14:val="standardContextual"/>
        </w:rPr>
        <w:t>2.</w:t>
      </w:r>
      <w:r>
        <w:rPr>
          <w:rFonts w:hint="eastAsia" w:hAnsi="宋体" w:cs="宋体"/>
          <w:b/>
          <w:bCs/>
          <w:color w:val="auto"/>
          <w:kern w:val="2"/>
          <w:szCs w:val="20"/>
          <w:lang w:val="en-US" w:eastAsia="zh-CN" w:bidi="ar"/>
          <w14:ligatures w14:val="standardContextual"/>
        </w:rPr>
        <w:t>6煤源及煤质特征</w:t>
      </w:r>
    </w:p>
    <w:p>
      <w:pPr>
        <w:pStyle w:val="44"/>
        <w:widowControl w:val="0"/>
        <w:spacing w:before="0" w:beforeAutospacing="0" w:after="0" w:afterAutospacing="0" w:line="500" w:lineRule="exact"/>
        <w:ind w:firstLine="474" w:firstLineChars="200"/>
        <w:jc w:val="both"/>
        <w:rPr>
          <w:rFonts w:hint="eastAsia" w:hAnsi="宋体" w:cs="宋体"/>
          <w:color w:val="auto"/>
          <w:kern w:val="2"/>
          <w:szCs w:val="20"/>
          <w:lang w:bidi="ar"/>
          <w14:ligatures w14:val="standardContextual"/>
        </w:rPr>
      </w:pPr>
      <w:r>
        <w:rPr>
          <w:rFonts w:hint="eastAsia" w:hAnsi="宋体" w:cs="宋体"/>
          <w:color w:val="auto"/>
          <w:kern w:val="2"/>
          <w:szCs w:val="20"/>
          <w:lang w:bidi="ar"/>
          <w14:ligatures w14:val="standardContextual"/>
        </w:rPr>
        <w:t>本备煤系统来煤有两路煤源，一路煤源来自葫芦素选煤厂及其正在建设的外来煤系统，通过长距离带式输送机运输至纬四路与厂区西围墙之间的5号转载点，5号转载点内预留有后期接口；另一路煤源来自周边煤矿，采用汽车运输，运至图克大化肥现有汽车供煤系统。</w:t>
      </w:r>
    </w:p>
    <w:p>
      <w:pPr>
        <w:pStyle w:val="44"/>
        <w:widowControl w:val="0"/>
        <w:spacing w:before="0" w:beforeAutospacing="0" w:after="0" w:afterAutospacing="0" w:line="500" w:lineRule="exact"/>
        <w:ind w:firstLine="474" w:firstLineChars="200"/>
        <w:jc w:val="both"/>
        <w:rPr>
          <w:rFonts w:hint="eastAsia" w:hAnsi="宋体" w:cs="宋体"/>
          <w:color w:val="auto"/>
          <w:kern w:val="2"/>
          <w:szCs w:val="20"/>
          <w:lang w:bidi="ar"/>
          <w14:ligatures w14:val="standardContextual"/>
        </w:rPr>
      </w:pPr>
      <w:r>
        <w:rPr>
          <w:rFonts w:hint="eastAsia" w:hAnsi="宋体" w:cs="宋体"/>
          <w:color w:val="auto"/>
          <w:kern w:val="2"/>
          <w:szCs w:val="20"/>
          <w:lang w:bidi="ar"/>
          <w14:ligatures w14:val="standardContextual"/>
        </w:rPr>
        <w:t>葫芦素选煤厂产品数质量情况见表</w:t>
      </w:r>
      <w:r>
        <w:rPr>
          <w:rFonts w:hint="eastAsia" w:hAnsi="宋体" w:cs="宋体"/>
          <w:color w:val="auto"/>
          <w:kern w:val="2"/>
          <w:szCs w:val="20"/>
          <w:lang w:val="en-US" w:eastAsia="zh-CN" w:bidi="ar"/>
          <w14:ligatures w14:val="standardContextual"/>
        </w:rPr>
        <w:t>2-2</w:t>
      </w:r>
      <w:r>
        <w:rPr>
          <w:rFonts w:hint="eastAsia" w:hAnsi="宋体" w:cs="宋体"/>
          <w:color w:val="auto"/>
          <w:kern w:val="2"/>
          <w:szCs w:val="20"/>
          <w:lang w:bidi="ar"/>
          <w14:ligatures w14:val="standardContextual"/>
        </w:rPr>
        <w:t>。</w:t>
      </w:r>
    </w:p>
    <w:p>
      <w:pPr>
        <w:rPr>
          <w:rFonts w:hint="eastAsia" w:hAnsi="宋体" w:cs="宋体"/>
          <w:color w:val="auto"/>
          <w:kern w:val="2"/>
          <w:szCs w:val="20"/>
          <w:lang w:bidi="ar"/>
          <w14:ligatures w14:val="standardContextual"/>
        </w:rPr>
      </w:pPr>
      <w:r>
        <w:rPr>
          <w:rFonts w:hint="eastAsia" w:hAnsi="宋体" w:cs="宋体"/>
          <w:color w:val="auto"/>
          <w:kern w:val="2"/>
          <w:szCs w:val="20"/>
          <w:lang w:bidi="ar"/>
          <w14:ligatures w14:val="standardContextual"/>
        </w:rPr>
        <w:br w:type="page"/>
      </w:r>
    </w:p>
    <w:p>
      <w:pPr>
        <w:pStyle w:val="44"/>
        <w:widowControl w:val="0"/>
        <w:spacing w:before="0" w:beforeAutospacing="0" w:after="0" w:afterAutospacing="0" w:line="500" w:lineRule="exact"/>
        <w:ind w:firstLine="474" w:firstLineChars="200"/>
        <w:jc w:val="both"/>
        <w:rPr>
          <w:rFonts w:hint="eastAsia" w:hAnsi="宋体" w:cs="宋体"/>
          <w:color w:val="auto"/>
          <w:kern w:val="2"/>
          <w:szCs w:val="20"/>
          <w:lang w:bidi="ar"/>
          <w14:ligatures w14:val="standardContextual"/>
        </w:rPr>
      </w:pPr>
      <w:r>
        <w:rPr>
          <w:rFonts w:hint="eastAsia" w:hAnsi="宋体" w:cs="宋体"/>
          <w:color w:val="auto"/>
          <w:kern w:val="2"/>
          <w:szCs w:val="20"/>
          <w:lang w:bidi="ar"/>
          <w14:ligatures w14:val="standardContextual"/>
        </w:rPr>
        <w:t>表</w:t>
      </w:r>
      <w:r>
        <w:rPr>
          <w:rFonts w:hint="eastAsia" w:hAnsi="宋体" w:cs="宋体"/>
          <w:color w:val="auto"/>
          <w:kern w:val="2"/>
          <w:szCs w:val="20"/>
          <w:lang w:val="en-US" w:eastAsia="zh-CN" w:bidi="ar"/>
          <w14:ligatures w14:val="standardContextual"/>
        </w:rPr>
        <w:t>2-2</w:t>
      </w:r>
      <w:r>
        <w:rPr>
          <w:rFonts w:hint="eastAsia" w:hAnsi="宋体" w:cs="宋体"/>
          <w:color w:val="auto"/>
          <w:kern w:val="2"/>
          <w:szCs w:val="20"/>
          <w:lang w:bidi="ar"/>
          <w14:ligatures w14:val="standardContextual"/>
        </w:rPr>
        <w:t xml:space="preserve">                    葫芦素选煤厂产品平衡表</w:t>
      </w:r>
    </w:p>
    <w:tbl>
      <w:tblPr>
        <w:tblStyle w:val="50"/>
        <w:tblW w:w="928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36"/>
        <w:gridCol w:w="1173"/>
        <w:gridCol w:w="772"/>
        <w:gridCol w:w="956"/>
        <w:gridCol w:w="1099"/>
        <w:gridCol w:w="1267"/>
        <w:gridCol w:w="793"/>
        <w:gridCol w:w="802"/>
        <w:gridCol w:w="828"/>
        <w:gridCol w:w="96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trPr>
        <w:tc>
          <w:tcPr>
            <w:tcW w:w="1809" w:type="dxa"/>
            <w:gridSpan w:val="2"/>
            <w:vMerge w:val="restart"/>
            <w:tcBorders>
              <w:top w:val="single" w:color="auto" w:sz="12" w:space="0"/>
              <w:left w:val="single" w:color="auto" w:sz="12" w:space="0"/>
              <w:bottom w:val="single" w:color="auto" w:sz="6" w:space="0"/>
              <w:right w:val="single" w:color="auto" w:sz="6" w:space="0"/>
            </w:tcBorders>
            <w:shd w:val="clear" w:color="auto" w:fill="auto"/>
            <w:vAlign w:val="center"/>
          </w:tcPr>
          <w:p>
            <w:pPr>
              <w:widowControl/>
              <w:jc w:val="center"/>
              <w:rPr>
                <w:rFonts w:hint="eastAsia" w:ascii="宋体" w:hAnsi="宋体" w:eastAsia="宋体"/>
                <w:color w:val="auto"/>
                <w:kern w:val="0"/>
                <w:sz w:val="21"/>
                <w:szCs w:val="21"/>
                <w14:ligatures w14:val="none"/>
              </w:rPr>
            </w:pPr>
            <w:r>
              <w:rPr>
                <w:rFonts w:hint="eastAsia" w:ascii="宋体" w:hAnsi="宋体" w:eastAsia="宋体"/>
                <w:color w:val="auto"/>
                <w:kern w:val="0"/>
                <w:sz w:val="21"/>
                <w:szCs w:val="21"/>
                <w14:ligatures w14:val="none"/>
              </w:rPr>
              <w:t>产品名称</w:t>
            </w:r>
          </w:p>
        </w:tc>
        <w:tc>
          <w:tcPr>
            <w:tcW w:w="4094" w:type="dxa"/>
            <w:gridSpan w:val="4"/>
            <w:tcBorders>
              <w:top w:val="single" w:color="auto" w:sz="12" w:space="0"/>
              <w:left w:val="single" w:color="auto" w:sz="6" w:space="0"/>
              <w:bottom w:val="single" w:color="auto" w:sz="6" w:space="0"/>
              <w:right w:val="single" w:color="auto" w:sz="6" w:space="0"/>
            </w:tcBorders>
            <w:shd w:val="clear" w:color="auto" w:fill="auto"/>
            <w:vAlign w:val="center"/>
          </w:tcPr>
          <w:p>
            <w:pPr>
              <w:widowControl/>
              <w:jc w:val="center"/>
              <w:rPr>
                <w:rFonts w:hint="eastAsia" w:ascii="宋体" w:hAnsi="宋体" w:eastAsia="宋体"/>
                <w:color w:val="auto"/>
                <w:kern w:val="0"/>
                <w:sz w:val="21"/>
                <w:szCs w:val="21"/>
                <w14:ligatures w14:val="none"/>
              </w:rPr>
            </w:pPr>
            <w:r>
              <w:rPr>
                <w:rFonts w:hint="eastAsia" w:ascii="宋体" w:hAnsi="宋体" w:eastAsia="宋体"/>
                <w:color w:val="auto"/>
                <w:kern w:val="0"/>
                <w:sz w:val="21"/>
                <w:szCs w:val="21"/>
                <w14:ligatures w14:val="none"/>
              </w:rPr>
              <w:t>数量</w:t>
            </w:r>
          </w:p>
        </w:tc>
        <w:tc>
          <w:tcPr>
            <w:tcW w:w="3383" w:type="dxa"/>
            <w:gridSpan w:val="4"/>
            <w:tcBorders>
              <w:top w:val="single" w:color="auto" w:sz="12" w:space="0"/>
              <w:left w:val="single" w:color="auto" w:sz="6" w:space="0"/>
              <w:bottom w:val="single" w:color="auto" w:sz="6" w:space="0"/>
              <w:right w:val="single" w:color="auto" w:sz="12" w:space="0"/>
            </w:tcBorders>
            <w:shd w:val="clear" w:color="auto" w:fill="auto"/>
            <w:vAlign w:val="center"/>
          </w:tcPr>
          <w:p>
            <w:pPr>
              <w:widowControl/>
              <w:jc w:val="center"/>
              <w:rPr>
                <w:rFonts w:hint="eastAsia" w:ascii="宋体" w:hAnsi="宋体" w:eastAsia="宋体"/>
                <w:color w:val="auto"/>
                <w:kern w:val="0"/>
                <w:sz w:val="21"/>
                <w:szCs w:val="21"/>
                <w14:ligatures w14:val="none"/>
              </w:rPr>
            </w:pPr>
            <w:r>
              <w:rPr>
                <w:rFonts w:hint="eastAsia" w:ascii="宋体" w:hAnsi="宋体" w:eastAsia="宋体"/>
                <w:color w:val="auto"/>
                <w:kern w:val="0"/>
                <w:sz w:val="21"/>
                <w:szCs w:val="21"/>
                <w14:ligatures w14:val="none"/>
              </w:rPr>
              <w:t>质量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37" w:hRule="exact"/>
        </w:trPr>
        <w:tc>
          <w:tcPr>
            <w:tcW w:w="1809" w:type="dxa"/>
            <w:gridSpan w:val="2"/>
            <w:vMerge w:val="continue"/>
            <w:tcBorders>
              <w:top w:val="single" w:color="auto" w:sz="12" w:space="0"/>
              <w:left w:val="single" w:color="auto" w:sz="12" w:space="0"/>
              <w:bottom w:val="single" w:color="auto" w:sz="6" w:space="0"/>
              <w:right w:val="single" w:color="auto" w:sz="6" w:space="0"/>
            </w:tcBorders>
            <w:shd w:val="clear" w:color="auto" w:fill="auto"/>
            <w:vAlign w:val="center"/>
          </w:tcPr>
          <w:p>
            <w:pPr>
              <w:widowControl/>
              <w:jc w:val="center"/>
              <w:rPr>
                <w:rFonts w:hint="eastAsia" w:ascii="宋体" w:hAnsi="宋体" w:eastAsia="宋体"/>
                <w:color w:val="auto"/>
                <w:kern w:val="0"/>
                <w:sz w:val="21"/>
                <w:szCs w:val="21"/>
                <w14:ligatures w14:val="none"/>
              </w:rPr>
            </w:pPr>
          </w:p>
        </w:tc>
        <w:tc>
          <w:tcPr>
            <w:tcW w:w="772"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center"/>
              <w:rPr>
                <w:rFonts w:hint="eastAsia" w:ascii="宋体" w:hAnsi="宋体" w:eastAsia="宋体"/>
                <w:color w:val="auto"/>
                <w:kern w:val="0"/>
                <w:sz w:val="21"/>
                <w:szCs w:val="21"/>
                <w14:ligatures w14:val="none"/>
              </w:rPr>
            </w:pPr>
            <w:r>
              <w:rPr>
                <w:rFonts w:hint="eastAsia" w:ascii="宋体" w:hAnsi="宋体" w:eastAsia="宋体"/>
                <w:color w:val="auto"/>
                <w:kern w:val="0"/>
                <w:sz w:val="21"/>
                <w:szCs w:val="21"/>
                <w14:ligatures w14:val="none"/>
              </w:rPr>
              <w:t>γ，%</w:t>
            </w:r>
          </w:p>
        </w:tc>
        <w:tc>
          <w:tcPr>
            <w:tcW w:w="956"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center"/>
              <w:rPr>
                <w:rFonts w:hint="eastAsia" w:ascii="宋体" w:hAnsi="宋体" w:eastAsia="宋体"/>
                <w:color w:val="auto"/>
                <w:kern w:val="0"/>
                <w:sz w:val="21"/>
                <w:szCs w:val="21"/>
                <w14:ligatures w14:val="none"/>
              </w:rPr>
            </w:pPr>
            <w:r>
              <w:rPr>
                <w:rFonts w:hint="eastAsia" w:ascii="宋体" w:hAnsi="宋体" w:eastAsia="宋体"/>
                <w:color w:val="auto"/>
                <w:kern w:val="0"/>
                <w:sz w:val="21"/>
                <w:szCs w:val="21"/>
                <w14:ligatures w14:val="none"/>
              </w:rPr>
              <w:t>（t/h）</w:t>
            </w:r>
          </w:p>
        </w:tc>
        <w:tc>
          <w:tcPr>
            <w:tcW w:w="1099"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center"/>
              <w:rPr>
                <w:rFonts w:hint="eastAsia" w:ascii="宋体" w:hAnsi="宋体" w:eastAsia="宋体"/>
                <w:color w:val="auto"/>
                <w:kern w:val="0"/>
                <w:sz w:val="21"/>
                <w:szCs w:val="21"/>
                <w14:ligatures w14:val="none"/>
              </w:rPr>
            </w:pPr>
            <w:r>
              <w:rPr>
                <w:rFonts w:hint="eastAsia" w:ascii="宋体" w:hAnsi="宋体" w:eastAsia="宋体"/>
                <w:color w:val="auto"/>
                <w:kern w:val="0"/>
                <w:sz w:val="21"/>
                <w:szCs w:val="21"/>
                <w14:ligatures w14:val="none"/>
              </w:rPr>
              <w:t>（t/d）</w:t>
            </w:r>
          </w:p>
        </w:tc>
        <w:tc>
          <w:tcPr>
            <w:tcW w:w="1267"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center"/>
              <w:rPr>
                <w:rFonts w:hint="eastAsia" w:ascii="宋体" w:hAnsi="宋体" w:eastAsia="宋体"/>
                <w:color w:val="auto"/>
                <w:kern w:val="0"/>
                <w:sz w:val="21"/>
                <w:szCs w:val="21"/>
                <w14:ligatures w14:val="none"/>
              </w:rPr>
            </w:pPr>
            <w:r>
              <w:rPr>
                <w:rFonts w:hint="eastAsia" w:ascii="宋体" w:hAnsi="宋体" w:eastAsia="宋体"/>
                <w:color w:val="auto"/>
                <w:kern w:val="0"/>
                <w:sz w:val="21"/>
                <w:szCs w:val="21"/>
                <w14:ligatures w14:val="none"/>
              </w:rPr>
              <w:t>（10kt/a）</w:t>
            </w:r>
          </w:p>
        </w:tc>
        <w:tc>
          <w:tcPr>
            <w:tcW w:w="793"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center"/>
              <w:rPr>
                <w:rFonts w:hint="eastAsia" w:ascii="宋体" w:hAnsi="宋体" w:eastAsia="宋体"/>
                <w:color w:val="auto"/>
                <w:kern w:val="0"/>
                <w:sz w:val="21"/>
                <w:szCs w:val="21"/>
                <w14:ligatures w14:val="none"/>
              </w:rPr>
            </w:pPr>
            <w:r>
              <w:rPr>
                <w:rFonts w:hint="eastAsia" w:ascii="宋体" w:hAnsi="宋体" w:eastAsia="宋体"/>
                <w:color w:val="auto"/>
                <w:kern w:val="0"/>
                <w:sz w:val="21"/>
                <w:szCs w:val="21"/>
                <w14:ligatures w14:val="none"/>
              </w:rPr>
              <w:t>Ad，%</w:t>
            </w:r>
          </w:p>
        </w:tc>
        <w:tc>
          <w:tcPr>
            <w:tcW w:w="802"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center"/>
              <w:rPr>
                <w:rFonts w:hint="eastAsia" w:ascii="宋体" w:hAnsi="宋体" w:eastAsia="宋体"/>
                <w:color w:val="auto"/>
                <w:kern w:val="0"/>
                <w:sz w:val="21"/>
                <w:szCs w:val="21"/>
                <w14:ligatures w14:val="none"/>
              </w:rPr>
            </w:pPr>
            <w:r>
              <w:rPr>
                <w:rFonts w:hint="eastAsia" w:ascii="宋体" w:hAnsi="宋体" w:eastAsia="宋体"/>
                <w:color w:val="auto"/>
                <w:kern w:val="0"/>
                <w:sz w:val="21"/>
                <w:szCs w:val="21"/>
                <w14:ligatures w14:val="none"/>
              </w:rPr>
              <w:t>Mf，%</w:t>
            </w:r>
          </w:p>
        </w:tc>
        <w:tc>
          <w:tcPr>
            <w:tcW w:w="828"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center"/>
              <w:rPr>
                <w:rFonts w:hint="eastAsia" w:ascii="宋体" w:hAnsi="宋体" w:eastAsia="宋体"/>
                <w:color w:val="auto"/>
                <w:kern w:val="0"/>
                <w:sz w:val="21"/>
                <w:szCs w:val="21"/>
                <w14:ligatures w14:val="none"/>
              </w:rPr>
            </w:pPr>
            <w:r>
              <w:rPr>
                <w:rFonts w:hint="eastAsia" w:ascii="宋体" w:hAnsi="宋体" w:eastAsia="宋体"/>
                <w:color w:val="auto"/>
                <w:kern w:val="0"/>
                <w:sz w:val="21"/>
                <w:szCs w:val="21"/>
                <w14:ligatures w14:val="none"/>
              </w:rPr>
              <w:t>Mt，%</w:t>
            </w:r>
          </w:p>
        </w:tc>
        <w:tc>
          <w:tcPr>
            <w:tcW w:w="960" w:type="dxa"/>
            <w:tcBorders>
              <w:top w:val="single" w:color="auto" w:sz="6" w:space="0"/>
              <w:left w:val="single" w:color="auto" w:sz="6" w:space="0"/>
              <w:bottom w:val="single" w:color="auto" w:sz="6" w:space="0"/>
              <w:right w:val="single" w:color="auto" w:sz="12" w:space="0"/>
            </w:tcBorders>
            <w:shd w:val="clear" w:color="auto" w:fill="auto"/>
            <w:vAlign w:val="center"/>
          </w:tcPr>
          <w:p>
            <w:pPr>
              <w:widowControl/>
              <w:jc w:val="center"/>
              <w:rPr>
                <w:rFonts w:hint="eastAsia" w:ascii="宋体" w:hAnsi="宋体" w:eastAsia="宋体"/>
                <w:color w:val="auto"/>
                <w:kern w:val="0"/>
                <w:sz w:val="21"/>
                <w:szCs w:val="21"/>
                <w14:ligatures w14:val="none"/>
              </w:rPr>
            </w:pPr>
            <w:r>
              <w:rPr>
                <w:rFonts w:hint="eastAsia" w:ascii="宋体" w:hAnsi="宋体" w:eastAsia="宋体"/>
                <w:color w:val="auto"/>
                <w:kern w:val="0"/>
                <w:sz w:val="21"/>
                <w:szCs w:val="21"/>
                <w14:ligatures w14:val="none"/>
              </w:rPr>
              <w:t>Qnet.ar</w:t>
            </w:r>
          </w:p>
          <w:p>
            <w:pPr>
              <w:widowControl/>
              <w:jc w:val="center"/>
              <w:rPr>
                <w:rFonts w:hint="eastAsia" w:ascii="宋体" w:hAnsi="宋体" w:eastAsia="宋体"/>
                <w:color w:val="auto"/>
                <w:kern w:val="0"/>
                <w:sz w:val="21"/>
                <w:szCs w:val="21"/>
                <w14:ligatures w14:val="none"/>
              </w:rPr>
            </w:pPr>
            <w:r>
              <w:rPr>
                <w:rFonts w:hint="eastAsia" w:ascii="宋体" w:hAnsi="宋体" w:eastAsia="宋体"/>
                <w:color w:val="auto"/>
                <w:kern w:val="0"/>
                <w:sz w:val="21"/>
                <w:szCs w:val="21"/>
                <w14:ligatures w14:val="none"/>
              </w:rPr>
              <w:t>kcal/kg</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trPr>
        <w:tc>
          <w:tcPr>
            <w:tcW w:w="636" w:type="dxa"/>
            <w:vMerge w:val="restart"/>
            <w:tcBorders>
              <w:top w:val="single" w:color="auto" w:sz="6" w:space="0"/>
              <w:left w:val="single" w:color="auto" w:sz="12" w:space="0"/>
              <w:bottom w:val="single" w:color="auto" w:sz="6" w:space="0"/>
              <w:right w:val="single" w:color="auto" w:sz="6" w:space="0"/>
            </w:tcBorders>
            <w:shd w:val="clear" w:color="auto" w:fill="auto"/>
            <w:vAlign w:val="center"/>
          </w:tcPr>
          <w:p>
            <w:pPr>
              <w:widowControl/>
              <w:jc w:val="center"/>
              <w:rPr>
                <w:rFonts w:hint="eastAsia" w:ascii="宋体" w:hAnsi="宋体" w:eastAsia="宋体"/>
                <w:color w:val="auto"/>
                <w:kern w:val="0"/>
                <w:sz w:val="21"/>
                <w:szCs w:val="21"/>
                <w14:ligatures w14:val="none"/>
              </w:rPr>
            </w:pPr>
            <w:r>
              <w:rPr>
                <w:rFonts w:hint="eastAsia" w:ascii="宋体" w:hAnsi="宋体" w:eastAsia="宋体"/>
                <w:color w:val="auto"/>
                <w:kern w:val="0"/>
                <w:sz w:val="21"/>
                <w:szCs w:val="21"/>
                <w14:ligatures w14:val="none"/>
              </w:rPr>
              <w:t>精煤</w:t>
            </w:r>
          </w:p>
        </w:tc>
        <w:tc>
          <w:tcPr>
            <w:tcW w:w="1173"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center"/>
              <w:rPr>
                <w:rFonts w:hint="eastAsia" w:ascii="宋体" w:hAnsi="宋体" w:eastAsia="宋体"/>
                <w:color w:val="auto"/>
                <w:kern w:val="0"/>
                <w:sz w:val="21"/>
                <w:szCs w:val="21"/>
                <w14:ligatures w14:val="none"/>
              </w:rPr>
            </w:pPr>
            <w:r>
              <w:rPr>
                <w:rFonts w:hint="eastAsia" w:ascii="宋体" w:hAnsi="宋体" w:eastAsia="宋体"/>
                <w:color w:val="auto"/>
                <w:kern w:val="0"/>
                <w:sz w:val="21"/>
                <w:szCs w:val="21"/>
                <w14:ligatures w14:val="none"/>
              </w:rPr>
              <w:t>块精煤</w:t>
            </w:r>
          </w:p>
        </w:tc>
        <w:tc>
          <w:tcPr>
            <w:tcW w:w="772"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center"/>
              <w:rPr>
                <w:rFonts w:hint="eastAsia" w:ascii="宋体" w:hAnsi="宋体" w:eastAsia="宋体"/>
                <w:color w:val="auto"/>
                <w:kern w:val="0"/>
                <w:sz w:val="21"/>
                <w:szCs w:val="21"/>
                <w14:ligatures w14:val="none"/>
              </w:rPr>
            </w:pPr>
            <w:r>
              <w:rPr>
                <w:rFonts w:hint="eastAsia" w:ascii="宋体" w:hAnsi="宋体" w:eastAsia="宋体"/>
                <w:color w:val="auto"/>
                <w:kern w:val="0"/>
                <w:sz w:val="21"/>
                <w:szCs w:val="21"/>
                <w14:ligatures w14:val="none"/>
              </w:rPr>
              <w:t>25.67</w:t>
            </w:r>
          </w:p>
        </w:tc>
        <w:tc>
          <w:tcPr>
            <w:tcW w:w="956"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center"/>
              <w:rPr>
                <w:rFonts w:hint="eastAsia" w:ascii="宋体" w:hAnsi="宋体" w:eastAsia="宋体"/>
                <w:color w:val="auto"/>
                <w:kern w:val="0"/>
                <w:sz w:val="21"/>
                <w:szCs w:val="21"/>
                <w14:ligatures w14:val="none"/>
              </w:rPr>
            </w:pPr>
            <w:r>
              <w:rPr>
                <w:rFonts w:hint="eastAsia" w:ascii="宋体" w:hAnsi="宋体" w:eastAsia="宋体"/>
                <w:color w:val="auto"/>
                <w:kern w:val="0"/>
                <w:sz w:val="21"/>
                <w:szCs w:val="21"/>
                <w14:ligatures w14:val="none"/>
              </w:rPr>
              <w:t>631.95</w:t>
            </w:r>
          </w:p>
        </w:tc>
        <w:tc>
          <w:tcPr>
            <w:tcW w:w="1099"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center"/>
              <w:rPr>
                <w:rFonts w:hint="eastAsia" w:ascii="宋体" w:hAnsi="宋体" w:eastAsia="宋体"/>
                <w:color w:val="auto"/>
                <w:kern w:val="0"/>
                <w:sz w:val="21"/>
                <w:szCs w:val="21"/>
                <w14:ligatures w14:val="none"/>
              </w:rPr>
            </w:pPr>
            <w:r>
              <w:rPr>
                <w:rFonts w:hint="eastAsia" w:ascii="宋体" w:hAnsi="宋体" w:eastAsia="宋体"/>
                <w:color w:val="auto"/>
                <w:kern w:val="0"/>
                <w:sz w:val="21"/>
                <w:szCs w:val="21"/>
                <w14:ligatures w14:val="none"/>
              </w:rPr>
              <w:t>10111.20</w:t>
            </w:r>
          </w:p>
        </w:tc>
        <w:tc>
          <w:tcPr>
            <w:tcW w:w="1267"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center"/>
              <w:rPr>
                <w:rFonts w:hint="eastAsia" w:ascii="宋体" w:hAnsi="宋体" w:eastAsia="宋体"/>
                <w:color w:val="auto"/>
                <w:kern w:val="0"/>
                <w:sz w:val="21"/>
                <w:szCs w:val="21"/>
                <w14:ligatures w14:val="none"/>
              </w:rPr>
            </w:pPr>
            <w:r>
              <w:rPr>
                <w:rFonts w:hint="eastAsia" w:ascii="宋体" w:hAnsi="宋体" w:eastAsia="宋体"/>
                <w:color w:val="auto"/>
                <w:kern w:val="0"/>
                <w:sz w:val="21"/>
                <w:szCs w:val="21"/>
                <w14:ligatures w14:val="none"/>
              </w:rPr>
              <w:t>333.67</w:t>
            </w:r>
          </w:p>
        </w:tc>
        <w:tc>
          <w:tcPr>
            <w:tcW w:w="793"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center"/>
              <w:rPr>
                <w:rFonts w:hint="eastAsia" w:ascii="宋体" w:hAnsi="宋体" w:eastAsia="宋体"/>
                <w:color w:val="auto"/>
                <w:kern w:val="0"/>
                <w:sz w:val="21"/>
                <w:szCs w:val="21"/>
                <w14:ligatures w14:val="none"/>
              </w:rPr>
            </w:pPr>
            <w:r>
              <w:rPr>
                <w:rFonts w:hint="eastAsia" w:ascii="宋体" w:hAnsi="宋体" w:eastAsia="宋体"/>
                <w:color w:val="auto"/>
                <w:kern w:val="0"/>
                <w:sz w:val="21"/>
                <w:szCs w:val="21"/>
                <w14:ligatures w14:val="none"/>
              </w:rPr>
              <w:t>7.76</w:t>
            </w:r>
          </w:p>
        </w:tc>
        <w:tc>
          <w:tcPr>
            <w:tcW w:w="802"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center"/>
              <w:rPr>
                <w:rFonts w:hint="eastAsia" w:ascii="宋体" w:hAnsi="宋体" w:eastAsia="宋体"/>
                <w:color w:val="auto"/>
                <w:kern w:val="0"/>
                <w:sz w:val="21"/>
                <w:szCs w:val="21"/>
                <w14:ligatures w14:val="none"/>
              </w:rPr>
            </w:pPr>
            <w:r>
              <w:rPr>
                <w:rFonts w:hint="eastAsia" w:ascii="宋体" w:hAnsi="宋体" w:eastAsia="宋体"/>
                <w:color w:val="auto"/>
                <w:kern w:val="0"/>
                <w:sz w:val="21"/>
                <w:szCs w:val="21"/>
                <w14:ligatures w14:val="none"/>
              </w:rPr>
              <w:t>7.00</w:t>
            </w:r>
          </w:p>
        </w:tc>
        <w:tc>
          <w:tcPr>
            <w:tcW w:w="828"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center"/>
              <w:rPr>
                <w:rFonts w:hint="eastAsia" w:ascii="宋体" w:hAnsi="宋体" w:eastAsia="宋体"/>
                <w:color w:val="auto"/>
                <w:kern w:val="0"/>
                <w:sz w:val="21"/>
                <w:szCs w:val="21"/>
                <w14:ligatures w14:val="none"/>
              </w:rPr>
            </w:pPr>
            <w:r>
              <w:rPr>
                <w:rFonts w:hint="eastAsia" w:ascii="宋体" w:hAnsi="宋体" w:eastAsia="宋体"/>
                <w:color w:val="auto"/>
                <w:kern w:val="0"/>
                <w:sz w:val="21"/>
                <w:szCs w:val="21"/>
                <w14:ligatures w14:val="none"/>
              </w:rPr>
              <w:t>11.00</w:t>
            </w:r>
          </w:p>
        </w:tc>
        <w:tc>
          <w:tcPr>
            <w:tcW w:w="960" w:type="dxa"/>
            <w:tcBorders>
              <w:top w:val="single" w:color="auto" w:sz="6" w:space="0"/>
              <w:left w:val="single" w:color="auto" w:sz="6" w:space="0"/>
              <w:bottom w:val="single" w:color="auto" w:sz="6" w:space="0"/>
              <w:right w:val="single" w:color="auto" w:sz="12" w:space="0"/>
            </w:tcBorders>
            <w:shd w:val="clear" w:color="auto" w:fill="auto"/>
            <w:vAlign w:val="center"/>
          </w:tcPr>
          <w:p>
            <w:pPr>
              <w:widowControl/>
              <w:jc w:val="center"/>
              <w:rPr>
                <w:rFonts w:hint="eastAsia" w:ascii="宋体" w:hAnsi="宋体" w:eastAsia="宋体"/>
                <w:color w:val="auto"/>
                <w:kern w:val="0"/>
                <w:sz w:val="21"/>
                <w:szCs w:val="21"/>
                <w14:ligatures w14:val="none"/>
              </w:rPr>
            </w:pPr>
            <w:r>
              <w:rPr>
                <w:rFonts w:hint="eastAsia" w:ascii="宋体" w:hAnsi="宋体" w:eastAsia="宋体"/>
                <w:color w:val="auto"/>
                <w:kern w:val="0"/>
                <w:sz w:val="21"/>
                <w:szCs w:val="21"/>
                <w14:ligatures w14:val="none"/>
              </w:rPr>
              <w:t>6287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trPr>
        <w:tc>
          <w:tcPr>
            <w:tcW w:w="636" w:type="dxa"/>
            <w:vMerge w:val="continue"/>
            <w:tcBorders>
              <w:top w:val="single" w:color="auto" w:sz="6" w:space="0"/>
              <w:left w:val="single" w:color="auto" w:sz="12" w:space="0"/>
              <w:bottom w:val="single" w:color="auto" w:sz="6" w:space="0"/>
              <w:right w:val="single" w:color="auto" w:sz="6" w:space="0"/>
            </w:tcBorders>
            <w:shd w:val="clear" w:color="auto" w:fill="auto"/>
            <w:vAlign w:val="center"/>
          </w:tcPr>
          <w:p>
            <w:pPr>
              <w:widowControl/>
              <w:jc w:val="center"/>
              <w:rPr>
                <w:rFonts w:hint="eastAsia" w:ascii="宋体" w:hAnsi="宋体" w:eastAsia="宋体"/>
                <w:color w:val="auto"/>
                <w:kern w:val="0"/>
                <w:sz w:val="21"/>
                <w:szCs w:val="21"/>
                <w14:ligatures w14:val="none"/>
              </w:rPr>
            </w:pPr>
          </w:p>
        </w:tc>
        <w:tc>
          <w:tcPr>
            <w:tcW w:w="1173"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center"/>
              <w:rPr>
                <w:rFonts w:hint="eastAsia" w:ascii="宋体" w:hAnsi="宋体" w:eastAsia="宋体"/>
                <w:color w:val="auto"/>
                <w:kern w:val="0"/>
                <w:sz w:val="21"/>
                <w:szCs w:val="21"/>
                <w14:ligatures w14:val="none"/>
              </w:rPr>
            </w:pPr>
            <w:r>
              <w:rPr>
                <w:rFonts w:hint="eastAsia" w:ascii="宋体" w:hAnsi="宋体" w:eastAsia="宋体"/>
                <w:color w:val="auto"/>
                <w:kern w:val="0"/>
                <w:sz w:val="21"/>
                <w:szCs w:val="21"/>
                <w14:ligatures w14:val="none"/>
              </w:rPr>
              <w:t>末精煤</w:t>
            </w:r>
          </w:p>
        </w:tc>
        <w:tc>
          <w:tcPr>
            <w:tcW w:w="772"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center"/>
              <w:rPr>
                <w:rFonts w:hint="eastAsia" w:ascii="宋体" w:hAnsi="宋体" w:eastAsia="宋体"/>
                <w:color w:val="auto"/>
                <w:kern w:val="0"/>
                <w:sz w:val="21"/>
                <w:szCs w:val="21"/>
                <w14:ligatures w14:val="none"/>
              </w:rPr>
            </w:pPr>
            <w:r>
              <w:rPr>
                <w:rFonts w:hint="eastAsia" w:ascii="宋体" w:hAnsi="宋体" w:eastAsia="宋体"/>
                <w:color w:val="auto"/>
                <w:kern w:val="0"/>
                <w:sz w:val="21"/>
                <w:szCs w:val="21"/>
                <w14:ligatures w14:val="none"/>
              </w:rPr>
              <w:t>19.64</w:t>
            </w:r>
          </w:p>
        </w:tc>
        <w:tc>
          <w:tcPr>
            <w:tcW w:w="956"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center"/>
              <w:rPr>
                <w:rFonts w:hint="eastAsia" w:ascii="宋体" w:hAnsi="宋体" w:eastAsia="宋体"/>
                <w:color w:val="auto"/>
                <w:kern w:val="0"/>
                <w:sz w:val="21"/>
                <w:szCs w:val="21"/>
                <w14:ligatures w14:val="none"/>
              </w:rPr>
            </w:pPr>
            <w:r>
              <w:rPr>
                <w:rFonts w:hint="eastAsia" w:ascii="宋体" w:hAnsi="宋体" w:eastAsia="宋体"/>
                <w:color w:val="auto"/>
                <w:kern w:val="0"/>
                <w:sz w:val="21"/>
                <w:szCs w:val="21"/>
                <w14:ligatures w14:val="none"/>
              </w:rPr>
              <w:t>483.55</w:t>
            </w:r>
          </w:p>
        </w:tc>
        <w:tc>
          <w:tcPr>
            <w:tcW w:w="1099"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center"/>
              <w:rPr>
                <w:rFonts w:hint="eastAsia" w:ascii="宋体" w:hAnsi="宋体" w:eastAsia="宋体"/>
                <w:color w:val="auto"/>
                <w:kern w:val="0"/>
                <w:sz w:val="21"/>
                <w:szCs w:val="21"/>
                <w14:ligatures w14:val="none"/>
              </w:rPr>
            </w:pPr>
            <w:r>
              <w:rPr>
                <w:rFonts w:hint="eastAsia" w:ascii="宋体" w:hAnsi="宋体" w:eastAsia="宋体"/>
                <w:color w:val="auto"/>
                <w:kern w:val="0"/>
                <w:sz w:val="21"/>
                <w:szCs w:val="21"/>
                <w14:ligatures w14:val="none"/>
              </w:rPr>
              <w:t>7736.87</w:t>
            </w:r>
          </w:p>
        </w:tc>
        <w:tc>
          <w:tcPr>
            <w:tcW w:w="1267"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center"/>
              <w:rPr>
                <w:rFonts w:hint="eastAsia" w:ascii="宋体" w:hAnsi="宋体" w:eastAsia="宋体"/>
                <w:color w:val="auto"/>
                <w:kern w:val="0"/>
                <w:sz w:val="21"/>
                <w:szCs w:val="21"/>
                <w14:ligatures w14:val="none"/>
              </w:rPr>
            </w:pPr>
            <w:r>
              <w:rPr>
                <w:rFonts w:hint="eastAsia" w:ascii="宋体" w:hAnsi="宋体" w:eastAsia="宋体"/>
                <w:color w:val="auto"/>
                <w:kern w:val="0"/>
                <w:sz w:val="21"/>
                <w:szCs w:val="21"/>
                <w14:ligatures w14:val="none"/>
              </w:rPr>
              <w:t>255.32</w:t>
            </w:r>
          </w:p>
        </w:tc>
        <w:tc>
          <w:tcPr>
            <w:tcW w:w="793"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center"/>
              <w:rPr>
                <w:rFonts w:hint="eastAsia" w:ascii="宋体" w:hAnsi="宋体" w:eastAsia="宋体"/>
                <w:color w:val="auto"/>
                <w:kern w:val="0"/>
                <w:sz w:val="21"/>
                <w:szCs w:val="21"/>
                <w14:ligatures w14:val="none"/>
              </w:rPr>
            </w:pPr>
            <w:r>
              <w:rPr>
                <w:rFonts w:hint="eastAsia" w:ascii="宋体" w:hAnsi="宋体" w:eastAsia="宋体"/>
                <w:color w:val="auto"/>
                <w:kern w:val="0"/>
                <w:sz w:val="21"/>
                <w:szCs w:val="21"/>
                <w14:ligatures w14:val="none"/>
              </w:rPr>
              <w:t>8.23</w:t>
            </w:r>
          </w:p>
        </w:tc>
        <w:tc>
          <w:tcPr>
            <w:tcW w:w="802"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center"/>
              <w:rPr>
                <w:rFonts w:hint="eastAsia" w:ascii="宋体" w:hAnsi="宋体" w:eastAsia="宋体"/>
                <w:color w:val="auto"/>
                <w:kern w:val="0"/>
                <w:sz w:val="21"/>
                <w:szCs w:val="21"/>
                <w14:ligatures w14:val="none"/>
              </w:rPr>
            </w:pPr>
            <w:r>
              <w:rPr>
                <w:rFonts w:hint="eastAsia" w:ascii="宋体" w:hAnsi="宋体" w:eastAsia="宋体"/>
                <w:color w:val="auto"/>
                <w:kern w:val="0"/>
                <w:sz w:val="21"/>
                <w:szCs w:val="21"/>
                <w14:ligatures w14:val="none"/>
              </w:rPr>
              <w:t>7.00</w:t>
            </w:r>
          </w:p>
        </w:tc>
        <w:tc>
          <w:tcPr>
            <w:tcW w:w="828"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center"/>
              <w:rPr>
                <w:rFonts w:hint="eastAsia" w:ascii="宋体" w:hAnsi="宋体" w:eastAsia="宋体"/>
                <w:color w:val="auto"/>
                <w:kern w:val="0"/>
                <w:sz w:val="21"/>
                <w:szCs w:val="21"/>
                <w14:ligatures w14:val="none"/>
              </w:rPr>
            </w:pPr>
            <w:r>
              <w:rPr>
                <w:rFonts w:hint="eastAsia" w:ascii="宋体" w:hAnsi="宋体" w:eastAsia="宋体"/>
                <w:color w:val="auto"/>
                <w:kern w:val="0"/>
                <w:sz w:val="21"/>
                <w:szCs w:val="21"/>
                <w14:ligatures w14:val="none"/>
              </w:rPr>
              <w:t>11.00</w:t>
            </w:r>
          </w:p>
        </w:tc>
        <w:tc>
          <w:tcPr>
            <w:tcW w:w="960" w:type="dxa"/>
            <w:tcBorders>
              <w:top w:val="single" w:color="auto" w:sz="6" w:space="0"/>
              <w:left w:val="single" w:color="auto" w:sz="6" w:space="0"/>
              <w:bottom w:val="single" w:color="auto" w:sz="6" w:space="0"/>
              <w:right w:val="single" w:color="auto" w:sz="12" w:space="0"/>
            </w:tcBorders>
            <w:shd w:val="clear" w:color="auto" w:fill="auto"/>
            <w:vAlign w:val="center"/>
          </w:tcPr>
          <w:p>
            <w:pPr>
              <w:widowControl/>
              <w:jc w:val="center"/>
              <w:rPr>
                <w:rFonts w:hint="eastAsia" w:ascii="宋体" w:hAnsi="宋体" w:eastAsia="宋体"/>
                <w:color w:val="auto"/>
                <w:kern w:val="0"/>
                <w:sz w:val="21"/>
                <w:szCs w:val="21"/>
                <w14:ligatures w14:val="none"/>
              </w:rPr>
            </w:pPr>
            <w:r>
              <w:rPr>
                <w:rFonts w:hint="eastAsia" w:ascii="宋体" w:hAnsi="宋体" w:eastAsia="宋体"/>
                <w:color w:val="auto"/>
                <w:kern w:val="0"/>
                <w:sz w:val="21"/>
                <w:szCs w:val="21"/>
                <w14:ligatures w14:val="none"/>
              </w:rPr>
              <w:t>6253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trPr>
        <w:tc>
          <w:tcPr>
            <w:tcW w:w="636" w:type="dxa"/>
            <w:vMerge w:val="continue"/>
            <w:tcBorders>
              <w:top w:val="single" w:color="auto" w:sz="6" w:space="0"/>
              <w:left w:val="single" w:color="auto" w:sz="12" w:space="0"/>
              <w:bottom w:val="single" w:color="auto" w:sz="6" w:space="0"/>
              <w:right w:val="single" w:color="auto" w:sz="6" w:space="0"/>
            </w:tcBorders>
            <w:shd w:val="clear" w:color="auto" w:fill="auto"/>
            <w:vAlign w:val="center"/>
          </w:tcPr>
          <w:p>
            <w:pPr>
              <w:widowControl/>
              <w:jc w:val="center"/>
              <w:rPr>
                <w:rFonts w:hint="eastAsia" w:ascii="宋体" w:hAnsi="宋体" w:eastAsia="宋体"/>
                <w:color w:val="auto"/>
                <w:kern w:val="0"/>
                <w:sz w:val="21"/>
                <w:szCs w:val="21"/>
                <w14:ligatures w14:val="none"/>
              </w:rPr>
            </w:pPr>
          </w:p>
        </w:tc>
        <w:tc>
          <w:tcPr>
            <w:tcW w:w="1173"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center"/>
              <w:rPr>
                <w:rFonts w:hint="eastAsia" w:ascii="宋体" w:hAnsi="宋体" w:eastAsia="宋体"/>
                <w:color w:val="auto"/>
                <w:kern w:val="0"/>
                <w:sz w:val="21"/>
                <w:szCs w:val="21"/>
                <w14:ligatures w14:val="none"/>
              </w:rPr>
            </w:pPr>
            <w:r>
              <w:rPr>
                <w:rFonts w:hint="eastAsia" w:ascii="宋体" w:hAnsi="宋体" w:eastAsia="宋体"/>
                <w:color w:val="auto"/>
                <w:kern w:val="0"/>
                <w:sz w:val="21"/>
                <w:szCs w:val="21"/>
                <w14:ligatures w14:val="none"/>
              </w:rPr>
              <w:t>小计</w:t>
            </w:r>
          </w:p>
        </w:tc>
        <w:tc>
          <w:tcPr>
            <w:tcW w:w="772"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center"/>
              <w:rPr>
                <w:rFonts w:hint="eastAsia" w:ascii="宋体" w:hAnsi="宋体" w:eastAsia="宋体"/>
                <w:color w:val="auto"/>
                <w:kern w:val="0"/>
                <w:sz w:val="21"/>
                <w:szCs w:val="21"/>
                <w14:ligatures w14:val="none"/>
              </w:rPr>
            </w:pPr>
            <w:r>
              <w:rPr>
                <w:rFonts w:hint="eastAsia" w:ascii="宋体" w:hAnsi="宋体" w:eastAsia="宋体"/>
                <w:color w:val="auto"/>
                <w:kern w:val="0"/>
                <w:sz w:val="21"/>
                <w:szCs w:val="21"/>
                <w14:ligatures w14:val="none"/>
              </w:rPr>
              <w:t>45.31</w:t>
            </w:r>
          </w:p>
        </w:tc>
        <w:tc>
          <w:tcPr>
            <w:tcW w:w="956"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center"/>
              <w:rPr>
                <w:rFonts w:hint="eastAsia" w:ascii="宋体" w:hAnsi="宋体" w:eastAsia="宋体"/>
                <w:color w:val="auto"/>
                <w:kern w:val="0"/>
                <w:sz w:val="21"/>
                <w:szCs w:val="21"/>
                <w14:ligatures w14:val="none"/>
              </w:rPr>
            </w:pPr>
            <w:r>
              <w:rPr>
                <w:rFonts w:hint="eastAsia" w:ascii="宋体" w:hAnsi="宋体" w:eastAsia="宋体"/>
                <w:color w:val="auto"/>
                <w:kern w:val="0"/>
                <w:sz w:val="21"/>
                <w:szCs w:val="21"/>
                <w14:ligatures w14:val="none"/>
              </w:rPr>
              <w:t>1115.50</w:t>
            </w:r>
          </w:p>
        </w:tc>
        <w:tc>
          <w:tcPr>
            <w:tcW w:w="1099"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center"/>
              <w:rPr>
                <w:rFonts w:hint="eastAsia" w:ascii="宋体" w:hAnsi="宋体" w:eastAsia="宋体"/>
                <w:color w:val="auto"/>
                <w:kern w:val="0"/>
                <w:sz w:val="21"/>
                <w:szCs w:val="21"/>
                <w14:ligatures w14:val="none"/>
              </w:rPr>
            </w:pPr>
            <w:r>
              <w:rPr>
                <w:rFonts w:hint="eastAsia" w:ascii="宋体" w:hAnsi="宋体" w:eastAsia="宋体"/>
                <w:color w:val="auto"/>
                <w:kern w:val="0"/>
                <w:sz w:val="21"/>
                <w:szCs w:val="21"/>
                <w14:ligatures w14:val="none"/>
              </w:rPr>
              <w:t>17848.07</w:t>
            </w:r>
          </w:p>
        </w:tc>
        <w:tc>
          <w:tcPr>
            <w:tcW w:w="1267"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center"/>
              <w:rPr>
                <w:rFonts w:hint="eastAsia" w:ascii="宋体" w:hAnsi="宋体" w:eastAsia="宋体"/>
                <w:color w:val="auto"/>
                <w:kern w:val="0"/>
                <w:sz w:val="21"/>
                <w:szCs w:val="21"/>
                <w14:ligatures w14:val="none"/>
              </w:rPr>
            </w:pPr>
            <w:r>
              <w:rPr>
                <w:rFonts w:hint="eastAsia" w:ascii="宋体" w:hAnsi="宋体" w:eastAsia="宋体"/>
                <w:color w:val="auto"/>
                <w:kern w:val="0"/>
                <w:sz w:val="21"/>
                <w:szCs w:val="21"/>
                <w14:ligatures w14:val="none"/>
              </w:rPr>
              <w:t>588.99</w:t>
            </w:r>
          </w:p>
        </w:tc>
        <w:tc>
          <w:tcPr>
            <w:tcW w:w="793"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center"/>
              <w:rPr>
                <w:rFonts w:hint="eastAsia" w:ascii="宋体" w:hAnsi="宋体" w:eastAsia="宋体"/>
                <w:color w:val="auto"/>
                <w:kern w:val="0"/>
                <w:sz w:val="21"/>
                <w:szCs w:val="21"/>
                <w14:ligatures w14:val="none"/>
              </w:rPr>
            </w:pPr>
            <w:r>
              <w:rPr>
                <w:rFonts w:hint="eastAsia" w:ascii="宋体" w:hAnsi="宋体" w:eastAsia="宋体"/>
                <w:color w:val="auto"/>
                <w:kern w:val="0"/>
                <w:sz w:val="21"/>
                <w:szCs w:val="21"/>
                <w14:ligatures w14:val="none"/>
              </w:rPr>
              <w:t>7.96</w:t>
            </w:r>
          </w:p>
        </w:tc>
        <w:tc>
          <w:tcPr>
            <w:tcW w:w="802"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center"/>
              <w:rPr>
                <w:rFonts w:hint="eastAsia" w:ascii="宋体" w:hAnsi="宋体" w:eastAsia="宋体"/>
                <w:color w:val="auto"/>
                <w:kern w:val="0"/>
                <w:sz w:val="21"/>
                <w:szCs w:val="21"/>
                <w14:ligatures w14:val="none"/>
              </w:rPr>
            </w:pPr>
          </w:p>
        </w:tc>
        <w:tc>
          <w:tcPr>
            <w:tcW w:w="828"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center"/>
              <w:rPr>
                <w:rFonts w:hint="eastAsia" w:ascii="宋体" w:hAnsi="宋体" w:eastAsia="宋体"/>
                <w:color w:val="auto"/>
                <w:kern w:val="0"/>
                <w:sz w:val="21"/>
                <w:szCs w:val="21"/>
                <w14:ligatures w14:val="none"/>
              </w:rPr>
            </w:pPr>
            <w:r>
              <w:rPr>
                <w:rFonts w:hint="eastAsia" w:ascii="宋体" w:hAnsi="宋体" w:eastAsia="宋体"/>
                <w:color w:val="auto"/>
                <w:kern w:val="0"/>
                <w:sz w:val="21"/>
                <w:szCs w:val="21"/>
                <w14:ligatures w14:val="none"/>
              </w:rPr>
              <w:t>11.00</w:t>
            </w:r>
          </w:p>
        </w:tc>
        <w:tc>
          <w:tcPr>
            <w:tcW w:w="960" w:type="dxa"/>
            <w:tcBorders>
              <w:top w:val="single" w:color="auto" w:sz="6" w:space="0"/>
              <w:left w:val="single" w:color="auto" w:sz="6" w:space="0"/>
              <w:bottom w:val="single" w:color="auto" w:sz="6" w:space="0"/>
              <w:right w:val="single" w:color="auto" w:sz="12" w:space="0"/>
            </w:tcBorders>
            <w:shd w:val="clear" w:color="auto" w:fill="auto"/>
            <w:vAlign w:val="center"/>
          </w:tcPr>
          <w:p>
            <w:pPr>
              <w:widowControl/>
              <w:jc w:val="center"/>
              <w:rPr>
                <w:rFonts w:hint="eastAsia" w:ascii="宋体" w:hAnsi="宋体" w:eastAsia="宋体"/>
                <w:color w:val="auto"/>
                <w:kern w:val="0"/>
                <w:sz w:val="21"/>
                <w:szCs w:val="21"/>
                <w14:ligatures w14:val="none"/>
              </w:rPr>
            </w:pPr>
            <w:r>
              <w:rPr>
                <w:rFonts w:hint="eastAsia" w:ascii="宋体" w:hAnsi="宋体" w:eastAsia="宋体"/>
                <w:color w:val="auto"/>
                <w:kern w:val="0"/>
                <w:sz w:val="21"/>
                <w:szCs w:val="21"/>
                <w14:ligatures w14:val="none"/>
              </w:rPr>
              <w:t>6272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trPr>
        <w:tc>
          <w:tcPr>
            <w:tcW w:w="636" w:type="dxa"/>
            <w:vMerge w:val="restart"/>
            <w:tcBorders>
              <w:top w:val="single" w:color="auto" w:sz="6" w:space="0"/>
              <w:left w:val="single" w:color="auto" w:sz="12" w:space="0"/>
              <w:bottom w:val="single" w:color="auto" w:sz="6" w:space="0"/>
              <w:right w:val="single" w:color="auto" w:sz="6" w:space="0"/>
            </w:tcBorders>
            <w:shd w:val="clear" w:color="auto" w:fill="auto"/>
            <w:vAlign w:val="center"/>
          </w:tcPr>
          <w:p>
            <w:pPr>
              <w:widowControl/>
              <w:jc w:val="center"/>
              <w:rPr>
                <w:rFonts w:hint="eastAsia" w:ascii="宋体" w:hAnsi="宋体" w:eastAsia="宋体"/>
                <w:color w:val="auto"/>
                <w:kern w:val="0"/>
                <w:sz w:val="21"/>
                <w:szCs w:val="21"/>
                <w14:ligatures w14:val="none"/>
              </w:rPr>
            </w:pPr>
            <w:r>
              <w:rPr>
                <w:rFonts w:hint="eastAsia" w:ascii="宋体" w:hAnsi="宋体" w:eastAsia="宋体"/>
                <w:color w:val="auto"/>
                <w:kern w:val="0"/>
                <w:sz w:val="21"/>
                <w:szCs w:val="21"/>
                <w14:ligatures w14:val="none"/>
              </w:rPr>
              <w:t>混煤</w:t>
            </w:r>
          </w:p>
        </w:tc>
        <w:tc>
          <w:tcPr>
            <w:tcW w:w="1173"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center"/>
              <w:rPr>
                <w:rFonts w:hint="eastAsia" w:ascii="宋体" w:hAnsi="宋体" w:eastAsia="宋体"/>
                <w:color w:val="auto"/>
                <w:kern w:val="0"/>
                <w:sz w:val="21"/>
                <w:szCs w:val="21"/>
                <w14:ligatures w14:val="none"/>
              </w:rPr>
            </w:pPr>
            <w:r>
              <w:rPr>
                <w:rFonts w:hint="eastAsia" w:ascii="宋体" w:hAnsi="宋体" w:eastAsia="宋体"/>
                <w:color w:val="auto"/>
                <w:kern w:val="0"/>
                <w:sz w:val="21"/>
                <w:szCs w:val="21"/>
                <w14:ligatures w14:val="none"/>
              </w:rPr>
              <w:t>末原煤</w:t>
            </w:r>
          </w:p>
        </w:tc>
        <w:tc>
          <w:tcPr>
            <w:tcW w:w="772"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center"/>
              <w:rPr>
                <w:rFonts w:hint="eastAsia" w:ascii="宋体" w:hAnsi="宋体" w:eastAsia="宋体"/>
                <w:color w:val="auto"/>
                <w:kern w:val="0"/>
                <w:sz w:val="21"/>
                <w:szCs w:val="21"/>
                <w14:ligatures w14:val="none"/>
              </w:rPr>
            </w:pPr>
            <w:r>
              <w:rPr>
                <w:rFonts w:hint="eastAsia" w:ascii="宋体" w:hAnsi="宋体" w:eastAsia="宋体"/>
                <w:color w:val="auto"/>
                <w:kern w:val="0"/>
                <w:sz w:val="21"/>
                <w:szCs w:val="21"/>
                <w14:ligatures w14:val="none"/>
              </w:rPr>
              <w:t>41.36</w:t>
            </w:r>
          </w:p>
        </w:tc>
        <w:tc>
          <w:tcPr>
            <w:tcW w:w="956"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center"/>
              <w:rPr>
                <w:rFonts w:hint="eastAsia" w:ascii="宋体" w:hAnsi="宋体" w:eastAsia="宋体"/>
                <w:color w:val="auto"/>
                <w:kern w:val="0"/>
                <w:sz w:val="21"/>
                <w:szCs w:val="21"/>
                <w14:ligatures w14:val="none"/>
              </w:rPr>
            </w:pPr>
            <w:r>
              <w:rPr>
                <w:rFonts w:hint="eastAsia" w:ascii="宋体" w:hAnsi="宋体" w:eastAsia="宋体"/>
                <w:color w:val="auto"/>
                <w:kern w:val="0"/>
                <w:sz w:val="21"/>
                <w:szCs w:val="21"/>
                <w14:ligatures w14:val="none"/>
              </w:rPr>
              <w:t>1018.40</w:t>
            </w:r>
          </w:p>
        </w:tc>
        <w:tc>
          <w:tcPr>
            <w:tcW w:w="1099"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center"/>
              <w:rPr>
                <w:rFonts w:hint="eastAsia" w:ascii="宋体" w:hAnsi="宋体" w:eastAsia="宋体"/>
                <w:color w:val="auto"/>
                <w:kern w:val="0"/>
                <w:sz w:val="21"/>
                <w:szCs w:val="21"/>
                <w14:ligatures w14:val="none"/>
              </w:rPr>
            </w:pPr>
            <w:r>
              <w:rPr>
                <w:rFonts w:hint="eastAsia" w:ascii="宋体" w:hAnsi="宋体" w:eastAsia="宋体"/>
                <w:color w:val="auto"/>
                <w:kern w:val="0"/>
                <w:sz w:val="21"/>
                <w:szCs w:val="21"/>
                <w14:ligatures w14:val="none"/>
              </w:rPr>
              <w:t>16294.36</w:t>
            </w:r>
          </w:p>
        </w:tc>
        <w:tc>
          <w:tcPr>
            <w:tcW w:w="1267"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center"/>
              <w:rPr>
                <w:rFonts w:hint="eastAsia" w:ascii="宋体" w:hAnsi="宋体" w:eastAsia="宋体"/>
                <w:color w:val="auto"/>
                <w:kern w:val="0"/>
                <w:sz w:val="21"/>
                <w:szCs w:val="21"/>
                <w14:ligatures w14:val="none"/>
              </w:rPr>
            </w:pPr>
            <w:r>
              <w:rPr>
                <w:rFonts w:hint="eastAsia" w:ascii="宋体" w:hAnsi="宋体" w:eastAsia="宋体"/>
                <w:color w:val="auto"/>
                <w:kern w:val="0"/>
                <w:sz w:val="21"/>
                <w:szCs w:val="21"/>
                <w14:ligatures w14:val="none"/>
              </w:rPr>
              <w:t>537.71</w:t>
            </w:r>
          </w:p>
        </w:tc>
        <w:tc>
          <w:tcPr>
            <w:tcW w:w="793"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center"/>
              <w:rPr>
                <w:rFonts w:hint="eastAsia" w:ascii="宋体" w:hAnsi="宋体" w:eastAsia="宋体"/>
                <w:color w:val="auto"/>
                <w:kern w:val="0"/>
                <w:sz w:val="21"/>
                <w:szCs w:val="21"/>
                <w14:ligatures w14:val="none"/>
              </w:rPr>
            </w:pPr>
            <w:r>
              <w:rPr>
                <w:rFonts w:hint="eastAsia" w:ascii="宋体" w:hAnsi="宋体" w:eastAsia="宋体"/>
                <w:color w:val="auto"/>
                <w:kern w:val="0"/>
                <w:sz w:val="21"/>
                <w:szCs w:val="21"/>
                <w14:ligatures w14:val="none"/>
              </w:rPr>
              <w:t>12.59</w:t>
            </w:r>
          </w:p>
        </w:tc>
        <w:tc>
          <w:tcPr>
            <w:tcW w:w="802"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center"/>
              <w:rPr>
                <w:rFonts w:hint="eastAsia" w:ascii="宋体" w:hAnsi="宋体" w:eastAsia="宋体"/>
                <w:color w:val="auto"/>
                <w:kern w:val="0"/>
                <w:sz w:val="21"/>
                <w:szCs w:val="21"/>
                <w14:ligatures w14:val="none"/>
              </w:rPr>
            </w:pPr>
            <w:r>
              <w:rPr>
                <w:rFonts w:hint="eastAsia" w:ascii="宋体" w:hAnsi="宋体" w:eastAsia="宋体"/>
                <w:color w:val="auto"/>
                <w:kern w:val="0"/>
                <w:sz w:val="21"/>
                <w:szCs w:val="21"/>
                <w14:ligatures w14:val="none"/>
              </w:rPr>
              <w:t>7.28</w:t>
            </w:r>
          </w:p>
        </w:tc>
        <w:tc>
          <w:tcPr>
            <w:tcW w:w="828"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center"/>
              <w:rPr>
                <w:rFonts w:hint="eastAsia" w:ascii="宋体" w:hAnsi="宋体" w:eastAsia="宋体"/>
                <w:color w:val="auto"/>
                <w:kern w:val="0"/>
                <w:sz w:val="21"/>
                <w:szCs w:val="21"/>
                <w14:ligatures w14:val="none"/>
              </w:rPr>
            </w:pPr>
            <w:r>
              <w:rPr>
                <w:rFonts w:hint="eastAsia" w:ascii="宋体" w:hAnsi="宋体" w:eastAsia="宋体"/>
                <w:color w:val="auto"/>
                <w:kern w:val="0"/>
                <w:sz w:val="21"/>
                <w:szCs w:val="21"/>
                <w14:ligatures w14:val="none"/>
              </w:rPr>
              <w:t>11.28</w:t>
            </w:r>
          </w:p>
        </w:tc>
        <w:tc>
          <w:tcPr>
            <w:tcW w:w="960" w:type="dxa"/>
            <w:tcBorders>
              <w:top w:val="single" w:color="auto" w:sz="6" w:space="0"/>
              <w:left w:val="single" w:color="auto" w:sz="6" w:space="0"/>
              <w:bottom w:val="single" w:color="auto" w:sz="6" w:space="0"/>
              <w:right w:val="single" w:color="auto" w:sz="12" w:space="0"/>
            </w:tcBorders>
            <w:shd w:val="clear" w:color="auto" w:fill="auto"/>
            <w:vAlign w:val="center"/>
          </w:tcPr>
          <w:p>
            <w:pPr>
              <w:widowControl/>
              <w:jc w:val="center"/>
              <w:rPr>
                <w:rFonts w:hint="eastAsia" w:ascii="宋体" w:hAnsi="宋体" w:eastAsia="宋体"/>
                <w:color w:val="auto"/>
                <w:kern w:val="0"/>
                <w:sz w:val="21"/>
                <w:szCs w:val="21"/>
                <w14:ligatures w14:val="none"/>
              </w:rPr>
            </w:pPr>
            <w:r>
              <w:rPr>
                <w:rFonts w:hint="eastAsia" w:ascii="宋体" w:hAnsi="宋体" w:eastAsia="宋体"/>
                <w:color w:val="auto"/>
                <w:kern w:val="0"/>
                <w:sz w:val="21"/>
                <w:szCs w:val="21"/>
                <w14:ligatures w14:val="none"/>
              </w:rPr>
              <w:t>5711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trPr>
        <w:tc>
          <w:tcPr>
            <w:tcW w:w="636" w:type="dxa"/>
            <w:vMerge w:val="continue"/>
            <w:tcBorders>
              <w:top w:val="single" w:color="auto" w:sz="6" w:space="0"/>
              <w:left w:val="single" w:color="auto" w:sz="12" w:space="0"/>
              <w:bottom w:val="single" w:color="auto" w:sz="6" w:space="0"/>
              <w:right w:val="single" w:color="auto" w:sz="6" w:space="0"/>
            </w:tcBorders>
            <w:shd w:val="clear" w:color="auto" w:fill="auto"/>
            <w:vAlign w:val="center"/>
          </w:tcPr>
          <w:p>
            <w:pPr>
              <w:widowControl/>
              <w:jc w:val="center"/>
              <w:rPr>
                <w:rFonts w:hint="eastAsia" w:ascii="宋体" w:hAnsi="宋体" w:eastAsia="宋体"/>
                <w:color w:val="auto"/>
                <w:kern w:val="0"/>
                <w:sz w:val="21"/>
                <w:szCs w:val="21"/>
                <w14:ligatures w14:val="none"/>
              </w:rPr>
            </w:pPr>
          </w:p>
        </w:tc>
        <w:tc>
          <w:tcPr>
            <w:tcW w:w="1173"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center"/>
              <w:rPr>
                <w:rFonts w:hint="eastAsia" w:ascii="宋体" w:hAnsi="宋体" w:eastAsia="宋体"/>
                <w:color w:val="auto"/>
                <w:kern w:val="0"/>
                <w:sz w:val="21"/>
                <w:szCs w:val="21"/>
                <w14:ligatures w14:val="none"/>
              </w:rPr>
            </w:pPr>
            <w:r>
              <w:rPr>
                <w:rFonts w:hint="eastAsia" w:ascii="宋体" w:hAnsi="宋体" w:eastAsia="宋体"/>
                <w:color w:val="auto"/>
                <w:kern w:val="0"/>
                <w:sz w:val="21"/>
                <w:szCs w:val="21"/>
                <w14:ligatures w14:val="none"/>
              </w:rPr>
              <w:t>粗煤泥</w:t>
            </w:r>
          </w:p>
        </w:tc>
        <w:tc>
          <w:tcPr>
            <w:tcW w:w="772"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center"/>
              <w:rPr>
                <w:rFonts w:hint="eastAsia" w:ascii="宋体" w:hAnsi="宋体" w:eastAsia="宋体"/>
                <w:color w:val="auto"/>
                <w:kern w:val="0"/>
                <w:sz w:val="21"/>
                <w:szCs w:val="21"/>
                <w14:ligatures w14:val="none"/>
              </w:rPr>
            </w:pPr>
            <w:r>
              <w:rPr>
                <w:rFonts w:hint="eastAsia" w:ascii="宋体" w:hAnsi="宋体" w:eastAsia="宋体"/>
                <w:color w:val="auto"/>
                <w:kern w:val="0"/>
                <w:sz w:val="21"/>
                <w:szCs w:val="21"/>
                <w14:ligatures w14:val="none"/>
              </w:rPr>
              <w:t>4.24</w:t>
            </w:r>
          </w:p>
        </w:tc>
        <w:tc>
          <w:tcPr>
            <w:tcW w:w="956"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center"/>
              <w:rPr>
                <w:rFonts w:hint="eastAsia" w:ascii="宋体" w:hAnsi="宋体" w:eastAsia="宋体"/>
                <w:color w:val="auto"/>
                <w:kern w:val="0"/>
                <w:sz w:val="21"/>
                <w:szCs w:val="21"/>
                <w14:ligatures w14:val="none"/>
              </w:rPr>
            </w:pPr>
            <w:r>
              <w:rPr>
                <w:rFonts w:hint="eastAsia" w:ascii="宋体" w:hAnsi="宋体" w:eastAsia="宋体"/>
                <w:color w:val="auto"/>
                <w:kern w:val="0"/>
                <w:sz w:val="21"/>
                <w:szCs w:val="21"/>
                <w14:ligatures w14:val="none"/>
              </w:rPr>
              <w:t>104.36</w:t>
            </w:r>
          </w:p>
        </w:tc>
        <w:tc>
          <w:tcPr>
            <w:tcW w:w="1099"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center"/>
              <w:rPr>
                <w:rFonts w:hint="eastAsia" w:ascii="宋体" w:hAnsi="宋体" w:eastAsia="宋体"/>
                <w:color w:val="auto"/>
                <w:kern w:val="0"/>
                <w:sz w:val="21"/>
                <w:szCs w:val="21"/>
                <w14:ligatures w14:val="none"/>
              </w:rPr>
            </w:pPr>
            <w:r>
              <w:rPr>
                <w:rFonts w:hint="eastAsia" w:ascii="宋体" w:hAnsi="宋体" w:eastAsia="宋体"/>
                <w:color w:val="auto"/>
                <w:kern w:val="0"/>
                <w:sz w:val="21"/>
                <w:szCs w:val="21"/>
                <w14:ligatures w14:val="none"/>
              </w:rPr>
              <w:t>1669.79</w:t>
            </w:r>
          </w:p>
        </w:tc>
        <w:tc>
          <w:tcPr>
            <w:tcW w:w="1267"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center"/>
              <w:rPr>
                <w:rFonts w:hint="eastAsia" w:ascii="宋体" w:hAnsi="宋体" w:eastAsia="宋体"/>
                <w:color w:val="auto"/>
                <w:kern w:val="0"/>
                <w:sz w:val="21"/>
                <w:szCs w:val="21"/>
                <w14:ligatures w14:val="none"/>
              </w:rPr>
            </w:pPr>
            <w:r>
              <w:rPr>
                <w:rFonts w:hint="eastAsia" w:ascii="宋体" w:hAnsi="宋体" w:eastAsia="宋体"/>
                <w:color w:val="auto"/>
                <w:kern w:val="0"/>
                <w:sz w:val="21"/>
                <w:szCs w:val="21"/>
                <w14:ligatures w14:val="none"/>
              </w:rPr>
              <w:t>55.10</w:t>
            </w:r>
          </w:p>
        </w:tc>
        <w:tc>
          <w:tcPr>
            <w:tcW w:w="793"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center"/>
              <w:rPr>
                <w:rFonts w:hint="eastAsia" w:ascii="宋体" w:hAnsi="宋体" w:eastAsia="宋体"/>
                <w:color w:val="auto"/>
                <w:kern w:val="0"/>
                <w:sz w:val="21"/>
                <w:szCs w:val="21"/>
                <w14:ligatures w14:val="none"/>
              </w:rPr>
            </w:pPr>
            <w:r>
              <w:rPr>
                <w:rFonts w:hint="eastAsia" w:ascii="宋体" w:hAnsi="宋体" w:eastAsia="宋体"/>
                <w:color w:val="auto"/>
                <w:kern w:val="0"/>
                <w:sz w:val="21"/>
                <w:szCs w:val="21"/>
                <w14:ligatures w14:val="none"/>
              </w:rPr>
              <w:t>13.88</w:t>
            </w:r>
          </w:p>
        </w:tc>
        <w:tc>
          <w:tcPr>
            <w:tcW w:w="802"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center"/>
              <w:rPr>
                <w:rFonts w:hint="eastAsia" w:ascii="宋体" w:hAnsi="宋体" w:eastAsia="宋体"/>
                <w:color w:val="auto"/>
                <w:kern w:val="0"/>
                <w:sz w:val="21"/>
                <w:szCs w:val="21"/>
                <w14:ligatures w14:val="none"/>
              </w:rPr>
            </w:pPr>
            <w:r>
              <w:rPr>
                <w:rFonts w:hint="eastAsia" w:ascii="宋体" w:hAnsi="宋体" w:eastAsia="宋体"/>
                <w:color w:val="auto"/>
                <w:kern w:val="0"/>
                <w:sz w:val="21"/>
                <w:szCs w:val="21"/>
                <w14:ligatures w14:val="none"/>
              </w:rPr>
              <w:t>17.00</w:t>
            </w:r>
          </w:p>
        </w:tc>
        <w:tc>
          <w:tcPr>
            <w:tcW w:w="828"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center"/>
              <w:rPr>
                <w:rFonts w:hint="eastAsia" w:ascii="宋体" w:hAnsi="宋体" w:eastAsia="宋体"/>
                <w:color w:val="auto"/>
                <w:kern w:val="0"/>
                <w:sz w:val="21"/>
                <w:szCs w:val="21"/>
                <w14:ligatures w14:val="none"/>
              </w:rPr>
            </w:pPr>
            <w:r>
              <w:rPr>
                <w:rFonts w:hint="eastAsia" w:ascii="宋体" w:hAnsi="宋体" w:eastAsia="宋体"/>
                <w:color w:val="auto"/>
                <w:kern w:val="0"/>
                <w:sz w:val="21"/>
                <w:szCs w:val="21"/>
                <w14:ligatures w14:val="none"/>
              </w:rPr>
              <w:t>21.00</w:t>
            </w:r>
          </w:p>
        </w:tc>
        <w:tc>
          <w:tcPr>
            <w:tcW w:w="960" w:type="dxa"/>
            <w:tcBorders>
              <w:top w:val="single" w:color="auto" w:sz="6" w:space="0"/>
              <w:left w:val="single" w:color="auto" w:sz="6" w:space="0"/>
              <w:bottom w:val="single" w:color="auto" w:sz="6" w:space="0"/>
              <w:right w:val="single" w:color="auto" w:sz="12" w:space="0"/>
            </w:tcBorders>
            <w:shd w:val="clear" w:color="auto" w:fill="auto"/>
            <w:vAlign w:val="center"/>
          </w:tcPr>
          <w:p>
            <w:pPr>
              <w:widowControl/>
              <w:jc w:val="center"/>
              <w:rPr>
                <w:rFonts w:hint="eastAsia" w:ascii="宋体" w:hAnsi="宋体" w:eastAsia="宋体"/>
                <w:color w:val="auto"/>
                <w:kern w:val="0"/>
                <w:sz w:val="21"/>
                <w:szCs w:val="21"/>
                <w14:ligatures w14:val="none"/>
              </w:rPr>
            </w:pPr>
            <w:r>
              <w:rPr>
                <w:rFonts w:hint="eastAsia" w:ascii="宋体" w:hAnsi="宋体" w:eastAsia="宋体"/>
                <w:color w:val="auto"/>
                <w:kern w:val="0"/>
                <w:sz w:val="21"/>
                <w:szCs w:val="21"/>
                <w14:ligatures w14:val="none"/>
              </w:rPr>
              <w:t>4996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trPr>
        <w:tc>
          <w:tcPr>
            <w:tcW w:w="636" w:type="dxa"/>
            <w:vMerge w:val="continue"/>
            <w:tcBorders>
              <w:top w:val="single" w:color="auto" w:sz="6" w:space="0"/>
              <w:left w:val="single" w:color="auto" w:sz="12" w:space="0"/>
              <w:bottom w:val="single" w:color="auto" w:sz="6" w:space="0"/>
              <w:right w:val="single" w:color="auto" w:sz="6" w:space="0"/>
            </w:tcBorders>
            <w:shd w:val="clear" w:color="auto" w:fill="auto"/>
            <w:vAlign w:val="center"/>
          </w:tcPr>
          <w:p>
            <w:pPr>
              <w:widowControl/>
              <w:jc w:val="center"/>
              <w:rPr>
                <w:rFonts w:hint="eastAsia" w:ascii="宋体" w:hAnsi="宋体" w:eastAsia="宋体"/>
                <w:color w:val="auto"/>
                <w:kern w:val="0"/>
                <w:sz w:val="21"/>
                <w:szCs w:val="21"/>
                <w14:ligatures w14:val="none"/>
              </w:rPr>
            </w:pPr>
          </w:p>
        </w:tc>
        <w:tc>
          <w:tcPr>
            <w:tcW w:w="1173"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center"/>
              <w:rPr>
                <w:rFonts w:hint="eastAsia" w:ascii="宋体" w:hAnsi="宋体" w:eastAsia="宋体"/>
                <w:color w:val="auto"/>
                <w:kern w:val="0"/>
                <w:sz w:val="21"/>
                <w:szCs w:val="21"/>
                <w14:ligatures w14:val="none"/>
              </w:rPr>
            </w:pPr>
            <w:r>
              <w:rPr>
                <w:rFonts w:hint="eastAsia" w:ascii="宋体" w:hAnsi="宋体" w:eastAsia="宋体"/>
                <w:color w:val="auto"/>
                <w:kern w:val="0"/>
                <w:sz w:val="21"/>
                <w:szCs w:val="21"/>
                <w14:ligatures w14:val="none"/>
              </w:rPr>
              <w:t>加压煤泥</w:t>
            </w:r>
          </w:p>
        </w:tc>
        <w:tc>
          <w:tcPr>
            <w:tcW w:w="772"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center"/>
              <w:rPr>
                <w:rFonts w:hint="eastAsia" w:ascii="宋体" w:hAnsi="宋体" w:eastAsia="宋体"/>
                <w:color w:val="auto"/>
                <w:kern w:val="0"/>
                <w:sz w:val="21"/>
                <w:szCs w:val="21"/>
                <w14:ligatures w14:val="none"/>
              </w:rPr>
            </w:pPr>
            <w:r>
              <w:rPr>
                <w:rFonts w:hint="eastAsia" w:ascii="宋体" w:hAnsi="宋体" w:eastAsia="宋体"/>
                <w:color w:val="auto"/>
                <w:kern w:val="0"/>
                <w:sz w:val="21"/>
                <w:szCs w:val="21"/>
                <w14:ligatures w14:val="none"/>
              </w:rPr>
              <w:t>1.27</w:t>
            </w:r>
          </w:p>
        </w:tc>
        <w:tc>
          <w:tcPr>
            <w:tcW w:w="956"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center"/>
              <w:rPr>
                <w:rFonts w:hint="eastAsia" w:ascii="宋体" w:hAnsi="宋体" w:eastAsia="宋体"/>
                <w:color w:val="auto"/>
                <w:kern w:val="0"/>
                <w:sz w:val="21"/>
                <w:szCs w:val="21"/>
                <w14:ligatures w14:val="none"/>
              </w:rPr>
            </w:pPr>
            <w:r>
              <w:rPr>
                <w:rFonts w:hint="eastAsia" w:ascii="宋体" w:hAnsi="宋体" w:eastAsia="宋体"/>
                <w:color w:val="auto"/>
                <w:kern w:val="0"/>
                <w:sz w:val="21"/>
                <w:szCs w:val="21"/>
                <w14:ligatures w14:val="none"/>
              </w:rPr>
              <w:t>31.22</w:t>
            </w:r>
          </w:p>
        </w:tc>
        <w:tc>
          <w:tcPr>
            <w:tcW w:w="1099"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center"/>
              <w:rPr>
                <w:rFonts w:hint="eastAsia" w:ascii="宋体" w:hAnsi="宋体" w:eastAsia="宋体"/>
                <w:color w:val="auto"/>
                <w:kern w:val="0"/>
                <w:sz w:val="21"/>
                <w:szCs w:val="21"/>
                <w14:ligatures w14:val="none"/>
              </w:rPr>
            </w:pPr>
            <w:r>
              <w:rPr>
                <w:rFonts w:hint="eastAsia" w:ascii="宋体" w:hAnsi="宋体" w:eastAsia="宋体"/>
                <w:color w:val="auto"/>
                <w:kern w:val="0"/>
                <w:sz w:val="21"/>
                <w:szCs w:val="21"/>
                <w14:ligatures w14:val="none"/>
              </w:rPr>
              <w:t>499.54</w:t>
            </w:r>
          </w:p>
        </w:tc>
        <w:tc>
          <w:tcPr>
            <w:tcW w:w="1267"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center"/>
              <w:rPr>
                <w:rFonts w:hint="eastAsia" w:ascii="宋体" w:hAnsi="宋体" w:eastAsia="宋体"/>
                <w:color w:val="auto"/>
                <w:kern w:val="0"/>
                <w:sz w:val="21"/>
                <w:szCs w:val="21"/>
                <w14:ligatures w14:val="none"/>
              </w:rPr>
            </w:pPr>
            <w:r>
              <w:rPr>
                <w:rFonts w:hint="eastAsia" w:ascii="宋体" w:hAnsi="宋体" w:eastAsia="宋体"/>
                <w:color w:val="auto"/>
                <w:kern w:val="0"/>
                <w:sz w:val="21"/>
                <w:szCs w:val="21"/>
                <w14:ligatures w14:val="none"/>
              </w:rPr>
              <w:t>16.48</w:t>
            </w:r>
          </w:p>
        </w:tc>
        <w:tc>
          <w:tcPr>
            <w:tcW w:w="793"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center"/>
              <w:rPr>
                <w:rFonts w:hint="eastAsia" w:ascii="宋体" w:hAnsi="宋体" w:eastAsia="宋体"/>
                <w:color w:val="auto"/>
                <w:kern w:val="0"/>
                <w:sz w:val="21"/>
                <w:szCs w:val="21"/>
                <w14:ligatures w14:val="none"/>
              </w:rPr>
            </w:pPr>
            <w:r>
              <w:rPr>
                <w:rFonts w:hint="eastAsia" w:ascii="宋体" w:hAnsi="宋体" w:eastAsia="宋体"/>
                <w:color w:val="auto"/>
                <w:kern w:val="0"/>
                <w:sz w:val="21"/>
                <w:szCs w:val="21"/>
                <w14:ligatures w14:val="none"/>
              </w:rPr>
              <w:t>17.27</w:t>
            </w:r>
          </w:p>
        </w:tc>
        <w:tc>
          <w:tcPr>
            <w:tcW w:w="802"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center"/>
              <w:rPr>
                <w:rFonts w:hint="eastAsia" w:ascii="宋体" w:hAnsi="宋体" w:eastAsia="宋体"/>
                <w:color w:val="auto"/>
                <w:kern w:val="0"/>
                <w:sz w:val="21"/>
                <w:szCs w:val="21"/>
                <w14:ligatures w14:val="none"/>
              </w:rPr>
            </w:pPr>
            <w:r>
              <w:rPr>
                <w:rFonts w:hint="eastAsia" w:ascii="宋体" w:hAnsi="宋体" w:eastAsia="宋体"/>
                <w:color w:val="auto"/>
                <w:kern w:val="0"/>
                <w:sz w:val="21"/>
                <w:szCs w:val="21"/>
                <w14:ligatures w14:val="none"/>
              </w:rPr>
              <w:t>20.00</w:t>
            </w:r>
          </w:p>
        </w:tc>
        <w:tc>
          <w:tcPr>
            <w:tcW w:w="828"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center"/>
              <w:rPr>
                <w:rFonts w:hint="eastAsia" w:ascii="宋体" w:hAnsi="宋体" w:eastAsia="宋体"/>
                <w:color w:val="auto"/>
                <w:kern w:val="0"/>
                <w:sz w:val="21"/>
                <w:szCs w:val="21"/>
                <w14:ligatures w14:val="none"/>
              </w:rPr>
            </w:pPr>
            <w:r>
              <w:rPr>
                <w:rFonts w:hint="eastAsia" w:ascii="宋体" w:hAnsi="宋体" w:eastAsia="宋体"/>
                <w:color w:val="auto"/>
                <w:kern w:val="0"/>
                <w:sz w:val="21"/>
                <w:szCs w:val="21"/>
                <w14:ligatures w14:val="none"/>
              </w:rPr>
              <w:t>24.00</w:t>
            </w:r>
          </w:p>
        </w:tc>
        <w:tc>
          <w:tcPr>
            <w:tcW w:w="960" w:type="dxa"/>
            <w:tcBorders>
              <w:top w:val="single" w:color="auto" w:sz="6" w:space="0"/>
              <w:left w:val="single" w:color="auto" w:sz="6" w:space="0"/>
              <w:bottom w:val="single" w:color="auto" w:sz="6" w:space="0"/>
              <w:right w:val="single" w:color="auto" w:sz="12" w:space="0"/>
            </w:tcBorders>
            <w:shd w:val="clear" w:color="auto" w:fill="auto"/>
            <w:vAlign w:val="center"/>
          </w:tcPr>
          <w:p>
            <w:pPr>
              <w:widowControl/>
              <w:jc w:val="center"/>
              <w:rPr>
                <w:rFonts w:hint="eastAsia" w:ascii="宋体" w:hAnsi="宋体" w:eastAsia="宋体"/>
                <w:color w:val="auto"/>
                <w:kern w:val="0"/>
                <w:sz w:val="21"/>
                <w:szCs w:val="21"/>
                <w14:ligatures w14:val="none"/>
              </w:rPr>
            </w:pPr>
            <w:r>
              <w:rPr>
                <w:rFonts w:hint="eastAsia" w:ascii="宋体" w:hAnsi="宋体" w:eastAsia="宋体"/>
                <w:color w:val="auto"/>
                <w:kern w:val="0"/>
                <w:sz w:val="21"/>
                <w:szCs w:val="21"/>
                <w14:ligatures w14:val="none"/>
              </w:rPr>
              <w:t>4574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trPr>
        <w:tc>
          <w:tcPr>
            <w:tcW w:w="636" w:type="dxa"/>
            <w:vMerge w:val="continue"/>
            <w:tcBorders>
              <w:top w:val="single" w:color="auto" w:sz="6" w:space="0"/>
              <w:left w:val="single" w:color="auto" w:sz="12" w:space="0"/>
              <w:bottom w:val="single" w:color="auto" w:sz="6" w:space="0"/>
              <w:right w:val="single" w:color="auto" w:sz="6" w:space="0"/>
            </w:tcBorders>
            <w:shd w:val="clear" w:color="auto" w:fill="auto"/>
            <w:vAlign w:val="center"/>
          </w:tcPr>
          <w:p>
            <w:pPr>
              <w:widowControl/>
              <w:jc w:val="center"/>
              <w:rPr>
                <w:rFonts w:hint="eastAsia" w:ascii="宋体" w:hAnsi="宋体" w:eastAsia="宋体"/>
                <w:color w:val="auto"/>
                <w:kern w:val="0"/>
                <w:sz w:val="21"/>
                <w:szCs w:val="21"/>
                <w14:ligatures w14:val="none"/>
              </w:rPr>
            </w:pPr>
          </w:p>
        </w:tc>
        <w:tc>
          <w:tcPr>
            <w:tcW w:w="1173"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center"/>
              <w:rPr>
                <w:rFonts w:hint="eastAsia" w:ascii="宋体" w:hAnsi="宋体" w:eastAsia="宋体"/>
                <w:color w:val="auto"/>
                <w:kern w:val="0"/>
                <w:sz w:val="21"/>
                <w:szCs w:val="21"/>
                <w14:ligatures w14:val="none"/>
              </w:rPr>
            </w:pPr>
            <w:r>
              <w:rPr>
                <w:rFonts w:hint="eastAsia" w:ascii="宋体" w:hAnsi="宋体" w:eastAsia="宋体"/>
                <w:color w:val="auto"/>
                <w:kern w:val="0"/>
                <w:sz w:val="21"/>
                <w:szCs w:val="21"/>
                <w14:ligatures w14:val="none"/>
              </w:rPr>
              <w:t>压滤煤泥</w:t>
            </w:r>
          </w:p>
        </w:tc>
        <w:tc>
          <w:tcPr>
            <w:tcW w:w="772"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center"/>
              <w:rPr>
                <w:rFonts w:hint="eastAsia" w:ascii="宋体" w:hAnsi="宋体" w:eastAsia="宋体"/>
                <w:color w:val="auto"/>
                <w:kern w:val="0"/>
                <w:sz w:val="21"/>
                <w:szCs w:val="21"/>
                <w14:ligatures w14:val="none"/>
              </w:rPr>
            </w:pPr>
            <w:r>
              <w:rPr>
                <w:rFonts w:hint="eastAsia" w:ascii="宋体" w:hAnsi="宋体" w:eastAsia="宋体"/>
                <w:color w:val="auto"/>
                <w:kern w:val="0"/>
                <w:sz w:val="21"/>
                <w:szCs w:val="21"/>
                <w14:ligatures w14:val="none"/>
              </w:rPr>
              <w:t>0.63</w:t>
            </w:r>
          </w:p>
        </w:tc>
        <w:tc>
          <w:tcPr>
            <w:tcW w:w="956"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center"/>
              <w:rPr>
                <w:rFonts w:hint="eastAsia" w:ascii="宋体" w:hAnsi="宋体" w:eastAsia="宋体"/>
                <w:color w:val="auto"/>
                <w:kern w:val="0"/>
                <w:sz w:val="21"/>
                <w:szCs w:val="21"/>
                <w14:ligatures w14:val="none"/>
              </w:rPr>
            </w:pPr>
            <w:r>
              <w:rPr>
                <w:rFonts w:hint="eastAsia" w:ascii="宋体" w:hAnsi="宋体" w:eastAsia="宋体"/>
                <w:color w:val="auto"/>
                <w:kern w:val="0"/>
                <w:sz w:val="21"/>
                <w:szCs w:val="21"/>
                <w14:ligatures w14:val="none"/>
              </w:rPr>
              <w:t>15.61</w:t>
            </w:r>
          </w:p>
        </w:tc>
        <w:tc>
          <w:tcPr>
            <w:tcW w:w="1099"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center"/>
              <w:rPr>
                <w:rFonts w:hint="eastAsia" w:ascii="宋体" w:hAnsi="宋体" w:eastAsia="宋体"/>
                <w:color w:val="auto"/>
                <w:kern w:val="0"/>
                <w:sz w:val="21"/>
                <w:szCs w:val="21"/>
                <w14:ligatures w14:val="none"/>
              </w:rPr>
            </w:pPr>
            <w:r>
              <w:rPr>
                <w:rFonts w:hint="eastAsia" w:ascii="宋体" w:hAnsi="宋体" w:eastAsia="宋体"/>
                <w:color w:val="auto"/>
                <w:kern w:val="0"/>
                <w:sz w:val="21"/>
                <w:szCs w:val="21"/>
                <w14:ligatures w14:val="none"/>
              </w:rPr>
              <w:t>249.77</w:t>
            </w:r>
          </w:p>
        </w:tc>
        <w:tc>
          <w:tcPr>
            <w:tcW w:w="1267"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center"/>
              <w:rPr>
                <w:rFonts w:hint="eastAsia" w:ascii="宋体" w:hAnsi="宋体" w:eastAsia="宋体"/>
                <w:color w:val="auto"/>
                <w:kern w:val="0"/>
                <w:sz w:val="21"/>
                <w:szCs w:val="21"/>
                <w14:ligatures w14:val="none"/>
              </w:rPr>
            </w:pPr>
            <w:r>
              <w:rPr>
                <w:rFonts w:hint="eastAsia" w:ascii="宋体" w:hAnsi="宋体" w:eastAsia="宋体"/>
                <w:color w:val="auto"/>
                <w:kern w:val="0"/>
                <w:sz w:val="21"/>
                <w:szCs w:val="21"/>
                <w14:ligatures w14:val="none"/>
              </w:rPr>
              <w:t>8.24</w:t>
            </w:r>
          </w:p>
        </w:tc>
        <w:tc>
          <w:tcPr>
            <w:tcW w:w="793"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center"/>
              <w:rPr>
                <w:rFonts w:hint="eastAsia" w:ascii="宋体" w:hAnsi="宋体" w:eastAsia="宋体"/>
                <w:color w:val="auto"/>
                <w:kern w:val="0"/>
                <w:sz w:val="21"/>
                <w:szCs w:val="21"/>
                <w14:ligatures w14:val="none"/>
              </w:rPr>
            </w:pPr>
            <w:r>
              <w:rPr>
                <w:rFonts w:hint="eastAsia" w:ascii="宋体" w:hAnsi="宋体" w:eastAsia="宋体"/>
                <w:color w:val="auto"/>
                <w:kern w:val="0"/>
                <w:sz w:val="21"/>
                <w:szCs w:val="21"/>
                <w14:ligatures w14:val="none"/>
              </w:rPr>
              <w:t>18.17</w:t>
            </w:r>
          </w:p>
        </w:tc>
        <w:tc>
          <w:tcPr>
            <w:tcW w:w="802"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center"/>
              <w:rPr>
                <w:rFonts w:hint="eastAsia" w:ascii="宋体" w:hAnsi="宋体" w:eastAsia="宋体"/>
                <w:color w:val="auto"/>
                <w:kern w:val="0"/>
                <w:sz w:val="21"/>
                <w:szCs w:val="21"/>
                <w14:ligatures w14:val="none"/>
              </w:rPr>
            </w:pPr>
            <w:r>
              <w:rPr>
                <w:rFonts w:hint="eastAsia" w:ascii="宋体" w:hAnsi="宋体" w:eastAsia="宋体"/>
                <w:color w:val="auto"/>
                <w:kern w:val="0"/>
                <w:sz w:val="21"/>
                <w:szCs w:val="21"/>
                <w14:ligatures w14:val="none"/>
              </w:rPr>
              <w:t>22.00</w:t>
            </w:r>
          </w:p>
        </w:tc>
        <w:tc>
          <w:tcPr>
            <w:tcW w:w="828"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center"/>
              <w:rPr>
                <w:rFonts w:hint="eastAsia" w:ascii="宋体" w:hAnsi="宋体" w:eastAsia="宋体"/>
                <w:color w:val="auto"/>
                <w:kern w:val="0"/>
                <w:sz w:val="21"/>
                <w:szCs w:val="21"/>
                <w14:ligatures w14:val="none"/>
              </w:rPr>
            </w:pPr>
            <w:r>
              <w:rPr>
                <w:rFonts w:hint="eastAsia" w:ascii="宋体" w:hAnsi="宋体" w:eastAsia="宋体"/>
                <w:color w:val="auto"/>
                <w:kern w:val="0"/>
                <w:sz w:val="21"/>
                <w:szCs w:val="21"/>
                <w14:ligatures w14:val="none"/>
              </w:rPr>
              <w:t>26.00</w:t>
            </w:r>
          </w:p>
        </w:tc>
        <w:tc>
          <w:tcPr>
            <w:tcW w:w="960" w:type="dxa"/>
            <w:tcBorders>
              <w:top w:val="single" w:color="auto" w:sz="6" w:space="0"/>
              <w:left w:val="single" w:color="auto" w:sz="6" w:space="0"/>
              <w:bottom w:val="single" w:color="auto" w:sz="6" w:space="0"/>
              <w:right w:val="single" w:color="auto" w:sz="12" w:space="0"/>
            </w:tcBorders>
            <w:shd w:val="clear" w:color="auto" w:fill="auto"/>
            <w:vAlign w:val="center"/>
          </w:tcPr>
          <w:p>
            <w:pPr>
              <w:widowControl/>
              <w:jc w:val="center"/>
              <w:rPr>
                <w:rFonts w:hint="eastAsia" w:ascii="宋体" w:hAnsi="宋体" w:eastAsia="宋体"/>
                <w:color w:val="auto"/>
                <w:kern w:val="0"/>
                <w:sz w:val="21"/>
                <w:szCs w:val="21"/>
                <w14:ligatures w14:val="none"/>
              </w:rPr>
            </w:pPr>
            <w:r>
              <w:rPr>
                <w:rFonts w:hint="eastAsia" w:ascii="宋体" w:hAnsi="宋体" w:eastAsia="宋体"/>
                <w:color w:val="auto"/>
                <w:kern w:val="0"/>
                <w:sz w:val="21"/>
                <w:szCs w:val="21"/>
                <w14:ligatures w14:val="none"/>
              </w:rPr>
              <w:t>4382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trPr>
        <w:tc>
          <w:tcPr>
            <w:tcW w:w="636" w:type="dxa"/>
            <w:vMerge w:val="continue"/>
            <w:tcBorders>
              <w:top w:val="single" w:color="auto" w:sz="6" w:space="0"/>
              <w:left w:val="single" w:color="auto" w:sz="12" w:space="0"/>
              <w:bottom w:val="single" w:color="auto" w:sz="6" w:space="0"/>
              <w:right w:val="single" w:color="auto" w:sz="6" w:space="0"/>
            </w:tcBorders>
            <w:shd w:val="clear" w:color="auto" w:fill="auto"/>
            <w:vAlign w:val="center"/>
          </w:tcPr>
          <w:p>
            <w:pPr>
              <w:widowControl/>
              <w:jc w:val="center"/>
              <w:rPr>
                <w:rFonts w:hint="eastAsia" w:ascii="宋体" w:hAnsi="宋体" w:eastAsia="宋体"/>
                <w:color w:val="auto"/>
                <w:kern w:val="0"/>
                <w:sz w:val="21"/>
                <w:szCs w:val="21"/>
                <w14:ligatures w14:val="none"/>
              </w:rPr>
            </w:pPr>
          </w:p>
        </w:tc>
        <w:tc>
          <w:tcPr>
            <w:tcW w:w="1173"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center"/>
              <w:rPr>
                <w:rFonts w:hint="eastAsia" w:ascii="宋体" w:hAnsi="宋体" w:eastAsia="宋体"/>
                <w:color w:val="auto"/>
                <w:kern w:val="0"/>
                <w:sz w:val="21"/>
                <w:szCs w:val="21"/>
                <w14:ligatures w14:val="none"/>
              </w:rPr>
            </w:pPr>
            <w:r>
              <w:rPr>
                <w:rFonts w:hint="eastAsia" w:ascii="宋体" w:hAnsi="宋体" w:eastAsia="宋体"/>
                <w:color w:val="auto"/>
                <w:kern w:val="0"/>
                <w:sz w:val="21"/>
                <w:szCs w:val="21"/>
                <w14:ligatures w14:val="none"/>
              </w:rPr>
              <w:t>小计</w:t>
            </w:r>
          </w:p>
        </w:tc>
        <w:tc>
          <w:tcPr>
            <w:tcW w:w="772"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center"/>
              <w:rPr>
                <w:rFonts w:hint="eastAsia" w:ascii="宋体" w:hAnsi="宋体" w:eastAsia="宋体"/>
                <w:color w:val="auto"/>
                <w:kern w:val="0"/>
                <w:sz w:val="21"/>
                <w:szCs w:val="21"/>
                <w14:ligatures w14:val="none"/>
              </w:rPr>
            </w:pPr>
            <w:r>
              <w:rPr>
                <w:rFonts w:hint="eastAsia" w:ascii="宋体" w:hAnsi="宋体" w:eastAsia="宋体"/>
                <w:color w:val="auto"/>
                <w:kern w:val="0"/>
                <w:sz w:val="21"/>
                <w:szCs w:val="21"/>
                <w14:ligatures w14:val="none"/>
              </w:rPr>
              <w:t>47.50</w:t>
            </w:r>
          </w:p>
        </w:tc>
        <w:tc>
          <w:tcPr>
            <w:tcW w:w="956"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center"/>
              <w:rPr>
                <w:rFonts w:hint="eastAsia" w:ascii="宋体" w:hAnsi="宋体" w:eastAsia="宋体"/>
                <w:color w:val="auto"/>
                <w:kern w:val="0"/>
                <w:sz w:val="21"/>
                <w:szCs w:val="21"/>
                <w14:ligatures w14:val="none"/>
              </w:rPr>
            </w:pPr>
            <w:r>
              <w:rPr>
                <w:rFonts w:hint="eastAsia" w:ascii="宋体" w:hAnsi="宋体" w:eastAsia="宋体"/>
                <w:color w:val="auto"/>
                <w:kern w:val="0"/>
                <w:sz w:val="21"/>
                <w:szCs w:val="21"/>
                <w14:ligatures w14:val="none"/>
              </w:rPr>
              <w:t>1169.59</w:t>
            </w:r>
          </w:p>
        </w:tc>
        <w:tc>
          <w:tcPr>
            <w:tcW w:w="1099"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center"/>
              <w:rPr>
                <w:rFonts w:hint="eastAsia" w:ascii="宋体" w:hAnsi="宋体" w:eastAsia="宋体"/>
                <w:color w:val="auto"/>
                <w:kern w:val="0"/>
                <w:sz w:val="21"/>
                <w:szCs w:val="21"/>
                <w14:ligatures w14:val="none"/>
              </w:rPr>
            </w:pPr>
            <w:r>
              <w:rPr>
                <w:rFonts w:hint="eastAsia" w:ascii="宋体" w:hAnsi="宋体" w:eastAsia="宋体"/>
                <w:color w:val="auto"/>
                <w:kern w:val="0"/>
                <w:sz w:val="21"/>
                <w:szCs w:val="21"/>
                <w14:ligatures w14:val="none"/>
              </w:rPr>
              <w:t>18713.46</w:t>
            </w:r>
          </w:p>
        </w:tc>
        <w:tc>
          <w:tcPr>
            <w:tcW w:w="1267"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center"/>
              <w:rPr>
                <w:rFonts w:hint="eastAsia" w:ascii="宋体" w:hAnsi="宋体" w:eastAsia="宋体"/>
                <w:color w:val="auto"/>
                <w:kern w:val="0"/>
                <w:sz w:val="21"/>
                <w:szCs w:val="21"/>
                <w14:ligatures w14:val="none"/>
              </w:rPr>
            </w:pPr>
            <w:r>
              <w:rPr>
                <w:rFonts w:hint="eastAsia" w:ascii="宋体" w:hAnsi="宋体" w:eastAsia="宋体"/>
                <w:color w:val="auto"/>
                <w:kern w:val="0"/>
                <w:sz w:val="21"/>
                <w:szCs w:val="21"/>
                <w14:ligatures w14:val="none"/>
              </w:rPr>
              <w:t>617.54</w:t>
            </w:r>
          </w:p>
        </w:tc>
        <w:tc>
          <w:tcPr>
            <w:tcW w:w="793"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center"/>
              <w:rPr>
                <w:rFonts w:hint="eastAsia" w:ascii="宋体" w:hAnsi="宋体" w:eastAsia="宋体"/>
                <w:color w:val="auto"/>
                <w:kern w:val="0"/>
                <w:sz w:val="21"/>
                <w:szCs w:val="21"/>
                <w14:ligatures w14:val="none"/>
              </w:rPr>
            </w:pPr>
            <w:r>
              <w:rPr>
                <w:rFonts w:hint="eastAsia" w:ascii="宋体" w:hAnsi="宋体" w:eastAsia="宋体"/>
                <w:color w:val="auto"/>
                <w:kern w:val="0"/>
                <w:sz w:val="21"/>
                <w:szCs w:val="21"/>
                <w14:ligatures w14:val="none"/>
              </w:rPr>
              <w:t>12.90</w:t>
            </w:r>
          </w:p>
        </w:tc>
        <w:tc>
          <w:tcPr>
            <w:tcW w:w="802"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center"/>
              <w:rPr>
                <w:rFonts w:hint="eastAsia" w:ascii="宋体" w:hAnsi="宋体" w:eastAsia="宋体"/>
                <w:color w:val="auto"/>
                <w:kern w:val="0"/>
                <w:sz w:val="21"/>
                <w:szCs w:val="21"/>
                <w14:ligatures w14:val="none"/>
              </w:rPr>
            </w:pPr>
            <w:r>
              <w:rPr>
                <w:rFonts w:hint="eastAsia" w:ascii="宋体" w:hAnsi="宋体" w:eastAsia="宋体"/>
                <w:color w:val="auto"/>
                <w:kern w:val="0"/>
                <w:sz w:val="21"/>
                <w:szCs w:val="21"/>
                <w14:ligatures w14:val="none"/>
              </w:rPr>
              <w:t>8.85</w:t>
            </w:r>
          </w:p>
        </w:tc>
        <w:tc>
          <w:tcPr>
            <w:tcW w:w="828"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center"/>
              <w:rPr>
                <w:rFonts w:hint="eastAsia" w:ascii="宋体" w:hAnsi="宋体" w:eastAsia="宋体"/>
                <w:color w:val="auto"/>
                <w:kern w:val="0"/>
                <w:sz w:val="21"/>
                <w:szCs w:val="21"/>
                <w14:ligatures w14:val="none"/>
              </w:rPr>
            </w:pPr>
            <w:r>
              <w:rPr>
                <w:rFonts w:hint="eastAsia" w:ascii="宋体" w:hAnsi="宋体" w:eastAsia="宋体"/>
                <w:color w:val="auto"/>
                <w:kern w:val="0"/>
                <w:sz w:val="21"/>
                <w:szCs w:val="21"/>
                <w14:ligatures w14:val="none"/>
              </w:rPr>
              <w:t>12.85</w:t>
            </w:r>
          </w:p>
        </w:tc>
        <w:tc>
          <w:tcPr>
            <w:tcW w:w="960" w:type="dxa"/>
            <w:tcBorders>
              <w:top w:val="single" w:color="auto" w:sz="6" w:space="0"/>
              <w:left w:val="single" w:color="auto" w:sz="6" w:space="0"/>
              <w:bottom w:val="single" w:color="auto" w:sz="6" w:space="0"/>
              <w:right w:val="single" w:color="auto" w:sz="12" w:space="0"/>
            </w:tcBorders>
            <w:shd w:val="clear" w:color="auto" w:fill="auto"/>
            <w:vAlign w:val="center"/>
          </w:tcPr>
          <w:p>
            <w:pPr>
              <w:widowControl/>
              <w:jc w:val="center"/>
              <w:rPr>
                <w:rFonts w:hint="eastAsia" w:ascii="宋体" w:hAnsi="宋体" w:eastAsia="宋体"/>
                <w:color w:val="auto"/>
                <w:kern w:val="0"/>
                <w:sz w:val="21"/>
                <w:szCs w:val="21"/>
                <w14:ligatures w14:val="none"/>
              </w:rPr>
            </w:pPr>
            <w:r>
              <w:rPr>
                <w:rFonts w:hint="eastAsia" w:ascii="宋体" w:hAnsi="宋体" w:eastAsia="宋体"/>
                <w:color w:val="auto"/>
                <w:kern w:val="0"/>
                <w:sz w:val="21"/>
                <w:szCs w:val="21"/>
                <w14:ligatures w14:val="none"/>
              </w:rPr>
              <w:t>5599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trPr>
        <w:tc>
          <w:tcPr>
            <w:tcW w:w="636" w:type="dxa"/>
            <w:vMerge w:val="restart"/>
            <w:tcBorders>
              <w:top w:val="single" w:color="auto" w:sz="6" w:space="0"/>
              <w:left w:val="single" w:color="auto" w:sz="12" w:space="0"/>
              <w:bottom w:val="single" w:color="auto" w:sz="6" w:space="0"/>
              <w:right w:val="single" w:color="auto" w:sz="6" w:space="0"/>
            </w:tcBorders>
            <w:shd w:val="clear" w:color="auto" w:fill="auto"/>
            <w:vAlign w:val="center"/>
          </w:tcPr>
          <w:p>
            <w:pPr>
              <w:widowControl/>
              <w:jc w:val="center"/>
              <w:rPr>
                <w:rFonts w:hint="eastAsia" w:ascii="宋体" w:hAnsi="宋体" w:eastAsia="宋体"/>
                <w:color w:val="auto"/>
                <w:kern w:val="0"/>
                <w:sz w:val="21"/>
                <w:szCs w:val="21"/>
                <w14:ligatures w14:val="none"/>
              </w:rPr>
            </w:pPr>
            <w:r>
              <w:rPr>
                <w:rFonts w:hint="eastAsia" w:ascii="宋体" w:hAnsi="宋体" w:eastAsia="宋体"/>
                <w:color w:val="auto"/>
                <w:kern w:val="0"/>
                <w:sz w:val="21"/>
                <w:szCs w:val="21"/>
                <w14:ligatures w14:val="none"/>
              </w:rPr>
              <w:t>矸石</w:t>
            </w:r>
          </w:p>
        </w:tc>
        <w:tc>
          <w:tcPr>
            <w:tcW w:w="1173"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center"/>
              <w:rPr>
                <w:rFonts w:hint="eastAsia" w:ascii="宋体" w:hAnsi="宋体" w:eastAsia="宋体"/>
                <w:color w:val="auto"/>
                <w:kern w:val="0"/>
                <w:sz w:val="21"/>
                <w:szCs w:val="21"/>
                <w14:ligatures w14:val="none"/>
              </w:rPr>
            </w:pPr>
            <w:r>
              <w:rPr>
                <w:rFonts w:hint="eastAsia" w:ascii="宋体" w:hAnsi="宋体" w:eastAsia="宋体"/>
                <w:color w:val="auto"/>
                <w:kern w:val="0"/>
                <w:sz w:val="21"/>
                <w:szCs w:val="21"/>
                <w14:ligatures w14:val="none"/>
              </w:rPr>
              <w:t>块矸石</w:t>
            </w:r>
          </w:p>
        </w:tc>
        <w:tc>
          <w:tcPr>
            <w:tcW w:w="772"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center"/>
              <w:rPr>
                <w:rFonts w:hint="eastAsia" w:ascii="宋体" w:hAnsi="宋体" w:eastAsia="宋体"/>
                <w:color w:val="auto"/>
                <w:kern w:val="0"/>
                <w:sz w:val="21"/>
                <w:szCs w:val="21"/>
                <w14:ligatures w14:val="none"/>
              </w:rPr>
            </w:pPr>
            <w:r>
              <w:rPr>
                <w:rFonts w:hint="eastAsia" w:ascii="宋体" w:hAnsi="宋体" w:eastAsia="宋体"/>
                <w:color w:val="auto"/>
                <w:kern w:val="0"/>
                <w:sz w:val="21"/>
                <w:szCs w:val="21"/>
                <w14:ligatures w14:val="none"/>
              </w:rPr>
              <w:t>4.28</w:t>
            </w:r>
          </w:p>
        </w:tc>
        <w:tc>
          <w:tcPr>
            <w:tcW w:w="956"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center"/>
              <w:rPr>
                <w:rFonts w:hint="eastAsia" w:ascii="宋体" w:hAnsi="宋体" w:eastAsia="宋体"/>
                <w:color w:val="auto"/>
                <w:kern w:val="0"/>
                <w:sz w:val="21"/>
                <w:szCs w:val="21"/>
                <w14:ligatures w14:val="none"/>
              </w:rPr>
            </w:pPr>
            <w:r>
              <w:rPr>
                <w:rFonts w:hint="eastAsia" w:ascii="宋体" w:hAnsi="宋体" w:eastAsia="宋体"/>
                <w:color w:val="auto"/>
                <w:kern w:val="0"/>
                <w:sz w:val="21"/>
                <w:szCs w:val="21"/>
                <w14:ligatures w14:val="none"/>
              </w:rPr>
              <w:t>105.47</w:t>
            </w:r>
          </w:p>
        </w:tc>
        <w:tc>
          <w:tcPr>
            <w:tcW w:w="1099"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center"/>
              <w:rPr>
                <w:rFonts w:hint="eastAsia" w:ascii="宋体" w:hAnsi="宋体" w:eastAsia="宋体"/>
                <w:color w:val="auto"/>
                <w:kern w:val="0"/>
                <w:sz w:val="21"/>
                <w:szCs w:val="21"/>
                <w14:ligatures w14:val="none"/>
              </w:rPr>
            </w:pPr>
            <w:r>
              <w:rPr>
                <w:rFonts w:hint="eastAsia" w:ascii="宋体" w:hAnsi="宋体" w:eastAsia="宋体"/>
                <w:color w:val="auto"/>
                <w:kern w:val="0"/>
                <w:sz w:val="21"/>
                <w:szCs w:val="21"/>
                <w14:ligatures w14:val="none"/>
              </w:rPr>
              <w:t>1687.59</w:t>
            </w:r>
          </w:p>
        </w:tc>
        <w:tc>
          <w:tcPr>
            <w:tcW w:w="1267"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center"/>
              <w:rPr>
                <w:rFonts w:hint="eastAsia" w:ascii="宋体" w:hAnsi="宋体" w:eastAsia="宋体"/>
                <w:color w:val="auto"/>
                <w:kern w:val="0"/>
                <w:sz w:val="21"/>
                <w:szCs w:val="21"/>
                <w14:ligatures w14:val="none"/>
              </w:rPr>
            </w:pPr>
            <w:r>
              <w:rPr>
                <w:rFonts w:hint="eastAsia" w:ascii="宋体" w:hAnsi="宋体" w:eastAsia="宋体"/>
                <w:color w:val="auto"/>
                <w:kern w:val="0"/>
                <w:sz w:val="21"/>
                <w:szCs w:val="21"/>
                <w14:ligatures w14:val="none"/>
              </w:rPr>
              <w:t>55.69</w:t>
            </w:r>
          </w:p>
        </w:tc>
        <w:tc>
          <w:tcPr>
            <w:tcW w:w="793"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center"/>
              <w:rPr>
                <w:rFonts w:hint="eastAsia" w:ascii="宋体" w:hAnsi="宋体" w:eastAsia="宋体"/>
                <w:color w:val="auto"/>
                <w:kern w:val="0"/>
                <w:sz w:val="21"/>
                <w:szCs w:val="21"/>
                <w14:ligatures w14:val="none"/>
              </w:rPr>
            </w:pPr>
            <w:r>
              <w:rPr>
                <w:rFonts w:hint="eastAsia" w:ascii="宋体" w:hAnsi="宋体" w:eastAsia="宋体"/>
                <w:color w:val="auto"/>
                <w:kern w:val="0"/>
                <w:sz w:val="21"/>
                <w:szCs w:val="21"/>
                <w14:ligatures w14:val="none"/>
              </w:rPr>
              <w:t>72.69</w:t>
            </w:r>
          </w:p>
        </w:tc>
        <w:tc>
          <w:tcPr>
            <w:tcW w:w="802"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center"/>
              <w:rPr>
                <w:rFonts w:hint="eastAsia" w:ascii="宋体" w:hAnsi="宋体" w:eastAsia="宋体"/>
                <w:color w:val="auto"/>
                <w:kern w:val="0"/>
                <w:sz w:val="21"/>
                <w:szCs w:val="21"/>
                <w14:ligatures w14:val="none"/>
              </w:rPr>
            </w:pPr>
            <w:r>
              <w:rPr>
                <w:rFonts w:hint="eastAsia" w:ascii="宋体" w:hAnsi="宋体" w:eastAsia="宋体"/>
                <w:color w:val="auto"/>
                <w:kern w:val="0"/>
                <w:sz w:val="21"/>
                <w:szCs w:val="21"/>
                <w14:ligatures w14:val="none"/>
              </w:rPr>
              <w:t>10.00</w:t>
            </w:r>
          </w:p>
        </w:tc>
        <w:tc>
          <w:tcPr>
            <w:tcW w:w="828"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center"/>
              <w:rPr>
                <w:rFonts w:hint="eastAsia" w:ascii="宋体" w:hAnsi="宋体" w:eastAsia="宋体"/>
                <w:color w:val="auto"/>
                <w:kern w:val="0"/>
                <w:sz w:val="21"/>
                <w:szCs w:val="21"/>
                <w14:ligatures w14:val="none"/>
              </w:rPr>
            </w:pPr>
            <w:r>
              <w:rPr>
                <w:rFonts w:hint="eastAsia" w:ascii="宋体" w:hAnsi="宋体" w:eastAsia="宋体"/>
                <w:color w:val="auto"/>
                <w:kern w:val="0"/>
                <w:sz w:val="21"/>
                <w:szCs w:val="21"/>
                <w14:ligatures w14:val="none"/>
              </w:rPr>
              <w:t>14.00</w:t>
            </w:r>
          </w:p>
        </w:tc>
        <w:tc>
          <w:tcPr>
            <w:tcW w:w="960" w:type="dxa"/>
            <w:tcBorders>
              <w:top w:val="single" w:color="auto" w:sz="6" w:space="0"/>
              <w:left w:val="single" w:color="auto" w:sz="6" w:space="0"/>
              <w:bottom w:val="single" w:color="auto" w:sz="6" w:space="0"/>
              <w:right w:val="single" w:color="auto" w:sz="12" w:space="0"/>
            </w:tcBorders>
            <w:shd w:val="clear" w:color="auto" w:fill="auto"/>
            <w:vAlign w:val="center"/>
          </w:tcPr>
          <w:p>
            <w:pPr>
              <w:widowControl/>
              <w:jc w:val="center"/>
              <w:rPr>
                <w:rFonts w:hint="eastAsia" w:ascii="宋体" w:hAnsi="宋体" w:eastAsia="宋体"/>
                <w:color w:val="auto"/>
                <w:kern w:val="0"/>
                <w:sz w:val="21"/>
                <w:szCs w:val="21"/>
                <w14:ligatures w14: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trPr>
        <w:tc>
          <w:tcPr>
            <w:tcW w:w="636" w:type="dxa"/>
            <w:vMerge w:val="continue"/>
            <w:tcBorders>
              <w:top w:val="single" w:color="auto" w:sz="6" w:space="0"/>
              <w:left w:val="single" w:color="auto" w:sz="12" w:space="0"/>
              <w:bottom w:val="single" w:color="auto" w:sz="6" w:space="0"/>
              <w:right w:val="single" w:color="auto" w:sz="6" w:space="0"/>
            </w:tcBorders>
            <w:shd w:val="clear" w:color="auto" w:fill="auto"/>
            <w:vAlign w:val="center"/>
          </w:tcPr>
          <w:p>
            <w:pPr>
              <w:widowControl/>
              <w:jc w:val="center"/>
              <w:rPr>
                <w:rFonts w:hint="eastAsia" w:ascii="宋体" w:hAnsi="宋体" w:eastAsia="宋体"/>
                <w:color w:val="auto"/>
                <w:kern w:val="0"/>
                <w:sz w:val="21"/>
                <w:szCs w:val="21"/>
                <w14:ligatures w14:val="none"/>
              </w:rPr>
            </w:pPr>
          </w:p>
        </w:tc>
        <w:tc>
          <w:tcPr>
            <w:tcW w:w="1173"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center"/>
              <w:rPr>
                <w:rFonts w:hint="eastAsia" w:ascii="宋体" w:hAnsi="宋体" w:eastAsia="宋体"/>
                <w:color w:val="auto"/>
                <w:kern w:val="0"/>
                <w:sz w:val="21"/>
                <w:szCs w:val="21"/>
                <w14:ligatures w14:val="none"/>
              </w:rPr>
            </w:pPr>
            <w:r>
              <w:rPr>
                <w:rFonts w:hint="eastAsia" w:ascii="宋体" w:hAnsi="宋体" w:eastAsia="宋体"/>
                <w:color w:val="auto"/>
                <w:kern w:val="0"/>
                <w:sz w:val="21"/>
                <w:szCs w:val="21"/>
                <w14:ligatures w14:val="none"/>
              </w:rPr>
              <w:t>末矸石</w:t>
            </w:r>
          </w:p>
        </w:tc>
        <w:tc>
          <w:tcPr>
            <w:tcW w:w="772"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center"/>
              <w:rPr>
                <w:rFonts w:hint="eastAsia" w:ascii="宋体" w:hAnsi="宋体" w:eastAsia="宋体"/>
                <w:color w:val="auto"/>
                <w:kern w:val="0"/>
                <w:sz w:val="21"/>
                <w:szCs w:val="21"/>
                <w14:ligatures w14:val="none"/>
              </w:rPr>
            </w:pPr>
            <w:r>
              <w:rPr>
                <w:rFonts w:hint="eastAsia" w:ascii="宋体" w:hAnsi="宋体" w:eastAsia="宋体"/>
                <w:color w:val="auto"/>
                <w:kern w:val="0"/>
                <w:sz w:val="21"/>
                <w:szCs w:val="21"/>
                <w14:ligatures w14:val="none"/>
              </w:rPr>
              <w:t>2.91</w:t>
            </w:r>
          </w:p>
        </w:tc>
        <w:tc>
          <w:tcPr>
            <w:tcW w:w="956"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center"/>
              <w:rPr>
                <w:rFonts w:hint="eastAsia" w:ascii="宋体" w:hAnsi="宋体" w:eastAsia="宋体"/>
                <w:color w:val="auto"/>
                <w:kern w:val="0"/>
                <w:sz w:val="21"/>
                <w:szCs w:val="21"/>
                <w14:ligatures w14:val="none"/>
              </w:rPr>
            </w:pPr>
            <w:r>
              <w:rPr>
                <w:rFonts w:hint="eastAsia" w:ascii="宋体" w:hAnsi="宋体" w:eastAsia="宋体"/>
                <w:color w:val="auto"/>
                <w:kern w:val="0"/>
                <w:sz w:val="21"/>
                <w:szCs w:val="21"/>
                <w14:ligatures w14:val="none"/>
              </w:rPr>
              <w:t>71.63</w:t>
            </w:r>
          </w:p>
        </w:tc>
        <w:tc>
          <w:tcPr>
            <w:tcW w:w="1099"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center"/>
              <w:rPr>
                <w:rFonts w:hint="eastAsia" w:ascii="宋体" w:hAnsi="宋体" w:eastAsia="宋体"/>
                <w:color w:val="auto"/>
                <w:kern w:val="0"/>
                <w:sz w:val="21"/>
                <w:szCs w:val="21"/>
                <w14:ligatures w14:val="none"/>
              </w:rPr>
            </w:pPr>
            <w:r>
              <w:rPr>
                <w:rFonts w:hint="eastAsia" w:ascii="宋体" w:hAnsi="宋体" w:eastAsia="宋体"/>
                <w:color w:val="auto"/>
                <w:kern w:val="0"/>
                <w:sz w:val="21"/>
                <w:szCs w:val="21"/>
                <w14:ligatures w14:val="none"/>
              </w:rPr>
              <w:t>1146.02</w:t>
            </w:r>
          </w:p>
        </w:tc>
        <w:tc>
          <w:tcPr>
            <w:tcW w:w="1267"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center"/>
              <w:rPr>
                <w:rFonts w:hint="eastAsia" w:ascii="宋体" w:hAnsi="宋体" w:eastAsia="宋体"/>
                <w:color w:val="auto"/>
                <w:kern w:val="0"/>
                <w:sz w:val="21"/>
                <w:szCs w:val="21"/>
                <w14:ligatures w14:val="none"/>
              </w:rPr>
            </w:pPr>
            <w:r>
              <w:rPr>
                <w:rFonts w:hint="eastAsia" w:ascii="宋体" w:hAnsi="宋体" w:eastAsia="宋体"/>
                <w:color w:val="auto"/>
                <w:kern w:val="0"/>
                <w:sz w:val="21"/>
                <w:szCs w:val="21"/>
                <w14:ligatures w14:val="none"/>
              </w:rPr>
              <w:t>37.82</w:t>
            </w:r>
          </w:p>
        </w:tc>
        <w:tc>
          <w:tcPr>
            <w:tcW w:w="793"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center"/>
              <w:rPr>
                <w:rFonts w:hint="eastAsia" w:ascii="宋体" w:hAnsi="宋体" w:eastAsia="宋体"/>
                <w:color w:val="auto"/>
                <w:kern w:val="0"/>
                <w:sz w:val="21"/>
                <w:szCs w:val="21"/>
                <w14:ligatures w14:val="none"/>
              </w:rPr>
            </w:pPr>
            <w:r>
              <w:rPr>
                <w:rFonts w:hint="eastAsia" w:ascii="宋体" w:hAnsi="宋体" w:eastAsia="宋体"/>
                <w:color w:val="auto"/>
                <w:kern w:val="0"/>
                <w:sz w:val="21"/>
                <w:szCs w:val="21"/>
                <w14:ligatures w14:val="none"/>
              </w:rPr>
              <w:t>72.65</w:t>
            </w:r>
          </w:p>
        </w:tc>
        <w:tc>
          <w:tcPr>
            <w:tcW w:w="802"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center"/>
              <w:rPr>
                <w:rFonts w:hint="eastAsia" w:ascii="宋体" w:hAnsi="宋体" w:eastAsia="宋体"/>
                <w:color w:val="auto"/>
                <w:kern w:val="0"/>
                <w:sz w:val="21"/>
                <w:szCs w:val="21"/>
                <w14:ligatures w14:val="none"/>
              </w:rPr>
            </w:pPr>
            <w:r>
              <w:rPr>
                <w:rFonts w:hint="eastAsia" w:ascii="宋体" w:hAnsi="宋体" w:eastAsia="宋体"/>
                <w:color w:val="auto"/>
                <w:kern w:val="0"/>
                <w:sz w:val="21"/>
                <w:szCs w:val="21"/>
                <w14:ligatures w14:val="none"/>
              </w:rPr>
              <w:t>10.00</w:t>
            </w:r>
          </w:p>
        </w:tc>
        <w:tc>
          <w:tcPr>
            <w:tcW w:w="828"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center"/>
              <w:rPr>
                <w:rFonts w:hint="eastAsia" w:ascii="宋体" w:hAnsi="宋体" w:eastAsia="宋体"/>
                <w:color w:val="auto"/>
                <w:kern w:val="0"/>
                <w:sz w:val="21"/>
                <w:szCs w:val="21"/>
                <w14:ligatures w14:val="none"/>
              </w:rPr>
            </w:pPr>
            <w:r>
              <w:rPr>
                <w:rFonts w:hint="eastAsia" w:ascii="宋体" w:hAnsi="宋体" w:eastAsia="宋体"/>
                <w:color w:val="auto"/>
                <w:kern w:val="0"/>
                <w:sz w:val="21"/>
                <w:szCs w:val="21"/>
                <w14:ligatures w14:val="none"/>
              </w:rPr>
              <w:t>14.00</w:t>
            </w:r>
          </w:p>
        </w:tc>
        <w:tc>
          <w:tcPr>
            <w:tcW w:w="960" w:type="dxa"/>
            <w:tcBorders>
              <w:top w:val="single" w:color="auto" w:sz="6" w:space="0"/>
              <w:left w:val="single" w:color="auto" w:sz="6" w:space="0"/>
              <w:bottom w:val="single" w:color="auto" w:sz="6" w:space="0"/>
              <w:right w:val="single" w:color="auto" w:sz="12" w:space="0"/>
            </w:tcBorders>
            <w:shd w:val="clear" w:color="auto" w:fill="auto"/>
            <w:vAlign w:val="center"/>
          </w:tcPr>
          <w:p>
            <w:pPr>
              <w:widowControl/>
              <w:jc w:val="center"/>
              <w:rPr>
                <w:rFonts w:hint="eastAsia" w:ascii="宋体" w:hAnsi="宋体" w:eastAsia="宋体"/>
                <w:color w:val="auto"/>
                <w:kern w:val="0"/>
                <w:sz w:val="21"/>
                <w:szCs w:val="21"/>
                <w14:ligatures w14: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trPr>
        <w:tc>
          <w:tcPr>
            <w:tcW w:w="636" w:type="dxa"/>
            <w:vMerge w:val="continue"/>
            <w:tcBorders>
              <w:top w:val="single" w:color="auto" w:sz="6" w:space="0"/>
              <w:left w:val="single" w:color="auto" w:sz="12" w:space="0"/>
              <w:bottom w:val="single" w:color="auto" w:sz="6" w:space="0"/>
              <w:right w:val="single" w:color="auto" w:sz="6" w:space="0"/>
            </w:tcBorders>
            <w:shd w:val="clear" w:color="auto" w:fill="auto"/>
            <w:vAlign w:val="center"/>
          </w:tcPr>
          <w:p>
            <w:pPr>
              <w:widowControl/>
              <w:jc w:val="center"/>
              <w:rPr>
                <w:rFonts w:hint="eastAsia" w:ascii="宋体" w:hAnsi="宋体" w:eastAsia="宋体"/>
                <w:color w:val="auto"/>
                <w:kern w:val="0"/>
                <w:sz w:val="21"/>
                <w:szCs w:val="21"/>
                <w14:ligatures w14:val="none"/>
              </w:rPr>
            </w:pPr>
          </w:p>
        </w:tc>
        <w:tc>
          <w:tcPr>
            <w:tcW w:w="1173"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center"/>
              <w:rPr>
                <w:rFonts w:hint="eastAsia" w:ascii="宋体" w:hAnsi="宋体" w:eastAsia="宋体"/>
                <w:color w:val="auto"/>
                <w:kern w:val="0"/>
                <w:sz w:val="21"/>
                <w:szCs w:val="21"/>
                <w14:ligatures w14:val="none"/>
              </w:rPr>
            </w:pPr>
            <w:r>
              <w:rPr>
                <w:rFonts w:hint="eastAsia" w:ascii="宋体" w:hAnsi="宋体" w:eastAsia="宋体"/>
                <w:color w:val="auto"/>
                <w:kern w:val="0"/>
                <w:sz w:val="21"/>
                <w:szCs w:val="21"/>
                <w14:ligatures w14:val="none"/>
              </w:rPr>
              <w:t>小计</w:t>
            </w:r>
          </w:p>
        </w:tc>
        <w:tc>
          <w:tcPr>
            <w:tcW w:w="772"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center"/>
              <w:rPr>
                <w:rFonts w:hint="eastAsia" w:ascii="宋体" w:hAnsi="宋体" w:eastAsia="宋体"/>
                <w:color w:val="auto"/>
                <w:kern w:val="0"/>
                <w:sz w:val="21"/>
                <w:szCs w:val="21"/>
                <w14:ligatures w14:val="none"/>
              </w:rPr>
            </w:pPr>
            <w:r>
              <w:rPr>
                <w:rFonts w:hint="eastAsia" w:ascii="宋体" w:hAnsi="宋体" w:eastAsia="宋体"/>
                <w:color w:val="auto"/>
                <w:kern w:val="0"/>
                <w:sz w:val="21"/>
                <w:szCs w:val="21"/>
                <w14:ligatures w14:val="none"/>
              </w:rPr>
              <w:t>7.19</w:t>
            </w:r>
          </w:p>
        </w:tc>
        <w:tc>
          <w:tcPr>
            <w:tcW w:w="956"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center"/>
              <w:rPr>
                <w:rFonts w:hint="eastAsia" w:ascii="宋体" w:hAnsi="宋体" w:eastAsia="宋体"/>
                <w:color w:val="auto"/>
                <w:kern w:val="0"/>
                <w:sz w:val="21"/>
                <w:szCs w:val="21"/>
                <w14:ligatures w14:val="none"/>
              </w:rPr>
            </w:pPr>
            <w:r>
              <w:rPr>
                <w:rFonts w:hint="eastAsia" w:ascii="宋体" w:hAnsi="宋体" w:eastAsia="宋体"/>
                <w:color w:val="auto"/>
                <w:kern w:val="0"/>
                <w:sz w:val="21"/>
                <w:szCs w:val="21"/>
                <w14:ligatures w14:val="none"/>
              </w:rPr>
              <w:t>177.10</w:t>
            </w:r>
          </w:p>
        </w:tc>
        <w:tc>
          <w:tcPr>
            <w:tcW w:w="1099"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center"/>
              <w:rPr>
                <w:rFonts w:hint="eastAsia" w:ascii="宋体" w:hAnsi="宋体" w:eastAsia="宋体"/>
                <w:color w:val="auto"/>
                <w:kern w:val="0"/>
                <w:sz w:val="21"/>
                <w:szCs w:val="21"/>
                <w14:ligatures w14:val="none"/>
              </w:rPr>
            </w:pPr>
            <w:r>
              <w:rPr>
                <w:rFonts w:hint="eastAsia" w:ascii="宋体" w:hAnsi="宋体" w:eastAsia="宋体"/>
                <w:color w:val="auto"/>
                <w:kern w:val="0"/>
                <w:sz w:val="21"/>
                <w:szCs w:val="21"/>
                <w14:ligatures w14:val="none"/>
              </w:rPr>
              <w:t>2833.61</w:t>
            </w:r>
          </w:p>
        </w:tc>
        <w:tc>
          <w:tcPr>
            <w:tcW w:w="1267"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center"/>
              <w:rPr>
                <w:rFonts w:hint="eastAsia" w:ascii="宋体" w:hAnsi="宋体" w:eastAsia="宋体"/>
                <w:color w:val="auto"/>
                <w:kern w:val="0"/>
                <w:sz w:val="21"/>
                <w:szCs w:val="21"/>
                <w14:ligatures w14:val="none"/>
              </w:rPr>
            </w:pPr>
            <w:r>
              <w:rPr>
                <w:rFonts w:hint="eastAsia" w:ascii="宋体" w:hAnsi="宋体" w:eastAsia="宋体"/>
                <w:color w:val="auto"/>
                <w:kern w:val="0"/>
                <w:sz w:val="21"/>
                <w:szCs w:val="21"/>
                <w14:ligatures w14:val="none"/>
              </w:rPr>
              <w:t>93.51</w:t>
            </w:r>
          </w:p>
        </w:tc>
        <w:tc>
          <w:tcPr>
            <w:tcW w:w="793"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center"/>
              <w:rPr>
                <w:rFonts w:hint="eastAsia" w:ascii="宋体" w:hAnsi="宋体" w:eastAsia="宋体"/>
                <w:color w:val="auto"/>
                <w:kern w:val="0"/>
                <w:sz w:val="21"/>
                <w:szCs w:val="21"/>
                <w14:ligatures w14:val="none"/>
              </w:rPr>
            </w:pPr>
            <w:r>
              <w:rPr>
                <w:rFonts w:hint="eastAsia" w:ascii="宋体" w:hAnsi="宋体" w:eastAsia="宋体"/>
                <w:color w:val="auto"/>
                <w:kern w:val="0"/>
                <w:sz w:val="21"/>
                <w:szCs w:val="21"/>
                <w14:ligatures w14:val="none"/>
              </w:rPr>
              <w:t>72.67</w:t>
            </w:r>
          </w:p>
        </w:tc>
        <w:tc>
          <w:tcPr>
            <w:tcW w:w="802"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center"/>
              <w:rPr>
                <w:rFonts w:hint="eastAsia" w:ascii="宋体" w:hAnsi="宋体" w:eastAsia="宋体"/>
                <w:color w:val="auto"/>
                <w:kern w:val="0"/>
                <w:sz w:val="21"/>
                <w:szCs w:val="21"/>
                <w14:ligatures w14:val="none"/>
              </w:rPr>
            </w:pPr>
          </w:p>
        </w:tc>
        <w:tc>
          <w:tcPr>
            <w:tcW w:w="828" w:type="dxa"/>
            <w:tcBorders>
              <w:top w:val="single" w:color="auto" w:sz="6" w:space="0"/>
              <w:left w:val="single" w:color="auto" w:sz="6" w:space="0"/>
              <w:bottom w:val="single" w:color="auto" w:sz="6" w:space="0"/>
              <w:right w:val="single" w:color="auto" w:sz="6" w:space="0"/>
            </w:tcBorders>
            <w:shd w:val="clear" w:color="auto" w:fill="auto"/>
            <w:vAlign w:val="center"/>
          </w:tcPr>
          <w:p>
            <w:pPr>
              <w:widowControl/>
              <w:jc w:val="center"/>
              <w:rPr>
                <w:rFonts w:hint="eastAsia" w:ascii="宋体" w:hAnsi="宋体" w:eastAsia="宋体"/>
                <w:color w:val="auto"/>
                <w:kern w:val="0"/>
                <w:sz w:val="21"/>
                <w:szCs w:val="21"/>
                <w14:ligatures w14:val="none"/>
              </w:rPr>
            </w:pPr>
            <w:r>
              <w:rPr>
                <w:rFonts w:hint="eastAsia" w:ascii="宋体" w:hAnsi="宋体" w:eastAsia="宋体"/>
                <w:color w:val="auto"/>
                <w:kern w:val="0"/>
                <w:sz w:val="21"/>
                <w:szCs w:val="21"/>
                <w14:ligatures w14:val="none"/>
              </w:rPr>
              <w:t>14.00</w:t>
            </w:r>
          </w:p>
        </w:tc>
        <w:tc>
          <w:tcPr>
            <w:tcW w:w="960" w:type="dxa"/>
            <w:tcBorders>
              <w:top w:val="single" w:color="auto" w:sz="6" w:space="0"/>
              <w:left w:val="single" w:color="auto" w:sz="6" w:space="0"/>
              <w:bottom w:val="single" w:color="auto" w:sz="6" w:space="0"/>
              <w:right w:val="single" w:color="auto" w:sz="12" w:space="0"/>
            </w:tcBorders>
            <w:shd w:val="clear" w:color="auto" w:fill="auto"/>
            <w:vAlign w:val="center"/>
          </w:tcPr>
          <w:p>
            <w:pPr>
              <w:widowControl/>
              <w:jc w:val="center"/>
              <w:rPr>
                <w:rFonts w:hint="eastAsia" w:ascii="宋体" w:hAnsi="宋体" w:eastAsia="宋体"/>
                <w:color w:val="auto"/>
                <w:kern w:val="0"/>
                <w:sz w:val="21"/>
                <w:szCs w:val="21"/>
                <w14:ligatures w14: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trPr>
        <w:tc>
          <w:tcPr>
            <w:tcW w:w="1809" w:type="dxa"/>
            <w:gridSpan w:val="2"/>
            <w:tcBorders>
              <w:top w:val="single" w:color="auto" w:sz="6" w:space="0"/>
              <w:left w:val="single" w:color="auto" w:sz="12" w:space="0"/>
              <w:bottom w:val="single" w:color="auto" w:sz="12" w:space="0"/>
              <w:right w:val="single" w:color="auto" w:sz="6" w:space="0"/>
            </w:tcBorders>
            <w:shd w:val="clear" w:color="auto" w:fill="auto"/>
            <w:vAlign w:val="center"/>
          </w:tcPr>
          <w:p>
            <w:pPr>
              <w:widowControl/>
              <w:jc w:val="center"/>
              <w:rPr>
                <w:rFonts w:hint="eastAsia" w:ascii="宋体" w:hAnsi="宋体" w:eastAsia="宋体"/>
                <w:color w:val="auto"/>
                <w:kern w:val="0"/>
                <w:sz w:val="21"/>
                <w:szCs w:val="21"/>
                <w14:ligatures w14:val="none"/>
              </w:rPr>
            </w:pPr>
            <w:r>
              <w:rPr>
                <w:rFonts w:hint="eastAsia" w:ascii="宋体" w:hAnsi="宋体" w:eastAsia="宋体"/>
                <w:color w:val="auto"/>
                <w:kern w:val="0"/>
                <w:sz w:val="21"/>
                <w:szCs w:val="21"/>
                <w14:ligatures w14:val="none"/>
              </w:rPr>
              <w:t>原煤</w:t>
            </w:r>
          </w:p>
        </w:tc>
        <w:tc>
          <w:tcPr>
            <w:tcW w:w="772" w:type="dxa"/>
            <w:tcBorders>
              <w:top w:val="single" w:color="auto" w:sz="6" w:space="0"/>
              <w:left w:val="single" w:color="auto" w:sz="6" w:space="0"/>
              <w:bottom w:val="single" w:color="auto" w:sz="12" w:space="0"/>
              <w:right w:val="single" w:color="auto" w:sz="6" w:space="0"/>
            </w:tcBorders>
            <w:shd w:val="clear" w:color="auto" w:fill="auto"/>
            <w:vAlign w:val="center"/>
          </w:tcPr>
          <w:p>
            <w:pPr>
              <w:widowControl/>
              <w:jc w:val="center"/>
              <w:rPr>
                <w:rFonts w:hint="eastAsia" w:ascii="宋体" w:hAnsi="宋体" w:eastAsia="宋体"/>
                <w:color w:val="auto"/>
                <w:kern w:val="0"/>
                <w:sz w:val="21"/>
                <w:szCs w:val="21"/>
                <w14:ligatures w14:val="none"/>
              </w:rPr>
            </w:pPr>
            <w:r>
              <w:rPr>
                <w:rFonts w:hint="eastAsia" w:ascii="宋体" w:hAnsi="宋体" w:eastAsia="宋体"/>
                <w:color w:val="auto"/>
                <w:kern w:val="0"/>
                <w:sz w:val="21"/>
                <w:szCs w:val="21"/>
                <w14:ligatures w14:val="none"/>
              </w:rPr>
              <w:t>100.0</w:t>
            </w:r>
          </w:p>
        </w:tc>
        <w:tc>
          <w:tcPr>
            <w:tcW w:w="956" w:type="dxa"/>
            <w:tcBorders>
              <w:top w:val="single" w:color="auto" w:sz="6" w:space="0"/>
              <w:left w:val="single" w:color="auto" w:sz="6" w:space="0"/>
              <w:bottom w:val="single" w:color="auto" w:sz="12" w:space="0"/>
              <w:right w:val="single" w:color="auto" w:sz="6" w:space="0"/>
            </w:tcBorders>
            <w:shd w:val="clear" w:color="auto" w:fill="auto"/>
            <w:vAlign w:val="center"/>
          </w:tcPr>
          <w:p>
            <w:pPr>
              <w:widowControl/>
              <w:jc w:val="center"/>
              <w:rPr>
                <w:rFonts w:hint="eastAsia" w:ascii="宋体" w:hAnsi="宋体" w:eastAsia="宋体"/>
                <w:color w:val="auto"/>
                <w:kern w:val="0"/>
                <w:sz w:val="21"/>
                <w:szCs w:val="21"/>
                <w14:ligatures w14:val="none"/>
              </w:rPr>
            </w:pPr>
            <w:r>
              <w:rPr>
                <w:rFonts w:hint="eastAsia" w:ascii="宋体" w:hAnsi="宋体" w:eastAsia="宋体"/>
                <w:color w:val="auto"/>
                <w:kern w:val="0"/>
                <w:sz w:val="21"/>
                <w:szCs w:val="21"/>
                <w14:ligatures w14:val="none"/>
              </w:rPr>
              <w:t>2462.12</w:t>
            </w:r>
          </w:p>
        </w:tc>
        <w:tc>
          <w:tcPr>
            <w:tcW w:w="1099" w:type="dxa"/>
            <w:tcBorders>
              <w:top w:val="single" w:color="auto" w:sz="6" w:space="0"/>
              <w:left w:val="single" w:color="auto" w:sz="6" w:space="0"/>
              <w:bottom w:val="single" w:color="auto" w:sz="12" w:space="0"/>
              <w:right w:val="single" w:color="auto" w:sz="6" w:space="0"/>
            </w:tcBorders>
            <w:shd w:val="clear" w:color="auto" w:fill="auto"/>
            <w:vAlign w:val="center"/>
          </w:tcPr>
          <w:p>
            <w:pPr>
              <w:widowControl/>
              <w:jc w:val="center"/>
              <w:rPr>
                <w:rFonts w:hint="eastAsia" w:ascii="宋体" w:hAnsi="宋体" w:eastAsia="宋体"/>
                <w:color w:val="auto"/>
                <w:kern w:val="0"/>
                <w:sz w:val="21"/>
                <w:szCs w:val="21"/>
                <w14:ligatures w14:val="none"/>
              </w:rPr>
            </w:pPr>
            <w:r>
              <w:rPr>
                <w:rFonts w:hint="eastAsia" w:ascii="宋体" w:hAnsi="宋体" w:eastAsia="宋体"/>
                <w:color w:val="auto"/>
                <w:kern w:val="0"/>
                <w:sz w:val="21"/>
                <w:szCs w:val="21"/>
                <w14:ligatures w14:val="none"/>
              </w:rPr>
              <w:t>39393.94</w:t>
            </w:r>
          </w:p>
        </w:tc>
        <w:tc>
          <w:tcPr>
            <w:tcW w:w="1267" w:type="dxa"/>
            <w:tcBorders>
              <w:top w:val="single" w:color="auto" w:sz="6" w:space="0"/>
              <w:left w:val="single" w:color="auto" w:sz="6" w:space="0"/>
              <w:bottom w:val="single" w:color="auto" w:sz="12" w:space="0"/>
              <w:right w:val="single" w:color="auto" w:sz="6" w:space="0"/>
            </w:tcBorders>
            <w:shd w:val="clear" w:color="auto" w:fill="auto"/>
            <w:vAlign w:val="center"/>
          </w:tcPr>
          <w:p>
            <w:pPr>
              <w:widowControl/>
              <w:jc w:val="center"/>
              <w:rPr>
                <w:rFonts w:hint="eastAsia" w:ascii="宋体" w:hAnsi="宋体" w:eastAsia="宋体"/>
                <w:color w:val="auto"/>
                <w:kern w:val="0"/>
                <w:sz w:val="21"/>
                <w:szCs w:val="21"/>
                <w14:ligatures w14:val="none"/>
              </w:rPr>
            </w:pPr>
            <w:r>
              <w:rPr>
                <w:rFonts w:hint="eastAsia" w:ascii="宋体" w:hAnsi="宋体" w:eastAsia="宋体"/>
                <w:color w:val="auto"/>
                <w:kern w:val="0"/>
                <w:sz w:val="21"/>
                <w:szCs w:val="21"/>
                <w14:ligatures w14:val="none"/>
              </w:rPr>
              <w:t>1300.00</w:t>
            </w:r>
          </w:p>
        </w:tc>
        <w:tc>
          <w:tcPr>
            <w:tcW w:w="793" w:type="dxa"/>
            <w:tcBorders>
              <w:top w:val="single" w:color="auto" w:sz="6" w:space="0"/>
              <w:left w:val="single" w:color="auto" w:sz="6" w:space="0"/>
              <w:bottom w:val="single" w:color="auto" w:sz="12" w:space="0"/>
              <w:right w:val="single" w:color="auto" w:sz="6" w:space="0"/>
            </w:tcBorders>
            <w:shd w:val="clear" w:color="auto" w:fill="auto"/>
            <w:vAlign w:val="center"/>
          </w:tcPr>
          <w:p>
            <w:pPr>
              <w:widowControl/>
              <w:jc w:val="center"/>
              <w:rPr>
                <w:rFonts w:hint="eastAsia" w:ascii="宋体" w:hAnsi="宋体" w:eastAsia="宋体"/>
                <w:color w:val="auto"/>
                <w:kern w:val="0"/>
                <w:sz w:val="21"/>
                <w:szCs w:val="21"/>
                <w14:ligatures w14:val="none"/>
              </w:rPr>
            </w:pPr>
            <w:r>
              <w:rPr>
                <w:rFonts w:hint="eastAsia" w:ascii="宋体" w:hAnsi="宋体" w:eastAsia="宋体"/>
                <w:color w:val="auto"/>
                <w:kern w:val="0"/>
                <w:sz w:val="21"/>
                <w:szCs w:val="21"/>
                <w14:ligatures w14:val="none"/>
              </w:rPr>
              <w:t>14.96</w:t>
            </w:r>
          </w:p>
        </w:tc>
        <w:tc>
          <w:tcPr>
            <w:tcW w:w="802" w:type="dxa"/>
            <w:tcBorders>
              <w:top w:val="single" w:color="auto" w:sz="6" w:space="0"/>
              <w:left w:val="single" w:color="auto" w:sz="6" w:space="0"/>
              <w:bottom w:val="single" w:color="auto" w:sz="12" w:space="0"/>
              <w:right w:val="single" w:color="auto" w:sz="6" w:space="0"/>
            </w:tcBorders>
            <w:shd w:val="clear" w:color="auto" w:fill="auto"/>
            <w:vAlign w:val="center"/>
          </w:tcPr>
          <w:p>
            <w:pPr>
              <w:widowControl/>
              <w:jc w:val="center"/>
              <w:rPr>
                <w:rFonts w:hint="eastAsia" w:ascii="宋体" w:hAnsi="宋体" w:eastAsia="宋体"/>
                <w:color w:val="auto"/>
                <w:kern w:val="0"/>
                <w:sz w:val="21"/>
                <w:szCs w:val="21"/>
                <w14:ligatures w14:val="none"/>
              </w:rPr>
            </w:pPr>
            <w:r>
              <w:rPr>
                <w:rFonts w:hint="eastAsia" w:ascii="宋体" w:hAnsi="宋体" w:eastAsia="宋体"/>
                <w:color w:val="auto"/>
                <w:kern w:val="0"/>
                <w:sz w:val="21"/>
                <w:szCs w:val="21"/>
                <w14:ligatures w14:val="none"/>
              </w:rPr>
              <w:t>7.00</w:t>
            </w:r>
          </w:p>
        </w:tc>
        <w:tc>
          <w:tcPr>
            <w:tcW w:w="828" w:type="dxa"/>
            <w:tcBorders>
              <w:top w:val="single" w:color="auto" w:sz="6" w:space="0"/>
              <w:left w:val="single" w:color="auto" w:sz="6" w:space="0"/>
              <w:bottom w:val="single" w:color="auto" w:sz="12" w:space="0"/>
              <w:right w:val="single" w:color="auto" w:sz="6" w:space="0"/>
            </w:tcBorders>
            <w:shd w:val="clear" w:color="auto" w:fill="auto"/>
            <w:vAlign w:val="center"/>
          </w:tcPr>
          <w:p>
            <w:pPr>
              <w:widowControl/>
              <w:jc w:val="center"/>
              <w:rPr>
                <w:rFonts w:hint="eastAsia" w:ascii="宋体" w:hAnsi="宋体" w:eastAsia="宋体"/>
                <w:color w:val="auto"/>
                <w:kern w:val="0"/>
                <w:sz w:val="21"/>
                <w:szCs w:val="21"/>
                <w14:ligatures w14:val="none"/>
              </w:rPr>
            </w:pPr>
            <w:r>
              <w:rPr>
                <w:rFonts w:hint="eastAsia" w:ascii="宋体" w:hAnsi="宋体" w:eastAsia="宋体"/>
                <w:color w:val="auto"/>
                <w:kern w:val="0"/>
                <w:sz w:val="21"/>
                <w:szCs w:val="21"/>
                <w14:ligatures w14:val="none"/>
              </w:rPr>
              <w:t>11.00</w:t>
            </w:r>
          </w:p>
        </w:tc>
        <w:tc>
          <w:tcPr>
            <w:tcW w:w="960" w:type="dxa"/>
            <w:tcBorders>
              <w:top w:val="single" w:color="auto" w:sz="6" w:space="0"/>
              <w:left w:val="single" w:color="auto" w:sz="6" w:space="0"/>
              <w:bottom w:val="single" w:color="auto" w:sz="12" w:space="0"/>
              <w:right w:val="single" w:color="auto" w:sz="12" w:space="0"/>
            </w:tcBorders>
            <w:shd w:val="clear" w:color="auto" w:fill="auto"/>
            <w:vAlign w:val="center"/>
          </w:tcPr>
          <w:p>
            <w:pPr>
              <w:widowControl/>
              <w:jc w:val="center"/>
              <w:rPr>
                <w:rFonts w:hint="eastAsia" w:ascii="宋体" w:hAnsi="宋体" w:eastAsia="宋体"/>
                <w:color w:val="auto"/>
                <w:kern w:val="0"/>
                <w:sz w:val="21"/>
                <w:szCs w:val="21"/>
                <w14:ligatures w14:val="none"/>
              </w:rPr>
            </w:pPr>
            <w:r>
              <w:rPr>
                <w:rFonts w:hint="eastAsia" w:ascii="宋体" w:hAnsi="宋体" w:eastAsia="宋体"/>
                <w:color w:val="auto"/>
                <w:kern w:val="0"/>
                <w:sz w:val="21"/>
                <w:szCs w:val="21"/>
                <w14:ligatures w14:val="none"/>
              </w:rPr>
              <w:t>5652</w:t>
            </w:r>
          </w:p>
        </w:tc>
      </w:tr>
    </w:tbl>
    <w:p>
      <w:pPr>
        <w:pStyle w:val="44"/>
        <w:widowControl w:val="0"/>
        <w:spacing w:before="0" w:beforeAutospacing="0" w:after="0" w:afterAutospacing="0" w:line="500" w:lineRule="exact"/>
        <w:ind w:firstLine="474" w:firstLineChars="200"/>
        <w:jc w:val="both"/>
        <w:rPr>
          <w:rFonts w:hint="eastAsia" w:hAnsi="宋体" w:cs="宋体"/>
          <w:color w:val="auto"/>
          <w:kern w:val="2"/>
          <w:szCs w:val="20"/>
          <w:lang w:bidi="ar"/>
          <w14:ligatures w14:val="standardContextual"/>
        </w:rPr>
      </w:pPr>
      <w:r>
        <w:rPr>
          <w:rFonts w:hint="eastAsia" w:hAnsi="宋体" w:cs="宋体"/>
          <w:color w:val="auto"/>
          <w:kern w:val="2"/>
          <w:szCs w:val="20"/>
          <w:lang w:bidi="ar"/>
          <w14:ligatures w14:val="standardContextual"/>
        </w:rPr>
        <w:t>汽车供煤系统来燃料煤存在两种方案：</w:t>
      </w:r>
    </w:p>
    <w:p>
      <w:pPr>
        <w:pStyle w:val="44"/>
        <w:widowControl w:val="0"/>
        <w:spacing w:before="0" w:beforeAutospacing="0" w:after="0" w:afterAutospacing="0" w:line="500" w:lineRule="exact"/>
        <w:ind w:firstLine="474" w:firstLineChars="200"/>
        <w:jc w:val="both"/>
        <w:rPr>
          <w:rFonts w:hint="eastAsia" w:hAnsi="宋体" w:cs="宋体"/>
          <w:color w:val="auto"/>
          <w:kern w:val="2"/>
          <w:szCs w:val="20"/>
          <w:lang w:bidi="ar"/>
          <w14:ligatures w14:val="standardContextual"/>
        </w:rPr>
      </w:pPr>
      <w:r>
        <w:rPr>
          <w:rFonts w:hint="eastAsia" w:hAnsi="宋体" w:cs="宋体"/>
          <w:color w:val="auto"/>
          <w:kern w:val="2"/>
          <w:szCs w:val="20"/>
          <w:lang w:bidi="ar"/>
          <w14:ligatures w14:val="standardContextual"/>
        </w:rPr>
        <w:t>方案一（常规来煤）</w:t>
      </w:r>
    </w:p>
    <w:p>
      <w:pPr>
        <w:pStyle w:val="44"/>
        <w:widowControl w:val="0"/>
        <w:spacing w:before="0" w:beforeAutospacing="0" w:after="0" w:afterAutospacing="0" w:line="500" w:lineRule="exact"/>
        <w:ind w:firstLine="474" w:firstLineChars="200"/>
        <w:jc w:val="both"/>
        <w:rPr>
          <w:rFonts w:hint="eastAsia" w:hAnsi="宋体" w:cs="宋体"/>
          <w:color w:val="auto"/>
          <w:kern w:val="2"/>
          <w:szCs w:val="20"/>
          <w:lang w:bidi="ar"/>
          <w14:ligatures w14:val="standardContextual"/>
        </w:rPr>
      </w:pPr>
      <w:r>
        <w:rPr>
          <w:rFonts w:hint="eastAsia" w:hAnsi="宋体" w:cs="宋体"/>
          <w:color w:val="auto"/>
          <w:kern w:val="2"/>
          <w:szCs w:val="20"/>
          <w:lang w:bidi="ar"/>
          <w14:ligatures w14:val="standardContextual"/>
        </w:rPr>
        <w:t>来煤均为≤50mm精煤，来自多家煤矿，煤质及粒度组成见表</w:t>
      </w:r>
      <w:r>
        <w:rPr>
          <w:rFonts w:hint="eastAsia" w:hAnsi="宋体" w:cs="宋体"/>
          <w:color w:val="auto"/>
          <w:kern w:val="2"/>
          <w:szCs w:val="20"/>
          <w:lang w:val="en-US" w:eastAsia="zh-CN" w:bidi="ar"/>
          <w14:ligatures w14:val="standardContextual"/>
        </w:rPr>
        <w:t>2-3</w:t>
      </w:r>
      <w:r>
        <w:rPr>
          <w:rFonts w:hint="eastAsia" w:hAnsi="宋体" w:cs="宋体"/>
          <w:color w:val="auto"/>
          <w:kern w:val="2"/>
          <w:szCs w:val="20"/>
          <w:lang w:bidi="ar"/>
          <w14:ligatures w14:val="standardContextual"/>
        </w:rPr>
        <w:t>。</w:t>
      </w:r>
    </w:p>
    <w:p>
      <w:pPr>
        <w:pStyle w:val="44"/>
        <w:widowControl w:val="0"/>
        <w:spacing w:before="0" w:beforeAutospacing="0" w:after="0" w:afterAutospacing="0" w:line="500" w:lineRule="exact"/>
        <w:ind w:firstLine="474" w:firstLineChars="200"/>
        <w:jc w:val="both"/>
        <w:rPr>
          <w:rFonts w:hint="eastAsia" w:hAnsi="宋体" w:cs="宋体"/>
          <w:color w:val="auto"/>
          <w:kern w:val="2"/>
          <w:szCs w:val="20"/>
          <w:lang w:bidi="ar"/>
          <w14:ligatures w14:val="standardContextual"/>
        </w:rPr>
      </w:pPr>
      <w:r>
        <w:rPr>
          <w:rFonts w:hint="eastAsia" w:hAnsi="宋体" w:cs="宋体"/>
          <w:color w:val="auto"/>
          <w:kern w:val="2"/>
          <w:szCs w:val="20"/>
          <w:lang w:bidi="ar"/>
          <w14:ligatures w14:val="standardContextual"/>
        </w:rPr>
        <w:t>表</w:t>
      </w:r>
      <w:r>
        <w:rPr>
          <w:rFonts w:hint="eastAsia" w:hAnsi="宋体" w:cs="宋体"/>
          <w:color w:val="auto"/>
          <w:kern w:val="2"/>
          <w:szCs w:val="20"/>
          <w:lang w:val="en-US" w:eastAsia="zh-CN" w:bidi="ar"/>
          <w14:ligatures w14:val="standardContextual"/>
        </w:rPr>
        <w:t>2-3</w:t>
      </w:r>
      <w:r>
        <w:rPr>
          <w:rFonts w:hint="eastAsia" w:hAnsi="宋体" w:cs="宋体"/>
          <w:color w:val="auto"/>
          <w:kern w:val="2"/>
          <w:szCs w:val="20"/>
          <w:lang w:bidi="ar"/>
          <w14:ligatures w14:val="standardContextual"/>
        </w:rPr>
        <w:t xml:space="preserve">                 常规汽车供燃料煤煤质及粒度组成</w:t>
      </w:r>
    </w:p>
    <w:tbl>
      <w:tblPr>
        <w:tblStyle w:val="50"/>
        <w:tblW w:w="903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51"/>
        <w:gridCol w:w="1417"/>
        <w:gridCol w:w="1418"/>
        <w:gridCol w:w="1417"/>
        <w:gridCol w:w="992"/>
        <w:gridCol w:w="1051"/>
        <w:gridCol w:w="99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1" w:hRule="atLeast"/>
        </w:trPr>
        <w:tc>
          <w:tcPr>
            <w:tcW w:w="1751" w:type="dxa"/>
            <w:vMerge w:val="restart"/>
            <w:tcBorders>
              <w:top w:val="single" w:color="auto" w:sz="12" w:space="0"/>
              <w:left w:val="single" w:color="auto" w:sz="12" w:space="0"/>
              <w:bottom w:val="single" w:color="auto" w:sz="6" w:space="0"/>
              <w:right w:val="single" w:color="auto" w:sz="6" w:space="0"/>
            </w:tcBorders>
            <w:shd w:val="clear" w:color="auto" w:fill="auto"/>
          </w:tcPr>
          <w:p>
            <w:pPr>
              <w:widowControl/>
              <w:jc w:val="center"/>
              <w:rPr>
                <w:rFonts w:hint="eastAsia" w:ascii="宋体" w:hAnsi="宋体" w:eastAsia="宋体"/>
                <w:color w:val="auto"/>
                <w:kern w:val="0"/>
                <w:sz w:val="21"/>
                <w:szCs w:val="21"/>
                <w14:ligatures w14:val="none"/>
              </w:rPr>
            </w:pPr>
          </w:p>
        </w:tc>
        <w:tc>
          <w:tcPr>
            <w:tcW w:w="1417" w:type="dxa"/>
            <w:vMerge w:val="restart"/>
            <w:tcBorders>
              <w:top w:val="single" w:color="auto" w:sz="12" w:space="0"/>
              <w:left w:val="single" w:color="auto" w:sz="6" w:space="0"/>
              <w:bottom w:val="single" w:color="auto" w:sz="6" w:space="0"/>
              <w:right w:val="single" w:color="auto" w:sz="6" w:space="0"/>
            </w:tcBorders>
            <w:shd w:val="clear" w:color="auto" w:fill="auto"/>
          </w:tcPr>
          <w:p>
            <w:pPr>
              <w:widowControl/>
              <w:jc w:val="center"/>
              <w:rPr>
                <w:rFonts w:hint="eastAsia" w:ascii="宋体" w:hAnsi="宋体" w:eastAsia="宋体"/>
                <w:color w:val="auto"/>
                <w:kern w:val="0"/>
                <w:sz w:val="21"/>
                <w:szCs w:val="21"/>
                <w14:ligatures w14:val="none"/>
              </w:rPr>
            </w:pPr>
            <w:r>
              <w:rPr>
                <w:rFonts w:hint="eastAsia" w:ascii="宋体" w:hAnsi="宋体" w:eastAsia="宋体"/>
                <w:color w:val="auto"/>
                <w:kern w:val="0"/>
                <w:sz w:val="21"/>
                <w:szCs w:val="21"/>
                <w14:ligatures w14:val="none"/>
              </w:rPr>
              <w:t>全水份 %</w:t>
            </w:r>
          </w:p>
          <w:p>
            <w:pPr>
              <w:widowControl/>
              <w:jc w:val="center"/>
              <w:rPr>
                <w:rFonts w:hint="eastAsia" w:ascii="宋体" w:hAnsi="宋体" w:eastAsia="宋体"/>
                <w:color w:val="auto"/>
                <w:kern w:val="0"/>
                <w:sz w:val="21"/>
                <w:szCs w:val="21"/>
                <w14:ligatures w14:val="none"/>
              </w:rPr>
            </w:pPr>
            <w:r>
              <w:rPr>
                <w:rFonts w:hint="eastAsia" w:ascii="宋体" w:hAnsi="宋体" w:eastAsia="宋体"/>
                <w:color w:val="auto"/>
                <w:kern w:val="0"/>
                <w:sz w:val="21"/>
                <w:szCs w:val="21"/>
                <w14:ligatures w14:val="none"/>
              </w:rPr>
              <w:t>（收到基）</w:t>
            </w:r>
          </w:p>
        </w:tc>
        <w:tc>
          <w:tcPr>
            <w:tcW w:w="1418" w:type="dxa"/>
            <w:vMerge w:val="restart"/>
            <w:tcBorders>
              <w:top w:val="single" w:color="auto" w:sz="12" w:space="0"/>
              <w:left w:val="single" w:color="auto" w:sz="6" w:space="0"/>
              <w:bottom w:val="single" w:color="auto" w:sz="6" w:space="0"/>
              <w:right w:val="single" w:color="auto" w:sz="6" w:space="0"/>
            </w:tcBorders>
            <w:shd w:val="clear" w:color="auto" w:fill="auto"/>
          </w:tcPr>
          <w:p>
            <w:pPr>
              <w:widowControl/>
              <w:jc w:val="center"/>
              <w:rPr>
                <w:rFonts w:hint="eastAsia" w:ascii="宋体" w:hAnsi="宋体" w:eastAsia="宋体"/>
                <w:color w:val="auto"/>
                <w:kern w:val="0"/>
                <w:sz w:val="21"/>
                <w:szCs w:val="21"/>
                <w14:ligatures w14:val="none"/>
              </w:rPr>
            </w:pPr>
            <w:r>
              <w:rPr>
                <w:rFonts w:hint="eastAsia" w:ascii="宋体" w:hAnsi="宋体" w:eastAsia="宋体"/>
                <w:color w:val="auto"/>
                <w:kern w:val="0"/>
                <w:sz w:val="21"/>
                <w:szCs w:val="21"/>
                <w14:ligatures w14:val="none"/>
              </w:rPr>
              <w:t>内水份 %</w:t>
            </w:r>
          </w:p>
          <w:p>
            <w:pPr>
              <w:widowControl/>
              <w:jc w:val="center"/>
              <w:rPr>
                <w:rFonts w:hint="eastAsia" w:ascii="宋体" w:hAnsi="宋体" w:eastAsia="宋体"/>
                <w:color w:val="auto"/>
                <w:kern w:val="0"/>
                <w:sz w:val="21"/>
                <w:szCs w:val="21"/>
                <w14:ligatures w14:val="none"/>
              </w:rPr>
            </w:pPr>
            <w:r>
              <w:rPr>
                <w:rFonts w:hint="eastAsia" w:ascii="宋体" w:hAnsi="宋体" w:eastAsia="宋体"/>
                <w:color w:val="auto"/>
                <w:kern w:val="0"/>
                <w:sz w:val="21"/>
                <w:szCs w:val="21"/>
                <w14:ligatures w14:val="none"/>
              </w:rPr>
              <w:t>（空干基）</w:t>
            </w:r>
          </w:p>
        </w:tc>
        <w:tc>
          <w:tcPr>
            <w:tcW w:w="1417" w:type="dxa"/>
            <w:vMerge w:val="restart"/>
            <w:tcBorders>
              <w:top w:val="single" w:color="auto" w:sz="12" w:space="0"/>
              <w:left w:val="single" w:color="auto" w:sz="6" w:space="0"/>
              <w:bottom w:val="single" w:color="auto" w:sz="6" w:space="0"/>
              <w:right w:val="single" w:color="auto" w:sz="6" w:space="0"/>
            </w:tcBorders>
            <w:shd w:val="clear" w:color="auto" w:fill="auto"/>
          </w:tcPr>
          <w:p>
            <w:pPr>
              <w:widowControl/>
              <w:jc w:val="center"/>
              <w:rPr>
                <w:rFonts w:hint="eastAsia" w:ascii="宋体" w:hAnsi="宋体" w:eastAsia="宋体"/>
                <w:color w:val="auto"/>
                <w:kern w:val="0"/>
                <w:sz w:val="21"/>
                <w:szCs w:val="21"/>
                <w14:ligatures w14:val="none"/>
              </w:rPr>
            </w:pPr>
            <w:r>
              <w:rPr>
                <w:rFonts w:hint="eastAsia" w:ascii="宋体" w:hAnsi="宋体" w:eastAsia="宋体"/>
                <w:color w:val="auto"/>
                <w:kern w:val="0"/>
                <w:sz w:val="21"/>
                <w:szCs w:val="21"/>
                <w14:ligatures w14:val="none"/>
              </w:rPr>
              <w:t>灰份 %</w:t>
            </w:r>
          </w:p>
          <w:p>
            <w:pPr>
              <w:widowControl/>
              <w:jc w:val="center"/>
              <w:rPr>
                <w:rFonts w:hint="eastAsia" w:ascii="宋体" w:hAnsi="宋体" w:eastAsia="宋体"/>
                <w:color w:val="auto"/>
                <w:kern w:val="0"/>
                <w:sz w:val="21"/>
                <w:szCs w:val="21"/>
                <w14:ligatures w14:val="none"/>
              </w:rPr>
            </w:pPr>
            <w:r>
              <w:rPr>
                <w:rFonts w:hint="eastAsia" w:ascii="宋体" w:hAnsi="宋体" w:eastAsia="宋体"/>
                <w:color w:val="auto"/>
                <w:kern w:val="0"/>
                <w:sz w:val="21"/>
                <w:szCs w:val="21"/>
                <w14:ligatures w14:val="none"/>
              </w:rPr>
              <w:t>（空干基）</w:t>
            </w:r>
          </w:p>
        </w:tc>
        <w:tc>
          <w:tcPr>
            <w:tcW w:w="3036" w:type="dxa"/>
            <w:gridSpan w:val="3"/>
            <w:tcBorders>
              <w:top w:val="single" w:color="auto" w:sz="12" w:space="0"/>
              <w:left w:val="single" w:color="auto" w:sz="6" w:space="0"/>
              <w:bottom w:val="single" w:color="auto" w:sz="6" w:space="0"/>
              <w:right w:val="single" w:color="auto" w:sz="12" w:space="0"/>
            </w:tcBorders>
            <w:shd w:val="clear" w:color="auto" w:fill="auto"/>
          </w:tcPr>
          <w:p>
            <w:pPr>
              <w:widowControl/>
              <w:jc w:val="center"/>
              <w:rPr>
                <w:rFonts w:hint="eastAsia" w:ascii="宋体" w:hAnsi="宋体" w:eastAsia="宋体"/>
                <w:color w:val="auto"/>
                <w:kern w:val="0"/>
                <w:sz w:val="21"/>
                <w:szCs w:val="21"/>
                <w14:ligatures w14:val="none"/>
              </w:rPr>
            </w:pPr>
            <w:r>
              <w:rPr>
                <w:rFonts w:hint="eastAsia" w:ascii="宋体" w:hAnsi="宋体" w:eastAsia="宋体"/>
                <w:color w:val="auto"/>
                <w:kern w:val="0"/>
                <w:sz w:val="21"/>
                <w:szCs w:val="21"/>
                <w14:ligatures w14:val="none"/>
              </w:rPr>
              <w:t>粒度组成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1" w:hRule="atLeast"/>
        </w:trPr>
        <w:tc>
          <w:tcPr>
            <w:tcW w:w="1751" w:type="dxa"/>
            <w:vMerge w:val="continue"/>
            <w:tcBorders>
              <w:top w:val="single" w:color="auto" w:sz="12" w:space="0"/>
              <w:left w:val="single" w:color="auto" w:sz="12" w:space="0"/>
              <w:bottom w:val="single" w:color="auto" w:sz="6" w:space="0"/>
              <w:right w:val="single" w:color="auto" w:sz="6" w:space="0"/>
            </w:tcBorders>
            <w:shd w:val="clear" w:color="auto" w:fill="auto"/>
          </w:tcPr>
          <w:p>
            <w:pPr>
              <w:widowControl/>
              <w:jc w:val="center"/>
              <w:rPr>
                <w:rFonts w:hint="eastAsia" w:ascii="宋体" w:hAnsi="宋体" w:eastAsia="宋体"/>
                <w:color w:val="auto"/>
                <w:kern w:val="0"/>
                <w:sz w:val="21"/>
                <w:szCs w:val="21"/>
                <w14:ligatures w14:val="none"/>
              </w:rPr>
            </w:pPr>
          </w:p>
        </w:tc>
        <w:tc>
          <w:tcPr>
            <w:tcW w:w="1417" w:type="dxa"/>
            <w:vMerge w:val="continue"/>
            <w:tcBorders>
              <w:top w:val="single" w:color="auto" w:sz="12" w:space="0"/>
              <w:left w:val="single" w:color="auto" w:sz="6" w:space="0"/>
              <w:bottom w:val="single" w:color="auto" w:sz="6" w:space="0"/>
              <w:right w:val="single" w:color="auto" w:sz="6" w:space="0"/>
            </w:tcBorders>
            <w:shd w:val="clear" w:color="auto" w:fill="auto"/>
          </w:tcPr>
          <w:p>
            <w:pPr>
              <w:widowControl/>
              <w:jc w:val="center"/>
              <w:rPr>
                <w:rFonts w:hint="eastAsia" w:ascii="宋体" w:hAnsi="宋体" w:eastAsia="宋体"/>
                <w:color w:val="auto"/>
                <w:kern w:val="0"/>
                <w:sz w:val="21"/>
                <w:szCs w:val="21"/>
                <w14:ligatures w14:val="none"/>
              </w:rPr>
            </w:pPr>
          </w:p>
        </w:tc>
        <w:tc>
          <w:tcPr>
            <w:tcW w:w="1418" w:type="dxa"/>
            <w:vMerge w:val="continue"/>
            <w:tcBorders>
              <w:top w:val="single" w:color="auto" w:sz="12" w:space="0"/>
              <w:left w:val="single" w:color="auto" w:sz="6" w:space="0"/>
              <w:bottom w:val="single" w:color="auto" w:sz="6" w:space="0"/>
              <w:right w:val="single" w:color="auto" w:sz="6" w:space="0"/>
            </w:tcBorders>
            <w:shd w:val="clear" w:color="auto" w:fill="auto"/>
          </w:tcPr>
          <w:p>
            <w:pPr>
              <w:widowControl/>
              <w:jc w:val="center"/>
              <w:rPr>
                <w:rFonts w:hint="eastAsia" w:ascii="宋体" w:hAnsi="宋体" w:eastAsia="宋体"/>
                <w:color w:val="auto"/>
                <w:kern w:val="0"/>
                <w:sz w:val="21"/>
                <w:szCs w:val="21"/>
                <w14:ligatures w14:val="none"/>
              </w:rPr>
            </w:pPr>
          </w:p>
        </w:tc>
        <w:tc>
          <w:tcPr>
            <w:tcW w:w="1417" w:type="dxa"/>
            <w:vMerge w:val="continue"/>
            <w:tcBorders>
              <w:top w:val="single" w:color="auto" w:sz="12" w:space="0"/>
              <w:left w:val="single" w:color="auto" w:sz="6" w:space="0"/>
              <w:bottom w:val="single" w:color="auto" w:sz="6" w:space="0"/>
              <w:right w:val="single" w:color="auto" w:sz="6" w:space="0"/>
            </w:tcBorders>
            <w:shd w:val="clear" w:color="auto" w:fill="auto"/>
          </w:tcPr>
          <w:p>
            <w:pPr>
              <w:widowControl/>
              <w:jc w:val="center"/>
              <w:rPr>
                <w:rFonts w:hint="eastAsia" w:ascii="宋体" w:hAnsi="宋体" w:eastAsia="宋体"/>
                <w:color w:val="auto"/>
                <w:kern w:val="0"/>
                <w:sz w:val="21"/>
                <w:szCs w:val="21"/>
                <w14:ligatures w14:val="none"/>
              </w:rPr>
            </w:pPr>
          </w:p>
        </w:tc>
        <w:tc>
          <w:tcPr>
            <w:tcW w:w="992" w:type="dxa"/>
            <w:tcBorders>
              <w:top w:val="single" w:color="auto" w:sz="6" w:space="0"/>
              <w:left w:val="single" w:color="auto" w:sz="6" w:space="0"/>
              <w:bottom w:val="single" w:color="auto" w:sz="6" w:space="0"/>
              <w:right w:val="single" w:color="auto" w:sz="6" w:space="0"/>
            </w:tcBorders>
            <w:shd w:val="clear" w:color="auto" w:fill="auto"/>
          </w:tcPr>
          <w:p>
            <w:pPr>
              <w:widowControl/>
              <w:jc w:val="center"/>
              <w:rPr>
                <w:rFonts w:hint="eastAsia" w:ascii="宋体" w:hAnsi="宋体" w:eastAsia="宋体"/>
                <w:color w:val="auto"/>
                <w:kern w:val="0"/>
                <w:sz w:val="21"/>
                <w:szCs w:val="21"/>
                <w14:ligatures w14:val="none"/>
              </w:rPr>
            </w:pPr>
            <w:r>
              <w:rPr>
                <w:rFonts w:hint="eastAsia" w:ascii="宋体" w:hAnsi="宋体" w:eastAsia="宋体"/>
                <w:color w:val="auto"/>
                <w:kern w:val="0"/>
                <w:sz w:val="21"/>
                <w:szCs w:val="21"/>
                <w14:ligatures w14:val="none"/>
              </w:rPr>
              <w:t>≤13</w:t>
            </w:r>
          </w:p>
        </w:tc>
        <w:tc>
          <w:tcPr>
            <w:tcW w:w="1051" w:type="dxa"/>
            <w:tcBorders>
              <w:top w:val="single" w:color="auto" w:sz="6" w:space="0"/>
              <w:left w:val="single" w:color="auto" w:sz="6" w:space="0"/>
              <w:bottom w:val="single" w:color="auto" w:sz="6" w:space="0"/>
              <w:right w:val="single" w:color="auto" w:sz="6" w:space="0"/>
            </w:tcBorders>
            <w:shd w:val="clear" w:color="auto" w:fill="auto"/>
          </w:tcPr>
          <w:p>
            <w:pPr>
              <w:widowControl/>
              <w:jc w:val="center"/>
              <w:rPr>
                <w:rFonts w:hint="eastAsia" w:ascii="宋体" w:hAnsi="宋体" w:eastAsia="宋体"/>
                <w:color w:val="auto"/>
                <w:kern w:val="0"/>
                <w:sz w:val="21"/>
                <w:szCs w:val="21"/>
                <w14:ligatures w14:val="none"/>
              </w:rPr>
            </w:pPr>
            <w:r>
              <w:rPr>
                <w:rFonts w:hint="eastAsia" w:ascii="宋体" w:hAnsi="宋体" w:eastAsia="宋体"/>
                <w:color w:val="auto"/>
                <w:kern w:val="0"/>
                <w:sz w:val="21"/>
                <w:szCs w:val="21"/>
                <w14:ligatures w14:val="none"/>
              </w:rPr>
              <w:t>13～25</w:t>
            </w:r>
          </w:p>
        </w:tc>
        <w:tc>
          <w:tcPr>
            <w:tcW w:w="993" w:type="dxa"/>
            <w:tcBorders>
              <w:top w:val="single" w:color="auto" w:sz="6" w:space="0"/>
              <w:left w:val="single" w:color="auto" w:sz="6" w:space="0"/>
              <w:bottom w:val="single" w:color="auto" w:sz="6" w:space="0"/>
              <w:right w:val="single" w:color="auto" w:sz="12" w:space="0"/>
            </w:tcBorders>
            <w:shd w:val="clear" w:color="auto" w:fill="auto"/>
          </w:tcPr>
          <w:p>
            <w:pPr>
              <w:widowControl/>
              <w:jc w:val="center"/>
              <w:rPr>
                <w:rFonts w:hint="eastAsia" w:ascii="宋体" w:hAnsi="宋体" w:eastAsia="宋体"/>
                <w:color w:val="auto"/>
                <w:kern w:val="0"/>
                <w:sz w:val="21"/>
                <w:szCs w:val="21"/>
                <w14:ligatures w14:val="none"/>
              </w:rPr>
            </w:pPr>
            <w:r>
              <w:rPr>
                <w:rFonts w:hint="eastAsia" w:ascii="宋体" w:hAnsi="宋体" w:eastAsia="宋体"/>
                <w:color w:val="auto"/>
                <w:kern w:val="0"/>
                <w:sz w:val="21"/>
                <w:szCs w:val="21"/>
                <w14:ligatures w14:val="none"/>
              </w:rPr>
              <w:t>25～50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751" w:type="dxa"/>
            <w:tcBorders>
              <w:top w:val="single" w:color="auto" w:sz="6" w:space="0"/>
              <w:left w:val="single" w:color="auto" w:sz="12" w:space="0"/>
              <w:bottom w:val="single" w:color="auto" w:sz="6" w:space="0"/>
              <w:right w:val="single" w:color="auto" w:sz="6" w:space="0"/>
            </w:tcBorders>
            <w:shd w:val="clear" w:color="auto" w:fill="auto"/>
          </w:tcPr>
          <w:p>
            <w:pPr>
              <w:widowControl/>
              <w:jc w:val="center"/>
              <w:rPr>
                <w:rFonts w:hint="eastAsia" w:ascii="宋体" w:hAnsi="宋体" w:eastAsia="宋体"/>
                <w:color w:val="auto"/>
                <w:kern w:val="0"/>
                <w:sz w:val="21"/>
                <w:szCs w:val="21"/>
                <w14:ligatures w14:val="none"/>
              </w:rPr>
            </w:pPr>
            <w:r>
              <w:rPr>
                <w:rFonts w:hint="eastAsia" w:ascii="宋体" w:hAnsi="宋体" w:eastAsia="宋体"/>
                <w:color w:val="auto"/>
                <w:kern w:val="0"/>
                <w:sz w:val="21"/>
                <w:szCs w:val="21"/>
                <w14:ligatures w14:val="none"/>
              </w:rPr>
              <w:t>煤源1（博源）</w:t>
            </w:r>
          </w:p>
        </w:tc>
        <w:tc>
          <w:tcPr>
            <w:tcW w:w="1417" w:type="dxa"/>
            <w:tcBorders>
              <w:top w:val="single" w:color="auto" w:sz="6" w:space="0"/>
              <w:left w:val="single" w:color="auto" w:sz="6" w:space="0"/>
              <w:bottom w:val="single" w:color="auto" w:sz="6" w:space="0"/>
              <w:right w:val="single" w:color="auto" w:sz="6" w:space="0"/>
            </w:tcBorders>
            <w:shd w:val="clear" w:color="auto" w:fill="auto"/>
          </w:tcPr>
          <w:p>
            <w:pPr>
              <w:widowControl/>
              <w:jc w:val="center"/>
              <w:rPr>
                <w:rFonts w:hint="eastAsia" w:ascii="宋体" w:hAnsi="宋体" w:eastAsia="宋体"/>
                <w:color w:val="auto"/>
                <w:kern w:val="0"/>
                <w:sz w:val="21"/>
                <w:szCs w:val="21"/>
                <w14:ligatures w14:val="none"/>
              </w:rPr>
            </w:pPr>
            <w:r>
              <w:rPr>
                <w:rFonts w:hint="eastAsia" w:ascii="宋体" w:hAnsi="宋体" w:eastAsia="宋体"/>
                <w:color w:val="auto"/>
                <w:kern w:val="0"/>
                <w:sz w:val="21"/>
                <w:szCs w:val="21"/>
                <w14:ligatures w14:val="none"/>
              </w:rPr>
              <w:t>14.8</w:t>
            </w:r>
          </w:p>
        </w:tc>
        <w:tc>
          <w:tcPr>
            <w:tcW w:w="1418" w:type="dxa"/>
            <w:tcBorders>
              <w:top w:val="single" w:color="auto" w:sz="6" w:space="0"/>
              <w:left w:val="single" w:color="auto" w:sz="6" w:space="0"/>
              <w:bottom w:val="single" w:color="auto" w:sz="6" w:space="0"/>
              <w:right w:val="single" w:color="auto" w:sz="6" w:space="0"/>
            </w:tcBorders>
            <w:shd w:val="clear" w:color="auto" w:fill="auto"/>
          </w:tcPr>
          <w:p>
            <w:pPr>
              <w:widowControl/>
              <w:jc w:val="center"/>
              <w:rPr>
                <w:rFonts w:hint="eastAsia" w:ascii="宋体" w:hAnsi="宋体" w:eastAsia="宋体"/>
                <w:color w:val="auto"/>
                <w:kern w:val="0"/>
                <w:sz w:val="21"/>
                <w:szCs w:val="21"/>
                <w14:ligatures w14:val="none"/>
              </w:rPr>
            </w:pPr>
            <w:r>
              <w:rPr>
                <w:rFonts w:hint="eastAsia" w:ascii="宋体" w:hAnsi="宋体" w:eastAsia="宋体"/>
                <w:color w:val="auto"/>
                <w:kern w:val="0"/>
                <w:sz w:val="21"/>
                <w:szCs w:val="21"/>
                <w14:ligatures w14:val="none"/>
              </w:rPr>
              <w:t>3.04</w:t>
            </w:r>
          </w:p>
        </w:tc>
        <w:tc>
          <w:tcPr>
            <w:tcW w:w="1417" w:type="dxa"/>
            <w:tcBorders>
              <w:top w:val="single" w:color="auto" w:sz="6" w:space="0"/>
              <w:left w:val="single" w:color="auto" w:sz="6" w:space="0"/>
              <w:bottom w:val="single" w:color="auto" w:sz="6" w:space="0"/>
              <w:right w:val="single" w:color="auto" w:sz="6" w:space="0"/>
            </w:tcBorders>
            <w:shd w:val="clear" w:color="auto" w:fill="auto"/>
          </w:tcPr>
          <w:p>
            <w:pPr>
              <w:widowControl/>
              <w:jc w:val="center"/>
              <w:rPr>
                <w:rFonts w:hint="eastAsia" w:ascii="宋体" w:hAnsi="宋体" w:eastAsia="宋体"/>
                <w:color w:val="auto"/>
                <w:kern w:val="0"/>
                <w:sz w:val="21"/>
                <w:szCs w:val="21"/>
                <w14:ligatures w14:val="none"/>
              </w:rPr>
            </w:pPr>
            <w:r>
              <w:rPr>
                <w:rFonts w:hint="eastAsia" w:ascii="宋体" w:hAnsi="宋体" w:eastAsia="宋体"/>
                <w:color w:val="auto"/>
                <w:kern w:val="0"/>
                <w:sz w:val="21"/>
                <w:szCs w:val="21"/>
                <w14:ligatures w14:val="none"/>
              </w:rPr>
              <w:t>6.2</w:t>
            </w:r>
          </w:p>
        </w:tc>
        <w:tc>
          <w:tcPr>
            <w:tcW w:w="992" w:type="dxa"/>
            <w:tcBorders>
              <w:top w:val="single" w:color="auto" w:sz="6" w:space="0"/>
              <w:left w:val="single" w:color="auto" w:sz="6" w:space="0"/>
              <w:bottom w:val="single" w:color="auto" w:sz="6" w:space="0"/>
              <w:right w:val="single" w:color="auto" w:sz="6" w:space="0"/>
            </w:tcBorders>
            <w:shd w:val="clear" w:color="auto" w:fill="auto"/>
          </w:tcPr>
          <w:p>
            <w:pPr>
              <w:widowControl/>
              <w:jc w:val="center"/>
              <w:rPr>
                <w:rFonts w:hint="eastAsia" w:ascii="宋体" w:hAnsi="宋体" w:eastAsia="宋体"/>
                <w:color w:val="auto"/>
                <w:kern w:val="0"/>
                <w:sz w:val="21"/>
                <w:szCs w:val="21"/>
                <w14:ligatures w14:val="none"/>
              </w:rPr>
            </w:pPr>
            <w:r>
              <w:rPr>
                <w:rFonts w:hint="eastAsia" w:ascii="宋体" w:hAnsi="宋体" w:eastAsia="宋体"/>
                <w:color w:val="auto"/>
                <w:kern w:val="0"/>
                <w:sz w:val="21"/>
                <w:szCs w:val="21"/>
                <w14:ligatures w14:val="none"/>
              </w:rPr>
              <w:t>14.92</w:t>
            </w:r>
          </w:p>
        </w:tc>
        <w:tc>
          <w:tcPr>
            <w:tcW w:w="1051" w:type="dxa"/>
            <w:tcBorders>
              <w:top w:val="single" w:color="auto" w:sz="6" w:space="0"/>
              <w:left w:val="single" w:color="auto" w:sz="6" w:space="0"/>
              <w:bottom w:val="single" w:color="auto" w:sz="6" w:space="0"/>
              <w:right w:val="single" w:color="auto" w:sz="6" w:space="0"/>
            </w:tcBorders>
            <w:shd w:val="clear" w:color="auto" w:fill="auto"/>
          </w:tcPr>
          <w:p>
            <w:pPr>
              <w:widowControl/>
              <w:jc w:val="center"/>
              <w:rPr>
                <w:rFonts w:hint="eastAsia" w:ascii="宋体" w:hAnsi="宋体" w:eastAsia="宋体"/>
                <w:color w:val="auto"/>
                <w:kern w:val="0"/>
                <w:sz w:val="21"/>
                <w:szCs w:val="21"/>
                <w14:ligatures w14:val="none"/>
              </w:rPr>
            </w:pPr>
            <w:r>
              <w:rPr>
                <w:rFonts w:hint="eastAsia" w:ascii="宋体" w:hAnsi="宋体" w:eastAsia="宋体"/>
                <w:color w:val="auto"/>
                <w:kern w:val="0"/>
                <w:sz w:val="21"/>
                <w:szCs w:val="21"/>
                <w14:ligatures w14:val="none"/>
              </w:rPr>
              <w:t>20.59</w:t>
            </w:r>
          </w:p>
        </w:tc>
        <w:tc>
          <w:tcPr>
            <w:tcW w:w="993" w:type="dxa"/>
            <w:tcBorders>
              <w:top w:val="single" w:color="auto" w:sz="6" w:space="0"/>
              <w:left w:val="single" w:color="auto" w:sz="6" w:space="0"/>
              <w:bottom w:val="single" w:color="auto" w:sz="6" w:space="0"/>
              <w:right w:val="single" w:color="auto" w:sz="12" w:space="0"/>
            </w:tcBorders>
            <w:shd w:val="clear" w:color="auto" w:fill="auto"/>
          </w:tcPr>
          <w:p>
            <w:pPr>
              <w:widowControl/>
              <w:jc w:val="center"/>
              <w:rPr>
                <w:rFonts w:hint="eastAsia" w:ascii="宋体" w:hAnsi="宋体" w:eastAsia="宋体"/>
                <w:color w:val="auto"/>
                <w:kern w:val="0"/>
                <w:sz w:val="21"/>
                <w:szCs w:val="21"/>
                <w14:ligatures w14:val="none"/>
              </w:rPr>
            </w:pPr>
            <w:r>
              <w:rPr>
                <w:rFonts w:hint="eastAsia" w:ascii="宋体" w:hAnsi="宋体" w:eastAsia="宋体"/>
                <w:color w:val="auto"/>
                <w:kern w:val="0"/>
                <w:sz w:val="21"/>
                <w:szCs w:val="21"/>
                <w14:ligatures w14:val="none"/>
              </w:rPr>
              <w:t>64.49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751" w:type="dxa"/>
            <w:tcBorders>
              <w:top w:val="single" w:color="auto" w:sz="6" w:space="0"/>
              <w:left w:val="single" w:color="auto" w:sz="12" w:space="0"/>
              <w:bottom w:val="single" w:color="auto" w:sz="6" w:space="0"/>
              <w:right w:val="single" w:color="auto" w:sz="6" w:space="0"/>
            </w:tcBorders>
            <w:shd w:val="clear" w:color="auto" w:fill="auto"/>
          </w:tcPr>
          <w:p>
            <w:pPr>
              <w:widowControl/>
              <w:jc w:val="center"/>
              <w:rPr>
                <w:rFonts w:hint="eastAsia" w:ascii="宋体" w:hAnsi="宋体" w:eastAsia="宋体"/>
                <w:color w:val="auto"/>
                <w:kern w:val="0"/>
                <w:sz w:val="21"/>
                <w:szCs w:val="21"/>
                <w14:ligatures w14:val="none"/>
              </w:rPr>
            </w:pPr>
            <w:r>
              <w:rPr>
                <w:rFonts w:hint="eastAsia" w:ascii="宋体" w:hAnsi="宋体" w:eastAsia="宋体"/>
                <w:color w:val="auto"/>
                <w:kern w:val="0"/>
                <w:sz w:val="21"/>
                <w:szCs w:val="21"/>
                <w14:ligatures w14:val="none"/>
              </w:rPr>
              <w:t>煤源2（卓能）</w:t>
            </w:r>
          </w:p>
        </w:tc>
        <w:tc>
          <w:tcPr>
            <w:tcW w:w="1417" w:type="dxa"/>
            <w:tcBorders>
              <w:top w:val="single" w:color="auto" w:sz="6" w:space="0"/>
              <w:left w:val="single" w:color="auto" w:sz="6" w:space="0"/>
              <w:bottom w:val="single" w:color="auto" w:sz="6" w:space="0"/>
              <w:right w:val="single" w:color="auto" w:sz="6" w:space="0"/>
            </w:tcBorders>
            <w:shd w:val="clear" w:color="auto" w:fill="auto"/>
          </w:tcPr>
          <w:p>
            <w:pPr>
              <w:widowControl/>
              <w:jc w:val="center"/>
              <w:rPr>
                <w:rFonts w:hint="eastAsia" w:ascii="宋体" w:hAnsi="宋体" w:eastAsia="宋体"/>
                <w:color w:val="auto"/>
                <w:kern w:val="0"/>
                <w:sz w:val="21"/>
                <w:szCs w:val="21"/>
                <w14:ligatures w14:val="none"/>
              </w:rPr>
            </w:pPr>
            <w:r>
              <w:rPr>
                <w:rFonts w:hint="eastAsia" w:ascii="宋体" w:hAnsi="宋体" w:eastAsia="宋体"/>
                <w:color w:val="auto"/>
                <w:kern w:val="0"/>
                <w:sz w:val="21"/>
                <w:szCs w:val="21"/>
                <w14:ligatures w14:val="none"/>
              </w:rPr>
              <w:t>13.0</w:t>
            </w:r>
          </w:p>
        </w:tc>
        <w:tc>
          <w:tcPr>
            <w:tcW w:w="1418" w:type="dxa"/>
            <w:tcBorders>
              <w:top w:val="single" w:color="auto" w:sz="6" w:space="0"/>
              <w:left w:val="single" w:color="auto" w:sz="6" w:space="0"/>
              <w:bottom w:val="single" w:color="auto" w:sz="6" w:space="0"/>
              <w:right w:val="single" w:color="auto" w:sz="6" w:space="0"/>
            </w:tcBorders>
            <w:shd w:val="clear" w:color="auto" w:fill="auto"/>
          </w:tcPr>
          <w:p>
            <w:pPr>
              <w:widowControl/>
              <w:jc w:val="center"/>
              <w:rPr>
                <w:rFonts w:hint="eastAsia" w:ascii="宋体" w:hAnsi="宋体" w:eastAsia="宋体"/>
                <w:color w:val="auto"/>
                <w:kern w:val="0"/>
                <w:sz w:val="21"/>
                <w:szCs w:val="21"/>
                <w14:ligatures w14:val="none"/>
              </w:rPr>
            </w:pPr>
            <w:r>
              <w:rPr>
                <w:rFonts w:hint="eastAsia" w:ascii="宋体" w:hAnsi="宋体" w:eastAsia="宋体"/>
                <w:color w:val="auto"/>
                <w:kern w:val="0"/>
                <w:sz w:val="21"/>
                <w:szCs w:val="21"/>
                <w14:ligatures w14:val="none"/>
              </w:rPr>
              <w:t>2.94</w:t>
            </w:r>
          </w:p>
        </w:tc>
        <w:tc>
          <w:tcPr>
            <w:tcW w:w="1417" w:type="dxa"/>
            <w:tcBorders>
              <w:top w:val="single" w:color="auto" w:sz="6" w:space="0"/>
              <w:left w:val="single" w:color="auto" w:sz="6" w:space="0"/>
              <w:bottom w:val="single" w:color="auto" w:sz="6" w:space="0"/>
              <w:right w:val="single" w:color="auto" w:sz="6" w:space="0"/>
            </w:tcBorders>
            <w:shd w:val="clear" w:color="auto" w:fill="auto"/>
          </w:tcPr>
          <w:p>
            <w:pPr>
              <w:widowControl/>
              <w:jc w:val="center"/>
              <w:rPr>
                <w:rFonts w:hint="eastAsia" w:ascii="宋体" w:hAnsi="宋体" w:eastAsia="宋体"/>
                <w:color w:val="auto"/>
                <w:kern w:val="0"/>
                <w:sz w:val="21"/>
                <w:szCs w:val="21"/>
                <w14:ligatures w14:val="none"/>
              </w:rPr>
            </w:pPr>
            <w:r>
              <w:rPr>
                <w:rFonts w:hint="eastAsia" w:ascii="宋体" w:hAnsi="宋体" w:eastAsia="宋体"/>
                <w:color w:val="auto"/>
                <w:kern w:val="0"/>
                <w:sz w:val="21"/>
                <w:szCs w:val="21"/>
                <w14:ligatures w14:val="none"/>
              </w:rPr>
              <w:t>5.7</w:t>
            </w:r>
          </w:p>
        </w:tc>
        <w:tc>
          <w:tcPr>
            <w:tcW w:w="992" w:type="dxa"/>
            <w:tcBorders>
              <w:top w:val="single" w:color="auto" w:sz="6" w:space="0"/>
              <w:left w:val="single" w:color="auto" w:sz="6" w:space="0"/>
              <w:bottom w:val="single" w:color="auto" w:sz="6" w:space="0"/>
              <w:right w:val="single" w:color="auto" w:sz="6" w:space="0"/>
            </w:tcBorders>
            <w:shd w:val="clear" w:color="auto" w:fill="auto"/>
          </w:tcPr>
          <w:p>
            <w:pPr>
              <w:widowControl/>
              <w:jc w:val="center"/>
              <w:rPr>
                <w:rFonts w:hint="eastAsia" w:ascii="宋体" w:hAnsi="宋体" w:eastAsia="宋体"/>
                <w:color w:val="auto"/>
                <w:kern w:val="0"/>
                <w:sz w:val="21"/>
                <w:szCs w:val="21"/>
                <w14:ligatures w14:val="none"/>
              </w:rPr>
            </w:pPr>
            <w:r>
              <w:rPr>
                <w:rFonts w:hint="eastAsia" w:ascii="宋体" w:hAnsi="宋体" w:eastAsia="宋体"/>
                <w:color w:val="auto"/>
                <w:kern w:val="0"/>
                <w:sz w:val="21"/>
                <w:szCs w:val="21"/>
                <w14:ligatures w14:val="none"/>
              </w:rPr>
              <w:t>13.96</w:t>
            </w:r>
          </w:p>
        </w:tc>
        <w:tc>
          <w:tcPr>
            <w:tcW w:w="1051" w:type="dxa"/>
            <w:tcBorders>
              <w:top w:val="single" w:color="auto" w:sz="6" w:space="0"/>
              <w:left w:val="single" w:color="auto" w:sz="6" w:space="0"/>
              <w:bottom w:val="single" w:color="auto" w:sz="6" w:space="0"/>
              <w:right w:val="single" w:color="auto" w:sz="6" w:space="0"/>
            </w:tcBorders>
            <w:shd w:val="clear" w:color="auto" w:fill="auto"/>
          </w:tcPr>
          <w:p>
            <w:pPr>
              <w:widowControl/>
              <w:jc w:val="center"/>
              <w:rPr>
                <w:rFonts w:hint="eastAsia" w:ascii="宋体" w:hAnsi="宋体" w:eastAsia="宋体"/>
                <w:color w:val="auto"/>
                <w:kern w:val="0"/>
                <w:sz w:val="21"/>
                <w:szCs w:val="21"/>
                <w14:ligatures w14:val="none"/>
              </w:rPr>
            </w:pPr>
            <w:r>
              <w:rPr>
                <w:rFonts w:hint="eastAsia" w:ascii="宋体" w:hAnsi="宋体" w:eastAsia="宋体"/>
                <w:color w:val="auto"/>
                <w:kern w:val="0"/>
                <w:sz w:val="21"/>
                <w:szCs w:val="21"/>
                <w14:ligatures w14:val="none"/>
              </w:rPr>
              <w:t>16.81</w:t>
            </w:r>
          </w:p>
        </w:tc>
        <w:tc>
          <w:tcPr>
            <w:tcW w:w="993" w:type="dxa"/>
            <w:tcBorders>
              <w:top w:val="single" w:color="auto" w:sz="6" w:space="0"/>
              <w:left w:val="single" w:color="auto" w:sz="6" w:space="0"/>
              <w:bottom w:val="single" w:color="auto" w:sz="6" w:space="0"/>
              <w:right w:val="single" w:color="auto" w:sz="12" w:space="0"/>
            </w:tcBorders>
            <w:shd w:val="clear" w:color="auto" w:fill="auto"/>
          </w:tcPr>
          <w:p>
            <w:pPr>
              <w:widowControl/>
              <w:jc w:val="center"/>
              <w:rPr>
                <w:rFonts w:hint="eastAsia" w:ascii="宋体" w:hAnsi="宋体" w:eastAsia="宋体"/>
                <w:color w:val="auto"/>
                <w:kern w:val="0"/>
                <w:sz w:val="21"/>
                <w:szCs w:val="21"/>
                <w14:ligatures w14:val="none"/>
              </w:rPr>
            </w:pPr>
            <w:r>
              <w:rPr>
                <w:rFonts w:hint="eastAsia" w:ascii="宋体" w:hAnsi="宋体" w:eastAsia="宋体"/>
                <w:color w:val="auto"/>
                <w:kern w:val="0"/>
                <w:sz w:val="21"/>
                <w:szCs w:val="21"/>
                <w14:ligatures w14:val="none"/>
              </w:rPr>
              <w:t>69.23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751" w:type="dxa"/>
            <w:tcBorders>
              <w:top w:val="single" w:color="auto" w:sz="6" w:space="0"/>
              <w:left w:val="single" w:color="auto" w:sz="12" w:space="0"/>
              <w:bottom w:val="single" w:color="auto" w:sz="6" w:space="0"/>
              <w:right w:val="single" w:color="auto" w:sz="6" w:space="0"/>
            </w:tcBorders>
            <w:shd w:val="clear" w:color="auto" w:fill="auto"/>
          </w:tcPr>
          <w:p>
            <w:pPr>
              <w:widowControl/>
              <w:jc w:val="center"/>
              <w:rPr>
                <w:rFonts w:hint="eastAsia" w:ascii="宋体" w:hAnsi="宋体" w:eastAsia="宋体"/>
                <w:color w:val="auto"/>
                <w:kern w:val="0"/>
                <w:sz w:val="21"/>
                <w:szCs w:val="21"/>
                <w14:ligatures w14:val="none"/>
              </w:rPr>
            </w:pPr>
            <w:r>
              <w:rPr>
                <w:rFonts w:hint="eastAsia" w:ascii="宋体" w:hAnsi="宋体" w:eastAsia="宋体"/>
                <w:color w:val="auto"/>
                <w:kern w:val="0"/>
                <w:sz w:val="21"/>
                <w:szCs w:val="21"/>
                <w14:ligatures w14:val="none"/>
              </w:rPr>
              <w:t>煤源3（蒙发）</w:t>
            </w:r>
          </w:p>
        </w:tc>
        <w:tc>
          <w:tcPr>
            <w:tcW w:w="1417" w:type="dxa"/>
            <w:tcBorders>
              <w:top w:val="single" w:color="auto" w:sz="6" w:space="0"/>
              <w:left w:val="single" w:color="auto" w:sz="6" w:space="0"/>
              <w:bottom w:val="single" w:color="auto" w:sz="6" w:space="0"/>
              <w:right w:val="single" w:color="auto" w:sz="6" w:space="0"/>
            </w:tcBorders>
            <w:shd w:val="clear" w:color="auto" w:fill="auto"/>
          </w:tcPr>
          <w:p>
            <w:pPr>
              <w:widowControl/>
              <w:jc w:val="center"/>
              <w:rPr>
                <w:rFonts w:hint="eastAsia" w:ascii="宋体" w:hAnsi="宋体" w:eastAsia="宋体"/>
                <w:color w:val="auto"/>
                <w:kern w:val="0"/>
                <w:sz w:val="21"/>
                <w:szCs w:val="21"/>
                <w14:ligatures w14:val="none"/>
              </w:rPr>
            </w:pPr>
            <w:r>
              <w:rPr>
                <w:rFonts w:hint="eastAsia" w:ascii="宋体" w:hAnsi="宋体" w:eastAsia="宋体"/>
                <w:color w:val="auto"/>
                <w:kern w:val="0"/>
                <w:sz w:val="21"/>
                <w:szCs w:val="21"/>
                <w14:ligatures w14:val="none"/>
              </w:rPr>
              <w:t>13.3</w:t>
            </w:r>
          </w:p>
        </w:tc>
        <w:tc>
          <w:tcPr>
            <w:tcW w:w="1418" w:type="dxa"/>
            <w:tcBorders>
              <w:top w:val="single" w:color="auto" w:sz="6" w:space="0"/>
              <w:left w:val="single" w:color="auto" w:sz="6" w:space="0"/>
              <w:bottom w:val="single" w:color="auto" w:sz="6" w:space="0"/>
              <w:right w:val="single" w:color="auto" w:sz="6" w:space="0"/>
            </w:tcBorders>
            <w:shd w:val="clear" w:color="auto" w:fill="auto"/>
          </w:tcPr>
          <w:p>
            <w:pPr>
              <w:widowControl/>
              <w:jc w:val="center"/>
              <w:rPr>
                <w:rFonts w:hint="eastAsia" w:ascii="宋体" w:hAnsi="宋体" w:eastAsia="宋体"/>
                <w:color w:val="auto"/>
                <w:kern w:val="0"/>
                <w:sz w:val="21"/>
                <w:szCs w:val="21"/>
                <w14:ligatures w14:val="none"/>
              </w:rPr>
            </w:pPr>
            <w:r>
              <w:rPr>
                <w:rFonts w:hint="eastAsia" w:ascii="宋体" w:hAnsi="宋体" w:eastAsia="宋体"/>
                <w:color w:val="auto"/>
                <w:kern w:val="0"/>
                <w:sz w:val="21"/>
                <w:szCs w:val="21"/>
                <w14:ligatures w14:val="none"/>
              </w:rPr>
              <w:t>3.06</w:t>
            </w:r>
          </w:p>
        </w:tc>
        <w:tc>
          <w:tcPr>
            <w:tcW w:w="1417" w:type="dxa"/>
            <w:tcBorders>
              <w:top w:val="single" w:color="auto" w:sz="6" w:space="0"/>
              <w:left w:val="single" w:color="auto" w:sz="6" w:space="0"/>
              <w:bottom w:val="single" w:color="auto" w:sz="6" w:space="0"/>
              <w:right w:val="single" w:color="auto" w:sz="6" w:space="0"/>
            </w:tcBorders>
            <w:shd w:val="clear" w:color="auto" w:fill="auto"/>
          </w:tcPr>
          <w:p>
            <w:pPr>
              <w:widowControl/>
              <w:jc w:val="center"/>
              <w:rPr>
                <w:rFonts w:hint="eastAsia" w:ascii="宋体" w:hAnsi="宋体" w:eastAsia="宋体"/>
                <w:color w:val="auto"/>
                <w:kern w:val="0"/>
                <w:sz w:val="21"/>
                <w:szCs w:val="21"/>
                <w14:ligatures w14:val="none"/>
              </w:rPr>
            </w:pPr>
            <w:r>
              <w:rPr>
                <w:rFonts w:hint="eastAsia" w:ascii="宋体" w:hAnsi="宋体" w:eastAsia="宋体"/>
                <w:color w:val="auto"/>
                <w:kern w:val="0"/>
                <w:sz w:val="21"/>
                <w:szCs w:val="21"/>
                <w14:ligatures w14:val="none"/>
              </w:rPr>
              <w:t>5.11</w:t>
            </w:r>
          </w:p>
        </w:tc>
        <w:tc>
          <w:tcPr>
            <w:tcW w:w="992" w:type="dxa"/>
            <w:tcBorders>
              <w:top w:val="single" w:color="auto" w:sz="6" w:space="0"/>
              <w:left w:val="single" w:color="auto" w:sz="6" w:space="0"/>
              <w:bottom w:val="single" w:color="auto" w:sz="6" w:space="0"/>
              <w:right w:val="single" w:color="auto" w:sz="6" w:space="0"/>
            </w:tcBorders>
            <w:shd w:val="clear" w:color="auto" w:fill="auto"/>
          </w:tcPr>
          <w:p>
            <w:pPr>
              <w:widowControl/>
              <w:jc w:val="center"/>
              <w:rPr>
                <w:rFonts w:hint="eastAsia" w:ascii="宋体" w:hAnsi="宋体" w:eastAsia="宋体"/>
                <w:color w:val="auto"/>
                <w:kern w:val="0"/>
                <w:sz w:val="21"/>
                <w:szCs w:val="21"/>
                <w14:ligatures w14:val="none"/>
              </w:rPr>
            </w:pPr>
            <w:r>
              <w:rPr>
                <w:rFonts w:hint="eastAsia" w:ascii="宋体" w:hAnsi="宋体" w:eastAsia="宋体"/>
                <w:color w:val="auto"/>
                <w:kern w:val="0"/>
                <w:sz w:val="21"/>
                <w:szCs w:val="21"/>
                <w14:ligatures w14:val="none"/>
              </w:rPr>
              <w:t>6.35</w:t>
            </w:r>
          </w:p>
        </w:tc>
        <w:tc>
          <w:tcPr>
            <w:tcW w:w="1051" w:type="dxa"/>
            <w:tcBorders>
              <w:top w:val="single" w:color="auto" w:sz="6" w:space="0"/>
              <w:left w:val="single" w:color="auto" w:sz="6" w:space="0"/>
              <w:bottom w:val="single" w:color="auto" w:sz="6" w:space="0"/>
              <w:right w:val="single" w:color="auto" w:sz="6" w:space="0"/>
            </w:tcBorders>
            <w:shd w:val="clear" w:color="auto" w:fill="auto"/>
          </w:tcPr>
          <w:p>
            <w:pPr>
              <w:widowControl/>
              <w:jc w:val="center"/>
              <w:rPr>
                <w:rFonts w:hint="eastAsia" w:ascii="宋体" w:hAnsi="宋体" w:eastAsia="宋体"/>
                <w:color w:val="auto"/>
                <w:kern w:val="0"/>
                <w:sz w:val="21"/>
                <w:szCs w:val="21"/>
                <w14:ligatures w14:val="none"/>
              </w:rPr>
            </w:pPr>
            <w:r>
              <w:rPr>
                <w:rFonts w:hint="eastAsia" w:ascii="宋体" w:hAnsi="宋体" w:eastAsia="宋体"/>
                <w:color w:val="auto"/>
                <w:kern w:val="0"/>
                <w:sz w:val="21"/>
                <w:szCs w:val="21"/>
                <w14:ligatures w14:val="none"/>
              </w:rPr>
              <w:t>23.93</w:t>
            </w:r>
          </w:p>
        </w:tc>
        <w:tc>
          <w:tcPr>
            <w:tcW w:w="993" w:type="dxa"/>
            <w:tcBorders>
              <w:top w:val="single" w:color="auto" w:sz="6" w:space="0"/>
              <w:left w:val="single" w:color="auto" w:sz="6" w:space="0"/>
              <w:bottom w:val="single" w:color="auto" w:sz="6" w:space="0"/>
              <w:right w:val="single" w:color="auto" w:sz="12" w:space="0"/>
            </w:tcBorders>
            <w:shd w:val="clear" w:color="auto" w:fill="auto"/>
          </w:tcPr>
          <w:p>
            <w:pPr>
              <w:widowControl/>
              <w:jc w:val="center"/>
              <w:rPr>
                <w:rFonts w:hint="eastAsia" w:ascii="宋体" w:hAnsi="宋体" w:eastAsia="宋体"/>
                <w:color w:val="auto"/>
                <w:kern w:val="0"/>
                <w:sz w:val="21"/>
                <w:szCs w:val="21"/>
                <w14:ligatures w14:val="none"/>
              </w:rPr>
            </w:pPr>
            <w:r>
              <w:rPr>
                <w:rFonts w:hint="eastAsia" w:ascii="宋体" w:hAnsi="宋体" w:eastAsia="宋体"/>
                <w:color w:val="auto"/>
                <w:kern w:val="0"/>
                <w:sz w:val="21"/>
                <w:szCs w:val="21"/>
                <w14:ligatures w14:val="none"/>
              </w:rPr>
              <w:t>69.72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751" w:type="dxa"/>
            <w:tcBorders>
              <w:top w:val="single" w:color="auto" w:sz="6" w:space="0"/>
              <w:left w:val="single" w:color="auto" w:sz="12" w:space="0"/>
              <w:bottom w:val="single" w:color="auto" w:sz="12" w:space="0"/>
              <w:right w:val="single" w:color="auto" w:sz="6" w:space="0"/>
            </w:tcBorders>
            <w:shd w:val="clear" w:color="auto" w:fill="auto"/>
          </w:tcPr>
          <w:p>
            <w:pPr>
              <w:widowControl/>
              <w:jc w:val="center"/>
              <w:rPr>
                <w:rFonts w:hint="eastAsia" w:ascii="宋体" w:hAnsi="宋体" w:eastAsia="宋体"/>
                <w:color w:val="auto"/>
                <w:kern w:val="0"/>
                <w:sz w:val="21"/>
                <w:szCs w:val="21"/>
                <w14:ligatures w14:val="none"/>
              </w:rPr>
            </w:pPr>
            <w:r>
              <w:rPr>
                <w:rFonts w:hint="eastAsia" w:ascii="宋体" w:hAnsi="宋体" w:eastAsia="宋体"/>
                <w:color w:val="auto"/>
                <w:kern w:val="0"/>
                <w:sz w:val="21"/>
                <w:szCs w:val="21"/>
                <w14:ligatures w14:val="none"/>
              </w:rPr>
              <w:t>煤源4（伊化）</w:t>
            </w:r>
          </w:p>
        </w:tc>
        <w:tc>
          <w:tcPr>
            <w:tcW w:w="1417" w:type="dxa"/>
            <w:tcBorders>
              <w:top w:val="single" w:color="auto" w:sz="6" w:space="0"/>
              <w:left w:val="single" w:color="auto" w:sz="6" w:space="0"/>
              <w:bottom w:val="single" w:color="auto" w:sz="12" w:space="0"/>
              <w:right w:val="single" w:color="auto" w:sz="6" w:space="0"/>
            </w:tcBorders>
            <w:shd w:val="clear" w:color="auto" w:fill="auto"/>
          </w:tcPr>
          <w:p>
            <w:pPr>
              <w:widowControl/>
              <w:jc w:val="center"/>
              <w:rPr>
                <w:rFonts w:hint="eastAsia" w:ascii="宋体" w:hAnsi="宋体" w:eastAsia="宋体"/>
                <w:color w:val="auto"/>
                <w:kern w:val="0"/>
                <w:sz w:val="21"/>
                <w:szCs w:val="21"/>
                <w14:ligatures w14:val="none"/>
              </w:rPr>
            </w:pPr>
            <w:r>
              <w:rPr>
                <w:rFonts w:hint="eastAsia" w:ascii="宋体" w:hAnsi="宋体" w:eastAsia="宋体"/>
                <w:color w:val="auto"/>
                <w:kern w:val="0"/>
                <w:sz w:val="21"/>
                <w:szCs w:val="21"/>
                <w14:ligatures w14:val="none"/>
              </w:rPr>
              <w:t>9.0</w:t>
            </w:r>
          </w:p>
        </w:tc>
        <w:tc>
          <w:tcPr>
            <w:tcW w:w="1418" w:type="dxa"/>
            <w:tcBorders>
              <w:top w:val="single" w:color="auto" w:sz="6" w:space="0"/>
              <w:left w:val="single" w:color="auto" w:sz="6" w:space="0"/>
              <w:bottom w:val="single" w:color="auto" w:sz="12" w:space="0"/>
              <w:right w:val="single" w:color="auto" w:sz="6" w:space="0"/>
            </w:tcBorders>
            <w:shd w:val="clear" w:color="auto" w:fill="auto"/>
          </w:tcPr>
          <w:p>
            <w:pPr>
              <w:widowControl/>
              <w:jc w:val="center"/>
              <w:rPr>
                <w:rFonts w:hint="eastAsia" w:ascii="宋体" w:hAnsi="宋体" w:eastAsia="宋体"/>
                <w:color w:val="auto"/>
                <w:kern w:val="0"/>
                <w:sz w:val="21"/>
                <w:szCs w:val="21"/>
                <w14:ligatures w14:val="none"/>
              </w:rPr>
            </w:pPr>
            <w:r>
              <w:rPr>
                <w:rFonts w:hint="eastAsia" w:ascii="宋体" w:hAnsi="宋体" w:eastAsia="宋体"/>
                <w:color w:val="auto"/>
                <w:kern w:val="0"/>
                <w:sz w:val="21"/>
                <w:szCs w:val="21"/>
                <w14:ligatures w14:val="none"/>
              </w:rPr>
              <w:t>1.88</w:t>
            </w:r>
          </w:p>
        </w:tc>
        <w:tc>
          <w:tcPr>
            <w:tcW w:w="1417" w:type="dxa"/>
            <w:tcBorders>
              <w:top w:val="single" w:color="auto" w:sz="6" w:space="0"/>
              <w:left w:val="single" w:color="auto" w:sz="6" w:space="0"/>
              <w:bottom w:val="single" w:color="auto" w:sz="12" w:space="0"/>
              <w:right w:val="single" w:color="auto" w:sz="6" w:space="0"/>
            </w:tcBorders>
            <w:shd w:val="clear" w:color="auto" w:fill="auto"/>
          </w:tcPr>
          <w:p>
            <w:pPr>
              <w:widowControl/>
              <w:jc w:val="center"/>
              <w:rPr>
                <w:rFonts w:hint="eastAsia" w:ascii="宋体" w:hAnsi="宋体" w:eastAsia="宋体"/>
                <w:color w:val="auto"/>
                <w:kern w:val="0"/>
                <w:sz w:val="21"/>
                <w:szCs w:val="21"/>
                <w14:ligatures w14:val="none"/>
              </w:rPr>
            </w:pPr>
            <w:r>
              <w:rPr>
                <w:rFonts w:hint="eastAsia" w:ascii="宋体" w:hAnsi="宋体" w:eastAsia="宋体"/>
                <w:color w:val="auto"/>
                <w:kern w:val="0"/>
                <w:sz w:val="21"/>
                <w:szCs w:val="21"/>
                <w14:ligatures w14:val="none"/>
              </w:rPr>
              <w:t>5.04</w:t>
            </w:r>
          </w:p>
        </w:tc>
        <w:tc>
          <w:tcPr>
            <w:tcW w:w="992" w:type="dxa"/>
            <w:tcBorders>
              <w:top w:val="single" w:color="auto" w:sz="6" w:space="0"/>
              <w:left w:val="single" w:color="auto" w:sz="6" w:space="0"/>
              <w:bottom w:val="single" w:color="auto" w:sz="12" w:space="0"/>
              <w:right w:val="single" w:color="auto" w:sz="6" w:space="0"/>
            </w:tcBorders>
            <w:shd w:val="clear" w:color="auto" w:fill="auto"/>
          </w:tcPr>
          <w:p>
            <w:pPr>
              <w:widowControl/>
              <w:jc w:val="center"/>
              <w:rPr>
                <w:rFonts w:hint="eastAsia" w:ascii="宋体" w:hAnsi="宋体" w:eastAsia="宋体"/>
                <w:color w:val="auto"/>
                <w:kern w:val="0"/>
                <w:sz w:val="21"/>
                <w:szCs w:val="21"/>
                <w14:ligatures w14:val="none"/>
              </w:rPr>
            </w:pPr>
            <w:r>
              <w:rPr>
                <w:rFonts w:hint="eastAsia" w:ascii="宋体" w:hAnsi="宋体" w:eastAsia="宋体"/>
                <w:color w:val="auto"/>
                <w:kern w:val="0"/>
                <w:sz w:val="21"/>
                <w:szCs w:val="21"/>
                <w14:ligatures w14:val="none"/>
              </w:rPr>
              <w:t>11.2</w:t>
            </w:r>
          </w:p>
        </w:tc>
        <w:tc>
          <w:tcPr>
            <w:tcW w:w="1051" w:type="dxa"/>
            <w:tcBorders>
              <w:top w:val="single" w:color="auto" w:sz="6" w:space="0"/>
              <w:left w:val="single" w:color="auto" w:sz="6" w:space="0"/>
              <w:bottom w:val="single" w:color="auto" w:sz="12" w:space="0"/>
              <w:right w:val="single" w:color="auto" w:sz="6" w:space="0"/>
            </w:tcBorders>
            <w:shd w:val="clear" w:color="auto" w:fill="auto"/>
          </w:tcPr>
          <w:p>
            <w:pPr>
              <w:widowControl/>
              <w:jc w:val="center"/>
              <w:rPr>
                <w:rFonts w:hint="eastAsia" w:ascii="宋体" w:hAnsi="宋体" w:eastAsia="宋体"/>
                <w:color w:val="auto"/>
                <w:kern w:val="0"/>
                <w:sz w:val="21"/>
                <w:szCs w:val="21"/>
                <w14:ligatures w14:val="none"/>
              </w:rPr>
            </w:pPr>
            <w:r>
              <w:rPr>
                <w:rFonts w:hint="eastAsia" w:ascii="宋体" w:hAnsi="宋体" w:eastAsia="宋体"/>
                <w:color w:val="auto"/>
                <w:kern w:val="0"/>
                <w:sz w:val="21"/>
                <w:szCs w:val="21"/>
                <w14:ligatures w14:val="none"/>
              </w:rPr>
              <w:t>15.85</w:t>
            </w:r>
          </w:p>
        </w:tc>
        <w:tc>
          <w:tcPr>
            <w:tcW w:w="993" w:type="dxa"/>
            <w:tcBorders>
              <w:top w:val="single" w:color="auto" w:sz="6" w:space="0"/>
              <w:left w:val="single" w:color="auto" w:sz="6" w:space="0"/>
              <w:bottom w:val="single" w:color="auto" w:sz="12" w:space="0"/>
              <w:right w:val="single" w:color="auto" w:sz="12" w:space="0"/>
            </w:tcBorders>
            <w:shd w:val="clear" w:color="auto" w:fill="auto"/>
          </w:tcPr>
          <w:p>
            <w:pPr>
              <w:widowControl/>
              <w:jc w:val="center"/>
              <w:rPr>
                <w:rFonts w:hint="eastAsia" w:ascii="宋体" w:hAnsi="宋体" w:eastAsia="宋体"/>
                <w:color w:val="auto"/>
                <w:kern w:val="0"/>
                <w:sz w:val="21"/>
                <w:szCs w:val="21"/>
                <w14:ligatures w14:val="none"/>
              </w:rPr>
            </w:pPr>
            <w:r>
              <w:rPr>
                <w:rFonts w:hint="eastAsia" w:ascii="宋体" w:hAnsi="宋体" w:eastAsia="宋体"/>
                <w:color w:val="auto"/>
                <w:kern w:val="0"/>
                <w:sz w:val="21"/>
                <w:szCs w:val="21"/>
                <w14:ligatures w14:val="none"/>
              </w:rPr>
              <w:t>72.95</w:t>
            </w:r>
          </w:p>
        </w:tc>
      </w:tr>
    </w:tbl>
    <w:p>
      <w:pPr>
        <w:pStyle w:val="44"/>
        <w:widowControl w:val="0"/>
        <w:spacing w:before="0" w:beforeAutospacing="0" w:after="0" w:afterAutospacing="0" w:line="500" w:lineRule="exact"/>
        <w:ind w:firstLine="474" w:firstLineChars="200"/>
        <w:jc w:val="both"/>
        <w:rPr>
          <w:rFonts w:hint="eastAsia" w:hAnsi="宋体" w:cs="宋体"/>
          <w:color w:val="auto"/>
          <w:kern w:val="2"/>
          <w:szCs w:val="20"/>
          <w:lang w:bidi="ar"/>
          <w14:ligatures w14:val="standardContextual"/>
        </w:rPr>
      </w:pPr>
      <w:r>
        <w:rPr>
          <w:rFonts w:hint="eastAsia" w:hAnsi="宋体" w:cs="宋体"/>
          <w:color w:val="auto"/>
          <w:kern w:val="2"/>
          <w:szCs w:val="20"/>
          <w:lang w:bidi="ar"/>
          <w14:ligatures w14:val="standardContextual"/>
        </w:rPr>
        <w:t>方案二（冬季用煤紧张时，临时采购）</w:t>
      </w:r>
    </w:p>
    <w:p>
      <w:pPr>
        <w:pStyle w:val="44"/>
        <w:widowControl w:val="0"/>
        <w:spacing w:before="0" w:beforeAutospacing="0" w:after="0" w:afterAutospacing="0" w:line="500" w:lineRule="exact"/>
        <w:ind w:firstLine="474" w:firstLineChars="200"/>
        <w:jc w:val="both"/>
        <w:rPr>
          <w:rFonts w:hint="eastAsia" w:hAnsi="宋体" w:cs="宋体"/>
          <w:color w:val="auto"/>
          <w:kern w:val="2"/>
          <w:szCs w:val="20"/>
          <w:lang w:bidi="ar"/>
          <w14:ligatures w14:val="standardContextual"/>
        </w:rPr>
      </w:pPr>
      <w:r>
        <w:rPr>
          <w:rFonts w:hint="eastAsia" w:hAnsi="宋体" w:cs="宋体"/>
          <w:color w:val="auto"/>
          <w:kern w:val="2"/>
          <w:szCs w:val="20"/>
          <w:lang w:bidi="ar"/>
          <w14:ligatures w14:val="standardContextual"/>
        </w:rPr>
        <w:t>来煤为四九块煤，煤质及粒度组成见下表</w:t>
      </w:r>
      <w:r>
        <w:rPr>
          <w:rFonts w:hint="eastAsia" w:hAnsi="宋体" w:cs="宋体"/>
          <w:color w:val="auto"/>
          <w:kern w:val="2"/>
          <w:szCs w:val="20"/>
          <w:lang w:val="en-US" w:eastAsia="zh-CN" w:bidi="ar"/>
          <w14:ligatures w14:val="standardContextual"/>
        </w:rPr>
        <w:t>2-4</w:t>
      </w:r>
      <w:r>
        <w:rPr>
          <w:rFonts w:hint="eastAsia" w:hAnsi="宋体" w:cs="宋体"/>
          <w:color w:val="auto"/>
          <w:kern w:val="2"/>
          <w:szCs w:val="20"/>
          <w:lang w:bidi="ar"/>
          <w14:ligatures w14:val="standardContextual"/>
        </w:rPr>
        <w:t>：</w:t>
      </w:r>
    </w:p>
    <w:p>
      <w:pPr>
        <w:pStyle w:val="44"/>
        <w:widowControl w:val="0"/>
        <w:spacing w:before="0" w:beforeAutospacing="0" w:after="0" w:afterAutospacing="0" w:line="500" w:lineRule="exact"/>
        <w:ind w:firstLine="474" w:firstLineChars="200"/>
        <w:jc w:val="both"/>
        <w:rPr>
          <w:rFonts w:hint="eastAsia" w:hAnsi="宋体" w:cs="宋体"/>
          <w:color w:val="auto"/>
          <w:kern w:val="2"/>
          <w:szCs w:val="20"/>
          <w:lang w:bidi="ar"/>
          <w14:ligatures w14:val="standardContextual"/>
        </w:rPr>
      </w:pPr>
    </w:p>
    <w:p>
      <w:pPr>
        <w:pStyle w:val="44"/>
        <w:widowControl w:val="0"/>
        <w:spacing w:before="0" w:beforeAutospacing="0" w:after="0" w:afterAutospacing="0" w:line="500" w:lineRule="exact"/>
        <w:ind w:firstLine="474" w:firstLineChars="200"/>
        <w:jc w:val="both"/>
        <w:rPr>
          <w:rFonts w:hint="eastAsia" w:hAnsi="宋体" w:cs="宋体"/>
          <w:color w:val="auto"/>
          <w:kern w:val="2"/>
          <w:szCs w:val="20"/>
          <w:lang w:bidi="ar"/>
          <w14:ligatures w14:val="standardContextual"/>
        </w:rPr>
        <w:sectPr>
          <w:footerReference r:id="rId12" w:type="default"/>
          <w:pgSz w:w="11907" w:h="16840"/>
          <w:pgMar w:top="1418" w:right="1418" w:bottom="1418" w:left="1418" w:header="851" w:footer="851" w:gutter="0"/>
          <w:pgNumType w:start="1"/>
          <w:cols w:space="720" w:num="1"/>
          <w:docGrid w:type="linesAndChars" w:linePitch="437" w:charSpace="-647"/>
        </w:sectPr>
      </w:pPr>
    </w:p>
    <w:p>
      <w:pPr>
        <w:pStyle w:val="44"/>
        <w:widowControl w:val="0"/>
        <w:spacing w:before="0" w:beforeAutospacing="0" w:after="0" w:afterAutospacing="0" w:line="500" w:lineRule="exact"/>
        <w:ind w:firstLine="480" w:firstLineChars="200"/>
        <w:jc w:val="both"/>
        <w:rPr>
          <w:rFonts w:hint="eastAsia" w:hAnsi="宋体" w:cs="宋体"/>
          <w:color w:val="auto"/>
          <w:kern w:val="2"/>
          <w:szCs w:val="20"/>
          <w:lang w:bidi="ar"/>
          <w14:ligatures w14:val="standardContextual"/>
        </w:rPr>
      </w:pPr>
      <w:r>
        <w:rPr>
          <w:rFonts w:hint="eastAsia" w:hAnsi="宋体" w:cs="宋体"/>
          <w:color w:val="auto"/>
          <w:kern w:val="2"/>
          <w:szCs w:val="20"/>
          <w:lang w:bidi="ar"/>
          <w14:ligatures w14:val="standardContextual"/>
        </w:rPr>
        <w:t>表</w:t>
      </w:r>
      <w:r>
        <w:rPr>
          <w:rFonts w:hint="eastAsia" w:hAnsi="宋体" w:cs="宋体"/>
          <w:color w:val="auto"/>
          <w:kern w:val="2"/>
          <w:szCs w:val="20"/>
          <w:lang w:val="en-US" w:eastAsia="zh-CN" w:bidi="ar"/>
          <w14:ligatures w14:val="standardContextual"/>
        </w:rPr>
        <w:t>2-4</w:t>
      </w:r>
      <w:r>
        <w:rPr>
          <w:rFonts w:hint="eastAsia" w:hAnsi="宋体" w:cs="宋体"/>
          <w:color w:val="auto"/>
          <w:kern w:val="2"/>
          <w:szCs w:val="20"/>
          <w:lang w:bidi="ar"/>
          <w14:ligatures w14:val="standardContextual"/>
        </w:rPr>
        <w:t xml:space="preserve">                    汽车供四九块煤煤质及粒度组成</w:t>
      </w:r>
    </w:p>
    <w:tbl>
      <w:tblPr>
        <w:tblStyle w:val="50"/>
        <w:tblW w:w="903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26"/>
        <w:gridCol w:w="1417"/>
        <w:gridCol w:w="993"/>
        <w:gridCol w:w="992"/>
        <w:gridCol w:w="1417"/>
        <w:gridCol w:w="1276"/>
        <w:gridCol w:w="14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1" w:hRule="atLeast"/>
        </w:trPr>
        <w:tc>
          <w:tcPr>
            <w:tcW w:w="1526" w:type="dxa"/>
            <w:vMerge w:val="restart"/>
            <w:tcBorders>
              <w:top w:val="single" w:color="auto" w:sz="12" w:space="0"/>
              <w:left w:val="single" w:color="auto" w:sz="12" w:space="0"/>
              <w:bottom w:val="single" w:color="auto" w:sz="6" w:space="0"/>
              <w:right w:val="single" w:color="auto" w:sz="6" w:space="0"/>
            </w:tcBorders>
            <w:shd w:val="clear" w:color="auto" w:fill="auto"/>
          </w:tcPr>
          <w:p>
            <w:pPr>
              <w:widowControl/>
              <w:jc w:val="center"/>
              <w:rPr>
                <w:rFonts w:hint="eastAsia" w:ascii="宋体" w:hAnsi="宋体" w:eastAsia="宋体"/>
                <w:color w:val="auto"/>
                <w:kern w:val="0"/>
                <w:sz w:val="21"/>
                <w:szCs w:val="21"/>
                <w14:ligatures w14:val="none"/>
              </w:rPr>
            </w:pPr>
            <w:r>
              <w:rPr>
                <w:rFonts w:hint="eastAsia" w:ascii="宋体" w:hAnsi="宋体" w:eastAsia="宋体"/>
                <w:color w:val="auto"/>
                <w:kern w:val="0"/>
                <w:sz w:val="21"/>
                <w:szCs w:val="21"/>
                <w14:ligatures w14:val="none"/>
              </w:rPr>
              <w:t>全水份 %</w:t>
            </w:r>
          </w:p>
          <w:p>
            <w:pPr>
              <w:widowControl/>
              <w:jc w:val="center"/>
              <w:rPr>
                <w:rFonts w:hint="eastAsia" w:ascii="宋体" w:hAnsi="宋体" w:eastAsia="宋体"/>
                <w:color w:val="auto"/>
                <w:kern w:val="0"/>
                <w:sz w:val="21"/>
                <w:szCs w:val="21"/>
                <w14:ligatures w14:val="none"/>
              </w:rPr>
            </w:pPr>
            <w:r>
              <w:rPr>
                <w:rFonts w:hint="eastAsia" w:ascii="宋体" w:hAnsi="宋体" w:eastAsia="宋体"/>
                <w:color w:val="auto"/>
                <w:kern w:val="0"/>
                <w:sz w:val="21"/>
                <w:szCs w:val="21"/>
                <w14:ligatures w14:val="none"/>
              </w:rPr>
              <w:t>（收到基）</w:t>
            </w:r>
          </w:p>
        </w:tc>
        <w:tc>
          <w:tcPr>
            <w:tcW w:w="7513" w:type="dxa"/>
            <w:gridSpan w:val="6"/>
            <w:tcBorders>
              <w:top w:val="single" w:color="auto" w:sz="12" w:space="0"/>
              <w:left w:val="single" w:color="auto" w:sz="6" w:space="0"/>
              <w:bottom w:val="single" w:color="auto" w:sz="6" w:space="0"/>
              <w:right w:val="single" w:color="auto" w:sz="12" w:space="0"/>
            </w:tcBorders>
            <w:shd w:val="clear" w:color="auto" w:fill="auto"/>
          </w:tcPr>
          <w:p>
            <w:pPr>
              <w:widowControl/>
              <w:jc w:val="center"/>
              <w:rPr>
                <w:rFonts w:hint="eastAsia" w:ascii="宋体" w:hAnsi="宋体" w:eastAsia="宋体"/>
                <w:color w:val="auto"/>
                <w:kern w:val="0"/>
                <w:sz w:val="21"/>
                <w:szCs w:val="21"/>
                <w14:ligatures w14:val="none"/>
              </w:rPr>
            </w:pPr>
            <w:r>
              <w:rPr>
                <w:rFonts w:hint="eastAsia" w:ascii="宋体" w:hAnsi="宋体" w:eastAsia="宋体"/>
                <w:color w:val="auto"/>
                <w:kern w:val="0"/>
                <w:sz w:val="21"/>
                <w:szCs w:val="21"/>
                <w14:ligatures w14:val="none"/>
              </w:rPr>
              <w:t>粒度组成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1" w:hRule="atLeast"/>
        </w:trPr>
        <w:tc>
          <w:tcPr>
            <w:tcW w:w="1526" w:type="dxa"/>
            <w:vMerge w:val="continue"/>
            <w:tcBorders>
              <w:top w:val="single" w:color="auto" w:sz="12" w:space="0"/>
              <w:left w:val="single" w:color="auto" w:sz="12" w:space="0"/>
              <w:bottom w:val="single" w:color="auto" w:sz="6" w:space="0"/>
              <w:right w:val="single" w:color="auto" w:sz="6" w:space="0"/>
            </w:tcBorders>
            <w:shd w:val="clear" w:color="auto" w:fill="auto"/>
          </w:tcPr>
          <w:p>
            <w:pPr>
              <w:widowControl/>
              <w:jc w:val="center"/>
              <w:rPr>
                <w:rFonts w:hint="eastAsia" w:ascii="宋体" w:hAnsi="宋体" w:eastAsia="宋体"/>
                <w:color w:val="auto"/>
                <w:kern w:val="0"/>
                <w:sz w:val="21"/>
                <w:szCs w:val="21"/>
                <w14:ligatures w14:val="none"/>
              </w:rPr>
            </w:pPr>
          </w:p>
        </w:tc>
        <w:tc>
          <w:tcPr>
            <w:tcW w:w="1417" w:type="dxa"/>
            <w:tcBorders>
              <w:top w:val="single" w:color="auto" w:sz="6" w:space="0"/>
              <w:left w:val="single" w:color="auto" w:sz="6" w:space="0"/>
              <w:bottom w:val="single" w:color="auto" w:sz="6" w:space="0"/>
              <w:right w:val="single" w:color="auto" w:sz="6" w:space="0"/>
            </w:tcBorders>
            <w:shd w:val="clear" w:color="auto" w:fill="auto"/>
          </w:tcPr>
          <w:p>
            <w:pPr>
              <w:widowControl/>
              <w:jc w:val="center"/>
              <w:rPr>
                <w:rFonts w:hint="eastAsia" w:ascii="宋体" w:hAnsi="宋体" w:eastAsia="宋体"/>
                <w:color w:val="auto"/>
                <w:kern w:val="0"/>
                <w:sz w:val="21"/>
                <w:szCs w:val="21"/>
                <w14:ligatures w14:val="none"/>
              </w:rPr>
            </w:pPr>
            <w:r>
              <w:rPr>
                <w:rFonts w:hint="eastAsia" w:ascii="宋体" w:hAnsi="宋体" w:eastAsia="宋体"/>
                <w:color w:val="auto"/>
                <w:kern w:val="0"/>
                <w:sz w:val="21"/>
                <w:szCs w:val="21"/>
                <w14:ligatures w14:val="none"/>
              </w:rPr>
              <w:t>≤13</w:t>
            </w:r>
          </w:p>
        </w:tc>
        <w:tc>
          <w:tcPr>
            <w:tcW w:w="993" w:type="dxa"/>
            <w:tcBorders>
              <w:top w:val="single" w:color="auto" w:sz="6" w:space="0"/>
              <w:left w:val="single" w:color="auto" w:sz="6" w:space="0"/>
              <w:bottom w:val="single" w:color="auto" w:sz="6" w:space="0"/>
              <w:right w:val="single" w:color="auto" w:sz="6" w:space="0"/>
            </w:tcBorders>
            <w:shd w:val="clear" w:color="auto" w:fill="auto"/>
          </w:tcPr>
          <w:p>
            <w:pPr>
              <w:widowControl/>
              <w:jc w:val="center"/>
              <w:rPr>
                <w:rFonts w:hint="eastAsia" w:ascii="宋体" w:hAnsi="宋体" w:eastAsia="宋体"/>
                <w:color w:val="auto"/>
                <w:kern w:val="0"/>
                <w:sz w:val="21"/>
                <w:szCs w:val="21"/>
                <w14:ligatures w14:val="none"/>
              </w:rPr>
            </w:pPr>
            <w:r>
              <w:rPr>
                <w:rFonts w:hint="eastAsia" w:ascii="宋体" w:hAnsi="宋体" w:eastAsia="宋体"/>
                <w:color w:val="auto"/>
                <w:kern w:val="0"/>
                <w:sz w:val="21"/>
                <w:szCs w:val="21"/>
                <w14:ligatures w14:val="none"/>
              </w:rPr>
              <w:t>13～25</w:t>
            </w:r>
          </w:p>
        </w:tc>
        <w:tc>
          <w:tcPr>
            <w:tcW w:w="992" w:type="dxa"/>
            <w:tcBorders>
              <w:top w:val="single" w:color="auto" w:sz="6" w:space="0"/>
              <w:left w:val="single" w:color="auto" w:sz="6" w:space="0"/>
              <w:bottom w:val="single" w:color="auto" w:sz="6" w:space="0"/>
              <w:right w:val="single" w:color="auto" w:sz="6" w:space="0"/>
            </w:tcBorders>
            <w:shd w:val="clear" w:color="auto" w:fill="auto"/>
          </w:tcPr>
          <w:p>
            <w:pPr>
              <w:widowControl/>
              <w:jc w:val="center"/>
              <w:rPr>
                <w:rFonts w:hint="eastAsia" w:ascii="宋体" w:hAnsi="宋体" w:eastAsia="宋体"/>
                <w:color w:val="auto"/>
                <w:kern w:val="0"/>
                <w:sz w:val="21"/>
                <w:szCs w:val="21"/>
                <w14:ligatures w14:val="none"/>
              </w:rPr>
            </w:pPr>
            <w:r>
              <w:rPr>
                <w:rFonts w:hint="eastAsia" w:ascii="宋体" w:hAnsi="宋体" w:eastAsia="宋体"/>
                <w:color w:val="auto"/>
                <w:kern w:val="0"/>
                <w:sz w:val="21"/>
                <w:szCs w:val="21"/>
                <w14:ligatures w14:val="none"/>
              </w:rPr>
              <w:t>25～50</w:t>
            </w:r>
          </w:p>
        </w:tc>
        <w:tc>
          <w:tcPr>
            <w:tcW w:w="1417" w:type="dxa"/>
            <w:tcBorders>
              <w:top w:val="single" w:color="auto" w:sz="6" w:space="0"/>
              <w:left w:val="single" w:color="auto" w:sz="6" w:space="0"/>
              <w:bottom w:val="single" w:color="auto" w:sz="6" w:space="0"/>
              <w:right w:val="single" w:color="auto" w:sz="6" w:space="0"/>
            </w:tcBorders>
            <w:shd w:val="clear" w:color="auto" w:fill="auto"/>
          </w:tcPr>
          <w:p>
            <w:pPr>
              <w:widowControl/>
              <w:jc w:val="center"/>
              <w:rPr>
                <w:rFonts w:hint="eastAsia" w:ascii="宋体" w:hAnsi="宋体" w:eastAsia="宋体"/>
                <w:color w:val="auto"/>
                <w:kern w:val="0"/>
                <w:sz w:val="21"/>
                <w:szCs w:val="21"/>
                <w14:ligatures w14:val="none"/>
              </w:rPr>
            </w:pPr>
            <w:r>
              <w:rPr>
                <w:rFonts w:hint="eastAsia" w:ascii="宋体" w:hAnsi="宋体" w:eastAsia="宋体"/>
                <w:color w:val="auto"/>
                <w:kern w:val="0"/>
                <w:sz w:val="21"/>
                <w:szCs w:val="21"/>
                <w14:ligatures w14:val="none"/>
              </w:rPr>
              <w:t>50～70</w:t>
            </w:r>
          </w:p>
        </w:tc>
        <w:tc>
          <w:tcPr>
            <w:tcW w:w="1276" w:type="dxa"/>
            <w:tcBorders>
              <w:top w:val="single" w:color="auto" w:sz="6" w:space="0"/>
              <w:left w:val="single" w:color="auto" w:sz="6" w:space="0"/>
              <w:bottom w:val="single" w:color="auto" w:sz="6" w:space="0"/>
              <w:right w:val="single" w:color="auto" w:sz="6" w:space="0"/>
            </w:tcBorders>
            <w:shd w:val="clear" w:color="auto" w:fill="auto"/>
          </w:tcPr>
          <w:p>
            <w:pPr>
              <w:widowControl/>
              <w:jc w:val="center"/>
              <w:rPr>
                <w:rFonts w:hint="eastAsia" w:ascii="宋体" w:hAnsi="宋体" w:eastAsia="宋体"/>
                <w:color w:val="auto"/>
                <w:kern w:val="0"/>
                <w:sz w:val="21"/>
                <w:szCs w:val="21"/>
                <w14:ligatures w14:val="none"/>
              </w:rPr>
            </w:pPr>
            <w:r>
              <w:rPr>
                <w:rFonts w:hint="eastAsia" w:ascii="宋体" w:hAnsi="宋体" w:eastAsia="宋体"/>
                <w:color w:val="auto"/>
                <w:kern w:val="0"/>
                <w:sz w:val="21"/>
                <w:szCs w:val="21"/>
                <w14:ligatures w14:val="none"/>
              </w:rPr>
              <w:t>70～90</w:t>
            </w:r>
          </w:p>
        </w:tc>
        <w:tc>
          <w:tcPr>
            <w:tcW w:w="1418" w:type="dxa"/>
            <w:tcBorders>
              <w:top w:val="single" w:color="auto" w:sz="6" w:space="0"/>
              <w:left w:val="single" w:color="auto" w:sz="6" w:space="0"/>
              <w:bottom w:val="single" w:color="auto" w:sz="6" w:space="0"/>
              <w:right w:val="single" w:color="auto" w:sz="12" w:space="0"/>
            </w:tcBorders>
            <w:shd w:val="clear" w:color="auto" w:fill="auto"/>
          </w:tcPr>
          <w:p>
            <w:pPr>
              <w:widowControl/>
              <w:jc w:val="center"/>
              <w:rPr>
                <w:rFonts w:hint="eastAsia" w:ascii="宋体" w:hAnsi="宋体" w:eastAsia="宋体"/>
                <w:color w:val="auto"/>
                <w:kern w:val="0"/>
                <w:sz w:val="21"/>
                <w:szCs w:val="21"/>
                <w14:ligatures w14:val="none"/>
              </w:rPr>
            </w:pPr>
            <w:r>
              <w:rPr>
                <w:rFonts w:hint="eastAsia" w:ascii="宋体" w:hAnsi="宋体" w:eastAsia="宋体"/>
                <w:color w:val="auto"/>
                <w:kern w:val="0"/>
                <w:sz w:val="21"/>
                <w:szCs w:val="21"/>
                <w14:ligatures w14:val="none"/>
              </w:rPr>
              <w:t>100～200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526" w:type="dxa"/>
            <w:tcBorders>
              <w:top w:val="single" w:color="auto" w:sz="6" w:space="0"/>
              <w:left w:val="single" w:color="auto" w:sz="12" w:space="0"/>
              <w:bottom w:val="single" w:color="auto" w:sz="12" w:space="0"/>
              <w:right w:val="single" w:color="auto" w:sz="6" w:space="0"/>
            </w:tcBorders>
            <w:shd w:val="clear" w:color="auto" w:fill="auto"/>
          </w:tcPr>
          <w:p>
            <w:pPr>
              <w:widowControl/>
              <w:jc w:val="center"/>
              <w:rPr>
                <w:rFonts w:hint="eastAsia" w:ascii="宋体" w:hAnsi="宋体" w:eastAsia="宋体"/>
                <w:color w:val="auto"/>
                <w:kern w:val="0"/>
                <w:sz w:val="21"/>
                <w:szCs w:val="21"/>
                <w14:ligatures w14:val="none"/>
              </w:rPr>
            </w:pPr>
            <w:r>
              <w:rPr>
                <w:rFonts w:hint="eastAsia" w:ascii="宋体" w:hAnsi="宋体" w:eastAsia="宋体"/>
                <w:color w:val="auto"/>
                <w:kern w:val="0"/>
                <w:sz w:val="21"/>
                <w:szCs w:val="21"/>
                <w14:ligatures w14:val="none"/>
              </w:rPr>
              <w:t>12～15</w:t>
            </w:r>
          </w:p>
        </w:tc>
        <w:tc>
          <w:tcPr>
            <w:tcW w:w="1417" w:type="dxa"/>
            <w:tcBorders>
              <w:top w:val="single" w:color="auto" w:sz="6" w:space="0"/>
              <w:left w:val="single" w:color="auto" w:sz="6" w:space="0"/>
              <w:bottom w:val="single" w:color="auto" w:sz="12" w:space="0"/>
              <w:right w:val="single" w:color="auto" w:sz="6" w:space="0"/>
            </w:tcBorders>
            <w:shd w:val="clear" w:color="auto" w:fill="auto"/>
          </w:tcPr>
          <w:p>
            <w:pPr>
              <w:widowControl/>
              <w:jc w:val="center"/>
              <w:rPr>
                <w:rFonts w:hint="eastAsia" w:ascii="宋体" w:hAnsi="宋体" w:eastAsia="宋体"/>
                <w:color w:val="auto"/>
                <w:kern w:val="0"/>
                <w:sz w:val="21"/>
                <w:szCs w:val="21"/>
                <w14:ligatures w14:val="none"/>
              </w:rPr>
            </w:pPr>
            <w:r>
              <w:rPr>
                <w:rFonts w:hint="eastAsia" w:ascii="宋体" w:hAnsi="宋体" w:eastAsia="宋体"/>
                <w:color w:val="auto"/>
                <w:kern w:val="0"/>
                <w:sz w:val="21"/>
                <w:szCs w:val="21"/>
                <w14:ligatures w14:val="none"/>
              </w:rPr>
              <w:t>8～10</w:t>
            </w:r>
          </w:p>
        </w:tc>
        <w:tc>
          <w:tcPr>
            <w:tcW w:w="993" w:type="dxa"/>
            <w:tcBorders>
              <w:top w:val="single" w:color="auto" w:sz="6" w:space="0"/>
              <w:left w:val="single" w:color="auto" w:sz="6" w:space="0"/>
              <w:bottom w:val="single" w:color="auto" w:sz="12" w:space="0"/>
              <w:right w:val="single" w:color="auto" w:sz="6" w:space="0"/>
            </w:tcBorders>
            <w:shd w:val="clear" w:color="auto" w:fill="auto"/>
          </w:tcPr>
          <w:p>
            <w:pPr>
              <w:widowControl/>
              <w:jc w:val="center"/>
              <w:rPr>
                <w:rFonts w:hint="eastAsia" w:ascii="宋体" w:hAnsi="宋体" w:eastAsia="宋体"/>
                <w:color w:val="auto"/>
                <w:kern w:val="0"/>
                <w:sz w:val="21"/>
                <w:szCs w:val="21"/>
                <w14:ligatures w14:val="none"/>
              </w:rPr>
            </w:pPr>
            <w:r>
              <w:rPr>
                <w:rFonts w:hint="eastAsia" w:ascii="宋体" w:hAnsi="宋体" w:eastAsia="宋体"/>
                <w:color w:val="auto"/>
                <w:kern w:val="0"/>
                <w:sz w:val="21"/>
                <w:szCs w:val="21"/>
                <w14:ligatures w14:val="none"/>
              </w:rPr>
              <w:t>5～10</w:t>
            </w:r>
          </w:p>
        </w:tc>
        <w:tc>
          <w:tcPr>
            <w:tcW w:w="992" w:type="dxa"/>
            <w:tcBorders>
              <w:top w:val="single" w:color="auto" w:sz="6" w:space="0"/>
              <w:left w:val="single" w:color="auto" w:sz="6" w:space="0"/>
              <w:bottom w:val="single" w:color="auto" w:sz="12" w:space="0"/>
              <w:right w:val="single" w:color="auto" w:sz="6" w:space="0"/>
            </w:tcBorders>
            <w:shd w:val="clear" w:color="auto" w:fill="auto"/>
          </w:tcPr>
          <w:p>
            <w:pPr>
              <w:widowControl/>
              <w:jc w:val="center"/>
              <w:rPr>
                <w:rFonts w:hint="eastAsia" w:ascii="宋体" w:hAnsi="宋体" w:eastAsia="宋体"/>
                <w:color w:val="auto"/>
                <w:kern w:val="0"/>
                <w:sz w:val="21"/>
                <w:szCs w:val="21"/>
                <w14:ligatures w14:val="none"/>
              </w:rPr>
            </w:pPr>
            <w:r>
              <w:rPr>
                <w:rFonts w:hint="eastAsia" w:ascii="宋体" w:hAnsi="宋体" w:eastAsia="宋体"/>
                <w:color w:val="auto"/>
                <w:kern w:val="0"/>
                <w:sz w:val="21"/>
                <w:szCs w:val="21"/>
                <w14:ligatures w14:val="none"/>
              </w:rPr>
              <w:t>5～10</w:t>
            </w:r>
          </w:p>
        </w:tc>
        <w:tc>
          <w:tcPr>
            <w:tcW w:w="1417" w:type="dxa"/>
            <w:tcBorders>
              <w:top w:val="single" w:color="auto" w:sz="6" w:space="0"/>
              <w:left w:val="single" w:color="auto" w:sz="6" w:space="0"/>
              <w:bottom w:val="single" w:color="auto" w:sz="12" w:space="0"/>
              <w:right w:val="single" w:color="auto" w:sz="6" w:space="0"/>
            </w:tcBorders>
            <w:shd w:val="clear" w:color="auto" w:fill="auto"/>
          </w:tcPr>
          <w:p>
            <w:pPr>
              <w:widowControl/>
              <w:jc w:val="center"/>
              <w:rPr>
                <w:rFonts w:hint="eastAsia" w:ascii="宋体" w:hAnsi="宋体" w:eastAsia="宋体"/>
                <w:color w:val="auto"/>
                <w:kern w:val="0"/>
                <w:sz w:val="21"/>
                <w:szCs w:val="21"/>
                <w14:ligatures w14:val="none"/>
              </w:rPr>
            </w:pPr>
            <w:r>
              <w:rPr>
                <w:rFonts w:hint="eastAsia" w:ascii="宋体" w:hAnsi="宋体" w:eastAsia="宋体"/>
                <w:color w:val="auto"/>
                <w:kern w:val="0"/>
                <w:sz w:val="21"/>
                <w:szCs w:val="21"/>
                <w14:ligatures w14:val="none"/>
              </w:rPr>
              <w:t>5～10</w:t>
            </w:r>
          </w:p>
        </w:tc>
        <w:tc>
          <w:tcPr>
            <w:tcW w:w="1276" w:type="dxa"/>
            <w:tcBorders>
              <w:top w:val="single" w:color="auto" w:sz="6" w:space="0"/>
              <w:left w:val="single" w:color="auto" w:sz="6" w:space="0"/>
              <w:bottom w:val="single" w:color="auto" w:sz="12" w:space="0"/>
              <w:right w:val="single" w:color="auto" w:sz="6" w:space="0"/>
            </w:tcBorders>
            <w:shd w:val="clear" w:color="auto" w:fill="auto"/>
          </w:tcPr>
          <w:p>
            <w:pPr>
              <w:widowControl/>
              <w:jc w:val="center"/>
              <w:rPr>
                <w:rFonts w:hint="eastAsia" w:ascii="宋体" w:hAnsi="宋体" w:eastAsia="宋体"/>
                <w:color w:val="auto"/>
                <w:kern w:val="0"/>
                <w:sz w:val="21"/>
                <w:szCs w:val="21"/>
                <w14:ligatures w14:val="none"/>
              </w:rPr>
            </w:pPr>
            <w:r>
              <w:rPr>
                <w:rFonts w:hint="eastAsia" w:ascii="宋体" w:hAnsi="宋体" w:eastAsia="宋体"/>
                <w:color w:val="auto"/>
                <w:kern w:val="0"/>
                <w:sz w:val="21"/>
                <w:szCs w:val="21"/>
                <w14:ligatures w14:val="none"/>
              </w:rPr>
              <w:t>50～72</w:t>
            </w:r>
          </w:p>
        </w:tc>
        <w:tc>
          <w:tcPr>
            <w:tcW w:w="1418" w:type="dxa"/>
            <w:tcBorders>
              <w:top w:val="single" w:color="auto" w:sz="6" w:space="0"/>
              <w:left w:val="single" w:color="auto" w:sz="6" w:space="0"/>
              <w:bottom w:val="single" w:color="auto" w:sz="12" w:space="0"/>
              <w:right w:val="single" w:color="auto" w:sz="12" w:space="0"/>
            </w:tcBorders>
            <w:shd w:val="clear" w:color="auto" w:fill="auto"/>
          </w:tcPr>
          <w:p>
            <w:pPr>
              <w:widowControl/>
              <w:jc w:val="center"/>
              <w:rPr>
                <w:rFonts w:hint="eastAsia" w:ascii="宋体" w:hAnsi="宋体" w:eastAsia="宋体"/>
                <w:color w:val="auto"/>
                <w:kern w:val="0"/>
                <w:sz w:val="21"/>
                <w:szCs w:val="21"/>
                <w14:ligatures w14:val="none"/>
              </w:rPr>
            </w:pPr>
            <w:r>
              <w:rPr>
                <w:rFonts w:hint="eastAsia" w:ascii="宋体" w:hAnsi="宋体" w:eastAsia="宋体"/>
                <w:color w:val="auto"/>
                <w:kern w:val="0"/>
                <w:sz w:val="21"/>
                <w:szCs w:val="21"/>
                <w14:ligatures w14:val="none"/>
              </w:rPr>
              <w:t>5～10</w:t>
            </w:r>
          </w:p>
        </w:tc>
      </w:tr>
    </w:tbl>
    <w:p>
      <w:pPr>
        <w:pStyle w:val="44"/>
        <w:widowControl w:val="0"/>
        <w:spacing w:before="0" w:beforeAutospacing="0" w:after="0" w:afterAutospacing="0" w:line="500" w:lineRule="exact"/>
        <w:ind w:firstLine="482" w:firstLineChars="200"/>
        <w:jc w:val="both"/>
        <w:rPr>
          <w:rFonts w:hint="eastAsia" w:hAnsi="宋体" w:cs="宋体"/>
          <w:b/>
          <w:bCs/>
          <w:color w:val="auto"/>
          <w:kern w:val="2"/>
          <w:szCs w:val="20"/>
          <w:lang w:bidi="ar"/>
          <w14:ligatures w14:val="standardContextual"/>
        </w:rPr>
      </w:pPr>
      <w:r>
        <w:rPr>
          <w:rFonts w:hint="eastAsia" w:hAnsi="宋体" w:cs="宋体"/>
          <w:b/>
          <w:bCs/>
          <w:color w:val="auto"/>
          <w:kern w:val="2"/>
          <w:szCs w:val="20"/>
          <w:lang w:bidi="ar"/>
          <w14:ligatures w14:val="standardContextual"/>
        </w:rPr>
        <w:t>3 规范和标准</w:t>
      </w:r>
    </w:p>
    <w:p>
      <w:pPr>
        <w:pStyle w:val="44"/>
        <w:widowControl w:val="0"/>
        <w:spacing w:before="0" w:beforeAutospacing="0" w:after="0" w:afterAutospacing="0" w:line="500" w:lineRule="exact"/>
        <w:ind w:firstLine="480" w:firstLineChars="200"/>
        <w:jc w:val="both"/>
        <w:rPr>
          <w:rFonts w:hint="eastAsia" w:hAnsi="宋体" w:cs="宋体"/>
          <w:color w:val="auto"/>
          <w:kern w:val="2"/>
          <w:szCs w:val="20"/>
          <w:lang w:bidi="ar"/>
          <w14:ligatures w14:val="standardContextual"/>
        </w:rPr>
      </w:pPr>
      <w:r>
        <w:rPr>
          <w:rFonts w:hint="eastAsia" w:hAnsi="宋体" w:cs="宋体"/>
          <w:color w:val="auto"/>
          <w:kern w:val="2"/>
          <w:szCs w:val="20"/>
          <w:lang w:bidi="ar"/>
          <w14:ligatures w14:val="standardContextual"/>
        </w:rPr>
        <w:t>3.1工程的设计、供货、土建施工、安装施工、试验及检测、考核、最终交付等应符合相关的中国法律及规范、以及最新版的ISO和IEC标准。</w:t>
      </w:r>
    </w:p>
    <w:p>
      <w:pPr>
        <w:pStyle w:val="44"/>
        <w:widowControl w:val="0"/>
        <w:spacing w:before="0" w:beforeAutospacing="0" w:after="0" w:afterAutospacing="0" w:line="500" w:lineRule="exact"/>
        <w:ind w:firstLine="480" w:firstLineChars="200"/>
        <w:jc w:val="both"/>
        <w:rPr>
          <w:rFonts w:hint="eastAsia" w:hAnsi="宋体" w:cs="宋体"/>
          <w:color w:val="auto"/>
          <w:kern w:val="2"/>
          <w:szCs w:val="20"/>
          <w:lang w:bidi="ar"/>
          <w14:ligatures w14:val="standardContextual"/>
        </w:rPr>
      </w:pPr>
      <w:r>
        <w:rPr>
          <w:rFonts w:hint="eastAsia" w:hAnsi="宋体" w:cs="宋体"/>
          <w:color w:val="auto"/>
          <w:kern w:val="2"/>
          <w:szCs w:val="20"/>
          <w:lang w:bidi="ar"/>
          <w14:ligatures w14:val="standardContextual"/>
        </w:rPr>
        <w:t>3.2本工程实施过程中执行的所有规范（包括中国法律、标准、规范、规程）在合同签定前应为最新版本，如本招标文件所列相关规范已不是最新版本，则应以最新版本为准。</w:t>
      </w:r>
    </w:p>
    <w:p>
      <w:pPr>
        <w:pStyle w:val="44"/>
        <w:widowControl w:val="0"/>
        <w:spacing w:before="0" w:beforeAutospacing="0" w:after="0" w:afterAutospacing="0" w:line="500" w:lineRule="exact"/>
        <w:ind w:firstLine="480" w:firstLineChars="200"/>
        <w:jc w:val="both"/>
        <w:rPr>
          <w:rFonts w:hint="eastAsia" w:hAnsi="宋体" w:cs="宋体"/>
          <w:color w:val="auto"/>
          <w:kern w:val="2"/>
          <w:szCs w:val="20"/>
          <w:lang w:bidi="ar"/>
          <w14:ligatures w14:val="standardContextual"/>
        </w:rPr>
      </w:pPr>
      <w:r>
        <w:rPr>
          <w:rFonts w:hint="eastAsia" w:hAnsi="宋体" w:cs="宋体"/>
          <w:color w:val="auto"/>
          <w:kern w:val="2"/>
          <w:szCs w:val="20"/>
          <w:lang w:bidi="ar"/>
          <w14:ligatures w14:val="standardContextual"/>
        </w:rPr>
        <w:t>3.3安全、环保、健康、消防等相关的事项必须执行中国国家及地方有关法规、规范。</w:t>
      </w:r>
    </w:p>
    <w:p>
      <w:pPr>
        <w:pStyle w:val="44"/>
        <w:widowControl w:val="0"/>
        <w:spacing w:before="0" w:beforeAutospacing="0" w:after="0" w:afterAutospacing="0" w:line="500" w:lineRule="exact"/>
        <w:ind w:firstLine="480" w:firstLineChars="200"/>
        <w:jc w:val="both"/>
        <w:rPr>
          <w:rFonts w:hint="eastAsia" w:hAnsi="宋体" w:cs="宋体"/>
          <w:color w:val="auto"/>
          <w:kern w:val="2"/>
          <w:szCs w:val="20"/>
          <w:lang w:bidi="ar"/>
          <w14:ligatures w14:val="standardContextual"/>
        </w:rPr>
      </w:pPr>
      <w:r>
        <w:rPr>
          <w:rFonts w:hint="eastAsia" w:hAnsi="宋体" w:cs="宋体"/>
          <w:color w:val="auto"/>
          <w:kern w:val="2"/>
          <w:szCs w:val="20"/>
          <w:lang w:bidi="ar"/>
          <w14:ligatures w14:val="standardContextual"/>
        </w:rPr>
        <w:t>3.4设备和材料执行设备和材料制造商所在国标准。</w:t>
      </w:r>
    </w:p>
    <w:p>
      <w:pPr>
        <w:pStyle w:val="44"/>
        <w:widowControl w:val="0"/>
        <w:spacing w:before="0" w:beforeAutospacing="0" w:after="0" w:afterAutospacing="0" w:line="500" w:lineRule="exact"/>
        <w:ind w:firstLine="480" w:firstLineChars="200"/>
        <w:jc w:val="both"/>
        <w:rPr>
          <w:rFonts w:hint="eastAsia" w:hAnsi="宋体" w:cs="宋体"/>
          <w:color w:val="auto"/>
          <w:kern w:val="2"/>
          <w:szCs w:val="20"/>
          <w:lang w:bidi="ar"/>
          <w14:ligatures w14:val="standardContextual"/>
        </w:rPr>
      </w:pPr>
      <w:r>
        <w:rPr>
          <w:rFonts w:hint="eastAsia" w:hAnsi="宋体" w:cs="宋体"/>
          <w:color w:val="auto"/>
          <w:kern w:val="2"/>
          <w:szCs w:val="20"/>
          <w:lang w:bidi="ar"/>
          <w14:ligatures w14:val="standardContextual"/>
        </w:rPr>
        <w:t>3.5其它未注明的标准按国标、部标或行业标准执行。</w:t>
      </w:r>
    </w:p>
    <w:p>
      <w:pPr>
        <w:pStyle w:val="44"/>
        <w:widowControl w:val="0"/>
        <w:spacing w:before="0" w:beforeAutospacing="0" w:after="0" w:afterAutospacing="0" w:line="500" w:lineRule="exact"/>
        <w:ind w:firstLine="480" w:firstLineChars="200"/>
        <w:jc w:val="both"/>
        <w:rPr>
          <w:rFonts w:hint="eastAsia" w:hAnsi="宋体" w:cs="宋体"/>
          <w:color w:val="auto"/>
          <w:kern w:val="2"/>
          <w:szCs w:val="20"/>
          <w:lang w:bidi="ar"/>
          <w14:ligatures w14:val="standardContextual"/>
        </w:rPr>
      </w:pPr>
      <w:r>
        <w:rPr>
          <w:rFonts w:hint="eastAsia" w:hAnsi="宋体" w:cs="宋体"/>
          <w:color w:val="auto"/>
          <w:kern w:val="2"/>
          <w:szCs w:val="20"/>
          <w:lang w:bidi="ar"/>
          <w14:ligatures w14:val="standardContextual"/>
        </w:rPr>
        <w:t>3.6投标人应遵守以下主要技术规范、标准的最新版本，但不限于此，如合同签定后以下的标准、规范进行了修订或重新颁布对应的标准时，则以最新版本为。</w:t>
      </w:r>
    </w:p>
    <w:tbl>
      <w:tblPr>
        <w:tblStyle w:val="50"/>
        <w:tblW w:w="9287"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87"/>
        <w:gridCol w:w="4200"/>
        <w:gridCol w:w="42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887" w:type="dxa"/>
            <w:vAlign w:val="center"/>
          </w:tcPr>
          <w:p>
            <w:pPr>
              <w:pStyle w:val="181"/>
              <w:adjustRightInd/>
              <w:spacing w:before="0" w:after="0" w:line="240" w:lineRule="auto"/>
              <w:ind w:firstLine="0" w:firstLineChars="0"/>
              <w:jc w:val="center"/>
              <w:rPr>
                <w:rFonts w:hint="eastAsia" w:hAnsi="宋体" w:eastAsia="宋体"/>
                <w:color w:val="auto"/>
                <w:sz w:val="21"/>
                <w:szCs w:val="21"/>
                <w:lang w:val="en-US" w:eastAsia="zh-CN"/>
              </w:rPr>
            </w:pPr>
            <w:r>
              <w:rPr>
                <w:rFonts w:hint="eastAsia" w:hAnsi="宋体"/>
                <w:color w:val="auto"/>
                <w:sz w:val="21"/>
                <w:szCs w:val="21"/>
                <w:lang w:val="en-US" w:eastAsia="zh-CN"/>
              </w:rPr>
              <w:t>一</w:t>
            </w:r>
          </w:p>
        </w:tc>
        <w:tc>
          <w:tcPr>
            <w:tcW w:w="4200" w:type="dxa"/>
            <w:vAlign w:val="center"/>
          </w:tcPr>
          <w:p>
            <w:pPr>
              <w:pStyle w:val="181"/>
              <w:adjustRightInd/>
              <w:spacing w:before="0" w:after="0" w:line="240" w:lineRule="auto"/>
              <w:ind w:firstLine="0" w:firstLineChars="0"/>
              <w:jc w:val="both"/>
              <w:rPr>
                <w:rFonts w:hint="default" w:hAnsi="宋体" w:eastAsia="宋体"/>
                <w:color w:val="auto"/>
                <w:sz w:val="21"/>
                <w:szCs w:val="21"/>
                <w:lang w:val="en-US" w:eastAsia="zh-CN"/>
              </w:rPr>
            </w:pPr>
            <w:r>
              <w:rPr>
                <w:rFonts w:hint="eastAsia" w:ascii="宋体" w:hAnsi="宋体" w:eastAsia="宋体"/>
                <w:color w:val="auto"/>
                <w:sz w:val="21"/>
                <w:szCs w:val="21"/>
                <w:lang w:val="en-US" w:eastAsia="zh-CN" w:bidi="ar"/>
              </w:rPr>
              <w:t>建筑结构</w:t>
            </w:r>
          </w:p>
        </w:tc>
        <w:tc>
          <w:tcPr>
            <w:tcW w:w="4200" w:type="dxa"/>
            <w:vAlign w:val="center"/>
          </w:tcPr>
          <w:p>
            <w:pPr>
              <w:pStyle w:val="181"/>
              <w:adjustRightInd/>
              <w:spacing w:before="0" w:after="0" w:line="240" w:lineRule="auto"/>
              <w:ind w:firstLine="0" w:firstLineChars="0"/>
              <w:jc w:val="both"/>
              <w:rPr>
                <w:rFonts w:hAnsi="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887" w:type="dxa"/>
            <w:vAlign w:val="center"/>
          </w:tcPr>
          <w:p>
            <w:pPr>
              <w:pStyle w:val="181"/>
              <w:adjustRightInd/>
              <w:spacing w:before="0" w:after="0" w:line="240" w:lineRule="auto"/>
              <w:ind w:firstLine="0" w:firstLineChars="0"/>
              <w:jc w:val="center"/>
              <w:rPr>
                <w:rFonts w:hint="eastAsia" w:ascii="宋体" w:hAnsi="宋体" w:eastAsia="宋体"/>
                <w:color w:val="auto"/>
                <w:sz w:val="21"/>
                <w:szCs w:val="21"/>
                <w:lang w:val="en-US" w:eastAsia="zh-CN" w:bidi="ar"/>
              </w:rPr>
            </w:pPr>
            <w:r>
              <w:rPr>
                <w:rFonts w:hint="eastAsia" w:ascii="宋体" w:hAnsi="宋体" w:eastAsia="宋体"/>
                <w:color w:val="auto"/>
                <w:sz w:val="21"/>
                <w:szCs w:val="21"/>
                <w:lang w:val="en-US" w:eastAsia="zh-CN" w:bidi="ar"/>
              </w:rPr>
              <w:t>1</w:t>
            </w:r>
          </w:p>
        </w:tc>
        <w:tc>
          <w:tcPr>
            <w:tcW w:w="4200" w:type="dxa"/>
            <w:vAlign w:val="center"/>
          </w:tcPr>
          <w:p>
            <w:pPr>
              <w:pStyle w:val="181"/>
              <w:adjustRightInd/>
              <w:spacing w:before="0" w:after="0" w:line="240" w:lineRule="auto"/>
              <w:ind w:firstLine="0" w:firstLineChars="0"/>
              <w:jc w:val="both"/>
              <w:rPr>
                <w:rFonts w:ascii="宋体" w:hAnsi="宋体" w:eastAsia="宋体" w:cs="Times New Roman"/>
                <w:color w:val="auto"/>
                <w:kern w:val="0"/>
                <w:sz w:val="21"/>
                <w:szCs w:val="21"/>
                <w:lang w:val="en-US" w:eastAsia="zh-CN" w:bidi="ar-SA"/>
              </w:rPr>
            </w:pPr>
            <w:r>
              <w:rPr>
                <w:rFonts w:hint="eastAsia" w:ascii="宋体" w:hAnsi="宋体" w:eastAsia="宋体"/>
                <w:color w:val="auto"/>
                <w:sz w:val="21"/>
                <w:szCs w:val="21"/>
                <w:lang w:bidi="ar"/>
              </w:rPr>
              <w:t>《</w:t>
            </w:r>
            <w:r>
              <w:rPr>
                <w:rFonts w:hint="eastAsia" w:ascii="宋体" w:hAnsi="宋体" w:eastAsia="宋体"/>
                <w:color w:val="auto"/>
                <w:kern w:val="0"/>
                <w:sz w:val="21"/>
                <w:szCs w:val="21"/>
                <w:lang w:bidi="ar"/>
              </w:rPr>
              <w:t>工程结构通用规范</w:t>
            </w:r>
            <w:r>
              <w:rPr>
                <w:rFonts w:hint="eastAsia" w:ascii="宋体" w:hAnsi="宋体" w:eastAsia="宋体"/>
                <w:color w:val="auto"/>
                <w:sz w:val="21"/>
                <w:szCs w:val="21"/>
                <w:lang w:bidi="ar"/>
              </w:rPr>
              <w:t>》</w:t>
            </w:r>
          </w:p>
        </w:tc>
        <w:tc>
          <w:tcPr>
            <w:tcW w:w="4200" w:type="dxa"/>
            <w:vAlign w:val="center"/>
          </w:tcPr>
          <w:p>
            <w:pPr>
              <w:pStyle w:val="181"/>
              <w:adjustRightInd/>
              <w:spacing w:before="0" w:after="0" w:line="240" w:lineRule="auto"/>
              <w:ind w:firstLine="0" w:firstLineChars="0"/>
              <w:jc w:val="both"/>
              <w:rPr>
                <w:rFonts w:hAnsi="宋体"/>
                <w:color w:val="auto"/>
                <w:sz w:val="21"/>
                <w:szCs w:val="21"/>
              </w:rPr>
            </w:pPr>
            <w:r>
              <w:rPr>
                <w:rFonts w:hint="eastAsia" w:ascii="宋体" w:hAnsi="宋体" w:eastAsia="宋体"/>
                <w:color w:val="auto"/>
                <w:kern w:val="0"/>
                <w:sz w:val="21"/>
                <w:szCs w:val="21"/>
                <w:lang w:bidi="ar"/>
              </w:rPr>
              <w:t>GB 55001-2021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887" w:type="dxa"/>
            <w:vAlign w:val="center"/>
          </w:tcPr>
          <w:p>
            <w:pPr>
              <w:pStyle w:val="181"/>
              <w:adjustRightInd/>
              <w:spacing w:before="0" w:after="0" w:line="240" w:lineRule="auto"/>
              <w:ind w:firstLine="0" w:firstLineChars="0"/>
              <w:jc w:val="center"/>
              <w:rPr>
                <w:rFonts w:hint="eastAsia" w:ascii="宋体" w:hAnsi="宋体" w:eastAsia="宋体"/>
                <w:color w:val="auto"/>
                <w:sz w:val="21"/>
                <w:szCs w:val="21"/>
                <w:lang w:val="en-US" w:eastAsia="zh-CN" w:bidi="ar"/>
              </w:rPr>
            </w:pPr>
            <w:r>
              <w:rPr>
                <w:rFonts w:hint="eastAsia" w:ascii="宋体" w:hAnsi="宋体" w:eastAsia="宋体"/>
                <w:color w:val="auto"/>
                <w:sz w:val="21"/>
                <w:szCs w:val="21"/>
                <w:lang w:val="en-US" w:eastAsia="zh-CN" w:bidi="ar"/>
              </w:rPr>
              <w:t>2</w:t>
            </w:r>
          </w:p>
        </w:tc>
        <w:tc>
          <w:tcPr>
            <w:tcW w:w="4200" w:type="dxa"/>
            <w:vAlign w:val="center"/>
          </w:tcPr>
          <w:p>
            <w:pPr>
              <w:pStyle w:val="181"/>
              <w:adjustRightInd/>
              <w:spacing w:before="0" w:after="0" w:line="240" w:lineRule="auto"/>
              <w:ind w:firstLine="0" w:firstLineChars="0"/>
              <w:jc w:val="both"/>
              <w:rPr>
                <w:rFonts w:ascii="宋体" w:hAnsi="宋体" w:eastAsia="宋体" w:cs="Times New Roman"/>
                <w:color w:val="auto"/>
                <w:kern w:val="0"/>
                <w:sz w:val="21"/>
                <w:szCs w:val="21"/>
                <w:lang w:val="en-US" w:eastAsia="zh-CN" w:bidi="ar-SA"/>
              </w:rPr>
            </w:pPr>
            <w:r>
              <w:rPr>
                <w:rFonts w:hint="eastAsia" w:ascii="宋体" w:hAnsi="宋体" w:eastAsia="宋体"/>
                <w:color w:val="auto"/>
                <w:sz w:val="21"/>
                <w:szCs w:val="21"/>
                <w:lang w:bidi="ar"/>
              </w:rPr>
              <w:t>《建筑设计防火规范》（2018年版）</w:t>
            </w:r>
          </w:p>
        </w:tc>
        <w:tc>
          <w:tcPr>
            <w:tcW w:w="4200" w:type="dxa"/>
            <w:vAlign w:val="center"/>
          </w:tcPr>
          <w:p>
            <w:pPr>
              <w:pStyle w:val="181"/>
              <w:adjustRightInd/>
              <w:spacing w:before="0" w:after="0" w:line="240" w:lineRule="auto"/>
              <w:ind w:firstLine="0" w:firstLineChars="0"/>
              <w:jc w:val="both"/>
              <w:rPr>
                <w:rFonts w:hAnsi="宋体"/>
                <w:color w:val="auto"/>
                <w:sz w:val="21"/>
                <w:szCs w:val="21"/>
              </w:rPr>
            </w:pPr>
            <w:r>
              <w:rPr>
                <w:rFonts w:hint="eastAsia" w:ascii="宋体" w:hAnsi="宋体" w:eastAsia="宋体"/>
                <w:color w:val="auto"/>
                <w:sz w:val="21"/>
                <w:szCs w:val="21"/>
                <w:lang w:bidi="ar"/>
              </w:rPr>
              <w:t>GB 50016-2014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887" w:type="dxa"/>
            <w:vAlign w:val="center"/>
          </w:tcPr>
          <w:p>
            <w:pPr>
              <w:pStyle w:val="181"/>
              <w:adjustRightInd/>
              <w:spacing w:before="0" w:after="0" w:line="240" w:lineRule="auto"/>
              <w:ind w:firstLine="0" w:firstLineChars="0"/>
              <w:jc w:val="center"/>
              <w:rPr>
                <w:rFonts w:hint="eastAsia" w:ascii="宋体" w:hAnsi="宋体" w:eastAsia="宋体"/>
                <w:color w:val="auto"/>
                <w:sz w:val="21"/>
                <w:szCs w:val="21"/>
                <w:lang w:val="en-US" w:eastAsia="zh-CN" w:bidi="ar"/>
              </w:rPr>
            </w:pPr>
            <w:r>
              <w:rPr>
                <w:rFonts w:hint="eastAsia" w:ascii="宋体" w:hAnsi="宋体" w:eastAsia="宋体"/>
                <w:color w:val="auto"/>
                <w:sz w:val="21"/>
                <w:szCs w:val="21"/>
                <w:lang w:val="en-US" w:eastAsia="zh-CN" w:bidi="ar"/>
              </w:rPr>
              <w:t>3</w:t>
            </w:r>
          </w:p>
        </w:tc>
        <w:tc>
          <w:tcPr>
            <w:tcW w:w="4200" w:type="dxa"/>
            <w:vAlign w:val="center"/>
          </w:tcPr>
          <w:p>
            <w:pPr>
              <w:pStyle w:val="181"/>
              <w:adjustRightInd/>
              <w:spacing w:before="0" w:after="0" w:line="240" w:lineRule="auto"/>
              <w:ind w:firstLine="0" w:firstLineChars="0"/>
              <w:jc w:val="both"/>
              <w:rPr>
                <w:rFonts w:ascii="宋体" w:hAnsi="宋体" w:eastAsia="宋体" w:cs="Times New Roman"/>
                <w:color w:val="auto"/>
                <w:kern w:val="0"/>
                <w:sz w:val="21"/>
                <w:szCs w:val="21"/>
                <w:lang w:val="en-US" w:eastAsia="zh-CN" w:bidi="ar-SA"/>
              </w:rPr>
            </w:pPr>
            <w:r>
              <w:rPr>
                <w:rFonts w:hint="eastAsia" w:ascii="宋体" w:hAnsi="宋体" w:eastAsia="宋体"/>
                <w:color w:val="auto"/>
                <w:sz w:val="21"/>
                <w:szCs w:val="21"/>
                <w:lang w:bidi="ar"/>
              </w:rPr>
              <w:t>《建筑结构荷载规范》</w:t>
            </w:r>
          </w:p>
        </w:tc>
        <w:tc>
          <w:tcPr>
            <w:tcW w:w="4200" w:type="dxa"/>
            <w:vAlign w:val="center"/>
          </w:tcPr>
          <w:p>
            <w:pPr>
              <w:pStyle w:val="181"/>
              <w:adjustRightInd/>
              <w:spacing w:before="0" w:after="0" w:line="240" w:lineRule="auto"/>
              <w:ind w:firstLine="0" w:firstLineChars="0"/>
              <w:jc w:val="both"/>
              <w:rPr>
                <w:rFonts w:hAnsi="宋体"/>
                <w:color w:val="auto"/>
                <w:sz w:val="21"/>
                <w:szCs w:val="21"/>
              </w:rPr>
            </w:pPr>
            <w:r>
              <w:rPr>
                <w:rFonts w:hint="eastAsia" w:ascii="宋体" w:hAnsi="宋体" w:eastAsia="宋体"/>
                <w:color w:val="auto"/>
                <w:sz w:val="21"/>
                <w:szCs w:val="21"/>
                <w:lang w:bidi="ar"/>
              </w:rPr>
              <w:t>GB 50009-2012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887" w:type="dxa"/>
            <w:vAlign w:val="center"/>
          </w:tcPr>
          <w:p>
            <w:pPr>
              <w:pStyle w:val="181"/>
              <w:adjustRightInd/>
              <w:spacing w:before="0" w:after="0" w:line="240" w:lineRule="auto"/>
              <w:ind w:firstLine="0" w:firstLineChars="0"/>
              <w:jc w:val="center"/>
              <w:rPr>
                <w:rFonts w:hint="eastAsia" w:ascii="宋体" w:hAnsi="宋体" w:eastAsia="宋体"/>
                <w:color w:val="auto"/>
                <w:sz w:val="21"/>
                <w:szCs w:val="21"/>
                <w:lang w:val="en-US" w:eastAsia="zh-CN" w:bidi="ar"/>
              </w:rPr>
            </w:pPr>
            <w:r>
              <w:rPr>
                <w:rFonts w:hint="eastAsia" w:ascii="宋体" w:hAnsi="宋体" w:eastAsia="宋体"/>
                <w:color w:val="auto"/>
                <w:sz w:val="21"/>
                <w:szCs w:val="21"/>
                <w:lang w:val="en-US" w:eastAsia="zh-CN" w:bidi="ar"/>
              </w:rPr>
              <w:t>4</w:t>
            </w:r>
          </w:p>
        </w:tc>
        <w:tc>
          <w:tcPr>
            <w:tcW w:w="4200" w:type="dxa"/>
            <w:vAlign w:val="center"/>
          </w:tcPr>
          <w:p>
            <w:pPr>
              <w:pStyle w:val="181"/>
              <w:adjustRightInd/>
              <w:spacing w:before="0" w:after="0" w:line="240" w:lineRule="auto"/>
              <w:ind w:firstLine="0" w:firstLineChars="0"/>
              <w:jc w:val="both"/>
              <w:rPr>
                <w:rFonts w:ascii="宋体" w:hAnsi="宋体" w:eastAsia="宋体" w:cs="Times New Roman"/>
                <w:color w:val="auto"/>
                <w:kern w:val="0"/>
                <w:sz w:val="21"/>
                <w:szCs w:val="21"/>
                <w:lang w:val="en-US" w:eastAsia="zh-CN" w:bidi="ar-SA"/>
              </w:rPr>
            </w:pPr>
            <w:r>
              <w:rPr>
                <w:rFonts w:hint="eastAsia" w:ascii="宋体" w:hAnsi="宋体" w:eastAsia="宋体"/>
                <w:color w:val="auto"/>
                <w:sz w:val="21"/>
                <w:szCs w:val="21"/>
                <w:lang w:bidi="ar"/>
              </w:rPr>
              <w:t>《煤炭工业建筑结构设计标准》</w:t>
            </w:r>
          </w:p>
        </w:tc>
        <w:tc>
          <w:tcPr>
            <w:tcW w:w="4200" w:type="dxa"/>
            <w:vAlign w:val="center"/>
          </w:tcPr>
          <w:p>
            <w:pPr>
              <w:pStyle w:val="181"/>
              <w:adjustRightInd/>
              <w:spacing w:before="0" w:after="0" w:line="240" w:lineRule="auto"/>
              <w:ind w:firstLine="0" w:firstLineChars="0"/>
              <w:jc w:val="both"/>
              <w:rPr>
                <w:rFonts w:hAnsi="宋体"/>
                <w:color w:val="auto"/>
                <w:sz w:val="21"/>
                <w:szCs w:val="21"/>
              </w:rPr>
            </w:pPr>
            <w:r>
              <w:rPr>
                <w:rFonts w:hint="eastAsia" w:ascii="宋体" w:hAnsi="宋体" w:eastAsia="宋体"/>
                <w:color w:val="auto"/>
                <w:sz w:val="21"/>
                <w:szCs w:val="21"/>
                <w:lang w:bidi="ar"/>
              </w:rPr>
              <w:t>GB 0583-2020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887" w:type="dxa"/>
            <w:vAlign w:val="center"/>
          </w:tcPr>
          <w:p>
            <w:pPr>
              <w:pStyle w:val="181"/>
              <w:adjustRightInd/>
              <w:spacing w:before="0" w:after="0" w:line="240" w:lineRule="auto"/>
              <w:ind w:firstLine="0" w:firstLineChars="0"/>
              <w:jc w:val="center"/>
              <w:rPr>
                <w:rFonts w:hint="default" w:ascii="宋体" w:hAnsi="宋体" w:eastAsia="宋体"/>
                <w:color w:val="auto"/>
                <w:sz w:val="21"/>
                <w:szCs w:val="21"/>
                <w:lang w:val="en-US" w:eastAsia="zh-CN" w:bidi="ar"/>
              </w:rPr>
            </w:pPr>
            <w:r>
              <w:rPr>
                <w:rFonts w:hint="eastAsia" w:ascii="宋体" w:hAnsi="宋体" w:eastAsia="宋体"/>
                <w:color w:val="auto"/>
                <w:sz w:val="21"/>
                <w:szCs w:val="21"/>
                <w:lang w:val="en-US" w:eastAsia="zh-CN" w:bidi="ar"/>
              </w:rPr>
              <w:t>5</w:t>
            </w:r>
          </w:p>
        </w:tc>
        <w:tc>
          <w:tcPr>
            <w:tcW w:w="4200" w:type="dxa"/>
            <w:vAlign w:val="center"/>
          </w:tcPr>
          <w:p>
            <w:pPr>
              <w:pStyle w:val="181"/>
              <w:adjustRightInd/>
              <w:spacing w:before="0" w:after="0" w:line="240" w:lineRule="auto"/>
              <w:ind w:firstLine="0" w:firstLineChars="0"/>
              <w:jc w:val="both"/>
              <w:rPr>
                <w:rFonts w:ascii="宋体" w:hAnsi="宋体" w:eastAsia="宋体" w:cs="Times New Roman"/>
                <w:color w:val="auto"/>
                <w:kern w:val="0"/>
                <w:sz w:val="21"/>
                <w:szCs w:val="21"/>
                <w:lang w:val="en-US" w:eastAsia="zh-CN" w:bidi="ar-SA"/>
              </w:rPr>
            </w:pPr>
            <w:r>
              <w:rPr>
                <w:rFonts w:hint="eastAsia" w:ascii="宋体" w:hAnsi="宋体" w:eastAsia="宋体"/>
                <w:color w:val="auto"/>
                <w:sz w:val="21"/>
                <w:szCs w:val="21"/>
                <w:lang w:bidi="ar"/>
              </w:rPr>
              <w:t>《煤炭洗选工程设计规范》</w:t>
            </w:r>
          </w:p>
        </w:tc>
        <w:tc>
          <w:tcPr>
            <w:tcW w:w="4200" w:type="dxa"/>
            <w:vAlign w:val="center"/>
          </w:tcPr>
          <w:p>
            <w:pPr>
              <w:pStyle w:val="181"/>
              <w:adjustRightInd/>
              <w:spacing w:before="0" w:after="0" w:line="240" w:lineRule="auto"/>
              <w:ind w:firstLine="0" w:firstLineChars="0"/>
              <w:jc w:val="both"/>
              <w:rPr>
                <w:rFonts w:hAnsi="宋体"/>
                <w:color w:val="auto"/>
                <w:sz w:val="21"/>
                <w:szCs w:val="21"/>
              </w:rPr>
            </w:pPr>
            <w:r>
              <w:rPr>
                <w:rFonts w:hint="eastAsia" w:ascii="宋体" w:hAnsi="宋体" w:eastAsia="宋体"/>
                <w:color w:val="auto"/>
                <w:sz w:val="21"/>
                <w:szCs w:val="21"/>
                <w:lang w:bidi="ar"/>
              </w:rPr>
              <w:t>GB 50359-2016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887" w:type="dxa"/>
            <w:vAlign w:val="center"/>
          </w:tcPr>
          <w:p>
            <w:pPr>
              <w:pStyle w:val="181"/>
              <w:adjustRightInd/>
              <w:spacing w:before="0" w:after="0" w:line="240" w:lineRule="auto"/>
              <w:ind w:firstLine="0" w:firstLineChars="0"/>
              <w:jc w:val="center"/>
              <w:rPr>
                <w:rFonts w:hint="eastAsia" w:ascii="宋体" w:hAnsi="宋体" w:eastAsia="宋体"/>
                <w:color w:val="auto"/>
                <w:sz w:val="21"/>
                <w:szCs w:val="21"/>
                <w:lang w:val="en-US" w:eastAsia="zh-CN" w:bidi="ar"/>
              </w:rPr>
            </w:pPr>
            <w:r>
              <w:rPr>
                <w:rFonts w:hint="eastAsia" w:ascii="宋体" w:hAnsi="宋体" w:eastAsia="宋体"/>
                <w:color w:val="auto"/>
                <w:sz w:val="21"/>
                <w:szCs w:val="21"/>
                <w:lang w:val="en-US" w:eastAsia="zh-CN" w:bidi="ar"/>
              </w:rPr>
              <w:t>6</w:t>
            </w:r>
          </w:p>
        </w:tc>
        <w:tc>
          <w:tcPr>
            <w:tcW w:w="4200" w:type="dxa"/>
            <w:vAlign w:val="center"/>
          </w:tcPr>
          <w:p>
            <w:pPr>
              <w:pStyle w:val="181"/>
              <w:adjustRightInd/>
              <w:spacing w:before="0" w:after="0" w:line="240" w:lineRule="auto"/>
              <w:ind w:firstLine="0" w:firstLineChars="0"/>
              <w:jc w:val="both"/>
              <w:rPr>
                <w:rFonts w:ascii="宋体" w:hAnsi="宋体" w:eastAsia="宋体" w:cs="Times New Roman"/>
                <w:color w:val="auto"/>
                <w:kern w:val="0"/>
                <w:sz w:val="21"/>
                <w:szCs w:val="21"/>
                <w:lang w:val="en-US" w:eastAsia="zh-CN" w:bidi="ar-SA"/>
              </w:rPr>
            </w:pPr>
            <w:r>
              <w:rPr>
                <w:rFonts w:hint="eastAsia" w:ascii="宋体" w:hAnsi="宋体" w:eastAsia="宋体"/>
                <w:color w:val="auto"/>
                <w:sz w:val="21"/>
                <w:szCs w:val="21"/>
                <w:lang w:bidi="ar"/>
              </w:rPr>
              <w:t>《建筑抗震设计规范》（2016年版）</w:t>
            </w:r>
          </w:p>
        </w:tc>
        <w:tc>
          <w:tcPr>
            <w:tcW w:w="4200" w:type="dxa"/>
            <w:vAlign w:val="center"/>
          </w:tcPr>
          <w:p>
            <w:pPr>
              <w:pStyle w:val="181"/>
              <w:adjustRightInd/>
              <w:spacing w:before="0" w:after="0" w:line="240" w:lineRule="auto"/>
              <w:ind w:firstLine="0" w:firstLineChars="0"/>
              <w:jc w:val="both"/>
              <w:rPr>
                <w:rFonts w:hAnsi="宋体"/>
                <w:color w:val="auto"/>
                <w:sz w:val="21"/>
                <w:szCs w:val="21"/>
              </w:rPr>
            </w:pPr>
            <w:r>
              <w:rPr>
                <w:rFonts w:hint="eastAsia" w:ascii="宋体" w:hAnsi="宋体" w:eastAsia="宋体"/>
                <w:color w:val="auto"/>
                <w:sz w:val="21"/>
                <w:szCs w:val="21"/>
                <w:lang w:bidi="ar"/>
              </w:rPr>
              <w:t>GB 50011-2010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887" w:type="dxa"/>
            <w:vAlign w:val="center"/>
          </w:tcPr>
          <w:p>
            <w:pPr>
              <w:pStyle w:val="181"/>
              <w:adjustRightInd/>
              <w:spacing w:before="0" w:after="0" w:line="240" w:lineRule="auto"/>
              <w:ind w:firstLine="0" w:firstLineChars="0"/>
              <w:jc w:val="center"/>
              <w:rPr>
                <w:rFonts w:hint="eastAsia" w:ascii="宋体" w:hAnsi="宋体" w:eastAsia="宋体"/>
                <w:color w:val="auto"/>
                <w:sz w:val="21"/>
                <w:szCs w:val="21"/>
                <w:lang w:val="en-US" w:eastAsia="zh-CN" w:bidi="ar"/>
              </w:rPr>
            </w:pPr>
            <w:r>
              <w:rPr>
                <w:rFonts w:hint="eastAsia" w:ascii="宋体" w:hAnsi="宋体" w:eastAsia="宋体"/>
                <w:color w:val="auto"/>
                <w:sz w:val="21"/>
                <w:szCs w:val="21"/>
                <w:lang w:val="en-US" w:eastAsia="zh-CN" w:bidi="ar"/>
              </w:rPr>
              <w:t>7</w:t>
            </w:r>
          </w:p>
        </w:tc>
        <w:tc>
          <w:tcPr>
            <w:tcW w:w="4200" w:type="dxa"/>
            <w:vAlign w:val="center"/>
          </w:tcPr>
          <w:p>
            <w:pPr>
              <w:pStyle w:val="181"/>
              <w:adjustRightInd/>
              <w:spacing w:before="0" w:after="0" w:line="240" w:lineRule="auto"/>
              <w:ind w:firstLine="0" w:firstLineChars="0"/>
              <w:jc w:val="both"/>
              <w:rPr>
                <w:rFonts w:ascii="宋体" w:hAnsi="宋体" w:eastAsia="宋体" w:cs="Times New Roman"/>
                <w:color w:val="auto"/>
                <w:kern w:val="0"/>
                <w:sz w:val="21"/>
                <w:szCs w:val="21"/>
                <w:lang w:val="en-US" w:eastAsia="zh-CN" w:bidi="ar-SA"/>
              </w:rPr>
            </w:pPr>
            <w:r>
              <w:rPr>
                <w:rFonts w:hint="eastAsia" w:ascii="宋体" w:hAnsi="宋体" w:eastAsia="宋体"/>
                <w:color w:val="auto"/>
                <w:sz w:val="21"/>
                <w:szCs w:val="21"/>
                <w:lang w:bidi="ar"/>
              </w:rPr>
              <w:t>《建筑地基基础设计规范》</w:t>
            </w:r>
          </w:p>
        </w:tc>
        <w:tc>
          <w:tcPr>
            <w:tcW w:w="4200" w:type="dxa"/>
            <w:vAlign w:val="center"/>
          </w:tcPr>
          <w:p>
            <w:pPr>
              <w:pStyle w:val="181"/>
              <w:adjustRightInd/>
              <w:spacing w:before="0" w:after="0" w:line="240" w:lineRule="auto"/>
              <w:ind w:firstLine="0" w:firstLineChars="0"/>
              <w:jc w:val="both"/>
              <w:rPr>
                <w:rFonts w:hAnsi="宋体"/>
                <w:color w:val="auto"/>
                <w:sz w:val="21"/>
                <w:szCs w:val="21"/>
              </w:rPr>
            </w:pPr>
            <w:r>
              <w:rPr>
                <w:rFonts w:hint="eastAsia" w:ascii="宋体" w:hAnsi="宋体" w:eastAsia="宋体"/>
                <w:color w:val="auto"/>
                <w:sz w:val="21"/>
                <w:szCs w:val="21"/>
                <w:lang w:bidi="ar"/>
              </w:rPr>
              <w:t>GB 50007-2011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887" w:type="dxa"/>
            <w:vAlign w:val="center"/>
          </w:tcPr>
          <w:p>
            <w:pPr>
              <w:pStyle w:val="181"/>
              <w:adjustRightInd/>
              <w:spacing w:before="0" w:after="0" w:line="240" w:lineRule="auto"/>
              <w:ind w:firstLine="0" w:firstLineChars="0"/>
              <w:jc w:val="center"/>
              <w:rPr>
                <w:rFonts w:hint="eastAsia" w:ascii="宋体" w:hAnsi="宋体" w:eastAsia="宋体"/>
                <w:color w:val="auto"/>
                <w:sz w:val="21"/>
                <w:szCs w:val="21"/>
                <w:lang w:val="en-US" w:eastAsia="zh-CN" w:bidi="ar"/>
              </w:rPr>
            </w:pPr>
            <w:r>
              <w:rPr>
                <w:rFonts w:hint="eastAsia" w:ascii="宋体" w:hAnsi="宋体" w:eastAsia="宋体"/>
                <w:color w:val="auto"/>
                <w:sz w:val="21"/>
                <w:szCs w:val="21"/>
                <w:lang w:val="en-US" w:eastAsia="zh-CN" w:bidi="ar"/>
              </w:rPr>
              <w:t>8</w:t>
            </w:r>
          </w:p>
        </w:tc>
        <w:tc>
          <w:tcPr>
            <w:tcW w:w="4200" w:type="dxa"/>
            <w:vAlign w:val="center"/>
          </w:tcPr>
          <w:p>
            <w:pPr>
              <w:pStyle w:val="181"/>
              <w:adjustRightInd/>
              <w:spacing w:before="0" w:after="0" w:line="240" w:lineRule="auto"/>
              <w:ind w:firstLine="0" w:firstLineChars="0"/>
              <w:jc w:val="both"/>
              <w:rPr>
                <w:rFonts w:ascii="宋体" w:hAnsi="宋体" w:eastAsia="宋体" w:cs="Times New Roman"/>
                <w:color w:val="auto"/>
                <w:kern w:val="0"/>
                <w:sz w:val="21"/>
                <w:szCs w:val="21"/>
                <w:lang w:val="en-US" w:eastAsia="zh-CN" w:bidi="ar-SA"/>
              </w:rPr>
            </w:pPr>
            <w:r>
              <w:rPr>
                <w:rFonts w:hint="eastAsia" w:ascii="宋体" w:hAnsi="宋体" w:eastAsia="宋体"/>
                <w:color w:val="auto"/>
                <w:sz w:val="21"/>
                <w:szCs w:val="21"/>
                <w:lang w:bidi="ar"/>
              </w:rPr>
              <w:t>《混凝土结构设计规范》（2015年版）</w:t>
            </w:r>
          </w:p>
        </w:tc>
        <w:tc>
          <w:tcPr>
            <w:tcW w:w="4200" w:type="dxa"/>
            <w:vAlign w:val="center"/>
          </w:tcPr>
          <w:p>
            <w:pPr>
              <w:pStyle w:val="181"/>
              <w:adjustRightInd/>
              <w:spacing w:before="0" w:after="0" w:line="240" w:lineRule="auto"/>
              <w:ind w:firstLine="0" w:firstLineChars="0"/>
              <w:jc w:val="both"/>
              <w:rPr>
                <w:rFonts w:hAnsi="宋体"/>
                <w:color w:val="auto"/>
                <w:sz w:val="21"/>
                <w:szCs w:val="21"/>
              </w:rPr>
            </w:pPr>
            <w:r>
              <w:rPr>
                <w:rFonts w:hint="eastAsia" w:ascii="宋体" w:hAnsi="宋体" w:eastAsia="宋体"/>
                <w:color w:val="auto"/>
                <w:sz w:val="21"/>
                <w:szCs w:val="21"/>
                <w:lang w:bidi="ar"/>
              </w:rPr>
              <w:t>GB 50010-2010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887" w:type="dxa"/>
            <w:vAlign w:val="center"/>
          </w:tcPr>
          <w:p>
            <w:pPr>
              <w:pStyle w:val="181"/>
              <w:adjustRightInd/>
              <w:spacing w:before="0" w:after="0" w:line="240" w:lineRule="auto"/>
              <w:ind w:firstLine="0" w:firstLineChars="0"/>
              <w:jc w:val="center"/>
              <w:rPr>
                <w:rFonts w:hint="eastAsia" w:ascii="宋体" w:hAnsi="宋体" w:eastAsia="宋体"/>
                <w:color w:val="auto"/>
                <w:sz w:val="21"/>
                <w:szCs w:val="21"/>
                <w:lang w:val="en-US" w:eastAsia="zh-CN" w:bidi="ar"/>
              </w:rPr>
            </w:pPr>
            <w:r>
              <w:rPr>
                <w:rFonts w:hint="eastAsia" w:ascii="宋体" w:hAnsi="宋体" w:eastAsia="宋体"/>
                <w:color w:val="auto"/>
                <w:sz w:val="21"/>
                <w:szCs w:val="21"/>
                <w:lang w:val="en-US" w:eastAsia="zh-CN" w:bidi="ar"/>
              </w:rPr>
              <w:t>9</w:t>
            </w:r>
          </w:p>
        </w:tc>
        <w:tc>
          <w:tcPr>
            <w:tcW w:w="4200" w:type="dxa"/>
            <w:vAlign w:val="center"/>
          </w:tcPr>
          <w:p>
            <w:pPr>
              <w:pStyle w:val="181"/>
              <w:adjustRightInd/>
              <w:spacing w:before="0" w:after="0" w:line="240" w:lineRule="auto"/>
              <w:ind w:firstLine="0" w:firstLineChars="0"/>
              <w:jc w:val="both"/>
              <w:rPr>
                <w:rFonts w:ascii="宋体" w:hAnsi="宋体" w:eastAsia="宋体" w:cs="Times New Roman"/>
                <w:color w:val="auto"/>
                <w:kern w:val="0"/>
                <w:sz w:val="21"/>
                <w:szCs w:val="21"/>
                <w:lang w:val="en-US" w:eastAsia="zh-CN" w:bidi="ar-SA"/>
              </w:rPr>
            </w:pPr>
            <w:r>
              <w:rPr>
                <w:rFonts w:hint="eastAsia" w:ascii="宋体" w:hAnsi="宋体" w:eastAsia="宋体"/>
                <w:color w:val="auto"/>
                <w:sz w:val="21"/>
                <w:szCs w:val="21"/>
                <w:lang w:bidi="ar"/>
              </w:rPr>
              <w:t>《构筑物抗震设计规范》</w:t>
            </w:r>
          </w:p>
        </w:tc>
        <w:tc>
          <w:tcPr>
            <w:tcW w:w="4200" w:type="dxa"/>
            <w:vAlign w:val="center"/>
          </w:tcPr>
          <w:p>
            <w:pPr>
              <w:pStyle w:val="181"/>
              <w:adjustRightInd/>
              <w:spacing w:before="0" w:after="0" w:line="240" w:lineRule="auto"/>
              <w:ind w:firstLine="0" w:firstLineChars="0"/>
              <w:jc w:val="both"/>
              <w:rPr>
                <w:rFonts w:hAnsi="宋体"/>
                <w:color w:val="auto"/>
                <w:sz w:val="21"/>
                <w:szCs w:val="21"/>
              </w:rPr>
            </w:pPr>
            <w:r>
              <w:rPr>
                <w:rFonts w:hint="eastAsia" w:ascii="宋体" w:hAnsi="宋体" w:eastAsia="宋体"/>
                <w:color w:val="auto"/>
                <w:sz w:val="21"/>
                <w:szCs w:val="21"/>
                <w:lang w:bidi="ar"/>
              </w:rPr>
              <w:t>GB 50191-2012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887" w:type="dxa"/>
            <w:vAlign w:val="center"/>
          </w:tcPr>
          <w:p>
            <w:pPr>
              <w:pStyle w:val="181"/>
              <w:adjustRightInd/>
              <w:spacing w:before="0" w:after="0" w:line="240" w:lineRule="auto"/>
              <w:ind w:firstLine="0" w:firstLineChars="0"/>
              <w:jc w:val="center"/>
              <w:rPr>
                <w:rFonts w:hint="default" w:ascii="宋体" w:hAnsi="宋体" w:eastAsia="宋体"/>
                <w:color w:val="auto"/>
                <w:sz w:val="21"/>
                <w:szCs w:val="21"/>
                <w:lang w:val="en-US" w:eastAsia="zh-CN" w:bidi="ar"/>
              </w:rPr>
            </w:pPr>
            <w:r>
              <w:rPr>
                <w:rFonts w:hint="eastAsia" w:ascii="宋体" w:hAnsi="宋体" w:eastAsia="宋体"/>
                <w:color w:val="auto"/>
                <w:sz w:val="21"/>
                <w:szCs w:val="21"/>
                <w:lang w:val="en-US" w:eastAsia="zh-CN" w:bidi="ar"/>
              </w:rPr>
              <w:t>10</w:t>
            </w:r>
          </w:p>
        </w:tc>
        <w:tc>
          <w:tcPr>
            <w:tcW w:w="4200" w:type="dxa"/>
            <w:vAlign w:val="center"/>
          </w:tcPr>
          <w:p>
            <w:pPr>
              <w:pStyle w:val="181"/>
              <w:adjustRightInd/>
              <w:spacing w:before="0" w:after="0" w:line="240" w:lineRule="auto"/>
              <w:ind w:firstLine="0" w:firstLineChars="0"/>
              <w:jc w:val="both"/>
              <w:rPr>
                <w:rFonts w:ascii="宋体" w:hAnsi="宋体" w:eastAsia="宋体" w:cs="Times New Roman"/>
                <w:color w:val="auto"/>
                <w:kern w:val="0"/>
                <w:sz w:val="21"/>
                <w:szCs w:val="21"/>
                <w:lang w:val="en-US" w:eastAsia="zh-CN" w:bidi="ar-SA"/>
              </w:rPr>
            </w:pPr>
            <w:r>
              <w:rPr>
                <w:rFonts w:hint="eastAsia" w:ascii="宋体" w:hAnsi="宋体" w:eastAsia="宋体"/>
                <w:color w:val="auto"/>
                <w:sz w:val="21"/>
                <w:szCs w:val="21"/>
                <w:lang w:bidi="ar"/>
              </w:rPr>
              <w:t>《钢结构设计标准》</w:t>
            </w:r>
          </w:p>
        </w:tc>
        <w:tc>
          <w:tcPr>
            <w:tcW w:w="4200" w:type="dxa"/>
            <w:vAlign w:val="center"/>
          </w:tcPr>
          <w:p>
            <w:pPr>
              <w:pStyle w:val="181"/>
              <w:adjustRightInd/>
              <w:spacing w:before="0" w:after="0" w:line="240" w:lineRule="auto"/>
              <w:ind w:firstLine="0" w:firstLineChars="0"/>
              <w:jc w:val="both"/>
              <w:rPr>
                <w:rFonts w:hAnsi="宋体"/>
                <w:color w:val="auto"/>
                <w:sz w:val="21"/>
                <w:szCs w:val="21"/>
              </w:rPr>
            </w:pPr>
            <w:r>
              <w:rPr>
                <w:rFonts w:hint="eastAsia" w:ascii="宋体" w:hAnsi="宋体" w:eastAsia="宋体"/>
                <w:color w:val="auto"/>
                <w:sz w:val="21"/>
                <w:szCs w:val="21"/>
                <w:lang w:bidi="ar"/>
              </w:rPr>
              <w:t>GB 50017-2017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887" w:type="dxa"/>
            <w:vAlign w:val="center"/>
          </w:tcPr>
          <w:p>
            <w:pPr>
              <w:pStyle w:val="181"/>
              <w:adjustRightInd/>
              <w:spacing w:before="0" w:after="0" w:line="240" w:lineRule="auto"/>
              <w:ind w:firstLine="0" w:firstLineChars="0"/>
              <w:jc w:val="center"/>
              <w:rPr>
                <w:rFonts w:hint="default" w:ascii="宋体" w:hAnsi="宋体" w:eastAsia="宋体"/>
                <w:color w:val="auto"/>
                <w:sz w:val="21"/>
                <w:szCs w:val="21"/>
                <w:lang w:val="en-US" w:eastAsia="zh-CN" w:bidi="ar"/>
              </w:rPr>
            </w:pPr>
            <w:r>
              <w:rPr>
                <w:rFonts w:hint="eastAsia" w:ascii="宋体" w:hAnsi="宋体" w:eastAsia="宋体"/>
                <w:color w:val="auto"/>
                <w:sz w:val="21"/>
                <w:szCs w:val="21"/>
                <w:lang w:val="en-US" w:eastAsia="zh-CN" w:bidi="ar"/>
              </w:rPr>
              <w:t>11</w:t>
            </w:r>
          </w:p>
        </w:tc>
        <w:tc>
          <w:tcPr>
            <w:tcW w:w="4200" w:type="dxa"/>
            <w:vAlign w:val="center"/>
          </w:tcPr>
          <w:p>
            <w:pPr>
              <w:pStyle w:val="181"/>
              <w:adjustRightInd/>
              <w:spacing w:before="0" w:after="0" w:line="240" w:lineRule="auto"/>
              <w:ind w:firstLine="0" w:firstLineChars="0"/>
              <w:jc w:val="both"/>
              <w:rPr>
                <w:rFonts w:ascii="宋体" w:hAnsi="宋体" w:eastAsia="宋体" w:cs="Times New Roman"/>
                <w:color w:val="auto"/>
                <w:kern w:val="0"/>
                <w:sz w:val="21"/>
                <w:szCs w:val="21"/>
                <w:lang w:val="en-US" w:eastAsia="zh-CN" w:bidi="ar-SA"/>
              </w:rPr>
            </w:pPr>
            <w:r>
              <w:rPr>
                <w:rFonts w:hint="eastAsia" w:ascii="宋体" w:hAnsi="宋体" w:eastAsia="宋体"/>
                <w:color w:val="auto"/>
                <w:sz w:val="21"/>
                <w:szCs w:val="21"/>
                <w:lang w:bidi="ar"/>
              </w:rPr>
              <w:t>《建筑结构可靠性设计统一标准》</w:t>
            </w:r>
          </w:p>
        </w:tc>
        <w:tc>
          <w:tcPr>
            <w:tcW w:w="4200" w:type="dxa"/>
            <w:vAlign w:val="center"/>
          </w:tcPr>
          <w:p>
            <w:pPr>
              <w:pStyle w:val="181"/>
              <w:adjustRightInd/>
              <w:spacing w:before="0" w:after="0" w:line="240" w:lineRule="auto"/>
              <w:ind w:firstLine="0" w:firstLineChars="0"/>
              <w:jc w:val="both"/>
              <w:rPr>
                <w:rFonts w:hAnsi="宋体"/>
                <w:color w:val="auto"/>
                <w:sz w:val="21"/>
                <w:szCs w:val="21"/>
              </w:rPr>
            </w:pPr>
            <w:r>
              <w:rPr>
                <w:rFonts w:hint="eastAsia" w:ascii="宋体" w:hAnsi="宋体" w:eastAsia="宋体"/>
                <w:color w:val="auto"/>
                <w:sz w:val="21"/>
                <w:szCs w:val="21"/>
                <w:lang w:bidi="ar"/>
              </w:rPr>
              <w:t>GB 50068-2018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887" w:type="dxa"/>
            <w:vAlign w:val="center"/>
          </w:tcPr>
          <w:p>
            <w:pPr>
              <w:pStyle w:val="181"/>
              <w:adjustRightInd/>
              <w:spacing w:before="0" w:after="0" w:line="240" w:lineRule="auto"/>
              <w:ind w:firstLine="0" w:firstLineChars="0"/>
              <w:jc w:val="center"/>
              <w:rPr>
                <w:rFonts w:hint="default" w:ascii="宋体" w:hAnsi="宋体" w:eastAsia="宋体"/>
                <w:color w:val="auto"/>
                <w:sz w:val="21"/>
                <w:szCs w:val="21"/>
                <w:lang w:val="en-US" w:eastAsia="zh-CN" w:bidi="ar"/>
              </w:rPr>
            </w:pPr>
            <w:r>
              <w:rPr>
                <w:rFonts w:hint="eastAsia" w:ascii="宋体" w:hAnsi="宋体" w:eastAsia="宋体"/>
                <w:color w:val="auto"/>
                <w:sz w:val="21"/>
                <w:szCs w:val="21"/>
                <w:lang w:val="en-US" w:eastAsia="zh-CN" w:bidi="ar"/>
              </w:rPr>
              <w:t>12</w:t>
            </w:r>
          </w:p>
        </w:tc>
        <w:tc>
          <w:tcPr>
            <w:tcW w:w="4200" w:type="dxa"/>
            <w:vAlign w:val="center"/>
          </w:tcPr>
          <w:p>
            <w:pPr>
              <w:pStyle w:val="181"/>
              <w:adjustRightInd/>
              <w:spacing w:before="0" w:after="0" w:line="240" w:lineRule="auto"/>
              <w:ind w:firstLine="0" w:firstLineChars="0"/>
              <w:jc w:val="both"/>
              <w:rPr>
                <w:rFonts w:ascii="宋体" w:hAnsi="宋体" w:eastAsia="宋体" w:cs="Times New Roman"/>
                <w:color w:val="auto"/>
                <w:kern w:val="0"/>
                <w:sz w:val="21"/>
                <w:szCs w:val="21"/>
                <w:lang w:val="en-US" w:eastAsia="zh-CN" w:bidi="ar-SA"/>
              </w:rPr>
            </w:pPr>
            <w:r>
              <w:rPr>
                <w:rFonts w:hint="eastAsia" w:ascii="宋体" w:hAnsi="宋体" w:eastAsia="宋体"/>
                <w:color w:val="auto"/>
                <w:sz w:val="21"/>
                <w:szCs w:val="21"/>
                <w:lang w:bidi="ar"/>
              </w:rPr>
              <w:t>《建筑工程抗震设防分类标准》</w:t>
            </w:r>
          </w:p>
        </w:tc>
        <w:tc>
          <w:tcPr>
            <w:tcW w:w="4200" w:type="dxa"/>
            <w:vAlign w:val="center"/>
          </w:tcPr>
          <w:p>
            <w:pPr>
              <w:pStyle w:val="181"/>
              <w:adjustRightInd/>
              <w:spacing w:before="0" w:after="0" w:line="240" w:lineRule="auto"/>
              <w:ind w:firstLine="0" w:firstLineChars="0"/>
              <w:jc w:val="both"/>
              <w:rPr>
                <w:rFonts w:hAnsi="宋体"/>
                <w:color w:val="auto"/>
                <w:sz w:val="21"/>
                <w:szCs w:val="21"/>
              </w:rPr>
            </w:pPr>
            <w:r>
              <w:rPr>
                <w:rFonts w:hint="eastAsia" w:ascii="宋体" w:hAnsi="宋体" w:eastAsia="宋体"/>
                <w:color w:val="auto"/>
                <w:sz w:val="21"/>
                <w:szCs w:val="21"/>
                <w:lang w:bidi="ar"/>
              </w:rPr>
              <w:t>GB 50223-2008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887" w:type="dxa"/>
            <w:vAlign w:val="center"/>
          </w:tcPr>
          <w:p>
            <w:pPr>
              <w:pStyle w:val="181"/>
              <w:adjustRightInd/>
              <w:spacing w:before="0" w:after="0" w:line="240" w:lineRule="auto"/>
              <w:ind w:firstLine="0" w:firstLineChars="0"/>
              <w:jc w:val="center"/>
              <w:rPr>
                <w:rFonts w:hint="default" w:ascii="宋体" w:hAnsi="宋体" w:eastAsia="宋体"/>
                <w:color w:val="auto"/>
                <w:sz w:val="21"/>
                <w:szCs w:val="21"/>
                <w:lang w:val="en-US" w:eastAsia="zh-CN" w:bidi="ar"/>
              </w:rPr>
            </w:pPr>
            <w:r>
              <w:rPr>
                <w:rFonts w:hint="eastAsia" w:ascii="宋体" w:hAnsi="宋体" w:eastAsia="宋体"/>
                <w:color w:val="auto"/>
                <w:sz w:val="21"/>
                <w:szCs w:val="21"/>
                <w:lang w:val="en-US" w:eastAsia="zh-CN" w:bidi="ar"/>
              </w:rPr>
              <w:t>13</w:t>
            </w:r>
          </w:p>
        </w:tc>
        <w:tc>
          <w:tcPr>
            <w:tcW w:w="4200" w:type="dxa"/>
            <w:vAlign w:val="center"/>
          </w:tcPr>
          <w:p>
            <w:pPr>
              <w:pStyle w:val="181"/>
              <w:adjustRightInd/>
              <w:spacing w:before="0" w:after="0" w:line="240" w:lineRule="auto"/>
              <w:ind w:firstLine="0" w:firstLineChars="0"/>
              <w:jc w:val="both"/>
              <w:rPr>
                <w:rFonts w:ascii="宋体" w:hAnsi="宋体" w:eastAsia="宋体" w:cs="Times New Roman"/>
                <w:color w:val="auto"/>
                <w:kern w:val="0"/>
                <w:sz w:val="21"/>
                <w:szCs w:val="21"/>
                <w:lang w:val="en-US" w:eastAsia="zh-CN" w:bidi="ar-SA"/>
              </w:rPr>
            </w:pPr>
            <w:r>
              <w:rPr>
                <w:rFonts w:hint="eastAsia" w:ascii="宋体" w:hAnsi="宋体" w:eastAsia="宋体"/>
                <w:color w:val="auto"/>
                <w:sz w:val="21"/>
                <w:szCs w:val="21"/>
                <w:lang w:bidi="ar"/>
              </w:rPr>
              <w:t>《建筑与市政地基基础通用规范》</w:t>
            </w:r>
          </w:p>
        </w:tc>
        <w:tc>
          <w:tcPr>
            <w:tcW w:w="4200" w:type="dxa"/>
            <w:vAlign w:val="center"/>
          </w:tcPr>
          <w:p>
            <w:pPr>
              <w:pStyle w:val="181"/>
              <w:adjustRightInd/>
              <w:spacing w:before="0" w:after="0" w:line="240" w:lineRule="auto"/>
              <w:ind w:firstLine="0" w:firstLineChars="0"/>
              <w:jc w:val="both"/>
              <w:rPr>
                <w:rFonts w:hAnsi="宋体"/>
                <w:color w:val="auto"/>
                <w:sz w:val="21"/>
                <w:szCs w:val="21"/>
              </w:rPr>
            </w:pPr>
            <w:r>
              <w:rPr>
                <w:rFonts w:hint="eastAsia" w:ascii="宋体" w:hAnsi="宋体" w:eastAsia="宋体"/>
                <w:color w:val="auto"/>
                <w:sz w:val="21"/>
                <w:szCs w:val="21"/>
                <w:lang w:bidi="ar"/>
              </w:rPr>
              <w:t>GB 55003-2021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887" w:type="dxa"/>
            <w:vAlign w:val="center"/>
          </w:tcPr>
          <w:p>
            <w:pPr>
              <w:pStyle w:val="181"/>
              <w:adjustRightInd/>
              <w:spacing w:before="0" w:after="0" w:line="240" w:lineRule="auto"/>
              <w:ind w:firstLine="0" w:firstLineChars="0"/>
              <w:jc w:val="center"/>
              <w:rPr>
                <w:rFonts w:hint="default" w:ascii="宋体" w:hAnsi="宋体" w:eastAsia="宋体"/>
                <w:color w:val="auto"/>
                <w:sz w:val="21"/>
                <w:szCs w:val="21"/>
                <w:lang w:val="en-US" w:eastAsia="zh-CN" w:bidi="ar"/>
              </w:rPr>
            </w:pPr>
            <w:r>
              <w:rPr>
                <w:rFonts w:hint="eastAsia" w:ascii="宋体" w:hAnsi="宋体" w:eastAsia="宋体"/>
                <w:color w:val="auto"/>
                <w:sz w:val="21"/>
                <w:szCs w:val="21"/>
                <w:lang w:val="en-US" w:eastAsia="zh-CN" w:bidi="ar"/>
              </w:rPr>
              <w:t>14</w:t>
            </w:r>
          </w:p>
        </w:tc>
        <w:tc>
          <w:tcPr>
            <w:tcW w:w="4200" w:type="dxa"/>
            <w:vAlign w:val="center"/>
          </w:tcPr>
          <w:p>
            <w:pPr>
              <w:pStyle w:val="181"/>
              <w:adjustRightInd/>
              <w:spacing w:before="0" w:after="0" w:line="240" w:lineRule="auto"/>
              <w:ind w:firstLine="0" w:firstLineChars="0"/>
              <w:jc w:val="both"/>
              <w:rPr>
                <w:rFonts w:ascii="宋体" w:hAnsi="宋体" w:eastAsia="宋体" w:cs="Times New Roman"/>
                <w:color w:val="auto"/>
                <w:kern w:val="0"/>
                <w:sz w:val="21"/>
                <w:szCs w:val="21"/>
                <w:lang w:val="en-US" w:eastAsia="zh-CN" w:bidi="ar-SA"/>
              </w:rPr>
            </w:pPr>
            <w:r>
              <w:rPr>
                <w:rFonts w:hint="eastAsia" w:ascii="宋体" w:hAnsi="宋体" w:eastAsia="宋体"/>
                <w:color w:val="auto"/>
                <w:sz w:val="21"/>
                <w:szCs w:val="21"/>
                <w:lang w:bidi="ar"/>
              </w:rPr>
              <w:t>《工业建筑防腐蚀设计标准》</w:t>
            </w:r>
          </w:p>
        </w:tc>
        <w:tc>
          <w:tcPr>
            <w:tcW w:w="4200" w:type="dxa"/>
            <w:vAlign w:val="center"/>
          </w:tcPr>
          <w:p>
            <w:pPr>
              <w:pStyle w:val="181"/>
              <w:adjustRightInd/>
              <w:spacing w:before="0" w:after="0" w:line="240" w:lineRule="auto"/>
              <w:ind w:firstLine="0" w:firstLineChars="0"/>
              <w:jc w:val="both"/>
              <w:rPr>
                <w:rFonts w:hAnsi="宋体"/>
                <w:color w:val="auto"/>
                <w:sz w:val="21"/>
                <w:szCs w:val="21"/>
              </w:rPr>
            </w:pPr>
            <w:r>
              <w:rPr>
                <w:rFonts w:hint="eastAsia" w:ascii="宋体" w:hAnsi="宋体" w:eastAsia="宋体"/>
                <w:color w:val="auto"/>
                <w:sz w:val="21"/>
                <w:szCs w:val="21"/>
                <w:lang w:bidi="ar"/>
              </w:rPr>
              <w:t>GB/T 50046-2018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887" w:type="dxa"/>
            <w:vAlign w:val="center"/>
          </w:tcPr>
          <w:p>
            <w:pPr>
              <w:pStyle w:val="181"/>
              <w:adjustRightInd/>
              <w:spacing w:before="0" w:after="0" w:line="240" w:lineRule="auto"/>
              <w:ind w:firstLine="0" w:firstLineChars="0"/>
              <w:jc w:val="center"/>
              <w:rPr>
                <w:rFonts w:hint="default" w:ascii="宋体" w:hAnsi="宋体" w:eastAsia="宋体"/>
                <w:color w:val="auto"/>
                <w:sz w:val="21"/>
                <w:szCs w:val="21"/>
                <w:lang w:val="en-US" w:eastAsia="zh-CN" w:bidi="ar"/>
              </w:rPr>
            </w:pPr>
            <w:r>
              <w:rPr>
                <w:rFonts w:hint="eastAsia" w:ascii="宋体" w:hAnsi="宋体" w:eastAsia="宋体"/>
                <w:color w:val="auto"/>
                <w:sz w:val="21"/>
                <w:szCs w:val="21"/>
                <w:lang w:val="en-US" w:eastAsia="zh-CN" w:bidi="ar"/>
              </w:rPr>
              <w:t>15</w:t>
            </w:r>
          </w:p>
        </w:tc>
        <w:tc>
          <w:tcPr>
            <w:tcW w:w="4200" w:type="dxa"/>
            <w:vAlign w:val="center"/>
          </w:tcPr>
          <w:p>
            <w:pPr>
              <w:pStyle w:val="181"/>
              <w:adjustRightInd/>
              <w:spacing w:before="0" w:after="0" w:line="240" w:lineRule="auto"/>
              <w:ind w:firstLine="0" w:firstLineChars="0"/>
              <w:jc w:val="both"/>
              <w:rPr>
                <w:rFonts w:ascii="宋体" w:hAnsi="宋体" w:eastAsia="宋体" w:cs="Times New Roman"/>
                <w:color w:val="auto"/>
                <w:kern w:val="0"/>
                <w:sz w:val="21"/>
                <w:szCs w:val="21"/>
                <w:lang w:val="en-US" w:eastAsia="zh-CN" w:bidi="ar-SA"/>
              </w:rPr>
            </w:pPr>
            <w:r>
              <w:rPr>
                <w:rFonts w:hint="eastAsia" w:ascii="宋体" w:hAnsi="宋体" w:eastAsia="宋体"/>
                <w:color w:val="auto"/>
                <w:sz w:val="21"/>
                <w:szCs w:val="21"/>
                <w:lang w:bidi="ar"/>
              </w:rPr>
              <w:t>《混凝土结构通用规范》</w:t>
            </w:r>
          </w:p>
        </w:tc>
        <w:tc>
          <w:tcPr>
            <w:tcW w:w="4200" w:type="dxa"/>
            <w:vAlign w:val="center"/>
          </w:tcPr>
          <w:p>
            <w:pPr>
              <w:pStyle w:val="181"/>
              <w:adjustRightInd/>
              <w:spacing w:before="0" w:after="0" w:line="240" w:lineRule="auto"/>
              <w:ind w:firstLine="0" w:firstLineChars="0"/>
              <w:jc w:val="both"/>
              <w:rPr>
                <w:rFonts w:hAnsi="宋体"/>
                <w:color w:val="auto"/>
                <w:sz w:val="21"/>
                <w:szCs w:val="21"/>
              </w:rPr>
            </w:pPr>
            <w:r>
              <w:rPr>
                <w:rFonts w:hint="eastAsia" w:ascii="宋体" w:hAnsi="宋体" w:eastAsia="宋体"/>
                <w:color w:val="auto"/>
                <w:sz w:val="21"/>
                <w:szCs w:val="21"/>
                <w:lang w:bidi="ar"/>
              </w:rPr>
              <w:t>GB 55008-2021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887" w:type="dxa"/>
            <w:vAlign w:val="center"/>
          </w:tcPr>
          <w:p>
            <w:pPr>
              <w:pStyle w:val="181"/>
              <w:adjustRightInd/>
              <w:spacing w:before="0" w:after="0" w:line="240" w:lineRule="auto"/>
              <w:ind w:firstLine="0" w:firstLineChars="0"/>
              <w:jc w:val="center"/>
              <w:rPr>
                <w:rFonts w:hint="default" w:ascii="宋体" w:hAnsi="宋体" w:eastAsia="宋体"/>
                <w:color w:val="auto"/>
                <w:sz w:val="21"/>
                <w:szCs w:val="21"/>
                <w:lang w:val="en-US" w:eastAsia="zh-CN" w:bidi="ar"/>
              </w:rPr>
            </w:pPr>
            <w:r>
              <w:rPr>
                <w:rFonts w:hint="eastAsia" w:ascii="宋体" w:hAnsi="宋体" w:eastAsia="宋体"/>
                <w:color w:val="auto"/>
                <w:sz w:val="21"/>
                <w:szCs w:val="21"/>
                <w:lang w:val="en-US" w:eastAsia="zh-CN" w:bidi="ar"/>
              </w:rPr>
              <w:t>16</w:t>
            </w:r>
          </w:p>
        </w:tc>
        <w:tc>
          <w:tcPr>
            <w:tcW w:w="4200" w:type="dxa"/>
            <w:vAlign w:val="center"/>
          </w:tcPr>
          <w:p>
            <w:pPr>
              <w:pStyle w:val="181"/>
              <w:adjustRightInd/>
              <w:spacing w:before="0" w:after="0" w:line="240" w:lineRule="auto"/>
              <w:ind w:firstLine="0" w:firstLineChars="0"/>
              <w:jc w:val="both"/>
              <w:rPr>
                <w:rFonts w:ascii="宋体" w:hAnsi="宋体" w:eastAsia="宋体" w:cs="Times New Roman"/>
                <w:color w:val="auto"/>
                <w:kern w:val="0"/>
                <w:sz w:val="21"/>
                <w:szCs w:val="21"/>
                <w:lang w:val="en-US" w:eastAsia="zh-CN" w:bidi="ar-SA"/>
              </w:rPr>
            </w:pPr>
            <w:r>
              <w:rPr>
                <w:rFonts w:hint="eastAsia" w:ascii="宋体" w:hAnsi="宋体" w:eastAsia="宋体"/>
                <w:color w:val="auto"/>
                <w:sz w:val="21"/>
                <w:szCs w:val="21"/>
                <w:lang w:bidi="ar"/>
              </w:rPr>
              <w:t>《空间网格结构技术规程》</w:t>
            </w:r>
          </w:p>
        </w:tc>
        <w:tc>
          <w:tcPr>
            <w:tcW w:w="4200" w:type="dxa"/>
            <w:vAlign w:val="center"/>
          </w:tcPr>
          <w:p>
            <w:pPr>
              <w:pStyle w:val="181"/>
              <w:adjustRightInd/>
              <w:spacing w:before="0" w:after="0" w:line="240" w:lineRule="auto"/>
              <w:ind w:firstLine="0" w:firstLineChars="0"/>
              <w:jc w:val="both"/>
              <w:rPr>
                <w:rFonts w:hAnsi="宋体"/>
                <w:color w:val="auto"/>
                <w:sz w:val="21"/>
                <w:szCs w:val="21"/>
              </w:rPr>
            </w:pPr>
            <w:r>
              <w:rPr>
                <w:rFonts w:hint="eastAsia" w:ascii="宋体" w:hAnsi="宋体" w:eastAsia="宋体"/>
                <w:color w:val="auto"/>
                <w:sz w:val="21"/>
                <w:szCs w:val="21"/>
                <w:lang w:bidi="ar"/>
              </w:rPr>
              <w:t>JGJ7-2010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887" w:type="dxa"/>
            <w:vAlign w:val="center"/>
          </w:tcPr>
          <w:p>
            <w:pPr>
              <w:pStyle w:val="181"/>
              <w:adjustRightInd/>
              <w:spacing w:before="0" w:after="0" w:line="240" w:lineRule="auto"/>
              <w:ind w:firstLine="0" w:firstLineChars="0"/>
              <w:jc w:val="center"/>
              <w:rPr>
                <w:rFonts w:hint="default" w:ascii="宋体" w:hAnsi="宋体" w:eastAsia="宋体"/>
                <w:color w:val="auto"/>
                <w:sz w:val="21"/>
                <w:szCs w:val="21"/>
                <w:lang w:val="en-US" w:eastAsia="zh-CN" w:bidi="ar"/>
              </w:rPr>
            </w:pPr>
            <w:r>
              <w:rPr>
                <w:rFonts w:hint="eastAsia" w:ascii="宋体" w:hAnsi="宋体" w:eastAsia="宋体"/>
                <w:color w:val="auto"/>
                <w:sz w:val="21"/>
                <w:szCs w:val="21"/>
                <w:lang w:val="en-US" w:eastAsia="zh-CN" w:bidi="ar"/>
              </w:rPr>
              <w:t>17</w:t>
            </w:r>
          </w:p>
        </w:tc>
        <w:tc>
          <w:tcPr>
            <w:tcW w:w="4200" w:type="dxa"/>
            <w:vAlign w:val="center"/>
          </w:tcPr>
          <w:p>
            <w:pPr>
              <w:pStyle w:val="181"/>
              <w:adjustRightInd/>
              <w:spacing w:before="0" w:after="0" w:line="240" w:lineRule="auto"/>
              <w:ind w:firstLine="0" w:firstLineChars="0"/>
              <w:jc w:val="both"/>
              <w:rPr>
                <w:rFonts w:ascii="宋体" w:hAnsi="宋体" w:eastAsia="宋体" w:cs="Times New Roman"/>
                <w:color w:val="auto"/>
                <w:kern w:val="0"/>
                <w:sz w:val="21"/>
                <w:szCs w:val="21"/>
                <w:lang w:val="en-US" w:eastAsia="zh-CN" w:bidi="ar-SA"/>
              </w:rPr>
            </w:pPr>
            <w:r>
              <w:rPr>
                <w:rFonts w:hint="eastAsia" w:ascii="宋体" w:hAnsi="宋体" w:eastAsia="宋体"/>
                <w:color w:val="auto"/>
                <w:sz w:val="21"/>
                <w:szCs w:val="21"/>
                <w:lang w:bidi="ar"/>
              </w:rPr>
              <w:t>《建筑与市政工程抗震通用规范》</w:t>
            </w:r>
          </w:p>
        </w:tc>
        <w:tc>
          <w:tcPr>
            <w:tcW w:w="4200" w:type="dxa"/>
            <w:vAlign w:val="center"/>
          </w:tcPr>
          <w:p>
            <w:pPr>
              <w:pStyle w:val="181"/>
              <w:adjustRightInd/>
              <w:spacing w:before="0" w:after="0" w:line="240" w:lineRule="auto"/>
              <w:ind w:firstLine="0" w:firstLineChars="0"/>
              <w:jc w:val="both"/>
              <w:rPr>
                <w:rFonts w:hAnsi="宋体"/>
                <w:color w:val="auto"/>
                <w:sz w:val="21"/>
                <w:szCs w:val="21"/>
              </w:rPr>
            </w:pPr>
            <w:r>
              <w:rPr>
                <w:rFonts w:hint="eastAsia" w:ascii="宋体" w:hAnsi="宋体" w:eastAsia="宋体"/>
                <w:color w:val="auto"/>
                <w:sz w:val="21"/>
                <w:szCs w:val="21"/>
                <w:lang w:bidi="ar"/>
              </w:rPr>
              <w:t>GB 55002-2021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887" w:type="dxa"/>
            <w:vAlign w:val="center"/>
          </w:tcPr>
          <w:p>
            <w:pPr>
              <w:pStyle w:val="181"/>
              <w:adjustRightInd/>
              <w:spacing w:before="0" w:after="0" w:line="240" w:lineRule="auto"/>
              <w:ind w:firstLine="0" w:firstLineChars="0"/>
              <w:jc w:val="center"/>
              <w:rPr>
                <w:rFonts w:hint="default" w:ascii="宋体" w:hAnsi="宋体" w:eastAsia="宋体"/>
                <w:color w:val="auto"/>
                <w:sz w:val="21"/>
                <w:szCs w:val="21"/>
                <w:lang w:val="en-US" w:eastAsia="zh-CN" w:bidi="ar"/>
              </w:rPr>
            </w:pPr>
            <w:r>
              <w:rPr>
                <w:rFonts w:hint="eastAsia" w:ascii="宋体" w:hAnsi="宋体" w:eastAsia="宋体"/>
                <w:color w:val="auto"/>
                <w:sz w:val="21"/>
                <w:szCs w:val="21"/>
                <w:lang w:val="en-US" w:eastAsia="zh-CN" w:bidi="ar"/>
              </w:rPr>
              <w:t>18</w:t>
            </w:r>
          </w:p>
        </w:tc>
        <w:tc>
          <w:tcPr>
            <w:tcW w:w="4200" w:type="dxa"/>
            <w:vAlign w:val="center"/>
          </w:tcPr>
          <w:p>
            <w:pPr>
              <w:pStyle w:val="181"/>
              <w:adjustRightInd/>
              <w:spacing w:before="0" w:after="0" w:line="240" w:lineRule="auto"/>
              <w:ind w:firstLine="0" w:firstLineChars="0"/>
              <w:jc w:val="both"/>
              <w:rPr>
                <w:rFonts w:ascii="宋体" w:hAnsi="宋体" w:eastAsia="宋体" w:cs="Times New Roman"/>
                <w:color w:val="auto"/>
                <w:kern w:val="0"/>
                <w:sz w:val="21"/>
                <w:szCs w:val="21"/>
                <w:lang w:val="en-US" w:eastAsia="zh-CN" w:bidi="ar-SA"/>
              </w:rPr>
            </w:pPr>
            <w:r>
              <w:rPr>
                <w:rFonts w:hint="eastAsia" w:ascii="宋体" w:hAnsi="宋体" w:eastAsia="宋体"/>
                <w:color w:val="auto"/>
                <w:sz w:val="21"/>
                <w:szCs w:val="21"/>
                <w:lang w:bidi="ar"/>
              </w:rPr>
              <w:t>主要采用的标准图：国标及华北地区标准图集</w:t>
            </w:r>
          </w:p>
        </w:tc>
        <w:tc>
          <w:tcPr>
            <w:tcW w:w="4200" w:type="dxa"/>
            <w:vAlign w:val="center"/>
          </w:tcPr>
          <w:p>
            <w:pPr>
              <w:pStyle w:val="181"/>
              <w:adjustRightInd/>
              <w:spacing w:before="0" w:after="0" w:line="240" w:lineRule="auto"/>
              <w:ind w:firstLine="0" w:firstLineChars="0"/>
              <w:jc w:val="both"/>
              <w:rPr>
                <w:rFonts w:hAnsi="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887" w:type="dxa"/>
            <w:vAlign w:val="center"/>
          </w:tcPr>
          <w:p>
            <w:pPr>
              <w:pStyle w:val="181"/>
              <w:adjustRightInd/>
              <w:spacing w:before="0" w:after="0" w:line="240" w:lineRule="auto"/>
              <w:ind w:firstLine="0" w:firstLineChars="0"/>
              <w:jc w:val="center"/>
              <w:rPr>
                <w:rFonts w:hint="default" w:ascii="宋体" w:hAnsi="宋体" w:eastAsia="宋体" w:cs="Times New Roman"/>
                <w:color w:val="auto"/>
                <w:kern w:val="0"/>
                <w:sz w:val="21"/>
                <w:szCs w:val="21"/>
                <w:lang w:val="en-US" w:eastAsia="zh-CN" w:bidi="ar-SA"/>
              </w:rPr>
            </w:pPr>
            <w:r>
              <w:rPr>
                <w:rFonts w:hint="eastAsia" w:hAnsi="宋体" w:cs="Times New Roman"/>
                <w:color w:val="auto"/>
                <w:kern w:val="0"/>
                <w:sz w:val="21"/>
                <w:szCs w:val="21"/>
                <w:lang w:val="en-US" w:eastAsia="zh-CN" w:bidi="ar-SA"/>
              </w:rPr>
              <w:t>二</w:t>
            </w:r>
          </w:p>
        </w:tc>
        <w:tc>
          <w:tcPr>
            <w:tcW w:w="4200" w:type="dxa"/>
            <w:vAlign w:val="center"/>
          </w:tcPr>
          <w:p>
            <w:pPr>
              <w:pStyle w:val="181"/>
              <w:adjustRightInd/>
              <w:spacing w:before="0" w:after="0" w:line="240" w:lineRule="auto"/>
              <w:ind w:firstLine="0" w:firstLineChars="0"/>
              <w:jc w:val="both"/>
              <w:rPr>
                <w:rFonts w:hint="default" w:ascii="宋体" w:hAnsi="宋体" w:eastAsia="宋体" w:cs="Times New Roman"/>
                <w:color w:val="auto"/>
                <w:kern w:val="0"/>
                <w:sz w:val="21"/>
                <w:szCs w:val="21"/>
                <w:lang w:val="en-US" w:eastAsia="zh-CN" w:bidi="ar-SA"/>
              </w:rPr>
            </w:pPr>
            <w:r>
              <w:rPr>
                <w:rFonts w:hint="eastAsia" w:ascii="宋体" w:hAnsi="宋体" w:eastAsia="宋体"/>
                <w:color w:val="auto"/>
                <w:sz w:val="21"/>
                <w:szCs w:val="21"/>
                <w:lang w:val="en-US" w:eastAsia="zh-CN" w:bidi="ar"/>
              </w:rPr>
              <w:t>电气</w:t>
            </w:r>
          </w:p>
        </w:tc>
        <w:tc>
          <w:tcPr>
            <w:tcW w:w="4200" w:type="dxa"/>
            <w:vAlign w:val="center"/>
          </w:tcPr>
          <w:p>
            <w:pPr>
              <w:pStyle w:val="181"/>
              <w:adjustRightInd/>
              <w:spacing w:before="0" w:after="0" w:line="240" w:lineRule="auto"/>
              <w:ind w:firstLine="0" w:firstLineChars="0"/>
              <w:jc w:val="both"/>
              <w:rPr>
                <w:rFonts w:hAnsi="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887" w:type="dxa"/>
            <w:vAlign w:val="center"/>
          </w:tcPr>
          <w:p>
            <w:pPr>
              <w:pStyle w:val="181"/>
              <w:adjustRightInd/>
              <w:spacing w:before="0" w:after="0" w:line="240" w:lineRule="auto"/>
              <w:ind w:firstLine="0" w:firstLineChars="0"/>
              <w:jc w:val="center"/>
              <w:rPr>
                <w:rFonts w:hint="eastAsia" w:ascii="宋体" w:hAnsi="宋体" w:eastAsia="宋体"/>
                <w:color w:val="auto"/>
                <w:sz w:val="21"/>
                <w:szCs w:val="21"/>
                <w:lang w:val="en-US" w:eastAsia="zh-CN" w:bidi="ar"/>
              </w:rPr>
            </w:pPr>
            <w:r>
              <w:rPr>
                <w:rFonts w:hint="eastAsia" w:ascii="宋体" w:hAnsi="宋体" w:eastAsia="宋体"/>
                <w:color w:val="auto"/>
                <w:sz w:val="21"/>
                <w:szCs w:val="21"/>
                <w:lang w:val="en-US" w:eastAsia="zh-CN" w:bidi="ar"/>
              </w:rPr>
              <w:t>1</w:t>
            </w:r>
          </w:p>
        </w:tc>
        <w:tc>
          <w:tcPr>
            <w:tcW w:w="4200" w:type="dxa"/>
            <w:vAlign w:val="center"/>
          </w:tcPr>
          <w:p>
            <w:pPr>
              <w:pStyle w:val="181"/>
              <w:adjustRightInd/>
              <w:spacing w:before="0" w:after="0" w:line="240" w:lineRule="auto"/>
              <w:ind w:firstLine="0" w:firstLineChars="0"/>
              <w:jc w:val="both"/>
              <w:rPr>
                <w:rFonts w:hint="eastAsia" w:ascii="宋体" w:hAnsi="宋体" w:eastAsia="宋体"/>
                <w:color w:val="auto"/>
                <w:sz w:val="21"/>
                <w:szCs w:val="21"/>
                <w:lang w:val="en-US" w:eastAsia="zh-CN" w:bidi="ar"/>
              </w:rPr>
            </w:pPr>
            <w:r>
              <w:rPr>
                <w:rFonts w:hint="eastAsia" w:ascii="宋体" w:hAnsi="宋体" w:eastAsia="宋体"/>
                <w:color w:val="auto"/>
                <w:sz w:val="21"/>
                <w:szCs w:val="21"/>
                <w:lang w:bidi="ar"/>
              </w:rPr>
              <w:t>《建筑设计防火规范》（2018年版）</w:t>
            </w:r>
          </w:p>
        </w:tc>
        <w:tc>
          <w:tcPr>
            <w:tcW w:w="4200" w:type="dxa"/>
            <w:vAlign w:val="center"/>
          </w:tcPr>
          <w:p>
            <w:pPr>
              <w:pStyle w:val="181"/>
              <w:adjustRightInd/>
              <w:spacing w:before="0" w:after="0" w:line="240" w:lineRule="auto"/>
              <w:ind w:firstLine="0" w:firstLineChars="0"/>
              <w:jc w:val="both"/>
              <w:rPr>
                <w:rFonts w:hint="eastAsia" w:ascii="宋体" w:hAnsi="宋体" w:eastAsia="宋体"/>
                <w:color w:val="auto"/>
                <w:sz w:val="21"/>
                <w:szCs w:val="21"/>
                <w:lang w:val="en-US" w:eastAsia="zh-CN" w:bidi="ar"/>
              </w:rPr>
            </w:pPr>
            <w:r>
              <w:rPr>
                <w:rFonts w:hint="eastAsia" w:ascii="宋体" w:hAnsi="宋体" w:eastAsia="宋体"/>
                <w:color w:val="auto"/>
                <w:sz w:val="21"/>
                <w:szCs w:val="21"/>
                <w:lang w:bidi="ar"/>
              </w:rPr>
              <w:t>GB 50016-2014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887" w:type="dxa"/>
            <w:vAlign w:val="center"/>
          </w:tcPr>
          <w:p>
            <w:pPr>
              <w:pStyle w:val="181"/>
              <w:adjustRightInd/>
              <w:spacing w:before="0" w:after="0" w:line="240" w:lineRule="auto"/>
              <w:ind w:firstLine="0" w:firstLineChars="0"/>
              <w:jc w:val="center"/>
              <w:rPr>
                <w:rFonts w:hint="eastAsia" w:ascii="宋体" w:hAnsi="宋体" w:eastAsia="宋体"/>
                <w:color w:val="auto"/>
                <w:sz w:val="21"/>
                <w:szCs w:val="21"/>
                <w:lang w:val="en-US" w:eastAsia="zh-CN" w:bidi="ar"/>
              </w:rPr>
            </w:pPr>
            <w:r>
              <w:rPr>
                <w:rFonts w:hint="eastAsia" w:ascii="宋体" w:hAnsi="宋体" w:eastAsia="宋体"/>
                <w:color w:val="auto"/>
                <w:sz w:val="21"/>
                <w:szCs w:val="21"/>
                <w:lang w:val="en-US" w:eastAsia="zh-CN" w:bidi="ar"/>
              </w:rPr>
              <w:t>2</w:t>
            </w:r>
          </w:p>
        </w:tc>
        <w:tc>
          <w:tcPr>
            <w:tcW w:w="4200" w:type="dxa"/>
            <w:vAlign w:val="center"/>
          </w:tcPr>
          <w:p>
            <w:pPr>
              <w:pStyle w:val="181"/>
              <w:adjustRightInd/>
              <w:spacing w:before="0" w:after="0" w:line="240" w:lineRule="auto"/>
              <w:ind w:firstLine="0" w:firstLineChars="0"/>
              <w:jc w:val="both"/>
              <w:rPr>
                <w:rFonts w:hint="eastAsia" w:ascii="宋体" w:hAnsi="宋体" w:eastAsia="宋体"/>
                <w:color w:val="auto"/>
                <w:sz w:val="21"/>
                <w:szCs w:val="21"/>
                <w:lang w:bidi="ar"/>
              </w:rPr>
            </w:pPr>
            <w:r>
              <w:rPr>
                <w:rFonts w:hint="eastAsia" w:ascii="宋体" w:hAnsi="宋体" w:eastAsia="宋体"/>
                <w:color w:val="auto"/>
                <w:sz w:val="21"/>
                <w:szCs w:val="21"/>
                <w:lang w:val="zh-CN" w:bidi="ar"/>
              </w:rPr>
              <w:t xml:space="preserve">《煤炭洗选工程设计规范》 </w:t>
            </w:r>
          </w:p>
        </w:tc>
        <w:tc>
          <w:tcPr>
            <w:tcW w:w="4200" w:type="dxa"/>
            <w:vAlign w:val="center"/>
          </w:tcPr>
          <w:p>
            <w:pPr>
              <w:pStyle w:val="181"/>
              <w:adjustRightInd/>
              <w:spacing w:before="0" w:after="0" w:line="240" w:lineRule="auto"/>
              <w:ind w:firstLine="0" w:firstLineChars="0"/>
              <w:jc w:val="both"/>
              <w:rPr>
                <w:rFonts w:hint="eastAsia" w:ascii="宋体" w:hAnsi="宋体" w:eastAsia="宋体"/>
                <w:color w:val="auto"/>
                <w:sz w:val="21"/>
                <w:szCs w:val="21"/>
                <w:lang w:bidi="ar"/>
              </w:rPr>
            </w:pPr>
            <w:r>
              <w:rPr>
                <w:rFonts w:hint="eastAsia" w:ascii="宋体" w:hAnsi="宋体" w:eastAsia="宋体"/>
                <w:color w:val="auto"/>
                <w:sz w:val="21"/>
                <w:szCs w:val="21"/>
                <w:lang w:val="zh-CN" w:bidi="ar"/>
              </w:rPr>
              <w:t>GB</w:t>
            </w:r>
            <w:r>
              <w:rPr>
                <w:rFonts w:hint="eastAsia" w:ascii="宋体" w:hAnsi="宋体" w:eastAsia="宋体"/>
                <w:color w:val="auto"/>
                <w:sz w:val="21"/>
                <w:szCs w:val="21"/>
                <w:lang w:bidi="ar"/>
              </w:rPr>
              <w:t xml:space="preserve"> </w:t>
            </w:r>
            <w:r>
              <w:rPr>
                <w:rFonts w:hint="eastAsia" w:ascii="宋体" w:hAnsi="宋体" w:eastAsia="宋体"/>
                <w:color w:val="auto"/>
                <w:sz w:val="21"/>
                <w:szCs w:val="21"/>
                <w:lang w:val="zh-CN" w:bidi="ar"/>
              </w:rPr>
              <w:t>50359-2016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887" w:type="dxa"/>
            <w:vAlign w:val="center"/>
          </w:tcPr>
          <w:p>
            <w:pPr>
              <w:pStyle w:val="181"/>
              <w:adjustRightInd/>
              <w:spacing w:before="0" w:after="0" w:line="240" w:lineRule="auto"/>
              <w:ind w:firstLine="0" w:firstLineChars="0"/>
              <w:jc w:val="center"/>
              <w:rPr>
                <w:rFonts w:hint="eastAsia" w:ascii="宋体" w:hAnsi="宋体" w:eastAsia="宋体"/>
                <w:color w:val="auto"/>
                <w:sz w:val="21"/>
                <w:szCs w:val="21"/>
                <w:lang w:val="en-US" w:eastAsia="zh-CN" w:bidi="ar"/>
              </w:rPr>
            </w:pPr>
            <w:r>
              <w:rPr>
                <w:rFonts w:hint="eastAsia" w:ascii="宋体" w:hAnsi="宋体" w:eastAsia="宋体"/>
                <w:color w:val="auto"/>
                <w:sz w:val="21"/>
                <w:szCs w:val="21"/>
                <w:lang w:val="en-US" w:eastAsia="zh-CN" w:bidi="ar"/>
              </w:rPr>
              <w:t>3</w:t>
            </w:r>
          </w:p>
        </w:tc>
        <w:tc>
          <w:tcPr>
            <w:tcW w:w="4200" w:type="dxa"/>
            <w:vAlign w:val="center"/>
          </w:tcPr>
          <w:p>
            <w:pPr>
              <w:pStyle w:val="181"/>
              <w:adjustRightInd/>
              <w:spacing w:before="0" w:after="0" w:line="240" w:lineRule="auto"/>
              <w:ind w:firstLine="0" w:firstLineChars="0"/>
              <w:jc w:val="both"/>
              <w:rPr>
                <w:rFonts w:hint="eastAsia" w:ascii="宋体" w:hAnsi="宋体" w:eastAsia="宋体"/>
                <w:color w:val="auto"/>
                <w:sz w:val="21"/>
                <w:szCs w:val="21"/>
                <w:lang w:bidi="ar"/>
              </w:rPr>
            </w:pPr>
            <w:r>
              <w:rPr>
                <w:rFonts w:hint="eastAsia" w:ascii="宋体" w:hAnsi="宋体" w:eastAsia="宋体"/>
                <w:color w:val="auto"/>
                <w:sz w:val="21"/>
                <w:szCs w:val="21"/>
                <w:lang w:val="zh-CN" w:bidi="ar"/>
              </w:rPr>
              <w:t xml:space="preserve">《供配电系统设计规范》 </w:t>
            </w:r>
          </w:p>
        </w:tc>
        <w:tc>
          <w:tcPr>
            <w:tcW w:w="4200" w:type="dxa"/>
            <w:vAlign w:val="center"/>
          </w:tcPr>
          <w:p>
            <w:pPr>
              <w:pStyle w:val="181"/>
              <w:adjustRightInd/>
              <w:spacing w:before="0" w:after="0" w:line="240" w:lineRule="auto"/>
              <w:ind w:firstLine="0" w:firstLineChars="0"/>
              <w:jc w:val="both"/>
              <w:rPr>
                <w:rFonts w:hint="eastAsia" w:ascii="宋体" w:hAnsi="宋体" w:eastAsia="宋体"/>
                <w:color w:val="auto"/>
                <w:sz w:val="21"/>
                <w:szCs w:val="21"/>
                <w:lang w:bidi="ar"/>
              </w:rPr>
            </w:pPr>
            <w:r>
              <w:rPr>
                <w:rFonts w:hint="eastAsia" w:ascii="宋体" w:hAnsi="宋体" w:eastAsia="宋体"/>
                <w:color w:val="auto"/>
                <w:sz w:val="21"/>
                <w:szCs w:val="21"/>
                <w:lang w:val="zh-CN" w:bidi="ar"/>
              </w:rPr>
              <w:t>GB</w:t>
            </w:r>
            <w:r>
              <w:rPr>
                <w:rFonts w:hint="eastAsia" w:ascii="宋体" w:hAnsi="宋体" w:eastAsia="宋体"/>
                <w:color w:val="auto"/>
                <w:sz w:val="21"/>
                <w:szCs w:val="21"/>
                <w:lang w:bidi="ar"/>
              </w:rPr>
              <w:t xml:space="preserve"> </w:t>
            </w:r>
            <w:r>
              <w:rPr>
                <w:rFonts w:hint="eastAsia" w:ascii="宋体" w:hAnsi="宋体" w:eastAsia="宋体"/>
                <w:color w:val="auto"/>
                <w:sz w:val="21"/>
                <w:szCs w:val="21"/>
                <w:lang w:val="zh-CN" w:bidi="ar"/>
              </w:rPr>
              <w:t>50052-2009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887" w:type="dxa"/>
            <w:vAlign w:val="center"/>
          </w:tcPr>
          <w:p>
            <w:pPr>
              <w:pStyle w:val="181"/>
              <w:adjustRightInd/>
              <w:spacing w:before="0" w:after="0" w:line="240" w:lineRule="auto"/>
              <w:ind w:firstLine="0" w:firstLineChars="0"/>
              <w:jc w:val="center"/>
              <w:rPr>
                <w:rFonts w:hint="eastAsia" w:ascii="宋体" w:hAnsi="宋体" w:eastAsia="宋体"/>
                <w:color w:val="auto"/>
                <w:sz w:val="21"/>
                <w:szCs w:val="21"/>
                <w:lang w:val="en-US" w:eastAsia="zh-CN" w:bidi="ar"/>
              </w:rPr>
            </w:pPr>
            <w:r>
              <w:rPr>
                <w:rFonts w:hint="eastAsia" w:ascii="宋体" w:hAnsi="宋体" w:eastAsia="宋体"/>
                <w:color w:val="auto"/>
                <w:sz w:val="21"/>
                <w:szCs w:val="21"/>
                <w:lang w:val="en-US" w:eastAsia="zh-CN" w:bidi="ar"/>
              </w:rPr>
              <w:t>4</w:t>
            </w:r>
          </w:p>
        </w:tc>
        <w:tc>
          <w:tcPr>
            <w:tcW w:w="4200" w:type="dxa"/>
            <w:vAlign w:val="center"/>
          </w:tcPr>
          <w:p>
            <w:pPr>
              <w:pStyle w:val="181"/>
              <w:adjustRightInd/>
              <w:spacing w:before="0" w:after="0" w:line="240" w:lineRule="auto"/>
              <w:ind w:firstLine="0" w:firstLineChars="0"/>
              <w:jc w:val="both"/>
              <w:rPr>
                <w:rFonts w:hint="eastAsia" w:ascii="宋体" w:hAnsi="宋体" w:eastAsia="宋体"/>
                <w:color w:val="auto"/>
                <w:sz w:val="21"/>
                <w:szCs w:val="21"/>
                <w:lang w:bidi="ar"/>
              </w:rPr>
            </w:pPr>
            <w:r>
              <w:rPr>
                <w:rFonts w:hint="eastAsia" w:ascii="宋体" w:hAnsi="宋体" w:eastAsia="宋体"/>
                <w:color w:val="auto"/>
                <w:sz w:val="21"/>
                <w:szCs w:val="21"/>
                <w:lang w:val="zh-CN" w:bidi="ar"/>
              </w:rPr>
              <w:t xml:space="preserve">《低压配电设计规范》 </w:t>
            </w:r>
          </w:p>
        </w:tc>
        <w:tc>
          <w:tcPr>
            <w:tcW w:w="4200" w:type="dxa"/>
            <w:vAlign w:val="center"/>
          </w:tcPr>
          <w:p>
            <w:pPr>
              <w:pStyle w:val="181"/>
              <w:adjustRightInd/>
              <w:spacing w:before="0" w:after="0" w:line="240" w:lineRule="auto"/>
              <w:ind w:firstLine="0" w:firstLineChars="0"/>
              <w:jc w:val="both"/>
              <w:rPr>
                <w:rFonts w:hint="eastAsia" w:ascii="宋体" w:hAnsi="宋体" w:eastAsia="宋体"/>
                <w:color w:val="auto"/>
                <w:sz w:val="21"/>
                <w:szCs w:val="21"/>
                <w:lang w:bidi="ar"/>
              </w:rPr>
            </w:pPr>
            <w:r>
              <w:rPr>
                <w:rFonts w:hint="eastAsia" w:ascii="宋体" w:hAnsi="宋体" w:eastAsia="宋体"/>
                <w:color w:val="auto"/>
                <w:sz w:val="21"/>
                <w:szCs w:val="21"/>
                <w:lang w:val="zh-CN" w:bidi="ar"/>
              </w:rPr>
              <w:t>GB</w:t>
            </w:r>
            <w:r>
              <w:rPr>
                <w:rFonts w:hint="eastAsia" w:ascii="宋体" w:hAnsi="宋体" w:eastAsia="宋体"/>
                <w:color w:val="auto"/>
                <w:sz w:val="21"/>
                <w:szCs w:val="21"/>
                <w:lang w:bidi="ar"/>
              </w:rPr>
              <w:t xml:space="preserve"> </w:t>
            </w:r>
            <w:r>
              <w:rPr>
                <w:rFonts w:hint="eastAsia" w:ascii="宋体" w:hAnsi="宋体" w:eastAsia="宋体"/>
                <w:color w:val="auto"/>
                <w:sz w:val="21"/>
                <w:szCs w:val="21"/>
                <w:lang w:val="zh-CN" w:bidi="ar"/>
              </w:rPr>
              <w:t>50054-2011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887" w:type="dxa"/>
            <w:vAlign w:val="center"/>
          </w:tcPr>
          <w:p>
            <w:pPr>
              <w:pStyle w:val="181"/>
              <w:adjustRightInd/>
              <w:spacing w:before="0" w:after="0" w:line="240" w:lineRule="auto"/>
              <w:ind w:firstLine="0" w:firstLineChars="0"/>
              <w:jc w:val="center"/>
              <w:rPr>
                <w:rFonts w:hint="eastAsia" w:ascii="宋体" w:hAnsi="宋体" w:eastAsia="宋体"/>
                <w:color w:val="auto"/>
                <w:sz w:val="21"/>
                <w:szCs w:val="21"/>
                <w:lang w:val="en-US" w:eastAsia="zh-CN" w:bidi="ar"/>
              </w:rPr>
            </w:pPr>
            <w:r>
              <w:rPr>
                <w:rFonts w:hint="eastAsia" w:ascii="宋体" w:hAnsi="宋体" w:eastAsia="宋体"/>
                <w:color w:val="auto"/>
                <w:sz w:val="21"/>
                <w:szCs w:val="21"/>
                <w:lang w:val="en-US" w:eastAsia="zh-CN" w:bidi="ar"/>
              </w:rPr>
              <w:t>5</w:t>
            </w:r>
          </w:p>
        </w:tc>
        <w:tc>
          <w:tcPr>
            <w:tcW w:w="4200" w:type="dxa"/>
            <w:vAlign w:val="center"/>
          </w:tcPr>
          <w:p>
            <w:pPr>
              <w:pStyle w:val="181"/>
              <w:adjustRightInd/>
              <w:spacing w:before="0" w:after="0" w:line="240" w:lineRule="auto"/>
              <w:ind w:firstLine="0" w:firstLineChars="0"/>
              <w:jc w:val="both"/>
              <w:rPr>
                <w:rFonts w:hint="eastAsia" w:ascii="宋体" w:hAnsi="宋体" w:eastAsia="宋体"/>
                <w:color w:val="auto"/>
                <w:sz w:val="21"/>
                <w:szCs w:val="21"/>
                <w:lang w:bidi="ar"/>
              </w:rPr>
            </w:pPr>
            <w:r>
              <w:rPr>
                <w:rFonts w:hint="eastAsia" w:ascii="宋体" w:hAnsi="宋体" w:eastAsia="宋体"/>
                <w:color w:val="auto"/>
                <w:sz w:val="21"/>
                <w:szCs w:val="21"/>
                <w:lang w:val="zh-CN" w:bidi="ar"/>
              </w:rPr>
              <w:t xml:space="preserve">《建筑照明设计标准》 </w:t>
            </w:r>
          </w:p>
        </w:tc>
        <w:tc>
          <w:tcPr>
            <w:tcW w:w="4200" w:type="dxa"/>
            <w:vAlign w:val="center"/>
          </w:tcPr>
          <w:p>
            <w:pPr>
              <w:pStyle w:val="181"/>
              <w:adjustRightInd/>
              <w:spacing w:before="0" w:after="0" w:line="240" w:lineRule="auto"/>
              <w:ind w:firstLine="0" w:firstLineChars="0"/>
              <w:jc w:val="both"/>
              <w:rPr>
                <w:rFonts w:hint="eastAsia" w:ascii="宋体" w:hAnsi="宋体" w:eastAsia="宋体"/>
                <w:color w:val="auto"/>
                <w:sz w:val="21"/>
                <w:szCs w:val="21"/>
                <w:lang w:bidi="ar"/>
              </w:rPr>
            </w:pPr>
            <w:r>
              <w:rPr>
                <w:rFonts w:hint="eastAsia" w:ascii="宋体" w:hAnsi="宋体" w:eastAsia="宋体"/>
                <w:color w:val="auto"/>
                <w:sz w:val="21"/>
                <w:szCs w:val="21"/>
                <w:lang w:val="zh-CN" w:bidi="ar"/>
              </w:rPr>
              <w:t>GB</w:t>
            </w:r>
            <w:r>
              <w:rPr>
                <w:rFonts w:hint="eastAsia" w:ascii="宋体" w:hAnsi="宋体" w:eastAsia="宋体"/>
                <w:color w:val="auto"/>
                <w:sz w:val="21"/>
                <w:szCs w:val="21"/>
                <w:lang w:bidi="ar"/>
              </w:rPr>
              <w:t xml:space="preserve"> </w:t>
            </w:r>
            <w:r>
              <w:rPr>
                <w:rFonts w:hint="eastAsia" w:ascii="宋体" w:hAnsi="宋体" w:eastAsia="宋体"/>
                <w:color w:val="auto"/>
                <w:sz w:val="21"/>
                <w:szCs w:val="21"/>
                <w:lang w:val="zh-CN" w:bidi="ar"/>
              </w:rPr>
              <w:t>50034-2013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887" w:type="dxa"/>
            <w:vAlign w:val="center"/>
          </w:tcPr>
          <w:p>
            <w:pPr>
              <w:pStyle w:val="181"/>
              <w:adjustRightInd/>
              <w:spacing w:before="0" w:after="0" w:line="240" w:lineRule="auto"/>
              <w:ind w:firstLine="0" w:firstLineChars="0"/>
              <w:jc w:val="center"/>
              <w:rPr>
                <w:rFonts w:hint="eastAsia" w:ascii="宋体" w:hAnsi="宋体" w:eastAsia="宋体"/>
                <w:color w:val="auto"/>
                <w:sz w:val="21"/>
                <w:szCs w:val="21"/>
                <w:lang w:val="en-US" w:eastAsia="zh-CN" w:bidi="ar"/>
              </w:rPr>
            </w:pPr>
            <w:r>
              <w:rPr>
                <w:rFonts w:hint="eastAsia" w:ascii="宋体" w:hAnsi="宋体" w:eastAsia="宋体"/>
                <w:color w:val="auto"/>
                <w:sz w:val="21"/>
                <w:szCs w:val="21"/>
                <w:lang w:val="en-US" w:eastAsia="zh-CN" w:bidi="ar"/>
              </w:rPr>
              <w:t>6</w:t>
            </w:r>
          </w:p>
        </w:tc>
        <w:tc>
          <w:tcPr>
            <w:tcW w:w="4200" w:type="dxa"/>
            <w:vAlign w:val="center"/>
          </w:tcPr>
          <w:p>
            <w:pPr>
              <w:pStyle w:val="181"/>
              <w:adjustRightInd/>
              <w:spacing w:before="0" w:after="0" w:line="240" w:lineRule="auto"/>
              <w:ind w:firstLine="0" w:firstLineChars="0"/>
              <w:jc w:val="both"/>
              <w:rPr>
                <w:rFonts w:hint="eastAsia" w:ascii="宋体" w:hAnsi="宋体" w:eastAsia="宋体"/>
                <w:color w:val="auto"/>
                <w:sz w:val="21"/>
                <w:szCs w:val="21"/>
                <w:lang w:bidi="ar"/>
              </w:rPr>
            </w:pPr>
            <w:r>
              <w:rPr>
                <w:rFonts w:hint="eastAsia" w:ascii="宋体" w:hAnsi="宋体" w:eastAsia="宋体"/>
                <w:color w:val="auto"/>
                <w:sz w:val="21"/>
                <w:szCs w:val="21"/>
                <w:lang w:val="zh-CN" w:bidi="ar"/>
              </w:rPr>
              <w:t>《消防应急照明和疏散指示系统技术标准》</w:t>
            </w:r>
          </w:p>
        </w:tc>
        <w:tc>
          <w:tcPr>
            <w:tcW w:w="4200" w:type="dxa"/>
            <w:vAlign w:val="center"/>
          </w:tcPr>
          <w:p>
            <w:pPr>
              <w:pStyle w:val="181"/>
              <w:adjustRightInd/>
              <w:spacing w:before="0" w:after="0" w:line="240" w:lineRule="auto"/>
              <w:ind w:firstLine="0" w:firstLineChars="0"/>
              <w:jc w:val="both"/>
              <w:rPr>
                <w:rFonts w:hint="eastAsia" w:ascii="宋体" w:hAnsi="宋体" w:eastAsia="宋体"/>
                <w:color w:val="auto"/>
                <w:sz w:val="21"/>
                <w:szCs w:val="21"/>
                <w:lang w:bidi="ar"/>
              </w:rPr>
            </w:pPr>
            <w:r>
              <w:rPr>
                <w:rFonts w:hint="eastAsia" w:ascii="宋体" w:hAnsi="宋体" w:eastAsia="宋体"/>
                <w:color w:val="auto"/>
                <w:sz w:val="21"/>
                <w:szCs w:val="21"/>
                <w:lang w:val="zh-CN" w:bidi="ar"/>
              </w:rPr>
              <w:t>GB</w:t>
            </w:r>
            <w:r>
              <w:rPr>
                <w:rFonts w:hint="eastAsia" w:ascii="宋体" w:hAnsi="宋体" w:eastAsia="宋体"/>
                <w:color w:val="auto"/>
                <w:sz w:val="21"/>
                <w:szCs w:val="21"/>
                <w:lang w:bidi="ar"/>
              </w:rPr>
              <w:t xml:space="preserve"> </w:t>
            </w:r>
            <w:r>
              <w:rPr>
                <w:rFonts w:hint="eastAsia" w:ascii="宋体" w:hAnsi="宋体" w:eastAsia="宋体"/>
                <w:color w:val="auto"/>
                <w:sz w:val="21"/>
                <w:szCs w:val="21"/>
                <w:lang w:val="zh-CN" w:bidi="ar"/>
              </w:rPr>
              <w:t>51309-2018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887" w:type="dxa"/>
            <w:vAlign w:val="center"/>
          </w:tcPr>
          <w:p>
            <w:pPr>
              <w:pStyle w:val="181"/>
              <w:adjustRightInd/>
              <w:spacing w:before="0" w:after="0" w:line="240" w:lineRule="auto"/>
              <w:ind w:firstLine="0" w:firstLineChars="0"/>
              <w:jc w:val="center"/>
              <w:rPr>
                <w:rFonts w:hint="eastAsia" w:ascii="宋体" w:hAnsi="宋体" w:eastAsia="宋体"/>
                <w:color w:val="auto"/>
                <w:sz w:val="21"/>
                <w:szCs w:val="21"/>
                <w:lang w:val="en-US" w:eastAsia="zh-CN" w:bidi="ar"/>
              </w:rPr>
            </w:pPr>
            <w:r>
              <w:rPr>
                <w:rFonts w:hint="eastAsia" w:ascii="宋体" w:hAnsi="宋体" w:eastAsia="宋体"/>
                <w:color w:val="auto"/>
                <w:sz w:val="21"/>
                <w:szCs w:val="21"/>
                <w:lang w:val="en-US" w:eastAsia="zh-CN" w:bidi="ar"/>
              </w:rPr>
              <w:t>7</w:t>
            </w:r>
          </w:p>
        </w:tc>
        <w:tc>
          <w:tcPr>
            <w:tcW w:w="4200" w:type="dxa"/>
            <w:vAlign w:val="center"/>
          </w:tcPr>
          <w:p>
            <w:pPr>
              <w:pStyle w:val="181"/>
              <w:adjustRightInd/>
              <w:spacing w:before="0" w:after="0" w:line="240" w:lineRule="auto"/>
              <w:ind w:firstLine="0" w:firstLineChars="0"/>
              <w:jc w:val="both"/>
              <w:rPr>
                <w:rFonts w:hAnsi="宋体"/>
                <w:color w:val="auto"/>
                <w:sz w:val="21"/>
                <w:szCs w:val="21"/>
              </w:rPr>
            </w:pPr>
            <w:r>
              <w:rPr>
                <w:rFonts w:hint="eastAsia" w:ascii="宋体" w:hAnsi="宋体" w:eastAsia="宋体"/>
                <w:color w:val="auto"/>
                <w:sz w:val="21"/>
                <w:szCs w:val="21"/>
                <w:lang w:val="zh-CN" w:bidi="ar"/>
              </w:rPr>
              <w:t xml:space="preserve">《电力工程电缆设计标准》 </w:t>
            </w:r>
          </w:p>
        </w:tc>
        <w:tc>
          <w:tcPr>
            <w:tcW w:w="4200" w:type="dxa"/>
            <w:vAlign w:val="center"/>
          </w:tcPr>
          <w:p>
            <w:pPr>
              <w:pStyle w:val="181"/>
              <w:adjustRightInd/>
              <w:spacing w:before="0" w:after="0" w:line="240" w:lineRule="auto"/>
              <w:ind w:firstLine="0" w:firstLineChars="0"/>
              <w:jc w:val="both"/>
              <w:rPr>
                <w:rFonts w:hint="eastAsia" w:ascii="宋体" w:hAnsi="宋体" w:eastAsia="宋体"/>
                <w:color w:val="auto"/>
                <w:sz w:val="21"/>
                <w:szCs w:val="21"/>
                <w:lang w:bidi="ar"/>
              </w:rPr>
            </w:pPr>
            <w:r>
              <w:rPr>
                <w:rFonts w:hint="eastAsia" w:ascii="宋体" w:hAnsi="宋体" w:eastAsia="宋体"/>
                <w:color w:val="auto"/>
                <w:sz w:val="21"/>
                <w:szCs w:val="21"/>
                <w:lang w:val="zh-CN" w:bidi="ar"/>
              </w:rPr>
              <w:t>GB</w:t>
            </w:r>
            <w:r>
              <w:rPr>
                <w:rFonts w:hint="eastAsia" w:ascii="宋体" w:hAnsi="宋体" w:eastAsia="宋体"/>
                <w:color w:val="auto"/>
                <w:sz w:val="21"/>
                <w:szCs w:val="21"/>
                <w:lang w:bidi="ar"/>
              </w:rPr>
              <w:t xml:space="preserve"> </w:t>
            </w:r>
            <w:r>
              <w:rPr>
                <w:rFonts w:hint="eastAsia" w:ascii="宋体" w:hAnsi="宋体" w:eastAsia="宋体"/>
                <w:color w:val="auto"/>
                <w:sz w:val="21"/>
                <w:szCs w:val="21"/>
                <w:lang w:val="zh-CN" w:bidi="ar"/>
              </w:rPr>
              <w:t>50217-2018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887" w:type="dxa"/>
            <w:vAlign w:val="center"/>
          </w:tcPr>
          <w:p>
            <w:pPr>
              <w:pStyle w:val="181"/>
              <w:adjustRightInd/>
              <w:spacing w:before="0" w:after="0" w:line="240" w:lineRule="auto"/>
              <w:ind w:firstLine="0" w:firstLineChars="0"/>
              <w:jc w:val="center"/>
              <w:rPr>
                <w:rFonts w:hint="default" w:ascii="宋体" w:hAnsi="宋体" w:eastAsia="宋体"/>
                <w:color w:val="auto"/>
                <w:sz w:val="21"/>
                <w:szCs w:val="21"/>
                <w:lang w:val="en-US" w:eastAsia="zh-CN" w:bidi="ar"/>
              </w:rPr>
            </w:pPr>
            <w:r>
              <w:rPr>
                <w:rFonts w:hint="eastAsia" w:ascii="宋体" w:hAnsi="宋体" w:eastAsia="宋体"/>
                <w:color w:val="auto"/>
                <w:sz w:val="21"/>
                <w:szCs w:val="21"/>
                <w:lang w:val="en-US" w:eastAsia="zh-CN" w:bidi="ar"/>
              </w:rPr>
              <w:t>三</w:t>
            </w:r>
          </w:p>
        </w:tc>
        <w:tc>
          <w:tcPr>
            <w:tcW w:w="4200" w:type="dxa"/>
            <w:vAlign w:val="center"/>
          </w:tcPr>
          <w:p>
            <w:pPr>
              <w:pStyle w:val="181"/>
              <w:adjustRightInd/>
              <w:spacing w:before="0" w:after="0" w:line="240" w:lineRule="auto"/>
              <w:ind w:firstLine="0" w:firstLineChars="0"/>
              <w:jc w:val="both"/>
              <w:rPr>
                <w:rFonts w:hint="default" w:ascii="宋体" w:hAnsi="宋体" w:eastAsia="宋体" w:cs="Times New Roman"/>
                <w:color w:val="auto"/>
                <w:kern w:val="0"/>
                <w:sz w:val="21"/>
                <w:szCs w:val="21"/>
                <w:lang w:val="en-US" w:eastAsia="zh-CN" w:bidi="ar-SA"/>
              </w:rPr>
            </w:pPr>
            <w:r>
              <w:rPr>
                <w:rFonts w:hint="eastAsia" w:ascii="宋体" w:hAnsi="宋体" w:eastAsia="宋体"/>
                <w:color w:val="auto"/>
                <w:sz w:val="21"/>
                <w:szCs w:val="21"/>
                <w:lang w:val="en-US" w:eastAsia="zh-CN" w:bidi="ar"/>
              </w:rPr>
              <w:t>给排水</w:t>
            </w:r>
          </w:p>
        </w:tc>
        <w:tc>
          <w:tcPr>
            <w:tcW w:w="4200" w:type="dxa"/>
            <w:vAlign w:val="center"/>
          </w:tcPr>
          <w:p>
            <w:pPr>
              <w:pStyle w:val="181"/>
              <w:adjustRightInd/>
              <w:spacing w:before="0" w:after="0" w:line="240" w:lineRule="auto"/>
              <w:ind w:firstLine="0" w:firstLineChars="0"/>
              <w:jc w:val="both"/>
              <w:rPr>
                <w:rFonts w:hint="eastAsia" w:ascii="宋体" w:hAnsi="宋体" w:eastAsia="宋体"/>
                <w:color w:val="auto"/>
                <w:sz w:val="21"/>
                <w:szCs w:val="21"/>
                <w:lang w:bidi="ar"/>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887" w:type="dxa"/>
            <w:vAlign w:val="center"/>
          </w:tcPr>
          <w:p>
            <w:pPr>
              <w:pStyle w:val="181"/>
              <w:adjustRightInd/>
              <w:spacing w:before="0" w:after="0" w:line="240" w:lineRule="auto"/>
              <w:ind w:firstLine="0" w:firstLineChars="0"/>
              <w:jc w:val="center"/>
              <w:rPr>
                <w:rFonts w:hint="default" w:ascii="宋体" w:hAnsi="宋体" w:eastAsia="宋体"/>
                <w:color w:val="auto"/>
                <w:sz w:val="21"/>
                <w:szCs w:val="21"/>
                <w:lang w:val="en-US" w:eastAsia="zh-CN" w:bidi="ar"/>
              </w:rPr>
            </w:pPr>
            <w:r>
              <w:rPr>
                <w:rFonts w:hint="eastAsia" w:hAnsi="宋体"/>
                <w:color w:val="auto"/>
                <w:sz w:val="21"/>
                <w:szCs w:val="21"/>
                <w:lang w:val="en-US" w:eastAsia="zh-CN" w:bidi="ar"/>
              </w:rPr>
              <w:t>1</w:t>
            </w:r>
          </w:p>
        </w:tc>
        <w:tc>
          <w:tcPr>
            <w:tcW w:w="4200" w:type="dxa"/>
            <w:vAlign w:val="center"/>
          </w:tcPr>
          <w:p>
            <w:pPr>
              <w:pStyle w:val="181"/>
              <w:adjustRightInd/>
              <w:spacing w:before="0" w:after="0" w:line="240" w:lineRule="auto"/>
              <w:ind w:firstLine="0" w:firstLineChars="0"/>
              <w:jc w:val="both"/>
              <w:rPr>
                <w:rFonts w:hint="eastAsia" w:ascii="宋体" w:hAnsi="宋体" w:eastAsia="宋体" w:cs="Times New Roman"/>
                <w:color w:val="auto"/>
                <w:kern w:val="0"/>
                <w:sz w:val="21"/>
                <w:szCs w:val="21"/>
                <w:lang w:val="en-US" w:eastAsia="zh-CN" w:bidi="ar"/>
              </w:rPr>
            </w:pPr>
            <w:r>
              <w:rPr>
                <w:rFonts w:hint="eastAsia" w:ascii="宋体" w:hAnsi="宋体" w:eastAsia="宋体" w:cs="Times New Roman"/>
                <w:color w:val="auto"/>
                <w:kern w:val="0"/>
                <w:sz w:val="21"/>
                <w:szCs w:val="21"/>
                <w:lang w:val="en-US" w:eastAsia="zh-CN" w:bidi="ar"/>
              </w:rPr>
              <w:t xml:space="preserve">《建筑给水排水设计标准》               </w:t>
            </w:r>
          </w:p>
        </w:tc>
        <w:tc>
          <w:tcPr>
            <w:tcW w:w="4200" w:type="dxa"/>
            <w:vAlign w:val="center"/>
          </w:tcPr>
          <w:p>
            <w:pPr>
              <w:pStyle w:val="181"/>
              <w:adjustRightInd/>
              <w:spacing w:before="0" w:after="0" w:line="240" w:lineRule="auto"/>
              <w:ind w:firstLine="0" w:firstLineChars="0"/>
              <w:jc w:val="both"/>
              <w:rPr>
                <w:rFonts w:hint="eastAsia" w:ascii="宋体" w:hAnsi="宋体" w:eastAsia="宋体"/>
                <w:color w:val="auto"/>
                <w:sz w:val="21"/>
                <w:szCs w:val="21"/>
                <w:lang w:bidi="ar"/>
              </w:rPr>
            </w:pPr>
            <w:r>
              <w:rPr>
                <w:rFonts w:hint="eastAsia" w:ascii="宋体" w:hAnsi="宋体" w:eastAsia="宋体"/>
                <w:color w:val="auto"/>
                <w:sz w:val="21"/>
                <w:szCs w:val="21"/>
                <w:lang w:bidi="ar"/>
              </w:rPr>
              <w:t>GB 50015-2019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887" w:type="dxa"/>
            <w:vAlign w:val="center"/>
          </w:tcPr>
          <w:p>
            <w:pPr>
              <w:pStyle w:val="181"/>
              <w:adjustRightInd/>
              <w:spacing w:before="0" w:after="0" w:line="240" w:lineRule="auto"/>
              <w:ind w:firstLine="0" w:firstLineChars="0"/>
              <w:jc w:val="center"/>
              <w:rPr>
                <w:rFonts w:hint="default" w:ascii="宋体" w:hAnsi="宋体" w:eastAsia="宋体"/>
                <w:color w:val="auto"/>
                <w:sz w:val="21"/>
                <w:szCs w:val="21"/>
                <w:lang w:val="en-US" w:eastAsia="zh-CN" w:bidi="ar"/>
              </w:rPr>
            </w:pPr>
            <w:r>
              <w:rPr>
                <w:rFonts w:hint="eastAsia" w:hAnsi="宋体"/>
                <w:color w:val="auto"/>
                <w:sz w:val="21"/>
                <w:szCs w:val="21"/>
                <w:lang w:val="en-US" w:eastAsia="zh-CN" w:bidi="ar"/>
              </w:rPr>
              <w:t>2</w:t>
            </w:r>
          </w:p>
        </w:tc>
        <w:tc>
          <w:tcPr>
            <w:tcW w:w="4200" w:type="dxa"/>
            <w:vAlign w:val="center"/>
          </w:tcPr>
          <w:p>
            <w:pPr>
              <w:pStyle w:val="181"/>
              <w:adjustRightInd/>
              <w:spacing w:before="0" w:after="0" w:line="240" w:lineRule="auto"/>
              <w:ind w:firstLine="0" w:firstLineChars="0"/>
              <w:jc w:val="both"/>
              <w:rPr>
                <w:rFonts w:hint="eastAsia" w:ascii="宋体" w:hAnsi="宋体" w:eastAsia="宋体" w:cs="Times New Roman"/>
                <w:color w:val="auto"/>
                <w:kern w:val="0"/>
                <w:sz w:val="21"/>
                <w:szCs w:val="21"/>
                <w:lang w:val="en-US" w:eastAsia="zh-CN" w:bidi="ar"/>
              </w:rPr>
            </w:pPr>
            <w:r>
              <w:rPr>
                <w:rFonts w:hint="eastAsia" w:ascii="宋体" w:hAnsi="宋体" w:eastAsia="宋体" w:cs="Times New Roman"/>
                <w:color w:val="auto"/>
                <w:kern w:val="0"/>
                <w:sz w:val="21"/>
                <w:szCs w:val="21"/>
                <w:lang w:val="en-US" w:eastAsia="zh-CN" w:bidi="ar"/>
              </w:rPr>
              <w:t>《建筑设计防火规范》（2018年版）</w:t>
            </w:r>
          </w:p>
        </w:tc>
        <w:tc>
          <w:tcPr>
            <w:tcW w:w="4200" w:type="dxa"/>
            <w:vAlign w:val="center"/>
          </w:tcPr>
          <w:p>
            <w:pPr>
              <w:pStyle w:val="181"/>
              <w:adjustRightInd/>
              <w:spacing w:before="0" w:after="0" w:line="240" w:lineRule="auto"/>
              <w:ind w:firstLine="0" w:firstLineChars="0"/>
              <w:jc w:val="both"/>
              <w:rPr>
                <w:rFonts w:hint="eastAsia" w:ascii="宋体" w:hAnsi="宋体" w:eastAsia="宋体"/>
                <w:color w:val="auto"/>
                <w:sz w:val="21"/>
                <w:szCs w:val="21"/>
                <w:lang w:val="en-US" w:eastAsia="zh-CN" w:bidi="ar"/>
              </w:rPr>
            </w:pPr>
            <w:r>
              <w:rPr>
                <w:rFonts w:hint="eastAsia" w:ascii="宋体" w:hAnsi="宋体" w:eastAsia="宋体"/>
                <w:color w:val="auto"/>
                <w:sz w:val="21"/>
                <w:szCs w:val="21"/>
                <w:lang w:bidi="ar"/>
              </w:rPr>
              <w:t>GB 50016-2014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887" w:type="dxa"/>
            <w:vAlign w:val="center"/>
          </w:tcPr>
          <w:p>
            <w:pPr>
              <w:pStyle w:val="181"/>
              <w:adjustRightInd/>
              <w:spacing w:before="0" w:after="0" w:line="240" w:lineRule="auto"/>
              <w:ind w:firstLine="0" w:firstLineChars="0"/>
              <w:jc w:val="center"/>
              <w:rPr>
                <w:rFonts w:hint="default" w:ascii="宋体" w:hAnsi="宋体" w:eastAsia="宋体"/>
                <w:color w:val="auto"/>
                <w:sz w:val="21"/>
                <w:szCs w:val="21"/>
                <w:lang w:val="en-US" w:eastAsia="zh-CN" w:bidi="ar"/>
              </w:rPr>
            </w:pPr>
            <w:r>
              <w:rPr>
                <w:rFonts w:hint="eastAsia" w:hAnsi="宋体"/>
                <w:color w:val="auto"/>
                <w:sz w:val="21"/>
                <w:szCs w:val="21"/>
                <w:lang w:val="en-US" w:eastAsia="zh-CN" w:bidi="ar"/>
              </w:rPr>
              <w:t>3</w:t>
            </w:r>
          </w:p>
        </w:tc>
        <w:tc>
          <w:tcPr>
            <w:tcW w:w="4200" w:type="dxa"/>
            <w:vAlign w:val="center"/>
          </w:tcPr>
          <w:p>
            <w:pPr>
              <w:pStyle w:val="181"/>
              <w:adjustRightInd/>
              <w:spacing w:before="0" w:after="0" w:line="240" w:lineRule="auto"/>
              <w:ind w:firstLine="0" w:firstLineChars="0"/>
              <w:jc w:val="both"/>
              <w:rPr>
                <w:rFonts w:hint="eastAsia" w:ascii="宋体" w:hAnsi="宋体" w:eastAsia="宋体" w:cs="Times New Roman"/>
                <w:color w:val="auto"/>
                <w:kern w:val="0"/>
                <w:sz w:val="21"/>
                <w:szCs w:val="21"/>
                <w:lang w:val="en-US" w:eastAsia="zh-CN" w:bidi="ar"/>
              </w:rPr>
            </w:pPr>
            <w:r>
              <w:rPr>
                <w:rFonts w:hint="eastAsia" w:ascii="宋体" w:hAnsi="宋体" w:eastAsia="宋体" w:cs="Times New Roman"/>
                <w:color w:val="auto"/>
                <w:kern w:val="0"/>
                <w:sz w:val="21"/>
                <w:szCs w:val="21"/>
                <w:lang w:val="en-US" w:eastAsia="zh-CN" w:bidi="ar"/>
              </w:rPr>
              <w:t xml:space="preserve">《消防给水及消火栓系统技术规范》        </w:t>
            </w:r>
          </w:p>
        </w:tc>
        <w:tc>
          <w:tcPr>
            <w:tcW w:w="4200" w:type="dxa"/>
            <w:vAlign w:val="center"/>
          </w:tcPr>
          <w:p>
            <w:pPr>
              <w:pStyle w:val="181"/>
              <w:adjustRightInd/>
              <w:spacing w:before="0" w:after="0" w:line="240" w:lineRule="auto"/>
              <w:ind w:firstLine="0" w:firstLineChars="0"/>
              <w:jc w:val="both"/>
              <w:rPr>
                <w:rFonts w:hint="eastAsia" w:ascii="宋体" w:hAnsi="宋体" w:eastAsia="宋体"/>
                <w:color w:val="auto"/>
                <w:sz w:val="21"/>
                <w:szCs w:val="21"/>
                <w:lang w:bidi="ar"/>
              </w:rPr>
            </w:pPr>
            <w:r>
              <w:rPr>
                <w:rFonts w:hint="eastAsia" w:ascii="宋体" w:hAnsi="宋体" w:eastAsia="宋体"/>
                <w:color w:val="auto"/>
                <w:sz w:val="21"/>
                <w:szCs w:val="21"/>
                <w:lang w:bidi="ar"/>
              </w:rPr>
              <w:t>GB 50974-2014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887" w:type="dxa"/>
            <w:vAlign w:val="center"/>
          </w:tcPr>
          <w:p>
            <w:pPr>
              <w:pStyle w:val="181"/>
              <w:adjustRightInd/>
              <w:spacing w:before="0" w:after="0" w:line="240" w:lineRule="auto"/>
              <w:ind w:firstLine="0" w:firstLineChars="0"/>
              <w:jc w:val="center"/>
              <w:rPr>
                <w:rFonts w:hint="default" w:ascii="宋体" w:hAnsi="宋体" w:eastAsia="宋体"/>
                <w:color w:val="auto"/>
                <w:sz w:val="21"/>
                <w:szCs w:val="21"/>
                <w:lang w:val="en-US" w:eastAsia="zh-CN" w:bidi="ar"/>
              </w:rPr>
            </w:pPr>
            <w:r>
              <w:rPr>
                <w:rFonts w:hint="eastAsia" w:hAnsi="宋体"/>
                <w:color w:val="auto"/>
                <w:sz w:val="21"/>
                <w:szCs w:val="21"/>
                <w:lang w:val="en-US" w:eastAsia="zh-CN" w:bidi="ar"/>
              </w:rPr>
              <w:t>4</w:t>
            </w:r>
          </w:p>
        </w:tc>
        <w:tc>
          <w:tcPr>
            <w:tcW w:w="4200" w:type="dxa"/>
            <w:vAlign w:val="center"/>
          </w:tcPr>
          <w:p>
            <w:pPr>
              <w:pStyle w:val="181"/>
              <w:adjustRightInd/>
              <w:spacing w:before="0" w:after="0" w:line="240" w:lineRule="auto"/>
              <w:ind w:firstLine="0" w:firstLineChars="0"/>
              <w:jc w:val="both"/>
              <w:rPr>
                <w:rFonts w:hint="eastAsia" w:ascii="宋体" w:hAnsi="宋体" w:eastAsia="宋体" w:cs="Times New Roman"/>
                <w:color w:val="auto"/>
                <w:kern w:val="0"/>
                <w:sz w:val="21"/>
                <w:szCs w:val="21"/>
                <w:lang w:val="en-US" w:eastAsia="zh-CN" w:bidi="ar"/>
              </w:rPr>
            </w:pPr>
            <w:r>
              <w:rPr>
                <w:rFonts w:hint="eastAsia" w:ascii="宋体" w:hAnsi="宋体" w:eastAsia="宋体" w:cs="Times New Roman"/>
                <w:color w:val="auto"/>
                <w:kern w:val="0"/>
                <w:sz w:val="21"/>
                <w:szCs w:val="21"/>
                <w:lang w:val="en-US" w:eastAsia="zh-CN" w:bidi="ar"/>
              </w:rPr>
              <w:t xml:space="preserve">《建筑防火通用规范》                    </w:t>
            </w:r>
          </w:p>
        </w:tc>
        <w:tc>
          <w:tcPr>
            <w:tcW w:w="4200" w:type="dxa"/>
            <w:vAlign w:val="center"/>
          </w:tcPr>
          <w:p>
            <w:pPr>
              <w:pStyle w:val="181"/>
              <w:adjustRightInd/>
              <w:spacing w:before="0" w:after="0" w:line="240" w:lineRule="auto"/>
              <w:ind w:firstLine="0" w:firstLineChars="0"/>
              <w:jc w:val="both"/>
              <w:rPr>
                <w:rFonts w:hint="eastAsia" w:ascii="宋体" w:hAnsi="宋体" w:eastAsia="宋体"/>
                <w:color w:val="auto"/>
                <w:sz w:val="21"/>
                <w:szCs w:val="21"/>
                <w:lang w:bidi="ar"/>
              </w:rPr>
            </w:pPr>
            <w:r>
              <w:rPr>
                <w:rFonts w:hint="eastAsia" w:ascii="宋体" w:hAnsi="宋体" w:eastAsia="宋体"/>
                <w:color w:val="auto"/>
                <w:sz w:val="21"/>
                <w:szCs w:val="21"/>
                <w:lang w:bidi="ar"/>
              </w:rPr>
              <w:t>GB 55037-2022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887" w:type="dxa"/>
            <w:vAlign w:val="center"/>
          </w:tcPr>
          <w:p>
            <w:pPr>
              <w:pStyle w:val="181"/>
              <w:adjustRightInd/>
              <w:spacing w:before="0" w:after="0" w:line="240" w:lineRule="auto"/>
              <w:ind w:firstLine="0" w:firstLineChars="0"/>
              <w:jc w:val="center"/>
              <w:rPr>
                <w:rFonts w:hint="default" w:ascii="宋体" w:hAnsi="宋体" w:eastAsia="宋体"/>
                <w:color w:val="auto"/>
                <w:sz w:val="21"/>
                <w:szCs w:val="21"/>
                <w:lang w:val="en-US" w:eastAsia="zh-CN" w:bidi="ar"/>
              </w:rPr>
            </w:pPr>
            <w:r>
              <w:rPr>
                <w:rFonts w:hint="eastAsia" w:hAnsi="宋体"/>
                <w:color w:val="auto"/>
                <w:sz w:val="21"/>
                <w:szCs w:val="21"/>
                <w:lang w:val="en-US" w:eastAsia="zh-CN" w:bidi="ar"/>
              </w:rPr>
              <w:t>5</w:t>
            </w:r>
          </w:p>
        </w:tc>
        <w:tc>
          <w:tcPr>
            <w:tcW w:w="4200" w:type="dxa"/>
            <w:vAlign w:val="center"/>
          </w:tcPr>
          <w:p>
            <w:pPr>
              <w:pStyle w:val="181"/>
              <w:adjustRightInd/>
              <w:spacing w:before="0" w:after="0" w:line="240" w:lineRule="auto"/>
              <w:ind w:firstLine="0" w:firstLineChars="0"/>
              <w:jc w:val="both"/>
              <w:rPr>
                <w:rFonts w:hint="eastAsia" w:ascii="宋体" w:hAnsi="宋体" w:eastAsia="宋体" w:cs="Times New Roman"/>
                <w:color w:val="auto"/>
                <w:kern w:val="0"/>
                <w:sz w:val="21"/>
                <w:szCs w:val="21"/>
                <w:lang w:val="en-US" w:eastAsia="zh-CN" w:bidi="ar"/>
              </w:rPr>
            </w:pPr>
            <w:r>
              <w:rPr>
                <w:rFonts w:hint="eastAsia" w:ascii="宋体" w:hAnsi="宋体" w:eastAsia="宋体" w:cs="Times New Roman"/>
                <w:color w:val="auto"/>
                <w:kern w:val="0"/>
                <w:sz w:val="21"/>
                <w:szCs w:val="21"/>
                <w:lang w:val="en-US" w:eastAsia="zh-CN" w:bidi="ar"/>
              </w:rPr>
              <w:t xml:space="preserve">《消防设施通用规范》                    </w:t>
            </w:r>
          </w:p>
        </w:tc>
        <w:tc>
          <w:tcPr>
            <w:tcW w:w="4200" w:type="dxa"/>
            <w:vAlign w:val="center"/>
          </w:tcPr>
          <w:p>
            <w:pPr>
              <w:pStyle w:val="181"/>
              <w:adjustRightInd/>
              <w:spacing w:before="0" w:after="0" w:line="240" w:lineRule="auto"/>
              <w:ind w:firstLine="0" w:firstLineChars="0"/>
              <w:jc w:val="both"/>
              <w:rPr>
                <w:rFonts w:hint="eastAsia" w:ascii="宋体" w:hAnsi="宋体" w:eastAsia="宋体"/>
                <w:color w:val="auto"/>
                <w:sz w:val="21"/>
                <w:szCs w:val="21"/>
                <w:lang w:bidi="ar"/>
              </w:rPr>
            </w:pPr>
            <w:r>
              <w:rPr>
                <w:rFonts w:hint="eastAsia" w:ascii="宋体" w:hAnsi="宋体" w:eastAsia="宋体"/>
                <w:color w:val="auto"/>
                <w:sz w:val="21"/>
                <w:szCs w:val="21"/>
                <w:lang w:bidi="ar"/>
              </w:rPr>
              <w:t>GB 55036-2022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887" w:type="dxa"/>
            <w:vAlign w:val="center"/>
          </w:tcPr>
          <w:p>
            <w:pPr>
              <w:pStyle w:val="181"/>
              <w:adjustRightInd/>
              <w:spacing w:before="0" w:after="0" w:line="240" w:lineRule="auto"/>
              <w:ind w:firstLine="0" w:firstLineChars="0"/>
              <w:jc w:val="center"/>
              <w:rPr>
                <w:rFonts w:hint="default" w:ascii="宋体" w:hAnsi="宋体" w:eastAsia="宋体"/>
                <w:color w:val="auto"/>
                <w:sz w:val="21"/>
                <w:szCs w:val="21"/>
                <w:lang w:val="en-US" w:eastAsia="zh-CN" w:bidi="ar"/>
              </w:rPr>
            </w:pPr>
            <w:r>
              <w:rPr>
                <w:rFonts w:hint="eastAsia" w:hAnsi="宋体"/>
                <w:color w:val="auto"/>
                <w:sz w:val="21"/>
                <w:szCs w:val="21"/>
                <w:lang w:val="en-US" w:eastAsia="zh-CN" w:bidi="ar"/>
              </w:rPr>
              <w:t>6</w:t>
            </w:r>
          </w:p>
        </w:tc>
        <w:tc>
          <w:tcPr>
            <w:tcW w:w="4200" w:type="dxa"/>
            <w:vAlign w:val="center"/>
          </w:tcPr>
          <w:p>
            <w:pPr>
              <w:widowControl/>
              <w:spacing w:line="500" w:lineRule="exact"/>
              <w:rPr>
                <w:rFonts w:hint="eastAsia" w:ascii="宋体" w:hAnsi="宋体" w:eastAsia="宋体" w:cs="Times New Roman"/>
                <w:color w:val="auto"/>
                <w:kern w:val="0"/>
                <w:sz w:val="21"/>
                <w:szCs w:val="21"/>
                <w:lang w:val="en-US" w:eastAsia="zh-CN" w:bidi="ar"/>
              </w:rPr>
            </w:pPr>
            <w:r>
              <w:rPr>
                <w:rFonts w:hint="eastAsia" w:ascii="宋体" w:hAnsi="宋体" w:eastAsia="宋体" w:cs="Times New Roman"/>
                <w:color w:val="auto"/>
                <w:kern w:val="0"/>
                <w:sz w:val="21"/>
                <w:szCs w:val="21"/>
                <w:lang w:val="en-US" w:eastAsia="zh-CN" w:bidi="ar"/>
              </w:rPr>
              <w:t xml:space="preserve">《煤炭工业环境保护设计规范》            </w:t>
            </w:r>
          </w:p>
        </w:tc>
        <w:tc>
          <w:tcPr>
            <w:tcW w:w="4200" w:type="dxa"/>
            <w:vAlign w:val="center"/>
          </w:tcPr>
          <w:p>
            <w:pPr>
              <w:pStyle w:val="181"/>
              <w:adjustRightInd/>
              <w:spacing w:before="0" w:after="0" w:line="240" w:lineRule="auto"/>
              <w:ind w:firstLine="0" w:firstLineChars="0"/>
              <w:jc w:val="both"/>
              <w:rPr>
                <w:rFonts w:hint="eastAsia" w:ascii="宋体" w:hAnsi="宋体" w:eastAsia="宋体"/>
                <w:color w:val="auto"/>
                <w:sz w:val="21"/>
                <w:szCs w:val="21"/>
                <w:lang w:bidi="ar"/>
              </w:rPr>
            </w:pPr>
            <w:r>
              <w:rPr>
                <w:rFonts w:hint="eastAsia" w:ascii="宋体" w:hAnsi="宋体" w:eastAsia="宋体"/>
                <w:color w:val="auto"/>
                <w:sz w:val="21"/>
                <w:szCs w:val="21"/>
                <w:lang w:bidi="ar"/>
              </w:rPr>
              <w:t>GB 50821-2012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887" w:type="dxa"/>
            <w:vAlign w:val="center"/>
          </w:tcPr>
          <w:p>
            <w:pPr>
              <w:pStyle w:val="181"/>
              <w:adjustRightInd/>
              <w:spacing w:before="0" w:after="0" w:line="240" w:lineRule="auto"/>
              <w:ind w:firstLine="0" w:firstLineChars="0"/>
              <w:jc w:val="center"/>
              <w:rPr>
                <w:rFonts w:hint="default" w:ascii="宋体" w:hAnsi="宋体" w:eastAsia="宋体"/>
                <w:color w:val="auto"/>
                <w:sz w:val="21"/>
                <w:szCs w:val="21"/>
                <w:lang w:val="en-US" w:eastAsia="zh-CN" w:bidi="ar"/>
              </w:rPr>
            </w:pPr>
            <w:r>
              <w:rPr>
                <w:rFonts w:hint="eastAsia" w:hAnsi="宋体"/>
                <w:color w:val="auto"/>
                <w:sz w:val="21"/>
                <w:szCs w:val="21"/>
                <w:lang w:val="en-US" w:eastAsia="zh-CN" w:bidi="ar"/>
              </w:rPr>
              <w:t>7</w:t>
            </w:r>
          </w:p>
        </w:tc>
        <w:tc>
          <w:tcPr>
            <w:tcW w:w="4200" w:type="dxa"/>
            <w:vAlign w:val="center"/>
          </w:tcPr>
          <w:p>
            <w:pPr>
              <w:pStyle w:val="181"/>
              <w:adjustRightInd/>
              <w:spacing w:before="0" w:after="0" w:line="240" w:lineRule="auto"/>
              <w:ind w:firstLine="0" w:firstLineChars="0"/>
              <w:jc w:val="both"/>
              <w:rPr>
                <w:rFonts w:hint="eastAsia" w:ascii="宋体" w:hAnsi="宋体" w:eastAsia="宋体" w:cs="Times New Roman"/>
                <w:color w:val="auto"/>
                <w:kern w:val="0"/>
                <w:sz w:val="21"/>
                <w:szCs w:val="21"/>
                <w:lang w:val="en-US" w:eastAsia="zh-CN" w:bidi="ar"/>
              </w:rPr>
            </w:pPr>
            <w:r>
              <w:rPr>
                <w:rFonts w:hint="eastAsia" w:ascii="宋体" w:hAnsi="宋体" w:eastAsia="宋体" w:cs="Times New Roman"/>
                <w:color w:val="auto"/>
                <w:kern w:val="0"/>
                <w:sz w:val="21"/>
                <w:szCs w:val="21"/>
                <w:lang w:val="en-US" w:eastAsia="zh-CN" w:bidi="ar"/>
              </w:rPr>
              <w:t xml:space="preserve">《建筑灭火器配置设计规范》              </w:t>
            </w:r>
          </w:p>
        </w:tc>
        <w:tc>
          <w:tcPr>
            <w:tcW w:w="4200" w:type="dxa"/>
            <w:vAlign w:val="center"/>
          </w:tcPr>
          <w:p>
            <w:pPr>
              <w:pStyle w:val="181"/>
              <w:adjustRightInd/>
              <w:spacing w:before="0" w:after="0" w:line="240" w:lineRule="auto"/>
              <w:ind w:firstLine="0" w:firstLineChars="0"/>
              <w:jc w:val="both"/>
              <w:rPr>
                <w:rFonts w:hint="eastAsia" w:ascii="宋体" w:hAnsi="宋体" w:eastAsia="宋体"/>
                <w:color w:val="auto"/>
                <w:sz w:val="21"/>
                <w:szCs w:val="21"/>
                <w:lang w:bidi="ar"/>
              </w:rPr>
            </w:pPr>
            <w:r>
              <w:rPr>
                <w:rFonts w:hint="eastAsia" w:ascii="宋体" w:hAnsi="宋体" w:eastAsia="宋体"/>
                <w:color w:val="auto"/>
                <w:sz w:val="21"/>
                <w:szCs w:val="21"/>
                <w:lang w:bidi="ar"/>
              </w:rPr>
              <w:t>GB 50140-2005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887" w:type="dxa"/>
            <w:vAlign w:val="center"/>
          </w:tcPr>
          <w:p>
            <w:pPr>
              <w:pStyle w:val="181"/>
              <w:adjustRightInd/>
              <w:spacing w:before="0" w:after="0" w:line="240" w:lineRule="auto"/>
              <w:ind w:firstLine="0" w:firstLineChars="0"/>
              <w:jc w:val="center"/>
              <w:rPr>
                <w:rFonts w:hint="default" w:ascii="宋体" w:hAnsi="宋体" w:eastAsia="宋体"/>
                <w:color w:val="auto"/>
                <w:sz w:val="21"/>
                <w:szCs w:val="21"/>
                <w:lang w:val="en-US" w:eastAsia="zh-CN" w:bidi="ar"/>
              </w:rPr>
            </w:pPr>
            <w:r>
              <w:rPr>
                <w:rFonts w:hint="eastAsia" w:hAnsi="宋体"/>
                <w:color w:val="auto"/>
                <w:sz w:val="21"/>
                <w:szCs w:val="21"/>
                <w:lang w:val="en-US" w:eastAsia="zh-CN" w:bidi="ar"/>
              </w:rPr>
              <w:t>8</w:t>
            </w:r>
          </w:p>
        </w:tc>
        <w:tc>
          <w:tcPr>
            <w:tcW w:w="4200" w:type="dxa"/>
            <w:vAlign w:val="center"/>
          </w:tcPr>
          <w:p>
            <w:pPr>
              <w:adjustRightInd w:val="0"/>
              <w:spacing w:line="500" w:lineRule="exact"/>
              <w:rPr>
                <w:rFonts w:hint="eastAsia" w:ascii="宋体" w:hAnsi="宋体" w:eastAsia="宋体" w:cs="Times New Roman"/>
                <w:color w:val="auto"/>
                <w:kern w:val="0"/>
                <w:sz w:val="21"/>
                <w:szCs w:val="21"/>
                <w:lang w:val="en-US" w:eastAsia="zh-CN" w:bidi="ar"/>
              </w:rPr>
            </w:pPr>
            <w:r>
              <w:rPr>
                <w:rFonts w:hint="eastAsia" w:ascii="宋体" w:hAnsi="宋体" w:eastAsia="宋体" w:cs="Times New Roman"/>
                <w:color w:val="auto"/>
                <w:kern w:val="0"/>
                <w:sz w:val="21"/>
                <w:szCs w:val="21"/>
                <w:lang w:val="en-US" w:eastAsia="zh-CN" w:bidi="ar"/>
              </w:rPr>
              <w:t xml:space="preserve">《建筑给水排水与节水通用规范》          </w:t>
            </w:r>
          </w:p>
        </w:tc>
        <w:tc>
          <w:tcPr>
            <w:tcW w:w="4200" w:type="dxa"/>
            <w:vAlign w:val="center"/>
          </w:tcPr>
          <w:p>
            <w:pPr>
              <w:pStyle w:val="181"/>
              <w:adjustRightInd/>
              <w:spacing w:before="0" w:after="0" w:line="240" w:lineRule="auto"/>
              <w:ind w:firstLine="0" w:firstLineChars="0"/>
              <w:jc w:val="both"/>
              <w:rPr>
                <w:rFonts w:hint="eastAsia" w:ascii="宋体" w:hAnsi="宋体" w:eastAsia="宋体"/>
                <w:color w:val="auto"/>
                <w:sz w:val="21"/>
                <w:szCs w:val="21"/>
                <w:lang w:bidi="ar"/>
              </w:rPr>
            </w:pPr>
            <w:r>
              <w:rPr>
                <w:rFonts w:hint="eastAsia" w:ascii="宋体" w:hAnsi="宋体" w:eastAsia="宋体"/>
                <w:color w:val="auto"/>
                <w:sz w:val="21"/>
                <w:szCs w:val="21"/>
                <w:lang w:bidi="ar"/>
              </w:rPr>
              <w:t>GB 55020-2021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887" w:type="dxa"/>
            <w:vAlign w:val="center"/>
          </w:tcPr>
          <w:p>
            <w:pPr>
              <w:pStyle w:val="181"/>
              <w:adjustRightInd/>
              <w:spacing w:before="0" w:after="0" w:line="240" w:lineRule="auto"/>
              <w:ind w:firstLine="0" w:firstLineChars="0"/>
              <w:jc w:val="center"/>
              <w:rPr>
                <w:rFonts w:hint="default" w:ascii="宋体" w:hAnsi="宋体" w:eastAsia="宋体"/>
                <w:color w:val="auto"/>
                <w:sz w:val="21"/>
                <w:szCs w:val="21"/>
                <w:lang w:val="en-US" w:eastAsia="zh-CN" w:bidi="ar"/>
              </w:rPr>
            </w:pPr>
            <w:r>
              <w:rPr>
                <w:rFonts w:hint="eastAsia" w:hAnsi="宋体"/>
                <w:color w:val="auto"/>
                <w:sz w:val="21"/>
                <w:szCs w:val="21"/>
                <w:lang w:val="en-US" w:eastAsia="zh-CN" w:bidi="ar"/>
              </w:rPr>
              <w:t>9</w:t>
            </w:r>
          </w:p>
        </w:tc>
        <w:tc>
          <w:tcPr>
            <w:tcW w:w="4200" w:type="dxa"/>
            <w:vAlign w:val="center"/>
          </w:tcPr>
          <w:p>
            <w:pPr>
              <w:adjustRightInd w:val="0"/>
              <w:spacing w:line="500" w:lineRule="exact"/>
              <w:rPr>
                <w:rFonts w:hint="eastAsia" w:ascii="宋体" w:hAnsi="宋体" w:eastAsia="宋体" w:cs="Times New Roman"/>
                <w:color w:val="auto"/>
                <w:kern w:val="0"/>
                <w:sz w:val="21"/>
                <w:szCs w:val="21"/>
                <w:lang w:val="en-US" w:eastAsia="zh-CN" w:bidi="ar"/>
              </w:rPr>
            </w:pPr>
            <w:r>
              <w:rPr>
                <w:rFonts w:hint="eastAsia" w:ascii="宋体" w:hAnsi="宋体" w:eastAsia="宋体" w:cs="Times New Roman"/>
                <w:color w:val="auto"/>
                <w:kern w:val="0"/>
                <w:sz w:val="21"/>
                <w:szCs w:val="21"/>
                <w:lang w:val="en-US" w:eastAsia="zh-CN" w:bidi="ar"/>
              </w:rPr>
              <w:t xml:space="preserve">《煤化工工程设计防火标准》              </w:t>
            </w:r>
          </w:p>
        </w:tc>
        <w:tc>
          <w:tcPr>
            <w:tcW w:w="4200" w:type="dxa"/>
            <w:vAlign w:val="center"/>
          </w:tcPr>
          <w:p>
            <w:pPr>
              <w:pStyle w:val="181"/>
              <w:adjustRightInd/>
              <w:spacing w:before="0" w:after="0" w:line="240" w:lineRule="auto"/>
              <w:ind w:firstLine="0" w:firstLineChars="0"/>
              <w:jc w:val="both"/>
              <w:rPr>
                <w:rFonts w:hint="eastAsia" w:ascii="宋体" w:hAnsi="宋体" w:eastAsia="宋体"/>
                <w:color w:val="auto"/>
                <w:sz w:val="21"/>
                <w:szCs w:val="21"/>
                <w:lang w:bidi="ar"/>
              </w:rPr>
            </w:pPr>
            <w:r>
              <w:rPr>
                <w:rFonts w:hint="eastAsia" w:ascii="宋体" w:hAnsi="宋体" w:eastAsia="宋体"/>
                <w:color w:val="auto"/>
                <w:sz w:val="21"/>
                <w:szCs w:val="21"/>
                <w:lang w:bidi="ar"/>
              </w:rPr>
              <w:t>GB 51428-2021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887" w:type="dxa"/>
            <w:vAlign w:val="center"/>
          </w:tcPr>
          <w:p>
            <w:pPr>
              <w:pStyle w:val="181"/>
              <w:adjustRightInd/>
              <w:spacing w:before="0" w:after="0" w:line="240" w:lineRule="auto"/>
              <w:ind w:firstLine="0" w:firstLineChars="0"/>
              <w:jc w:val="center"/>
              <w:rPr>
                <w:rFonts w:hint="default" w:ascii="宋体" w:hAnsi="宋体" w:eastAsia="宋体"/>
                <w:color w:val="auto"/>
                <w:sz w:val="21"/>
                <w:szCs w:val="21"/>
                <w:lang w:val="en-US" w:eastAsia="zh-CN" w:bidi="ar"/>
              </w:rPr>
            </w:pPr>
            <w:r>
              <w:rPr>
                <w:rFonts w:hint="eastAsia" w:hAnsi="宋体"/>
                <w:color w:val="auto"/>
                <w:sz w:val="21"/>
                <w:szCs w:val="21"/>
                <w:lang w:val="en-US" w:eastAsia="zh-CN" w:bidi="ar"/>
              </w:rPr>
              <w:t>10</w:t>
            </w:r>
          </w:p>
        </w:tc>
        <w:tc>
          <w:tcPr>
            <w:tcW w:w="4200" w:type="dxa"/>
            <w:vAlign w:val="center"/>
          </w:tcPr>
          <w:p>
            <w:pPr>
              <w:pStyle w:val="181"/>
              <w:adjustRightInd/>
              <w:spacing w:before="0" w:after="0" w:line="240" w:lineRule="auto"/>
              <w:ind w:firstLine="0" w:firstLineChars="0"/>
              <w:jc w:val="both"/>
              <w:rPr>
                <w:rFonts w:hint="eastAsia" w:ascii="宋体" w:hAnsi="宋体" w:eastAsia="宋体" w:cs="Times New Roman"/>
                <w:color w:val="auto"/>
                <w:kern w:val="0"/>
                <w:sz w:val="21"/>
                <w:szCs w:val="21"/>
                <w:lang w:val="en-US" w:eastAsia="zh-CN" w:bidi="ar"/>
              </w:rPr>
            </w:pPr>
            <w:r>
              <w:rPr>
                <w:rFonts w:hint="eastAsia" w:ascii="宋体" w:hAnsi="宋体" w:eastAsia="宋体"/>
                <w:color w:val="auto"/>
                <w:sz w:val="21"/>
                <w:szCs w:val="21"/>
                <w:lang w:bidi="ar"/>
              </w:rPr>
              <w:t>《石油化工企业设计防火标准》（2018年版）</w:t>
            </w:r>
          </w:p>
        </w:tc>
        <w:tc>
          <w:tcPr>
            <w:tcW w:w="4200" w:type="dxa"/>
            <w:vAlign w:val="center"/>
          </w:tcPr>
          <w:p>
            <w:pPr>
              <w:pStyle w:val="181"/>
              <w:adjustRightInd/>
              <w:spacing w:before="0" w:after="0" w:line="240" w:lineRule="auto"/>
              <w:ind w:firstLine="0" w:firstLineChars="0"/>
              <w:jc w:val="both"/>
              <w:rPr>
                <w:rFonts w:hint="eastAsia" w:ascii="宋体" w:hAnsi="宋体" w:eastAsia="宋体"/>
                <w:color w:val="auto"/>
                <w:sz w:val="21"/>
                <w:szCs w:val="21"/>
                <w:lang w:bidi="ar"/>
              </w:rPr>
            </w:pPr>
            <w:r>
              <w:rPr>
                <w:rFonts w:hint="eastAsia" w:ascii="宋体" w:hAnsi="宋体" w:eastAsia="宋体"/>
                <w:color w:val="auto"/>
                <w:sz w:val="21"/>
                <w:szCs w:val="21"/>
                <w:lang w:bidi="ar"/>
              </w:rPr>
              <w:t>GB 50160-2008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887" w:type="dxa"/>
            <w:vAlign w:val="center"/>
          </w:tcPr>
          <w:p>
            <w:pPr>
              <w:pStyle w:val="181"/>
              <w:adjustRightInd/>
              <w:spacing w:before="0" w:after="0" w:line="240" w:lineRule="auto"/>
              <w:ind w:firstLine="0" w:firstLineChars="0"/>
              <w:jc w:val="center"/>
              <w:rPr>
                <w:rFonts w:hint="default" w:ascii="宋体" w:hAnsi="宋体" w:eastAsia="宋体"/>
                <w:color w:val="auto"/>
                <w:sz w:val="21"/>
                <w:szCs w:val="21"/>
                <w:lang w:val="en-US" w:eastAsia="zh-CN" w:bidi="ar"/>
              </w:rPr>
            </w:pPr>
            <w:r>
              <w:rPr>
                <w:rFonts w:hint="eastAsia" w:hAnsi="宋体"/>
                <w:color w:val="auto"/>
                <w:sz w:val="21"/>
                <w:szCs w:val="21"/>
                <w:lang w:val="en-US" w:eastAsia="zh-CN" w:bidi="ar"/>
              </w:rPr>
              <w:t>11</w:t>
            </w:r>
          </w:p>
        </w:tc>
        <w:tc>
          <w:tcPr>
            <w:tcW w:w="4200" w:type="dxa"/>
            <w:vAlign w:val="center"/>
          </w:tcPr>
          <w:p>
            <w:pPr>
              <w:adjustRightInd w:val="0"/>
              <w:spacing w:line="500" w:lineRule="exact"/>
              <w:rPr>
                <w:rFonts w:hint="eastAsia" w:ascii="宋体" w:hAnsi="宋体" w:eastAsia="宋体" w:cs="Times New Roman"/>
                <w:color w:val="auto"/>
                <w:kern w:val="0"/>
                <w:sz w:val="21"/>
                <w:szCs w:val="21"/>
                <w:lang w:val="en-US" w:eastAsia="zh-CN" w:bidi="ar"/>
              </w:rPr>
            </w:pPr>
            <w:r>
              <w:rPr>
                <w:rFonts w:hint="eastAsia" w:ascii="宋体" w:hAnsi="宋体" w:eastAsia="宋体" w:cs="Times New Roman"/>
                <w:color w:val="auto"/>
                <w:kern w:val="0"/>
                <w:sz w:val="21"/>
                <w:szCs w:val="21"/>
                <w:lang w:val="en-US" w:eastAsia="zh-CN" w:bidi="ar"/>
              </w:rPr>
              <w:t xml:space="preserve">《火力发电厂与变电站设计防火标准》      </w:t>
            </w:r>
          </w:p>
        </w:tc>
        <w:tc>
          <w:tcPr>
            <w:tcW w:w="4200" w:type="dxa"/>
            <w:vAlign w:val="center"/>
          </w:tcPr>
          <w:p>
            <w:pPr>
              <w:pStyle w:val="181"/>
              <w:adjustRightInd/>
              <w:spacing w:before="0" w:after="0" w:line="240" w:lineRule="auto"/>
              <w:ind w:firstLine="0" w:firstLineChars="0"/>
              <w:jc w:val="both"/>
              <w:rPr>
                <w:rFonts w:hint="eastAsia" w:ascii="宋体" w:hAnsi="宋体" w:eastAsia="宋体"/>
                <w:color w:val="auto"/>
                <w:sz w:val="21"/>
                <w:szCs w:val="21"/>
                <w:lang w:bidi="ar"/>
              </w:rPr>
            </w:pPr>
            <w:r>
              <w:rPr>
                <w:rFonts w:hint="eastAsia" w:ascii="宋体" w:hAnsi="宋体" w:eastAsia="宋体"/>
                <w:color w:val="auto"/>
                <w:sz w:val="21"/>
                <w:szCs w:val="21"/>
                <w:lang w:bidi="ar"/>
              </w:rPr>
              <w:t>GB 50229-2019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887" w:type="dxa"/>
            <w:vAlign w:val="center"/>
          </w:tcPr>
          <w:p>
            <w:pPr>
              <w:pStyle w:val="181"/>
              <w:adjustRightInd/>
              <w:spacing w:before="0" w:after="0" w:line="240" w:lineRule="auto"/>
              <w:ind w:firstLine="0" w:firstLineChars="0"/>
              <w:jc w:val="center"/>
              <w:rPr>
                <w:rFonts w:hint="default" w:ascii="宋体" w:hAnsi="宋体" w:eastAsia="宋体"/>
                <w:color w:val="auto"/>
                <w:sz w:val="21"/>
                <w:szCs w:val="21"/>
                <w:lang w:val="en-US" w:eastAsia="zh-CN" w:bidi="ar"/>
              </w:rPr>
            </w:pPr>
            <w:r>
              <w:rPr>
                <w:rFonts w:hint="eastAsia" w:hAnsi="宋体"/>
                <w:color w:val="auto"/>
                <w:sz w:val="21"/>
                <w:szCs w:val="21"/>
                <w:lang w:val="en-US" w:eastAsia="zh-CN" w:bidi="ar"/>
              </w:rPr>
              <w:t>12</w:t>
            </w:r>
          </w:p>
        </w:tc>
        <w:tc>
          <w:tcPr>
            <w:tcW w:w="4200" w:type="dxa"/>
            <w:vAlign w:val="center"/>
          </w:tcPr>
          <w:p>
            <w:pPr>
              <w:pStyle w:val="181"/>
              <w:adjustRightInd/>
              <w:spacing w:before="0" w:after="0" w:line="240" w:lineRule="auto"/>
              <w:ind w:firstLine="0" w:firstLineChars="0"/>
              <w:jc w:val="both"/>
              <w:rPr>
                <w:rFonts w:hint="eastAsia" w:ascii="宋体" w:hAnsi="宋体" w:eastAsia="宋体" w:cs="Times New Roman"/>
                <w:color w:val="auto"/>
                <w:kern w:val="0"/>
                <w:sz w:val="21"/>
                <w:szCs w:val="21"/>
                <w:lang w:val="en-US" w:eastAsia="zh-CN" w:bidi="ar"/>
              </w:rPr>
            </w:pPr>
            <w:r>
              <w:rPr>
                <w:rFonts w:hint="eastAsia" w:ascii="宋体" w:hAnsi="宋体" w:eastAsia="宋体" w:cs="Times New Roman"/>
                <w:color w:val="auto"/>
                <w:kern w:val="0"/>
                <w:sz w:val="21"/>
                <w:szCs w:val="21"/>
                <w:lang w:val="en-US" w:eastAsia="zh-CN" w:bidi="ar"/>
              </w:rPr>
              <w:t>《自动跟踪定位射流灭火系统技术标准》</w:t>
            </w:r>
          </w:p>
        </w:tc>
        <w:tc>
          <w:tcPr>
            <w:tcW w:w="4200" w:type="dxa"/>
            <w:vAlign w:val="center"/>
          </w:tcPr>
          <w:p>
            <w:pPr>
              <w:pStyle w:val="181"/>
              <w:adjustRightInd/>
              <w:spacing w:before="0" w:after="0" w:line="240" w:lineRule="auto"/>
              <w:ind w:firstLine="0" w:firstLineChars="0"/>
              <w:jc w:val="both"/>
              <w:rPr>
                <w:rFonts w:hint="eastAsia" w:ascii="宋体" w:hAnsi="宋体" w:eastAsia="宋体"/>
                <w:color w:val="auto"/>
                <w:sz w:val="21"/>
                <w:szCs w:val="21"/>
                <w:lang w:bidi="ar"/>
              </w:rPr>
            </w:pPr>
            <w:r>
              <w:rPr>
                <w:rFonts w:hint="eastAsia" w:ascii="宋体" w:hAnsi="宋体" w:eastAsia="宋体"/>
                <w:color w:val="auto"/>
                <w:sz w:val="21"/>
                <w:szCs w:val="21"/>
                <w:lang w:bidi="ar"/>
              </w:rPr>
              <w:t>GB 51427-2021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887" w:type="dxa"/>
            <w:vAlign w:val="center"/>
          </w:tcPr>
          <w:p>
            <w:pPr>
              <w:pStyle w:val="181"/>
              <w:adjustRightInd/>
              <w:spacing w:before="0" w:after="0" w:line="240" w:lineRule="auto"/>
              <w:ind w:firstLine="0" w:firstLineChars="0"/>
              <w:jc w:val="center"/>
              <w:rPr>
                <w:rFonts w:hint="default" w:ascii="宋体" w:hAnsi="宋体" w:eastAsia="宋体"/>
                <w:color w:val="auto"/>
                <w:sz w:val="21"/>
                <w:szCs w:val="21"/>
                <w:lang w:val="en-US" w:eastAsia="zh-CN" w:bidi="ar"/>
              </w:rPr>
            </w:pPr>
            <w:r>
              <w:rPr>
                <w:rFonts w:hint="eastAsia" w:hAnsi="宋体"/>
                <w:color w:val="auto"/>
                <w:sz w:val="21"/>
                <w:szCs w:val="21"/>
                <w:lang w:val="en-US" w:eastAsia="zh-CN" w:bidi="ar"/>
              </w:rPr>
              <w:t>13</w:t>
            </w:r>
          </w:p>
        </w:tc>
        <w:tc>
          <w:tcPr>
            <w:tcW w:w="4200" w:type="dxa"/>
            <w:vAlign w:val="center"/>
          </w:tcPr>
          <w:p>
            <w:pPr>
              <w:widowControl/>
              <w:spacing w:line="500" w:lineRule="exact"/>
              <w:rPr>
                <w:rFonts w:hint="eastAsia" w:ascii="宋体" w:hAnsi="宋体" w:eastAsia="宋体" w:cs="Times New Roman"/>
                <w:color w:val="auto"/>
                <w:kern w:val="0"/>
                <w:sz w:val="21"/>
                <w:szCs w:val="21"/>
                <w:lang w:val="en-US" w:eastAsia="zh-CN" w:bidi="ar"/>
              </w:rPr>
            </w:pPr>
            <w:r>
              <w:rPr>
                <w:rFonts w:hint="eastAsia" w:ascii="宋体" w:hAnsi="宋体" w:eastAsia="宋体" w:cs="Times New Roman"/>
                <w:color w:val="auto"/>
                <w:kern w:val="0"/>
                <w:sz w:val="21"/>
                <w:szCs w:val="21"/>
                <w:lang w:val="en-US" w:eastAsia="zh-CN" w:bidi="ar"/>
              </w:rPr>
              <w:t xml:space="preserve">《固定消防炮灭火系统设计规范》          </w:t>
            </w:r>
          </w:p>
        </w:tc>
        <w:tc>
          <w:tcPr>
            <w:tcW w:w="4200" w:type="dxa"/>
            <w:vAlign w:val="center"/>
          </w:tcPr>
          <w:p>
            <w:pPr>
              <w:pStyle w:val="181"/>
              <w:adjustRightInd/>
              <w:spacing w:before="0" w:after="0" w:line="240" w:lineRule="auto"/>
              <w:ind w:firstLine="0" w:firstLineChars="0"/>
              <w:jc w:val="both"/>
              <w:rPr>
                <w:rFonts w:hint="eastAsia" w:ascii="宋体" w:hAnsi="宋体" w:eastAsia="宋体"/>
                <w:color w:val="auto"/>
                <w:sz w:val="21"/>
                <w:szCs w:val="21"/>
                <w:lang w:bidi="ar"/>
              </w:rPr>
            </w:pPr>
            <w:r>
              <w:rPr>
                <w:rFonts w:hint="eastAsia" w:ascii="宋体" w:hAnsi="宋体" w:eastAsia="宋体"/>
                <w:color w:val="auto"/>
                <w:sz w:val="21"/>
                <w:szCs w:val="21"/>
                <w:lang w:bidi="ar"/>
              </w:rPr>
              <w:t>GB 50338-2003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887" w:type="dxa"/>
            <w:vAlign w:val="center"/>
          </w:tcPr>
          <w:p>
            <w:pPr>
              <w:pStyle w:val="181"/>
              <w:adjustRightInd/>
              <w:spacing w:before="0" w:after="0" w:line="240" w:lineRule="auto"/>
              <w:ind w:firstLine="0" w:firstLineChars="0"/>
              <w:jc w:val="center"/>
              <w:rPr>
                <w:rFonts w:hint="default" w:ascii="宋体" w:hAnsi="宋体" w:eastAsia="宋体"/>
                <w:color w:val="auto"/>
                <w:sz w:val="21"/>
                <w:szCs w:val="21"/>
                <w:lang w:val="en-US" w:eastAsia="zh-CN" w:bidi="ar"/>
              </w:rPr>
            </w:pPr>
            <w:r>
              <w:rPr>
                <w:rFonts w:hint="eastAsia" w:hAnsi="宋体"/>
                <w:color w:val="auto"/>
                <w:sz w:val="21"/>
                <w:szCs w:val="21"/>
                <w:lang w:val="en-US" w:eastAsia="zh-CN" w:bidi="ar"/>
              </w:rPr>
              <w:t>14</w:t>
            </w:r>
          </w:p>
        </w:tc>
        <w:tc>
          <w:tcPr>
            <w:tcW w:w="4200" w:type="dxa"/>
            <w:vAlign w:val="center"/>
          </w:tcPr>
          <w:p>
            <w:pPr>
              <w:pStyle w:val="181"/>
              <w:adjustRightInd/>
              <w:spacing w:before="0" w:after="0" w:line="240" w:lineRule="auto"/>
              <w:ind w:firstLine="0" w:firstLineChars="0"/>
              <w:jc w:val="both"/>
              <w:rPr>
                <w:rFonts w:hint="eastAsia" w:ascii="宋体" w:hAnsi="宋体" w:eastAsia="宋体"/>
                <w:color w:val="auto"/>
                <w:sz w:val="21"/>
                <w:szCs w:val="21"/>
                <w:lang w:bidi="ar"/>
              </w:rPr>
            </w:pPr>
            <w:r>
              <w:rPr>
                <w:rFonts w:hint="eastAsia" w:ascii="宋体" w:hAnsi="宋体" w:eastAsia="宋体"/>
                <w:color w:val="auto"/>
                <w:sz w:val="21"/>
                <w:szCs w:val="21"/>
                <w:lang w:bidi="ar"/>
              </w:rPr>
              <w:t xml:space="preserve">《室外给水设计标准》                    </w:t>
            </w:r>
          </w:p>
        </w:tc>
        <w:tc>
          <w:tcPr>
            <w:tcW w:w="4200" w:type="dxa"/>
            <w:vAlign w:val="center"/>
          </w:tcPr>
          <w:p>
            <w:pPr>
              <w:pStyle w:val="181"/>
              <w:adjustRightInd/>
              <w:spacing w:before="0" w:after="0" w:line="240" w:lineRule="auto"/>
              <w:ind w:firstLine="0" w:firstLineChars="0"/>
              <w:jc w:val="both"/>
              <w:rPr>
                <w:rFonts w:hint="eastAsia" w:ascii="宋体" w:hAnsi="宋体" w:eastAsia="宋体"/>
                <w:color w:val="auto"/>
                <w:sz w:val="21"/>
                <w:szCs w:val="21"/>
                <w:lang w:bidi="ar"/>
              </w:rPr>
            </w:pPr>
            <w:r>
              <w:rPr>
                <w:rFonts w:hint="eastAsia" w:ascii="宋体" w:hAnsi="宋体" w:eastAsia="宋体"/>
                <w:color w:val="auto"/>
                <w:sz w:val="21"/>
                <w:szCs w:val="21"/>
                <w:lang w:bidi="ar"/>
              </w:rPr>
              <w:t>GB 50013-2018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887" w:type="dxa"/>
            <w:vAlign w:val="center"/>
          </w:tcPr>
          <w:p>
            <w:pPr>
              <w:pStyle w:val="181"/>
              <w:adjustRightInd/>
              <w:spacing w:before="0" w:after="0" w:line="240" w:lineRule="auto"/>
              <w:ind w:firstLine="0" w:firstLineChars="0"/>
              <w:jc w:val="center"/>
              <w:rPr>
                <w:rFonts w:hint="default" w:ascii="宋体" w:hAnsi="宋体" w:eastAsia="宋体"/>
                <w:color w:val="auto"/>
                <w:sz w:val="21"/>
                <w:szCs w:val="21"/>
                <w:lang w:val="en-US" w:eastAsia="zh-CN" w:bidi="ar"/>
              </w:rPr>
            </w:pPr>
            <w:r>
              <w:rPr>
                <w:rFonts w:hint="eastAsia" w:hAnsi="宋体"/>
                <w:color w:val="auto"/>
                <w:sz w:val="21"/>
                <w:szCs w:val="21"/>
                <w:lang w:val="en-US" w:eastAsia="zh-CN" w:bidi="ar"/>
              </w:rPr>
              <w:t>15</w:t>
            </w:r>
          </w:p>
        </w:tc>
        <w:tc>
          <w:tcPr>
            <w:tcW w:w="4200" w:type="dxa"/>
            <w:vAlign w:val="center"/>
          </w:tcPr>
          <w:p>
            <w:pPr>
              <w:pStyle w:val="181"/>
              <w:adjustRightInd/>
              <w:spacing w:before="0" w:after="0" w:line="240" w:lineRule="auto"/>
              <w:ind w:firstLine="0" w:firstLineChars="0"/>
              <w:jc w:val="both"/>
              <w:rPr>
                <w:rFonts w:hint="eastAsia" w:ascii="宋体" w:hAnsi="宋体" w:eastAsia="宋体"/>
                <w:color w:val="auto"/>
                <w:sz w:val="21"/>
                <w:szCs w:val="21"/>
                <w:lang w:bidi="ar"/>
              </w:rPr>
            </w:pPr>
            <w:r>
              <w:rPr>
                <w:rFonts w:hint="eastAsia" w:ascii="宋体" w:hAnsi="宋体" w:eastAsia="宋体"/>
                <w:color w:val="auto"/>
                <w:sz w:val="21"/>
                <w:szCs w:val="21"/>
                <w:lang w:bidi="ar"/>
              </w:rPr>
              <w:t xml:space="preserve">《室外排水设计标准》                    </w:t>
            </w:r>
          </w:p>
        </w:tc>
        <w:tc>
          <w:tcPr>
            <w:tcW w:w="4200" w:type="dxa"/>
            <w:vAlign w:val="center"/>
          </w:tcPr>
          <w:p>
            <w:pPr>
              <w:pStyle w:val="181"/>
              <w:adjustRightInd/>
              <w:spacing w:before="0" w:after="0" w:line="240" w:lineRule="auto"/>
              <w:ind w:firstLine="0" w:firstLineChars="0"/>
              <w:jc w:val="both"/>
              <w:rPr>
                <w:rFonts w:hint="eastAsia" w:ascii="宋体" w:hAnsi="宋体" w:eastAsia="宋体"/>
                <w:color w:val="auto"/>
                <w:sz w:val="21"/>
                <w:szCs w:val="21"/>
                <w:lang w:bidi="ar"/>
              </w:rPr>
            </w:pPr>
            <w:r>
              <w:rPr>
                <w:rFonts w:hint="eastAsia" w:ascii="宋体" w:hAnsi="宋体" w:eastAsia="宋体"/>
                <w:color w:val="auto"/>
                <w:sz w:val="21"/>
                <w:szCs w:val="21"/>
                <w:lang w:bidi="ar"/>
              </w:rPr>
              <w:t>GB 50014-2021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887" w:type="dxa"/>
            <w:vAlign w:val="center"/>
          </w:tcPr>
          <w:p>
            <w:pPr>
              <w:pStyle w:val="181"/>
              <w:adjustRightInd/>
              <w:spacing w:before="0" w:after="0" w:line="240" w:lineRule="auto"/>
              <w:ind w:firstLine="0" w:firstLineChars="0"/>
              <w:jc w:val="center"/>
              <w:rPr>
                <w:rFonts w:hint="default" w:ascii="宋体" w:hAnsi="宋体" w:eastAsia="宋体"/>
                <w:color w:val="auto"/>
                <w:sz w:val="21"/>
                <w:szCs w:val="21"/>
                <w:lang w:val="en-US" w:eastAsia="zh-CN" w:bidi="ar"/>
              </w:rPr>
            </w:pPr>
            <w:r>
              <w:rPr>
                <w:rFonts w:hint="eastAsia" w:ascii="宋体" w:hAnsi="宋体" w:eastAsia="宋体"/>
                <w:color w:val="auto"/>
                <w:sz w:val="21"/>
                <w:szCs w:val="21"/>
                <w:lang w:val="en-US" w:eastAsia="zh-CN" w:bidi="ar"/>
              </w:rPr>
              <w:t>四</w:t>
            </w:r>
          </w:p>
        </w:tc>
        <w:tc>
          <w:tcPr>
            <w:tcW w:w="4200" w:type="dxa"/>
            <w:vAlign w:val="center"/>
          </w:tcPr>
          <w:p>
            <w:pPr>
              <w:pStyle w:val="181"/>
              <w:adjustRightInd/>
              <w:spacing w:before="0" w:after="0" w:line="240" w:lineRule="auto"/>
              <w:ind w:firstLine="0" w:firstLineChars="0"/>
              <w:jc w:val="both"/>
              <w:rPr>
                <w:rFonts w:hint="default" w:ascii="宋体" w:hAnsi="宋体" w:eastAsia="宋体" w:cs="Times New Roman"/>
                <w:color w:val="auto"/>
                <w:kern w:val="0"/>
                <w:sz w:val="21"/>
                <w:szCs w:val="21"/>
                <w:lang w:val="en-US" w:eastAsia="zh-CN" w:bidi="ar-SA"/>
              </w:rPr>
            </w:pPr>
            <w:r>
              <w:rPr>
                <w:rFonts w:hint="eastAsia" w:ascii="宋体" w:hAnsi="宋体" w:eastAsia="宋体"/>
                <w:color w:val="auto"/>
                <w:sz w:val="21"/>
                <w:szCs w:val="21"/>
                <w:lang w:val="en-US" w:eastAsia="zh-CN" w:bidi="ar"/>
              </w:rPr>
              <w:t>暖通</w:t>
            </w:r>
          </w:p>
        </w:tc>
        <w:tc>
          <w:tcPr>
            <w:tcW w:w="4200" w:type="dxa"/>
            <w:vAlign w:val="center"/>
          </w:tcPr>
          <w:p>
            <w:pPr>
              <w:pStyle w:val="181"/>
              <w:adjustRightInd/>
              <w:spacing w:before="0" w:after="0" w:line="240" w:lineRule="auto"/>
              <w:ind w:firstLine="0" w:firstLineChars="0"/>
              <w:jc w:val="both"/>
              <w:rPr>
                <w:rFonts w:hint="eastAsia" w:ascii="宋体" w:hAnsi="宋体" w:eastAsia="宋体"/>
                <w:color w:val="auto"/>
                <w:sz w:val="21"/>
                <w:szCs w:val="21"/>
                <w:lang w:bidi="ar"/>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887" w:type="dxa"/>
            <w:vAlign w:val="center"/>
          </w:tcPr>
          <w:p>
            <w:pPr>
              <w:pStyle w:val="181"/>
              <w:adjustRightInd/>
              <w:spacing w:before="0" w:after="0" w:line="240" w:lineRule="auto"/>
              <w:ind w:firstLine="0" w:firstLineChars="0"/>
              <w:jc w:val="center"/>
              <w:rPr>
                <w:rFonts w:hint="default" w:ascii="宋体" w:hAnsi="宋体" w:eastAsia="宋体"/>
                <w:color w:val="auto"/>
                <w:sz w:val="21"/>
                <w:szCs w:val="21"/>
                <w:lang w:val="en-US" w:eastAsia="zh-CN" w:bidi="ar"/>
              </w:rPr>
            </w:pPr>
            <w:r>
              <w:rPr>
                <w:rFonts w:hint="eastAsia" w:hAnsi="宋体"/>
                <w:color w:val="auto"/>
                <w:sz w:val="21"/>
                <w:szCs w:val="21"/>
                <w:lang w:val="en-US" w:eastAsia="zh-CN" w:bidi="ar"/>
              </w:rPr>
              <w:t>1</w:t>
            </w:r>
          </w:p>
        </w:tc>
        <w:tc>
          <w:tcPr>
            <w:tcW w:w="4200" w:type="dxa"/>
            <w:vAlign w:val="center"/>
          </w:tcPr>
          <w:p>
            <w:pPr>
              <w:pStyle w:val="181"/>
              <w:adjustRightInd/>
              <w:spacing w:before="0" w:after="0" w:line="240" w:lineRule="auto"/>
              <w:ind w:firstLine="0" w:firstLineChars="0"/>
              <w:jc w:val="both"/>
              <w:rPr>
                <w:rFonts w:hint="eastAsia" w:ascii="宋体" w:hAnsi="宋体" w:eastAsia="宋体"/>
                <w:color w:val="auto"/>
                <w:sz w:val="21"/>
                <w:szCs w:val="21"/>
                <w:lang w:bidi="ar"/>
              </w:rPr>
            </w:pPr>
            <w:r>
              <w:rPr>
                <w:rFonts w:hint="eastAsia" w:ascii="宋体" w:hAnsi="宋体" w:eastAsia="宋体"/>
                <w:color w:val="auto"/>
                <w:sz w:val="21"/>
                <w:szCs w:val="21"/>
                <w:lang w:bidi="ar"/>
              </w:rPr>
              <w:t>《石油化工企业设计防火标准》（2018年版）</w:t>
            </w:r>
          </w:p>
        </w:tc>
        <w:tc>
          <w:tcPr>
            <w:tcW w:w="4200" w:type="dxa"/>
            <w:vAlign w:val="center"/>
          </w:tcPr>
          <w:p>
            <w:pPr>
              <w:pStyle w:val="181"/>
              <w:adjustRightInd/>
              <w:spacing w:before="0" w:after="0" w:line="240" w:lineRule="auto"/>
              <w:ind w:firstLine="0" w:firstLineChars="0"/>
              <w:jc w:val="both"/>
              <w:rPr>
                <w:rFonts w:hint="eastAsia" w:ascii="宋体" w:hAnsi="宋体" w:eastAsia="宋体"/>
                <w:color w:val="auto"/>
                <w:sz w:val="21"/>
                <w:szCs w:val="21"/>
                <w:lang w:bidi="ar"/>
              </w:rPr>
            </w:pPr>
            <w:r>
              <w:rPr>
                <w:rFonts w:hint="eastAsia" w:ascii="宋体" w:hAnsi="宋体" w:eastAsia="宋体"/>
                <w:color w:val="auto"/>
                <w:sz w:val="21"/>
                <w:szCs w:val="21"/>
                <w:lang w:bidi="ar"/>
              </w:rPr>
              <w:t>GB50160-2008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887" w:type="dxa"/>
            <w:vAlign w:val="center"/>
          </w:tcPr>
          <w:p>
            <w:pPr>
              <w:pStyle w:val="181"/>
              <w:adjustRightInd/>
              <w:spacing w:before="0" w:after="0" w:line="240" w:lineRule="auto"/>
              <w:ind w:firstLine="0" w:firstLineChars="0"/>
              <w:jc w:val="center"/>
              <w:rPr>
                <w:rFonts w:hint="default" w:ascii="宋体" w:hAnsi="宋体" w:eastAsia="宋体"/>
                <w:color w:val="auto"/>
                <w:sz w:val="21"/>
                <w:szCs w:val="21"/>
                <w:lang w:val="en-US" w:eastAsia="zh-CN" w:bidi="ar"/>
              </w:rPr>
            </w:pPr>
            <w:r>
              <w:rPr>
                <w:rFonts w:hint="eastAsia" w:hAnsi="宋体"/>
                <w:color w:val="auto"/>
                <w:sz w:val="21"/>
                <w:szCs w:val="21"/>
                <w:lang w:val="en-US" w:eastAsia="zh-CN" w:bidi="ar"/>
              </w:rPr>
              <w:t>2</w:t>
            </w:r>
          </w:p>
        </w:tc>
        <w:tc>
          <w:tcPr>
            <w:tcW w:w="4200" w:type="dxa"/>
            <w:vAlign w:val="center"/>
          </w:tcPr>
          <w:p>
            <w:pPr>
              <w:pStyle w:val="181"/>
              <w:adjustRightInd/>
              <w:spacing w:before="0" w:after="0" w:line="240" w:lineRule="auto"/>
              <w:ind w:firstLine="0" w:firstLineChars="0"/>
              <w:jc w:val="both"/>
              <w:rPr>
                <w:rFonts w:hint="default" w:ascii="宋体" w:hAnsi="宋体" w:eastAsia="宋体"/>
                <w:color w:val="auto"/>
                <w:sz w:val="21"/>
                <w:szCs w:val="21"/>
                <w:lang w:val="en-US" w:eastAsia="zh-CN" w:bidi="ar"/>
              </w:rPr>
            </w:pPr>
            <w:r>
              <w:rPr>
                <w:rFonts w:hint="eastAsia" w:ascii="宋体" w:hAnsi="宋体" w:eastAsia="宋体"/>
                <w:color w:val="auto"/>
                <w:sz w:val="21"/>
                <w:szCs w:val="21"/>
                <w:lang w:bidi="ar"/>
              </w:rPr>
              <w:t>《火力发电厂与变电站设计防火标准》</w:t>
            </w:r>
          </w:p>
        </w:tc>
        <w:tc>
          <w:tcPr>
            <w:tcW w:w="4200" w:type="dxa"/>
            <w:vAlign w:val="center"/>
          </w:tcPr>
          <w:p>
            <w:pPr>
              <w:pStyle w:val="181"/>
              <w:adjustRightInd/>
              <w:spacing w:before="0" w:after="0" w:line="240" w:lineRule="auto"/>
              <w:ind w:firstLine="0" w:firstLineChars="0"/>
              <w:jc w:val="both"/>
              <w:rPr>
                <w:rFonts w:hint="eastAsia" w:ascii="宋体" w:hAnsi="宋体" w:eastAsia="宋体"/>
                <w:color w:val="auto"/>
                <w:sz w:val="21"/>
                <w:szCs w:val="21"/>
                <w:lang w:bidi="ar"/>
              </w:rPr>
            </w:pPr>
            <w:r>
              <w:rPr>
                <w:rFonts w:hint="eastAsia" w:ascii="宋体" w:hAnsi="宋体" w:eastAsia="宋体"/>
                <w:color w:val="auto"/>
                <w:sz w:val="21"/>
                <w:szCs w:val="21"/>
                <w:lang w:bidi="ar"/>
              </w:rPr>
              <w:t>GB 50229</w:t>
            </w:r>
            <w:r>
              <w:rPr>
                <w:rFonts w:hint="eastAsia" w:ascii="宋体" w:hAnsi="宋体" w:eastAsia="宋体"/>
                <w:color w:val="auto"/>
                <w:sz w:val="21"/>
                <w:szCs w:val="21"/>
                <w:lang w:val="en-US" w:eastAsia="zh-CN" w:bidi="ar"/>
              </w:rPr>
              <w:t>-2019</w:t>
            </w:r>
          </w:p>
        </w:tc>
      </w:tr>
    </w:tbl>
    <w:p>
      <w:pPr>
        <w:pStyle w:val="44"/>
        <w:widowControl w:val="0"/>
        <w:spacing w:before="0" w:beforeAutospacing="0" w:after="0" w:afterAutospacing="0" w:line="500" w:lineRule="exact"/>
        <w:ind w:firstLine="480" w:firstLineChars="200"/>
        <w:jc w:val="both"/>
        <w:rPr>
          <w:rFonts w:hint="eastAsia" w:hAnsi="宋体" w:cs="宋体"/>
          <w:kern w:val="2"/>
          <w:szCs w:val="20"/>
          <w:lang w:bidi="ar"/>
          <w14:ligatures w14:val="standardContextual"/>
        </w:rPr>
      </w:pPr>
      <w:r>
        <w:rPr>
          <w:rFonts w:hint="eastAsia" w:hAnsi="宋体" w:cs="宋体"/>
          <w:kern w:val="2"/>
          <w:szCs w:val="20"/>
          <w:lang w:bidi="ar"/>
          <w14:ligatures w14:val="standardContextual"/>
        </w:rPr>
        <w:t>上述标准为本工程建设的最低标准，当上述标准不一致时按高标准执行。投标人有责任对本规范书中未提及的技术条款提出补充。如果投标人未以书面形式对本规范书中的条款提出异议，招标人可认为投标人提供的产品完全符合本规范书的技术要求，并以此为依据进行验收。如果投标人在系统设计和产品制造及系统性能验收等方面采用的一些标准和规范不在本节所列的标准和规范范围内，或投标人采用其他标准或规格，则投标人详细说明其采用的标准或规格，并向招标人提供其采用标准或规格的中文版本。只有当其采用的标准或规格是国际公认的、惯用的和国家强制性标准，且不低于本技术规范的要求时，投标人采用的标准或规格才能为招标人认可。</w:t>
      </w:r>
    </w:p>
    <w:p>
      <w:pPr>
        <w:pStyle w:val="44"/>
        <w:widowControl w:val="0"/>
        <w:spacing w:before="0" w:beforeAutospacing="0" w:after="0" w:afterAutospacing="0" w:line="500" w:lineRule="exact"/>
        <w:ind w:firstLine="480" w:firstLineChars="200"/>
        <w:jc w:val="both"/>
        <w:rPr>
          <w:rFonts w:hint="eastAsia" w:hAnsi="宋体" w:cs="宋体"/>
          <w:kern w:val="2"/>
          <w:szCs w:val="20"/>
          <w:lang w:bidi="ar"/>
          <w14:ligatures w14:val="standardContextual"/>
        </w:rPr>
      </w:pPr>
      <w:r>
        <w:rPr>
          <w:rFonts w:hint="eastAsia" w:hAnsi="宋体" w:cs="宋体"/>
          <w:kern w:val="2"/>
          <w:szCs w:val="20"/>
          <w:lang w:bidi="ar"/>
          <w14:ligatures w14:val="standardContextual"/>
        </w:rPr>
        <w:t>从合同签订之日起有关规程、规范和标准发生变化时按最高标准执行，招标人有权提出因规程、规范和标准发生变化而产生的补充要求。合同签订后1个月内，投标人应将本标准和规范之外的，适用于本项目的土建或建筑、供货﹑检验﹑装配﹑安装﹑调试﹑试运﹑验收﹑试验﹑运行和维护等其他的标准清单给招标人，供招标人确认。</w:t>
      </w:r>
    </w:p>
    <w:p>
      <w:pPr>
        <w:pStyle w:val="44"/>
        <w:widowControl w:val="0"/>
        <w:spacing w:before="0" w:beforeAutospacing="0" w:after="0" w:afterAutospacing="0" w:line="500" w:lineRule="exact"/>
        <w:ind w:firstLine="482" w:firstLineChars="200"/>
        <w:jc w:val="both"/>
        <w:rPr>
          <w:rFonts w:hint="eastAsia" w:hAnsi="宋体" w:cs="宋体"/>
          <w:b/>
          <w:bCs/>
          <w:color w:val="auto"/>
          <w:kern w:val="2"/>
          <w:szCs w:val="20"/>
          <w:lang w:bidi="ar"/>
          <w14:ligatures w14:val="standardContextual"/>
        </w:rPr>
      </w:pPr>
      <w:r>
        <w:rPr>
          <w:rFonts w:hint="eastAsia" w:hAnsi="宋体" w:cs="宋体"/>
          <w:b/>
          <w:bCs/>
          <w:color w:val="auto"/>
          <w:kern w:val="2"/>
          <w:szCs w:val="20"/>
          <w:lang w:bidi="ar"/>
          <w14:ligatures w14:val="standardContextual"/>
        </w:rPr>
        <w:t>4 附属设施技术参数及性能要求</w:t>
      </w:r>
    </w:p>
    <w:p>
      <w:pPr>
        <w:pStyle w:val="44"/>
        <w:widowControl w:val="0"/>
        <w:spacing w:before="0" w:beforeAutospacing="0" w:after="0" w:afterAutospacing="0" w:line="500" w:lineRule="exact"/>
        <w:ind w:firstLine="482" w:firstLineChars="200"/>
        <w:jc w:val="both"/>
        <w:rPr>
          <w:rFonts w:hint="eastAsia" w:hAnsi="宋体" w:cs="宋体"/>
          <w:b/>
          <w:bCs/>
          <w:color w:val="auto"/>
          <w:kern w:val="2"/>
          <w:szCs w:val="20"/>
          <w:lang w:bidi="ar"/>
          <w14:ligatures w14:val="standardContextual"/>
        </w:rPr>
      </w:pPr>
      <w:bookmarkStart w:id="68" w:name="_Toc315940115"/>
      <w:bookmarkStart w:id="69" w:name="_Toc17812"/>
      <w:bookmarkStart w:id="70" w:name="_Toc15966_WPSOffice_Level1"/>
      <w:bookmarkStart w:id="71" w:name="_Toc17683_WPSOffice_Level1"/>
      <w:bookmarkStart w:id="72" w:name="_Toc6677_WPSOffice_Level1"/>
      <w:bookmarkStart w:id="73" w:name="_Toc9951"/>
      <w:bookmarkStart w:id="74" w:name="_Toc3464"/>
      <w:bookmarkStart w:id="75" w:name="_Toc977382"/>
      <w:bookmarkStart w:id="76" w:name="_Toc1634587"/>
      <w:bookmarkStart w:id="77" w:name="_Toc536771678"/>
      <w:r>
        <w:rPr>
          <w:rFonts w:hint="eastAsia" w:hAnsi="宋体" w:cs="宋体"/>
          <w:b/>
          <w:bCs/>
          <w:color w:val="auto"/>
          <w:kern w:val="2"/>
          <w:szCs w:val="20"/>
          <w:lang w:val="en-US" w:eastAsia="zh-CN" w:bidi="ar"/>
          <w14:ligatures w14:val="standardContextual"/>
        </w:rPr>
        <w:t>4.1</w:t>
      </w:r>
      <w:r>
        <w:rPr>
          <w:rFonts w:hint="eastAsia" w:hAnsi="宋体" w:cs="宋体"/>
          <w:b/>
          <w:bCs/>
          <w:color w:val="auto"/>
          <w:kern w:val="2"/>
          <w:szCs w:val="20"/>
          <w:lang w:bidi="ar"/>
          <w14:ligatures w14:val="standardContextual"/>
        </w:rPr>
        <w:t>工程设计</w:t>
      </w:r>
      <w:bookmarkEnd w:id="68"/>
      <w:bookmarkEnd w:id="69"/>
      <w:r>
        <w:rPr>
          <w:rFonts w:hint="eastAsia" w:hAnsi="宋体" w:cs="宋体"/>
          <w:b/>
          <w:bCs/>
          <w:color w:val="auto"/>
          <w:kern w:val="2"/>
          <w:szCs w:val="20"/>
          <w:lang w:bidi="ar"/>
          <w14:ligatures w14:val="standardContextual"/>
        </w:rPr>
        <w:t>简述</w:t>
      </w:r>
      <w:bookmarkEnd w:id="70"/>
      <w:bookmarkEnd w:id="71"/>
      <w:bookmarkEnd w:id="72"/>
      <w:bookmarkEnd w:id="73"/>
      <w:bookmarkEnd w:id="74"/>
    </w:p>
    <w:p>
      <w:pPr>
        <w:pStyle w:val="44"/>
        <w:widowControl w:val="0"/>
        <w:spacing w:before="0" w:beforeAutospacing="0" w:after="0" w:afterAutospacing="0" w:line="500" w:lineRule="exact"/>
        <w:ind w:firstLine="480" w:firstLineChars="200"/>
        <w:jc w:val="both"/>
        <w:rPr>
          <w:rFonts w:hint="eastAsia" w:hAnsi="宋体" w:cs="宋体"/>
          <w:color w:val="auto"/>
          <w:kern w:val="2"/>
          <w:szCs w:val="20"/>
          <w:lang w:bidi="ar"/>
          <w14:ligatures w14:val="standardContextual"/>
        </w:rPr>
      </w:pPr>
      <w:r>
        <w:rPr>
          <w:rFonts w:hint="eastAsia" w:hAnsi="宋体" w:cs="宋体"/>
          <w:color w:val="auto"/>
          <w:kern w:val="2"/>
          <w:szCs w:val="20"/>
          <w:lang w:val="en-US" w:eastAsia="zh-CN" w:bidi="ar"/>
          <w14:ligatures w14:val="standardContextual"/>
        </w:rPr>
        <w:t>4.1.1</w:t>
      </w:r>
      <w:r>
        <w:rPr>
          <w:rFonts w:hint="eastAsia" w:hAnsi="宋体" w:cs="宋体"/>
          <w:color w:val="auto"/>
          <w:kern w:val="2"/>
          <w:szCs w:val="20"/>
          <w:lang w:bidi="ar"/>
          <w14:ligatures w14:val="standardContextual"/>
        </w:rPr>
        <w:t>卸煤场地封闭方案</w:t>
      </w:r>
    </w:p>
    <w:p>
      <w:pPr>
        <w:pStyle w:val="44"/>
        <w:widowControl w:val="0"/>
        <w:spacing w:before="0" w:beforeAutospacing="0" w:after="0" w:afterAutospacing="0" w:line="500" w:lineRule="exact"/>
        <w:ind w:firstLine="480" w:firstLineChars="200"/>
        <w:jc w:val="both"/>
        <w:rPr>
          <w:rFonts w:hint="eastAsia" w:hAnsi="宋体" w:cs="宋体"/>
          <w:color w:val="auto"/>
          <w:kern w:val="2"/>
          <w:szCs w:val="20"/>
          <w:lang w:bidi="ar"/>
          <w14:ligatures w14:val="standardContextual"/>
        </w:rPr>
      </w:pPr>
      <w:r>
        <w:rPr>
          <w:rFonts w:hint="eastAsia" w:hAnsi="宋体" w:cs="宋体"/>
          <w:color w:val="auto"/>
          <w:kern w:val="2"/>
          <w:szCs w:val="20"/>
          <w:lang w:bidi="ar"/>
          <w14:ligatures w14:val="standardContextual"/>
        </w:rPr>
        <w:t>1）对卸煤场地进行全封闭，建设封闭式卸煤棚（82m×68m）；</w:t>
      </w:r>
    </w:p>
    <w:p>
      <w:pPr>
        <w:pStyle w:val="44"/>
        <w:widowControl w:val="0"/>
        <w:spacing w:before="0" w:beforeAutospacing="0" w:after="0" w:afterAutospacing="0" w:line="500" w:lineRule="exact"/>
        <w:ind w:firstLine="480" w:firstLineChars="200"/>
        <w:jc w:val="both"/>
        <w:rPr>
          <w:rFonts w:hint="eastAsia" w:hAnsi="宋体" w:cs="宋体"/>
          <w:color w:val="auto"/>
          <w:kern w:val="2"/>
          <w:szCs w:val="20"/>
          <w:lang w:bidi="ar"/>
          <w14:ligatures w14:val="standardContextual"/>
        </w:rPr>
      </w:pPr>
      <w:r>
        <w:rPr>
          <w:rFonts w:hint="eastAsia" w:hAnsi="宋体" w:cs="宋体"/>
          <w:color w:val="auto"/>
          <w:kern w:val="2"/>
          <w:szCs w:val="20"/>
          <w:lang w:val="en-US" w:eastAsia="zh-CN" w:bidi="ar"/>
          <w14:ligatures w14:val="standardContextual"/>
        </w:rPr>
        <w:t>2</w:t>
      </w:r>
      <w:r>
        <w:rPr>
          <w:rFonts w:hint="eastAsia" w:hAnsi="宋体" w:cs="宋体"/>
          <w:color w:val="auto"/>
          <w:kern w:val="2"/>
          <w:szCs w:val="20"/>
          <w:lang w:bidi="ar"/>
          <w14:ligatures w14:val="standardContextual"/>
        </w:rPr>
        <w:t>）在封闭式卸煤棚内设置4台雾炮，进、出车侧各两台，对受煤坑外粉尘进行抑制；</w:t>
      </w:r>
    </w:p>
    <w:p>
      <w:pPr>
        <w:pStyle w:val="44"/>
        <w:widowControl w:val="0"/>
        <w:spacing w:before="0" w:beforeAutospacing="0" w:after="0" w:afterAutospacing="0" w:line="500" w:lineRule="exact"/>
        <w:ind w:firstLine="480" w:firstLineChars="200"/>
        <w:jc w:val="both"/>
        <w:rPr>
          <w:rFonts w:hint="eastAsia" w:hAnsi="宋体" w:cs="宋体"/>
          <w:color w:val="auto"/>
          <w:kern w:val="2"/>
          <w:szCs w:val="20"/>
          <w:lang w:bidi="ar"/>
          <w14:ligatures w14:val="standardContextual"/>
        </w:rPr>
      </w:pPr>
      <w:r>
        <w:rPr>
          <w:rFonts w:hint="eastAsia" w:hAnsi="宋体" w:cs="宋体"/>
          <w:color w:val="auto"/>
          <w:kern w:val="2"/>
          <w:szCs w:val="20"/>
          <w:lang w:val="en-US" w:eastAsia="zh-CN" w:bidi="ar"/>
          <w14:ligatures w14:val="standardContextual"/>
        </w:rPr>
        <w:t>3</w:t>
      </w:r>
      <w:r>
        <w:rPr>
          <w:rFonts w:hint="eastAsia" w:hAnsi="宋体" w:cs="宋体"/>
          <w:color w:val="auto"/>
          <w:kern w:val="2"/>
          <w:szCs w:val="20"/>
          <w:lang w:bidi="ar"/>
          <w14:ligatures w14:val="standardContextual"/>
        </w:rPr>
        <w:t>）在封闭式卸煤棚出口处设置一套智能洗车设备，将出场车辆清洗干净；</w:t>
      </w:r>
    </w:p>
    <w:p>
      <w:pPr>
        <w:pStyle w:val="44"/>
        <w:widowControl w:val="0"/>
        <w:spacing w:before="0" w:beforeAutospacing="0" w:after="0" w:afterAutospacing="0" w:line="500" w:lineRule="exact"/>
        <w:ind w:firstLine="480" w:firstLineChars="200"/>
        <w:jc w:val="both"/>
        <w:rPr>
          <w:rFonts w:hint="eastAsia" w:hAnsi="宋体" w:cs="宋体"/>
          <w:color w:val="auto"/>
          <w:kern w:val="2"/>
          <w:szCs w:val="20"/>
          <w:lang w:bidi="ar"/>
          <w14:ligatures w14:val="standardContextual"/>
        </w:rPr>
      </w:pPr>
      <w:r>
        <w:rPr>
          <w:rFonts w:hint="eastAsia" w:hAnsi="宋体" w:cs="宋体"/>
          <w:color w:val="auto"/>
          <w:kern w:val="2"/>
          <w:szCs w:val="20"/>
          <w:lang w:val="en-US" w:eastAsia="zh-CN" w:bidi="ar"/>
          <w14:ligatures w14:val="standardContextual"/>
        </w:rPr>
        <w:t>4</w:t>
      </w:r>
      <w:r>
        <w:rPr>
          <w:rFonts w:hint="eastAsia" w:hAnsi="宋体" w:cs="宋体"/>
          <w:color w:val="auto"/>
          <w:kern w:val="2"/>
          <w:szCs w:val="20"/>
          <w:lang w:bidi="ar"/>
          <w14:ligatures w14:val="standardContextual"/>
        </w:rPr>
        <w:t>）设置冲洗水回收池，冲洗水能够回收、沉淀，实现循环利用；</w:t>
      </w:r>
    </w:p>
    <w:p>
      <w:pPr>
        <w:pStyle w:val="44"/>
        <w:widowControl w:val="0"/>
        <w:spacing w:before="0" w:beforeAutospacing="0" w:after="0" w:afterAutospacing="0" w:line="500" w:lineRule="exact"/>
        <w:ind w:firstLine="480" w:firstLineChars="200"/>
        <w:jc w:val="both"/>
        <w:rPr>
          <w:rFonts w:hint="eastAsia" w:hAnsi="宋体" w:cs="宋体"/>
          <w:color w:val="auto"/>
          <w:kern w:val="2"/>
          <w:szCs w:val="20"/>
          <w:lang w:bidi="ar"/>
          <w14:ligatures w14:val="standardContextual"/>
        </w:rPr>
      </w:pPr>
      <w:r>
        <w:rPr>
          <w:rFonts w:hint="eastAsia" w:hAnsi="宋体" w:cs="宋体"/>
          <w:color w:val="auto"/>
          <w:kern w:val="2"/>
          <w:szCs w:val="20"/>
          <w:lang w:val="en-US" w:eastAsia="zh-CN" w:bidi="ar"/>
          <w14:ligatures w14:val="standardContextual"/>
        </w:rPr>
        <w:t>5</w:t>
      </w:r>
      <w:r>
        <w:rPr>
          <w:rFonts w:hint="eastAsia" w:hAnsi="宋体" w:cs="宋体"/>
          <w:color w:val="auto"/>
          <w:kern w:val="2"/>
          <w:szCs w:val="20"/>
          <w:lang w:bidi="ar"/>
          <w14:ligatures w14:val="standardContextual"/>
        </w:rPr>
        <w:t>）增设一台</w:t>
      </w:r>
      <w:r>
        <w:rPr>
          <w:rFonts w:hint="eastAsia" w:hAnsi="宋体" w:cs="宋体"/>
          <w:color w:val="auto"/>
          <w:kern w:val="2"/>
          <w:szCs w:val="20"/>
          <w:lang w:val="en-US" w:eastAsia="zh-CN" w:bidi="ar"/>
          <w14:ligatures w14:val="standardContextual"/>
        </w:rPr>
        <w:t>吸尘</w:t>
      </w:r>
      <w:r>
        <w:rPr>
          <w:rFonts w:hint="eastAsia" w:hAnsi="宋体" w:cs="宋体"/>
          <w:color w:val="auto"/>
          <w:kern w:val="2"/>
          <w:szCs w:val="20"/>
          <w:lang w:bidi="ar"/>
          <w14:ligatures w14:val="standardContextual"/>
        </w:rPr>
        <w:t>车及一台洒水车，保障行车路面清洁。</w:t>
      </w:r>
    </w:p>
    <w:p>
      <w:pPr>
        <w:pStyle w:val="44"/>
        <w:widowControl w:val="0"/>
        <w:spacing w:before="0" w:beforeAutospacing="0" w:after="0" w:afterAutospacing="0" w:line="500" w:lineRule="exact"/>
        <w:ind w:firstLine="480" w:firstLineChars="200"/>
        <w:jc w:val="both"/>
        <w:rPr>
          <w:rFonts w:hint="eastAsia" w:hAnsi="宋体" w:cs="宋体"/>
          <w:color w:val="auto"/>
          <w:kern w:val="2"/>
          <w:szCs w:val="20"/>
          <w:lang w:bidi="ar"/>
          <w14:ligatures w14:val="standardContextual"/>
        </w:rPr>
      </w:pPr>
      <w:r>
        <w:rPr>
          <w:rFonts w:hint="eastAsia" w:hAnsi="宋体" w:cs="宋体"/>
          <w:color w:val="auto"/>
          <w:kern w:val="2"/>
          <w:szCs w:val="20"/>
          <w:lang w:val="en-US" w:eastAsia="zh-CN" w:bidi="ar"/>
          <w14:ligatures w14:val="standardContextual"/>
        </w:rPr>
        <w:t>4.1.2</w:t>
      </w:r>
      <w:r>
        <w:rPr>
          <w:rFonts w:hint="eastAsia" w:hAnsi="宋体" w:cs="宋体"/>
          <w:color w:val="auto"/>
          <w:kern w:val="2"/>
          <w:szCs w:val="20"/>
          <w:lang w:bidi="ar"/>
          <w14:ligatures w14:val="standardContextual"/>
        </w:rPr>
        <w:t>汽车受煤坑抑尘方案</w:t>
      </w:r>
    </w:p>
    <w:p>
      <w:pPr>
        <w:pStyle w:val="44"/>
        <w:widowControl w:val="0"/>
        <w:spacing w:before="0" w:beforeAutospacing="0" w:after="0" w:afterAutospacing="0" w:line="500" w:lineRule="exact"/>
        <w:ind w:firstLine="480" w:firstLineChars="200"/>
        <w:jc w:val="both"/>
        <w:rPr>
          <w:rFonts w:hint="eastAsia" w:hAnsi="宋体" w:cs="宋体"/>
          <w:color w:val="auto"/>
          <w:kern w:val="2"/>
          <w:szCs w:val="20"/>
          <w:lang w:bidi="ar"/>
          <w14:ligatures w14:val="standardContextual"/>
        </w:rPr>
      </w:pPr>
      <w:r>
        <w:rPr>
          <w:rFonts w:hint="eastAsia" w:hAnsi="宋体" w:cs="宋体"/>
          <w:color w:val="auto"/>
          <w:kern w:val="2"/>
          <w:szCs w:val="20"/>
          <w:lang w:bidi="ar"/>
          <w14:ligatures w14:val="standardContextual"/>
        </w:rPr>
        <w:t>汽车卸车位共四个，每个车位宽度6.5米，长度9米，工作条件为半封闭。本系统最大能力按四个车位同时开启考虑。将上述治理范围设计1套双流体微雾抑尘系统。每个卸车位四周安装雾化集成箱，配套安装相应控制器，根据车辆信号探测器获取来车信息，控制周期微雾抑尘。系统配置微雾主机、水箱、水泵、空压机、储气罐等设备，主要设备布置于现有受煤坑6.45m平面，储气罐放置于室外散水外，所有用电设备均为防爆型。</w:t>
      </w:r>
    </w:p>
    <w:p>
      <w:pPr>
        <w:pStyle w:val="44"/>
        <w:widowControl w:val="0"/>
        <w:spacing w:before="0" w:beforeAutospacing="0" w:after="0" w:afterAutospacing="0" w:line="500" w:lineRule="exact"/>
        <w:ind w:firstLine="480" w:firstLineChars="200"/>
        <w:jc w:val="both"/>
        <w:rPr>
          <w:rFonts w:hint="eastAsia" w:hAnsi="宋体" w:cs="宋体"/>
          <w:color w:val="auto"/>
          <w:kern w:val="2"/>
          <w:szCs w:val="20"/>
          <w:lang w:bidi="ar"/>
          <w14:ligatures w14:val="standardContextual"/>
        </w:rPr>
      </w:pPr>
      <w:r>
        <w:rPr>
          <w:rFonts w:hint="eastAsia" w:hAnsi="宋体" w:cs="宋体"/>
          <w:color w:val="auto"/>
          <w:kern w:val="2"/>
          <w:szCs w:val="20"/>
          <w:lang w:bidi="ar"/>
          <w14:ligatures w14:val="standardContextual"/>
        </w:rPr>
        <w:t>双流体微雾抑尘系统全年运行，冬季启动气水管道电伴热装置，喷嘴具有自净功能，运行停止后由压缩空气吹扫排水防止冻结。为防止冬季水雾形成后结冰现象，在冬季运行时可以在水箱中适当加入防冻介质。</w:t>
      </w:r>
    </w:p>
    <w:p>
      <w:pPr>
        <w:pStyle w:val="44"/>
        <w:widowControl w:val="0"/>
        <w:spacing w:before="0" w:beforeAutospacing="0" w:after="0" w:afterAutospacing="0" w:line="500" w:lineRule="exact"/>
        <w:ind w:firstLine="480" w:firstLineChars="200"/>
        <w:jc w:val="both"/>
        <w:rPr>
          <w:rFonts w:hint="eastAsia" w:hAnsi="宋体" w:cs="宋体"/>
          <w:color w:val="auto"/>
          <w:kern w:val="2"/>
          <w:szCs w:val="20"/>
          <w:lang w:bidi="ar"/>
          <w14:ligatures w14:val="standardContextual"/>
        </w:rPr>
      </w:pPr>
      <w:r>
        <w:rPr>
          <w:rFonts w:hint="eastAsia" w:hAnsi="宋体" w:cs="宋体"/>
          <w:color w:val="auto"/>
          <w:kern w:val="2"/>
          <w:szCs w:val="20"/>
          <w:lang w:val="en-US" w:eastAsia="zh-CN" w:bidi="ar"/>
          <w14:ligatures w14:val="standardContextual"/>
        </w:rPr>
        <w:t>4.1.3</w:t>
      </w:r>
      <w:r>
        <w:rPr>
          <w:rFonts w:hint="eastAsia" w:hAnsi="宋体" w:cs="宋体"/>
          <w:color w:val="auto"/>
          <w:kern w:val="2"/>
          <w:szCs w:val="20"/>
          <w:lang w:bidi="ar"/>
          <w14:ligatures w14:val="standardContextual"/>
        </w:rPr>
        <w:t>封闭式卸煤棚结构方案</w:t>
      </w:r>
    </w:p>
    <w:p>
      <w:pPr>
        <w:pStyle w:val="44"/>
        <w:widowControl w:val="0"/>
        <w:spacing w:before="0" w:beforeAutospacing="0" w:after="0" w:afterAutospacing="0" w:line="500" w:lineRule="exact"/>
        <w:ind w:firstLine="480" w:firstLineChars="200"/>
        <w:jc w:val="both"/>
        <w:rPr>
          <w:rFonts w:hint="eastAsia" w:hAnsi="宋体" w:cs="宋体"/>
          <w:color w:val="auto"/>
          <w:kern w:val="2"/>
          <w:szCs w:val="20"/>
          <w:lang w:bidi="ar"/>
          <w14:ligatures w14:val="standardContextual"/>
        </w:rPr>
      </w:pPr>
      <w:r>
        <w:rPr>
          <w:rFonts w:hint="eastAsia" w:hAnsi="宋体" w:cs="宋体"/>
          <w:color w:val="auto"/>
          <w:kern w:val="2"/>
          <w:szCs w:val="20"/>
          <w:lang w:bidi="ar"/>
          <w14:ligatures w14:val="standardContextual"/>
        </w:rPr>
        <w:t>封闭式卸煤棚采用骨架膜结构：平面尺寸为68m×82m，最高点标高为23.5m。标高5.200m以下围护墙为钢筋混凝土挡墙；标高5.200m以上PVDF膜进行围护，车辆进出口设置电动卷帘门。</w:t>
      </w:r>
    </w:p>
    <w:p>
      <w:pPr>
        <w:pStyle w:val="44"/>
        <w:widowControl w:val="0"/>
        <w:spacing w:before="0" w:beforeAutospacing="0" w:after="0" w:afterAutospacing="0" w:line="500" w:lineRule="exact"/>
        <w:ind w:firstLine="480" w:firstLineChars="200"/>
        <w:jc w:val="both"/>
        <w:rPr>
          <w:rFonts w:hint="eastAsia" w:hAnsi="宋体" w:cs="宋体"/>
          <w:color w:val="auto"/>
          <w:kern w:val="2"/>
          <w:szCs w:val="20"/>
          <w:lang w:bidi="ar"/>
          <w14:ligatures w14:val="standardContextual"/>
        </w:rPr>
      </w:pPr>
      <w:r>
        <w:rPr>
          <w:rFonts w:hint="eastAsia" w:hAnsi="宋体" w:cs="宋体"/>
          <w:color w:val="auto"/>
          <w:kern w:val="2"/>
          <w:szCs w:val="20"/>
          <w:lang w:bidi="ar"/>
          <w14:ligatures w14:val="standardContextual"/>
        </w:rPr>
        <w:t>建筑物的网架等钢构件，按规范要求采取覆盖耐火层或涂刷防火涂料等耐火保护措施，使耐火极限满足规范要求，依据《建筑设计防火规范》（GB50016-2014）（2018年版）进行建筑的防火设计，建筑物防火分区的面积、长度均满足规范要求。同时，卸煤棚内设置完备的安全疏散及防护措施，如疏散通道、安全出口、事故照明等，均满足现行防火规范的要求。膜结构根据防火要求选用的膜材，符合《建筑设计防火规范》（2018年版）的规定。</w:t>
      </w:r>
    </w:p>
    <w:p>
      <w:pPr>
        <w:pStyle w:val="44"/>
        <w:widowControl w:val="0"/>
        <w:spacing w:before="0" w:beforeAutospacing="0" w:after="0" w:afterAutospacing="0" w:line="500" w:lineRule="exact"/>
        <w:ind w:firstLine="482" w:firstLineChars="200"/>
        <w:jc w:val="both"/>
        <w:rPr>
          <w:rFonts w:hint="eastAsia" w:hAnsi="宋体" w:cs="宋体"/>
          <w:b/>
          <w:bCs/>
          <w:color w:val="auto"/>
          <w:kern w:val="2"/>
          <w:szCs w:val="20"/>
          <w:lang w:eastAsia="zh-CN" w:bidi="ar"/>
          <w14:ligatures w14:val="standardContextual"/>
        </w:rPr>
      </w:pPr>
      <w:r>
        <w:rPr>
          <w:rFonts w:hint="eastAsia" w:hAnsi="宋体" w:cs="宋体"/>
          <w:b/>
          <w:bCs/>
          <w:color w:val="auto"/>
          <w:kern w:val="2"/>
          <w:szCs w:val="20"/>
          <w:lang w:val="en-US" w:eastAsia="zh-CN" w:bidi="ar"/>
          <w14:ligatures w14:val="standardContextual"/>
        </w:rPr>
        <w:t>4.2土建</w:t>
      </w:r>
    </w:p>
    <w:p>
      <w:pPr>
        <w:pStyle w:val="44"/>
        <w:widowControl w:val="0"/>
        <w:spacing w:before="0" w:beforeAutospacing="0" w:after="0" w:afterAutospacing="0" w:line="500" w:lineRule="exact"/>
        <w:ind w:firstLine="480" w:firstLineChars="200"/>
        <w:jc w:val="both"/>
        <w:rPr>
          <w:rFonts w:hint="eastAsia" w:hAnsi="宋体" w:cs="宋体"/>
          <w:color w:val="auto"/>
          <w:kern w:val="2"/>
          <w:szCs w:val="20"/>
          <w:lang w:bidi="ar"/>
          <w14:ligatures w14:val="standardContextual"/>
        </w:rPr>
      </w:pPr>
      <w:r>
        <w:rPr>
          <w:rFonts w:hint="eastAsia" w:hAnsi="宋体" w:cs="宋体"/>
          <w:color w:val="auto"/>
          <w:kern w:val="2"/>
          <w:szCs w:val="20"/>
          <w:lang w:val="en-US" w:eastAsia="zh-CN" w:bidi="ar"/>
          <w14:ligatures w14:val="standardContextual"/>
        </w:rPr>
        <w:t>4.2.1</w:t>
      </w:r>
      <w:r>
        <w:rPr>
          <w:rFonts w:hint="eastAsia" w:hAnsi="宋体" w:cs="宋体"/>
          <w:color w:val="auto"/>
          <w:kern w:val="2"/>
          <w:szCs w:val="20"/>
          <w:lang w:bidi="ar"/>
          <w14:ligatures w14:val="standardContextual"/>
        </w:rPr>
        <w:t>建筑设计</w:t>
      </w:r>
    </w:p>
    <w:p>
      <w:pPr>
        <w:pStyle w:val="44"/>
        <w:widowControl w:val="0"/>
        <w:spacing w:before="0" w:beforeAutospacing="0" w:after="0" w:afterAutospacing="0" w:line="500" w:lineRule="exact"/>
        <w:ind w:firstLine="480" w:firstLineChars="200"/>
        <w:jc w:val="both"/>
        <w:rPr>
          <w:rFonts w:hint="eastAsia" w:hAnsi="宋体" w:cs="宋体"/>
          <w:color w:val="auto"/>
          <w:kern w:val="2"/>
          <w:szCs w:val="20"/>
          <w:lang w:bidi="ar"/>
          <w14:ligatures w14:val="standardContextual"/>
        </w:rPr>
      </w:pPr>
      <w:r>
        <w:rPr>
          <w:rFonts w:hint="eastAsia" w:hAnsi="宋体" w:cs="宋体"/>
          <w:color w:val="auto"/>
          <w:kern w:val="2"/>
          <w:szCs w:val="20"/>
          <w:lang w:bidi="ar"/>
          <w14:ligatures w14:val="standardContextual"/>
        </w:rPr>
        <w:t>1）建筑设计</w:t>
      </w:r>
    </w:p>
    <w:p>
      <w:pPr>
        <w:pStyle w:val="44"/>
        <w:widowControl w:val="0"/>
        <w:spacing w:before="0" w:beforeAutospacing="0" w:after="0" w:afterAutospacing="0" w:line="500" w:lineRule="exact"/>
        <w:ind w:firstLine="480" w:firstLineChars="200"/>
        <w:jc w:val="both"/>
        <w:rPr>
          <w:rFonts w:hint="eastAsia" w:hAnsi="宋体" w:cs="宋体"/>
          <w:color w:val="auto"/>
          <w:kern w:val="2"/>
          <w:szCs w:val="20"/>
          <w:lang w:bidi="ar"/>
          <w14:ligatures w14:val="standardContextual"/>
        </w:rPr>
      </w:pPr>
      <w:r>
        <w:rPr>
          <w:rFonts w:hint="eastAsia" w:hAnsi="宋体" w:cs="宋体"/>
          <w:color w:val="auto"/>
          <w:kern w:val="2"/>
          <w:szCs w:val="20"/>
          <w:lang w:bidi="ar"/>
          <w14:ligatures w14:val="standardContextual"/>
        </w:rPr>
        <w:t>（1）封闭式卸煤棚：平面尺寸为68m×82m，最高点标高为23.5m。标高5.200m以下围护墙为钢筋混凝土挡墙；标高5.200m以上PVDF膜进行围护，车辆进出口设置电动卷帘门。</w:t>
      </w:r>
    </w:p>
    <w:p>
      <w:pPr>
        <w:pStyle w:val="44"/>
        <w:widowControl w:val="0"/>
        <w:spacing w:before="0" w:beforeAutospacing="0" w:after="0" w:afterAutospacing="0" w:line="500" w:lineRule="exact"/>
        <w:ind w:firstLine="480" w:firstLineChars="200"/>
        <w:jc w:val="both"/>
        <w:rPr>
          <w:rFonts w:hint="eastAsia" w:hAnsi="宋体" w:cs="宋体"/>
          <w:color w:val="auto"/>
          <w:kern w:val="2"/>
          <w:szCs w:val="20"/>
          <w:lang w:bidi="ar"/>
          <w14:ligatures w14:val="standardContextual"/>
        </w:rPr>
      </w:pPr>
      <w:r>
        <w:rPr>
          <w:rFonts w:hint="eastAsia" w:hAnsi="宋体" w:cs="宋体"/>
          <w:color w:val="auto"/>
          <w:kern w:val="2"/>
          <w:szCs w:val="20"/>
          <w:lang w:bidi="ar"/>
          <w14:ligatures w14:val="standardContextual"/>
        </w:rPr>
        <w:t>（</w:t>
      </w:r>
      <w:r>
        <w:rPr>
          <w:rFonts w:hint="eastAsia" w:hAnsi="宋体" w:cs="宋体"/>
          <w:color w:val="auto"/>
          <w:kern w:val="2"/>
          <w:szCs w:val="20"/>
          <w:lang w:val="en-US" w:eastAsia="zh-CN" w:bidi="ar"/>
          <w14:ligatures w14:val="standardContextual"/>
        </w:rPr>
        <w:t>2</w:t>
      </w:r>
      <w:r>
        <w:rPr>
          <w:rFonts w:hint="eastAsia" w:hAnsi="宋体" w:cs="宋体"/>
          <w:color w:val="auto"/>
          <w:kern w:val="2"/>
          <w:szCs w:val="20"/>
          <w:lang w:bidi="ar"/>
          <w14:ligatures w14:val="standardContextual"/>
        </w:rPr>
        <w:t>）洗车房：采用智能龙门一体式洗车机，平面尺寸为7m×6.5m,高为5.5m,采用龙门式钢结构主体，顶部及侧窗采用聚碳酸酯PC阳光板。</w:t>
      </w:r>
    </w:p>
    <w:p>
      <w:pPr>
        <w:pStyle w:val="44"/>
        <w:widowControl w:val="0"/>
        <w:spacing w:before="0" w:beforeAutospacing="0" w:after="0" w:afterAutospacing="0" w:line="500" w:lineRule="exact"/>
        <w:ind w:firstLine="480" w:firstLineChars="200"/>
        <w:jc w:val="both"/>
        <w:rPr>
          <w:rFonts w:hint="eastAsia" w:hAnsi="宋体" w:cs="宋体"/>
          <w:color w:val="auto"/>
          <w:kern w:val="2"/>
          <w:szCs w:val="20"/>
          <w:lang w:bidi="ar"/>
          <w14:ligatures w14:val="standardContextual"/>
        </w:rPr>
      </w:pPr>
      <w:r>
        <w:rPr>
          <w:rFonts w:hint="eastAsia" w:hAnsi="宋体" w:cs="宋体"/>
          <w:color w:val="auto"/>
          <w:kern w:val="2"/>
          <w:szCs w:val="20"/>
          <w:lang w:val="en-US" w:eastAsia="zh-CN" w:bidi="ar"/>
          <w14:ligatures w14:val="standardContextual"/>
        </w:rPr>
        <w:t>2</w:t>
      </w:r>
      <w:r>
        <w:rPr>
          <w:rFonts w:hint="eastAsia" w:hAnsi="宋体" w:cs="宋体"/>
          <w:color w:val="auto"/>
          <w:kern w:val="2"/>
          <w:szCs w:val="20"/>
          <w:lang w:bidi="ar"/>
          <w14:ligatures w14:val="standardContextual"/>
        </w:rPr>
        <w:t>）地面建筑物与构筑物的设计使用年限</w:t>
      </w:r>
    </w:p>
    <w:p>
      <w:pPr>
        <w:pStyle w:val="44"/>
        <w:widowControl w:val="0"/>
        <w:spacing w:before="0" w:beforeAutospacing="0" w:after="0" w:afterAutospacing="0" w:line="500" w:lineRule="exact"/>
        <w:ind w:firstLine="480" w:firstLineChars="200"/>
        <w:jc w:val="both"/>
        <w:rPr>
          <w:rFonts w:hint="eastAsia" w:hAnsi="宋体" w:cs="宋体"/>
          <w:color w:val="auto"/>
          <w:kern w:val="2"/>
          <w:szCs w:val="20"/>
          <w:lang w:bidi="ar"/>
          <w14:ligatures w14:val="standardContextual"/>
        </w:rPr>
      </w:pPr>
      <w:r>
        <w:rPr>
          <w:rFonts w:hint="eastAsia" w:hAnsi="宋体" w:cs="宋体"/>
          <w:color w:val="auto"/>
          <w:kern w:val="2"/>
          <w:szCs w:val="20"/>
          <w:lang w:bidi="ar"/>
          <w14:ligatures w14:val="standardContextual"/>
        </w:rPr>
        <w:t>根据建筑物与构筑物的结构类型（主要为骨架膜结构），遵照《建筑结构可靠性设计统一标准》及《混凝土结构耐久性设计与施工指南》CCES01-2004 的有关规定，地面建筑按50年设计。当服务年限超过50年时，对工作年限已达50年的建筑物与构筑物应进行安全鉴定，必要时采取补强措施，以保证建筑物与构筑物在服务年限内的安全使用。对于钢结构必须满足最小截面厚度要求，并定期进行防锈、防腐涂装的维护，以满足钢结构耐久性的要求。</w:t>
      </w:r>
    </w:p>
    <w:p>
      <w:pPr>
        <w:pStyle w:val="44"/>
        <w:widowControl w:val="0"/>
        <w:spacing w:before="0" w:beforeAutospacing="0" w:after="0" w:afterAutospacing="0" w:line="500" w:lineRule="exact"/>
        <w:ind w:firstLine="480" w:firstLineChars="200"/>
        <w:jc w:val="both"/>
        <w:rPr>
          <w:rFonts w:hint="eastAsia" w:hAnsi="宋体" w:cs="宋体"/>
          <w:color w:val="auto"/>
          <w:kern w:val="2"/>
          <w:szCs w:val="20"/>
          <w:lang w:bidi="ar"/>
          <w14:ligatures w14:val="standardContextual"/>
        </w:rPr>
      </w:pPr>
      <w:r>
        <w:rPr>
          <w:rFonts w:hint="eastAsia" w:hAnsi="宋体" w:cs="宋体"/>
          <w:color w:val="auto"/>
          <w:kern w:val="2"/>
          <w:szCs w:val="20"/>
          <w:lang w:val="en-US" w:eastAsia="zh-CN" w:bidi="ar"/>
          <w14:ligatures w14:val="standardContextual"/>
        </w:rPr>
        <w:t>3</w:t>
      </w:r>
      <w:r>
        <w:rPr>
          <w:rFonts w:hint="eastAsia" w:hAnsi="宋体" w:cs="宋体"/>
          <w:color w:val="auto"/>
          <w:kern w:val="2"/>
          <w:szCs w:val="20"/>
          <w:lang w:bidi="ar"/>
          <w14:ligatures w14:val="standardContextual"/>
        </w:rPr>
        <w:t>）防火设计</w:t>
      </w:r>
    </w:p>
    <w:p>
      <w:pPr>
        <w:pStyle w:val="44"/>
        <w:widowControl w:val="0"/>
        <w:spacing w:before="0" w:beforeAutospacing="0" w:after="0" w:afterAutospacing="0" w:line="500" w:lineRule="exact"/>
        <w:ind w:firstLine="480" w:firstLineChars="200"/>
        <w:jc w:val="both"/>
        <w:rPr>
          <w:rFonts w:hint="eastAsia" w:hAnsi="宋体" w:cs="宋体"/>
          <w:color w:val="auto"/>
          <w:kern w:val="2"/>
          <w:szCs w:val="20"/>
          <w:lang w:bidi="ar"/>
          <w14:ligatures w14:val="standardContextual"/>
        </w:rPr>
      </w:pPr>
      <w:r>
        <w:rPr>
          <w:rFonts w:hint="eastAsia" w:hAnsi="宋体" w:cs="宋体"/>
          <w:color w:val="auto"/>
          <w:kern w:val="2"/>
          <w:szCs w:val="20"/>
          <w:lang w:bidi="ar"/>
          <w14:ligatures w14:val="standardContextual"/>
        </w:rPr>
        <w:t>建筑物的网架等钢构件，按规范要求采取覆盖耐火层或涂刷防火涂料等耐火保护措施，使耐火极限满足规范要求。</w:t>
      </w:r>
    </w:p>
    <w:p>
      <w:pPr>
        <w:pStyle w:val="44"/>
        <w:widowControl w:val="0"/>
        <w:spacing w:before="0" w:beforeAutospacing="0" w:after="0" w:afterAutospacing="0" w:line="500" w:lineRule="exact"/>
        <w:ind w:firstLine="480" w:firstLineChars="200"/>
        <w:jc w:val="both"/>
        <w:rPr>
          <w:rFonts w:hint="eastAsia" w:hAnsi="宋体" w:cs="宋体"/>
          <w:color w:val="auto"/>
          <w:kern w:val="2"/>
          <w:szCs w:val="20"/>
          <w:lang w:bidi="ar"/>
          <w14:ligatures w14:val="standardContextual"/>
        </w:rPr>
      </w:pPr>
      <w:r>
        <w:rPr>
          <w:rFonts w:hint="eastAsia" w:hAnsi="宋体" w:cs="宋体"/>
          <w:color w:val="auto"/>
          <w:kern w:val="2"/>
          <w:szCs w:val="20"/>
          <w:lang w:bidi="ar"/>
          <w14:ligatures w14:val="standardContextual"/>
        </w:rPr>
        <w:t>依据《建筑设计防火规范》（GB50016-2014）（2018年版）进行建筑的防火设计，建筑物防火分区的面积、长度均满足规范要求。同时，封闭式卸煤棚内设置完备的安全疏散及防护措施，如疏散通道、安全出口、事故照明等，均满足现行防火规范的要求。目前无相关规范的关于膜结构消防验收的规定，需要通过专家专项论证，或需建设单位和当地消防部门沟通。</w:t>
      </w:r>
    </w:p>
    <w:p>
      <w:pPr>
        <w:pStyle w:val="44"/>
        <w:widowControl w:val="0"/>
        <w:spacing w:before="0" w:beforeAutospacing="0" w:after="0" w:afterAutospacing="0" w:line="500" w:lineRule="exact"/>
        <w:ind w:firstLine="480" w:firstLineChars="200"/>
        <w:jc w:val="both"/>
        <w:rPr>
          <w:rFonts w:hint="eastAsia" w:hAnsi="宋体" w:cs="宋体"/>
          <w:color w:val="auto"/>
          <w:kern w:val="2"/>
          <w:szCs w:val="20"/>
          <w:lang w:bidi="ar"/>
          <w14:ligatures w14:val="standardContextual"/>
        </w:rPr>
      </w:pPr>
      <w:r>
        <w:rPr>
          <w:rFonts w:hint="eastAsia" w:hAnsi="宋体" w:cs="宋体"/>
          <w:color w:val="auto"/>
          <w:kern w:val="2"/>
          <w:szCs w:val="20"/>
          <w:lang w:bidi="ar"/>
          <w14:ligatures w14:val="standardContextual"/>
        </w:rPr>
        <w:t>根据业主提供资料，储物部分为洗前产品，由</w:t>
      </w:r>
      <w:r>
        <w:rPr>
          <w:rFonts w:hint="eastAsia" w:hAnsi="宋体" w:cs="宋体"/>
          <w:color w:val="auto"/>
          <w:kern w:val="2"/>
          <w:szCs w:val="20"/>
          <w:lang w:bidi="ar"/>
          <w14:ligatures w14:val="standardContextual"/>
        </w:rPr>
        <w:fldChar w:fldCharType="begin"/>
      </w:r>
      <w:r>
        <w:rPr>
          <w:rFonts w:hint="eastAsia" w:hAnsi="宋体" w:cs="宋体"/>
          <w:color w:val="auto"/>
          <w:kern w:val="2"/>
          <w:szCs w:val="20"/>
          <w:lang w:bidi="ar"/>
          <w14:ligatures w14:val="standardContextual"/>
        </w:rPr>
        <w:instrText xml:space="preserve"> HYPERLINK "https://www.baidu.com/link?url=ZgXvgpZfg-KQwWirYBP1-WLDRY4pt9QOaoYCz4Itp6lNeaJPYyS-BR0IimUTrsk9kJj1LhcUEsU-riEF70Wnlq&amp;wd=&amp;eqid=ee18ef20001248f100000003628cae5c" \t "https://www.baidu.com/_blank" </w:instrText>
      </w:r>
      <w:r>
        <w:rPr>
          <w:rFonts w:hint="eastAsia" w:hAnsi="宋体" w:cs="宋体"/>
          <w:color w:val="auto"/>
          <w:kern w:val="2"/>
          <w:szCs w:val="20"/>
          <w:lang w:bidi="ar"/>
          <w14:ligatures w14:val="standardContextual"/>
        </w:rPr>
        <w:fldChar w:fldCharType="separate"/>
      </w:r>
      <w:r>
        <w:rPr>
          <w:rFonts w:hint="eastAsia" w:hAnsi="宋体" w:cs="宋体"/>
          <w:color w:val="auto"/>
          <w:kern w:val="2"/>
          <w:szCs w:val="20"/>
          <w:lang w:bidi="ar"/>
          <w14:ligatures w14:val="standardContextual"/>
        </w:rPr>
        <w:t>《煤炭工业建筑结构设计标准</w:t>
      </w:r>
      <w:r>
        <w:rPr>
          <w:rFonts w:hint="eastAsia" w:hAnsi="宋体" w:cs="宋体"/>
          <w:color w:val="auto"/>
          <w:kern w:val="2"/>
          <w:szCs w:val="20"/>
          <w:lang w:bidi="ar"/>
          <w14:ligatures w14:val="standardContextual"/>
        </w:rPr>
        <w:fldChar w:fldCharType="end"/>
      </w:r>
      <w:r>
        <w:rPr>
          <w:rFonts w:hint="eastAsia" w:hAnsi="宋体" w:cs="宋体"/>
          <w:color w:val="auto"/>
          <w:kern w:val="2"/>
          <w:szCs w:val="20"/>
          <w:lang w:bidi="ar"/>
          <w14:ligatures w14:val="standardContextual"/>
        </w:rPr>
        <w:t>》（GB50583-2020）确定封闭式卸煤棚生产类别为丙类，建筑的耐火等级为二级。</w:t>
      </w:r>
    </w:p>
    <w:p>
      <w:pPr>
        <w:pStyle w:val="44"/>
        <w:widowControl w:val="0"/>
        <w:spacing w:before="0" w:beforeAutospacing="0" w:after="0" w:afterAutospacing="0" w:line="500" w:lineRule="exact"/>
        <w:ind w:firstLine="480" w:firstLineChars="200"/>
        <w:jc w:val="both"/>
        <w:rPr>
          <w:rFonts w:hint="eastAsia" w:hAnsi="宋体" w:cs="宋体"/>
          <w:color w:val="auto"/>
          <w:kern w:val="2"/>
          <w:szCs w:val="20"/>
          <w:lang w:bidi="ar"/>
          <w14:ligatures w14:val="standardContextual"/>
        </w:rPr>
      </w:pPr>
      <w:r>
        <w:rPr>
          <w:rFonts w:hint="eastAsia" w:hAnsi="宋体" w:cs="宋体"/>
          <w:color w:val="auto"/>
          <w:kern w:val="2"/>
          <w:szCs w:val="20"/>
          <w:lang w:bidi="ar"/>
          <w14:ligatures w14:val="standardContextual"/>
        </w:rPr>
        <w:t>主要建筑物及构筑物防火等级见表</w:t>
      </w:r>
      <w:r>
        <w:rPr>
          <w:rFonts w:hint="eastAsia" w:hAnsi="宋体" w:cs="宋体"/>
          <w:color w:val="auto"/>
          <w:kern w:val="2"/>
          <w:szCs w:val="20"/>
          <w:lang w:val="en-US" w:eastAsia="zh-CN" w:bidi="ar"/>
          <w14:ligatures w14:val="standardContextual"/>
        </w:rPr>
        <w:t>4-1</w:t>
      </w:r>
      <w:r>
        <w:rPr>
          <w:rFonts w:hint="eastAsia" w:hAnsi="宋体" w:cs="宋体"/>
          <w:color w:val="auto"/>
          <w:kern w:val="2"/>
          <w:szCs w:val="20"/>
          <w:lang w:bidi="ar"/>
          <w14:ligatures w14:val="standardContextual"/>
        </w:rPr>
        <w:t>。</w:t>
      </w:r>
    </w:p>
    <w:p>
      <w:pPr>
        <w:pStyle w:val="44"/>
        <w:widowControl w:val="0"/>
        <w:spacing w:before="0" w:beforeAutospacing="0" w:after="0" w:afterAutospacing="0" w:line="500" w:lineRule="exact"/>
        <w:ind w:firstLine="480" w:firstLineChars="200"/>
        <w:jc w:val="both"/>
        <w:rPr>
          <w:rFonts w:hint="eastAsia" w:hAnsi="宋体" w:cs="宋体"/>
          <w:color w:val="auto"/>
          <w:kern w:val="2"/>
          <w:szCs w:val="20"/>
          <w:lang w:bidi="ar"/>
          <w14:ligatures w14:val="standardContextual"/>
        </w:rPr>
      </w:pPr>
      <w:r>
        <w:rPr>
          <w:rFonts w:hint="eastAsia" w:hAnsi="宋体" w:cs="宋体"/>
          <w:color w:val="auto"/>
          <w:kern w:val="2"/>
          <w:szCs w:val="20"/>
          <w:lang w:bidi="ar"/>
          <w14:ligatures w14:val="standardContextual"/>
        </w:rPr>
        <w:t>表</w:t>
      </w:r>
      <w:r>
        <w:rPr>
          <w:rFonts w:hint="eastAsia" w:hAnsi="宋体" w:cs="宋体"/>
          <w:color w:val="auto"/>
          <w:kern w:val="2"/>
          <w:szCs w:val="20"/>
          <w:lang w:val="en-US" w:eastAsia="zh-CN" w:bidi="ar"/>
          <w14:ligatures w14:val="standardContextual"/>
        </w:rPr>
        <w:t>4-1</w:t>
      </w:r>
      <w:r>
        <w:rPr>
          <w:rFonts w:hint="eastAsia" w:hAnsi="宋体" w:cs="宋体"/>
          <w:color w:val="auto"/>
          <w:kern w:val="2"/>
          <w:szCs w:val="20"/>
          <w:lang w:bidi="ar"/>
          <w14:ligatures w14:val="standardContextual"/>
        </w:rPr>
        <w:t xml:space="preserve">              主要建筑物与构筑物防火等级表</w:t>
      </w:r>
    </w:p>
    <w:tbl>
      <w:tblPr>
        <w:tblStyle w:val="50"/>
        <w:tblW w:w="9288" w:type="dxa"/>
        <w:jc w:val="center"/>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739"/>
        <w:gridCol w:w="4156"/>
        <w:gridCol w:w="2457"/>
        <w:gridCol w:w="1936"/>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381" w:hRule="atLeast"/>
          <w:jc w:val="center"/>
        </w:trPr>
        <w:tc>
          <w:tcPr>
            <w:tcW w:w="739" w:type="dxa"/>
            <w:tcBorders>
              <w:top w:val="single" w:color="auto" w:sz="12" w:space="0"/>
              <w:left w:val="single" w:color="auto" w:sz="12" w:space="0"/>
              <w:bottom w:val="single" w:color="auto" w:sz="8" w:space="0"/>
              <w:right w:val="single" w:color="auto" w:sz="8" w:space="0"/>
            </w:tcBorders>
            <w:shd w:val="clear" w:color="auto" w:fill="auto"/>
            <w:vAlign w:val="center"/>
          </w:tcPr>
          <w:p>
            <w:pPr>
              <w:widowControl/>
              <w:jc w:val="center"/>
              <w:rPr>
                <w:rFonts w:hint="eastAsia" w:ascii="宋体" w:hAnsi="宋体" w:eastAsia="宋体"/>
                <w:color w:val="auto"/>
                <w:kern w:val="0"/>
                <w:sz w:val="21"/>
                <w:szCs w:val="21"/>
                <w14:ligatures w14:val="none"/>
              </w:rPr>
            </w:pPr>
            <w:r>
              <w:rPr>
                <w:rFonts w:hint="eastAsia" w:ascii="宋体" w:hAnsi="宋体" w:eastAsia="宋体"/>
                <w:color w:val="auto"/>
                <w:kern w:val="0"/>
                <w:sz w:val="21"/>
                <w:szCs w:val="21"/>
                <w14:ligatures w14:val="none"/>
              </w:rPr>
              <w:t>序号</w:t>
            </w:r>
          </w:p>
        </w:tc>
        <w:tc>
          <w:tcPr>
            <w:tcW w:w="4156" w:type="dxa"/>
            <w:tcBorders>
              <w:top w:val="single" w:color="auto" w:sz="12" w:space="0"/>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olor w:val="auto"/>
                <w:kern w:val="0"/>
                <w:sz w:val="21"/>
                <w:szCs w:val="21"/>
                <w14:ligatures w14:val="none"/>
              </w:rPr>
            </w:pPr>
            <w:r>
              <w:rPr>
                <w:rFonts w:hint="eastAsia" w:ascii="宋体" w:hAnsi="宋体" w:eastAsia="宋体"/>
                <w:color w:val="auto"/>
                <w:kern w:val="0"/>
                <w:sz w:val="21"/>
                <w:szCs w:val="21"/>
                <w14:ligatures w14:val="none"/>
              </w:rPr>
              <w:t>项目名称</w:t>
            </w:r>
          </w:p>
        </w:tc>
        <w:tc>
          <w:tcPr>
            <w:tcW w:w="2457" w:type="dxa"/>
            <w:tcBorders>
              <w:top w:val="single" w:color="auto" w:sz="12" w:space="0"/>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olor w:val="auto"/>
                <w:kern w:val="0"/>
                <w:sz w:val="21"/>
                <w:szCs w:val="21"/>
                <w14:ligatures w14:val="none"/>
              </w:rPr>
            </w:pPr>
            <w:r>
              <w:rPr>
                <w:rFonts w:hint="eastAsia" w:ascii="宋体" w:hAnsi="宋体" w:eastAsia="宋体"/>
                <w:color w:val="auto"/>
                <w:kern w:val="0"/>
                <w:sz w:val="21"/>
                <w:szCs w:val="21"/>
                <w14:ligatures w14:val="none"/>
              </w:rPr>
              <w:t>储存物品类别</w:t>
            </w:r>
          </w:p>
        </w:tc>
        <w:tc>
          <w:tcPr>
            <w:tcW w:w="1936" w:type="dxa"/>
            <w:tcBorders>
              <w:top w:val="single" w:color="auto" w:sz="12" w:space="0"/>
              <w:left w:val="single" w:color="auto" w:sz="8" w:space="0"/>
              <w:bottom w:val="single" w:color="auto" w:sz="8" w:space="0"/>
              <w:right w:val="single" w:color="auto" w:sz="12" w:space="0"/>
            </w:tcBorders>
            <w:shd w:val="clear" w:color="auto" w:fill="auto"/>
            <w:vAlign w:val="center"/>
          </w:tcPr>
          <w:p>
            <w:pPr>
              <w:widowControl/>
              <w:jc w:val="center"/>
              <w:rPr>
                <w:rFonts w:hint="eastAsia" w:ascii="宋体" w:hAnsi="宋体" w:eastAsia="宋体"/>
                <w:color w:val="auto"/>
                <w:kern w:val="0"/>
                <w:sz w:val="21"/>
                <w:szCs w:val="21"/>
                <w14:ligatures w14:val="none"/>
              </w:rPr>
            </w:pPr>
            <w:r>
              <w:rPr>
                <w:rFonts w:hint="eastAsia" w:ascii="宋体" w:hAnsi="宋体" w:eastAsia="宋体"/>
                <w:color w:val="auto"/>
                <w:kern w:val="0"/>
                <w:sz w:val="21"/>
                <w:szCs w:val="21"/>
                <w14:ligatures w14:val="none"/>
              </w:rPr>
              <w:t>耐火等级</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397" w:hRule="atLeast"/>
          <w:jc w:val="center"/>
        </w:trPr>
        <w:tc>
          <w:tcPr>
            <w:tcW w:w="739" w:type="dxa"/>
            <w:tcBorders>
              <w:top w:val="single" w:color="auto" w:sz="8" w:space="0"/>
              <w:left w:val="single" w:color="auto" w:sz="12" w:space="0"/>
              <w:bottom w:val="single" w:color="auto" w:sz="8" w:space="0"/>
              <w:right w:val="single" w:color="auto" w:sz="8" w:space="0"/>
            </w:tcBorders>
            <w:shd w:val="clear" w:color="auto" w:fill="auto"/>
            <w:vAlign w:val="center"/>
          </w:tcPr>
          <w:p>
            <w:pPr>
              <w:widowControl/>
              <w:jc w:val="center"/>
              <w:rPr>
                <w:rFonts w:hint="eastAsia" w:ascii="宋体" w:hAnsi="宋体" w:eastAsia="宋体"/>
                <w:color w:val="auto"/>
                <w:kern w:val="0"/>
                <w:sz w:val="21"/>
                <w:szCs w:val="21"/>
                <w14:ligatures w14:val="none"/>
              </w:rPr>
            </w:pPr>
            <w:r>
              <w:rPr>
                <w:rFonts w:hint="eastAsia" w:ascii="宋体" w:hAnsi="宋体" w:eastAsia="宋体"/>
                <w:color w:val="auto"/>
                <w:kern w:val="0"/>
                <w:sz w:val="21"/>
                <w:szCs w:val="21"/>
                <w14:ligatures w14:val="none"/>
              </w:rPr>
              <w:t>1</w:t>
            </w:r>
          </w:p>
        </w:tc>
        <w:tc>
          <w:tcPr>
            <w:tcW w:w="4156"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olor w:val="auto"/>
                <w:kern w:val="0"/>
                <w:sz w:val="21"/>
                <w:szCs w:val="21"/>
                <w14:ligatures w14:val="none"/>
              </w:rPr>
            </w:pPr>
            <w:r>
              <w:rPr>
                <w:rFonts w:hint="eastAsia" w:ascii="宋体" w:hAnsi="宋体" w:eastAsia="宋体"/>
                <w:color w:val="auto"/>
                <w:kern w:val="0"/>
                <w:sz w:val="21"/>
                <w:szCs w:val="21"/>
                <w14:ligatures w14:val="none"/>
              </w:rPr>
              <w:t>封闭式卸煤棚</w:t>
            </w:r>
          </w:p>
        </w:tc>
        <w:tc>
          <w:tcPr>
            <w:tcW w:w="2457"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olor w:val="auto"/>
                <w:kern w:val="0"/>
                <w:sz w:val="21"/>
                <w:szCs w:val="21"/>
                <w14:ligatures w14:val="none"/>
              </w:rPr>
            </w:pPr>
            <w:r>
              <w:rPr>
                <w:rFonts w:hint="eastAsia" w:ascii="宋体" w:hAnsi="宋体" w:eastAsia="宋体"/>
                <w:color w:val="auto"/>
                <w:kern w:val="0"/>
                <w:sz w:val="21"/>
                <w:szCs w:val="21"/>
                <w14:ligatures w14:val="none"/>
              </w:rPr>
              <w:t>丙</w:t>
            </w:r>
          </w:p>
        </w:tc>
        <w:tc>
          <w:tcPr>
            <w:tcW w:w="1936" w:type="dxa"/>
            <w:tcBorders>
              <w:top w:val="single" w:color="auto" w:sz="8" w:space="0"/>
              <w:left w:val="single" w:color="auto" w:sz="8" w:space="0"/>
              <w:bottom w:val="single" w:color="auto" w:sz="8" w:space="0"/>
              <w:right w:val="single" w:color="auto" w:sz="12" w:space="0"/>
            </w:tcBorders>
            <w:shd w:val="clear" w:color="auto" w:fill="auto"/>
            <w:vAlign w:val="center"/>
          </w:tcPr>
          <w:p>
            <w:pPr>
              <w:widowControl/>
              <w:jc w:val="center"/>
              <w:rPr>
                <w:rFonts w:hint="eastAsia" w:ascii="宋体" w:hAnsi="宋体" w:eastAsia="宋体"/>
                <w:color w:val="auto"/>
                <w:kern w:val="0"/>
                <w:sz w:val="21"/>
                <w:szCs w:val="21"/>
                <w14:ligatures w14:val="none"/>
              </w:rPr>
            </w:pPr>
            <w:r>
              <w:rPr>
                <w:rFonts w:hint="eastAsia" w:ascii="宋体" w:hAnsi="宋体" w:eastAsia="宋体"/>
                <w:color w:val="auto"/>
                <w:kern w:val="0"/>
                <w:sz w:val="21"/>
                <w:szCs w:val="21"/>
                <w14:ligatures w14:val="none"/>
              </w:rPr>
              <w:t>二级</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397" w:hRule="atLeast"/>
          <w:jc w:val="center"/>
        </w:trPr>
        <w:tc>
          <w:tcPr>
            <w:tcW w:w="739" w:type="dxa"/>
            <w:tcBorders>
              <w:top w:val="single" w:color="auto" w:sz="8" w:space="0"/>
              <w:left w:val="single" w:color="auto" w:sz="12" w:space="0"/>
              <w:bottom w:val="single" w:color="auto" w:sz="12" w:space="0"/>
              <w:right w:val="single" w:color="auto" w:sz="8" w:space="0"/>
            </w:tcBorders>
            <w:shd w:val="clear" w:color="auto" w:fill="auto"/>
            <w:vAlign w:val="center"/>
          </w:tcPr>
          <w:p>
            <w:pPr>
              <w:widowControl/>
              <w:jc w:val="center"/>
              <w:rPr>
                <w:rFonts w:hint="eastAsia" w:ascii="宋体" w:hAnsi="宋体" w:eastAsia="宋体"/>
                <w:color w:val="auto"/>
                <w:kern w:val="0"/>
                <w:sz w:val="21"/>
                <w:szCs w:val="21"/>
                <w14:ligatures w14:val="none"/>
              </w:rPr>
            </w:pPr>
            <w:r>
              <w:rPr>
                <w:rFonts w:hint="eastAsia" w:ascii="宋体" w:hAnsi="宋体" w:eastAsia="宋体"/>
                <w:color w:val="auto"/>
                <w:kern w:val="0"/>
                <w:sz w:val="21"/>
                <w:szCs w:val="21"/>
                <w14:ligatures w14:val="none"/>
              </w:rPr>
              <w:t>2</w:t>
            </w:r>
          </w:p>
        </w:tc>
        <w:tc>
          <w:tcPr>
            <w:tcW w:w="4156" w:type="dxa"/>
            <w:tcBorders>
              <w:top w:val="single" w:color="auto" w:sz="8" w:space="0"/>
              <w:left w:val="single" w:color="auto" w:sz="8" w:space="0"/>
              <w:bottom w:val="single" w:color="auto" w:sz="12" w:space="0"/>
              <w:right w:val="single" w:color="auto" w:sz="8" w:space="0"/>
            </w:tcBorders>
            <w:shd w:val="clear" w:color="auto" w:fill="auto"/>
            <w:vAlign w:val="center"/>
          </w:tcPr>
          <w:p>
            <w:pPr>
              <w:widowControl/>
              <w:jc w:val="center"/>
              <w:rPr>
                <w:rFonts w:hint="eastAsia" w:ascii="宋体" w:hAnsi="宋体" w:eastAsia="宋体"/>
                <w:color w:val="auto"/>
                <w:kern w:val="0"/>
                <w:sz w:val="21"/>
                <w:szCs w:val="21"/>
                <w14:ligatures w14:val="none"/>
              </w:rPr>
            </w:pPr>
            <w:r>
              <w:rPr>
                <w:rFonts w:hint="eastAsia" w:ascii="宋体" w:hAnsi="宋体" w:eastAsia="宋体"/>
                <w:color w:val="auto"/>
                <w:kern w:val="0"/>
                <w:sz w:val="21"/>
                <w:szCs w:val="21"/>
                <w14:ligatures w14:val="none"/>
              </w:rPr>
              <w:t>消防泵房</w:t>
            </w:r>
          </w:p>
        </w:tc>
        <w:tc>
          <w:tcPr>
            <w:tcW w:w="2457" w:type="dxa"/>
            <w:tcBorders>
              <w:top w:val="single" w:color="auto" w:sz="8" w:space="0"/>
              <w:left w:val="single" w:color="auto" w:sz="8" w:space="0"/>
              <w:bottom w:val="single" w:color="auto" w:sz="12" w:space="0"/>
              <w:right w:val="single" w:color="auto" w:sz="8" w:space="0"/>
            </w:tcBorders>
            <w:shd w:val="clear" w:color="auto" w:fill="auto"/>
            <w:vAlign w:val="center"/>
          </w:tcPr>
          <w:p>
            <w:pPr>
              <w:widowControl/>
              <w:jc w:val="center"/>
              <w:rPr>
                <w:rFonts w:hint="eastAsia" w:ascii="宋体" w:hAnsi="宋体" w:eastAsia="宋体"/>
                <w:color w:val="auto"/>
                <w:kern w:val="0"/>
                <w:sz w:val="21"/>
                <w:szCs w:val="21"/>
                <w14:ligatures w14:val="none"/>
              </w:rPr>
            </w:pPr>
            <w:r>
              <w:rPr>
                <w:rFonts w:hint="eastAsia" w:ascii="宋体" w:hAnsi="宋体" w:eastAsia="宋体"/>
                <w:color w:val="auto"/>
                <w:kern w:val="0"/>
                <w:sz w:val="21"/>
                <w:szCs w:val="21"/>
                <w14:ligatures w14:val="none"/>
              </w:rPr>
              <w:t>戊</w:t>
            </w:r>
          </w:p>
        </w:tc>
        <w:tc>
          <w:tcPr>
            <w:tcW w:w="1936" w:type="dxa"/>
            <w:tcBorders>
              <w:top w:val="single" w:color="auto" w:sz="8" w:space="0"/>
              <w:left w:val="single" w:color="auto" w:sz="8" w:space="0"/>
              <w:bottom w:val="single" w:color="auto" w:sz="12" w:space="0"/>
              <w:right w:val="single" w:color="auto" w:sz="12" w:space="0"/>
            </w:tcBorders>
            <w:shd w:val="clear" w:color="auto" w:fill="auto"/>
            <w:vAlign w:val="center"/>
          </w:tcPr>
          <w:p>
            <w:pPr>
              <w:widowControl/>
              <w:jc w:val="center"/>
              <w:rPr>
                <w:rFonts w:hint="eastAsia" w:ascii="宋体" w:hAnsi="宋体" w:eastAsia="宋体"/>
                <w:color w:val="auto"/>
                <w:kern w:val="0"/>
                <w:sz w:val="21"/>
                <w:szCs w:val="21"/>
                <w14:ligatures w14:val="none"/>
              </w:rPr>
            </w:pPr>
            <w:r>
              <w:rPr>
                <w:rFonts w:hint="eastAsia" w:ascii="宋体" w:hAnsi="宋体" w:eastAsia="宋体"/>
                <w:color w:val="auto"/>
                <w:kern w:val="0"/>
                <w:sz w:val="21"/>
                <w:szCs w:val="21"/>
                <w14:ligatures w14:val="none"/>
              </w:rPr>
              <w:t>二级</w:t>
            </w:r>
          </w:p>
        </w:tc>
      </w:tr>
    </w:tbl>
    <w:p>
      <w:pPr>
        <w:pStyle w:val="44"/>
        <w:widowControl w:val="0"/>
        <w:spacing w:before="0" w:beforeAutospacing="0" w:after="0" w:afterAutospacing="0" w:line="500" w:lineRule="exact"/>
        <w:ind w:firstLine="480" w:firstLineChars="200"/>
        <w:jc w:val="both"/>
        <w:rPr>
          <w:rFonts w:hint="eastAsia" w:hAnsi="宋体" w:cs="宋体"/>
          <w:color w:val="auto"/>
          <w:kern w:val="2"/>
          <w:szCs w:val="20"/>
          <w:lang w:bidi="ar"/>
          <w14:ligatures w14:val="standardContextual"/>
        </w:rPr>
      </w:pPr>
      <w:r>
        <w:rPr>
          <w:rFonts w:hint="eastAsia" w:hAnsi="宋体" w:cs="宋体"/>
          <w:color w:val="auto"/>
          <w:kern w:val="2"/>
          <w:szCs w:val="20"/>
          <w:lang w:val="en-US" w:eastAsia="zh-CN" w:bidi="ar"/>
          <w14:ligatures w14:val="standardContextual"/>
        </w:rPr>
        <w:t>4.2.2</w:t>
      </w:r>
      <w:r>
        <w:rPr>
          <w:rFonts w:hint="eastAsia" w:hAnsi="宋体" w:cs="宋体"/>
          <w:color w:val="auto"/>
          <w:kern w:val="2"/>
          <w:szCs w:val="20"/>
          <w:lang w:bidi="ar"/>
          <w14:ligatures w14:val="standardContextual"/>
        </w:rPr>
        <w:t>结构设计</w:t>
      </w:r>
    </w:p>
    <w:p>
      <w:pPr>
        <w:pStyle w:val="44"/>
        <w:widowControl w:val="0"/>
        <w:spacing w:before="0" w:beforeAutospacing="0" w:after="0" w:afterAutospacing="0" w:line="500" w:lineRule="exact"/>
        <w:ind w:firstLine="480" w:firstLineChars="200"/>
        <w:jc w:val="both"/>
        <w:rPr>
          <w:rFonts w:hint="eastAsia" w:hAnsi="宋体" w:cs="宋体"/>
          <w:color w:val="auto"/>
          <w:kern w:val="2"/>
          <w:szCs w:val="20"/>
          <w:lang w:bidi="ar"/>
          <w14:ligatures w14:val="standardContextual"/>
        </w:rPr>
      </w:pPr>
      <w:r>
        <w:rPr>
          <w:rFonts w:hint="eastAsia" w:hAnsi="宋体" w:cs="宋体"/>
          <w:color w:val="auto"/>
          <w:kern w:val="2"/>
          <w:szCs w:val="20"/>
          <w:lang w:bidi="ar"/>
          <w14:ligatures w14:val="standardContextual"/>
        </w:rPr>
        <w:t xml:space="preserve">1）地面生产系统建筑物及构筑物结构选型 </w:t>
      </w:r>
    </w:p>
    <w:p>
      <w:pPr>
        <w:pStyle w:val="44"/>
        <w:widowControl w:val="0"/>
        <w:spacing w:before="0" w:beforeAutospacing="0" w:after="0" w:afterAutospacing="0" w:line="500" w:lineRule="exact"/>
        <w:ind w:firstLine="480" w:firstLineChars="200"/>
        <w:jc w:val="both"/>
        <w:rPr>
          <w:rFonts w:hint="eastAsia" w:hAnsi="宋体" w:cs="宋体"/>
          <w:color w:val="auto"/>
          <w:kern w:val="2"/>
          <w:szCs w:val="20"/>
          <w:lang w:bidi="ar"/>
          <w14:ligatures w14:val="standardContextual"/>
        </w:rPr>
      </w:pPr>
      <w:r>
        <w:rPr>
          <w:rFonts w:hint="eastAsia" w:hAnsi="宋体" w:cs="宋体"/>
          <w:color w:val="auto"/>
          <w:kern w:val="2"/>
          <w:szCs w:val="20"/>
          <w:lang w:bidi="ar"/>
          <w14:ligatures w14:val="standardContextual"/>
        </w:rPr>
        <w:t>各主要建筑物与构筑物的结构选型、结构特征如下：</w:t>
      </w:r>
    </w:p>
    <w:p>
      <w:pPr>
        <w:pStyle w:val="44"/>
        <w:widowControl w:val="0"/>
        <w:spacing w:before="0" w:beforeAutospacing="0" w:after="0" w:afterAutospacing="0" w:line="500" w:lineRule="exact"/>
        <w:ind w:firstLine="480" w:firstLineChars="200"/>
        <w:jc w:val="both"/>
        <w:rPr>
          <w:rFonts w:hint="eastAsia" w:hAnsi="宋体" w:cs="宋体"/>
          <w:color w:val="auto"/>
          <w:kern w:val="2"/>
          <w:szCs w:val="20"/>
          <w:lang w:bidi="ar"/>
          <w14:ligatures w14:val="standardContextual"/>
        </w:rPr>
      </w:pPr>
      <w:r>
        <w:rPr>
          <w:rFonts w:hint="eastAsia" w:hAnsi="宋体" w:cs="宋体"/>
          <w:color w:val="auto"/>
          <w:kern w:val="2"/>
          <w:szCs w:val="20"/>
          <w:lang w:bidi="ar"/>
          <w14:ligatures w14:val="standardContextual"/>
        </w:rPr>
        <w:t>（1）封闭式卸煤棚：采用骨架支撑膜结构，基础暂按钢筋混凝土独立基础。标高5.2m以上采用PVDF膜材进行封闭,标高5.2m以下采用钢筋混凝土挡墙。</w:t>
      </w:r>
    </w:p>
    <w:p>
      <w:pPr>
        <w:pStyle w:val="44"/>
        <w:widowControl w:val="0"/>
        <w:spacing w:before="0" w:beforeAutospacing="0" w:after="0" w:afterAutospacing="0" w:line="500" w:lineRule="exact"/>
        <w:ind w:firstLine="480" w:firstLineChars="200"/>
        <w:jc w:val="both"/>
        <w:rPr>
          <w:rFonts w:hint="eastAsia" w:hAnsi="宋体" w:cs="宋体"/>
          <w:color w:val="auto"/>
          <w:kern w:val="2"/>
          <w:szCs w:val="20"/>
          <w:lang w:bidi="ar"/>
          <w14:ligatures w14:val="standardContextual"/>
        </w:rPr>
      </w:pPr>
      <w:r>
        <w:rPr>
          <w:rFonts w:hint="eastAsia" w:hAnsi="宋体" w:cs="宋体"/>
          <w:color w:val="auto"/>
          <w:kern w:val="2"/>
          <w:szCs w:val="20"/>
          <w:lang w:bidi="ar"/>
          <w14:ligatures w14:val="standardContextual"/>
        </w:rPr>
        <w:t>（</w:t>
      </w:r>
      <w:r>
        <w:rPr>
          <w:rFonts w:hint="eastAsia" w:hAnsi="宋体" w:cs="宋体"/>
          <w:color w:val="auto"/>
          <w:kern w:val="2"/>
          <w:szCs w:val="20"/>
          <w:lang w:val="en-US" w:eastAsia="zh-CN" w:bidi="ar"/>
          <w14:ligatures w14:val="standardContextual"/>
        </w:rPr>
        <w:t>2</w:t>
      </w:r>
      <w:r>
        <w:rPr>
          <w:rFonts w:hint="eastAsia" w:hAnsi="宋体" w:cs="宋体"/>
          <w:color w:val="auto"/>
          <w:kern w:val="2"/>
          <w:szCs w:val="20"/>
          <w:lang w:bidi="ar"/>
          <w14:ligatures w14:val="standardContextual"/>
        </w:rPr>
        <w:t>）洗车房：采用门式刚架，钢筋混凝土独立基础,顶部及侧窗采用聚碳酸酯PC阳光板。</w:t>
      </w:r>
    </w:p>
    <w:p>
      <w:pPr>
        <w:pStyle w:val="44"/>
        <w:widowControl w:val="0"/>
        <w:spacing w:before="0" w:beforeAutospacing="0" w:after="0" w:afterAutospacing="0" w:line="500" w:lineRule="exact"/>
        <w:ind w:firstLine="480" w:firstLineChars="200"/>
        <w:jc w:val="both"/>
        <w:rPr>
          <w:rFonts w:hint="eastAsia" w:hAnsi="宋体" w:cs="宋体"/>
          <w:color w:val="auto"/>
          <w:kern w:val="2"/>
          <w:szCs w:val="20"/>
          <w:lang w:bidi="ar"/>
          <w14:ligatures w14:val="standardContextual"/>
        </w:rPr>
      </w:pPr>
      <w:r>
        <w:rPr>
          <w:rFonts w:hint="eastAsia" w:hAnsi="宋体" w:cs="宋体"/>
          <w:color w:val="auto"/>
          <w:kern w:val="2"/>
          <w:szCs w:val="20"/>
          <w:lang w:val="en-US" w:eastAsia="zh-CN" w:bidi="ar"/>
          <w14:ligatures w14:val="standardContextual"/>
        </w:rPr>
        <w:t>2</w:t>
      </w:r>
      <w:r>
        <w:rPr>
          <w:rFonts w:hint="eastAsia" w:hAnsi="宋体" w:cs="宋体"/>
          <w:color w:val="auto"/>
          <w:kern w:val="2"/>
          <w:szCs w:val="20"/>
          <w:lang w:bidi="ar"/>
          <w14:ligatures w14:val="standardContextual"/>
        </w:rPr>
        <w:t>）抗震设防</w:t>
      </w:r>
    </w:p>
    <w:p>
      <w:pPr>
        <w:pStyle w:val="44"/>
        <w:widowControl w:val="0"/>
        <w:spacing w:before="0" w:beforeAutospacing="0" w:after="0" w:afterAutospacing="0" w:line="500" w:lineRule="exact"/>
        <w:ind w:firstLine="480" w:firstLineChars="200"/>
        <w:jc w:val="both"/>
        <w:rPr>
          <w:rFonts w:hint="eastAsia" w:hAnsi="宋体" w:cs="宋体"/>
          <w:color w:val="auto"/>
          <w:kern w:val="2"/>
          <w:szCs w:val="20"/>
          <w:lang w:bidi="ar"/>
          <w14:ligatures w14:val="standardContextual"/>
        </w:rPr>
      </w:pPr>
      <w:r>
        <w:rPr>
          <w:rFonts w:hint="eastAsia" w:hAnsi="宋体" w:cs="宋体"/>
          <w:color w:val="auto"/>
          <w:kern w:val="2"/>
          <w:szCs w:val="20"/>
          <w:lang w:bidi="ar"/>
          <w14:ligatures w14:val="standardContextual"/>
        </w:rPr>
        <w:t>遵照《建筑工程抗震设防分类标准》及《建筑抗震设计规范》的要求，建筑物及构筑物的抗震设防类别均为标准设防类（丙类），均按本地区抗震烈度（6度）采取抗震措施。本工程的建筑物与构筑物安全等级均为二级。</w:t>
      </w:r>
    </w:p>
    <w:p>
      <w:pPr>
        <w:pStyle w:val="44"/>
        <w:widowControl w:val="0"/>
        <w:spacing w:before="0" w:beforeAutospacing="0" w:after="0" w:afterAutospacing="0" w:line="500" w:lineRule="exact"/>
        <w:ind w:firstLine="480" w:firstLineChars="200"/>
        <w:jc w:val="both"/>
        <w:rPr>
          <w:rFonts w:hint="eastAsia" w:ascii="宋体" w:hAnsi="宋体" w:eastAsia="宋体" w:cs="宋体"/>
          <w:color w:val="auto"/>
          <w:kern w:val="2"/>
          <w:szCs w:val="20"/>
          <w:highlight w:val="green"/>
          <w:lang w:val="en-US" w:eastAsia="zh-CN" w:bidi="ar"/>
          <w14:ligatures w14:val="standardContextual"/>
        </w:rPr>
      </w:pPr>
      <w:bookmarkStart w:id="78" w:name="_Toc16162"/>
      <w:r>
        <w:rPr>
          <w:rFonts w:hint="eastAsia" w:hAnsi="宋体" w:cs="宋体"/>
          <w:color w:val="auto"/>
          <w:kern w:val="2"/>
          <w:szCs w:val="20"/>
          <w:highlight w:val="none"/>
          <w:lang w:val="en-US" w:eastAsia="zh-CN" w:bidi="ar"/>
          <w14:ligatures w14:val="standardContextual"/>
        </w:rPr>
        <w:t>4.2.3</w:t>
      </w:r>
      <w:r>
        <w:rPr>
          <w:rFonts w:hint="eastAsia" w:ascii="宋体" w:hAnsi="宋体" w:eastAsia="宋体" w:cs="宋体"/>
          <w:color w:val="auto"/>
          <w:kern w:val="2"/>
          <w:szCs w:val="20"/>
          <w:highlight w:val="none"/>
          <w:lang w:val="en-US" w:eastAsia="zh-CN" w:bidi="ar"/>
          <w14:ligatures w14:val="standardContextual"/>
        </w:rPr>
        <w:t>骨架膜结构系统</w:t>
      </w:r>
    </w:p>
    <w:p>
      <w:pPr>
        <w:pStyle w:val="44"/>
        <w:widowControl w:val="0"/>
        <w:spacing w:before="0" w:beforeAutospacing="0" w:after="0" w:afterAutospacing="0" w:line="500" w:lineRule="exact"/>
        <w:ind w:firstLine="480" w:firstLineChars="200"/>
        <w:jc w:val="both"/>
        <w:rPr>
          <w:rFonts w:hint="eastAsia" w:ascii="宋体" w:hAnsi="宋体" w:eastAsia="宋体" w:cs="宋体"/>
          <w:color w:val="auto"/>
          <w:kern w:val="2"/>
          <w:szCs w:val="20"/>
          <w:highlight w:val="none"/>
          <w:lang w:bidi="ar"/>
          <w14:ligatures w14:val="standardContextual"/>
        </w:rPr>
      </w:pPr>
      <w:r>
        <w:rPr>
          <w:rFonts w:hint="eastAsia" w:hAnsi="宋体" w:cs="宋体"/>
          <w:color w:val="auto"/>
          <w:kern w:val="2"/>
          <w:szCs w:val="20"/>
          <w:highlight w:val="none"/>
          <w:lang w:bidi="ar"/>
          <w14:ligatures w14:val="standardContextual"/>
        </w:rPr>
        <w:t>1）</w:t>
      </w:r>
      <w:r>
        <w:rPr>
          <w:rFonts w:hint="eastAsia" w:ascii="宋体" w:hAnsi="宋体" w:eastAsia="宋体" w:cs="宋体"/>
          <w:color w:val="auto"/>
          <w:kern w:val="2"/>
          <w:szCs w:val="20"/>
          <w:highlight w:val="none"/>
          <w:lang w:bidi="ar"/>
          <w14:ligatures w14:val="standardContextual"/>
        </w:rPr>
        <w:t>基本要求</w:t>
      </w:r>
    </w:p>
    <w:p>
      <w:pPr>
        <w:pStyle w:val="44"/>
        <w:widowControl w:val="0"/>
        <w:spacing w:before="0" w:beforeAutospacing="0" w:after="0" w:afterAutospacing="0" w:line="500" w:lineRule="exact"/>
        <w:ind w:firstLine="480" w:firstLineChars="200"/>
        <w:jc w:val="both"/>
        <w:rPr>
          <w:rFonts w:hint="eastAsia" w:ascii="宋体" w:hAnsi="宋体" w:eastAsia="宋体" w:cs="宋体"/>
          <w:color w:val="auto"/>
          <w:kern w:val="2"/>
          <w:szCs w:val="20"/>
          <w:lang w:val="en-US" w:eastAsia="zh-CN" w:bidi="ar"/>
          <w14:ligatures w14:val="standardContextual"/>
        </w:rPr>
      </w:pPr>
      <w:r>
        <w:rPr>
          <w:rFonts w:hint="eastAsia" w:hAnsi="宋体" w:cs="宋体"/>
          <w:color w:val="auto"/>
          <w:kern w:val="2"/>
          <w:szCs w:val="20"/>
          <w:lang w:bidi="ar"/>
          <w14:ligatures w14:val="standardContextual"/>
        </w:rPr>
        <w:t>（1）</w:t>
      </w:r>
      <w:r>
        <w:rPr>
          <w:rFonts w:hint="eastAsia" w:ascii="宋体" w:hAnsi="宋体" w:eastAsia="宋体" w:cs="宋体"/>
          <w:color w:val="auto"/>
          <w:kern w:val="2"/>
          <w:szCs w:val="20"/>
          <w:lang w:val="en-US" w:eastAsia="zh-CN" w:bidi="ar"/>
          <w14:ligatures w14:val="standardContextual"/>
        </w:rPr>
        <w:t>工程范围包括：煤场骨架膜钢结构柱脚标高以上全部钢结构及围护工程包括但不限于：</w:t>
      </w:r>
      <w:r>
        <w:rPr>
          <w:rFonts w:hint="eastAsia" w:ascii="宋体" w:hAnsi="宋体" w:eastAsia="宋体"/>
          <w:color w:val="auto"/>
          <w:sz w:val="24"/>
          <w:szCs w:val="24"/>
          <w:lang w:bidi="ar"/>
        </w:rPr>
        <w:t>①</w:t>
      </w:r>
      <w:r>
        <w:rPr>
          <w:rFonts w:hint="eastAsia" w:ascii="宋体" w:hAnsi="宋体" w:eastAsia="宋体" w:cs="宋体"/>
          <w:color w:val="auto"/>
          <w:kern w:val="2"/>
          <w:szCs w:val="20"/>
          <w:lang w:val="en-US" w:eastAsia="zh-CN" w:bidi="ar"/>
          <w14:ligatures w14:val="standardContextual"/>
        </w:rPr>
        <w:t>钢结构骨架。</w:t>
      </w:r>
      <w:r>
        <w:rPr>
          <w:rFonts w:hint="eastAsia" w:ascii="宋体" w:hAnsi="宋体" w:eastAsia="宋体"/>
          <w:color w:val="auto"/>
          <w:sz w:val="24"/>
          <w:szCs w:val="24"/>
          <w:lang w:bidi="ar"/>
        </w:rPr>
        <w:t>②</w:t>
      </w:r>
      <w:r>
        <w:rPr>
          <w:rFonts w:hint="eastAsia" w:ascii="宋体" w:hAnsi="宋体" w:eastAsia="宋体" w:cs="宋体"/>
          <w:color w:val="auto"/>
          <w:kern w:val="2"/>
          <w:szCs w:val="20"/>
          <w:lang w:val="en-US" w:eastAsia="zh-CN" w:bidi="ar"/>
          <w14:ligatures w14:val="standardContextual"/>
        </w:rPr>
        <w:t>外围护膜材围护系统：外围护膜材及配套附件。</w:t>
      </w:r>
    </w:p>
    <w:p>
      <w:pPr>
        <w:pStyle w:val="44"/>
        <w:widowControl w:val="0"/>
        <w:spacing w:before="0" w:beforeAutospacing="0" w:after="0" w:afterAutospacing="0" w:line="500" w:lineRule="exact"/>
        <w:ind w:firstLine="480" w:firstLineChars="200"/>
        <w:jc w:val="both"/>
        <w:rPr>
          <w:rFonts w:hint="eastAsia" w:ascii="宋体" w:hAnsi="宋体" w:eastAsia="宋体" w:cs="宋体"/>
          <w:color w:val="auto"/>
          <w:kern w:val="2"/>
          <w:szCs w:val="20"/>
          <w:lang w:val="zh-CN" w:bidi="ar"/>
          <w14:ligatures w14:val="standardContextual"/>
        </w:rPr>
      </w:pPr>
      <w:r>
        <w:rPr>
          <w:rFonts w:hint="eastAsia" w:hAnsi="宋体" w:cs="宋体"/>
          <w:color w:val="auto"/>
          <w:kern w:val="2"/>
          <w:szCs w:val="20"/>
          <w:lang w:bidi="ar"/>
          <w14:ligatures w14:val="standardContextual"/>
        </w:rPr>
        <w:t>（</w:t>
      </w:r>
      <w:r>
        <w:rPr>
          <w:rFonts w:hint="eastAsia" w:hAnsi="宋体" w:cs="宋体"/>
          <w:color w:val="auto"/>
          <w:kern w:val="2"/>
          <w:szCs w:val="20"/>
          <w:lang w:val="en-US" w:eastAsia="zh-CN" w:bidi="ar"/>
          <w14:ligatures w14:val="standardContextual"/>
        </w:rPr>
        <w:t>2</w:t>
      </w:r>
      <w:r>
        <w:rPr>
          <w:rFonts w:hint="eastAsia" w:hAnsi="宋体" w:cs="宋体"/>
          <w:color w:val="auto"/>
          <w:kern w:val="2"/>
          <w:szCs w:val="20"/>
          <w:lang w:bidi="ar"/>
          <w14:ligatures w14:val="standardContextual"/>
        </w:rPr>
        <w:t>）</w:t>
      </w:r>
      <w:r>
        <w:rPr>
          <w:rFonts w:hint="eastAsia" w:ascii="宋体" w:hAnsi="宋体" w:eastAsia="宋体" w:cs="宋体"/>
          <w:color w:val="auto"/>
          <w:kern w:val="2"/>
          <w:szCs w:val="20"/>
          <w:lang w:bidi="ar"/>
          <w14:ligatures w14:val="standardContextual"/>
        </w:rPr>
        <w:t>投标方</w:t>
      </w:r>
      <w:r>
        <w:rPr>
          <w:rFonts w:hint="eastAsia" w:ascii="宋体" w:hAnsi="宋体" w:eastAsia="宋体" w:cs="宋体"/>
          <w:color w:val="auto"/>
          <w:kern w:val="2"/>
          <w:szCs w:val="20"/>
          <w:lang w:val="zh-CN" w:bidi="ar"/>
          <w14:ligatures w14:val="standardContextual"/>
        </w:rPr>
        <w:t>须考虑煤场封闭后的防雷、采光、通风等设施，确保安全生产。</w:t>
      </w:r>
    </w:p>
    <w:p>
      <w:pPr>
        <w:pStyle w:val="44"/>
        <w:widowControl w:val="0"/>
        <w:spacing w:before="0" w:beforeAutospacing="0" w:after="0" w:afterAutospacing="0" w:line="500" w:lineRule="exact"/>
        <w:ind w:firstLine="480" w:firstLineChars="200"/>
        <w:jc w:val="both"/>
        <w:rPr>
          <w:rFonts w:hint="eastAsia" w:ascii="宋体" w:hAnsi="宋体" w:eastAsia="宋体" w:cs="宋体"/>
          <w:color w:val="auto"/>
          <w:kern w:val="2"/>
          <w:szCs w:val="20"/>
          <w:lang w:bidi="ar"/>
          <w14:ligatures w14:val="standardContextual"/>
        </w:rPr>
      </w:pPr>
      <w:r>
        <w:rPr>
          <w:rFonts w:hint="eastAsia" w:hAnsi="宋体" w:cs="宋体"/>
          <w:color w:val="auto"/>
          <w:kern w:val="2"/>
          <w:szCs w:val="20"/>
          <w:lang w:bidi="ar"/>
          <w14:ligatures w14:val="standardContextual"/>
        </w:rPr>
        <w:t>（</w:t>
      </w:r>
      <w:r>
        <w:rPr>
          <w:rFonts w:hint="eastAsia" w:hAnsi="宋体" w:cs="宋体"/>
          <w:color w:val="auto"/>
          <w:kern w:val="2"/>
          <w:szCs w:val="20"/>
          <w:lang w:val="en-US" w:eastAsia="zh-CN" w:bidi="ar"/>
          <w14:ligatures w14:val="standardContextual"/>
        </w:rPr>
        <w:t>3</w:t>
      </w:r>
      <w:r>
        <w:rPr>
          <w:rFonts w:hint="eastAsia" w:hAnsi="宋体" w:cs="宋体"/>
          <w:color w:val="auto"/>
          <w:kern w:val="2"/>
          <w:szCs w:val="20"/>
          <w:lang w:bidi="ar"/>
          <w14:ligatures w14:val="standardContextual"/>
        </w:rPr>
        <w:t>）</w:t>
      </w:r>
      <w:r>
        <w:rPr>
          <w:rFonts w:hint="eastAsia" w:ascii="宋体" w:hAnsi="宋体" w:eastAsia="宋体" w:cs="宋体"/>
          <w:color w:val="auto"/>
          <w:kern w:val="2"/>
          <w:szCs w:val="20"/>
          <w:lang w:bidi="ar"/>
          <w14:ligatures w14:val="standardContextual"/>
        </w:rPr>
        <w:t>钢结构设计工作年限为50年，膜设计工作年限</w:t>
      </w:r>
      <w:r>
        <w:rPr>
          <w:rFonts w:hint="eastAsia" w:ascii="宋体" w:hAnsi="宋体" w:eastAsia="宋体" w:cs="宋体"/>
          <w:color w:val="auto"/>
          <w:kern w:val="2"/>
          <w:szCs w:val="20"/>
          <w:lang w:val="en-US" w:eastAsia="zh-CN" w:bidi="ar"/>
          <w14:ligatures w14:val="standardContextual"/>
        </w:rPr>
        <w:t>不小于15</w:t>
      </w:r>
      <w:r>
        <w:rPr>
          <w:rFonts w:hint="eastAsia" w:ascii="宋体" w:hAnsi="宋体" w:eastAsia="宋体" w:cs="宋体"/>
          <w:color w:val="auto"/>
          <w:kern w:val="2"/>
          <w:szCs w:val="20"/>
          <w:lang w:bidi="ar"/>
          <w14:ligatures w14:val="standardContextual"/>
        </w:rPr>
        <w:t>年。</w:t>
      </w:r>
    </w:p>
    <w:p>
      <w:pPr>
        <w:pStyle w:val="44"/>
        <w:widowControl w:val="0"/>
        <w:spacing w:before="0" w:beforeAutospacing="0" w:after="0" w:afterAutospacing="0" w:line="500" w:lineRule="exact"/>
        <w:ind w:firstLine="480" w:firstLineChars="200"/>
        <w:jc w:val="both"/>
        <w:rPr>
          <w:rFonts w:hint="eastAsia" w:ascii="宋体" w:hAnsi="宋体" w:eastAsia="宋体" w:cs="宋体"/>
          <w:color w:val="auto"/>
          <w:kern w:val="2"/>
          <w:szCs w:val="20"/>
          <w:lang w:bidi="ar"/>
          <w14:ligatures w14:val="standardContextual"/>
        </w:rPr>
      </w:pPr>
      <w:r>
        <w:rPr>
          <w:rFonts w:hint="eastAsia" w:hAnsi="宋体" w:cs="宋体"/>
          <w:color w:val="auto"/>
          <w:kern w:val="2"/>
          <w:szCs w:val="20"/>
          <w:lang w:bidi="ar"/>
          <w14:ligatures w14:val="standardContextual"/>
        </w:rPr>
        <w:t>（</w:t>
      </w:r>
      <w:r>
        <w:rPr>
          <w:rFonts w:hint="eastAsia" w:hAnsi="宋体" w:cs="宋体"/>
          <w:color w:val="auto"/>
          <w:kern w:val="2"/>
          <w:szCs w:val="20"/>
          <w:lang w:val="en-US" w:eastAsia="zh-CN" w:bidi="ar"/>
          <w14:ligatures w14:val="standardContextual"/>
        </w:rPr>
        <w:t>4</w:t>
      </w:r>
      <w:r>
        <w:rPr>
          <w:rFonts w:hint="eastAsia" w:hAnsi="宋体" w:cs="宋体"/>
          <w:color w:val="auto"/>
          <w:kern w:val="2"/>
          <w:szCs w:val="20"/>
          <w:lang w:bidi="ar"/>
          <w14:ligatures w14:val="standardContextual"/>
        </w:rPr>
        <w:t>）</w:t>
      </w:r>
      <w:r>
        <w:rPr>
          <w:rFonts w:hint="eastAsia" w:ascii="宋体" w:hAnsi="宋体" w:eastAsia="宋体" w:cs="宋体"/>
          <w:color w:val="auto"/>
          <w:kern w:val="2"/>
          <w:szCs w:val="20"/>
          <w:lang w:bidi="ar"/>
          <w14:ligatures w14:val="standardContextual"/>
        </w:rPr>
        <w:t>新建骨架膜储煤场占地面积为82m（长）×68m（宽），采用骨架膜结构进行封闭。骨架膜结构底部的挡煤墙为5.2m高钢筋混凝土墙（挡墙不在本次招标范围内）。</w:t>
      </w:r>
    </w:p>
    <w:p>
      <w:pPr>
        <w:pStyle w:val="44"/>
        <w:widowControl w:val="0"/>
        <w:spacing w:before="0" w:beforeAutospacing="0" w:after="0" w:afterAutospacing="0" w:line="500" w:lineRule="exact"/>
        <w:ind w:firstLine="480" w:firstLineChars="200"/>
        <w:jc w:val="both"/>
        <w:rPr>
          <w:rFonts w:hint="eastAsia" w:ascii="宋体" w:hAnsi="宋体" w:eastAsia="宋体" w:cs="宋体"/>
          <w:color w:val="auto"/>
          <w:kern w:val="2"/>
          <w:szCs w:val="20"/>
          <w:lang w:bidi="ar"/>
          <w14:ligatures w14:val="standardContextual"/>
        </w:rPr>
      </w:pPr>
      <w:r>
        <w:rPr>
          <w:rFonts w:hint="eastAsia" w:hAnsi="宋体" w:cs="宋体"/>
          <w:color w:val="auto"/>
          <w:kern w:val="2"/>
          <w:szCs w:val="20"/>
          <w:lang w:bidi="ar"/>
          <w14:ligatures w14:val="standardContextual"/>
        </w:rPr>
        <w:t>（</w:t>
      </w:r>
      <w:r>
        <w:rPr>
          <w:rFonts w:hint="eastAsia" w:hAnsi="宋体" w:cs="宋体"/>
          <w:color w:val="auto"/>
          <w:kern w:val="2"/>
          <w:szCs w:val="20"/>
          <w:lang w:val="en-US" w:eastAsia="zh-CN" w:bidi="ar"/>
          <w14:ligatures w14:val="standardContextual"/>
        </w:rPr>
        <w:t>5</w:t>
      </w:r>
      <w:r>
        <w:rPr>
          <w:rFonts w:hint="eastAsia" w:hAnsi="宋体" w:cs="宋体"/>
          <w:color w:val="auto"/>
          <w:kern w:val="2"/>
          <w:szCs w:val="20"/>
          <w:lang w:bidi="ar"/>
          <w14:ligatures w14:val="standardContextual"/>
        </w:rPr>
        <w:t>）</w:t>
      </w:r>
      <w:r>
        <w:rPr>
          <w:rFonts w:hint="eastAsia" w:ascii="宋体" w:hAnsi="宋体" w:eastAsia="宋体" w:cs="宋体"/>
          <w:color w:val="auto"/>
          <w:kern w:val="2"/>
          <w:szCs w:val="20"/>
          <w:lang w:bidi="ar"/>
          <w14:ligatures w14:val="standardContextual"/>
        </w:rPr>
        <w:t>方案设计应充分考虑以下问题：</w:t>
      </w:r>
    </w:p>
    <w:p>
      <w:pPr>
        <w:pStyle w:val="44"/>
        <w:widowControl w:val="0"/>
        <w:spacing w:before="0" w:beforeAutospacing="0" w:after="0" w:afterAutospacing="0" w:line="500" w:lineRule="exact"/>
        <w:ind w:firstLine="480" w:firstLineChars="200"/>
        <w:jc w:val="both"/>
        <w:rPr>
          <w:rFonts w:hint="eastAsia" w:ascii="宋体" w:hAnsi="宋体" w:eastAsia="宋体" w:cs="宋体"/>
          <w:color w:val="auto"/>
          <w:kern w:val="2"/>
          <w:szCs w:val="20"/>
          <w:lang w:bidi="ar"/>
          <w14:ligatures w14:val="standardContextual"/>
        </w:rPr>
      </w:pPr>
      <w:r>
        <w:rPr>
          <w:rFonts w:hint="eastAsia" w:ascii="宋体" w:hAnsi="宋体" w:eastAsia="宋体"/>
          <w:color w:val="auto"/>
          <w:sz w:val="24"/>
          <w:szCs w:val="24"/>
          <w:lang w:bidi="ar"/>
        </w:rPr>
        <w:t>①</w:t>
      </w:r>
      <w:r>
        <w:rPr>
          <w:rFonts w:hint="eastAsia" w:ascii="宋体" w:hAnsi="宋体" w:eastAsia="宋体" w:cs="宋体"/>
          <w:color w:val="auto"/>
          <w:kern w:val="2"/>
          <w:szCs w:val="20"/>
          <w:lang w:bidi="ar"/>
          <w14:ligatures w14:val="standardContextual"/>
        </w:rPr>
        <w:t>根据控制荷载来确定钢骨架布置方式；</w:t>
      </w:r>
    </w:p>
    <w:p>
      <w:pPr>
        <w:pStyle w:val="44"/>
        <w:widowControl w:val="0"/>
        <w:spacing w:before="0" w:beforeAutospacing="0" w:after="0" w:afterAutospacing="0" w:line="500" w:lineRule="exact"/>
        <w:ind w:firstLine="480" w:firstLineChars="200"/>
        <w:jc w:val="both"/>
        <w:rPr>
          <w:rFonts w:hint="eastAsia" w:ascii="宋体" w:hAnsi="宋体" w:eastAsia="宋体" w:cs="宋体"/>
          <w:color w:val="auto"/>
          <w:kern w:val="2"/>
          <w:szCs w:val="20"/>
          <w:lang w:bidi="ar"/>
          <w14:ligatures w14:val="standardContextual"/>
        </w:rPr>
      </w:pPr>
      <w:r>
        <w:rPr>
          <w:rFonts w:hint="eastAsia" w:ascii="宋体" w:hAnsi="宋体" w:eastAsia="宋体"/>
          <w:color w:val="auto"/>
          <w:sz w:val="24"/>
          <w:szCs w:val="24"/>
          <w:lang w:bidi="ar"/>
        </w:rPr>
        <w:t>②</w:t>
      </w:r>
      <w:r>
        <w:rPr>
          <w:rFonts w:hint="eastAsia" w:ascii="宋体" w:hAnsi="宋体" w:eastAsia="宋体" w:cs="宋体"/>
          <w:color w:val="auto"/>
          <w:kern w:val="2"/>
          <w:szCs w:val="20"/>
          <w:lang w:bidi="ar"/>
          <w14:ligatures w14:val="standardContextual"/>
        </w:rPr>
        <w:t>考虑膜面及其固定件的形状以避免积水；</w:t>
      </w:r>
    </w:p>
    <w:p>
      <w:pPr>
        <w:pStyle w:val="44"/>
        <w:widowControl w:val="0"/>
        <w:spacing w:before="0" w:beforeAutospacing="0" w:after="0" w:afterAutospacing="0" w:line="500" w:lineRule="exact"/>
        <w:ind w:firstLine="480" w:firstLineChars="200"/>
        <w:jc w:val="both"/>
        <w:rPr>
          <w:rFonts w:hint="eastAsia" w:ascii="宋体" w:hAnsi="宋体" w:eastAsia="宋体" w:cs="宋体"/>
          <w:color w:val="auto"/>
          <w:kern w:val="2"/>
          <w:szCs w:val="20"/>
          <w:lang w:bidi="ar"/>
          <w14:ligatures w14:val="standardContextual"/>
        </w:rPr>
      </w:pPr>
      <w:r>
        <w:rPr>
          <w:rFonts w:hint="eastAsia" w:ascii="宋体" w:hAnsi="宋体" w:eastAsia="宋体"/>
          <w:color w:val="auto"/>
          <w:sz w:val="24"/>
          <w:szCs w:val="24"/>
          <w:lang w:bidi="ar"/>
        </w:rPr>
        <w:t>③</w:t>
      </w:r>
      <w:r>
        <w:rPr>
          <w:rFonts w:hint="eastAsia" w:ascii="宋体" w:hAnsi="宋体" w:eastAsia="宋体" w:cs="宋体"/>
          <w:color w:val="auto"/>
          <w:kern w:val="2"/>
          <w:szCs w:val="20"/>
          <w:lang w:bidi="ar"/>
          <w14:ligatures w14:val="standardContextual"/>
        </w:rPr>
        <w:t>关键节点的设计，以避免应力集中；</w:t>
      </w:r>
    </w:p>
    <w:p>
      <w:pPr>
        <w:pStyle w:val="44"/>
        <w:widowControl w:val="0"/>
        <w:spacing w:before="0" w:beforeAutospacing="0" w:after="0" w:afterAutospacing="0" w:line="500" w:lineRule="exact"/>
        <w:ind w:firstLine="480" w:firstLineChars="200"/>
        <w:jc w:val="both"/>
        <w:rPr>
          <w:rFonts w:hint="eastAsia" w:ascii="宋体" w:hAnsi="宋体" w:eastAsia="宋体" w:cs="宋体"/>
          <w:color w:val="auto"/>
          <w:kern w:val="2"/>
          <w:szCs w:val="20"/>
          <w:lang w:bidi="ar"/>
          <w14:ligatures w14:val="standardContextual"/>
        </w:rPr>
      </w:pPr>
      <w:r>
        <w:rPr>
          <w:rFonts w:hint="eastAsia" w:ascii="宋体" w:hAnsi="宋体" w:eastAsia="宋体"/>
          <w:color w:val="auto"/>
          <w:sz w:val="24"/>
          <w:szCs w:val="24"/>
          <w:lang w:bidi="ar"/>
        </w:rPr>
        <w:t>④</w:t>
      </w:r>
      <w:r>
        <w:rPr>
          <w:rFonts w:hint="eastAsia" w:ascii="宋体" w:hAnsi="宋体" w:eastAsia="宋体" w:cs="宋体"/>
          <w:color w:val="auto"/>
          <w:kern w:val="2"/>
          <w:szCs w:val="20"/>
          <w:lang w:bidi="ar"/>
          <w14:ligatures w14:val="standardContextual"/>
        </w:rPr>
        <w:t>考虑膜材的运输和吊装；</w:t>
      </w:r>
    </w:p>
    <w:p>
      <w:pPr>
        <w:pStyle w:val="44"/>
        <w:widowControl w:val="0"/>
        <w:spacing w:before="0" w:beforeAutospacing="0" w:after="0" w:afterAutospacing="0" w:line="500" w:lineRule="exact"/>
        <w:ind w:firstLine="480" w:firstLineChars="200"/>
        <w:jc w:val="both"/>
        <w:rPr>
          <w:rFonts w:hint="eastAsia" w:ascii="宋体" w:hAnsi="宋体" w:eastAsia="宋体" w:cs="宋体"/>
          <w:color w:val="auto"/>
          <w:kern w:val="2"/>
          <w:szCs w:val="20"/>
          <w:lang w:bidi="ar"/>
          <w14:ligatures w14:val="standardContextual"/>
        </w:rPr>
      </w:pPr>
      <w:r>
        <w:rPr>
          <w:rFonts w:hint="eastAsia" w:ascii="宋体" w:hAnsi="宋体" w:eastAsia="宋体"/>
          <w:color w:val="auto"/>
          <w:sz w:val="24"/>
          <w:szCs w:val="24"/>
          <w:lang w:bidi="ar"/>
        </w:rPr>
        <w:t>⑤</w:t>
      </w:r>
      <w:r>
        <w:rPr>
          <w:rFonts w:hint="eastAsia" w:ascii="宋体" w:hAnsi="宋体" w:eastAsia="宋体" w:cs="宋体"/>
          <w:color w:val="auto"/>
          <w:kern w:val="2"/>
          <w:szCs w:val="20"/>
          <w:lang w:bidi="ar"/>
          <w14:ligatures w14:val="standardContextual"/>
        </w:rPr>
        <w:t>考虑耐久性与防火；</w:t>
      </w:r>
    </w:p>
    <w:p>
      <w:pPr>
        <w:pStyle w:val="44"/>
        <w:widowControl w:val="0"/>
        <w:spacing w:before="0" w:beforeAutospacing="0" w:after="0" w:afterAutospacing="0" w:line="500" w:lineRule="exact"/>
        <w:ind w:firstLine="480" w:firstLineChars="200"/>
        <w:jc w:val="both"/>
        <w:rPr>
          <w:rFonts w:hint="eastAsia" w:ascii="宋体" w:hAnsi="宋体" w:eastAsia="宋体" w:cs="宋体"/>
          <w:color w:val="auto"/>
          <w:kern w:val="2"/>
          <w:szCs w:val="20"/>
          <w:lang w:bidi="ar"/>
          <w14:ligatures w14:val="standardContextual"/>
        </w:rPr>
      </w:pPr>
      <w:r>
        <w:rPr>
          <w:rFonts w:hint="eastAsia" w:ascii="宋体" w:hAnsi="宋体" w:eastAsia="宋体" w:cs="宋体"/>
          <w:color w:val="auto"/>
          <w:kern w:val="2"/>
          <w:szCs w:val="20"/>
          <w:lang w:eastAsia="zh-CN" w:bidi="ar"/>
          <w14:ligatures w14:val="standardContextual"/>
        </w:rPr>
        <w:t>⑥</w:t>
      </w:r>
      <w:r>
        <w:rPr>
          <w:rFonts w:hint="eastAsia" w:ascii="宋体" w:hAnsi="宋体" w:eastAsia="宋体" w:cs="宋体"/>
          <w:color w:val="auto"/>
          <w:kern w:val="2"/>
          <w:szCs w:val="20"/>
          <w:lang w:bidi="ar"/>
          <w14:ligatures w14:val="standardContextual"/>
        </w:rPr>
        <w:t>考虑雨季对膜排水的影响。</w:t>
      </w:r>
    </w:p>
    <w:p>
      <w:pPr>
        <w:pStyle w:val="44"/>
        <w:widowControl w:val="0"/>
        <w:spacing w:before="0" w:beforeAutospacing="0" w:after="0" w:afterAutospacing="0" w:line="500" w:lineRule="exact"/>
        <w:ind w:firstLine="480" w:firstLineChars="200"/>
        <w:jc w:val="both"/>
        <w:rPr>
          <w:rFonts w:hint="eastAsia" w:ascii="宋体" w:hAnsi="宋体" w:eastAsia="宋体" w:cs="宋体"/>
          <w:color w:val="auto"/>
          <w:kern w:val="2"/>
          <w:szCs w:val="20"/>
          <w:lang w:bidi="ar"/>
          <w14:ligatures w14:val="standardContextual"/>
        </w:rPr>
      </w:pPr>
      <w:r>
        <w:rPr>
          <w:rFonts w:hint="eastAsia" w:hAnsi="宋体" w:cs="宋体"/>
          <w:color w:val="auto"/>
          <w:kern w:val="2"/>
          <w:szCs w:val="20"/>
          <w:lang w:bidi="ar"/>
          <w14:ligatures w14:val="standardContextual"/>
        </w:rPr>
        <w:t>（</w:t>
      </w:r>
      <w:r>
        <w:rPr>
          <w:rFonts w:hint="eastAsia" w:hAnsi="宋体" w:cs="宋体"/>
          <w:color w:val="auto"/>
          <w:kern w:val="2"/>
          <w:szCs w:val="20"/>
          <w:lang w:val="en-US" w:eastAsia="zh-CN" w:bidi="ar"/>
          <w14:ligatures w14:val="standardContextual"/>
        </w:rPr>
        <w:t>6</w:t>
      </w:r>
      <w:r>
        <w:rPr>
          <w:rFonts w:hint="eastAsia" w:hAnsi="宋体" w:cs="宋体"/>
          <w:color w:val="auto"/>
          <w:kern w:val="2"/>
          <w:szCs w:val="20"/>
          <w:lang w:bidi="ar"/>
          <w14:ligatures w14:val="standardContextual"/>
        </w:rPr>
        <w:t>）</w:t>
      </w:r>
      <w:r>
        <w:rPr>
          <w:rFonts w:hint="eastAsia" w:ascii="宋体" w:hAnsi="宋体" w:eastAsia="宋体" w:cs="宋体"/>
          <w:color w:val="auto"/>
          <w:kern w:val="2"/>
          <w:szCs w:val="20"/>
          <w:lang w:bidi="ar"/>
          <w14:ligatures w14:val="standardContextual"/>
        </w:rPr>
        <w:t>投标人须提供以下问题的解决方案：</w:t>
      </w:r>
    </w:p>
    <w:p>
      <w:pPr>
        <w:pStyle w:val="44"/>
        <w:widowControl w:val="0"/>
        <w:spacing w:before="0" w:beforeAutospacing="0" w:after="0" w:afterAutospacing="0" w:line="500" w:lineRule="exact"/>
        <w:ind w:firstLine="480" w:firstLineChars="200"/>
        <w:jc w:val="both"/>
        <w:rPr>
          <w:rFonts w:hint="eastAsia" w:ascii="宋体" w:hAnsi="宋体" w:eastAsia="宋体" w:cs="宋体"/>
          <w:color w:val="auto"/>
          <w:kern w:val="2"/>
          <w:szCs w:val="20"/>
          <w:lang w:bidi="ar"/>
          <w14:ligatures w14:val="standardContextual"/>
        </w:rPr>
      </w:pPr>
      <w:r>
        <w:rPr>
          <w:rFonts w:hint="eastAsia" w:ascii="宋体" w:hAnsi="宋体" w:eastAsia="宋体"/>
          <w:color w:val="auto"/>
          <w:sz w:val="24"/>
          <w:szCs w:val="24"/>
          <w:lang w:bidi="ar"/>
        </w:rPr>
        <w:t>①</w:t>
      </w:r>
      <w:r>
        <w:rPr>
          <w:rFonts w:hint="eastAsia" w:ascii="宋体" w:hAnsi="宋体" w:eastAsia="宋体" w:cs="宋体"/>
          <w:color w:val="auto"/>
          <w:kern w:val="2"/>
          <w:szCs w:val="20"/>
          <w:lang w:bidi="ar"/>
          <w14:ligatures w14:val="standardContextual"/>
        </w:rPr>
        <w:t>大跨度技术措施：投标人需针对大跨度骨架膜建筑提供科学合理的安全措施，并提供相关结构计算书。</w:t>
      </w:r>
    </w:p>
    <w:p>
      <w:pPr>
        <w:pStyle w:val="44"/>
        <w:widowControl w:val="0"/>
        <w:spacing w:before="0" w:beforeAutospacing="0" w:after="0" w:afterAutospacing="0" w:line="500" w:lineRule="exact"/>
        <w:ind w:firstLine="480" w:firstLineChars="200"/>
        <w:jc w:val="both"/>
        <w:rPr>
          <w:rFonts w:hint="eastAsia" w:ascii="宋体" w:hAnsi="宋体" w:eastAsia="宋体" w:cs="宋体"/>
          <w:color w:val="auto"/>
          <w:kern w:val="2"/>
          <w:szCs w:val="20"/>
          <w:lang w:bidi="ar"/>
          <w14:ligatures w14:val="standardContextual"/>
        </w:rPr>
      </w:pPr>
      <w:r>
        <w:rPr>
          <w:rFonts w:hint="eastAsia" w:ascii="宋体" w:hAnsi="宋体" w:eastAsia="宋体"/>
          <w:color w:val="auto"/>
          <w:sz w:val="24"/>
          <w:szCs w:val="24"/>
          <w:lang w:bidi="ar"/>
        </w:rPr>
        <w:t>②</w:t>
      </w:r>
      <w:r>
        <w:rPr>
          <w:rFonts w:hint="eastAsia" w:ascii="宋体" w:hAnsi="宋体" w:eastAsia="宋体" w:cs="宋体"/>
          <w:color w:val="auto"/>
          <w:kern w:val="2"/>
          <w:szCs w:val="20"/>
          <w:lang w:bidi="ar"/>
          <w14:ligatures w14:val="standardContextual"/>
        </w:rPr>
        <w:t>避雷措施：为避免建构筑物遭受雷击，投标人需提供科学合理的避雷措施设计方案。</w:t>
      </w:r>
    </w:p>
    <w:p>
      <w:pPr>
        <w:pStyle w:val="44"/>
        <w:widowControl w:val="0"/>
        <w:spacing w:before="0" w:beforeAutospacing="0" w:after="0" w:afterAutospacing="0" w:line="500" w:lineRule="exact"/>
        <w:ind w:firstLine="480" w:firstLineChars="200"/>
        <w:jc w:val="both"/>
        <w:rPr>
          <w:rFonts w:hint="eastAsia" w:ascii="宋体" w:hAnsi="宋体" w:eastAsia="宋体" w:cs="宋体"/>
          <w:color w:val="auto"/>
          <w:kern w:val="2"/>
          <w:szCs w:val="20"/>
          <w:lang w:bidi="ar"/>
          <w14:ligatures w14:val="standardContextual"/>
        </w:rPr>
      </w:pPr>
      <w:r>
        <w:rPr>
          <w:rFonts w:hint="eastAsia" w:ascii="宋体" w:hAnsi="宋体" w:eastAsia="宋体" w:cs="宋体"/>
          <w:color w:val="auto"/>
          <w:kern w:val="2"/>
          <w:szCs w:val="20"/>
          <w:lang w:bidi="ar"/>
          <w14:ligatures w14:val="standardContextual"/>
        </w:rPr>
        <w:t>（</w:t>
      </w:r>
      <w:r>
        <w:rPr>
          <w:rFonts w:hint="eastAsia" w:ascii="宋体" w:hAnsi="宋体" w:eastAsia="宋体" w:cs="宋体"/>
          <w:color w:val="auto"/>
          <w:kern w:val="2"/>
          <w:szCs w:val="20"/>
          <w:lang w:val="en-US" w:eastAsia="zh-CN" w:bidi="ar"/>
          <w14:ligatures w14:val="standardContextual"/>
        </w:rPr>
        <w:t>7</w:t>
      </w:r>
      <w:r>
        <w:rPr>
          <w:rFonts w:hint="eastAsia" w:ascii="宋体" w:hAnsi="宋体" w:eastAsia="宋体" w:cs="宋体"/>
          <w:color w:val="auto"/>
          <w:kern w:val="2"/>
          <w:szCs w:val="20"/>
          <w:lang w:bidi="ar"/>
          <w14:ligatures w14:val="standardContextual"/>
        </w:rPr>
        <w:t>）工程需充分考虑构筑物的力学性能、光学性能、防火性能等，并提供相关力学设计计算书，确保结构安全可靠，注重经济和环境效益。投标方应负责骨架膜煤场消防、安全等主管部门要求的相关专家审查，设计方案需通过招标方认可的第三方专家审查。竣工后投标方应负责骨架膜煤场通过环保、消防、安全等相关部门的专项验收，取得相应的验收合格证</w:t>
      </w:r>
      <w:r>
        <w:rPr>
          <w:rFonts w:hint="eastAsia" w:ascii="宋体" w:hAnsi="宋体" w:eastAsia="宋体" w:cs="宋体"/>
          <w:color w:val="auto"/>
          <w:kern w:val="2"/>
          <w:szCs w:val="20"/>
          <w:lang w:eastAsia="zh-CN" w:bidi="ar"/>
          <w14:ligatures w14:val="standardContextual"/>
        </w:rPr>
        <w:t>，</w:t>
      </w:r>
      <w:r>
        <w:rPr>
          <w:rFonts w:hint="eastAsia" w:ascii="宋体" w:hAnsi="宋体" w:eastAsia="宋体" w:cs="宋体"/>
          <w:color w:val="auto"/>
          <w:kern w:val="2"/>
          <w:szCs w:val="20"/>
          <w:lang w:bidi="ar"/>
          <w14:ligatures w14:val="standardContextual"/>
        </w:rPr>
        <w:t>并无偿配合招标人完成整个系统工程的环保、消防、节能、安全等相关验收。</w:t>
      </w:r>
    </w:p>
    <w:p>
      <w:pPr>
        <w:pStyle w:val="44"/>
        <w:widowControl w:val="0"/>
        <w:spacing w:before="0" w:beforeAutospacing="0" w:after="0" w:afterAutospacing="0" w:line="500" w:lineRule="exact"/>
        <w:ind w:firstLine="480" w:firstLineChars="200"/>
        <w:jc w:val="both"/>
        <w:rPr>
          <w:rFonts w:hint="eastAsia" w:ascii="宋体" w:hAnsi="宋体" w:eastAsia="宋体" w:cs="宋体"/>
          <w:color w:val="auto"/>
          <w:kern w:val="2"/>
          <w:szCs w:val="20"/>
          <w:lang w:bidi="ar"/>
          <w14:ligatures w14:val="standardContextual"/>
        </w:rPr>
      </w:pPr>
      <w:r>
        <w:rPr>
          <w:rFonts w:hint="eastAsia" w:hAnsi="宋体" w:cs="宋体"/>
          <w:color w:val="auto"/>
          <w:kern w:val="2"/>
          <w:szCs w:val="20"/>
          <w:lang w:bidi="ar"/>
          <w14:ligatures w14:val="standardContextual"/>
        </w:rPr>
        <w:t>（</w:t>
      </w:r>
      <w:r>
        <w:rPr>
          <w:rFonts w:hint="eastAsia" w:hAnsi="宋体" w:cs="宋体"/>
          <w:color w:val="auto"/>
          <w:kern w:val="2"/>
          <w:szCs w:val="20"/>
          <w:lang w:val="en-US" w:eastAsia="zh-CN" w:bidi="ar"/>
          <w14:ligatures w14:val="standardContextual"/>
        </w:rPr>
        <w:t>8</w:t>
      </w:r>
      <w:r>
        <w:rPr>
          <w:rFonts w:hint="eastAsia" w:hAnsi="宋体" w:cs="宋体"/>
          <w:color w:val="auto"/>
          <w:kern w:val="2"/>
          <w:szCs w:val="20"/>
          <w:lang w:bidi="ar"/>
          <w14:ligatures w14:val="standardContextual"/>
        </w:rPr>
        <w:t>）</w:t>
      </w:r>
      <w:r>
        <w:rPr>
          <w:rFonts w:hint="eastAsia" w:ascii="宋体" w:hAnsi="宋体" w:eastAsia="宋体" w:cs="宋体"/>
          <w:color w:val="auto"/>
          <w:kern w:val="2"/>
          <w:szCs w:val="20"/>
          <w:lang w:bidi="ar"/>
          <w14:ligatures w14:val="standardContextual"/>
        </w:rPr>
        <w:t>质量保修期（除膜部分外）应按国家规定的相应工程类别在《工程质量保修书》中分别详细约定。</w:t>
      </w:r>
    </w:p>
    <w:p>
      <w:pPr>
        <w:pStyle w:val="44"/>
        <w:widowControl w:val="0"/>
        <w:spacing w:before="0" w:beforeAutospacing="0" w:after="0" w:afterAutospacing="0" w:line="500" w:lineRule="exact"/>
        <w:ind w:firstLine="480" w:firstLineChars="200"/>
        <w:jc w:val="both"/>
        <w:rPr>
          <w:rFonts w:hint="eastAsia" w:ascii="宋体" w:hAnsi="宋体" w:eastAsia="宋体" w:cs="宋体"/>
          <w:color w:val="auto"/>
          <w:kern w:val="2"/>
          <w:szCs w:val="20"/>
          <w:lang w:bidi="ar"/>
          <w14:ligatures w14:val="standardContextual"/>
        </w:rPr>
      </w:pPr>
      <w:r>
        <w:rPr>
          <w:rFonts w:hint="eastAsia" w:hAnsi="宋体" w:cs="宋体"/>
          <w:color w:val="auto"/>
          <w:kern w:val="2"/>
          <w:szCs w:val="20"/>
          <w:lang w:bidi="ar"/>
          <w14:ligatures w14:val="standardContextual"/>
        </w:rPr>
        <w:t>（</w:t>
      </w:r>
      <w:r>
        <w:rPr>
          <w:rFonts w:hint="eastAsia" w:hAnsi="宋体" w:cs="宋体"/>
          <w:color w:val="auto"/>
          <w:kern w:val="2"/>
          <w:szCs w:val="20"/>
          <w:lang w:val="en-US" w:eastAsia="zh-CN" w:bidi="ar"/>
          <w14:ligatures w14:val="standardContextual"/>
        </w:rPr>
        <w:t>9</w:t>
      </w:r>
      <w:r>
        <w:rPr>
          <w:rFonts w:hint="eastAsia" w:hAnsi="宋体" w:cs="宋体"/>
          <w:color w:val="auto"/>
          <w:kern w:val="2"/>
          <w:szCs w:val="20"/>
          <w:lang w:bidi="ar"/>
          <w14:ligatures w14:val="standardContextual"/>
        </w:rPr>
        <w:t>）</w:t>
      </w:r>
      <w:r>
        <w:rPr>
          <w:rFonts w:hint="eastAsia" w:ascii="宋体" w:hAnsi="宋体" w:eastAsia="宋体" w:cs="宋体"/>
          <w:color w:val="auto"/>
          <w:kern w:val="2"/>
          <w:szCs w:val="20"/>
          <w:lang w:bidi="ar"/>
          <w14:ligatures w14:val="standardContextual"/>
        </w:rPr>
        <w:t>膜PVDF膜材达到B1级防火要求，符合国家消防标准。</w:t>
      </w:r>
    </w:p>
    <w:p>
      <w:pPr>
        <w:pStyle w:val="44"/>
        <w:widowControl w:val="0"/>
        <w:spacing w:before="0" w:beforeAutospacing="0" w:after="0" w:afterAutospacing="0" w:line="500" w:lineRule="exact"/>
        <w:ind w:firstLine="480" w:firstLineChars="200"/>
        <w:jc w:val="both"/>
        <w:rPr>
          <w:rFonts w:hint="eastAsia" w:ascii="宋体" w:hAnsi="宋体" w:eastAsia="宋体" w:cs="宋体"/>
          <w:color w:val="auto"/>
          <w:kern w:val="2"/>
          <w:szCs w:val="20"/>
          <w:highlight w:val="none"/>
          <w:lang w:bidi="ar"/>
          <w14:ligatures w14:val="standardContextual"/>
        </w:rPr>
      </w:pPr>
      <w:r>
        <w:rPr>
          <w:rFonts w:hint="eastAsia" w:hAnsi="宋体" w:cs="宋体"/>
          <w:color w:val="auto"/>
          <w:kern w:val="2"/>
          <w:szCs w:val="20"/>
          <w:highlight w:val="none"/>
          <w:lang w:val="en-US" w:eastAsia="zh-CN" w:bidi="ar"/>
          <w14:ligatures w14:val="standardContextual"/>
        </w:rPr>
        <w:t>2</w:t>
      </w:r>
      <w:r>
        <w:rPr>
          <w:rFonts w:hint="eastAsia" w:hAnsi="宋体" w:cs="宋体"/>
          <w:color w:val="auto"/>
          <w:kern w:val="2"/>
          <w:szCs w:val="20"/>
          <w:highlight w:val="none"/>
          <w:lang w:bidi="ar"/>
          <w14:ligatures w14:val="standardContextual"/>
        </w:rPr>
        <w:t>）</w:t>
      </w:r>
      <w:r>
        <w:rPr>
          <w:rFonts w:hint="eastAsia" w:ascii="宋体" w:hAnsi="宋体" w:eastAsia="宋体" w:cs="宋体"/>
          <w:color w:val="auto"/>
          <w:kern w:val="2"/>
          <w:szCs w:val="20"/>
          <w:highlight w:val="none"/>
          <w:lang w:bidi="ar"/>
          <w14:ligatures w14:val="standardContextual"/>
        </w:rPr>
        <w:t>膜部分</w:t>
      </w:r>
    </w:p>
    <w:p>
      <w:pPr>
        <w:pStyle w:val="44"/>
        <w:widowControl w:val="0"/>
        <w:spacing w:before="0" w:beforeAutospacing="0" w:after="0" w:afterAutospacing="0" w:line="500" w:lineRule="exact"/>
        <w:ind w:firstLine="480" w:firstLineChars="200"/>
        <w:jc w:val="both"/>
        <w:rPr>
          <w:rFonts w:hint="eastAsia" w:ascii="宋体" w:hAnsi="宋体" w:eastAsia="宋体" w:cs="宋体"/>
          <w:color w:val="auto"/>
          <w:kern w:val="2"/>
          <w:szCs w:val="20"/>
          <w:lang w:bidi="ar"/>
          <w14:ligatures w14:val="standardContextual"/>
        </w:rPr>
      </w:pPr>
      <w:r>
        <w:rPr>
          <w:rFonts w:hint="eastAsia" w:hAnsi="宋体" w:cs="宋体"/>
          <w:color w:val="auto"/>
          <w:kern w:val="2"/>
          <w:szCs w:val="20"/>
          <w:lang w:bidi="ar"/>
          <w14:ligatures w14:val="standardContextual"/>
        </w:rPr>
        <w:t>（1）</w:t>
      </w:r>
      <w:r>
        <w:rPr>
          <w:rFonts w:hint="eastAsia" w:ascii="宋体" w:hAnsi="宋体" w:eastAsia="宋体" w:cs="宋体"/>
          <w:color w:val="auto"/>
          <w:kern w:val="2"/>
          <w:szCs w:val="20"/>
          <w:lang w:bidi="ar"/>
          <w14:ligatures w14:val="standardContextual"/>
        </w:rPr>
        <w:t>本工程骨架膜结构膜材应采用高耐候、抗腐蚀和良好的自洁性、抗老化性能的PVDF膜材。膜材须满足《建筑材料及制品燃烧性能分级》 GB8624-2012燃烧性能B1级防火要求，符合国家消防标准，投标方须提供第三方检测机构出具的合格检测证明。</w:t>
      </w:r>
    </w:p>
    <w:p>
      <w:pPr>
        <w:spacing w:line="500" w:lineRule="exact"/>
        <w:ind w:firstLine="480" w:firstLineChars="200"/>
        <w:rPr>
          <w:rFonts w:hint="eastAsia" w:ascii="宋体" w:hAnsi="宋体" w:eastAsia="宋体" w:cs="宋体"/>
          <w:color w:val="auto"/>
          <w:kern w:val="2"/>
          <w:sz w:val="24"/>
          <w:szCs w:val="20"/>
          <w:lang w:val="en-US" w:eastAsia="zh-CN" w:bidi="ar"/>
          <w14:ligatures w14:val="standardContextual"/>
        </w:rPr>
      </w:pPr>
      <w:r>
        <w:rPr>
          <w:rFonts w:hint="eastAsia" w:ascii="宋体" w:hAnsi="宋体" w:eastAsia="宋体" w:cs="宋体"/>
          <w:color w:val="auto"/>
          <w:kern w:val="2"/>
          <w:sz w:val="24"/>
          <w:szCs w:val="20"/>
          <w:lang w:val="en-US" w:eastAsia="zh-CN" w:bidi="ar"/>
          <w14:ligatures w14:val="standardContextual"/>
        </w:rPr>
        <w:t>（2）膜材参数：</w:t>
      </w:r>
    </w:p>
    <w:p>
      <w:pPr>
        <w:pStyle w:val="44"/>
        <w:widowControl w:val="0"/>
        <w:spacing w:before="0" w:beforeAutospacing="0" w:after="0" w:afterAutospacing="0" w:line="500" w:lineRule="exact"/>
        <w:ind w:firstLine="480" w:firstLineChars="200"/>
        <w:jc w:val="both"/>
        <w:rPr>
          <w:rFonts w:hint="eastAsia" w:ascii="宋体" w:hAnsi="宋体" w:eastAsia="宋体" w:cs="宋体"/>
          <w:color w:val="0000FF"/>
          <w:kern w:val="2"/>
          <w:szCs w:val="20"/>
          <w:lang w:val="en-US" w:eastAsia="zh-CN" w:bidi="ar"/>
          <w14:ligatures w14:val="standardContextual"/>
        </w:rPr>
      </w:pPr>
      <w:r>
        <w:rPr>
          <w:rFonts w:hint="eastAsia" w:ascii="宋体" w:hAnsi="宋体" w:eastAsia="宋体" w:cs="宋体"/>
          <w:color w:val="auto"/>
          <w:kern w:val="2"/>
          <w:szCs w:val="20"/>
          <w:lang w:val="en-US" w:eastAsia="zh-CN" w:bidi="ar"/>
          <w14:ligatures w14:val="standardContextual"/>
        </w:rPr>
        <w:t>骨架膜执行标准不得低于上述技术参数且质保不得低于15年。</w:t>
      </w:r>
    </w:p>
    <w:p>
      <w:pPr>
        <w:pStyle w:val="44"/>
        <w:widowControl w:val="0"/>
        <w:spacing w:before="0" w:beforeAutospacing="0" w:after="0" w:afterAutospacing="0" w:line="500" w:lineRule="exact"/>
        <w:ind w:firstLine="480" w:firstLineChars="200"/>
        <w:jc w:val="both"/>
        <w:rPr>
          <w:rFonts w:hint="eastAsia" w:ascii="宋体" w:hAnsi="宋体" w:eastAsia="宋体" w:cs="宋体"/>
          <w:color w:val="auto"/>
          <w:kern w:val="2"/>
          <w:szCs w:val="20"/>
          <w:lang w:bidi="ar"/>
          <w14:ligatures w14:val="standardContextual"/>
        </w:rPr>
      </w:pPr>
      <w:r>
        <w:rPr>
          <w:rFonts w:hint="eastAsia" w:ascii="宋体" w:hAnsi="宋体" w:eastAsia="宋体" w:cs="宋体"/>
          <w:color w:val="auto"/>
          <w:kern w:val="2"/>
          <w:sz w:val="24"/>
          <w:szCs w:val="20"/>
          <w:lang w:val="en-US" w:eastAsia="zh-CN" w:bidi="ar"/>
          <w14:ligatures w14:val="standardContextual"/>
        </w:rPr>
        <w:drawing>
          <wp:anchor distT="0" distB="0" distL="114300" distR="114300" simplePos="0" relativeHeight="251664384" behindDoc="0" locked="0" layoutInCell="1" allowOverlap="1">
            <wp:simplePos x="0" y="0"/>
            <wp:positionH relativeFrom="margin">
              <wp:posOffset>267335</wp:posOffset>
            </wp:positionH>
            <wp:positionV relativeFrom="margin">
              <wp:posOffset>2921635</wp:posOffset>
            </wp:positionV>
            <wp:extent cx="5274310" cy="4243070"/>
            <wp:effectExtent l="0" t="0" r="2540" b="508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274310" cy="4243070"/>
                    </a:xfrm>
                    <a:prstGeom prst="rect">
                      <a:avLst/>
                    </a:prstGeom>
                    <a:noFill/>
                    <a:ln>
                      <a:noFill/>
                    </a:ln>
                  </pic:spPr>
                </pic:pic>
              </a:graphicData>
            </a:graphic>
          </wp:anchor>
        </w:drawing>
      </w:r>
      <w:r>
        <w:rPr>
          <w:rFonts w:hint="eastAsia" w:hAnsi="宋体" w:cs="宋体"/>
          <w:color w:val="auto"/>
          <w:kern w:val="2"/>
          <w:szCs w:val="20"/>
          <w:lang w:bidi="ar"/>
          <w14:ligatures w14:val="standardContextual"/>
        </w:rPr>
        <w:t>（</w:t>
      </w:r>
      <w:r>
        <w:rPr>
          <w:rFonts w:hint="eastAsia" w:hAnsi="宋体" w:cs="宋体"/>
          <w:color w:val="auto"/>
          <w:kern w:val="2"/>
          <w:szCs w:val="20"/>
          <w:lang w:val="en-US" w:eastAsia="zh-CN" w:bidi="ar"/>
          <w14:ligatures w14:val="standardContextual"/>
        </w:rPr>
        <w:t>3</w:t>
      </w:r>
      <w:r>
        <w:rPr>
          <w:rFonts w:hint="eastAsia" w:hAnsi="宋体" w:cs="宋体"/>
          <w:color w:val="auto"/>
          <w:kern w:val="2"/>
          <w:szCs w:val="20"/>
          <w:lang w:bidi="ar"/>
          <w14:ligatures w14:val="standardContextual"/>
        </w:rPr>
        <w:t>）</w:t>
      </w:r>
      <w:r>
        <w:rPr>
          <w:rFonts w:hint="eastAsia" w:ascii="宋体" w:hAnsi="宋体" w:eastAsia="宋体" w:cs="宋体"/>
          <w:color w:val="auto"/>
          <w:kern w:val="2"/>
          <w:szCs w:val="20"/>
          <w:lang w:bidi="ar"/>
          <w14:ligatures w14:val="standardContextual"/>
        </w:rPr>
        <w:t>膜材选用国产优质品牌的产品，投标方在投标文件中必须详述选用的膜材。</w:t>
      </w:r>
    </w:p>
    <w:p>
      <w:pPr>
        <w:pStyle w:val="44"/>
        <w:widowControl w:val="0"/>
        <w:spacing w:before="0" w:beforeAutospacing="0" w:after="0" w:afterAutospacing="0" w:line="500" w:lineRule="exact"/>
        <w:ind w:firstLine="480" w:firstLineChars="200"/>
        <w:jc w:val="both"/>
        <w:rPr>
          <w:rFonts w:hint="eastAsia" w:ascii="宋体" w:hAnsi="宋体" w:eastAsia="宋体" w:cs="宋体"/>
          <w:color w:val="auto"/>
          <w:kern w:val="2"/>
          <w:szCs w:val="20"/>
          <w:lang w:bidi="ar"/>
          <w14:ligatures w14:val="standardContextual"/>
        </w:rPr>
      </w:pPr>
      <w:r>
        <w:rPr>
          <w:rFonts w:hint="eastAsia" w:hAnsi="宋体" w:cs="宋体"/>
          <w:color w:val="auto"/>
          <w:kern w:val="2"/>
          <w:szCs w:val="20"/>
          <w:lang w:bidi="ar"/>
          <w14:ligatures w14:val="standardContextual"/>
        </w:rPr>
        <w:t>（</w:t>
      </w:r>
      <w:r>
        <w:rPr>
          <w:rFonts w:hint="eastAsia" w:hAnsi="宋体" w:cs="宋体"/>
          <w:color w:val="auto"/>
          <w:kern w:val="2"/>
          <w:szCs w:val="20"/>
          <w:lang w:val="en-US" w:eastAsia="zh-CN" w:bidi="ar"/>
          <w14:ligatures w14:val="standardContextual"/>
        </w:rPr>
        <w:t>4</w:t>
      </w:r>
      <w:r>
        <w:rPr>
          <w:rFonts w:hint="eastAsia" w:hAnsi="宋体" w:cs="宋体"/>
          <w:color w:val="auto"/>
          <w:kern w:val="2"/>
          <w:szCs w:val="20"/>
          <w:lang w:bidi="ar"/>
          <w14:ligatures w14:val="standardContextual"/>
        </w:rPr>
        <w:t>）</w:t>
      </w:r>
      <w:r>
        <w:rPr>
          <w:rFonts w:hint="eastAsia" w:ascii="宋体" w:hAnsi="宋体" w:eastAsia="宋体" w:cs="宋体"/>
          <w:color w:val="auto"/>
          <w:kern w:val="2"/>
          <w:szCs w:val="20"/>
          <w:lang w:bidi="ar"/>
          <w14:ligatures w14:val="standardContextual"/>
        </w:rPr>
        <w:t>膜结构的连接件应具有足够的强度、刚度和耐久性，连接处的膜材应不先于其他部位的膜材破坏。</w:t>
      </w:r>
    </w:p>
    <w:p>
      <w:pPr>
        <w:pStyle w:val="44"/>
        <w:widowControl w:val="0"/>
        <w:spacing w:before="0" w:beforeAutospacing="0" w:after="0" w:afterAutospacing="0" w:line="500" w:lineRule="exact"/>
        <w:ind w:firstLine="480" w:firstLineChars="200"/>
        <w:jc w:val="both"/>
        <w:rPr>
          <w:rFonts w:hint="eastAsia" w:ascii="宋体" w:hAnsi="宋体" w:eastAsia="宋体" w:cs="宋体"/>
          <w:color w:val="auto"/>
          <w:kern w:val="2"/>
          <w:szCs w:val="20"/>
          <w:lang w:bidi="ar"/>
          <w14:ligatures w14:val="standardContextual"/>
        </w:rPr>
      </w:pPr>
      <w:r>
        <w:rPr>
          <w:rFonts w:hint="eastAsia" w:hAnsi="宋体" w:cs="宋体"/>
          <w:color w:val="auto"/>
          <w:kern w:val="2"/>
          <w:szCs w:val="20"/>
          <w:lang w:bidi="ar"/>
          <w14:ligatures w14:val="standardContextual"/>
        </w:rPr>
        <w:t>（</w:t>
      </w:r>
      <w:r>
        <w:rPr>
          <w:rFonts w:hint="eastAsia" w:hAnsi="宋体" w:cs="宋体"/>
          <w:color w:val="auto"/>
          <w:kern w:val="2"/>
          <w:szCs w:val="20"/>
          <w:lang w:val="en-US" w:eastAsia="zh-CN" w:bidi="ar"/>
          <w14:ligatures w14:val="standardContextual"/>
        </w:rPr>
        <w:t>5</w:t>
      </w:r>
      <w:r>
        <w:rPr>
          <w:rFonts w:hint="eastAsia" w:hAnsi="宋体" w:cs="宋体"/>
          <w:color w:val="auto"/>
          <w:kern w:val="2"/>
          <w:szCs w:val="20"/>
          <w:lang w:bidi="ar"/>
          <w14:ligatures w14:val="standardContextual"/>
        </w:rPr>
        <w:t>）</w:t>
      </w:r>
      <w:r>
        <w:rPr>
          <w:rFonts w:hint="eastAsia" w:ascii="宋体" w:hAnsi="宋体" w:eastAsia="宋体" w:cs="宋体"/>
          <w:color w:val="auto"/>
          <w:kern w:val="2"/>
          <w:szCs w:val="20"/>
          <w:lang w:bidi="ar"/>
          <w14:ligatures w14:val="standardContextual"/>
        </w:rPr>
        <w:t>膜结构的连接件应传力可靠，并减少连接处应力集中。</w:t>
      </w:r>
    </w:p>
    <w:p>
      <w:pPr>
        <w:pStyle w:val="44"/>
        <w:widowControl w:val="0"/>
        <w:spacing w:before="0" w:beforeAutospacing="0" w:after="0" w:afterAutospacing="0" w:line="500" w:lineRule="exact"/>
        <w:ind w:firstLine="480" w:firstLineChars="200"/>
        <w:jc w:val="both"/>
        <w:rPr>
          <w:rFonts w:hint="eastAsia" w:ascii="宋体" w:hAnsi="宋体" w:eastAsia="宋体" w:cs="宋体"/>
          <w:color w:val="auto"/>
          <w:kern w:val="2"/>
          <w:szCs w:val="20"/>
          <w:lang w:bidi="ar"/>
          <w14:ligatures w14:val="standardContextual"/>
        </w:rPr>
      </w:pPr>
      <w:r>
        <w:rPr>
          <w:rFonts w:hint="eastAsia" w:hAnsi="宋体" w:cs="宋体"/>
          <w:color w:val="auto"/>
          <w:kern w:val="2"/>
          <w:szCs w:val="20"/>
          <w:lang w:bidi="ar"/>
          <w14:ligatures w14:val="standardContextual"/>
        </w:rPr>
        <w:t>（</w:t>
      </w:r>
      <w:r>
        <w:rPr>
          <w:rFonts w:hint="eastAsia" w:hAnsi="宋体" w:cs="宋体"/>
          <w:color w:val="auto"/>
          <w:kern w:val="2"/>
          <w:szCs w:val="20"/>
          <w:lang w:val="en-US" w:eastAsia="zh-CN" w:bidi="ar"/>
          <w14:ligatures w14:val="standardContextual"/>
        </w:rPr>
        <w:t>6</w:t>
      </w:r>
      <w:r>
        <w:rPr>
          <w:rFonts w:hint="eastAsia" w:hAnsi="宋体" w:cs="宋体"/>
          <w:color w:val="auto"/>
          <w:kern w:val="2"/>
          <w:szCs w:val="20"/>
          <w:lang w:bidi="ar"/>
          <w14:ligatures w14:val="standardContextual"/>
        </w:rPr>
        <w:t>）</w:t>
      </w:r>
      <w:r>
        <w:rPr>
          <w:rFonts w:hint="eastAsia" w:ascii="宋体" w:hAnsi="宋体" w:eastAsia="宋体" w:cs="宋体"/>
          <w:color w:val="auto"/>
          <w:kern w:val="2"/>
          <w:szCs w:val="20"/>
          <w:lang w:bidi="ar"/>
          <w14:ligatures w14:val="standardContextual"/>
        </w:rPr>
        <w:t>在膜材连接处应保持高度水密性，应采取必要的构造措施防止膜材磨损和撕裂。</w:t>
      </w:r>
    </w:p>
    <w:p>
      <w:pPr>
        <w:pStyle w:val="44"/>
        <w:widowControl w:val="0"/>
        <w:spacing w:before="0" w:beforeAutospacing="0" w:after="0" w:afterAutospacing="0" w:line="500" w:lineRule="exact"/>
        <w:ind w:firstLine="480" w:firstLineChars="200"/>
        <w:jc w:val="both"/>
        <w:rPr>
          <w:rFonts w:hint="eastAsia" w:ascii="宋体" w:hAnsi="宋体" w:eastAsia="宋体" w:cs="宋体"/>
          <w:color w:val="auto"/>
          <w:kern w:val="2"/>
          <w:szCs w:val="20"/>
          <w:lang w:bidi="ar"/>
          <w14:ligatures w14:val="standardContextual"/>
        </w:rPr>
      </w:pPr>
      <w:r>
        <w:rPr>
          <w:rFonts w:hint="eastAsia" w:hAnsi="宋体" w:cs="宋体"/>
          <w:color w:val="auto"/>
          <w:kern w:val="2"/>
          <w:szCs w:val="20"/>
          <w:lang w:bidi="ar"/>
          <w14:ligatures w14:val="standardContextual"/>
        </w:rPr>
        <w:t>（</w:t>
      </w:r>
      <w:r>
        <w:rPr>
          <w:rFonts w:hint="eastAsia" w:hAnsi="宋体" w:cs="宋体"/>
          <w:color w:val="auto"/>
          <w:kern w:val="2"/>
          <w:szCs w:val="20"/>
          <w:lang w:val="en-US" w:eastAsia="zh-CN" w:bidi="ar"/>
          <w14:ligatures w14:val="standardContextual"/>
        </w:rPr>
        <w:t>7</w:t>
      </w:r>
      <w:r>
        <w:rPr>
          <w:rFonts w:hint="eastAsia" w:hAnsi="宋体" w:cs="宋体"/>
          <w:color w:val="auto"/>
          <w:kern w:val="2"/>
          <w:szCs w:val="20"/>
          <w:lang w:bidi="ar"/>
          <w14:ligatures w14:val="standardContextual"/>
        </w:rPr>
        <w:t>）</w:t>
      </w:r>
      <w:r>
        <w:rPr>
          <w:rFonts w:hint="eastAsia" w:ascii="宋体" w:hAnsi="宋体" w:eastAsia="宋体" w:cs="宋体"/>
          <w:color w:val="auto"/>
          <w:kern w:val="2"/>
          <w:szCs w:val="20"/>
          <w:lang w:bidi="ar"/>
          <w14:ligatures w14:val="standardContextual"/>
        </w:rPr>
        <w:t>膜结构夹板采用铝合金材质。</w:t>
      </w:r>
    </w:p>
    <w:p>
      <w:pPr>
        <w:pStyle w:val="44"/>
        <w:widowControl w:val="0"/>
        <w:spacing w:before="0" w:beforeAutospacing="0" w:after="0" w:afterAutospacing="0" w:line="500" w:lineRule="exact"/>
        <w:ind w:firstLine="480" w:firstLineChars="200"/>
        <w:jc w:val="both"/>
        <w:rPr>
          <w:rFonts w:hint="eastAsia" w:ascii="宋体" w:hAnsi="宋体" w:eastAsia="宋体" w:cs="宋体"/>
          <w:color w:val="auto"/>
          <w:kern w:val="2"/>
          <w:szCs w:val="20"/>
          <w:lang w:bidi="ar"/>
          <w14:ligatures w14:val="standardContextual"/>
        </w:rPr>
      </w:pPr>
      <w:r>
        <w:rPr>
          <w:rFonts w:hint="eastAsia" w:hAnsi="宋体" w:cs="宋体"/>
          <w:color w:val="auto"/>
          <w:kern w:val="2"/>
          <w:szCs w:val="20"/>
          <w:lang w:bidi="ar"/>
          <w14:ligatures w14:val="standardContextual"/>
        </w:rPr>
        <w:t>（</w:t>
      </w:r>
      <w:r>
        <w:rPr>
          <w:rFonts w:hint="eastAsia" w:hAnsi="宋体" w:cs="宋体"/>
          <w:color w:val="auto"/>
          <w:kern w:val="2"/>
          <w:szCs w:val="20"/>
          <w:lang w:val="en-US" w:eastAsia="zh-CN" w:bidi="ar"/>
          <w14:ligatures w14:val="standardContextual"/>
        </w:rPr>
        <w:t>8</w:t>
      </w:r>
      <w:r>
        <w:rPr>
          <w:rFonts w:hint="eastAsia" w:hAnsi="宋体" w:cs="宋体"/>
          <w:color w:val="auto"/>
          <w:kern w:val="2"/>
          <w:szCs w:val="20"/>
          <w:lang w:bidi="ar"/>
          <w14:ligatures w14:val="standardContextual"/>
        </w:rPr>
        <w:t>）</w:t>
      </w:r>
      <w:r>
        <w:rPr>
          <w:rFonts w:hint="eastAsia" w:ascii="宋体" w:hAnsi="宋体" w:eastAsia="宋体" w:cs="宋体"/>
          <w:color w:val="auto"/>
          <w:kern w:val="2"/>
          <w:szCs w:val="20"/>
          <w:lang w:bidi="ar"/>
          <w14:ligatures w14:val="standardContextual"/>
        </w:rPr>
        <w:t>投标方在投标文件中必须详述选用的膜材并提供小样，并对关键连接节点强度进行试验验证，并提供试验报告。</w:t>
      </w:r>
    </w:p>
    <w:p>
      <w:pPr>
        <w:pStyle w:val="44"/>
        <w:widowControl w:val="0"/>
        <w:spacing w:before="0" w:beforeAutospacing="0" w:after="0" w:afterAutospacing="0" w:line="500" w:lineRule="exact"/>
        <w:ind w:firstLine="480" w:firstLineChars="200"/>
        <w:jc w:val="both"/>
        <w:rPr>
          <w:rFonts w:hint="eastAsia" w:ascii="宋体" w:hAnsi="宋体" w:eastAsia="宋体" w:cs="宋体"/>
          <w:color w:val="auto"/>
          <w:kern w:val="2"/>
          <w:szCs w:val="20"/>
          <w:highlight w:val="none"/>
          <w:lang w:bidi="ar"/>
          <w14:ligatures w14:val="standardContextual"/>
        </w:rPr>
      </w:pPr>
      <w:r>
        <w:rPr>
          <w:rFonts w:hint="eastAsia" w:hAnsi="宋体" w:cs="宋体"/>
          <w:color w:val="auto"/>
          <w:kern w:val="2"/>
          <w:szCs w:val="20"/>
          <w:highlight w:val="none"/>
          <w:lang w:val="en-US" w:eastAsia="zh-CN" w:bidi="ar"/>
          <w14:ligatures w14:val="standardContextual"/>
        </w:rPr>
        <w:t>3</w:t>
      </w:r>
      <w:r>
        <w:rPr>
          <w:rFonts w:hint="eastAsia" w:hAnsi="宋体" w:cs="宋体"/>
          <w:color w:val="auto"/>
          <w:kern w:val="2"/>
          <w:szCs w:val="20"/>
          <w:highlight w:val="none"/>
          <w:lang w:bidi="ar"/>
          <w14:ligatures w14:val="standardContextual"/>
        </w:rPr>
        <w:t>）</w:t>
      </w:r>
      <w:r>
        <w:rPr>
          <w:rFonts w:hint="eastAsia" w:ascii="宋体" w:hAnsi="宋体" w:eastAsia="宋体" w:cs="宋体"/>
          <w:color w:val="auto"/>
          <w:kern w:val="2"/>
          <w:szCs w:val="20"/>
          <w:highlight w:val="none"/>
          <w:lang w:bidi="ar"/>
          <w14:ligatures w14:val="standardContextual"/>
        </w:rPr>
        <w:t>钢构件防腐</w:t>
      </w:r>
    </w:p>
    <w:p>
      <w:pPr>
        <w:pStyle w:val="44"/>
        <w:widowControl w:val="0"/>
        <w:spacing w:before="0" w:beforeAutospacing="0" w:after="0" w:afterAutospacing="0" w:line="500" w:lineRule="exact"/>
        <w:ind w:firstLine="480" w:firstLineChars="200"/>
        <w:jc w:val="both"/>
        <w:rPr>
          <w:rFonts w:hint="eastAsia" w:ascii="宋体" w:hAnsi="宋体" w:eastAsia="宋体" w:cs="宋体"/>
          <w:color w:val="auto"/>
          <w:kern w:val="2"/>
          <w:szCs w:val="20"/>
          <w:lang w:bidi="ar"/>
          <w14:ligatures w14:val="standardContextual"/>
        </w:rPr>
      </w:pPr>
      <w:r>
        <w:rPr>
          <w:rFonts w:hint="eastAsia" w:ascii="宋体" w:hAnsi="宋体" w:eastAsia="宋体" w:cs="宋体"/>
          <w:color w:val="auto"/>
          <w:kern w:val="2"/>
          <w:szCs w:val="20"/>
          <w:lang w:bidi="ar"/>
          <w14:ligatures w14:val="standardContextual"/>
        </w:rPr>
        <w:t>主体结构及相关结构附件的防腐，安装前采取防腐处理。所有钢构件的除锈与涂装均应在构件制作质量检验合格后进行。</w:t>
      </w:r>
    </w:p>
    <w:p>
      <w:pPr>
        <w:pStyle w:val="44"/>
        <w:widowControl w:val="0"/>
        <w:spacing w:before="0" w:beforeAutospacing="0" w:after="0" w:afterAutospacing="0" w:line="500" w:lineRule="exact"/>
        <w:ind w:firstLine="480" w:firstLineChars="200"/>
        <w:jc w:val="both"/>
        <w:rPr>
          <w:rFonts w:hint="eastAsia" w:ascii="宋体" w:hAnsi="宋体" w:eastAsia="宋体" w:cs="宋体"/>
          <w:color w:val="auto"/>
          <w:kern w:val="2"/>
          <w:szCs w:val="20"/>
          <w:lang w:bidi="ar"/>
          <w14:ligatures w14:val="standardContextual"/>
        </w:rPr>
      </w:pPr>
      <w:r>
        <w:rPr>
          <w:rFonts w:hint="eastAsia" w:ascii="宋体" w:hAnsi="宋体" w:eastAsia="宋体" w:cs="宋体"/>
          <w:color w:val="auto"/>
          <w:kern w:val="2"/>
          <w:szCs w:val="20"/>
          <w:lang w:bidi="ar"/>
          <w14:ligatures w14:val="standardContextual"/>
        </w:rPr>
        <w:t>所有钢结构表面必须采用抛丸除锈处理后再进行防腐，钢结构的防腐应符合以下要求：</w:t>
      </w:r>
    </w:p>
    <w:p>
      <w:pPr>
        <w:pStyle w:val="44"/>
        <w:widowControl w:val="0"/>
        <w:spacing w:before="0" w:beforeAutospacing="0" w:after="0" w:afterAutospacing="0" w:line="500" w:lineRule="exact"/>
        <w:ind w:firstLine="480" w:firstLineChars="200"/>
        <w:jc w:val="both"/>
        <w:rPr>
          <w:rFonts w:hint="eastAsia" w:ascii="宋体" w:hAnsi="宋体" w:eastAsia="宋体" w:cs="宋体"/>
          <w:color w:val="auto"/>
          <w:kern w:val="2"/>
          <w:szCs w:val="20"/>
          <w:lang w:eastAsia="zh-CN" w:bidi="ar"/>
          <w14:ligatures w14:val="standardContextual"/>
        </w:rPr>
      </w:pPr>
      <w:r>
        <w:rPr>
          <w:rFonts w:hint="eastAsia" w:ascii="宋体" w:hAnsi="宋体" w:eastAsia="宋体" w:cs="宋体"/>
          <w:color w:val="auto"/>
          <w:kern w:val="2"/>
          <w:szCs w:val="20"/>
          <w:lang w:bidi="ar"/>
          <w14:ligatures w14:val="standardContextual"/>
        </w:rPr>
        <w:t>钢结构构件的除锈等级为Sa2.5级，刷环氧富锌底漆，涂层厚度70um，环氧云铁中间漆，涂层厚度60um，氟碳漆面漆，涂层厚度70um。氟碳漆执行《交联型氟树脂涂料》（HG/T-3792-2014）的要求</w:t>
      </w:r>
      <w:r>
        <w:rPr>
          <w:rFonts w:hint="eastAsia" w:ascii="宋体" w:hAnsi="宋体" w:eastAsia="宋体" w:cs="宋体"/>
          <w:color w:val="auto"/>
          <w:kern w:val="2"/>
          <w:szCs w:val="20"/>
          <w:lang w:eastAsia="zh-CN" w:bidi="ar"/>
          <w14:ligatures w14:val="standardContextual"/>
        </w:rPr>
        <w:t>。</w:t>
      </w:r>
    </w:p>
    <w:p>
      <w:pPr>
        <w:pStyle w:val="44"/>
        <w:widowControl w:val="0"/>
        <w:spacing w:before="0" w:beforeAutospacing="0" w:after="0" w:afterAutospacing="0" w:line="500" w:lineRule="exact"/>
        <w:ind w:firstLine="480" w:firstLineChars="200"/>
        <w:jc w:val="both"/>
        <w:rPr>
          <w:rFonts w:hint="eastAsia" w:ascii="宋体" w:hAnsi="宋体" w:eastAsia="宋体" w:cs="宋体"/>
          <w:color w:val="auto"/>
          <w:kern w:val="2"/>
          <w:szCs w:val="20"/>
          <w:highlight w:val="none"/>
          <w:lang w:bidi="ar"/>
          <w14:ligatures w14:val="standardContextual"/>
        </w:rPr>
      </w:pPr>
      <w:r>
        <w:rPr>
          <w:rFonts w:hint="eastAsia" w:hAnsi="宋体" w:cs="宋体"/>
          <w:color w:val="auto"/>
          <w:kern w:val="2"/>
          <w:szCs w:val="20"/>
          <w:highlight w:val="none"/>
          <w:lang w:val="en-US" w:eastAsia="zh-CN" w:bidi="ar"/>
          <w14:ligatures w14:val="standardContextual"/>
        </w:rPr>
        <w:t>4</w:t>
      </w:r>
      <w:r>
        <w:rPr>
          <w:rFonts w:hint="eastAsia" w:hAnsi="宋体" w:cs="宋体"/>
          <w:color w:val="auto"/>
          <w:kern w:val="2"/>
          <w:szCs w:val="20"/>
          <w:highlight w:val="none"/>
          <w:lang w:bidi="ar"/>
          <w14:ligatures w14:val="standardContextual"/>
        </w:rPr>
        <w:t>）</w:t>
      </w:r>
      <w:r>
        <w:rPr>
          <w:rFonts w:hint="eastAsia" w:ascii="宋体" w:hAnsi="宋体" w:eastAsia="宋体" w:cs="宋体"/>
          <w:color w:val="auto"/>
          <w:kern w:val="2"/>
          <w:szCs w:val="20"/>
          <w:highlight w:val="none"/>
          <w:lang w:bidi="ar"/>
          <w14:ligatures w14:val="standardContextual"/>
        </w:rPr>
        <w:t>钢构件防火</w:t>
      </w:r>
    </w:p>
    <w:p>
      <w:pPr>
        <w:pStyle w:val="44"/>
        <w:widowControl w:val="0"/>
        <w:spacing w:before="0" w:beforeAutospacing="0" w:after="0" w:afterAutospacing="0" w:line="500" w:lineRule="exact"/>
        <w:ind w:firstLine="480" w:firstLineChars="200"/>
        <w:jc w:val="both"/>
        <w:rPr>
          <w:rFonts w:hint="eastAsia" w:ascii="宋体" w:hAnsi="宋体" w:eastAsia="宋体" w:cs="宋体"/>
          <w:color w:val="auto"/>
          <w:kern w:val="2"/>
          <w:szCs w:val="20"/>
          <w:lang w:bidi="ar"/>
          <w14:ligatures w14:val="standardContextual"/>
        </w:rPr>
      </w:pPr>
      <w:r>
        <w:rPr>
          <w:rFonts w:hint="eastAsia" w:ascii="宋体" w:hAnsi="宋体" w:eastAsia="宋体" w:cs="宋体"/>
          <w:color w:val="auto"/>
          <w:kern w:val="2"/>
          <w:szCs w:val="20"/>
          <w:lang w:bidi="ar"/>
          <w14:ligatures w14:val="standardContextual"/>
        </w:rPr>
        <w:t>钢结构采用超薄膨胀型防火涂料，涂料颜色协商确定，防火涂料的性能及其厚度应满足建筑消防要求，建筑的耐火等级为二级。</w:t>
      </w:r>
    </w:p>
    <w:p>
      <w:pPr>
        <w:pStyle w:val="44"/>
        <w:widowControl w:val="0"/>
        <w:spacing w:before="0" w:beforeAutospacing="0" w:after="0" w:afterAutospacing="0" w:line="500" w:lineRule="exact"/>
        <w:ind w:firstLine="480" w:firstLineChars="200"/>
        <w:jc w:val="both"/>
        <w:rPr>
          <w:rFonts w:hint="eastAsia" w:ascii="宋体" w:hAnsi="宋体" w:eastAsia="宋体" w:cs="宋体"/>
          <w:color w:val="auto"/>
          <w:kern w:val="2"/>
          <w:szCs w:val="20"/>
          <w:highlight w:val="none"/>
          <w:lang w:bidi="ar"/>
          <w14:ligatures w14:val="standardContextual"/>
        </w:rPr>
      </w:pPr>
      <w:r>
        <w:rPr>
          <w:rFonts w:hint="eastAsia" w:hAnsi="宋体" w:cs="宋体"/>
          <w:color w:val="auto"/>
          <w:kern w:val="2"/>
          <w:szCs w:val="20"/>
          <w:highlight w:val="none"/>
          <w:lang w:val="en-US" w:eastAsia="zh-CN" w:bidi="ar"/>
          <w14:ligatures w14:val="standardContextual"/>
        </w:rPr>
        <w:t>5</w:t>
      </w:r>
      <w:r>
        <w:rPr>
          <w:rFonts w:hint="eastAsia" w:hAnsi="宋体" w:cs="宋体"/>
          <w:color w:val="auto"/>
          <w:kern w:val="2"/>
          <w:szCs w:val="20"/>
          <w:highlight w:val="none"/>
          <w:lang w:bidi="ar"/>
          <w14:ligatures w14:val="standardContextual"/>
        </w:rPr>
        <w:t>）</w:t>
      </w:r>
      <w:r>
        <w:rPr>
          <w:rFonts w:hint="eastAsia" w:ascii="宋体" w:hAnsi="宋体" w:eastAsia="宋体" w:cs="宋体"/>
          <w:color w:val="auto"/>
          <w:kern w:val="2"/>
          <w:szCs w:val="20"/>
          <w:highlight w:val="none"/>
          <w:lang w:bidi="ar"/>
          <w14:ligatures w14:val="standardContextual"/>
        </w:rPr>
        <w:t>供货清单</w:t>
      </w:r>
    </w:p>
    <w:p>
      <w:pPr>
        <w:pStyle w:val="44"/>
        <w:widowControl w:val="0"/>
        <w:spacing w:before="0" w:beforeAutospacing="0" w:after="0" w:afterAutospacing="0" w:line="500" w:lineRule="exact"/>
        <w:ind w:firstLine="480" w:firstLineChars="200"/>
        <w:jc w:val="center"/>
        <w:rPr>
          <w:rFonts w:hint="eastAsia" w:ascii="宋体" w:hAnsi="宋体" w:eastAsia="宋体" w:cs="宋体"/>
          <w:color w:val="auto"/>
          <w:kern w:val="2"/>
          <w:szCs w:val="20"/>
          <w:lang w:bidi="ar"/>
          <w14:ligatures w14:val="standardContextual"/>
        </w:rPr>
      </w:pPr>
      <w:r>
        <w:rPr>
          <w:rFonts w:hint="eastAsia" w:ascii="宋体" w:hAnsi="宋体" w:eastAsia="宋体" w:cs="宋体"/>
          <w:color w:val="auto"/>
          <w:kern w:val="2"/>
          <w:szCs w:val="20"/>
          <w:lang w:bidi="ar"/>
          <w14:ligatures w14:val="standardContextual"/>
        </w:rPr>
        <w:t>封闭骨架膜及配套部分供货清单：(包括但不限于以下配置)</w:t>
      </w:r>
    </w:p>
    <w:tbl>
      <w:tblPr>
        <w:tblStyle w:val="50"/>
        <w:tblW w:w="8789" w:type="dxa"/>
        <w:jc w:val="center"/>
        <w:tblInd w:w="0" w:type="dxa"/>
        <w:tblLayout w:type="fixed"/>
        <w:tblCellMar>
          <w:top w:w="0" w:type="dxa"/>
          <w:left w:w="108" w:type="dxa"/>
          <w:bottom w:w="0" w:type="dxa"/>
          <w:right w:w="108" w:type="dxa"/>
        </w:tblCellMar>
      </w:tblPr>
      <w:tblGrid>
        <w:gridCol w:w="667"/>
        <w:gridCol w:w="2608"/>
        <w:gridCol w:w="2608"/>
        <w:gridCol w:w="1055"/>
        <w:gridCol w:w="796"/>
        <w:gridCol w:w="1055"/>
      </w:tblGrid>
      <w:tr>
        <w:tblPrEx>
          <w:tblLayout w:type="fixed"/>
          <w:tblCellMar>
            <w:top w:w="0" w:type="dxa"/>
            <w:left w:w="108" w:type="dxa"/>
            <w:bottom w:w="0" w:type="dxa"/>
            <w:right w:w="108" w:type="dxa"/>
          </w:tblCellMar>
        </w:tblPrEx>
        <w:trPr>
          <w:trHeight w:val="567" w:hRule="atLeast"/>
          <w:jc w:val="center"/>
        </w:trPr>
        <w:tc>
          <w:tcPr>
            <w:tcW w:w="66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olor w:val="auto"/>
                <w:kern w:val="0"/>
                <w:sz w:val="21"/>
                <w:szCs w:val="21"/>
                <w14:ligatures w14:val="none"/>
              </w:rPr>
            </w:pPr>
            <w:r>
              <w:rPr>
                <w:rFonts w:hint="eastAsia" w:ascii="宋体" w:hAnsi="宋体" w:eastAsia="宋体"/>
                <w:color w:val="auto"/>
                <w:kern w:val="0"/>
                <w:sz w:val="21"/>
                <w:szCs w:val="21"/>
                <w14:ligatures w14:val="none"/>
              </w:rPr>
              <w:t>序号</w:t>
            </w:r>
          </w:p>
        </w:tc>
        <w:tc>
          <w:tcPr>
            <w:tcW w:w="260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olor w:val="auto"/>
                <w:kern w:val="0"/>
                <w:sz w:val="21"/>
                <w:szCs w:val="21"/>
                <w14:ligatures w14:val="none"/>
              </w:rPr>
            </w:pPr>
            <w:r>
              <w:rPr>
                <w:rFonts w:hint="eastAsia" w:ascii="宋体" w:hAnsi="宋体" w:eastAsia="宋体"/>
                <w:color w:val="auto"/>
                <w:kern w:val="0"/>
                <w:sz w:val="21"/>
                <w:szCs w:val="21"/>
                <w14:ligatures w14:val="none"/>
              </w:rPr>
              <w:t>名 称</w:t>
            </w:r>
          </w:p>
        </w:tc>
        <w:tc>
          <w:tcPr>
            <w:tcW w:w="260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olor w:val="auto"/>
                <w:kern w:val="0"/>
                <w:sz w:val="21"/>
                <w:szCs w:val="21"/>
                <w14:ligatures w14:val="none"/>
              </w:rPr>
            </w:pPr>
            <w:r>
              <w:rPr>
                <w:rFonts w:hint="eastAsia" w:ascii="宋体" w:hAnsi="宋体" w:eastAsia="宋体"/>
                <w:color w:val="auto"/>
                <w:kern w:val="0"/>
                <w:sz w:val="21"/>
                <w:szCs w:val="21"/>
                <w14:ligatures w14:val="none"/>
              </w:rPr>
              <w:t>规格型号</w:t>
            </w:r>
          </w:p>
        </w:tc>
        <w:tc>
          <w:tcPr>
            <w:tcW w:w="105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olor w:val="auto"/>
                <w:kern w:val="0"/>
                <w:sz w:val="21"/>
                <w:szCs w:val="21"/>
                <w14:ligatures w14:val="none"/>
              </w:rPr>
            </w:pPr>
            <w:r>
              <w:rPr>
                <w:rFonts w:hint="eastAsia" w:ascii="宋体" w:hAnsi="宋体" w:eastAsia="宋体"/>
                <w:color w:val="auto"/>
                <w:kern w:val="0"/>
                <w:sz w:val="21"/>
                <w:szCs w:val="21"/>
                <w14:ligatures w14:val="none"/>
              </w:rPr>
              <w:t>单位</w:t>
            </w:r>
          </w:p>
        </w:tc>
        <w:tc>
          <w:tcPr>
            <w:tcW w:w="79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olor w:val="auto"/>
                <w:kern w:val="0"/>
                <w:sz w:val="21"/>
                <w:szCs w:val="21"/>
                <w14:ligatures w14:val="none"/>
              </w:rPr>
            </w:pPr>
            <w:r>
              <w:rPr>
                <w:rFonts w:hint="eastAsia" w:ascii="宋体" w:hAnsi="宋体" w:eastAsia="宋体"/>
                <w:color w:val="auto"/>
                <w:kern w:val="0"/>
                <w:sz w:val="21"/>
                <w:szCs w:val="21"/>
                <w14:ligatures w14:val="none"/>
              </w:rPr>
              <w:t>数量</w:t>
            </w:r>
          </w:p>
        </w:tc>
        <w:tc>
          <w:tcPr>
            <w:tcW w:w="105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olor w:val="auto"/>
                <w:kern w:val="0"/>
                <w:sz w:val="21"/>
                <w:szCs w:val="21"/>
                <w14:ligatures w14:val="none"/>
              </w:rPr>
            </w:pPr>
            <w:r>
              <w:rPr>
                <w:rFonts w:hint="eastAsia" w:ascii="宋体" w:hAnsi="宋体" w:eastAsia="宋体"/>
                <w:color w:val="auto"/>
                <w:kern w:val="0"/>
                <w:sz w:val="21"/>
                <w:szCs w:val="21"/>
                <w14:ligatures w14:val="none"/>
              </w:rPr>
              <w:t>备注</w:t>
            </w:r>
          </w:p>
        </w:tc>
      </w:tr>
      <w:tr>
        <w:tblPrEx>
          <w:tblLayout w:type="fixed"/>
          <w:tblCellMar>
            <w:top w:w="0" w:type="dxa"/>
            <w:left w:w="108" w:type="dxa"/>
            <w:bottom w:w="0" w:type="dxa"/>
            <w:right w:w="108" w:type="dxa"/>
          </w:tblCellMar>
        </w:tblPrEx>
        <w:trPr>
          <w:trHeight w:val="567" w:hRule="atLeast"/>
          <w:jc w:val="center"/>
        </w:trPr>
        <w:tc>
          <w:tcPr>
            <w:tcW w:w="66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olor w:val="auto"/>
                <w:kern w:val="0"/>
                <w:sz w:val="21"/>
                <w:szCs w:val="21"/>
                <w14:ligatures w14:val="none"/>
              </w:rPr>
            </w:pPr>
            <w:r>
              <w:rPr>
                <w:rFonts w:hint="eastAsia" w:ascii="宋体" w:hAnsi="宋体" w:eastAsia="宋体"/>
                <w:color w:val="auto"/>
                <w:kern w:val="0"/>
                <w:sz w:val="21"/>
                <w:szCs w:val="21"/>
                <w14:ligatures w14:val="none"/>
              </w:rPr>
              <w:t>　</w:t>
            </w:r>
          </w:p>
        </w:tc>
        <w:tc>
          <w:tcPr>
            <w:tcW w:w="2608"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olor w:val="auto"/>
                <w:kern w:val="0"/>
                <w:sz w:val="21"/>
                <w:szCs w:val="21"/>
                <w14:ligatures w14:val="none"/>
              </w:rPr>
            </w:pPr>
            <w:r>
              <w:rPr>
                <w:rFonts w:hint="eastAsia" w:ascii="宋体" w:hAnsi="宋体" w:eastAsia="宋体"/>
                <w:color w:val="auto"/>
                <w:kern w:val="0"/>
                <w:sz w:val="21"/>
                <w:szCs w:val="21"/>
                <w14:ligatures w14:val="none"/>
              </w:rPr>
              <w:t>一、建筑膜材和钢网系统　</w:t>
            </w:r>
          </w:p>
        </w:tc>
        <w:tc>
          <w:tcPr>
            <w:tcW w:w="2608"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olor w:val="auto"/>
                <w:kern w:val="0"/>
                <w:sz w:val="21"/>
                <w:szCs w:val="21"/>
                <w14:ligatures w14:val="none"/>
              </w:rPr>
            </w:pPr>
            <w:r>
              <w:rPr>
                <w:rFonts w:hint="eastAsia" w:ascii="宋体" w:hAnsi="宋体" w:eastAsia="宋体"/>
                <w:color w:val="auto"/>
                <w:kern w:val="0"/>
                <w:sz w:val="21"/>
                <w:szCs w:val="21"/>
                <w14:ligatures w14:val="none"/>
              </w:rPr>
              <w:t>　</w:t>
            </w:r>
          </w:p>
        </w:tc>
        <w:tc>
          <w:tcPr>
            <w:tcW w:w="1055"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olor w:val="auto"/>
                <w:kern w:val="0"/>
                <w:sz w:val="21"/>
                <w:szCs w:val="21"/>
                <w14:ligatures w14:val="none"/>
              </w:rPr>
            </w:pPr>
            <w:r>
              <w:rPr>
                <w:rFonts w:hint="eastAsia" w:ascii="宋体" w:hAnsi="宋体" w:eastAsia="宋体"/>
                <w:color w:val="auto"/>
                <w:kern w:val="0"/>
                <w:sz w:val="21"/>
                <w:szCs w:val="21"/>
                <w14:ligatures w14:val="none"/>
              </w:rPr>
              <w:t>　</w:t>
            </w:r>
          </w:p>
        </w:tc>
        <w:tc>
          <w:tcPr>
            <w:tcW w:w="796"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olor w:val="auto"/>
                <w:kern w:val="0"/>
                <w:sz w:val="21"/>
                <w:szCs w:val="21"/>
                <w14:ligatures w14:val="none"/>
              </w:rPr>
            </w:pPr>
            <w:r>
              <w:rPr>
                <w:rFonts w:hint="eastAsia" w:ascii="宋体" w:hAnsi="宋体" w:eastAsia="宋体"/>
                <w:color w:val="auto"/>
                <w:kern w:val="0"/>
                <w:sz w:val="21"/>
                <w:szCs w:val="21"/>
                <w14:ligatures w14:val="none"/>
              </w:rPr>
              <w:t>　</w:t>
            </w:r>
          </w:p>
        </w:tc>
        <w:tc>
          <w:tcPr>
            <w:tcW w:w="105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olor w:val="auto"/>
                <w:kern w:val="0"/>
                <w:sz w:val="21"/>
                <w:szCs w:val="21"/>
                <w14:ligatures w14:val="none"/>
              </w:rPr>
            </w:pPr>
            <w:r>
              <w:rPr>
                <w:rFonts w:hint="eastAsia" w:ascii="宋体" w:hAnsi="宋体" w:eastAsia="宋体"/>
                <w:color w:val="auto"/>
                <w:kern w:val="0"/>
                <w:sz w:val="21"/>
                <w:szCs w:val="21"/>
                <w14:ligatures w14:val="none"/>
              </w:rPr>
              <w:t>　</w:t>
            </w:r>
          </w:p>
        </w:tc>
      </w:tr>
      <w:tr>
        <w:tblPrEx>
          <w:tblLayout w:type="fixed"/>
          <w:tblCellMar>
            <w:top w:w="0" w:type="dxa"/>
            <w:left w:w="108" w:type="dxa"/>
            <w:bottom w:w="0" w:type="dxa"/>
            <w:right w:w="108" w:type="dxa"/>
          </w:tblCellMar>
        </w:tblPrEx>
        <w:trPr>
          <w:trHeight w:val="567" w:hRule="atLeast"/>
          <w:jc w:val="center"/>
        </w:trPr>
        <w:tc>
          <w:tcPr>
            <w:tcW w:w="66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olor w:val="auto"/>
                <w:kern w:val="0"/>
                <w:sz w:val="21"/>
                <w:szCs w:val="21"/>
                <w:lang w:eastAsia="zh-CN"/>
                <w14:ligatures w14:val="none"/>
              </w:rPr>
            </w:pPr>
            <w:r>
              <w:rPr>
                <w:rFonts w:hint="eastAsia" w:ascii="宋体" w:hAnsi="宋体" w:eastAsia="宋体"/>
                <w:color w:val="auto"/>
                <w:kern w:val="0"/>
                <w:sz w:val="21"/>
                <w:szCs w:val="21"/>
                <w:lang w:val="en-US" w:eastAsia="zh-CN"/>
                <w14:ligatures w14:val="none"/>
              </w:rPr>
              <w:t>1</w:t>
            </w:r>
          </w:p>
        </w:tc>
        <w:tc>
          <w:tcPr>
            <w:tcW w:w="2608"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olor w:val="auto"/>
                <w:kern w:val="0"/>
                <w:sz w:val="21"/>
                <w:szCs w:val="21"/>
                <w14:ligatures w14:val="none"/>
              </w:rPr>
            </w:pPr>
            <w:r>
              <w:rPr>
                <w:rFonts w:hint="eastAsia" w:ascii="宋体" w:hAnsi="宋体" w:eastAsia="宋体"/>
                <w:color w:val="auto"/>
                <w:kern w:val="0"/>
                <w:sz w:val="21"/>
                <w:szCs w:val="21"/>
                <w14:ligatures w14:val="none"/>
              </w:rPr>
              <w:t>建筑膜材封闭系统</w:t>
            </w:r>
          </w:p>
        </w:tc>
        <w:tc>
          <w:tcPr>
            <w:tcW w:w="2608"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宋体" w:hAnsi="宋体" w:eastAsia="宋体"/>
                <w:color w:val="auto"/>
                <w:kern w:val="0"/>
                <w:sz w:val="21"/>
                <w:szCs w:val="21"/>
                <w:lang w:val="en-US" w:eastAsia="zh-CN"/>
                <w14:ligatures w14:val="none"/>
              </w:rPr>
            </w:pPr>
            <w:r>
              <w:rPr>
                <w:rFonts w:hint="eastAsia" w:ascii="宋体" w:hAnsi="宋体" w:eastAsia="宋体"/>
                <w:color w:val="auto"/>
                <w:kern w:val="0"/>
                <w:sz w:val="21"/>
                <w:szCs w:val="21"/>
                <w:lang w:val="en-US" w:eastAsia="zh-CN"/>
                <w14:ligatures w14:val="none"/>
              </w:rPr>
              <w:t>详见技术性能要求</w:t>
            </w:r>
          </w:p>
        </w:tc>
        <w:tc>
          <w:tcPr>
            <w:tcW w:w="105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olor w:val="auto"/>
                <w:kern w:val="0"/>
                <w:sz w:val="21"/>
                <w:szCs w:val="21"/>
                <w14:ligatures w14:val="none"/>
              </w:rPr>
            </w:pPr>
            <w:r>
              <w:rPr>
                <w:rFonts w:hint="eastAsia" w:ascii="宋体" w:hAnsi="宋体" w:eastAsia="宋体"/>
                <w:color w:val="auto"/>
                <w:kern w:val="0"/>
                <w:sz w:val="21"/>
                <w:szCs w:val="21"/>
                <w14:ligatures w14:val="none"/>
              </w:rPr>
              <w:t>平方米</w:t>
            </w:r>
          </w:p>
        </w:tc>
        <w:tc>
          <w:tcPr>
            <w:tcW w:w="79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olor w:val="auto"/>
                <w:kern w:val="0"/>
                <w:sz w:val="21"/>
                <w:szCs w:val="21"/>
                <w14:ligatures w14:val="none"/>
              </w:rPr>
            </w:pPr>
            <w:r>
              <w:rPr>
                <w:rFonts w:hint="eastAsia" w:ascii="宋体" w:hAnsi="宋体" w:eastAsia="宋体"/>
                <w:color w:val="auto"/>
                <w:kern w:val="0"/>
                <w:sz w:val="21"/>
                <w:szCs w:val="21"/>
                <w14:ligatures w14:val="none"/>
              </w:rPr>
              <w:t>5600</w:t>
            </w:r>
          </w:p>
        </w:tc>
        <w:tc>
          <w:tcPr>
            <w:tcW w:w="105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olor w:val="auto"/>
                <w:kern w:val="0"/>
                <w:sz w:val="21"/>
                <w:szCs w:val="21"/>
                <w14:ligatures w14:val="none"/>
              </w:rPr>
            </w:pPr>
            <w:r>
              <w:rPr>
                <w:rFonts w:hint="eastAsia" w:ascii="宋体" w:hAnsi="宋体" w:eastAsia="宋体"/>
                <w:color w:val="auto"/>
                <w:kern w:val="0"/>
                <w:sz w:val="21"/>
                <w:szCs w:val="21"/>
                <w14:ligatures w14:val="none"/>
              </w:rPr>
              <w:t>投影面积</w:t>
            </w:r>
          </w:p>
        </w:tc>
      </w:tr>
      <w:tr>
        <w:tblPrEx>
          <w:tblLayout w:type="fixed"/>
          <w:tblCellMar>
            <w:top w:w="0" w:type="dxa"/>
            <w:left w:w="108" w:type="dxa"/>
            <w:bottom w:w="0" w:type="dxa"/>
            <w:right w:w="108" w:type="dxa"/>
          </w:tblCellMar>
        </w:tblPrEx>
        <w:trPr>
          <w:trHeight w:val="850" w:hRule="exact"/>
          <w:jc w:val="center"/>
        </w:trPr>
        <w:tc>
          <w:tcPr>
            <w:tcW w:w="66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olor w:val="auto"/>
                <w:kern w:val="0"/>
                <w:sz w:val="21"/>
                <w:szCs w:val="21"/>
                <w:lang w:val="en-US" w:eastAsia="zh-CN"/>
                <w14:ligatures w14:val="none"/>
              </w:rPr>
            </w:pPr>
            <w:r>
              <w:rPr>
                <w:rFonts w:hint="eastAsia" w:ascii="宋体" w:hAnsi="宋体" w:eastAsia="宋体"/>
                <w:color w:val="auto"/>
                <w:kern w:val="0"/>
                <w:sz w:val="21"/>
                <w:szCs w:val="21"/>
                <w:lang w:val="en-US" w:eastAsia="zh-CN"/>
                <w14:ligatures w14:val="none"/>
              </w:rPr>
              <w:t>2</w:t>
            </w:r>
          </w:p>
        </w:tc>
        <w:tc>
          <w:tcPr>
            <w:tcW w:w="2608"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olor w:val="auto"/>
                <w:kern w:val="0"/>
                <w:sz w:val="21"/>
                <w:szCs w:val="21"/>
                <w14:ligatures w14:val="none"/>
              </w:rPr>
            </w:pPr>
            <w:r>
              <w:rPr>
                <w:rFonts w:hint="eastAsia" w:ascii="宋体" w:hAnsi="宋体" w:eastAsia="宋体"/>
                <w:color w:val="auto"/>
                <w:kern w:val="0"/>
                <w:sz w:val="21"/>
                <w:szCs w:val="21"/>
                <w14:ligatures w14:val="none"/>
              </w:rPr>
              <w:t>钢材</w:t>
            </w:r>
          </w:p>
        </w:tc>
        <w:tc>
          <w:tcPr>
            <w:tcW w:w="2608"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olor w:val="auto"/>
                <w:kern w:val="0"/>
                <w:sz w:val="21"/>
                <w:szCs w:val="21"/>
                <w:lang w:val="en-US" w:eastAsia="zh-CN"/>
                <w14:ligatures w14:val="none"/>
              </w:rPr>
            </w:pPr>
            <w:r>
              <w:rPr>
                <w:rFonts w:hint="eastAsia" w:ascii="宋体" w:hAnsi="宋体" w:eastAsia="宋体" w:cstheme="minorBidi"/>
                <w:color w:val="auto"/>
                <w:kern w:val="0"/>
                <w:sz w:val="21"/>
                <w:szCs w:val="21"/>
                <w:lang w:val="en-US" w:eastAsia="zh-CN" w:bidi="ar-SA"/>
                <w14:ligatures w14:val="none"/>
              </w:rPr>
              <w:t>宝武钢铁集团、攀枝花钢铁集团、马钢集团</w:t>
            </w:r>
          </w:p>
        </w:tc>
        <w:tc>
          <w:tcPr>
            <w:tcW w:w="105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olor w:val="auto"/>
                <w:kern w:val="0"/>
                <w:sz w:val="21"/>
                <w:szCs w:val="21"/>
                <w14:ligatures w14:val="none"/>
              </w:rPr>
            </w:pPr>
          </w:p>
        </w:tc>
        <w:tc>
          <w:tcPr>
            <w:tcW w:w="79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olor w:val="auto"/>
                <w:kern w:val="0"/>
                <w:sz w:val="21"/>
                <w:szCs w:val="21"/>
                <w14:ligatures w14:val="none"/>
              </w:rPr>
            </w:pPr>
          </w:p>
        </w:tc>
        <w:tc>
          <w:tcPr>
            <w:tcW w:w="105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olor w:val="auto"/>
                <w:kern w:val="0"/>
                <w:sz w:val="21"/>
                <w:szCs w:val="21"/>
                <w14:ligatures w14:val="none"/>
              </w:rPr>
            </w:pPr>
          </w:p>
        </w:tc>
      </w:tr>
    </w:tbl>
    <w:p>
      <w:pPr>
        <w:pStyle w:val="44"/>
        <w:widowControl w:val="0"/>
        <w:spacing w:before="0" w:beforeAutospacing="0" w:after="0" w:afterAutospacing="0" w:line="500" w:lineRule="exact"/>
        <w:ind w:firstLine="480" w:firstLineChars="200"/>
        <w:jc w:val="both"/>
        <w:rPr>
          <w:rFonts w:hint="eastAsia" w:hAnsi="宋体" w:cs="宋体"/>
          <w:color w:val="auto"/>
          <w:kern w:val="2"/>
          <w:szCs w:val="20"/>
          <w:highlight w:val="none"/>
          <w:lang w:bidi="ar"/>
          <w14:ligatures w14:val="standardContextual"/>
        </w:rPr>
      </w:pPr>
      <w:r>
        <w:rPr>
          <w:rFonts w:hint="eastAsia" w:hAnsi="宋体" w:cs="宋体"/>
          <w:color w:val="auto"/>
          <w:kern w:val="2"/>
          <w:szCs w:val="20"/>
          <w:highlight w:val="none"/>
          <w:lang w:bidi="ar"/>
          <w14:ligatures w14:val="standardContextual"/>
        </w:rPr>
        <w:t>建筑物的网架等钢构件，按规范要求采取覆盖耐火层或涂刷防火涂料等耐火保护措施，使耐火极限满足规范要求。</w:t>
      </w:r>
    </w:p>
    <w:p>
      <w:pPr>
        <w:pStyle w:val="44"/>
        <w:widowControl w:val="0"/>
        <w:spacing w:before="0" w:beforeAutospacing="0" w:after="0" w:afterAutospacing="0" w:line="500" w:lineRule="exact"/>
        <w:ind w:firstLine="480" w:firstLineChars="200"/>
        <w:jc w:val="both"/>
        <w:rPr>
          <w:rFonts w:hint="eastAsia" w:hAnsi="宋体" w:cs="宋体"/>
          <w:color w:val="auto"/>
          <w:kern w:val="2"/>
          <w:szCs w:val="20"/>
          <w:lang w:bidi="ar"/>
          <w14:ligatures w14:val="standardContextual"/>
        </w:rPr>
      </w:pPr>
      <w:r>
        <w:rPr>
          <w:rFonts w:hint="eastAsia" w:hAnsi="宋体" w:cs="宋体"/>
          <w:color w:val="auto"/>
          <w:kern w:val="2"/>
          <w:szCs w:val="20"/>
          <w:lang w:val="en-US" w:eastAsia="zh-CN" w:bidi="ar"/>
          <w14:ligatures w14:val="standardContextual"/>
        </w:rPr>
        <w:t>4.2.4</w:t>
      </w:r>
      <w:r>
        <w:rPr>
          <w:rFonts w:hint="eastAsia" w:hAnsi="宋体" w:cs="宋体"/>
          <w:color w:val="auto"/>
          <w:kern w:val="2"/>
          <w:szCs w:val="20"/>
          <w:lang w:bidi="ar"/>
          <w14:ligatures w14:val="standardContextual"/>
        </w:rPr>
        <w:t>地基与基础</w:t>
      </w:r>
      <w:bookmarkEnd w:id="78"/>
    </w:p>
    <w:p>
      <w:pPr>
        <w:pStyle w:val="44"/>
        <w:widowControl w:val="0"/>
        <w:spacing w:before="0" w:beforeAutospacing="0" w:after="0" w:afterAutospacing="0" w:line="500" w:lineRule="exact"/>
        <w:ind w:firstLine="480" w:firstLineChars="200"/>
        <w:jc w:val="both"/>
        <w:rPr>
          <w:rFonts w:hint="eastAsia" w:hAnsi="宋体" w:cs="宋体"/>
          <w:color w:val="auto"/>
          <w:kern w:val="2"/>
          <w:szCs w:val="20"/>
          <w:lang w:bidi="ar"/>
          <w14:ligatures w14:val="standardContextual"/>
        </w:rPr>
      </w:pPr>
      <w:r>
        <w:rPr>
          <w:rFonts w:hint="eastAsia" w:hAnsi="宋体" w:cs="宋体"/>
          <w:color w:val="auto"/>
          <w:kern w:val="2"/>
          <w:szCs w:val="20"/>
          <w:lang w:bidi="ar"/>
          <w14:ligatures w14:val="standardContextual"/>
        </w:rPr>
        <w:t>本次设计暂参照业主提供中煤西安设计工程有限责任公司（2018年6月）编制的《中煤鄂尔多斯能源化工有限公司 合成气制年产100万吨甲醇技术改造项目备煤系统 岩土工程勘察报告（详勘）》，基础持力层为第④强风化砂岩，地基承载力fak=400KPa，变形模量ES=21MPa。封闭式卸煤棚均采用钢筋混凝土独立基础。</w:t>
      </w:r>
    </w:p>
    <w:p>
      <w:pPr>
        <w:pStyle w:val="44"/>
        <w:widowControl w:val="0"/>
        <w:spacing w:before="0" w:beforeAutospacing="0" w:after="0" w:afterAutospacing="0" w:line="500" w:lineRule="exact"/>
        <w:ind w:firstLine="480" w:firstLineChars="200"/>
        <w:jc w:val="both"/>
        <w:rPr>
          <w:rFonts w:hint="eastAsia" w:hAnsi="宋体" w:cs="宋体"/>
          <w:color w:val="auto"/>
          <w:kern w:val="2"/>
          <w:szCs w:val="20"/>
          <w:lang w:bidi="ar"/>
          <w14:ligatures w14:val="standardContextual"/>
        </w:rPr>
      </w:pPr>
      <w:r>
        <w:rPr>
          <w:rFonts w:hint="eastAsia" w:hAnsi="宋体" w:cs="宋体"/>
          <w:color w:val="auto"/>
          <w:kern w:val="2"/>
          <w:szCs w:val="20"/>
          <w:lang w:bidi="ar"/>
          <w14:ligatures w14:val="standardContextual"/>
        </w:rPr>
        <w:t>本工程参考周边地勘对地基处理进行初步判断，该判断仅作为工程投资费用参考，不做为后期设计依据。在施工图设计开展前进行应岩土工程详细勘察，按工程地质情况，确定基础型式、埋深及地基处理等。</w:t>
      </w:r>
    </w:p>
    <w:p>
      <w:pPr>
        <w:pStyle w:val="44"/>
        <w:widowControl w:val="0"/>
        <w:spacing w:before="0" w:beforeAutospacing="0" w:after="0" w:afterAutospacing="0" w:line="500" w:lineRule="exact"/>
        <w:ind w:firstLine="480" w:firstLineChars="200"/>
        <w:jc w:val="both"/>
        <w:rPr>
          <w:rFonts w:hint="eastAsia" w:hAnsi="宋体" w:cs="宋体"/>
          <w:color w:val="auto"/>
          <w:kern w:val="2"/>
          <w:szCs w:val="20"/>
          <w:lang w:bidi="ar"/>
          <w14:ligatures w14:val="standardContextual"/>
        </w:rPr>
      </w:pPr>
      <w:r>
        <w:rPr>
          <w:rFonts w:hint="eastAsia" w:hAnsi="宋体" w:cs="宋体"/>
          <w:color w:val="auto"/>
          <w:kern w:val="2"/>
          <w:szCs w:val="20"/>
          <w:lang w:bidi="ar"/>
          <w14:ligatures w14:val="standardContextual"/>
        </w:rPr>
        <w:t>本工程暂无工程地质勘察报告，地基处理方式均为根据以往设计经验初步确定，建议初步设计工作开展前进行岩土工程初步勘察，在施工图设计开展前进行岩土工程详细勘察，对地基处理方式进行调整和优化以及确定基础型式。</w:t>
      </w:r>
    </w:p>
    <w:p>
      <w:pPr>
        <w:pStyle w:val="44"/>
        <w:widowControl w:val="0"/>
        <w:spacing w:before="0" w:beforeAutospacing="0" w:after="0" w:afterAutospacing="0" w:line="500" w:lineRule="exact"/>
        <w:ind w:firstLine="480" w:firstLineChars="200"/>
        <w:jc w:val="both"/>
        <w:rPr>
          <w:rFonts w:hint="eastAsia" w:hAnsi="宋体" w:cs="宋体"/>
          <w:color w:val="auto"/>
          <w:kern w:val="2"/>
          <w:szCs w:val="20"/>
          <w:lang w:bidi="ar"/>
          <w14:ligatures w14:val="standardContextual"/>
        </w:rPr>
      </w:pPr>
      <w:r>
        <w:rPr>
          <w:rFonts w:hint="eastAsia" w:hAnsi="宋体" w:cs="宋体"/>
          <w:color w:val="auto"/>
          <w:kern w:val="2"/>
          <w:szCs w:val="20"/>
          <w:lang w:bidi="ar"/>
          <w14:ligatures w14:val="standardContextual"/>
        </w:rPr>
        <w:t>在危大工程施工前组织工程技术人员编制专项施工方案。对于超过一定规模的危大工程，施工单位应当组织召开专家论证会对专项施工方案进行论证。</w:t>
      </w:r>
    </w:p>
    <w:p>
      <w:pPr>
        <w:pStyle w:val="44"/>
        <w:widowControl w:val="0"/>
        <w:spacing w:before="0" w:beforeAutospacing="0" w:after="0" w:afterAutospacing="0" w:line="500" w:lineRule="exact"/>
        <w:ind w:firstLine="480" w:firstLineChars="200"/>
        <w:jc w:val="both"/>
        <w:rPr>
          <w:rFonts w:hint="eastAsia" w:hAnsi="宋体" w:cs="宋体"/>
          <w:color w:val="auto"/>
          <w:kern w:val="2"/>
          <w:szCs w:val="20"/>
          <w:lang w:bidi="ar"/>
          <w14:ligatures w14:val="standardContextual"/>
        </w:rPr>
      </w:pPr>
      <w:r>
        <w:rPr>
          <w:rFonts w:hint="eastAsia" w:hAnsi="宋体" w:cs="宋体"/>
          <w:color w:val="auto"/>
          <w:kern w:val="2"/>
          <w:szCs w:val="20"/>
          <w:lang w:bidi="ar"/>
          <w14:ligatures w14:val="standardContextual"/>
        </w:rPr>
        <w:t>表</w:t>
      </w:r>
      <w:r>
        <w:rPr>
          <w:rFonts w:hint="eastAsia" w:hAnsi="宋体" w:cs="宋体"/>
          <w:color w:val="auto"/>
          <w:kern w:val="2"/>
          <w:szCs w:val="20"/>
          <w:lang w:val="en-US" w:eastAsia="zh-CN" w:bidi="ar"/>
          <w14:ligatures w14:val="standardContextual"/>
        </w:rPr>
        <w:t>4-2</w:t>
      </w:r>
      <w:r>
        <w:rPr>
          <w:rFonts w:hint="eastAsia" w:hAnsi="宋体" w:cs="宋体"/>
          <w:color w:val="auto"/>
          <w:kern w:val="2"/>
          <w:szCs w:val="20"/>
          <w:lang w:bidi="ar"/>
          <w14:ligatures w14:val="standardContextual"/>
        </w:rPr>
        <w:t xml:space="preserve">            存在危险性较大分部分项工程的提示</w:t>
      </w:r>
    </w:p>
    <w:tbl>
      <w:tblPr>
        <w:tblStyle w:val="51"/>
        <w:tblW w:w="9287" w:type="dxa"/>
        <w:jc w:val="center"/>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1813"/>
        <w:gridCol w:w="2567"/>
        <w:gridCol w:w="3667"/>
        <w:gridCol w:w="1240"/>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1813" w:type="dxa"/>
            <w:tcBorders>
              <w:top w:val="single" w:color="auto" w:sz="12" w:space="0"/>
              <w:left w:val="single" w:color="auto" w:sz="12" w:space="0"/>
              <w:bottom w:val="single" w:color="auto" w:sz="8" w:space="0"/>
              <w:right w:val="single" w:color="auto" w:sz="8" w:space="0"/>
            </w:tcBorders>
            <w:shd w:val="clear" w:color="auto" w:fill="auto"/>
            <w:vAlign w:val="center"/>
          </w:tcPr>
          <w:p>
            <w:pPr>
              <w:pStyle w:val="44"/>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both"/>
              <w:textAlignment w:val="auto"/>
              <w:rPr>
                <w:rFonts w:hint="eastAsia" w:ascii="宋体" w:hAnsi="宋体" w:eastAsia="宋体" w:cstheme="minorBidi"/>
                <w:color w:val="auto"/>
                <w:kern w:val="0"/>
                <w:sz w:val="21"/>
                <w:szCs w:val="21"/>
                <w:lang w:val="en-US" w:eastAsia="zh-CN" w:bidi="ar-SA"/>
                <w14:ligatures w14:val="none"/>
              </w:rPr>
            </w:pPr>
            <w:r>
              <w:rPr>
                <w:rFonts w:hint="eastAsia" w:ascii="宋体" w:hAnsi="宋体" w:eastAsia="宋体" w:cstheme="minorBidi"/>
                <w:color w:val="auto"/>
                <w:kern w:val="0"/>
                <w:sz w:val="21"/>
                <w:szCs w:val="21"/>
                <w:lang w:val="en-US" w:eastAsia="zh-CN" w:bidi="ar-SA"/>
                <w14:ligatures w14:val="none"/>
              </w:rPr>
              <w:t>单项名称</w:t>
            </w:r>
          </w:p>
        </w:tc>
        <w:tc>
          <w:tcPr>
            <w:tcW w:w="2567" w:type="dxa"/>
            <w:tcBorders>
              <w:top w:val="single" w:color="auto" w:sz="12" w:space="0"/>
              <w:left w:val="single" w:color="auto" w:sz="8" w:space="0"/>
              <w:bottom w:val="single" w:color="auto" w:sz="8" w:space="0"/>
              <w:right w:val="single" w:color="auto" w:sz="8" w:space="0"/>
            </w:tcBorders>
            <w:shd w:val="clear" w:color="auto" w:fill="auto"/>
            <w:vAlign w:val="center"/>
          </w:tcPr>
          <w:p>
            <w:pPr>
              <w:pStyle w:val="44"/>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both"/>
              <w:textAlignment w:val="auto"/>
              <w:rPr>
                <w:rFonts w:hint="eastAsia" w:ascii="宋体" w:hAnsi="宋体" w:eastAsia="宋体" w:cstheme="minorBidi"/>
                <w:color w:val="auto"/>
                <w:kern w:val="0"/>
                <w:sz w:val="21"/>
                <w:szCs w:val="21"/>
                <w:lang w:val="en-US" w:eastAsia="zh-CN" w:bidi="ar-SA"/>
                <w14:ligatures w14:val="none"/>
              </w:rPr>
            </w:pPr>
            <w:r>
              <w:rPr>
                <w:rFonts w:hint="eastAsia" w:ascii="宋体" w:hAnsi="宋体" w:eastAsia="宋体" w:cstheme="minorBidi"/>
                <w:color w:val="auto"/>
                <w:kern w:val="0"/>
                <w:sz w:val="21"/>
                <w:szCs w:val="21"/>
                <w:lang w:val="en-US" w:eastAsia="zh-CN" w:bidi="ar-SA"/>
                <w14:ligatures w14:val="none"/>
              </w:rPr>
              <w:t>危险性较大的情况</w:t>
            </w:r>
          </w:p>
        </w:tc>
        <w:tc>
          <w:tcPr>
            <w:tcW w:w="3667" w:type="dxa"/>
            <w:tcBorders>
              <w:top w:val="single" w:color="auto" w:sz="12" w:space="0"/>
              <w:left w:val="single" w:color="auto" w:sz="8" w:space="0"/>
              <w:bottom w:val="single" w:color="auto" w:sz="8" w:space="0"/>
              <w:right w:val="single" w:color="auto" w:sz="8" w:space="0"/>
            </w:tcBorders>
            <w:shd w:val="clear" w:color="auto" w:fill="auto"/>
            <w:vAlign w:val="center"/>
          </w:tcPr>
          <w:p>
            <w:pPr>
              <w:pStyle w:val="44"/>
              <w:widowControl w:val="0"/>
              <w:spacing w:before="0" w:beforeAutospacing="0" w:after="0" w:afterAutospacing="0" w:line="500" w:lineRule="exact"/>
              <w:ind w:left="0" w:leftChars="0" w:firstLine="0" w:firstLineChars="0"/>
              <w:jc w:val="both"/>
              <w:rPr>
                <w:rFonts w:hint="eastAsia" w:ascii="宋体" w:hAnsi="宋体" w:eastAsia="宋体" w:cstheme="minorBidi"/>
                <w:color w:val="auto"/>
                <w:kern w:val="0"/>
                <w:sz w:val="21"/>
                <w:szCs w:val="21"/>
                <w:lang w:val="en-US" w:eastAsia="zh-CN" w:bidi="ar-SA"/>
                <w14:ligatures w14:val="none"/>
              </w:rPr>
            </w:pPr>
            <w:r>
              <w:rPr>
                <w:rFonts w:hint="eastAsia" w:ascii="宋体" w:hAnsi="宋体" w:eastAsia="宋体" w:cstheme="minorBidi"/>
                <w:color w:val="auto"/>
                <w:kern w:val="0"/>
                <w:sz w:val="21"/>
                <w:szCs w:val="21"/>
                <w:lang w:val="en-US" w:eastAsia="zh-CN" w:bidi="ar-SA"/>
                <w14:ligatures w14:val="none"/>
              </w:rPr>
              <w:t>超过一定规模的危险性较大的情况</w:t>
            </w:r>
          </w:p>
        </w:tc>
        <w:tc>
          <w:tcPr>
            <w:tcW w:w="1240" w:type="dxa"/>
            <w:tcBorders>
              <w:top w:val="single" w:color="auto" w:sz="12" w:space="0"/>
              <w:left w:val="single" w:color="auto" w:sz="8" w:space="0"/>
              <w:bottom w:val="single" w:color="auto" w:sz="8" w:space="0"/>
              <w:right w:val="single" w:color="auto" w:sz="12" w:space="0"/>
            </w:tcBorders>
            <w:shd w:val="clear" w:color="auto" w:fill="auto"/>
            <w:vAlign w:val="center"/>
          </w:tcPr>
          <w:p>
            <w:pPr>
              <w:pStyle w:val="44"/>
              <w:widowControl w:val="0"/>
              <w:spacing w:before="0" w:beforeAutospacing="0" w:after="0" w:afterAutospacing="0" w:line="500" w:lineRule="exact"/>
              <w:jc w:val="both"/>
              <w:rPr>
                <w:rFonts w:hint="eastAsia" w:ascii="宋体" w:hAnsi="宋体" w:eastAsia="宋体" w:cstheme="minorBidi"/>
                <w:color w:val="auto"/>
                <w:kern w:val="0"/>
                <w:sz w:val="21"/>
                <w:szCs w:val="21"/>
                <w:lang w:val="en-US" w:eastAsia="zh-CN" w:bidi="ar-SA"/>
                <w14:ligatures w14:val="none"/>
              </w:rPr>
            </w:pPr>
            <w:r>
              <w:rPr>
                <w:rFonts w:hint="eastAsia" w:ascii="宋体" w:hAnsi="宋体" w:eastAsia="宋体" w:cstheme="minorBidi"/>
                <w:color w:val="auto"/>
                <w:kern w:val="0"/>
                <w:sz w:val="21"/>
                <w:szCs w:val="21"/>
                <w:lang w:val="en-US" w:eastAsia="zh-CN" w:bidi="ar-SA"/>
                <w14:ligatures w14:val="none"/>
              </w:rPr>
              <w:t>备注</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49" w:hRule="atLeast"/>
          <w:jc w:val="center"/>
        </w:trPr>
        <w:tc>
          <w:tcPr>
            <w:tcW w:w="1813" w:type="dxa"/>
            <w:tcBorders>
              <w:top w:val="single" w:color="auto" w:sz="8" w:space="0"/>
              <w:left w:val="single" w:color="auto" w:sz="12" w:space="0"/>
              <w:bottom w:val="single" w:color="auto" w:sz="8" w:space="0"/>
              <w:right w:val="single" w:color="auto" w:sz="8" w:space="0"/>
            </w:tcBorders>
            <w:shd w:val="clear" w:color="auto" w:fill="auto"/>
            <w:vAlign w:val="center"/>
          </w:tcPr>
          <w:p>
            <w:pPr>
              <w:pStyle w:val="44"/>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left="0" w:leftChars="0" w:firstLine="0" w:firstLineChars="0"/>
              <w:jc w:val="both"/>
              <w:textAlignment w:val="auto"/>
              <w:rPr>
                <w:rFonts w:hint="eastAsia" w:ascii="宋体" w:hAnsi="宋体" w:eastAsia="宋体" w:cstheme="minorBidi"/>
                <w:color w:val="auto"/>
                <w:kern w:val="0"/>
                <w:sz w:val="21"/>
                <w:szCs w:val="21"/>
                <w:lang w:val="en-US" w:eastAsia="zh-CN" w:bidi="ar-SA"/>
                <w14:ligatures w14:val="none"/>
              </w:rPr>
            </w:pPr>
            <w:r>
              <w:rPr>
                <w:rFonts w:hint="eastAsia" w:ascii="宋体" w:hAnsi="宋体" w:eastAsia="宋体" w:cstheme="minorBidi"/>
                <w:color w:val="auto"/>
                <w:kern w:val="0"/>
                <w:sz w:val="21"/>
                <w:szCs w:val="21"/>
                <w:lang w:val="en-US" w:eastAsia="zh-CN" w:bidi="ar-SA"/>
                <w14:ligatures w14:val="none"/>
              </w:rPr>
              <w:t>基坑(槽)支护、降水工程</w:t>
            </w:r>
          </w:p>
        </w:tc>
        <w:tc>
          <w:tcPr>
            <w:tcW w:w="2567" w:type="dxa"/>
            <w:tcBorders>
              <w:top w:val="single" w:color="auto" w:sz="8" w:space="0"/>
              <w:left w:val="single" w:color="auto" w:sz="8" w:space="0"/>
              <w:bottom w:val="single" w:color="auto" w:sz="8" w:space="0"/>
              <w:right w:val="single" w:color="auto" w:sz="8" w:space="0"/>
            </w:tcBorders>
            <w:shd w:val="clear" w:color="auto" w:fill="auto"/>
            <w:vAlign w:val="center"/>
          </w:tcPr>
          <w:p>
            <w:pPr>
              <w:pStyle w:val="44"/>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left="0" w:leftChars="0" w:firstLine="0" w:firstLineChars="0"/>
              <w:jc w:val="both"/>
              <w:textAlignment w:val="auto"/>
              <w:rPr>
                <w:rFonts w:hint="eastAsia" w:ascii="宋体" w:hAnsi="宋体" w:eastAsia="宋体" w:cstheme="minorBidi"/>
                <w:color w:val="auto"/>
                <w:kern w:val="0"/>
                <w:sz w:val="21"/>
                <w:szCs w:val="21"/>
                <w:lang w:val="en-US" w:eastAsia="zh-CN" w:bidi="ar-SA"/>
                <w14:ligatures w14:val="none"/>
              </w:rPr>
            </w:pPr>
            <w:r>
              <w:rPr>
                <w:rFonts w:hint="eastAsia" w:ascii="宋体" w:hAnsi="宋体" w:eastAsia="宋体" w:cstheme="minorBidi"/>
                <w:color w:val="auto"/>
                <w:kern w:val="0"/>
                <w:sz w:val="21"/>
                <w:szCs w:val="21"/>
                <w:lang w:val="en-US" w:eastAsia="zh-CN" w:bidi="ar-SA"/>
                <w14:ligatures w14:val="none"/>
              </w:rPr>
              <w:t>开挖深度超过3m（含3m）或虽未超过3m但地质条件和周边环境复杂的</w:t>
            </w:r>
          </w:p>
        </w:tc>
        <w:tc>
          <w:tcPr>
            <w:tcW w:w="3667" w:type="dxa"/>
            <w:vMerge w:val="restart"/>
            <w:tcBorders>
              <w:top w:val="single" w:color="auto" w:sz="8" w:space="0"/>
              <w:left w:val="single" w:color="auto" w:sz="8" w:space="0"/>
              <w:bottom w:val="single" w:color="auto" w:sz="12" w:space="0"/>
              <w:right w:val="single" w:color="auto" w:sz="8" w:space="0"/>
            </w:tcBorders>
            <w:shd w:val="clear" w:color="auto" w:fill="auto"/>
            <w:vAlign w:val="center"/>
          </w:tcPr>
          <w:p>
            <w:pPr>
              <w:pStyle w:val="44"/>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left="0" w:leftChars="0" w:firstLine="0" w:firstLineChars="0"/>
              <w:jc w:val="both"/>
              <w:textAlignment w:val="auto"/>
              <w:rPr>
                <w:rFonts w:hint="eastAsia" w:ascii="宋体" w:hAnsi="宋体" w:eastAsia="宋体" w:cstheme="minorBidi"/>
                <w:color w:val="auto"/>
                <w:kern w:val="0"/>
                <w:sz w:val="21"/>
                <w:szCs w:val="21"/>
                <w:lang w:val="en-US" w:eastAsia="zh-CN" w:bidi="ar-SA"/>
                <w14:ligatures w14:val="none"/>
              </w:rPr>
            </w:pPr>
            <w:r>
              <w:rPr>
                <w:rFonts w:hint="eastAsia" w:ascii="宋体" w:hAnsi="宋体" w:eastAsia="宋体" w:cstheme="minorBidi"/>
                <w:color w:val="auto"/>
                <w:kern w:val="0"/>
                <w:sz w:val="21"/>
                <w:szCs w:val="21"/>
                <w:lang w:val="en-US" w:eastAsia="zh-CN" w:bidi="ar-SA"/>
                <w14:ligatures w14:val="none"/>
              </w:rPr>
              <w:t>开挖深度超过5m（含5m）或虽未超过5m,但地质条件、周边环境和地下管线复杂，或影响毗邻建(构)筑物安全的</w:t>
            </w:r>
          </w:p>
        </w:tc>
        <w:tc>
          <w:tcPr>
            <w:tcW w:w="1240" w:type="dxa"/>
            <w:tcBorders>
              <w:top w:val="single" w:color="auto" w:sz="8" w:space="0"/>
              <w:left w:val="single" w:color="auto" w:sz="8" w:space="0"/>
              <w:bottom w:val="single" w:color="auto" w:sz="8" w:space="0"/>
              <w:right w:val="single" w:color="auto" w:sz="12" w:space="0"/>
            </w:tcBorders>
            <w:shd w:val="clear" w:color="auto" w:fill="auto"/>
            <w:vAlign w:val="center"/>
          </w:tcPr>
          <w:p>
            <w:pPr>
              <w:pStyle w:val="44"/>
              <w:widowControl w:val="0"/>
              <w:spacing w:before="0" w:beforeAutospacing="0" w:after="0" w:afterAutospacing="0" w:line="500" w:lineRule="exact"/>
              <w:jc w:val="both"/>
              <w:rPr>
                <w:rFonts w:hint="eastAsia" w:ascii="宋体" w:hAnsi="宋体" w:eastAsia="宋体" w:cstheme="minorBidi"/>
                <w:color w:val="auto"/>
                <w:kern w:val="0"/>
                <w:sz w:val="21"/>
                <w:szCs w:val="21"/>
                <w:lang w:val="en-US" w:eastAsia="zh-CN" w:bidi="ar-SA"/>
                <w14:ligatures w14: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549" w:hRule="atLeast"/>
          <w:jc w:val="center"/>
        </w:trPr>
        <w:tc>
          <w:tcPr>
            <w:tcW w:w="1813" w:type="dxa"/>
            <w:tcBorders>
              <w:top w:val="single" w:color="auto" w:sz="8" w:space="0"/>
              <w:left w:val="single" w:color="auto" w:sz="12" w:space="0"/>
              <w:bottom w:val="single" w:color="auto" w:sz="12" w:space="0"/>
              <w:right w:val="single" w:color="auto" w:sz="8" w:space="0"/>
            </w:tcBorders>
            <w:shd w:val="clear" w:color="auto" w:fill="auto"/>
            <w:vAlign w:val="center"/>
          </w:tcPr>
          <w:p>
            <w:pPr>
              <w:pStyle w:val="44"/>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left="0" w:leftChars="0" w:firstLine="0" w:firstLineChars="0"/>
              <w:jc w:val="both"/>
              <w:textAlignment w:val="auto"/>
              <w:rPr>
                <w:rFonts w:hint="eastAsia" w:ascii="宋体" w:hAnsi="宋体" w:eastAsia="宋体" w:cstheme="minorBidi"/>
                <w:color w:val="auto"/>
                <w:kern w:val="0"/>
                <w:sz w:val="21"/>
                <w:szCs w:val="21"/>
                <w:lang w:val="en-US" w:eastAsia="zh-CN" w:bidi="ar-SA"/>
                <w14:ligatures w14:val="none"/>
              </w:rPr>
            </w:pPr>
            <w:r>
              <w:rPr>
                <w:rFonts w:hint="eastAsia" w:ascii="宋体" w:hAnsi="宋体" w:eastAsia="宋体" w:cstheme="minorBidi"/>
                <w:color w:val="auto"/>
                <w:kern w:val="0"/>
                <w:sz w:val="21"/>
                <w:szCs w:val="21"/>
                <w:lang w:val="en-US" w:eastAsia="zh-CN" w:bidi="ar-SA"/>
                <w14:ligatures w14:val="none"/>
              </w:rPr>
              <w:t>土方开挖工程</w:t>
            </w:r>
          </w:p>
        </w:tc>
        <w:tc>
          <w:tcPr>
            <w:tcW w:w="2567" w:type="dxa"/>
            <w:tcBorders>
              <w:top w:val="single" w:color="auto" w:sz="8" w:space="0"/>
              <w:left w:val="single" w:color="auto" w:sz="8" w:space="0"/>
              <w:bottom w:val="single" w:color="auto" w:sz="12" w:space="0"/>
              <w:right w:val="single" w:color="auto" w:sz="8" w:space="0"/>
            </w:tcBorders>
            <w:shd w:val="clear" w:color="auto" w:fill="auto"/>
            <w:vAlign w:val="center"/>
          </w:tcPr>
          <w:p>
            <w:pPr>
              <w:pStyle w:val="44"/>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left="0" w:leftChars="0" w:firstLine="0" w:firstLineChars="0"/>
              <w:jc w:val="both"/>
              <w:textAlignment w:val="auto"/>
              <w:rPr>
                <w:rFonts w:hint="eastAsia" w:ascii="宋体" w:hAnsi="宋体" w:eastAsia="宋体" w:cstheme="minorBidi"/>
                <w:color w:val="auto"/>
                <w:kern w:val="0"/>
                <w:sz w:val="21"/>
                <w:szCs w:val="21"/>
                <w:lang w:val="en-US" w:eastAsia="zh-CN" w:bidi="ar-SA"/>
                <w14:ligatures w14:val="none"/>
              </w:rPr>
            </w:pPr>
            <w:r>
              <w:rPr>
                <w:rFonts w:hint="eastAsia" w:ascii="宋体" w:hAnsi="宋体" w:eastAsia="宋体" w:cstheme="minorBidi"/>
                <w:color w:val="auto"/>
                <w:kern w:val="0"/>
                <w:sz w:val="21"/>
                <w:szCs w:val="21"/>
                <w:lang w:val="en-US" w:eastAsia="zh-CN" w:bidi="ar-SA"/>
                <w14:ligatures w14:val="none"/>
              </w:rPr>
              <w:t>开挖深度超过3m（含3m）的</w:t>
            </w:r>
          </w:p>
        </w:tc>
        <w:tc>
          <w:tcPr>
            <w:tcW w:w="3667" w:type="dxa"/>
            <w:vMerge w:val="continue"/>
            <w:tcBorders>
              <w:top w:val="single" w:color="auto" w:sz="8" w:space="0"/>
              <w:left w:val="single" w:color="auto" w:sz="8" w:space="0"/>
              <w:bottom w:val="single" w:color="auto" w:sz="12" w:space="0"/>
              <w:right w:val="single" w:color="auto" w:sz="8" w:space="0"/>
            </w:tcBorders>
            <w:shd w:val="clear" w:color="auto" w:fill="auto"/>
            <w:vAlign w:val="center"/>
          </w:tcPr>
          <w:p>
            <w:pPr>
              <w:widowControl w:val="0"/>
              <w:jc w:val="both"/>
              <w:rPr>
                <w:rFonts w:hint="eastAsia" w:ascii="宋体" w:hAnsi="宋体" w:eastAsia="宋体" w:cstheme="minorBidi"/>
                <w:color w:val="auto"/>
                <w:kern w:val="0"/>
                <w:sz w:val="21"/>
                <w:szCs w:val="21"/>
                <w:lang w:val="en-US" w:eastAsia="zh-CN" w:bidi="ar-SA"/>
                <w14:ligatures w14:val="none"/>
              </w:rPr>
            </w:pPr>
          </w:p>
        </w:tc>
        <w:tc>
          <w:tcPr>
            <w:tcW w:w="1240" w:type="dxa"/>
            <w:tcBorders>
              <w:top w:val="single" w:color="auto" w:sz="8" w:space="0"/>
              <w:left w:val="single" w:color="auto" w:sz="8" w:space="0"/>
              <w:bottom w:val="single" w:color="auto" w:sz="12" w:space="0"/>
              <w:right w:val="single" w:color="auto" w:sz="12" w:space="0"/>
            </w:tcBorders>
            <w:shd w:val="clear" w:color="auto" w:fill="auto"/>
            <w:vAlign w:val="center"/>
          </w:tcPr>
          <w:p>
            <w:pPr>
              <w:pStyle w:val="44"/>
              <w:widowControl w:val="0"/>
              <w:spacing w:before="0" w:beforeAutospacing="0" w:after="0" w:afterAutospacing="0" w:line="500" w:lineRule="exact"/>
              <w:jc w:val="both"/>
              <w:rPr>
                <w:rFonts w:hint="eastAsia" w:ascii="宋体" w:hAnsi="宋体" w:eastAsia="宋体" w:cstheme="minorBidi"/>
                <w:color w:val="auto"/>
                <w:kern w:val="0"/>
                <w:sz w:val="21"/>
                <w:szCs w:val="21"/>
                <w:lang w:val="en-US" w:eastAsia="zh-CN" w:bidi="ar-SA"/>
                <w14:ligatures w14:val="none"/>
              </w:rPr>
            </w:pPr>
          </w:p>
        </w:tc>
      </w:tr>
    </w:tbl>
    <w:p>
      <w:pPr>
        <w:pStyle w:val="44"/>
        <w:widowControl w:val="0"/>
        <w:spacing w:before="0" w:beforeAutospacing="0" w:after="0" w:afterAutospacing="0" w:line="500" w:lineRule="exact"/>
        <w:ind w:firstLine="482" w:firstLineChars="200"/>
        <w:jc w:val="both"/>
        <w:rPr>
          <w:rFonts w:hint="eastAsia" w:hAnsi="宋体" w:cs="宋体"/>
          <w:color w:val="auto"/>
          <w:kern w:val="2"/>
          <w:szCs w:val="20"/>
          <w:lang w:eastAsia="zh-CN" w:bidi="ar"/>
          <w14:ligatures w14:val="standardContextual"/>
        </w:rPr>
      </w:pPr>
      <w:r>
        <w:rPr>
          <w:rFonts w:hint="eastAsia" w:hAnsi="宋体" w:cs="宋体"/>
          <w:b/>
          <w:bCs/>
          <w:color w:val="auto"/>
          <w:kern w:val="2"/>
          <w:szCs w:val="20"/>
          <w:lang w:val="en-US" w:eastAsia="zh-CN" w:bidi="ar"/>
          <w14:ligatures w14:val="standardContextual"/>
        </w:rPr>
        <w:t>4.3电气</w:t>
      </w:r>
    </w:p>
    <w:p>
      <w:pPr>
        <w:pStyle w:val="44"/>
        <w:widowControl w:val="0"/>
        <w:spacing w:before="0" w:beforeAutospacing="0" w:after="0" w:afterAutospacing="0" w:line="500" w:lineRule="exact"/>
        <w:ind w:firstLine="480" w:firstLineChars="200"/>
        <w:jc w:val="both"/>
        <w:rPr>
          <w:rFonts w:hint="eastAsia" w:hAnsi="宋体" w:cs="宋体"/>
          <w:color w:val="auto"/>
          <w:kern w:val="2"/>
          <w:szCs w:val="20"/>
          <w:lang w:val="en-US" w:eastAsia="zh-CN" w:bidi="ar"/>
          <w14:ligatures w14:val="standardContextual"/>
        </w:rPr>
      </w:pPr>
      <w:bookmarkStart w:id="79" w:name="_Toc27073"/>
      <w:r>
        <w:rPr>
          <w:rFonts w:hint="eastAsia" w:hAnsi="宋体" w:cs="宋体"/>
          <w:color w:val="auto"/>
          <w:kern w:val="2"/>
          <w:szCs w:val="20"/>
          <w:lang w:val="en-US" w:eastAsia="zh-CN" w:bidi="ar"/>
          <w14:ligatures w14:val="standardContextual"/>
        </w:rPr>
        <w:t>4.3.1供配电</w:t>
      </w:r>
      <w:bookmarkEnd w:id="79"/>
    </w:p>
    <w:p>
      <w:pPr>
        <w:pStyle w:val="44"/>
        <w:widowControl w:val="0"/>
        <w:spacing w:before="0" w:beforeAutospacing="0" w:after="0" w:afterAutospacing="0" w:line="500" w:lineRule="exact"/>
        <w:ind w:firstLine="480" w:firstLineChars="200"/>
        <w:jc w:val="both"/>
        <w:rPr>
          <w:rFonts w:hint="eastAsia" w:hAnsi="宋体" w:cs="宋体"/>
          <w:color w:val="auto"/>
          <w:kern w:val="2"/>
          <w:szCs w:val="20"/>
          <w:lang w:bidi="ar"/>
          <w14:ligatures w14:val="standardContextual"/>
        </w:rPr>
      </w:pPr>
      <w:r>
        <w:rPr>
          <w:rFonts w:hint="eastAsia" w:hAnsi="宋体" w:cs="宋体"/>
          <w:color w:val="auto"/>
          <w:kern w:val="2"/>
          <w:szCs w:val="20"/>
          <w:lang w:bidi="ar"/>
          <w14:ligatures w14:val="standardContextual"/>
        </w:rPr>
        <w:t>1）电源及供电方式</w:t>
      </w:r>
    </w:p>
    <w:p>
      <w:pPr>
        <w:pStyle w:val="44"/>
        <w:widowControl w:val="0"/>
        <w:spacing w:before="0" w:beforeAutospacing="0" w:after="0" w:afterAutospacing="0" w:line="500" w:lineRule="exact"/>
        <w:ind w:firstLine="480" w:firstLineChars="200"/>
        <w:jc w:val="both"/>
        <w:rPr>
          <w:rFonts w:hint="eastAsia" w:hAnsi="宋体" w:cs="宋体"/>
          <w:color w:val="auto"/>
          <w:kern w:val="2"/>
          <w:szCs w:val="20"/>
          <w:lang w:bidi="ar"/>
          <w14:ligatures w14:val="standardContextual"/>
        </w:rPr>
      </w:pPr>
      <w:r>
        <w:rPr>
          <w:rFonts w:hint="eastAsia" w:hAnsi="宋体" w:cs="宋体"/>
          <w:color w:val="auto"/>
          <w:kern w:val="2"/>
          <w:szCs w:val="20"/>
          <w:lang w:bidi="ar"/>
          <w14:ligatures w14:val="standardContextual"/>
        </w:rPr>
        <w:t>本工程为鄂能化</w:t>
      </w:r>
      <w:r>
        <w:rPr>
          <w:rFonts w:hint="eastAsia" w:hAnsi="宋体" w:cs="宋体"/>
          <w:color w:val="auto"/>
          <w:kern w:val="2"/>
          <w:szCs w:val="20"/>
          <w:lang w:bidi="ar"/>
          <w14:ligatures w14:val="standardContextual"/>
        </w:rPr>
        <w:fldChar w:fldCharType="begin"/>
      </w:r>
      <w:r>
        <w:rPr>
          <w:rFonts w:hint="eastAsia" w:hAnsi="宋体" w:cs="宋体"/>
          <w:color w:val="auto"/>
          <w:kern w:val="2"/>
          <w:szCs w:val="20"/>
          <w:lang w:bidi="ar"/>
          <w14:ligatures w14:val="standardContextual"/>
        </w:rPr>
        <w:instrText xml:space="preserve"> HYPERLINK "http://172.18.120.208/CommonModel/CommonQuery/WebUI/QueryList.aspx?QueryCode=XT_PM_UserOngoing_Copy" \l "javascript: void(1);" </w:instrText>
      </w:r>
      <w:r>
        <w:rPr>
          <w:rFonts w:hint="eastAsia" w:hAnsi="宋体" w:cs="宋体"/>
          <w:color w:val="auto"/>
          <w:kern w:val="2"/>
          <w:szCs w:val="20"/>
          <w:lang w:bidi="ar"/>
          <w14:ligatures w14:val="standardContextual"/>
        </w:rPr>
        <w:fldChar w:fldCharType="separate"/>
      </w:r>
      <w:r>
        <w:rPr>
          <w:rFonts w:hint="eastAsia" w:hAnsi="宋体" w:cs="宋体"/>
          <w:color w:val="auto"/>
          <w:kern w:val="2"/>
          <w:szCs w:val="20"/>
          <w:lang w:bidi="ar"/>
          <w14:ligatures w14:val="standardContextual"/>
        </w:rPr>
        <w:t>仓储中心卸煤场地抑尘技术改造项目</w:t>
      </w:r>
      <w:r>
        <w:rPr>
          <w:rFonts w:hint="eastAsia" w:hAnsi="宋体" w:cs="宋体"/>
          <w:color w:val="auto"/>
          <w:kern w:val="2"/>
          <w:szCs w:val="20"/>
          <w:lang w:bidi="ar"/>
          <w14:ligatures w14:val="standardContextual"/>
        </w:rPr>
        <w:fldChar w:fldCharType="end"/>
      </w:r>
      <w:r>
        <w:rPr>
          <w:rFonts w:hint="eastAsia" w:hAnsi="宋体" w:cs="宋体"/>
          <w:color w:val="auto"/>
          <w:kern w:val="2"/>
          <w:szCs w:val="20"/>
          <w:lang w:bidi="ar"/>
          <w14:ligatures w14:val="standardContextual"/>
        </w:rPr>
        <w:t>。本工程消防负荷按二级负荷考虑，其他均按三级负荷考虑。</w:t>
      </w:r>
    </w:p>
    <w:p>
      <w:pPr>
        <w:pStyle w:val="44"/>
        <w:widowControl w:val="0"/>
        <w:spacing w:before="0" w:beforeAutospacing="0" w:after="0" w:afterAutospacing="0" w:line="500" w:lineRule="exact"/>
        <w:ind w:firstLine="480" w:firstLineChars="200"/>
        <w:jc w:val="both"/>
        <w:rPr>
          <w:rFonts w:hint="eastAsia" w:hAnsi="宋体" w:cs="宋体"/>
          <w:color w:val="auto"/>
          <w:kern w:val="2"/>
          <w:szCs w:val="20"/>
          <w:lang w:bidi="ar"/>
          <w14:ligatures w14:val="standardContextual"/>
        </w:rPr>
      </w:pPr>
      <w:r>
        <w:rPr>
          <w:rFonts w:hint="eastAsia" w:hAnsi="宋体" w:cs="宋体"/>
          <w:color w:val="auto"/>
          <w:kern w:val="2"/>
          <w:szCs w:val="20"/>
          <w:lang w:bidi="ar"/>
          <w14:ligatures w14:val="standardContextual"/>
        </w:rPr>
        <w:t>本工程新增设备电源均引自备煤车间变电所，备煤车间变电所安装有2台SCB11-2000/10 10/0.4kV变压器，2台变压器分列运行。备煤车间变电所380V系统变压器富余容量及配电柜备用位置均可满足本工程新增设备供电要求。</w:t>
      </w:r>
    </w:p>
    <w:p>
      <w:pPr>
        <w:pStyle w:val="44"/>
        <w:widowControl w:val="0"/>
        <w:spacing w:before="0" w:beforeAutospacing="0" w:after="0" w:afterAutospacing="0" w:line="500" w:lineRule="exact"/>
        <w:ind w:firstLine="480" w:firstLineChars="200"/>
        <w:jc w:val="both"/>
        <w:rPr>
          <w:rFonts w:hint="eastAsia" w:hAnsi="宋体" w:cs="宋体"/>
          <w:color w:val="auto"/>
          <w:kern w:val="2"/>
          <w:szCs w:val="20"/>
          <w:lang w:bidi="ar"/>
          <w14:ligatures w14:val="standardContextual"/>
        </w:rPr>
      </w:pPr>
      <w:r>
        <w:rPr>
          <w:rFonts w:hint="eastAsia" w:hAnsi="宋体" w:cs="宋体"/>
          <w:color w:val="auto"/>
          <w:kern w:val="2"/>
          <w:szCs w:val="20"/>
          <w:lang w:val="en-US" w:eastAsia="zh-CN" w:bidi="ar"/>
          <w14:ligatures w14:val="standardContextual"/>
        </w:rPr>
        <w:t>2</w:t>
      </w:r>
      <w:r>
        <w:rPr>
          <w:rFonts w:hint="eastAsia" w:hAnsi="宋体" w:cs="宋体"/>
          <w:color w:val="auto"/>
          <w:kern w:val="2"/>
          <w:szCs w:val="20"/>
          <w:lang w:bidi="ar"/>
          <w14:ligatures w14:val="standardContextual"/>
        </w:rPr>
        <w:t>）设备容量、负荷计算</w:t>
      </w:r>
    </w:p>
    <w:p>
      <w:pPr>
        <w:pStyle w:val="44"/>
        <w:widowControl w:val="0"/>
        <w:spacing w:before="0" w:beforeAutospacing="0" w:after="0" w:afterAutospacing="0" w:line="500" w:lineRule="exact"/>
        <w:ind w:firstLine="480" w:firstLineChars="200"/>
        <w:jc w:val="both"/>
        <w:rPr>
          <w:rFonts w:hint="eastAsia" w:hAnsi="宋体" w:cs="宋体"/>
          <w:color w:val="auto"/>
          <w:kern w:val="2"/>
          <w:szCs w:val="20"/>
          <w:lang w:bidi="ar"/>
          <w14:ligatures w14:val="standardContextual"/>
        </w:rPr>
      </w:pPr>
      <w:r>
        <w:rPr>
          <w:rFonts w:hint="eastAsia" w:hAnsi="宋体" w:cs="宋体"/>
          <w:color w:val="auto"/>
          <w:kern w:val="2"/>
          <w:szCs w:val="20"/>
          <w:lang w:bidi="ar"/>
          <w14:ligatures w14:val="standardContextual"/>
        </w:rPr>
        <w:t>本工程安装设备共计14台，工作设备共计12台。</w:t>
      </w:r>
    </w:p>
    <w:p>
      <w:pPr>
        <w:pStyle w:val="44"/>
        <w:widowControl w:val="0"/>
        <w:spacing w:before="0" w:beforeAutospacing="0" w:after="0" w:afterAutospacing="0" w:line="500" w:lineRule="exact"/>
        <w:ind w:firstLine="480" w:firstLineChars="200"/>
        <w:jc w:val="both"/>
        <w:rPr>
          <w:rFonts w:hint="eastAsia" w:hAnsi="宋体" w:cs="宋体"/>
          <w:color w:val="auto"/>
          <w:kern w:val="2"/>
          <w:szCs w:val="20"/>
          <w:lang w:bidi="ar"/>
          <w14:ligatures w14:val="standardContextual"/>
        </w:rPr>
      </w:pPr>
      <w:r>
        <w:rPr>
          <w:rFonts w:hint="eastAsia" w:hAnsi="宋体" w:cs="宋体"/>
          <w:color w:val="auto"/>
          <w:kern w:val="2"/>
          <w:szCs w:val="20"/>
          <w:lang w:bidi="ar"/>
          <w14:ligatures w14:val="standardContextual"/>
        </w:rPr>
        <w:t>安装设备容量为605.60kW，工作设备容量为466.10kW。</w:t>
      </w:r>
    </w:p>
    <w:p>
      <w:pPr>
        <w:pStyle w:val="44"/>
        <w:widowControl w:val="0"/>
        <w:spacing w:before="0" w:beforeAutospacing="0" w:after="0" w:afterAutospacing="0" w:line="500" w:lineRule="exact"/>
        <w:ind w:firstLine="480" w:firstLineChars="200"/>
        <w:jc w:val="both"/>
        <w:rPr>
          <w:rFonts w:hint="eastAsia" w:hAnsi="宋体" w:cs="宋体"/>
          <w:color w:val="auto"/>
          <w:kern w:val="2"/>
          <w:szCs w:val="20"/>
          <w:lang w:bidi="ar"/>
          <w14:ligatures w14:val="standardContextual"/>
        </w:rPr>
      </w:pPr>
      <w:r>
        <w:rPr>
          <w:rFonts w:hint="eastAsia" w:hAnsi="宋体" w:cs="宋体"/>
          <w:color w:val="auto"/>
          <w:kern w:val="2"/>
          <w:szCs w:val="20"/>
          <w:lang w:bidi="ar"/>
          <w14:ligatures w14:val="standardContextual"/>
        </w:rPr>
        <w:t>计算负荷如下：</w:t>
      </w:r>
    </w:p>
    <w:p>
      <w:pPr>
        <w:pStyle w:val="44"/>
        <w:widowControl w:val="0"/>
        <w:spacing w:before="0" w:beforeAutospacing="0" w:after="0" w:afterAutospacing="0" w:line="500" w:lineRule="exact"/>
        <w:ind w:firstLine="480" w:firstLineChars="200"/>
        <w:jc w:val="both"/>
        <w:rPr>
          <w:rFonts w:hint="eastAsia" w:hAnsi="宋体" w:cs="宋体"/>
          <w:color w:val="auto"/>
          <w:kern w:val="2"/>
          <w:szCs w:val="20"/>
          <w:lang w:bidi="ar"/>
          <w14:ligatures w14:val="standardContextual"/>
        </w:rPr>
      </w:pPr>
      <w:r>
        <w:rPr>
          <w:rFonts w:hint="eastAsia" w:hAnsi="宋体" w:cs="宋体"/>
          <w:color w:val="auto"/>
          <w:kern w:val="2"/>
          <w:szCs w:val="20"/>
          <w:lang w:bidi="ar"/>
          <w14:ligatures w14:val="standardContextual"/>
        </w:rPr>
        <w:t>有功负荷：262.28kW</w:t>
      </w:r>
    </w:p>
    <w:p>
      <w:pPr>
        <w:pStyle w:val="44"/>
        <w:widowControl w:val="0"/>
        <w:spacing w:before="0" w:beforeAutospacing="0" w:after="0" w:afterAutospacing="0" w:line="500" w:lineRule="exact"/>
        <w:ind w:firstLine="480" w:firstLineChars="200"/>
        <w:jc w:val="both"/>
        <w:rPr>
          <w:rFonts w:hint="eastAsia" w:hAnsi="宋体" w:cs="宋体"/>
          <w:color w:val="auto"/>
          <w:kern w:val="2"/>
          <w:szCs w:val="20"/>
          <w:lang w:bidi="ar"/>
          <w14:ligatures w14:val="standardContextual"/>
        </w:rPr>
      </w:pPr>
      <w:r>
        <w:rPr>
          <w:rFonts w:hint="eastAsia" w:hAnsi="宋体" w:cs="宋体"/>
          <w:color w:val="auto"/>
          <w:kern w:val="2"/>
          <w:szCs w:val="20"/>
          <w:lang w:bidi="ar"/>
          <w14:ligatures w14:val="standardContextual"/>
        </w:rPr>
        <w:t>无功负荷：192.19kvar</w:t>
      </w:r>
    </w:p>
    <w:p>
      <w:pPr>
        <w:pStyle w:val="44"/>
        <w:widowControl w:val="0"/>
        <w:spacing w:before="0" w:beforeAutospacing="0" w:after="0" w:afterAutospacing="0" w:line="500" w:lineRule="exact"/>
        <w:ind w:firstLine="480" w:firstLineChars="200"/>
        <w:jc w:val="both"/>
        <w:rPr>
          <w:rFonts w:hint="eastAsia" w:hAnsi="宋体" w:cs="宋体"/>
          <w:color w:val="auto"/>
          <w:kern w:val="2"/>
          <w:szCs w:val="20"/>
          <w:lang w:bidi="ar"/>
          <w14:ligatures w14:val="standardContextual"/>
        </w:rPr>
      </w:pPr>
      <w:r>
        <w:rPr>
          <w:rFonts w:hint="eastAsia" w:hAnsi="宋体" w:cs="宋体"/>
          <w:color w:val="auto"/>
          <w:kern w:val="2"/>
          <w:szCs w:val="20"/>
          <w:lang w:bidi="ar"/>
          <w14:ligatures w14:val="standardContextual"/>
        </w:rPr>
        <w:t xml:space="preserve">视在功率：325.16kVA  </w:t>
      </w:r>
    </w:p>
    <w:p>
      <w:pPr>
        <w:pStyle w:val="44"/>
        <w:widowControl w:val="0"/>
        <w:spacing w:before="0" w:beforeAutospacing="0" w:after="0" w:afterAutospacing="0" w:line="500" w:lineRule="exact"/>
        <w:ind w:firstLine="480" w:firstLineChars="200"/>
        <w:jc w:val="both"/>
        <w:rPr>
          <w:rFonts w:hint="eastAsia" w:hAnsi="宋体" w:cs="宋体"/>
          <w:color w:val="auto"/>
          <w:kern w:val="2"/>
          <w:szCs w:val="20"/>
          <w:lang w:bidi="ar"/>
          <w14:ligatures w14:val="standardContextual"/>
        </w:rPr>
      </w:pPr>
      <w:r>
        <w:rPr>
          <w:rFonts w:hint="eastAsia" w:hAnsi="宋体" w:cs="宋体"/>
          <w:color w:val="auto"/>
          <w:kern w:val="2"/>
          <w:szCs w:val="20"/>
          <w:lang w:bidi="ar"/>
          <w14:ligatures w14:val="standardContextual"/>
        </w:rPr>
        <w:t>新增年耗电量：1254238kW·h</w:t>
      </w:r>
    </w:p>
    <w:p>
      <w:pPr>
        <w:pStyle w:val="44"/>
        <w:widowControl w:val="0"/>
        <w:spacing w:before="0" w:beforeAutospacing="0" w:after="0" w:afterAutospacing="0" w:line="500" w:lineRule="exact"/>
        <w:ind w:firstLine="480" w:firstLineChars="200"/>
        <w:jc w:val="both"/>
        <w:rPr>
          <w:rFonts w:hint="eastAsia" w:hAnsi="宋体" w:cs="宋体"/>
          <w:color w:val="auto"/>
          <w:kern w:val="2"/>
          <w:szCs w:val="20"/>
          <w:lang w:bidi="ar"/>
          <w14:ligatures w14:val="standardContextual"/>
        </w:rPr>
      </w:pPr>
      <w:r>
        <w:rPr>
          <w:rFonts w:hint="eastAsia" w:hAnsi="宋体" w:cs="宋体"/>
          <w:color w:val="auto"/>
          <w:kern w:val="2"/>
          <w:szCs w:val="20"/>
          <w:lang w:val="en-US" w:eastAsia="zh-CN" w:bidi="ar"/>
          <w14:ligatures w14:val="standardContextual"/>
        </w:rPr>
        <w:t>3</w:t>
      </w:r>
      <w:r>
        <w:rPr>
          <w:rFonts w:hint="eastAsia" w:hAnsi="宋体" w:cs="宋体"/>
          <w:color w:val="auto"/>
          <w:kern w:val="2"/>
          <w:szCs w:val="20"/>
          <w:lang w:bidi="ar"/>
          <w14:ligatures w14:val="standardContextual"/>
        </w:rPr>
        <w:t>）供配电系统</w:t>
      </w:r>
    </w:p>
    <w:p>
      <w:pPr>
        <w:pStyle w:val="44"/>
        <w:widowControl w:val="0"/>
        <w:spacing w:before="0" w:beforeAutospacing="0" w:after="0" w:afterAutospacing="0" w:line="500" w:lineRule="exact"/>
        <w:ind w:firstLine="480" w:firstLineChars="200"/>
        <w:jc w:val="both"/>
        <w:rPr>
          <w:rFonts w:hint="eastAsia" w:hAnsi="宋体" w:cs="宋体"/>
          <w:color w:val="auto"/>
          <w:kern w:val="2"/>
          <w:szCs w:val="20"/>
          <w:lang w:bidi="ar"/>
          <w14:ligatures w14:val="standardContextual"/>
        </w:rPr>
      </w:pPr>
      <w:r>
        <w:rPr>
          <w:rFonts w:hint="eastAsia" w:hAnsi="宋体" w:cs="宋体"/>
          <w:color w:val="auto"/>
          <w:kern w:val="2"/>
          <w:szCs w:val="20"/>
          <w:lang w:bidi="ar"/>
          <w14:ligatures w14:val="standardContextual"/>
        </w:rPr>
        <w:t>本工程新增设备的电压等级均为380V。</w:t>
      </w:r>
    </w:p>
    <w:p>
      <w:pPr>
        <w:pStyle w:val="44"/>
        <w:widowControl w:val="0"/>
        <w:spacing w:before="0" w:beforeAutospacing="0" w:after="0" w:afterAutospacing="0" w:line="500" w:lineRule="exact"/>
        <w:ind w:firstLine="480" w:firstLineChars="200"/>
        <w:jc w:val="both"/>
        <w:rPr>
          <w:rFonts w:hint="eastAsia" w:hAnsi="宋体" w:cs="宋体"/>
          <w:color w:val="auto"/>
          <w:kern w:val="2"/>
          <w:szCs w:val="20"/>
          <w:lang w:bidi="ar"/>
          <w14:ligatures w14:val="standardContextual"/>
        </w:rPr>
      </w:pPr>
      <w:r>
        <w:rPr>
          <w:rFonts w:hint="eastAsia" w:hAnsi="宋体" w:cs="宋体"/>
          <w:color w:val="auto"/>
          <w:kern w:val="2"/>
          <w:szCs w:val="20"/>
          <w:lang w:bidi="ar"/>
          <w14:ligatures w14:val="standardContextual"/>
        </w:rPr>
        <w:t>现有备煤车间变电所位于卸煤场地东侧约60m。本设计在备煤车间变电所两段380V母线共新增三台MNS型低压配电柜为本次新增设备供电。新增加的3台低压柜通过延长母线的型式接入现有低压配电系统。卸煤场内电动消防炮及消防管路电伴热均采用双电源互投箱供电，其两回380V电源引自备煤车间变电所新增配电柜。</w:t>
      </w:r>
    </w:p>
    <w:p>
      <w:pPr>
        <w:pStyle w:val="44"/>
        <w:widowControl w:val="0"/>
        <w:spacing w:before="0" w:beforeAutospacing="0" w:after="0" w:afterAutospacing="0" w:line="500" w:lineRule="exact"/>
        <w:ind w:firstLine="480" w:firstLineChars="200"/>
        <w:jc w:val="both"/>
        <w:rPr>
          <w:rFonts w:hint="eastAsia" w:hAnsi="宋体" w:cs="宋体"/>
          <w:color w:val="auto"/>
          <w:kern w:val="2"/>
          <w:szCs w:val="20"/>
          <w:lang w:bidi="ar"/>
          <w14:ligatures w14:val="standardContextual"/>
        </w:rPr>
      </w:pPr>
      <w:r>
        <w:rPr>
          <w:rFonts w:hint="eastAsia" w:hAnsi="宋体" w:cs="宋体"/>
          <w:color w:val="auto"/>
          <w:kern w:val="2"/>
          <w:szCs w:val="20"/>
          <w:lang w:bidi="ar"/>
          <w14:ligatures w14:val="standardContextual"/>
        </w:rPr>
        <w:t>在消防泵房配电室内设置1台GGD3型双电源低压进线柜，2台GGD3型低压开关柜，向泵房内的消防炮加压泵及稳压泵等提供380V电源。配电室两回380V电源引自备煤车间变电所380V不同母线段。</w:t>
      </w:r>
    </w:p>
    <w:p>
      <w:pPr>
        <w:pStyle w:val="44"/>
        <w:widowControl w:val="0"/>
        <w:spacing w:before="0" w:beforeAutospacing="0" w:after="0" w:afterAutospacing="0" w:line="500" w:lineRule="exact"/>
        <w:ind w:firstLine="480" w:firstLineChars="200"/>
        <w:jc w:val="both"/>
        <w:rPr>
          <w:rFonts w:hint="eastAsia" w:hAnsi="宋体" w:cs="宋体"/>
          <w:color w:val="auto"/>
          <w:kern w:val="2"/>
          <w:szCs w:val="20"/>
          <w:lang w:bidi="ar"/>
          <w14:ligatures w14:val="standardContextual"/>
        </w:rPr>
      </w:pPr>
      <w:r>
        <w:rPr>
          <w:rFonts w:hint="eastAsia" w:hAnsi="宋体" w:cs="宋体"/>
          <w:color w:val="auto"/>
          <w:kern w:val="2"/>
          <w:szCs w:val="20"/>
          <w:lang w:bidi="ar"/>
          <w14:ligatures w14:val="standardContextual"/>
        </w:rPr>
        <w:t>本工程低压电缆均选择阻燃型交联聚乙烯绝缘聚乙烯护套电力电缆，消防泵房选用矿物绝缘电缆。建筑物内电缆及工业场地电缆均沿电缆桥架敷设。</w:t>
      </w:r>
    </w:p>
    <w:p>
      <w:pPr>
        <w:pStyle w:val="44"/>
        <w:widowControl w:val="0"/>
        <w:spacing w:before="0" w:beforeAutospacing="0" w:after="0" w:afterAutospacing="0" w:line="500" w:lineRule="exact"/>
        <w:ind w:firstLine="480" w:firstLineChars="200"/>
        <w:jc w:val="both"/>
        <w:rPr>
          <w:rFonts w:hint="eastAsia" w:hAnsi="宋体" w:cs="宋体"/>
          <w:color w:val="auto"/>
          <w:kern w:val="2"/>
          <w:szCs w:val="20"/>
          <w:lang w:val="en-US" w:eastAsia="zh-CN" w:bidi="ar"/>
          <w14:ligatures w14:val="standardContextual"/>
        </w:rPr>
      </w:pPr>
      <w:bookmarkStart w:id="80" w:name="_Toc11591"/>
      <w:r>
        <w:rPr>
          <w:rFonts w:hint="eastAsia" w:hAnsi="宋体" w:cs="宋体"/>
          <w:color w:val="auto"/>
          <w:kern w:val="2"/>
          <w:szCs w:val="20"/>
          <w:lang w:val="en-US" w:eastAsia="zh-CN" w:bidi="ar"/>
          <w14:ligatures w14:val="standardContextual"/>
        </w:rPr>
        <w:t>4.3.2照明、防雷及接地</w:t>
      </w:r>
      <w:bookmarkEnd w:id="80"/>
      <w:r>
        <w:rPr>
          <w:rFonts w:hint="eastAsia" w:hAnsi="宋体" w:cs="宋体"/>
          <w:color w:val="auto"/>
          <w:kern w:val="2"/>
          <w:szCs w:val="20"/>
          <w:lang w:val="en-US" w:eastAsia="zh-CN" w:bidi="ar"/>
          <w14:ligatures w14:val="standardContextual"/>
        </w:rPr>
        <w:tab/>
      </w:r>
    </w:p>
    <w:p>
      <w:pPr>
        <w:pStyle w:val="44"/>
        <w:widowControl w:val="0"/>
        <w:spacing w:before="0" w:beforeAutospacing="0" w:after="0" w:afterAutospacing="0" w:line="500" w:lineRule="exact"/>
        <w:ind w:firstLine="480" w:firstLineChars="200"/>
        <w:jc w:val="both"/>
        <w:rPr>
          <w:rFonts w:hint="eastAsia" w:hAnsi="宋体" w:cs="宋体"/>
          <w:color w:val="auto"/>
          <w:kern w:val="2"/>
          <w:szCs w:val="20"/>
          <w:lang w:bidi="ar"/>
          <w14:ligatures w14:val="standardContextual"/>
        </w:rPr>
      </w:pPr>
      <w:r>
        <w:rPr>
          <w:rFonts w:hint="eastAsia" w:hAnsi="宋体" w:cs="宋体"/>
          <w:color w:val="auto"/>
          <w:kern w:val="2"/>
          <w:szCs w:val="20"/>
          <w:lang w:bidi="ar"/>
          <w14:ligatures w14:val="standardContextual"/>
        </w:rPr>
        <w:t>1）照明</w:t>
      </w:r>
    </w:p>
    <w:p>
      <w:pPr>
        <w:pStyle w:val="44"/>
        <w:widowControl w:val="0"/>
        <w:spacing w:before="0" w:beforeAutospacing="0" w:after="0" w:afterAutospacing="0" w:line="500" w:lineRule="exact"/>
        <w:ind w:firstLine="480" w:firstLineChars="200"/>
        <w:jc w:val="both"/>
        <w:rPr>
          <w:rFonts w:hint="eastAsia" w:hAnsi="宋体" w:cs="宋体"/>
          <w:color w:val="auto"/>
          <w:kern w:val="2"/>
          <w:szCs w:val="20"/>
          <w:lang w:bidi="ar"/>
          <w14:ligatures w14:val="standardContextual"/>
        </w:rPr>
      </w:pPr>
      <w:r>
        <w:rPr>
          <w:rFonts w:hint="eastAsia" w:hAnsi="宋体" w:cs="宋体"/>
          <w:color w:val="auto"/>
          <w:kern w:val="2"/>
          <w:szCs w:val="20"/>
          <w:lang w:bidi="ar"/>
          <w14:ligatures w14:val="standardContextual"/>
        </w:rPr>
        <w:t>工业场地建筑照明选用效率高、利用系数高、配光合理、保持率高的绿色环保产品。根据建筑物功能不同，照明灯具选用高效节能型LED灯具，功率因数控制在0.9以上，降低电耗。</w:t>
      </w:r>
    </w:p>
    <w:p>
      <w:pPr>
        <w:pStyle w:val="44"/>
        <w:widowControl w:val="0"/>
        <w:spacing w:before="0" w:beforeAutospacing="0" w:after="0" w:afterAutospacing="0" w:line="500" w:lineRule="exact"/>
        <w:ind w:firstLine="480" w:firstLineChars="200"/>
        <w:jc w:val="both"/>
        <w:rPr>
          <w:rFonts w:hint="eastAsia" w:hAnsi="宋体" w:cs="宋体"/>
          <w:color w:val="auto"/>
          <w:kern w:val="2"/>
          <w:szCs w:val="20"/>
          <w:lang w:bidi="ar"/>
          <w14:ligatures w14:val="standardContextual"/>
        </w:rPr>
      </w:pPr>
      <w:r>
        <w:rPr>
          <w:rFonts w:hint="eastAsia" w:hAnsi="宋体" w:cs="宋体"/>
          <w:color w:val="auto"/>
          <w:kern w:val="2"/>
          <w:szCs w:val="20"/>
          <w:lang w:bidi="ar"/>
          <w14:ligatures w14:val="standardContextual"/>
        </w:rPr>
        <w:t>防爆区域内选用防爆型电气灯具。封闭卸煤场内主要通道设应急照明，应急照明系统采用集中电源集中控制方式。</w:t>
      </w:r>
    </w:p>
    <w:p>
      <w:pPr>
        <w:pStyle w:val="44"/>
        <w:widowControl w:val="0"/>
        <w:spacing w:before="0" w:beforeAutospacing="0" w:after="0" w:afterAutospacing="0" w:line="500" w:lineRule="exact"/>
        <w:ind w:firstLine="480" w:firstLineChars="200"/>
        <w:jc w:val="both"/>
        <w:rPr>
          <w:rFonts w:hint="eastAsia" w:hAnsi="宋体" w:cs="宋体"/>
          <w:color w:val="auto"/>
          <w:kern w:val="2"/>
          <w:szCs w:val="20"/>
          <w:lang w:bidi="ar"/>
          <w14:ligatures w14:val="standardContextual"/>
        </w:rPr>
      </w:pPr>
      <w:r>
        <w:rPr>
          <w:rFonts w:hint="eastAsia" w:hAnsi="宋体" w:cs="宋体"/>
          <w:color w:val="auto"/>
          <w:kern w:val="2"/>
          <w:szCs w:val="20"/>
          <w:lang w:val="en-US" w:eastAsia="zh-CN" w:bidi="ar"/>
          <w14:ligatures w14:val="standardContextual"/>
        </w:rPr>
        <w:t>2</w:t>
      </w:r>
      <w:r>
        <w:rPr>
          <w:rFonts w:hint="eastAsia" w:hAnsi="宋体" w:cs="宋体"/>
          <w:color w:val="auto"/>
          <w:kern w:val="2"/>
          <w:szCs w:val="20"/>
          <w:lang w:bidi="ar"/>
          <w14:ligatures w14:val="standardContextual"/>
        </w:rPr>
        <w:t>）防雷及接地</w:t>
      </w:r>
    </w:p>
    <w:p>
      <w:pPr>
        <w:pStyle w:val="44"/>
        <w:widowControl w:val="0"/>
        <w:spacing w:before="0" w:beforeAutospacing="0" w:after="0" w:afterAutospacing="0" w:line="500" w:lineRule="exact"/>
        <w:ind w:firstLine="480" w:firstLineChars="200"/>
        <w:jc w:val="both"/>
        <w:rPr>
          <w:rFonts w:hint="eastAsia" w:hAnsi="宋体" w:cs="宋体"/>
          <w:color w:val="auto"/>
          <w:kern w:val="2"/>
          <w:szCs w:val="20"/>
          <w:lang w:bidi="ar"/>
          <w14:ligatures w14:val="standardContextual"/>
        </w:rPr>
      </w:pPr>
      <w:r>
        <w:rPr>
          <w:rFonts w:hint="eastAsia" w:hAnsi="宋体" w:cs="宋体"/>
          <w:color w:val="auto"/>
          <w:kern w:val="2"/>
          <w:szCs w:val="20"/>
          <w:lang w:bidi="ar"/>
          <w14:ligatures w14:val="standardContextual"/>
        </w:rPr>
        <w:t>本工程建筑物防雷及接地按照《建筑物防雷设计规范》GB 50057-2010相关条款进行设计。新建封闭式卸煤场按照二类防雷等级设防。</w:t>
      </w:r>
    </w:p>
    <w:p>
      <w:pPr>
        <w:pStyle w:val="44"/>
        <w:widowControl w:val="0"/>
        <w:spacing w:before="0" w:beforeAutospacing="0" w:after="0" w:afterAutospacing="0" w:line="500" w:lineRule="exact"/>
        <w:ind w:firstLine="480" w:firstLineChars="200"/>
        <w:jc w:val="both"/>
        <w:rPr>
          <w:rFonts w:hint="eastAsia" w:hAnsi="宋体" w:cs="宋体"/>
          <w:color w:val="auto"/>
          <w:kern w:val="2"/>
          <w:szCs w:val="20"/>
          <w:lang w:bidi="ar"/>
          <w14:ligatures w14:val="standardContextual"/>
        </w:rPr>
      </w:pPr>
      <w:r>
        <w:rPr>
          <w:rFonts w:hint="eastAsia" w:hAnsi="宋体" w:cs="宋体"/>
          <w:color w:val="auto"/>
          <w:kern w:val="2"/>
          <w:szCs w:val="20"/>
          <w:lang w:bidi="ar"/>
          <w14:ligatures w14:val="standardContextual"/>
        </w:rPr>
        <w:t>工作接地、保护接地、防雷接地构成联合接地系统，共用接地装置,接地电阻不大于1Ω。</w:t>
      </w:r>
    </w:p>
    <w:p>
      <w:pPr>
        <w:pStyle w:val="44"/>
        <w:widowControl w:val="0"/>
        <w:spacing w:before="0" w:beforeAutospacing="0" w:after="0" w:afterAutospacing="0" w:line="500" w:lineRule="exact"/>
        <w:ind w:firstLine="480" w:firstLineChars="200"/>
        <w:jc w:val="both"/>
        <w:rPr>
          <w:rFonts w:hint="eastAsia" w:hAnsi="宋体" w:cs="宋体"/>
          <w:color w:val="auto"/>
          <w:kern w:val="2"/>
          <w:szCs w:val="20"/>
          <w:lang w:val="en-US" w:eastAsia="zh-CN" w:bidi="ar"/>
          <w14:ligatures w14:val="standardContextual"/>
        </w:rPr>
      </w:pPr>
      <w:bookmarkStart w:id="81" w:name="_Toc3797"/>
      <w:r>
        <w:rPr>
          <w:rFonts w:hint="eastAsia" w:hAnsi="宋体" w:cs="宋体"/>
          <w:color w:val="auto"/>
          <w:kern w:val="2"/>
          <w:szCs w:val="20"/>
          <w:lang w:val="en-US" w:eastAsia="zh-CN" w:bidi="ar"/>
          <w14:ligatures w14:val="standardContextual"/>
        </w:rPr>
        <w:t>4.3.3工艺系统设备的控制</w:t>
      </w:r>
      <w:bookmarkEnd w:id="81"/>
      <w:r>
        <w:rPr>
          <w:rFonts w:hint="eastAsia" w:hAnsi="宋体" w:cs="宋体"/>
          <w:color w:val="auto"/>
          <w:kern w:val="2"/>
          <w:szCs w:val="20"/>
          <w:lang w:val="en-US" w:eastAsia="zh-CN" w:bidi="ar"/>
          <w14:ligatures w14:val="standardContextual"/>
        </w:rPr>
        <w:tab/>
      </w:r>
    </w:p>
    <w:p>
      <w:pPr>
        <w:pStyle w:val="44"/>
        <w:widowControl w:val="0"/>
        <w:spacing w:before="0" w:beforeAutospacing="0" w:after="0" w:afterAutospacing="0" w:line="500" w:lineRule="exact"/>
        <w:ind w:firstLine="480" w:firstLineChars="200"/>
        <w:jc w:val="both"/>
        <w:rPr>
          <w:rFonts w:hint="eastAsia" w:hAnsi="宋体" w:cs="宋体"/>
          <w:color w:val="auto"/>
          <w:kern w:val="2"/>
          <w:szCs w:val="20"/>
          <w:lang w:bidi="ar"/>
          <w14:ligatures w14:val="standardContextual"/>
        </w:rPr>
      </w:pPr>
      <w:r>
        <w:rPr>
          <w:rFonts w:hint="eastAsia" w:hAnsi="宋体" w:cs="宋体"/>
          <w:color w:val="auto"/>
          <w:kern w:val="2"/>
          <w:szCs w:val="20"/>
          <w:lang w:bidi="ar"/>
          <w14:ligatures w14:val="standardContextual"/>
        </w:rPr>
        <w:t>1）控制范围及控制方式</w:t>
      </w:r>
    </w:p>
    <w:p>
      <w:pPr>
        <w:pStyle w:val="44"/>
        <w:widowControl w:val="0"/>
        <w:spacing w:before="0" w:beforeAutospacing="0" w:after="0" w:afterAutospacing="0" w:line="500" w:lineRule="exact"/>
        <w:ind w:firstLine="480" w:firstLineChars="200"/>
        <w:jc w:val="both"/>
        <w:rPr>
          <w:rFonts w:hint="eastAsia" w:hAnsi="宋体" w:cs="宋体"/>
          <w:color w:val="auto"/>
          <w:kern w:val="2"/>
          <w:szCs w:val="20"/>
          <w:lang w:bidi="ar"/>
          <w14:ligatures w14:val="standardContextual"/>
        </w:rPr>
      </w:pPr>
      <w:r>
        <w:rPr>
          <w:rFonts w:hint="eastAsia" w:hAnsi="宋体" w:cs="宋体"/>
          <w:color w:val="auto"/>
          <w:kern w:val="2"/>
          <w:szCs w:val="20"/>
          <w:lang w:bidi="ar"/>
          <w14:ligatures w14:val="standardContextual"/>
        </w:rPr>
        <w:t>本工程控制设备为干雾抑尘装置。</w:t>
      </w:r>
    </w:p>
    <w:p>
      <w:pPr>
        <w:pStyle w:val="44"/>
        <w:widowControl w:val="0"/>
        <w:spacing w:before="0" w:beforeAutospacing="0" w:after="0" w:afterAutospacing="0" w:line="500" w:lineRule="exact"/>
        <w:ind w:firstLine="480" w:firstLineChars="200"/>
        <w:jc w:val="both"/>
        <w:rPr>
          <w:rFonts w:hint="eastAsia" w:hAnsi="宋体" w:cs="宋体"/>
          <w:color w:val="auto"/>
          <w:kern w:val="2"/>
          <w:szCs w:val="20"/>
          <w:lang w:bidi="ar"/>
          <w14:ligatures w14:val="standardContextual"/>
        </w:rPr>
      </w:pPr>
      <w:r>
        <w:rPr>
          <w:rFonts w:hint="eastAsia" w:hAnsi="宋体" w:cs="宋体"/>
          <w:color w:val="auto"/>
          <w:kern w:val="2"/>
          <w:szCs w:val="20"/>
          <w:lang w:bidi="ar"/>
          <w14:ligatures w14:val="standardContextual"/>
        </w:rPr>
        <w:t>新增干雾抑尘装置的控制接入备煤车间控制分站，同时对备煤操作间控制上位机进行监控及组态画面改造，改造后的控制系统可实现对干雾抑尘装置的集中监控。</w:t>
      </w:r>
    </w:p>
    <w:p>
      <w:pPr>
        <w:pStyle w:val="44"/>
        <w:widowControl w:val="0"/>
        <w:spacing w:before="0" w:beforeAutospacing="0" w:after="0" w:afterAutospacing="0" w:line="500" w:lineRule="exact"/>
        <w:ind w:firstLine="480" w:firstLineChars="200"/>
        <w:jc w:val="both"/>
        <w:rPr>
          <w:rFonts w:hint="eastAsia" w:hAnsi="宋体" w:cs="宋体"/>
          <w:color w:val="auto"/>
          <w:kern w:val="2"/>
          <w:szCs w:val="20"/>
          <w:lang w:bidi="ar"/>
          <w14:ligatures w14:val="standardContextual"/>
        </w:rPr>
      </w:pPr>
      <w:r>
        <w:rPr>
          <w:rFonts w:hint="eastAsia" w:hAnsi="宋体" w:cs="宋体"/>
          <w:color w:val="auto"/>
          <w:kern w:val="2"/>
          <w:szCs w:val="20"/>
          <w:lang w:val="en-US" w:eastAsia="zh-CN" w:bidi="ar"/>
          <w14:ligatures w14:val="standardContextual"/>
        </w:rPr>
        <w:t>2</w:t>
      </w:r>
      <w:r>
        <w:rPr>
          <w:rFonts w:hint="eastAsia" w:hAnsi="宋体" w:cs="宋体"/>
          <w:color w:val="auto"/>
          <w:kern w:val="2"/>
          <w:szCs w:val="20"/>
          <w:lang w:bidi="ar"/>
          <w14:ligatures w14:val="standardContextual"/>
        </w:rPr>
        <w:t>）控制系统设计原则</w:t>
      </w:r>
    </w:p>
    <w:p>
      <w:pPr>
        <w:pStyle w:val="44"/>
        <w:widowControl w:val="0"/>
        <w:spacing w:before="0" w:beforeAutospacing="0" w:after="0" w:afterAutospacing="0" w:line="500" w:lineRule="exact"/>
        <w:ind w:firstLine="480" w:firstLineChars="200"/>
        <w:jc w:val="both"/>
        <w:rPr>
          <w:rFonts w:hint="eastAsia" w:hAnsi="宋体" w:cs="宋体"/>
          <w:color w:val="auto"/>
          <w:kern w:val="2"/>
          <w:szCs w:val="20"/>
          <w:lang w:bidi="ar"/>
          <w14:ligatures w14:val="standardContextual"/>
        </w:rPr>
      </w:pPr>
      <w:r>
        <w:rPr>
          <w:rFonts w:hint="eastAsia" w:hAnsi="宋体" w:cs="宋体"/>
          <w:color w:val="auto"/>
          <w:kern w:val="2"/>
          <w:szCs w:val="20"/>
          <w:lang w:bidi="ar"/>
          <w14:ligatures w14:val="standardContextual"/>
        </w:rPr>
        <w:t>干雾抑尘装置有自动和手动两种控制模式。</w:t>
      </w:r>
    </w:p>
    <w:p>
      <w:pPr>
        <w:pStyle w:val="44"/>
        <w:widowControl w:val="0"/>
        <w:spacing w:before="0" w:beforeAutospacing="0" w:after="0" w:afterAutospacing="0" w:line="500" w:lineRule="exact"/>
        <w:ind w:firstLine="480" w:firstLineChars="200"/>
        <w:jc w:val="both"/>
        <w:rPr>
          <w:rFonts w:hint="eastAsia" w:hAnsi="宋体" w:cs="宋体"/>
          <w:color w:val="auto"/>
          <w:kern w:val="2"/>
          <w:szCs w:val="20"/>
          <w:lang w:bidi="ar"/>
          <w14:ligatures w14:val="standardContextual"/>
        </w:rPr>
      </w:pPr>
      <w:r>
        <w:rPr>
          <w:rFonts w:hint="eastAsia" w:hAnsi="宋体" w:cs="宋体"/>
          <w:color w:val="auto"/>
          <w:kern w:val="2"/>
          <w:szCs w:val="20"/>
          <w:lang w:bidi="ar"/>
          <w14:ligatures w14:val="standardContextual"/>
        </w:rPr>
        <w:t>自动模式时，在干雾抑尘装置控制面板上选择“自动运行”模式，干雾抑尘装置进入自动工作状态，其PLC依据车位传感器信号控制干雾抑尘系统，进行自动喷雾。</w:t>
      </w:r>
    </w:p>
    <w:p>
      <w:pPr>
        <w:pStyle w:val="44"/>
        <w:widowControl w:val="0"/>
        <w:spacing w:before="0" w:beforeAutospacing="0" w:after="0" w:afterAutospacing="0" w:line="500" w:lineRule="exact"/>
        <w:ind w:firstLine="480" w:firstLineChars="200"/>
        <w:jc w:val="both"/>
        <w:rPr>
          <w:rFonts w:hint="eastAsia" w:hAnsi="宋体" w:cs="宋体"/>
          <w:color w:val="auto"/>
          <w:kern w:val="2"/>
          <w:szCs w:val="20"/>
          <w:lang w:bidi="ar"/>
          <w14:ligatures w14:val="standardContextual"/>
        </w:rPr>
      </w:pPr>
      <w:r>
        <w:rPr>
          <w:rFonts w:hint="eastAsia" w:hAnsi="宋体" w:cs="宋体"/>
          <w:color w:val="auto"/>
          <w:kern w:val="2"/>
          <w:szCs w:val="20"/>
          <w:lang w:bidi="ar"/>
          <w14:ligatures w14:val="standardContextual"/>
        </w:rPr>
        <w:t>手动模式时，在干雾抑尘装置控制面板上选择“手动运行”模式，干雾抑尘装置手动操作准备就绪，在手动操作界面中按相对应的按键，可实现手动就地控制喷雾。</w:t>
      </w:r>
    </w:p>
    <w:p>
      <w:pPr>
        <w:pStyle w:val="44"/>
        <w:widowControl w:val="0"/>
        <w:spacing w:before="0" w:beforeAutospacing="0" w:after="0" w:afterAutospacing="0" w:line="500" w:lineRule="exact"/>
        <w:ind w:firstLine="480" w:firstLineChars="200"/>
        <w:jc w:val="both"/>
        <w:rPr>
          <w:rFonts w:hint="eastAsia" w:hAnsi="宋体" w:cs="宋体"/>
          <w:color w:val="auto"/>
          <w:kern w:val="2"/>
          <w:szCs w:val="20"/>
          <w:lang w:bidi="ar"/>
          <w14:ligatures w14:val="standardContextual"/>
        </w:rPr>
      </w:pPr>
      <w:r>
        <w:rPr>
          <w:rFonts w:hint="eastAsia" w:hAnsi="宋体" w:cs="宋体"/>
          <w:color w:val="auto"/>
          <w:kern w:val="2"/>
          <w:szCs w:val="20"/>
          <w:lang w:val="en-US" w:eastAsia="zh-CN" w:bidi="ar"/>
          <w14:ligatures w14:val="standardContextual"/>
        </w:rPr>
        <w:t>3</w:t>
      </w:r>
      <w:r>
        <w:rPr>
          <w:rFonts w:hint="eastAsia" w:hAnsi="宋体" w:cs="宋体"/>
          <w:color w:val="auto"/>
          <w:kern w:val="2"/>
          <w:szCs w:val="20"/>
          <w:lang w:bidi="ar"/>
          <w14:ligatures w14:val="standardContextual"/>
        </w:rPr>
        <w:t>）自动化</w:t>
      </w:r>
    </w:p>
    <w:p>
      <w:pPr>
        <w:pStyle w:val="44"/>
        <w:widowControl w:val="0"/>
        <w:spacing w:before="0" w:beforeAutospacing="0" w:after="0" w:afterAutospacing="0" w:line="500" w:lineRule="exact"/>
        <w:ind w:firstLine="480" w:firstLineChars="200"/>
        <w:jc w:val="both"/>
        <w:rPr>
          <w:rFonts w:hint="eastAsia" w:hAnsi="宋体" w:cs="宋体"/>
          <w:color w:val="auto"/>
          <w:kern w:val="2"/>
          <w:szCs w:val="20"/>
          <w:lang w:bidi="ar"/>
          <w14:ligatures w14:val="standardContextual"/>
        </w:rPr>
      </w:pPr>
      <w:r>
        <w:rPr>
          <w:rFonts w:hint="eastAsia" w:hAnsi="宋体" w:cs="宋体"/>
          <w:color w:val="auto"/>
          <w:kern w:val="2"/>
          <w:szCs w:val="20"/>
          <w:lang w:bidi="ar"/>
          <w14:ligatures w14:val="standardContextual"/>
        </w:rPr>
        <w:t>本工程新增的空压机、干雾抑尘装置及自动洗车机装置均为单机自动控制，均由设备厂家配套完成。</w:t>
      </w:r>
    </w:p>
    <w:p>
      <w:pPr>
        <w:pStyle w:val="44"/>
        <w:widowControl w:val="0"/>
        <w:spacing w:before="0" w:beforeAutospacing="0" w:after="0" w:afterAutospacing="0" w:line="500" w:lineRule="exact"/>
        <w:ind w:firstLine="482" w:firstLineChars="200"/>
        <w:jc w:val="both"/>
        <w:rPr>
          <w:rFonts w:hint="default" w:hAnsi="宋体" w:cs="宋体"/>
          <w:b/>
          <w:bCs/>
          <w:color w:val="auto"/>
          <w:kern w:val="2"/>
          <w:szCs w:val="20"/>
          <w:lang w:val="en-US" w:eastAsia="zh-CN" w:bidi="ar"/>
          <w14:ligatures w14:val="standardContextual"/>
        </w:rPr>
      </w:pPr>
      <w:r>
        <w:rPr>
          <w:rFonts w:hint="eastAsia" w:hAnsi="宋体" w:cs="宋体"/>
          <w:b/>
          <w:bCs/>
          <w:color w:val="auto"/>
          <w:kern w:val="2"/>
          <w:szCs w:val="20"/>
          <w:lang w:val="en-US" w:eastAsia="zh-CN" w:bidi="ar"/>
          <w14:ligatures w14:val="standardContextual"/>
        </w:rPr>
        <w:t>4.4给排水、供暖通风</w:t>
      </w:r>
    </w:p>
    <w:p>
      <w:pPr>
        <w:pStyle w:val="44"/>
        <w:widowControl w:val="0"/>
        <w:spacing w:before="0" w:beforeAutospacing="0" w:after="0" w:afterAutospacing="0" w:line="500" w:lineRule="exact"/>
        <w:ind w:firstLine="480" w:firstLineChars="200"/>
        <w:jc w:val="both"/>
        <w:rPr>
          <w:rFonts w:hint="eastAsia" w:hAnsi="宋体" w:cs="宋体"/>
          <w:color w:val="auto"/>
          <w:kern w:val="2"/>
          <w:szCs w:val="20"/>
          <w:lang w:bidi="ar"/>
          <w14:ligatures w14:val="standardContextual"/>
        </w:rPr>
      </w:pPr>
      <w:r>
        <w:rPr>
          <w:rFonts w:hint="eastAsia" w:hAnsi="宋体" w:cs="宋体"/>
          <w:color w:val="auto"/>
          <w:kern w:val="2"/>
          <w:szCs w:val="20"/>
          <w:lang w:val="en-US" w:eastAsia="zh-CN" w:bidi="ar"/>
          <w14:ligatures w14:val="standardContextual"/>
        </w:rPr>
        <w:t>4.4.1</w:t>
      </w:r>
      <w:r>
        <w:rPr>
          <w:rFonts w:hint="eastAsia" w:hAnsi="宋体" w:cs="宋体"/>
          <w:color w:val="auto"/>
          <w:kern w:val="2"/>
          <w:szCs w:val="20"/>
          <w:lang w:bidi="ar"/>
          <w14:ligatures w14:val="standardContextual"/>
        </w:rPr>
        <w:t>给水排水</w:t>
      </w:r>
    </w:p>
    <w:p>
      <w:pPr>
        <w:pStyle w:val="44"/>
        <w:widowControl w:val="0"/>
        <w:spacing w:before="0" w:beforeAutospacing="0" w:after="0" w:afterAutospacing="0" w:line="500" w:lineRule="exact"/>
        <w:ind w:firstLine="480" w:firstLineChars="200"/>
        <w:jc w:val="both"/>
        <w:rPr>
          <w:rFonts w:hint="eastAsia" w:hAnsi="宋体" w:cs="宋体"/>
          <w:color w:val="auto"/>
          <w:kern w:val="2"/>
          <w:szCs w:val="20"/>
          <w:lang w:bidi="ar"/>
          <w14:ligatures w14:val="standardContextual"/>
        </w:rPr>
      </w:pPr>
      <w:r>
        <w:rPr>
          <w:rFonts w:hint="eastAsia" w:hAnsi="宋体" w:cs="宋体"/>
          <w:color w:val="auto"/>
          <w:kern w:val="2"/>
          <w:szCs w:val="20"/>
          <w:lang w:val="zh-CN" w:bidi="ar"/>
          <w14:ligatures w14:val="standardContextual"/>
        </w:rPr>
        <w:t>生产用水</w:t>
      </w:r>
      <w:r>
        <w:rPr>
          <w:rFonts w:hint="eastAsia" w:hAnsi="宋体" w:cs="宋体"/>
          <w:color w:val="auto"/>
          <w:kern w:val="2"/>
          <w:szCs w:val="20"/>
          <w:lang w:bidi="ar"/>
          <w14:ligatures w14:val="standardContextual"/>
        </w:rPr>
        <w:t>接自工业场地已有生产给水管网。</w:t>
      </w:r>
      <w:r>
        <w:rPr>
          <w:rFonts w:hint="eastAsia" w:hAnsi="宋体" w:cs="宋体"/>
          <w:color w:val="auto"/>
          <w:kern w:val="2"/>
          <w:szCs w:val="20"/>
          <w:lang w:val="zh-CN" w:bidi="ar"/>
          <w14:ligatures w14:val="standardContextual"/>
        </w:rPr>
        <w:t>生产用水量</w:t>
      </w:r>
      <w:r>
        <w:rPr>
          <w:rFonts w:hint="eastAsia" w:hAnsi="宋体" w:cs="宋体"/>
          <w:color w:val="auto"/>
          <w:kern w:val="2"/>
          <w:szCs w:val="20"/>
          <w:lang w:bidi="ar"/>
          <w14:ligatures w14:val="standardContextual"/>
        </w:rPr>
        <w:t>77.76</w:t>
      </w:r>
      <w:r>
        <w:rPr>
          <w:rFonts w:hint="eastAsia" w:hAnsi="宋体" w:cs="宋体"/>
          <w:color w:val="auto"/>
          <w:kern w:val="2"/>
          <w:szCs w:val="20"/>
          <w:lang w:val="zh-CN" w:bidi="ar"/>
          <w14:ligatures w14:val="standardContextual"/>
        </w:rPr>
        <w:t>m</w:t>
      </w:r>
      <w:r>
        <w:rPr>
          <w:rFonts w:hint="eastAsia" w:hAnsi="宋体" w:cs="宋体"/>
          <w:color w:val="auto"/>
          <w:kern w:val="2"/>
          <w:szCs w:val="20"/>
          <w:vertAlign w:val="superscript"/>
          <w:lang w:bidi="ar"/>
          <w14:ligatures w14:val="standardContextual"/>
        </w:rPr>
        <w:t>3</w:t>
      </w:r>
      <w:r>
        <w:rPr>
          <w:rFonts w:hint="eastAsia" w:hAnsi="宋体" w:cs="宋体"/>
          <w:color w:val="auto"/>
          <w:kern w:val="2"/>
          <w:szCs w:val="20"/>
          <w:lang w:val="zh-CN" w:bidi="ar"/>
          <w14:ligatures w14:val="standardContextual"/>
        </w:rPr>
        <w:t>/d，最大小时用水量</w:t>
      </w:r>
      <w:r>
        <w:rPr>
          <w:rFonts w:hint="eastAsia" w:hAnsi="宋体" w:cs="宋体"/>
          <w:color w:val="auto"/>
          <w:kern w:val="2"/>
          <w:szCs w:val="20"/>
          <w:lang w:bidi="ar"/>
          <w14:ligatures w14:val="standardContextual"/>
        </w:rPr>
        <w:t>15.39</w:t>
      </w:r>
      <w:r>
        <w:rPr>
          <w:rFonts w:hint="eastAsia" w:hAnsi="宋体" w:cs="宋体"/>
          <w:color w:val="auto"/>
          <w:kern w:val="2"/>
          <w:szCs w:val="20"/>
          <w:lang w:val="zh-CN" w:bidi="ar"/>
          <w14:ligatures w14:val="standardContextual"/>
        </w:rPr>
        <w:t>m</w:t>
      </w:r>
      <w:r>
        <w:rPr>
          <w:rFonts w:hint="eastAsia" w:hAnsi="宋体" w:cs="宋体"/>
          <w:color w:val="auto"/>
          <w:kern w:val="2"/>
          <w:szCs w:val="20"/>
          <w:vertAlign w:val="superscript"/>
          <w:lang w:bidi="ar"/>
          <w14:ligatures w14:val="standardContextual"/>
        </w:rPr>
        <w:t>3</w:t>
      </w:r>
      <w:r>
        <w:rPr>
          <w:rFonts w:hint="eastAsia" w:hAnsi="宋体" w:cs="宋体"/>
          <w:color w:val="auto"/>
          <w:kern w:val="2"/>
          <w:szCs w:val="20"/>
          <w:lang w:val="zh-CN" w:bidi="ar"/>
          <w14:ligatures w14:val="standardContextual"/>
        </w:rPr>
        <w:t>/h。</w:t>
      </w:r>
    </w:p>
    <w:p>
      <w:pPr>
        <w:pStyle w:val="44"/>
        <w:widowControl w:val="0"/>
        <w:spacing w:before="0" w:beforeAutospacing="0" w:after="0" w:afterAutospacing="0" w:line="500" w:lineRule="exact"/>
        <w:ind w:firstLine="480" w:firstLineChars="200"/>
        <w:jc w:val="both"/>
        <w:rPr>
          <w:rFonts w:hint="eastAsia" w:hAnsi="宋体" w:cs="宋体"/>
          <w:color w:val="auto"/>
          <w:kern w:val="2"/>
          <w:szCs w:val="20"/>
          <w:lang w:bidi="ar"/>
          <w14:ligatures w14:val="standardContextual"/>
        </w:rPr>
      </w:pPr>
      <w:r>
        <w:rPr>
          <w:rFonts w:hint="eastAsia" w:hAnsi="宋体" w:cs="宋体"/>
          <w:color w:val="auto"/>
          <w:kern w:val="2"/>
          <w:szCs w:val="20"/>
          <w:lang w:bidi="ar"/>
          <w14:ligatures w14:val="standardContextual"/>
        </w:rPr>
        <w:t>新建储煤场内设置室内自动消防炮系统、室内外消火栓系统及灭火器配置。储煤场一次火灾消防总用水量为648m</w:t>
      </w:r>
      <w:r>
        <w:rPr>
          <w:rFonts w:hint="eastAsia" w:hAnsi="宋体" w:cs="宋体"/>
          <w:color w:val="auto"/>
          <w:kern w:val="2"/>
          <w:szCs w:val="20"/>
          <w:vertAlign w:val="superscript"/>
          <w:lang w:bidi="ar"/>
          <w14:ligatures w14:val="standardContextual"/>
        </w:rPr>
        <w:t>3</w:t>
      </w:r>
      <w:r>
        <w:rPr>
          <w:rFonts w:hint="eastAsia" w:hAnsi="宋体" w:cs="宋体"/>
          <w:color w:val="auto"/>
          <w:kern w:val="2"/>
          <w:szCs w:val="20"/>
          <w:lang w:bidi="ar"/>
          <w14:ligatures w14:val="standardContextual"/>
        </w:rPr>
        <w:t>。</w:t>
      </w:r>
    </w:p>
    <w:p>
      <w:pPr>
        <w:pStyle w:val="44"/>
        <w:widowControl w:val="0"/>
        <w:spacing w:before="0" w:beforeAutospacing="0" w:after="0" w:afterAutospacing="0" w:line="500" w:lineRule="exact"/>
        <w:ind w:firstLine="480" w:firstLineChars="200"/>
        <w:jc w:val="both"/>
        <w:rPr>
          <w:rFonts w:hint="eastAsia" w:hAnsi="宋体" w:cs="宋体"/>
          <w:color w:val="auto"/>
          <w:kern w:val="2"/>
          <w:szCs w:val="20"/>
          <w:lang w:bidi="ar"/>
          <w14:ligatures w14:val="standardContextual"/>
        </w:rPr>
      </w:pPr>
      <w:bookmarkStart w:id="82" w:name="_Toc432406564"/>
      <w:bookmarkStart w:id="83" w:name="_Toc429661050"/>
      <w:bookmarkStart w:id="84" w:name="_Toc429551197"/>
      <w:r>
        <w:rPr>
          <w:rFonts w:hint="eastAsia" w:hAnsi="宋体" w:cs="宋体"/>
          <w:color w:val="auto"/>
          <w:kern w:val="2"/>
          <w:szCs w:val="20"/>
          <w:lang w:bidi="ar"/>
          <w14:ligatures w14:val="standardContextual"/>
        </w:rPr>
        <w:t>1）水源</w:t>
      </w:r>
      <w:bookmarkEnd w:id="82"/>
      <w:bookmarkEnd w:id="83"/>
      <w:bookmarkEnd w:id="84"/>
    </w:p>
    <w:p>
      <w:pPr>
        <w:pStyle w:val="44"/>
        <w:widowControl w:val="0"/>
        <w:spacing w:before="0" w:beforeAutospacing="0" w:after="0" w:afterAutospacing="0" w:line="500" w:lineRule="exact"/>
        <w:ind w:firstLine="480" w:firstLineChars="200"/>
        <w:jc w:val="both"/>
        <w:rPr>
          <w:rFonts w:hint="eastAsia" w:hAnsi="宋体" w:cs="宋体"/>
          <w:color w:val="auto"/>
          <w:kern w:val="2"/>
          <w:szCs w:val="20"/>
          <w:lang w:bidi="ar"/>
          <w14:ligatures w14:val="standardContextual"/>
        </w:rPr>
      </w:pPr>
      <w:r>
        <w:rPr>
          <w:rFonts w:hint="eastAsia" w:hAnsi="宋体" w:cs="宋体"/>
          <w:color w:val="auto"/>
          <w:kern w:val="2"/>
          <w:szCs w:val="20"/>
          <w:lang w:bidi="ar"/>
          <w14:ligatures w14:val="standardContextual"/>
        </w:rPr>
        <w:t>生产用水由厂区已有生产给水管网供给；室内消火栓、室外消火栓用水由厂区已有消防给水管网供给。经校核已有生产给水、室内消火栓给水、室外消火栓给水系统能满足本工程用水要求。室内消防炮用水由新增消防水池经新增消防炮加压泵加压供给，水池可以保证消防储水不被动用。</w:t>
      </w:r>
    </w:p>
    <w:p>
      <w:pPr>
        <w:pStyle w:val="44"/>
        <w:widowControl w:val="0"/>
        <w:spacing w:before="0" w:beforeAutospacing="0" w:after="0" w:afterAutospacing="0" w:line="500" w:lineRule="exact"/>
        <w:ind w:firstLine="480" w:firstLineChars="200"/>
        <w:jc w:val="both"/>
        <w:rPr>
          <w:rFonts w:hint="eastAsia" w:hAnsi="宋体" w:cs="宋体"/>
          <w:color w:val="auto"/>
          <w:kern w:val="2"/>
          <w:szCs w:val="20"/>
          <w:lang w:bidi="ar"/>
          <w14:ligatures w14:val="standardContextual"/>
        </w:rPr>
      </w:pPr>
      <w:r>
        <w:rPr>
          <w:rFonts w:hint="eastAsia" w:hAnsi="宋体" w:cs="宋体"/>
          <w:color w:val="auto"/>
          <w:kern w:val="2"/>
          <w:szCs w:val="20"/>
          <w:lang w:val="en-US" w:eastAsia="zh-CN" w:bidi="ar"/>
          <w14:ligatures w14:val="standardContextual"/>
        </w:rPr>
        <w:t>2</w:t>
      </w:r>
      <w:r>
        <w:rPr>
          <w:rFonts w:hint="eastAsia" w:hAnsi="宋体" w:cs="宋体"/>
          <w:color w:val="auto"/>
          <w:kern w:val="2"/>
          <w:szCs w:val="20"/>
          <w:lang w:bidi="ar"/>
          <w14:ligatures w14:val="standardContextual"/>
        </w:rPr>
        <w:t>）用水量</w:t>
      </w:r>
    </w:p>
    <w:p>
      <w:pPr>
        <w:pStyle w:val="44"/>
        <w:widowControl w:val="0"/>
        <w:spacing w:before="0" w:beforeAutospacing="0" w:after="0" w:afterAutospacing="0" w:line="500" w:lineRule="exact"/>
        <w:ind w:firstLine="480" w:firstLineChars="200"/>
        <w:jc w:val="both"/>
        <w:rPr>
          <w:rFonts w:hint="eastAsia" w:hAnsi="宋体" w:cs="宋体"/>
          <w:color w:val="auto"/>
          <w:kern w:val="2"/>
          <w:szCs w:val="20"/>
          <w:lang w:val="zh-CN" w:bidi="ar"/>
          <w14:ligatures w14:val="standardContextual"/>
        </w:rPr>
      </w:pPr>
      <w:r>
        <w:rPr>
          <w:rFonts w:hint="eastAsia" w:hAnsi="宋体" w:cs="宋体"/>
          <w:color w:val="auto"/>
          <w:kern w:val="2"/>
          <w:szCs w:val="20"/>
          <w:lang w:val="zh-CN" w:bidi="ar"/>
          <w14:ligatures w14:val="standardContextual"/>
        </w:rPr>
        <w:t>生产用水量</w:t>
      </w:r>
      <w:r>
        <w:rPr>
          <w:rFonts w:hint="eastAsia" w:hAnsi="宋体" w:cs="宋体"/>
          <w:color w:val="auto"/>
          <w:kern w:val="2"/>
          <w:szCs w:val="20"/>
          <w:lang w:bidi="ar"/>
          <w14:ligatures w14:val="standardContextual"/>
        </w:rPr>
        <w:t>77.76</w:t>
      </w:r>
      <w:r>
        <w:rPr>
          <w:rFonts w:hint="eastAsia" w:hAnsi="宋体" w:cs="宋体"/>
          <w:color w:val="auto"/>
          <w:kern w:val="2"/>
          <w:szCs w:val="20"/>
          <w:lang w:val="zh-CN" w:bidi="ar"/>
          <w14:ligatures w14:val="standardContextual"/>
        </w:rPr>
        <w:t>m</w:t>
      </w:r>
      <w:r>
        <w:rPr>
          <w:rFonts w:hint="eastAsia" w:hAnsi="宋体" w:cs="宋体"/>
          <w:color w:val="auto"/>
          <w:kern w:val="2"/>
          <w:szCs w:val="20"/>
          <w:vertAlign w:val="superscript"/>
          <w:lang w:bidi="ar"/>
          <w14:ligatures w14:val="standardContextual"/>
        </w:rPr>
        <w:t>3</w:t>
      </w:r>
      <w:r>
        <w:rPr>
          <w:rFonts w:hint="eastAsia" w:hAnsi="宋体" w:cs="宋体"/>
          <w:color w:val="auto"/>
          <w:kern w:val="2"/>
          <w:szCs w:val="20"/>
          <w:lang w:val="zh-CN" w:bidi="ar"/>
          <w14:ligatures w14:val="standardContextual"/>
        </w:rPr>
        <w:t>/d，最大小时用水量</w:t>
      </w:r>
      <w:r>
        <w:rPr>
          <w:rFonts w:hint="eastAsia" w:hAnsi="宋体" w:cs="宋体"/>
          <w:color w:val="auto"/>
          <w:kern w:val="2"/>
          <w:szCs w:val="20"/>
          <w:lang w:bidi="ar"/>
          <w14:ligatures w14:val="standardContextual"/>
        </w:rPr>
        <w:t>15.39</w:t>
      </w:r>
      <w:r>
        <w:rPr>
          <w:rFonts w:hint="eastAsia" w:hAnsi="宋体" w:cs="宋体"/>
          <w:color w:val="auto"/>
          <w:kern w:val="2"/>
          <w:szCs w:val="20"/>
          <w:lang w:val="zh-CN" w:bidi="ar"/>
          <w14:ligatures w14:val="standardContextual"/>
        </w:rPr>
        <w:t>m</w:t>
      </w:r>
      <w:r>
        <w:rPr>
          <w:rFonts w:hint="eastAsia" w:hAnsi="宋体" w:cs="宋体"/>
          <w:color w:val="auto"/>
          <w:kern w:val="2"/>
          <w:szCs w:val="20"/>
          <w:vertAlign w:val="superscript"/>
          <w:lang w:bidi="ar"/>
          <w14:ligatures w14:val="standardContextual"/>
        </w:rPr>
        <w:t>3</w:t>
      </w:r>
      <w:r>
        <w:rPr>
          <w:rFonts w:hint="eastAsia" w:hAnsi="宋体" w:cs="宋体"/>
          <w:color w:val="auto"/>
          <w:kern w:val="2"/>
          <w:szCs w:val="20"/>
          <w:lang w:val="zh-CN" w:bidi="ar"/>
          <w14:ligatures w14:val="standardContextual"/>
        </w:rPr>
        <w:t>/h。</w:t>
      </w:r>
    </w:p>
    <w:p>
      <w:pPr>
        <w:pStyle w:val="44"/>
        <w:widowControl w:val="0"/>
        <w:spacing w:before="0" w:beforeAutospacing="0" w:after="0" w:afterAutospacing="0" w:line="500" w:lineRule="exact"/>
        <w:ind w:firstLine="480" w:firstLineChars="200"/>
        <w:jc w:val="both"/>
        <w:rPr>
          <w:rFonts w:hint="eastAsia" w:hAnsi="宋体" w:cs="宋体"/>
          <w:color w:val="auto"/>
          <w:kern w:val="2"/>
          <w:szCs w:val="20"/>
          <w:lang w:bidi="ar"/>
          <w14:ligatures w14:val="standardContextual"/>
        </w:rPr>
      </w:pPr>
      <w:r>
        <w:rPr>
          <w:rFonts w:hint="eastAsia" w:hAnsi="宋体" w:cs="宋体"/>
          <w:color w:val="auto"/>
          <w:kern w:val="2"/>
          <w:szCs w:val="20"/>
          <w:lang w:bidi="ar"/>
          <w14:ligatures w14:val="standardContextual"/>
        </w:rPr>
        <w:t>储煤场一次火灾消防总用水量为648m</w:t>
      </w:r>
      <w:r>
        <w:rPr>
          <w:rFonts w:hint="eastAsia" w:hAnsi="宋体" w:cs="宋体"/>
          <w:color w:val="auto"/>
          <w:kern w:val="2"/>
          <w:szCs w:val="20"/>
          <w:vertAlign w:val="superscript"/>
          <w:lang w:bidi="ar"/>
          <w14:ligatures w14:val="standardContextual"/>
        </w:rPr>
        <w:t>3</w:t>
      </w:r>
      <w:r>
        <w:rPr>
          <w:rFonts w:hint="eastAsia" w:hAnsi="宋体" w:cs="宋体"/>
          <w:color w:val="auto"/>
          <w:kern w:val="2"/>
          <w:szCs w:val="20"/>
          <w:lang w:bidi="ar"/>
          <w14:ligatures w14:val="standardContextual"/>
        </w:rPr>
        <w:t>。</w:t>
      </w:r>
    </w:p>
    <w:p>
      <w:pPr>
        <w:pStyle w:val="44"/>
        <w:widowControl w:val="0"/>
        <w:spacing w:before="0" w:beforeAutospacing="0" w:after="0" w:afterAutospacing="0" w:line="500" w:lineRule="exact"/>
        <w:ind w:firstLine="480" w:firstLineChars="200"/>
        <w:jc w:val="both"/>
        <w:rPr>
          <w:rFonts w:hint="eastAsia" w:hAnsi="宋体" w:cs="宋体"/>
          <w:color w:val="auto"/>
          <w:kern w:val="2"/>
          <w:szCs w:val="20"/>
          <w:lang w:bidi="ar"/>
          <w14:ligatures w14:val="standardContextual"/>
        </w:rPr>
      </w:pPr>
      <w:r>
        <w:rPr>
          <w:rFonts w:hint="eastAsia" w:hAnsi="宋体" w:cs="宋体"/>
          <w:color w:val="auto"/>
          <w:kern w:val="2"/>
          <w:szCs w:val="20"/>
          <w:lang w:val="zh-CN" w:bidi="ar"/>
          <w14:ligatures w14:val="standardContextual"/>
        </w:rPr>
        <w:t>详见用水量表</w:t>
      </w:r>
      <w:r>
        <w:rPr>
          <w:rFonts w:hint="eastAsia" w:hAnsi="宋体" w:cs="宋体"/>
          <w:color w:val="auto"/>
          <w:kern w:val="2"/>
          <w:szCs w:val="20"/>
          <w:lang w:val="en-US" w:eastAsia="zh-CN" w:bidi="ar"/>
          <w14:ligatures w14:val="standardContextual"/>
        </w:rPr>
        <w:t>4-3</w:t>
      </w:r>
      <w:r>
        <w:rPr>
          <w:rFonts w:hint="eastAsia" w:hAnsi="宋体" w:cs="宋体"/>
          <w:color w:val="auto"/>
          <w:kern w:val="2"/>
          <w:szCs w:val="20"/>
          <w:lang w:val="zh-CN" w:bidi="ar"/>
          <w14:ligatures w14:val="standardContextual"/>
        </w:rPr>
        <w:t>、表</w:t>
      </w:r>
      <w:r>
        <w:rPr>
          <w:rFonts w:hint="eastAsia" w:hAnsi="宋体" w:cs="宋体"/>
          <w:color w:val="auto"/>
          <w:kern w:val="2"/>
          <w:szCs w:val="20"/>
          <w:lang w:bidi="ar"/>
          <w14:ligatures w14:val="standardContextual"/>
        </w:rPr>
        <w:t>4</w:t>
      </w:r>
      <w:r>
        <w:rPr>
          <w:rFonts w:hint="eastAsia" w:hAnsi="宋体" w:cs="宋体"/>
          <w:color w:val="auto"/>
          <w:kern w:val="2"/>
          <w:szCs w:val="20"/>
          <w:lang w:val="zh-CN" w:bidi="ar"/>
          <w14:ligatures w14:val="standardContextual"/>
        </w:rPr>
        <w:t>-</w:t>
      </w:r>
      <w:r>
        <w:rPr>
          <w:rFonts w:hint="eastAsia" w:hAnsi="宋体" w:cs="宋体"/>
          <w:color w:val="auto"/>
          <w:kern w:val="2"/>
          <w:szCs w:val="20"/>
          <w:lang w:val="en-US" w:eastAsia="zh-CN" w:bidi="ar"/>
          <w14:ligatures w14:val="standardContextual"/>
        </w:rPr>
        <w:t>4</w:t>
      </w:r>
      <w:r>
        <w:rPr>
          <w:rFonts w:hint="eastAsia" w:hAnsi="宋体" w:cs="宋体"/>
          <w:color w:val="auto"/>
          <w:kern w:val="2"/>
          <w:szCs w:val="20"/>
          <w:lang w:val="zh-CN" w:bidi="ar"/>
          <w14:ligatures w14:val="standardContextual"/>
        </w:rPr>
        <w:t>。</w:t>
      </w:r>
    </w:p>
    <w:p>
      <w:pPr>
        <w:spacing w:line="480" w:lineRule="exact"/>
        <w:ind w:firstLine="480" w:firstLineChars="200"/>
        <w:rPr>
          <w:rFonts w:ascii="宋体" w:hAnsi="宋体" w:eastAsia="宋体" w:cs="Times New Roman"/>
          <w:bCs/>
          <w:color w:val="auto"/>
          <w:sz w:val="24"/>
          <w:szCs w:val="22"/>
          <w14:ligatures w14:val="none"/>
        </w:rPr>
      </w:pPr>
      <w:r>
        <w:rPr>
          <w:rFonts w:hint="eastAsia" w:ascii="宋体" w:hAnsi="宋体" w:eastAsia="宋体" w:cs="Times New Roman"/>
          <w:bCs/>
          <w:color w:val="auto"/>
          <w:sz w:val="24"/>
          <w:szCs w:val="22"/>
          <w14:ligatures w14:val="none"/>
        </w:rPr>
        <w:t>表</w:t>
      </w:r>
      <w:r>
        <w:rPr>
          <w:rFonts w:ascii="Times New Roman" w:hAnsi="Times New Roman" w:eastAsia="宋体" w:cs="Times New Roman"/>
          <w:bCs/>
          <w:color w:val="auto"/>
          <w:sz w:val="24"/>
          <w:szCs w:val="22"/>
          <w14:ligatures w14:val="none"/>
        </w:rPr>
        <w:t>4</w:t>
      </w:r>
      <w:r>
        <w:rPr>
          <w:rFonts w:ascii="Times New Roman" w:hAnsi="Times New Roman" w:eastAsia="宋体" w:cs="Times New Roman"/>
          <w:color w:val="auto"/>
          <w:sz w:val="24"/>
          <w:szCs w:val="22"/>
          <w:lang w:val="zh-CN"/>
          <w14:ligatures w14:val="none"/>
        </w:rPr>
        <w:t>-</w:t>
      </w:r>
      <w:r>
        <w:rPr>
          <w:rFonts w:hint="eastAsia" w:ascii="Times New Roman" w:hAnsi="Times New Roman" w:eastAsia="宋体" w:cs="Times New Roman"/>
          <w:color w:val="auto"/>
          <w:sz w:val="24"/>
          <w:szCs w:val="22"/>
          <w:lang w:val="en-US" w:eastAsia="zh-CN"/>
          <w14:ligatures w14:val="none"/>
        </w:rPr>
        <w:t>3</w:t>
      </w:r>
      <w:r>
        <w:rPr>
          <w:rFonts w:hint="eastAsia" w:ascii="宋体" w:hAnsi="宋体" w:eastAsia="宋体" w:cs="Times New Roman"/>
          <w:bCs/>
          <w:color w:val="auto"/>
          <w:sz w:val="24"/>
          <w:szCs w:val="22"/>
          <w14:ligatures w14:val="none"/>
        </w:rPr>
        <w:t xml:space="preserve">                      </w:t>
      </w:r>
      <w:r>
        <w:rPr>
          <w:rFonts w:hint="eastAsia" w:ascii="Times New Roman" w:hAnsi="Times New Roman" w:eastAsia="宋体" w:cs="Times New Roman"/>
          <w:color w:val="auto"/>
          <w:sz w:val="24"/>
          <w:szCs w:val="22"/>
          <w14:ligatures w14:val="none"/>
        </w:rPr>
        <w:t>生产用水量表</w:t>
      </w:r>
    </w:p>
    <w:tbl>
      <w:tblPr>
        <w:tblStyle w:val="50"/>
        <w:tblW w:w="9286" w:type="dxa"/>
        <w:jc w:val="center"/>
        <w:tblInd w:w="0" w:type="dxa"/>
        <w:tblLayout w:type="fixed"/>
        <w:tblCellMar>
          <w:top w:w="0" w:type="dxa"/>
          <w:left w:w="108" w:type="dxa"/>
          <w:bottom w:w="0" w:type="dxa"/>
          <w:right w:w="108" w:type="dxa"/>
        </w:tblCellMar>
      </w:tblPr>
      <w:tblGrid>
        <w:gridCol w:w="427"/>
        <w:gridCol w:w="1093"/>
        <w:gridCol w:w="560"/>
        <w:gridCol w:w="950"/>
        <w:gridCol w:w="640"/>
        <w:gridCol w:w="1130"/>
        <w:gridCol w:w="1340"/>
        <w:gridCol w:w="1390"/>
        <w:gridCol w:w="1756"/>
      </w:tblGrid>
      <w:tr>
        <w:tblPrEx>
          <w:tblLayout w:type="fixed"/>
          <w:tblCellMar>
            <w:top w:w="0" w:type="dxa"/>
            <w:left w:w="108" w:type="dxa"/>
            <w:bottom w:w="0" w:type="dxa"/>
            <w:right w:w="108" w:type="dxa"/>
          </w:tblCellMar>
        </w:tblPrEx>
        <w:trPr>
          <w:trHeight w:val="639" w:hRule="atLeast"/>
          <w:jc w:val="center"/>
        </w:trPr>
        <w:tc>
          <w:tcPr>
            <w:tcW w:w="42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olor w:val="auto"/>
                <w:kern w:val="0"/>
                <w:sz w:val="21"/>
                <w:szCs w:val="21"/>
                <w14:ligatures w14:val="none"/>
              </w:rPr>
            </w:pPr>
            <w:r>
              <w:rPr>
                <w:rFonts w:hint="eastAsia" w:ascii="宋体" w:hAnsi="宋体" w:eastAsia="宋体"/>
                <w:color w:val="auto"/>
                <w:kern w:val="0"/>
                <w:sz w:val="21"/>
                <w:szCs w:val="21"/>
                <w14:ligatures w14:val="none"/>
              </w:rPr>
              <w:t>序号</w:t>
            </w:r>
          </w:p>
        </w:tc>
        <w:tc>
          <w:tcPr>
            <w:tcW w:w="2603"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olor w:val="auto"/>
                <w:kern w:val="0"/>
                <w:sz w:val="21"/>
                <w:szCs w:val="21"/>
                <w14:ligatures w14:val="none"/>
              </w:rPr>
            </w:pPr>
            <w:r>
              <w:rPr>
                <w:rFonts w:hint="eastAsia" w:ascii="宋体" w:hAnsi="宋体" w:eastAsia="宋体"/>
                <w:color w:val="auto"/>
                <w:kern w:val="0"/>
                <w:sz w:val="21"/>
                <w:szCs w:val="21"/>
                <w14:ligatures w14:val="none"/>
              </w:rPr>
              <w:t>用水项目</w:t>
            </w:r>
          </w:p>
        </w:tc>
        <w:tc>
          <w:tcPr>
            <w:tcW w:w="17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olor w:val="auto"/>
                <w:kern w:val="0"/>
                <w:sz w:val="21"/>
                <w:szCs w:val="21"/>
                <w14:ligatures w14:val="none"/>
              </w:rPr>
            </w:pPr>
            <w:r>
              <w:rPr>
                <w:rFonts w:hint="eastAsia" w:ascii="宋体" w:hAnsi="宋体" w:eastAsia="宋体"/>
                <w:color w:val="auto"/>
                <w:kern w:val="0"/>
                <w:sz w:val="21"/>
                <w:szCs w:val="21"/>
                <w14:ligatures w14:val="none"/>
              </w:rPr>
              <w:t>用水标准</w:t>
            </w:r>
          </w:p>
        </w:tc>
        <w:tc>
          <w:tcPr>
            <w:tcW w:w="273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olor w:val="auto"/>
                <w:kern w:val="0"/>
                <w:sz w:val="21"/>
                <w:szCs w:val="21"/>
                <w14:ligatures w14:val="none"/>
              </w:rPr>
            </w:pPr>
            <w:r>
              <w:rPr>
                <w:rFonts w:hint="eastAsia" w:ascii="宋体" w:hAnsi="宋体" w:eastAsia="宋体"/>
                <w:color w:val="auto"/>
                <w:kern w:val="0"/>
                <w:sz w:val="21"/>
                <w:szCs w:val="21"/>
                <w14:ligatures w14:val="none"/>
              </w:rPr>
              <w:t>用水量</w:t>
            </w:r>
          </w:p>
        </w:tc>
        <w:tc>
          <w:tcPr>
            <w:tcW w:w="175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olor w:val="auto"/>
                <w:kern w:val="0"/>
                <w:sz w:val="21"/>
                <w:szCs w:val="21"/>
                <w14:ligatures w14:val="none"/>
              </w:rPr>
            </w:pPr>
            <w:r>
              <w:rPr>
                <w:rFonts w:hint="eastAsia" w:ascii="宋体" w:hAnsi="宋体" w:eastAsia="宋体"/>
                <w:color w:val="auto"/>
                <w:kern w:val="0"/>
                <w:sz w:val="21"/>
                <w:szCs w:val="21"/>
                <w14:ligatures w14:val="none"/>
              </w:rPr>
              <w:t>备注</w:t>
            </w:r>
          </w:p>
        </w:tc>
      </w:tr>
      <w:tr>
        <w:tblPrEx>
          <w:tblLayout w:type="fixed"/>
          <w:tblCellMar>
            <w:top w:w="0" w:type="dxa"/>
            <w:left w:w="108" w:type="dxa"/>
            <w:bottom w:w="0" w:type="dxa"/>
            <w:right w:w="108" w:type="dxa"/>
          </w:tblCellMar>
        </w:tblPrEx>
        <w:trPr>
          <w:trHeight w:val="801" w:hRule="atLeast"/>
          <w:jc w:val="center"/>
        </w:trPr>
        <w:tc>
          <w:tcPr>
            <w:tcW w:w="42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olor w:val="auto"/>
                <w:kern w:val="0"/>
                <w:sz w:val="21"/>
                <w:szCs w:val="21"/>
                <w14:ligatures w14:val="none"/>
              </w:rPr>
            </w:pPr>
          </w:p>
        </w:tc>
        <w:tc>
          <w:tcPr>
            <w:tcW w:w="109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olor w:val="auto"/>
                <w:kern w:val="0"/>
                <w:sz w:val="21"/>
                <w:szCs w:val="21"/>
                <w14:ligatures w14:val="none"/>
              </w:rPr>
            </w:pPr>
            <w:r>
              <w:rPr>
                <w:rFonts w:hint="eastAsia" w:ascii="宋体" w:hAnsi="宋体" w:eastAsia="宋体"/>
                <w:color w:val="auto"/>
                <w:kern w:val="0"/>
                <w:sz w:val="21"/>
                <w:szCs w:val="21"/>
                <w14:ligatures w14:val="none"/>
              </w:rPr>
              <w:t>名称</w:t>
            </w:r>
          </w:p>
        </w:tc>
        <w:tc>
          <w:tcPr>
            <w:tcW w:w="5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olor w:val="auto"/>
                <w:kern w:val="0"/>
                <w:sz w:val="21"/>
                <w:szCs w:val="21"/>
                <w14:ligatures w14:val="none"/>
              </w:rPr>
            </w:pPr>
            <w:r>
              <w:rPr>
                <w:rFonts w:hint="eastAsia" w:ascii="宋体" w:hAnsi="宋体" w:eastAsia="宋体"/>
                <w:color w:val="auto"/>
                <w:kern w:val="0"/>
                <w:sz w:val="21"/>
                <w:szCs w:val="21"/>
                <w14:ligatures w14:val="none"/>
              </w:rPr>
              <w:t>数量</w:t>
            </w:r>
          </w:p>
        </w:tc>
        <w:tc>
          <w:tcPr>
            <w:tcW w:w="9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olor w:val="auto"/>
                <w:kern w:val="0"/>
                <w:sz w:val="21"/>
                <w:szCs w:val="21"/>
                <w14:ligatures w14:val="none"/>
              </w:rPr>
            </w:pPr>
            <w:r>
              <w:rPr>
                <w:rFonts w:hint="eastAsia" w:ascii="宋体" w:hAnsi="宋体" w:eastAsia="宋体"/>
                <w:color w:val="auto"/>
                <w:kern w:val="0"/>
                <w:sz w:val="21"/>
                <w:szCs w:val="21"/>
                <w14:ligatures w14:val="none"/>
              </w:rPr>
              <w:t>单位</w:t>
            </w:r>
          </w:p>
        </w:tc>
        <w:tc>
          <w:tcPr>
            <w:tcW w:w="64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olor w:val="auto"/>
                <w:kern w:val="0"/>
                <w:sz w:val="21"/>
                <w:szCs w:val="21"/>
                <w14:ligatures w14:val="none"/>
              </w:rPr>
            </w:pPr>
            <w:r>
              <w:rPr>
                <w:rFonts w:hint="eastAsia" w:ascii="宋体" w:hAnsi="宋体" w:eastAsia="宋体"/>
                <w:color w:val="auto"/>
                <w:kern w:val="0"/>
                <w:sz w:val="21"/>
                <w:szCs w:val="21"/>
                <w14:ligatures w14:val="none"/>
              </w:rPr>
              <w:t>数值</w:t>
            </w:r>
          </w:p>
        </w:tc>
        <w:tc>
          <w:tcPr>
            <w:tcW w:w="113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olor w:val="auto"/>
                <w:kern w:val="0"/>
                <w:sz w:val="21"/>
                <w:szCs w:val="21"/>
                <w14:ligatures w14:val="none"/>
              </w:rPr>
            </w:pPr>
            <w:r>
              <w:rPr>
                <w:rFonts w:hint="eastAsia" w:ascii="宋体" w:hAnsi="宋体" w:eastAsia="宋体"/>
                <w:color w:val="auto"/>
                <w:kern w:val="0"/>
                <w:sz w:val="21"/>
                <w:szCs w:val="21"/>
                <w14:ligatures w14:val="none"/>
              </w:rPr>
              <w:t>单位</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olor w:val="auto"/>
                <w:kern w:val="0"/>
                <w:sz w:val="21"/>
                <w:szCs w:val="21"/>
                <w14:ligatures w14:val="none"/>
              </w:rPr>
            </w:pPr>
            <w:r>
              <w:rPr>
                <w:rFonts w:hint="eastAsia" w:ascii="宋体" w:hAnsi="宋体" w:eastAsia="宋体"/>
                <w:color w:val="auto"/>
                <w:kern w:val="0"/>
                <w:sz w:val="21"/>
                <w:szCs w:val="21"/>
                <w14:ligatures w14:val="none"/>
              </w:rPr>
              <w:t>日用水量</w:t>
            </w:r>
            <w:r>
              <w:rPr>
                <w:rFonts w:hint="eastAsia" w:ascii="宋体" w:hAnsi="宋体" w:eastAsia="宋体"/>
                <w:color w:val="auto"/>
                <w:kern w:val="0"/>
                <w:sz w:val="21"/>
                <w:szCs w:val="21"/>
                <w14:ligatures w14:val="none"/>
              </w:rPr>
              <w:br w:type="textWrapping"/>
            </w:r>
            <w:r>
              <w:rPr>
                <w:rFonts w:hint="eastAsia" w:ascii="宋体" w:hAnsi="宋体" w:eastAsia="宋体"/>
                <w:color w:val="auto"/>
                <w:kern w:val="0"/>
                <w:sz w:val="21"/>
                <w:szCs w:val="21"/>
                <w14:ligatures w14:val="none"/>
              </w:rPr>
              <w:t>（m³/d）</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olor w:val="auto"/>
                <w:kern w:val="0"/>
                <w:sz w:val="21"/>
                <w:szCs w:val="21"/>
                <w14:ligatures w14:val="none"/>
              </w:rPr>
            </w:pPr>
            <w:r>
              <w:rPr>
                <w:rFonts w:hint="eastAsia" w:ascii="宋体" w:hAnsi="宋体" w:eastAsia="宋体"/>
                <w:color w:val="auto"/>
                <w:kern w:val="0"/>
                <w:sz w:val="21"/>
                <w:szCs w:val="21"/>
                <w14:ligatures w14:val="none"/>
              </w:rPr>
              <w:t>小时用水量</w:t>
            </w:r>
          </w:p>
          <w:p>
            <w:pPr>
              <w:widowControl/>
              <w:jc w:val="center"/>
              <w:rPr>
                <w:rFonts w:ascii="宋体" w:hAnsi="宋体" w:eastAsia="宋体"/>
                <w:color w:val="auto"/>
                <w:kern w:val="0"/>
                <w:sz w:val="21"/>
                <w:szCs w:val="21"/>
                <w14:ligatures w14:val="none"/>
              </w:rPr>
            </w:pPr>
            <w:r>
              <w:rPr>
                <w:rFonts w:hint="eastAsia" w:ascii="宋体" w:hAnsi="宋体" w:eastAsia="宋体"/>
                <w:color w:val="auto"/>
                <w:kern w:val="0"/>
                <w:sz w:val="21"/>
                <w:szCs w:val="21"/>
                <w14:ligatures w14:val="none"/>
              </w:rPr>
              <w:t>（m³/h）</w:t>
            </w:r>
          </w:p>
        </w:tc>
        <w:tc>
          <w:tcPr>
            <w:tcW w:w="175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olor w:val="auto"/>
                <w:kern w:val="0"/>
                <w:sz w:val="21"/>
                <w:szCs w:val="21"/>
                <w14:ligatures w14:val="none"/>
              </w:rPr>
            </w:pPr>
          </w:p>
        </w:tc>
      </w:tr>
      <w:tr>
        <w:tblPrEx>
          <w:tblLayout w:type="fixed"/>
          <w:tblCellMar>
            <w:top w:w="0" w:type="dxa"/>
            <w:left w:w="108" w:type="dxa"/>
            <w:bottom w:w="0" w:type="dxa"/>
            <w:right w:w="108" w:type="dxa"/>
          </w:tblCellMar>
        </w:tblPrEx>
        <w:trPr>
          <w:trHeight w:val="368" w:hRule="atLeast"/>
          <w:jc w:val="center"/>
        </w:trPr>
        <w:tc>
          <w:tcPr>
            <w:tcW w:w="42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olor w:val="auto"/>
                <w:kern w:val="0"/>
                <w:sz w:val="21"/>
                <w:szCs w:val="21"/>
                <w14:ligatures w14:val="none"/>
              </w:rPr>
            </w:pPr>
            <w:r>
              <w:rPr>
                <w:rFonts w:hint="eastAsia" w:ascii="宋体" w:hAnsi="宋体" w:eastAsia="宋体"/>
                <w:color w:val="auto"/>
                <w:kern w:val="0"/>
                <w:sz w:val="21"/>
                <w:szCs w:val="21"/>
                <w14:ligatures w14:val="none"/>
              </w:rPr>
              <w:t>1</w:t>
            </w:r>
          </w:p>
        </w:tc>
        <w:tc>
          <w:tcPr>
            <w:tcW w:w="109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eastAsia="宋体"/>
                <w:color w:val="auto"/>
                <w:kern w:val="0"/>
                <w:sz w:val="21"/>
                <w:szCs w:val="21"/>
                <w14:ligatures w14:val="none"/>
              </w:rPr>
            </w:pPr>
            <w:r>
              <w:rPr>
                <w:rFonts w:hint="eastAsia" w:ascii="宋体" w:hAnsi="宋体" w:eastAsia="宋体"/>
                <w:color w:val="auto"/>
                <w:kern w:val="0"/>
                <w:sz w:val="21"/>
                <w:szCs w:val="21"/>
                <w14:ligatures w14:val="none"/>
              </w:rPr>
              <w:t>降尘用水</w:t>
            </w:r>
          </w:p>
        </w:tc>
        <w:tc>
          <w:tcPr>
            <w:tcW w:w="56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Times New Roman" w:hAnsi="Times New Roman" w:eastAsia="宋体" w:cs="Times New Roman"/>
                <w:color w:val="auto"/>
                <w:kern w:val="0"/>
                <w:sz w:val="21"/>
                <w:szCs w:val="21"/>
                <w14:ligatures w14:val="none"/>
              </w:rPr>
            </w:pPr>
            <w:r>
              <w:rPr>
                <w:rFonts w:ascii="Times New Roman" w:hAnsi="Times New Roman" w:eastAsia="宋体" w:cs="Times New Roman"/>
                <w:color w:val="auto"/>
                <w:kern w:val="0"/>
                <w:sz w:val="21"/>
                <w:szCs w:val="21"/>
                <w14:ligatures w14:val="none"/>
              </w:rPr>
              <w:t>2</w:t>
            </w:r>
          </w:p>
        </w:tc>
        <w:tc>
          <w:tcPr>
            <w:tcW w:w="95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eastAsia="宋体"/>
                <w:color w:val="auto"/>
                <w:kern w:val="0"/>
                <w:sz w:val="21"/>
                <w:szCs w:val="21"/>
                <w14:ligatures w14:val="none"/>
              </w:rPr>
            </w:pPr>
            <w:r>
              <w:rPr>
                <w:rFonts w:hint="eastAsia" w:ascii="宋体" w:hAnsi="宋体" w:eastAsia="宋体"/>
                <w:color w:val="auto"/>
                <w:kern w:val="0"/>
                <w:sz w:val="21"/>
                <w:szCs w:val="21"/>
                <w14:ligatures w14:val="none"/>
              </w:rPr>
              <w:t>台</w:t>
            </w:r>
          </w:p>
        </w:tc>
        <w:tc>
          <w:tcPr>
            <w:tcW w:w="64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eastAsia="宋体"/>
                <w:color w:val="auto"/>
                <w:kern w:val="0"/>
                <w:sz w:val="21"/>
                <w:szCs w:val="21"/>
                <w14:ligatures w14:val="none"/>
              </w:rPr>
            </w:pPr>
            <w:r>
              <w:rPr>
                <w:rFonts w:ascii="Times New Roman" w:hAnsi="Times New Roman" w:eastAsia="宋体" w:cs="Times New Roman"/>
                <w:color w:val="auto"/>
                <w:kern w:val="0"/>
                <w:sz w:val="21"/>
                <w:szCs w:val="21"/>
                <w14:ligatures w14:val="none"/>
              </w:rPr>
              <w:t>6.5</w:t>
            </w:r>
          </w:p>
        </w:tc>
        <w:tc>
          <w:tcPr>
            <w:tcW w:w="113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eastAsia="宋体"/>
                <w:color w:val="auto"/>
                <w:kern w:val="0"/>
                <w:sz w:val="21"/>
                <w:szCs w:val="21"/>
                <w14:ligatures w14:val="none"/>
              </w:rPr>
            </w:pPr>
            <w:r>
              <w:rPr>
                <w:rFonts w:ascii="Times New Roman" w:hAnsi="Times New Roman" w:eastAsia="宋体" w:cs="Times New Roman"/>
                <w:color w:val="auto"/>
                <w:kern w:val="0"/>
                <w:sz w:val="21"/>
                <w:szCs w:val="21"/>
                <w14:ligatures w14:val="none"/>
              </w:rPr>
              <w:t>m</w:t>
            </w:r>
            <w:r>
              <w:rPr>
                <w:rFonts w:ascii="Times New Roman" w:hAnsi="Times New Roman" w:eastAsia="宋体" w:cs="Times New Roman"/>
                <w:color w:val="auto"/>
                <w:kern w:val="0"/>
                <w:sz w:val="21"/>
                <w:szCs w:val="21"/>
                <w:vertAlign w:val="superscript"/>
                <w14:ligatures w14:val="none"/>
              </w:rPr>
              <w:t>3</w:t>
            </w:r>
            <w:r>
              <w:rPr>
                <w:rFonts w:ascii="Times New Roman" w:hAnsi="Times New Roman" w:eastAsia="宋体" w:cs="Times New Roman"/>
                <w:color w:val="auto"/>
                <w:kern w:val="0"/>
                <w:sz w:val="21"/>
                <w:szCs w:val="21"/>
                <w14:ligatures w14:val="none"/>
              </w:rPr>
              <w:t>/h</w:t>
            </w:r>
            <w:r>
              <w:rPr>
                <w:rFonts w:hint="eastAsia" w:ascii="宋体" w:hAnsi="宋体" w:eastAsia="宋体"/>
                <w:color w:val="auto"/>
                <w:sz w:val="21"/>
                <w:szCs w:val="21"/>
                <w14:ligatures w14:val="none"/>
              </w:rPr>
              <w:t>·台</w:t>
            </w:r>
          </w:p>
        </w:tc>
        <w:tc>
          <w:tcPr>
            <w:tcW w:w="134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Times New Roman" w:hAnsi="Times New Roman" w:eastAsia="宋体" w:cs="Times New Roman"/>
                <w:color w:val="auto"/>
                <w:kern w:val="0"/>
                <w:sz w:val="21"/>
                <w:szCs w:val="21"/>
                <w14:ligatures w14:val="none"/>
              </w:rPr>
            </w:pPr>
            <w:r>
              <w:rPr>
                <w:rFonts w:ascii="Times New Roman" w:hAnsi="Times New Roman" w:eastAsia="宋体" w:cs="Times New Roman"/>
                <w:color w:val="auto"/>
                <w:kern w:val="0"/>
                <w:sz w:val="21"/>
                <w:szCs w:val="21"/>
                <w14:ligatures w14:val="none"/>
              </w:rPr>
              <w:t>52.00</w:t>
            </w:r>
          </w:p>
        </w:tc>
        <w:tc>
          <w:tcPr>
            <w:tcW w:w="13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Times New Roman" w:hAnsi="Times New Roman" w:eastAsia="宋体" w:cs="Times New Roman"/>
                <w:color w:val="auto"/>
                <w:kern w:val="0"/>
                <w:sz w:val="21"/>
                <w:szCs w:val="21"/>
                <w14:ligatures w14:val="none"/>
              </w:rPr>
            </w:pPr>
            <w:r>
              <w:rPr>
                <w:rFonts w:ascii="Times New Roman" w:hAnsi="Times New Roman" w:eastAsia="宋体" w:cs="Times New Roman"/>
                <w:color w:val="auto"/>
                <w:kern w:val="0"/>
                <w:sz w:val="21"/>
                <w:szCs w:val="21"/>
                <w14:ligatures w14:val="none"/>
              </w:rPr>
              <w:t>13.00</w:t>
            </w:r>
          </w:p>
        </w:tc>
        <w:tc>
          <w:tcPr>
            <w:tcW w:w="175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eastAsia="宋体"/>
                <w:color w:val="auto"/>
                <w:kern w:val="0"/>
                <w:sz w:val="21"/>
                <w:szCs w:val="21"/>
                <w14:ligatures w14:val="none"/>
              </w:rPr>
            </w:pPr>
            <w:r>
              <w:rPr>
                <w:rFonts w:ascii="Times New Roman" w:hAnsi="Times New Roman" w:eastAsia="宋体" w:cs="Times New Roman"/>
                <w:color w:val="auto"/>
                <w:kern w:val="0"/>
                <w:sz w:val="21"/>
                <w:szCs w:val="21"/>
                <w14:ligatures w14:val="none"/>
              </w:rPr>
              <w:t>2</w:t>
            </w:r>
            <w:r>
              <w:rPr>
                <w:rFonts w:hint="eastAsia" w:ascii="宋体" w:hAnsi="宋体" w:eastAsia="宋体"/>
                <w:color w:val="auto"/>
                <w:kern w:val="0"/>
                <w:sz w:val="21"/>
                <w:szCs w:val="21"/>
                <w14:ligatures w14:val="none"/>
              </w:rPr>
              <w:t>台同时工作，降尘时间</w:t>
            </w:r>
            <w:r>
              <w:rPr>
                <w:rFonts w:ascii="Times New Roman" w:hAnsi="Times New Roman" w:eastAsia="宋体" w:cs="Times New Roman"/>
                <w:color w:val="auto"/>
                <w:kern w:val="0"/>
                <w:sz w:val="21"/>
                <w:szCs w:val="21"/>
                <w14:ligatures w14:val="none"/>
              </w:rPr>
              <w:t>4h</w:t>
            </w:r>
            <w:r>
              <w:rPr>
                <w:rFonts w:hint="eastAsia" w:ascii="宋体" w:hAnsi="宋体" w:eastAsia="宋体"/>
                <w:color w:val="auto"/>
                <w:kern w:val="0"/>
                <w:sz w:val="21"/>
                <w:szCs w:val="21"/>
                <w14:ligatures w14:val="none"/>
              </w:rPr>
              <w:t>计</w:t>
            </w:r>
          </w:p>
        </w:tc>
      </w:tr>
      <w:tr>
        <w:tblPrEx>
          <w:tblLayout w:type="fixed"/>
          <w:tblCellMar>
            <w:top w:w="0" w:type="dxa"/>
            <w:left w:w="108" w:type="dxa"/>
            <w:bottom w:w="0" w:type="dxa"/>
            <w:right w:w="108" w:type="dxa"/>
          </w:tblCellMar>
        </w:tblPrEx>
        <w:trPr>
          <w:trHeight w:val="368" w:hRule="atLeast"/>
          <w:jc w:val="center"/>
        </w:trPr>
        <w:tc>
          <w:tcPr>
            <w:tcW w:w="42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olor w:val="auto"/>
                <w:kern w:val="0"/>
                <w:sz w:val="21"/>
                <w:szCs w:val="21"/>
                <w14:ligatures w14:val="none"/>
              </w:rPr>
            </w:pPr>
            <w:r>
              <w:rPr>
                <w:rFonts w:hint="eastAsia" w:ascii="宋体" w:hAnsi="宋体" w:eastAsia="宋体"/>
                <w:color w:val="auto"/>
                <w:kern w:val="0"/>
                <w:sz w:val="21"/>
                <w:szCs w:val="21"/>
                <w14:ligatures w14:val="none"/>
              </w:rPr>
              <w:t>2</w:t>
            </w:r>
          </w:p>
        </w:tc>
        <w:tc>
          <w:tcPr>
            <w:tcW w:w="109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eastAsia="宋体"/>
                <w:color w:val="auto"/>
                <w:kern w:val="0"/>
                <w:sz w:val="21"/>
                <w:szCs w:val="21"/>
                <w14:ligatures w14:val="none"/>
              </w:rPr>
            </w:pPr>
            <w:r>
              <w:rPr>
                <w:rFonts w:hint="eastAsia" w:ascii="宋体" w:hAnsi="宋体" w:eastAsia="宋体"/>
                <w:color w:val="auto"/>
                <w:kern w:val="0"/>
                <w:sz w:val="21"/>
                <w:szCs w:val="21"/>
                <w14:ligatures w14:val="none"/>
              </w:rPr>
              <w:t>洗车补水</w:t>
            </w:r>
          </w:p>
        </w:tc>
        <w:tc>
          <w:tcPr>
            <w:tcW w:w="56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Times New Roman" w:hAnsi="Times New Roman" w:eastAsia="宋体" w:cs="Times New Roman"/>
                <w:color w:val="auto"/>
                <w:kern w:val="0"/>
                <w:sz w:val="21"/>
                <w:szCs w:val="21"/>
                <w14:ligatures w14:val="none"/>
              </w:rPr>
            </w:pPr>
            <w:r>
              <w:rPr>
                <w:rFonts w:ascii="Times New Roman" w:hAnsi="Times New Roman" w:eastAsia="宋体" w:cs="Times New Roman"/>
                <w:color w:val="auto"/>
                <w:kern w:val="0"/>
                <w:sz w:val="21"/>
                <w:szCs w:val="21"/>
                <w14:ligatures w14:val="none"/>
              </w:rPr>
              <w:t>500</w:t>
            </w:r>
          </w:p>
        </w:tc>
        <w:tc>
          <w:tcPr>
            <w:tcW w:w="95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eastAsia="宋体"/>
                <w:color w:val="auto"/>
                <w:kern w:val="0"/>
                <w:sz w:val="21"/>
                <w:szCs w:val="21"/>
                <w14:ligatures w14:val="none"/>
              </w:rPr>
            </w:pPr>
            <w:r>
              <w:rPr>
                <w:rFonts w:hint="eastAsia" w:ascii="宋体" w:hAnsi="宋体" w:eastAsia="宋体"/>
                <w:color w:val="auto"/>
                <w:kern w:val="0"/>
                <w:sz w:val="21"/>
                <w:szCs w:val="21"/>
                <w14:ligatures w14:val="none"/>
              </w:rPr>
              <w:t>辆/d</w:t>
            </w:r>
          </w:p>
        </w:tc>
        <w:tc>
          <w:tcPr>
            <w:tcW w:w="64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Times New Roman" w:hAnsi="Times New Roman" w:eastAsia="宋体" w:cs="Times New Roman"/>
                <w:color w:val="auto"/>
                <w:kern w:val="0"/>
                <w:sz w:val="21"/>
                <w:szCs w:val="21"/>
                <w14:ligatures w14:val="none"/>
              </w:rPr>
            </w:pPr>
          </w:p>
        </w:tc>
        <w:tc>
          <w:tcPr>
            <w:tcW w:w="113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Times New Roman" w:hAnsi="Times New Roman" w:eastAsia="宋体" w:cs="Times New Roman"/>
                <w:color w:val="auto"/>
                <w:kern w:val="0"/>
                <w:sz w:val="21"/>
                <w:szCs w:val="21"/>
                <w14:ligatures w14:val="none"/>
              </w:rPr>
            </w:pPr>
          </w:p>
        </w:tc>
        <w:tc>
          <w:tcPr>
            <w:tcW w:w="134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Times New Roman" w:hAnsi="Times New Roman" w:eastAsia="宋体" w:cs="Times New Roman"/>
                <w:color w:val="auto"/>
                <w:kern w:val="0"/>
                <w:sz w:val="21"/>
                <w:szCs w:val="21"/>
                <w14:ligatures w14:val="none"/>
              </w:rPr>
            </w:pPr>
            <w:r>
              <w:rPr>
                <w:rFonts w:ascii="Times New Roman" w:hAnsi="Times New Roman" w:eastAsia="宋体" w:cs="Times New Roman"/>
                <w:color w:val="auto"/>
                <w:kern w:val="0"/>
                <w:sz w:val="21"/>
                <w:szCs w:val="21"/>
                <w14:ligatures w14:val="none"/>
              </w:rPr>
              <w:t>20.00</w:t>
            </w:r>
          </w:p>
        </w:tc>
        <w:tc>
          <w:tcPr>
            <w:tcW w:w="13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Times New Roman" w:hAnsi="Times New Roman" w:eastAsia="宋体" w:cs="Times New Roman"/>
                <w:color w:val="auto"/>
                <w:kern w:val="0"/>
                <w:sz w:val="21"/>
                <w:szCs w:val="21"/>
                <w14:ligatures w14:val="none"/>
              </w:rPr>
            </w:pPr>
            <w:r>
              <w:rPr>
                <w:rFonts w:ascii="Times New Roman" w:hAnsi="Times New Roman" w:eastAsia="宋体" w:cs="Times New Roman"/>
                <w:color w:val="auto"/>
                <w:kern w:val="0"/>
                <w:sz w:val="21"/>
                <w:szCs w:val="21"/>
                <w14:ligatures w14:val="none"/>
              </w:rPr>
              <w:t>1.25</w:t>
            </w:r>
          </w:p>
        </w:tc>
        <w:tc>
          <w:tcPr>
            <w:tcW w:w="175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Times New Roman" w:hAnsi="Times New Roman" w:eastAsia="宋体" w:cs="Times New Roman"/>
                <w:color w:val="auto"/>
                <w:kern w:val="0"/>
                <w:sz w:val="21"/>
                <w:szCs w:val="21"/>
                <w14:ligatures w14:val="none"/>
              </w:rPr>
            </w:pPr>
            <w:r>
              <w:rPr>
                <w:rFonts w:hint="eastAsia" w:ascii="Times New Roman" w:hAnsi="Times New Roman" w:eastAsia="宋体" w:cs="Times New Roman"/>
                <w:color w:val="auto"/>
                <w:kern w:val="0"/>
                <w:sz w:val="21"/>
                <w:szCs w:val="21"/>
                <w14:ligatures w14:val="none"/>
              </w:rPr>
              <w:t>每辆车洗车用水</w:t>
            </w:r>
            <w:r>
              <w:rPr>
                <w:rFonts w:ascii="Times New Roman" w:hAnsi="Times New Roman" w:eastAsia="宋体" w:cs="Times New Roman"/>
                <w:color w:val="auto"/>
                <w:kern w:val="0"/>
                <w:sz w:val="21"/>
                <w:szCs w:val="21"/>
                <w14:ligatures w14:val="none"/>
              </w:rPr>
              <w:t>40L/</w:t>
            </w:r>
            <w:r>
              <w:rPr>
                <w:rFonts w:hint="eastAsia" w:ascii="Times New Roman" w:hAnsi="Times New Roman" w:eastAsia="宋体" w:cs="Times New Roman"/>
                <w:color w:val="auto"/>
                <w:kern w:val="0"/>
                <w:sz w:val="21"/>
                <w:szCs w:val="21"/>
                <w14:ligatures w14:val="none"/>
              </w:rPr>
              <w:t>次，</w:t>
            </w:r>
            <w:r>
              <w:rPr>
                <w:rFonts w:ascii="Times New Roman" w:hAnsi="Times New Roman" w:eastAsia="宋体" w:cs="Times New Roman"/>
                <w:color w:val="auto"/>
                <w:kern w:val="0"/>
                <w:sz w:val="21"/>
                <w:szCs w:val="21"/>
                <w14:ligatures w14:val="none"/>
              </w:rPr>
              <w:t>16h/d</w:t>
            </w:r>
          </w:p>
        </w:tc>
      </w:tr>
      <w:tr>
        <w:tblPrEx>
          <w:tblLayout w:type="fixed"/>
          <w:tblCellMar>
            <w:top w:w="0" w:type="dxa"/>
            <w:left w:w="108" w:type="dxa"/>
            <w:bottom w:w="0" w:type="dxa"/>
            <w:right w:w="108" w:type="dxa"/>
          </w:tblCellMar>
        </w:tblPrEx>
        <w:trPr>
          <w:trHeight w:val="368" w:hRule="atLeast"/>
          <w:jc w:val="center"/>
        </w:trPr>
        <w:tc>
          <w:tcPr>
            <w:tcW w:w="42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olor w:val="auto"/>
                <w:kern w:val="0"/>
                <w:sz w:val="21"/>
                <w:szCs w:val="21"/>
                <w14:ligatures w14:val="none"/>
              </w:rPr>
            </w:pPr>
            <w:r>
              <w:rPr>
                <w:rFonts w:hint="eastAsia" w:ascii="宋体" w:hAnsi="宋体" w:eastAsia="宋体"/>
                <w:color w:val="auto"/>
                <w:kern w:val="0"/>
                <w:sz w:val="21"/>
                <w:szCs w:val="21"/>
                <w14:ligatures w14:val="none"/>
              </w:rPr>
              <w:t>3</w:t>
            </w:r>
          </w:p>
        </w:tc>
        <w:tc>
          <w:tcPr>
            <w:tcW w:w="1093"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eastAsia="宋体"/>
                <w:color w:val="auto"/>
                <w:kern w:val="0"/>
                <w:sz w:val="21"/>
                <w:szCs w:val="21"/>
                <w14:ligatures w14:val="none"/>
              </w:rPr>
            </w:pPr>
            <w:r>
              <w:rPr>
                <w:rFonts w:hint="eastAsia" w:ascii="宋体" w:hAnsi="宋体" w:eastAsia="宋体"/>
                <w:color w:val="auto"/>
                <w:kern w:val="0"/>
                <w:sz w:val="21"/>
                <w:szCs w:val="21"/>
                <w14:ligatures w14:val="none"/>
              </w:rPr>
              <w:t>小计</w:t>
            </w:r>
          </w:p>
        </w:tc>
        <w:tc>
          <w:tcPr>
            <w:tcW w:w="56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Times New Roman" w:hAnsi="Times New Roman" w:eastAsia="宋体" w:cs="Times New Roman"/>
                <w:color w:val="auto"/>
                <w:kern w:val="0"/>
                <w:sz w:val="21"/>
                <w:szCs w:val="21"/>
                <w14:ligatures w14:val="none"/>
              </w:rPr>
            </w:pPr>
          </w:p>
        </w:tc>
        <w:tc>
          <w:tcPr>
            <w:tcW w:w="95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eastAsia="宋体"/>
                <w:color w:val="auto"/>
                <w:kern w:val="0"/>
                <w:sz w:val="21"/>
                <w:szCs w:val="21"/>
                <w14:ligatures w14:val="none"/>
              </w:rPr>
            </w:pPr>
          </w:p>
        </w:tc>
        <w:tc>
          <w:tcPr>
            <w:tcW w:w="64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Times New Roman" w:hAnsi="Times New Roman" w:eastAsia="宋体" w:cs="Times New Roman"/>
                <w:color w:val="auto"/>
                <w:kern w:val="0"/>
                <w:sz w:val="21"/>
                <w:szCs w:val="21"/>
                <w14:ligatures w14:val="none"/>
              </w:rPr>
            </w:pPr>
          </w:p>
        </w:tc>
        <w:tc>
          <w:tcPr>
            <w:tcW w:w="113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Times New Roman" w:hAnsi="Times New Roman" w:eastAsia="宋体" w:cs="Times New Roman"/>
                <w:color w:val="auto"/>
                <w:kern w:val="0"/>
                <w:sz w:val="21"/>
                <w:szCs w:val="21"/>
                <w14:ligatures w14:val="none"/>
              </w:rPr>
            </w:pPr>
          </w:p>
        </w:tc>
        <w:tc>
          <w:tcPr>
            <w:tcW w:w="134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Times New Roman" w:hAnsi="Times New Roman" w:eastAsia="宋体" w:cs="Times New Roman"/>
                <w:color w:val="auto"/>
                <w:kern w:val="0"/>
                <w:sz w:val="21"/>
                <w:szCs w:val="21"/>
                <w14:ligatures w14:val="none"/>
              </w:rPr>
            </w:pPr>
            <w:r>
              <w:rPr>
                <w:rFonts w:ascii="Times New Roman" w:hAnsi="Times New Roman" w:eastAsia="宋体" w:cs="Times New Roman"/>
                <w:color w:val="auto"/>
                <w:kern w:val="0"/>
                <w:sz w:val="21"/>
                <w:szCs w:val="21"/>
                <w14:ligatures w14:val="none"/>
              </w:rPr>
              <w:t>72.00</w:t>
            </w:r>
          </w:p>
        </w:tc>
        <w:tc>
          <w:tcPr>
            <w:tcW w:w="13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Times New Roman" w:hAnsi="Times New Roman" w:eastAsia="宋体" w:cs="Times New Roman"/>
                <w:color w:val="auto"/>
                <w:kern w:val="0"/>
                <w:sz w:val="21"/>
                <w:szCs w:val="21"/>
                <w14:ligatures w14:val="none"/>
              </w:rPr>
            </w:pPr>
            <w:r>
              <w:rPr>
                <w:rFonts w:ascii="Times New Roman" w:hAnsi="Times New Roman" w:eastAsia="宋体" w:cs="Times New Roman"/>
                <w:color w:val="auto"/>
                <w:kern w:val="0"/>
                <w:sz w:val="21"/>
                <w:szCs w:val="21"/>
                <w14:ligatures w14:val="none"/>
              </w:rPr>
              <w:t>14.25</w:t>
            </w:r>
          </w:p>
        </w:tc>
        <w:tc>
          <w:tcPr>
            <w:tcW w:w="175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Times New Roman" w:hAnsi="Times New Roman" w:eastAsia="宋体" w:cs="Times New Roman"/>
                <w:color w:val="auto"/>
                <w:kern w:val="0"/>
                <w:sz w:val="21"/>
                <w:szCs w:val="21"/>
                <w14:ligatures w14:val="none"/>
              </w:rPr>
            </w:pPr>
          </w:p>
        </w:tc>
      </w:tr>
      <w:tr>
        <w:tblPrEx>
          <w:tblLayout w:type="fixed"/>
          <w:tblCellMar>
            <w:top w:w="0" w:type="dxa"/>
            <w:left w:w="108" w:type="dxa"/>
            <w:bottom w:w="0" w:type="dxa"/>
            <w:right w:w="108" w:type="dxa"/>
          </w:tblCellMar>
        </w:tblPrEx>
        <w:trPr>
          <w:trHeight w:val="368" w:hRule="atLeast"/>
          <w:jc w:val="center"/>
        </w:trPr>
        <w:tc>
          <w:tcPr>
            <w:tcW w:w="42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olor w:val="auto"/>
                <w:kern w:val="0"/>
                <w:sz w:val="21"/>
                <w:szCs w:val="21"/>
                <w14:ligatures w14:val="none"/>
              </w:rPr>
            </w:pPr>
            <w:r>
              <w:rPr>
                <w:rFonts w:hint="eastAsia" w:ascii="宋体" w:hAnsi="宋体" w:eastAsia="宋体"/>
                <w:color w:val="auto"/>
                <w:kern w:val="0"/>
                <w:sz w:val="21"/>
                <w:szCs w:val="21"/>
                <w14:ligatures w14:val="none"/>
              </w:rPr>
              <w:t>4</w:t>
            </w:r>
          </w:p>
        </w:tc>
        <w:tc>
          <w:tcPr>
            <w:tcW w:w="109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olor w:val="auto"/>
                <w:kern w:val="0"/>
                <w:sz w:val="21"/>
                <w:szCs w:val="21"/>
                <w14:ligatures w14:val="none"/>
              </w:rPr>
            </w:pPr>
            <w:r>
              <w:rPr>
                <w:rFonts w:hint="eastAsia" w:ascii="宋体" w:hAnsi="宋体" w:eastAsia="宋体"/>
                <w:color w:val="auto"/>
                <w:kern w:val="0"/>
                <w:sz w:val="21"/>
                <w:szCs w:val="21"/>
                <w14:ligatures w14:val="none"/>
              </w:rPr>
              <w:t>漏损及未预见水量</w:t>
            </w:r>
          </w:p>
        </w:tc>
        <w:tc>
          <w:tcPr>
            <w:tcW w:w="5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olor w:val="auto"/>
                <w:kern w:val="0"/>
                <w:sz w:val="21"/>
                <w:szCs w:val="21"/>
                <w14:ligatures w14:val="none"/>
              </w:rPr>
            </w:pPr>
          </w:p>
        </w:tc>
        <w:tc>
          <w:tcPr>
            <w:tcW w:w="9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Times New Roman" w:cs="Times New Roman"/>
                <w:color w:val="auto"/>
                <w:kern w:val="0"/>
                <w:sz w:val="21"/>
                <w:szCs w:val="21"/>
                <w14:ligatures w14:val="none"/>
              </w:rPr>
            </w:pPr>
          </w:p>
        </w:tc>
        <w:tc>
          <w:tcPr>
            <w:tcW w:w="64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Times New Roman" w:cs="Times New Roman"/>
                <w:color w:val="auto"/>
                <w:kern w:val="0"/>
                <w:sz w:val="21"/>
                <w:szCs w:val="21"/>
                <w14:ligatures w14:val="none"/>
              </w:rPr>
            </w:pPr>
          </w:p>
        </w:tc>
        <w:tc>
          <w:tcPr>
            <w:tcW w:w="113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Times New Roman" w:cs="Times New Roman"/>
                <w:color w:val="auto"/>
                <w:kern w:val="0"/>
                <w:sz w:val="21"/>
                <w:szCs w:val="21"/>
                <w14:ligatures w14:val="none"/>
              </w:rPr>
            </w:pP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color w:val="auto"/>
                <w:kern w:val="0"/>
                <w:sz w:val="21"/>
                <w:szCs w:val="21"/>
                <w14:ligatures w14:val="none"/>
              </w:rPr>
            </w:pPr>
            <w:r>
              <w:rPr>
                <w:rFonts w:ascii="Times New Roman" w:hAnsi="Times New Roman" w:eastAsia="宋体" w:cs="Times New Roman"/>
                <w:color w:val="auto"/>
                <w:kern w:val="0"/>
                <w:sz w:val="21"/>
                <w:szCs w:val="21"/>
                <w14:ligatures w14:val="none"/>
              </w:rPr>
              <w:t>5.76</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color w:val="auto"/>
                <w:kern w:val="0"/>
                <w:sz w:val="21"/>
                <w:szCs w:val="21"/>
                <w14:ligatures w14:val="none"/>
              </w:rPr>
            </w:pPr>
            <w:r>
              <w:rPr>
                <w:rFonts w:ascii="Times New Roman" w:hAnsi="Times New Roman" w:eastAsia="宋体" w:cs="Times New Roman"/>
                <w:color w:val="auto"/>
                <w:kern w:val="0"/>
                <w:sz w:val="21"/>
                <w:szCs w:val="21"/>
                <w14:ligatures w14:val="none"/>
              </w:rPr>
              <w:t>1.14</w:t>
            </w:r>
          </w:p>
        </w:tc>
        <w:tc>
          <w:tcPr>
            <w:tcW w:w="175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olor w:val="auto"/>
                <w:kern w:val="0"/>
                <w:sz w:val="21"/>
                <w:szCs w:val="21"/>
                <w14:ligatures w14:val="none"/>
              </w:rPr>
            </w:pPr>
            <w:r>
              <w:rPr>
                <w:rFonts w:hint="eastAsia" w:ascii="宋体" w:hAnsi="宋体" w:eastAsia="宋体"/>
                <w:color w:val="auto"/>
                <w:kern w:val="0"/>
                <w:sz w:val="21"/>
                <w:szCs w:val="21"/>
                <w14:ligatures w14:val="none"/>
              </w:rPr>
              <w:t>按第</w:t>
            </w:r>
            <w:r>
              <w:rPr>
                <w:rFonts w:ascii="Times New Roman" w:hAnsi="Times New Roman" w:eastAsia="宋体" w:cs="Times New Roman"/>
                <w:color w:val="auto"/>
                <w:kern w:val="0"/>
                <w:sz w:val="21"/>
                <w:szCs w:val="21"/>
                <w14:ligatures w14:val="none"/>
              </w:rPr>
              <w:t>3</w:t>
            </w:r>
            <w:r>
              <w:rPr>
                <w:rFonts w:hint="eastAsia" w:ascii="宋体" w:hAnsi="宋体" w:eastAsia="宋体"/>
                <w:color w:val="auto"/>
                <w:kern w:val="0"/>
                <w:sz w:val="21"/>
                <w:szCs w:val="21"/>
                <w14:ligatures w14:val="none"/>
              </w:rPr>
              <w:t>项</w:t>
            </w:r>
            <w:r>
              <w:rPr>
                <w:rFonts w:ascii="Times New Roman" w:hAnsi="Times New Roman" w:eastAsia="宋体" w:cs="Times New Roman"/>
                <w:color w:val="auto"/>
                <w:kern w:val="0"/>
                <w:sz w:val="21"/>
                <w:szCs w:val="21"/>
                <w14:ligatures w14:val="none"/>
              </w:rPr>
              <w:t>8%</w:t>
            </w:r>
            <w:r>
              <w:rPr>
                <w:rFonts w:hint="eastAsia" w:ascii="宋体" w:hAnsi="宋体" w:eastAsia="宋体"/>
                <w:color w:val="auto"/>
                <w:kern w:val="0"/>
                <w:sz w:val="21"/>
                <w:szCs w:val="21"/>
                <w14:ligatures w14:val="none"/>
              </w:rPr>
              <w:t>计</w:t>
            </w:r>
          </w:p>
        </w:tc>
      </w:tr>
      <w:tr>
        <w:tblPrEx>
          <w:tblLayout w:type="fixed"/>
          <w:tblCellMar>
            <w:top w:w="0" w:type="dxa"/>
            <w:left w:w="108" w:type="dxa"/>
            <w:bottom w:w="0" w:type="dxa"/>
            <w:right w:w="108" w:type="dxa"/>
          </w:tblCellMar>
        </w:tblPrEx>
        <w:trPr>
          <w:trHeight w:val="368" w:hRule="atLeast"/>
          <w:jc w:val="center"/>
        </w:trPr>
        <w:tc>
          <w:tcPr>
            <w:tcW w:w="42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olor w:val="auto"/>
                <w:kern w:val="0"/>
                <w:sz w:val="21"/>
                <w:szCs w:val="21"/>
                <w14:ligatures w14:val="none"/>
              </w:rPr>
            </w:pPr>
            <w:r>
              <w:rPr>
                <w:rFonts w:hint="eastAsia" w:ascii="宋体" w:hAnsi="宋体" w:eastAsia="宋体"/>
                <w:color w:val="auto"/>
                <w:kern w:val="0"/>
                <w:sz w:val="21"/>
                <w:szCs w:val="21"/>
                <w14:ligatures w14:val="none"/>
              </w:rPr>
              <w:t>5</w:t>
            </w:r>
          </w:p>
        </w:tc>
        <w:tc>
          <w:tcPr>
            <w:tcW w:w="109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olor w:val="auto"/>
                <w:kern w:val="0"/>
                <w:sz w:val="21"/>
                <w:szCs w:val="21"/>
                <w14:ligatures w14:val="none"/>
              </w:rPr>
            </w:pPr>
            <w:r>
              <w:rPr>
                <w:rFonts w:hint="eastAsia" w:ascii="宋体" w:hAnsi="宋体" w:eastAsia="宋体"/>
                <w:color w:val="auto"/>
                <w:kern w:val="0"/>
                <w:sz w:val="21"/>
                <w:szCs w:val="21"/>
                <w14:ligatures w14:val="none"/>
              </w:rPr>
              <w:t>合计</w:t>
            </w:r>
          </w:p>
        </w:tc>
        <w:tc>
          <w:tcPr>
            <w:tcW w:w="5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olor w:val="auto"/>
                <w:kern w:val="0"/>
                <w:sz w:val="21"/>
                <w:szCs w:val="21"/>
                <w14:ligatures w14:val="none"/>
              </w:rPr>
            </w:pPr>
          </w:p>
        </w:tc>
        <w:tc>
          <w:tcPr>
            <w:tcW w:w="9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Times New Roman" w:cs="Times New Roman"/>
                <w:color w:val="auto"/>
                <w:kern w:val="0"/>
                <w:sz w:val="21"/>
                <w:szCs w:val="21"/>
                <w14:ligatures w14:val="none"/>
              </w:rPr>
            </w:pPr>
          </w:p>
        </w:tc>
        <w:tc>
          <w:tcPr>
            <w:tcW w:w="64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Times New Roman" w:cs="Times New Roman"/>
                <w:color w:val="auto"/>
                <w:kern w:val="0"/>
                <w:sz w:val="21"/>
                <w:szCs w:val="21"/>
                <w14:ligatures w14:val="none"/>
              </w:rPr>
            </w:pPr>
          </w:p>
        </w:tc>
        <w:tc>
          <w:tcPr>
            <w:tcW w:w="113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Times New Roman" w:cs="Times New Roman"/>
                <w:color w:val="auto"/>
                <w:kern w:val="0"/>
                <w:sz w:val="21"/>
                <w:szCs w:val="21"/>
                <w14:ligatures w14:val="none"/>
              </w:rPr>
            </w:pP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color w:val="auto"/>
                <w:kern w:val="0"/>
                <w:sz w:val="21"/>
                <w:szCs w:val="21"/>
                <w14:ligatures w14:val="none"/>
              </w:rPr>
            </w:pPr>
            <w:r>
              <w:rPr>
                <w:rFonts w:ascii="Times New Roman" w:hAnsi="Times New Roman" w:eastAsia="宋体" w:cs="Times New Roman"/>
                <w:color w:val="auto"/>
                <w:kern w:val="0"/>
                <w:sz w:val="21"/>
                <w:szCs w:val="21"/>
                <w14:ligatures w14:val="none"/>
              </w:rPr>
              <w:t>77.76</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color w:val="auto"/>
                <w:kern w:val="0"/>
                <w:sz w:val="21"/>
                <w:szCs w:val="21"/>
                <w14:ligatures w14:val="none"/>
              </w:rPr>
            </w:pPr>
            <w:r>
              <w:rPr>
                <w:rFonts w:ascii="Times New Roman" w:hAnsi="Times New Roman" w:eastAsia="宋体" w:cs="Times New Roman"/>
                <w:color w:val="auto"/>
                <w:kern w:val="0"/>
                <w:sz w:val="21"/>
                <w:szCs w:val="21"/>
                <w14:ligatures w14:val="none"/>
              </w:rPr>
              <w:t>15.39</w:t>
            </w:r>
          </w:p>
        </w:tc>
        <w:tc>
          <w:tcPr>
            <w:tcW w:w="175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olor w:val="auto"/>
                <w:kern w:val="0"/>
                <w:sz w:val="21"/>
                <w:szCs w:val="21"/>
                <w14:ligatures w14:val="none"/>
              </w:rPr>
            </w:pPr>
          </w:p>
        </w:tc>
      </w:tr>
    </w:tbl>
    <w:p>
      <w:pPr>
        <w:spacing w:line="480" w:lineRule="exact"/>
        <w:ind w:firstLine="480" w:firstLineChars="200"/>
        <w:rPr>
          <w:rFonts w:ascii="宋体" w:hAnsi="宋体" w:eastAsia="宋体" w:cs="Times New Roman"/>
          <w:bCs/>
          <w:color w:val="auto"/>
          <w:sz w:val="24"/>
          <w:szCs w:val="22"/>
          <w14:ligatures w14:val="none"/>
        </w:rPr>
      </w:pPr>
      <w:r>
        <w:rPr>
          <w:rFonts w:hint="eastAsia" w:ascii="宋体" w:hAnsi="宋体" w:eastAsia="宋体" w:cs="Times New Roman"/>
          <w:bCs/>
          <w:color w:val="auto"/>
          <w:sz w:val="24"/>
          <w:szCs w:val="22"/>
          <w14:ligatures w14:val="none"/>
        </w:rPr>
        <w:t>表</w:t>
      </w:r>
      <w:r>
        <w:rPr>
          <w:rFonts w:ascii="Times New Roman" w:hAnsi="Times New Roman" w:eastAsia="宋体" w:cs="Times New Roman"/>
          <w:bCs/>
          <w:color w:val="auto"/>
          <w:sz w:val="24"/>
          <w:szCs w:val="22"/>
          <w14:ligatures w14:val="none"/>
        </w:rPr>
        <w:t>4</w:t>
      </w:r>
      <w:r>
        <w:rPr>
          <w:rFonts w:hint="eastAsia" w:ascii="Times New Roman" w:hAnsi="Times New Roman" w:eastAsia="宋体" w:cs="Times New Roman"/>
          <w:bCs/>
          <w:color w:val="auto"/>
          <w:sz w:val="24"/>
          <w:szCs w:val="22"/>
          <w:lang w:val="en-US" w:eastAsia="zh-CN"/>
          <w14:ligatures w14:val="none"/>
        </w:rPr>
        <w:t>-4</w:t>
      </w:r>
      <w:r>
        <w:rPr>
          <w:rFonts w:hint="eastAsia" w:ascii="宋体" w:hAnsi="宋体" w:eastAsia="宋体" w:cs="Times New Roman"/>
          <w:bCs/>
          <w:color w:val="auto"/>
          <w:sz w:val="24"/>
          <w:szCs w:val="22"/>
          <w14:ligatures w14:val="none"/>
        </w:rPr>
        <w:t xml:space="preserve">                       消防水量表</w:t>
      </w:r>
    </w:p>
    <w:tbl>
      <w:tblPr>
        <w:tblStyle w:val="50"/>
        <w:tblW w:w="9280" w:type="dxa"/>
        <w:jc w:val="center"/>
        <w:tblInd w:w="0" w:type="dxa"/>
        <w:tblLayout w:type="fixed"/>
        <w:tblCellMar>
          <w:top w:w="0" w:type="dxa"/>
          <w:left w:w="108" w:type="dxa"/>
          <w:bottom w:w="0" w:type="dxa"/>
          <w:right w:w="108" w:type="dxa"/>
        </w:tblCellMar>
      </w:tblPr>
      <w:tblGrid>
        <w:gridCol w:w="679"/>
        <w:gridCol w:w="2011"/>
        <w:gridCol w:w="2397"/>
        <w:gridCol w:w="1198"/>
        <w:gridCol w:w="1948"/>
        <w:gridCol w:w="1047"/>
      </w:tblGrid>
      <w:tr>
        <w:tblPrEx>
          <w:tblLayout w:type="fixed"/>
          <w:tblCellMar>
            <w:top w:w="0" w:type="dxa"/>
            <w:left w:w="108" w:type="dxa"/>
            <w:bottom w:w="0" w:type="dxa"/>
            <w:right w:w="108" w:type="dxa"/>
          </w:tblCellMar>
        </w:tblPrEx>
        <w:trPr>
          <w:trHeight w:val="416" w:hRule="atLeast"/>
          <w:jc w:val="center"/>
        </w:trPr>
        <w:tc>
          <w:tcPr>
            <w:tcW w:w="679"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eastAsia="宋体"/>
                <w:color w:val="auto"/>
                <w:kern w:val="0"/>
                <w14:ligatures w14:val="none"/>
              </w:rPr>
            </w:pPr>
            <w:r>
              <w:rPr>
                <w:rFonts w:hint="eastAsia" w:ascii="宋体" w:hAnsi="宋体" w:eastAsia="宋体"/>
                <w:color w:val="auto"/>
                <w:kern w:val="0"/>
                <w14:ligatures w14:val="none"/>
              </w:rPr>
              <w:t>序号</w:t>
            </w:r>
          </w:p>
        </w:tc>
        <w:tc>
          <w:tcPr>
            <w:tcW w:w="201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olor w:val="auto"/>
                <w:kern w:val="0"/>
                <w14:ligatures w14:val="none"/>
              </w:rPr>
            </w:pPr>
            <w:r>
              <w:rPr>
                <w:rFonts w:hint="eastAsia" w:ascii="宋体" w:hAnsi="宋体" w:eastAsia="宋体"/>
                <w:color w:val="auto"/>
                <w:kern w:val="0"/>
                <w14:ligatures w14:val="none"/>
              </w:rPr>
              <w:t>单体名称</w:t>
            </w:r>
          </w:p>
        </w:tc>
        <w:tc>
          <w:tcPr>
            <w:tcW w:w="239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olor w:val="auto"/>
                <w:kern w:val="0"/>
                <w14:ligatures w14:val="none"/>
              </w:rPr>
            </w:pPr>
            <w:r>
              <w:rPr>
                <w:rFonts w:hint="eastAsia" w:ascii="宋体" w:hAnsi="宋体" w:eastAsia="宋体"/>
                <w:color w:val="auto"/>
                <w:kern w:val="0"/>
                <w14:ligatures w14:val="none"/>
              </w:rPr>
              <w:t>系统</w:t>
            </w:r>
          </w:p>
        </w:tc>
        <w:tc>
          <w:tcPr>
            <w:tcW w:w="119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olor w:val="auto"/>
                <w:kern w:val="0"/>
                <w14:ligatures w14:val="none"/>
              </w:rPr>
            </w:pPr>
            <w:r>
              <w:rPr>
                <w:rFonts w:hint="eastAsia" w:ascii="宋体" w:hAnsi="宋体" w:eastAsia="宋体"/>
                <w:color w:val="auto"/>
                <w:kern w:val="0"/>
                <w14:ligatures w14:val="none"/>
              </w:rPr>
              <w:t>设计流量（L/s）</w:t>
            </w:r>
          </w:p>
        </w:tc>
        <w:tc>
          <w:tcPr>
            <w:tcW w:w="194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olor w:val="auto"/>
                <w:kern w:val="0"/>
                <w14:ligatures w14:val="none"/>
              </w:rPr>
            </w:pPr>
            <w:r>
              <w:rPr>
                <w:rFonts w:hint="eastAsia" w:ascii="宋体" w:hAnsi="宋体" w:eastAsia="宋体"/>
                <w:color w:val="auto"/>
                <w:kern w:val="0"/>
                <w14:ligatures w14:val="none"/>
              </w:rPr>
              <w:t>火灾延续时间（h）</w:t>
            </w:r>
          </w:p>
        </w:tc>
        <w:tc>
          <w:tcPr>
            <w:tcW w:w="104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olor w:val="auto"/>
                <w:kern w:val="0"/>
                <w14:ligatures w14:val="none"/>
              </w:rPr>
            </w:pPr>
            <w:r>
              <w:rPr>
                <w:rFonts w:hint="eastAsia" w:ascii="宋体" w:hAnsi="宋体" w:eastAsia="宋体"/>
                <w:color w:val="auto"/>
                <w:kern w:val="0"/>
                <w14:ligatures w14:val="none"/>
              </w:rPr>
              <w:t>消防水量（m³）</w:t>
            </w:r>
          </w:p>
        </w:tc>
      </w:tr>
      <w:tr>
        <w:tblPrEx>
          <w:tblLayout w:type="fixed"/>
          <w:tblCellMar>
            <w:top w:w="0" w:type="dxa"/>
            <w:left w:w="108" w:type="dxa"/>
            <w:bottom w:w="0" w:type="dxa"/>
            <w:right w:w="108" w:type="dxa"/>
          </w:tblCellMar>
        </w:tblPrEx>
        <w:trPr>
          <w:trHeight w:val="416" w:hRule="atLeast"/>
          <w:jc w:val="center"/>
        </w:trPr>
        <w:tc>
          <w:tcPr>
            <w:tcW w:w="679"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eastAsia="宋体"/>
                <w:color w:val="auto"/>
                <w:kern w:val="0"/>
                <w14:ligatures w14:val="none"/>
              </w:rPr>
            </w:pPr>
            <w:r>
              <w:rPr>
                <w:rFonts w:hint="eastAsia" w:ascii="宋体" w:hAnsi="宋体" w:eastAsia="宋体"/>
                <w:color w:val="auto"/>
                <w:kern w:val="0"/>
                <w14:ligatures w14:val="none"/>
              </w:rPr>
              <w:t>1</w:t>
            </w:r>
          </w:p>
        </w:tc>
        <w:tc>
          <w:tcPr>
            <w:tcW w:w="201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olor w:val="auto"/>
                <w:kern w:val="0"/>
                <w14:ligatures w14:val="none"/>
              </w:rPr>
            </w:pPr>
            <w:r>
              <w:rPr>
                <w:rFonts w:hint="eastAsia" w:ascii="宋体" w:hAnsi="宋体" w:eastAsia="宋体"/>
                <w:color w:val="auto"/>
                <w:kern w:val="0"/>
                <w14:ligatures w14:val="none"/>
              </w:rPr>
              <w:t>储煤场</w:t>
            </w:r>
          </w:p>
        </w:tc>
        <w:tc>
          <w:tcPr>
            <w:tcW w:w="239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olor w:val="auto"/>
                <w:kern w:val="0"/>
                <w14:ligatures w14:val="none"/>
              </w:rPr>
            </w:pPr>
            <w:r>
              <w:rPr>
                <w:rFonts w:hint="eastAsia" w:ascii="宋体" w:hAnsi="宋体" w:eastAsia="宋体"/>
                <w:color w:val="auto"/>
                <w:kern w:val="0"/>
                <w14:ligatures w14:val="none"/>
              </w:rPr>
              <w:t>室外消火栓系统</w:t>
            </w:r>
          </w:p>
        </w:tc>
        <w:tc>
          <w:tcPr>
            <w:tcW w:w="119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color w:val="auto"/>
                <w:kern w:val="0"/>
                <w14:ligatures w14:val="none"/>
              </w:rPr>
            </w:pPr>
            <w:r>
              <w:rPr>
                <w:rFonts w:ascii="Times New Roman" w:hAnsi="Times New Roman" w:eastAsia="宋体" w:cs="Times New Roman"/>
                <w:color w:val="auto"/>
                <w:kern w:val="0"/>
                <w14:ligatures w14:val="none"/>
              </w:rPr>
              <w:t>20.00</w:t>
            </w:r>
          </w:p>
        </w:tc>
        <w:tc>
          <w:tcPr>
            <w:tcW w:w="194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color w:val="auto"/>
                <w:kern w:val="0"/>
                <w14:ligatures w14:val="none"/>
              </w:rPr>
            </w:pPr>
            <w:r>
              <w:rPr>
                <w:rFonts w:ascii="Times New Roman" w:hAnsi="Times New Roman" w:eastAsia="宋体" w:cs="Times New Roman"/>
                <w:color w:val="auto"/>
                <w:kern w:val="0"/>
                <w14:ligatures w14:val="none"/>
              </w:rPr>
              <w:t>3</w:t>
            </w:r>
          </w:p>
        </w:tc>
        <w:tc>
          <w:tcPr>
            <w:tcW w:w="104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color w:val="auto"/>
                <w:kern w:val="0"/>
                <w14:ligatures w14:val="none"/>
              </w:rPr>
            </w:pPr>
            <w:r>
              <w:rPr>
                <w:rFonts w:ascii="Times New Roman" w:hAnsi="Times New Roman" w:eastAsia="宋体" w:cs="Times New Roman"/>
                <w:color w:val="auto"/>
                <w:kern w:val="0"/>
                <w14:ligatures w14:val="none"/>
              </w:rPr>
              <w:t>216.00</w:t>
            </w:r>
          </w:p>
        </w:tc>
      </w:tr>
      <w:tr>
        <w:tblPrEx>
          <w:tblLayout w:type="fixed"/>
          <w:tblCellMar>
            <w:top w:w="0" w:type="dxa"/>
            <w:left w:w="108" w:type="dxa"/>
            <w:bottom w:w="0" w:type="dxa"/>
            <w:right w:w="108" w:type="dxa"/>
          </w:tblCellMar>
        </w:tblPrEx>
        <w:trPr>
          <w:trHeight w:val="416" w:hRule="atLeast"/>
          <w:jc w:val="center"/>
        </w:trPr>
        <w:tc>
          <w:tcPr>
            <w:tcW w:w="679"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eastAsia="宋体"/>
                <w:color w:val="auto"/>
                <w:kern w:val="0"/>
                <w14:ligatures w14:val="none"/>
              </w:rPr>
            </w:pPr>
            <w:r>
              <w:rPr>
                <w:rFonts w:hint="eastAsia" w:ascii="宋体" w:hAnsi="宋体" w:eastAsia="宋体"/>
                <w:color w:val="auto"/>
                <w:kern w:val="0"/>
                <w14:ligatures w14:val="none"/>
              </w:rPr>
              <w:t>2</w:t>
            </w:r>
          </w:p>
        </w:tc>
        <w:tc>
          <w:tcPr>
            <w:tcW w:w="201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olor w:val="auto"/>
                <w:kern w:val="0"/>
                <w14:ligatures w14:val="none"/>
              </w:rPr>
            </w:pPr>
          </w:p>
        </w:tc>
        <w:tc>
          <w:tcPr>
            <w:tcW w:w="239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olor w:val="auto"/>
                <w:kern w:val="0"/>
                <w14:ligatures w14:val="none"/>
              </w:rPr>
            </w:pPr>
            <w:r>
              <w:rPr>
                <w:rFonts w:hint="eastAsia" w:ascii="宋体" w:hAnsi="宋体" w:eastAsia="宋体"/>
                <w:color w:val="auto"/>
                <w:kern w:val="0"/>
                <w14:ligatures w14:val="none"/>
              </w:rPr>
              <w:t>室内消火栓系统</w:t>
            </w:r>
          </w:p>
        </w:tc>
        <w:tc>
          <w:tcPr>
            <w:tcW w:w="119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color w:val="auto"/>
                <w:kern w:val="0"/>
                <w14:ligatures w14:val="none"/>
              </w:rPr>
            </w:pPr>
            <w:r>
              <w:rPr>
                <w:rFonts w:ascii="Times New Roman" w:hAnsi="Times New Roman" w:eastAsia="宋体" w:cs="Times New Roman"/>
                <w:color w:val="auto"/>
                <w:kern w:val="0"/>
                <w14:ligatures w14:val="none"/>
              </w:rPr>
              <w:t>20.00</w:t>
            </w:r>
          </w:p>
        </w:tc>
        <w:tc>
          <w:tcPr>
            <w:tcW w:w="194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color w:val="auto"/>
                <w:kern w:val="0"/>
                <w14:ligatures w14:val="none"/>
              </w:rPr>
            </w:pPr>
            <w:r>
              <w:rPr>
                <w:rFonts w:ascii="Times New Roman" w:hAnsi="Times New Roman" w:eastAsia="宋体" w:cs="Times New Roman"/>
                <w:color w:val="auto"/>
                <w:kern w:val="0"/>
                <w14:ligatures w14:val="none"/>
              </w:rPr>
              <w:t>3</w:t>
            </w:r>
          </w:p>
        </w:tc>
        <w:tc>
          <w:tcPr>
            <w:tcW w:w="104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color w:val="auto"/>
                <w:kern w:val="0"/>
                <w14:ligatures w14:val="none"/>
              </w:rPr>
            </w:pPr>
            <w:r>
              <w:rPr>
                <w:rFonts w:ascii="Times New Roman" w:hAnsi="Times New Roman" w:eastAsia="宋体" w:cs="Times New Roman"/>
                <w:color w:val="auto"/>
                <w:kern w:val="0"/>
                <w14:ligatures w14:val="none"/>
              </w:rPr>
              <w:t>216.00</w:t>
            </w:r>
          </w:p>
        </w:tc>
      </w:tr>
      <w:tr>
        <w:tblPrEx>
          <w:tblLayout w:type="fixed"/>
          <w:tblCellMar>
            <w:top w:w="0" w:type="dxa"/>
            <w:left w:w="108" w:type="dxa"/>
            <w:bottom w:w="0" w:type="dxa"/>
            <w:right w:w="108" w:type="dxa"/>
          </w:tblCellMar>
        </w:tblPrEx>
        <w:trPr>
          <w:trHeight w:val="416" w:hRule="atLeast"/>
          <w:jc w:val="center"/>
        </w:trPr>
        <w:tc>
          <w:tcPr>
            <w:tcW w:w="679"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eastAsia="宋体"/>
                <w:color w:val="auto"/>
                <w:kern w:val="0"/>
                <w14:ligatures w14:val="none"/>
              </w:rPr>
            </w:pPr>
            <w:r>
              <w:rPr>
                <w:rFonts w:hint="eastAsia" w:ascii="宋体" w:hAnsi="宋体" w:eastAsia="宋体"/>
                <w:color w:val="auto"/>
                <w:kern w:val="0"/>
                <w14:ligatures w14:val="none"/>
              </w:rPr>
              <w:t>3</w:t>
            </w:r>
          </w:p>
        </w:tc>
        <w:tc>
          <w:tcPr>
            <w:tcW w:w="201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olor w:val="auto"/>
                <w:kern w:val="0"/>
                <w14:ligatures w14:val="none"/>
              </w:rPr>
            </w:pPr>
          </w:p>
        </w:tc>
        <w:tc>
          <w:tcPr>
            <w:tcW w:w="239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olor w:val="auto"/>
                <w:kern w:val="0"/>
                <w14:ligatures w14:val="none"/>
              </w:rPr>
            </w:pPr>
            <w:r>
              <w:rPr>
                <w:rFonts w:hint="eastAsia" w:ascii="宋体" w:hAnsi="宋体" w:eastAsia="宋体"/>
                <w:color w:val="auto"/>
                <w:kern w:val="0"/>
                <w14:ligatures w14:val="none"/>
              </w:rPr>
              <w:t>室内消防炮系统</w:t>
            </w:r>
          </w:p>
        </w:tc>
        <w:tc>
          <w:tcPr>
            <w:tcW w:w="119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color w:val="auto"/>
                <w:kern w:val="0"/>
                <w14:ligatures w14:val="none"/>
              </w:rPr>
            </w:pPr>
            <w:r>
              <w:rPr>
                <w:rFonts w:ascii="Times New Roman" w:hAnsi="Times New Roman" w:eastAsia="宋体" w:cs="Times New Roman"/>
                <w:color w:val="auto"/>
                <w:kern w:val="0"/>
                <w14:ligatures w14:val="none"/>
              </w:rPr>
              <w:t>60.00</w:t>
            </w:r>
          </w:p>
        </w:tc>
        <w:tc>
          <w:tcPr>
            <w:tcW w:w="194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color w:val="auto"/>
                <w:kern w:val="0"/>
                <w14:ligatures w14:val="none"/>
              </w:rPr>
            </w:pPr>
            <w:r>
              <w:rPr>
                <w:rFonts w:ascii="Times New Roman" w:hAnsi="Times New Roman" w:eastAsia="宋体" w:cs="Times New Roman"/>
                <w:color w:val="auto"/>
                <w:kern w:val="0"/>
                <w14:ligatures w14:val="none"/>
              </w:rPr>
              <w:t>1</w:t>
            </w:r>
          </w:p>
        </w:tc>
        <w:tc>
          <w:tcPr>
            <w:tcW w:w="104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color w:val="auto"/>
                <w:kern w:val="0"/>
                <w14:ligatures w14:val="none"/>
              </w:rPr>
            </w:pPr>
            <w:r>
              <w:rPr>
                <w:rFonts w:ascii="Times New Roman" w:hAnsi="Times New Roman" w:eastAsia="宋体" w:cs="Times New Roman"/>
                <w:color w:val="auto"/>
                <w:kern w:val="0"/>
                <w14:ligatures w14:val="none"/>
              </w:rPr>
              <w:t>216.00</w:t>
            </w:r>
          </w:p>
        </w:tc>
      </w:tr>
      <w:tr>
        <w:tblPrEx>
          <w:tblLayout w:type="fixed"/>
          <w:tblCellMar>
            <w:top w:w="0" w:type="dxa"/>
            <w:left w:w="108" w:type="dxa"/>
            <w:bottom w:w="0" w:type="dxa"/>
            <w:right w:w="108" w:type="dxa"/>
          </w:tblCellMar>
        </w:tblPrEx>
        <w:trPr>
          <w:trHeight w:val="416" w:hRule="atLeast"/>
          <w:jc w:val="center"/>
        </w:trPr>
        <w:tc>
          <w:tcPr>
            <w:tcW w:w="679"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eastAsia="宋体"/>
                <w:color w:val="auto"/>
                <w:kern w:val="0"/>
                <w14:ligatures w14:val="none"/>
              </w:rPr>
            </w:pPr>
            <w:r>
              <w:rPr>
                <w:rFonts w:hint="eastAsia" w:ascii="宋体" w:hAnsi="宋体" w:eastAsia="宋体"/>
                <w:color w:val="auto"/>
                <w:kern w:val="0"/>
                <w14:ligatures w14:val="none"/>
              </w:rPr>
              <w:t>4</w:t>
            </w:r>
          </w:p>
        </w:tc>
        <w:tc>
          <w:tcPr>
            <w:tcW w:w="201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olor w:val="auto"/>
                <w:kern w:val="0"/>
                <w14:ligatures w14:val="none"/>
              </w:rPr>
            </w:pPr>
          </w:p>
        </w:tc>
        <w:tc>
          <w:tcPr>
            <w:tcW w:w="239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olor w:val="auto"/>
                <w:kern w:val="0"/>
                <w14:ligatures w14:val="none"/>
              </w:rPr>
            </w:pPr>
            <w:r>
              <w:rPr>
                <w:rFonts w:hint="eastAsia" w:ascii="宋体" w:hAnsi="宋体" w:eastAsia="宋体"/>
                <w:color w:val="auto"/>
                <w:kern w:val="0"/>
                <w14:ligatures w14:val="none"/>
              </w:rPr>
              <w:t>总计</w:t>
            </w:r>
          </w:p>
        </w:tc>
        <w:tc>
          <w:tcPr>
            <w:tcW w:w="119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color w:val="auto"/>
                <w:kern w:val="0"/>
                <w14:ligatures w14:val="none"/>
              </w:rPr>
            </w:pPr>
            <w:r>
              <w:rPr>
                <w:rFonts w:ascii="Times New Roman" w:hAnsi="Times New Roman" w:eastAsia="宋体" w:cs="Times New Roman"/>
                <w:color w:val="auto"/>
                <w:kern w:val="0"/>
                <w14:ligatures w14:val="none"/>
              </w:rPr>
              <w:t>100.00</w:t>
            </w:r>
          </w:p>
        </w:tc>
        <w:tc>
          <w:tcPr>
            <w:tcW w:w="194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color w:val="auto"/>
                <w:kern w:val="0"/>
                <w14:ligatures w14:val="none"/>
              </w:rPr>
            </w:pPr>
            <w:r>
              <w:rPr>
                <w:rFonts w:ascii="Times New Roman" w:hAnsi="Times New Roman" w:eastAsia="宋体" w:cs="Times New Roman"/>
                <w:color w:val="auto"/>
                <w:kern w:val="0"/>
                <w14:ligatures w14:val="none"/>
              </w:rPr>
              <w:t>/</w:t>
            </w:r>
          </w:p>
        </w:tc>
        <w:tc>
          <w:tcPr>
            <w:tcW w:w="104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color w:val="auto"/>
                <w:kern w:val="0"/>
                <w14:ligatures w14:val="none"/>
              </w:rPr>
            </w:pPr>
            <w:r>
              <w:rPr>
                <w:rFonts w:ascii="Times New Roman" w:hAnsi="Times New Roman" w:eastAsia="宋体" w:cs="Times New Roman"/>
                <w:color w:val="auto"/>
                <w:kern w:val="0"/>
                <w14:ligatures w14:val="none"/>
              </w:rPr>
              <w:t>648.00</w:t>
            </w:r>
          </w:p>
        </w:tc>
      </w:tr>
    </w:tbl>
    <w:p>
      <w:pPr>
        <w:pStyle w:val="44"/>
        <w:widowControl w:val="0"/>
        <w:spacing w:before="0" w:beforeAutospacing="0" w:after="0" w:afterAutospacing="0" w:line="500" w:lineRule="exact"/>
        <w:ind w:firstLine="480" w:firstLineChars="200"/>
        <w:jc w:val="both"/>
        <w:rPr>
          <w:rFonts w:hint="eastAsia" w:hAnsi="宋体" w:cs="宋体"/>
          <w:color w:val="auto"/>
          <w:kern w:val="2"/>
          <w:szCs w:val="20"/>
          <w:lang w:bidi="ar"/>
          <w14:ligatures w14:val="standardContextual"/>
        </w:rPr>
      </w:pPr>
      <w:r>
        <w:rPr>
          <w:rFonts w:hint="eastAsia" w:hAnsi="宋体" w:cs="宋体"/>
          <w:color w:val="auto"/>
          <w:kern w:val="2"/>
          <w:szCs w:val="20"/>
          <w:lang w:val="en-US" w:eastAsia="zh-CN" w:bidi="ar"/>
          <w14:ligatures w14:val="standardContextual"/>
        </w:rPr>
        <w:t>3</w:t>
      </w:r>
      <w:r>
        <w:rPr>
          <w:rFonts w:hint="eastAsia" w:hAnsi="宋体" w:cs="宋体"/>
          <w:color w:val="auto"/>
          <w:kern w:val="2"/>
          <w:szCs w:val="20"/>
          <w:lang w:bidi="ar"/>
          <w14:ligatures w14:val="standardContextual"/>
        </w:rPr>
        <w:t>）水压</w:t>
      </w:r>
    </w:p>
    <w:p>
      <w:pPr>
        <w:pStyle w:val="44"/>
        <w:widowControl w:val="0"/>
        <w:spacing w:before="0" w:beforeAutospacing="0" w:after="0" w:afterAutospacing="0" w:line="500" w:lineRule="exact"/>
        <w:ind w:firstLine="480" w:firstLineChars="200"/>
        <w:jc w:val="both"/>
        <w:rPr>
          <w:rFonts w:hint="eastAsia" w:hAnsi="宋体" w:cs="宋体"/>
          <w:color w:val="auto"/>
          <w:kern w:val="2"/>
          <w:szCs w:val="20"/>
          <w:lang w:bidi="ar"/>
          <w14:ligatures w14:val="standardContextual"/>
        </w:rPr>
      </w:pPr>
      <w:r>
        <w:rPr>
          <w:rFonts w:hint="eastAsia" w:hAnsi="宋体" w:cs="宋体"/>
          <w:color w:val="auto"/>
          <w:kern w:val="2"/>
          <w:szCs w:val="20"/>
          <w:lang w:bidi="ar"/>
          <w14:ligatures w14:val="standardContextual"/>
        </w:rPr>
        <w:t>生产用水所需水压：储煤场室外地坪处所需水压0.25MPa。</w:t>
      </w:r>
    </w:p>
    <w:p>
      <w:pPr>
        <w:pStyle w:val="44"/>
        <w:widowControl w:val="0"/>
        <w:spacing w:before="0" w:beforeAutospacing="0" w:after="0" w:afterAutospacing="0" w:line="500" w:lineRule="exact"/>
        <w:ind w:firstLine="480" w:firstLineChars="200"/>
        <w:jc w:val="both"/>
        <w:rPr>
          <w:rFonts w:hint="eastAsia" w:hAnsi="宋体" w:cs="宋体"/>
          <w:color w:val="auto"/>
          <w:kern w:val="2"/>
          <w:szCs w:val="20"/>
          <w:lang w:bidi="ar"/>
          <w14:ligatures w14:val="standardContextual"/>
        </w:rPr>
      </w:pPr>
      <w:r>
        <w:rPr>
          <w:rFonts w:hint="eastAsia" w:hAnsi="宋体" w:cs="宋体"/>
          <w:color w:val="auto"/>
          <w:kern w:val="2"/>
          <w:szCs w:val="20"/>
          <w:lang w:bidi="ar"/>
          <w14:ligatures w14:val="standardContextual"/>
        </w:rPr>
        <w:t>消火栓用水所需水压：储煤场室外地坪处所需水压0.60MPa。</w:t>
      </w:r>
    </w:p>
    <w:p>
      <w:pPr>
        <w:pStyle w:val="44"/>
        <w:widowControl w:val="0"/>
        <w:spacing w:before="0" w:beforeAutospacing="0" w:after="0" w:afterAutospacing="0" w:line="500" w:lineRule="exact"/>
        <w:ind w:firstLine="480" w:firstLineChars="200"/>
        <w:jc w:val="both"/>
        <w:rPr>
          <w:rFonts w:hint="eastAsia" w:hAnsi="宋体" w:cs="宋体"/>
          <w:color w:val="auto"/>
          <w:kern w:val="2"/>
          <w:szCs w:val="20"/>
          <w:lang w:bidi="ar"/>
          <w14:ligatures w14:val="standardContextual"/>
        </w:rPr>
      </w:pPr>
      <w:r>
        <w:rPr>
          <w:rFonts w:hint="eastAsia" w:hAnsi="宋体" w:cs="宋体"/>
          <w:color w:val="auto"/>
          <w:kern w:val="2"/>
          <w:szCs w:val="20"/>
          <w:lang w:bidi="ar"/>
          <w14:ligatures w14:val="standardContextual"/>
        </w:rPr>
        <w:t>消防炮用水所需水压：储煤场室外地坪处所需水压0.90MPa。</w:t>
      </w:r>
    </w:p>
    <w:p>
      <w:pPr>
        <w:pStyle w:val="44"/>
        <w:widowControl w:val="0"/>
        <w:spacing w:before="0" w:beforeAutospacing="0" w:after="0" w:afterAutospacing="0" w:line="500" w:lineRule="exact"/>
        <w:ind w:firstLine="480" w:firstLineChars="200"/>
        <w:jc w:val="both"/>
        <w:rPr>
          <w:rFonts w:hint="eastAsia" w:hAnsi="宋体" w:cs="宋体"/>
          <w:color w:val="auto"/>
          <w:kern w:val="2"/>
          <w:szCs w:val="20"/>
          <w:lang w:bidi="ar"/>
          <w14:ligatures w14:val="standardContextual"/>
        </w:rPr>
      </w:pPr>
      <w:r>
        <w:rPr>
          <w:rFonts w:hint="eastAsia" w:hAnsi="宋体" w:cs="宋体"/>
          <w:color w:val="auto"/>
          <w:kern w:val="2"/>
          <w:szCs w:val="20"/>
          <w:lang w:val="en-US" w:eastAsia="zh-CN" w:bidi="ar"/>
          <w14:ligatures w14:val="standardContextual"/>
        </w:rPr>
        <w:t>4</w:t>
      </w:r>
      <w:r>
        <w:rPr>
          <w:rFonts w:hint="eastAsia" w:hAnsi="宋体" w:cs="宋体"/>
          <w:color w:val="auto"/>
          <w:kern w:val="2"/>
          <w:szCs w:val="20"/>
          <w:lang w:bidi="ar"/>
          <w14:ligatures w14:val="standardContextual"/>
        </w:rPr>
        <w:t>）水质</w:t>
      </w:r>
    </w:p>
    <w:p>
      <w:pPr>
        <w:pStyle w:val="44"/>
        <w:widowControl w:val="0"/>
        <w:spacing w:before="0" w:beforeAutospacing="0" w:after="0" w:afterAutospacing="0" w:line="500" w:lineRule="exact"/>
        <w:ind w:firstLine="480" w:firstLineChars="200"/>
        <w:jc w:val="both"/>
        <w:rPr>
          <w:rFonts w:hint="eastAsia" w:hAnsi="宋体" w:cs="宋体"/>
          <w:color w:val="auto"/>
          <w:kern w:val="2"/>
          <w:szCs w:val="20"/>
          <w:lang w:bidi="ar"/>
          <w14:ligatures w14:val="standardContextual"/>
        </w:rPr>
      </w:pPr>
      <w:r>
        <w:rPr>
          <w:rFonts w:hint="eastAsia" w:hAnsi="宋体" w:cs="宋体"/>
          <w:color w:val="auto"/>
          <w:kern w:val="2"/>
          <w:szCs w:val="20"/>
          <w:lang w:bidi="ar"/>
          <w14:ligatures w14:val="standardContextual"/>
        </w:rPr>
        <w:t>生产用水、消防用水水质标准要求达到《城市污水再生利用 城市杂用水水质》GB/T 18920-2020相关水质标准。</w:t>
      </w:r>
    </w:p>
    <w:p>
      <w:pPr>
        <w:pStyle w:val="44"/>
        <w:widowControl w:val="0"/>
        <w:spacing w:before="0" w:beforeAutospacing="0" w:after="0" w:afterAutospacing="0" w:line="500" w:lineRule="exact"/>
        <w:ind w:firstLine="480" w:firstLineChars="200"/>
        <w:jc w:val="both"/>
        <w:rPr>
          <w:rFonts w:hint="eastAsia" w:hAnsi="宋体" w:cs="宋体"/>
          <w:color w:val="auto"/>
          <w:kern w:val="2"/>
          <w:szCs w:val="20"/>
          <w:lang w:bidi="ar"/>
          <w14:ligatures w14:val="standardContextual"/>
        </w:rPr>
      </w:pPr>
      <w:r>
        <w:rPr>
          <w:rFonts w:hint="eastAsia" w:hAnsi="宋体" w:cs="宋体"/>
          <w:color w:val="auto"/>
          <w:kern w:val="2"/>
          <w:szCs w:val="20"/>
          <w:lang w:val="en-US" w:eastAsia="zh-CN" w:bidi="ar"/>
          <w14:ligatures w14:val="standardContextual"/>
        </w:rPr>
        <w:t>5</w:t>
      </w:r>
      <w:r>
        <w:rPr>
          <w:rFonts w:hint="eastAsia" w:hAnsi="宋体" w:cs="宋体"/>
          <w:color w:val="auto"/>
          <w:kern w:val="2"/>
          <w:szCs w:val="20"/>
          <w:lang w:bidi="ar"/>
          <w14:ligatures w14:val="standardContextual"/>
        </w:rPr>
        <w:t>）给水系统</w:t>
      </w:r>
    </w:p>
    <w:p>
      <w:pPr>
        <w:pStyle w:val="44"/>
        <w:widowControl w:val="0"/>
        <w:spacing w:before="0" w:beforeAutospacing="0" w:after="0" w:afterAutospacing="0" w:line="500" w:lineRule="exact"/>
        <w:ind w:firstLine="480" w:firstLineChars="200"/>
        <w:jc w:val="both"/>
        <w:rPr>
          <w:rFonts w:hint="eastAsia" w:hAnsi="宋体" w:cs="宋体"/>
          <w:color w:val="auto"/>
          <w:kern w:val="2"/>
          <w:szCs w:val="20"/>
          <w:lang w:val="zh-CN" w:bidi="ar"/>
          <w14:ligatures w14:val="standardContextual"/>
        </w:rPr>
      </w:pPr>
      <w:bookmarkStart w:id="85" w:name="_Toc429551198"/>
      <w:bookmarkStart w:id="86" w:name="_Toc429661051"/>
      <w:bookmarkStart w:id="87" w:name="_Toc432406565"/>
      <w:r>
        <w:rPr>
          <w:rFonts w:hint="eastAsia" w:hAnsi="宋体" w:cs="宋体"/>
          <w:color w:val="auto"/>
          <w:kern w:val="2"/>
          <w:szCs w:val="20"/>
          <w:lang w:bidi="ar"/>
          <w14:ligatures w14:val="standardContextual"/>
        </w:rPr>
        <w:t>（</w:t>
      </w:r>
      <w:r>
        <w:rPr>
          <w:rFonts w:hint="eastAsia" w:hAnsi="宋体" w:cs="宋体"/>
          <w:color w:val="auto"/>
          <w:kern w:val="2"/>
          <w:szCs w:val="20"/>
          <w:lang w:val="en-US" w:eastAsia="zh-CN" w:bidi="ar"/>
          <w14:ligatures w14:val="standardContextual"/>
        </w:rPr>
        <w:t>1</w:t>
      </w:r>
      <w:r>
        <w:rPr>
          <w:rFonts w:hint="eastAsia" w:hAnsi="宋体" w:cs="宋体"/>
          <w:color w:val="auto"/>
          <w:kern w:val="2"/>
          <w:szCs w:val="20"/>
          <w:lang w:bidi="ar"/>
          <w14:ligatures w14:val="standardContextual"/>
        </w:rPr>
        <w:t>）</w:t>
      </w:r>
      <w:r>
        <w:rPr>
          <w:rFonts w:hint="eastAsia" w:hAnsi="宋体" w:cs="宋体"/>
          <w:color w:val="auto"/>
          <w:kern w:val="2"/>
          <w:szCs w:val="20"/>
          <w:lang w:val="zh-CN" w:bidi="ar"/>
          <w14:ligatures w14:val="standardContextual"/>
        </w:rPr>
        <w:t>生产给水系统</w:t>
      </w:r>
    </w:p>
    <w:p>
      <w:pPr>
        <w:pStyle w:val="44"/>
        <w:widowControl w:val="0"/>
        <w:spacing w:before="0" w:beforeAutospacing="0" w:after="0" w:afterAutospacing="0" w:line="500" w:lineRule="exact"/>
        <w:ind w:firstLine="480" w:firstLineChars="200"/>
        <w:jc w:val="both"/>
        <w:rPr>
          <w:rFonts w:hint="eastAsia" w:hAnsi="宋体" w:cs="宋体"/>
          <w:color w:val="auto"/>
          <w:kern w:val="2"/>
          <w:szCs w:val="20"/>
          <w:lang w:bidi="ar"/>
          <w14:ligatures w14:val="standardContextual"/>
        </w:rPr>
      </w:pPr>
      <w:r>
        <w:rPr>
          <w:rFonts w:hint="eastAsia" w:hAnsi="宋体" w:cs="宋体"/>
          <w:color w:val="auto"/>
          <w:kern w:val="2"/>
          <w:szCs w:val="20"/>
          <w:lang w:bidi="ar"/>
          <w14:ligatures w14:val="standardContextual"/>
        </w:rPr>
        <w:t>储煤场采用雾炮降尘，雾炮用水接自厂区已有生产给水管网。</w:t>
      </w:r>
    </w:p>
    <w:p>
      <w:pPr>
        <w:pStyle w:val="44"/>
        <w:widowControl w:val="0"/>
        <w:spacing w:before="0" w:beforeAutospacing="0" w:after="0" w:afterAutospacing="0" w:line="500" w:lineRule="exact"/>
        <w:ind w:firstLine="480" w:firstLineChars="200"/>
        <w:jc w:val="both"/>
        <w:rPr>
          <w:rFonts w:hint="eastAsia" w:hAnsi="宋体" w:cs="宋体"/>
          <w:color w:val="auto"/>
          <w:kern w:val="2"/>
          <w:szCs w:val="20"/>
          <w:lang w:bidi="ar"/>
          <w14:ligatures w14:val="standardContextual"/>
        </w:rPr>
      </w:pPr>
      <w:r>
        <w:rPr>
          <w:rFonts w:hint="eastAsia" w:hAnsi="宋体" w:cs="宋体"/>
          <w:color w:val="auto"/>
          <w:kern w:val="2"/>
          <w:szCs w:val="20"/>
          <w:lang w:bidi="ar"/>
          <w14:ligatures w14:val="standardContextual"/>
        </w:rPr>
        <w:t>由于储煤场内不采暖，冬季为防止系统管道冻裂，储煤场生产给水系统干管埋地敷设，支管采用电伴热保温。雾炮配用保温水箱，带加热棒和温度计，水温低于5℃时，加热棒开始加热；水温高于15℃时，加热棒停止加热，此举保证了雾炮冬季正常使用。水箱补水采用电磁阀与液位计联动控制，水位低于水箱容量3/5时，开始加水；水位到达水箱容量4/5时，停止加水。</w:t>
      </w:r>
    </w:p>
    <w:p>
      <w:pPr>
        <w:pStyle w:val="44"/>
        <w:widowControl w:val="0"/>
        <w:spacing w:before="0" w:beforeAutospacing="0" w:after="0" w:afterAutospacing="0" w:line="500" w:lineRule="exact"/>
        <w:ind w:firstLine="480" w:firstLineChars="200"/>
        <w:jc w:val="both"/>
        <w:rPr>
          <w:rFonts w:hint="eastAsia" w:hAnsi="宋体" w:cs="宋体"/>
          <w:color w:val="auto"/>
          <w:kern w:val="2"/>
          <w:szCs w:val="20"/>
          <w:lang w:bidi="ar"/>
          <w14:ligatures w14:val="standardContextual"/>
        </w:rPr>
      </w:pPr>
      <w:r>
        <w:rPr>
          <w:rFonts w:hint="eastAsia" w:hAnsi="宋体" w:cs="宋体"/>
          <w:color w:val="auto"/>
          <w:kern w:val="2"/>
          <w:szCs w:val="20"/>
          <w:lang w:bidi="ar"/>
          <w14:ligatures w14:val="standardContextual"/>
        </w:rPr>
        <w:t>室内生产给水管道采用热浸镀锌钢管，丝接或沟槽式连接，公称压力1.0MPa。室外生产给水管道采用钢丝网骨架塑料复合管，电熔连接，公称压力1.0MPa，管道埋深2.10m。</w:t>
      </w:r>
    </w:p>
    <w:p>
      <w:pPr>
        <w:pStyle w:val="44"/>
        <w:widowControl w:val="0"/>
        <w:spacing w:before="0" w:beforeAutospacing="0" w:after="0" w:afterAutospacing="0" w:line="500" w:lineRule="exact"/>
        <w:ind w:firstLine="480" w:firstLineChars="200"/>
        <w:jc w:val="both"/>
        <w:rPr>
          <w:rFonts w:hint="eastAsia" w:hAnsi="宋体" w:cs="宋体"/>
          <w:color w:val="auto"/>
          <w:kern w:val="2"/>
          <w:szCs w:val="20"/>
          <w:lang w:bidi="ar"/>
          <w14:ligatures w14:val="standardContextual"/>
        </w:rPr>
      </w:pPr>
      <w:r>
        <w:rPr>
          <w:rFonts w:hint="eastAsia" w:hAnsi="宋体" w:cs="宋体"/>
          <w:color w:val="auto"/>
          <w:kern w:val="2"/>
          <w:szCs w:val="20"/>
          <w:lang w:bidi="ar"/>
          <w14:ligatures w14:val="standardContextual"/>
        </w:rPr>
        <w:t>（</w:t>
      </w:r>
      <w:r>
        <w:rPr>
          <w:rFonts w:hint="eastAsia" w:hAnsi="宋体" w:cs="宋体"/>
          <w:color w:val="auto"/>
          <w:kern w:val="2"/>
          <w:szCs w:val="20"/>
          <w:lang w:val="en-US" w:eastAsia="zh-CN" w:bidi="ar"/>
          <w14:ligatures w14:val="standardContextual"/>
        </w:rPr>
        <w:t>2</w:t>
      </w:r>
      <w:r>
        <w:rPr>
          <w:rFonts w:hint="eastAsia" w:hAnsi="宋体" w:cs="宋体"/>
          <w:color w:val="auto"/>
          <w:kern w:val="2"/>
          <w:szCs w:val="20"/>
          <w:lang w:bidi="ar"/>
          <w14:ligatures w14:val="standardContextual"/>
        </w:rPr>
        <w:t>）洗车系统</w:t>
      </w:r>
    </w:p>
    <w:p>
      <w:pPr>
        <w:pStyle w:val="44"/>
        <w:widowControl w:val="0"/>
        <w:spacing w:before="0" w:beforeAutospacing="0" w:after="0" w:afterAutospacing="0" w:line="500" w:lineRule="exact"/>
        <w:ind w:firstLine="480" w:firstLineChars="200"/>
        <w:jc w:val="both"/>
        <w:rPr>
          <w:rFonts w:hint="eastAsia" w:hAnsi="宋体" w:cs="宋体"/>
          <w:color w:val="auto"/>
          <w:kern w:val="2"/>
          <w:szCs w:val="20"/>
          <w:lang w:bidi="ar"/>
          <w14:ligatures w14:val="standardContextual"/>
        </w:rPr>
      </w:pPr>
      <w:r>
        <w:rPr>
          <w:rFonts w:hint="eastAsia" w:hAnsi="宋体" w:cs="宋体"/>
          <w:color w:val="auto"/>
          <w:kern w:val="2"/>
          <w:szCs w:val="20"/>
          <w:lang w:bidi="ar"/>
          <w14:ligatures w14:val="standardContextual"/>
        </w:rPr>
        <w:t>为满足环保要求，需对出厂煤车的车轮及底盘进行冲洗，因此设自动洗车系统一套，洗车系统为全方位高压清洗系统，由底盘高压冲洗、轮胎侧高压冲洗系统组成，尤其对大型货车重点部位加强冲洗。车辆缓慢通过洗车区域可实现：自动冲洗车身、自动冲洗底盘、自动高压冲洗轮胎，洗车完毕后经过吹风沥水区，由高压风机自动对清洗完的车辆进行吹风，清洗吹风完成后，车辆自动通行。</w:t>
      </w:r>
    </w:p>
    <w:p>
      <w:pPr>
        <w:pStyle w:val="44"/>
        <w:widowControl w:val="0"/>
        <w:spacing w:before="0" w:beforeAutospacing="0" w:after="0" w:afterAutospacing="0" w:line="500" w:lineRule="exact"/>
        <w:ind w:firstLine="480" w:firstLineChars="200"/>
        <w:jc w:val="both"/>
        <w:rPr>
          <w:rFonts w:hint="eastAsia" w:hAnsi="宋体" w:cs="宋体"/>
          <w:color w:val="auto"/>
          <w:kern w:val="2"/>
          <w:szCs w:val="20"/>
          <w:lang w:bidi="ar"/>
          <w14:ligatures w14:val="standardContextual"/>
        </w:rPr>
      </w:pPr>
      <w:r>
        <w:rPr>
          <w:rFonts w:hint="eastAsia" w:hAnsi="宋体" w:cs="宋体"/>
          <w:color w:val="auto"/>
          <w:kern w:val="2"/>
          <w:szCs w:val="20"/>
          <w:lang w:bidi="ar"/>
          <w14:ligatures w14:val="standardContextual"/>
        </w:rPr>
        <w:t>洗车平台平面尺寸7m×6m，洗车平台附近新建一座沉淀池，用于冲洗排水的沉淀回收。洗车平台为单向进出车辆并冲洗，车辆进入平台时进口红外感应立即自动启动，进行冲洗；车辆完全通过出口时，出口红外感应立即自动启动，停止冲洗。</w:t>
      </w:r>
    </w:p>
    <w:p>
      <w:pPr>
        <w:pStyle w:val="44"/>
        <w:widowControl w:val="0"/>
        <w:spacing w:before="0" w:beforeAutospacing="0" w:after="0" w:afterAutospacing="0" w:line="500" w:lineRule="exact"/>
        <w:ind w:firstLine="480" w:firstLineChars="200"/>
        <w:jc w:val="both"/>
        <w:rPr>
          <w:rFonts w:hint="eastAsia" w:hAnsi="宋体" w:cs="宋体"/>
          <w:color w:val="auto"/>
          <w:kern w:val="2"/>
          <w:szCs w:val="20"/>
          <w:lang w:bidi="ar"/>
          <w14:ligatures w14:val="standardContextual"/>
        </w:rPr>
      </w:pPr>
      <w:r>
        <w:rPr>
          <w:rFonts w:hint="eastAsia" w:hAnsi="宋体" w:cs="宋体"/>
          <w:color w:val="auto"/>
          <w:kern w:val="2"/>
          <w:szCs w:val="20"/>
          <w:lang w:bidi="ar"/>
          <w14:ligatures w14:val="standardContextual"/>
        </w:rPr>
        <w:t>①给水</w:t>
      </w:r>
    </w:p>
    <w:p>
      <w:pPr>
        <w:pStyle w:val="44"/>
        <w:widowControl w:val="0"/>
        <w:spacing w:before="0" w:beforeAutospacing="0" w:after="0" w:afterAutospacing="0" w:line="500" w:lineRule="exact"/>
        <w:ind w:firstLine="480" w:firstLineChars="200"/>
        <w:jc w:val="both"/>
        <w:rPr>
          <w:rFonts w:hint="eastAsia" w:hAnsi="宋体" w:cs="宋体"/>
          <w:color w:val="auto"/>
          <w:kern w:val="2"/>
          <w:szCs w:val="20"/>
          <w:lang w:bidi="ar"/>
          <w14:ligatures w14:val="standardContextual"/>
        </w:rPr>
      </w:pPr>
      <w:r>
        <w:rPr>
          <w:rFonts w:hint="eastAsia" w:hAnsi="宋体" w:cs="宋体"/>
          <w:color w:val="auto"/>
          <w:kern w:val="2"/>
          <w:szCs w:val="20"/>
          <w:lang w:bidi="ar"/>
          <w14:ligatures w14:val="standardContextual"/>
        </w:rPr>
        <w:t>每日冲洗车辆为500辆，每辆车用水量为40L，每辆车冲洗时间约1分钟，洗车日用水量约为20m</w:t>
      </w:r>
      <w:r>
        <w:rPr>
          <w:rFonts w:hint="eastAsia" w:hAnsi="宋体" w:cs="宋体"/>
          <w:color w:val="auto"/>
          <w:kern w:val="2"/>
          <w:szCs w:val="20"/>
          <w:vertAlign w:val="superscript"/>
          <w:lang w:val="en-US" w:eastAsia="zh-CN" w:bidi="ar"/>
          <w14:ligatures w14:val="standardContextual"/>
        </w:rPr>
        <w:t>3</w:t>
      </w:r>
      <w:r>
        <w:rPr>
          <w:rFonts w:hint="eastAsia" w:hAnsi="宋体" w:cs="宋体"/>
          <w:color w:val="auto"/>
          <w:kern w:val="2"/>
          <w:szCs w:val="20"/>
          <w:lang w:bidi="ar"/>
          <w14:ligatures w14:val="standardContextual"/>
        </w:rPr>
        <w:t>/d。</w:t>
      </w:r>
    </w:p>
    <w:p>
      <w:pPr>
        <w:pStyle w:val="44"/>
        <w:widowControl w:val="0"/>
        <w:spacing w:before="0" w:beforeAutospacing="0" w:after="0" w:afterAutospacing="0" w:line="500" w:lineRule="exact"/>
        <w:ind w:firstLine="480" w:firstLineChars="200"/>
        <w:jc w:val="both"/>
        <w:rPr>
          <w:rFonts w:hint="eastAsia" w:hAnsi="宋体" w:cs="宋体"/>
          <w:color w:val="auto"/>
          <w:kern w:val="2"/>
          <w:szCs w:val="20"/>
          <w:lang w:bidi="ar"/>
          <w14:ligatures w14:val="standardContextual"/>
        </w:rPr>
      </w:pPr>
      <w:r>
        <w:rPr>
          <w:rFonts w:hint="eastAsia" w:hAnsi="宋体" w:cs="宋体"/>
          <w:color w:val="auto"/>
          <w:kern w:val="2"/>
          <w:szCs w:val="20"/>
          <w:lang w:bidi="ar"/>
          <w14:ligatures w14:val="standardContextual"/>
        </w:rPr>
        <w:t>车辆冲洗用水由泵房内的高压水泵自水泵池吸水加压提供，并由厂区生产给水系统提供补充水。</w:t>
      </w:r>
    </w:p>
    <w:p>
      <w:pPr>
        <w:pStyle w:val="44"/>
        <w:widowControl w:val="0"/>
        <w:spacing w:before="0" w:beforeAutospacing="0" w:after="0" w:afterAutospacing="0" w:line="500" w:lineRule="exact"/>
        <w:ind w:firstLine="480" w:firstLineChars="200"/>
        <w:jc w:val="both"/>
        <w:rPr>
          <w:rFonts w:hint="eastAsia" w:hAnsi="宋体" w:cs="宋体"/>
          <w:color w:val="auto"/>
          <w:kern w:val="2"/>
          <w:szCs w:val="20"/>
          <w:lang w:bidi="ar"/>
          <w14:ligatures w14:val="standardContextual"/>
        </w:rPr>
      </w:pPr>
      <w:r>
        <w:rPr>
          <w:rFonts w:hint="eastAsia" w:hAnsi="宋体" w:cs="宋体"/>
          <w:color w:val="auto"/>
          <w:kern w:val="2"/>
          <w:szCs w:val="20"/>
          <w:lang w:bidi="ar"/>
          <w14:ligatures w14:val="standardContextual"/>
        </w:rPr>
        <w:t>水泵池内设高压水泵共2台，水泵A参数为Q＝65m³/h，H＝46m，N＝15kW；水泵B参数为Q＝65m³/h，H＝46m，N＝15kW。</w:t>
      </w:r>
    </w:p>
    <w:p>
      <w:pPr>
        <w:pStyle w:val="44"/>
        <w:widowControl w:val="0"/>
        <w:spacing w:before="0" w:beforeAutospacing="0" w:after="0" w:afterAutospacing="0" w:line="500" w:lineRule="exact"/>
        <w:ind w:firstLine="480" w:firstLineChars="200"/>
        <w:jc w:val="both"/>
        <w:rPr>
          <w:rFonts w:hint="eastAsia" w:hAnsi="宋体" w:cs="宋体"/>
          <w:color w:val="auto"/>
          <w:kern w:val="2"/>
          <w:szCs w:val="20"/>
          <w:lang w:bidi="ar"/>
          <w14:ligatures w14:val="standardContextual"/>
        </w:rPr>
      </w:pPr>
      <w:r>
        <w:rPr>
          <w:rFonts w:hint="eastAsia" w:hAnsi="宋体" w:cs="宋体"/>
          <w:color w:val="auto"/>
          <w:kern w:val="2"/>
          <w:szCs w:val="20"/>
          <w:lang w:bidi="ar"/>
          <w14:ligatures w14:val="standardContextual"/>
        </w:rPr>
        <w:t>②排水</w:t>
      </w:r>
    </w:p>
    <w:p>
      <w:pPr>
        <w:pStyle w:val="44"/>
        <w:widowControl w:val="0"/>
        <w:spacing w:before="0" w:beforeAutospacing="0" w:after="0" w:afterAutospacing="0" w:line="500" w:lineRule="exact"/>
        <w:ind w:firstLine="480" w:firstLineChars="200"/>
        <w:jc w:val="both"/>
        <w:rPr>
          <w:rFonts w:hint="eastAsia" w:hAnsi="宋体" w:cs="宋体"/>
          <w:color w:val="auto"/>
          <w:kern w:val="2"/>
          <w:szCs w:val="20"/>
          <w:lang w:bidi="ar"/>
          <w14:ligatures w14:val="standardContextual"/>
        </w:rPr>
      </w:pPr>
      <w:r>
        <w:rPr>
          <w:rFonts w:hint="eastAsia" w:hAnsi="宋体" w:cs="宋体"/>
          <w:color w:val="auto"/>
          <w:kern w:val="2"/>
          <w:szCs w:val="20"/>
          <w:lang w:bidi="ar"/>
          <w14:ligatures w14:val="standardContextual"/>
        </w:rPr>
        <w:t>在洗车房内设排水地沟，冲洗排水沿地沟汇至沉淀池，经一沉池一级沉淀后溢流至二沉池进行二级沉淀，再溢流至水泵池循环利用。池底沉淀部分定期清掏。</w:t>
      </w:r>
    </w:p>
    <w:bookmarkEnd w:id="85"/>
    <w:bookmarkEnd w:id="86"/>
    <w:bookmarkEnd w:id="87"/>
    <w:p>
      <w:pPr>
        <w:pStyle w:val="44"/>
        <w:widowControl w:val="0"/>
        <w:spacing w:before="0" w:beforeAutospacing="0" w:after="0" w:afterAutospacing="0" w:line="500" w:lineRule="exact"/>
        <w:ind w:firstLine="480" w:firstLineChars="200"/>
        <w:jc w:val="both"/>
        <w:rPr>
          <w:rFonts w:hint="eastAsia" w:hAnsi="宋体" w:cs="宋体"/>
          <w:color w:val="auto"/>
          <w:kern w:val="2"/>
          <w:szCs w:val="20"/>
          <w:lang w:bidi="ar"/>
          <w14:ligatures w14:val="standardContextual"/>
        </w:rPr>
      </w:pPr>
      <w:r>
        <w:rPr>
          <w:rFonts w:hint="eastAsia" w:hAnsi="宋体" w:cs="宋体"/>
          <w:color w:val="auto"/>
          <w:kern w:val="2"/>
          <w:szCs w:val="20"/>
          <w:lang w:val="en-US" w:eastAsia="zh-CN" w:bidi="ar"/>
          <w14:ligatures w14:val="standardContextual"/>
        </w:rPr>
        <w:t>6</w:t>
      </w:r>
      <w:r>
        <w:rPr>
          <w:rFonts w:hint="eastAsia" w:hAnsi="宋体" w:cs="宋体"/>
          <w:color w:val="auto"/>
          <w:kern w:val="2"/>
          <w:szCs w:val="20"/>
          <w:lang w:bidi="ar"/>
          <w14:ligatures w14:val="standardContextual"/>
        </w:rPr>
        <w:t>）排水系统</w:t>
      </w:r>
    </w:p>
    <w:p>
      <w:pPr>
        <w:pStyle w:val="44"/>
        <w:widowControl w:val="0"/>
        <w:spacing w:before="0" w:beforeAutospacing="0" w:after="0" w:afterAutospacing="0" w:line="500" w:lineRule="exact"/>
        <w:ind w:firstLine="480" w:firstLineChars="200"/>
        <w:jc w:val="both"/>
        <w:rPr>
          <w:rFonts w:hint="eastAsia" w:hAnsi="宋体" w:cs="宋体"/>
          <w:color w:val="auto"/>
          <w:kern w:val="2"/>
          <w:szCs w:val="20"/>
          <w:lang w:bidi="ar"/>
          <w14:ligatures w14:val="standardContextual"/>
        </w:rPr>
      </w:pPr>
      <w:r>
        <w:rPr>
          <w:rFonts w:hint="eastAsia" w:hAnsi="宋体" w:cs="宋体"/>
          <w:color w:val="auto"/>
          <w:kern w:val="2"/>
          <w:szCs w:val="20"/>
          <w:lang w:bidi="ar"/>
          <w14:ligatures w14:val="standardContextual"/>
        </w:rPr>
        <w:t>储煤场雾炮出水为雾化状水雾，润湿煤堆表面和室内地面，无废水产生。</w:t>
      </w:r>
    </w:p>
    <w:p>
      <w:pPr>
        <w:pStyle w:val="44"/>
        <w:widowControl w:val="0"/>
        <w:spacing w:before="0" w:beforeAutospacing="0" w:after="0" w:afterAutospacing="0" w:line="500" w:lineRule="exact"/>
        <w:ind w:firstLine="480" w:firstLineChars="200"/>
        <w:jc w:val="both"/>
        <w:rPr>
          <w:rFonts w:hint="eastAsia" w:hAnsi="宋体" w:cs="宋体"/>
          <w:color w:val="auto"/>
          <w:kern w:val="2"/>
          <w:szCs w:val="20"/>
          <w:lang w:bidi="ar"/>
          <w14:ligatures w14:val="standardContextual"/>
        </w:rPr>
      </w:pPr>
      <w:r>
        <w:rPr>
          <w:rFonts w:hint="eastAsia" w:hAnsi="宋体" w:cs="宋体"/>
          <w:color w:val="auto"/>
          <w:kern w:val="2"/>
          <w:szCs w:val="20"/>
          <w:lang w:bidi="ar"/>
          <w14:ligatures w14:val="standardContextual"/>
        </w:rPr>
        <w:t>洗车废水经沉淀池沉淀后回用，不外排。</w:t>
      </w:r>
    </w:p>
    <w:p>
      <w:pPr>
        <w:pStyle w:val="44"/>
        <w:widowControl w:val="0"/>
        <w:spacing w:before="0" w:beforeAutospacing="0" w:after="0" w:afterAutospacing="0" w:line="500" w:lineRule="exact"/>
        <w:ind w:firstLine="480" w:firstLineChars="200"/>
        <w:jc w:val="both"/>
        <w:rPr>
          <w:rFonts w:hint="eastAsia" w:hAnsi="宋体" w:cs="宋体"/>
          <w:color w:val="auto"/>
          <w:kern w:val="2"/>
          <w:szCs w:val="20"/>
          <w:lang w:bidi="ar"/>
          <w14:ligatures w14:val="standardContextual"/>
        </w:rPr>
      </w:pPr>
      <w:r>
        <w:rPr>
          <w:rFonts w:hint="eastAsia" w:hAnsi="宋体" w:cs="宋体"/>
          <w:color w:val="auto"/>
          <w:kern w:val="2"/>
          <w:szCs w:val="20"/>
          <w:lang w:val="en-US" w:eastAsia="zh-CN" w:bidi="ar"/>
          <w14:ligatures w14:val="standardContextual"/>
        </w:rPr>
        <w:t>4.4.2</w:t>
      </w:r>
      <w:r>
        <w:rPr>
          <w:rFonts w:hint="eastAsia" w:hAnsi="宋体" w:cs="宋体"/>
          <w:color w:val="auto"/>
          <w:kern w:val="2"/>
          <w:szCs w:val="20"/>
          <w:lang w:bidi="ar"/>
          <w14:ligatures w14:val="standardContextual"/>
        </w:rPr>
        <w:t>供暖通风</w:t>
      </w:r>
    </w:p>
    <w:p>
      <w:pPr>
        <w:pStyle w:val="44"/>
        <w:widowControl w:val="0"/>
        <w:spacing w:before="0" w:beforeAutospacing="0" w:after="0" w:afterAutospacing="0" w:line="500" w:lineRule="exact"/>
        <w:ind w:firstLine="480" w:firstLineChars="200"/>
        <w:jc w:val="both"/>
        <w:rPr>
          <w:rFonts w:hint="eastAsia" w:hAnsi="宋体" w:cs="宋体"/>
          <w:color w:val="auto"/>
          <w:kern w:val="2"/>
          <w:szCs w:val="20"/>
          <w:lang w:bidi="ar"/>
          <w14:ligatures w14:val="standardContextual"/>
        </w:rPr>
      </w:pPr>
      <w:r>
        <w:rPr>
          <w:rFonts w:hint="eastAsia" w:hAnsi="宋体" w:cs="宋体"/>
          <w:color w:val="auto"/>
          <w:kern w:val="2"/>
          <w:szCs w:val="20"/>
          <w:lang w:bidi="ar"/>
          <w14:ligatures w14:val="standardContextual"/>
        </w:rPr>
        <w:t>1）供暖</w:t>
      </w:r>
    </w:p>
    <w:p>
      <w:pPr>
        <w:pStyle w:val="44"/>
        <w:widowControl w:val="0"/>
        <w:spacing w:before="0" w:beforeAutospacing="0" w:after="0" w:afterAutospacing="0" w:line="500" w:lineRule="exact"/>
        <w:ind w:firstLine="480" w:firstLineChars="200"/>
        <w:jc w:val="both"/>
        <w:rPr>
          <w:rFonts w:hint="eastAsia" w:hAnsi="宋体" w:cs="宋体"/>
          <w:color w:val="auto"/>
          <w:kern w:val="2"/>
          <w:szCs w:val="20"/>
          <w:lang w:bidi="ar"/>
          <w14:ligatures w14:val="standardContextual"/>
        </w:rPr>
      </w:pPr>
      <w:r>
        <w:rPr>
          <w:rFonts w:hint="eastAsia" w:hAnsi="宋体" w:cs="宋体"/>
          <w:color w:val="auto"/>
          <w:kern w:val="2"/>
          <w:szCs w:val="20"/>
          <w:lang w:bidi="ar"/>
          <w14:ligatures w14:val="standardContextual"/>
        </w:rPr>
        <w:t>本工程供暖仅涉及新增洗车房和消防泵房，二者均设置供暖设施，供暖设备采用光面管散热器，供暖热媒为95/70℃热水。热源接自室外供热管网，接口位于现有6号转载点室外预留接口，新增负荷较小，现有供热管网满足新增建筑物供暖需要。</w:t>
      </w:r>
    </w:p>
    <w:p>
      <w:pPr>
        <w:pStyle w:val="44"/>
        <w:widowControl w:val="0"/>
        <w:spacing w:before="0" w:beforeAutospacing="0" w:after="0" w:afterAutospacing="0" w:line="500" w:lineRule="exact"/>
        <w:ind w:firstLine="480" w:firstLineChars="200"/>
        <w:jc w:val="both"/>
        <w:rPr>
          <w:rFonts w:hint="eastAsia" w:hAnsi="宋体" w:cs="宋体"/>
          <w:color w:val="auto"/>
          <w:kern w:val="2"/>
          <w:szCs w:val="20"/>
          <w:lang w:bidi="ar"/>
          <w14:ligatures w14:val="standardContextual"/>
        </w:rPr>
      </w:pPr>
      <w:r>
        <w:rPr>
          <w:rFonts w:hint="eastAsia" w:hAnsi="宋体" w:cs="宋体"/>
          <w:color w:val="auto"/>
          <w:kern w:val="2"/>
          <w:szCs w:val="20"/>
          <w:lang w:val="en-US" w:eastAsia="zh-CN" w:bidi="ar"/>
          <w14:ligatures w14:val="standardContextual"/>
        </w:rPr>
        <w:t>2</w:t>
      </w:r>
      <w:r>
        <w:rPr>
          <w:rFonts w:hint="eastAsia" w:hAnsi="宋体" w:cs="宋体"/>
          <w:color w:val="auto"/>
          <w:kern w:val="2"/>
          <w:szCs w:val="20"/>
          <w:lang w:bidi="ar"/>
          <w14:ligatures w14:val="standardContextual"/>
        </w:rPr>
        <w:t>）通风</w:t>
      </w:r>
    </w:p>
    <w:p>
      <w:pPr>
        <w:pStyle w:val="44"/>
        <w:widowControl w:val="0"/>
        <w:spacing w:before="0" w:beforeAutospacing="0" w:after="0" w:afterAutospacing="0" w:line="500" w:lineRule="exact"/>
        <w:ind w:firstLine="480" w:firstLineChars="200"/>
        <w:jc w:val="both"/>
        <w:rPr>
          <w:rFonts w:hint="eastAsia" w:hAnsi="宋体" w:cs="宋体"/>
          <w:color w:val="auto"/>
          <w:kern w:val="2"/>
          <w:szCs w:val="20"/>
          <w:lang w:bidi="ar"/>
          <w14:ligatures w14:val="standardContextual"/>
        </w:rPr>
      </w:pPr>
      <w:r>
        <w:rPr>
          <w:rFonts w:hint="eastAsia" w:hAnsi="宋体" w:cs="宋体"/>
          <w:color w:val="auto"/>
          <w:kern w:val="2"/>
          <w:szCs w:val="20"/>
          <w:lang w:bidi="ar"/>
          <w14:ligatures w14:val="standardContextual"/>
        </w:rPr>
        <w:t>封闭式卸煤棚采用自然通风系统，由土建部分统一设置。消防泵房采用机械排风，自然进风的通风方式。</w:t>
      </w:r>
    </w:p>
    <w:p>
      <w:pPr>
        <w:pStyle w:val="44"/>
        <w:widowControl w:val="0"/>
        <w:spacing w:before="0" w:beforeAutospacing="0" w:after="0" w:afterAutospacing="0" w:line="500" w:lineRule="exact"/>
        <w:ind w:firstLine="480" w:firstLineChars="200"/>
        <w:jc w:val="both"/>
        <w:rPr>
          <w:rFonts w:hint="eastAsia" w:hAnsi="宋体" w:cs="宋体"/>
          <w:color w:val="auto"/>
          <w:kern w:val="2"/>
          <w:szCs w:val="20"/>
          <w:lang w:bidi="ar"/>
          <w14:ligatures w14:val="standardContextual"/>
        </w:rPr>
      </w:pPr>
      <w:r>
        <w:rPr>
          <w:rFonts w:hint="eastAsia" w:hAnsi="宋体" w:cs="宋体"/>
          <w:color w:val="auto"/>
          <w:kern w:val="2"/>
          <w:szCs w:val="20"/>
          <w:lang w:val="en-US" w:eastAsia="zh-CN" w:bidi="ar"/>
          <w14:ligatures w14:val="standardContextual"/>
        </w:rPr>
        <w:t>3</w:t>
      </w:r>
      <w:r>
        <w:rPr>
          <w:rFonts w:hint="eastAsia" w:hAnsi="宋体" w:cs="宋体"/>
          <w:color w:val="auto"/>
          <w:kern w:val="2"/>
          <w:szCs w:val="20"/>
          <w:lang w:bidi="ar"/>
          <w14:ligatures w14:val="standardContextual"/>
        </w:rPr>
        <w:t>）排烟设计</w:t>
      </w:r>
    </w:p>
    <w:p>
      <w:pPr>
        <w:pStyle w:val="44"/>
        <w:widowControl w:val="0"/>
        <w:spacing w:before="0" w:beforeAutospacing="0" w:after="0" w:afterAutospacing="0" w:line="500" w:lineRule="exact"/>
        <w:ind w:firstLine="480" w:firstLineChars="200"/>
        <w:jc w:val="both"/>
        <w:rPr>
          <w:rFonts w:hint="eastAsia" w:hAnsi="宋体" w:cs="宋体"/>
          <w:color w:val="auto"/>
          <w:kern w:val="2"/>
          <w:szCs w:val="20"/>
          <w:lang w:bidi="ar"/>
          <w14:ligatures w14:val="standardContextual"/>
        </w:rPr>
      </w:pPr>
      <w:r>
        <w:rPr>
          <w:rFonts w:hint="eastAsia" w:hAnsi="宋体" w:cs="宋体"/>
          <w:color w:val="auto"/>
          <w:kern w:val="2"/>
          <w:szCs w:val="20"/>
          <w:lang w:bidi="ar"/>
          <w14:ligatures w14:val="standardContextual"/>
        </w:rPr>
        <w:t>目前《石油化工企业设计防火标准》GB50160-2008（2018年版）和煤炭行业防火规范没有明确规定输煤系统排烟，考虑到煤的燃烧过程中火势蔓延缓慢，参考《火力发电厂与变电站设计防火标准》GB 50229关于输煤系统防烟排烟的要求，本项目不设置排烟设施</w:t>
      </w:r>
    </w:p>
    <w:p>
      <w:pPr>
        <w:pStyle w:val="44"/>
        <w:widowControl w:val="0"/>
        <w:spacing w:before="0" w:beforeAutospacing="0" w:after="0" w:afterAutospacing="0" w:line="500" w:lineRule="exact"/>
        <w:ind w:firstLine="482" w:firstLineChars="200"/>
        <w:jc w:val="both"/>
        <w:rPr>
          <w:rFonts w:hint="eastAsia" w:hAnsi="宋体" w:cs="宋体"/>
          <w:color w:val="auto"/>
          <w:kern w:val="2"/>
          <w:szCs w:val="20"/>
          <w:lang w:bidi="ar"/>
          <w14:ligatures w14:val="standardContextual"/>
        </w:rPr>
      </w:pPr>
      <w:r>
        <w:rPr>
          <w:rFonts w:hint="eastAsia" w:hAnsi="宋体" w:cs="宋体"/>
          <w:b/>
          <w:bCs/>
          <w:color w:val="auto"/>
          <w:kern w:val="2"/>
          <w:szCs w:val="20"/>
          <w:lang w:bidi="ar"/>
          <w14:ligatures w14:val="standardContextual"/>
        </w:rPr>
        <w:t>4.</w:t>
      </w:r>
      <w:r>
        <w:rPr>
          <w:rFonts w:hint="eastAsia" w:hAnsi="宋体" w:cs="宋体"/>
          <w:b/>
          <w:bCs/>
          <w:color w:val="auto"/>
          <w:kern w:val="2"/>
          <w:szCs w:val="20"/>
          <w:lang w:val="en-US" w:eastAsia="zh-CN" w:bidi="ar"/>
          <w14:ligatures w14:val="standardContextual"/>
        </w:rPr>
        <w:t>5</w:t>
      </w:r>
      <w:r>
        <w:rPr>
          <w:rFonts w:hint="eastAsia" w:hAnsi="宋体" w:cs="宋体"/>
          <w:b/>
          <w:bCs/>
          <w:color w:val="auto"/>
          <w:kern w:val="2"/>
          <w:szCs w:val="20"/>
          <w:lang w:bidi="ar"/>
          <w14:ligatures w14:val="standardContextual"/>
        </w:rPr>
        <w:t>消防部分</w:t>
      </w:r>
    </w:p>
    <w:p>
      <w:pPr>
        <w:pStyle w:val="44"/>
        <w:widowControl w:val="0"/>
        <w:spacing w:before="0" w:beforeAutospacing="0" w:after="0" w:afterAutospacing="0" w:line="500" w:lineRule="exact"/>
        <w:ind w:firstLine="480" w:firstLineChars="200"/>
        <w:jc w:val="both"/>
        <w:rPr>
          <w:rFonts w:hint="eastAsia" w:hAnsi="宋体" w:cs="宋体"/>
          <w:color w:val="auto"/>
          <w:kern w:val="2"/>
          <w:szCs w:val="20"/>
          <w:lang w:bidi="ar"/>
          <w14:ligatures w14:val="standardContextual"/>
        </w:rPr>
      </w:pPr>
      <w:r>
        <w:rPr>
          <w:rFonts w:hint="eastAsia" w:hAnsi="宋体" w:cs="宋体"/>
          <w:color w:val="auto"/>
          <w:kern w:val="2"/>
          <w:szCs w:val="20"/>
          <w:lang w:val="en-US" w:eastAsia="zh-CN" w:bidi="ar"/>
          <w14:ligatures w14:val="standardContextual"/>
        </w:rPr>
        <w:t>4.5.1</w:t>
      </w:r>
      <w:r>
        <w:rPr>
          <w:rFonts w:hint="eastAsia" w:hAnsi="宋体" w:cs="宋体"/>
          <w:color w:val="auto"/>
          <w:kern w:val="2"/>
          <w:szCs w:val="20"/>
          <w:lang w:bidi="ar"/>
          <w14:ligatures w14:val="standardContextual"/>
        </w:rPr>
        <w:t>室内消防炮系统</w:t>
      </w:r>
    </w:p>
    <w:p>
      <w:pPr>
        <w:pStyle w:val="44"/>
        <w:widowControl w:val="0"/>
        <w:spacing w:before="0" w:beforeAutospacing="0" w:after="0" w:afterAutospacing="0" w:line="500" w:lineRule="exact"/>
        <w:ind w:firstLine="480" w:firstLineChars="200"/>
        <w:jc w:val="both"/>
        <w:rPr>
          <w:rFonts w:hint="eastAsia" w:hAnsi="宋体" w:cs="宋体"/>
          <w:color w:val="auto"/>
          <w:kern w:val="2"/>
          <w:szCs w:val="20"/>
          <w:lang w:bidi="ar"/>
          <w14:ligatures w14:val="standardContextual"/>
        </w:rPr>
      </w:pPr>
      <w:r>
        <w:rPr>
          <w:rFonts w:hint="eastAsia" w:hAnsi="宋体" w:cs="宋体"/>
          <w:color w:val="auto"/>
          <w:kern w:val="2"/>
          <w:szCs w:val="20"/>
          <w:lang w:bidi="ar"/>
          <w14:ligatures w14:val="standardContextual"/>
        </w:rPr>
        <w:t>1）系统设计</w:t>
      </w:r>
    </w:p>
    <w:p>
      <w:pPr>
        <w:pStyle w:val="44"/>
        <w:widowControl w:val="0"/>
        <w:spacing w:before="0" w:beforeAutospacing="0" w:after="0" w:afterAutospacing="0" w:line="500" w:lineRule="exact"/>
        <w:ind w:firstLine="480" w:firstLineChars="200"/>
        <w:jc w:val="both"/>
        <w:rPr>
          <w:rFonts w:hint="eastAsia" w:hAnsi="宋体" w:cs="宋体"/>
          <w:color w:val="auto"/>
          <w:kern w:val="2"/>
          <w:szCs w:val="20"/>
          <w:lang w:bidi="ar"/>
          <w14:ligatures w14:val="standardContextual"/>
        </w:rPr>
      </w:pPr>
      <w:r>
        <w:rPr>
          <w:rFonts w:hint="eastAsia" w:hAnsi="宋体" w:cs="宋体"/>
          <w:color w:val="auto"/>
          <w:kern w:val="2"/>
          <w:szCs w:val="20"/>
          <w:lang w:bidi="ar"/>
          <w14:ligatures w14:val="standardContextual"/>
        </w:rPr>
        <w:t>储煤场室内消防系统采用自动消防炮系统，消防炮系统为独立供水系统。消防用水由厂区新增消防水池经新增消防炮加压泵加压供给，水池可以保证消防储水不被动用，详细设计见消防泵房设计。</w:t>
      </w:r>
    </w:p>
    <w:p>
      <w:pPr>
        <w:pStyle w:val="44"/>
        <w:widowControl w:val="0"/>
        <w:spacing w:before="0" w:beforeAutospacing="0" w:after="0" w:afterAutospacing="0" w:line="500" w:lineRule="exact"/>
        <w:ind w:firstLine="480" w:firstLineChars="200"/>
        <w:jc w:val="both"/>
        <w:rPr>
          <w:rFonts w:hint="eastAsia" w:hAnsi="宋体" w:cs="宋体"/>
          <w:color w:val="auto"/>
          <w:kern w:val="2"/>
          <w:szCs w:val="20"/>
          <w:lang w:bidi="ar"/>
          <w14:ligatures w14:val="standardContextual"/>
        </w:rPr>
      </w:pPr>
      <w:r>
        <w:rPr>
          <w:rFonts w:hint="eastAsia" w:hAnsi="宋体" w:cs="宋体"/>
          <w:color w:val="auto"/>
          <w:kern w:val="2"/>
          <w:szCs w:val="20"/>
          <w:lang w:bidi="ar"/>
          <w14:ligatures w14:val="standardContextual"/>
        </w:rPr>
        <w:t>消防炮共设有4台，置于消防炮平台上，并保证两门水炮同时到达储煤场内任一部位。消防炮采用防爆型电动消防炮，Q=30L/s，有效保护半径为55m，电压为380V，功率为500W。</w:t>
      </w:r>
    </w:p>
    <w:p>
      <w:pPr>
        <w:pStyle w:val="44"/>
        <w:widowControl w:val="0"/>
        <w:spacing w:before="0" w:beforeAutospacing="0" w:after="0" w:afterAutospacing="0" w:line="500" w:lineRule="exact"/>
        <w:ind w:firstLine="480" w:firstLineChars="200"/>
        <w:jc w:val="both"/>
        <w:rPr>
          <w:rFonts w:hint="eastAsia" w:hAnsi="宋体" w:cs="宋体"/>
          <w:color w:val="auto"/>
          <w:kern w:val="2"/>
          <w:szCs w:val="20"/>
          <w:lang w:bidi="ar"/>
          <w14:ligatures w14:val="standardContextual"/>
        </w:rPr>
      </w:pPr>
      <w:r>
        <w:rPr>
          <w:rFonts w:hint="eastAsia" w:hAnsi="宋体" w:cs="宋体"/>
          <w:color w:val="auto"/>
          <w:kern w:val="2"/>
          <w:szCs w:val="20"/>
          <w:lang w:bidi="ar"/>
          <w14:ligatures w14:val="standardContextual"/>
        </w:rPr>
        <w:t>储煤场发生火灾时由消防炮火灾探测系统启动消防炮加压泵供水灭火。</w:t>
      </w:r>
    </w:p>
    <w:p>
      <w:pPr>
        <w:pStyle w:val="44"/>
        <w:widowControl w:val="0"/>
        <w:spacing w:before="0" w:beforeAutospacing="0" w:after="0" w:afterAutospacing="0" w:line="500" w:lineRule="exact"/>
        <w:ind w:firstLine="480" w:firstLineChars="200"/>
        <w:jc w:val="both"/>
        <w:rPr>
          <w:rFonts w:hint="eastAsia" w:hAnsi="宋体" w:cs="宋体"/>
          <w:color w:val="auto"/>
          <w:kern w:val="2"/>
          <w:szCs w:val="20"/>
          <w:lang w:bidi="ar"/>
          <w14:ligatures w14:val="standardContextual"/>
        </w:rPr>
      </w:pPr>
      <w:r>
        <w:rPr>
          <w:rFonts w:hint="eastAsia" w:hAnsi="宋体" w:cs="宋体"/>
          <w:color w:val="auto"/>
          <w:kern w:val="2"/>
          <w:szCs w:val="20"/>
          <w:lang w:bidi="ar"/>
          <w14:ligatures w14:val="standardContextual"/>
        </w:rPr>
        <w:t>消防炮操作模式有消防炮自动控制、消防控制室手动控制、现场应急手动控制。具体控制详见电气章节描述。</w:t>
      </w:r>
    </w:p>
    <w:p>
      <w:pPr>
        <w:pStyle w:val="44"/>
        <w:widowControl w:val="0"/>
        <w:spacing w:before="0" w:beforeAutospacing="0" w:after="0" w:afterAutospacing="0" w:line="500" w:lineRule="exact"/>
        <w:ind w:firstLine="480" w:firstLineChars="200"/>
        <w:jc w:val="both"/>
        <w:rPr>
          <w:rFonts w:hint="eastAsia" w:hAnsi="宋体" w:cs="宋体"/>
          <w:color w:val="auto"/>
          <w:kern w:val="2"/>
          <w:szCs w:val="20"/>
          <w:lang w:bidi="ar"/>
          <w14:ligatures w14:val="standardContextual"/>
        </w:rPr>
      </w:pPr>
      <w:r>
        <w:rPr>
          <w:rFonts w:hint="eastAsia" w:hAnsi="宋体" w:cs="宋体"/>
          <w:color w:val="auto"/>
          <w:kern w:val="2"/>
          <w:szCs w:val="20"/>
          <w:lang w:bidi="ar"/>
          <w14:ligatures w14:val="standardContextual"/>
        </w:rPr>
        <w:t>消防炮自动控制：消防控制室无人值守时或人为使系统处于自动状态下，当报警信号在控制室被主机确认后，控制主机向消防炮集中控制器发出灭火指令，消防炮按设定程序搜索着火点，直至搜到着火点并锁定目标，再启动消防炮加压泵，进行灭火。</w:t>
      </w:r>
    </w:p>
    <w:p>
      <w:pPr>
        <w:pStyle w:val="44"/>
        <w:widowControl w:val="0"/>
        <w:spacing w:before="0" w:beforeAutospacing="0" w:after="0" w:afterAutospacing="0" w:line="500" w:lineRule="exact"/>
        <w:ind w:firstLine="480" w:firstLineChars="200"/>
        <w:jc w:val="both"/>
        <w:rPr>
          <w:rFonts w:hint="eastAsia" w:hAnsi="宋体" w:cs="宋体"/>
          <w:color w:val="auto"/>
          <w:kern w:val="2"/>
          <w:szCs w:val="20"/>
          <w:lang w:bidi="ar"/>
          <w14:ligatures w14:val="standardContextual"/>
        </w:rPr>
      </w:pPr>
      <w:r>
        <w:rPr>
          <w:rFonts w:hint="eastAsia" w:hAnsi="宋体" w:cs="宋体"/>
          <w:color w:val="auto"/>
          <w:kern w:val="2"/>
          <w:szCs w:val="20"/>
          <w:lang w:bidi="ar"/>
          <w14:ligatures w14:val="standardContextual"/>
        </w:rPr>
        <w:t>消防控制室手动控制：消防控制室控制设备在手动状态下，当系统报警信号被工作人员通过控制室显示器或现场确认后，控制室通过消防炮集中控制器按键驱动消防炮瞄准着火点，启动消防加压泵，实施灭火。</w:t>
      </w:r>
    </w:p>
    <w:p>
      <w:pPr>
        <w:pStyle w:val="44"/>
        <w:widowControl w:val="0"/>
        <w:spacing w:before="0" w:beforeAutospacing="0" w:after="0" w:afterAutospacing="0" w:line="500" w:lineRule="exact"/>
        <w:ind w:firstLine="480" w:firstLineChars="200"/>
        <w:jc w:val="both"/>
        <w:rPr>
          <w:rFonts w:hint="eastAsia" w:hAnsi="宋体" w:cs="宋体"/>
          <w:color w:val="auto"/>
          <w:kern w:val="2"/>
          <w:szCs w:val="20"/>
          <w:lang w:bidi="ar"/>
          <w14:ligatures w14:val="standardContextual"/>
        </w:rPr>
      </w:pPr>
      <w:r>
        <w:rPr>
          <w:rFonts w:hint="eastAsia" w:hAnsi="宋体" w:cs="宋体"/>
          <w:color w:val="auto"/>
          <w:kern w:val="2"/>
          <w:szCs w:val="20"/>
          <w:lang w:bidi="ar"/>
          <w14:ligatures w14:val="standardContextual"/>
        </w:rPr>
        <w:t>现场应急手动控制：工作人员发现火灾后，通过设在现场防爆手动控制箱按键驱动消防水炮瞄准着火点，启动消防炮加压泵，实施灭火。</w:t>
      </w:r>
    </w:p>
    <w:p>
      <w:pPr>
        <w:pStyle w:val="44"/>
        <w:widowControl w:val="0"/>
        <w:spacing w:before="0" w:beforeAutospacing="0" w:after="0" w:afterAutospacing="0" w:line="500" w:lineRule="exact"/>
        <w:ind w:firstLine="480" w:firstLineChars="200"/>
        <w:jc w:val="both"/>
        <w:rPr>
          <w:rFonts w:hint="eastAsia" w:hAnsi="宋体" w:cs="宋体"/>
          <w:color w:val="auto"/>
          <w:kern w:val="2"/>
          <w:szCs w:val="20"/>
          <w:lang w:bidi="ar"/>
          <w14:ligatures w14:val="standardContextual"/>
        </w:rPr>
      </w:pPr>
      <w:r>
        <w:rPr>
          <w:rFonts w:hint="eastAsia" w:hAnsi="宋体" w:cs="宋体"/>
          <w:color w:val="auto"/>
          <w:kern w:val="2"/>
          <w:szCs w:val="20"/>
          <w:lang w:bidi="ar"/>
          <w14:ligatures w14:val="standardContextual"/>
        </w:rPr>
        <w:t>根据设计流量设有SQX150—A型地下式水泵接合器，共4套。</w:t>
      </w:r>
    </w:p>
    <w:p>
      <w:pPr>
        <w:pStyle w:val="44"/>
        <w:widowControl w:val="0"/>
        <w:spacing w:before="0" w:beforeAutospacing="0" w:after="0" w:afterAutospacing="0" w:line="500" w:lineRule="exact"/>
        <w:ind w:firstLine="480" w:firstLineChars="200"/>
        <w:jc w:val="both"/>
        <w:rPr>
          <w:rFonts w:hint="eastAsia" w:hAnsi="宋体" w:cs="宋体"/>
          <w:color w:val="auto"/>
          <w:kern w:val="2"/>
          <w:szCs w:val="20"/>
          <w:lang w:bidi="ar"/>
          <w14:ligatures w14:val="standardContextual"/>
        </w:rPr>
      </w:pPr>
      <w:r>
        <w:rPr>
          <w:rFonts w:hint="eastAsia" w:hAnsi="宋体" w:cs="宋体"/>
          <w:color w:val="auto"/>
          <w:kern w:val="2"/>
          <w:szCs w:val="20"/>
          <w:lang w:bidi="ar"/>
          <w14:ligatures w14:val="standardContextual"/>
        </w:rPr>
        <w:t>由于储煤场内不采暖，冬季为防止系统管道冻裂，储煤场室内消防给水系统干管埋地敷设，系统支管采用电伴热保温。</w:t>
      </w:r>
    </w:p>
    <w:p>
      <w:pPr>
        <w:pStyle w:val="44"/>
        <w:widowControl w:val="0"/>
        <w:spacing w:before="0" w:beforeAutospacing="0" w:after="0" w:afterAutospacing="0" w:line="500" w:lineRule="exact"/>
        <w:ind w:firstLine="480" w:firstLineChars="200"/>
        <w:jc w:val="both"/>
        <w:rPr>
          <w:rFonts w:hint="eastAsia" w:hAnsi="宋体" w:cs="宋体"/>
          <w:color w:val="auto"/>
          <w:kern w:val="2"/>
          <w:szCs w:val="20"/>
          <w:lang w:bidi="ar"/>
          <w14:ligatures w14:val="standardContextual"/>
        </w:rPr>
      </w:pPr>
      <w:r>
        <w:rPr>
          <w:rFonts w:hint="eastAsia" w:hAnsi="宋体" w:cs="宋体"/>
          <w:color w:val="auto"/>
          <w:kern w:val="2"/>
          <w:szCs w:val="20"/>
          <w:lang w:bidi="ar"/>
          <w14:ligatures w14:val="standardContextual"/>
        </w:rPr>
        <w:t>2）管材</w:t>
      </w:r>
    </w:p>
    <w:p>
      <w:pPr>
        <w:pStyle w:val="44"/>
        <w:widowControl w:val="0"/>
        <w:spacing w:before="0" w:beforeAutospacing="0" w:after="0" w:afterAutospacing="0" w:line="500" w:lineRule="exact"/>
        <w:ind w:firstLine="480" w:firstLineChars="200"/>
        <w:jc w:val="both"/>
        <w:rPr>
          <w:rFonts w:hint="eastAsia" w:hAnsi="宋体" w:cs="宋体"/>
          <w:color w:val="auto"/>
          <w:kern w:val="2"/>
          <w:szCs w:val="20"/>
          <w:lang w:bidi="ar"/>
          <w14:ligatures w14:val="standardContextual"/>
        </w:rPr>
      </w:pPr>
      <w:r>
        <w:rPr>
          <w:rFonts w:hint="eastAsia" w:hAnsi="宋体" w:cs="宋体"/>
          <w:color w:val="auto"/>
          <w:kern w:val="2"/>
          <w:szCs w:val="20"/>
          <w:lang w:bidi="ar"/>
          <w14:ligatures w14:val="standardContextual"/>
        </w:rPr>
        <w:t>室内消防炮给水管道采用加厚热浸镀锌钢管，丝接或沟槽式连接，阀门连接处采用法兰连接，公称压力2.5MPa。</w:t>
      </w:r>
    </w:p>
    <w:p>
      <w:pPr>
        <w:pStyle w:val="44"/>
        <w:widowControl w:val="0"/>
        <w:spacing w:before="0" w:beforeAutospacing="0" w:after="0" w:afterAutospacing="0" w:line="500" w:lineRule="exact"/>
        <w:ind w:firstLine="480" w:firstLineChars="200"/>
        <w:jc w:val="both"/>
        <w:rPr>
          <w:rFonts w:hint="eastAsia" w:hAnsi="宋体" w:cs="宋体"/>
          <w:color w:val="auto"/>
          <w:kern w:val="2"/>
          <w:szCs w:val="20"/>
          <w:lang w:bidi="ar"/>
          <w14:ligatures w14:val="standardContextual"/>
        </w:rPr>
      </w:pPr>
      <w:r>
        <w:rPr>
          <w:rFonts w:hint="eastAsia" w:hAnsi="宋体" w:cs="宋体"/>
          <w:color w:val="auto"/>
          <w:kern w:val="2"/>
          <w:szCs w:val="20"/>
          <w:lang w:bidi="ar"/>
          <w14:ligatures w14:val="standardContextual"/>
        </w:rPr>
        <w:t>室外消防炮管网管材采用无缝钢管，沟槽连接，公称压力2.5MPa，管道埋深2.10m。</w:t>
      </w:r>
    </w:p>
    <w:p>
      <w:pPr>
        <w:pStyle w:val="44"/>
        <w:widowControl w:val="0"/>
        <w:spacing w:before="0" w:beforeAutospacing="0" w:after="0" w:afterAutospacing="0" w:line="500" w:lineRule="exact"/>
        <w:ind w:firstLine="480" w:firstLineChars="200"/>
        <w:jc w:val="both"/>
        <w:rPr>
          <w:rFonts w:hint="eastAsia" w:hAnsi="宋体" w:cs="宋体"/>
          <w:color w:val="auto"/>
          <w:kern w:val="2"/>
          <w:szCs w:val="20"/>
          <w:lang w:bidi="ar"/>
          <w14:ligatures w14:val="standardContextual"/>
        </w:rPr>
      </w:pPr>
      <w:r>
        <w:rPr>
          <w:rFonts w:hint="eastAsia" w:hAnsi="宋体" w:cs="宋体"/>
          <w:color w:val="auto"/>
          <w:kern w:val="2"/>
          <w:szCs w:val="20"/>
          <w:lang w:val="en-US" w:eastAsia="zh-CN" w:bidi="ar"/>
          <w14:ligatures w14:val="standardContextual"/>
        </w:rPr>
        <w:t>4.5.2</w:t>
      </w:r>
      <w:r>
        <w:rPr>
          <w:rFonts w:hint="eastAsia" w:hAnsi="宋体" w:cs="宋体"/>
          <w:color w:val="auto"/>
          <w:kern w:val="2"/>
          <w:szCs w:val="20"/>
          <w:lang w:bidi="ar"/>
          <w14:ligatures w14:val="standardContextual"/>
        </w:rPr>
        <w:t>消防泵房设计</w:t>
      </w:r>
    </w:p>
    <w:p>
      <w:pPr>
        <w:pStyle w:val="44"/>
        <w:widowControl w:val="0"/>
        <w:spacing w:before="0" w:beforeAutospacing="0" w:after="0" w:afterAutospacing="0" w:line="500" w:lineRule="exact"/>
        <w:ind w:firstLine="480" w:firstLineChars="200"/>
        <w:jc w:val="both"/>
        <w:rPr>
          <w:rFonts w:hint="eastAsia" w:hAnsi="宋体" w:cs="宋体"/>
          <w:color w:val="auto"/>
          <w:kern w:val="2"/>
          <w:szCs w:val="20"/>
          <w:lang w:bidi="ar"/>
          <w14:ligatures w14:val="standardContextual"/>
        </w:rPr>
      </w:pPr>
      <w:r>
        <w:rPr>
          <w:rFonts w:hint="eastAsia" w:hAnsi="宋体" w:cs="宋体"/>
          <w:color w:val="auto"/>
          <w:kern w:val="2"/>
          <w:szCs w:val="20"/>
          <w:lang w:bidi="ar"/>
          <w14:ligatures w14:val="standardContextual"/>
        </w:rPr>
        <w:t>1）消防炮用水由新建半地下式的消防水池（有效容积为245m</w:t>
      </w:r>
      <w:r>
        <w:rPr>
          <w:rFonts w:hint="eastAsia" w:hAnsi="宋体" w:cs="宋体"/>
          <w:color w:val="auto"/>
          <w:kern w:val="2"/>
          <w:szCs w:val="20"/>
          <w:vertAlign w:val="superscript"/>
          <w:lang w:bidi="ar"/>
          <w14:ligatures w14:val="standardContextual"/>
        </w:rPr>
        <w:t>3</w:t>
      </w:r>
      <w:r>
        <w:rPr>
          <w:rFonts w:hint="eastAsia" w:hAnsi="宋体" w:cs="宋体"/>
          <w:color w:val="auto"/>
          <w:kern w:val="2"/>
          <w:szCs w:val="20"/>
          <w:lang w:bidi="ar"/>
          <w14:ligatures w14:val="standardContextual"/>
        </w:rPr>
        <w:t>）提供，水池可以保证消防储水不被动用，可满足一次灭火用水量216m³的要求。</w:t>
      </w:r>
    </w:p>
    <w:p>
      <w:pPr>
        <w:pStyle w:val="44"/>
        <w:widowControl w:val="0"/>
        <w:spacing w:before="0" w:beforeAutospacing="0" w:after="0" w:afterAutospacing="0" w:line="500" w:lineRule="exact"/>
        <w:ind w:firstLine="480" w:firstLineChars="200"/>
        <w:jc w:val="both"/>
        <w:rPr>
          <w:rFonts w:hint="eastAsia" w:hAnsi="宋体" w:cs="宋体"/>
          <w:color w:val="auto"/>
          <w:kern w:val="2"/>
          <w:szCs w:val="20"/>
          <w:lang w:bidi="ar"/>
          <w14:ligatures w14:val="standardContextual"/>
        </w:rPr>
      </w:pPr>
      <w:r>
        <w:rPr>
          <w:rFonts w:hint="eastAsia" w:hAnsi="宋体" w:cs="宋体"/>
          <w:color w:val="auto"/>
          <w:kern w:val="2"/>
          <w:szCs w:val="20"/>
          <w:lang w:bidi="ar"/>
          <w14:ligatures w14:val="standardContextual"/>
        </w:rPr>
        <w:t>2）消防炮加压泵单泵参数为Q＝60L/s，H＝140m，N＝132kW，两台，一用一备，交替运行。消防炮加压泵设置在新建消防泵房内。</w:t>
      </w:r>
    </w:p>
    <w:p>
      <w:pPr>
        <w:pStyle w:val="44"/>
        <w:widowControl w:val="0"/>
        <w:spacing w:before="0" w:beforeAutospacing="0" w:after="0" w:afterAutospacing="0" w:line="500" w:lineRule="exact"/>
        <w:ind w:firstLine="480" w:firstLineChars="200"/>
        <w:jc w:val="both"/>
        <w:rPr>
          <w:rFonts w:hint="eastAsia" w:hAnsi="宋体" w:cs="宋体"/>
          <w:color w:val="auto"/>
          <w:kern w:val="2"/>
          <w:szCs w:val="20"/>
          <w:lang w:bidi="ar"/>
          <w14:ligatures w14:val="standardContextual"/>
        </w:rPr>
      </w:pPr>
      <w:r>
        <w:rPr>
          <w:rFonts w:hint="eastAsia" w:hAnsi="宋体" w:cs="宋体"/>
          <w:color w:val="auto"/>
          <w:kern w:val="2"/>
          <w:szCs w:val="20"/>
          <w:lang w:bidi="ar"/>
          <w14:ligatures w14:val="standardContextual"/>
        </w:rPr>
        <w:t>3）消防炮稳压给水设备设在新建消防泵房内，配套稳压泵参数为Q=2L/s，H=173m，N=7.5kW，380V，两台，一用一备，交替运行；气压罐容积为1000L。</w:t>
      </w:r>
    </w:p>
    <w:p>
      <w:pPr>
        <w:pStyle w:val="44"/>
        <w:widowControl w:val="0"/>
        <w:spacing w:before="0" w:beforeAutospacing="0" w:after="0" w:afterAutospacing="0" w:line="500" w:lineRule="exact"/>
        <w:ind w:firstLine="480" w:firstLineChars="200"/>
        <w:jc w:val="both"/>
        <w:rPr>
          <w:rFonts w:hint="eastAsia" w:hAnsi="宋体" w:cs="宋体"/>
          <w:color w:val="auto"/>
          <w:kern w:val="2"/>
          <w:szCs w:val="20"/>
          <w:lang w:bidi="ar"/>
          <w14:ligatures w14:val="standardContextual"/>
        </w:rPr>
      </w:pPr>
      <w:r>
        <w:rPr>
          <w:rFonts w:hint="eastAsia" w:hAnsi="宋体" w:cs="宋体"/>
          <w:color w:val="auto"/>
          <w:kern w:val="2"/>
          <w:szCs w:val="20"/>
          <w:lang w:bidi="ar"/>
          <w14:ligatures w14:val="standardContextual"/>
        </w:rPr>
        <w:t>4）水池内设置水位监测及控制装置，与消防炮加压泵联动。</w:t>
      </w:r>
    </w:p>
    <w:p>
      <w:pPr>
        <w:pStyle w:val="44"/>
        <w:widowControl w:val="0"/>
        <w:spacing w:before="0" w:beforeAutospacing="0" w:after="0" w:afterAutospacing="0" w:line="500" w:lineRule="exact"/>
        <w:ind w:firstLine="480" w:firstLineChars="200"/>
        <w:jc w:val="both"/>
        <w:rPr>
          <w:rFonts w:hint="eastAsia" w:hAnsi="宋体" w:cs="宋体"/>
          <w:color w:val="auto"/>
          <w:kern w:val="2"/>
          <w:szCs w:val="20"/>
          <w:lang w:bidi="ar"/>
          <w14:ligatures w14:val="standardContextual"/>
        </w:rPr>
      </w:pPr>
      <w:r>
        <w:rPr>
          <w:rFonts w:hint="eastAsia" w:hAnsi="宋体" w:cs="宋体"/>
          <w:color w:val="auto"/>
          <w:kern w:val="2"/>
          <w:szCs w:val="20"/>
          <w:lang w:bidi="ar"/>
          <w14:ligatures w14:val="standardContextual"/>
        </w:rPr>
        <w:t>5）系统控制</w:t>
      </w:r>
    </w:p>
    <w:p>
      <w:pPr>
        <w:pStyle w:val="44"/>
        <w:widowControl w:val="0"/>
        <w:spacing w:before="0" w:beforeAutospacing="0" w:after="0" w:afterAutospacing="0" w:line="500" w:lineRule="exact"/>
        <w:ind w:firstLine="480" w:firstLineChars="200"/>
        <w:jc w:val="both"/>
        <w:rPr>
          <w:rFonts w:hint="eastAsia" w:hAnsi="宋体" w:cs="宋体"/>
          <w:color w:val="auto"/>
          <w:kern w:val="2"/>
          <w:szCs w:val="20"/>
          <w:lang w:bidi="ar"/>
          <w14:ligatures w14:val="standardContextual"/>
        </w:rPr>
      </w:pPr>
      <w:r>
        <w:rPr>
          <w:rFonts w:hint="eastAsia" w:hAnsi="宋体" w:cs="宋体"/>
          <w:color w:val="auto"/>
          <w:kern w:val="2"/>
          <w:szCs w:val="20"/>
          <w:lang w:bidi="ar"/>
          <w14:ligatures w14:val="standardContextual"/>
        </w:rPr>
        <w:t>消防炮加压泵由设在水泵出水干管上的压力开关和稳压泵出水管上的流量开关启动。消防炮加压泵开启后，水泵运转信号反馈至消防控制中心，同时稳压泵停止运转。按下消防报警按钮，消防炮系统的指示灯亮。</w:t>
      </w:r>
    </w:p>
    <w:p>
      <w:pPr>
        <w:pStyle w:val="44"/>
        <w:widowControl w:val="0"/>
        <w:spacing w:before="0" w:beforeAutospacing="0" w:after="0" w:afterAutospacing="0" w:line="500" w:lineRule="exact"/>
        <w:ind w:firstLine="480" w:firstLineChars="200"/>
        <w:jc w:val="both"/>
        <w:rPr>
          <w:rFonts w:hint="eastAsia" w:hAnsi="宋体" w:cs="宋体"/>
          <w:color w:val="auto"/>
          <w:kern w:val="2"/>
          <w:szCs w:val="20"/>
          <w:lang w:bidi="ar"/>
          <w14:ligatures w14:val="standardContextual"/>
        </w:rPr>
      </w:pPr>
      <w:r>
        <w:rPr>
          <w:rFonts w:hint="eastAsia" w:hAnsi="宋体" w:cs="宋体"/>
          <w:color w:val="auto"/>
          <w:kern w:val="2"/>
          <w:szCs w:val="20"/>
          <w:lang w:bidi="ar"/>
          <w14:ligatures w14:val="standardContextual"/>
        </w:rPr>
        <w:t>消防炮加压泵能手动启停和自动启动。</w:t>
      </w:r>
    </w:p>
    <w:p>
      <w:pPr>
        <w:pStyle w:val="44"/>
        <w:widowControl w:val="0"/>
        <w:spacing w:before="0" w:beforeAutospacing="0" w:after="0" w:afterAutospacing="0" w:line="500" w:lineRule="exact"/>
        <w:ind w:firstLine="480" w:firstLineChars="200"/>
        <w:jc w:val="both"/>
        <w:rPr>
          <w:rFonts w:hint="eastAsia" w:hAnsi="宋体" w:cs="宋体"/>
          <w:color w:val="auto"/>
          <w:kern w:val="2"/>
          <w:szCs w:val="20"/>
          <w:lang w:bidi="ar"/>
          <w14:ligatures w14:val="standardContextual"/>
        </w:rPr>
      </w:pPr>
      <w:r>
        <w:rPr>
          <w:rFonts w:hint="eastAsia" w:hAnsi="宋体" w:cs="宋体"/>
          <w:color w:val="auto"/>
          <w:kern w:val="2"/>
          <w:szCs w:val="20"/>
          <w:lang w:bidi="ar"/>
          <w14:ligatures w14:val="standardContextual"/>
        </w:rPr>
        <w:t>6）管材</w:t>
      </w:r>
    </w:p>
    <w:p>
      <w:pPr>
        <w:pStyle w:val="44"/>
        <w:widowControl w:val="0"/>
        <w:spacing w:before="0" w:beforeAutospacing="0" w:after="0" w:afterAutospacing="0" w:line="500" w:lineRule="exact"/>
        <w:ind w:firstLine="480" w:firstLineChars="200"/>
        <w:jc w:val="both"/>
        <w:rPr>
          <w:rFonts w:hint="eastAsia" w:hAnsi="宋体" w:cs="宋体"/>
          <w:color w:val="auto"/>
          <w:kern w:val="2"/>
          <w:szCs w:val="20"/>
          <w:lang w:bidi="ar"/>
          <w14:ligatures w14:val="standardContextual"/>
        </w:rPr>
      </w:pPr>
      <w:r>
        <w:rPr>
          <w:rFonts w:hint="eastAsia" w:hAnsi="宋体" w:cs="宋体"/>
          <w:color w:val="auto"/>
          <w:kern w:val="2"/>
          <w:szCs w:val="20"/>
          <w:lang w:bidi="ar"/>
          <w14:ligatures w14:val="standardContextual"/>
        </w:rPr>
        <w:t>消防炮供水泵供水消防管道采用加厚热浸镀锌钢管，卡箍连接，拆卸处或与阀门连接处采用法兰连接，公称压力2.5MPa。</w:t>
      </w:r>
    </w:p>
    <w:p>
      <w:pPr>
        <w:pStyle w:val="44"/>
        <w:widowControl w:val="0"/>
        <w:spacing w:before="0" w:beforeAutospacing="0" w:after="0" w:afterAutospacing="0" w:line="500" w:lineRule="exact"/>
        <w:ind w:firstLine="480" w:firstLineChars="200"/>
        <w:jc w:val="both"/>
        <w:rPr>
          <w:rFonts w:hint="eastAsia" w:hAnsi="宋体" w:cs="宋体"/>
          <w:color w:val="auto"/>
          <w:kern w:val="2"/>
          <w:szCs w:val="20"/>
          <w:lang w:bidi="ar"/>
          <w14:ligatures w14:val="standardContextual"/>
        </w:rPr>
      </w:pPr>
      <w:r>
        <w:rPr>
          <w:rFonts w:hint="eastAsia" w:hAnsi="宋体" w:cs="宋体"/>
          <w:color w:val="auto"/>
          <w:kern w:val="2"/>
          <w:szCs w:val="20"/>
          <w:lang w:val="en-US" w:eastAsia="zh-CN" w:bidi="ar"/>
          <w14:ligatures w14:val="standardContextual"/>
        </w:rPr>
        <w:t>4.5.3</w:t>
      </w:r>
      <w:r>
        <w:rPr>
          <w:rFonts w:hint="eastAsia" w:hAnsi="宋体" w:cs="宋体"/>
          <w:color w:val="auto"/>
          <w:kern w:val="2"/>
          <w:szCs w:val="20"/>
          <w:lang w:bidi="ar"/>
          <w14:ligatures w14:val="standardContextual"/>
        </w:rPr>
        <w:t>室内消防设计</w:t>
      </w:r>
    </w:p>
    <w:p>
      <w:pPr>
        <w:pStyle w:val="44"/>
        <w:widowControl w:val="0"/>
        <w:spacing w:before="0" w:beforeAutospacing="0" w:after="0" w:afterAutospacing="0" w:line="500" w:lineRule="exact"/>
        <w:ind w:firstLine="480" w:firstLineChars="200"/>
        <w:jc w:val="both"/>
        <w:rPr>
          <w:rFonts w:hint="eastAsia" w:hAnsi="宋体" w:cs="宋体"/>
          <w:color w:val="auto"/>
          <w:kern w:val="2"/>
          <w:szCs w:val="20"/>
          <w:lang w:bidi="ar"/>
          <w14:ligatures w14:val="standardContextual"/>
        </w:rPr>
      </w:pPr>
      <w:r>
        <w:rPr>
          <w:rFonts w:hint="eastAsia" w:hAnsi="宋体" w:cs="宋体"/>
          <w:color w:val="auto"/>
          <w:kern w:val="2"/>
          <w:szCs w:val="20"/>
          <w:lang w:bidi="ar"/>
          <w14:ligatures w14:val="standardContextual"/>
        </w:rPr>
        <w:t>1）室内消火栓系统在竖向不分区。</w:t>
      </w:r>
    </w:p>
    <w:p>
      <w:pPr>
        <w:pStyle w:val="44"/>
        <w:widowControl w:val="0"/>
        <w:spacing w:before="0" w:beforeAutospacing="0" w:after="0" w:afterAutospacing="0" w:line="500" w:lineRule="exact"/>
        <w:ind w:firstLine="480" w:firstLineChars="200"/>
        <w:jc w:val="both"/>
        <w:rPr>
          <w:rFonts w:hint="eastAsia" w:hAnsi="宋体" w:cs="宋体"/>
          <w:color w:val="auto"/>
          <w:kern w:val="2"/>
          <w:szCs w:val="20"/>
          <w:lang w:bidi="ar"/>
          <w14:ligatures w14:val="standardContextual"/>
        </w:rPr>
      </w:pPr>
      <w:r>
        <w:rPr>
          <w:rFonts w:hint="eastAsia" w:hAnsi="宋体" w:cs="宋体"/>
          <w:color w:val="auto"/>
          <w:kern w:val="2"/>
          <w:szCs w:val="20"/>
          <w:lang w:bidi="ar"/>
          <w14:ligatures w14:val="standardContextual"/>
        </w:rPr>
        <w:t>2）室内消火栓布置满足室内任何一处均有两股水柱同时到达。水枪的充实水柱不小于13m。</w:t>
      </w:r>
    </w:p>
    <w:p>
      <w:pPr>
        <w:pStyle w:val="44"/>
        <w:widowControl w:val="0"/>
        <w:spacing w:before="0" w:beforeAutospacing="0" w:after="0" w:afterAutospacing="0" w:line="500" w:lineRule="exact"/>
        <w:ind w:firstLine="480" w:firstLineChars="200"/>
        <w:jc w:val="both"/>
        <w:rPr>
          <w:rFonts w:hint="eastAsia" w:hAnsi="宋体" w:cs="宋体"/>
          <w:color w:val="auto"/>
          <w:kern w:val="2"/>
          <w:szCs w:val="20"/>
          <w:lang w:bidi="ar"/>
          <w14:ligatures w14:val="standardContextual"/>
        </w:rPr>
      </w:pPr>
      <w:r>
        <w:rPr>
          <w:rFonts w:hint="eastAsia" w:hAnsi="宋体" w:cs="宋体"/>
          <w:color w:val="auto"/>
          <w:kern w:val="2"/>
          <w:szCs w:val="20"/>
          <w:lang w:bidi="ar"/>
          <w14:ligatures w14:val="standardContextual"/>
        </w:rPr>
        <w:t>3）每个室内消火栓箱内均配置DN65减压稳压型消火栓一个，DN65、L＝25m麻质衬胶水带一条，φ19直流-喷雾两用水枪一支，消防报警按钮一个，JPS1.6-19消防软管卷盘一套。</w:t>
      </w:r>
    </w:p>
    <w:p>
      <w:pPr>
        <w:pStyle w:val="44"/>
        <w:widowControl w:val="0"/>
        <w:spacing w:before="0" w:beforeAutospacing="0" w:after="0" w:afterAutospacing="0" w:line="500" w:lineRule="exact"/>
        <w:ind w:firstLine="480" w:firstLineChars="200"/>
        <w:jc w:val="both"/>
        <w:rPr>
          <w:rFonts w:hint="eastAsia" w:hAnsi="宋体" w:cs="宋体"/>
          <w:color w:val="auto"/>
          <w:kern w:val="2"/>
          <w:szCs w:val="20"/>
          <w:lang w:bidi="ar"/>
          <w14:ligatures w14:val="standardContextual"/>
        </w:rPr>
      </w:pPr>
      <w:r>
        <w:rPr>
          <w:rFonts w:hint="eastAsia" w:hAnsi="宋体" w:cs="宋体"/>
          <w:color w:val="auto"/>
          <w:kern w:val="2"/>
          <w:szCs w:val="20"/>
          <w:lang w:bidi="ar"/>
          <w14:ligatures w14:val="standardContextual"/>
        </w:rPr>
        <w:t>4）管材</w:t>
      </w:r>
    </w:p>
    <w:p>
      <w:pPr>
        <w:pStyle w:val="44"/>
        <w:widowControl w:val="0"/>
        <w:spacing w:before="0" w:beforeAutospacing="0" w:after="0" w:afterAutospacing="0" w:line="500" w:lineRule="exact"/>
        <w:ind w:firstLine="480" w:firstLineChars="200"/>
        <w:jc w:val="both"/>
        <w:rPr>
          <w:rFonts w:hint="eastAsia" w:hAnsi="宋体" w:cs="宋体"/>
          <w:color w:val="auto"/>
          <w:kern w:val="2"/>
          <w:szCs w:val="20"/>
          <w:lang w:bidi="ar"/>
          <w14:ligatures w14:val="standardContextual"/>
        </w:rPr>
      </w:pPr>
      <w:r>
        <w:rPr>
          <w:rFonts w:hint="eastAsia" w:hAnsi="宋体" w:cs="宋体"/>
          <w:color w:val="auto"/>
          <w:kern w:val="2"/>
          <w:szCs w:val="20"/>
          <w:lang w:bidi="ar"/>
          <w14:ligatures w14:val="standardContextual"/>
        </w:rPr>
        <w:t>室内消火栓给水管道采用加厚热浸镀锌钢管，丝接或沟槽式连接，阀门连接处采用法兰连接，公称压力2.5MPa。</w:t>
      </w:r>
    </w:p>
    <w:p>
      <w:pPr>
        <w:pStyle w:val="44"/>
        <w:widowControl w:val="0"/>
        <w:spacing w:before="0" w:beforeAutospacing="0" w:after="0" w:afterAutospacing="0" w:line="500" w:lineRule="exact"/>
        <w:ind w:firstLine="480" w:firstLineChars="200"/>
        <w:jc w:val="both"/>
        <w:rPr>
          <w:rFonts w:hint="eastAsia" w:hAnsi="宋体" w:cs="宋体"/>
          <w:color w:val="auto"/>
          <w:kern w:val="2"/>
          <w:szCs w:val="20"/>
          <w:lang w:bidi="ar"/>
          <w14:ligatures w14:val="standardContextual"/>
        </w:rPr>
      </w:pPr>
      <w:r>
        <w:rPr>
          <w:rFonts w:hint="eastAsia" w:hAnsi="宋体" w:cs="宋体"/>
          <w:color w:val="auto"/>
          <w:kern w:val="2"/>
          <w:szCs w:val="20"/>
          <w:lang w:val="en-US" w:eastAsia="zh-CN" w:bidi="ar"/>
          <w14:ligatures w14:val="standardContextual"/>
        </w:rPr>
        <w:t>4.5.4</w:t>
      </w:r>
      <w:r>
        <w:rPr>
          <w:rFonts w:hint="eastAsia" w:hAnsi="宋体" w:cs="宋体"/>
          <w:color w:val="auto"/>
          <w:kern w:val="2"/>
          <w:szCs w:val="20"/>
          <w:lang w:bidi="ar"/>
          <w14:ligatures w14:val="standardContextual"/>
        </w:rPr>
        <w:t>室外消防设计</w:t>
      </w:r>
    </w:p>
    <w:p>
      <w:pPr>
        <w:pStyle w:val="44"/>
        <w:widowControl w:val="0"/>
        <w:spacing w:before="0" w:beforeAutospacing="0" w:after="0" w:afterAutospacing="0" w:line="500" w:lineRule="exact"/>
        <w:ind w:firstLine="480" w:firstLineChars="200"/>
        <w:jc w:val="both"/>
        <w:rPr>
          <w:rFonts w:hint="eastAsia" w:hAnsi="宋体" w:cs="宋体"/>
          <w:color w:val="auto"/>
          <w:kern w:val="2"/>
          <w:szCs w:val="20"/>
          <w:lang w:val="zh-CN" w:bidi="ar"/>
          <w14:ligatures w14:val="standardContextual"/>
        </w:rPr>
      </w:pPr>
      <w:r>
        <w:rPr>
          <w:rFonts w:hint="eastAsia" w:hAnsi="宋体" w:cs="宋体"/>
          <w:color w:val="auto"/>
          <w:kern w:val="2"/>
          <w:szCs w:val="20"/>
          <w:lang w:val="zh-CN" w:bidi="ar"/>
          <w14:ligatures w14:val="standardContextual"/>
        </w:rPr>
        <w:t>室外消</w:t>
      </w:r>
      <w:r>
        <w:rPr>
          <w:rFonts w:hint="eastAsia" w:hAnsi="宋体" w:cs="宋体"/>
          <w:color w:val="auto"/>
          <w:kern w:val="2"/>
          <w:szCs w:val="20"/>
          <w:lang w:bidi="ar"/>
          <w14:ligatures w14:val="standardContextual"/>
        </w:rPr>
        <w:t>防</w:t>
      </w:r>
      <w:r>
        <w:rPr>
          <w:rFonts w:hint="eastAsia" w:hAnsi="宋体" w:cs="宋体"/>
          <w:color w:val="auto"/>
          <w:kern w:val="2"/>
          <w:szCs w:val="20"/>
          <w:lang w:val="zh-CN" w:bidi="ar"/>
          <w14:ligatures w14:val="standardContextual"/>
        </w:rPr>
        <w:t>管网埋地成环布置。室外消火栓采用地</w:t>
      </w:r>
      <w:r>
        <w:rPr>
          <w:rFonts w:hint="eastAsia" w:hAnsi="宋体" w:cs="宋体"/>
          <w:color w:val="auto"/>
          <w:kern w:val="2"/>
          <w:szCs w:val="20"/>
          <w:lang w:bidi="ar"/>
          <w14:ligatures w14:val="standardContextual"/>
        </w:rPr>
        <w:t>上</w:t>
      </w:r>
      <w:r>
        <w:rPr>
          <w:rFonts w:hint="eastAsia" w:hAnsi="宋体" w:cs="宋体"/>
          <w:color w:val="auto"/>
          <w:kern w:val="2"/>
          <w:szCs w:val="20"/>
          <w:lang w:val="zh-CN" w:bidi="ar"/>
          <w14:ligatures w14:val="standardContextual"/>
        </w:rPr>
        <w:t>式室外消火栓，</w:t>
      </w:r>
      <w:r>
        <w:rPr>
          <w:rFonts w:hint="eastAsia" w:hAnsi="宋体" w:cs="宋体"/>
          <w:color w:val="auto"/>
          <w:kern w:val="2"/>
          <w:szCs w:val="20"/>
          <w:lang w:bidi="ar"/>
          <w14:ligatures w14:val="standardContextual"/>
        </w:rPr>
        <w:t>并选取防撞、防冻栓，</w:t>
      </w:r>
      <w:r>
        <w:rPr>
          <w:rFonts w:hint="eastAsia" w:hAnsi="宋体" w:cs="宋体"/>
          <w:color w:val="auto"/>
          <w:kern w:val="2"/>
          <w:szCs w:val="20"/>
          <w:lang w:val="zh-CN" w:bidi="ar"/>
          <w14:ligatures w14:val="standardContextual"/>
        </w:rPr>
        <w:t>布置间距</w:t>
      </w:r>
      <w:r>
        <w:rPr>
          <w:rFonts w:hint="eastAsia" w:hAnsi="宋体" w:cs="宋体"/>
          <w:color w:val="auto"/>
          <w:kern w:val="2"/>
          <w:szCs w:val="20"/>
          <w:lang w:bidi="ar"/>
          <w14:ligatures w14:val="standardContextual"/>
        </w:rPr>
        <w:t>≤6</w:t>
      </w:r>
      <w:r>
        <w:rPr>
          <w:rFonts w:hint="eastAsia" w:hAnsi="宋体" w:cs="宋体"/>
          <w:color w:val="auto"/>
          <w:kern w:val="2"/>
          <w:szCs w:val="20"/>
          <w:lang w:val="zh-CN" w:bidi="ar"/>
          <w14:ligatures w14:val="standardContextual"/>
        </w:rPr>
        <w:t>0m，保护半径</w:t>
      </w:r>
      <w:r>
        <w:rPr>
          <w:rFonts w:hint="eastAsia" w:hAnsi="宋体" w:cs="宋体"/>
          <w:color w:val="auto"/>
          <w:kern w:val="2"/>
          <w:szCs w:val="20"/>
          <w:lang w:bidi="ar"/>
          <w14:ligatures w14:val="standardContextual"/>
        </w:rPr>
        <w:t>≤</w:t>
      </w:r>
      <w:r>
        <w:rPr>
          <w:rFonts w:hint="eastAsia" w:hAnsi="宋体" w:cs="宋体"/>
          <w:color w:val="auto"/>
          <w:kern w:val="2"/>
          <w:szCs w:val="20"/>
          <w:lang w:val="zh-CN" w:bidi="ar"/>
          <w14:ligatures w14:val="standardContextual"/>
        </w:rPr>
        <w:t>150m。</w:t>
      </w:r>
    </w:p>
    <w:p>
      <w:pPr>
        <w:pStyle w:val="44"/>
        <w:widowControl w:val="0"/>
        <w:spacing w:before="0" w:beforeAutospacing="0" w:after="0" w:afterAutospacing="0" w:line="500" w:lineRule="exact"/>
        <w:ind w:firstLine="480" w:firstLineChars="200"/>
        <w:jc w:val="both"/>
        <w:rPr>
          <w:rFonts w:hint="eastAsia" w:hAnsi="宋体" w:cs="宋体"/>
          <w:color w:val="auto"/>
          <w:kern w:val="2"/>
          <w:szCs w:val="20"/>
          <w:lang w:bidi="ar"/>
          <w14:ligatures w14:val="standardContextual"/>
        </w:rPr>
      </w:pPr>
      <w:r>
        <w:rPr>
          <w:rFonts w:hint="eastAsia" w:hAnsi="宋体" w:cs="宋体"/>
          <w:color w:val="auto"/>
          <w:kern w:val="2"/>
          <w:szCs w:val="20"/>
          <w:lang w:bidi="ar"/>
          <w14:ligatures w14:val="standardContextual"/>
        </w:rPr>
        <w:t>经校核，新建储煤场处于1个室外消火栓的150m保护范围内，为满足要求，本次新增室外消火栓6套。</w:t>
      </w:r>
    </w:p>
    <w:p>
      <w:pPr>
        <w:pStyle w:val="44"/>
        <w:widowControl w:val="0"/>
        <w:spacing w:before="0" w:beforeAutospacing="0" w:after="0" w:afterAutospacing="0" w:line="500" w:lineRule="exact"/>
        <w:ind w:firstLine="480" w:firstLineChars="200"/>
        <w:jc w:val="both"/>
        <w:rPr>
          <w:rFonts w:hint="eastAsia" w:hAnsi="宋体" w:cs="宋体"/>
          <w:color w:val="auto"/>
          <w:kern w:val="2"/>
          <w:szCs w:val="20"/>
          <w:lang w:bidi="ar"/>
          <w14:ligatures w14:val="standardContextual"/>
        </w:rPr>
      </w:pPr>
      <w:r>
        <w:rPr>
          <w:rFonts w:hint="eastAsia" w:hAnsi="宋体" w:cs="宋体"/>
          <w:color w:val="auto"/>
          <w:kern w:val="2"/>
          <w:szCs w:val="20"/>
          <w:lang w:bidi="ar"/>
          <w14:ligatures w14:val="standardContextual"/>
        </w:rPr>
        <w:t>室外消防管网管材采用无缝钢管，沟槽连接，公称压力2.5MPa，管道埋深2.10m。</w:t>
      </w:r>
    </w:p>
    <w:p>
      <w:pPr>
        <w:pStyle w:val="44"/>
        <w:widowControl w:val="0"/>
        <w:spacing w:before="0" w:beforeAutospacing="0" w:after="0" w:afterAutospacing="0" w:line="500" w:lineRule="exact"/>
        <w:ind w:firstLine="480" w:firstLineChars="200"/>
        <w:jc w:val="both"/>
        <w:rPr>
          <w:rFonts w:hint="eastAsia" w:hAnsi="宋体" w:cs="宋体"/>
          <w:color w:val="auto"/>
          <w:kern w:val="2"/>
          <w:szCs w:val="20"/>
          <w:lang w:bidi="ar"/>
          <w14:ligatures w14:val="standardContextual"/>
        </w:rPr>
      </w:pPr>
      <w:r>
        <w:rPr>
          <w:rFonts w:hint="eastAsia" w:hAnsi="宋体" w:cs="宋体"/>
          <w:color w:val="auto"/>
          <w:kern w:val="2"/>
          <w:szCs w:val="20"/>
          <w:lang w:val="en-US" w:eastAsia="zh-CN" w:bidi="ar"/>
          <w14:ligatures w14:val="standardContextual"/>
        </w:rPr>
        <w:t>4.5.5</w:t>
      </w:r>
      <w:r>
        <w:rPr>
          <w:rFonts w:hint="eastAsia" w:hAnsi="宋体" w:cs="宋体"/>
          <w:color w:val="auto"/>
          <w:kern w:val="2"/>
          <w:szCs w:val="20"/>
          <w:lang w:bidi="ar"/>
          <w14:ligatures w14:val="standardContextual"/>
        </w:rPr>
        <w:t>灭火器配置</w:t>
      </w:r>
    </w:p>
    <w:p>
      <w:pPr>
        <w:pStyle w:val="44"/>
        <w:widowControl w:val="0"/>
        <w:spacing w:before="0" w:beforeAutospacing="0" w:after="0" w:afterAutospacing="0" w:line="500" w:lineRule="exact"/>
        <w:ind w:firstLine="480" w:firstLineChars="200"/>
        <w:jc w:val="both"/>
        <w:rPr>
          <w:rFonts w:hint="eastAsia" w:hAnsi="宋体" w:cs="宋体"/>
          <w:color w:val="auto"/>
          <w:kern w:val="2"/>
          <w:szCs w:val="20"/>
          <w:lang w:bidi="ar"/>
          <w14:ligatures w14:val="standardContextual"/>
        </w:rPr>
      </w:pPr>
      <w:r>
        <w:rPr>
          <w:rFonts w:hint="eastAsia" w:hAnsi="宋体" w:cs="宋体"/>
          <w:color w:val="auto"/>
          <w:kern w:val="2"/>
          <w:szCs w:val="20"/>
          <w:lang w:bidi="ar"/>
          <w14:ligatures w14:val="standardContextual"/>
        </w:rPr>
        <w:t>根据《建筑灭火器配置设计规范》GB 50140-2005配备手提式磷酸铵盐干粉灭火器MF/ABC4、消防铲等，配电室配备手提式二氧化碳灭火器MT7，以满足消防的要求。手提式二氧化碳灭火器不得使用金属喇叭喷筒。</w:t>
      </w:r>
    </w:p>
    <w:p>
      <w:pPr>
        <w:pStyle w:val="44"/>
        <w:widowControl w:val="0"/>
        <w:spacing w:before="0" w:beforeAutospacing="0" w:after="0" w:afterAutospacing="0" w:line="500" w:lineRule="exact"/>
        <w:ind w:firstLine="482" w:firstLineChars="200"/>
        <w:jc w:val="both"/>
        <w:rPr>
          <w:rFonts w:hint="default" w:hAnsi="宋体" w:cs="宋体"/>
          <w:color w:val="auto"/>
          <w:kern w:val="2"/>
          <w:szCs w:val="20"/>
          <w:lang w:val="en-US" w:eastAsia="zh-CN" w:bidi="ar"/>
          <w14:ligatures w14:val="standardContextual"/>
        </w:rPr>
      </w:pPr>
      <w:r>
        <w:rPr>
          <w:rFonts w:hint="eastAsia" w:hAnsi="宋体" w:cs="宋体"/>
          <w:b/>
          <w:bCs/>
          <w:color w:val="auto"/>
          <w:kern w:val="2"/>
          <w:szCs w:val="20"/>
          <w:lang w:bidi="ar"/>
          <w14:ligatures w14:val="standardContextual"/>
        </w:rPr>
        <w:t>4.</w:t>
      </w:r>
      <w:r>
        <w:rPr>
          <w:rFonts w:hint="eastAsia" w:hAnsi="宋体" w:cs="宋体"/>
          <w:b/>
          <w:bCs/>
          <w:color w:val="auto"/>
          <w:kern w:val="2"/>
          <w:szCs w:val="20"/>
          <w:lang w:val="en-US" w:eastAsia="zh-CN" w:bidi="ar"/>
          <w14:ligatures w14:val="standardContextual"/>
        </w:rPr>
        <w:t>6总平面图布置</w:t>
      </w:r>
    </w:p>
    <w:p>
      <w:pPr>
        <w:pStyle w:val="44"/>
        <w:widowControl w:val="0"/>
        <w:spacing w:before="0" w:beforeAutospacing="0" w:after="0" w:afterAutospacing="0" w:line="500" w:lineRule="exact"/>
        <w:ind w:firstLine="480" w:firstLineChars="200"/>
        <w:jc w:val="both"/>
        <w:rPr>
          <w:rFonts w:hint="eastAsia" w:hAnsi="宋体" w:cs="宋体"/>
          <w:color w:val="auto"/>
          <w:kern w:val="2"/>
          <w:szCs w:val="20"/>
          <w:lang w:bidi="ar"/>
          <w14:ligatures w14:val="standardContextual"/>
        </w:rPr>
      </w:pPr>
      <w:bookmarkStart w:id="88" w:name="_Toc20314"/>
      <w:bookmarkStart w:id="89" w:name="_Toc3014"/>
      <w:r>
        <w:rPr>
          <w:rFonts w:hint="eastAsia" w:hAnsi="宋体" w:cs="宋体"/>
          <w:color w:val="auto"/>
          <w:kern w:val="2"/>
          <w:szCs w:val="20"/>
          <w:lang w:val="en-US" w:eastAsia="zh-CN" w:bidi="ar"/>
          <w14:ligatures w14:val="standardContextual"/>
        </w:rPr>
        <w:t>4.6.1</w:t>
      </w:r>
      <w:r>
        <w:rPr>
          <w:rFonts w:hint="eastAsia" w:hAnsi="宋体" w:cs="宋体"/>
          <w:color w:val="auto"/>
          <w:kern w:val="2"/>
          <w:szCs w:val="20"/>
          <w:lang w:bidi="ar"/>
          <w14:ligatures w14:val="standardContextual"/>
        </w:rPr>
        <w:t>概况</w:t>
      </w:r>
      <w:bookmarkEnd w:id="88"/>
    </w:p>
    <w:p>
      <w:pPr>
        <w:pStyle w:val="44"/>
        <w:widowControl w:val="0"/>
        <w:spacing w:before="0" w:beforeAutospacing="0" w:after="0" w:afterAutospacing="0" w:line="500" w:lineRule="exact"/>
        <w:ind w:firstLine="480" w:firstLineChars="200"/>
        <w:jc w:val="both"/>
        <w:rPr>
          <w:rFonts w:hint="eastAsia" w:hAnsi="宋体" w:cs="宋体"/>
          <w:color w:val="auto"/>
          <w:kern w:val="2"/>
          <w:szCs w:val="20"/>
          <w:lang w:bidi="ar"/>
          <w14:ligatures w14:val="standardContextual"/>
        </w:rPr>
      </w:pPr>
      <w:r>
        <w:rPr>
          <w:rFonts w:hint="eastAsia" w:hAnsi="宋体" w:cs="宋体"/>
          <w:color w:val="auto"/>
          <w:kern w:val="2"/>
          <w:szCs w:val="20"/>
          <w:lang w:bidi="ar"/>
          <w14:ligatures w14:val="standardContextual"/>
        </w:rPr>
        <w:t>中煤鄂尔多斯能源化工有限公司是中煤能源股份有限公司在鄂尔多斯地区设立的全资子公司。其位于内蒙古自治区鄂尔多斯市乌审旗图克镇工业园区。北距东乌铁路约30km，南靠S313省道，东南有包西铁路、包茂高速公路临境而过，距鄂尔多斯飞机场70km，铁路、公路、航空四通八达，交通运输便捷。项目设计建设规模为年产200万吨合成氨、350万吨尿素，总投资为200亿元，占地面积126.79公顷。</w:t>
      </w:r>
    </w:p>
    <w:p>
      <w:pPr>
        <w:pStyle w:val="44"/>
        <w:widowControl w:val="0"/>
        <w:spacing w:before="0" w:beforeAutospacing="0" w:after="0" w:afterAutospacing="0" w:line="500" w:lineRule="exact"/>
        <w:ind w:firstLine="480" w:firstLineChars="200"/>
        <w:jc w:val="both"/>
        <w:rPr>
          <w:rFonts w:hint="eastAsia" w:hAnsi="宋体" w:cs="宋体"/>
          <w:color w:val="auto"/>
          <w:kern w:val="2"/>
          <w:szCs w:val="20"/>
          <w:lang w:val="en-US" w:eastAsia="zh-CN" w:bidi="ar"/>
          <w14:ligatures w14:val="standardContextual"/>
        </w:rPr>
      </w:pPr>
      <w:r>
        <w:rPr>
          <w:rFonts w:hint="eastAsia" w:hAnsi="宋体" w:cs="宋体"/>
          <w:color w:val="auto"/>
          <w:kern w:val="2"/>
          <w:szCs w:val="20"/>
          <w:lang w:bidi="ar"/>
          <w14:ligatures w14:val="standardContextual"/>
        </w:rPr>
        <w:t>本次设计主要对汽车卸煤场地进行粉尘治理，增加抑尘及卸煤场封闭设施，以满足环保要求</w:t>
      </w:r>
      <w:r>
        <w:rPr>
          <w:rFonts w:hint="eastAsia" w:hAnsi="宋体" w:cs="宋体"/>
          <w:color w:val="auto"/>
          <w:kern w:val="2"/>
          <w:szCs w:val="20"/>
          <w:lang w:eastAsia="zh-CN" w:bidi="ar"/>
          <w14:ligatures w14:val="standardContextual"/>
        </w:rPr>
        <w:t>。</w:t>
      </w:r>
    </w:p>
    <w:p>
      <w:pPr>
        <w:pStyle w:val="44"/>
        <w:widowControl w:val="0"/>
        <w:spacing w:before="0" w:beforeAutospacing="0" w:after="0" w:afterAutospacing="0" w:line="500" w:lineRule="exact"/>
        <w:ind w:firstLine="480" w:firstLineChars="200"/>
        <w:jc w:val="both"/>
        <w:rPr>
          <w:rFonts w:hint="eastAsia" w:hAnsi="宋体" w:cs="宋体"/>
          <w:color w:val="auto"/>
          <w:kern w:val="2"/>
          <w:szCs w:val="20"/>
          <w:lang w:bidi="ar"/>
          <w14:ligatures w14:val="standardContextual"/>
        </w:rPr>
      </w:pPr>
      <w:r>
        <w:rPr>
          <w:rFonts w:hint="eastAsia" w:hAnsi="宋体" w:cs="宋体"/>
          <w:color w:val="auto"/>
          <w:kern w:val="2"/>
          <w:szCs w:val="20"/>
          <w:lang w:val="en-US" w:eastAsia="zh-CN" w:bidi="ar"/>
          <w14:ligatures w14:val="standardContextual"/>
        </w:rPr>
        <w:t>4.6.2</w:t>
      </w:r>
      <w:r>
        <w:rPr>
          <w:rFonts w:hint="eastAsia" w:hAnsi="宋体" w:cs="宋体"/>
          <w:color w:val="auto"/>
          <w:kern w:val="2"/>
          <w:szCs w:val="20"/>
          <w:lang w:bidi="ar"/>
          <w14:ligatures w14:val="standardContextual"/>
        </w:rPr>
        <w:t>总平面布置</w:t>
      </w:r>
      <w:bookmarkEnd w:id="89"/>
    </w:p>
    <w:p>
      <w:pPr>
        <w:pStyle w:val="44"/>
        <w:widowControl w:val="0"/>
        <w:spacing w:before="0" w:beforeAutospacing="0" w:after="0" w:afterAutospacing="0" w:line="500" w:lineRule="exact"/>
        <w:ind w:firstLine="480" w:firstLineChars="200"/>
        <w:jc w:val="both"/>
        <w:rPr>
          <w:rFonts w:hint="eastAsia" w:hAnsi="宋体" w:cs="宋体"/>
          <w:color w:val="auto"/>
          <w:kern w:val="2"/>
          <w:szCs w:val="20"/>
          <w:lang w:bidi="ar"/>
          <w14:ligatures w14:val="standardContextual"/>
        </w:rPr>
      </w:pPr>
      <w:r>
        <w:rPr>
          <w:rFonts w:hint="eastAsia" w:hAnsi="宋体" w:cs="宋体"/>
          <w:color w:val="auto"/>
          <w:kern w:val="2"/>
          <w:szCs w:val="20"/>
          <w:lang w:bidi="ar"/>
          <w14:ligatures w14:val="standardContextual"/>
        </w:rPr>
        <w:t>1）布置原则</w:t>
      </w:r>
    </w:p>
    <w:p>
      <w:pPr>
        <w:pStyle w:val="44"/>
        <w:widowControl w:val="0"/>
        <w:spacing w:before="0" w:beforeAutospacing="0" w:after="0" w:afterAutospacing="0" w:line="500" w:lineRule="exact"/>
        <w:ind w:firstLine="480" w:firstLineChars="200"/>
        <w:jc w:val="both"/>
        <w:rPr>
          <w:rFonts w:hint="eastAsia" w:hAnsi="宋体" w:cs="宋体"/>
          <w:color w:val="auto"/>
          <w:kern w:val="2"/>
          <w:szCs w:val="20"/>
          <w:lang w:bidi="ar"/>
          <w14:ligatures w14:val="standardContextual"/>
        </w:rPr>
      </w:pPr>
      <w:r>
        <w:rPr>
          <w:rFonts w:hint="eastAsia" w:hAnsi="宋体" w:cs="宋体"/>
          <w:color w:val="auto"/>
          <w:kern w:val="2"/>
          <w:szCs w:val="20"/>
          <w:lang w:bidi="ar"/>
          <w14:ligatures w14:val="standardContextual"/>
        </w:rPr>
        <w:t>（</w:t>
      </w:r>
      <w:r>
        <w:rPr>
          <w:rFonts w:hint="eastAsia" w:hAnsi="宋体" w:cs="宋体"/>
          <w:color w:val="auto"/>
          <w:kern w:val="2"/>
          <w:szCs w:val="20"/>
          <w:lang w:val="en-US" w:eastAsia="zh-CN" w:bidi="ar"/>
          <w14:ligatures w14:val="standardContextual"/>
        </w:rPr>
        <w:t>1</w:t>
      </w:r>
      <w:r>
        <w:rPr>
          <w:rFonts w:hint="eastAsia" w:hAnsi="宋体" w:cs="宋体"/>
          <w:color w:val="auto"/>
          <w:kern w:val="2"/>
          <w:szCs w:val="20"/>
          <w:lang w:bidi="ar"/>
          <w14:ligatures w14:val="standardContextual"/>
        </w:rPr>
        <w:t>）</w:t>
      </w:r>
      <w:r>
        <w:rPr>
          <w:rFonts w:hint="eastAsia" w:hAnsi="宋体" w:cs="宋体"/>
          <w:color w:val="auto"/>
          <w:kern w:val="2"/>
          <w:szCs w:val="20"/>
          <w:lang w:val="it-IT" w:bidi="ar"/>
          <w14:ligatures w14:val="standardContextual"/>
        </w:rPr>
        <w:t>本次设计总平面布置在不影响</w:t>
      </w:r>
      <w:r>
        <w:rPr>
          <w:rFonts w:hint="eastAsia" w:hAnsi="宋体" w:cs="宋体"/>
          <w:color w:val="auto"/>
          <w:kern w:val="2"/>
          <w:szCs w:val="20"/>
          <w:lang w:bidi="ar"/>
          <w14:ligatures w14:val="standardContextual"/>
        </w:rPr>
        <w:t>园区</w:t>
      </w:r>
      <w:r>
        <w:rPr>
          <w:rFonts w:hint="eastAsia" w:hAnsi="宋体" w:cs="宋体"/>
          <w:color w:val="auto"/>
          <w:kern w:val="2"/>
          <w:szCs w:val="20"/>
          <w:lang w:val="it-IT" w:bidi="ar"/>
          <w14:ligatures w14:val="standardContextual"/>
        </w:rPr>
        <w:t>正常生产的前提下，充分利用</w:t>
      </w:r>
      <w:r>
        <w:rPr>
          <w:rFonts w:hint="eastAsia" w:hAnsi="宋体" w:cs="宋体"/>
          <w:color w:val="auto"/>
          <w:kern w:val="2"/>
          <w:szCs w:val="20"/>
          <w:lang w:bidi="ar"/>
          <w14:ligatures w14:val="standardContextual"/>
        </w:rPr>
        <w:t>场内</w:t>
      </w:r>
      <w:r>
        <w:rPr>
          <w:rFonts w:hint="eastAsia" w:hAnsi="宋体" w:cs="宋体"/>
          <w:color w:val="auto"/>
          <w:kern w:val="2"/>
          <w:szCs w:val="20"/>
          <w:lang w:val="it-IT" w:bidi="ar"/>
          <w14:ligatures w14:val="standardContextual"/>
        </w:rPr>
        <w:t>已有</w:t>
      </w:r>
      <w:r>
        <w:rPr>
          <w:rFonts w:hint="eastAsia" w:hAnsi="宋体" w:cs="宋体"/>
          <w:color w:val="auto"/>
          <w:kern w:val="2"/>
          <w:szCs w:val="20"/>
          <w:lang w:bidi="ar"/>
          <w14:ligatures w14:val="standardContextual"/>
        </w:rPr>
        <w:t>场地</w:t>
      </w:r>
      <w:r>
        <w:rPr>
          <w:rFonts w:hint="eastAsia" w:hAnsi="宋体" w:cs="宋体"/>
          <w:color w:val="auto"/>
          <w:kern w:val="2"/>
          <w:szCs w:val="20"/>
          <w:lang w:val="it-IT" w:bidi="ar"/>
          <w14:ligatures w14:val="standardContextual"/>
        </w:rPr>
        <w:t>进行</w:t>
      </w:r>
      <w:r>
        <w:rPr>
          <w:rFonts w:hint="eastAsia" w:hAnsi="宋体" w:cs="宋体"/>
          <w:color w:val="auto"/>
          <w:kern w:val="2"/>
          <w:szCs w:val="20"/>
          <w:lang w:bidi="ar"/>
          <w14:ligatures w14:val="standardContextual"/>
        </w:rPr>
        <w:t>布置</w:t>
      </w:r>
      <w:r>
        <w:rPr>
          <w:rFonts w:hint="eastAsia" w:hAnsi="宋体" w:cs="宋体"/>
          <w:color w:val="auto"/>
          <w:kern w:val="2"/>
          <w:szCs w:val="20"/>
          <w:lang w:val="it-IT" w:bidi="ar"/>
          <w14:ligatures w14:val="standardContextual"/>
        </w:rPr>
        <w:t>；</w:t>
      </w:r>
    </w:p>
    <w:p>
      <w:pPr>
        <w:pStyle w:val="44"/>
        <w:widowControl w:val="0"/>
        <w:spacing w:before="0" w:beforeAutospacing="0" w:after="0" w:afterAutospacing="0" w:line="500" w:lineRule="exact"/>
        <w:ind w:firstLine="480" w:firstLineChars="200"/>
        <w:jc w:val="both"/>
        <w:rPr>
          <w:rFonts w:hint="eastAsia" w:hAnsi="宋体" w:cs="宋体"/>
          <w:color w:val="auto"/>
          <w:kern w:val="2"/>
          <w:szCs w:val="20"/>
          <w:lang w:bidi="ar"/>
          <w14:ligatures w14:val="standardContextual"/>
        </w:rPr>
      </w:pPr>
      <w:r>
        <w:rPr>
          <w:rFonts w:hint="eastAsia" w:hAnsi="宋体" w:cs="宋体"/>
          <w:color w:val="auto"/>
          <w:kern w:val="2"/>
          <w:szCs w:val="20"/>
          <w:lang w:bidi="ar"/>
          <w14:ligatures w14:val="standardContextual"/>
        </w:rPr>
        <w:t>（</w:t>
      </w:r>
      <w:r>
        <w:rPr>
          <w:rFonts w:hint="eastAsia" w:hAnsi="宋体" w:cs="宋体"/>
          <w:color w:val="auto"/>
          <w:kern w:val="2"/>
          <w:szCs w:val="20"/>
          <w:lang w:val="en-US" w:eastAsia="zh-CN" w:bidi="ar"/>
          <w14:ligatures w14:val="standardContextual"/>
        </w:rPr>
        <w:t>2</w:t>
      </w:r>
      <w:r>
        <w:rPr>
          <w:rFonts w:hint="eastAsia" w:hAnsi="宋体" w:cs="宋体"/>
          <w:color w:val="auto"/>
          <w:kern w:val="2"/>
          <w:szCs w:val="20"/>
          <w:lang w:bidi="ar"/>
          <w14:ligatures w14:val="standardContextual"/>
        </w:rPr>
        <w:t>）满足国家有关卫生、安全、防火、环保等规程、规范的要求；</w:t>
      </w:r>
    </w:p>
    <w:p>
      <w:pPr>
        <w:pStyle w:val="44"/>
        <w:widowControl w:val="0"/>
        <w:spacing w:before="0" w:beforeAutospacing="0" w:after="0" w:afterAutospacing="0" w:line="500" w:lineRule="exact"/>
        <w:ind w:firstLine="480" w:firstLineChars="200"/>
        <w:jc w:val="both"/>
        <w:rPr>
          <w:rFonts w:hint="eastAsia" w:hAnsi="宋体" w:cs="宋体"/>
          <w:color w:val="auto"/>
          <w:kern w:val="2"/>
          <w:szCs w:val="20"/>
          <w:lang w:bidi="ar"/>
          <w14:ligatures w14:val="standardContextual"/>
        </w:rPr>
      </w:pPr>
      <w:r>
        <w:rPr>
          <w:rFonts w:hint="eastAsia" w:hAnsi="宋体" w:cs="宋体"/>
          <w:color w:val="auto"/>
          <w:kern w:val="2"/>
          <w:szCs w:val="20"/>
          <w:lang w:bidi="ar"/>
          <w14:ligatures w14:val="standardContextual"/>
        </w:rPr>
        <w:t>（</w:t>
      </w:r>
      <w:r>
        <w:rPr>
          <w:rFonts w:hint="eastAsia" w:hAnsi="宋体" w:cs="宋体"/>
          <w:color w:val="auto"/>
          <w:kern w:val="2"/>
          <w:szCs w:val="20"/>
          <w:lang w:val="en-US" w:eastAsia="zh-CN" w:bidi="ar"/>
          <w14:ligatures w14:val="standardContextual"/>
        </w:rPr>
        <w:t>3</w:t>
      </w:r>
      <w:r>
        <w:rPr>
          <w:rFonts w:hint="eastAsia" w:hAnsi="宋体" w:cs="宋体"/>
          <w:color w:val="auto"/>
          <w:kern w:val="2"/>
          <w:szCs w:val="20"/>
          <w:lang w:bidi="ar"/>
          <w14:ligatures w14:val="standardContextual"/>
        </w:rPr>
        <w:t>）尽可能满足建设方提出的的其他要求。</w:t>
      </w:r>
    </w:p>
    <w:p>
      <w:pPr>
        <w:pStyle w:val="44"/>
        <w:widowControl w:val="0"/>
        <w:spacing w:before="0" w:beforeAutospacing="0" w:after="0" w:afterAutospacing="0" w:line="500" w:lineRule="exact"/>
        <w:ind w:firstLine="480" w:firstLineChars="200"/>
        <w:jc w:val="both"/>
        <w:rPr>
          <w:rFonts w:hint="eastAsia" w:hAnsi="宋体" w:cs="宋体"/>
          <w:color w:val="auto"/>
          <w:kern w:val="2"/>
          <w:szCs w:val="20"/>
          <w:lang w:bidi="ar"/>
          <w14:ligatures w14:val="standardContextual"/>
        </w:rPr>
      </w:pPr>
      <w:r>
        <w:rPr>
          <w:rFonts w:hint="eastAsia" w:hAnsi="宋体" w:cs="宋体"/>
          <w:color w:val="auto"/>
          <w:kern w:val="2"/>
          <w:szCs w:val="20"/>
          <w:lang w:val="en-US" w:eastAsia="zh-CN" w:bidi="ar"/>
          <w14:ligatures w14:val="standardContextual"/>
        </w:rPr>
        <w:t>2</w:t>
      </w:r>
      <w:r>
        <w:rPr>
          <w:rFonts w:hint="eastAsia" w:hAnsi="宋体" w:cs="宋体"/>
          <w:color w:val="auto"/>
          <w:kern w:val="2"/>
          <w:szCs w:val="20"/>
          <w:lang w:bidi="ar"/>
          <w14:ligatures w14:val="standardContextual"/>
        </w:rPr>
        <w:t>）总平面布置</w:t>
      </w:r>
    </w:p>
    <w:p>
      <w:pPr>
        <w:pStyle w:val="44"/>
        <w:widowControl w:val="0"/>
        <w:spacing w:before="0" w:beforeAutospacing="0" w:after="0" w:afterAutospacing="0" w:line="500" w:lineRule="exact"/>
        <w:ind w:firstLine="480" w:firstLineChars="200"/>
        <w:jc w:val="both"/>
        <w:rPr>
          <w:rFonts w:hint="eastAsia" w:hAnsi="宋体" w:cs="宋体"/>
          <w:color w:val="auto"/>
          <w:kern w:val="2"/>
          <w:szCs w:val="20"/>
          <w:lang w:bidi="ar"/>
          <w14:ligatures w14:val="standardContextual"/>
        </w:rPr>
      </w:pPr>
      <w:r>
        <w:rPr>
          <w:rFonts w:hint="eastAsia" w:hAnsi="宋体" w:cs="宋体"/>
          <w:color w:val="auto"/>
          <w:kern w:val="2"/>
          <w:szCs w:val="20"/>
          <w:lang w:bidi="ar"/>
          <w14:ligatures w14:val="standardContextual"/>
        </w:rPr>
        <w:t>根据平面布置原则，结合场地现有设施位置及运输线路，本次设计对汽车卸煤场地进行粉尘治理，新建封闭煤棚，封闭尺寸为68m×82m，除此之外，在封闭煤棚东侧新建消防水池及泵房，在封闭煤棚出口处设置洗车机及沉淀池。</w:t>
      </w:r>
    </w:p>
    <w:p>
      <w:pPr>
        <w:pStyle w:val="44"/>
        <w:widowControl w:val="0"/>
        <w:spacing w:before="0" w:beforeAutospacing="0" w:after="0" w:afterAutospacing="0" w:line="500" w:lineRule="exact"/>
        <w:ind w:firstLine="480" w:firstLineChars="200"/>
        <w:jc w:val="both"/>
        <w:rPr>
          <w:rFonts w:hint="eastAsia" w:hAnsi="宋体" w:cs="宋体"/>
          <w:color w:val="auto"/>
          <w:kern w:val="2"/>
          <w:szCs w:val="20"/>
          <w:lang w:bidi="ar"/>
          <w14:ligatures w14:val="standardContextual"/>
        </w:rPr>
      </w:pPr>
      <w:r>
        <w:rPr>
          <w:rFonts w:hint="eastAsia" w:hAnsi="宋体" w:cs="宋体"/>
          <w:color w:val="auto"/>
          <w:kern w:val="2"/>
          <w:szCs w:val="20"/>
          <w:lang w:bidi="ar"/>
          <w14:ligatures w14:val="standardContextual"/>
        </w:rPr>
        <w:t>另外布置根据需要，需改移道路约230m</w:t>
      </w:r>
      <w:r>
        <w:rPr>
          <w:rFonts w:hint="eastAsia" w:hAnsi="宋体" w:cs="宋体"/>
          <w:color w:val="auto"/>
          <w:kern w:val="2"/>
          <w:szCs w:val="20"/>
          <w:vertAlign w:val="superscript"/>
          <w:lang w:bidi="ar"/>
          <w14:ligatures w14:val="standardContextual"/>
        </w:rPr>
        <w:t>2</w:t>
      </w:r>
      <w:r>
        <w:rPr>
          <w:rFonts w:hint="eastAsia" w:hAnsi="宋体" w:cs="宋体"/>
          <w:color w:val="auto"/>
          <w:kern w:val="2"/>
          <w:szCs w:val="20"/>
          <w:lang w:bidi="ar"/>
          <w14:ligatures w14:val="standardContextual"/>
        </w:rPr>
        <w:t>，新增铺砌场地约70m</w:t>
      </w:r>
      <w:r>
        <w:rPr>
          <w:rFonts w:hint="eastAsia" w:hAnsi="宋体" w:cs="宋体"/>
          <w:color w:val="auto"/>
          <w:kern w:val="2"/>
          <w:szCs w:val="20"/>
          <w:vertAlign w:val="superscript"/>
          <w:lang w:bidi="ar"/>
          <w14:ligatures w14:val="standardContextual"/>
        </w:rPr>
        <w:t>2</w:t>
      </w:r>
      <w:r>
        <w:rPr>
          <w:rFonts w:hint="eastAsia" w:hAnsi="宋体" w:cs="宋体"/>
          <w:color w:val="auto"/>
          <w:kern w:val="2"/>
          <w:szCs w:val="20"/>
          <w:lang w:bidi="ar"/>
          <w14:ligatures w14:val="standardContextual"/>
        </w:rPr>
        <w:t>，考虑因拆除防风抑尘墙破坏路面重新修复面积约720m</w:t>
      </w:r>
      <w:r>
        <w:rPr>
          <w:rFonts w:hint="eastAsia" w:hAnsi="宋体" w:cs="宋体"/>
          <w:color w:val="auto"/>
          <w:kern w:val="2"/>
          <w:szCs w:val="20"/>
          <w:vertAlign w:val="superscript"/>
          <w:lang w:bidi="ar"/>
          <w14:ligatures w14:val="standardContextual"/>
        </w:rPr>
        <w:t>2</w:t>
      </w:r>
      <w:r>
        <w:rPr>
          <w:rFonts w:hint="eastAsia" w:hAnsi="宋体" w:cs="宋体"/>
          <w:color w:val="auto"/>
          <w:kern w:val="2"/>
          <w:szCs w:val="20"/>
          <w:lang w:bidi="ar"/>
          <w14:ligatures w14:val="standardContextual"/>
        </w:rPr>
        <w:t>。</w:t>
      </w:r>
    </w:p>
    <w:p>
      <w:pPr>
        <w:pStyle w:val="44"/>
        <w:widowControl w:val="0"/>
        <w:spacing w:before="0" w:beforeAutospacing="0" w:after="0" w:afterAutospacing="0" w:line="500" w:lineRule="exact"/>
        <w:ind w:firstLine="480" w:firstLineChars="200"/>
        <w:jc w:val="both"/>
        <w:rPr>
          <w:rFonts w:hint="eastAsia" w:hAnsi="宋体" w:cs="宋体"/>
          <w:color w:val="auto"/>
          <w:kern w:val="2"/>
          <w:szCs w:val="20"/>
          <w:lang w:bidi="ar"/>
          <w14:ligatures w14:val="standardContextual"/>
        </w:rPr>
      </w:pPr>
      <w:r>
        <w:rPr>
          <w:rFonts w:hint="eastAsia" w:hAnsi="宋体" w:cs="宋体"/>
          <w:color w:val="auto"/>
          <w:kern w:val="2"/>
          <w:szCs w:val="20"/>
          <w:lang w:bidi="ar"/>
          <w14:ligatures w14:val="standardContextual"/>
        </w:rPr>
        <w:t>场内行车路线为：场内重车通过西侧重车衡称重采样后，由封闭式卸煤棚西北及西南侧入口驶入，煤炭卸载后，空车由封闭式卸煤棚东北侧出口（设有洗车机）驶出，通过空车衡称重后驶出场区。</w:t>
      </w:r>
    </w:p>
    <w:p>
      <w:pPr>
        <w:pStyle w:val="44"/>
        <w:widowControl w:val="0"/>
        <w:spacing w:before="0" w:beforeAutospacing="0" w:after="0" w:afterAutospacing="0" w:line="500" w:lineRule="exact"/>
        <w:ind w:firstLine="480" w:firstLineChars="200"/>
        <w:jc w:val="both"/>
        <w:rPr>
          <w:rFonts w:hint="eastAsia" w:hAnsi="宋体" w:cs="宋体"/>
          <w:color w:val="auto"/>
          <w:kern w:val="2"/>
          <w:szCs w:val="20"/>
          <w:lang w:bidi="ar"/>
          <w14:ligatures w14:val="standardContextual"/>
        </w:rPr>
      </w:pPr>
      <w:bookmarkStart w:id="90" w:name="_Toc26698"/>
      <w:r>
        <w:rPr>
          <w:rFonts w:hint="eastAsia" w:hAnsi="宋体" w:cs="宋体"/>
          <w:color w:val="auto"/>
          <w:kern w:val="2"/>
          <w:szCs w:val="20"/>
          <w:lang w:val="en-US" w:eastAsia="zh-CN" w:bidi="ar"/>
          <w14:ligatures w14:val="standardContextual"/>
        </w:rPr>
        <w:t>4.6.3</w:t>
      </w:r>
      <w:r>
        <w:rPr>
          <w:rFonts w:hint="eastAsia" w:hAnsi="宋体" w:cs="宋体"/>
          <w:color w:val="auto"/>
          <w:kern w:val="2"/>
          <w:szCs w:val="20"/>
          <w:lang w:bidi="ar"/>
          <w14:ligatures w14:val="standardContextual"/>
        </w:rPr>
        <w:t>场内运输</w:t>
      </w:r>
      <w:bookmarkEnd w:id="90"/>
    </w:p>
    <w:p>
      <w:pPr>
        <w:pStyle w:val="44"/>
        <w:widowControl w:val="0"/>
        <w:spacing w:before="0" w:beforeAutospacing="0" w:after="0" w:afterAutospacing="0" w:line="500" w:lineRule="exact"/>
        <w:ind w:firstLine="480" w:firstLineChars="200"/>
        <w:jc w:val="both"/>
        <w:rPr>
          <w:rFonts w:hint="eastAsia" w:hAnsi="宋体" w:cs="宋体"/>
          <w:color w:val="auto"/>
          <w:kern w:val="2"/>
          <w:szCs w:val="20"/>
          <w:lang w:bidi="ar"/>
          <w14:ligatures w14:val="standardContextual"/>
        </w:rPr>
      </w:pPr>
      <w:r>
        <w:rPr>
          <w:rFonts w:hint="eastAsia" w:hAnsi="宋体" w:cs="宋体"/>
          <w:color w:val="auto"/>
          <w:kern w:val="2"/>
          <w:szCs w:val="20"/>
          <w:lang w:bidi="ar"/>
          <w14:ligatures w14:val="standardContextual"/>
        </w:rPr>
        <w:t>场内道路已经形成，本次设计根据平面布置，需改移道路约230m</w:t>
      </w:r>
      <w:r>
        <w:rPr>
          <w:rFonts w:hint="eastAsia" w:hAnsi="宋体" w:cs="宋体"/>
          <w:color w:val="auto"/>
          <w:kern w:val="2"/>
          <w:szCs w:val="20"/>
          <w:vertAlign w:val="superscript"/>
          <w:lang w:bidi="ar"/>
          <w14:ligatures w14:val="standardContextual"/>
        </w:rPr>
        <w:t>2</w:t>
      </w:r>
      <w:r>
        <w:rPr>
          <w:rFonts w:hint="eastAsia" w:hAnsi="宋体" w:cs="宋体"/>
          <w:color w:val="auto"/>
          <w:kern w:val="2"/>
          <w:szCs w:val="20"/>
          <w:lang w:bidi="ar"/>
          <w14:ligatures w14:val="standardContextual"/>
        </w:rPr>
        <w:t>，新增铺砌场地70m</w:t>
      </w:r>
      <w:r>
        <w:rPr>
          <w:rFonts w:hint="eastAsia" w:hAnsi="宋体" w:cs="宋体"/>
          <w:color w:val="auto"/>
          <w:kern w:val="2"/>
          <w:szCs w:val="20"/>
          <w:vertAlign w:val="superscript"/>
          <w:lang w:bidi="ar"/>
          <w14:ligatures w14:val="standardContextual"/>
        </w:rPr>
        <w:t>2</w:t>
      </w:r>
      <w:r>
        <w:rPr>
          <w:rFonts w:hint="eastAsia" w:hAnsi="宋体" w:cs="宋体"/>
          <w:color w:val="auto"/>
          <w:kern w:val="2"/>
          <w:szCs w:val="20"/>
          <w:lang w:bidi="ar"/>
          <w14:ligatures w14:val="standardContextual"/>
        </w:rPr>
        <w:t>，考虑因拆除防风抑尘墙破坏路面重新修复面积约720m</w:t>
      </w:r>
      <w:r>
        <w:rPr>
          <w:rFonts w:hint="eastAsia" w:hAnsi="宋体" w:cs="宋体"/>
          <w:color w:val="auto"/>
          <w:kern w:val="2"/>
          <w:szCs w:val="20"/>
          <w:vertAlign w:val="superscript"/>
          <w:lang w:bidi="ar"/>
          <w14:ligatures w14:val="standardContextual"/>
        </w:rPr>
        <w:t>2</w:t>
      </w:r>
      <w:r>
        <w:rPr>
          <w:rFonts w:hint="eastAsia" w:hAnsi="宋体" w:cs="宋体"/>
          <w:color w:val="auto"/>
          <w:kern w:val="2"/>
          <w:szCs w:val="20"/>
          <w:lang w:bidi="ar"/>
          <w14:ligatures w14:val="standardContextual"/>
        </w:rPr>
        <w:t>。结构均为水泥混凝土面层。</w:t>
      </w:r>
    </w:p>
    <w:p>
      <w:pPr>
        <w:pStyle w:val="44"/>
        <w:widowControl w:val="0"/>
        <w:spacing w:before="0" w:beforeAutospacing="0" w:after="0" w:afterAutospacing="0" w:line="500" w:lineRule="exact"/>
        <w:ind w:firstLine="480" w:firstLineChars="200"/>
        <w:jc w:val="both"/>
        <w:rPr>
          <w:rFonts w:hint="eastAsia" w:hAnsi="宋体" w:cs="宋体"/>
          <w:color w:val="auto"/>
          <w:kern w:val="2"/>
          <w:szCs w:val="20"/>
          <w:lang w:bidi="ar"/>
          <w14:ligatures w14:val="standardContextual"/>
        </w:rPr>
      </w:pPr>
      <w:r>
        <w:rPr>
          <w:rFonts w:hint="eastAsia" w:hAnsi="宋体" w:cs="宋体"/>
          <w:color w:val="auto"/>
          <w:kern w:val="2"/>
          <w:szCs w:val="20"/>
          <w:lang w:bidi="ar"/>
          <w14:ligatures w14:val="standardContextual"/>
        </w:rPr>
        <w:t>场内行车路线为：场内重车通过西侧重车衡称重采样后，由封闭式卸煤棚西北及西南侧入口驶入，煤炭卸载后，空车由封闭式卸煤棚东北侧出口驶出，经洗车房洗车后通过空车衡称重后驶出场区。</w:t>
      </w:r>
    </w:p>
    <w:p>
      <w:pPr>
        <w:pStyle w:val="44"/>
        <w:widowControl w:val="0"/>
        <w:spacing w:before="0" w:beforeAutospacing="0" w:after="0" w:afterAutospacing="0" w:line="500" w:lineRule="exact"/>
        <w:ind w:firstLine="480" w:firstLineChars="200"/>
        <w:jc w:val="both"/>
        <w:rPr>
          <w:rFonts w:hint="eastAsia" w:hAnsi="宋体" w:cs="宋体"/>
          <w:color w:val="auto"/>
          <w:kern w:val="2"/>
          <w:szCs w:val="20"/>
          <w:lang w:bidi="ar"/>
          <w14:ligatures w14:val="standardContextual"/>
        </w:rPr>
      </w:pPr>
      <w:bookmarkStart w:id="91" w:name="_Toc24407"/>
      <w:r>
        <w:rPr>
          <w:rFonts w:hint="eastAsia" w:hAnsi="宋体" w:cs="宋体"/>
          <w:color w:val="auto"/>
          <w:kern w:val="2"/>
          <w:szCs w:val="20"/>
          <w:lang w:val="en-US" w:eastAsia="zh-CN" w:bidi="ar"/>
          <w14:ligatures w14:val="standardContextual"/>
        </w:rPr>
        <w:t>4.6.4</w:t>
      </w:r>
      <w:r>
        <w:rPr>
          <w:rFonts w:hint="eastAsia" w:hAnsi="宋体" w:cs="宋体"/>
          <w:color w:val="auto"/>
          <w:kern w:val="2"/>
          <w:szCs w:val="20"/>
          <w:lang w:bidi="ar"/>
          <w14:ligatures w14:val="standardContextual"/>
        </w:rPr>
        <w:t>场地防洪排涝及竖向设计</w:t>
      </w:r>
      <w:bookmarkEnd w:id="91"/>
    </w:p>
    <w:p>
      <w:pPr>
        <w:pStyle w:val="44"/>
        <w:widowControl w:val="0"/>
        <w:spacing w:before="0" w:beforeAutospacing="0" w:after="0" w:afterAutospacing="0" w:line="500" w:lineRule="exact"/>
        <w:ind w:firstLine="480" w:firstLineChars="200"/>
        <w:jc w:val="both"/>
        <w:rPr>
          <w:rFonts w:hint="eastAsia" w:hAnsi="宋体" w:cs="宋体"/>
          <w:color w:val="auto"/>
          <w:kern w:val="2"/>
          <w:szCs w:val="20"/>
          <w:lang w:bidi="ar"/>
          <w14:ligatures w14:val="standardContextual"/>
        </w:rPr>
      </w:pPr>
      <w:r>
        <w:rPr>
          <w:rFonts w:hint="eastAsia" w:hAnsi="宋体" w:cs="宋体"/>
          <w:color w:val="auto"/>
          <w:kern w:val="2"/>
          <w:szCs w:val="20"/>
          <w:highlight w:val="none"/>
          <w:lang w:bidi="ar"/>
          <w14:ligatures w14:val="standardContextual"/>
        </w:rPr>
        <w:t>本项目位于已有工业场地内，新建设施标高与场地已有标高相适应，可确定不受洪水威胁。</w:t>
      </w:r>
      <w:r>
        <w:rPr>
          <w:rFonts w:hint="eastAsia" w:hAnsi="宋体" w:cs="宋体"/>
          <w:color w:val="auto"/>
          <w:kern w:val="2"/>
          <w:szCs w:val="20"/>
          <w:highlight w:val="none"/>
          <w:lang w:bidi="ar"/>
          <w14:ligatures w14:val="standardContextual"/>
        </w:rPr>
        <w:br w:type="textWrapping"/>
      </w:r>
      <w:r>
        <w:rPr>
          <w:rFonts w:hint="eastAsia" w:hAnsi="宋体" w:cs="宋体"/>
          <w:color w:val="auto"/>
          <w:kern w:val="2"/>
          <w:szCs w:val="20"/>
          <w:highlight w:val="none"/>
          <w:lang w:val="en-US" w:eastAsia="zh-CN" w:bidi="ar"/>
          <w14:ligatures w14:val="standardContextual"/>
        </w:rPr>
        <w:t xml:space="preserve">    </w:t>
      </w:r>
      <w:r>
        <w:rPr>
          <w:rFonts w:hint="eastAsia" w:hAnsi="宋体" w:cs="宋体"/>
          <w:color w:val="auto"/>
          <w:kern w:val="2"/>
          <w:szCs w:val="20"/>
          <w:highlight w:val="none"/>
          <w:lang w:bidi="ar"/>
          <w14:ligatures w14:val="standardContextual"/>
        </w:rPr>
        <w:t>在本项目施工过程中，需对场地已有排雨水设施进行改道、修复以满足场内排水需求，避免内涝。</w:t>
      </w:r>
      <w:r>
        <w:rPr>
          <w:rFonts w:hint="eastAsia" w:hAnsi="宋体" w:cs="宋体"/>
          <w:color w:val="auto"/>
          <w:kern w:val="2"/>
          <w:szCs w:val="20"/>
          <w:highlight w:val="none"/>
          <w:lang w:bidi="ar"/>
          <w14:ligatures w14:val="standardContextual"/>
        </w:rPr>
        <w:br w:type="textWrapping"/>
      </w:r>
      <w:r>
        <w:rPr>
          <w:rFonts w:hint="eastAsia" w:hAnsi="宋体" w:cs="宋体"/>
          <w:color w:val="auto"/>
          <w:kern w:val="2"/>
          <w:szCs w:val="20"/>
          <w:highlight w:val="none"/>
          <w:lang w:val="en-US" w:eastAsia="zh-CN" w:bidi="ar"/>
          <w14:ligatures w14:val="standardContextual"/>
        </w:rPr>
        <w:t xml:space="preserve">    </w:t>
      </w:r>
      <w:r>
        <w:rPr>
          <w:rFonts w:hint="eastAsia" w:hAnsi="宋体" w:cs="宋体"/>
          <w:color w:val="auto"/>
          <w:kern w:val="2"/>
          <w:szCs w:val="20"/>
          <w:highlight w:val="none"/>
          <w:lang w:bidi="ar"/>
          <w14:ligatures w14:val="standardContextual"/>
        </w:rPr>
        <w:t>场地竖向设计采用平坡式布置形式，设计标高在+1341.40m～+1342.05m之间，与已有场地标高相适应。</w:t>
      </w:r>
    </w:p>
    <w:p>
      <w:pPr>
        <w:pStyle w:val="44"/>
        <w:widowControl w:val="0"/>
        <w:spacing w:before="0" w:beforeAutospacing="0" w:after="0" w:afterAutospacing="0" w:line="500" w:lineRule="exact"/>
        <w:ind w:firstLine="480" w:firstLineChars="200"/>
        <w:jc w:val="both"/>
        <w:rPr>
          <w:rFonts w:hint="eastAsia" w:hAnsi="宋体" w:cs="宋体"/>
          <w:color w:val="auto"/>
          <w:kern w:val="2"/>
          <w:szCs w:val="20"/>
          <w:lang w:bidi="ar"/>
          <w14:ligatures w14:val="standardContextual"/>
        </w:rPr>
      </w:pPr>
      <w:bookmarkStart w:id="92" w:name="_Toc20117"/>
      <w:r>
        <w:rPr>
          <w:rFonts w:hint="eastAsia" w:hAnsi="宋体" w:cs="宋体"/>
          <w:color w:val="auto"/>
          <w:kern w:val="2"/>
          <w:szCs w:val="20"/>
          <w:lang w:val="en-US" w:eastAsia="zh-CN" w:bidi="ar"/>
          <w14:ligatures w14:val="standardContextual"/>
        </w:rPr>
        <w:t>4.6.5</w:t>
      </w:r>
      <w:r>
        <w:rPr>
          <w:rFonts w:hint="eastAsia" w:hAnsi="宋体" w:cs="宋体"/>
          <w:color w:val="auto"/>
          <w:kern w:val="2"/>
          <w:szCs w:val="20"/>
          <w:lang w:bidi="ar"/>
          <w14:ligatures w14:val="standardContextual"/>
        </w:rPr>
        <w:t>建设用地</w:t>
      </w:r>
      <w:bookmarkEnd w:id="92"/>
    </w:p>
    <w:p>
      <w:pPr>
        <w:pStyle w:val="44"/>
        <w:widowControl w:val="0"/>
        <w:spacing w:before="0" w:beforeAutospacing="0" w:after="0" w:afterAutospacing="0" w:line="500" w:lineRule="exact"/>
        <w:ind w:firstLine="480" w:firstLineChars="200"/>
        <w:jc w:val="both"/>
        <w:rPr>
          <w:rFonts w:hint="eastAsia" w:hAnsi="宋体" w:cs="宋体"/>
          <w:color w:val="auto"/>
          <w:kern w:val="2"/>
          <w:szCs w:val="20"/>
          <w:lang w:eastAsia="zh-CN" w:bidi="ar"/>
          <w14:ligatures w14:val="standardContextual"/>
        </w:rPr>
      </w:pPr>
      <w:r>
        <w:rPr>
          <w:rFonts w:hint="eastAsia" w:hAnsi="宋体" w:cs="宋体"/>
          <w:color w:val="auto"/>
          <w:kern w:val="2"/>
          <w:szCs w:val="20"/>
          <w:lang w:bidi="ar"/>
          <w14:ligatures w14:val="standardContextual"/>
        </w:rPr>
        <w:t>本项目位于已有工业场地内，无需新征用地</w:t>
      </w:r>
      <w:r>
        <w:rPr>
          <w:rFonts w:hint="eastAsia" w:hAnsi="宋体" w:cs="宋体"/>
          <w:color w:val="auto"/>
          <w:kern w:val="2"/>
          <w:szCs w:val="20"/>
          <w:lang w:eastAsia="zh-CN" w:bidi="ar"/>
          <w14:ligatures w14:val="standardContextual"/>
        </w:rPr>
        <w:t>。</w:t>
      </w:r>
    </w:p>
    <w:bookmarkEnd w:id="75"/>
    <w:bookmarkEnd w:id="76"/>
    <w:bookmarkEnd w:id="77"/>
    <w:p>
      <w:pPr>
        <w:pStyle w:val="44"/>
        <w:widowControl w:val="0"/>
        <w:spacing w:before="0" w:beforeAutospacing="0" w:after="0" w:afterAutospacing="0" w:line="500" w:lineRule="exact"/>
        <w:ind w:firstLine="482" w:firstLineChars="200"/>
        <w:jc w:val="both"/>
        <w:rPr>
          <w:rFonts w:hint="eastAsia" w:hAnsi="宋体" w:cs="宋体"/>
          <w:b/>
          <w:bCs/>
          <w:kern w:val="2"/>
          <w:szCs w:val="20"/>
          <w:lang w:bidi="ar"/>
          <w14:ligatures w14:val="standardContextual"/>
        </w:rPr>
      </w:pPr>
      <w:r>
        <w:rPr>
          <w:rFonts w:hint="eastAsia" w:hAnsi="宋体" w:cs="宋体"/>
          <w:b/>
          <w:bCs/>
          <w:kern w:val="2"/>
          <w:szCs w:val="20"/>
          <w:lang w:bidi="ar"/>
          <w14:ligatures w14:val="standardContextual"/>
        </w:rPr>
        <w:t>7 采购设备需求、供货范围和交货期</w:t>
      </w:r>
    </w:p>
    <w:p>
      <w:pPr>
        <w:pStyle w:val="44"/>
        <w:widowControl w:val="0"/>
        <w:spacing w:before="0" w:beforeAutospacing="0" w:after="0" w:afterAutospacing="0" w:line="500" w:lineRule="exact"/>
        <w:ind w:firstLine="482" w:firstLineChars="200"/>
        <w:jc w:val="both"/>
        <w:rPr>
          <w:rFonts w:hint="eastAsia" w:hAnsi="宋体" w:cs="宋体"/>
          <w:kern w:val="2"/>
          <w:szCs w:val="20"/>
          <w:lang w:bidi="ar"/>
          <w14:ligatures w14:val="standardContextual"/>
        </w:rPr>
      </w:pPr>
      <w:r>
        <w:rPr>
          <w:rFonts w:hint="eastAsia" w:hAnsi="宋体" w:cs="宋体"/>
          <w:b/>
          <w:bCs/>
          <w:kern w:val="2"/>
          <w:szCs w:val="20"/>
          <w:lang w:bidi="ar"/>
          <w14:ligatures w14:val="standardContextual"/>
        </w:rPr>
        <w:t>7.1 工程范围</w:t>
      </w:r>
    </w:p>
    <w:p>
      <w:pPr>
        <w:pStyle w:val="44"/>
        <w:widowControl w:val="0"/>
        <w:spacing w:before="0" w:beforeAutospacing="0" w:after="0" w:afterAutospacing="0" w:line="500" w:lineRule="exact"/>
        <w:ind w:firstLine="480" w:firstLineChars="200"/>
        <w:jc w:val="both"/>
        <w:rPr>
          <w:rFonts w:hint="eastAsia" w:hAnsi="宋体" w:cs="宋体"/>
          <w:kern w:val="2"/>
          <w:szCs w:val="20"/>
          <w:lang w:bidi="ar"/>
          <w14:ligatures w14:val="standardContextual"/>
        </w:rPr>
      </w:pPr>
      <w:r>
        <w:rPr>
          <w:rFonts w:hint="eastAsia" w:hAnsi="宋体" w:cs="宋体"/>
          <w:kern w:val="2"/>
          <w:szCs w:val="20"/>
          <w:lang w:bidi="ar"/>
          <w14:ligatures w14:val="standardContextual"/>
        </w:rPr>
        <w:t>7.1.1本技术规格书中所述的分包范围工作均属于投标人的工作范围，直至投标人将安装调试好的设备交付给招标人。投标人对建筑安装工程分包的完整性全面负责。</w:t>
      </w:r>
    </w:p>
    <w:p>
      <w:pPr>
        <w:pStyle w:val="44"/>
        <w:widowControl w:val="0"/>
        <w:spacing w:before="0" w:beforeAutospacing="0" w:after="0" w:afterAutospacing="0" w:line="500" w:lineRule="exact"/>
        <w:ind w:firstLine="480" w:firstLineChars="200"/>
        <w:jc w:val="both"/>
        <w:rPr>
          <w:rFonts w:hint="eastAsia" w:hAnsi="宋体" w:cs="宋体"/>
          <w:kern w:val="2"/>
          <w:szCs w:val="20"/>
          <w:lang w:bidi="ar"/>
          <w14:ligatures w14:val="standardContextual"/>
        </w:rPr>
      </w:pPr>
      <w:r>
        <w:rPr>
          <w:rFonts w:hint="eastAsia" w:hAnsi="宋体" w:cs="宋体"/>
          <w:kern w:val="2"/>
          <w:szCs w:val="20"/>
          <w:lang w:bidi="ar"/>
          <w14:ligatures w14:val="standardContextual"/>
        </w:rPr>
        <w:t>7.1.2工程范围包含各类标识、供货、安装（含现有设备设施、地上地下建筑物的必要拆除及电缆网线的铺设工作）、调试、培训及质量保证等。</w:t>
      </w:r>
    </w:p>
    <w:p>
      <w:pPr>
        <w:pStyle w:val="44"/>
        <w:widowControl w:val="0"/>
        <w:spacing w:before="0" w:beforeAutospacing="0" w:after="0" w:afterAutospacing="0" w:line="500" w:lineRule="exact"/>
        <w:ind w:firstLine="480" w:firstLineChars="200"/>
        <w:jc w:val="both"/>
        <w:rPr>
          <w:rFonts w:hint="eastAsia" w:hAnsi="宋体" w:cs="宋体"/>
          <w:kern w:val="2"/>
          <w:szCs w:val="20"/>
          <w:lang w:bidi="ar"/>
          <w14:ligatures w14:val="standardContextual"/>
        </w:rPr>
      </w:pPr>
      <w:r>
        <w:rPr>
          <w:rFonts w:hint="eastAsia" w:hAnsi="宋体" w:cs="宋体"/>
          <w:kern w:val="2"/>
          <w:szCs w:val="20"/>
          <w:lang w:bidi="ar"/>
          <w14:ligatures w14:val="standardContextual"/>
        </w:rPr>
        <w:t>7.1.3业主负责提供电源、水源、热源接入点位置接口位置等。相应接入工作由投标人完成。</w:t>
      </w:r>
    </w:p>
    <w:p>
      <w:pPr>
        <w:pStyle w:val="44"/>
        <w:widowControl w:val="0"/>
        <w:spacing w:before="0" w:beforeAutospacing="0" w:after="0" w:afterAutospacing="0" w:line="500" w:lineRule="exact"/>
        <w:ind w:firstLine="480" w:firstLineChars="200"/>
        <w:jc w:val="both"/>
        <w:rPr>
          <w:rFonts w:hint="eastAsia" w:hAnsi="宋体" w:cs="宋体"/>
          <w:kern w:val="2"/>
          <w:szCs w:val="20"/>
          <w:lang w:bidi="ar"/>
          <w14:ligatures w14:val="standardContextual"/>
        </w:rPr>
      </w:pPr>
      <w:r>
        <w:rPr>
          <w:rFonts w:hint="eastAsia" w:hAnsi="宋体" w:cs="宋体"/>
          <w:kern w:val="2"/>
          <w:szCs w:val="20"/>
          <w:lang w:bidi="ar"/>
          <w14:ligatures w14:val="standardContextual"/>
        </w:rPr>
        <w:t>7.1.4投标人对电源电缆及控制电缆管沟及铺设应依据业主、招标人要求统一施工。</w:t>
      </w:r>
    </w:p>
    <w:p>
      <w:pPr>
        <w:pStyle w:val="44"/>
        <w:widowControl w:val="0"/>
        <w:spacing w:before="0" w:beforeAutospacing="0" w:after="0" w:afterAutospacing="0" w:line="500" w:lineRule="exact"/>
        <w:ind w:firstLine="480" w:firstLineChars="200"/>
        <w:jc w:val="both"/>
        <w:rPr>
          <w:rFonts w:hint="eastAsia" w:hAnsi="宋体" w:cs="宋体"/>
          <w:kern w:val="2"/>
          <w:szCs w:val="20"/>
          <w:lang w:bidi="ar"/>
          <w14:ligatures w14:val="standardContextual"/>
        </w:rPr>
      </w:pPr>
      <w:r>
        <w:rPr>
          <w:rFonts w:hint="eastAsia" w:hAnsi="宋体" w:cs="宋体"/>
          <w:kern w:val="2"/>
          <w:szCs w:val="20"/>
          <w:lang w:bidi="ar"/>
          <w14:ligatures w14:val="standardContextual"/>
        </w:rPr>
        <w:t>7.1.5打洞、拆除、埋管、等埋线必须按国家规范严格进行。</w:t>
      </w:r>
    </w:p>
    <w:p>
      <w:pPr>
        <w:pStyle w:val="44"/>
        <w:widowControl w:val="0"/>
        <w:spacing w:before="0" w:beforeAutospacing="0" w:after="0" w:afterAutospacing="0" w:line="500" w:lineRule="exact"/>
        <w:ind w:firstLine="480" w:firstLineChars="200"/>
        <w:jc w:val="both"/>
        <w:rPr>
          <w:rFonts w:hint="eastAsia" w:hAnsi="宋体" w:cs="宋体"/>
          <w:kern w:val="2"/>
          <w:szCs w:val="20"/>
          <w:lang w:bidi="ar"/>
          <w14:ligatures w14:val="standardContextual"/>
        </w:rPr>
      </w:pPr>
      <w:r>
        <w:rPr>
          <w:rFonts w:hint="eastAsia" w:hAnsi="宋体" w:cs="宋体"/>
          <w:kern w:val="2"/>
          <w:szCs w:val="20"/>
          <w:lang w:bidi="ar"/>
          <w14:ligatures w14:val="standardContextual"/>
        </w:rPr>
        <w:t>7.1.6投标人所供设备材料及现场施工还需满足相关标准要求。</w:t>
      </w:r>
    </w:p>
    <w:p>
      <w:pPr>
        <w:pStyle w:val="44"/>
        <w:widowControl w:val="0"/>
        <w:spacing w:before="0" w:beforeAutospacing="0" w:after="0" w:afterAutospacing="0" w:line="500" w:lineRule="exact"/>
        <w:ind w:firstLine="482" w:firstLineChars="200"/>
        <w:jc w:val="both"/>
        <w:rPr>
          <w:rFonts w:hint="eastAsia" w:hAnsi="宋体" w:cs="宋体"/>
          <w:kern w:val="2"/>
          <w:szCs w:val="20"/>
          <w:lang w:bidi="ar"/>
          <w14:ligatures w14:val="standardContextual"/>
        </w:rPr>
      </w:pPr>
      <w:r>
        <w:rPr>
          <w:rFonts w:hint="eastAsia" w:hAnsi="宋体" w:cs="宋体"/>
          <w:b/>
          <w:bCs/>
          <w:kern w:val="2"/>
          <w:szCs w:val="20"/>
          <w:lang w:bidi="ar"/>
          <w14:ligatures w14:val="standardContextual"/>
        </w:rPr>
        <w:t>7.2 供货范围</w:t>
      </w:r>
    </w:p>
    <w:p>
      <w:pPr>
        <w:pStyle w:val="44"/>
        <w:widowControl w:val="0"/>
        <w:spacing w:before="0" w:beforeAutospacing="0" w:after="0" w:afterAutospacing="0" w:line="500" w:lineRule="exact"/>
        <w:ind w:firstLine="480" w:firstLineChars="200"/>
        <w:jc w:val="both"/>
        <w:rPr>
          <w:rFonts w:hint="eastAsia" w:hAnsi="宋体" w:cs="宋体"/>
          <w:kern w:val="2"/>
          <w:szCs w:val="20"/>
          <w:lang w:bidi="ar"/>
          <w14:ligatures w14:val="standardContextual"/>
        </w:rPr>
      </w:pPr>
      <w:r>
        <w:rPr>
          <w:rFonts w:hint="eastAsia" w:hAnsi="宋体" w:cs="宋体"/>
          <w:kern w:val="2"/>
          <w:szCs w:val="20"/>
          <w:lang w:bidi="ar"/>
          <w14:ligatures w14:val="standardContextual"/>
        </w:rPr>
        <w:t>7.2.1本工程涉及的全部设备和材料均由投标人保管；全部材料（业主、招标人提供的除外）由投标人提供。</w:t>
      </w:r>
    </w:p>
    <w:p>
      <w:pPr>
        <w:pStyle w:val="44"/>
        <w:widowControl w:val="0"/>
        <w:spacing w:before="0" w:beforeAutospacing="0" w:after="0" w:afterAutospacing="0" w:line="500" w:lineRule="exact"/>
        <w:ind w:firstLine="480" w:firstLineChars="200"/>
        <w:jc w:val="both"/>
        <w:rPr>
          <w:rFonts w:hint="eastAsia" w:hAnsi="宋体" w:cs="宋体"/>
          <w:kern w:val="2"/>
          <w:szCs w:val="20"/>
          <w:lang w:bidi="ar"/>
          <w14:ligatures w14:val="standardContextual"/>
        </w:rPr>
      </w:pPr>
      <w:r>
        <w:rPr>
          <w:rFonts w:hint="eastAsia" w:hAnsi="宋体" w:cs="宋体"/>
          <w:kern w:val="2"/>
          <w:szCs w:val="20"/>
          <w:lang w:bidi="ar"/>
          <w14:ligatures w14:val="standardContextual"/>
        </w:rPr>
        <w:t>7.2.2投标人购进的全部材料、设备必须有出厂检验报告或合格证，主要材料、设备选用大厂名优产品。主要材料进场后必须进行二次抽检，取样时应有业主、招标人负责人员在场（每批材料进场都要进行抽检），试验合格方可使用。如购买了假冒伪劣不合格产品，其后果由投标人负责。材料、设备，如不符合质量要求或规格有差异，应禁止使用。</w:t>
      </w:r>
    </w:p>
    <w:p>
      <w:pPr>
        <w:pStyle w:val="44"/>
        <w:widowControl w:val="0"/>
        <w:spacing w:before="0" w:beforeAutospacing="0" w:after="0" w:afterAutospacing="0" w:line="500" w:lineRule="exact"/>
        <w:ind w:firstLine="482" w:firstLineChars="200"/>
        <w:jc w:val="both"/>
        <w:rPr>
          <w:rFonts w:hint="eastAsia" w:hAnsi="宋体" w:cs="宋体"/>
          <w:b/>
          <w:bCs/>
          <w:kern w:val="2"/>
          <w:szCs w:val="20"/>
          <w:lang w:bidi="ar"/>
          <w14:ligatures w14:val="standardContextual"/>
        </w:rPr>
      </w:pPr>
      <w:r>
        <w:rPr>
          <w:rFonts w:hint="eastAsia" w:hAnsi="宋体" w:cs="宋体"/>
          <w:b/>
          <w:bCs/>
          <w:kern w:val="2"/>
          <w:szCs w:val="20"/>
          <w:lang w:val="en-US" w:eastAsia="zh-CN" w:bidi="ar"/>
          <w14:ligatures w14:val="standardContextual"/>
        </w:rPr>
        <w:t xml:space="preserve">8 </w:t>
      </w:r>
      <w:r>
        <w:rPr>
          <w:rFonts w:hint="eastAsia" w:hAnsi="宋体" w:cs="宋体"/>
          <w:b/>
          <w:bCs/>
          <w:kern w:val="2"/>
          <w:szCs w:val="20"/>
          <w:lang w:bidi="ar"/>
          <w14:ligatures w14:val="standardContextual"/>
        </w:rPr>
        <w:t>工作范围</w:t>
      </w:r>
    </w:p>
    <w:p>
      <w:pPr>
        <w:pStyle w:val="44"/>
        <w:widowControl w:val="0"/>
        <w:spacing w:before="0" w:beforeAutospacing="0" w:after="0" w:afterAutospacing="0" w:line="500" w:lineRule="exact"/>
        <w:ind w:firstLine="482" w:firstLineChars="200"/>
        <w:jc w:val="both"/>
        <w:rPr>
          <w:rFonts w:hint="eastAsia" w:hAnsi="宋体" w:cs="宋体"/>
          <w:b/>
          <w:bCs/>
          <w:kern w:val="2"/>
          <w:szCs w:val="20"/>
          <w:lang w:bidi="ar"/>
          <w14:ligatures w14:val="standardContextual"/>
        </w:rPr>
      </w:pPr>
      <w:r>
        <w:rPr>
          <w:rFonts w:hint="eastAsia" w:hAnsi="宋体" w:cs="宋体"/>
          <w:b/>
          <w:bCs/>
          <w:kern w:val="2"/>
          <w:szCs w:val="20"/>
          <w:lang w:val="en-US" w:eastAsia="zh-CN" w:bidi="ar"/>
          <w14:ligatures w14:val="standardContextual"/>
        </w:rPr>
        <w:t>8.1</w:t>
      </w:r>
      <w:r>
        <w:rPr>
          <w:rFonts w:hint="eastAsia" w:hAnsi="宋体" w:cs="宋体"/>
          <w:b/>
          <w:bCs/>
          <w:kern w:val="2"/>
          <w:szCs w:val="20"/>
          <w:lang w:bidi="ar"/>
          <w14:ligatures w14:val="standardContextual"/>
        </w:rPr>
        <w:t>文明施工及环保要求</w:t>
      </w:r>
    </w:p>
    <w:p>
      <w:pPr>
        <w:pStyle w:val="44"/>
        <w:widowControl w:val="0"/>
        <w:spacing w:before="0" w:beforeAutospacing="0" w:after="0" w:afterAutospacing="0" w:line="500" w:lineRule="exact"/>
        <w:ind w:firstLine="480" w:firstLineChars="200"/>
        <w:jc w:val="both"/>
        <w:rPr>
          <w:rFonts w:hint="eastAsia" w:hAnsi="宋体" w:cs="宋体"/>
          <w:kern w:val="2"/>
          <w:szCs w:val="20"/>
          <w:lang w:bidi="ar"/>
          <w14:ligatures w14:val="standardContextual"/>
        </w:rPr>
      </w:pPr>
      <w:r>
        <w:rPr>
          <w:rFonts w:hint="eastAsia" w:hAnsi="宋体" w:cs="宋体"/>
          <w:kern w:val="2"/>
          <w:szCs w:val="20"/>
          <w:lang w:bidi="ar"/>
          <w14:ligatures w14:val="standardContextual"/>
        </w:rPr>
        <w:t>在施工过程中不得污染、损坏设备、管道、仪器、仪表，工机具、材料摆放整齐，施工完成把施工区域打扫干净、污染的地面清理干净，做到工完、料净、场地清，</w:t>
      </w:r>
      <w:r>
        <w:rPr>
          <w:rFonts w:hint="eastAsia" w:hAnsi="宋体" w:cs="宋体"/>
          <w:b/>
          <w:bCs/>
          <w:kern w:val="2"/>
          <w:szCs w:val="20"/>
          <w:lang w:bidi="ar"/>
          <w14:ligatures w14:val="standardContextual"/>
        </w:rPr>
        <w:t>施工产生的建筑和生活垃圾由</w:t>
      </w:r>
      <w:r>
        <w:rPr>
          <w:rFonts w:hint="eastAsia" w:hAnsi="宋体" w:cs="宋体"/>
          <w:b/>
          <w:bCs/>
          <w:kern w:val="2"/>
          <w:szCs w:val="20"/>
          <w:lang w:eastAsia="zh-CN" w:bidi="ar"/>
          <w14:ligatures w14:val="standardContextual"/>
        </w:rPr>
        <w:t>投标人</w:t>
      </w:r>
      <w:r>
        <w:rPr>
          <w:rFonts w:hint="eastAsia" w:hAnsi="宋体" w:cs="宋体"/>
          <w:b/>
          <w:bCs/>
          <w:kern w:val="2"/>
          <w:szCs w:val="20"/>
          <w:lang w:bidi="ar"/>
          <w14:ligatures w14:val="standardContextual"/>
        </w:rPr>
        <w:t>运至垃圾处理场处置，严禁随意倾倒，垃圾处理的费用已包含在合同总价中。如因随意倾倒垃圾被政府各级主管部门查处的，除自费进行垃圾重新处置外，还要承担政府主管部门的行政处罚、刑事处罚、罚款和业主一起事件10000元的</w:t>
      </w:r>
      <w:r>
        <w:rPr>
          <w:rFonts w:hint="eastAsia" w:hAnsi="宋体" w:cs="宋体"/>
          <w:b/>
          <w:bCs/>
          <w:kern w:val="2"/>
          <w:szCs w:val="20"/>
          <w:lang w:eastAsia="zh-CN" w:bidi="ar"/>
          <w14:ligatures w14:val="standardContextual"/>
        </w:rPr>
        <w:t>扣款</w:t>
      </w:r>
      <w:r>
        <w:rPr>
          <w:rFonts w:hint="eastAsia" w:hAnsi="宋体" w:cs="宋体"/>
          <w:b/>
          <w:bCs/>
          <w:kern w:val="2"/>
          <w:szCs w:val="20"/>
          <w:lang w:bidi="ar"/>
          <w14:ligatures w14:val="standardContextual"/>
        </w:rPr>
        <w:t>；如仅业主查处到，业主要求</w:t>
      </w:r>
      <w:r>
        <w:rPr>
          <w:rFonts w:hint="eastAsia" w:hAnsi="宋体" w:cs="宋体"/>
          <w:b/>
          <w:bCs/>
          <w:kern w:val="2"/>
          <w:szCs w:val="20"/>
          <w:lang w:eastAsia="zh-CN" w:bidi="ar"/>
          <w14:ligatures w14:val="standardContextual"/>
        </w:rPr>
        <w:t>投标人</w:t>
      </w:r>
      <w:r>
        <w:rPr>
          <w:rFonts w:hint="eastAsia" w:hAnsi="宋体" w:cs="宋体"/>
          <w:b/>
          <w:bCs/>
          <w:kern w:val="2"/>
          <w:szCs w:val="20"/>
          <w:lang w:bidi="ar"/>
          <w14:ligatures w14:val="standardContextual"/>
        </w:rPr>
        <w:t>自费对垃圾重新处置，同时按照一起事件10000元进行</w:t>
      </w:r>
      <w:r>
        <w:rPr>
          <w:rFonts w:hint="eastAsia" w:hAnsi="宋体" w:cs="宋体"/>
          <w:b/>
          <w:bCs/>
          <w:kern w:val="2"/>
          <w:szCs w:val="20"/>
          <w:lang w:eastAsia="zh-CN" w:bidi="ar"/>
          <w14:ligatures w14:val="standardContextual"/>
        </w:rPr>
        <w:t>扣款</w:t>
      </w:r>
      <w:r>
        <w:rPr>
          <w:rFonts w:hint="eastAsia" w:hAnsi="宋体" w:cs="宋体"/>
          <w:b/>
          <w:bCs/>
          <w:kern w:val="2"/>
          <w:szCs w:val="20"/>
          <w:lang w:bidi="ar"/>
          <w14:ligatures w14:val="standardContextual"/>
        </w:rPr>
        <w:t>。合同执行过程中，</w:t>
      </w:r>
      <w:r>
        <w:rPr>
          <w:rFonts w:hint="eastAsia" w:hAnsi="宋体" w:cs="宋体"/>
          <w:b/>
          <w:bCs/>
          <w:kern w:val="2"/>
          <w:szCs w:val="20"/>
          <w:lang w:eastAsia="zh-CN" w:bidi="ar"/>
          <w14:ligatures w14:val="standardContextual"/>
        </w:rPr>
        <w:t>投标人</w:t>
      </w:r>
      <w:r>
        <w:rPr>
          <w:rFonts w:hint="eastAsia" w:hAnsi="宋体" w:cs="宋体"/>
          <w:b/>
          <w:bCs/>
          <w:kern w:val="2"/>
          <w:szCs w:val="20"/>
          <w:lang w:bidi="ar"/>
          <w14:ligatures w14:val="standardContextual"/>
        </w:rPr>
        <w:t>投标文件中合格的管理人员和特殊工种如需更换，必须经业主同意，不合格的管理人员和特殊工种必须补充齐全；到场数量不足的或未经同意更换的，项目结算时每人按10000元进行扣款。</w:t>
      </w:r>
    </w:p>
    <w:p>
      <w:pPr>
        <w:pStyle w:val="44"/>
        <w:widowControl w:val="0"/>
        <w:spacing w:before="0" w:beforeAutospacing="0" w:after="0" w:afterAutospacing="0" w:line="500" w:lineRule="exact"/>
        <w:ind w:firstLine="482" w:firstLineChars="200"/>
        <w:jc w:val="both"/>
        <w:rPr>
          <w:rFonts w:hint="eastAsia" w:hAnsi="宋体" w:cs="宋体"/>
          <w:kern w:val="2"/>
          <w:szCs w:val="20"/>
          <w:lang w:bidi="ar"/>
          <w14:ligatures w14:val="standardContextual"/>
        </w:rPr>
      </w:pPr>
      <w:r>
        <w:rPr>
          <w:rFonts w:hint="eastAsia" w:hAnsi="宋体" w:cs="宋体"/>
          <w:b/>
          <w:bCs/>
          <w:kern w:val="2"/>
          <w:szCs w:val="20"/>
          <w:lang w:val="en-US" w:eastAsia="zh-CN" w:bidi="ar"/>
          <w14:ligatures w14:val="standardContextual"/>
        </w:rPr>
        <w:t>8.2</w:t>
      </w:r>
      <w:r>
        <w:rPr>
          <w:rFonts w:hint="eastAsia" w:hAnsi="宋体" w:cs="宋体"/>
          <w:kern w:val="2"/>
          <w:szCs w:val="20"/>
          <w:lang w:bidi="ar"/>
          <w14:ligatures w14:val="standardContextual"/>
        </w:rPr>
        <w:t>入场人员必须100%体检（体检单位须具有职业健康体检资质），体检合格后方可参加业主的入场培训；本公司属于危险化学品生产企业，除遵守建筑施工方面的法律、法规、规范和要求外，还必须遵守GB30871-2022的各项安全规定及业主的安全管理要求，</w:t>
      </w:r>
      <w:r>
        <w:rPr>
          <w:rFonts w:hint="eastAsia" w:hAnsi="宋体" w:cs="宋体"/>
          <w:b/>
          <w:bCs/>
          <w:kern w:val="2"/>
          <w:szCs w:val="20"/>
          <w:lang w:bidi="ar"/>
          <w14:ligatures w14:val="standardContextual"/>
        </w:rPr>
        <w:t>特别提醒每天施工前必须办理齐全相关作业票证。</w:t>
      </w:r>
    </w:p>
    <w:p>
      <w:pPr>
        <w:pStyle w:val="44"/>
        <w:widowControl w:val="0"/>
        <w:spacing w:before="0" w:beforeAutospacing="0" w:after="0" w:afterAutospacing="0" w:line="500" w:lineRule="exact"/>
        <w:ind w:firstLine="482" w:firstLineChars="200"/>
        <w:jc w:val="both"/>
        <w:rPr>
          <w:rFonts w:hint="default" w:hAnsi="宋体" w:cs="宋体"/>
          <w:kern w:val="2"/>
          <w:szCs w:val="20"/>
          <w:lang w:val="en-US" w:eastAsia="zh-CN" w:bidi="ar"/>
          <w14:ligatures w14:val="standardContextual"/>
        </w:rPr>
      </w:pPr>
      <w:r>
        <w:rPr>
          <w:rFonts w:hint="eastAsia" w:hAnsi="宋体" w:cs="宋体"/>
          <w:b/>
          <w:bCs/>
          <w:kern w:val="2"/>
          <w:szCs w:val="20"/>
          <w:lang w:val="en-US" w:eastAsia="zh-CN" w:bidi="ar"/>
          <w14:ligatures w14:val="standardContextual"/>
        </w:rPr>
        <w:t>8.3</w:t>
      </w:r>
      <w:r>
        <w:rPr>
          <w:rFonts w:hint="eastAsia" w:hAnsi="宋体" w:cs="宋体"/>
          <w:kern w:val="2"/>
          <w:szCs w:val="20"/>
          <w:lang w:bidi="ar"/>
          <w14:ligatures w14:val="standardContextual"/>
        </w:rPr>
        <w:t>本项目的的理化性能测试、无损检测、建筑市政工程质量检测由业主直接委托给第三方，</w:t>
      </w:r>
      <w:r>
        <w:rPr>
          <w:rFonts w:hint="eastAsia" w:hAnsi="宋体" w:cs="宋体"/>
          <w:kern w:val="2"/>
          <w:szCs w:val="20"/>
          <w:lang w:eastAsia="zh-CN" w:bidi="ar"/>
          <w14:ligatures w14:val="standardContextual"/>
        </w:rPr>
        <w:t>投标人</w:t>
      </w:r>
      <w:r>
        <w:rPr>
          <w:rFonts w:hint="eastAsia" w:hAnsi="宋体" w:cs="宋体"/>
          <w:kern w:val="2"/>
          <w:szCs w:val="20"/>
          <w:lang w:bidi="ar"/>
          <w14:ligatures w14:val="standardContextual"/>
        </w:rPr>
        <w:t>的工作内容不包含上述内容，但应负责完成上述工作必须的配合工作。上述工作的费用包含在合同总价中，在最终结算时由</w:t>
      </w:r>
      <w:r>
        <w:rPr>
          <w:rFonts w:hint="eastAsia" w:hAnsi="宋体" w:cs="宋体"/>
          <w:kern w:val="2"/>
          <w:szCs w:val="20"/>
          <w:lang w:eastAsia="zh-CN" w:bidi="ar"/>
          <w14:ligatures w14:val="standardContextual"/>
        </w:rPr>
        <w:t>业主</w:t>
      </w:r>
      <w:r>
        <w:rPr>
          <w:rFonts w:hint="eastAsia" w:hAnsi="宋体" w:cs="宋体"/>
          <w:kern w:val="2"/>
          <w:szCs w:val="20"/>
          <w:lang w:bidi="ar"/>
          <w14:ligatures w14:val="standardContextual"/>
        </w:rPr>
        <w:t>从合同结算价款中据实扣除。</w:t>
      </w:r>
    </w:p>
    <w:p>
      <w:pPr>
        <w:pStyle w:val="44"/>
        <w:widowControl w:val="0"/>
        <w:spacing w:before="0" w:beforeAutospacing="0" w:after="0" w:afterAutospacing="0" w:line="500" w:lineRule="exact"/>
        <w:ind w:firstLine="482" w:firstLineChars="200"/>
        <w:jc w:val="both"/>
        <w:rPr>
          <w:rFonts w:hint="eastAsia" w:hAnsi="宋体" w:cs="宋体"/>
          <w:kern w:val="2"/>
          <w:szCs w:val="20"/>
          <w:lang w:bidi="ar"/>
          <w14:ligatures w14:val="standardContextual"/>
        </w:rPr>
      </w:pPr>
      <w:r>
        <w:rPr>
          <w:rFonts w:hint="eastAsia" w:hAnsi="宋体" w:cs="宋体"/>
          <w:b/>
          <w:bCs/>
          <w:kern w:val="2"/>
          <w:szCs w:val="20"/>
          <w:lang w:val="en-US" w:eastAsia="zh-CN" w:bidi="ar"/>
          <w14:ligatures w14:val="standardContextual"/>
        </w:rPr>
        <w:t>8.4</w:t>
      </w:r>
      <w:r>
        <w:rPr>
          <w:rFonts w:hint="eastAsia" w:hAnsi="宋体" w:cs="宋体"/>
          <w:kern w:val="2"/>
          <w:szCs w:val="20"/>
          <w:lang w:bidi="ar"/>
          <w14:ligatures w14:val="standardContextual"/>
        </w:rPr>
        <w:t>建设全过程中需经政府及其有关部门的批准和许可，</w:t>
      </w:r>
      <w:r>
        <w:rPr>
          <w:rFonts w:hint="eastAsia" w:hAnsi="宋体" w:cs="宋体"/>
          <w:kern w:val="2"/>
          <w:szCs w:val="20"/>
          <w:lang w:eastAsia="zh-CN" w:bidi="ar"/>
          <w14:ligatures w14:val="standardContextual"/>
        </w:rPr>
        <w:t>投标人</w:t>
      </w:r>
      <w:r>
        <w:rPr>
          <w:rFonts w:hint="eastAsia" w:hAnsi="宋体" w:cs="宋体"/>
          <w:kern w:val="2"/>
          <w:szCs w:val="20"/>
          <w:lang w:bidi="ar"/>
          <w14:ligatures w14:val="standardContextual"/>
        </w:rPr>
        <w:t>需积极配合政府及其有关部门，</w:t>
      </w:r>
      <w:r>
        <w:rPr>
          <w:rFonts w:hint="eastAsia" w:hAnsi="宋体" w:cs="宋体"/>
          <w:kern w:val="2"/>
          <w:szCs w:val="20"/>
          <w:lang w:eastAsia="zh-CN" w:bidi="ar"/>
          <w14:ligatures w14:val="standardContextual"/>
        </w:rPr>
        <w:t>投标人</w:t>
      </w:r>
      <w:r>
        <w:rPr>
          <w:rFonts w:hint="eastAsia" w:hAnsi="宋体" w:cs="宋体"/>
          <w:kern w:val="2"/>
          <w:szCs w:val="20"/>
          <w:lang w:bidi="ar"/>
          <w14:ligatures w14:val="standardContextual"/>
        </w:rPr>
        <w:t>的工作范围包括工程质量检测和政府要求的各类报批报建证件的办理。</w:t>
      </w:r>
    </w:p>
    <w:p>
      <w:pPr>
        <w:pStyle w:val="44"/>
        <w:widowControl w:val="0"/>
        <w:spacing w:before="0" w:beforeAutospacing="0" w:after="0" w:afterAutospacing="0" w:line="500" w:lineRule="exact"/>
        <w:ind w:firstLine="482" w:firstLineChars="200"/>
        <w:jc w:val="both"/>
        <w:rPr>
          <w:rFonts w:hint="eastAsia" w:hAnsi="宋体" w:cs="宋体"/>
          <w:kern w:val="2"/>
          <w:szCs w:val="20"/>
          <w:lang w:bidi="ar"/>
          <w14:ligatures w14:val="standardContextual"/>
        </w:rPr>
      </w:pPr>
      <w:r>
        <w:rPr>
          <w:rFonts w:hint="eastAsia" w:hAnsi="宋体" w:cs="宋体"/>
          <w:b/>
          <w:bCs/>
          <w:kern w:val="2"/>
          <w:szCs w:val="20"/>
          <w:lang w:val="en-US" w:eastAsia="zh-CN" w:bidi="ar"/>
          <w14:ligatures w14:val="standardContextual"/>
        </w:rPr>
        <w:t>8.5</w:t>
      </w:r>
      <w:r>
        <w:rPr>
          <w:rFonts w:hint="eastAsia" w:hAnsi="宋体" w:cs="宋体"/>
          <w:b/>
          <w:bCs/>
          <w:kern w:val="2"/>
          <w:szCs w:val="20"/>
          <w:lang w:bidi="ar"/>
          <w14:ligatures w14:val="standardContextual"/>
        </w:rPr>
        <w:t>其他要求：</w:t>
      </w:r>
      <w:r>
        <w:rPr>
          <w:rFonts w:hint="eastAsia" w:hAnsi="宋体" w:cs="宋体"/>
          <w:kern w:val="2"/>
          <w:szCs w:val="20"/>
          <w:lang w:bidi="ar"/>
          <w14:ligatures w14:val="standardContextual"/>
        </w:rPr>
        <w:t>所有钢材要求进行除锈，除锈等级为Sa2.5，材料在预制安装前要求完成底漆和中间漆的涂刷；本项目结构、管道需要涂刷面漆的，面漆均要求为氟碳漆，氟碳漆执行《交联型氟树脂涂料》（HG/T-3792-2014）的要求；所有阀门在安装前需100%试压，只有现场试压合格的阀门才允许安装；设备采购前业主确认采购技术协议。</w:t>
      </w:r>
    </w:p>
    <w:p>
      <w:pPr>
        <w:pStyle w:val="44"/>
        <w:widowControl w:val="0"/>
        <w:spacing w:before="0" w:beforeAutospacing="0" w:after="0" w:afterAutospacing="0" w:line="500" w:lineRule="exact"/>
        <w:ind w:firstLine="482" w:firstLineChars="200"/>
        <w:jc w:val="both"/>
        <w:rPr>
          <w:rFonts w:hint="eastAsia" w:hAnsi="宋体" w:cs="宋体"/>
          <w:kern w:val="2"/>
          <w:szCs w:val="20"/>
          <w:lang w:bidi="ar"/>
          <w14:ligatures w14:val="standardContextual"/>
        </w:rPr>
      </w:pPr>
      <w:r>
        <w:rPr>
          <w:rFonts w:hint="eastAsia" w:hAnsi="宋体" w:cs="宋体"/>
          <w:b/>
          <w:bCs/>
          <w:kern w:val="2"/>
          <w:szCs w:val="20"/>
          <w:lang w:val="en-US" w:eastAsia="zh-CN" w:bidi="ar"/>
          <w14:ligatures w14:val="standardContextual"/>
        </w:rPr>
        <w:t>8.6</w:t>
      </w:r>
      <w:r>
        <w:rPr>
          <w:rFonts w:hint="eastAsia" w:hAnsi="宋体" w:cs="宋体"/>
          <w:b/>
          <w:bCs/>
          <w:kern w:val="2"/>
          <w:szCs w:val="20"/>
          <w:lang w:bidi="ar"/>
          <w14:ligatures w14:val="standardContextual"/>
        </w:rPr>
        <w:t>注意事项：</w:t>
      </w:r>
    </w:p>
    <w:p>
      <w:pPr>
        <w:pStyle w:val="44"/>
        <w:widowControl w:val="0"/>
        <w:spacing w:before="0" w:beforeAutospacing="0" w:after="0" w:afterAutospacing="0" w:line="500" w:lineRule="exact"/>
        <w:ind w:firstLine="482" w:firstLineChars="200"/>
        <w:jc w:val="both"/>
        <w:rPr>
          <w:rFonts w:hint="eastAsia" w:hAnsi="宋体" w:cs="宋体"/>
          <w:b/>
          <w:bCs/>
          <w:kern w:val="2"/>
          <w:szCs w:val="20"/>
          <w:lang w:bidi="ar"/>
          <w14:ligatures w14:val="standardContextual"/>
        </w:rPr>
      </w:pPr>
      <w:r>
        <w:rPr>
          <w:rFonts w:hint="eastAsia" w:hAnsi="宋体" w:cs="宋体"/>
          <w:b/>
          <w:bCs/>
          <w:kern w:val="2"/>
          <w:szCs w:val="20"/>
          <w:lang w:val="en-US" w:eastAsia="zh-CN" w:bidi="ar"/>
          <w14:ligatures w14:val="standardContextual"/>
        </w:rPr>
        <w:t>8.6.1</w:t>
      </w:r>
      <w:r>
        <w:rPr>
          <w:rFonts w:hint="eastAsia" w:hAnsi="宋体" w:cs="宋体"/>
          <w:b/>
          <w:bCs/>
          <w:kern w:val="2"/>
          <w:szCs w:val="20"/>
          <w:lang w:bidi="ar"/>
          <w14:ligatures w14:val="standardContextual"/>
        </w:rPr>
        <w:t>未尽事宜均按国家现行的有关规范、规定施工。</w:t>
      </w:r>
    </w:p>
    <w:p>
      <w:pPr>
        <w:pStyle w:val="44"/>
        <w:widowControl w:val="0"/>
        <w:spacing w:before="0" w:beforeAutospacing="0" w:after="0" w:afterAutospacing="0" w:line="500" w:lineRule="exact"/>
        <w:ind w:firstLine="482" w:firstLineChars="200"/>
        <w:jc w:val="both"/>
        <w:rPr>
          <w:rFonts w:hint="eastAsia" w:hAnsi="宋体" w:cs="宋体"/>
          <w:b/>
          <w:bCs/>
          <w:kern w:val="2"/>
          <w:szCs w:val="20"/>
          <w:lang w:bidi="ar"/>
          <w14:ligatures w14:val="standardContextual"/>
        </w:rPr>
      </w:pPr>
      <w:r>
        <w:rPr>
          <w:rFonts w:hint="eastAsia" w:hAnsi="宋体" w:cs="宋体"/>
          <w:b/>
          <w:bCs/>
          <w:kern w:val="2"/>
          <w:szCs w:val="20"/>
          <w:lang w:val="en-US" w:eastAsia="zh-CN" w:bidi="ar"/>
          <w14:ligatures w14:val="standardContextual"/>
        </w:rPr>
        <w:t>8.6.2</w:t>
      </w:r>
      <w:r>
        <w:rPr>
          <w:rFonts w:hint="eastAsia" w:hAnsi="宋体" w:cs="宋体"/>
          <w:b/>
          <w:bCs/>
          <w:kern w:val="2"/>
          <w:szCs w:val="20"/>
          <w:lang w:eastAsia="zh-CN" w:bidi="ar"/>
          <w14:ligatures w14:val="standardContextual"/>
        </w:rPr>
        <w:t>投标人</w:t>
      </w:r>
      <w:r>
        <w:rPr>
          <w:rFonts w:hint="eastAsia" w:hAnsi="宋体" w:cs="宋体"/>
          <w:b/>
          <w:bCs/>
          <w:kern w:val="2"/>
          <w:szCs w:val="20"/>
          <w:lang w:bidi="ar"/>
          <w14:ligatures w14:val="standardContextual"/>
        </w:rPr>
        <w:t>需根据用电负荷自备用电设备、电缆。</w:t>
      </w:r>
    </w:p>
    <w:p>
      <w:pPr>
        <w:pStyle w:val="44"/>
        <w:widowControl w:val="0"/>
        <w:spacing w:before="0" w:beforeAutospacing="0" w:after="0" w:afterAutospacing="0" w:line="500" w:lineRule="exact"/>
        <w:ind w:firstLine="482" w:firstLineChars="200"/>
        <w:jc w:val="both"/>
        <w:rPr>
          <w:rFonts w:hint="eastAsia" w:hAnsi="宋体" w:cs="宋体"/>
          <w:b/>
          <w:bCs/>
          <w:kern w:val="2"/>
          <w:szCs w:val="20"/>
          <w:lang w:bidi="ar"/>
          <w14:ligatures w14:val="standardContextual"/>
        </w:rPr>
      </w:pPr>
      <w:r>
        <w:rPr>
          <w:rFonts w:hint="eastAsia" w:hAnsi="宋体" w:cs="宋体"/>
          <w:b/>
          <w:bCs/>
          <w:kern w:val="2"/>
          <w:szCs w:val="20"/>
          <w:lang w:val="en-US" w:eastAsia="zh-CN" w:bidi="ar"/>
          <w14:ligatures w14:val="standardContextual"/>
        </w:rPr>
        <w:t>8.6.3</w:t>
      </w:r>
      <w:r>
        <w:rPr>
          <w:rFonts w:hint="eastAsia" w:hAnsi="宋体" w:cs="宋体"/>
          <w:b/>
          <w:bCs/>
          <w:kern w:val="2"/>
          <w:szCs w:val="20"/>
          <w:lang w:bidi="ar"/>
          <w14:ligatures w14:val="standardContextual"/>
        </w:rPr>
        <w:t>现场临时设施：</w:t>
      </w:r>
      <w:r>
        <w:rPr>
          <w:rFonts w:hint="eastAsia" w:hAnsi="宋体" w:cs="宋体"/>
          <w:b/>
          <w:bCs/>
          <w:kern w:val="2"/>
          <w:szCs w:val="20"/>
          <w:lang w:eastAsia="zh-CN" w:bidi="ar"/>
          <w14:ligatures w14:val="standardContextual"/>
        </w:rPr>
        <w:t>投标人</w:t>
      </w:r>
      <w:r>
        <w:rPr>
          <w:rFonts w:hint="eastAsia" w:hAnsi="宋体" w:cs="宋体"/>
          <w:b/>
          <w:bCs/>
          <w:kern w:val="2"/>
          <w:szCs w:val="20"/>
          <w:lang w:bidi="ar"/>
          <w14:ligatures w14:val="standardContextual"/>
        </w:rPr>
        <w:t>自行解决。</w:t>
      </w:r>
    </w:p>
    <w:p>
      <w:pPr>
        <w:pStyle w:val="44"/>
        <w:widowControl w:val="0"/>
        <w:spacing w:before="0" w:beforeAutospacing="0" w:after="0" w:afterAutospacing="0" w:line="500" w:lineRule="exact"/>
        <w:ind w:firstLine="482" w:firstLineChars="200"/>
        <w:jc w:val="both"/>
        <w:rPr>
          <w:rFonts w:hint="eastAsia" w:hAnsi="宋体" w:cs="宋体"/>
          <w:b/>
          <w:bCs/>
          <w:kern w:val="2"/>
          <w:szCs w:val="20"/>
          <w:lang w:bidi="ar"/>
          <w14:ligatures w14:val="standardContextual"/>
        </w:rPr>
      </w:pPr>
      <w:r>
        <w:rPr>
          <w:rFonts w:hint="eastAsia" w:hAnsi="宋体" w:cs="宋体"/>
          <w:b/>
          <w:bCs/>
          <w:kern w:val="2"/>
          <w:szCs w:val="20"/>
          <w:lang w:val="en-US" w:eastAsia="zh-CN" w:bidi="ar"/>
          <w14:ligatures w14:val="standardContextual"/>
        </w:rPr>
        <w:t>8.6.4</w:t>
      </w:r>
      <w:r>
        <w:rPr>
          <w:rFonts w:hint="eastAsia" w:hAnsi="宋体" w:cs="宋体"/>
          <w:b/>
          <w:bCs/>
          <w:kern w:val="2"/>
          <w:szCs w:val="20"/>
          <w:lang w:bidi="ar"/>
          <w14:ligatures w14:val="standardContextual"/>
        </w:rPr>
        <w:t>根据公司生产管理需求，作业地点不同，需办理不同的相关票证：包括登高、检修（作业）、检修（吊装）、受限空间、动火票、临时用电、占道等与作业内容有关的相关票证，周末、节假日需进行升级管理。</w:t>
      </w:r>
    </w:p>
    <w:p>
      <w:pPr>
        <w:pStyle w:val="44"/>
        <w:widowControl w:val="0"/>
        <w:spacing w:before="0" w:beforeAutospacing="0" w:after="0" w:afterAutospacing="0" w:line="500" w:lineRule="exact"/>
        <w:ind w:firstLine="482" w:firstLineChars="200"/>
        <w:jc w:val="both"/>
        <w:rPr>
          <w:rFonts w:hint="default" w:hAnsi="宋体" w:cs="宋体"/>
          <w:b/>
          <w:bCs/>
          <w:kern w:val="2"/>
          <w:szCs w:val="20"/>
          <w:lang w:val="en-US" w:eastAsia="zh-CN" w:bidi="ar"/>
          <w14:ligatures w14:val="standardContextual"/>
        </w:rPr>
      </w:pPr>
      <w:r>
        <w:rPr>
          <w:rFonts w:hint="eastAsia" w:hAnsi="宋体" w:cs="宋体"/>
          <w:b/>
          <w:bCs/>
          <w:kern w:val="2"/>
          <w:szCs w:val="20"/>
          <w:lang w:val="en-US" w:eastAsia="zh-CN" w:bidi="ar"/>
          <w14:ligatures w14:val="standardContextual"/>
        </w:rPr>
        <w:t>8.6.5根据本项目现场实际特点，施工期间不能影响生产正常运行，投标人酌情考虑工程降效，本厂预计2024年8月中旬停车大修，建议优先考虑电气并柜事宜。</w:t>
      </w:r>
    </w:p>
    <w:p>
      <w:pPr>
        <w:pStyle w:val="44"/>
        <w:widowControl w:val="0"/>
        <w:spacing w:before="0" w:beforeAutospacing="0" w:after="0" w:afterAutospacing="0" w:line="500" w:lineRule="exact"/>
        <w:ind w:firstLine="482" w:firstLineChars="200"/>
        <w:jc w:val="both"/>
        <w:rPr>
          <w:rFonts w:hint="eastAsia" w:hAnsi="宋体" w:cs="宋体"/>
          <w:b/>
          <w:bCs/>
          <w:kern w:val="2"/>
          <w:szCs w:val="20"/>
          <w:lang w:bidi="ar"/>
          <w14:ligatures w14:val="standardContextual"/>
        </w:rPr>
      </w:pPr>
      <w:r>
        <w:rPr>
          <w:rFonts w:hint="eastAsia" w:hAnsi="宋体" w:cs="宋体"/>
          <w:b/>
          <w:bCs/>
          <w:kern w:val="2"/>
          <w:szCs w:val="20"/>
          <w:lang w:val="en-US" w:eastAsia="zh-CN" w:bidi="ar"/>
          <w14:ligatures w14:val="standardContextual"/>
        </w:rPr>
        <w:t>8.7</w:t>
      </w:r>
      <w:r>
        <w:rPr>
          <w:rFonts w:hint="eastAsia" w:hAnsi="宋体" w:cs="宋体"/>
          <w:b/>
          <w:bCs/>
          <w:kern w:val="2"/>
          <w:szCs w:val="20"/>
          <w:lang w:eastAsia="zh-CN" w:bidi="ar"/>
          <w14:ligatures w14:val="standardContextual"/>
        </w:rPr>
        <w:t>投标人</w:t>
      </w:r>
      <w:r>
        <w:rPr>
          <w:rFonts w:hint="eastAsia" w:hAnsi="宋体" w:cs="宋体"/>
          <w:b/>
          <w:bCs/>
          <w:kern w:val="2"/>
          <w:szCs w:val="20"/>
          <w:lang w:bidi="ar"/>
          <w14:ligatures w14:val="standardContextual"/>
        </w:rPr>
        <w:t>应编制本工程施工组织设计时应不少于以下内容：</w:t>
      </w:r>
    </w:p>
    <w:p>
      <w:pPr>
        <w:pStyle w:val="44"/>
        <w:widowControl w:val="0"/>
        <w:spacing w:before="0" w:beforeAutospacing="0" w:after="0" w:afterAutospacing="0" w:line="500" w:lineRule="exact"/>
        <w:ind w:firstLine="480" w:firstLineChars="200"/>
        <w:jc w:val="both"/>
        <w:rPr>
          <w:rFonts w:hint="eastAsia" w:hAnsi="宋体" w:cs="宋体"/>
          <w:kern w:val="2"/>
          <w:szCs w:val="20"/>
          <w:lang w:bidi="ar"/>
          <w14:ligatures w14:val="standardContextual"/>
        </w:rPr>
      </w:pPr>
      <w:r>
        <w:rPr>
          <w:rFonts w:hint="eastAsia" w:hAnsi="宋体" w:cs="宋体"/>
          <w:kern w:val="2"/>
          <w:szCs w:val="20"/>
          <w:lang w:val="en-US" w:eastAsia="zh-CN" w:bidi="ar"/>
          <w14:ligatures w14:val="standardContextual"/>
        </w:rPr>
        <w:t>8.7.1</w:t>
      </w:r>
      <w:r>
        <w:rPr>
          <w:rFonts w:hint="eastAsia" w:hAnsi="宋体" w:cs="宋体"/>
          <w:kern w:val="2"/>
          <w:szCs w:val="20"/>
          <w:lang w:bidi="ar"/>
          <w14:ligatures w14:val="standardContextual"/>
        </w:rPr>
        <w:t>工程概况及特点</w:t>
      </w:r>
    </w:p>
    <w:p>
      <w:pPr>
        <w:pStyle w:val="44"/>
        <w:widowControl w:val="0"/>
        <w:spacing w:before="0" w:beforeAutospacing="0" w:after="0" w:afterAutospacing="0" w:line="500" w:lineRule="exact"/>
        <w:ind w:firstLine="480" w:firstLineChars="200"/>
        <w:jc w:val="both"/>
        <w:rPr>
          <w:rFonts w:hint="eastAsia" w:hAnsi="宋体" w:cs="宋体"/>
          <w:kern w:val="2"/>
          <w:szCs w:val="20"/>
          <w:lang w:bidi="ar"/>
          <w14:ligatures w14:val="standardContextual"/>
        </w:rPr>
      </w:pPr>
      <w:r>
        <w:rPr>
          <w:rFonts w:hint="eastAsia" w:hAnsi="宋体" w:cs="宋体"/>
          <w:kern w:val="2"/>
          <w:szCs w:val="20"/>
          <w:lang w:val="en-US" w:eastAsia="zh-CN" w:bidi="ar"/>
          <w14:ligatures w14:val="standardContextual"/>
        </w:rPr>
        <w:t>8.7.2</w:t>
      </w:r>
      <w:r>
        <w:rPr>
          <w:rFonts w:hint="eastAsia" w:hAnsi="宋体" w:cs="宋体"/>
          <w:kern w:val="2"/>
          <w:szCs w:val="20"/>
          <w:lang w:bidi="ar"/>
          <w14:ligatures w14:val="standardContextual"/>
        </w:rPr>
        <w:t>施工现场组织机构</w:t>
      </w:r>
    </w:p>
    <w:p>
      <w:pPr>
        <w:pStyle w:val="44"/>
        <w:widowControl w:val="0"/>
        <w:spacing w:before="0" w:beforeAutospacing="0" w:after="0" w:afterAutospacing="0" w:line="500" w:lineRule="exact"/>
        <w:ind w:firstLine="480" w:firstLineChars="200"/>
        <w:jc w:val="both"/>
        <w:rPr>
          <w:rFonts w:hint="eastAsia" w:hAnsi="宋体" w:cs="宋体"/>
          <w:kern w:val="2"/>
          <w:szCs w:val="20"/>
          <w:lang w:bidi="ar"/>
          <w14:ligatures w14:val="standardContextual"/>
        </w:rPr>
      </w:pPr>
      <w:r>
        <w:rPr>
          <w:rFonts w:hint="eastAsia" w:hAnsi="宋体" w:cs="宋体"/>
          <w:kern w:val="2"/>
          <w:szCs w:val="20"/>
          <w:lang w:val="en-US" w:eastAsia="zh-CN" w:bidi="ar"/>
          <w14:ligatures w14:val="standardContextual"/>
        </w:rPr>
        <w:t>8.7.3</w:t>
      </w:r>
      <w:r>
        <w:rPr>
          <w:rFonts w:hint="eastAsia" w:hAnsi="宋体" w:cs="宋体"/>
          <w:kern w:val="2"/>
          <w:szCs w:val="20"/>
          <w:lang w:bidi="ar"/>
          <w14:ligatures w14:val="standardContextual"/>
        </w:rPr>
        <w:t>施工方案</w:t>
      </w:r>
    </w:p>
    <w:p>
      <w:pPr>
        <w:pStyle w:val="44"/>
        <w:widowControl w:val="0"/>
        <w:spacing w:before="0" w:beforeAutospacing="0" w:after="0" w:afterAutospacing="0" w:line="500" w:lineRule="exact"/>
        <w:ind w:firstLine="480" w:firstLineChars="200"/>
        <w:jc w:val="both"/>
        <w:rPr>
          <w:rFonts w:hint="eastAsia" w:hAnsi="宋体" w:cs="宋体"/>
          <w:kern w:val="2"/>
          <w:szCs w:val="20"/>
          <w:lang w:bidi="ar"/>
          <w14:ligatures w14:val="standardContextual"/>
        </w:rPr>
      </w:pPr>
      <w:r>
        <w:rPr>
          <w:rFonts w:hint="eastAsia" w:hAnsi="宋体" w:cs="宋体"/>
          <w:kern w:val="2"/>
          <w:szCs w:val="20"/>
          <w:lang w:val="en-US" w:eastAsia="zh-CN" w:bidi="ar"/>
          <w14:ligatures w14:val="standardContextual"/>
        </w:rPr>
        <w:t>8.7.4</w:t>
      </w:r>
      <w:r>
        <w:rPr>
          <w:rFonts w:hint="eastAsia" w:hAnsi="宋体" w:cs="宋体"/>
          <w:kern w:val="2"/>
          <w:szCs w:val="20"/>
          <w:lang w:bidi="ar"/>
          <w14:ligatures w14:val="standardContextual"/>
        </w:rPr>
        <w:t>进度目标，进度计划及保证措施</w:t>
      </w:r>
    </w:p>
    <w:p>
      <w:pPr>
        <w:pStyle w:val="44"/>
        <w:widowControl w:val="0"/>
        <w:spacing w:before="0" w:beforeAutospacing="0" w:after="0" w:afterAutospacing="0" w:line="500" w:lineRule="exact"/>
        <w:ind w:firstLine="480" w:firstLineChars="200"/>
        <w:jc w:val="both"/>
        <w:rPr>
          <w:rFonts w:hint="eastAsia" w:hAnsi="宋体" w:cs="宋体"/>
          <w:kern w:val="2"/>
          <w:szCs w:val="20"/>
          <w:lang w:bidi="ar"/>
          <w14:ligatures w14:val="standardContextual"/>
        </w:rPr>
      </w:pPr>
      <w:r>
        <w:rPr>
          <w:rFonts w:hint="eastAsia" w:hAnsi="宋体" w:cs="宋体"/>
          <w:kern w:val="2"/>
          <w:szCs w:val="20"/>
          <w:lang w:val="en-US" w:eastAsia="zh-CN" w:bidi="ar"/>
          <w14:ligatures w14:val="standardContextual"/>
        </w:rPr>
        <w:t>8.7.5</w:t>
      </w:r>
      <w:r>
        <w:rPr>
          <w:rFonts w:hint="eastAsia" w:hAnsi="宋体" w:cs="宋体"/>
          <w:kern w:val="2"/>
          <w:szCs w:val="20"/>
          <w:lang w:bidi="ar"/>
          <w14:ligatures w14:val="standardContextual"/>
        </w:rPr>
        <w:t>质量目标，质量保证体系及技术组织措施</w:t>
      </w:r>
    </w:p>
    <w:p>
      <w:pPr>
        <w:pStyle w:val="44"/>
        <w:widowControl w:val="0"/>
        <w:spacing w:before="0" w:beforeAutospacing="0" w:after="0" w:afterAutospacing="0" w:line="500" w:lineRule="exact"/>
        <w:ind w:firstLine="480" w:firstLineChars="200"/>
        <w:jc w:val="both"/>
        <w:rPr>
          <w:rFonts w:hint="eastAsia" w:hAnsi="宋体" w:cs="宋体"/>
          <w:kern w:val="2"/>
          <w:szCs w:val="20"/>
          <w:lang w:bidi="ar"/>
          <w14:ligatures w14:val="standardContextual"/>
        </w:rPr>
      </w:pPr>
      <w:r>
        <w:rPr>
          <w:rFonts w:hint="eastAsia" w:hAnsi="宋体" w:cs="宋体"/>
          <w:kern w:val="2"/>
          <w:szCs w:val="20"/>
          <w:lang w:val="en-US" w:eastAsia="zh-CN" w:bidi="ar"/>
          <w14:ligatures w14:val="standardContextual"/>
        </w:rPr>
        <w:t>8.7.6</w:t>
      </w:r>
      <w:r>
        <w:rPr>
          <w:rFonts w:hint="eastAsia" w:hAnsi="宋体" w:cs="宋体"/>
          <w:kern w:val="2"/>
          <w:szCs w:val="20"/>
          <w:lang w:bidi="ar"/>
          <w14:ligatures w14:val="standardContextual"/>
        </w:rPr>
        <w:t>安全目标、安全保证体系及技术组织措施（内容包括但不限于安全投入计划和项目安全管理方案）</w:t>
      </w:r>
    </w:p>
    <w:p>
      <w:pPr>
        <w:pStyle w:val="44"/>
        <w:widowControl w:val="0"/>
        <w:spacing w:before="0" w:beforeAutospacing="0" w:after="0" w:afterAutospacing="0" w:line="500" w:lineRule="exact"/>
        <w:ind w:firstLine="480" w:firstLineChars="200"/>
        <w:jc w:val="both"/>
        <w:rPr>
          <w:rFonts w:hint="eastAsia" w:hAnsi="宋体" w:cs="宋体"/>
          <w:kern w:val="2"/>
          <w:szCs w:val="20"/>
          <w:lang w:bidi="ar"/>
          <w14:ligatures w14:val="standardContextual"/>
        </w:rPr>
      </w:pPr>
      <w:r>
        <w:rPr>
          <w:rFonts w:hint="eastAsia" w:hAnsi="宋体" w:cs="宋体"/>
          <w:kern w:val="2"/>
          <w:szCs w:val="20"/>
          <w:lang w:val="en-US" w:eastAsia="zh-CN" w:bidi="ar"/>
          <w14:ligatures w14:val="standardContextual"/>
        </w:rPr>
        <w:t>8.7.7</w:t>
      </w:r>
      <w:r>
        <w:rPr>
          <w:rFonts w:hint="eastAsia" w:hAnsi="宋体" w:cs="宋体"/>
          <w:kern w:val="2"/>
          <w:szCs w:val="20"/>
          <w:lang w:bidi="ar"/>
          <w14:ligatures w14:val="standardContextual"/>
        </w:rPr>
        <w:t>环境保护及文明施工</w:t>
      </w:r>
    </w:p>
    <w:p>
      <w:pPr>
        <w:pStyle w:val="44"/>
        <w:widowControl w:val="0"/>
        <w:spacing w:before="0" w:beforeAutospacing="0" w:after="0" w:afterAutospacing="0" w:line="500" w:lineRule="exact"/>
        <w:ind w:firstLine="480" w:firstLineChars="200"/>
        <w:jc w:val="both"/>
        <w:rPr>
          <w:rFonts w:hint="eastAsia" w:hAnsi="宋体" w:cs="宋体"/>
          <w:kern w:val="2"/>
          <w:szCs w:val="20"/>
          <w:lang w:bidi="ar"/>
          <w14:ligatures w14:val="standardContextual"/>
        </w:rPr>
      </w:pPr>
      <w:r>
        <w:rPr>
          <w:rFonts w:hint="eastAsia" w:hAnsi="宋体" w:cs="宋体"/>
          <w:kern w:val="2"/>
          <w:szCs w:val="20"/>
          <w:lang w:val="en-US" w:eastAsia="zh-CN" w:bidi="ar"/>
          <w14:ligatures w14:val="standardContextual"/>
        </w:rPr>
        <w:t>8.7.8</w:t>
      </w:r>
      <w:r>
        <w:rPr>
          <w:rFonts w:hint="eastAsia" w:hAnsi="宋体" w:cs="宋体"/>
          <w:kern w:val="2"/>
          <w:szCs w:val="20"/>
          <w:lang w:bidi="ar"/>
          <w14:ligatures w14:val="standardContextual"/>
        </w:rPr>
        <w:t>项目管理及施工人员信息，劳动力需求计划（有证件要求的管理人员需附有效证件，特殊工种需附特种作业证件）</w:t>
      </w:r>
    </w:p>
    <w:p>
      <w:pPr>
        <w:pStyle w:val="44"/>
        <w:widowControl w:val="0"/>
        <w:spacing w:before="0" w:beforeAutospacing="0" w:after="0" w:afterAutospacing="0" w:line="500" w:lineRule="exact"/>
        <w:ind w:firstLine="480" w:firstLineChars="200"/>
        <w:jc w:val="both"/>
        <w:rPr>
          <w:rFonts w:hint="eastAsia" w:hAnsi="宋体" w:cs="宋体"/>
          <w:kern w:val="2"/>
          <w:szCs w:val="20"/>
          <w:lang w:bidi="ar"/>
          <w14:ligatures w14:val="standardContextual"/>
        </w:rPr>
      </w:pPr>
      <w:r>
        <w:rPr>
          <w:rFonts w:hint="eastAsia" w:hAnsi="宋体" w:cs="宋体"/>
          <w:kern w:val="2"/>
          <w:szCs w:val="20"/>
          <w:lang w:val="en-US" w:eastAsia="zh-CN" w:bidi="ar"/>
          <w14:ligatures w14:val="standardContextual"/>
        </w:rPr>
        <w:t>8.7.9</w:t>
      </w:r>
      <w:r>
        <w:rPr>
          <w:rFonts w:hint="eastAsia" w:hAnsi="宋体" w:cs="宋体"/>
          <w:kern w:val="2"/>
          <w:szCs w:val="20"/>
          <w:lang w:bidi="ar"/>
          <w14:ligatures w14:val="standardContextual"/>
        </w:rPr>
        <w:t>季节施工和防护措施（冬季、雨季及风季）</w:t>
      </w:r>
    </w:p>
    <w:p>
      <w:pPr>
        <w:pStyle w:val="44"/>
        <w:widowControl w:val="0"/>
        <w:spacing w:before="0" w:beforeAutospacing="0" w:after="0" w:afterAutospacing="0" w:line="500" w:lineRule="exact"/>
        <w:ind w:firstLine="480" w:firstLineChars="200"/>
        <w:jc w:val="both"/>
        <w:rPr>
          <w:rFonts w:hint="eastAsia" w:hAnsi="宋体" w:cs="宋体"/>
          <w:kern w:val="2"/>
          <w:szCs w:val="20"/>
          <w:lang w:bidi="ar"/>
          <w14:ligatures w14:val="standardContextual"/>
        </w:rPr>
      </w:pPr>
      <w:r>
        <w:rPr>
          <w:rFonts w:hint="eastAsia" w:hAnsi="宋体" w:cs="宋体"/>
          <w:kern w:val="2"/>
          <w:szCs w:val="20"/>
          <w:lang w:val="en-US" w:eastAsia="zh-CN" w:bidi="ar"/>
          <w14:ligatures w14:val="standardContextual"/>
        </w:rPr>
        <w:t>8.7.10</w:t>
      </w:r>
      <w:r>
        <w:rPr>
          <w:rFonts w:hint="eastAsia" w:hAnsi="宋体" w:cs="宋体"/>
          <w:kern w:val="2"/>
          <w:szCs w:val="20"/>
          <w:lang w:bidi="ar"/>
          <w14:ligatures w14:val="standardContextual"/>
        </w:rPr>
        <w:t>农民工工资、设备采购等供货商货款及地区干扰解决措施。</w:t>
      </w:r>
    </w:p>
    <w:p>
      <w:pPr>
        <w:pStyle w:val="44"/>
        <w:widowControl w:val="0"/>
        <w:spacing w:before="0" w:beforeAutospacing="0" w:after="0" w:afterAutospacing="0" w:line="500" w:lineRule="exact"/>
        <w:ind w:firstLine="482" w:firstLineChars="200"/>
        <w:jc w:val="both"/>
        <w:rPr>
          <w:rFonts w:hint="eastAsia" w:hAnsi="宋体" w:cs="宋体"/>
          <w:b/>
          <w:bCs/>
          <w:kern w:val="2"/>
          <w:szCs w:val="20"/>
          <w:lang w:bidi="ar"/>
          <w14:ligatures w14:val="standardContextual"/>
        </w:rPr>
      </w:pPr>
      <w:r>
        <w:rPr>
          <w:rFonts w:hint="eastAsia" w:hAnsi="宋体" w:cs="宋体"/>
          <w:b/>
          <w:bCs/>
          <w:kern w:val="2"/>
          <w:szCs w:val="20"/>
          <w:lang w:val="en-US" w:eastAsia="zh-CN" w:bidi="ar"/>
          <w14:ligatures w14:val="standardContextual"/>
        </w:rPr>
        <w:t>8.8</w:t>
      </w:r>
      <w:r>
        <w:rPr>
          <w:rFonts w:hint="eastAsia" w:hAnsi="宋体" w:cs="宋体"/>
          <w:b/>
          <w:bCs/>
          <w:kern w:val="2"/>
          <w:szCs w:val="20"/>
          <w:lang w:bidi="ar"/>
          <w14:ligatures w14:val="standardContextual"/>
        </w:rPr>
        <w:t>其他说明</w:t>
      </w:r>
    </w:p>
    <w:p>
      <w:pPr>
        <w:pStyle w:val="44"/>
        <w:widowControl w:val="0"/>
        <w:spacing w:before="0" w:beforeAutospacing="0" w:after="0" w:afterAutospacing="0" w:line="500" w:lineRule="exact"/>
        <w:ind w:firstLine="480" w:firstLineChars="200"/>
        <w:jc w:val="both"/>
        <w:rPr>
          <w:rFonts w:hint="eastAsia" w:hAnsi="宋体" w:cs="宋体"/>
          <w:kern w:val="2"/>
          <w:szCs w:val="20"/>
          <w:lang w:bidi="ar"/>
          <w14:ligatures w14:val="standardContextual"/>
        </w:rPr>
      </w:pPr>
      <w:r>
        <w:rPr>
          <w:rFonts w:hint="eastAsia" w:hAnsi="宋体" w:cs="宋体"/>
          <w:kern w:val="2"/>
          <w:szCs w:val="20"/>
          <w:lang w:val="en-US" w:eastAsia="zh-CN" w:bidi="ar"/>
          <w14:ligatures w14:val="standardContextual"/>
        </w:rPr>
        <w:t>8.8.1</w:t>
      </w:r>
      <w:r>
        <w:rPr>
          <w:rFonts w:hint="eastAsia" w:hAnsi="宋体" w:cs="宋体"/>
          <w:kern w:val="2"/>
          <w:szCs w:val="20"/>
          <w:lang w:eastAsia="zh-CN" w:bidi="ar"/>
          <w14:ligatures w14:val="standardContextual"/>
        </w:rPr>
        <w:t>投标人</w:t>
      </w:r>
      <w:r>
        <w:rPr>
          <w:rFonts w:hint="eastAsia" w:hAnsi="宋体" w:cs="宋体"/>
          <w:kern w:val="2"/>
          <w:szCs w:val="20"/>
          <w:lang w:bidi="ar"/>
          <w14:ligatures w14:val="standardContextual"/>
        </w:rPr>
        <w:t>应遵照《建设工程安全生产管理条例》、《职业健康安全管理体系》（GB/T45001-2020标准）、《建设工程质量管理条例》、《质量管理体系》（ISO9001：2015版）及有关法律法规，坚持安全第一、预防为主和防治结合的方针，对项目安全生产进行统一管理。</w:t>
      </w:r>
    </w:p>
    <w:p>
      <w:pPr>
        <w:pStyle w:val="44"/>
        <w:widowControl w:val="0"/>
        <w:spacing w:before="0" w:beforeAutospacing="0" w:after="0" w:afterAutospacing="0" w:line="500" w:lineRule="exact"/>
        <w:ind w:firstLine="482" w:firstLineChars="200"/>
        <w:jc w:val="both"/>
        <w:rPr>
          <w:rFonts w:hint="eastAsia" w:hAnsi="宋体" w:cs="宋体"/>
          <w:b/>
          <w:bCs/>
          <w:kern w:val="2"/>
          <w:szCs w:val="20"/>
          <w:lang w:bidi="ar"/>
          <w14:ligatures w14:val="standardContextual"/>
        </w:rPr>
      </w:pPr>
      <w:r>
        <w:rPr>
          <w:rFonts w:hint="eastAsia" w:hAnsi="宋体" w:cs="宋体"/>
          <w:b/>
          <w:bCs/>
          <w:kern w:val="2"/>
          <w:szCs w:val="20"/>
          <w:lang w:val="en-US" w:eastAsia="zh-CN" w:bidi="ar"/>
          <w14:ligatures w14:val="standardContextual"/>
        </w:rPr>
        <w:t>8.8.2</w:t>
      </w:r>
      <w:r>
        <w:rPr>
          <w:rFonts w:hint="eastAsia" w:hAnsi="宋体" w:cs="宋体"/>
          <w:b/>
          <w:bCs/>
          <w:kern w:val="2"/>
          <w:szCs w:val="20"/>
          <w:lang w:eastAsia="zh-CN" w:bidi="ar"/>
          <w14:ligatures w14:val="standardContextual"/>
        </w:rPr>
        <w:t>投标人</w:t>
      </w:r>
      <w:r>
        <w:rPr>
          <w:rFonts w:hint="eastAsia" w:hAnsi="宋体" w:cs="宋体"/>
          <w:b/>
          <w:bCs/>
          <w:kern w:val="2"/>
          <w:szCs w:val="20"/>
          <w:lang w:bidi="ar"/>
          <w14:ligatures w14:val="standardContextual"/>
        </w:rPr>
        <w:t>需按照业主要求编制完成本项目的资产移交清册。</w:t>
      </w:r>
    </w:p>
    <w:p>
      <w:pPr>
        <w:pStyle w:val="44"/>
        <w:widowControl w:val="0"/>
        <w:spacing w:before="0" w:beforeAutospacing="0" w:after="0" w:afterAutospacing="0" w:line="500" w:lineRule="exact"/>
        <w:ind w:firstLine="482" w:firstLineChars="200"/>
        <w:jc w:val="both"/>
        <w:rPr>
          <w:rFonts w:hint="eastAsia" w:hAnsi="宋体" w:cs="宋体"/>
          <w:b/>
          <w:bCs/>
          <w:kern w:val="2"/>
          <w:szCs w:val="20"/>
          <w:lang w:val="en-US" w:eastAsia="zh-CN" w:bidi="ar"/>
          <w14:ligatures w14:val="standardContextual"/>
        </w:rPr>
      </w:pPr>
      <w:r>
        <w:rPr>
          <w:rFonts w:hint="eastAsia" w:hAnsi="宋体" w:cs="宋体"/>
          <w:b/>
          <w:bCs/>
          <w:kern w:val="2"/>
          <w:szCs w:val="20"/>
          <w:lang w:val="en-US" w:eastAsia="zh-CN" w:bidi="ar"/>
          <w14:ligatures w14:val="standardContextual"/>
        </w:rPr>
        <w:t>9 服务范围</w:t>
      </w:r>
    </w:p>
    <w:p>
      <w:pPr>
        <w:pStyle w:val="44"/>
        <w:widowControl w:val="0"/>
        <w:spacing w:before="0" w:beforeAutospacing="0" w:after="0" w:afterAutospacing="0" w:line="500" w:lineRule="exact"/>
        <w:ind w:firstLine="482" w:firstLineChars="200"/>
        <w:jc w:val="both"/>
        <w:rPr>
          <w:rFonts w:hint="eastAsia" w:hAnsi="宋体" w:cs="宋体"/>
          <w:b/>
          <w:bCs/>
          <w:kern w:val="2"/>
          <w:szCs w:val="20"/>
          <w:lang w:val="en-US" w:eastAsia="zh-CN" w:bidi="ar"/>
          <w14:ligatures w14:val="standardContextual"/>
        </w:rPr>
      </w:pPr>
      <w:r>
        <w:rPr>
          <w:rFonts w:hint="eastAsia" w:hAnsi="宋体" w:cs="宋体"/>
          <w:b/>
          <w:bCs/>
          <w:kern w:val="2"/>
          <w:szCs w:val="20"/>
          <w:lang w:val="en-US" w:eastAsia="zh-CN" w:bidi="ar"/>
          <w14:ligatures w14:val="standardContextual"/>
        </w:rPr>
        <w:t>9.1总则</w:t>
      </w:r>
    </w:p>
    <w:p>
      <w:pPr>
        <w:pStyle w:val="44"/>
        <w:widowControl w:val="0"/>
        <w:spacing w:before="0" w:beforeAutospacing="0" w:after="0" w:afterAutospacing="0" w:line="500" w:lineRule="exact"/>
        <w:ind w:firstLine="480" w:firstLineChars="200"/>
        <w:jc w:val="both"/>
        <w:rPr>
          <w:rFonts w:hint="eastAsia" w:hAnsi="宋体" w:cs="宋体"/>
          <w:kern w:val="2"/>
          <w:szCs w:val="20"/>
          <w:lang w:val="en-US" w:eastAsia="zh-CN" w:bidi="ar"/>
          <w14:ligatures w14:val="standardContextual"/>
        </w:rPr>
      </w:pPr>
      <w:r>
        <w:rPr>
          <w:rFonts w:hint="eastAsia" w:hAnsi="宋体" w:cs="宋体"/>
          <w:kern w:val="2"/>
          <w:szCs w:val="20"/>
          <w:lang w:val="en-US" w:eastAsia="zh-CN" w:bidi="ar"/>
          <w14:ligatures w14:val="standardContextual"/>
        </w:rPr>
        <w:t>投标人应负责按合同规定的进度、质量、费用控制目标，安全、有效地完成本项目的建设，投标人的活动包括但不限于项目管理、行政管理、工程设计、采购、施工、单机试车直至工程中间交接，特种设备检验、使用证的办理，并包括在联动试车和投料试车过程中配合和对业主的指导、支持服务及保镖工作。</w:t>
      </w:r>
    </w:p>
    <w:p>
      <w:pPr>
        <w:pStyle w:val="44"/>
        <w:widowControl w:val="0"/>
        <w:spacing w:before="0" w:beforeAutospacing="0" w:after="0" w:afterAutospacing="0" w:line="500" w:lineRule="exact"/>
        <w:ind w:firstLine="482" w:firstLineChars="200"/>
        <w:jc w:val="both"/>
        <w:rPr>
          <w:rFonts w:hint="eastAsia" w:hAnsi="宋体" w:cs="宋体"/>
          <w:b/>
          <w:bCs/>
          <w:kern w:val="2"/>
          <w:szCs w:val="20"/>
          <w:lang w:val="en-US" w:eastAsia="zh-CN" w:bidi="ar"/>
          <w14:ligatures w14:val="standardContextual"/>
        </w:rPr>
      </w:pPr>
      <w:r>
        <w:rPr>
          <w:rFonts w:hint="eastAsia" w:hAnsi="宋体" w:cs="宋体"/>
          <w:b/>
          <w:bCs/>
          <w:kern w:val="2"/>
          <w:szCs w:val="20"/>
          <w:lang w:val="en-US" w:eastAsia="zh-CN" w:bidi="ar"/>
          <w14:ligatures w14:val="standardContextual"/>
        </w:rPr>
        <w:t>9.2项目管理</w:t>
      </w:r>
    </w:p>
    <w:p>
      <w:pPr>
        <w:pStyle w:val="44"/>
        <w:widowControl w:val="0"/>
        <w:spacing w:before="0" w:beforeAutospacing="0" w:after="0" w:afterAutospacing="0" w:line="500" w:lineRule="exact"/>
        <w:ind w:firstLine="480" w:firstLineChars="200"/>
        <w:jc w:val="both"/>
        <w:rPr>
          <w:rFonts w:hint="eastAsia" w:hAnsi="宋体" w:cs="宋体"/>
          <w:kern w:val="2"/>
          <w:szCs w:val="20"/>
          <w:lang w:val="en-US" w:eastAsia="zh-CN" w:bidi="ar"/>
          <w14:ligatures w14:val="standardContextual"/>
        </w:rPr>
      </w:pPr>
      <w:r>
        <w:rPr>
          <w:rFonts w:hint="eastAsia" w:hAnsi="宋体" w:cs="宋体"/>
          <w:kern w:val="2"/>
          <w:szCs w:val="20"/>
          <w:lang w:val="en-US" w:eastAsia="zh-CN" w:bidi="ar"/>
          <w14:ligatures w14:val="standardContextual"/>
        </w:rPr>
        <w:t>9.2.1项目执行计划</w:t>
      </w:r>
    </w:p>
    <w:p>
      <w:pPr>
        <w:pStyle w:val="44"/>
        <w:widowControl w:val="0"/>
        <w:spacing w:before="0" w:beforeAutospacing="0" w:after="0" w:afterAutospacing="0" w:line="500" w:lineRule="exact"/>
        <w:ind w:firstLine="480" w:firstLineChars="200"/>
        <w:jc w:val="both"/>
        <w:rPr>
          <w:rFonts w:hint="eastAsia" w:hAnsi="宋体" w:cs="宋体"/>
          <w:kern w:val="2"/>
          <w:szCs w:val="20"/>
          <w:lang w:val="en-US" w:eastAsia="zh-CN" w:bidi="ar"/>
          <w14:ligatures w14:val="standardContextual"/>
        </w:rPr>
      </w:pPr>
      <w:r>
        <w:rPr>
          <w:rFonts w:hint="eastAsia" w:hAnsi="宋体" w:cs="宋体"/>
          <w:kern w:val="2"/>
          <w:szCs w:val="20"/>
          <w:lang w:val="en-US" w:eastAsia="zh-CN" w:bidi="ar"/>
          <w14:ligatures w14:val="standardContextual"/>
        </w:rPr>
        <w:t>投标人应在合同生效后向业主提交更新项目执行计划，经业主批准后，应在工程建设期间切实执行。业主将监督其执行情况。</w:t>
      </w:r>
    </w:p>
    <w:p>
      <w:pPr>
        <w:pStyle w:val="44"/>
        <w:widowControl w:val="0"/>
        <w:spacing w:before="0" w:beforeAutospacing="0" w:after="0" w:afterAutospacing="0" w:line="500" w:lineRule="exact"/>
        <w:ind w:firstLine="480" w:firstLineChars="200"/>
        <w:jc w:val="both"/>
        <w:rPr>
          <w:rFonts w:hint="eastAsia" w:hAnsi="宋体" w:cs="宋体"/>
          <w:kern w:val="2"/>
          <w:szCs w:val="20"/>
          <w:lang w:val="en-US" w:eastAsia="zh-CN" w:bidi="ar"/>
          <w14:ligatures w14:val="standardContextual"/>
        </w:rPr>
      </w:pPr>
      <w:r>
        <w:rPr>
          <w:rFonts w:hint="eastAsia" w:hAnsi="宋体" w:cs="宋体"/>
          <w:kern w:val="2"/>
          <w:szCs w:val="20"/>
          <w:lang w:val="en-US" w:eastAsia="zh-CN" w:bidi="ar"/>
          <w14:ligatures w14:val="standardContextual"/>
        </w:rPr>
        <w:t>9.2.2管理程序</w:t>
      </w:r>
    </w:p>
    <w:p>
      <w:pPr>
        <w:pStyle w:val="44"/>
        <w:widowControl w:val="0"/>
        <w:spacing w:before="0" w:beforeAutospacing="0" w:after="0" w:afterAutospacing="0" w:line="500" w:lineRule="exact"/>
        <w:ind w:firstLine="480" w:firstLineChars="200"/>
        <w:jc w:val="both"/>
        <w:rPr>
          <w:rFonts w:hint="eastAsia" w:hAnsi="宋体" w:cs="宋体"/>
          <w:kern w:val="2"/>
          <w:szCs w:val="20"/>
          <w:lang w:val="en-US" w:eastAsia="zh-CN" w:bidi="ar"/>
          <w14:ligatures w14:val="standardContextual"/>
        </w:rPr>
      </w:pPr>
      <w:r>
        <w:rPr>
          <w:rFonts w:hint="eastAsia" w:hAnsi="宋体" w:cs="宋体"/>
          <w:kern w:val="2"/>
          <w:szCs w:val="20"/>
          <w:lang w:val="en-US" w:eastAsia="zh-CN" w:bidi="ar"/>
          <w14:ligatures w14:val="standardContextual"/>
        </w:rPr>
        <w:t>投标人负责执行健全、有效的管理程序，控制、协调制造商、分包商和供货商的工作并及时向业主汇报其真实状况。</w:t>
      </w:r>
    </w:p>
    <w:p>
      <w:pPr>
        <w:pStyle w:val="44"/>
        <w:widowControl w:val="0"/>
        <w:spacing w:before="0" w:beforeAutospacing="0" w:after="0" w:afterAutospacing="0" w:line="500" w:lineRule="exact"/>
        <w:ind w:firstLine="480" w:firstLineChars="200"/>
        <w:jc w:val="both"/>
        <w:rPr>
          <w:rFonts w:hint="eastAsia" w:hAnsi="宋体" w:cs="宋体"/>
          <w:kern w:val="2"/>
          <w:szCs w:val="20"/>
          <w:lang w:val="en-US" w:eastAsia="zh-CN" w:bidi="ar"/>
          <w14:ligatures w14:val="standardContextual"/>
        </w:rPr>
      </w:pPr>
      <w:r>
        <w:rPr>
          <w:rFonts w:hint="eastAsia" w:hAnsi="宋体" w:cs="宋体"/>
          <w:kern w:val="2"/>
          <w:szCs w:val="20"/>
          <w:lang w:val="en-US" w:eastAsia="zh-CN" w:bidi="ar"/>
          <w14:ligatures w14:val="standardContextual"/>
        </w:rPr>
        <w:t>9.2.3会议纪要和进度报告</w:t>
      </w:r>
    </w:p>
    <w:p>
      <w:pPr>
        <w:pStyle w:val="44"/>
        <w:widowControl w:val="0"/>
        <w:spacing w:before="0" w:beforeAutospacing="0" w:after="0" w:afterAutospacing="0" w:line="500" w:lineRule="exact"/>
        <w:ind w:firstLine="480" w:firstLineChars="200"/>
        <w:jc w:val="both"/>
        <w:rPr>
          <w:rFonts w:hint="eastAsia" w:hAnsi="宋体" w:cs="宋体"/>
          <w:kern w:val="2"/>
          <w:szCs w:val="20"/>
          <w:lang w:val="en-US" w:eastAsia="zh-CN" w:bidi="ar"/>
          <w14:ligatures w14:val="standardContextual"/>
        </w:rPr>
      </w:pPr>
      <w:r>
        <w:rPr>
          <w:rFonts w:hint="eastAsia" w:hAnsi="宋体" w:cs="宋体"/>
          <w:kern w:val="2"/>
          <w:szCs w:val="20"/>
          <w:lang w:val="en-US" w:eastAsia="zh-CN" w:bidi="ar"/>
          <w14:ligatures w14:val="standardContextual"/>
        </w:rPr>
        <w:t>投标人项目经理应按时参加业主的各类会议，具体参会的会议名称、时间、地点在合同生效后通知，及时向业主报告项目的进度、现状并预测项目进展趋势。</w:t>
      </w:r>
    </w:p>
    <w:p>
      <w:pPr>
        <w:pStyle w:val="44"/>
        <w:widowControl w:val="0"/>
        <w:spacing w:before="0" w:beforeAutospacing="0" w:after="0" w:afterAutospacing="0" w:line="500" w:lineRule="exact"/>
        <w:ind w:firstLine="480" w:firstLineChars="200"/>
        <w:jc w:val="both"/>
        <w:rPr>
          <w:rFonts w:hint="eastAsia" w:hAnsi="宋体" w:cs="宋体"/>
          <w:kern w:val="2"/>
          <w:szCs w:val="20"/>
          <w:lang w:val="en-US" w:eastAsia="zh-CN" w:bidi="ar"/>
          <w14:ligatures w14:val="standardContextual"/>
        </w:rPr>
      </w:pPr>
      <w:r>
        <w:rPr>
          <w:rFonts w:hint="eastAsia" w:hAnsi="宋体" w:cs="宋体"/>
          <w:kern w:val="2"/>
          <w:szCs w:val="20"/>
          <w:lang w:val="en-US" w:eastAsia="zh-CN" w:bidi="ar"/>
          <w14:ligatures w14:val="standardContextual"/>
        </w:rPr>
        <w:t>9.2.4健康、安全和环境管理</w:t>
      </w:r>
    </w:p>
    <w:p>
      <w:pPr>
        <w:pStyle w:val="44"/>
        <w:widowControl w:val="0"/>
        <w:spacing w:before="0" w:beforeAutospacing="0" w:after="0" w:afterAutospacing="0" w:line="500" w:lineRule="exact"/>
        <w:ind w:firstLine="480" w:firstLineChars="200"/>
        <w:jc w:val="both"/>
        <w:rPr>
          <w:rFonts w:hint="eastAsia" w:hAnsi="宋体" w:cs="宋体"/>
          <w:kern w:val="2"/>
          <w:szCs w:val="20"/>
          <w:lang w:val="en-US" w:eastAsia="zh-CN" w:bidi="ar"/>
          <w14:ligatures w14:val="standardContextual"/>
        </w:rPr>
      </w:pPr>
      <w:r>
        <w:rPr>
          <w:rFonts w:hint="eastAsia" w:hAnsi="宋体" w:cs="宋体"/>
          <w:kern w:val="2"/>
          <w:szCs w:val="20"/>
          <w:lang w:val="en-US" w:eastAsia="zh-CN" w:bidi="ar"/>
          <w14:ligatures w14:val="standardContextual"/>
        </w:rPr>
        <w:t>投标人应建立并维护安全生产管理计划。该计划阐明适用于在工程建设的过程中出现的关于健康、安全、人身安全和环境管理的政策、目标、组织责任、标准、惯例、过程和控制。</w:t>
      </w:r>
    </w:p>
    <w:p>
      <w:pPr>
        <w:pStyle w:val="44"/>
        <w:widowControl w:val="0"/>
        <w:spacing w:before="0" w:beforeAutospacing="0" w:after="0" w:afterAutospacing="0" w:line="500" w:lineRule="exact"/>
        <w:ind w:firstLine="480" w:firstLineChars="200"/>
        <w:jc w:val="both"/>
        <w:rPr>
          <w:rFonts w:hint="eastAsia" w:hAnsi="宋体" w:cs="宋体"/>
          <w:kern w:val="2"/>
          <w:szCs w:val="20"/>
          <w:lang w:val="en-US" w:eastAsia="zh-CN" w:bidi="ar"/>
          <w14:ligatures w14:val="standardContextual"/>
        </w:rPr>
      </w:pPr>
      <w:r>
        <w:rPr>
          <w:rFonts w:hint="eastAsia" w:hAnsi="宋体" w:cs="宋体"/>
          <w:kern w:val="2"/>
          <w:szCs w:val="20"/>
          <w:lang w:val="en-US" w:eastAsia="zh-CN" w:bidi="ar"/>
          <w14:ligatures w14:val="standardContextual"/>
        </w:rPr>
        <w:t>投标人在运行装置区作业应遵守业主的相关安全管理规定及作业程序规定，确保工程施工不影响正常的稳定生产，本工程投标人的所有作业均需要按照业主要求的表格和程序正确的办理作业票，在施工安装过程中同时需要遵守《</w:t>
      </w:r>
      <w:r>
        <w:rPr>
          <w:rFonts w:hint="eastAsia" w:hAnsi="宋体" w:cs="宋体"/>
          <w:kern w:val="2"/>
          <w:szCs w:val="20"/>
          <w:lang w:val="en-US" w:eastAsia="zh-CN" w:bidi="ar"/>
          <w14:ligatures w14:val="standardContextual"/>
        </w:rPr>
        <w:fldChar w:fldCharType="begin"/>
      </w:r>
      <w:r>
        <w:rPr>
          <w:rFonts w:hint="eastAsia" w:hAnsi="宋体" w:cs="宋体"/>
          <w:kern w:val="2"/>
          <w:szCs w:val="20"/>
          <w:lang w:val="en-US" w:eastAsia="zh-CN" w:bidi="ar"/>
          <w14:ligatures w14:val="standardContextual"/>
        </w:rPr>
        <w:instrText xml:space="preserve"> HYPERLINK "https://baike.baidu.com/item/%E5%8D%B1%E9%99%A9%E5%8C%96%E5%AD%A6%E5%93%81%E4%BC%81%E4%B8%9A%E7%89%B9%E6%AE%8A%E4%BD%9C%E4%B8%9A%E5%AE%89%E5%85%A8%E8%A7%84%E8%8C%83/60538441?fromModule=lemma_inlink" \t "https://baike.baidu.com/item/%E5%8C%96%E5%AD%A6%E5%93%81%E7%94%9F%E4%BA%A7%E5%8D%95%E4%BD%8D%E7%89%B9%E6%AE%8A%E4%BD%9C%E4%B8%9A%E5%AE%89%E5%85%A8%E8%A7%84%E8%8C%83/_blank" </w:instrText>
      </w:r>
      <w:r>
        <w:rPr>
          <w:rFonts w:hint="eastAsia" w:hAnsi="宋体" w:cs="宋体"/>
          <w:kern w:val="2"/>
          <w:szCs w:val="20"/>
          <w:lang w:val="en-US" w:eastAsia="zh-CN" w:bidi="ar"/>
          <w14:ligatures w14:val="standardContextual"/>
        </w:rPr>
        <w:fldChar w:fldCharType="separate"/>
      </w:r>
      <w:r>
        <w:rPr>
          <w:rFonts w:hint="eastAsia" w:hAnsi="宋体" w:cs="宋体"/>
          <w:kern w:val="2"/>
          <w:szCs w:val="20"/>
          <w:lang w:val="en-US" w:eastAsia="zh-CN" w:bidi="ar"/>
          <w14:ligatures w14:val="standardContextual"/>
        </w:rPr>
        <w:t>危险化学品企业特殊作业安全规范</w:t>
      </w:r>
      <w:r>
        <w:rPr>
          <w:rFonts w:hint="eastAsia" w:hAnsi="宋体" w:cs="宋体"/>
          <w:kern w:val="2"/>
          <w:szCs w:val="20"/>
          <w:lang w:val="en-US" w:eastAsia="zh-CN" w:bidi="ar"/>
          <w14:ligatures w14:val="standardContextual"/>
        </w:rPr>
        <w:fldChar w:fldCharType="end"/>
      </w:r>
      <w:r>
        <w:rPr>
          <w:rFonts w:hint="eastAsia" w:hAnsi="宋体" w:cs="宋体"/>
          <w:kern w:val="2"/>
          <w:szCs w:val="20"/>
          <w:lang w:val="en-US" w:eastAsia="zh-CN" w:bidi="ar"/>
          <w14:ligatures w14:val="standardContextual"/>
        </w:rPr>
        <w:t>》GB30871-2022及业主的安全管理规定，并接受业主的各项安全检查，并完全执行安全整改项的各种要求。</w:t>
      </w:r>
    </w:p>
    <w:p>
      <w:pPr>
        <w:pStyle w:val="44"/>
        <w:widowControl w:val="0"/>
        <w:spacing w:before="0" w:beforeAutospacing="0" w:after="0" w:afterAutospacing="0" w:line="500" w:lineRule="exact"/>
        <w:ind w:firstLine="480" w:firstLineChars="200"/>
        <w:jc w:val="both"/>
        <w:rPr>
          <w:rFonts w:hint="eastAsia" w:hAnsi="宋体" w:cs="宋体"/>
          <w:kern w:val="2"/>
          <w:szCs w:val="20"/>
          <w:lang w:val="en-US" w:eastAsia="zh-CN" w:bidi="ar"/>
          <w14:ligatures w14:val="standardContextual"/>
        </w:rPr>
      </w:pPr>
      <w:r>
        <w:rPr>
          <w:rFonts w:hint="eastAsia" w:hAnsi="宋体" w:cs="宋体"/>
          <w:kern w:val="2"/>
          <w:szCs w:val="20"/>
          <w:lang w:val="en-US" w:eastAsia="zh-CN" w:bidi="ar"/>
          <w14:ligatures w14:val="standardContextual"/>
        </w:rPr>
        <w:t>9.2.5质量管理</w:t>
      </w:r>
    </w:p>
    <w:p>
      <w:pPr>
        <w:pStyle w:val="44"/>
        <w:widowControl w:val="0"/>
        <w:spacing w:before="0" w:beforeAutospacing="0" w:after="0" w:afterAutospacing="0" w:line="500" w:lineRule="exact"/>
        <w:ind w:firstLine="480" w:firstLineChars="200"/>
        <w:jc w:val="both"/>
        <w:rPr>
          <w:rFonts w:hint="eastAsia" w:hAnsi="宋体" w:cs="宋体"/>
          <w:kern w:val="2"/>
          <w:szCs w:val="20"/>
          <w:lang w:val="en-US" w:eastAsia="zh-CN" w:bidi="ar"/>
          <w14:ligatures w14:val="standardContextual"/>
        </w:rPr>
      </w:pPr>
      <w:r>
        <w:rPr>
          <w:rFonts w:hint="eastAsia" w:hAnsi="宋体" w:cs="宋体"/>
          <w:kern w:val="2"/>
          <w:szCs w:val="20"/>
          <w:lang w:val="en-US" w:eastAsia="zh-CN" w:bidi="ar"/>
          <w14:ligatures w14:val="standardContextual"/>
        </w:rPr>
        <w:t>投标人应建立、维护质量管理计划，并控制、协调包括其分包商和供货商在内的参与者，共同遵照质量计划的规定，管理其各项项目活动。</w:t>
      </w:r>
    </w:p>
    <w:p>
      <w:pPr>
        <w:pStyle w:val="44"/>
        <w:widowControl w:val="0"/>
        <w:spacing w:before="0" w:beforeAutospacing="0" w:after="0" w:afterAutospacing="0" w:line="500" w:lineRule="exact"/>
        <w:ind w:firstLine="480" w:firstLineChars="200"/>
        <w:jc w:val="both"/>
        <w:rPr>
          <w:rFonts w:hint="eastAsia" w:hAnsi="宋体" w:cs="宋体"/>
          <w:kern w:val="2"/>
          <w:szCs w:val="20"/>
          <w:lang w:val="en-US" w:eastAsia="zh-CN" w:bidi="ar"/>
          <w14:ligatures w14:val="standardContextual"/>
        </w:rPr>
      </w:pPr>
      <w:r>
        <w:rPr>
          <w:rFonts w:hint="eastAsia" w:hAnsi="宋体" w:cs="宋体"/>
          <w:kern w:val="2"/>
          <w:szCs w:val="20"/>
          <w:lang w:val="en-US" w:eastAsia="zh-CN" w:bidi="ar"/>
          <w14:ligatures w14:val="standardContextual"/>
        </w:rPr>
        <w:t>9.2.6政府审批</w:t>
      </w:r>
    </w:p>
    <w:p>
      <w:pPr>
        <w:pStyle w:val="44"/>
        <w:widowControl w:val="0"/>
        <w:spacing w:before="0" w:beforeAutospacing="0" w:after="0" w:afterAutospacing="0" w:line="500" w:lineRule="exact"/>
        <w:ind w:firstLine="480" w:firstLineChars="200"/>
        <w:jc w:val="both"/>
        <w:rPr>
          <w:rFonts w:hint="eastAsia" w:hAnsi="宋体" w:cs="宋体"/>
          <w:kern w:val="2"/>
          <w:szCs w:val="20"/>
          <w:lang w:val="en-US" w:eastAsia="zh-CN" w:bidi="ar"/>
          <w14:ligatures w14:val="standardContextual"/>
        </w:rPr>
      </w:pPr>
      <w:r>
        <w:rPr>
          <w:rFonts w:hint="eastAsia" w:hAnsi="宋体" w:cs="宋体"/>
          <w:kern w:val="2"/>
          <w:szCs w:val="20"/>
          <w:lang w:val="en-US" w:eastAsia="zh-CN" w:bidi="ar"/>
          <w14:ligatures w14:val="standardContextual"/>
        </w:rPr>
        <w:t>建设全过程中需经政府及其有关部门的批准和许可，根据政府审批的意见，投标人应补充和修改其设计文件，工程质量检测，如压力容器告知书，工业管道、锅炉、起重机械、安全阀、压力容器告知书、安全质量监督检验报告和政府要求的各类报批报建证件的办理，施工图审查等由投标人负责办理，费用含在合同总价中。</w:t>
      </w:r>
    </w:p>
    <w:p>
      <w:pPr>
        <w:pStyle w:val="44"/>
        <w:widowControl w:val="0"/>
        <w:spacing w:before="0" w:beforeAutospacing="0" w:after="0" w:afterAutospacing="0" w:line="500" w:lineRule="exact"/>
        <w:ind w:firstLine="480" w:firstLineChars="200"/>
        <w:jc w:val="both"/>
        <w:rPr>
          <w:rFonts w:hint="eastAsia" w:hAnsi="宋体" w:cs="宋体"/>
          <w:kern w:val="2"/>
          <w:szCs w:val="20"/>
          <w:lang w:val="en-US" w:eastAsia="zh-CN" w:bidi="ar"/>
          <w14:ligatures w14:val="standardContextual"/>
        </w:rPr>
      </w:pPr>
      <w:r>
        <w:rPr>
          <w:rFonts w:hint="eastAsia" w:hAnsi="宋体" w:cs="宋体"/>
          <w:kern w:val="2"/>
          <w:szCs w:val="20"/>
          <w:lang w:val="en-US" w:eastAsia="zh-CN" w:bidi="ar"/>
          <w14:ligatures w14:val="standardContextual"/>
        </w:rPr>
        <w:t>9.2.7接口工作和管理</w:t>
      </w:r>
    </w:p>
    <w:p>
      <w:pPr>
        <w:pStyle w:val="44"/>
        <w:widowControl w:val="0"/>
        <w:spacing w:before="0" w:beforeAutospacing="0" w:after="0" w:afterAutospacing="0" w:line="500" w:lineRule="exact"/>
        <w:ind w:firstLine="480" w:firstLineChars="200"/>
        <w:jc w:val="both"/>
        <w:rPr>
          <w:rFonts w:hint="eastAsia" w:hAnsi="宋体" w:cs="宋体"/>
          <w:kern w:val="2"/>
          <w:szCs w:val="20"/>
          <w:lang w:val="en-US" w:eastAsia="zh-CN" w:bidi="ar"/>
          <w14:ligatures w14:val="standardContextual"/>
        </w:rPr>
      </w:pPr>
      <w:r>
        <w:rPr>
          <w:rFonts w:hint="eastAsia" w:hAnsi="宋体" w:cs="宋体"/>
          <w:kern w:val="2"/>
          <w:szCs w:val="20"/>
          <w:lang w:val="en-US" w:eastAsia="zh-CN" w:bidi="ar"/>
          <w14:ligatures w14:val="standardContextual"/>
        </w:rPr>
        <w:t>投标人必须建立和执行一套管理体系以管理所有组织和技术接口，并进行有效的协调与控制，衔接业主以及所有供货商之间的工作。接口管理体系必须涵盖工程设计、采购、制造、施工、单机试车、中间交接、联动试车、投料试车和工程竣工验收等建设全过程，以及上述过程中的技术支持的所有环节。投标人必须监控相关的工作，并采取必要的纠正措施保证工程达到合同要求（本项目的所有接口工作均由投标人负责）。</w:t>
      </w:r>
    </w:p>
    <w:p>
      <w:pPr>
        <w:pStyle w:val="44"/>
        <w:widowControl w:val="0"/>
        <w:spacing w:before="0" w:beforeAutospacing="0" w:after="0" w:afterAutospacing="0" w:line="500" w:lineRule="exact"/>
        <w:ind w:firstLine="482" w:firstLineChars="200"/>
        <w:jc w:val="both"/>
        <w:rPr>
          <w:rFonts w:hint="default" w:hAnsi="宋体" w:cs="宋体"/>
          <w:b/>
          <w:bCs/>
          <w:kern w:val="2"/>
          <w:szCs w:val="20"/>
          <w:lang w:val="en-US" w:eastAsia="zh-CN" w:bidi="ar"/>
          <w14:ligatures w14:val="standardContextual"/>
        </w:rPr>
      </w:pPr>
      <w:r>
        <w:rPr>
          <w:rFonts w:hint="eastAsia" w:hAnsi="宋体" w:cs="宋体"/>
          <w:b/>
          <w:bCs/>
          <w:kern w:val="2"/>
          <w:szCs w:val="20"/>
          <w:lang w:val="en-US" w:eastAsia="zh-CN" w:bidi="ar"/>
          <w14:ligatures w14:val="standardContextual"/>
        </w:rPr>
        <w:t>9.3设计-竣工图</w:t>
      </w:r>
    </w:p>
    <w:p>
      <w:pPr>
        <w:pStyle w:val="44"/>
        <w:widowControl w:val="0"/>
        <w:spacing w:before="0" w:beforeAutospacing="0" w:after="0" w:afterAutospacing="0" w:line="500" w:lineRule="exact"/>
        <w:ind w:firstLine="480" w:firstLineChars="200"/>
        <w:jc w:val="both"/>
        <w:rPr>
          <w:rFonts w:hint="eastAsia" w:hAnsi="宋体" w:cs="宋体"/>
          <w:kern w:val="2"/>
          <w:szCs w:val="20"/>
          <w:lang w:val="en-US" w:eastAsia="zh-CN" w:bidi="ar"/>
          <w14:ligatures w14:val="standardContextual"/>
        </w:rPr>
      </w:pPr>
      <w:r>
        <w:rPr>
          <w:rFonts w:hint="eastAsia" w:hAnsi="宋体" w:cs="宋体"/>
          <w:kern w:val="2"/>
          <w:szCs w:val="20"/>
          <w:lang w:val="en-US" w:eastAsia="zh-CN" w:bidi="ar"/>
          <w14:ligatures w14:val="standardContextual"/>
        </w:rPr>
        <w:t>投标人应完成本项目的全部详细工程设计，设计文件的深度和全面性应能满足合同和附件规定，同时满足本装置的采购、施工、试车、运行和维护的要求。</w:t>
      </w:r>
    </w:p>
    <w:p>
      <w:pPr>
        <w:pStyle w:val="44"/>
        <w:widowControl w:val="0"/>
        <w:spacing w:before="0" w:beforeAutospacing="0" w:after="0" w:afterAutospacing="0" w:line="500" w:lineRule="exact"/>
        <w:ind w:firstLine="480" w:firstLineChars="200"/>
        <w:jc w:val="both"/>
        <w:rPr>
          <w:rFonts w:hint="eastAsia" w:hAnsi="宋体" w:cs="宋体"/>
          <w:kern w:val="2"/>
          <w:szCs w:val="20"/>
          <w:lang w:val="en-US" w:eastAsia="zh-CN" w:bidi="ar"/>
          <w14:ligatures w14:val="standardContextual"/>
        </w:rPr>
      </w:pPr>
      <w:r>
        <w:rPr>
          <w:rFonts w:hint="eastAsia" w:hAnsi="宋体" w:cs="宋体"/>
          <w:kern w:val="2"/>
          <w:szCs w:val="20"/>
          <w:lang w:val="en-US" w:eastAsia="zh-CN" w:bidi="ar"/>
          <w14:ligatures w14:val="standardContextual"/>
        </w:rPr>
        <w:t>9.3.1设计验证</w:t>
      </w:r>
    </w:p>
    <w:p>
      <w:pPr>
        <w:pStyle w:val="44"/>
        <w:widowControl w:val="0"/>
        <w:spacing w:before="0" w:beforeAutospacing="0" w:after="0" w:afterAutospacing="0" w:line="500" w:lineRule="exact"/>
        <w:ind w:firstLine="480" w:firstLineChars="200"/>
        <w:jc w:val="both"/>
        <w:rPr>
          <w:rFonts w:hint="eastAsia" w:hAnsi="宋体" w:cs="宋体"/>
          <w:kern w:val="2"/>
          <w:szCs w:val="20"/>
          <w:lang w:val="en-US" w:eastAsia="zh-CN" w:bidi="ar"/>
          <w14:ligatures w14:val="standardContextual"/>
        </w:rPr>
      </w:pPr>
      <w:r>
        <w:rPr>
          <w:rFonts w:hint="eastAsia" w:hAnsi="宋体" w:cs="宋体"/>
          <w:kern w:val="2"/>
          <w:szCs w:val="20"/>
          <w:lang w:val="en-US" w:eastAsia="zh-CN" w:bidi="ar"/>
          <w14:ligatures w14:val="standardContextual"/>
        </w:rPr>
        <w:t>投标人应根据自己的经验检查并确认业主提供设计资料的完整性、缺少部分及时与业主联系。</w:t>
      </w:r>
    </w:p>
    <w:p>
      <w:pPr>
        <w:pStyle w:val="44"/>
        <w:widowControl w:val="0"/>
        <w:spacing w:before="0" w:beforeAutospacing="0" w:after="0" w:afterAutospacing="0" w:line="500" w:lineRule="exact"/>
        <w:ind w:firstLine="480" w:firstLineChars="200"/>
        <w:jc w:val="both"/>
        <w:rPr>
          <w:rFonts w:hint="eastAsia" w:hAnsi="宋体" w:cs="宋体"/>
          <w:kern w:val="2"/>
          <w:szCs w:val="20"/>
          <w:lang w:val="en-US" w:eastAsia="zh-CN" w:bidi="ar"/>
          <w14:ligatures w14:val="standardContextual"/>
        </w:rPr>
      </w:pPr>
      <w:r>
        <w:rPr>
          <w:rFonts w:hint="eastAsia" w:hAnsi="宋体" w:cs="宋体"/>
          <w:kern w:val="2"/>
          <w:szCs w:val="20"/>
          <w:lang w:val="en-US" w:eastAsia="zh-CN" w:bidi="ar"/>
          <w14:ligatures w14:val="standardContextual"/>
        </w:rPr>
        <w:t>9.3.2标准和规范</w:t>
      </w:r>
    </w:p>
    <w:p>
      <w:pPr>
        <w:pStyle w:val="44"/>
        <w:widowControl w:val="0"/>
        <w:spacing w:before="0" w:beforeAutospacing="0" w:after="0" w:afterAutospacing="0" w:line="500" w:lineRule="exact"/>
        <w:ind w:firstLine="480" w:firstLineChars="200"/>
        <w:jc w:val="both"/>
        <w:rPr>
          <w:rFonts w:hint="eastAsia" w:hAnsi="宋体" w:cs="宋体"/>
          <w:kern w:val="2"/>
          <w:szCs w:val="20"/>
          <w:lang w:val="en-US" w:eastAsia="zh-CN" w:bidi="ar"/>
          <w14:ligatures w14:val="standardContextual"/>
        </w:rPr>
      </w:pPr>
      <w:r>
        <w:rPr>
          <w:rFonts w:hint="eastAsia" w:hAnsi="宋体" w:cs="宋体"/>
          <w:kern w:val="2"/>
          <w:szCs w:val="20"/>
          <w:lang w:val="en-US" w:eastAsia="zh-CN" w:bidi="ar"/>
          <w14:ligatures w14:val="standardContextual"/>
        </w:rPr>
        <w:t>投标人应遵守国家和地方的强制性规范，任何针对国家和地方强制规范的变更要得到业主的书面批准。</w:t>
      </w:r>
    </w:p>
    <w:p>
      <w:pPr>
        <w:pStyle w:val="44"/>
        <w:widowControl w:val="0"/>
        <w:spacing w:before="0" w:beforeAutospacing="0" w:after="0" w:afterAutospacing="0" w:line="500" w:lineRule="exact"/>
        <w:ind w:firstLine="482" w:firstLineChars="200"/>
        <w:jc w:val="both"/>
        <w:rPr>
          <w:rFonts w:hint="eastAsia" w:hAnsi="宋体" w:cs="宋体"/>
          <w:b/>
          <w:bCs/>
          <w:kern w:val="2"/>
          <w:szCs w:val="20"/>
          <w:lang w:val="en-US" w:eastAsia="zh-CN" w:bidi="ar"/>
          <w14:ligatures w14:val="standardContextual"/>
        </w:rPr>
      </w:pPr>
      <w:r>
        <w:rPr>
          <w:rFonts w:hint="eastAsia" w:hAnsi="宋体" w:cs="宋体"/>
          <w:b/>
          <w:bCs/>
          <w:kern w:val="2"/>
          <w:szCs w:val="20"/>
          <w:lang w:val="en-US" w:eastAsia="zh-CN" w:bidi="ar"/>
          <w14:ligatures w14:val="standardContextual"/>
        </w:rPr>
        <w:t>9.4采购</w:t>
      </w:r>
    </w:p>
    <w:p>
      <w:pPr>
        <w:pStyle w:val="44"/>
        <w:widowControl w:val="0"/>
        <w:spacing w:before="0" w:beforeAutospacing="0" w:after="0" w:afterAutospacing="0" w:line="500" w:lineRule="exact"/>
        <w:ind w:firstLine="480" w:firstLineChars="200"/>
        <w:jc w:val="both"/>
        <w:rPr>
          <w:rFonts w:hint="eastAsia" w:hAnsi="宋体" w:cs="宋体"/>
          <w:kern w:val="2"/>
          <w:szCs w:val="20"/>
          <w:lang w:val="en-US" w:eastAsia="zh-CN" w:bidi="ar"/>
          <w14:ligatures w14:val="standardContextual"/>
        </w:rPr>
      </w:pPr>
      <w:r>
        <w:rPr>
          <w:rFonts w:hint="eastAsia" w:hAnsi="宋体" w:cs="宋体"/>
          <w:kern w:val="2"/>
          <w:szCs w:val="20"/>
          <w:lang w:val="en-US" w:eastAsia="zh-CN" w:bidi="ar"/>
          <w14:ligatures w14:val="standardContextual"/>
        </w:rPr>
        <w:t>9.4.1投标人拟采购关键设备、材料的供应商名单应报请业主审查并在得到批准后方可选用。为便于业主生产、维修和备品备件的采购及物资管理，业主有权在本项目中建议优先选择业主目前的合格供货商，投标人应充分考虑与目前装置的一致性。</w:t>
      </w:r>
    </w:p>
    <w:p>
      <w:pPr>
        <w:pStyle w:val="44"/>
        <w:widowControl w:val="0"/>
        <w:spacing w:before="0" w:beforeAutospacing="0" w:after="0" w:afterAutospacing="0" w:line="500" w:lineRule="exact"/>
        <w:ind w:firstLine="480" w:firstLineChars="200"/>
        <w:jc w:val="both"/>
        <w:rPr>
          <w:rFonts w:hint="eastAsia" w:hAnsi="宋体" w:cs="宋体"/>
          <w:kern w:val="2"/>
          <w:szCs w:val="20"/>
          <w:lang w:val="en-US" w:eastAsia="zh-CN" w:bidi="ar"/>
          <w14:ligatures w14:val="standardContextual"/>
        </w:rPr>
      </w:pPr>
      <w:r>
        <w:rPr>
          <w:rFonts w:hint="eastAsia" w:hAnsi="宋体" w:cs="宋体"/>
          <w:kern w:val="2"/>
          <w:szCs w:val="20"/>
          <w:lang w:val="en-US" w:eastAsia="zh-CN" w:bidi="ar"/>
          <w14:ligatures w14:val="standardContextual"/>
        </w:rPr>
        <w:t>9.4.2在采购前业主参与投标人技术协议的签署，具体清单双方协商确认。</w:t>
      </w:r>
    </w:p>
    <w:p>
      <w:pPr>
        <w:pStyle w:val="44"/>
        <w:widowControl w:val="0"/>
        <w:spacing w:before="0" w:beforeAutospacing="0" w:after="0" w:afterAutospacing="0" w:line="500" w:lineRule="exact"/>
        <w:ind w:firstLine="480" w:firstLineChars="200"/>
        <w:jc w:val="both"/>
        <w:rPr>
          <w:rFonts w:hint="eastAsia" w:hAnsi="宋体" w:cs="宋体"/>
          <w:kern w:val="2"/>
          <w:szCs w:val="20"/>
          <w:lang w:val="en-US" w:eastAsia="zh-CN" w:bidi="ar"/>
          <w14:ligatures w14:val="standardContextual"/>
        </w:rPr>
      </w:pPr>
      <w:r>
        <w:rPr>
          <w:rFonts w:hint="eastAsia" w:hAnsi="宋体" w:cs="宋体"/>
          <w:kern w:val="2"/>
          <w:szCs w:val="20"/>
          <w:lang w:val="en-US" w:eastAsia="zh-CN" w:bidi="ar"/>
          <w14:ligatures w14:val="standardContextual"/>
        </w:rPr>
        <w:t>9.4.3投标人负责对所有采购的设备、材料进行监造、检验和催交；及时向供应商提供设计文件、规范目录、标准目录等；设备到货后及时向业主提交随机资料原件，投标人使用复印件。</w:t>
      </w:r>
    </w:p>
    <w:p>
      <w:pPr>
        <w:pStyle w:val="44"/>
        <w:widowControl w:val="0"/>
        <w:spacing w:before="0" w:beforeAutospacing="0" w:after="0" w:afterAutospacing="0" w:line="500" w:lineRule="exact"/>
        <w:ind w:firstLine="480" w:firstLineChars="200"/>
        <w:jc w:val="both"/>
        <w:rPr>
          <w:rFonts w:hint="eastAsia" w:hAnsi="宋体" w:cs="宋体"/>
          <w:kern w:val="2"/>
          <w:szCs w:val="20"/>
          <w:lang w:val="en-US" w:eastAsia="zh-CN" w:bidi="ar"/>
          <w14:ligatures w14:val="standardContextual"/>
        </w:rPr>
      </w:pPr>
      <w:r>
        <w:rPr>
          <w:rFonts w:hint="eastAsia" w:hAnsi="宋体" w:cs="宋体"/>
          <w:kern w:val="2"/>
          <w:szCs w:val="20"/>
          <w:lang w:val="en-US" w:eastAsia="zh-CN" w:bidi="ar"/>
          <w14:ligatures w14:val="standardContextual"/>
        </w:rPr>
        <w:t>9.4.4投标人应遵守政府关于第三方检验的相关要求和规定。</w:t>
      </w:r>
    </w:p>
    <w:p>
      <w:pPr>
        <w:pStyle w:val="44"/>
        <w:widowControl w:val="0"/>
        <w:spacing w:before="0" w:beforeAutospacing="0" w:after="0" w:afterAutospacing="0" w:line="500" w:lineRule="exact"/>
        <w:ind w:firstLine="480" w:firstLineChars="200"/>
        <w:jc w:val="both"/>
        <w:rPr>
          <w:rFonts w:hint="eastAsia" w:hAnsi="宋体" w:cs="宋体"/>
          <w:kern w:val="2"/>
          <w:szCs w:val="20"/>
          <w:lang w:val="en-US" w:eastAsia="zh-CN" w:bidi="ar"/>
          <w14:ligatures w14:val="standardContextual"/>
        </w:rPr>
      </w:pPr>
      <w:r>
        <w:rPr>
          <w:rFonts w:hint="eastAsia" w:hAnsi="宋体" w:cs="宋体"/>
          <w:kern w:val="2"/>
          <w:szCs w:val="20"/>
          <w:lang w:val="en-US" w:eastAsia="zh-CN" w:bidi="ar"/>
          <w14:ligatures w14:val="standardContextual"/>
        </w:rPr>
        <w:t>9.4.5投标人负责现场材料和设备的安全储存和合理分发。</w:t>
      </w:r>
    </w:p>
    <w:p>
      <w:pPr>
        <w:pStyle w:val="44"/>
        <w:widowControl w:val="0"/>
        <w:spacing w:before="0" w:beforeAutospacing="0" w:after="0" w:afterAutospacing="0" w:line="500" w:lineRule="exact"/>
        <w:ind w:firstLine="480" w:firstLineChars="200"/>
        <w:jc w:val="both"/>
        <w:rPr>
          <w:rFonts w:hint="eastAsia" w:hAnsi="宋体" w:cs="宋体"/>
          <w:kern w:val="2"/>
          <w:szCs w:val="20"/>
          <w:lang w:val="en-US" w:eastAsia="zh-CN" w:bidi="ar"/>
          <w14:ligatures w14:val="standardContextual"/>
        </w:rPr>
      </w:pPr>
      <w:r>
        <w:rPr>
          <w:rFonts w:hint="eastAsia" w:hAnsi="宋体" w:cs="宋体"/>
          <w:kern w:val="2"/>
          <w:szCs w:val="20"/>
          <w:lang w:val="en-US" w:eastAsia="zh-CN" w:bidi="ar"/>
          <w14:ligatures w14:val="standardContextual"/>
        </w:rPr>
        <w:t>9.4.6放射性仪表的采购管理</w:t>
      </w:r>
    </w:p>
    <w:p>
      <w:pPr>
        <w:pStyle w:val="44"/>
        <w:widowControl w:val="0"/>
        <w:spacing w:before="0" w:beforeAutospacing="0" w:after="0" w:afterAutospacing="0" w:line="500" w:lineRule="exact"/>
        <w:ind w:firstLine="480" w:firstLineChars="200"/>
        <w:jc w:val="both"/>
        <w:rPr>
          <w:rFonts w:hint="eastAsia" w:hAnsi="宋体" w:cs="宋体"/>
          <w:kern w:val="2"/>
          <w:szCs w:val="20"/>
          <w:lang w:val="en-US" w:eastAsia="zh-CN" w:bidi="ar"/>
          <w14:ligatures w14:val="standardContextual"/>
        </w:rPr>
      </w:pPr>
      <w:r>
        <w:rPr>
          <w:rFonts w:hint="eastAsia" w:hAnsi="宋体" w:cs="宋体"/>
          <w:kern w:val="2"/>
          <w:szCs w:val="20"/>
          <w:lang w:val="en-US" w:eastAsia="zh-CN" w:bidi="ar"/>
          <w14:ligatures w14:val="standardContextual"/>
        </w:rPr>
        <w:t>投标人应遵照有关规定承担放射源的采购、运输、保管、贮存。</w:t>
      </w:r>
    </w:p>
    <w:p>
      <w:pPr>
        <w:pStyle w:val="44"/>
        <w:widowControl w:val="0"/>
        <w:spacing w:before="0" w:beforeAutospacing="0" w:after="0" w:afterAutospacing="0" w:line="500" w:lineRule="exact"/>
        <w:ind w:firstLine="482" w:firstLineChars="200"/>
        <w:jc w:val="both"/>
        <w:rPr>
          <w:rFonts w:hint="eastAsia" w:hAnsi="宋体" w:cs="宋体"/>
          <w:kern w:val="2"/>
          <w:szCs w:val="20"/>
          <w:lang w:val="en-US" w:eastAsia="zh-CN" w:bidi="ar"/>
          <w14:ligatures w14:val="standardContextual"/>
        </w:rPr>
      </w:pPr>
      <w:r>
        <w:rPr>
          <w:rFonts w:hint="eastAsia" w:hAnsi="宋体" w:cs="宋体"/>
          <w:b/>
          <w:bCs/>
          <w:kern w:val="2"/>
          <w:szCs w:val="20"/>
          <w:lang w:val="en-US" w:eastAsia="zh-CN" w:bidi="ar"/>
          <w14:ligatures w14:val="standardContextual"/>
        </w:rPr>
        <w:t>9.5施工</w:t>
      </w:r>
    </w:p>
    <w:p>
      <w:pPr>
        <w:pStyle w:val="44"/>
        <w:widowControl w:val="0"/>
        <w:spacing w:before="0" w:beforeAutospacing="0" w:after="0" w:afterAutospacing="0" w:line="500" w:lineRule="exact"/>
        <w:ind w:firstLine="480" w:firstLineChars="200"/>
        <w:jc w:val="both"/>
        <w:rPr>
          <w:rFonts w:hint="eastAsia" w:hAnsi="宋体" w:cs="宋体"/>
          <w:kern w:val="2"/>
          <w:szCs w:val="20"/>
          <w:lang w:val="en-US" w:eastAsia="zh-CN" w:bidi="ar"/>
          <w14:ligatures w14:val="standardContextual"/>
        </w:rPr>
      </w:pPr>
      <w:r>
        <w:rPr>
          <w:rFonts w:hint="eastAsia" w:hAnsi="宋体" w:cs="宋体"/>
          <w:kern w:val="2"/>
          <w:szCs w:val="20"/>
          <w:lang w:val="en-US" w:eastAsia="zh-CN" w:bidi="ar"/>
          <w14:ligatures w14:val="standardContextual"/>
        </w:rPr>
        <w:t>投标人负责本项目的所有施工，直至完成工程中间交接的全过程工作，包括现场准备和完工后临时建筑物的清除（包括原有设施恢复），同时应遵守和执行国家相应的法律、法规及标准、规程和规范及业主管理规定。</w:t>
      </w:r>
    </w:p>
    <w:p>
      <w:pPr>
        <w:pStyle w:val="44"/>
        <w:widowControl w:val="0"/>
        <w:spacing w:before="0" w:beforeAutospacing="0" w:after="0" w:afterAutospacing="0" w:line="500" w:lineRule="exact"/>
        <w:ind w:firstLine="480" w:firstLineChars="200"/>
        <w:jc w:val="both"/>
        <w:rPr>
          <w:rFonts w:hint="eastAsia" w:hAnsi="宋体" w:cs="宋体"/>
          <w:kern w:val="2"/>
          <w:szCs w:val="20"/>
          <w:lang w:val="en-US" w:eastAsia="zh-CN" w:bidi="ar"/>
          <w14:ligatures w14:val="standardContextual"/>
        </w:rPr>
      </w:pPr>
      <w:r>
        <w:rPr>
          <w:rFonts w:hint="eastAsia" w:hAnsi="宋体" w:cs="宋体"/>
          <w:kern w:val="2"/>
          <w:szCs w:val="20"/>
          <w:lang w:val="en-US" w:eastAsia="zh-CN" w:bidi="ar"/>
          <w14:ligatures w14:val="standardContextual"/>
        </w:rPr>
        <w:t>投标人负施工安全生产、质量、进度、费用和农名工工资按时足额的支付负责。</w:t>
      </w:r>
    </w:p>
    <w:p>
      <w:pPr>
        <w:pStyle w:val="44"/>
        <w:widowControl w:val="0"/>
        <w:spacing w:before="0" w:beforeAutospacing="0" w:after="0" w:afterAutospacing="0" w:line="500" w:lineRule="exact"/>
        <w:ind w:firstLine="482" w:firstLineChars="200"/>
        <w:jc w:val="both"/>
        <w:rPr>
          <w:rFonts w:hint="eastAsia" w:hAnsi="宋体" w:cs="宋体"/>
          <w:kern w:val="2"/>
          <w:szCs w:val="20"/>
          <w:lang w:val="en-US" w:eastAsia="zh-CN" w:bidi="ar"/>
          <w14:ligatures w14:val="standardContextual"/>
        </w:rPr>
      </w:pPr>
      <w:r>
        <w:rPr>
          <w:rFonts w:hint="eastAsia" w:hAnsi="宋体" w:cs="宋体"/>
          <w:b/>
          <w:bCs/>
          <w:kern w:val="2"/>
          <w:szCs w:val="20"/>
          <w:lang w:val="en-US" w:eastAsia="zh-CN" w:bidi="ar"/>
          <w14:ligatures w14:val="standardContextual"/>
        </w:rPr>
        <w:t>9.6中间交接、生产准备及试车</w:t>
      </w:r>
    </w:p>
    <w:p>
      <w:pPr>
        <w:pStyle w:val="44"/>
        <w:widowControl w:val="0"/>
        <w:spacing w:before="0" w:beforeAutospacing="0" w:after="0" w:afterAutospacing="0" w:line="500" w:lineRule="exact"/>
        <w:ind w:firstLine="480" w:firstLineChars="200"/>
        <w:jc w:val="both"/>
        <w:rPr>
          <w:rFonts w:hint="eastAsia" w:hAnsi="宋体" w:cs="宋体"/>
          <w:kern w:val="2"/>
          <w:szCs w:val="20"/>
          <w:lang w:val="en-US" w:eastAsia="zh-CN" w:bidi="ar"/>
          <w14:ligatures w14:val="standardContextual"/>
        </w:rPr>
      </w:pPr>
      <w:r>
        <w:rPr>
          <w:rFonts w:hint="eastAsia" w:hAnsi="宋体" w:cs="宋体"/>
          <w:kern w:val="2"/>
          <w:szCs w:val="20"/>
          <w:lang w:val="en-US" w:eastAsia="zh-CN" w:bidi="ar"/>
          <w14:ligatures w14:val="standardContextual"/>
        </w:rPr>
        <w:t>中间交接、生产准备及试车管理执行中国石油化工集团公司《中国石化建设项目生产准备与试车管理规定》中国石化建【2011】897号文的规定。</w:t>
      </w:r>
    </w:p>
    <w:p>
      <w:pPr>
        <w:pStyle w:val="44"/>
        <w:widowControl w:val="0"/>
        <w:spacing w:before="0" w:beforeAutospacing="0" w:after="0" w:afterAutospacing="0" w:line="500" w:lineRule="exact"/>
        <w:ind w:firstLine="482" w:firstLineChars="200"/>
        <w:jc w:val="both"/>
        <w:rPr>
          <w:rFonts w:hint="eastAsia" w:hAnsi="宋体" w:cs="宋体"/>
          <w:kern w:val="2"/>
          <w:szCs w:val="20"/>
          <w:lang w:val="en-US" w:eastAsia="zh-CN" w:bidi="ar"/>
          <w14:ligatures w14:val="standardContextual"/>
        </w:rPr>
      </w:pPr>
      <w:r>
        <w:rPr>
          <w:rFonts w:hint="eastAsia" w:hAnsi="宋体" w:cs="宋体"/>
          <w:b/>
          <w:bCs/>
          <w:kern w:val="2"/>
          <w:szCs w:val="20"/>
          <w:lang w:val="en-US" w:eastAsia="zh-CN" w:bidi="ar"/>
          <w14:ligatures w14:val="standardContextual"/>
        </w:rPr>
        <w:t>9.7联动试车、投料试车、性能考核等工作支持</w:t>
      </w:r>
    </w:p>
    <w:p>
      <w:pPr>
        <w:pStyle w:val="44"/>
        <w:widowControl w:val="0"/>
        <w:spacing w:before="0" w:beforeAutospacing="0" w:after="0" w:afterAutospacing="0" w:line="500" w:lineRule="exact"/>
        <w:ind w:firstLine="480" w:firstLineChars="200"/>
        <w:jc w:val="both"/>
        <w:rPr>
          <w:rFonts w:hint="eastAsia" w:hAnsi="宋体" w:cs="宋体"/>
          <w:kern w:val="2"/>
          <w:szCs w:val="20"/>
          <w:lang w:val="en-US" w:eastAsia="zh-CN" w:bidi="ar"/>
          <w14:ligatures w14:val="standardContextual"/>
        </w:rPr>
      </w:pPr>
      <w:r>
        <w:rPr>
          <w:rFonts w:hint="eastAsia" w:hAnsi="宋体" w:cs="宋体"/>
          <w:kern w:val="2"/>
          <w:szCs w:val="20"/>
          <w:lang w:val="en-US" w:eastAsia="zh-CN" w:bidi="ar"/>
          <w14:ligatures w14:val="standardContextual"/>
        </w:rPr>
        <w:t>投标人应派出训练有素的人员（配备日常工作所需的整套工具和适当的安全设备）协助业主进行联动试车和投料试车，参与并协助业主完成性能测试与考核等工作。</w:t>
      </w:r>
    </w:p>
    <w:p>
      <w:pPr>
        <w:pStyle w:val="44"/>
        <w:widowControl w:val="0"/>
        <w:spacing w:before="0" w:beforeAutospacing="0" w:after="0" w:afterAutospacing="0" w:line="500" w:lineRule="exact"/>
        <w:ind w:firstLine="482" w:firstLineChars="200"/>
        <w:jc w:val="both"/>
        <w:rPr>
          <w:rFonts w:hint="eastAsia" w:hAnsi="宋体" w:cs="宋体"/>
          <w:kern w:val="2"/>
          <w:szCs w:val="20"/>
          <w:lang w:val="en-US" w:eastAsia="zh-CN" w:bidi="ar"/>
          <w14:ligatures w14:val="standardContextual"/>
        </w:rPr>
      </w:pPr>
      <w:r>
        <w:rPr>
          <w:rFonts w:hint="eastAsia" w:hAnsi="宋体" w:cs="宋体"/>
          <w:b/>
          <w:bCs/>
          <w:kern w:val="2"/>
          <w:szCs w:val="20"/>
          <w:lang w:val="en-US" w:eastAsia="zh-CN" w:bidi="ar"/>
          <w14:ligatures w14:val="standardContextual"/>
        </w:rPr>
        <w:t>9.8质量保修期工作的协调</w:t>
      </w:r>
    </w:p>
    <w:p>
      <w:pPr>
        <w:pStyle w:val="44"/>
        <w:widowControl w:val="0"/>
        <w:spacing w:before="0" w:beforeAutospacing="0" w:after="0" w:afterAutospacing="0" w:line="500" w:lineRule="exact"/>
        <w:ind w:firstLine="480" w:firstLineChars="200"/>
        <w:jc w:val="both"/>
        <w:rPr>
          <w:rFonts w:hint="eastAsia" w:hAnsi="宋体" w:cs="宋体"/>
          <w:kern w:val="2"/>
          <w:szCs w:val="20"/>
          <w:lang w:val="en-US" w:eastAsia="zh-CN" w:bidi="ar"/>
          <w14:ligatures w14:val="standardContextual"/>
        </w:rPr>
      </w:pPr>
      <w:r>
        <w:rPr>
          <w:rFonts w:hint="eastAsia" w:hAnsi="宋体" w:cs="宋体"/>
          <w:kern w:val="2"/>
          <w:szCs w:val="20"/>
          <w:lang w:val="en-US" w:eastAsia="zh-CN" w:bidi="ar"/>
          <w14:ligatures w14:val="standardContextual"/>
        </w:rPr>
        <w:t>在质保期内投标人应保证专人负责协调解决任何缺陷问题；质保范围内的缺陷中标投标人应及时处理，如在业主规定的时间内没有开始或完成缺陷处理，业主将自行安排其他人员进行处理，所发生的费用由中标投标人负责，并处以同发生费用等额的罚款。</w:t>
      </w:r>
    </w:p>
    <w:p>
      <w:pPr>
        <w:pStyle w:val="44"/>
        <w:widowControl w:val="0"/>
        <w:spacing w:before="0" w:beforeAutospacing="0" w:after="0" w:afterAutospacing="0" w:line="500" w:lineRule="exact"/>
        <w:ind w:firstLine="482" w:firstLineChars="200"/>
        <w:jc w:val="both"/>
        <w:rPr>
          <w:rFonts w:hint="eastAsia" w:hAnsi="宋体" w:cs="宋体"/>
          <w:b/>
          <w:bCs/>
          <w:kern w:val="2"/>
          <w:szCs w:val="20"/>
          <w:lang w:val="en-US" w:eastAsia="zh-CN" w:bidi="ar"/>
          <w14:ligatures w14:val="standardContextual"/>
        </w:rPr>
      </w:pPr>
      <w:r>
        <w:rPr>
          <w:rFonts w:hint="eastAsia" w:hAnsi="宋体" w:cs="宋体"/>
          <w:b/>
          <w:bCs/>
          <w:kern w:val="2"/>
          <w:szCs w:val="20"/>
          <w:lang w:val="en-US" w:eastAsia="zh-CN" w:bidi="ar"/>
          <w14:ligatures w14:val="standardContextual"/>
        </w:rPr>
        <w:t>9.9培训</w:t>
      </w:r>
    </w:p>
    <w:p>
      <w:pPr>
        <w:pStyle w:val="44"/>
        <w:widowControl w:val="0"/>
        <w:spacing w:before="0" w:beforeAutospacing="0" w:after="0" w:afterAutospacing="0" w:line="500" w:lineRule="exact"/>
        <w:ind w:firstLine="480" w:firstLineChars="200"/>
        <w:jc w:val="both"/>
        <w:rPr>
          <w:rFonts w:hint="eastAsia" w:hAnsi="宋体" w:cs="宋体"/>
          <w:kern w:val="2"/>
          <w:szCs w:val="20"/>
          <w:lang w:val="en-US" w:eastAsia="zh-CN" w:bidi="ar"/>
          <w14:ligatures w14:val="standardContextual"/>
        </w:rPr>
      </w:pPr>
      <w:r>
        <w:rPr>
          <w:rFonts w:hint="eastAsia" w:hAnsi="宋体" w:cs="宋体"/>
          <w:kern w:val="2"/>
          <w:szCs w:val="20"/>
          <w:lang w:val="en-US" w:eastAsia="zh-CN" w:bidi="ar"/>
          <w14:ligatures w14:val="standardContextual"/>
        </w:rPr>
        <w:t>培训的内容、时间、地点等双方协商确定。</w:t>
      </w:r>
    </w:p>
    <w:p>
      <w:pPr>
        <w:pStyle w:val="44"/>
        <w:widowControl w:val="0"/>
        <w:spacing w:before="0" w:beforeAutospacing="0" w:after="0" w:afterAutospacing="0" w:line="500" w:lineRule="exact"/>
        <w:ind w:firstLine="482" w:firstLineChars="200"/>
        <w:jc w:val="both"/>
        <w:rPr>
          <w:rFonts w:hint="eastAsia" w:hAnsi="宋体" w:cs="宋体"/>
          <w:b/>
          <w:bCs/>
          <w:kern w:val="2"/>
          <w:szCs w:val="20"/>
          <w:lang w:val="en-GB" w:eastAsia="zh-CN" w:bidi="ar"/>
          <w14:ligatures w14:val="standardContextual"/>
        </w:rPr>
      </w:pPr>
      <w:r>
        <w:rPr>
          <w:rFonts w:hint="eastAsia" w:hAnsi="宋体" w:cs="宋体"/>
          <w:b/>
          <w:bCs/>
          <w:kern w:val="2"/>
          <w:szCs w:val="20"/>
          <w:lang w:val="en-US" w:eastAsia="zh-CN" w:bidi="ar"/>
          <w14:ligatures w14:val="standardContextual"/>
        </w:rPr>
        <w:t>10 项目组织机构图和项目关键人员名单</w:t>
      </w:r>
    </w:p>
    <w:p>
      <w:pPr>
        <w:pStyle w:val="44"/>
        <w:widowControl w:val="0"/>
        <w:spacing w:before="0" w:beforeAutospacing="0" w:after="0" w:afterAutospacing="0" w:line="500" w:lineRule="exact"/>
        <w:ind w:firstLine="480" w:firstLineChars="200"/>
        <w:jc w:val="both"/>
        <w:rPr>
          <w:rFonts w:hint="eastAsia" w:hAnsi="宋体" w:cs="宋体"/>
          <w:kern w:val="2"/>
          <w:szCs w:val="20"/>
          <w:lang w:val="en-US" w:eastAsia="zh-CN" w:bidi="ar"/>
          <w14:ligatures w14:val="standardContextual"/>
        </w:rPr>
      </w:pPr>
      <w:r>
        <w:rPr>
          <w:rFonts w:hint="eastAsia" w:hAnsi="宋体" w:cs="宋体"/>
          <w:kern w:val="2"/>
          <w:szCs w:val="20"/>
          <w:lang w:val="en-US" w:eastAsia="zh-CN" w:bidi="ar"/>
          <w14:ligatures w14:val="standardContextual"/>
        </w:rPr>
        <w:t>10.1关键人员：本项目确定的关键人员为项目经理、采购经理、施工经理或施工项目经理（适用于联合体）、安全经理（安全负责人）（如是联合体投标，适用于联合体双方）、质量经理、技术经理；上述关键人员原则上要同投标文件中一致，如更换的需业主面试、面试合格后投标人正式任命并报业主审批，审批时需附社保证明材料及职责。如关键人员同投标文件中一致，同样需要业主面试、面试合格后投标人正式任命并报业主审批，审批时需附社保证明材料及职责。</w:t>
      </w:r>
    </w:p>
    <w:p>
      <w:pPr>
        <w:pStyle w:val="44"/>
        <w:widowControl w:val="0"/>
        <w:spacing w:before="0" w:beforeAutospacing="0" w:after="0" w:afterAutospacing="0" w:line="500" w:lineRule="exact"/>
        <w:ind w:firstLine="480" w:firstLineChars="200"/>
        <w:jc w:val="both"/>
        <w:rPr>
          <w:rFonts w:hint="eastAsia" w:hAnsi="宋体" w:cs="宋体"/>
          <w:kern w:val="2"/>
          <w:szCs w:val="20"/>
          <w:lang w:val="en-US" w:eastAsia="zh-CN" w:bidi="ar"/>
          <w14:ligatures w14:val="standardContextual"/>
        </w:rPr>
      </w:pPr>
      <w:r>
        <w:rPr>
          <w:rFonts w:hint="eastAsia" w:hAnsi="宋体" w:cs="宋体"/>
          <w:kern w:val="2"/>
          <w:szCs w:val="20"/>
          <w:lang w:val="en-US" w:eastAsia="zh-CN" w:bidi="ar"/>
          <w14:ligatures w14:val="standardContextual"/>
        </w:rPr>
        <w:t>10.2投标人应任命一名项目经理（投标人代表），该项目经理作为投标人代表须经业主代表备案。投标人应授予该项目经理在本合同执行过程中(包括质量保修期)代表投标人处理所有事务的权力。</w:t>
      </w:r>
    </w:p>
    <w:p>
      <w:pPr>
        <w:pStyle w:val="44"/>
        <w:widowControl w:val="0"/>
        <w:spacing w:before="0" w:beforeAutospacing="0" w:after="0" w:afterAutospacing="0" w:line="500" w:lineRule="exact"/>
        <w:ind w:firstLine="480" w:firstLineChars="200"/>
        <w:jc w:val="both"/>
        <w:rPr>
          <w:rFonts w:hint="eastAsia" w:hAnsi="宋体" w:cs="宋体"/>
          <w:kern w:val="2"/>
          <w:szCs w:val="20"/>
          <w:lang w:val="en-US" w:eastAsia="zh-CN" w:bidi="ar"/>
          <w14:ligatures w14:val="standardContextual"/>
        </w:rPr>
      </w:pPr>
      <w:r>
        <w:rPr>
          <w:rFonts w:hint="eastAsia" w:hAnsi="宋体" w:cs="宋体"/>
          <w:kern w:val="2"/>
          <w:szCs w:val="20"/>
          <w:lang w:val="en-US" w:eastAsia="zh-CN" w:bidi="ar"/>
          <w14:ligatures w14:val="standardContextual"/>
        </w:rPr>
        <w:t>10.3业主或业主代表向投标人代表发出的所有通知、指示、信息或其他函件应被视同向投标人发出。投标人应对投标人代表的任何行为、疏忽或遗漏负责。</w:t>
      </w:r>
    </w:p>
    <w:p>
      <w:pPr>
        <w:pStyle w:val="44"/>
        <w:widowControl w:val="0"/>
        <w:spacing w:before="0" w:beforeAutospacing="0" w:after="0" w:afterAutospacing="0" w:line="500" w:lineRule="exact"/>
        <w:ind w:firstLine="480" w:firstLineChars="200"/>
        <w:jc w:val="both"/>
        <w:rPr>
          <w:rFonts w:hint="eastAsia" w:hAnsi="宋体" w:cs="宋体"/>
          <w:kern w:val="2"/>
          <w:szCs w:val="20"/>
          <w:lang w:val="en-US" w:eastAsia="zh-CN" w:bidi="ar"/>
          <w14:ligatures w14:val="standardContextual"/>
        </w:rPr>
      </w:pPr>
      <w:r>
        <w:rPr>
          <w:rFonts w:hint="eastAsia" w:hAnsi="宋体" w:cs="宋体"/>
          <w:kern w:val="2"/>
          <w:szCs w:val="20"/>
          <w:lang w:val="en-US" w:eastAsia="zh-CN" w:bidi="ar"/>
          <w14:ligatures w14:val="standardContextual"/>
        </w:rPr>
        <w:t>10.4在本合同执行期间，投标人应确保投标人代表及所有参与该项目的投标人人员在该项目上尽职工作。投标人代表不得随意离开现场，更换或临时离开现场且须事先经业主的同意。</w:t>
      </w:r>
    </w:p>
    <w:p>
      <w:pPr>
        <w:pStyle w:val="44"/>
        <w:widowControl w:val="0"/>
        <w:spacing w:before="0" w:beforeAutospacing="0" w:after="0" w:afterAutospacing="0" w:line="500" w:lineRule="exact"/>
        <w:ind w:firstLine="480" w:firstLineChars="200"/>
        <w:jc w:val="both"/>
        <w:rPr>
          <w:rFonts w:hint="eastAsia" w:hAnsi="宋体" w:cs="宋体"/>
          <w:kern w:val="2"/>
          <w:szCs w:val="20"/>
          <w:lang w:val="en-US" w:eastAsia="zh-CN" w:bidi="ar"/>
          <w14:ligatures w14:val="standardContextual"/>
        </w:rPr>
      </w:pPr>
      <w:r>
        <w:rPr>
          <w:rFonts w:hint="eastAsia" w:hAnsi="宋体" w:cs="宋体"/>
          <w:kern w:val="2"/>
          <w:szCs w:val="20"/>
          <w:lang w:val="en-US" w:eastAsia="zh-CN" w:bidi="ar"/>
          <w14:ligatures w14:val="standardContextual"/>
        </w:rPr>
        <w:t>10.5投标人代表不在工地时，应以书面形式委托其他相关人员代替行使其职责。 投标人代表的受托人的任何行为或疏忽均应形同于投标人代表的行为或疏忽。</w:t>
      </w:r>
    </w:p>
    <w:p>
      <w:pPr>
        <w:pStyle w:val="44"/>
        <w:widowControl w:val="0"/>
        <w:spacing w:before="0" w:beforeAutospacing="0" w:after="0" w:afterAutospacing="0" w:line="500" w:lineRule="exact"/>
        <w:ind w:firstLine="480" w:firstLineChars="200"/>
        <w:jc w:val="both"/>
        <w:rPr>
          <w:rFonts w:hint="eastAsia" w:hAnsi="宋体" w:cs="宋体"/>
          <w:kern w:val="2"/>
          <w:szCs w:val="20"/>
          <w:lang w:val="en-US" w:eastAsia="zh-CN" w:bidi="ar"/>
          <w14:ligatures w14:val="standardContextual"/>
        </w:rPr>
      </w:pPr>
      <w:r>
        <w:rPr>
          <w:rFonts w:hint="eastAsia" w:hAnsi="宋体" w:cs="宋体"/>
          <w:kern w:val="2"/>
          <w:szCs w:val="20"/>
          <w:lang w:val="en-US" w:eastAsia="zh-CN" w:bidi="ar"/>
          <w14:ligatures w14:val="standardContextual"/>
        </w:rPr>
        <w:t>10.6业主可要求更换投标人代表或投标人代表的受托人。在这种情况下，该投标人代表或投标人代表的受托人应立即离开现场。投标人应立即挑选一名新的合适人选供业主备案。</w:t>
      </w:r>
    </w:p>
    <w:p>
      <w:pPr>
        <w:pStyle w:val="44"/>
        <w:widowControl w:val="0"/>
        <w:spacing w:before="0" w:beforeAutospacing="0" w:after="0" w:afterAutospacing="0" w:line="500" w:lineRule="exact"/>
        <w:ind w:firstLine="480" w:firstLineChars="200"/>
        <w:jc w:val="both"/>
        <w:rPr>
          <w:rFonts w:hint="eastAsia" w:hAnsi="宋体" w:cs="宋体"/>
          <w:kern w:val="2"/>
          <w:szCs w:val="20"/>
          <w:lang w:val="en-US" w:eastAsia="zh-CN" w:bidi="ar"/>
          <w14:ligatures w14:val="standardContextual"/>
        </w:rPr>
      </w:pPr>
      <w:r>
        <w:rPr>
          <w:rFonts w:hint="eastAsia" w:hAnsi="宋体" w:cs="宋体"/>
          <w:kern w:val="2"/>
          <w:szCs w:val="20"/>
          <w:lang w:val="en-US" w:eastAsia="zh-CN" w:bidi="ar"/>
          <w14:ligatures w14:val="standardContextual"/>
        </w:rPr>
        <w:t>10.7投标人代表或其受托人应尽职负责本合同的执行，且未经业主的事先书面同意，投标人不可更换投标人代表或其受托人。</w:t>
      </w:r>
    </w:p>
    <w:p>
      <w:pPr>
        <w:pStyle w:val="44"/>
        <w:widowControl w:val="0"/>
        <w:spacing w:before="0" w:beforeAutospacing="0" w:after="0" w:afterAutospacing="0" w:line="500" w:lineRule="exact"/>
        <w:ind w:firstLine="480" w:firstLineChars="200"/>
        <w:jc w:val="both"/>
        <w:rPr>
          <w:rFonts w:hint="eastAsia" w:hAnsi="宋体" w:cs="宋体"/>
          <w:kern w:val="2"/>
          <w:szCs w:val="20"/>
          <w:lang w:val="en-US" w:eastAsia="zh-CN" w:bidi="ar"/>
          <w14:ligatures w14:val="standardContextual"/>
        </w:rPr>
      </w:pPr>
      <w:r>
        <w:rPr>
          <w:rFonts w:hint="eastAsia" w:hAnsi="宋体" w:cs="宋体"/>
          <w:kern w:val="2"/>
          <w:szCs w:val="20"/>
          <w:lang w:val="en-US" w:eastAsia="zh-CN" w:bidi="ar"/>
          <w14:ligatures w14:val="standardContextual"/>
        </w:rPr>
        <w:t>10.8如投标人的关键人员已被业主认可，没有经过业主的批准不允许替换。未经业主同意投标人不得私自更换任何关键人员，否则进行罚款处理。如果在合同执行过程中业主发现投标人的关键人员不能胜任其工作，业主可能会提出警告或要求更换有关人员，发生的费用、责任由投标人承担。</w:t>
      </w:r>
    </w:p>
    <w:p>
      <w:pPr>
        <w:pStyle w:val="44"/>
        <w:widowControl w:val="0"/>
        <w:spacing w:before="0" w:beforeAutospacing="0" w:after="0" w:afterAutospacing="0" w:line="500" w:lineRule="exact"/>
        <w:ind w:firstLine="480" w:firstLineChars="200"/>
        <w:jc w:val="both"/>
        <w:rPr>
          <w:rFonts w:hint="eastAsia" w:hAnsi="宋体" w:cs="宋体"/>
          <w:kern w:val="2"/>
          <w:szCs w:val="20"/>
          <w:lang w:val="en-US" w:eastAsia="zh-CN" w:bidi="ar"/>
          <w14:ligatures w14:val="standardContextual"/>
        </w:rPr>
      </w:pPr>
      <w:r>
        <w:rPr>
          <w:rFonts w:hint="eastAsia" w:hAnsi="宋体" w:cs="宋体"/>
          <w:kern w:val="2"/>
          <w:szCs w:val="20"/>
          <w:lang w:val="en-US" w:eastAsia="zh-CN" w:bidi="ar"/>
          <w14:ligatures w14:val="standardContextual"/>
        </w:rPr>
        <w:t>10.9项目管理组织机构图、设计组织机构图、采购组织机构图、施工组织机构图、安全组织机构图在合同生效后上报业主。</w:t>
      </w:r>
    </w:p>
    <w:p>
      <w:pPr>
        <w:pStyle w:val="44"/>
        <w:widowControl w:val="0"/>
        <w:spacing w:before="0" w:beforeAutospacing="0" w:after="0" w:afterAutospacing="0" w:line="500" w:lineRule="exact"/>
        <w:ind w:firstLine="482" w:firstLineChars="200"/>
        <w:jc w:val="both"/>
        <w:rPr>
          <w:rFonts w:hint="eastAsia" w:hAnsi="宋体" w:cs="宋体"/>
          <w:b/>
          <w:bCs/>
          <w:kern w:val="2"/>
          <w:szCs w:val="20"/>
          <w:lang w:val="en-US" w:eastAsia="zh-CN" w:bidi="ar"/>
          <w14:ligatures w14:val="standardContextual"/>
        </w:rPr>
      </w:pPr>
      <w:r>
        <w:rPr>
          <w:rFonts w:hint="eastAsia" w:hAnsi="宋体" w:cs="宋体"/>
          <w:b/>
          <w:bCs/>
          <w:kern w:val="2"/>
          <w:szCs w:val="20"/>
          <w:lang w:val="en-US" w:eastAsia="zh-CN" w:bidi="ar"/>
          <w14:ligatures w14:val="standardContextual"/>
        </w:rPr>
        <w:t>11 进度计划表</w:t>
      </w:r>
    </w:p>
    <w:p>
      <w:pPr>
        <w:pStyle w:val="44"/>
        <w:widowControl w:val="0"/>
        <w:spacing w:before="0" w:beforeAutospacing="0" w:after="0" w:afterAutospacing="0" w:line="500" w:lineRule="exact"/>
        <w:ind w:firstLine="480" w:firstLineChars="200"/>
        <w:jc w:val="both"/>
        <w:rPr>
          <w:rFonts w:hint="eastAsia" w:hAnsi="宋体" w:cs="宋体"/>
          <w:kern w:val="2"/>
          <w:szCs w:val="20"/>
          <w:lang w:val="en-US" w:eastAsia="zh-CN" w:bidi="ar"/>
          <w14:ligatures w14:val="standardContextual"/>
        </w:rPr>
      </w:pPr>
      <w:r>
        <w:rPr>
          <w:rFonts w:hint="eastAsia" w:hAnsi="宋体" w:cs="宋体"/>
          <w:kern w:val="2"/>
          <w:szCs w:val="20"/>
          <w:lang w:val="en-US" w:eastAsia="zh-CN" w:bidi="ar"/>
          <w14:ligatures w14:val="standardContextual"/>
        </w:rPr>
        <w:t>11.1时间计划要求</w:t>
      </w:r>
    </w:p>
    <w:p>
      <w:pPr>
        <w:pStyle w:val="44"/>
        <w:widowControl w:val="0"/>
        <w:spacing w:before="0" w:beforeAutospacing="0" w:after="0" w:afterAutospacing="0" w:line="500" w:lineRule="exact"/>
        <w:ind w:firstLine="480" w:firstLineChars="200"/>
        <w:jc w:val="both"/>
        <w:rPr>
          <w:rFonts w:hint="eastAsia" w:hAnsi="宋体" w:cs="宋体"/>
          <w:kern w:val="2"/>
          <w:szCs w:val="20"/>
          <w:highlight w:val="none"/>
          <w:lang w:val="en-US" w:eastAsia="zh-CN" w:bidi="ar"/>
          <w14:ligatures w14:val="standardContextual"/>
        </w:rPr>
      </w:pPr>
      <w:r>
        <w:rPr>
          <w:rFonts w:hint="eastAsia" w:hAnsi="宋体" w:cs="宋体"/>
          <w:kern w:val="2"/>
          <w:szCs w:val="20"/>
          <w:highlight w:val="none"/>
          <w:lang w:val="en-US" w:eastAsia="zh-CN" w:bidi="ar"/>
          <w14:ligatures w14:val="standardContextual"/>
        </w:rPr>
        <w:t>本项目中间交接时间：2025.2.14。</w:t>
      </w:r>
    </w:p>
    <w:p>
      <w:pPr>
        <w:rPr>
          <w:rFonts w:hint="eastAsia" w:hAnsi="宋体" w:cs="宋体"/>
          <w:kern w:val="2"/>
          <w:szCs w:val="20"/>
          <w:lang w:val="en-US" w:eastAsia="zh-CN" w:bidi="ar"/>
          <w14:ligatures w14:val="standardContextual"/>
        </w:rPr>
      </w:pPr>
      <w:r>
        <w:rPr>
          <w:rFonts w:hint="eastAsia" w:hAnsi="宋体" w:cs="宋体"/>
          <w:kern w:val="2"/>
          <w:szCs w:val="20"/>
          <w:lang w:val="en-US" w:eastAsia="zh-CN" w:bidi="ar"/>
          <w14:ligatures w14:val="standardContextual"/>
        </w:rPr>
        <w:br w:type="page"/>
      </w:r>
    </w:p>
    <w:p>
      <w:pPr>
        <w:pStyle w:val="44"/>
        <w:widowControl w:val="0"/>
        <w:spacing w:before="0" w:beforeAutospacing="0" w:after="0" w:afterAutospacing="0" w:line="500" w:lineRule="exact"/>
        <w:ind w:firstLine="480" w:firstLineChars="200"/>
        <w:jc w:val="both"/>
        <w:rPr>
          <w:rFonts w:hint="eastAsia" w:hAnsi="宋体" w:cs="宋体"/>
          <w:kern w:val="2"/>
          <w:szCs w:val="20"/>
          <w:lang w:val="en-US" w:eastAsia="zh-CN" w:bidi="ar"/>
          <w14:ligatures w14:val="standardContextual"/>
        </w:rPr>
      </w:pPr>
      <w:r>
        <w:rPr>
          <w:rFonts w:hint="eastAsia" w:hAnsi="宋体" w:cs="宋体"/>
          <w:kern w:val="2"/>
          <w:szCs w:val="20"/>
          <w:lang w:val="en-US" w:eastAsia="zh-CN" w:bidi="ar"/>
          <w14:ligatures w14:val="standardContextual"/>
        </w:rPr>
        <w:t>11.2项目进度计划主要控制点</w:t>
      </w:r>
    </w:p>
    <w:tbl>
      <w:tblPr>
        <w:tblStyle w:val="50"/>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3652"/>
        <w:gridCol w:w="3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217" w:type="dxa"/>
            <w:noWrap/>
            <w:vAlign w:val="center"/>
          </w:tcPr>
          <w:p>
            <w:pPr>
              <w:keepNext/>
              <w:wordWrap w:val="0"/>
              <w:jc w:val="center"/>
              <w:rPr>
                <w:rFonts w:hint="eastAsia" w:ascii="宋体" w:hAnsi="宋体" w:eastAsia="宋体" w:cs="宋体"/>
                <w:kern w:val="2"/>
                <w:sz w:val="21"/>
                <w:szCs w:val="21"/>
                <w:lang w:val="en-US" w:eastAsia="zh-CN" w:bidi="ar"/>
                <w14:ligatures w14:val="standardContextual"/>
              </w:rPr>
            </w:pPr>
            <w:r>
              <w:rPr>
                <w:rFonts w:hint="eastAsia" w:ascii="宋体" w:hAnsi="宋体" w:eastAsia="宋体" w:cs="宋体"/>
                <w:kern w:val="2"/>
                <w:sz w:val="21"/>
                <w:szCs w:val="21"/>
                <w:lang w:val="en-US" w:eastAsia="zh-CN" w:bidi="ar"/>
                <w14:ligatures w14:val="standardContextual"/>
              </w:rPr>
              <w:t>序号</w:t>
            </w:r>
          </w:p>
        </w:tc>
        <w:tc>
          <w:tcPr>
            <w:tcW w:w="3652" w:type="dxa"/>
            <w:noWrap/>
            <w:vAlign w:val="center"/>
          </w:tcPr>
          <w:p>
            <w:pPr>
              <w:keepNext/>
              <w:wordWrap w:val="0"/>
              <w:jc w:val="center"/>
              <w:rPr>
                <w:rFonts w:hint="default" w:ascii="宋体" w:hAnsi="宋体" w:eastAsia="宋体" w:cs="宋体"/>
                <w:kern w:val="2"/>
                <w:sz w:val="21"/>
                <w:szCs w:val="21"/>
                <w:lang w:val="en-US" w:eastAsia="zh-CN" w:bidi="ar"/>
                <w14:ligatures w14:val="standardContextual"/>
              </w:rPr>
            </w:pPr>
            <w:r>
              <w:rPr>
                <w:rFonts w:hint="eastAsia" w:ascii="宋体" w:hAnsi="宋体" w:eastAsia="宋体" w:cs="宋体"/>
                <w:kern w:val="2"/>
                <w:sz w:val="21"/>
                <w:szCs w:val="21"/>
                <w:lang w:val="en-US" w:eastAsia="zh-CN" w:bidi="ar"/>
                <w14:ligatures w14:val="standardContextual"/>
              </w:rPr>
              <w:t>项目名称</w:t>
            </w:r>
          </w:p>
        </w:tc>
        <w:tc>
          <w:tcPr>
            <w:tcW w:w="3653" w:type="dxa"/>
            <w:noWrap/>
            <w:vAlign w:val="center"/>
          </w:tcPr>
          <w:p>
            <w:pPr>
              <w:keepNext/>
              <w:wordWrap w:val="0"/>
              <w:jc w:val="center"/>
              <w:rPr>
                <w:rFonts w:hint="default" w:ascii="宋体" w:hAnsi="宋体" w:eastAsia="宋体" w:cs="宋体"/>
                <w:kern w:val="2"/>
                <w:sz w:val="21"/>
                <w:szCs w:val="21"/>
                <w:lang w:val="en-US" w:eastAsia="zh-CN" w:bidi="ar"/>
                <w14:ligatures w14:val="standardContextual"/>
              </w:rPr>
            </w:pPr>
            <w:r>
              <w:rPr>
                <w:rFonts w:hint="eastAsia" w:ascii="宋体" w:hAnsi="宋体" w:eastAsia="宋体" w:cs="宋体"/>
                <w:kern w:val="2"/>
                <w:sz w:val="21"/>
                <w:szCs w:val="21"/>
                <w:lang w:val="en-US" w:eastAsia="zh-CN" w:bidi="ar"/>
                <w14:ligatures w14:val="standardContextual"/>
              </w:rPr>
              <w:t>完成时间（自签订合同之日起/日历日）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217" w:type="dxa"/>
            <w:noWrap/>
          </w:tcPr>
          <w:p>
            <w:pPr>
              <w:wordWrap w:val="0"/>
              <w:jc w:val="center"/>
              <w:rPr>
                <w:rFonts w:hint="default" w:ascii="宋体" w:hAnsi="宋体" w:eastAsia="宋体" w:cs="宋体"/>
                <w:b/>
                <w:bCs/>
                <w:kern w:val="2"/>
                <w:sz w:val="21"/>
                <w:szCs w:val="21"/>
                <w:lang w:val="en-US" w:eastAsia="zh-CN" w:bidi="ar"/>
                <w14:ligatures w14:val="standardContextual"/>
              </w:rPr>
            </w:pPr>
            <w:r>
              <w:rPr>
                <w:rFonts w:hint="eastAsia" w:ascii="宋体" w:hAnsi="宋体" w:eastAsia="宋体" w:cs="宋体"/>
                <w:b/>
                <w:bCs/>
                <w:kern w:val="2"/>
                <w:sz w:val="21"/>
                <w:szCs w:val="21"/>
                <w:lang w:val="en-US" w:eastAsia="zh-CN" w:bidi="ar"/>
                <w14:ligatures w14:val="standardContextual"/>
              </w:rPr>
              <w:t>1</w:t>
            </w:r>
          </w:p>
        </w:tc>
        <w:tc>
          <w:tcPr>
            <w:tcW w:w="3652" w:type="dxa"/>
            <w:noWrap/>
          </w:tcPr>
          <w:p>
            <w:pPr>
              <w:wordWrap w:val="0"/>
              <w:rPr>
                <w:rFonts w:hint="default" w:ascii="宋体" w:hAnsi="宋体" w:eastAsia="宋体" w:cs="宋体"/>
                <w:b/>
                <w:bCs/>
                <w:kern w:val="2"/>
                <w:sz w:val="21"/>
                <w:szCs w:val="21"/>
                <w:lang w:val="en-US" w:eastAsia="zh-CN" w:bidi="ar"/>
                <w14:ligatures w14:val="standardContextual"/>
              </w:rPr>
            </w:pPr>
            <w:r>
              <w:rPr>
                <w:rFonts w:hint="eastAsia" w:ascii="宋体" w:hAnsi="宋体" w:eastAsia="宋体" w:cs="宋体"/>
                <w:b/>
                <w:bCs/>
                <w:kern w:val="2"/>
                <w:sz w:val="21"/>
                <w:szCs w:val="21"/>
                <w:lang w:val="en-US" w:eastAsia="zh-CN" w:bidi="ar"/>
                <w14:ligatures w14:val="standardContextual"/>
              </w:rPr>
              <w:t>设计-竣工图</w:t>
            </w:r>
          </w:p>
        </w:tc>
        <w:tc>
          <w:tcPr>
            <w:tcW w:w="3653" w:type="dxa"/>
            <w:noWrap/>
          </w:tcPr>
          <w:p>
            <w:pPr>
              <w:wordWrap w:val="0"/>
              <w:rPr>
                <w:rFonts w:hint="eastAsia" w:ascii="宋体" w:hAnsi="宋体" w:eastAsia="宋体" w:cs="宋体"/>
                <w:kern w:val="2"/>
                <w:sz w:val="21"/>
                <w:szCs w:val="21"/>
                <w:lang w:val="en-US" w:eastAsia="zh-CN" w:bidi="ar"/>
                <w14:ligatures w14:val="standardContextu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217" w:type="dxa"/>
            <w:noWrap/>
          </w:tcPr>
          <w:p>
            <w:pPr>
              <w:wordWrap w:val="0"/>
              <w:jc w:val="center"/>
              <w:rPr>
                <w:rFonts w:hint="default" w:ascii="宋体" w:hAnsi="宋体" w:eastAsia="宋体" w:cs="宋体"/>
                <w:kern w:val="2"/>
                <w:sz w:val="21"/>
                <w:szCs w:val="21"/>
                <w:lang w:val="en-US" w:eastAsia="zh-CN" w:bidi="ar"/>
                <w14:ligatures w14:val="standardContextual"/>
              </w:rPr>
            </w:pPr>
            <w:r>
              <w:rPr>
                <w:rFonts w:hint="eastAsia" w:ascii="宋体" w:hAnsi="宋体" w:eastAsia="宋体" w:cs="宋体"/>
                <w:kern w:val="2"/>
                <w:sz w:val="21"/>
                <w:szCs w:val="21"/>
                <w:lang w:val="en-US" w:eastAsia="zh-CN" w:bidi="ar"/>
                <w14:ligatures w14:val="standardContextual"/>
              </w:rPr>
              <w:t>1.1</w:t>
            </w:r>
          </w:p>
        </w:tc>
        <w:tc>
          <w:tcPr>
            <w:tcW w:w="3652" w:type="dxa"/>
            <w:noWrap/>
          </w:tcPr>
          <w:p>
            <w:pPr>
              <w:wordWrap w:val="0"/>
              <w:rPr>
                <w:rFonts w:hint="eastAsia" w:ascii="宋体" w:hAnsi="宋体" w:eastAsia="宋体" w:cs="宋体"/>
                <w:kern w:val="2"/>
                <w:sz w:val="21"/>
                <w:szCs w:val="21"/>
                <w:lang w:val="en-US" w:eastAsia="zh-CN" w:bidi="ar"/>
                <w14:ligatures w14:val="standardContextual"/>
              </w:rPr>
            </w:pPr>
          </w:p>
        </w:tc>
        <w:tc>
          <w:tcPr>
            <w:tcW w:w="3653" w:type="dxa"/>
            <w:noWrap/>
          </w:tcPr>
          <w:p>
            <w:pPr>
              <w:wordWrap w:val="0"/>
              <w:rPr>
                <w:rFonts w:hint="eastAsia" w:ascii="宋体" w:hAnsi="宋体" w:eastAsia="宋体" w:cs="宋体"/>
                <w:kern w:val="2"/>
                <w:sz w:val="21"/>
                <w:szCs w:val="21"/>
                <w:lang w:val="en-US" w:eastAsia="zh-CN" w:bidi="ar"/>
                <w14:ligatures w14:val="standardContextu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217" w:type="dxa"/>
            <w:noWrap/>
          </w:tcPr>
          <w:p>
            <w:pPr>
              <w:wordWrap w:val="0"/>
              <w:jc w:val="center"/>
              <w:rPr>
                <w:rFonts w:hint="default" w:ascii="宋体" w:hAnsi="宋体" w:eastAsia="宋体" w:cs="宋体"/>
                <w:kern w:val="2"/>
                <w:sz w:val="21"/>
                <w:szCs w:val="21"/>
                <w:lang w:val="en-US" w:eastAsia="zh-CN" w:bidi="ar"/>
                <w14:ligatures w14:val="standardContextual"/>
              </w:rPr>
            </w:pPr>
            <w:r>
              <w:rPr>
                <w:rFonts w:hint="eastAsia" w:ascii="宋体" w:hAnsi="宋体" w:eastAsia="宋体" w:cs="宋体"/>
                <w:kern w:val="2"/>
                <w:sz w:val="21"/>
                <w:szCs w:val="21"/>
                <w:lang w:val="en-US" w:eastAsia="zh-CN" w:bidi="ar"/>
                <w14:ligatures w14:val="standardContextual"/>
              </w:rPr>
              <w:t>1.2</w:t>
            </w:r>
          </w:p>
        </w:tc>
        <w:tc>
          <w:tcPr>
            <w:tcW w:w="3652" w:type="dxa"/>
            <w:noWrap/>
          </w:tcPr>
          <w:p>
            <w:pPr>
              <w:wordWrap w:val="0"/>
              <w:rPr>
                <w:rFonts w:hint="eastAsia" w:ascii="宋体" w:hAnsi="宋体" w:eastAsia="宋体" w:cs="宋体"/>
                <w:kern w:val="2"/>
                <w:sz w:val="21"/>
                <w:szCs w:val="21"/>
                <w:lang w:val="en-US" w:eastAsia="zh-CN" w:bidi="ar"/>
                <w14:ligatures w14:val="standardContextual"/>
              </w:rPr>
            </w:pPr>
          </w:p>
        </w:tc>
        <w:tc>
          <w:tcPr>
            <w:tcW w:w="3653" w:type="dxa"/>
            <w:noWrap/>
          </w:tcPr>
          <w:p>
            <w:pPr>
              <w:wordWrap w:val="0"/>
              <w:rPr>
                <w:rFonts w:hint="eastAsia" w:ascii="宋体" w:hAnsi="宋体" w:eastAsia="宋体" w:cs="宋体"/>
                <w:kern w:val="2"/>
                <w:sz w:val="21"/>
                <w:szCs w:val="21"/>
                <w:lang w:val="en-US" w:eastAsia="zh-CN" w:bidi="ar"/>
                <w14:ligatures w14:val="standardContextu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217" w:type="dxa"/>
            <w:noWrap/>
          </w:tcPr>
          <w:p>
            <w:pPr>
              <w:wordWrap w:val="0"/>
              <w:jc w:val="center"/>
              <w:rPr>
                <w:rFonts w:hint="default" w:ascii="宋体" w:hAnsi="宋体" w:eastAsia="宋体" w:cs="宋体"/>
                <w:kern w:val="2"/>
                <w:sz w:val="21"/>
                <w:szCs w:val="21"/>
                <w:lang w:val="en-US" w:eastAsia="zh-CN" w:bidi="ar"/>
                <w14:ligatures w14:val="standardContextual"/>
              </w:rPr>
            </w:pPr>
            <w:r>
              <w:rPr>
                <w:rFonts w:hint="eastAsia" w:ascii="宋体" w:hAnsi="宋体" w:eastAsia="宋体" w:cs="宋体"/>
                <w:kern w:val="2"/>
                <w:sz w:val="21"/>
                <w:szCs w:val="21"/>
                <w:lang w:val="en-US" w:eastAsia="zh-CN" w:bidi="ar"/>
                <w14:ligatures w14:val="standardContextual"/>
              </w:rPr>
              <w:t>1.3</w:t>
            </w:r>
          </w:p>
        </w:tc>
        <w:tc>
          <w:tcPr>
            <w:tcW w:w="3652" w:type="dxa"/>
            <w:noWrap/>
          </w:tcPr>
          <w:p>
            <w:pPr>
              <w:wordWrap w:val="0"/>
              <w:rPr>
                <w:rFonts w:hint="eastAsia" w:ascii="宋体" w:hAnsi="宋体" w:eastAsia="宋体" w:cs="宋体"/>
                <w:kern w:val="2"/>
                <w:sz w:val="21"/>
                <w:szCs w:val="21"/>
                <w:lang w:val="en-US" w:eastAsia="zh-CN" w:bidi="ar"/>
                <w14:ligatures w14:val="standardContextual"/>
              </w:rPr>
            </w:pPr>
          </w:p>
        </w:tc>
        <w:tc>
          <w:tcPr>
            <w:tcW w:w="3653" w:type="dxa"/>
            <w:noWrap/>
          </w:tcPr>
          <w:p>
            <w:pPr>
              <w:wordWrap w:val="0"/>
              <w:rPr>
                <w:rFonts w:hint="eastAsia" w:ascii="宋体" w:hAnsi="宋体" w:eastAsia="宋体" w:cs="宋体"/>
                <w:kern w:val="2"/>
                <w:sz w:val="21"/>
                <w:szCs w:val="21"/>
                <w:lang w:val="en-US" w:eastAsia="zh-CN" w:bidi="ar"/>
                <w14:ligatures w14:val="standardContextu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217" w:type="dxa"/>
            <w:noWrap/>
          </w:tcPr>
          <w:p>
            <w:pPr>
              <w:wordWrap w:val="0"/>
              <w:jc w:val="center"/>
              <w:rPr>
                <w:rFonts w:hint="default" w:ascii="宋体" w:hAnsi="宋体" w:eastAsia="宋体" w:cs="宋体"/>
                <w:kern w:val="2"/>
                <w:sz w:val="21"/>
                <w:szCs w:val="21"/>
                <w:lang w:val="en-US" w:eastAsia="zh-CN" w:bidi="ar"/>
                <w14:ligatures w14:val="standardContextual"/>
              </w:rPr>
            </w:pPr>
            <w:r>
              <w:rPr>
                <w:rFonts w:hint="eastAsia" w:ascii="宋体" w:hAnsi="宋体" w:eastAsia="宋体" w:cs="宋体"/>
                <w:kern w:val="2"/>
                <w:sz w:val="21"/>
                <w:szCs w:val="21"/>
                <w:lang w:val="en-US" w:eastAsia="zh-CN" w:bidi="ar"/>
                <w14:ligatures w14:val="standardContextual"/>
              </w:rPr>
              <w:t>1.4</w:t>
            </w:r>
          </w:p>
        </w:tc>
        <w:tc>
          <w:tcPr>
            <w:tcW w:w="3652" w:type="dxa"/>
            <w:noWrap/>
          </w:tcPr>
          <w:p>
            <w:pPr>
              <w:wordWrap w:val="0"/>
              <w:rPr>
                <w:rFonts w:hint="eastAsia" w:ascii="宋体" w:hAnsi="宋体" w:eastAsia="宋体" w:cs="宋体"/>
                <w:kern w:val="2"/>
                <w:sz w:val="21"/>
                <w:szCs w:val="21"/>
                <w:lang w:val="en-US" w:eastAsia="zh-CN" w:bidi="ar"/>
                <w14:ligatures w14:val="standardContextual"/>
              </w:rPr>
            </w:pPr>
          </w:p>
        </w:tc>
        <w:tc>
          <w:tcPr>
            <w:tcW w:w="3653" w:type="dxa"/>
            <w:noWrap/>
          </w:tcPr>
          <w:p>
            <w:pPr>
              <w:wordWrap w:val="0"/>
              <w:rPr>
                <w:rFonts w:hint="eastAsia" w:ascii="宋体" w:hAnsi="宋体" w:eastAsia="宋体" w:cs="宋体"/>
                <w:kern w:val="2"/>
                <w:sz w:val="21"/>
                <w:szCs w:val="21"/>
                <w:lang w:val="en-US" w:eastAsia="zh-CN" w:bidi="ar"/>
                <w14:ligatures w14:val="standardContextu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217" w:type="dxa"/>
            <w:noWrap/>
          </w:tcPr>
          <w:p>
            <w:pPr>
              <w:wordWrap w:val="0"/>
              <w:jc w:val="center"/>
              <w:rPr>
                <w:rFonts w:hint="default" w:ascii="宋体" w:hAnsi="宋体" w:eastAsia="宋体" w:cs="宋体"/>
                <w:b/>
                <w:bCs/>
                <w:kern w:val="2"/>
                <w:sz w:val="21"/>
                <w:szCs w:val="21"/>
                <w:lang w:val="en-US" w:eastAsia="zh-CN" w:bidi="ar"/>
                <w14:ligatures w14:val="standardContextual"/>
              </w:rPr>
            </w:pPr>
            <w:r>
              <w:rPr>
                <w:rFonts w:hint="eastAsia" w:ascii="宋体" w:hAnsi="宋体" w:eastAsia="宋体" w:cs="宋体"/>
                <w:b/>
                <w:bCs/>
                <w:kern w:val="2"/>
                <w:sz w:val="21"/>
                <w:szCs w:val="21"/>
                <w:lang w:val="en-US" w:eastAsia="zh-CN" w:bidi="ar"/>
                <w14:ligatures w14:val="standardContextual"/>
              </w:rPr>
              <w:t>2</w:t>
            </w:r>
          </w:p>
        </w:tc>
        <w:tc>
          <w:tcPr>
            <w:tcW w:w="3652" w:type="dxa"/>
            <w:noWrap/>
          </w:tcPr>
          <w:p>
            <w:pPr>
              <w:wordWrap w:val="0"/>
              <w:rPr>
                <w:rFonts w:hint="default" w:ascii="宋体" w:hAnsi="宋体" w:eastAsia="宋体" w:cs="宋体"/>
                <w:b/>
                <w:bCs/>
                <w:kern w:val="2"/>
                <w:sz w:val="21"/>
                <w:szCs w:val="21"/>
                <w:lang w:val="en-US" w:eastAsia="zh-CN" w:bidi="ar"/>
                <w14:ligatures w14:val="standardContextual"/>
              </w:rPr>
            </w:pPr>
            <w:r>
              <w:rPr>
                <w:rFonts w:hint="eastAsia" w:ascii="宋体" w:hAnsi="宋体" w:eastAsia="宋体" w:cs="宋体"/>
                <w:b/>
                <w:bCs/>
                <w:kern w:val="2"/>
                <w:sz w:val="21"/>
                <w:szCs w:val="21"/>
                <w:lang w:val="en-US" w:eastAsia="zh-CN" w:bidi="ar"/>
                <w14:ligatures w14:val="standardContextual"/>
              </w:rPr>
              <w:t>采购</w:t>
            </w:r>
          </w:p>
        </w:tc>
        <w:tc>
          <w:tcPr>
            <w:tcW w:w="3653" w:type="dxa"/>
            <w:noWrap/>
          </w:tcPr>
          <w:p>
            <w:pPr>
              <w:wordWrap w:val="0"/>
              <w:rPr>
                <w:rFonts w:hint="eastAsia" w:ascii="宋体" w:hAnsi="宋体" w:eastAsia="宋体" w:cs="宋体"/>
                <w:kern w:val="2"/>
                <w:sz w:val="21"/>
                <w:szCs w:val="21"/>
                <w:lang w:val="en-US" w:eastAsia="zh-CN" w:bidi="ar"/>
                <w14:ligatures w14:val="standardContextu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217" w:type="dxa"/>
            <w:noWrap/>
          </w:tcPr>
          <w:p>
            <w:pPr>
              <w:wordWrap w:val="0"/>
              <w:jc w:val="center"/>
              <w:rPr>
                <w:rFonts w:hint="default" w:ascii="宋体" w:hAnsi="宋体" w:eastAsia="宋体" w:cs="宋体"/>
                <w:kern w:val="2"/>
                <w:sz w:val="21"/>
                <w:szCs w:val="21"/>
                <w:lang w:val="en-US" w:eastAsia="zh-CN" w:bidi="ar"/>
                <w14:ligatures w14:val="standardContextual"/>
              </w:rPr>
            </w:pPr>
            <w:r>
              <w:rPr>
                <w:rFonts w:hint="eastAsia" w:ascii="宋体" w:hAnsi="宋体" w:eastAsia="宋体" w:cs="宋体"/>
                <w:kern w:val="2"/>
                <w:sz w:val="21"/>
                <w:szCs w:val="21"/>
                <w:lang w:val="en-US" w:eastAsia="zh-CN" w:bidi="ar"/>
                <w14:ligatures w14:val="standardContextual"/>
              </w:rPr>
              <w:t>2.1</w:t>
            </w:r>
          </w:p>
        </w:tc>
        <w:tc>
          <w:tcPr>
            <w:tcW w:w="3652" w:type="dxa"/>
            <w:noWrap/>
          </w:tcPr>
          <w:p>
            <w:pPr>
              <w:wordWrap w:val="0"/>
              <w:rPr>
                <w:rFonts w:hint="eastAsia" w:ascii="宋体" w:hAnsi="宋体" w:eastAsia="宋体" w:cs="宋体"/>
                <w:kern w:val="2"/>
                <w:sz w:val="21"/>
                <w:szCs w:val="21"/>
                <w:lang w:val="en-US" w:eastAsia="zh-CN" w:bidi="ar"/>
                <w14:ligatures w14:val="standardContextual"/>
              </w:rPr>
            </w:pPr>
          </w:p>
        </w:tc>
        <w:tc>
          <w:tcPr>
            <w:tcW w:w="3653" w:type="dxa"/>
            <w:noWrap/>
          </w:tcPr>
          <w:p>
            <w:pPr>
              <w:wordWrap w:val="0"/>
              <w:rPr>
                <w:rFonts w:hint="eastAsia" w:ascii="宋体" w:hAnsi="宋体" w:eastAsia="宋体" w:cs="宋体"/>
                <w:kern w:val="2"/>
                <w:sz w:val="21"/>
                <w:szCs w:val="21"/>
                <w:lang w:val="en-US" w:eastAsia="zh-CN" w:bidi="ar"/>
                <w14:ligatures w14:val="standardContextu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217" w:type="dxa"/>
            <w:noWrap/>
          </w:tcPr>
          <w:p>
            <w:pPr>
              <w:wordWrap w:val="0"/>
              <w:jc w:val="center"/>
              <w:rPr>
                <w:rFonts w:hint="default" w:ascii="宋体" w:hAnsi="宋体" w:eastAsia="宋体" w:cs="宋体"/>
                <w:kern w:val="2"/>
                <w:sz w:val="21"/>
                <w:szCs w:val="21"/>
                <w:lang w:val="en-US" w:eastAsia="zh-CN" w:bidi="ar"/>
                <w14:ligatures w14:val="standardContextual"/>
              </w:rPr>
            </w:pPr>
            <w:r>
              <w:rPr>
                <w:rFonts w:hint="eastAsia" w:ascii="宋体" w:hAnsi="宋体" w:eastAsia="宋体" w:cs="宋体"/>
                <w:kern w:val="2"/>
                <w:sz w:val="21"/>
                <w:szCs w:val="21"/>
                <w:lang w:val="en-US" w:eastAsia="zh-CN" w:bidi="ar"/>
                <w14:ligatures w14:val="standardContextual"/>
              </w:rPr>
              <w:t>2.2</w:t>
            </w:r>
          </w:p>
        </w:tc>
        <w:tc>
          <w:tcPr>
            <w:tcW w:w="3652" w:type="dxa"/>
            <w:noWrap/>
          </w:tcPr>
          <w:p>
            <w:pPr>
              <w:wordWrap w:val="0"/>
              <w:rPr>
                <w:rFonts w:hint="eastAsia" w:ascii="宋体" w:hAnsi="宋体" w:eastAsia="宋体" w:cs="宋体"/>
                <w:kern w:val="2"/>
                <w:sz w:val="21"/>
                <w:szCs w:val="21"/>
                <w:lang w:val="en-US" w:eastAsia="zh-CN" w:bidi="ar"/>
                <w14:ligatures w14:val="standardContextual"/>
              </w:rPr>
            </w:pPr>
          </w:p>
        </w:tc>
        <w:tc>
          <w:tcPr>
            <w:tcW w:w="3653" w:type="dxa"/>
            <w:noWrap/>
          </w:tcPr>
          <w:p>
            <w:pPr>
              <w:wordWrap w:val="0"/>
              <w:rPr>
                <w:rFonts w:hint="eastAsia" w:ascii="宋体" w:hAnsi="宋体" w:eastAsia="宋体" w:cs="宋体"/>
                <w:kern w:val="2"/>
                <w:sz w:val="21"/>
                <w:szCs w:val="21"/>
                <w:lang w:val="en-US" w:eastAsia="zh-CN" w:bidi="ar"/>
                <w14:ligatures w14:val="standardContextu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217" w:type="dxa"/>
            <w:noWrap/>
          </w:tcPr>
          <w:p>
            <w:pPr>
              <w:wordWrap w:val="0"/>
              <w:jc w:val="center"/>
              <w:rPr>
                <w:rFonts w:hint="default" w:ascii="宋体" w:hAnsi="宋体" w:eastAsia="宋体" w:cs="宋体"/>
                <w:kern w:val="2"/>
                <w:sz w:val="21"/>
                <w:szCs w:val="21"/>
                <w:lang w:val="en-US" w:eastAsia="zh-CN" w:bidi="ar"/>
                <w14:ligatures w14:val="standardContextual"/>
              </w:rPr>
            </w:pPr>
            <w:r>
              <w:rPr>
                <w:rFonts w:hint="eastAsia" w:ascii="宋体" w:hAnsi="宋体" w:eastAsia="宋体" w:cs="宋体"/>
                <w:kern w:val="2"/>
                <w:sz w:val="21"/>
                <w:szCs w:val="21"/>
                <w:lang w:val="en-US" w:eastAsia="zh-CN" w:bidi="ar"/>
                <w14:ligatures w14:val="standardContextual"/>
              </w:rPr>
              <w:t>2.3</w:t>
            </w:r>
          </w:p>
        </w:tc>
        <w:tc>
          <w:tcPr>
            <w:tcW w:w="3652" w:type="dxa"/>
            <w:noWrap/>
          </w:tcPr>
          <w:p>
            <w:pPr>
              <w:wordWrap w:val="0"/>
              <w:rPr>
                <w:rFonts w:hint="eastAsia" w:ascii="宋体" w:hAnsi="宋体" w:eastAsia="宋体" w:cs="宋体"/>
                <w:kern w:val="2"/>
                <w:sz w:val="21"/>
                <w:szCs w:val="21"/>
                <w:lang w:val="en-US" w:eastAsia="zh-CN" w:bidi="ar"/>
                <w14:ligatures w14:val="standardContextual"/>
              </w:rPr>
            </w:pPr>
          </w:p>
        </w:tc>
        <w:tc>
          <w:tcPr>
            <w:tcW w:w="3653" w:type="dxa"/>
            <w:noWrap/>
          </w:tcPr>
          <w:p>
            <w:pPr>
              <w:wordWrap w:val="0"/>
              <w:rPr>
                <w:rFonts w:hint="eastAsia" w:ascii="宋体" w:hAnsi="宋体" w:eastAsia="宋体" w:cs="宋体"/>
                <w:kern w:val="2"/>
                <w:sz w:val="21"/>
                <w:szCs w:val="21"/>
                <w:lang w:val="en-US" w:eastAsia="zh-CN" w:bidi="ar"/>
                <w14:ligatures w14:val="standardContextu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217" w:type="dxa"/>
            <w:noWrap/>
          </w:tcPr>
          <w:p>
            <w:pPr>
              <w:wordWrap w:val="0"/>
              <w:jc w:val="center"/>
              <w:rPr>
                <w:rFonts w:hint="default" w:ascii="宋体" w:hAnsi="宋体" w:eastAsia="宋体" w:cs="宋体"/>
                <w:kern w:val="2"/>
                <w:sz w:val="21"/>
                <w:szCs w:val="21"/>
                <w:lang w:val="en-US" w:eastAsia="zh-CN" w:bidi="ar"/>
                <w14:ligatures w14:val="standardContextual"/>
              </w:rPr>
            </w:pPr>
            <w:r>
              <w:rPr>
                <w:rFonts w:hint="eastAsia" w:ascii="宋体" w:hAnsi="宋体" w:eastAsia="宋体" w:cs="宋体"/>
                <w:kern w:val="2"/>
                <w:sz w:val="21"/>
                <w:szCs w:val="21"/>
                <w:lang w:val="en-US" w:eastAsia="zh-CN" w:bidi="ar"/>
                <w14:ligatures w14:val="standardContextual"/>
              </w:rPr>
              <w:t>2.4</w:t>
            </w:r>
          </w:p>
        </w:tc>
        <w:tc>
          <w:tcPr>
            <w:tcW w:w="3652" w:type="dxa"/>
            <w:noWrap/>
          </w:tcPr>
          <w:p>
            <w:pPr>
              <w:wordWrap w:val="0"/>
              <w:rPr>
                <w:rFonts w:hint="eastAsia" w:ascii="宋体" w:hAnsi="宋体" w:eastAsia="宋体" w:cs="宋体"/>
                <w:kern w:val="2"/>
                <w:sz w:val="21"/>
                <w:szCs w:val="21"/>
                <w:lang w:val="en-US" w:eastAsia="zh-CN" w:bidi="ar"/>
                <w14:ligatures w14:val="standardContextual"/>
              </w:rPr>
            </w:pPr>
          </w:p>
        </w:tc>
        <w:tc>
          <w:tcPr>
            <w:tcW w:w="3653" w:type="dxa"/>
            <w:noWrap/>
          </w:tcPr>
          <w:p>
            <w:pPr>
              <w:wordWrap w:val="0"/>
              <w:rPr>
                <w:rFonts w:hint="eastAsia" w:ascii="宋体" w:hAnsi="宋体" w:eastAsia="宋体" w:cs="宋体"/>
                <w:kern w:val="2"/>
                <w:sz w:val="21"/>
                <w:szCs w:val="21"/>
                <w:lang w:val="en-US" w:eastAsia="zh-CN" w:bidi="ar"/>
                <w14:ligatures w14:val="standardContextu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217" w:type="dxa"/>
            <w:noWrap/>
          </w:tcPr>
          <w:p>
            <w:pPr>
              <w:wordWrap w:val="0"/>
              <w:jc w:val="center"/>
              <w:rPr>
                <w:rFonts w:hint="default" w:ascii="宋体" w:hAnsi="宋体" w:eastAsia="宋体" w:cs="宋体"/>
                <w:kern w:val="2"/>
                <w:sz w:val="21"/>
                <w:szCs w:val="21"/>
                <w:lang w:val="en-US" w:eastAsia="zh-CN" w:bidi="ar"/>
                <w14:ligatures w14:val="standardContextual"/>
              </w:rPr>
            </w:pPr>
            <w:r>
              <w:rPr>
                <w:rFonts w:hint="eastAsia" w:ascii="宋体" w:hAnsi="宋体" w:eastAsia="宋体" w:cs="宋体"/>
                <w:kern w:val="2"/>
                <w:sz w:val="21"/>
                <w:szCs w:val="21"/>
                <w:lang w:val="en-US" w:eastAsia="zh-CN" w:bidi="ar"/>
                <w14:ligatures w14:val="standardContextual"/>
              </w:rPr>
              <w:t>2.5</w:t>
            </w:r>
          </w:p>
        </w:tc>
        <w:tc>
          <w:tcPr>
            <w:tcW w:w="3652" w:type="dxa"/>
            <w:noWrap/>
          </w:tcPr>
          <w:p>
            <w:pPr>
              <w:wordWrap w:val="0"/>
              <w:rPr>
                <w:rFonts w:hint="eastAsia" w:ascii="宋体" w:hAnsi="宋体" w:eastAsia="宋体" w:cs="宋体"/>
                <w:kern w:val="2"/>
                <w:sz w:val="21"/>
                <w:szCs w:val="21"/>
                <w:lang w:val="en-US" w:eastAsia="zh-CN" w:bidi="ar"/>
                <w14:ligatures w14:val="standardContextual"/>
              </w:rPr>
            </w:pPr>
          </w:p>
        </w:tc>
        <w:tc>
          <w:tcPr>
            <w:tcW w:w="3653" w:type="dxa"/>
            <w:noWrap/>
          </w:tcPr>
          <w:p>
            <w:pPr>
              <w:wordWrap w:val="0"/>
              <w:rPr>
                <w:rFonts w:hint="eastAsia" w:ascii="宋体" w:hAnsi="宋体" w:eastAsia="宋体" w:cs="宋体"/>
                <w:kern w:val="2"/>
                <w:sz w:val="21"/>
                <w:szCs w:val="21"/>
                <w:lang w:val="en-US" w:eastAsia="zh-CN" w:bidi="ar"/>
                <w14:ligatures w14:val="standardContextu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217" w:type="dxa"/>
            <w:noWrap/>
          </w:tcPr>
          <w:p>
            <w:pPr>
              <w:wordWrap w:val="0"/>
              <w:jc w:val="center"/>
              <w:rPr>
                <w:rFonts w:hint="default" w:ascii="宋体" w:hAnsi="宋体" w:eastAsia="宋体" w:cs="宋体"/>
                <w:kern w:val="2"/>
                <w:sz w:val="21"/>
                <w:szCs w:val="21"/>
                <w:lang w:val="en-US" w:eastAsia="zh-CN" w:bidi="ar"/>
                <w14:ligatures w14:val="standardContextual"/>
              </w:rPr>
            </w:pPr>
            <w:r>
              <w:rPr>
                <w:rFonts w:hint="eastAsia" w:ascii="宋体" w:hAnsi="宋体" w:eastAsia="宋体" w:cs="宋体"/>
                <w:kern w:val="2"/>
                <w:sz w:val="21"/>
                <w:szCs w:val="21"/>
                <w:lang w:val="en-US" w:eastAsia="zh-CN" w:bidi="ar"/>
                <w14:ligatures w14:val="standardContextual"/>
              </w:rPr>
              <w:t>2.6</w:t>
            </w:r>
          </w:p>
        </w:tc>
        <w:tc>
          <w:tcPr>
            <w:tcW w:w="3652" w:type="dxa"/>
            <w:noWrap/>
          </w:tcPr>
          <w:p>
            <w:pPr>
              <w:wordWrap w:val="0"/>
              <w:rPr>
                <w:rFonts w:hint="eastAsia" w:ascii="宋体" w:hAnsi="宋体" w:eastAsia="宋体" w:cs="宋体"/>
                <w:kern w:val="2"/>
                <w:sz w:val="21"/>
                <w:szCs w:val="21"/>
                <w:lang w:val="en-US" w:eastAsia="zh-CN" w:bidi="ar"/>
                <w14:ligatures w14:val="standardContextual"/>
              </w:rPr>
            </w:pPr>
          </w:p>
        </w:tc>
        <w:tc>
          <w:tcPr>
            <w:tcW w:w="3653" w:type="dxa"/>
            <w:noWrap/>
          </w:tcPr>
          <w:p>
            <w:pPr>
              <w:wordWrap w:val="0"/>
              <w:rPr>
                <w:rFonts w:hint="eastAsia" w:ascii="宋体" w:hAnsi="宋体" w:eastAsia="宋体" w:cs="宋体"/>
                <w:kern w:val="2"/>
                <w:sz w:val="21"/>
                <w:szCs w:val="21"/>
                <w:lang w:val="en-US" w:eastAsia="zh-CN" w:bidi="ar"/>
                <w14:ligatures w14:val="standardContextu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217" w:type="dxa"/>
            <w:noWrap/>
          </w:tcPr>
          <w:p>
            <w:pPr>
              <w:wordWrap w:val="0"/>
              <w:jc w:val="center"/>
              <w:rPr>
                <w:rFonts w:hint="default" w:ascii="宋体" w:hAnsi="宋体" w:eastAsia="宋体" w:cs="宋体"/>
                <w:b/>
                <w:bCs/>
                <w:kern w:val="2"/>
                <w:sz w:val="21"/>
                <w:szCs w:val="21"/>
                <w:lang w:val="en-US" w:eastAsia="zh-CN" w:bidi="ar"/>
                <w14:ligatures w14:val="standardContextual"/>
              </w:rPr>
            </w:pPr>
            <w:r>
              <w:rPr>
                <w:rFonts w:hint="eastAsia" w:ascii="宋体" w:hAnsi="宋体" w:eastAsia="宋体" w:cs="宋体"/>
                <w:b/>
                <w:bCs/>
                <w:kern w:val="2"/>
                <w:sz w:val="21"/>
                <w:szCs w:val="21"/>
                <w:lang w:val="en-US" w:eastAsia="zh-CN" w:bidi="ar"/>
                <w14:ligatures w14:val="standardContextual"/>
              </w:rPr>
              <w:t>3</w:t>
            </w:r>
          </w:p>
        </w:tc>
        <w:tc>
          <w:tcPr>
            <w:tcW w:w="3652" w:type="dxa"/>
            <w:noWrap/>
          </w:tcPr>
          <w:p>
            <w:pPr>
              <w:wordWrap w:val="0"/>
              <w:rPr>
                <w:rFonts w:hint="default" w:ascii="宋体" w:hAnsi="宋体" w:eastAsia="宋体" w:cs="宋体"/>
                <w:b/>
                <w:bCs/>
                <w:kern w:val="2"/>
                <w:sz w:val="21"/>
                <w:szCs w:val="21"/>
                <w:lang w:val="en-US" w:eastAsia="zh-CN" w:bidi="ar"/>
                <w14:ligatures w14:val="standardContextual"/>
              </w:rPr>
            </w:pPr>
            <w:r>
              <w:rPr>
                <w:rFonts w:hint="eastAsia" w:ascii="宋体" w:hAnsi="宋体" w:eastAsia="宋体" w:cs="宋体"/>
                <w:b/>
                <w:bCs/>
                <w:kern w:val="2"/>
                <w:sz w:val="21"/>
                <w:szCs w:val="21"/>
                <w:lang w:val="en-US" w:eastAsia="zh-CN" w:bidi="ar"/>
                <w14:ligatures w14:val="standardContextual"/>
              </w:rPr>
              <w:t>施工</w:t>
            </w:r>
          </w:p>
        </w:tc>
        <w:tc>
          <w:tcPr>
            <w:tcW w:w="3653" w:type="dxa"/>
            <w:noWrap/>
          </w:tcPr>
          <w:p>
            <w:pPr>
              <w:wordWrap w:val="0"/>
              <w:rPr>
                <w:rFonts w:hint="eastAsia" w:ascii="宋体" w:hAnsi="宋体" w:eastAsia="宋体" w:cs="宋体"/>
                <w:kern w:val="2"/>
                <w:sz w:val="21"/>
                <w:szCs w:val="21"/>
                <w:lang w:val="en-US" w:eastAsia="zh-CN" w:bidi="ar"/>
                <w14:ligatures w14:val="standardContextu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217" w:type="dxa"/>
            <w:noWrap/>
          </w:tcPr>
          <w:p>
            <w:pPr>
              <w:wordWrap w:val="0"/>
              <w:jc w:val="center"/>
              <w:rPr>
                <w:rFonts w:hint="default" w:ascii="宋体" w:hAnsi="宋体" w:eastAsia="宋体" w:cs="宋体"/>
                <w:kern w:val="2"/>
                <w:sz w:val="21"/>
                <w:szCs w:val="21"/>
                <w:lang w:val="en-US" w:eastAsia="zh-CN" w:bidi="ar"/>
                <w14:ligatures w14:val="standardContextual"/>
              </w:rPr>
            </w:pPr>
            <w:r>
              <w:rPr>
                <w:rFonts w:hint="eastAsia" w:ascii="宋体" w:hAnsi="宋体" w:eastAsia="宋体" w:cs="宋体"/>
                <w:kern w:val="2"/>
                <w:sz w:val="21"/>
                <w:szCs w:val="21"/>
                <w:lang w:val="en-US" w:eastAsia="zh-CN" w:bidi="ar"/>
                <w14:ligatures w14:val="standardContextual"/>
              </w:rPr>
              <w:t>3.1</w:t>
            </w:r>
          </w:p>
        </w:tc>
        <w:tc>
          <w:tcPr>
            <w:tcW w:w="3652" w:type="dxa"/>
            <w:noWrap/>
          </w:tcPr>
          <w:p>
            <w:pPr>
              <w:wordWrap w:val="0"/>
              <w:rPr>
                <w:rFonts w:hint="eastAsia" w:ascii="宋体" w:hAnsi="宋体" w:eastAsia="宋体" w:cs="宋体"/>
                <w:kern w:val="2"/>
                <w:sz w:val="21"/>
                <w:szCs w:val="21"/>
                <w:lang w:val="en-US" w:eastAsia="zh-CN" w:bidi="ar"/>
                <w14:ligatures w14:val="standardContextual"/>
              </w:rPr>
            </w:pPr>
          </w:p>
        </w:tc>
        <w:tc>
          <w:tcPr>
            <w:tcW w:w="3653" w:type="dxa"/>
            <w:noWrap/>
          </w:tcPr>
          <w:p>
            <w:pPr>
              <w:wordWrap w:val="0"/>
              <w:rPr>
                <w:rFonts w:hint="eastAsia" w:ascii="宋体" w:hAnsi="宋体" w:eastAsia="宋体" w:cs="宋体"/>
                <w:kern w:val="2"/>
                <w:sz w:val="21"/>
                <w:szCs w:val="21"/>
                <w:lang w:val="en-US" w:eastAsia="zh-CN" w:bidi="ar"/>
                <w14:ligatures w14:val="standardContextu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217" w:type="dxa"/>
            <w:noWrap/>
          </w:tcPr>
          <w:p>
            <w:pPr>
              <w:wordWrap w:val="0"/>
              <w:jc w:val="center"/>
              <w:rPr>
                <w:rFonts w:hint="default" w:ascii="宋体" w:hAnsi="宋体" w:eastAsia="宋体" w:cs="宋体"/>
                <w:kern w:val="2"/>
                <w:sz w:val="21"/>
                <w:szCs w:val="21"/>
                <w:lang w:val="en-US" w:eastAsia="zh-CN" w:bidi="ar"/>
                <w14:ligatures w14:val="standardContextual"/>
              </w:rPr>
            </w:pPr>
            <w:r>
              <w:rPr>
                <w:rFonts w:hint="eastAsia" w:ascii="宋体" w:hAnsi="宋体" w:eastAsia="宋体" w:cs="宋体"/>
                <w:kern w:val="2"/>
                <w:sz w:val="21"/>
                <w:szCs w:val="21"/>
                <w:lang w:val="en-US" w:eastAsia="zh-CN" w:bidi="ar"/>
                <w14:ligatures w14:val="standardContextual"/>
              </w:rPr>
              <w:t>3.2</w:t>
            </w:r>
          </w:p>
        </w:tc>
        <w:tc>
          <w:tcPr>
            <w:tcW w:w="3652" w:type="dxa"/>
            <w:noWrap/>
          </w:tcPr>
          <w:p>
            <w:pPr>
              <w:wordWrap w:val="0"/>
              <w:rPr>
                <w:rFonts w:hint="eastAsia" w:ascii="宋体" w:hAnsi="宋体" w:eastAsia="宋体" w:cs="宋体"/>
                <w:kern w:val="2"/>
                <w:sz w:val="21"/>
                <w:szCs w:val="21"/>
                <w:lang w:val="en-US" w:eastAsia="zh-CN" w:bidi="ar"/>
                <w14:ligatures w14:val="standardContextual"/>
              </w:rPr>
            </w:pPr>
          </w:p>
        </w:tc>
        <w:tc>
          <w:tcPr>
            <w:tcW w:w="3653" w:type="dxa"/>
            <w:noWrap/>
          </w:tcPr>
          <w:p>
            <w:pPr>
              <w:wordWrap w:val="0"/>
              <w:rPr>
                <w:rFonts w:hint="eastAsia" w:ascii="宋体" w:hAnsi="宋体" w:eastAsia="宋体" w:cs="宋体"/>
                <w:kern w:val="2"/>
                <w:sz w:val="21"/>
                <w:szCs w:val="21"/>
                <w:lang w:val="en-US" w:eastAsia="zh-CN" w:bidi="ar"/>
                <w14:ligatures w14:val="standardContextu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217" w:type="dxa"/>
            <w:noWrap/>
          </w:tcPr>
          <w:p>
            <w:pPr>
              <w:wordWrap w:val="0"/>
              <w:jc w:val="center"/>
              <w:rPr>
                <w:rFonts w:hint="default" w:ascii="宋体" w:hAnsi="宋体" w:eastAsia="宋体" w:cs="宋体"/>
                <w:kern w:val="2"/>
                <w:sz w:val="21"/>
                <w:szCs w:val="21"/>
                <w:lang w:val="en-US" w:eastAsia="zh-CN" w:bidi="ar"/>
                <w14:ligatures w14:val="standardContextual"/>
              </w:rPr>
            </w:pPr>
            <w:r>
              <w:rPr>
                <w:rFonts w:hint="eastAsia" w:ascii="宋体" w:hAnsi="宋体" w:eastAsia="宋体" w:cs="宋体"/>
                <w:kern w:val="2"/>
                <w:sz w:val="21"/>
                <w:szCs w:val="21"/>
                <w:lang w:val="en-US" w:eastAsia="zh-CN" w:bidi="ar"/>
                <w14:ligatures w14:val="standardContextual"/>
              </w:rPr>
              <w:t>3.3</w:t>
            </w:r>
          </w:p>
        </w:tc>
        <w:tc>
          <w:tcPr>
            <w:tcW w:w="3652" w:type="dxa"/>
            <w:noWrap/>
          </w:tcPr>
          <w:p>
            <w:pPr>
              <w:wordWrap w:val="0"/>
              <w:rPr>
                <w:rFonts w:hint="eastAsia" w:ascii="宋体" w:hAnsi="宋体" w:eastAsia="宋体" w:cs="宋体"/>
                <w:kern w:val="2"/>
                <w:sz w:val="21"/>
                <w:szCs w:val="21"/>
                <w:lang w:val="en-US" w:eastAsia="zh-CN" w:bidi="ar"/>
                <w14:ligatures w14:val="standardContextual"/>
              </w:rPr>
            </w:pPr>
          </w:p>
        </w:tc>
        <w:tc>
          <w:tcPr>
            <w:tcW w:w="3653" w:type="dxa"/>
            <w:noWrap/>
          </w:tcPr>
          <w:p>
            <w:pPr>
              <w:wordWrap w:val="0"/>
              <w:rPr>
                <w:rFonts w:hint="eastAsia" w:ascii="宋体" w:hAnsi="宋体" w:eastAsia="宋体" w:cs="宋体"/>
                <w:kern w:val="2"/>
                <w:sz w:val="21"/>
                <w:szCs w:val="21"/>
                <w:lang w:val="en-US" w:eastAsia="zh-CN" w:bidi="ar"/>
                <w14:ligatures w14:val="standardContextu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217" w:type="dxa"/>
            <w:noWrap/>
          </w:tcPr>
          <w:p>
            <w:pPr>
              <w:wordWrap w:val="0"/>
              <w:jc w:val="center"/>
              <w:rPr>
                <w:rFonts w:hint="default" w:ascii="宋体" w:hAnsi="宋体" w:eastAsia="宋体" w:cs="宋体"/>
                <w:kern w:val="2"/>
                <w:sz w:val="21"/>
                <w:szCs w:val="21"/>
                <w:lang w:val="en-US" w:eastAsia="zh-CN" w:bidi="ar"/>
                <w14:ligatures w14:val="standardContextual"/>
              </w:rPr>
            </w:pPr>
            <w:r>
              <w:rPr>
                <w:rFonts w:hint="eastAsia" w:ascii="宋体" w:hAnsi="宋体" w:eastAsia="宋体" w:cs="宋体"/>
                <w:kern w:val="2"/>
                <w:sz w:val="21"/>
                <w:szCs w:val="21"/>
                <w:lang w:val="en-US" w:eastAsia="zh-CN" w:bidi="ar"/>
                <w14:ligatures w14:val="standardContextual"/>
              </w:rPr>
              <w:t>3.4</w:t>
            </w:r>
          </w:p>
        </w:tc>
        <w:tc>
          <w:tcPr>
            <w:tcW w:w="3652" w:type="dxa"/>
            <w:noWrap/>
          </w:tcPr>
          <w:p>
            <w:pPr>
              <w:wordWrap w:val="0"/>
              <w:rPr>
                <w:rFonts w:hint="eastAsia" w:ascii="宋体" w:hAnsi="宋体" w:eastAsia="宋体" w:cs="宋体"/>
                <w:kern w:val="2"/>
                <w:sz w:val="21"/>
                <w:szCs w:val="21"/>
                <w:lang w:val="en-US" w:eastAsia="zh-CN" w:bidi="ar"/>
                <w14:ligatures w14:val="standardContextual"/>
              </w:rPr>
            </w:pPr>
          </w:p>
        </w:tc>
        <w:tc>
          <w:tcPr>
            <w:tcW w:w="3653" w:type="dxa"/>
            <w:noWrap/>
          </w:tcPr>
          <w:p>
            <w:pPr>
              <w:wordWrap w:val="0"/>
              <w:rPr>
                <w:rFonts w:hint="eastAsia" w:ascii="宋体" w:hAnsi="宋体" w:eastAsia="宋体" w:cs="宋体"/>
                <w:kern w:val="2"/>
                <w:sz w:val="21"/>
                <w:szCs w:val="21"/>
                <w:lang w:val="en-US" w:eastAsia="zh-CN" w:bidi="ar"/>
                <w14:ligatures w14:val="standardContextu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217" w:type="dxa"/>
            <w:noWrap/>
          </w:tcPr>
          <w:p>
            <w:pPr>
              <w:wordWrap w:val="0"/>
              <w:jc w:val="center"/>
              <w:rPr>
                <w:rFonts w:hint="default" w:ascii="宋体" w:hAnsi="宋体" w:eastAsia="宋体" w:cs="宋体"/>
                <w:kern w:val="2"/>
                <w:sz w:val="21"/>
                <w:szCs w:val="21"/>
                <w:lang w:val="en-US" w:eastAsia="zh-CN" w:bidi="ar"/>
                <w14:ligatures w14:val="standardContextual"/>
              </w:rPr>
            </w:pPr>
            <w:r>
              <w:rPr>
                <w:rFonts w:hint="eastAsia" w:ascii="宋体" w:hAnsi="宋体" w:eastAsia="宋体" w:cs="宋体"/>
                <w:kern w:val="2"/>
                <w:sz w:val="21"/>
                <w:szCs w:val="21"/>
                <w:lang w:val="en-US" w:eastAsia="zh-CN" w:bidi="ar"/>
                <w14:ligatures w14:val="standardContextual"/>
              </w:rPr>
              <w:t>3.5</w:t>
            </w:r>
          </w:p>
        </w:tc>
        <w:tc>
          <w:tcPr>
            <w:tcW w:w="3652" w:type="dxa"/>
            <w:noWrap/>
          </w:tcPr>
          <w:p>
            <w:pPr>
              <w:wordWrap w:val="0"/>
              <w:rPr>
                <w:rFonts w:hint="eastAsia" w:ascii="宋体" w:hAnsi="宋体" w:eastAsia="宋体" w:cs="宋体"/>
                <w:kern w:val="2"/>
                <w:sz w:val="21"/>
                <w:szCs w:val="21"/>
                <w:lang w:val="en-US" w:eastAsia="zh-CN" w:bidi="ar"/>
                <w14:ligatures w14:val="standardContextual"/>
              </w:rPr>
            </w:pPr>
          </w:p>
        </w:tc>
        <w:tc>
          <w:tcPr>
            <w:tcW w:w="3653" w:type="dxa"/>
            <w:noWrap/>
          </w:tcPr>
          <w:p>
            <w:pPr>
              <w:wordWrap w:val="0"/>
              <w:rPr>
                <w:rFonts w:hint="eastAsia" w:ascii="宋体" w:hAnsi="宋体" w:eastAsia="宋体" w:cs="宋体"/>
                <w:kern w:val="2"/>
                <w:sz w:val="21"/>
                <w:szCs w:val="21"/>
                <w:lang w:val="en-US" w:eastAsia="zh-CN" w:bidi="ar"/>
                <w14:ligatures w14:val="standardContextu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217" w:type="dxa"/>
            <w:noWrap/>
          </w:tcPr>
          <w:p>
            <w:pPr>
              <w:wordWrap w:val="0"/>
              <w:jc w:val="center"/>
              <w:rPr>
                <w:rFonts w:hint="default" w:ascii="宋体" w:hAnsi="宋体" w:eastAsia="宋体" w:cs="宋体"/>
                <w:kern w:val="2"/>
                <w:sz w:val="21"/>
                <w:szCs w:val="21"/>
                <w:lang w:val="en-US" w:eastAsia="zh-CN" w:bidi="ar"/>
                <w14:ligatures w14:val="standardContextual"/>
              </w:rPr>
            </w:pPr>
            <w:r>
              <w:rPr>
                <w:rFonts w:hint="eastAsia" w:ascii="宋体" w:hAnsi="宋体" w:eastAsia="宋体" w:cs="宋体"/>
                <w:kern w:val="2"/>
                <w:sz w:val="21"/>
                <w:szCs w:val="21"/>
                <w:lang w:val="en-US" w:eastAsia="zh-CN" w:bidi="ar"/>
                <w14:ligatures w14:val="standardContextual"/>
              </w:rPr>
              <w:t>3.6</w:t>
            </w:r>
          </w:p>
        </w:tc>
        <w:tc>
          <w:tcPr>
            <w:tcW w:w="3652" w:type="dxa"/>
            <w:noWrap/>
          </w:tcPr>
          <w:p>
            <w:pPr>
              <w:wordWrap w:val="0"/>
              <w:rPr>
                <w:rFonts w:hint="eastAsia" w:ascii="宋体" w:hAnsi="宋体" w:eastAsia="宋体" w:cs="宋体"/>
                <w:kern w:val="2"/>
                <w:sz w:val="21"/>
                <w:szCs w:val="21"/>
                <w:lang w:val="en-US" w:eastAsia="zh-CN" w:bidi="ar"/>
                <w14:ligatures w14:val="standardContextual"/>
              </w:rPr>
            </w:pPr>
          </w:p>
        </w:tc>
        <w:tc>
          <w:tcPr>
            <w:tcW w:w="3653" w:type="dxa"/>
            <w:noWrap/>
          </w:tcPr>
          <w:p>
            <w:pPr>
              <w:wordWrap w:val="0"/>
              <w:rPr>
                <w:rFonts w:hint="eastAsia" w:ascii="宋体" w:hAnsi="宋体" w:eastAsia="宋体" w:cs="宋体"/>
                <w:kern w:val="2"/>
                <w:sz w:val="21"/>
                <w:szCs w:val="21"/>
                <w:lang w:val="en-US" w:eastAsia="zh-CN" w:bidi="ar"/>
                <w14:ligatures w14:val="standardContextu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217" w:type="dxa"/>
            <w:noWrap/>
          </w:tcPr>
          <w:p>
            <w:pPr>
              <w:wordWrap w:val="0"/>
              <w:jc w:val="center"/>
              <w:rPr>
                <w:rFonts w:hint="default" w:ascii="宋体" w:hAnsi="宋体" w:eastAsia="宋体" w:cs="宋体"/>
                <w:kern w:val="2"/>
                <w:sz w:val="21"/>
                <w:szCs w:val="21"/>
                <w:lang w:val="en-US" w:eastAsia="zh-CN" w:bidi="ar"/>
                <w14:ligatures w14:val="standardContextual"/>
              </w:rPr>
            </w:pPr>
            <w:r>
              <w:rPr>
                <w:rFonts w:hint="eastAsia" w:ascii="宋体" w:hAnsi="宋体" w:eastAsia="宋体" w:cs="宋体"/>
                <w:kern w:val="2"/>
                <w:sz w:val="21"/>
                <w:szCs w:val="21"/>
                <w:lang w:val="en-US" w:eastAsia="zh-CN" w:bidi="ar"/>
                <w14:ligatures w14:val="standardContextual"/>
              </w:rPr>
              <w:t>3.7</w:t>
            </w:r>
          </w:p>
        </w:tc>
        <w:tc>
          <w:tcPr>
            <w:tcW w:w="3652" w:type="dxa"/>
            <w:noWrap/>
          </w:tcPr>
          <w:p>
            <w:pPr>
              <w:wordWrap w:val="0"/>
              <w:rPr>
                <w:rFonts w:hint="eastAsia" w:ascii="宋体" w:hAnsi="宋体" w:eastAsia="宋体" w:cs="宋体"/>
                <w:kern w:val="2"/>
                <w:sz w:val="21"/>
                <w:szCs w:val="21"/>
                <w:lang w:val="en-US" w:eastAsia="zh-CN" w:bidi="ar"/>
                <w14:ligatures w14:val="standardContextual"/>
              </w:rPr>
            </w:pPr>
          </w:p>
        </w:tc>
        <w:tc>
          <w:tcPr>
            <w:tcW w:w="3653" w:type="dxa"/>
            <w:noWrap/>
          </w:tcPr>
          <w:p>
            <w:pPr>
              <w:wordWrap w:val="0"/>
              <w:rPr>
                <w:rFonts w:hint="eastAsia" w:ascii="宋体" w:hAnsi="宋体" w:eastAsia="宋体" w:cs="宋体"/>
                <w:kern w:val="2"/>
                <w:sz w:val="21"/>
                <w:szCs w:val="21"/>
                <w:lang w:val="en-US" w:eastAsia="zh-CN" w:bidi="ar"/>
                <w14:ligatures w14:val="standardContextu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217" w:type="dxa"/>
            <w:noWrap/>
          </w:tcPr>
          <w:p>
            <w:pPr>
              <w:wordWrap w:val="0"/>
              <w:jc w:val="center"/>
              <w:rPr>
                <w:rFonts w:hint="default" w:ascii="宋体" w:hAnsi="宋体" w:eastAsia="宋体" w:cs="宋体"/>
                <w:kern w:val="2"/>
                <w:sz w:val="21"/>
                <w:szCs w:val="21"/>
                <w:lang w:val="en-US" w:eastAsia="zh-CN" w:bidi="ar"/>
                <w14:ligatures w14:val="standardContextual"/>
              </w:rPr>
            </w:pPr>
            <w:r>
              <w:rPr>
                <w:rFonts w:hint="eastAsia" w:ascii="宋体" w:hAnsi="宋体" w:eastAsia="宋体" w:cs="宋体"/>
                <w:kern w:val="2"/>
                <w:sz w:val="21"/>
                <w:szCs w:val="21"/>
                <w:lang w:val="en-US" w:eastAsia="zh-CN" w:bidi="ar"/>
                <w14:ligatures w14:val="standardContextual"/>
              </w:rPr>
              <w:t>3.8</w:t>
            </w:r>
          </w:p>
        </w:tc>
        <w:tc>
          <w:tcPr>
            <w:tcW w:w="3652" w:type="dxa"/>
            <w:noWrap/>
          </w:tcPr>
          <w:p>
            <w:pPr>
              <w:wordWrap w:val="0"/>
              <w:rPr>
                <w:rFonts w:hint="eastAsia" w:ascii="宋体" w:hAnsi="宋体" w:eastAsia="宋体" w:cs="宋体"/>
                <w:kern w:val="2"/>
                <w:sz w:val="21"/>
                <w:szCs w:val="21"/>
                <w:lang w:val="en-US" w:eastAsia="zh-CN" w:bidi="ar"/>
                <w14:ligatures w14:val="standardContextual"/>
              </w:rPr>
            </w:pPr>
          </w:p>
        </w:tc>
        <w:tc>
          <w:tcPr>
            <w:tcW w:w="3653" w:type="dxa"/>
            <w:noWrap/>
          </w:tcPr>
          <w:p>
            <w:pPr>
              <w:wordWrap w:val="0"/>
              <w:rPr>
                <w:rFonts w:hint="eastAsia" w:ascii="宋体" w:hAnsi="宋体" w:eastAsia="宋体" w:cs="宋体"/>
                <w:kern w:val="2"/>
                <w:sz w:val="21"/>
                <w:szCs w:val="21"/>
                <w:lang w:val="en-US" w:eastAsia="zh-CN" w:bidi="ar"/>
                <w14:ligatures w14:val="standardContextual"/>
              </w:rPr>
            </w:pPr>
          </w:p>
        </w:tc>
      </w:tr>
    </w:tbl>
    <w:p>
      <w:pPr>
        <w:pStyle w:val="44"/>
        <w:widowControl w:val="0"/>
        <w:spacing w:before="0" w:beforeAutospacing="0" w:after="0" w:afterAutospacing="0" w:line="500" w:lineRule="exact"/>
        <w:ind w:firstLine="482" w:firstLineChars="200"/>
        <w:jc w:val="both"/>
        <w:rPr>
          <w:rFonts w:hint="eastAsia" w:hAnsi="宋体" w:cs="宋体"/>
          <w:b/>
          <w:bCs/>
          <w:kern w:val="2"/>
          <w:szCs w:val="20"/>
          <w:lang w:val="en-US" w:eastAsia="zh-CN" w:bidi="ar"/>
          <w14:ligatures w14:val="standardContextual"/>
        </w:rPr>
      </w:pPr>
      <w:r>
        <w:rPr>
          <w:rFonts w:hint="eastAsia" w:hAnsi="宋体" w:cs="宋体"/>
          <w:b/>
          <w:bCs/>
          <w:kern w:val="2"/>
          <w:szCs w:val="20"/>
          <w:lang w:val="en-US" w:eastAsia="zh-CN" w:bidi="ar"/>
          <w14:ligatures w14:val="standardContextual"/>
        </w:rPr>
        <w:t>12 项目执行要求及业主管理规定</w:t>
      </w:r>
    </w:p>
    <w:p>
      <w:pPr>
        <w:pStyle w:val="44"/>
        <w:widowControl w:val="0"/>
        <w:spacing w:before="0" w:beforeAutospacing="0" w:after="0" w:afterAutospacing="0" w:line="500" w:lineRule="exact"/>
        <w:ind w:firstLine="482" w:firstLineChars="200"/>
        <w:jc w:val="both"/>
        <w:rPr>
          <w:rFonts w:hint="eastAsia" w:hAnsi="宋体" w:cs="宋体"/>
          <w:b/>
          <w:bCs/>
          <w:kern w:val="2"/>
          <w:szCs w:val="20"/>
          <w:lang w:val="en-US" w:eastAsia="zh-CN" w:bidi="ar"/>
          <w14:ligatures w14:val="standardContextual"/>
        </w:rPr>
      </w:pPr>
      <w:r>
        <w:rPr>
          <w:rFonts w:hint="eastAsia" w:hAnsi="宋体" w:cs="宋体"/>
          <w:b/>
          <w:bCs/>
          <w:kern w:val="2"/>
          <w:szCs w:val="20"/>
          <w:lang w:val="en-US" w:eastAsia="zh-CN" w:bidi="ar"/>
          <w14:ligatures w14:val="standardContextual"/>
        </w:rPr>
        <w:t>12.1质量管理</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US" w:eastAsia="zh-CN" w:bidi="ar"/>
          <w14:ligatures w14:val="standardContextual"/>
        </w:rPr>
      </w:pPr>
      <w:r>
        <w:rPr>
          <w:rFonts w:hint="eastAsia" w:hAnsi="宋体" w:cs="宋体"/>
          <w:b w:val="0"/>
          <w:bCs w:val="0"/>
          <w:kern w:val="2"/>
          <w:szCs w:val="20"/>
          <w:lang w:val="en-US" w:eastAsia="zh-CN" w:bidi="ar"/>
          <w14:ligatures w14:val="standardContextual"/>
        </w:rPr>
        <w:t>12.1.1总体要求</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US" w:eastAsia="zh-CN" w:bidi="ar"/>
          <w14:ligatures w14:val="standardContextual"/>
        </w:rPr>
      </w:pPr>
      <w:r>
        <w:rPr>
          <w:rFonts w:hint="eastAsia" w:hAnsi="宋体" w:cs="宋体"/>
          <w:b w:val="0"/>
          <w:bCs w:val="0"/>
          <w:kern w:val="2"/>
          <w:szCs w:val="20"/>
          <w:lang w:val="en-US" w:eastAsia="zh-CN" w:bidi="ar"/>
          <w14:ligatures w14:val="standardContextual"/>
        </w:rPr>
        <w:t>投标人的质量管理体系应符合ISO9001和GB/T19001标准的要求，同时建立和执行适用于本项目的质量管理体系，以证实其能遵循业主的各项要求。</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US" w:eastAsia="zh-CN" w:bidi="ar"/>
          <w14:ligatures w14:val="standardContextual"/>
        </w:rPr>
      </w:pPr>
      <w:r>
        <w:rPr>
          <w:rFonts w:hint="eastAsia" w:hAnsi="宋体" w:cs="宋体"/>
          <w:b w:val="0"/>
          <w:bCs w:val="0"/>
          <w:kern w:val="2"/>
          <w:szCs w:val="20"/>
          <w:lang w:val="en-US" w:eastAsia="zh-CN" w:bidi="ar"/>
          <w14:ligatures w14:val="standardContextual"/>
        </w:rPr>
        <w:t>本项目强调以过程质量管理保证产品质量。</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US" w:eastAsia="zh-CN" w:bidi="ar"/>
          <w14:ligatures w14:val="standardContextual"/>
        </w:rPr>
      </w:pPr>
      <w:r>
        <w:rPr>
          <w:rFonts w:hint="eastAsia" w:hAnsi="宋体" w:cs="宋体"/>
          <w:b w:val="0"/>
          <w:bCs w:val="0"/>
          <w:kern w:val="2"/>
          <w:szCs w:val="20"/>
          <w:lang w:val="en-US" w:eastAsia="zh-CN" w:bidi="ar"/>
          <w14:ligatures w14:val="standardContextual"/>
        </w:rPr>
        <w:t>本项目的质量管理总目标是：</w:t>
      </w:r>
      <w:r>
        <w:rPr>
          <w:rFonts w:hint="eastAsia" w:hAnsi="宋体" w:cs="宋体"/>
          <w:b w:val="0"/>
          <w:bCs w:val="0"/>
          <w:kern w:val="2"/>
          <w:szCs w:val="20"/>
          <w:lang w:val="en-AU" w:eastAsia="zh-CN" w:bidi="ar"/>
          <w14:ligatures w14:val="standardContextual"/>
        </w:rPr>
        <w:t>工程质量全部合格</w:t>
      </w:r>
      <w:r>
        <w:rPr>
          <w:rFonts w:hint="eastAsia" w:hAnsi="宋体" w:cs="宋体"/>
          <w:b w:val="0"/>
          <w:bCs w:val="0"/>
          <w:kern w:val="2"/>
          <w:szCs w:val="20"/>
          <w:lang w:val="en-US" w:eastAsia="zh-CN" w:bidi="ar"/>
          <w14:ligatures w14:val="standardContextual"/>
        </w:rPr>
        <w:t>。</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US" w:eastAsia="zh-CN" w:bidi="ar"/>
          <w14:ligatures w14:val="standardContextual"/>
        </w:rPr>
      </w:pPr>
      <w:r>
        <w:rPr>
          <w:rFonts w:hint="eastAsia" w:hAnsi="宋体" w:cs="宋体"/>
          <w:b w:val="0"/>
          <w:bCs w:val="0"/>
          <w:kern w:val="2"/>
          <w:szCs w:val="20"/>
          <w:lang w:val="en-US" w:eastAsia="zh-CN" w:bidi="ar"/>
          <w14:ligatures w14:val="standardContextual"/>
        </w:rPr>
        <w:t>具体要求是：</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US" w:eastAsia="zh-CN" w:bidi="ar"/>
          <w14:ligatures w14:val="standardContextual"/>
        </w:rPr>
      </w:pPr>
      <w:r>
        <w:rPr>
          <w:rFonts w:hint="eastAsia" w:hAnsi="宋体" w:cs="宋体"/>
          <w:b w:val="0"/>
          <w:bCs w:val="0"/>
          <w:kern w:val="2"/>
          <w:szCs w:val="20"/>
          <w:lang w:val="en-US" w:eastAsia="zh-CN" w:bidi="ar"/>
          <w14:ligatures w14:val="standardContextual"/>
        </w:rPr>
        <w:t>1）设计合格率100%。</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US" w:eastAsia="zh-CN" w:bidi="ar"/>
          <w14:ligatures w14:val="standardContextual"/>
        </w:rPr>
      </w:pPr>
      <w:r>
        <w:rPr>
          <w:rFonts w:hint="eastAsia" w:hAnsi="宋体" w:cs="宋体"/>
          <w:b w:val="0"/>
          <w:bCs w:val="0"/>
          <w:kern w:val="2"/>
          <w:szCs w:val="20"/>
          <w:lang w:val="en-US" w:eastAsia="zh-CN" w:bidi="ar"/>
          <w14:ligatures w14:val="standardContextual"/>
        </w:rPr>
        <w:t>2）采购设备材料合格率100%。</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US" w:eastAsia="zh-CN" w:bidi="ar"/>
          <w14:ligatures w14:val="standardContextual"/>
        </w:rPr>
      </w:pPr>
      <w:r>
        <w:rPr>
          <w:rFonts w:hint="eastAsia" w:hAnsi="宋体" w:cs="宋体"/>
          <w:b w:val="0"/>
          <w:bCs w:val="0"/>
          <w:kern w:val="2"/>
          <w:szCs w:val="20"/>
          <w:lang w:val="en-US" w:eastAsia="zh-CN" w:bidi="ar"/>
          <w14:ligatures w14:val="standardContextual"/>
        </w:rPr>
        <w:t>3）焊接质量一次合格率96%以上。</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US" w:eastAsia="zh-CN" w:bidi="ar"/>
          <w14:ligatures w14:val="standardContextual"/>
        </w:rPr>
      </w:pPr>
      <w:r>
        <w:rPr>
          <w:rFonts w:hint="eastAsia" w:hAnsi="宋体" w:cs="宋体"/>
          <w:b w:val="0"/>
          <w:bCs w:val="0"/>
          <w:kern w:val="2"/>
          <w:szCs w:val="20"/>
          <w:lang w:val="en-US" w:eastAsia="zh-CN" w:bidi="ar"/>
          <w14:ligatures w14:val="standardContextual"/>
        </w:rPr>
        <w:t>4）单位工程质量合格率100%。</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US" w:eastAsia="zh-CN" w:bidi="ar"/>
          <w14:ligatures w14:val="standardContextual"/>
        </w:rPr>
      </w:pPr>
      <w:r>
        <w:rPr>
          <w:rFonts w:hint="eastAsia" w:hAnsi="宋体" w:cs="宋体"/>
          <w:b w:val="0"/>
          <w:bCs w:val="0"/>
          <w:kern w:val="2"/>
          <w:szCs w:val="20"/>
          <w:lang w:val="en-US" w:eastAsia="zh-CN" w:bidi="ar"/>
          <w14:ligatures w14:val="standardContextual"/>
        </w:rPr>
        <w:t>5）重大及以上质量事故为零。</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US" w:eastAsia="zh-CN" w:bidi="ar"/>
          <w14:ligatures w14:val="standardContextual"/>
        </w:rPr>
      </w:pPr>
      <w:r>
        <w:rPr>
          <w:rFonts w:hint="eastAsia" w:hAnsi="宋体" w:cs="宋体"/>
          <w:b w:val="0"/>
          <w:bCs w:val="0"/>
          <w:kern w:val="2"/>
          <w:szCs w:val="20"/>
          <w:lang w:val="en-US" w:eastAsia="zh-CN" w:bidi="ar"/>
          <w14:ligatures w14:val="standardContextual"/>
        </w:rPr>
        <w:t>6）安装工程投料试车一次成功且达到长周期运行的要求。</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US" w:eastAsia="zh-CN" w:bidi="ar"/>
          <w14:ligatures w14:val="standardContextual"/>
        </w:rPr>
      </w:pPr>
      <w:r>
        <w:rPr>
          <w:rFonts w:hint="eastAsia" w:hAnsi="宋体" w:cs="宋体"/>
          <w:b w:val="0"/>
          <w:bCs w:val="0"/>
          <w:kern w:val="2"/>
          <w:szCs w:val="20"/>
          <w:lang w:val="en-US" w:eastAsia="zh-CN" w:bidi="ar"/>
          <w14:ligatures w14:val="standardContextual"/>
        </w:rPr>
        <w:t>7）工程质量保修按照中华人民共和国建设部2000年80号令规定对本工程进行保修。</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US" w:eastAsia="zh-CN" w:bidi="ar"/>
          <w14:ligatures w14:val="standardContextual"/>
        </w:rPr>
      </w:pPr>
      <w:r>
        <w:rPr>
          <w:rFonts w:hint="eastAsia" w:hAnsi="宋体" w:cs="宋体"/>
          <w:b w:val="0"/>
          <w:bCs w:val="0"/>
          <w:kern w:val="2"/>
          <w:szCs w:val="20"/>
          <w:lang w:val="en-US" w:eastAsia="zh-CN" w:bidi="ar"/>
          <w14:ligatures w14:val="standardContextual"/>
        </w:rPr>
        <w:t>12.1.2采购控制</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GB" w:eastAsia="zh-CN" w:bidi="ar"/>
          <w14:ligatures w14:val="standardContextual"/>
        </w:rPr>
      </w:pPr>
      <w:r>
        <w:rPr>
          <w:rFonts w:hint="eastAsia" w:hAnsi="宋体" w:cs="宋体"/>
          <w:b w:val="0"/>
          <w:bCs w:val="0"/>
          <w:kern w:val="2"/>
          <w:szCs w:val="20"/>
          <w:lang w:val="en-US" w:eastAsia="zh-CN" w:bidi="ar"/>
          <w14:ligatures w14:val="standardContextual"/>
        </w:rPr>
        <w:t>对关键设备、材料投标人应首先对供货商进行资格预审，通过资格审查合格的供货商名单应在采购发标前送业主审批。</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US" w:eastAsia="zh-CN" w:bidi="ar"/>
          <w14:ligatures w14:val="standardContextual"/>
        </w:rPr>
      </w:pPr>
      <w:r>
        <w:rPr>
          <w:rFonts w:hint="eastAsia" w:hAnsi="宋体" w:cs="宋体"/>
          <w:b w:val="0"/>
          <w:bCs w:val="0"/>
          <w:kern w:val="2"/>
          <w:szCs w:val="20"/>
          <w:lang w:val="en-US" w:eastAsia="zh-CN" w:bidi="ar"/>
          <w14:ligatures w14:val="standardContextual"/>
        </w:rPr>
        <w:t>12.1.3材料控制</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US" w:eastAsia="zh-CN" w:bidi="ar"/>
          <w14:ligatures w14:val="standardContextual"/>
        </w:rPr>
      </w:pPr>
      <w:r>
        <w:rPr>
          <w:rFonts w:hint="eastAsia" w:hAnsi="宋体" w:cs="宋体"/>
          <w:b w:val="0"/>
          <w:bCs w:val="0"/>
          <w:kern w:val="2"/>
          <w:szCs w:val="20"/>
          <w:lang w:val="en-US" w:eastAsia="zh-CN" w:bidi="ar"/>
          <w14:ligatures w14:val="standardContextual"/>
        </w:rPr>
        <w:t>投标人应对所采购材料、设备进行到货检验，以保证到货材料和设备符合订单文件的相关规定。投标人应在到货后及时完成到货验收检查，并填写相应的验收报告或不合格项目报告。</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US" w:eastAsia="zh-CN" w:bidi="ar"/>
          <w14:ligatures w14:val="standardContextual"/>
        </w:rPr>
      </w:pPr>
      <w:r>
        <w:rPr>
          <w:rFonts w:hint="eastAsia" w:hAnsi="宋体" w:cs="宋体"/>
          <w:b w:val="0"/>
          <w:bCs w:val="0"/>
          <w:kern w:val="2"/>
          <w:szCs w:val="20"/>
          <w:lang w:val="en-US" w:eastAsia="zh-CN" w:bidi="ar"/>
          <w14:ligatures w14:val="standardContextual"/>
        </w:rPr>
        <w:t>12.1.4施工控制</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US" w:eastAsia="zh-CN" w:bidi="ar"/>
          <w14:ligatures w14:val="standardContextual"/>
        </w:rPr>
      </w:pPr>
      <w:r>
        <w:rPr>
          <w:rFonts w:hint="eastAsia" w:hAnsi="宋体" w:cs="宋体"/>
          <w:b w:val="0"/>
          <w:bCs w:val="0"/>
          <w:kern w:val="2"/>
          <w:szCs w:val="20"/>
          <w:lang w:val="en-US" w:eastAsia="zh-CN" w:bidi="ar"/>
          <w14:ligatures w14:val="standardContextual"/>
        </w:rPr>
        <w:t>投标人应根据项目特性制定并执行施工安装计划、技术方案及相应的控制程序和操作方法，包括对施工分包商资格及能力的评审、评定；过程控制、质量控制、材料控制、记录控制和其它施工活动，以保证工程建设质量满足国家工程建设强制性标准及合同规定的要求。</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US" w:eastAsia="zh-CN" w:bidi="ar"/>
          <w14:ligatures w14:val="standardContextual"/>
        </w:rPr>
      </w:pPr>
      <w:r>
        <w:rPr>
          <w:rFonts w:hint="eastAsia" w:hAnsi="宋体" w:cs="宋体"/>
          <w:b w:val="0"/>
          <w:bCs w:val="0"/>
          <w:kern w:val="2"/>
          <w:szCs w:val="20"/>
          <w:lang w:val="en-US" w:eastAsia="zh-CN" w:bidi="ar"/>
          <w14:ligatures w14:val="standardContextual"/>
        </w:rPr>
        <w:t>要求投标人的所有特殊工种均需持有国家安全管理部分办法的有效证件。</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US" w:eastAsia="zh-CN" w:bidi="ar"/>
          <w14:ligatures w14:val="standardContextual"/>
        </w:rPr>
      </w:pPr>
      <w:r>
        <w:rPr>
          <w:rFonts w:hint="eastAsia" w:hAnsi="宋体" w:cs="宋体"/>
          <w:b w:val="0"/>
          <w:bCs w:val="0"/>
          <w:kern w:val="2"/>
          <w:szCs w:val="20"/>
          <w:lang w:val="en-US" w:eastAsia="zh-CN" w:bidi="ar"/>
          <w14:ligatures w14:val="standardContextual"/>
        </w:rPr>
        <w:t>12.1.5检验和试验控制</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US" w:eastAsia="zh-CN" w:bidi="ar"/>
          <w14:ligatures w14:val="standardContextual"/>
        </w:rPr>
      </w:pPr>
      <w:r>
        <w:rPr>
          <w:rFonts w:hint="eastAsia" w:hAnsi="宋体" w:cs="宋体"/>
          <w:b w:val="0"/>
          <w:bCs w:val="0"/>
          <w:kern w:val="2"/>
          <w:szCs w:val="20"/>
          <w:lang w:val="en-US" w:eastAsia="zh-CN" w:bidi="ar"/>
          <w14:ligatures w14:val="standardContextual"/>
        </w:rPr>
        <w:t>详见8工作范围第8.4条。</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US" w:eastAsia="zh-CN" w:bidi="ar"/>
          <w14:ligatures w14:val="standardContextual"/>
        </w:rPr>
      </w:pPr>
      <w:r>
        <w:rPr>
          <w:rFonts w:hint="eastAsia" w:hAnsi="宋体" w:cs="宋体"/>
          <w:b w:val="0"/>
          <w:bCs w:val="0"/>
          <w:kern w:val="2"/>
          <w:szCs w:val="20"/>
          <w:lang w:val="en-US" w:eastAsia="zh-CN" w:bidi="ar"/>
          <w14:ligatures w14:val="standardContextual"/>
        </w:rPr>
        <w:t>12.1.6分包控制</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US" w:eastAsia="zh-CN" w:bidi="ar"/>
          <w14:ligatures w14:val="standardContextual"/>
        </w:rPr>
      </w:pPr>
      <w:r>
        <w:rPr>
          <w:rFonts w:hint="eastAsia" w:hAnsi="宋体" w:cs="宋体"/>
          <w:b w:val="0"/>
          <w:bCs w:val="0"/>
          <w:kern w:val="2"/>
          <w:szCs w:val="20"/>
          <w:lang w:val="en-US" w:eastAsia="zh-CN" w:bidi="ar"/>
          <w14:ligatures w14:val="standardContextual"/>
        </w:rPr>
        <w:t>投标人应在项目工作分包前获得业主的批准。业主将要求投标人提供分包商在分包资质等证明文件。必要时业主将要求到分包商工厂/场地进行现场调查和审核，投标人应为此提供协调和服务。</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US" w:eastAsia="zh-CN" w:bidi="ar"/>
          <w14:ligatures w14:val="standardContextual"/>
        </w:rPr>
      </w:pPr>
      <w:r>
        <w:rPr>
          <w:rFonts w:hint="eastAsia" w:hAnsi="宋体" w:cs="宋体"/>
          <w:b w:val="0"/>
          <w:bCs w:val="0"/>
          <w:kern w:val="2"/>
          <w:szCs w:val="20"/>
          <w:lang w:val="en-US" w:eastAsia="zh-CN" w:bidi="ar"/>
          <w14:ligatures w14:val="standardContextual"/>
        </w:rPr>
        <w:t>12.1.7投标人人员</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GB" w:eastAsia="zh-CN" w:bidi="ar"/>
          <w14:ligatures w14:val="standardContextual"/>
        </w:rPr>
      </w:pPr>
      <w:r>
        <w:rPr>
          <w:rFonts w:hint="eastAsia" w:hAnsi="宋体" w:cs="宋体"/>
          <w:b w:val="0"/>
          <w:bCs w:val="0"/>
          <w:kern w:val="2"/>
          <w:szCs w:val="20"/>
          <w:lang w:val="en-US" w:eastAsia="zh-CN" w:bidi="ar"/>
          <w14:ligatures w14:val="standardContextual"/>
        </w:rPr>
        <w:t>投标人应安排具有相应资格、技能熟练、经验丰富、足够的工程专职人员参加本项目工作。</w:t>
      </w:r>
    </w:p>
    <w:p>
      <w:pPr>
        <w:pStyle w:val="44"/>
        <w:widowControl w:val="0"/>
        <w:spacing w:before="0" w:beforeAutospacing="0" w:after="0" w:afterAutospacing="0" w:line="500" w:lineRule="exact"/>
        <w:ind w:firstLine="482" w:firstLineChars="200"/>
        <w:jc w:val="both"/>
        <w:rPr>
          <w:rFonts w:hint="eastAsia" w:hAnsi="宋体" w:cs="宋体"/>
          <w:b/>
          <w:bCs/>
          <w:kern w:val="2"/>
          <w:szCs w:val="20"/>
          <w:lang w:val="en-US" w:eastAsia="zh-CN" w:bidi="ar"/>
          <w14:ligatures w14:val="standardContextual"/>
        </w:rPr>
      </w:pPr>
      <w:r>
        <w:rPr>
          <w:rFonts w:hint="eastAsia" w:hAnsi="宋体" w:cs="宋体"/>
          <w:b/>
          <w:bCs/>
          <w:kern w:val="2"/>
          <w:szCs w:val="20"/>
          <w:lang w:val="en-US" w:eastAsia="zh-CN" w:bidi="ar"/>
          <w14:ligatures w14:val="standardContextual"/>
        </w:rPr>
        <w:t>12.2健康、安全和环境管理</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US" w:eastAsia="zh-CN" w:bidi="ar"/>
          <w14:ligatures w14:val="standardContextual"/>
        </w:rPr>
      </w:pPr>
      <w:r>
        <w:rPr>
          <w:rFonts w:hint="eastAsia" w:hAnsi="宋体" w:cs="宋体"/>
          <w:b w:val="0"/>
          <w:bCs w:val="0"/>
          <w:kern w:val="2"/>
          <w:szCs w:val="20"/>
          <w:lang w:val="en-US" w:eastAsia="zh-CN" w:bidi="ar"/>
          <w14:ligatures w14:val="standardContextual"/>
        </w:rPr>
        <w:t>12.2.1定义和简写</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GB" w:eastAsia="zh-CN" w:bidi="ar"/>
          <w14:ligatures w14:val="standardContextual"/>
        </w:rPr>
      </w:pPr>
      <w:r>
        <w:rPr>
          <w:rFonts w:hint="eastAsia" w:hAnsi="宋体" w:cs="宋体"/>
          <w:b w:val="0"/>
          <w:bCs w:val="0"/>
          <w:kern w:val="2"/>
          <w:szCs w:val="20"/>
          <w:lang w:val="en-US" w:eastAsia="zh-CN" w:bidi="ar"/>
          <w14:ligatures w14:val="standardContextual"/>
        </w:rPr>
        <w:t>1）</w:t>
      </w:r>
      <w:r>
        <w:rPr>
          <w:rFonts w:hint="eastAsia" w:hAnsi="宋体" w:cs="宋体"/>
          <w:b w:val="0"/>
          <w:bCs w:val="0"/>
          <w:kern w:val="2"/>
          <w:szCs w:val="20"/>
          <w:lang w:val="en-GB" w:eastAsia="zh-CN" w:bidi="ar"/>
          <w14:ligatures w14:val="standardContextual"/>
        </w:rPr>
        <w:t>设计</w:t>
      </w:r>
      <w:r>
        <w:rPr>
          <w:rFonts w:hint="eastAsia" w:hAnsi="宋体" w:cs="宋体"/>
          <w:b w:val="0"/>
          <w:bCs w:val="0"/>
          <w:kern w:val="2"/>
          <w:szCs w:val="20"/>
          <w:lang w:val="en-US" w:eastAsia="zh-CN" w:bidi="ar"/>
          <w14:ligatures w14:val="standardContextual"/>
        </w:rPr>
        <w:t>安全</w:t>
      </w:r>
      <w:r>
        <w:rPr>
          <w:rFonts w:hint="eastAsia" w:hAnsi="宋体" w:cs="宋体"/>
          <w:b w:val="0"/>
          <w:bCs w:val="0"/>
          <w:kern w:val="2"/>
          <w:szCs w:val="20"/>
          <w:lang w:val="en-GB" w:eastAsia="zh-CN" w:bidi="ar"/>
          <w14:ligatures w14:val="standardContextual"/>
        </w:rPr>
        <w:t>：在设计中实施</w:t>
      </w:r>
      <w:r>
        <w:rPr>
          <w:rFonts w:hint="eastAsia" w:hAnsi="宋体" w:cs="宋体"/>
          <w:b w:val="0"/>
          <w:bCs w:val="0"/>
          <w:kern w:val="2"/>
          <w:szCs w:val="20"/>
          <w:lang w:val="en-US" w:eastAsia="zh-CN" w:bidi="ar"/>
          <w14:ligatures w14:val="standardContextual"/>
        </w:rPr>
        <w:t>安全生产</w:t>
      </w:r>
      <w:r>
        <w:rPr>
          <w:rFonts w:hint="eastAsia" w:hAnsi="宋体" w:cs="宋体"/>
          <w:b w:val="0"/>
          <w:bCs w:val="0"/>
          <w:kern w:val="2"/>
          <w:szCs w:val="20"/>
          <w:lang w:val="en-GB" w:eastAsia="zh-CN" w:bidi="ar"/>
          <w14:ligatures w14:val="standardContextual"/>
        </w:rPr>
        <w:t>管理体系，为设计满足</w:t>
      </w:r>
      <w:r>
        <w:rPr>
          <w:rFonts w:hint="eastAsia" w:hAnsi="宋体" w:cs="宋体"/>
          <w:b w:val="0"/>
          <w:bCs w:val="0"/>
          <w:kern w:val="2"/>
          <w:szCs w:val="20"/>
          <w:lang w:val="en-US" w:eastAsia="zh-CN" w:bidi="ar"/>
          <w14:ligatures w14:val="standardContextual"/>
        </w:rPr>
        <w:t>安全生产</w:t>
      </w:r>
      <w:r>
        <w:rPr>
          <w:rFonts w:hint="eastAsia" w:hAnsi="宋体" w:cs="宋体"/>
          <w:b w:val="0"/>
          <w:bCs w:val="0"/>
          <w:kern w:val="2"/>
          <w:szCs w:val="20"/>
          <w:lang w:val="en-GB" w:eastAsia="zh-CN" w:bidi="ar"/>
          <w14:ligatures w14:val="standardContextual"/>
        </w:rPr>
        <w:t>方面的需要提供依据和标准，以确保其设计能满足装置的安全操作和维护，并能有效的防止环境污染；</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GB" w:eastAsia="zh-CN" w:bidi="ar"/>
          <w14:ligatures w14:val="standardContextual"/>
        </w:rPr>
      </w:pPr>
      <w:r>
        <w:rPr>
          <w:rFonts w:hint="eastAsia" w:hAnsi="宋体" w:cs="宋体"/>
          <w:b w:val="0"/>
          <w:bCs w:val="0"/>
          <w:kern w:val="2"/>
          <w:szCs w:val="20"/>
          <w:lang w:val="en-US" w:eastAsia="zh-CN" w:bidi="ar"/>
          <w14:ligatures w14:val="standardContextual"/>
        </w:rPr>
        <w:t>2）</w:t>
      </w:r>
      <w:r>
        <w:rPr>
          <w:rFonts w:hint="eastAsia" w:hAnsi="宋体" w:cs="宋体"/>
          <w:b w:val="0"/>
          <w:bCs w:val="0"/>
          <w:kern w:val="2"/>
          <w:szCs w:val="20"/>
          <w:lang w:val="en-GB" w:eastAsia="zh-CN" w:bidi="ar"/>
          <w14:ligatures w14:val="standardContextual"/>
        </w:rPr>
        <w:t>施工</w:t>
      </w:r>
      <w:r>
        <w:rPr>
          <w:rFonts w:hint="eastAsia" w:hAnsi="宋体" w:cs="宋体"/>
          <w:b w:val="0"/>
          <w:bCs w:val="0"/>
          <w:kern w:val="2"/>
          <w:szCs w:val="20"/>
          <w:lang w:val="en-US" w:eastAsia="zh-CN" w:bidi="ar"/>
          <w14:ligatures w14:val="standardContextual"/>
        </w:rPr>
        <w:t>安全</w:t>
      </w:r>
      <w:r>
        <w:rPr>
          <w:rFonts w:hint="eastAsia" w:hAnsi="宋体" w:cs="宋体"/>
          <w:b w:val="0"/>
          <w:bCs w:val="0"/>
          <w:kern w:val="2"/>
          <w:szCs w:val="20"/>
          <w:lang w:val="en-GB" w:eastAsia="zh-CN" w:bidi="ar"/>
          <w14:ligatures w14:val="standardContextual"/>
        </w:rPr>
        <w:t>：在施工中实施</w:t>
      </w:r>
      <w:r>
        <w:rPr>
          <w:rFonts w:hint="eastAsia" w:hAnsi="宋体" w:cs="宋体"/>
          <w:b w:val="0"/>
          <w:bCs w:val="0"/>
          <w:kern w:val="2"/>
          <w:szCs w:val="20"/>
          <w:lang w:val="en-US" w:eastAsia="zh-CN" w:bidi="ar"/>
          <w14:ligatures w14:val="standardContextual"/>
        </w:rPr>
        <w:t>安全生产</w:t>
      </w:r>
      <w:r>
        <w:rPr>
          <w:rFonts w:hint="eastAsia" w:hAnsi="宋体" w:cs="宋体"/>
          <w:b w:val="0"/>
          <w:bCs w:val="0"/>
          <w:kern w:val="2"/>
          <w:szCs w:val="20"/>
          <w:lang w:val="en-GB" w:eastAsia="zh-CN" w:bidi="ar"/>
          <w14:ligatures w14:val="standardContextual"/>
        </w:rPr>
        <w:t>管理体系，为施工过程满足</w:t>
      </w:r>
      <w:r>
        <w:rPr>
          <w:rFonts w:hint="eastAsia" w:hAnsi="宋体" w:cs="宋体"/>
          <w:b w:val="0"/>
          <w:bCs w:val="0"/>
          <w:kern w:val="2"/>
          <w:szCs w:val="20"/>
          <w:lang w:val="en-US" w:eastAsia="zh-CN" w:bidi="ar"/>
          <w14:ligatures w14:val="standardContextual"/>
        </w:rPr>
        <w:t>安全生产</w:t>
      </w:r>
      <w:r>
        <w:rPr>
          <w:rFonts w:hint="eastAsia" w:hAnsi="宋体" w:cs="宋体"/>
          <w:b w:val="0"/>
          <w:bCs w:val="0"/>
          <w:kern w:val="2"/>
          <w:szCs w:val="20"/>
          <w:lang w:val="en-GB" w:eastAsia="zh-CN" w:bidi="ar"/>
          <w14:ligatures w14:val="standardContextual"/>
        </w:rPr>
        <w:t>方面的要求提供依据和标准，以确保施工过程的安全和环境保护。</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US" w:eastAsia="zh-CN" w:bidi="ar"/>
          <w14:ligatures w14:val="standardContextual"/>
        </w:rPr>
      </w:pPr>
      <w:r>
        <w:rPr>
          <w:rFonts w:hint="eastAsia" w:hAnsi="宋体" w:cs="宋体"/>
          <w:b w:val="0"/>
          <w:bCs w:val="0"/>
          <w:kern w:val="2"/>
          <w:szCs w:val="20"/>
          <w:lang w:val="en-US" w:eastAsia="zh-CN" w:bidi="ar"/>
          <w14:ligatures w14:val="standardContextual"/>
        </w:rPr>
        <w:t>12.2.2总体要求</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US" w:eastAsia="zh-CN" w:bidi="ar"/>
          <w14:ligatures w14:val="standardContextual"/>
        </w:rPr>
      </w:pPr>
      <w:r>
        <w:rPr>
          <w:rFonts w:hint="eastAsia" w:hAnsi="宋体" w:cs="宋体"/>
          <w:b w:val="0"/>
          <w:bCs w:val="0"/>
          <w:kern w:val="2"/>
          <w:szCs w:val="20"/>
          <w:lang w:val="en-GB" w:eastAsia="zh-CN" w:bidi="ar"/>
          <w14:ligatures w14:val="standardContextual"/>
        </w:rPr>
        <w:t>业主将按照高水平的</w:t>
      </w:r>
      <w:r>
        <w:rPr>
          <w:rFonts w:hint="eastAsia" w:hAnsi="宋体" w:cs="宋体"/>
          <w:b w:val="0"/>
          <w:bCs w:val="0"/>
          <w:kern w:val="2"/>
          <w:szCs w:val="20"/>
          <w:lang w:val="en-US" w:eastAsia="zh-CN" w:bidi="ar"/>
          <w14:ligatures w14:val="standardContextual"/>
        </w:rPr>
        <w:t>安全生产</w:t>
      </w:r>
      <w:r>
        <w:rPr>
          <w:rFonts w:hint="eastAsia" w:hAnsi="宋体" w:cs="宋体"/>
          <w:b w:val="0"/>
          <w:bCs w:val="0"/>
          <w:kern w:val="2"/>
          <w:szCs w:val="20"/>
          <w:lang w:val="en-GB" w:eastAsia="zh-CN" w:bidi="ar"/>
          <w14:ligatures w14:val="standardContextual"/>
        </w:rPr>
        <w:t>标准建造项目装置。把</w:t>
      </w:r>
      <w:r>
        <w:rPr>
          <w:rFonts w:hint="eastAsia" w:hAnsi="宋体" w:cs="宋体"/>
          <w:b w:val="0"/>
          <w:bCs w:val="0"/>
          <w:kern w:val="2"/>
          <w:szCs w:val="20"/>
          <w:lang w:val="en-US" w:eastAsia="zh-CN" w:bidi="ar"/>
          <w14:ligatures w14:val="standardContextual"/>
        </w:rPr>
        <w:t>安全生产</w:t>
      </w:r>
      <w:r>
        <w:rPr>
          <w:rFonts w:hint="eastAsia" w:hAnsi="宋体" w:cs="宋体"/>
          <w:b w:val="0"/>
          <w:bCs w:val="0"/>
          <w:kern w:val="2"/>
          <w:szCs w:val="20"/>
          <w:lang w:val="en-GB" w:eastAsia="zh-CN" w:bidi="ar"/>
          <w14:ligatures w14:val="standardContextual"/>
        </w:rPr>
        <w:t>管理作为项目管理的重要组成部分。业主建立了完善的</w:t>
      </w:r>
      <w:r>
        <w:rPr>
          <w:rFonts w:hint="eastAsia" w:hAnsi="宋体" w:cs="宋体"/>
          <w:b w:val="0"/>
          <w:bCs w:val="0"/>
          <w:kern w:val="2"/>
          <w:szCs w:val="20"/>
          <w:lang w:val="en-US" w:eastAsia="zh-CN" w:bidi="ar"/>
          <w14:ligatures w14:val="standardContextual"/>
        </w:rPr>
        <w:t>安全生产</w:t>
      </w:r>
      <w:r>
        <w:rPr>
          <w:rFonts w:hint="eastAsia" w:hAnsi="宋体" w:cs="宋体"/>
          <w:b w:val="0"/>
          <w:bCs w:val="0"/>
          <w:kern w:val="2"/>
          <w:szCs w:val="20"/>
          <w:lang w:val="en-GB" w:eastAsia="zh-CN" w:bidi="ar"/>
          <w14:ligatures w14:val="standardContextual"/>
        </w:rPr>
        <w:t>管理体系来审核和支持投标人遵守业主的</w:t>
      </w:r>
      <w:r>
        <w:rPr>
          <w:rFonts w:hint="eastAsia" w:hAnsi="宋体" w:cs="宋体"/>
          <w:b w:val="0"/>
          <w:bCs w:val="0"/>
          <w:kern w:val="2"/>
          <w:szCs w:val="20"/>
          <w:lang w:val="en-US" w:eastAsia="zh-CN" w:bidi="ar"/>
          <w14:ligatures w14:val="standardContextual"/>
        </w:rPr>
        <w:t>安全生产</w:t>
      </w:r>
      <w:r>
        <w:rPr>
          <w:rFonts w:hint="eastAsia" w:hAnsi="宋体" w:cs="宋体"/>
          <w:b w:val="0"/>
          <w:bCs w:val="0"/>
          <w:kern w:val="2"/>
          <w:szCs w:val="20"/>
          <w:lang w:val="en-GB" w:eastAsia="zh-CN" w:bidi="ar"/>
          <w14:ligatures w14:val="standardContextual"/>
        </w:rPr>
        <w:t>准则。</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US" w:eastAsia="zh-CN" w:bidi="ar"/>
          <w14:ligatures w14:val="standardContextual"/>
        </w:rPr>
      </w:pPr>
      <w:r>
        <w:rPr>
          <w:rFonts w:hint="eastAsia" w:hAnsi="宋体" w:cs="宋体"/>
          <w:b w:val="0"/>
          <w:bCs w:val="0"/>
          <w:kern w:val="2"/>
          <w:szCs w:val="20"/>
          <w:lang w:val="en-US" w:eastAsia="zh-CN" w:bidi="ar"/>
          <w14:ligatures w14:val="standardContextual"/>
        </w:rPr>
        <w:t>1）</w:t>
      </w:r>
      <w:r>
        <w:rPr>
          <w:rFonts w:hint="eastAsia" w:hAnsi="宋体" w:cs="宋体"/>
          <w:b w:val="0"/>
          <w:bCs w:val="0"/>
          <w:kern w:val="2"/>
          <w:szCs w:val="20"/>
          <w:lang w:val="en-GB" w:eastAsia="zh-CN" w:bidi="ar"/>
          <w14:ligatures w14:val="standardContextual"/>
        </w:rPr>
        <w:t>投标人应确保所有的活动、人员和过程完全符合适用的法律、法规、规定和业主的要求。投标人应根据本项目的实际情况进行系统的</w:t>
      </w:r>
      <w:r>
        <w:rPr>
          <w:rFonts w:hint="eastAsia" w:hAnsi="宋体" w:cs="宋体"/>
          <w:b w:val="0"/>
          <w:bCs w:val="0"/>
          <w:kern w:val="2"/>
          <w:szCs w:val="20"/>
          <w:lang w:val="en-US" w:eastAsia="zh-CN" w:bidi="ar"/>
          <w14:ligatures w14:val="standardContextual"/>
        </w:rPr>
        <w:t>安全生产</w:t>
      </w:r>
      <w:r>
        <w:rPr>
          <w:rFonts w:hint="eastAsia" w:hAnsi="宋体" w:cs="宋体"/>
          <w:b w:val="0"/>
          <w:bCs w:val="0"/>
          <w:kern w:val="2"/>
          <w:szCs w:val="20"/>
          <w:lang w:val="en-GB" w:eastAsia="zh-CN" w:bidi="ar"/>
          <w14:ligatures w14:val="standardContextual"/>
        </w:rPr>
        <w:t>策划，识别和评价项目建设过程中的危害因素，制定事故预防措施，配置满足</w:t>
      </w:r>
      <w:r>
        <w:rPr>
          <w:rFonts w:hint="eastAsia" w:hAnsi="宋体" w:cs="宋体"/>
          <w:b w:val="0"/>
          <w:bCs w:val="0"/>
          <w:kern w:val="2"/>
          <w:szCs w:val="20"/>
          <w:lang w:val="en-US" w:eastAsia="zh-CN" w:bidi="ar"/>
          <w14:ligatures w14:val="standardContextual"/>
        </w:rPr>
        <w:t>安全生产</w:t>
      </w:r>
      <w:r>
        <w:rPr>
          <w:rFonts w:hint="eastAsia" w:hAnsi="宋体" w:cs="宋体"/>
          <w:b w:val="0"/>
          <w:bCs w:val="0"/>
          <w:kern w:val="2"/>
          <w:szCs w:val="20"/>
          <w:lang w:val="en-GB" w:eastAsia="zh-CN" w:bidi="ar"/>
          <w14:ligatures w14:val="standardContextual"/>
        </w:rPr>
        <w:t>管理运作的人、财、物等资源，编制项目</w:t>
      </w:r>
      <w:r>
        <w:rPr>
          <w:rFonts w:hint="eastAsia" w:hAnsi="宋体" w:cs="宋体"/>
          <w:b w:val="0"/>
          <w:bCs w:val="0"/>
          <w:kern w:val="2"/>
          <w:szCs w:val="20"/>
          <w:lang w:val="en-US" w:eastAsia="zh-CN" w:bidi="ar"/>
          <w14:ligatures w14:val="standardContextual"/>
        </w:rPr>
        <w:t>安全生产</w:t>
      </w:r>
      <w:r>
        <w:rPr>
          <w:rFonts w:hint="eastAsia" w:hAnsi="宋体" w:cs="宋体"/>
          <w:b w:val="0"/>
          <w:bCs w:val="0"/>
          <w:kern w:val="2"/>
          <w:szCs w:val="20"/>
          <w:lang w:val="en-GB" w:eastAsia="zh-CN" w:bidi="ar"/>
          <w14:ligatures w14:val="standardContextual"/>
        </w:rPr>
        <w:t>实施程序，以确保项目目标的实现。</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GB" w:eastAsia="en-US" w:bidi="ar"/>
          <w14:ligatures w14:val="standardContextual"/>
        </w:rPr>
      </w:pPr>
      <w:r>
        <w:rPr>
          <w:rFonts w:hint="eastAsia" w:hAnsi="宋体" w:cs="宋体"/>
          <w:b w:val="0"/>
          <w:bCs w:val="0"/>
          <w:kern w:val="2"/>
          <w:szCs w:val="20"/>
          <w:lang w:val="en-US" w:eastAsia="zh-CN" w:bidi="ar"/>
          <w14:ligatures w14:val="standardContextual"/>
        </w:rPr>
        <w:t>2）投标人应在本项目中建立和实施安全生产管理体系。</w:t>
      </w:r>
      <w:r>
        <w:rPr>
          <w:rFonts w:hint="eastAsia" w:hAnsi="宋体" w:cs="宋体"/>
          <w:b w:val="0"/>
          <w:bCs w:val="0"/>
          <w:kern w:val="2"/>
          <w:szCs w:val="20"/>
          <w:lang w:val="en-US" w:eastAsia="en-US" w:bidi="ar"/>
          <w14:ligatures w14:val="standardContextual"/>
        </w:rPr>
        <w:t>内容包括但不限于：</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GB" w:eastAsia="zh-CN" w:bidi="ar"/>
          <w14:ligatures w14:val="standardContextual"/>
        </w:rPr>
      </w:pPr>
      <w:r>
        <w:rPr>
          <w:rFonts w:hint="eastAsia" w:hAnsi="宋体" w:cs="宋体"/>
          <w:b w:val="0"/>
          <w:bCs w:val="0"/>
          <w:kern w:val="2"/>
          <w:szCs w:val="20"/>
          <w:lang w:val="en-US" w:eastAsia="zh-CN" w:bidi="ar"/>
          <w14:ligatures w14:val="standardContextual"/>
        </w:rPr>
        <w:t>（1）</w:t>
      </w:r>
      <w:r>
        <w:rPr>
          <w:rFonts w:hint="eastAsia" w:hAnsi="宋体" w:cs="宋体"/>
          <w:b w:val="0"/>
          <w:bCs w:val="0"/>
          <w:kern w:val="2"/>
          <w:szCs w:val="20"/>
          <w:lang w:val="en-GB" w:eastAsia="zh-CN" w:bidi="ar"/>
          <w14:ligatures w14:val="standardContextual"/>
        </w:rPr>
        <w:t>方针目标</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GB" w:eastAsia="zh-CN" w:bidi="ar"/>
          <w14:ligatures w14:val="standardContextual"/>
        </w:rPr>
      </w:pPr>
      <w:r>
        <w:rPr>
          <w:rFonts w:hint="eastAsia" w:hAnsi="宋体" w:cs="宋体"/>
          <w:b w:val="0"/>
          <w:bCs w:val="0"/>
          <w:kern w:val="2"/>
          <w:szCs w:val="20"/>
          <w:lang w:val="en-US" w:eastAsia="zh-CN" w:bidi="ar"/>
          <w14:ligatures w14:val="standardContextual"/>
        </w:rPr>
        <w:t>（2）</w:t>
      </w:r>
      <w:r>
        <w:rPr>
          <w:rFonts w:hint="eastAsia" w:hAnsi="宋体" w:cs="宋体"/>
          <w:b w:val="0"/>
          <w:bCs w:val="0"/>
          <w:kern w:val="2"/>
          <w:szCs w:val="20"/>
          <w:lang w:val="en-GB" w:eastAsia="zh-CN" w:bidi="ar"/>
          <w14:ligatures w14:val="standardContextual"/>
        </w:rPr>
        <w:t>组织机构、职责、资源</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GB" w:eastAsia="zh-CN" w:bidi="ar"/>
          <w14:ligatures w14:val="standardContextual"/>
        </w:rPr>
      </w:pPr>
      <w:r>
        <w:rPr>
          <w:rFonts w:hint="eastAsia" w:hAnsi="宋体" w:cs="宋体"/>
          <w:b w:val="0"/>
          <w:bCs w:val="0"/>
          <w:kern w:val="2"/>
          <w:szCs w:val="20"/>
          <w:lang w:val="en-US" w:eastAsia="zh-CN" w:bidi="ar"/>
          <w14:ligatures w14:val="standardContextual"/>
        </w:rPr>
        <w:t>（3）</w:t>
      </w:r>
      <w:r>
        <w:rPr>
          <w:rFonts w:hint="eastAsia" w:hAnsi="宋体" w:cs="宋体"/>
          <w:b w:val="0"/>
          <w:bCs w:val="0"/>
          <w:kern w:val="2"/>
          <w:szCs w:val="20"/>
          <w:lang w:val="en-GB" w:eastAsia="zh-CN" w:bidi="ar"/>
          <w14:ligatures w14:val="standardContextual"/>
        </w:rPr>
        <w:t>危害和风险管理</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GB" w:eastAsia="zh-CN" w:bidi="ar"/>
          <w14:ligatures w14:val="standardContextual"/>
        </w:rPr>
      </w:pPr>
      <w:r>
        <w:rPr>
          <w:rFonts w:hint="eastAsia" w:hAnsi="宋体" w:cs="宋体"/>
          <w:b w:val="0"/>
          <w:bCs w:val="0"/>
          <w:kern w:val="2"/>
          <w:szCs w:val="20"/>
          <w:lang w:val="en-US" w:eastAsia="zh-CN" w:bidi="ar"/>
          <w14:ligatures w14:val="standardContextual"/>
        </w:rPr>
        <w:t>（4）</w:t>
      </w:r>
      <w:r>
        <w:rPr>
          <w:rFonts w:hint="eastAsia" w:hAnsi="宋体" w:cs="宋体"/>
          <w:b w:val="0"/>
          <w:bCs w:val="0"/>
          <w:kern w:val="2"/>
          <w:szCs w:val="20"/>
          <w:lang w:val="en-GB" w:eastAsia="zh-CN" w:bidi="ar"/>
          <w14:ligatures w14:val="standardContextual"/>
        </w:rPr>
        <w:t>计划和实施</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GB" w:eastAsia="zh-CN" w:bidi="ar"/>
          <w14:ligatures w14:val="standardContextual"/>
        </w:rPr>
      </w:pPr>
      <w:r>
        <w:rPr>
          <w:rFonts w:hint="eastAsia" w:hAnsi="宋体" w:cs="宋体"/>
          <w:b w:val="0"/>
          <w:bCs w:val="0"/>
          <w:kern w:val="2"/>
          <w:szCs w:val="20"/>
          <w:lang w:val="en-US" w:eastAsia="zh-CN" w:bidi="ar"/>
          <w14:ligatures w14:val="standardContextual"/>
        </w:rPr>
        <w:t>（5）</w:t>
      </w:r>
      <w:r>
        <w:rPr>
          <w:rFonts w:hint="eastAsia" w:hAnsi="宋体" w:cs="宋体"/>
          <w:b w:val="0"/>
          <w:bCs w:val="0"/>
          <w:kern w:val="2"/>
          <w:szCs w:val="20"/>
          <w:lang w:val="en-GB" w:eastAsia="zh-CN" w:bidi="ar"/>
          <w14:ligatures w14:val="standardContextual"/>
        </w:rPr>
        <w:t>应急管理</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GB" w:eastAsia="zh-CN" w:bidi="ar"/>
          <w14:ligatures w14:val="standardContextual"/>
        </w:rPr>
      </w:pPr>
      <w:r>
        <w:rPr>
          <w:rFonts w:hint="eastAsia" w:hAnsi="宋体" w:cs="宋体"/>
          <w:b w:val="0"/>
          <w:bCs w:val="0"/>
          <w:kern w:val="2"/>
          <w:szCs w:val="20"/>
          <w:lang w:val="en-US" w:eastAsia="zh-CN" w:bidi="ar"/>
          <w14:ligatures w14:val="standardContextual"/>
        </w:rPr>
        <w:t>（6）</w:t>
      </w:r>
      <w:r>
        <w:rPr>
          <w:rFonts w:hint="eastAsia" w:hAnsi="宋体" w:cs="宋体"/>
          <w:b w:val="0"/>
          <w:bCs w:val="0"/>
          <w:kern w:val="2"/>
          <w:szCs w:val="20"/>
          <w:lang w:val="en-GB" w:eastAsia="zh-CN" w:bidi="ar"/>
          <w14:ligatures w14:val="standardContextual"/>
        </w:rPr>
        <w:t>检查与纠正</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GB" w:eastAsia="zh-CN" w:bidi="ar"/>
          <w14:ligatures w14:val="standardContextual"/>
        </w:rPr>
      </w:pPr>
      <w:r>
        <w:rPr>
          <w:rFonts w:hint="eastAsia" w:hAnsi="宋体" w:cs="宋体"/>
          <w:b w:val="0"/>
          <w:bCs w:val="0"/>
          <w:kern w:val="2"/>
          <w:szCs w:val="20"/>
          <w:lang w:val="en-US" w:eastAsia="zh-CN" w:bidi="ar"/>
          <w14:ligatures w14:val="standardContextual"/>
        </w:rPr>
        <w:t>（7）</w:t>
      </w:r>
      <w:r>
        <w:rPr>
          <w:rFonts w:hint="eastAsia" w:hAnsi="宋体" w:cs="宋体"/>
          <w:b w:val="0"/>
          <w:bCs w:val="0"/>
          <w:kern w:val="2"/>
          <w:szCs w:val="20"/>
          <w:lang w:val="en-GB" w:eastAsia="zh-CN" w:bidi="ar"/>
          <w14:ligatures w14:val="standardContextual"/>
        </w:rPr>
        <w:t>审核、管理评审</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GB" w:eastAsia="zh-CN" w:bidi="ar"/>
          <w14:ligatures w14:val="standardContextual"/>
        </w:rPr>
      </w:pPr>
      <w:r>
        <w:rPr>
          <w:rFonts w:hint="eastAsia" w:hAnsi="宋体" w:cs="宋体"/>
          <w:b w:val="0"/>
          <w:bCs w:val="0"/>
          <w:kern w:val="2"/>
          <w:szCs w:val="20"/>
          <w:lang w:val="en-US" w:eastAsia="zh-CN" w:bidi="ar"/>
          <w14:ligatures w14:val="standardContextual"/>
        </w:rPr>
        <w:t>3）</w:t>
      </w:r>
      <w:r>
        <w:rPr>
          <w:rFonts w:hint="eastAsia" w:hAnsi="宋体" w:cs="宋体"/>
          <w:b w:val="0"/>
          <w:bCs w:val="0"/>
          <w:kern w:val="2"/>
          <w:szCs w:val="20"/>
          <w:lang w:val="en-GB" w:eastAsia="zh-CN" w:bidi="ar"/>
          <w14:ligatures w14:val="standardContextual"/>
        </w:rPr>
        <w:t>在项目的设计、采购、施工和试运行期间投标人都必须遵守：</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GB" w:eastAsia="zh-CN" w:bidi="ar"/>
          <w14:ligatures w14:val="standardContextual"/>
        </w:rPr>
      </w:pPr>
      <w:r>
        <w:rPr>
          <w:rFonts w:hint="eastAsia" w:hAnsi="宋体" w:cs="宋体"/>
          <w:b w:val="0"/>
          <w:bCs w:val="0"/>
          <w:kern w:val="2"/>
          <w:szCs w:val="20"/>
          <w:lang w:val="en-US" w:eastAsia="zh-CN" w:bidi="ar"/>
          <w14:ligatures w14:val="standardContextual"/>
        </w:rPr>
        <w:t>（1）国家</w:t>
      </w:r>
      <w:r>
        <w:rPr>
          <w:rFonts w:hint="eastAsia" w:hAnsi="宋体" w:cs="宋体"/>
          <w:b w:val="0"/>
          <w:bCs w:val="0"/>
          <w:kern w:val="2"/>
          <w:szCs w:val="20"/>
          <w:lang w:val="en-GB" w:eastAsia="zh-CN" w:bidi="ar"/>
          <w14:ligatures w14:val="standardContextual"/>
        </w:rPr>
        <w:t>、内蒙古自治区以及地方的适用于劳动安全卫生与环境保护的法律、法规和标准；</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GB" w:eastAsia="zh-CN" w:bidi="ar"/>
          <w14:ligatures w14:val="standardContextual"/>
        </w:rPr>
      </w:pPr>
      <w:r>
        <w:rPr>
          <w:rFonts w:hint="eastAsia" w:hAnsi="宋体" w:cs="宋体"/>
          <w:b w:val="0"/>
          <w:bCs w:val="0"/>
          <w:kern w:val="2"/>
          <w:szCs w:val="20"/>
          <w:lang w:val="en-US" w:eastAsia="zh-CN" w:bidi="ar"/>
          <w14:ligatures w14:val="standardContextual"/>
        </w:rPr>
        <w:t>（2）</w:t>
      </w:r>
      <w:r>
        <w:rPr>
          <w:rFonts w:hint="eastAsia" w:hAnsi="宋体" w:cs="宋体"/>
          <w:b w:val="0"/>
          <w:bCs w:val="0"/>
          <w:kern w:val="2"/>
          <w:szCs w:val="20"/>
          <w:lang w:val="en-GB" w:eastAsia="zh-CN" w:bidi="ar"/>
          <w14:ligatures w14:val="standardContextual"/>
        </w:rPr>
        <w:t>煤炭行业现行的安全卫生和环境保护规范、标准、规定及业主现场的管理规定；</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GB" w:eastAsia="zh-CN" w:bidi="ar"/>
          <w14:ligatures w14:val="standardContextual"/>
        </w:rPr>
      </w:pPr>
      <w:r>
        <w:rPr>
          <w:rFonts w:hint="eastAsia" w:hAnsi="宋体" w:cs="宋体"/>
          <w:b w:val="0"/>
          <w:bCs w:val="0"/>
          <w:kern w:val="2"/>
          <w:szCs w:val="20"/>
          <w:lang w:val="en-US" w:eastAsia="zh-CN" w:bidi="ar"/>
          <w14:ligatures w14:val="standardContextual"/>
        </w:rPr>
        <w:t>（3）</w:t>
      </w:r>
      <w:r>
        <w:rPr>
          <w:rFonts w:hint="eastAsia" w:hAnsi="宋体" w:cs="宋体"/>
          <w:b w:val="0"/>
          <w:bCs w:val="0"/>
          <w:kern w:val="2"/>
          <w:szCs w:val="20"/>
          <w:lang w:val="en-GB" w:eastAsia="zh-CN" w:bidi="ar"/>
          <w14:ligatures w14:val="standardContextual"/>
        </w:rPr>
        <w:t>满足业主的</w:t>
      </w:r>
      <w:r>
        <w:rPr>
          <w:rFonts w:hint="eastAsia" w:hAnsi="宋体" w:cs="宋体"/>
          <w:b w:val="0"/>
          <w:bCs w:val="0"/>
          <w:kern w:val="2"/>
          <w:szCs w:val="20"/>
          <w:lang w:val="en-US" w:eastAsia="zh-CN" w:bidi="ar"/>
          <w14:ligatures w14:val="standardContextual"/>
        </w:rPr>
        <w:t>安全生产</w:t>
      </w:r>
      <w:r>
        <w:rPr>
          <w:rFonts w:hint="eastAsia" w:hAnsi="宋体" w:cs="宋体"/>
          <w:b w:val="0"/>
          <w:bCs w:val="0"/>
          <w:kern w:val="2"/>
          <w:szCs w:val="20"/>
          <w:lang w:val="en-GB" w:eastAsia="zh-CN" w:bidi="ar"/>
          <w14:ligatures w14:val="standardContextual"/>
        </w:rPr>
        <w:t>方针、目标的要求。</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GB" w:eastAsia="zh-CN" w:bidi="ar"/>
          <w14:ligatures w14:val="standardContextual"/>
        </w:rPr>
      </w:pPr>
      <w:r>
        <w:rPr>
          <w:rFonts w:hint="eastAsia" w:hAnsi="宋体" w:cs="宋体"/>
          <w:b w:val="0"/>
          <w:bCs w:val="0"/>
          <w:kern w:val="2"/>
          <w:szCs w:val="20"/>
          <w:lang w:val="en-US" w:eastAsia="zh-CN" w:bidi="ar"/>
          <w14:ligatures w14:val="standardContextual"/>
        </w:rPr>
        <w:t>4）</w:t>
      </w:r>
      <w:r>
        <w:rPr>
          <w:rFonts w:hint="eastAsia" w:hAnsi="宋体" w:cs="宋体"/>
          <w:b w:val="0"/>
          <w:bCs w:val="0"/>
          <w:kern w:val="2"/>
          <w:szCs w:val="20"/>
          <w:lang w:val="en-GB" w:eastAsia="zh-CN" w:bidi="ar"/>
          <w14:ligatures w14:val="standardContextual"/>
        </w:rPr>
        <w:t xml:space="preserve"> 持续改进</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GB" w:eastAsia="zh-CN" w:bidi="ar"/>
          <w14:ligatures w14:val="standardContextual"/>
        </w:rPr>
      </w:pPr>
      <w:r>
        <w:rPr>
          <w:rFonts w:hint="eastAsia" w:hAnsi="宋体" w:cs="宋体"/>
          <w:b w:val="0"/>
          <w:bCs w:val="0"/>
          <w:kern w:val="2"/>
          <w:szCs w:val="20"/>
          <w:lang w:val="en-GB" w:eastAsia="zh-CN" w:bidi="ar"/>
          <w14:ligatures w14:val="standardContextual"/>
        </w:rPr>
        <w:t>投标人应依据工程进展情况适时调整</w:t>
      </w:r>
      <w:r>
        <w:rPr>
          <w:rFonts w:hint="eastAsia" w:hAnsi="宋体" w:cs="宋体"/>
          <w:b w:val="0"/>
          <w:bCs w:val="0"/>
          <w:kern w:val="2"/>
          <w:szCs w:val="20"/>
          <w:lang w:val="en-US" w:eastAsia="zh-CN" w:bidi="ar"/>
          <w14:ligatures w14:val="standardContextual"/>
        </w:rPr>
        <w:t>安全生产</w:t>
      </w:r>
      <w:r>
        <w:rPr>
          <w:rFonts w:hint="eastAsia" w:hAnsi="宋体" w:cs="宋体"/>
          <w:b w:val="0"/>
          <w:bCs w:val="0"/>
          <w:kern w:val="2"/>
          <w:szCs w:val="20"/>
          <w:lang w:val="en-GB" w:eastAsia="zh-CN" w:bidi="ar"/>
          <w14:ligatures w14:val="standardContextual"/>
        </w:rPr>
        <w:t>计划，应利用</w:t>
      </w:r>
      <w:r>
        <w:rPr>
          <w:rFonts w:hint="eastAsia" w:hAnsi="宋体" w:cs="宋体"/>
          <w:b w:val="0"/>
          <w:bCs w:val="0"/>
          <w:kern w:val="2"/>
          <w:szCs w:val="20"/>
          <w:lang w:val="en-US" w:eastAsia="zh-CN" w:bidi="ar"/>
          <w14:ligatures w14:val="standardContextual"/>
        </w:rPr>
        <w:t>安全生产</w:t>
      </w:r>
      <w:r>
        <w:rPr>
          <w:rFonts w:hint="eastAsia" w:hAnsi="宋体" w:cs="宋体"/>
          <w:b w:val="0"/>
          <w:bCs w:val="0"/>
          <w:kern w:val="2"/>
          <w:szCs w:val="20"/>
          <w:lang w:val="en-GB" w:eastAsia="zh-CN" w:bidi="ar"/>
          <w14:ligatures w14:val="standardContextual"/>
        </w:rPr>
        <w:t>检查来发现工程中的问题，及时进行整改，通过采取纠正/预防措施，实现</w:t>
      </w:r>
      <w:r>
        <w:rPr>
          <w:rFonts w:hint="eastAsia" w:hAnsi="宋体" w:cs="宋体"/>
          <w:b w:val="0"/>
          <w:bCs w:val="0"/>
          <w:kern w:val="2"/>
          <w:szCs w:val="20"/>
          <w:lang w:val="en-US" w:eastAsia="zh-CN" w:bidi="ar"/>
          <w14:ligatures w14:val="standardContextual"/>
        </w:rPr>
        <w:t>安全生产</w:t>
      </w:r>
      <w:r>
        <w:rPr>
          <w:rFonts w:hint="eastAsia" w:hAnsi="宋体" w:cs="宋体"/>
          <w:b w:val="0"/>
          <w:bCs w:val="0"/>
          <w:kern w:val="2"/>
          <w:szCs w:val="20"/>
          <w:lang w:val="en-GB" w:eastAsia="zh-CN" w:bidi="ar"/>
          <w14:ligatures w14:val="standardContextual"/>
        </w:rPr>
        <w:t>工作的持续改进。</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US" w:eastAsia="zh-CN" w:bidi="ar"/>
          <w14:ligatures w14:val="standardContextual"/>
        </w:rPr>
      </w:pPr>
      <w:r>
        <w:rPr>
          <w:rFonts w:hint="eastAsia" w:hAnsi="宋体" w:cs="宋体"/>
          <w:b w:val="0"/>
          <w:bCs w:val="0"/>
          <w:kern w:val="2"/>
          <w:szCs w:val="20"/>
          <w:lang w:val="en-US" w:eastAsia="zh-CN" w:bidi="ar"/>
          <w14:ligatures w14:val="standardContextual"/>
        </w:rPr>
        <w:t>12.2.3业主的安全生产方针和目标</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GB" w:eastAsia="zh-CN" w:bidi="ar"/>
          <w14:ligatures w14:val="standardContextual"/>
        </w:rPr>
      </w:pPr>
      <w:r>
        <w:rPr>
          <w:rFonts w:hint="eastAsia" w:hAnsi="宋体" w:cs="宋体"/>
          <w:b w:val="0"/>
          <w:bCs w:val="0"/>
          <w:kern w:val="2"/>
          <w:szCs w:val="20"/>
          <w:lang w:val="en-US" w:eastAsia="zh-CN" w:bidi="ar"/>
          <w14:ligatures w14:val="standardContextual"/>
        </w:rPr>
        <w:t>1）</w:t>
      </w:r>
      <w:r>
        <w:rPr>
          <w:rFonts w:hint="eastAsia" w:hAnsi="宋体" w:cs="宋体"/>
          <w:b w:val="0"/>
          <w:bCs w:val="0"/>
          <w:kern w:val="2"/>
          <w:szCs w:val="20"/>
          <w:lang w:val="en-GB" w:eastAsia="zh-CN" w:bidi="ar"/>
          <w14:ligatures w14:val="standardContextual"/>
        </w:rPr>
        <w:t>业主将严格遵守对安全、环境、健康的承诺，始终将安全环境和健康的各项工作贯穿于生产活动（包括项目的设计、采购、施工、开车及维护）的全过程，不断提高管理水平，我们将：</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GB" w:eastAsia="zh-CN" w:bidi="ar"/>
          <w14:ligatures w14:val="standardContextual"/>
        </w:rPr>
      </w:pPr>
      <w:r>
        <w:rPr>
          <w:rFonts w:hint="eastAsia" w:hAnsi="宋体" w:cs="宋体"/>
          <w:b w:val="0"/>
          <w:bCs w:val="0"/>
          <w:kern w:val="2"/>
          <w:szCs w:val="20"/>
          <w:lang w:val="en-US" w:eastAsia="zh-CN" w:bidi="ar"/>
          <w14:ligatures w14:val="standardContextual"/>
        </w:rPr>
        <w:t>（1）</w:t>
      </w:r>
      <w:r>
        <w:rPr>
          <w:rFonts w:hint="eastAsia" w:hAnsi="宋体" w:cs="宋体"/>
          <w:b w:val="0"/>
          <w:bCs w:val="0"/>
          <w:kern w:val="2"/>
          <w:szCs w:val="20"/>
          <w:lang w:val="en-GB" w:eastAsia="zh-CN" w:bidi="ar"/>
          <w14:ligatures w14:val="standardContextual"/>
        </w:rPr>
        <w:t>保证最大限度地不发生事故、不损害人身健康、不破坏环境。</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GB" w:eastAsia="zh-CN" w:bidi="ar"/>
          <w14:ligatures w14:val="standardContextual"/>
        </w:rPr>
      </w:pPr>
      <w:r>
        <w:rPr>
          <w:rFonts w:hint="eastAsia" w:hAnsi="宋体" w:cs="宋体"/>
          <w:b w:val="0"/>
          <w:bCs w:val="0"/>
          <w:kern w:val="2"/>
          <w:szCs w:val="20"/>
          <w:lang w:val="en-US" w:eastAsia="zh-CN" w:bidi="ar"/>
          <w14:ligatures w14:val="standardContextual"/>
        </w:rPr>
        <w:t>（2）</w:t>
      </w:r>
      <w:r>
        <w:rPr>
          <w:rFonts w:hint="eastAsia" w:hAnsi="宋体" w:cs="宋体"/>
          <w:b w:val="0"/>
          <w:bCs w:val="0"/>
          <w:kern w:val="2"/>
          <w:szCs w:val="20"/>
          <w:lang w:val="en-GB" w:eastAsia="zh-CN" w:bidi="ar"/>
          <w14:ligatures w14:val="standardContextual"/>
        </w:rPr>
        <w:t>保证不断地改进对能源及自然资源的有效利用，避免污染。</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GB" w:eastAsia="zh-CN" w:bidi="ar"/>
          <w14:ligatures w14:val="standardContextual"/>
        </w:rPr>
      </w:pPr>
      <w:r>
        <w:rPr>
          <w:rFonts w:hint="eastAsia" w:hAnsi="宋体" w:cs="宋体"/>
          <w:b w:val="0"/>
          <w:bCs w:val="0"/>
          <w:kern w:val="2"/>
          <w:szCs w:val="20"/>
          <w:lang w:val="en-US" w:eastAsia="zh-CN" w:bidi="ar"/>
          <w14:ligatures w14:val="standardContextual"/>
        </w:rPr>
        <w:t>2）</w:t>
      </w:r>
      <w:r>
        <w:rPr>
          <w:rFonts w:hint="eastAsia" w:hAnsi="宋体" w:cs="宋体"/>
          <w:b w:val="0"/>
          <w:bCs w:val="0"/>
          <w:kern w:val="2"/>
          <w:szCs w:val="20"/>
          <w:lang w:val="en-GB" w:eastAsia="zh-CN" w:bidi="ar"/>
          <w14:ligatures w14:val="standardContextual"/>
        </w:rPr>
        <w:t>业主将从项目的一开始就完全地遵守有关法律、法规的规定，满足客户及公众的需求和期望，不断完善和改进我们的安全健康和环境管理绩效，并对我们的投标人提出同样的要求。</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US" w:eastAsia="zh-CN" w:bidi="ar"/>
          <w14:ligatures w14:val="standardContextual"/>
        </w:rPr>
      </w:pPr>
      <w:r>
        <w:rPr>
          <w:rFonts w:hint="eastAsia" w:hAnsi="宋体" w:cs="宋体"/>
          <w:b w:val="0"/>
          <w:bCs w:val="0"/>
          <w:kern w:val="2"/>
          <w:szCs w:val="20"/>
          <w:lang w:val="en-US" w:eastAsia="zh-CN" w:bidi="ar"/>
          <w14:ligatures w14:val="standardContextual"/>
        </w:rPr>
        <w:t>为了实现我们的方针，特制定如下目标：</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GB" w:eastAsia="zh-CN" w:bidi="ar"/>
          <w14:ligatures w14:val="standardContextual"/>
        </w:rPr>
      </w:pPr>
      <w:r>
        <w:rPr>
          <w:rFonts w:hint="eastAsia" w:hAnsi="宋体" w:cs="宋体"/>
          <w:b w:val="0"/>
          <w:bCs w:val="0"/>
          <w:kern w:val="2"/>
          <w:szCs w:val="20"/>
          <w:lang w:val="en-US" w:eastAsia="zh-CN" w:bidi="ar"/>
          <w14:ligatures w14:val="standardContextual"/>
        </w:rPr>
        <w:t>（1）</w:t>
      </w:r>
      <w:r>
        <w:rPr>
          <w:rFonts w:hint="eastAsia" w:hAnsi="宋体" w:cs="宋体"/>
          <w:b w:val="0"/>
          <w:bCs w:val="0"/>
          <w:kern w:val="2"/>
          <w:szCs w:val="20"/>
          <w:lang w:val="en-GB" w:eastAsia="zh-CN" w:bidi="ar"/>
          <w14:ligatures w14:val="standardContextual"/>
        </w:rPr>
        <w:t>在项目执行期间实现“零事故、零伤害、零污染”；</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GB" w:eastAsia="zh-CN" w:bidi="ar"/>
          <w14:ligatures w14:val="standardContextual"/>
        </w:rPr>
      </w:pPr>
      <w:r>
        <w:rPr>
          <w:rFonts w:hint="eastAsia" w:hAnsi="宋体" w:cs="宋体"/>
          <w:b w:val="0"/>
          <w:bCs w:val="0"/>
          <w:kern w:val="2"/>
          <w:szCs w:val="20"/>
          <w:lang w:val="en-US" w:eastAsia="zh-CN" w:bidi="ar"/>
          <w14:ligatures w14:val="standardContextual"/>
        </w:rPr>
        <w:t>（2）</w:t>
      </w:r>
      <w:r>
        <w:rPr>
          <w:rFonts w:hint="eastAsia" w:hAnsi="宋体" w:cs="宋体"/>
          <w:b w:val="0"/>
          <w:bCs w:val="0"/>
          <w:kern w:val="2"/>
          <w:szCs w:val="20"/>
          <w:lang w:val="en-GB" w:eastAsia="zh-CN" w:bidi="ar"/>
          <w14:ligatures w14:val="standardContextual"/>
        </w:rPr>
        <w:t>控制设计、产品开发和服务中的风险，使其危害性、损失及对环境的影响降为最低；</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GB" w:eastAsia="zh-CN" w:bidi="ar"/>
          <w14:ligatures w14:val="standardContextual"/>
        </w:rPr>
      </w:pPr>
      <w:r>
        <w:rPr>
          <w:rFonts w:hint="eastAsia" w:hAnsi="宋体" w:cs="宋体"/>
          <w:b w:val="0"/>
          <w:bCs w:val="0"/>
          <w:kern w:val="2"/>
          <w:szCs w:val="20"/>
          <w:lang w:val="en-US" w:eastAsia="zh-CN" w:bidi="ar"/>
          <w14:ligatures w14:val="standardContextual"/>
        </w:rPr>
        <w:t>（3）</w:t>
      </w:r>
      <w:r>
        <w:rPr>
          <w:rFonts w:hint="eastAsia" w:hAnsi="宋体" w:cs="宋体"/>
          <w:b w:val="0"/>
          <w:bCs w:val="0"/>
          <w:kern w:val="2"/>
          <w:szCs w:val="20"/>
          <w:lang w:val="en-GB" w:eastAsia="zh-CN" w:bidi="ar"/>
          <w14:ligatures w14:val="standardContextual"/>
        </w:rPr>
        <w:t>加强与政府部门和公众机构的有效联络和沟通，及时了解我们工作情况；</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GB" w:eastAsia="zh-CN" w:bidi="ar"/>
          <w14:ligatures w14:val="standardContextual"/>
        </w:rPr>
      </w:pPr>
      <w:r>
        <w:rPr>
          <w:rFonts w:hint="eastAsia" w:hAnsi="宋体" w:cs="宋体"/>
          <w:b w:val="0"/>
          <w:bCs w:val="0"/>
          <w:kern w:val="2"/>
          <w:szCs w:val="20"/>
          <w:lang w:val="en-US" w:eastAsia="zh-CN" w:bidi="ar"/>
          <w14:ligatures w14:val="standardContextual"/>
        </w:rPr>
        <w:t>（4）</w:t>
      </w:r>
      <w:r>
        <w:rPr>
          <w:rFonts w:hint="eastAsia" w:hAnsi="宋体" w:cs="宋体"/>
          <w:b w:val="0"/>
          <w:bCs w:val="0"/>
          <w:kern w:val="2"/>
          <w:szCs w:val="20"/>
          <w:lang w:val="en-GB" w:eastAsia="zh-CN" w:bidi="ar"/>
          <w14:ligatures w14:val="standardContextual"/>
        </w:rPr>
        <w:t>采取持续改进的方法，避免各种事故、失误、损失、危害的发生，保证环境不受污染；</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GB" w:eastAsia="zh-CN" w:bidi="ar"/>
          <w14:ligatures w14:val="standardContextual"/>
        </w:rPr>
      </w:pPr>
      <w:r>
        <w:rPr>
          <w:rFonts w:hint="eastAsia" w:hAnsi="宋体" w:cs="宋体"/>
          <w:b w:val="0"/>
          <w:bCs w:val="0"/>
          <w:kern w:val="2"/>
          <w:szCs w:val="20"/>
          <w:lang w:val="en-US" w:eastAsia="zh-CN" w:bidi="ar"/>
          <w14:ligatures w14:val="standardContextual"/>
        </w:rPr>
        <w:t>（5）</w:t>
      </w:r>
      <w:r>
        <w:rPr>
          <w:rFonts w:hint="eastAsia" w:hAnsi="宋体" w:cs="宋体"/>
          <w:b w:val="0"/>
          <w:bCs w:val="0"/>
          <w:kern w:val="2"/>
          <w:szCs w:val="20"/>
          <w:lang w:val="en-GB" w:eastAsia="zh-CN" w:bidi="ar"/>
          <w14:ligatures w14:val="standardContextual"/>
        </w:rPr>
        <w:t>保持与有关机构和消防部门的合作，健全预防和应急措施，使事故的损失降为最小；</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GB" w:eastAsia="zh-CN" w:bidi="ar"/>
          <w14:ligatures w14:val="standardContextual"/>
        </w:rPr>
      </w:pPr>
      <w:r>
        <w:rPr>
          <w:rFonts w:hint="eastAsia" w:hAnsi="宋体" w:cs="宋体"/>
          <w:b w:val="0"/>
          <w:bCs w:val="0"/>
          <w:kern w:val="2"/>
          <w:szCs w:val="20"/>
          <w:lang w:val="en-US" w:eastAsia="zh-CN" w:bidi="ar"/>
          <w14:ligatures w14:val="standardContextual"/>
        </w:rPr>
        <w:t>（6）</w:t>
      </w:r>
      <w:r>
        <w:rPr>
          <w:rFonts w:hint="eastAsia" w:hAnsi="宋体" w:cs="宋体"/>
          <w:b w:val="0"/>
          <w:bCs w:val="0"/>
          <w:kern w:val="2"/>
          <w:szCs w:val="20"/>
          <w:lang w:val="en-GB" w:eastAsia="zh-CN" w:bidi="ar"/>
          <w14:ligatures w14:val="standardContextual"/>
        </w:rPr>
        <w:t>教育、培训、告诫并激发全体员工，使其行为符合安全和环境准则的要求。</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US" w:eastAsia="zh-CN" w:bidi="ar"/>
          <w14:ligatures w14:val="standardContextual"/>
        </w:rPr>
      </w:pPr>
      <w:r>
        <w:rPr>
          <w:rFonts w:hint="eastAsia" w:hAnsi="宋体" w:cs="宋体"/>
          <w:b w:val="0"/>
          <w:bCs w:val="0"/>
          <w:kern w:val="2"/>
          <w:szCs w:val="20"/>
          <w:lang w:val="en-US" w:eastAsia="zh-CN" w:bidi="ar"/>
          <w14:ligatures w14:val="standardContextual"/>
        </w:rPr>
        <w:t>12.2.4采购安全要求</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GB" w:eastAsia="zh-CN" w:bidi="ar"/>
          <w14:ligatures w14:val="standardContextual"/>
        </w:rPr>
      </w:pPr>
      <w:r>
        <w:rPr>
          <w:rFonts w:hint="eastAsia" w:hAnsi="宋体" w:cs="宋体"/>
          <w:b w:val="0"/>
          <w:bCs w:val="0"/>
          <w:kern w:val="2"/>
          <w:szCs w:val="20"/>
          <w:lang w:val="en-US" w:eastAsia="zh-CN" w:bidi="ar"/>
          <w14:ligatures w14:val="standardContextual"/>
        </w:rPr>
        <w:t>1）</w:t>
      </w:r>
      <w:r>
        <w:rPr>
          <w:rFonts w:hint="eastAsia" w:hAnsi="宋体" w:cs="宋体"/>
          <w:b w:val="0"/>
          <w:bCs w:val="0"/>
          <w:kern w:val="2"/>
          <w:szCs w:val="20"/>
          <w:lang w:val="en-GB" w:eastAsia="zh-CN" w:bidi="ar"/>
          <w14:ligatures w14:val="standardContextual"/>
        </w:rPr>
        <w:t>投标人在采购过程中，为业主提供包含</w:t>
      </w:r>
      <w:r>
        <w:rPr>
          <w:rFonts w:hint="eastAsia" w:hAnsi="宋体" w:cs="宋体"/>
          <w:b w:val="0"/>
          <w:bCs w:val="0"/>
          <w:kern w:val="2"/>
          <w:szCs w:val="20"/>
          <w:lang w:val="en-US" w:eastAsia="zh-CN" w:bidi="ar"/>
          <w14:ligatures w14:val="standardContextual"/>
        </w:rPr>
        <w:t>安全生产</w:t>
      </w:r>
      <w:r>
        <w:rPr>
          <w:rFonts w:hint="eastAsia" w:hAnsi="宋体" w:cs="宋体"/>
          <w:b w:val="0"/>
          <w:bCs w:val="0"/>
          <w:kern w:val="2"/>
          <w:szCs w:val="20"/>
          <w:lang w:val="en-GB" w:eastAsia="zh-CN" w:bidi="ar"/>
          <w14:ligatures w14:val="standardContextual"/>
        </w:rPr>
        <w:t>范畴的资料，包括产品（设备）制造许可证、产品合格证、使用说明书、防爆设备生产许可证、计量器具生产许可证等必要的证书，化学危险品标签、化学危险品安全技术说明书等。</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GB" w:eastAsia="zh-CN" w:bidi="ar"/>
          <w14:ligatures w14:val="standardContextual"/>
        </w:rPr>
      </w:pPr>
      <w:r>
        <w:rPr>
          <w:rFonts w:hint="eastAsia" w:hAnsi="宋体" w:cs="宋体"/>
          <w:b w:val="0"/>
          <w:bCs w:val="0"/>
          <w:kern w:val="2"/>
          <w:szCs w:val="20"/>
          <w:lang w:val="en-US" w:eastAsia="zh-CN" w:bidi="ar"/>
          <w14:ligatures w14:val="standardContextual"/>
        </w:rPr>
        <w:t>2）</w:t>
      </w:r>
      <w:r>
        <w:rPr>
          <w:rFonts w:hint="eastAsia" w:hAnsi="宋体" w:cs="宋体"/>
          <w:b w:val="0"/>
          <w:bCs w:val="0"/>
          <w:kern w:val="2"/>
          <w:szCs w:val="20"/>
          <w:lang w:val="en-GB" w:eastAsia="zh-CN" w:bidi="ar"/>
          <w14:ligatures w14:val="standardContextual"/>
        </w:rPr>
        <w:t>投标人采购的设备和材料在进入现场前必须经过有关人员的检查验收，具备有关的质量和</w:t>
      </w:r>
      <w:r>
        <w:rPr>
          <w:rFonts w:hint="eastAsia" w:hAnsi="宋体" w:cs="宋体"/>
          <w:b w:val="0"/>
          <w:bCs w:val="0"/>
          <w:kern w:val="2"/>
          <w:szCs w:val="20"/>
          <w:lang w:val="en-US" w:eastAsia="zh-CN" w:bidi="ar"/>
          <w14:ligatures w14:val="standardContextual"/>
        </w:rPr>
        <w:t>安全生产管理</w:t>
      </w:r>
      <w:r>
        <w:rPr>
          <w:rFonts w:hint="eastAsia" w:hAnsi="宋体" w:cs="宋体"/>
          <w:b w:val="0"/>
          <w:bCs w:val="0"/>
          <w:kern w:val="2"/>
          <w:szCs w:val="20"/>
          <w:lang w:val="en-GB" w:eastAsia="zh-CN" w:bidi="ar"/>
          <w14:ligatures w14:val="standardContextual"/>
        </w:rPr>
        <w:t>证明并报验后才能使用。对必须进入现场但有可能影响安全或造成污染的材料必须有安全可靠的包装或醒目的标识，并放置在业主指定的区域或地点。</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US" w:eastAsia="zh-CN" w:bidi="ar"/>
          <w14:ligatures w14:val="standardContextual"/>
        </w:rPr>
      </w:pPr>
      <w:r>
        <w:rPr>
          <w:rFonts w:hint="eastAsia" w:hAnsi="宋体" w:cs="宋体"/>
          <w:b w:val="0"/>
          <w:bCs w:val="0"/>
          <w:kern w:val="2"/>
          <w:szCs w:val="20"/>
          <w:lang w:val="en-US" w:eastAsia="zh-CN" w:bidi="ar"/>
          <w14:ligatures w14:val="standardContextual"/>
        </w:rPr>
        <w:t>12.2.5分包商的选择</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GB" w:eastAsia="zh-CN" w:bidi="ar"/>
          <w14:ligatures w14:val="standardContextual"/>
        </w:rPr>
      </w:pPr>
      <w:r>
        <w:rPr>
          <w:rFonts w:hint="eastAsia" w:hAnsi="宋体" w:cs="宋体"/>
          <w:b w:val="0"/>
          <w:bCs w:val="0"/>
          <w:kern w:val="2"/>
          <w:szCs w:val="20"/>
          <w:lang w:val="en-US" w:eastAsia="zh-CN" w:bidi="ar"/>
          <w14:ligatures w14:val="standardContextual"/>
        </w:rPr>
        <w:t>1）</w:t>
      </w:r>
      <w:r>
        <w:rPr>
          <w:rFonts w:hint="eastAsia" w:hAnsi="宋体" w:cs="宋体"/>
          <w:b w:val="0"/>
          <w:bCs w:val="0"/>
          <w:kern w:val="2"/>
          <w:szCs w:val="20"/>
          <w:lang w:val="en-GB" w:eastAsia="zh-CN" w:bidi="ar"/>
          <w14:ligatures w14:val="standardContextual"/>
        </w:rPr>
        <w:t>投标人可以按合同规定将部分工作内容分包，投标人</w:t>
      </w:r>
      <w:r>
        <w:rPr>
          <w:rFonts w:hint="eastAsia" w:hAnsi="宋体" w:cs="宋体"/>
          <w:b w:val="0"/>
          <w:bCs w:val="0"/>
          <w:kern w:val="2"/>
          <w:szCs w:val="20"/>
          <w:lang w:val="en-US" w:eastAsia="zh-CN" w:bidi="ar"/>
          <w14:ligatures w14:val="standardContextual"/>
        </w:rPr>
        <w:t>的</w:t>
      </w:r>
      <w:r>
        <w:rPr>
          <w:rFonts w:hint="eastAsia" w:hAnsi="宋体" w:cs="宋体"/>
          <w:b w:val="0"/>
          <w:bCs w:val="0"/>
          <w:kern w:val="2"/>
          <w:szCs w:val="20"/>
          <w:lang w:val="en-GB" w:eastAsia="zh-CN" w:bidi="ar"/>
          <w14:ligatures w14:val="standardContextual"/>
        </w:rPr>
        <w:t>选择应具备其他部门规定的要求外，在</w:t>
      </w:r>
      <w:r>
        <w:rPr>
          <w:rFonts w:hint="eastAsia" w:hAnsi="宋体" w:cs="宋体"/>
          <w:b w:val="0"/>
          <w:bCs w:val="0"/>
          <w:kern w:val="2"/>
          <w:szCs w:val="20"/>
          <w:lang w:val="en-US" w:eastAsia="zh-CN" w:bidi="ar"/>
          <w14:ligatures w14:val="standardContextual"/>
        </w:rPr>
        <w:t>安全生产</w:t>
      </w:r>
      <w:r>
        <w:rPr>
          <w:rFonts w:hint="eastAsia" w:hAnsi="宋体" w:cs="宋体"/>
          <w:b w:val="0"/>
          <w:bCs w:val="0"/>
          <w:kern w:val="2"/>
          <w:szCs w:val="20"/>
          <w:lang w:val="en-GB" w:eastAsia="zh-CN" w:bidi="ar"/>
          <w14:ligatures w14:val="standardContextual"/>
        </w:rPr>
        <w:t>方面应满足以下要求：</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GB" w:eastAsia="zh-CN" w:bidi="ar"/>
          <w14:ligatures w14:val="standardContextual"/>
        </w:rPr>
      </w:pPr>
      <w:r>
        <w:rPr>
          <w:rFonts w:hint="eastAsia" w:hAnsi="宋体" w:cs="宋体"/>
          <w:b w:val="0"/>
          <w:bCs w:val="0"/>
          <w:kern w:val="2"/>
          <w:szCs w:val="20"/>
          <w:lang w:val="en-US" w:eastAsia="zh-CN" w:bidi="ar"/>
          <w14:ligatures w14:val="standardContextual"/>
        </w:rPr>
        <w:t>（1）</w:t>
      </w:r>
      <w:r>
        <w:rPr>
          <w:rFonts w:hint="eastAsia" w:hAnsi="宋体" w:cs="宋体"/>
          <w:b w:val="0"/>
          <w:bCs w:val="0"/>
          <w:kern w:val="2"/>
          <w:szCs w:val="20"/>
          <w:lang w:val="en-GB" w:eastAsia="zh-CN" w:bidi="ar"/>
          <w14:ligatures w14:val="standardContextual"/>
        </w:rPr>
        <w:t>分包商应当具备相应工程的资质等级证明；</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GB" w:eastAsia="zh-CN" w:bidi="ar"/>
          <w14:ligatures w14:val="standardContextual"/>
        </w:rPr>
      </w:pPr>
      <w:r>
        <w:rPr>
          <w:rFonts w:hint="eastAsia" w:hAnsi="宋体" w:cs="宋体"/>
          <w:b w:val="0"/>
          <w:bCs w:val="0"/>
          <w:kern w:val="2"/>
          <w:szCs w:val="20"/>
          <w:lang w:val="en-US" w:eastAsia="zh-CN" w:bidi="ar"/>
          <w14:ligatures w14:val="standardContextual"/>
        </w:rPr>
        <w:t>（2）</w:t>
      </w:r>
      <w:r>
        <w:rPr>
          <w:rFonts w:hint="eastAsia" w:hAnsi="宋体" w:cs="宋体"/>
          <w:b w:val="0"/>
          <w:bCs w:val="0"/>
          <w:kern w:val="2"/>
          <w:szCs w:val="20"/>
          <w:lang w:val="en-GB" w:eastAsia="zh-CN" w:bidi="ar"/>
          <w14:ligatures w14:val="standardContextual"/>
        </w:rPr>
        <w:t>分包商工作人员在工作前进行了</w:t>
      </w:r>
      <w:r>
        <w:rPr>
          <w:rFonts w:hint="eastAsia" w:hAnsi="宋体" w:cs="宋体"/>
          <w:b w:val="0"/>
          <w:bCs w:val="0"/>
          <w:kern w:val="2"/>
          <w:szCs w:val="20"/>
          <w:lang w:val="en-US" w:eastAsia="zh-CN" w:bidi="ar"/>
          <w14:ligatures w14:val="standardContextual"/>
        </w:rPr>
        <w:t>安全生产</w:t>
      </w:r>
      <w:r>
        <w:rPr>
          <w:rFonts w:hint="eastAsia" w:hAnsi="宋体" w:cs="宋体"/>
          <w:b w:val="0"/>
          <w:bCs w:val="0"/>
          <w:kern w:val="2"/>
          <w:szCs w:val="20"/>
          <w:lang w:val="en-GB" w:eastAsia="zh-CN" w:bidi="ar"/>
          <w14:ligatures w14:val="standardContextual"/>
        </w:rPr>
        <w:t>有关培训；</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GB" w:eastAsia="zh-CN" w:bidi="ar"/>
          <w14:ligatures w14:val="standardContextual"/>
        </w:rPr>
      </w:pPr>
      <w:r>
        <w:rPr>
          <w:rFonts w:hint="eastAsia" w:hAnsi="宋体" w:cs="宋体"/>
          <w:b w:val="0"/>
          <w:bCs w:val="0"/>
          <w:kern w:val="2"/>
          <w:szCs w:val="20"/>
          <w:lang w:val="en-US" w:eastAsia="zh-CN" w:bidi="ar"/>
          <w14:ligatures w14:val="standardContextual"/>
        </w:rPr>
        <w:t>（3）安全生产</w:t>
      </w:r>
      <w:r>
        <w:rPr>
          <w:rFonts w:hint="eastAsia" w:hAnsi="宋体" w:cs="宋体"/>
          <w:b w:val="0"/>
          <w:bCs w:val="0"/>
          <w:kern w:val="2"/>
          <w:szCs w:val="20"/>
          <w:lang w:val="en-GB" w:eastAsia="zh-CN" w:bidi="ar"/>
          <w14:ligatures w14:val="standardContextual"/>
        </w:rPr>
        <w:t>管理人员和特殊工种员工必须持证上岗。</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GB" w:eastAsia="zh-CN" w:bidi="ar"/>
          <w14:ligatures w14:val="standardContextual"/>
        </w:rPr>
      </w:pPr>
      <w:r>
        <w:rPr>
          <w:rFonts w:hint="eastAsia" w:hAnsi="宋体" w:cs="宋体"/>
          <w:b w:val="0"/>
          <w:bCs w:val="0"/>
          <w:kern w:val="2"/>
          <w:szCs w:val="20"/>
          <w:lang w:val="en-US" w:eastAsia="zh-CN" w:bidi="ar"/>
          <w14:ligatures w14:val="standardContextual"/>
        </w:rPr>
        <w:t>2）</w:t>
      </w:r>
      <w:r>
        <w:rPr>
          <w:rFonts w:hint="eastAsia" w:hAnsi="宋体" w:cs="宋体"/>
          <w:b w:val="0"/>
          <w:bCs w:val="0"/>
          <w:kern w:val="2"/>
          <w:szCs w:val="20"/>
          <w:lang w:val="en-GB" w:eastAsia="zh-CN" w:bidi="ar"/>
          <w14:ligatures w14:val="standardContextual"/>
        </w:rPr>
        <w:t>投标人在分包之前应掌握分包商的以下资料，</w:t>
      </w:r>
      <w:r>
        <w:rPr>
          <w:rFonts w:hint="eastAsia" w:hAnsi="宋体" w:cs="宋体"/>
          <w:b w:val="0"/>
          <w:bCs w:val="0"/>
          <w:kern w:val="2"/>
          <w:szCs w:val="20"/>
          <w:lang w:val="en-US" w:eastAsia="zh-CN" w:bidi="ar"/>
          <w14:ligatures w14:val="standardContextual"/>
        </w:rPr>
        <w:t>备</w:t>
      </w:r>
      <w:r>
        <w:rPr>
          <w:rFonts w:hint="eastAsia" w:hAnsi="宋体" w:cs="宋体"/>
          <w:b w:val="0"/>
          <w:bCs w:val="0"/>
          <w:kern w:val="2"/>
          <w:szCs w:val="20"/>
          <w:lang w:val="en-GB" w:eastAsia="zh-CN" w:bidi="ar"/>
          <w14:ligatures w14:val="standardContextual"/>
        </w:rPr>
        <w:t>业主</w:t>
      </w:r>
      <w:r>
        <w:rPr>
          <w:rFonts w:hint="eastAsia" w:hAnsi="宋体" w:cs="宋体"/>
          <w:b w:val="0"/>
          <w:bCs w:val="0"/>
          <w:kern w:val="2"/>
          <w:szCs w:val="20"/>
          <w:lang w:val="en-US" w:eastAsia="zh-CN" w:bidi="ar"/>
          <w14:ligatures w14:val="standardContextual"/>
        </w:rPr>
        <w:t>检查</w:t>
      </w:r>
      <w:r>
        <w:rPr>
          <w:rFonts w:hint="eastAsia" w:hAnsi="宋体" w:cs="宋体"/>
          <w:b w:val="0"/>
          <w:bCs w:val="0"/>
          <w:kern w:val="2"/>
          <w:szCs w:val="20"/>
          <w:lang w:val="en-GB" w:eastAsia="zh-CN" w:bidi="ar"/>
          <w14:ligatures w14:val="standardContextual"/>
        </w:rPr>
        <w:t>：</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GB" w:eastAsia="zh-CN" w:bidi="ar"/>
          <w14:ligatures w14:val="standardContextual"/>
        </w:rPr>
      </w:pPr>
      <w:r>
        <w:rPr>
          <w:rFonts w:hint="eastAsia" w:hAnsi="宋体" w:cs="宋体"/>
          <w:b w:val="0"/>
          <w:bCs w:val="0"/>
          <w:kern w:val="2"/>
          <w:szCs w:val="20"/>
          <w:lang w:val="en-US" w:eastAsia="zh-CN" w:bidi="ar"/>
          <w14:ligatures w14:val="standardContextual"/>
        </w:rPr>
        <w:t>（1）安全生产</w:t>
      </w:r>
      <w:r>
        <w:rPr>
          <w:rFonts w:hint="eastAsia" w:hAnsi="宋体" w:cs="宋体"/>
          <w:b w:val="0"/>
          <w:bCs w:val="0"/>
          <w:kern w:val="2"/>
          <w:szCs w:val="20"/>
          <w:lang w:val="en-GB" w:eastAsia="zh-CN" w:bidi="ar"/>
          <w14:ligatures w14:val="standardContextual"/>
        </w:rPr>
        <w:t>组织管理机构、</w:t>
      </w:r>
      <w:r>
        <w:rPr>
          <w:rFonts w:hint="eastAsia" w:hAnsi="宋体" w:cs="宋体"/>
          <w:b w:val="0"/>
          <w:bCs w:val="0"/>
          <w:kern w:val="2"/>
          <w:szCs w:val="20"/>
          <w:lang w:val="en-US" w:eastAsia="zh-CN" w:bidi="ar"/>
          <w14:ligatures w14:val="standardContextual"/>
        </w:rPr>
        <w:t>安全生产</w:t>
      </w:r>
      <w:r>
        <w:rPr>
          <w:rFonts w:hint="eastAsia" w:hAnsi="宋体" w:cs="宋体"/>
          <w:b w:val="0"/>
          <w:bCs w:val="0"/>
          <w:kern w:val="2"/>
          <w:szCs w:val="20"/>
          <w:lang w:val="en-GB" w:eastAsia="zh-CN" w:bidi="ar"/>
          <w14:ligatures w14:val="standardContextual"/>
        </w:rPr>
        <w:t>负责人、现场</w:t>
      </w:r>
      <w:r>
        <w:rPr>
          <w:rFonts w:hint="eastAsia" w:hAnsi="宋体" w:cs="宋体"/>
          <w:b w:val="0"/>
          <w:bCs w:val="0"/>
          <w:kern w:val="2"/>
          <w:szCs w:val="20"/>
          <w:lang w:val="en-US" w:eastAsia="zh-CN" w:bidi="ar"/>
          <w14:ligatures w14:val="standardContextual"/>
        </w:rPr>
        <w:t>安全</w:t>
      </w:r>
      <w:r>
        <w:rPr>
          <w:rFonts w:hint="eastAsia" w:hAnsi="宋体" w:cs="宋体"/>
          <w:b w:val="0"/>
          <w:bCs w:val="0"/>
          <w:kern w:val="2"/>
          <w:szCs w:val="20"/>
          <w:lang w:val="en-GB" w:eastAsia="zh-CN" w:bidi="ar"/>
          <w14:ligatures w14:val="standardContextual"/>
        </w:rPr>
        <w:t>负责人和现场</w:t>
      </w:r>
      <w:r>
        <w:rPr>
          <w:rFonts w:hint="eastAsia" w:hAnsi="宋体" w:cs="宋体"/>
          <w:b w:val="0"/>
          <w:bCs w:val="0"/>
          <w:kern w:val="2"/>
          <w:szCs w:val="20"/>
          <w:lang w:val="en-US" w:eastAsia="zh-CN" w:bidi="ar"/>
          <w14:ligatures w14:val="standardContextual"/>
        </w:rPr>
        <w:t>安全</w:t>
      </w:r>
      <w:r>
        <w:rPr>
          <w:rFonts w:hint="eastAsia" w:hAnsi="宋体" w:cs="宋体"/>
          <w:b w:val="0"/>
          <w:bCs w:val="0"/>
          <w:kern w:val="2"/>
          <w:szCs w:val="20"/>
          <w:lang w:val="en-GB" w:eastAsia="zh-CN" w:bidi="ar"/>
          <w14:ligatures w14:val="standardContextual"/>
        </w:rPr>
        <w:t>管理员；</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GB" w:eastAsia="zh-CN" w:bidi="ar"/>
          <w14:ligatures w14:val="standardContextual"/>
        </w:rPr>
      </w:pPr>
      <w:r>
        <w:rPr>
          <w:rFonts w:hint="eastAsia" w:hAnsi="宋体" w:cs="宋体"/>
          <w:b w:val="0"/>
          <w:bCs w:val="0"/>
          <w:kern w:val="2"/>
          <w:szCs w:val="20"/>
          <w:lang w:val="en-US" w:eastAsia="zh-CN" w:bidi="ar"/>
          <w14:ligatures w14:val="standardContextual"/>
        </w:rPr>
        <w:t>（2）</w:t>
      </w:r>
      <w:r>
        <w:rPr>
          <w:rFonts w:hint="eastAsia" w:hAnsi="宋体" w:cs="宋体"/>
          <w:b w:val="0"/>
          <w:bCs w:val="0"/>
          <w:kern w:val="2"/>
          <w:szCs w:val="20"/>
          <w:lang w:val="en-GB" w:eastAsia="zh-CN" w:bidi="ar"/>
          <w14:ligatures w14:val="standardContextual"/>
        </w:rPr>
        <w:t>安全生产管理制度和保证体系；</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GB" w:eastAsia="zh-CN" w:bidi="ar"/>
          <w14:ligatures w14:val="standardContextual"/>
        </w:rPr>
      </w:pPr>
      <w:r>
        <w:rPr>
          <w:rFonts w:hint="eastAsia" w:hAnsi="宋体" w:cs="宋体"/>
          <w:b w:val="0"/>
          <w:bCs w:val="0"/>
          <w:kern w:val="2"/>
          <w:szCs w:val="20"/>
          <w:lang w:val="en-US" w:eastAsia="zh-CN" w:bidi="ar"/>
          <w14:ligatures w14:val="standardContextual"/>
        </w:rPr>
        <w:t>（3）</w:t>
      </w:r>
      <w:r>
        <w:rPr>
          <w:rFonts w:hint="eastAsia" w:hAnsi="宋体" w:cs="宋体"/>
          <w:b w:val="0"/>
          <w:bCs w:val="0"/>
          <w:kern w:val="2"/>
          <w:szCs w:val="20"/>
          <w:lang w:val="en-GB" w:eastAsia="zh-CN" w:bidi="ar"/>
          <w14:ligatures w14:val="standardContextual"/>
        </w:rPr>
        <w:t>特种作业人员的培训、取证情况；</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GB" w:eastAsia="zh-CN" w:bidi="ar"/>
          <w14:ligatures w14:val="standardContextual"/>
        </w:rPr>
      </w:pPr>
      <w:r>
        <w:rPr>
          <w:rFonts w:hint="eastAsia" w:hAnsi="宋体" w:cs="宋体"/>
          <w:b w:val="0"/>
          <w:bCs w:val="0"/>
          <w:kern w:val="2"/>
          <w:szCs w:val="20"/>
          <w:lang w:val="en-US" w:eastAsia="zh-CN" w:bidi="ar"/>
          <w14:ligatures w14:val="standardContextual"/>
        </w:rPr>
        <w:t>（4）</w:t>
      </w:r>
      <w:r>
        <w:rPr>
          <w:rFonts w:hint="eastAsia" w:hAnsi="宋体" w:cs="宋体"/>
          <w:b w:val="0"/>
          <w:bCs w:val="0"/>
          <w:kern w:val="2"/>
          <w:szCs w:val="20"/>
          <w:lang w:val="en-GB" w:eastAsia="zh-CN" w:bidi="ar"/>
          <w14:ligatures w14:val="standardContextual"/>
        </w:rPr>
        <w:t>施工人员的劳动防护用品、用具情况；</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GB" w:eastAsia="zh-CN" w:bidi="ar"/>
          <w14:ligatures w14:val="standardContextual"/>
        </w:rPr>
      </w:pPr>
      <w:r>
        <w:rPr>
          <w:rFonts w:hint="eastAsia" w:hAnsi="宋体" w:cs="宋体"/>
          <w:b w:val="0"/>
          <w:bCs w:val="0"/>
          <w:kern w:val="2"/>
          <w:szCs w:val="20"/>
          <w:lang w:val="en-US" w:eastAsia="zh-CN" w:bidi="ar"/>
          <w14:ligatures w14:val="standardContextual"/>
        </w:rPr>
        <w:t>（5）</w:t>
      </w:r>
      <w:r>
        <w:rPr>
          <w:rFonts w:hint="eastAsia" w:hAnsi="宋体" w:cs="宋体"/>
          <w:b w:val="0"/>
          <w:bCs w:val="0"/>
          <w:kern w:val="2"/>
          <w:szCs w:val="20"/>
          <w:lang w:val="en-GB" w:eastAsia="zh-CN" w:bidi="ar"/>
          <w14:ligatures w14:val="standardContextual"/>
        </w:rPr>
        <w:t>遵守相应法律法规和企业</w:t>
      </w:r>
      <w:r>
        <w:rPr>
          <w:rFonts w:hint="eastAsia" w:hAnsi="宋体" w:cs="宋体"/>
          <w:b w:val="0"/>
          <w:bCs w:val="0"/>
          <w:kern w:val="2"/>
          <w:szCs w:val="20"/>
          <w:lang w:val="en-US" w:eastAsia="zh-CN" w:bidi="ar"/>
          <w14:ligatures w14:val="standardContextual"/>
        </w:rPr>
        <w:t>安全生产</w:t>
      </w:r>
      <w:r>
        <w:rPr>
          <w:rFonts w:hint="eastAsia" w:hAnsi="宋体" w:cs="宋体"/>
          <w:b w:val="0"/>
          <w:bCs w:val="0"/>
          <w:kern w:val="2"/>
          <w:szCs w:val="20"/>
          <w:lang w:val="en-GB" w:eastAsia="zh-CN" w:bidi="ar"/>
          <w14:ligatures w14:val="standardContextual"/>
        </w:rPr>
        <w:t>要求的承诺；</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GB" w:eastAsia="zh-CN" w:bidi="ar"/>
          <w14:ligatures w14:val="standardContextual"/>
        </w:rPr>
      </w:pPr>
      <w:r>
        <w:rPr>
          <w:rFonts w:hint="eastAsia" w:hAnsi="宋体" w:cs="宋体"/>
          <w:b w:val="0"/>
          <w:bCs w:val="0"/>
          <w:kern w:val="2"/>
          <w:szCs w:val="20"/>
          <w:lang w:val="en-US" w:eastAsia="zh-CN" w:bidi="ar"/>
          <w14:ligatures w14:val="standardContextual"/>
        </w:rPr>
        <w:t>（6）</w:t>
      </w:r>
      <w:r>
        <w:rPr>
          <w:rFonts w:hint="eastAsia" w:hAnsi="宋体" w:cs="宋体"/>
          <w:b w:val="0"/>
          <w:bCs w:val="0"/>
          <w:kern w:val="2"/>
          <w:szCs w:val="20"/>
          <w:lang w:val="en-GB" w:eastAsia="zh-CN" w:bidi="ar"/>
          <w14:ligatures w14:val="standardContextual"/>
        </w:rPr>
        <w:t>针对工程项目风险所采取的</w:t>
      </w:r>
      <w:r>
        <w:rPr>
          <w:rFonts w:hint="eastAsia" w:hAnsi="宋体" w:cs="宋体"/>
          <w:b w:val="0"/>
          <w:bCs w:val="0"/>
          <w:kern w:val="2"/>
          <w:szCs w:val="20"/>
          <w:lang w:val="en-US" w:eastAsia="zh-CN" w:bidi="ar"/>
          <w14:ligatures w14:val="standardContextual"/>
        </w:rPr>
        <w:t>安全生产</w:t>
      </w:r>
      <w:r>
        <w:rPr>
          <w:rFonts w:hint="eastAsia" w:hAnsi="宋体" w:cs="宋体"/>
          <w:b w:val="0"/>
          <w:bCs w:val="0"/>
          <w:kern w:val="2"/>
          <w:szCs w:val="20"/>
          <w:lang w:val="en-GB" w:eastAsia="zh-CN" w:bidi="ar"/>
          <w14:ligatures w14:val="standardContextual"/>
        </w:rPr>
        <w:t>管理措施；</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GB" w:eastAsia="zh-CN" w:bidi="ar"/>
          <w14:ligatures w14:val="standardContextual"/>
        </w:rPr>
      </w:pPr>
      <w:r>
        <w:rPr>
          <w:rFonts w:hint="eastAsia" w:hAnsi="宋体" w:cs="宋体"/>
          <w:b w:val="0"/>
          <w:bCs w:val="0"/>
          <w:kern w:val="2"/>
          <w:szCs w:val="20"/>
          <w:lang w:val="en-US" w:eastAsia="zh-CN" w:bidi="ar"/>
          <w14:ligatures w14:val="standardContextual"/>
        </w:rPr>
        <w:t>（7）</w:t>
      </w:r>
      <w:r>
        <w:rPr>
          <w:rFonts w:hint="eastAsia" w:hAnsi="宋体" w:cs="宋体"/>
          <w:b w:val="0"/>
          <w:bCs w:val="0"/>
          <w:kern w:val="2"/>
          <w:szCs w:val="20"/>
          <w:lang w:val="en-GB" w:eastAsia="zh-CN" w:bidi="ar"/>
          <w14:ligatures w14:val="standardContextual"/>
        </w:rPr>
        <w:t>分包商应同样遵守本项目的所有标准和规定，在工作前应得到业主批准。</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US" w:eastAsia="zh-CN" w:bidi="ar"/>
          <w14:ligatures w14:val="standardContextual"/>
        </w:rPr>
      </w:pPr>
      <w:r>
        <w:rPr>
          <w:rFonts w:hint="eastAsia" w:hAnsi="宋体" w:cs="宋体"/>
          <w:b w:val="0"/>
          <w:bCs w:val="0"/>
          <w:kern w:val="2"/>
          <w:szCs w:val="20"/>
          <w:lang w:val="en-US" w:eastAsia="zh-CN" w:bidi="ar"/>
          <w14:ligatures w14:val="standardContextual"/>
        </w:rPr>
        <w:t>12.2.6危害识别和风险管理</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GB" w:eastAsia="zh-CN" w:bidi="ar"/>
          <w14:ligatures w14:val="standardContextual"/>
        </w:rPr>
      </w:pPr>
      <w:r>
        <w:rPr>
          <w:rFonts w:hint="eastAsia" w:hAnsi="宋体" w:cs="宋体"/>
          <w:b w:val="0"/>
          <w:bCs w:val="0"/>
          <w:kern w:val="2"/>
          <w:szCs w:val="20"/>
          <w:lang w:val="en-US" w:eastAsia="zh-CN" w:bidi="ar"/>
          <w14:ligatures w14:val="standardContextual"/>
        </w:rPr>
        <w:t>1）</w:t>
      </w:r>
      <w:r>
        <w:rPr>
          <w:rFonts w:hint="eastAsia" w:hAnsi="宋体" w:cs="宋体"/>
          <w:b w:val="0"/>
          <w:bCs w:val="0"/>
          <w:kern w:val="2"/>
          <w:szCs w:val="20"/>
          <w:lang w:val="en-GB" w:eastAsia="zh-CN" w:bidi="ar"/>
          <w14:ligatures w14:val="standardContextual"/>
        </w:rPr>
        <w:t>识别危害</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US" w:eastAsia="zh-CN" w:bidi="ar"/>
          <w14:ligatures w14:val="standardContextual"/>
        </w:rPr>
      </w:pPr>
      <w:r>
        <w:rPr>
          <w:rFonts w:hint="eastAsia" w:hAnsi="宋体" w:cs="宋体"/>
          <w:b w:val="0"/>
          <w:bCs w:val="0"/>
          <w:kern w:val="2"/>
          <w:szCs w:val="20"/>
          <w:lang w:val="en-US" w:eastAsia="zh-CN" w:bidi="ar"/>
          <w14:ligatures w14:val="standardContextual"/>
        </w:rPr>
        <w:t>风险的识别和评估应由投标人完成，并决定危害识别的范围和对象，制定评估准则。识别的范围应包括：</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GB" w:eastAsia="zh-CN" w:bidi="ar"/>
          <w14:ligatures w14:val="standardContextual"/>
        </w:rPr>
      </w:pPr>
      <w:r>
        <w:rPr>
          <w:rFonts w:hint="eastAsia" w:hAnsi="宋体" w:cs="宋体"/>
          <w:b w:val="0"/>
          <w:bCs w:val="0"/>
          <w:kern w:val="2"/>
          <w:szCs w:val="20"/>
          <w:lang w:val="en-US" w:eastAsia="zh-CN" w:bidi="ar"/>
          <w14:ligatures w14:val="standardContextual"/>
        </w:rPr>
        <w:t>（1）</w:t>
      </w:r>
      <w:r>
        <w:rPr>
          <w:rFonts w:hint="eastAsia" w:hAnsi="宋体" w:cs="宋体"/>
          <w:b w:val="0"/>
          <w:bCs w:val="0"/>
          <w:kern w:val="2"/>
          <w:szCs w:val="20"/>
          <w:lang w:val="en-GB" w:eastAsia="zh-CN" w:bidi="ar"/>
          <w14:ligatures w14:val="standardContextual"/>
        </w:rPr>
        <w:t>物（设施）的不安全状态，包括可能导致事故发生和危害扩大的设备缺陷、保护措施和安全装置的缺陷；</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GB" w:eastAsia="zh-CN" w:bidi="ar"/>
          <w14:ligatures w14:val="standardContextual"/>
        </w:rPr>
      </w:pPr>
      <w:r>
        <w:rPr>
          <w:rFonts w:hint="eastAsia" w:hAnsi="宋体" w:cs="宋体"/>
          <w:b w:val="0"/>
          <w:bCs w:val="0"/>
          <w:kern w:val="2"/>
          <w:szCs w:val="20"/>
          <w:lang w:val="en-US" w:eastAsia="zh-CN" w:bidi="ar"/>
          <w14:ligatures w14:val="standardContextual"/>
        </w:rPr>
        <w:t>（2）</w:t>
      </w:r>
      <w:r>
        <w:rPr>
          <w:rFonts w:hint="eastAsia" w:hAnsi="宋体" w:cs="宋体"/>
          <w:b w:val="0"/>
          <w:bCs w:val="0"/>
          <w:kern w:val="2"/>
          <w:szCs w:val="20"/>
          <w:lang w:val="en-GB" w:eastAsia="zh-CN" w:bidi="ar"/>
          <w14:ligatures w14:val="standardContextual"/>
        </w:rPr>
        <w:t>人的不安全行为，包括不采取安全措施、误动作、不按规定的方法操作、某些不安全行为（制造危险状态）；</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GB" w:eastAsia="zh-CN" w:bidi="ar"/>
          <w14:ligatures w14:val="standardContextual"/>
        </w:rPr>
      </w:pPr>
      <w:r>
        <w:rPr>
          <w:rFonts w:hint="eastAsia" w:hAnsi="宋体" w:cs="宋体"/>
          <w:b w:val="0"/>
          <w:bCs w:val="0"/>
          <w:kern w:val="2"/>
          <w:szCs w:val="20"/>
          <w:lang w:val="en-US" w:eastAsia="zh-CN" w:bidi="ar"/>
          <w14:ligatures w14:val="standardContextual"/>
        </w:rPr>
        <w:t>（3）</w:t>
      </w:r>
      <w:r>
        <w:rPr>
          <w:rFonts w:hint="eastAsia" w:hAnsi="宋体" w:cs="宋体"/>
          <w:b w:val="0"/>
          <w:bCs w:val="0"/>
          <w:kern w:val="2"/>
          <w:szCs w:val="20"/>
          <w:lang w:val="en-GB" w:eastAsia="zh-CN" w:bidi="ar"/>
          <w14:ligatures w14:val="standardContextual"/>
        </w:rPr>
        <w:t>可能造成职业病、中毒的劳动环境和条件，包括物理的（噪声、振动、湿度、辐射、粉尘），化学的（易燃易爆、有毒、危险气体、氧化物等）以及生物因素；</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GB" w:eastAsia="zh-CN" w:bidi="ar"/>
          <w14:ligatures w14:val="standardContextual"/>
        </w:rPr>
      </w:pPr>
      <w:r>
        <w:rPr>
          <w:rFonts w:hint="eastAsia" w:hAnsi="宋体" w:cs="宋体"/>
          <w:b w:val="0"/>
          <w:bCs w:val="0"/>
          <w:kern w:val="2"/>
          <w:szCs w:val="20"/>
          <w:lang w:val="en-US" w:eastAsia="zh-CN" w:bidi="ar"/>
          <w14:ligatures w14:val="standardContextual"/>
        </w:rPr>
        <w:t>（4）</w:t>
      </w:r>
      <w:r>
        <w:rPr>
          <w:rFonts w:hint="eastAsia" w:hAnsi="宋体" w:cs="宋体"/>
          <w:b w:val="0"/>
          <w:bCs w:val="0"/>
          <w:kern w:val="2"/>
          <w:szCs w:val="20"/>
          <w:lang w:val="en-GB" w:eastAsia="zh-CN" w:bidi="ar"/>
          <w14:ligatures w14:val="standardContextual"/>
        </w:rPr>
        <w:t>管理缺陷，包括安全监督、检查、事故防范、应急管理、作业人员安排、防护用品缺少、操作方法等。</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GB" w:eastAsia="zh-CN" w:bidi="ar"/>
          <w14:ligatures w14:val="standardContextual"/>
        </w:rPr>
      </w:pPr>
      <w:r>
        <w:rPr>
          <w:rFonts w:hint="eastAsia" w:hAnsi="宋体" w:cs="宋体"/>
          <w:b w:val="0"/>
          <w:bCs w:val="0"/>
          <w:kern w:val="2"/>
          <w:szCs w:val="20"/>
          <w:lang w:val="en-US" w:eastAsia="zh-CN" w:bidi="ar"/>
          <w14:ligatures w14:val="standardContextual"/>
        </w:rPr>
        <w:t>2）</w:t>
      </w:r>
      <w:r>
        <w:rPr>
          <w:rFonts w:hint="eastAsia" w:hAnsi="宋体" w:cs="宋体"/>
          <w:b w:val="0"/>
          <w:bCs w:val="0"/>
          <w:kern w:val="2"/>
          <w:szCs w:val="20"/>
          <w:lang w:val="en-GB" w:eastAsia="zh-CN" w:bidi="ar"/>
          <w14:ligatures w14:val="standardContextual"/>
        </w:rPr>
        <w:t>评估风险和影响</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US" w:eastAsia="zh-CN" w:bidi="ar"/>
          <w14:ligatures w14:val="standardContextual"/>
        </w:rPr>
      </w:pPr>
      <w:r>
        <w:rPr>
          <w:rFonts w:hint="eastAsia" w:hAnsi="宋体" w:cs="宋体"/>
          <w:b w:val="0"/>
          <w:bCs w:val="0"/>
          <w:kern w:val="2"/>
          <w:szCs w:val="20"/>
          <w:lang w:val="en-US" w:eastAsia="zh-CN" w:bidi="ar"/>
          <w14:ligatures w14:val="standardContextual"/>
        </w:rPr>
        <w:t>投标人应对所识别的危害事故、事件或环境因素加以科学评估，确定最大危害程度和可能影响的最大范围，以便采取有效或适当的控制措施，从而把风险降低或控制在可以容忍的程度。</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US" w:eastAsia="zh-CN" w:bidi="ar"/>
          <w14:ligatures w14:val="standardContextual"/>
        </w:rPr>
      </w:pPr>
      <w:r>
        <w:rPr>
          <w:rFonts w:hint="eastAsia" w:hAnsi="宋体" w:cs="宋体"/>
          <w:b w:val="0"/>
          <w:bCs w:val="0"/>
          <w:kern w:val="2"/>
          <w:szCs w:val="20"/>
          <w:lang w:val="en-US" w:eastAsia="zh-CN" w:bidi="ar"/>
          <w14:ligatures w14:val="standardContextual"/>
        </w:rPr>
        <w:t>结合所辨别的危害事件发生的可能性及后果的严重性，并决定其风险的大小以及是否是可以容忍的风险 ,风险评估的结果可分为以下几种：</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GB" w:eastAsia="zh-CN" w:bidi="ar"/>
          <w14:ligatures w14:val="standardContextual"/>
        </w:rPr>
      </w:pPr>
      <w:r>
        <w:rPr>
          <w:rFonts w:hint="eastAsia" w:hAnsi="宋体" w:cs="宋体"/>
          <w:b w:val="0"/>
          <w:bCs w:val="0"/>
          <w:kern w:val="2"/>
          <w:szCs w:val="20"/>
          <w:lang w:val="en-US" w:eastAsia="zh-CN" w:bidi="ar"/>
          <w14:ligatures w14:val="standardContextual"/>
        </w:rPr>
        <w:t>（1）</w:t>
      </w:r>
      <w:r>
        <w:rPr>
          <w:rFonts w:hint="eastAsia" w:hAnsi="宋体" w:cs="宋体"/>
          <w:b w:val="0"/>
          <w:bCs w:val="0"/>
          <w:kern w:val="2"/>
          <w:szCs w:val="20"/>
          <w:lang w:val="en-GB" w:eastAsia="zh-CN" w:bidi="ar"/>
          <w14:ligatures w14:val="standardContextual"/>
        </w:rPr>
        <w:t>轻微的；</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GB" w:eastAsia="zh-CN" w:bidi="ar"/>
          <w14:ligatures w14:val="standardContextual"/>
        </w:rPr>
      </w:pPr>
      <w:r>
        <w:rPr>
          <w:rFonts w:hint="eastAsia" w:hAnsi="宋体" w:cs="宋体"/>
          <w:b w:val="0"/>
          <w:bCs w:val="0"/>
          <w:kern w:val="2"/>
          <w:szCs w:val="20"/>
          <w:lang w:val="en-US" w:eastAsia="zh-CN" w:bidi="ar"/>
          <w14:ligatures w14:val="standardContextual"/>
        </w:rPr>
        <w:t>（2）</w:t>
      </w:r>
      <w:r>
        <w:rPr>
          <w:rFonts w:hint="eastAsia" w:hAnsi="宋体" w:cs="宋体"/>
          <w:b w:val="0"/>
          <w:bCs w:val="0"/>
          <w:kern w:val="2"/>
          <w:szCs w:val="20"/>
          <w:lang w:val="en-GB" w:eastAsia="zh-CN" w:bidi="ar"/>
          <w14:ligatures w14:val="standardContextual"/>
        </w:rPr>
        <w:t>可容许的；</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GB" w:eastAsia="zh-CN" w:bidi="ar"/>
          <w14:ligatures w14:val="standardContextual"/>
        </w:rPr>
      </w:pPr>
      <w:r>
        <w:rPr>
          <w:rFonts w:hint="eastAsia" w:hAnsi="宋体" w:cs="宋体"/>
          <w:b w:val="0"/>
          <w:bCs w:val="0"/>
          <w:kern w:val="2"/>
          <w:szCs w:val="20"/>
          <w:lang w:val="en-US" w:eastAsia="zh-CN" w:bidi="ar"/>
          <w14:ligatures w14:val="standardContextual"/>
        </w:rPr>
        <w:t>（3）</w:t>
      </w:r>
      <w:r>
        <w:rPr>
          <w:rFonts w:hint="eastAsia" w:hAnsi="宋体" w:cs="宋体"/>
          <w:b w:val="0"/>
          <w:bCs w:val="0"/>
          <w:kern w:val="2"/>
          <w:szCs w:val="20"/>
          <w:lang w:val="en-GB" w:eastAsia="zh-CN" w:bidi="ar"/>
          <w14:ligatures w14:val="standardContextual"/>
        </w:rPr>
        <w:t>中等的；</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GB" w:eastAsia="zh-CN" w:bidi="ar"/>
          <w14:ligatures w14:val="standardContextual"/>
        </w:rPr>
      </w:pPr>
      <w:r>
        <w:rPr>
          <w:rFonts w:hint="eastAsia" w:hAnsi="宋体" w:cs="宋体"/>
          <w:b w:val="0"/>
          <w:bCs w:val="0"/>
          <w:kern w:val="2"/>
          <w:szCs w:val="20"/>
          <w:lang w:val="en-US" w:eastAsia="zh-CN" w:bidi="ar"/>
          <w14:ligatures w14:val="standardContextual"/>
        </w:rPr>
        <w:t>（4）</w:t>
      </w:r>
      <w:r>
        <w:rPr>
          <w:rFonts w:hint="eastAsia" w:hAnsi="宋体" w:cs="宋体"/>
          <w:b w:val="0"/>
          <w:bCs w:val="0"/>
          <w:kern w:val="2"/>
          <w:szCs w:val="20"/>
          <w:lang w:val="en-GB" w:eastAsia="zh-CN" w:bidi="ar"/>
          <w14:ligatures w14:val="standardContextual"/>
        </w:rPr>
        <w:t>重大的；</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GB" w:eastAsia="zh-CN" w:bidi="ar"/>
          <w14:ligatures w14:val="standardContextual"/>
        </w:rPr>
      </w:pPr>
      <w:r>
        <w:rPr>
          <w:rFonts w:hint="eastAsia" w:hAnsi="宋体" w:cs="宋体"/>
          <w:b w:val="0"/>
          <w:bCs w:val="0"/>
          <w:kern w:val="2"/>
          <w:szCs w:val="20"/>
          <w:lang w:val="en-US" w:eastAsia="zh-CN" w:bidi="ar"/>
          <w14:ligatures w14:val="standardContextual"/>
        </w:rPr>
        <w:t>（5）</w:t>
      </w:r>
      <w:r>
        <w:rPr>
          <w:rFonts w:hint="eastAsia" w:hAnsi="宋体" w:cs="宋体"/>
          <w:b w:val="0"/>
          <w:bCs w:val="0"/>
          <w:kern w:val="2"/>
          <w:szCs w:val="20"/>
          <w:lang w:val="en-GB" w:eastAsia="zh-CN" w:bidi="ar"/>
          <w14:ligatures w14:val="standardContextual"/>
        </w:rPr>
        <w:t>不可容许的。</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GB" w:eastAsia="zh-CN" w:bidi="ar"/>
          <w14:ligatures w14:val="standardContextual"/>
        </w:rPr>
      </w:pPr>
      <w:r>
        <w:rPr>
          <w:rFonts w:hint="eastAsia" w:hAnsi="宋体" w:cs="宋体"/>
          <w:b w:val="0"/>
          <w:bCs w:val="0"/>
          <w:kern w:val="2"/>
          <w:szCs w:val="20"/>
          <w:lang w:val="en-US" w:eastAsia="zh-CN" w:bidi="ar"/>
          <w14:ligatures w14:val="standardContextual"/>
        </w:rPr>
        <w:t>3）</w:t>
      </w:r>
      <w:r>
        <w:rPr>
          <w:rFonts w:hint="eastAsia" w:hAnsi="宋体" w:cs="宋体"/>
          <w:b w:val="0"/>
          <w:bCs w:val="0"/>
          <w:kern w:val="2"/>
          <w:szCs w:val="20"/>
          <w:lang w:val="en-GB" w:eastAsia="zh-CN" w:bidi="ar"/>
          <w14:ligatures w14:val="standardContextual"/>
        </w:rPr>
        <w:t>风险控制</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US" w:eastAsia="zh-CN" w:bidi="ar"/>
          <w14:ligatures w14:val="standardContextual"/>
        </w:rPr>
      </w:pPr>
      <w:r>
        <w:rPr>
          <w:rFonts w:hint="eastAsia" w:hAnsi="宋体" w:cs="宋体"/>
          <w:b w:val="0"/>
          <w:bCs w:val="0"/>
          <w:kern w:val="2"/>
          <w:szCs w:val="20"/>
          <w:lang w:val="en-US" w:eastAsia="zh-CN" w:bidi="ar"/>
          <w14:ligatures w14:val="standardContextual"/>
        </w:rPr>
        <w:t>风险程度的大小是制定何种控制措施的依据，投标人应根据风险评估的结果制定相应的控制措施（见下表）：</w:t>
      </w:r>
    </w:p>
    <w:tbl>
      <w:tblPr>
        <w:tblStyle w:val="50"/>
        <w:tblW w:w="70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5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800" w:type="dxa"/>
            <w:noWrap w:val="0"/>
            <w:tcMar>
              <w:left w:w="0" w:type="dxa"/>
              <w:right w:w="0" w:type="dxa"/>
            </w:tcMar>
            <w:vAlign w:val="center"/>
          </w:tcPr>
          <w:p>
            <w:pPr>
              <w:pStyle w:val="44"/>
              <w:widowControl w:val="0"/>
              <w:spacing w:before="0" w:beforeAutospacing="0" w:after="0" w:afterAutospacing="0" w:line="500" w:lineRule="exact"/>
              <w:ind w:firstLine="420" w:firstLineChars="200"/>
              <w:jc w:val="both"/>
              <w:rPr>
                <w:rFonts w:hint="eastAsia" w:hAnsi="宋体" w:cs="宋体"/>
                <w:b w:val="0"/>
                <w:bCs w:val="0"/>
                <w:kern w:val="2"/>
                <w:sz w:val="21"/>
                <w:szCs w:val="21"/>
                <w:lang w:val="en-GB" w:eastAsia="zh-CN" w:bidi="ar"/>
                <w14:ligatures w14:val="standardContextual"/>
              </w:rPr>
            </w:pPr>
            <w:r>
              <w:rPr>
                <w:rFonts w:hint="eastAsia" w:hAnsi="宋体" w:cs="宋体"/>
                <w:b w:val="0"/>
                <w:bCs w:val="0"/>
                <w:kern w:val="2"/>
                <w:sz w:val="21"/>
                <w:szCs w:val="21"/>
                <w:lang w:val="en-GB" w:eastAsia="zh-CN" w:bidi="ar"/>
                <w14:ligatures w14:val="standardContextual"/>
              </w:rPr>
              <w:t>风险程度</w:t>
            </w:r>
          </w:p>
        </w:tc>
        <w:tc>
          <w:tcPr>
            <w:tcW w:w="5220" w:type="dxa"/>
            <w:noWrap w:val="0"/>
            <w:tcMar>
              <w:left w:w="0" w:type="dxa"/>
              <w:right w:w="0" w:type="dxa"/>
            </w:tcMar>
            <w:vAlign w:val="center"/>
          </w:tcPr>
          <w:p>
            <w:pPr>
              <w:pStyle w:val="44"/>
              <w:widowControl w:val="0"/>
              <w:spacing w:before="0" w:beforeAutospacing="0" w:after="0" w:afterAutospacing="0" w:line="500" w:lineRule="exact"/>
              <w:ind w:firstLine="420" w:firstLineChars="200"/>
              <w:jc w:val="both"/>
              <w:rPr>
                <w:rFonts w:hint="eastAsia" w:hAnsi="宋体" w:cs="宋体"/>
                <w:b w:val="0"/>
                <w:bCs w:val="0"/>
                <w:kern w:val="2"/>
                <w:sz w:val="21"/>
                <w:szCs w:val="21"/>
                <w:lang w:val="en-GB" w:eastAsia="zh-CN" w:bidi="ar"/>
                <w14:ligatures w14:val="standardContextual"/>
              </w:rPr>
            </w:pPr>
            <w:r>
              <w:rPr>
                <w:rFonts w:hint="eastAsia" w:hAnsi="宋体" w:cs="宋体"/>
                <w:b w:val="0"/>
                <w:bCs w:val="0"/>
                <w:kern w:val="2"/>
                <w:sz w:val="21"/>
                <w:szCs w:val="21"/>
                <w:lang w:val="en-GB" w:eastAsia="zh-CN" w:bidi="ar"/>
                <w14:ligatures w14:val="standardContextual"/>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800" w:type="dxa"/>
            <w:noWrap w:val="0"/>
            <w:tcMar>
              <w:left w:w="0" w:type="dxa"/>
              <w:right w:w="0" w:type="dxa"/>
            </w:tcMar>
            <w:vAlign w:val="center"/>
          </w:tcPr>
          <w:p>
            <w:pPr>
              <w:pStyle w:val="44"/>
              <w:widowControl w:val="0"/>
              <w:spacing w:before="0" w:beforeAutospacing="0" w:after="0" w:afterAutospacing="0" w:line="500" w:lineRule="exact"/>
              <w:ind w:firstLine="420" w:firstLineChars="200"/>
              <w:jc w:val="both"/>
              <w:rPr>
                <w:rFonts w:hint="eastAsia" w:hAnsi="宋体" w:cs="宋体"/>
                <w:b w:val="0"/>
                <w:bCs w:val="0"/>
                <w:kern w:val="2"/>
                <w:sz w:val="21"/>
                <w:szCs w:val="21"/>
                <w:lang w:val="en-GB" w:eastAsia="zh-CN" w:bidi="ar"/>
                <w14:ligatures w14:val="standardContextual"/>
              </w:rPr>
            </w:pPr>
            <w:r>
              <w:rPr>
                <w:rFonts w:hint="eastAsia" w:hAnsi="宋体" w:cs="宋体"/>
                <w:b w:val="0"/>
                <w:bCs w:val="0"/>
                <w:kern w:val="2"/>
                <w:sz w:val="21"/>
                <w:szCs w:val="21"/>
                <w:lang w:val="en-GB" w:eastAsia="zh-CN" w:bidi="ar"/>
                <w14:ligatures w14:val="standardContextual"/>
              </w:rPr>
              <w:t>可容许的</w:t>
            </w:r>
          </w:p>
        </w:tc>
        <w:tc>
          <w:tcPr>
            <w:tcW w:w="5220" w:type="dxa"/>
            <w:noWrap w:val="0"/>
            <w:tcMar>
              <w:left w:w="0" w:type="dxa"/>
              <w:right w:w="0" w:type="dxa"/>
            </w:tcMar>
            <w:vAlign w:val="center"/>
          </w:tcPr>
          <w:p>
            <w:pPr>
              <w:pStyle w:val="44"/>
              <w:widowControl w:val="0"/>
              <w:spacing w:before="0" w:beforeAutospacing="0" w:after="0" w:afterAutospacing="0" w:line="500" w:lineRule="exact"/>
              <w:ind w:firstLine="420" w:firstLineChars="200"/>
              <w:jc w:val="both"/>
              <w:rPr>
                <w:rFonts w:hint="eastAsia" w:hAnsi="宋体" w:cs="宋体"/>
                <w:b w:val="0"/>
                <w:bCs w:val="0"/>
                <w:kern w:val="2"/>
                <w:sz w:val="21"/>
                <w:szCs w:val="21"/>
                <w:lang w:val="en-GB" w:eastAsia="zh-CN" w:bidi="ar"/>
                <w14:ligatures w14:val="standardContextual"/>
              </w:rPr>
            </w:pPr>
            <w:r>
              <w:rPr>
                <w:rFonts w:hint="eastAsia" w:hAnsi="宋体" w:cs="宋体"/>
                <w:b w:val="0"/>
                <w:bCs w:val="0"/>
                <w:kern w:val="2"/>
                <w:sz w:val="21"/>
                <w:szCs w:val="21"/>
                <w:lang w:val="en-GB" w:eastAsia="zh-CN" w:bidi="ar"/>
                <w14:ligatures w14:val="standardContextual"/>
              </w:rPr>
              <w:t>维持现状,保持记录，但要进行检查或测量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800" w:type="dxa"/>
            <w:noWrap w:val="0"/>
            <w:tcMar>
              <w:left w:w="0" w:type="dxa"/>
              <w:right w:w="0" w:type="dxa"/>
            </w:tcMar>
            <w:vAlign w:val="center"/>
          </w:tcPr>
          <w:p>
            <w:pPr>
              <w:pStyle w:val="44"/>
              <w:widowControl w:val="0"/>
              <w:spacing w:before="0" w:beforeAutospacing="0" w:after="0" w:afterAutospacing="0" w:line="500" w:lineRule="exact"/>
              <w:ind w:firstLine="420" w:firstLineChars="200"/>
              <w:jc w:val="both"/>
              <w:rPr>
                <w:rFonts w:hint="eastAsia" w:hAnsi="宋体" w:cs="宋体"/>
                <w:b w:val="0"/>
                <w:bCs w:val="0"/>
                <w:kern w:val="2"/>
                <w:sz w:val="21"/>
                <w:szCs w:val="21"/>
                <w:lang w:val="en-GB" w:eastAsia="en-US" w:bidi="ar"/>
                <w14:ligatures w14:val="standardContextual"/>
              </w:rPr>
            </w:pPr>
            <w:r>
              <w:rPr>
                <w:rFonts w:hint="eastAsia" w:hAnsi="宋体" w:cs="宋体"/>
                <w:b w:val="0"/>
                <w:bCs w:val="0"/>
                <w:kern w:val="2"/>
                <w:sz w:val="21"/>
                <w:szCs w:val="21"/>
                <w:lang w:val="en-GB" w:eastAsia="en-US" w:bidi="ar"/>
                <w14:ligatures w14:val="standardContextual"/>
              </w:rPr>
              <w:t>中等的</w:t>
            </w:r>
          </w:p>
        </w:tc>
        <w:tc>
          <w:tcPr>
            <w:tcW w:w="5220" w:type="dxa"/>
            <w:noWrap w:val="0"/>
            <w:tcMar>
              <w:left w:w="0" w:type="dxa"/>
              <w:right w:w="0" w:type="dxa"/>
            </w:tcMar>
            <w:vAlign w:val="center"/>
          </w:tcPr>
          <w:p>
            <w:pPr>
              <w:pStyle w:val="44"/>
              <w:widowControl w:val="0"/>
              <w:spacing w:before="0" w:beforeAutospacing="0" w:after="0" w:afterAutospacing="0" w:line="500" w:lineRule="exact"/>
              <w:ind w:firstLine="420" w:firstLineChars="200"/>
              <w:jc w:val="both"/>
              <w:rPr>
                <w:rFonts w:hint="eastAsia" w:hAnsi="宋体" w:cs="宋体"/>
                <w:b w:val="0"/>
                <w:bCs w:val="0"/>
                <w:kern w:val="2"/>
                <w:sz w:val="21"/>
                <w:szCs w:val="21"/>
                <w:lang w:val="en-GB" w:eastAsia="zh-CN" w:bidi="ar"/>
                <w14:ligatures w14:val="standardContextual"/>
              </w:rPr>
            </w:pPr>
            <w:r>
              <w:rPr>
                <w:rFonts w:hint="eastAsia" w:hAnsi="宋体" w:cs="宋体"/>
                <w:b w:val="0"/>
                <w:bCs w:val="0"/>
                <w:kern w:val="2"/>
                <w:sz w:val="21"/>
                <w:szCs w:val="21"/>
                <w:lang w:val="en-GB" w:eastAsia="zh-CN" w:bidi="ar"/>
                <w14:ligatures w14:val="standardContextual"/>
              </w:rPr>
              <w:t>制定管理制度、规定进行控制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800" w:type="dxa"/>
            <w:noWrap w:val="0"/>
            <w:tcMar>
              <w:left w:w="0" w:type="dxa"/>
              <w:right w:w="0" w:type="dxa"/>
            </w:tcMar>
            <w:vAlign w:val="center"/>
          </w:tcPr>
          <w:p>
            <w:pPr>
              <w:pStyle w:val="44"/>
              <w:widowControl w:val="0"/>
              <w:spacing w:before="0" w:beforeAutospacing="0" w:after="0" w:afterAutospacing="0" w:line="500" w:lineRule="exact"/>
              <w:ind w:firstLine="420" w:firstLineChars="200"/>
              <w:jc w:val="both"/>
              <w:rPr>
                <w:rFonts w:hint="eastAsia" w:hAnsi="宋体" w:cs="宋体"/>
                <w:b w:val="0"/>
                <w:bCs w:val="0"/>
                <w:kern w:val="2"/>
                <w:sz w:val="21"/>
                <w:szCs w:val="21"/>
                <w:lang w:val="en-GB" w:eastAsia="en-US" w:bidi="ar"/>
                <w14:ligatures w14:val="standardContextual"/>
              </w:rPr>
            </w:pPr>
            <w:r>
              <w:rPr>
                <w:rFonts w:hint="eastAsia" w:hAnsi="宋体" w:cs="宋体"/>
                <w:b w:val="0"/>
                <w:bCs w:val="0"/>
                <w:kern w:val="2"/>
                <w:sz w:val="21"/>
                <w:szCs w:val="21"/>
                <w:lang w:val="en-GB" w:eastAsia="en-US" w:bidi="ar"/>
                <w14:ligatures w14:val="standardContextual"/>
              </w:rPr>
              <w:t>重大的</w:t>
            </w:r>
          </w:p>
        </w:tc>
        <w:tc>
          <w:tcPr>
            <w:tcW w:w="5220" w:type="dxa"/>
            <w:noWrap w:val="0"/>
            <w:tcMar>
              <w:left w:w="0" w:type="dxa"/>
              <w:right w:w="0" w:type="dxa"/>
            </w:tcMar>
            <w:vAlign w:val="center"/>
          </w:tcPr>
          <w:p>
            <w:pPr>
              <w:pStyle w:val="44"/>
              <w:widowControl w:val="0"/>
              <w:spacing w:before="0" w:beforeAutospacing="0" w:after="0" w:afterAutospacing="0" w:line="500" w:lineRule="exact"/>
              <w:ind w:firstLine="420" w:firstLineChars="200"/>
              <w:jc w:val="both"/>
              <w:rPr>
                <w:rFonts w:hint="eastAsia" w:hAnsi="宋体" w:cs="宋体"/>
                <w:b w:val="0"/>
                <w:bCs w:val="0"/>
                <w:kern w:val="2"/>
                <w:sz w:val="21"/>
                <w:szCs w:val="21"/>
                <w:lang w:val="en-GB" w:eastAsia="zh-CN" w:bidi="ar"/>
                <w14:ligatures w14:val="standardContextual"/>
              </w:rPr>
            </w:pPr>
            <w:r>
              <w:rPr>
                <w:rFonts w:hint="eastAsia" w:hAnsi="宋体" w:cs="宋体"/>
                <w:b w:val="0"/>
                <w:bCs w:val="0"/>
                <w:kern w:val="2"/>
                <w:sz w:val="21"/>
                <w:szCs w:val="21"/>
                <w:lang w:val="en-GB" w:eastAsia="zh-CN" w:bidi="ar"/>
                <w14:ligatures w14:val="standardContextual"/>
              </w:rPr>
              <w:t>制定目标、指标、管理方案,限期治理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800" w:type="dxa"/>
            <w:noWrap w:val="0"/>
            <w:tcMar>
              <w:left w:w="0" w:type="dxa"/>
              <w:right w:w="0" w:type="dxa"/>
            </w:tcMar>
            <w:vAlign w:val="center"/>
          </w:tcPr>
          <w:p>
            <w:pPr>
              <w:pStyle w:val="44"/>
              <w:widowControl w:val="0"/>
              <w:spacing w:before="0" w:beforeAutospacing="0" w:after="0" w:afterAutospacing="0" w:line="500" w:lineRule="exact"/>
              <w:ind w:firstLine="420" w:firstLineChars="200"/>
              <w:jc w:val="both"/>
              <w:rPr>
                <w:rFonts w:hint="eastAsia" w:hAnsi="宋体" w:cs="宋体"/>
                <w:b w:val="0"/>
                <w:bCs w:val="0"/>
                <w:kern w:val="2"/>
                <w:sz w:val="21"/>
                <w:szCs w:val="21"/>
                <w:lang w:val="en-GB" w:eastAsia="en-US" w:bidi="ar"/>
                <w14:ligatures w14:val="standardContextual"/>
              </w:rPr>
            </w:pPr>
            <w:r>
              <w:rPr>
                <w:rFonts w:hint="eastAsia" w:hAnsi="宋体" w:cs="宋体"/>
                <w:b w:val="0"/>
                <w:bCs w:val="0"/>
                <w:kern w:val="2"/>
                <w:sz w:val="21"/>
                <w:szCs w:val="21"/>
                <w:lang w:val="en-GB" w:eastAsia="en-US" w:bidi="ar"/>
                <w14:ligatures w14:val="standardContextual"/>
              </w:rPr>
              <w:t>不可容许的</w:t>
            </w:r>
          </w:p>
        </w:tc>
        <w:tc>
          <w:tcPr>
            <w:tcW w:w="5220" w:type="dxa"/>
            <w:noWrap w:val="0"/>
            <w:tcMar>
              <w:left w:w="0" w:type="dxa"/>
              <w:right w:w="0" w:type="dxa"/>
            </w:tcMar>
            <w:vAlign w:val="center"/>
          </w:tcPr>
          <w:p>
            <w:pPr>
              <w:pStyle w:val="44"/>
              <w:widowControl w:val="0"/>
              <w:spacing w:before="0" w:beforeAutospacing="0" w:after="0" w:afterAutospacing="0" w:line="500" w:lineRule="exact"/>
              <w:ind w:firstLine="420" w:firstLineChars="200"/>
              <w:jc w:val="both"/>
              <w:rPr>
                <w:rFonts w:hint="eastAsia" w:hAnsi="宋体" w:cs="宋体"/>
                <w:b w:val="0"/>
                <w:bCs w:val="0"/>
                <w:kern w:val="2"/>
                <w:sz w:val="21"/>
                <w:szCs w:val="21"/>
                <w:lang w:val="en-GB" w:eastAsia="zh-CN" w:bidi="ar"/>
                <w14:ligatures w14:val="standardContextual"/>
              </w:rPr>
            </w:pPr>
            <w:r>
              <w:rPr>
                <w:rFonts w:hint="eastAsia" w:hAnsi="宋体" w:cs="宋体"/>
                <w:b w:val="0"/>
                <w:bCs w:val="0"/>
                <w:kern w:val="2"/>
                <w:sz w:val="21"/>
                <w:szCs w:val="21"/>
                <w:lang w:val="en-GB" w:eastAsia="zh-CN" w:bidi="ar"/>
                <w14:ligatures w14:val="standardContextual"/>
              </w:rPr>
              <w:t>立即采取隐患治理措施</w:t>
            </w:r>
          </w:p>
        </w:tc>
      </w:tr>
    </w:tbl>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GB" w:eastAsia="zh-CN" w:bidi="ar"/>
          <w14:ligatures w14:val="standardContextual"/>
        </w:rPr>
      </w:pPr>
      <w:r>
        <w:rPr>
          <w:rFonts w:hint="eastAsia" w:hAnsi="宋体" w:cs="宋体"/>
          <w:b w:val="0"/>
          <w:bCs w:val="0"/>
          <w:kern w:val="2"/>
          <w:szCs w:val="20"/>
          <w:lang w:val="en-US" w:eastAsia="zh-CN" w:bidi="ar"/>
          <w14:ligatures w14:val="standardContextual"/>
        </w:rPr>
        <w:t>4）</w:t>
      </w:r>
      <w:r>
        <w:rPr>
          <w:rFonts w:hint="eastAsia" w:hAnsi="宋体" w:cs="宋体"/>
          <w:b w:val="0"/>
          <w:bCs w:val="0"/>
          <w:kern w:val="2"/>
          <w:szCs w:val="20"/>
          <w:lang w:val="en-GB" w:eastAsia="zh-CN" w:bidi="ar"/>
          <w14:ligatures w14:val="standardContextual"/>
        </w:rPr>
        <w:t>危害管理方法</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US" w:eastAsia="zh-CN" w:bidi="ar"/>
          <w14:ligatures w14:val="standardContextual"/>
        </w:rPr>
      </w:pPr>
      <w:r>
        <w:rPr>
          <w:rFonts w:hint="eastAsia" w:hAnsi="宋体" w:cs="宋体"/>
          <w:b w:val="0"/>
          <w:bCs w:val="0"/>
          <w:kern w:val="2"/>
          <w:szCs w:val="20"/>
          <w:lang w:val="en-US" w:eastAsia="zh-CN" w:bidi="ar"/>
          <w14:ligatures w14:val="standardContextual"/>
        </w:rPr>
        <w:t>投标人应根据所确定的评估对象的作业性质和危害复杂程度，选择一种或结合多种评估方法，包括工作危害分析（JHA）、安全检查表法（SCL）等方法进行。</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US" w:eastAsia="zh-CN" w:bidi="ar"/>
          <w14:ligatures w14:val="standardContextual"/>
        </w:rPr>
      </w:pPr>
      <w:r>
        <w:rPr>
          <w:rFonts w:hint="eastAsia" w:hAnsi="宋体" w:cs="宋体"/>
          <w:b w:val="0"/>
          <w:bCs w:val="0"/>
          <w:kern w:val="2"/>
          <w:szCs w:val="20"/>
          <w:lang w:val="en-US" w:eastAsia="zh-CN" w:bidi="ar"/>
          <w14:ligatures w14:val="standardContextual"/>
        </w:rPr>
        <w:t>（1）工作安全分析和作业指导书</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GB" w:eastAsia="zh-CN" w:bidi="ar"/>
          <w14:ligatures w14:val="standardContextual"/>
        </w:rPr>
      </w:pPr>
      <w:r>
        <w:rPr>
          <w:rFonts w:hint="eastAsia" w:hAnsi="宋体" w:cs="宋体"/>
          <w:b w:val="0"/>
          <w:bCs w:val="0"/>
          <w:kern w:val="2"/>
          <w:szCs w:val="20"/>
          <w:lang w:val="en-US" w:eastAsia="zh-CN" w:bidi="ar"/>
          <w14:ligatures w14:val="standardContextual"/>
        </w:rPr>
        <w:t>①</w:t>
      </w:r>
      <w:r>
        <w:rPr>
          <w:rFonts w:hint="eastAsia" w:hAnsi="宋体" w:cs="宋体"/>
          <w:b w:val="0"/>
          <w:bCs w:val="0"/>
          <w:kern w:val="2"/>
          <w:szCs w:val="20"/>
          <w:lang w:val="en-GB" w:eastAsia="zh-CN" w:bidi="ar"/>
          <w14:ligatures w14:val="standardContextual"/>
        </w:rPr>
        <w:t>JHA是用于增强危险意识的一种方法。JHA是为了确保监督员执行监督责任，包括分析工作危险分布和为员工提供安全的指导。</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GB" w:eastAsia="zh-CN" w:bidi="ar"/>
          <w14:ligatures w14:val="standardContextual"/>
        </w:rPr>
      </w:pPr>
      <w:r>
        <w:rPr>
          <w:rFonts w:hint="eastAsia" w:hAnsi="宋体" w:cs="宋体"/>
          <w:b w:val="0"/>
          <w:bCs w:val="0"/>
          <w:kern w:val="2"/>
          <w:szCs w:val="20"/>
          <w:lang w:val="en-US" w:eastAsia="zh-CN" w:bidi="ar"/>
          <w14:ligatures w14:val="standardContextual"/>
        </w:rPr>
        <w:t>②</w:t>
      </w:r>
      <w:r>
        <w:rPr>
          <w:rFonts w:hint="eastAsia" w:hAnsi="宋体" w:cs="宋体"/>
          <w:b w:val="0"/>
          <w:bCs w:val="0"/>
          <w:kern w:val="2"/>
          <w:szCs w:val="20"/>
          <w:lang w:val="en-GB" w:eastAsia="zh-CN" w:bidi="ar"/>
          <w14:ligatures w14:val="standardContextual"/>
        </w:rPr>
        <w:t>开发和应用系统方法，以使雇员认识危险性，明确培训要求，合理安排计划，确保安全有效的工作环境。</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GB" w:eastAsia="zh-CN" w:bidi="ar"/>
          <w14:ligatures w14:val="standardContextual"/>
        </w:rPr>
      </w:pPr>
      <w:r>
        <w:rPr>
          <w:rFonts w:hint="eastAsia" w:hAnsi="宋体" w:cs="宋体"/>
          <w:b w:val="0"/>
          <w:bCs w:val="0"/>
          <w:kern w:val="2"/>
          <w:szCs w:val="20"/>
          <w:lang w:val="en-US" w:eastAsia="zh-CN" w:bidi="ar"/>
          <w14:ligatures w14:val="standardContextual"/>
        </w:rPr>
        <w:t>③</w:t>
      </w:r>
      <w:r>
        <w:rPr>
          <w:rFonts w:hint="eastAsia" w:hAnsi="宋体" w:cs="宋体"/>
          <w:b w:val="0"/>
          <w:bCs w:val="0"/>
          <w:kern w:val="2"/>
          <w:szCs w:val="20"/>
          <w:lang w:val="en-GB" w:eastAsia="zh-CN" w:bidi="ar"/>
          <w14:ligatures w14:val="standardContextual"/>
        </w:rPr>
        <w:t>第一线的</w:t>
      </w:r>
      <w:r>
        <w:rPr>
          <w:rFonts w:hint="eastAsia" w:hAnsi="宋体" w:cs="宋体"/>
          <w:b w:val="0"/>
          <w:bCs w:val="0"/>
          <w:kern w:val="2"/>
          <w:szCs w:val="20"/>
          <w:lang w:val="en-US" w:eastAsia="zh-CN" w:bidi="ar"/>
          <w14:ligatures w14:val="standardContextual"/>
        </w:rPr>
        <w:t>安全生产</w:t>
      </w:r>
      <w:r>
        <w:rPr>
          <w:rFonts w:hint="eastAsia" w:hAnsi="宋体" w:cs="宋体"/>
          <w:b w:val="0"/>
          <w:bCs w:val="0"/>
          <w:kern w:val="2"/>
          <w:szCs w:val="20"/>
          <w:lang w:val="en-GB" w:eastAsia="zh-CN" w:bidi="ar"/>
          <w14:ligatures w14:val="standardContextual"/>
        </w:rPr>
        <w:t>监督员在每项工作开始前引导员工进行JHA。</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GB" w:eastAsia="zh-CN" w:bidi="ar"/>
          <w14:ligatures w14:val="standardContextual"/>
        </w:rPr>
      </w:pPr>
      <w:r>
        <w:rPr>
          <w:rFonts w:hint="eastAsia" w:hAnsi="宋体" w:cs="宋体"/>
          <w:b w:val="0"/>
          <w:bCs w:val="0"/>
          <w:kern w:val="2"/>
          <w:szCs w:val="20"/>
          <w:lang w:val="en-US" w:eastAsia="zh-CN" w:bidi="ar"/>
          <w14:ligatures w14:val="standardContextual"/>
        </w:rPr>
        <w:t>④</w:t>
      </w:r>
      <w:r>
        <w:rPr>
          <w:rFonts w:hint="eastAsia" w:hAnsi="宋体" w:cs="宋体"/>
          <w:b w:val="0"/>
          <w:bCs w:val="0"/>
          <w:kern w:val="2"/>
          <w:szCs w:val="20"/>
          <w:lang w:val="en-GB" w:eastAsia="zh-CN" w:bidi="ar"/>
          <w14:ligatures w14:val="standardContextual"/>
        </w:rPr>
        <w:t>所有的工作将进行危险分析，并确定采取的安全措施。</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GB" w:eastAsia="zh-CN" w:bidi="ar"/>
          <w14:ligatures w14:val="standardContextual"/>
        </w:rPr>
      </w:pPr>
      <w:r>
        <w:rPr>
          <w:rFonts w:hint="eastAsia" w:hAnsi="宋体" w:cs="宋体"/>
          <w:b w:val="0"/>
          <w:bCs w:val="0"/>
          <w:kern w:val="2"/>
          <w:szCs w:val="20"/>
          <w:lang w:val="en-US" w:eastAsia="zh-CN" w:bidi="ar"/>
          <w14:ligatures w14:val="standardContextual"/>
        </w:rPr>
        <w:t>⑤</w:t>
      </w:r>
      <w:r>
        <w:rPr>
          <w:rFonts w:hint="eastAsia" w:hAnsi="宋体" w:cs="宋体"/>
          <w:b w:val="0"/>
          <w:bCs w:val="0"/>
          <w:kern w:val="2"/>
          <w:szCs w:val="20"/>
          <w:lang w:val="en-GB" w:eastAsia="zh-CN" w:bidi="ar"/>
          <w14:ligatures w14:val="standardContextual"/>
        </w:rPr>
        <w:t>对于需要工作许可证的工作，投标人应负责执行JHA及附件和已有工作的指导。</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GB" w:eastAsia="zh-CN" w:bidi="ar"/>
          <w14:ligatures w14:val="standardContextual"/>
        </w:rPr>
      </w:pPr>
      <w:r>
        <w:rPr>
          <w:rFonts w:hint="eastAsia" w:hAnsi="宋体" w:cs="宋体"/>
          <w:b w:val="0"/>
          <w:bCs w:val="0"/>
          <w:kern w:val="2"/>
          <w:szCs w:val="20"/>
          <w:lang w:val="en-US" w:eastAsia="zh-CN" w:bidi="ar"/>
          <w14:ligatures w14:val="standardContextual"/>
        </w:rPr>
        <w:t>⑥</w:t>
      </w:r>
      <w:r>
        <w:rPr>
          <w:rFonts w:hint="eastAsia" w:hAnsi="宋体" w:cs="宋体"/>
          <w:b w:val="0"/>
          <w:bCs w:val="0"/>
          <w:kern w:val="2"/>
          <w:szCs w:val="20"/>
          <w:lang w:val="en-GB" w:eastAsia="zh-CN" w:bidi="ar"/>
          <w14:ligatures w14:val="standardContextual"/>
        </w:rPr>
        <w:t>工作量决定分配给JHA的时间。</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GB" w:eastAsia="zh-CN" w:bidi="ar"/>
          <w14:ligatures w14:val="standardContextual"/>
        </w:rPr>
      </w:pPr>
      <w:r>
        <w:rPr>
          <w:rFonts w:hint="eastAsia" w:hAnsi="宋体" w:cs="宋体"/>
          <w:b w:val="0"/>
          <w:bCs w:val="0"/>
          <w:kern w:val="2"/>
          <w:szCs w:val="20"/>
          <w:lang w:val="en-GB" w:eastAsia="zh-CN" w:bidi="ar"/>
          <w14:ligatures w14:val="standardContextual"/>
        </w:rPr>
        <w:t>⑦无论是否发生事故，监督员忽视JHA的使用失职是事故预防计划中最严重的错误。</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GB" w:eastAsia="zh-CN" w:bidi="ar"/>
          <w14:ligatures w14:val="standardContextual"/>
        </w:rPr>
      </w:pPr>
      <w:r>
        <w:rPr>
          <w:rFonts w:hint="eastAsia" w:hAnsi="宋体" w:cs="宋体"/>
          <w:b w:val="0"/>
          <w:bCs w:val="0"/>
          <w:kern w:val="2"/>
          <w:szCs w:val="20"/>
          <w:lang w:val="en-GB" w:eastAsia="zh-CN" w:bidi="ar"/>
          <w14:ligatures w14:val="standardContextual"/>
        </w:rPr>
        <w:t>⑧投标人应制定详细的安全操作规程和作业指导书，并规定一种监测JHA方案的方法，以确保JHA充分执行。应包括对遵守者的正面奖励和对不遵守者的处罚，并形成文件。</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US" w:eastAsia="zh-CN" w:bidi="ar"/>
          <w14:ligatures w14:val="standardContextual"/>
        </w:rPr>
      </w:pPr>
      <w:r>
        <w:rPr>
          <w:rFonts w:hint="eastAsia" w:hAnsi="宋体" w:cs="宋体"/>
          <w:b w:val="0"/>
          <w:bCs w:val="0"/>
          <w:kern w:val="2"/>
          <w:szCs w:val="20"/>
          <w:lang w:val="en-US" w:eastAsia="zh-CN" w:bidi="ar"/>
          <w14:ligatures w14:val="standardContextual"/>
        </w:rPr>
        <w:t>（2）投标人应按照业主相关要求进行工作安全分析。</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US" w:eastAsia="zh-CN" w:bidi="ar"/>
          <w14:ligatures w14:val="standardContextual"/>
        </w:rPr>
      </w:pPr>
      <w:r>
        <w:rPr>
          <w:rFonts w:hint="eastAsia" w:hAnsi="宋体" w:cs="宋体"/>
          <w:b w:val="0"/>
          <w:bCs w:val="0"/>
          <w:kern w:val="2"/>
          <w:szCs w:val="20"/>
          <w:lang w:val="en-US" w:eastAsia="zh-CN" w:bidi="ar"/>
          <w14:ligatures w14:val="standardContextual"/>
        </w:rPr>
        <w:t xml:space="preserve">12.2.7环境保护管理 </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GB" w:eastAsia="zh-CN" w:bidi="ar"/>
          <w14:ligatures w14:val="standardContextual"/>
        </w:rPr>
      </w:pPr>
      <w:r>
        <w:rPr>
          <w:rFonts w:hint="eastAsia" w:hAnsi="宋体" w:cs="宋体"/>
          <w:b w:val="0"/>
          <w:bCs w:val="0"/>
          <w:kern w:val="2"/>
          <w:szCs w:val="20"/>
          <w:lang w:val="en-US" w:eastAsia="zh-CN" w:bidi="ar"/>
          <w14:ligatures w14:val="standardContextual"/>
        </w:rPr>
        <w:t>1）</w:t>
      </w:r>
      <w:r>
        <w:rPr>
          <w:rFonts w:hint="eastAsia" w:hAnsi="宋体" w:cs="宋体"/>
          <w:b w:val="0"/>
          <w:bCs w:val="0"/>
          <w:kern w:val="2"/>
          <w:szCs w:val="20"/>
          <w:lang w:val="en-GB" w:eastAsia="zh-CN" w:bidi="ar"/>
          <w14:ligatures w14:val="standardContextual"/>
        </w:rPr>
        <w:t>在项目的设计、采购、施工、试运行和开工阶段都应注意环境保护。</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GB" w:eastAsia="zh-CN" w:bidi="ar"/>
          <w14:ligatures w14:val="standardContextual"/>
        </w:rPr>
      </w:pPr>
      <w:r>
        <w:rPr>
          <w:rFonts w:hint="eastAsia" w:hAnsi="宋体" w:cs="宋体"/>
          <w:b w:val="0"/>
          <w:bCs w:val="0"/>
          <w:kern w:val="2"/>
          <w:szCs w:val="20"/>
          <w:lang w:val="en-US" w:eastAsia="zh-CN" w:bidi="ar"/>
          <w14:ligatures w14:val="standardContextual"/>
        </w:rPr>
        <w:t>2）</w:t>
      </w:r>
      <w:r>
        <w:rPr>
          <w:rFonts w:hint="eastAsia" w:hAnsi="宋体" w:cs="宋体"/>
          <w:b w:val="0"/>
          <w:bCs w:val="0"/>
          <w:kern w:val="2"/>
          <w:szCs w:val="20"/>
          <w:lang w:val="en-GB" w:eastAsia="zh-CN" w:bidi="ar"/>
          <w14:ligatures w14:val="standardContextual"/>
        </w:rPr>
        <w:t>在工作时应保证：</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GB" w:eastAsia="zh-CN" w:bidi="ar"/>
          <w14:ligatures w14:val="standardContextual"/>
        </w:rPr>
      </w:pPr>
      <w:r>
        <w:rPr>
          <w:rFonts w:hint="eastAsia" w:hAnsi="宋体" w:cs="宋体"/>
          <w:b w:val="0"/>
          <w:bCs w:val="0"/>
          <w:kern w:val="2"/>
          <w:szCs w:val="20"/>
          <w:lang w:val="en-US" w:eastAsia="zh-CN" w:bidi="ar"/>
          <w14:ligatures w14:val="standardContextual"/>
        </w:rPr>
        <w:t>（1）</w:t>
      </w:r>
      <w:r>
        <w:rPr>
          <w:rFonts w:hint="eastAsia" w:hAnsi="宋体" w:cs="宋体"/>
          <w:b w:val="0"/>
          <w:bCs w:val="0"/>
          <w:kern w:val="2"/>
          <w:szCs w:val="20"/>
          <w:lang w:val="en-GB" w:eastAsia="zh-CN" w:bidi="ar"/>
          <w14:ligatures w14:val="standardContextual"/>
        </w:rPr>
        <w:t>采取有效措施控制废水排放，避免污染土地和地下水网系统；</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GB" w:eastAsia="zh-CN" w:bidi="ar"/>
          <w14:ligatures w14:val="standardContextual"/>
        </w:rPr>
      </w:pPr>
      <w:r>
        <w:rPr>
          <w:rFonts w:hint="eastAsia" w:hAnsi="宋体" w:cs="宋体"/>
          <w:b w:val="0"/>
          <w:bCs w:val="0"/>
          <w:kern w:val="2"/>
          <w:szCs w:val="20"/>
          <w:lang w:val="en-US" w:eastAsia="zh-CN" w:bidi="ar"/>
          <w14:ligatures w14:val="standardContextual"/>
        </w:rPr>
        <w:t>（2）</w:t>
      </w:r>
      <w:r>
        <w:rPr>
          <w:rFonts w:hint="eastAsia" w:hAnsi="宋体" w:cs="宋体"/>
          <w:b w:val="0"/>
          <w:bCs w:val="0"/>
          <w:kern w:val="2"/>
          <w:szCs w:val="20"/>
          <w:lang w:val="en-GB" w:eastAsia="zh-CN" w:bidi="ar"/>
          <w14:ligatures w14:val="standardContextual"/>
        </w:rPr>
        <w:t>采取有效措施控制废气排放，防止大气污染；</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GB" w:eastAsia="zh-CN" w:bidi="ar"/>
          <w14:ligatures w14:val="standardContextual"/>
        </w:rPr>
      </w:pPr>
      <w:r>
        <w:rPr>
          <w:rFonts w:hint="eastAsia" w:hAnsi="宋体" w:cs="宋体"/>
          <w:b w:val="0"/>
          <w:bCs w:val="0"/>
          <w:kern w:val="2"/>
          <w:szCs w:val="20"/>
          <w:lang w:val="en-US" w:eastAsia="zh-CN" w:bidi="ar"/>
          <w14:ligatures w14:val="standardContextual"/>
        </w:rPr>
        <w:t>（3）</w:t>
      </w:r>
      <w:r>
        <w:rPr>
          <w:rFonts w:hint="eastAsia" w:hAnsi="宋体" w:cs="宋体"/>
          <w:b w:val="0"/>
          <w:bCs w:val="0"/>
          <w:kern w:val="2"/>
          <w:szCs w:val="20"/>
          <w:lang w:val="en-GB" w:eastAsia="zh-CN" w:bidi="ar"/>
          <w14:ligatures w14:val="standardContextual"/>
        </w:rPr>
        <w:t>保持清洁卫生的现场环境，提供安全健康的作业场所。</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US" w:eastAsia="zh-CN" w:bidi="ar"/>
          <w14:ligatures w14:val="standardContextual"/>
        </w:rPr>
      </w:pPr>
      <w:r>
        <w:rPr>
          <w:rFonts w:hint="eastAsia" w:hAnsi="宋体" w:cs="宋体"/>
          <w:b w:val="0"/>
          <w:bCs w:val="0"/>
          <w:kern w:val="2"/>
          <w:szCs w:val="20"/>
          <w:lang w:val="en-US" w:eastAsia="zh-CN" w:bidi="ar"/>
          <w14:ligatures w14:val="standardContextual"/>
        </w:rPr>
        <w:t>12.2.8施工前要求</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US" w:eastAsia="zh-CN" w:bidi="ar"/>
          <w14:ligatures w14:val="standardContextual"/>
        </w:rPr>
      </w:pPr>
      <w:r>
        <w:rPr>
          <w:rFonts w:hint="eastAsia" w:hAnsi="宋体" w:cs="宋体"/>
          <w:b w:val="0"/>
          <w:bCs w:val="0"/>
          <w:kern w:val="2"/>
          <w:szCs w:val="20"/>
          <w:lang w:val="en-US" w:eastAsia="zh-CN" w:bidi="ar"/>
          <w14:ligatures w14:val="standardContextual"/>
        </w:rPr>
        <w:t>合同签定后，投标人在项目开工前应做好如下工作：</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GB" w:eastAsia="zh-CN" w:bidi="ar"/>
          <w14:ligatures w14:val="standardContextual"/>
        </w:rPr>
      </w:pPr>
      <w:r>
        <w:rPr>
          <w:rFonts w:hint="eastAsia" w:hAnsi="宋体" w:cs="宋体"/>
          <w:b w:val="0"/>
          <w:bCs w:val="0"/>
          <w:kern w:val="2"/>
          <w:szCs w:val="20"/>
          <w:lang w:val="en-US" w:eastAsia="zh-CN" w:bidi="ar"/>
          <w14:ligatures w14:val="standardContextual"/>
        </w:rPr>
        <w:t>1）</w:t>
      </w:r>
      <w:r>
        <w:rPr>
          <w:rFonts w:hint="eastAsia" w:hAnsi="宋体" w:cs="宋体"/>
          <w:b w:val="0"/>
          <w:bCs w:val="0"/>
          <w:kern w:val="2"/>
          <w:szCs w:val="20"/>
          <w:lang w:val="en-GB" w:eastAsia="zh-CN" w:bidi="ar"/>
          <w14:ligatures w14:val="standardContextual"/>
        </w:rPr>
        <w:t>由投标人组织项目的人员学习业主的</w:t>
      </w:r>
      <w:r>
        <w:rPr>
          <w:rFonts w:hint="eastAsia" w:hAnsi="宋体" w:cs="宋体"/>
          <w:b w:val="0"/>
          <w:bCs w:val="0"/>
          <w:kern w:val="2"/>
          <w:szCs w:val="20"/>
          <w:lang w:val="en-US" w:eastAsia="zh-CN" w:bidi="ar"/>
          <w14:ligatures w14:val="standardContextual"/>
        </w:rPr>
        <w:t>安全生产</w:t>
      </w:r>
      <w:r>
        <w:rPr>
          <w:rFonts w:hint="eastAsia" w:hAnsi="宋体" w:cs="宋体"/>
          <w:b w:val="0"/>
          <w:bCs w:val="0"/>
          <w:kern w:val="2"/>
          <w:szCs w:val="20"/>
          <w:lang w:val="en-GB" w:eastAsia="zh-CN" w:bidi="ar"/>
          <w14:ligatures w14:val="standardContextual"/>
        </w:rPr>
        <w:t>管理制度、规定以及施工期间的</w:t>
      </w:r>
      <w:r>
        <w:rPr>
          <w:rFonts w:hint="eastAsia" w:hAnsi="宋体" w:cs="宋体"/>
          <w:b w:val="0"/>
          <w:bCs w:val="0"/>
          <w:kern w:val="2"/>
          <w:szCs w:val="20"/>
          <w:lang w:val="en-US" w:eastAsia="zh-CN" w:bidi="ar"/>
          <w14:ligatures w14:val="standardContextual"/>
        </w:rPr>
        <w:t>安全生产</w:t>
      </w:r>
      <w:r>
        <w:rPr>
          <w:rFonts w:hint="eastAsia" w:hAnsi="宋体" w:cs="宋体"/>
          <w:b w:val="0"/>
          <w:bCs w:val="0"/>
          <w:kern w:val="2"/>
          <w:szCs w:val="20"/>
          <w:lang w:val="en-GB" w:eastAsia="zh-CN" w:bidi="ar"/>
          <w14:ligatures w14:val="standardContextual"/>
        </w:rPr>
        <w:t>方面的法律法规和要求；</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GB" w:eastAsia="zh-CN" w:bidi="ar"/>
          <w14:ligatures w14:val="standardContextual"/>
        </w:rPr>
      </w:pPr>
      <w:r>
        <w:rPr>
          <w:rFonts w:hint="eastAsia" w:hAnsi="宋体" w:cs="宋体"/>
          <w:b w:val="0"/>
          <w:bCs w:val="0"/>
          <w:kern w:val="2"/>
          <w:szCs w:val="20"/>
          <w:lang w:val="en-US" w:eastAsia="zh-CN" w:bidi="ar"/>
          <w14:ligatures w14:val="standardContextual"/>
        </w:rPr>
        <w:t>2）</w:t>
      </w:r>
      <w:r>
        <w:rPr>
          <w:rFonts w:hint="eastAsia" w:hAnsi="宋体" w:cs="宋体"/>
          <w:b w:val="0"/>
          <w:bCs w:val="0"/>
          <w:kern w:val="2"/>
          <w:szCs w:val="20"/>
          <w:lang w:val="en-GB" w:eastAsia="zh-CN" w:bidi="ar"/>
          <w14:ligatures w14:val="standardContextual"/>
        </w:rPr>
        <w:t>所有施工和管理人员参加由业主或投标人组织的入场安全培训和考试。投标人组织的入场培训内容应满足业主有关培训的要求，并记录备案。经考试合格登记备案后办理《现场出入证》后方能进入现场施工。</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GB" w:eastAsia="zh-CN" w:bidi="ar"/>
          <w14:ligatures w14:val="standardContextual"/>
        </w:rPr>
      </w:pPr>
      <w:r>
        <w:rPr>
          <w:rFonts w:hint="eastAsia" w:hAnsi="宋体" w:cs="宋体"/>
          <w:b w:val="0"/>
          <w:bCs w:val="0"/>
          <w:kern w:val="2"/>
          <w:szCs w:val="20"/>
          <w:lang w:val="en-US" w:eastAsia="zh-CN" w:bidi="ar"/>
          <w14:ligatures w14:val="standardContextual"/>
        </w:rPr>
        <w:t>3）</w:t>
      </w:r>
      <w:r>
        <w:rPr>
          <w:rFonts w:hint="eastAsia" w:hAnsi="宋体" w:cs="宋体"/>
          <w:b w:val="0"/>
          <w:bCs w:val="0"/>
          <w:kern w:val="2"/>
          <w:szCs w:val="20"/>
          <w:lang w:val="en-GB" w:eastAsia="zh-CN" w:bidi="ar"/>
          <w14:ligatures w14:val="standardContextual"/>
        </w:rPr>
        <w:t>与业主签定安全承诺书；</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GB" w:eastAsia="zh-CN" w:bidi="ar"/>
          <w14:ligatures w14:val="standardContextual"/>
        </w:rPr>
      </w:pPr>
      <w:r>
        <w:rPr>
          <w:rFonts w:hint="eastAsia" w:hAnsi="宋体" w:cs="宋体"/>
          <w:b w:val="0"/>
          <w:bCs w:val="0"/>
          <w:kern w:val="2"/>
          <w:szCs w:val="20"/>
          <w:lang w:val="en-US" w:eastAsia="zh-CN" w:bidi="ar"/>
          <w14:ligatures w14:val="standardContextual"/>
        </w:rPr>
        <w:t>4）</w:t>
      </w:r>
      <w:r>
        <w:rPr>
          <w:rFonts w:hint="eastAsia" w:hAnsi="宋体" w:cs="宋体"/>
          <w:b w:val="0"/>
          <w:bCs w:val="0"/>
          <w:kern w:val="2"/>
          <w:szCs w:val="20"/>
          <w:lang w:val="en-GB" w:eastAsia="zh-CN" w:bidi="ar"/>
          <w14:ligatures w14:val="standardContextual"/>
        </w:rPr>
        <w:t>办理施工人员出入证、车辆出入证、作业许可证；</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GB" w:eastAsia="zh-CN" w:bidi="ar"/>
          <w14:ligatures w14:val="standardContextual"/>
        </w:rPr>
      </w:pPr>
      <w:r>
        <w:rPr>
          <w:rFonts w:hint="eastAsia" w:hAnsi="宋体" w:cs="宋体"/>
          <w:b w:val="0"/>
          <w:bCs w:val="0"/>
          <w:kern w:val="2"/>
          <w:szCs w:val="20"/>
          <w:lang w:val="en-US" w:eastAsia="zh-CN" w:bidi="ar"/>
          <w14:ligatures w14:val="standardContextual"/>
        </w:rPr>
        <w:t>5）</w:t>
      </w:r>
      <w:r>
        <w:rPr>
          <w:rFonts w:hint="eastAsia" w:hAnsi="宋体" w:cs="宋体"/>
          <w:b w:val="0"/>
          <w:bCs w:val="0"/>
          <w:kern w:val="2"/>
          <w:szCs w:val="20"/>
          <w:lang w:val="en-GB" w:eastAsia="zh-CN" w:bidi="ar"/>
          <w14:ligatures w14:val="standardContextual"/>
        </w:rPr>
        <w:t>了解业主的</w:t>
      </w:r>
      <w:r>
        <w:rPr>
          <w:rFonts w:hint="eastAsia" w:hAnsi="宋体" w:cs="宋体"/>
          <w:b w:val="0"/>
          <w:bCs w:val="0"/>
          <w:kern w:val="2"/>
          <w:szCs w:val="20"/>
          <w:lang w:val="en-US" w:eastAsia="zh-CN" w:bidi="ar"/>
          <w14:ligatures w14:val="standardContextual"/>
        </w:rPr>
        <w:t>安全生产</w:t>
      </w:r>
      <w:r>
        <w:rPr>
          <w:rFonts w:hint="eastAsia" w:hAnsi="宋体" w:cs="宋体"/>
          <w:b w:val="0"/>
          <w:bCs w:val="0"/>
          <w:kern w:val="2"/>
          <w:szCs w:val="20"/>
          <w:lang w:val="en-GB" w:eastAsia="zh-CN" w:bidi="ar"/>
          <w14:ligatures w14:val="standardContextual"/>
        </w:rPr>
        <w:t>管理体系的有关政策，熟悉业主的</w:t>
      </w:r>
      <w:r>
        <w:rPr>
          <w:rFonts w:hint="eastAsia" w:hAnsi="宋体" w:cs="宋体"/>
          <w:b w:val="0"/>
          <w:bCs w:val="0"/>
          <w:kern w:val="2"/>
          <w:szCs w:val="20"/>
          <w:lang w:val="en-US" w:eastAsia="zh-CN" w:bidi="ar"/>
          <w14:ligatures w14:val="standardContextual"/>
        </w:rPr>
        <w:t>安全生产</w:t>
      </w:r>
      <w:r>
        <w:rPr>
          <w:rFonts w:hint="eastAsia" w:hAnsi="宋体" w:cs="宋体"/>
          <w:b w:val="0"/>
          <w:bCs w:val="0"/>
          <w:kern w:val="2"/>
          <w:szCs w:val="20"/>
          <w:lang w:val="en-GB" w:eastAsia="zh-CN" w:bidi="ar"/>
          <w14:ligatures w14:val="standardContextual"/>
        </w:rPr>
        <w:t>管理计划和程序；</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GB" w:eastAsia="zh-CN" w:bidi="ar"/>
          <w14:ligatures w14:val="standardContextual"/>
        </w:rPr>
      </w:pPr>
      <w:r>
        <w:rPr>
          <w:rFonts w:hint="eastAsia" w:hAnsi="宋体" w:cs="宋体"/>
          <w:b w:val="0"/>
          <w:bCs w:val="0"/>
          <w:kern w:val="2"/>
          <w:szCs w:val="20"/>
          <w:lang w:val="en-US" w:eastAsia="zh-CN" w:bidi="ar"/>
          <w14:ligatures w14:val="standardContextual"/>
        </w:rPr>
        <w:t>6）</w:t>
      </w:r>
      <w:r>
        <w:rPr>
          <w:rFonts w:hint="eastAsia" w:hAnsi="宋体" w:cs="宋体"/>
          <w:b w:val="0"/>
          <w:bCs w:val="0"/>
          <w:kern w:val="2"/>
          <w:szCs w:val="20"/>
          <w:lang w:val="en-GB" w:eastAsia="zh-CN" w:bidi="ar"/>
          <w14:ligatures w14:val="standardContextual"/>
        </w:rPr>
        <w:t>检查、维修所有的车辆、设备、机具，满足业主的</w:t>
      </w:r>
      <w:r>
        <w:rPr>
          <w:rFonts w:hint="eastAsia" w:hAnsi="宋体" w:cs="宋体"/>
          <w:b w:val="0"/>
          <w:bCs w:val="0"/>
          <w:kern w:val="2"/>
          <w:szCs w:val="20"/>
          <w:lang w:val="en-US" w:eastAsia="zh-CN" w:bidi="ar"/>
          <w14:ligatures w14:val="standardContextual"/>
        </w:rPr>
        <w:t>安全生产</w:t>
      </w:r>
      <w:r>
        <w:rPr>
          <w:rFonts w:hint="eastAsia" w:hAnsi="宋体" w:cs="宋体"/>
          <w:b w:val="0"/>
          <w:bCs w:val="0"/>
          <w:kern w:val="2"/>
          <w:szCs w:val="20"/>
          <w:lang w:val="en-GB" w:eastAsia="zh-CN" w:bidi="ar"/>
          <w14:ligatures w14:val="standardContextual"/>
        </w:rPr>
        <w:t>管理要求；</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GB" w:eastAsia="zh-CN" w:bidi="ar"/>
          <w14:ligatures w14:val="standardContextual"/>
        </w:rPr>
      </w:pPr>
      <w:r>
        <w:rPr>
          <w:rFonts w:hint="eastAsia" w:hAnsi="宋体" w:cs="宋体"/>
          <w:b w:val="0"/>
          <w:bCs w:val="0"/>
          <w:kern w:val="2"/>
          <w:szCs w:val="20"/>
          <w:lang w:val="en-US" w:eastAsia="zh-CN" w:bidi="ar"/>
          <w14:ligatures w14:val="standardContextual"/>
        </w:rPr>
        <w:t>7）</w:t>
      </w:r>
      <w:r>
        <w:rPr>
          <w:rFonts w:hint="eastAsia" w:hAnsi="宋体" w:cs="宋体"/>
          <w:b w:val="0"/>
          <w:bCs w:val="0"/>
          <w:kern w:val="2"/>
          <w:szCs w:val="20"/>
          <w:lang w:val="en-GB" w:eastAsia="zh-CN" w:bidi="ar"/>
          <w14:ligatures w14:val="standardContextual"/>
        </w:rPr>
        <w:t>制定和落实防止伤害事故、环境污染事故的具体措施；</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GB" w:eastAsia="zh-CN" w:bidi="ar"/>
          <w14:ligatures w14:val="standardContextual"/>
        </w:rPr>
      </w:pPr>
      <w:r>
        <w:rPr>
          <w:rFonts w:hint="eastAsia" w:hAnsi="宋体" w:cs="宋体"/>
          <w:b w:val="0"/>
          <w:bCs w:val="0"/>
          <w:kern w:val="2"/>
          <w:szCs w:val="20"/>
          <w:lang w:val="en-US" w:eastAsia="zh-CN" w:bidi="ar"/>
          <w14:ligatures w14:val="standardContextual"/>
        </w:rPr>
        <w:t>8）</w:t>
      </w:r>
      <w:r>
        <w:rPr>
          <w:rFonts w:hint="eastAsia" w:hAnsi="宋体" w:cs="宋体"/>
          <w:b w:val="0"/>
          <w:bCs w:val="0"/>
          <w:kern w:val="2"/>
          <w:szCs w:val="20"/>
          <w:lang w:val="en-GB" w:eastAsia="zh-CN" w:bidi="ar"/>
          <w14:ligatures w14:val="standardContextual"/>
        </w:rPr>
        <w:t>了解具体的工作内容，熟悉装置设备的生产特点和安全要求，了解周围 环境和作业对象的潜在危险和应急措施，确定具体的工作位置；</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GB" w:eastAsia="zh-CN" w:bidi="ar"/>
          <w14:ligatures w14:val="standardContextual"/>
        </w:rPr>
      </w:pPr>
      <w:r>
        <w:rPr>
          <w:rFonts w:hint="eastAsia" w:hAnsi="宋体" w:cs="宋体"/>
          <w:b w:val="0"/>
          <w:bCs w:val="0"/>
          <w:kern w:val="2"/>
          <w:szCs w:val="20"/>
          <w:lang w:val="en-US" w:eastAsia="zh-CN" w:bidi="ar"/>
          <w14:ligatures w14:val="standardContextual"/>
        </w:rPr>
        <w:t>9）</w:t>
      </w:r>
      <w:r>
        <w:rPr>
          <w:rFonts w:hint="eastAsia" w:hAnsi="宋体" w:cs="宋体"/>
          <w:b w:val="0"/>
          <w:bCs w:val="0"/>
          <w:kern w:val="2"/>
          <w:szCs w:val="20"/>
          <w:lang w:val="en-GB" w:eastAsia="zh-CN" w:bidi="ar"/>
          <w14:ligatures w14:val="standardContextual"/>
        </w:rPr>
        <w:t>为施工和管理人员配备符合业主要求的个人劳动防护用品和用具以及安全的机械、工具和设备，并保持设备完好。</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US" w:eastAsia="zh-CN" w:bidi="ar"/>
          <w14:ligatures w14:val="standardContextual"/>
        </w:rPr>
      </w:pPr>
      <w:r>
        <w:rPr>
          <w:rFonts w:hint="eastAsia" w:hAnsi="宋体" w:cs="宋体"/>
          <w:b w:val="0"/>
          <w:bCs w:val="0"/>
          <w:kern w:val="2"/>
          <w:szCs w:val="20"/>
          <w:lang w:val="en-US" w:eastAsia="zh-CN" w:bidi="ar"/>
          <w14:ligatures w14:val="standardContextual"/>
        </w:rPr>
        <w:t>12.2.9安全教育和培训</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GB" w:eastAsia="zh-CN" w:bidi="ar"/>
          <w14:ligatures w14:val="standardContextual"/>
        </w:rPr>
      </w:pPr>
      <w:r>
        <w:rPr>
          <w:rFonts w:hint="eastAsia" w:hAnsi="宋体" w:cs="宋体"/>
          <w:b w:val="0"/>
          <w:bCs w:val="0"/>
          <w:kern w:val="2"/>
          <w:szCs w:val="20"/>
          <w:lang w:val="en-US" w:eastAsia="zh-CN" w:bidi="ar"/>
          <w14:ligatures w14:val="standardContextual"/>
        </w:rPr>
        <w:t>1）投标人</w:t>
      </w:r>
      <w:r>
        <w:rPr>
          <w:rFonts w:hint="eastAsia" w:hAnsi="宋体" w:cs="宋体"/>
          <w:b w:val="0"/>
          <w:bCs w:val="0"/>
          <w:kern w:val="2"/>
          <w:szCs w:val="20"/>
          <w:lang w:val="en-GB" w:eastAsia="zh-CN" w:bidi="ar"/>
          <w14:ligatures w14:val="standardContextual"/>
        </w:rPr>
        <w:t>应对其员工进行</w:t>
      </w:r>
      <w:r>
        <w:rPr>
          <w:rFonts w:hint="eastAsia" w:hAnsi="宋体" w:cs="宋体"/>
          <w:b w:val="0"/>
          <w:bCs w:val="0"/>
          <w:kern w:val="2"/>
          <w:szCs w:val="20"/>
          <w:lang w:val="en-US" w:eastAsia="zh-CN" w:bidi="ar"/>
          <w14:ligatures w14:val="standardContextual"/>
        </w:rPr>
        <w:t>安全生产</w:t>
      </w:r>
      <w:r>
        <w:rPr>
          <w:rFonts w:hint="eastAsia" w:hAnsi="宋体" w:cs="宋体"/>
          <w:b w:val="0"/>
          <w:bCs w:val="0"/>
          <w:kern w:val="2"/>
          <w:szCs w:val="20"/>
          <w:lang w:val="en-GB" w:eastAsia="zh-CN" w:bidi="ar"/>
          <w14:ligatures w14:val="standardContextual"/>
        </w:rPr>
        <w:t>培训，并记录备案。</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GB" w:eastAsia="zh-CN" w:bidi="ar"/>
          <w14:ligatures w14:val="standardContextual"/>
        </w:rPr>
      </w:pPr>
      <w:r>
        <w:rPr>
          <w:rFonts w:hint="eastAsia" w:hAnsi="宋体" w:cs="宋体"/>
          <w:b w:val="0"/>
          <w:bCs w:val="0"/>
          <w:kern w:val="2"/>
          <w:szCs w:val="20"/>
          <w:lang w:val="en-US" w:eastAsia="zh-CN" w:bidi="ar"/>
          <w14:ligatures w14:val="standardContextual"/>
        </w:rPr>
        <w:t xml:space="preserve">2） </w:t>
      </w:r>
      <w:r>
        <w:rPr>
          <w:rFonts w:hint="eastAsia" w:hAnsi="宋体" w:cs="宋体"/>
          <w:b w:val="0"/>
          <w:bCs w:val="0"/>
          <w:kern w:val="2"/>
          <w:szCs w:val="20"/>
          <w:lang w:val="en-GB" w:eastAsia="zh-CN" w:bidi="ar"/>
          <w14:ligatures w14:val="standardContextual"/>
        </w:rPr>
        <w:t>投标人进入现场施工前，所有施工人员必须经业主</w:t>
      </w:r>
      <w:r>
        <w:rPr>
          <w:rFonts w:hint="eastAsia" w:hAnsi="宋体" w:cs="宋体"/>
          <w:b w:val="0"/>
          <w:bCs w:val="0"/>
          <w:kern w:val="2"/>
          <w:szCs w:val="20"/>
          <w:lang w:val="en-US" w:eastAsia="zh-CN" w:bidi="ar"/>
          <w14:ligatures w14:val="standardContextual"/>
        </w:rPr>
        <w:t>安全生产管理</w:t>
      </w:r>
      <w:r>
        <w:rPr>
          <w:rFonts w:hint="eastAsia" w:hAnsi="宋体" w:cs="宋体"/>
          <w:b w:val="0"/>
          <w:bCs w:val="0"/>
          <w:kern w:val="2"/>
          <w:szCs w:val="20"/>
          <w:lang w:val="en-GB" w:eastAsia="zh-CN" w:bidi="ar"/>
          <w14:ligatures w14:val="standardContextual"/>
        </w:rPr>
        <w:t>部门进行全员安全教育，经考试合格登记备案后办理《门禁卡》后方能进入现场施工。</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GB" w:eastAsia="zh-CN" w:bidi="ar"/>
          <w14:ligatures w14:val="standardContextual"/>
        </w:rPr>
      </w:pPr>
      <w:r>
        <w:rPr>
          <w:rFonts w:hint="eastAsia" w:hAnsi="宋体" w:cs="宋体"/>
          <w:b w:val="0"/>
          <w:bCs w:val="0"/>
          <w:kern w:val="2"/>
          <w:szCs w:val="20"/>
          <w:lang w:val="en-US" w:eastAsia="zh-CN" w:bidi="ar"/>
          <w14:ligatures w14:val="standardContextual"/>
        </w:rPr>
        <w:t>3）</w:t>
      </w:r>
      <w:r>
        <w:rPr>
          <w:rFonts w:hint="eastAsia" w:hAnsi="宋体" w:cs="宋体"/>
          <w:b w:val="0"/>
          <w:bCs w:val="0"/>
          <w:kern w:val="2"/>
          <w:szCs w:val="20"/>
          <w:lang w:val="en-GB" w:eastAsia="zh-CN" w:bidi="ar"/>
          <w14:ligatures w14:val="standardContextual"/>
        </w:rPr>
        <w:t>员工进行特殊专业的培训，特种作业人员要持证上岗；</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US" w:eastAsia="zh-CN" w:bidi="ar"/>
          <w14:ligatures w14:val="standardContextual"/>
        </w:rPr>
      </w:pPr>
      <w:r>
        <w:rPr>
          <w:rFonts w:hint="eastAsia" w:hAnsi="宋体" w:cs="宋体"/>
          <w:b w:val="0"/>
          <w:bCs w:val="0"/>
          <w:kern w:val="2"/>
          <w:szCs w:val="20"/>
          <w:lang w:val="en-US" w:eastAsia="zh-CN" w:bidi="ar"/>
          <w14:ligatures w14:val="standardContextual"/>
        </w:rPr>
        <w:t>4）为施工人员提供合乎标准的劳动防护用品和用具以及安全的机械、工具和设备，并保持设备完好。</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US" w:eastAsia="zh-CN" w:bidi="ar"/>
          <w14:ligatures w14:val="standardContextual"/>
        </w:rPr>
      </w:pPr>
      <w:r>
        <w:rPr>
          <w:rFonts w:hint="eastAsia" w:hAnsi="宋体" w:cs="宋体"/>
          <w:b w:val="0"/>
          <w:bCs w:val="0"/>
          <w:kern w:val="2"/>
          <w:szCs w:val="20"/>
          <w:lang w:val="en-US" w:eastAsia="zh-CN" w:bidi="ar"/>
          <w14:ligatures w14:val="standardContextual"/>
        </w:rPr>
        <w:t>12.2.10施工安全要求</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GB" w:eastAsia="zh-CN" w:bidi="ar"/>
          <w14:ligatures w14:val="standardContextual"/>
        </w:rPr>
      </w:pPr>
      <w:r>
        <w:rPr>
          <w:rFonts w:hint="eastAsia" w:hAnsi="宋体" w:cs="宋体"/>
          <w:b w:val="0"/>
          <w:bCs w:val="0"/>
          <w:kern w:val="2"/>
          <w:szCs w:val="20"/>
          <w:lang w:val="en-US" w:eastAsia="zh-CN" w:bidi="ar"/>
          <w14:ligatures w14:val="standardContextual"/>
        </w:rPr>
        <w:t>1）</w:t>
      </w:r>
      <w:r>
        <w:rPr>
          <w:rFonts w:hint="eastAsia" w:hAnsi="宋体" w:cs="宋体"/>
          <w:b w:val="0"/>
          <w:bCs w:val="0"/>
          <w:kern w:val="2"/>
          <w:szCs w:val="20"/>
          <w:lang w:val="en-GB" w:eastAsia="zh-CN" w:bidi="ar"/>
          <w14:ligatures w14:val="standardContextual"/>
        </w:rPr>
        <w:t>投标人的</w:t>
      </w:r>
      <w:r>
        <w:rPr>
          <w:rFonts w:hint="eastAsia" w:hAnsi="宋体" w:cs="宋体"/>
          <w:b w:val="0"/>
          <w:bCs w:val="0"/>
          <w:kern w:val="2"/>
          <w:szCs w:val="20"/>
          <w:lang w:val="en-US" w:eastAsia="zh-CN" w:bidi="ar"/>
          <w14:ligatures w14:val="standardContextual"/>
        </w:rPr>
        <w:t>安全生产</w:t>
      </w:r>
      <w:r>
        <w:rPr>
          <w:rFonts w:hint="eastAsia" w:hAnsi="宋体" w:cs="宋体"/>
          <w:b w:val="0"/>
          <w:bCs w:val="0"/>
          <w:kern w:val="2"/>
          <w:szCs w:val="20"/>
          <w:lang w:val="en-GB" w:eastAsia="zh-CN" w:bidi="ar"/>
          <w14:ligatures w14:val="standardContextual"/>
        </w:rPr>
        <w:t>程序</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GB" w:eastAsia="zh-CN" w:bidi="ar"/>
          <w14:ligatures w14:val="standardContextual"/>
        </w:rPr>
      </w:pPr>
      <w:r>
        <w:rPr>
          <w:rFonts w:hint="eastAsia" w:hAnsi="宋体" w:cs="宋体"/>
          <w:b w:val="0"/>
          <w:bCs w:val="0"/>
          <w:kern w:val="2"/>
          <w:szCs w:val="20"/>
          <w:lang w:val="en-US" w:eastAsia="zh-CN" w:bidi="ar"/>
          <w14:ligatures w14:val="standardContextual"/>
        </w:rPr>
        <w:t>（1）</w:t>
      </w:r>
      <w:r>
        <w:rPr>
          <w:rFonts w:hint="eastAsia" w:hAnsi="宋体" w:cs="宋体"/>
          <w:b w:val="0"/>
          <w:bCs w:val="0"/>
          <w:kern w:val="2"/>
          <w:szCs w:val="20"/>
          <w:lang w:val="en-GB" w:eastAsia="zh-CN" w:bidi="ar"/>
          <w14:ligatures w14:val="standardContextual"/>
        </w:rPr>
        <w:t>投标人的</w:t>
      </w:r>
      <w:r>
        <w:rPr>
          <w:rFonts w:hint="eastAsia" w:hAnsi="宋体" w:cs="宋体"/>
          <w:b w:val="0"/>
          <w:bCs w:val="0"/>
          <w:kern w:val="2"/>
          <w:szCs w:val="20"/>
          <w:lang w:val="en-US" w:eastAsia="zh-CN" w:bidi="ar"/>
          <w14:ligatures w14:val="standardContextual"/>
        </w:rPr>
        <w:t>安全生产</w:t>
      </w:r>
      <w:r>
        <w:rPr>
          <w:rFonts w:hint="eastAsia" w:hAnsi="宋体" w:cs="宋体"/>
          <w:b w:val="0"/>
          <w:bCs w:val="0"/>
          <w:kern w:val="2"/>
          <w:szCs w:val="20"/>
          <w:lang w:val="en-GB" w:eastAsia="zh-CN" w:bidi="ar"/>
          <w14:ligatures w14:val="standardContextual"/>
        </w:rPr>
        <w:t>组织机构应确保施工</w:t>
      </w:r>
      <w:r>
        <w:rPr>
          <w:rFonts w:hint="eastAsia" w:hAnsi="宋体" w:cs="宋体"/>
          <w:b w:val="0"/>
          <w:bCs w:val="0"/>
          <w:kern w:val="2"/>
          <w:szCs w:val="20"/>
          <w:lang w:val="en-US" w:eastAsia="zh-CN" w:bidi="ar"/>
          <w14:ligatures w14:val="standardContextual"/>
        </w:rPr>
        <w:t>安全生产</w:t>
      </w:r>
      <w:r>
        <w:rPr>
          <w:rFonts w:hint="eastAsia" w:hAnsi="宋体" w:cs="宋体"/>
          <w:b w:val="0"/>
          <w:bCs w:val="0"/>
          <w:kern w:val="2"/>
          <w:szCs w:val="20"/>
          <w:lang w:val="en-GB" w:eastAsia="zh-CN" w:bidi="ar"/>
          <w14:ligatures w14:val="standardContextual"/>
        </w:rPr>
        <w:t>程序的实施。</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GB" w:eastAsia="zh-CN" w:bidi="ar"/>
          <w14:ligatures w14:val="standardContextual"/>
        </w:rPr>
      </w:pPr>
      <w:r>
        <w:rPr>
          <w:rFonts w:hint="eastAsia" w:hAnsi="宋体" w:cs="宋体"/>
          <w:b w:val="0"/>
          <w:bCs w:val="0"/>
          <w:kern w:val="2"/>
          <w:szCs w:val="20"/>
          <w:lang w:val="en-US" w:eastAsia="zh-CN" w:bidi="ar"/>
          <w14:ligatures w14:val="standardContextual"/>
        </w:rPr>
        <w:t>（2）</w:t>
      </w:r>
      <w:r>
        <w:rPr>
          <w:rFonts w:hint="eastAsia" w:hAnsi="宋体" w:cs="宋体"/>
          <w:b w:val="0"/>
          <w:bCs w:val="0"/>
          <w:kern w:val="2"/>
          <w:szCs w:val="20"/>
          <w:lang w:val="en-GB" w:eastAsia="zh-CN" w:bidi="ar"/>
          <w14:ligatures w14:val="standardContextual"/>
        </w:rPr>
        <w:t>业主有权强制要求执行任何投标人制定的</w:t>
      </w:r>
      <w:r>
        <w:rPr>
          <w:rFonts w:hint="eastAsia" w:hAnsi="宋体" w:cs="宋体"/>
          <w:b w:val="0"/>
          <w:bCs w:val="0"/>
          <w:kern w:val="2"/>
          <w:szCs w:val="20"/>
          <w:lang w:val="en-US" w:eastAsia="zh-CN" w:bidi="ar"/>
          <w14:ligatures w14:val="standardContextual"/>
        </w:rPr>
        <w:t>安全生产</w:t>
      </w:r>
      <w:r>
        <w:rPr>
          <w:rFonts w:hint="eastAsia" w:hAnsi="宋体" w:cs="宋体"/>
          <w:b w:val="0"/>
          <w:bCs w:val="0"/>
          <w:kern w:val="2"/>
          <w:szCs w:val="20"/>
          <w:lang w:val="en-GB" w:eastAsia="zh-CN" w:bidi="ar"/>
          <w14:ligatures w14:val="standardContextual"/>
        </w:rPr>
        <w:t>规定、程序和条例，包括那些比业主要求更严格的部分。</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GB" w:eastAsia="zh-CN" w:bidi="ar"/>
          <w14:ligatures w14:val="standardContextual"/>
        </w:rPr>
      </w:pPr>
      <w:r>
        <w:rPr>
          <w:rFonts w:hint="eastAsia" w:hAnsi="宋体" w:cs="宋体"/>
          <w:b w:val="0"/>
          <w:bCs w:val="0"/>
          <w:kern w:val="2"/>
          <w:szCs w:val="20"/>
          <w:lang w:val="en-US" w:eastAsia="zh-CN" w:bidi="ar"/>
          <w14:ligatures w14:val="standardContextual"/>
        </w:rPr>
        <w:t>（3）</w:t>
      </w:r>
      <w:r>
        <w:rPr>
          <w:rFonts w:hint="eastAsia" w:hAnsi="宋体" w:cs="宋体"/>
          <w:b w:val="0"/>
          <w:bCs w:val="0"/>
          <w:kern w:val="2"/>
          <w:szCs w:val="20"/>
          <w:lang w:val="en-GB" w:eastAsia="zh-CN" w:bidi="ar"/>
          <w14:ligatures w14:val="standardContextual"/>
        </w:rPr>
        <w:t>投标人的“</w:t>
      </w:r>
      <w:r>
        <w:rPr>
          <w:rFonts w:hint="eastAsia" w:hAnsi="宋体" w:cs="宋体"/>
          <w:b w:val="0"/>
          <w:bCs w:val="0"/>
          <w:kern w:val="2"/>
          <w:szCs w:val="20"/>
          <w:lang w:val="en-US" w:eastAsia="zh-CN" w:bidi="ar"/>
          <w14:ligatures w14:val="standardContextual"/>
        </w:rPr>
        <w:t>安全生产</w:t>
      </w:r>
      <w:r>
        <w:rPr>
          <w:rFonts w:hint="eastAsia" w:hAnsi="宋体" w:cs="宋体"/>
          <w:b w:val="0"/>
          <w:bCs w:val="0"/>
          <w:kern w:val="2"/>
          <w:szCs w:val="20"/>
          <w:lang w:val="en-GB" w:eastAsia="zh-CN" w:bidi="ar"/>
          <w14:ligatures w14:val="standardContextual"/>
        </w:rPr>
        <w:t>经理”应确保施工现场</w:t>
      </w:r>
      <w:r>
        <w:rPr>
          <w:rFonts w:hint="eastAsia" w:hAnsi="宋体" w:cs="宋体"/>
          <w:b w:val="0"/>
          <w:bCs w:val="0"/>
          <w:kern w:val="2"/>
          <w:szCs w:val="20"/>
          <w:lang w:val="en-US" w:eastAsia="zh-CN" w:bidi="ar"/>
          <w14:ligatures w14:val="standardContextual"/>
        </w:rPr>
        <w:t>安全生产</w:t>
      </w:r>
      <w:r>
        <w:rPr>
          <w:rFonts w:hint="eastAsia" w:hAnsi="宋体" w:cs="宋体"/>
          <w:b w:val="0"/>
          <w:bCs w:val="0"/>
          <w:kern w:val="2"/>
          <w:szCs w:val="20"/>
          <w:lang w:val="en-GB" w:eastAsia="zh-CN" w:bidi="ar"/>
          <w14:ligatures w14:val="standardContextual"/>
        </w:rPr>
        <w:t>规定的实施，对正在进行的工作进行安全检查、与员工召开安全会议并向业主</w:t>
      </w:r>
      <w:r>
        <w:rPr>
          <w:rFonts w:hint="eastAsia" w:hAnsi="宋体" w:cs="宋体"/>
          <w:b w:val="0"/>
          <w:bCs w:val="0"/>
          <w:kern w:val="2"/>
          <w:szCs w:val="20"/>
          <w:lang w:val="en-US" w:eastAsia="zh-CN" w:bidi="ar"/>
          <w14:ligatures w14:val="standardContextual"/>
        </w:rPr>
        <w:t>汇报现安全生产</w:t>
      </w:r>
      <w:r>
        <w:rPr>
          <w:rFonts w:hint="eastAsia" w:hAnsi="宋体" w:cs="宋体"/>
          <w:b w:val="0"/>
          <w:bCs w:val="0"/>
          <w:kern w:val="2"/>
          <w:szCs w:val="20"/>
          <w:lang w:val="en-GB" w:eastAsia="zh-CN" w:bidi="ar"/>
          <w14:ligatures w14:val="standardContextual"/>
        </w:rPr>
        <w:t>工作的执行情况。</w:t>
      </w:r>
      <w:r>
        <w:rPr>
          <w:rFonts w:hint="eastAsia" w:hAnsi="宋体" w:cs="宋体"/>
          <w:b w:val="0"/>
          <w:bCs w:val="0"/>
          <w:kern w:val="2"/>
          <w:szCs w:val="20"/>
          <w:lang w:val="en-US" w:eastAsia="zh-CN" w:bidi="ar"/>
          <w14:ligatures w14:val="standardContextual"/>
        </w:rPr>
        <w:t>安全生产</w:t>
      </w:r>
      <w:r>
        <w:rPr>
          <w:rFonts w:hint="eastAsia" w:hAnsi="宋体" w:cs="宋体"/>
          <w:b w:val="0"/>
          <w:bCs w:val="0"/>
          <w:kern w:val="2"/>
          <w:szCs w:val="20"/>
          <w:lang w:val="en-GB" w:eastAsia="zh-CN" w:bidi="ar"/>
          <w14:ligatures w14:val="standardContextual"/>
        </w:rPr>
        <w:t>经理也负责对施工现场的连续操作进行检查，对易导致伤害或事故的隐患加以控制，对施工中使用的设备、工具和设施进行检查和维护，使其保持完好。</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GB" w:eastAsia="zh-CN" w:bidi="ar"/>
          <w14:ligatures w14:val="standardContextual"/>
        </w:rPr>
      </w:pPr>
      <w:r>
        <w:rPr>
          <w:rFonts w:hint="eastAsia" w:hAnsi="宋体" w:cs="宋体"/>
          <w:b w:val="0"/>
          <w:bCs w:val="0"/>
          <w:kern w:val="2"/>
          <w:szCs w:val="20"/>
          <w:lang w:val="en-US" w:eastAsia="zh-CN" w:bidi="ar"/>
          <w14:ligatures w14:val="standardContextual"/>
        </w:rPr>
        <w:t>2）</w:t>
      </w:r>
      <w:r>
        <w:rPr>
          <w:rFonts w:hint="eastAsia" w:hAnsi="宋体" w:cs="宋体"/>
          <w:b w:val="0"/>
          <w:bCs w:val="0"/>
          <w:kern w:val="2"/>
          <w:szCs w:val="20"/>
          <w:lang w:val="en-GB" w:eastAsia="zh-CN" w:bidi="ar"/>
          <w14:ligatures w14:val="standardContextual"/>
        </w:rPr>
        <w:t>如果发现违规违章、可能造成人员/设备伤害或损伤的情况时，业主有权要求投标人停止工作。由此造成的停工所发生的费用以及造成的工时损失由投标人承担。投标人没有或拒绝对发现的问题进行整改将可能导致合同终止，具体的责任人将被驱逐出现场。</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GB" w:eastAsia="zh-CN" w:bidi="ar"/>
          <w14:ligatures w14:val="standardContextual"/>
        </w:rPr>
      </w:pPr>
      <w:r>
        <w:rPr>
          <w:rFonts w:hint="eastAsia" w:hAnsi="宋体" w:cs="宋体"/>
          <w:b w:val="0"/>
          <w:bCs w:val="0"/>
          <w:kern w:val="2"/>
          <w:szCs w:val="20"/>
          <w:lang w:val="en-US" w:eastAsia="zh-CN" w:bidi="ar"/>
          <w14:ligatures w14:val="standardContextual"/>
        </w:rPr>
        <w:t>3）</w:t>
      </w:r>
      <w:r>
        <w:rPr>
          <w:rFonts w:hint="eastAsia" w:hAnsi="宋体" w:cs="宋体"/>
          <w:b w:val="0"/>
          <w:bCs w:val="0"/>
          <w:kern w:val="2"/>
          <w:szCs w:val="20"/>
          <w:lang w:val="en-GB" w:eastAsia="zh-CN" w:bidi="ar"/>
          <w14:ligatures w14:val="standardContextual"/>
        </w:rPr>
        <w:t>人员行为的基本要求</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US" w:eastAsia="zh-CN" w:bidi="ar"/>
          <w14:ligatures w14:val="standardContextual"/>
        </w:rPr>
      </w:pPr>
      <w:r>
        <w:rPr>
          <w:rFonts w:hint="eastAsia" w:hAnsi="宋体" w:cs="宋体"/>
          <w:b w:val="0"/>
          <w:bCs w:val="0"/>
          <w:kern w:val="2"/>
          <w:szCs w:val="20"/>
          <w:lang w:val="en-US" w:eastAsia="zh-CN" w:bidi="ar"/>
          <w14:ligatures w14:val="standardContextual"/>
        </w:rPr>
        <w:t>（1）进入现场的人员要求男职工不超过60周岁，女职工不超过55周岁；</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GB" w:eastAsia="zh-CN" w:bidi="ar"/>
          <w14:ligatures w14:val="standardContextual"/>
        </w:rPr>
      </w:pPr>
      <w:r>
        <w:rPr>
          <w:rFonts w:hint="eastAsia" w:hAnsi="宋体" w:cs="宋体"/>
          <w:b w:val="0"/>
          <w:bCs w:val="0"/>
          <w:kern w:val="2"/>
          <w:szCs w:val="20"/>
          <w:lang w:val="en-US" w:eastAsia="zh-CN" w:bidi="ar"/>
          <w14:ligatures w14:val="standardContextual"/>
        </w:rPr>
        <w:t>（2）</w:t>
      </w:r>
      <w:r>
        <w:rPr>
          <w:rFonts w:hint="eastAsia" w:hAnsi="宋体" w:cs="宋体"/>
          <w:b w:val="0"/>
          <w:bCs w:val="0"/>
          <w:kern w:val="2"/>
          <w:szCs w:val="20"/>
          <w:lang w:val="en-GB" w:eastAsia="zh-CN" w:bidi="ar"/>
          <w14:ligatures w14:val="standardContextual"/>
        </w:rPr>
        <w:t>现场工作人员必须配戴安全帽，危险场所应配戴相应的特殊劳保用具。</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GB" w:eastAsia="zh-CN" w:bidi="ar"/>
          <w14:ligatures w14:val="standardContextual"/>
        </w:rPr>
      </w:pPr>
      <w:r>
        <w:rPr>
          <w:rFonts w:hint="eastAsia" w:hAnsi="宋体" w:cs="宋体"/>
          <w:b w:val="0"/>
          <w:bCs w:val="0"/>
          <w:kern w:val="2"/>
          <w:szCs w:val="20"/>
          <w:lang w:val="en-US" w:eastAsia="zh-CN" w:bidi="ar"/>
          <w14:ligatures w14:val="standardContextual"/>
        </w:rPr>
        <w:t>（3）</w:t>
      </w:r>
      <w:r>
        <w:rPr>
          <w:rFonts w:hint="eastAsia" w:hAnsi="宋体" w:cs="宋体"/>
          <w:b w:val="0"/>
          <w:bCs w:val="0"/>
          <w:kern w:val="2"/>
          <w:szCs w:val="20"/>
          <w:lang w:val="en-GB" w:eastAsia="zh-CN" w:bidi="ar"/>
          <w14:ligatures w14:val="standardContextual"/>
        </w:rPr>
        <w:t>进行工作时必须按规定着装，必须穿符合工作要求的劳保服装。劳保服必须是长袖上衣和长裤；施工场所必须穿劳动防护鞋。</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GB" w:eastAsia="zh-CN" w:bidi="ar"/>
          <w14:ligatures w14:val="standardContextual"/>
        </w:rPr>
      </w:pPr>
      <w:r>
        <w:rPr>
          <w:rFonts w:hint="eastAsia" w:hAnsi="宋体" w:cs="宋体"/>
          <w:b w:val="0"/>
          <w:bCs w:val="0"/>
          <w:kern w:val="2"/>
          <w:szCs w:val="20"/>
          <w:lang w:val="en-US" w:eastAsia="zh-CN" w:bidi="ar"/>
          <w14:ligatures w14:val="standardContextual"/>
        </w:rPr>
        <w:t>（4）</w:t>
      </w:r>
      <w:r>
        <w:rPr>
          <w:rFonts w:hint="eastAsia" w:hAnsi="宋体" w:cs="宋体"/>
          <w:b w:val="0"/>
          <w:bCs w:val="0"/>
          <w:kern w:val="2"/>
          <w:szCs w:val="20"/>
          <w:lang w:val="en-GB" w:eastAsia="zh-CN" w:bidi="ar"/>
          <w14:ligatures w14:val="standardContextual"/>
        </w:rPr>
        <w:t>如果头发过长，超过肩膀，应盘起全部放进安全帽里。</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GB" w:eastAsia="zh-CN" w:bidi="ar"/>
          <w14:ligatures w14:val="standardContextual"/>
        </w:rPr>
      </w:pPr>
      <w:r>
        <w:rPr>
          <w:rFonts w:hint="eastAsia" w:hAnsi="宋体" w:cs="宋体"/>
          <w:b w:val="0"/>
          <w:bCs w:val="0"/>
          <w:kern w:val="2"/>
          <w:szCs w:val="20"/>
          <w:lang w:val="en-US" w:eastAsia="zh-CN" w:bidi="ar"/>
          <w14:ligatures w14:val="standardContextual"/>
        </w:rPr>
        <w:t>（5）</w:t>
      </w:r>
      <w:r>
        <w:rPr>
          <w:rFonts w:hint="eastAsia" w:hAnsi="宋体" w:cs="宋体"/>
          <w:b w:val="0"/>
          <w:bCs w:val="0"/>
          <w:kern w:val="2"/>
          <w:szCs w:val="20"/>
          <w:lang w:val="en-GB" w:eastAsia="zh-CN" w:bidi="ar"/>
          <w14:ligatures w14:val="standardContextual"/>
        </w:rPr>
        <w:t>现场不允许戴珠宝首饰。</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GB" w:eastAsia="zh-CN" w:bidi="ar"/>
          <w14:ligatures w14:val="standardContextual"/>
        </w:rPr>
      </w:pPr>
      <w:r>
        <w:rPr>
          <w:rFonts w:hint="eastAsia" w:hAnsi="宋体" w:cs="宋体"/>
          <w:b w:val="0"/>
          <w:bCs w:val="0"/>
          <w:kern w:val="2"/>
          <w:szCs w:val="20"/>
          <w:lang w:val="en-US" w:eastAsia="zh-CN" w:bidi="ar"/>
          <w14:ligatures w14:val="standardContextual"/>
        </w:rPr>
        <w:t>（6）厂区</w:t>
      </w:r>
      <w:r>
        <w:rPr>
          <w:rFonts w:hint="eastAsia" w:hAnsi="宋体" w:cs="宋体"/>
          <w:b w:val="0"/>
          <w:bCs w:val="0"/>
          <w:kern w:val="2"/>
          <w:szCs w:val="20"/>
          <w:lang w:val="en-GB" w:eastAsia="zh-CN" w:bidi="ar"/>
          <w14:ligatures w14:val="standardContextual"/>
        </w:rPr>
        <w:t>严禁吸烟；禁止不安全行为。所有员工有责任制止不安全行为。</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GB" w:eastAsia="zh-CN" w:bidi="ar"/>
          <w14:ligatures w14:val="standardContextual"/>
        </w:rPr>
      </w:pPr>
      <w:r>
        <w:rPr>
          <w:rFonts w:hint="eastAsia" w:hAnsi="宋体" w:cs="宋体"/>
          <w:b w:val="0"/>
          <w:bCs w:val="0"/>
          <w:kern w:val="2"/>
          <w:szCs w:val="20"/>
          <w:lang w:val="en-US" w:eastAsia="zh-CN" w:bidi="ar"/>
          <w14:ligatures w14:val="standardContextual"/>
        </w:rPr>
        <w:t>（7）</w:t>
      </w:r>
      <w:r>
        <w:rPr>
          <w:rFonts w:hint="eastAsia" w:hAnsi="宋体" w:cs="宋体"/>
          <w:b w:val="0"/>
          <w:bCs w:val="0"/>
          <w:kern w:val="2"/>
          <w:szCs w:val="20"/>
          <w:lang w:val="en-GB" w:eastAsia="zh-CN" w:bidi="ar"/>
          <w14:ligatures w14:val="standardContextual"/>
        </w:rPr>
        <w:t>禁止斗殴和赌博。</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GB" w:eastAsia="zh-CN" w:bidi="ar"/>
          <w14:ligatures w14:val="standardContextual"/>
        </w:rPr>
      </w:pPr>
      <w:r>
        <w:rPr>
          <w:rFonts w:hint="eastAsia" w:hAnsi="宋体" w:cs="宋体"/>
          <w:b w:val="0"/>
          <w:bCs w:val="0"/>
          <w:kern w:val="2"/>
          <w:szCs w:val="20"/>
          <w:lang w:val="en-US" w:eastAsia="zh-CN" w:bidi="ar"/>
          <w14:ligatures w14:val="standardContextual"/>
        </w:rPr>
        <w:t>（8）</w:t>
      </w:r>
      <w:r>
        <w:rPr>
          <w:rFonts w:hint="eastAsia" w:hAnsi="宋体" w:cs="宋体"/>
          <w:b w:val="0"/>
          <w:bCs w:val="0"/>
          <w:kern w:val="2"/>
          <w:szCs w:val="20"/>
          <w:lang w:val="en-GB" w:eastAsia="zh-CN" w:bidi="ar"/>
          <w14:ligatures w14:val="standardContextual"/>
        </w:rPr>
        <w:t>严禁酗酒和吸毒。</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GB" w:eastAsia="zh-CN" w:bidi="ar"/>
          <w14:ligatures w14:val="standardContextual"/>
        </w:rPr>
      </w:pPr>
      <w:r>
        <w:rPr>
          <w:rFonts w:hint="eastAsia" w:hAnsi="宋体" w:cs="宋体"/>
          <w:b w:val="0"/>
          <w:bCs w:val="0"/>
          <w:kern w:val="2"/>
          <w:szCs w:val="20"/>
          <w:lang w:val="en-US" w:eastAsia="zh-CN" w:bidi="ar"/>
          <w14:ligatures w14:val="standardContextual"/>
        </w:rPr>
        <w:t>（9）</w:t>
      </w:r>
      <w:r>
        <w:rPr>
          <w:rFonts w:hint="eastAsia" w:hAnsi="宋体" w:cs="宋体"/>
          <w:b w:val="0"/>
          <w:bCs w:val="0"/>
          <w:kern w:val="2"/>
          <w:szCs w:val="20"/>
          <w:lang w:val="en-GB" w:eastAsia="zh-CN" w:bidi="ar"/>
          <w14:ligatures w14:val="standardContextual"/>
        </w:rPr>
        <w:t>禁止使用武器或用其他物品作为武器。</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GB" w:eastAsia="zh-CN" w:bidi="ar"/>
          <w14:ligatures w14:val="standardContextual"/>
        </w:rPr>
      </w:pPr>
      <w:r>
        <w:rPr>
          <w:rFonts w:hint="eastAsia" w:hAnsi="宋体" w:cs="宋体"/>
          <w:b w:val="0"/>
          <w:bCs w:val="0"/>
          <w:kern w:val="2"/>
          <w:szCs w:val="20"/>
          <w:lang w:val="en-US" w:eastAsia="zh-CN" w:bidi="ar"/>
          <w14:ligatures w14:val="standardContextual"/>
        </w:rPr>
        <w:t>（10）</w:t>
      </w:r>
      <w:r>
        <w:rPr>
          <w:rFonts w:hint="eastAsia" w:hAnsi="宋体" w:cs="宋体"/>
          <w:b w:val="0"/>
          <w:bCs w:val="0"/>
          <w:kern w:val="2"/>
          <w:szCs w:val="20"/>
          <w:lang w:val="en-GB" w:eastAsia="zh-CN" w:bidi="ar"/>
          <w14:ligatures w14:val="standardContextual"/>
        </w:rPr>
        <w:t>禁止携带武器或管制刀具。</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GB" w:eastAsia="zh-CN" w:bidi="ar"/>
          <w14:ligatures w14:val="standardContextual"/>
        </w:rPr>
      </w:pPr>
      <w:r>
        <w:rPr>
          <w:rFonts w:hint="eastAsia" w:hAnsi="宋体" w:cs="宋体"/>
          <w:b w:val="0"/>
          <w:bCs w:val="0"/>
          <w:kern w:val="2"/>
          <w:szCs w:val="20"/>
          <w:lang w:val="en-US" w:eastAsia="zh-CN" w:bidi="ar"/>
          <w14:ligatures w14:val="standardContextual"/>
        </w:rPr>
        <w:t>4）</w:t>
      </w:r>
      <w:r>
        <w:rPr>
          <w:rFonts w:hint="eastAsia" w:hAnsi="宋体" w:cs="宋体"/>
          <w:b w:val="0"/>
          <w:bCs w:val="0"/>
          <w:kern w:val="2"/>
          <w:szCs w:val="20"/>
          <w:lang w:val="en-GB" w:eastAsia="zh-CN" w:bidi="ar"/>
          <w14:ligatures w14:val="standardContextual"/>
        </w:rPr>
        <w:t>现场安全、保卫管理</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GB" w:eastAsia="zh-CN" w:bidi="ar"/>
          <w14:ligatures w14:val="standardContextual"/>
        </w:rPr>
      </w:pPr>
      <w:r>
        <w:rPr>
          <w:rFonts w:hint="eastAsia" w:hAnsi="宋体" w:cs="宋体"/>
          <w:b w:val="0"/>
          <w:bCs w:val="0"/>
          <w:kern w:val="2"/>
          <w:szCs w:val="20"/>
          <w:lang w:val="en-US" w:eastAsia="zh-CN" w:bidi="ar"/>
          <w14:ligatures w14:val="standardContextual"/>
        </w:rPr>
        <w:t>（1）</w:t>
      </w:r>
      <w:r>
        <w:rPr>
          <w:rFonts w:hint="eastAsia" w:hAnsi="宋体" w:cs="宋体"/>
          <w:b w:val="0"/>
          <w:bCs w:val="0"/>
          <w:kern w:val="2"/>
          <w:szCs w:val="20"/>
          <w:lang w:val="en-GB" w:eastAsia="zh-CN" w:bidi="ar"/>
          <w14:ligatures w14:val="standardContextual"/>
        </w:rPr>
        <w:t>投标人自行负责其工作区域和临时设施的保安工作。</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GB" w:eastAsia="zh-CN" w:bidi="ar"/>
          <w14:ligatures w14:val="standardContextual"/>
        </w:rPr>
      </w:pPr>
      <w:r>
        <w:rPr>
          <w:rFonts w:hint="eastAsia" w:hAnsi="宋体" w:cs="宋体"/>
          <w:b w:val="0"/>
          <w:bCs w:val="0"/>
          <w:kern w:val="2"/>
          <w:szCs w:val="20"/>
          <w:lang w:val="en-US" w:eastAsia="zh-CN" w:bidi="ar"/>
          <w14:ligatures w14:val="standardContextual"/>
        </w:rPr>
        <w:t>（2）进入现场需通过门禁系统，门禁系统实行人脸识别</w:t>
      </w:r>
      <w:r>
        <w:rPr>
          <w:rFonts w:hint="eastAsia" w:hAnsi="宋体" w:cs="宋体"/>
          <w:b w:val="0"/>
          <w:bCs w:val="0"/>
          <w:kern w:val="2"/>
          <w:szCs w:val="20"/>
          <w:lang w:val="en-GB" w:eastAsia="zh-CN" w:bidi="ar"/>
          <w14:ligatures w14:val="standardContextual"/>
        </w:rPr>
        <w:t>。</w:t>
      </w:r>
      <w:r>
        <w:rPr>
          <w:rFonts w:hint="eastAsia" w:hAnsi="宋体" w:cs="宋体"/>
          <w:b w:val="0"/>
          <w:bCs w:val="0"/>
          <w:kern w:val="2"/>
          <w:szCs w:val="20"/>
          <w:lang w:val="en-GB" w:eastAsia="zh-CN" w:bidi="ar"/>
          <w14:ligatures w14:val="standardContextual"/>
        </w:rPr>
        <w:tab/>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GB" w:eastAsia="zh-CN" w:bidi="ar"/>
          <w14:ligatures w14:val="standardContextual"/>
        </w:rPr>
      </w:pPr>
      <w:r>
        <w:rPr>
          <w:rFonts w:hint="eastAsia" w:hAnsi="宋体" w:cs="宋体"/>
          <w:b w:val="0"/>
          <w:bCs w:val="0"/>
          <w:kern w:val="2"/>
          <w:szCs w:val="20"/>
          <w:lang w:val="en-US" w:eastAsia="zh-CN" w:bidi="ar"/>
          <w14:ligatures w14:val="standardContextual"/>
        </w:rPr>
        <w:t>（3）</w:t>
      </w:r>
      <w:r>
        <w:rPr>
          <w:rFonts w:hint="eastAsia" w:hAnsi="宋体" w:cs="宋体"/>
          <w:b w:val="0"/>
          <w:bCs w:val="0"/>
          <w:kern w:val="2"/>
          <w:szCs w:val="20"/>
          <w:lang w:val="en-GB" w:eastAsia="zh-CN" w:bidi="ar"/>
          <w14:ligatures w14:val="standardContextual"/>
        </w:rPr>
        <w:t>业主将利用门禁系统管理进出现场的物资。 运送材料到现场的厂外卡车将由保安人员检查，并且由获得授权的投标人代表陪同进入。</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GB" w:eastAsia="zh-CN" w:bidi="ar"/>
          <w14:ligatures w14:val="standardContextual"/>
        </w:rPr>
      </w:pPr>
      <w:r>
        <w:rPr>
          <w:rFonts w:hint="eastAsia" w:hAnsi="宋体" w:cs="宋体"/>
          <w:b w:val="0"/>
          <w:bCs w:val="0"/>
          <w:kern w:val="2"/>
          <w:szCs w:val="20"/>
          <w:lang w:val="en-US" w:eastAsia="zh-CN" w:bidi="ar"/>
          <w14:ligatures w14:val="standardContextual"/>
        </w:rPr>
        <w:t>（4）</w:t>
      </w:r>
      <w:r>
        <w:rPr>
          <w:rFonts w:hint="eastAsia" w:hAnsi="宋体" w:cs="宋体"/>
          <w:b w:val="0"/>
          <w:bCs w:val="0"/>
          <w:kern w:val="2"/>
          <w:szCs w:val="20"/>
          <w:lang w:val="en-GB" w:eastAsia="zh-CN" w:bidi="ar"/>
          <w14:ligatures w14:val="standardContextual"/>
        </w:rPr>
        <w:t>对于运出现场的材料和设备，业主将通过出门通行证控制，从现场运出任何物品前，投标人应获得业主批准的出门通行证。</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GB" w:eastAsia="zh-CN" w:bidi="ar"/>
          <w14:ligatures w14:val="standardContextual"/>
        </w:rPr>
      </w:pPr>
      <w:r>
        <w:rPr>
          <w:rFonts w:hint="eastAsia" w:hAnsi="宋体" w:cs="宋体"/>
          <w:b w:val="0"/>
          <w:bCs w:val="0"/>
          <w:kern w:val="2"/>
          <w:szCs w:val="20"/>
          <w:lang w:val="en-US" w:eastAsia="zh-CN" w:bidi="ar"/>
          <w14:ligatures w14:val="standardContextual"/>
        </w:rPr>
        <w:t>（5）</w:t>
      </w:r>
      <w:r>
        <w:rPr>
          <w:rFonts w:hint="eastAsia" w:hAnsi="宋体" w:cs="宋体"/>
          <w:b w:val="0"/>
          <w:bCs w:val="0"/>
          <w:kern w:val="2"/>
          <w:szCs w:val="20"/>
          <w:lang w:val="en-GB" w:eastAsia="zh-CN" w:bidi="ar"/>
          <w14:ligatures w14:val="standardContextual"/>
        </w:rPr>
        <w:t>进出现场的所有车辆都应接受业主门岗保安人员的检查。</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GB" w:eastAsia="zh-CN" w:bidi="ar"/>
          <w14:ligatures w14:val="standardContextual"/>
        </w:rPr>
      </w:pPr>
      <w:r>
        <w:rPr>
          <w:rFonts w:hint="eastAsia" w:hAnsi="宋体" w:cs="宋体"/>
          <w:b w:val="0"/>
          <w:bCs w:val="0"/>
          <w:kern w:val="2"/>
          <w:szCs w:val="20"/>
          <w:lang w:val="en-US" w:eastAsia="zh-CN" w:bidi="ar"/>
          <w14:ligatures w14:val="standardContextual"/>
        </w:rPr>
        <w:t>（6）</w:t>
      </w:r>
      <w:r>
        <w:rPr>
          <w:rFonts w:hint="eastAsia" w:hAnsi="宋体" w:cs="宋体"/>
          <w:b w:val="0"/>
          <w:bCs w:val="0"/>
          <w:kern w:val="2"/>
          <w:szCs w:val="20"/>
          <w:lang w:val="en-GB" w:eastAsia="zh-CN" w:bidi="ar"/>
          <w14:ligatures w14:val="standardContextual"/>
        </w:rPr>
        <w:t>夜间施工应得到业主的批准，</w:t>
      </w:r>
      <w:r>
        <w:rPr>
          <w:rFonts w:hint="eastAsia" w:hAnsi="宋体" w:cs="宋体"/>
          <w:b w:val="0"/>
          <w:bCs w:val="0"/>
          <w:kern w:val="2"/>
          <w:szCs w:val="20"/>
          <w:lang w:val="en-US" w:eastAsia="zh-CN" w:bidi="ar"/>
          <w14:ligatures w14:val="standardContextual"/>
        </w:rPr>
        <w:t>根据业主生产管理需求，周末、节假日需升级作业管理</w:t>
      </w:r>
      <w:r>
        <w:rPr>
          <w:rFonts w:hint="eastAsia" w:hAnsi="宋体" w:cs="宋体"/>
          <w:b w:val="0"/>
          <w:bCs w:val="0"/>
          <w:kern w:val="2"/>
          <w:szCs w:val="20"/>
          <w:lang w:val="en-GB" w:eastAsia="zh-CN" w:bidi="ar"/>
          <w14:ligatures w14:val="standardContextual"/>
        </w:rPr>
        <w:t>。</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GB" w:eastAsia="zh-CN" w:bidi="ar"/>
          <w14:ligatures w14:val="standardContextual"/>
        </w:rPr>
      </w:pPr>
      <w:r>
        <w:rPr>
          <w:rFonts w:hint="eastAsia" w:hAnsi="宋体" w:cs="宋体"/>
          <w:b w:val="0"/>
          <w:bCs w:val="0"/>
          <w:kern w:val="2"/>
          <w:szCs w:val="20"/>
          <w:lang w:val="en-US" w:eastAsia="zh-CN" w:bidi="ar"/>
          <w14:ligatures w14:val="standardContextual"/>
        </w:rPr>
        <w:t>（7）</w:t>
      </w:r>
      <w:r>
        <w:rPr>
          <w:rFonts w:hint="eastAsia" w:hAnsi="宋体" w:cs="宋体"/>
          <w:b w:val="0"/>
          <w:bCs w:val="0"/>
          <w:kern w:val="2"/>
          <w:szCs w:val="20"/>
          <w:lang w:val="en-GB" w:eastAsia="zh-CN" w:bidi="ar"/>
          <w14:ligatures w14:val="standardContextual"/>
        </w:rPr>
        <w:t>投标人应服从业主保安人员的管理。</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GB" w:eastAsia="zh-CN" w:bidi="ar"/>
          <w14:ligatures w14:val="standardContextual"/>
        </w:rPr>
      </w:pPr>
      <w:r>
        <w:rPr>
          <w:rFonts w:hint="eastAsia" w:hAnsi="宋体" w:cs="宋体"/>
          <w:b w:val="0"/>
          <w:bCs w:val="0"/>
          <w:kern w:val="2"/>
          <w:szCs w:val="20"/>
          <w:lang w:val="en-US" w:eastAsia="zh-CN" w:bidi="ar"/>
          <w14:ligatures w14:val="standardContextual"/>
        </w:rPr>
        <w:t>（8）</w:t>
      </w:r>
      <w:r>
        <w:rPr>
          <w:rFonts w:hint="eastAsia" w:hAnsi="宋体" w:cs="宋体"/>
          <w:b w:val="0"/>
          <w:bCs w:val="0"/>
          <w:kern w:val="2"/>
          <w:szCs w:val="20"/>
          <w:lang w:val="en-GB" w:eastAsia="zh-CN" w:bidi="ar"/>
          <w14:ligatures w14:val="standardContextual"/>
        </w:rPr>
        <w:t>机动车辆在施工现场内的道路行驶严禁超速，车辆在厂前路行驶时时速不得超过20公里，在施工现场内道路行驶时，时速不得超过15公里，装置区内道路限速5公里/小时。</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GB" w:eastAsia="zh-CN" w:bidi="ar"/>
          <w14:ligatures w14:val="standardContextual"/>
        </w:rPr>
      </w:pPr>
      <w:r>
        <w:rPr>
          <w:rFonts w:hint="eastAsia" w:hAnsi="宋体" w:cs="宋体"/>
          <w:b w:val="0"/>
          <w:bCs w:val="0"/>
          <w:kern w:val="2"/>
          <w:szCs w:val="20"/>
          <w:lang w:val="en-US" w:eastAsia="zh-CN" w:bidi="ar"/>
          <w14:ligatures w14:val="standardContextual"/>
        </w:rPr>
        <w:t>（9）</w:t>
      </w:r>
      <w:r>
        <w:rPr>
          <w:rFonts w:hint="eastAsia" w:hAnsi="宋体" w:cs="宋体"/>
          <w:b w:val="0"/>
          <w:bCs w:val="0"/>
          <w:kern w:val="2"/>
          <w:szCs w:val="20"/>
          <w:lang w:val="en-GB" w:eastAsia="zh-CN" w:bidi="ar"/>
          <w14:ligatures w14:val="standardContextual"/>
        </w:rPr>
        <w:t>人员、</w:t>
      </w:r>
      <w:r>
        <w:rPr>
          <w:rFonts w:hint="eastAsia" w:hAnsi="宋体" w:cs="宋体"/>
          <w:b w:val="0"/>
          <w:bCs w:val="0"/>
          <w:kern w:val="2"/>
          <w:szCs w:val="20"/>
          <w:lang w:val="en-US" w:eastAsia="zh-CN" w:bidi="ar"/>
          <w14:ligatures w14:val="standardContextual"/>
        </w:rPr>
        <w:t>车辆、材料</w:t>
      </w:r>
      <w:r>
        <w:rPr>
          <w:rFonts w:hint="eastAsia" w:hAnsi="宋体" w:cs="宋体"/>
          <w:b w:val="0"/>
          <w:bCs w:val="0"/>
          <w:kern w:val="2"/>
          <w:szCs w:val="20"/>
          <w:lang w:val="en-GB" w:eastAsia="zh-CN" w:bidi="ar"/>
          <w14:ligatures w14:val="standardContextual"/>
        </w:rPr>
        <w:t>出入还应执行</w:t>
      </w:r>
      <w:r>
        <w:rPr>
          <w:rFonts w:hint="eastAsia" w:hAnsi="宋体" w:cs="宋体"/>
          <w:b w:val="0"/>
          <w:bCs w:val="0"/>
          <w:kern w:val="2"/>
          <w:szCs w:val="20"/>
          <w:lang w:val="en-US" w:eastAsia="zh-CN" w:bidi="ar"/>
          <w14:ligatures w14:val="standardContextual"/>
        </w:rPr>
        <w:t>相关管理规定。</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GB" w:eastAsia="zh-CN" w:bidi="ar"/>
          <w14:ligatures w14:val="standardContextual"/>
        </w:rPr>
      </w:pPr>
      <w:r>
        <w:rPr>
          <w:rFonts w:hint="eastAsia" w:hAnsi="宋体" w:cs="宋体"/>
          <w:b w:val="0"/>
          <w:bCs w:val="0"/>
          <w:kern w:val="2"/>
          <w:szCs w:val="20"/>
          <w:lang w:val="en-US" w:eastAsia="zh-CN" w:bidi="ar"/>
          <w14:ligatures w14:val="standardContextual"/>
        </w:rPr>
        <w:t>5）</w:t>
      </w:r>
      <w:r>
        <w:rPr>
          <w:rFonts w:hint="eastAsia" w:hAnsi="宋体" w:cs="宋体"/>
          <w:b w:val="0"/>
          <w:bCs w:val="0"/>
          <w:kern w:val="2"/>
          <w:szCs w:val="20"/>
          <w:lang w:val="en-GB" w:eastAsia="zh-CN" w:bidi="ar"/>
          <w14:ligatures w14:val="standardContextual"/>
        </w:rPr>
        <w:t>安全会议</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GB" w:eastAsia="zh-CN" w:bidi="ar"/>
          <w14:ligatures w14:val="standardContextual"/>
        </w:rPr>
      </w:pPr>
      <w:r>
        <w:rPr>
          <w:rFonts w:hint="eastAsia" w:hAnsi="宋体" w:cs="宋体"/>
          <w:b w:val="0"/>
          <w:bCs w:val="0"/>
          <w:kern w:val="2"/>
          <w:szCs w:val="20"/>
          <w:lang w:val="en-US" w:eastAsia="zh-CN" w:bidi="ar"/>
          <w14:ligatures w14:val="standardContextual"/>
        </w:rPr>
        <w:t>（1）</w:t>
      </w:r>
      <w:r>
        <w:rPr>
          <w:rFonts w:hint="eastAsia" w:hAnsi="宋体" w:cs="宋体"/>
          <w:b w:val="0"/>
          <w:bCs w:val="0"/>
          <w:kern w:val="2"/>
          <w:szCs w:val="20"/>
          <w:lang w:val="en-GB" w:eastAsia="zh-CN" w:bidi="ar"/>
          <w14:ligatures w14:val="standardContextual"/>
        </w:rPr>
        <w:t>每天工作前投标人施工管理人员和</w:t>
      </w:r>
      <w:r>
        <w:rPr>
          <w:rFonts w:hint="eastAsia" w:hAnsi="宋体" w:cs="宋体"/>
          <w:b w:val="0"/>
          <w:bCs w:val="0"/>
          <w:kern w:val="2"/>
          <w:szCs w:val="20"/>
          <w:lang w:val="en-US" w:eastAsia="zh-CN" w:bidi="ar"/>
          <w14:ligatures w14:val="standardContextual"/>
        </w:rPr>
        <w:t>安全生产</w:t>
      </w:r>
      <w:r>
        <w:rPr>
          <w:rFonts w:hint="eastAsia" w:hAnsi="宋体" w:cs="宋体"/>
          <w:b w:val="0"/>
          <w:bCs w:val="0"/>
          <w:kern w:val="2"/>
          <w:szCs w:val="20"/>
          <w:lang w:val="en-GB" w:eastAsia="zh-CN" w:bidi="ar"/>
          <w14:ligatures w14:val="standardContextual"/>
        </w:rPr>
        <w:t>管理人员对施工人员应进行安全技术交底。</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GB" w:eastAsia="zh-CN" w:bidi="ar"/>
          <w14:ligatures w14:val="standardContextual"/>
        </w:rPr>
      </w:pPr>
      <w:r>
        <w:rPr>
          <w:rFonts w:hint="eastAsia" w:hAnsi="宋体" w:cs="宋体"/>
          <w:b w:val="0"/>
          <w:bCs w:val="0"/>
          <w:kern w:val="2"/>
          <w:szCs w:val="20"/>
          <w:lang w:val="en-US" w:eastAsia="zh-CN" w:bidi="ar"/>
          <w14:ligatures w14:val="standardContextual"/>
        </w:rPr>
        <w:t>（2）</w:t>
      </w:r>
      <w:r>
        <w:rPr>
          <w:rFonts w:hint="eastAsia" w:hAnsi="宋体" w:cs="宋体"/>
          <w:b w:val="0"/>
          <w:bCs w:val="0"/>
          <w:kern w:val="2"/>
          <w:szCs w:val="20"/>
          <w:lang w:val="en-GB" w:eastAsia="zh-CN" w:bidi="ar"/>
          <w14:ligatures w14:val="standardContextual"/>
        </w:rPr>
        <w:t>每周召开安全生产例会，强调下周的安全工作。</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GB" w:eastAsia="zh-CN" w:bidi="ar"/>
          <w14:ligatures w14:val="standardContextual"/>
        </w:rPr>
      </w:pPr>
      <w:r>
        <w:rPr>
          <w:rFonts w:hint="eastAsia" w:hAnsi="宋体" w:cs="宋体"/>
          <w:b w:val="0"/>
          <w:bCs w:val="0"/>
          <w:kern w:val="2"/>
          <w:szCs w:val="20"/>
          <w:lang w:val="en-US" w:eastAsia="zh-CN" w:bidi="ar"/>
          <w14:ligatures w14:val="standardContextual"/>
        </w:rPr>
        <w:t>（3）</w:t>
      </w:r>
      <w:r>
        <w:rPr>
          <w:rFonts w:hint="eastAsia" w:hAnsi="宋体" w:cs="宋体"/>
          <w:b w:val="0"/>
          <w:bCs w:val="0"/>
          <w:kern w:val="2"/>
          <w:szCs w:val="20"/>
          <w:lang w:val="en-GB" w:eastAsia="zh-CN" w:bidi="ar"/>
          <w14:ligatures w14:val="standardContextual"/>
        </w:rPr>
        <w:t>业主将每周召开安全会议，对当周安全工作进行总结（</w:t>
      </w:r>
      <w:r>
        <w:rPr>
          <w:rFonts w:hint="eastAsia" w:hAnsi="宋体" w:cs="宋体"/>
          <w:b w:val="0"/>
          <w:bCs w:val="0"/>
          <w:kern w:val="2"/>
          <w:szCs w:val="20"/>
          <w:lang w:val="en-US" w:eastAsia="zh-CN" w:bidi="ar"/>
          <w14:ligatures w14:val="standardContextual"/>
        </w:rPr>
        <w:t>安全会议同进度协调会合并召开</w:t>
      </w:r>
      <w:r>
        <w:rPr>
          <w:rFonts w:hint="eastAsia" w:hAnsi="宋体" w:cs="宋体"/>
          <w:b w:val="0"/>
          <w:bCs w:val="0"/>
          <w:kern w:val="2"/>
          <w:szCs w:val="20"/>
          <w:lang w:val="en-GB" w:eastAsia="zh-CN" w:bidi="ar"/>
          <w14:ligatures w14:val="standardContextual"/>
        </w:rPr>
        <w:t>）。</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GB" w:eastAsia="zh-CN" w:bidi="ar"/>
          <w14:ligatures w14:val="standardContextual"/>
        </w:rPr>
      </w:pPr>
      <w:r>
        <w:rPr>
          <w:rFonts w:hint="eastAsia" w:hAnsi="宋体" w:cs="宋体"/>
          <w:b w:val="0"/>
          <w:bCs w:val="0"/>
          <w:kern w:val="2"/>
          <w:szCs w:val="20"/>
          <w:lang w:val="en-US" w:eastAsia="zh-CN" w:bidi="ar"/>
          <w14:ligatures w14:val="standardContextual"/>
        </w:rPr>
        <w:t>（4）</w:t>
      </w:r>
      <w:r>
        <w:rPr>
          <w:rFonts w:hint="eastAsia" w:hAnsi="宋体" w:cs="宋体"/>
          <w:b w:val="0"/>
          <w:bCs w:val="0"/>
          <w:kern w:val="2"/>
          <w:szCs w:val="20"/>
          <w:lang w:val="en-GB" w:eastAsia="zh-CN" w:bidi="ar"/>
          <w14:ligatures w14:val="standardContextual"/>
        </w:rPr>
        <w:t>安全会议还应执行</w:t>
      </w:r>
      <w:r>
        <w:rPr>
          <w:rFonts w:hint="eastAsia" w:hAnsi="宋体" w:cs="宋体"/>
          <w:b w:val="0"/>
          <w:bCs w:val="0"/>
          <w:kern w:val="2"/>
          <w:szCs w:val="20"/>
          <w:lang w:val="en-US" w:eastAsia="zh-CN" w:bidi="ar"/>
          <w14:ligatures w14:val="standardContextual"/>
        </w:rPr>
        <w:t>相关</w:t>
      </w:r>
      <w:r>
        <w:rPr>
          <w:rFonts w:hint="eastAsia" w:hAnsi="宋体" w:cs="宋体"/>
          <w:b w:val="0"/>
          <w:bCs w:val="0"/>
          <w:kern w:val="2"/>
          <w:szCs w:val="20"/>
          <w:lang w:val="en-GB" w:eastAsia="zh-CN" w:bidi="ar"/>
          <w14:ligatures w14:val="standardContextual"/>
        </w:rPr>
        <w:t>业主管理规定。</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US" w:eastAsia="zh-CN" w:bidi="ar"/>
          <w14:ligatures w14:val="standardContextual"/>
        </w:rPr>
      </w:pPr>
      <w:r>
        <w:rPr>
          <w:rFonts w:hint="eastAsia" w:hAnsi="宋体" w:cs="宋体"/>
          <w:b w:val="0"/>
          <w:bCs w:val="0"/>
          <w:kern w:val="2"/>
          <w:szCs w:val="20"/>
          <w:lang w:val="en-US" w:eastAsia="zh-CN" w:bidi="ar"/>
          <w14:ligatures w14:val="standardContextual"/>
        </w:rPr>
        <w:t>12.2.11标语与标志</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US" w:eastAsia="zh-CN" w:bidi="ar"/>
          <w14:ligatures w14:val="standardContextual"/>
        </w:rPr>
      </w:pPr>
      <w:r>
        <w:rPr>
          <w:rFonts w:hint="eastAsia" w:hAnsi="宋体" w:cs="宋体"/>
          <w:b w:val="0"/>
          <w:bCs w:val="0"/>
          <w:kern w:val="2"/>
          <w:szCs w:val="20"/>
          <w:lang w:val="en-GB" w:eastAsia="zh-CN" w:bidi="ar"/>
          <w14:ligatures w14:val="standardContextual"/>
        </w:rPr>
        <w:t>投标人应在现场张贴项目的</w:t>
      </w:r>
      <w:r>
        <w:rPr>
          <w:rFonts w:hint="eastAsia" w:hAnsi="宋体" w:cs="宋体"/>
          <w:b w:val="0"/>
          <w:bCs w:val="0"/>
          <w:kern w:val="2"/>
          <w:szCs w:val="20"/>
          <w:lang w:val="en-US" w:eastAsia="zh-CN" w:bidi="ar"/>
          <w14:ligatures w14:val="standardContextual"/>
        </w:rPr>
        <w:t>安全生产</w:t>
      </w:r>
      <w:r>
        <w:rPr>
          <w:rFonts w:hint="eastAsia" w:hAnsi="宋体" w:cs="宋体"/>
          <w:b w:val="0"/>
          <w:bCs w:val="0"/>
          <w:kern w:val="2"/>
          <w:szCs w:val="20"/>
          <w:lang w:val="en-GB" w:eastAsia="zh-CN" w:bidi="ar"/>
          <w14:ligatures w14:val="standardContextual"/>
        </w:rPr>
        <w:t>宣传标语和安全警示标志。</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US" w:eastAsia="zh-CN" w:bidi="ar"/>
          <w14:ligatures w14:val="standardContextual"/>
        </w:rPr>
      </w:pPr>
      <w:r>
        <w:rPr>
          <w:rFonts w:hint="eastAsia" w:hAnsi="宋体" w:cs="宋体"/>
          <w:b w:val="0"/>
          <w:bCs w:val="0"/>
          <w:kern w:val="2"/>
          <w:szCs w:val="20"/>
          <w:lang w:val="en-US" w:eastAsia="zh-CN" w:bidi="ar"/>
          <w14:ligatures w14:val="standardContextual"/>
        </w:rPr>
        <w:t xml:space="preserve">12.2.12安全生产奖惩 </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GB" w:eastAsia="zh-CN" w:bidi="ar"/>
          <w14:ligatures w14:val="standardContextual"/>
        </w:rPr>
      </w:pPr>
      <w:r>
        <w:rPr>
          <w:rFonts w:hint="eastAsia" w:hAnsi="宋体" w:cs="宋体"/>
          <w:b w:val="0"/>
          <w:bCs w:val="0"/>
          <w:kern w:val="2"/>
          <w:szCs w:val="20"/>
          <w:lang w:val="en-GB" w:eastAsia="zh-CN" w:bidi="ar"/>
          <w14:ligatures w14:val="standardContextual"/>
        </w:rPr>
        <w:t>对于违反规章制度的行为，</w:t>
      </w:r>
      <w:r>
        <w:rPr>
          <w:rFonts w:hint="eastAsia" w:hAnsi="宋体" w:cs="宋体"/>
          <w:b w:val="0"/>
          <w:bCs w:val="0"/>
          <w:kern w:val="2"/>
          <w:szCs w:val="20"/>
          <w:lang w:val="en-US" w:eastAsia="zh-CN" w:bidi="ar"/>
          <w14:ligatures w14:val="standardContextual"/>
        </w:rPr>
        <w:t>业主的安全管理部和属地中心的安全管理人员</w:t>
      </w:r>
      <w:r>
        <w:rPr>
          <w:rFonts w:hint="eastAsia" w:hAnsi="宋体" w:cs="宋体"/>
          <w:b w:val="0"/>
          <w:bCs w:val="0"/>
          <w:kern w:val="2"/>
          <w:szCs w:val="20"/>
          <w:lang w:val="en-GB" w:eastAsia="zh-CN" w:bidi="ar"/>
          <w14:ligatures w14:val="standardContextual"/>
        </w:rPr>
        <w:t>有权进行处罚。</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US" w:eastAsia="zh-CN" w:bidi="ar"/>
          <w14:ligatures w14:val="standardContextual"/>
        </w:rPr>
      </w:pPr>
      <w:r>
        <w:rPr>
          <w:rFonts w:hint="eastAsia" w:hAnsi="宋体" w:cs="宋体"/>
          <w:b w:val="0"/>
          <w:bCs w:val="0"/>
          <w:kern w:val="2"/>
          <w:szCs w:val="20"/>
          <w:lang w:val="en-US" w:eastAsia="zh-CN" w:bidi="ar"/>
          <w14:ligatures w14:val="standardContextual"/>
        </w:rPr>
        <w:t xml:space="preserve">12.2.13事故管理 </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GB" w:eastAsia="zh-CN" w:bidi="ar"/>
          <w14:ligatures w14:val="standardContextual"/>
        </w:rPr>
      </w:pPr>
      <w:r>
        <w:rPr>
          <w:rFonts w:hint="eastAsia" w:hAnsi="宋体" w:cs="宋体"/>
          <w:b w:val="0"/>
          <w:bCs w:val="0"/>
          <w:kern w:val="2"/>
          <w:szCs w:val="20"/>
          <w:lang w:val="en-US" w:eastAsia="zh-CN" w:bidi="ar"/>
          <w14:ligatures w14:val="standardContextual"/>
        </w:rPr>
        <w:t>1）</w:t>
      </w:r>
      <w:r>
        <w:rPr>
          <w:rFonts w:hint="eastAsia" w:hAnsi="宋体" w:cs="宋体"/>
          <w:b w:val="0"/>
          <w:bCs w:val="0"/>
          <w:kern w:val="2"/>
          <w:szCs w:val="20"/>
          <w:lang w:val="en-GB" w:eastAsia="zh-CN" w:bidi="ar"/>
          <w14:ligatures w14:val="standardContextual"/>
        </w:rPr>
        <w:t>施工期间投标人的</w:t>
      </w:r>
      <w:r>
        <w:rPr>
          <w:rFonts w:hint="eastAsia" w:hAnsi="宋体" w:cs="宋体"/>
          <w:b w:val="0"/>
          <w:bCs w:val="0"/>
          <w:kern w:val="2"/>
          <w:szCs w:val="20"/>
          <w:lang w:val="en-US" w:eastAsia="zh-CN" w:bidi="ar"/>
          <w14:ligatures w14:val="standardContextual"/>
        </w:rPr>
        <w:t>安全生产</w:t>
      </w:r>
      <w:r>
        <w:rPr>
          <w:rFonts w:hint="eastAsia" w:hAnsi="宋体" w:cs="宋体"/>
          <w:b w:val="0"/>
          <w:bCs w:val="0"/>
          <w:kern w:val="2"/>
          <w:szCs w:val="20"/>
          <w:lang w:val="en-GB" w:eastAsia="zh-CN" w:bidi="ar"/>
          <w14:ligatures w14:val="standardContextual"/>
        </w:rPr>
        <w:t>目标是完成业主的“零事故”的要求。</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GB" w:eastAsia="zh-CN" w:bidi="ar"/>
          <w14:ligatures w14:val="standardContextual"/>
        </w:rPr>
      </w:pPr>
      <w:r>
        <w:rPr>
          <w:rFonts w:hint="eastAsia" w:hAnsi="宋体" w:cs="宋体"/>
          <w:b w:val="0"/>
          <w:bCs w:val="0"/>
          <w:kern w:val="2"/>
          <w:szCs w:val="20"/>
          <w:lang w:val="en-US" w:eastAsia="zh-CN" w:bidi="ar"/>
          <w14:ligatures w14:val="standardContextual"/>
        </w:rPr>
        <w:t>2）</w:t>
      </w:r>
      <w:r>
        <w:rPr>
          <w:rFonts w:hint="eastAsia" w:hAnsi="宋体" w:cs="宋体"/>
          <w:b w:val="0"/>
          <w:bCs w:val="0"/>
          <w:kern w:val="2"/>
          <w:szCs w:val="20"/>
          <w:lang w:val="en-GB" w:eastAsia="zh-CN" w:bidi="ar"/>
          <w14:ligatures w14:val="standardContextual"/>
        </w:rPr>
        <w:t>投标人在施工期间发生的事故和伤害在向政府机构或保险公司提供报告的同时应向业主提供一份复印件。</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GB" w:eastAsia="zh-CN" w:bidi="ar"/>
          <w14:ligatures w14:val="standardContextual"/>
        </w:rPr>
      </w:pPr>
      <w:r>
        <w:rPr>
          <w:rFonts w:hint="eastAsia" w:hAnsi="宋体" w:cs="宋体"/>
          <w:b w:val="0"/>
          <w:bCs w:val="0"/>
          <w:kern w:val="2"/>
          <w:szCs w:val="20"/>
          <w:lang w:val="en-US" w:eastAsia="zh-CN" w:bidi="ar"/>
          <w14:ligatures w14:val="standardContextual"/>
        </w:rPr>
        <w:t>3）</w:t>
      </w:r>
      <w:r>
        <w:rPr>
          <w:rFonts w:hint="eastAsia" w:hAnsi="宋体" w:cs="宋体"/>
          <w:b w:val="0"/>
          <w:bCs w:val="0"/>
          <w:kern w:val="2"/>
          <w:szCs w:val="20"/>
          <w:lang w:val="en-GB" w:eastAsia="zh-CN" w:bidi="ar"/>
          <w14:ligatures w14:val="standardContextual"/>
        </w:rPr>
        <w:t>发生事故时要及时向业主报告，按照业主的《</w:t>
      </w:r>
      <w:r>
        <w:rPr>
          <w:rFonts w:hint="eastAsia" w:hAnsi="宋体" w:cs="宋体"/>
          <w:b w:val="0"/>
          <w:bCs w:val="0"/>
          <w:kern w:val="2"/>
          <w:szCs w:val="20"/>
          <w:lang w:val="en-US" w:eastAsia="zh-CN" w:bidi="ar"/>
          <w14:ligatures w14:val="standardContextual"/>
        </w:rPr>
        <w:t>安全生产</w:t>
      </w:r>
      <w:r>
        <w:rPr>
          <w:rFonts w:hint="eastAsia" w:hAnsi="宋体" w:cs="宋体"/>
          <w:b w:val="0"/>
          <w:bCs w:val="0"/>
          <w:kern w:val="2"/>
          <w:szCs w:val="20"/>
          <w:lang w:val="en-GB" w:eastAsia="zh-CN" w:bidi="ar"/>
          <w14:ligatures w14:val="standardContextual"/>
        </w:rPr>
        <w:t>事故/事件调查处理程序》执行，并进行事故统计。</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US" w:eastAsia="zh-CN" w:bidi="ar"/>
          <w14:ligatures w14:val="standardContextual"/>
        </w:rPr>
      </w:pPr>
      <w:r>
        <w:rPr>
          <w:rFonts w:hint="eastAsia" w:hAnsi="宋体" w:cs="宋体"/>
          <w:b w:val="0"/>
          <w:bCs w:val="0"/>
          <w:kern w:val="2"/>
          <w:szCs w:val="20"/>
          <w:lang w:val="en-US" w:eastAsia="zh-CN" w:bidi="ar"/>
          <w14:ligatures w14:val="standardContextual"/>
        </w:rPr>
        <w:t>4）</w:t>
      </w:r>
      <w:r>
        <w:rPr>
          <w:rFonts w:hint="eastAsia" w:hAnsi="宋体" w:cs="宋体"/>
          <w:b w:val="0"/>
          <w:bCs w:val="0"/>
          <w:kern w:val="2"/>
          <w:szCs w:val="20"/>
          <w:lang w:val="en-GB" w:eastAsia="zh-CN" w:bidi="ar"/>
          <w14:ligatures w14:val="standardContextual"/>
        </w:rPr>
        <w:t>投标人应按业主要求协助业主进行事故调查。</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US" w:eastAsia="zh-CN" w:bidi="ar"/>
          <w14:ligatures w14:val="standardContextual"/>
        </w:rPr>
      </w:pPr>
      <w:r>
        <w:rPr>
          <w:rFonts w:hint="eastAsia" w:hAnsi="宋体" w:cs="宋体"/>
          <w:b w:val="0"/>
          <w:bCs w:val="0"/>
          <w:kern w:val="2"/>
          <w:szCs w:val="20"/>
          <w:lang w:val="en-US" w:eastAsia="zh-CN" w:bidi="ar"/>
          <w14:ligatures w14:val="standardContextual"/>
        </w:rPr>
        <w:t>12.2.14现场附近的医疗救护</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GB" w:eastAsia="zh-CN" w:bidi="ar"/>
          <w14:ligatures w14:val="standardContextual"/>
        </w:rPr>
      </w:pPr>
      <w:r>
        <w:rPr>
          <w:rFonts w:hint="eastAsia" w:hAnsi="宋体" w:cs="宋体"/>
          <w:b w:val="0"/>
          <w:bCs w:val="0"/>
          <w:kern w:val="2"/>
          <w:szCs w:val="20"/>
          <w:lang w:val="en-US" w:eastAsia="zh-CN" w:bidi="ar"/>
          <w14:ligatures w14:val="standardContextual"/>
        </w:rPr>
        <w:t>1）</w:t>
      </w:r>
      <w:r>
        <w:rPr>
          <w:rFonts w:hint="eastAsia" w:hAnsi="宋体" w:cs="宋体"/>
          <w:b w:val="0"/>
          <w:bCs w:val="0"/>
          <w:kern w:val="2"/>
          <w:szCs w:val="20"/>
          <w:lang w:val="en-GB" w:eastAsia="zh-CN" w:bidi="ar"/>
          <w14:ligatures w14:val="standardContextual"/>
        </w:rPr>
        <w:t>要求投标人在现场提供满足其需求的医疗服务室，投标人应利用医疗服务室对发生的轻微的人员伤害进行初步处理。</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US" w:eastAsia="zh-CN" w:bidi="ar"/>
          <w14:ligatures w14:val="standardContextual"/>
        </w:rPr>
      </w:pPr>
      <w:r>
        <w:rPr>
          <w:rFonts w:hint="eastAsia" w:hAnsi="宋体" w:cs="宋体"/>
          <w:b w:val="0"/>
          <w:bCs w:val="0"/>
          <w:kern w:val="2"/>
          <w:szCs w:val="20"/>
          <w:lang w:val="en-US" w:eastAsia="zh-CN" w:bidi="ar"/>
          <w14:ligatures w14:val="standardContextual"/>
        </w:rPr>
        <w:t>2）</w:t>
      </w:r>
      <w:r>
        <w:rPr>
          <w:rFonts w:hint="eastAsia" w:hAnsi="宋体" w:cs="宋体"/>
          <w:b w:val="0"/>
          <w:bCs w:val="0"/>
          <w:kern w:val="2"/>
          <w:szCs w:val="20"/>
          <w:lang w:val="en-GB" w:eastAsia="zh-CN" w:bidi="ar"/>
          <w14:ligatures w14:val="standardContextual"/>
        </w:rPr>
        <w:t>投标人需在进驻现场前与当地一家医院签订急救协议，该医院将为重大的人员伤害提供医疗急救服务，相关费用由投标人承担。</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US" w:eastAsia="zh-CN" w:bidi="ar"/>
          <w14:ligatures w14:val="standardContextual"/>
        </w:rPr>
      </w:pPr>
      <w:r>
        <w:rPr>
          <w:rFonts w:hint="eastAsia" w:hAnsi="宋体" w:cs="宋体"/>
          <w:b w:val="0"/>
          <w:bCs w:val="0"/>
          <w:kern w:val="2"/>
          <w:szCs w:val="20"/>
          <w:lang w:val="en-US" w:eastAsia="zh-CN" w:bidi="ar"/>
          <w14:ligatures w14:val="standardContextual"/>
        </w:rPr>
        <w:t xml:space="preserve">12.2.15投料试车的安全生产管理  </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US" w:eastAsia="zh-CN" w:bidi="ar"/>
          <w14:ligatures w14:val="standardContextual"/>
        </w:rPr>
      </w:pPr>
      <w:r>
        <w:rPr>
          <w:rFonts w:hint="eastAsia" w:hAnsi="宋体" w:cs="宋体"/>
          <w:b w:val="0"/>
          <w:bCs w:val="0"/>
          <w:kern w:val="2"/>
          <w:szCs w:val="20"/>
          <w:lang w:val="en-US" w:eastAsia="zh-CN" w:bidi="ar"/>
          <w14:ligatures w14:val="standardContextual"/>
        </w:rPr>
        <w:t>1）</w:t>
      </w:r>
      <w:r>
        <w:rPr>
          <w:rFonts w:hint="eastAsia" w:hAnsi="宋体" w:cs="宋体"/>
          <w:b w:val="0"/>
          <w:bCs w:val="0"/>
          <w:kern w:val="2"/>
          <w:szCs w:val="20"/>
          <w:lang w:val="en-GB" w:eastAsia="zh-CN" w:bidi="ar"/>
          <w14:ligatures w14:val="standardContextual"/>
        </w:rPr>
        <w:t>投标人应协助业主制定试车方案，防止由操作人员的误操作引起有毒物质严重泄漏、化学反应、可燃物质泄漏着火，危险化学品溢出/泄漏/着火。 并协助业主检查确认以下内容：</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GB" w:eastAsia="zh-CN" w:bidi="ar"/>
          <w14:ligatures w14:val="standardContextual"/>
        </w:rPr>
      </w:pPr>
      <w:r>
        <w:rPr>
          <w:rFonts w:hint="eastAsia" w:hAnsi="宋体" w:cs="宋体"/>
          <w:b w:val="0"/>
          <w:bCs w:val="0"/>
          <w:kern w:val="2"/>
          <w:szCs w:val="20"/>
          <w:lang w:val="en-US" w:eastAsia="zh-CN" w:bidi="ar"/>
          <w14:ligatures w14:val="standardContextual"/>
        </w:rPr>
        <w:t>（1）</w:t>
      </w:r>
      <w:r>
        <w:rPr>
          <w:rFonts w:hint="eastAsia" w:hAnsi="宋体" w:cs="宋体"/>
          <w:b w:val="0"/>
          <w:bCs w:val="0"/>
          <w:kern w:val="2"/>
          <w:szCs w:val="20"/>
          <w:lang w:val="en-GB" w:eastAsia="zh-CN" w:bidi="ar"/>
          <w14:ligatures w14:val="standardContextual"/>
        </w:rPr>
        <w:t>每个员工应进行必要的培训以了解安全操作，才能安全执行工作。</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GB" w:eastAsia="zh-CN" w:bidi="ar"/>
          <w14:ligatures w14:val="standardContextual"/>
        </w:rPr>
      </w:pPr>
      <w:r>
        <w:rPr>
          <w:rFonts w:hint="eastAsia" w:hAnsi="宋体" w:cs="宋体"/>
          <w:b w:val="0"/>
          <w:bCs w:val="0"/>
          <w:kern w:val="2"/>
          <w:szCs w:val="20"/>
          <w:lang w:val="en-US" w:eastAsia="zh-CN" w:bidi="ar"/>
          <w14:ligatures w14:val="standardContextual"/>
        </w:rPr>
        <w:t>（2）</w:t>
      </w:r>
      <w:r>
        <w:rPr>
          <w:rFonts w:hint="eastAsia" w:hAnsi="宋体" w:cs="宋体"/>
          <w:b w:val="0"/>
          <w:bCs w:val="0"/>
          <w:kern w:val="2"/>
          <w:szCs w:val="20"/>
          <w:lang w:val="en-GB" w:eastAsia="zh-CN" w:bidi="ar"/>
          <w14:ligatures w14:val="standardContextual"/>
        </w:rPr>
        <w:t>每个员工应被告知工作中潜在的火灾爆炸或有毒物质泄漏的危险。</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GB" w:eastAsia="zh-CN" w:bidi="ar"/>
          <w14:ligatures w14:val="standardContextual"/>
        </w:rPr>
      </w:pPr>
      <w:r>
        <w:rPr>
          <w:rFonts w:hint="eastAsia" w:hAnsi="宋体" w:cs="宋体"/>
          <w:b w:val="0"/>
          <w:bCs w:val="0"/>
          <w:kern w:val="2"/>
          <w:szCs w:val="20"/>
          <w:lang w:val="en-US" w:eastAsia="zh-CN" w:bidi="ar"/>
          <w14:ligatures w14:val="standardContextual"/>
        </w:rPr>
        <w:t>（3）</w:t>
      </w:r>
      <w:r>
        <w:rPr>
          <w:rFonts w:hint="eastAsia" w:hAnsi="宋体" w:cs="宋体"/>
          <w:b w:val="0"/>
          <w:bCs w:val="0"/>
          <w:kern w:val="2"/>
          <w:szCs w:val="20"/>
          <w:lang w:val="en-GB" w:eastAsia="zh-CN" w:bidi="ar"/>
          <w14:ligatures w14:val="standardContextual"/>
        </w:rPr>
        <w:t>每个员工接受培训和考核合格后，要有文件证明员工已达到培训要求。</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GB" w:eastAsia="zh-CN" w:bidi="ar"/>
          <w14:ligatures w14:val="standardContextual"/>
        </w:rPr>
      </w:pPr>
      <w:r>
        <w:rPr>
          <w:rFonts w:hint="eastAsia" w:hAnsi="宋体" w:cs="宋体"/>
          <w:b w:val="0"/>
          <w:bCs w:val="0"/>
          <w:kern w:val="2"/>
          <w:szCs w:val="20"/>
          <w:lang w:val="en-US" w:eastAsia="zh-CN" w:bidi="ar"/>
          <w14:ligatures w14:val="standardContextual"/>
        </w:rPr>
        <w:t>（4）</w:t>
      </w:r>
      <w:r>
        <w:rPr>
          <w:rFonts w:hint="eastAsia" w:hAnsi="宋体" w:cs="宋体"/>
          <w:b w:val="0"/>
          <w:bCs w:val="0"/>
          <w:kern w:val="2"/>
          <w:szCs w:val="20"/>
          <w:lang w:val="en-GB" w:eastAsia="zh-CN" w:bidi="ar"/>
          <w14:ligatures w14:val="standardContextual"/>
        </w:rPr>
        <w:t>确保每个员工遵守安全承诺。</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US" w:eastAsia="zh-CN" w:bidi="ar"/>
          <w14:ligatures w14:val="standardContextual"/>
        </w:rPr>
      </w:pPr>
      <w:r>
        <w:rPr>
          <w:rFonts w:hint="eastAsia" w:hAnsi="宋体" w:cs="宋体"/>
          <w:b w:val="0"/>
          <w:bCs w:val="0"/>
          <w:kern w:val="2"/>
          <w:szCs w:val="20"/>
          <w:lang w:val="en-US" w:eastAsia="zh-CN" w:bidi="ar"/>
          <w14:ligatures w14:val="standardContextual"/>
        </w:rPr>
        <w:t>（5）</w:t>
      </w:r>
      <w:r>
        <w:rPr>
          <w:rFonts w:hint="eastAsia" w:hAnsi="宋体" w:cs="宋体"/>
          <w:b w:val="0"/>
          <w:bCs w:val="0"/>
          <w:kern w:val="2"/>
          <w:szCs w:val="20"/>
          <w:lang w:val="en-GB" w:eastAsia="zh-CN" w:bidi="ar"/>
          <w14:ligatures w14:val="standardContextual"/>
        </w:rPr>
        <w:t>如果发生严重事故，需要进行调查。</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US" w:eastAsia="zh-CN" w:bidi="ar"/>
          <w14:ligatures w14:val="standardContextual"/>
        </w:rPr>
      </w:pPr>
      <w:r>
        <w:rPr>
          <w:rFonts w:hint="eastAsia" w:hAnsi="宋体" w:cs="宋体"/>
          <w:b w:val="0"/>
          <w:bCs w:val="0"/>
          <w:kern w:val="2"/>
          <w:szCs w:val="20"/>
          <w:lang w:val="en-US" w:eastAsia="zh-CN" w:bidi="ar"/>
          <w14:ligatures w14:val="standardContextual"/>
        </w:rPr>
        <w:t>2）</w:t>
      </w:r>
      <w:r>
        <w:rPr>
          <w:rFonts w:hint="eastAsia" w:hAnsi="宋体" w:cs="宋体"/>
          <w:b w:val="0"/>
          <w:bCs w:val="0"/>
          <w:kern w:val="2"/>
          <w:szCs w:val="20"/>
          <w:lang w:val="en-GB" w:eastAsia="zh-CN" w:bidi="ar"/>
          <w14:ligatures w14:val="standardContextual"/>
        </w:rPr>
        <w:t>投标人的安全代表应与业主协调，使其获得工厂操作的相关信息，内容至少包括：</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GB" w:eastAsia="zh-CN" w:bidi="ar"/>
          <w14:ligatures w14:val="standardContextual"/>
        </w:rPr>
      </w:pPr>
      <w:r>
        <w:rPr>
          <w:rFonts w:hint="eastAsia" w:hAnsi="宋体" w:cs="宋体"/>
          <w:b w:val="0"/>
          <w:bCs w:val="0"/>
          <w:kern w:val="2"/>
          <w:szCs w:val="20"/>
          <w:lang w:val="en-US" w:eastAsia="zh-CN" w:bidi="ar"/>
          <w14:ligatures w14:val="standardContextual"/>
        </w:rPr>
        <w:t>（1）</w:t>
      </w:r>
      <w:r>
        <w:rPr>
          <w:rFonts w:hint="eastAsia" w:hAnsi="宋体" w:cs="宋体"/>
          <w:b w:val="0"/>
          <w:bCs w:val="0"/>
          <w:kern w:val="2"/>
          <w:szCs w:val="20"/>
          <w:lang w:val="en-GB" w:eastAsia="zh-CN" w:bidi="ar"/>
          <w14:ligatures w14:val="standardContextual"/>
        </w:rPr>
        <w:t>应急程序、警报、撤退路线及安全集结区等；</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GB" w:eastAsia="zh-CN" w:bidi="ar"/>
          <w14:ligatures w14:val="standardContextual"/>
        </w:rPr>
      </w:pPr>
      <w:r>
        <w:rPr>
          <w:rFonts w:hint="eastAsia" w:hAnsi="宋体" w:cs="宋体"/>
          <w:b w:val="0"/>
          <w:bCs w:val="0"/>
          <w:kern w:val="2"/>
          <w:szCs w:val="20"/>
          <w:lang w:val="en-US" w:eastAsia="zh-CN" w:bidi="ar"/>
          <w14:ligatures w14:val="standardContextual"/>
        </w:rPr>
        <w:t>（2）</w:t>
      </w:r>
      <w:r>
        <w:rPr>
          <w:rFonts w:hint="eastAsia" w:hAnsi="宋体" w:cs="宋体"/>
          <w:b w:val="0"/>
          <w:bCs w:val="0"/>
          <w:kern w:val="2"/>
          <w:szCs w:val="20"/>
          <w:lang w:val="en-GB" w:eastAsia="zh-CN" w:bidi="ar"/>
          <w14:ligatures w14:val="standardContextual"/>
        </w:rPr>
        <w:t>各单元简化的工艺流程图；</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GB" w:eastAsia="zh-CN" w:bidi="ar"/>
          <w14:ligatures w14:val="standardContextual"/>
        </w:rPr>
      </w:pPr>
      <w:r>
        <w:rPr>
          <w:rFonts w:hint="eastAsia" w:hAnsi="宋体" w:cs="宋体"/>
          <w:b w:val="0"/>
          <w:bCs w:val="0"/>
          <w:kern w:val="2"/>
          <w:szCs w:val="20"/>
          <w:lang w:val="en-US" w:eastAsia="zh-CN" w:bidi="ar"/>
          <w14:ligatures w14:val="standardContextual"/>
        </w:rPr>
        <w:t>（3）</w:t>
      </w:r>
      <w:r>
        <w:rPr>
          <w:rFonts w:hint="eastAsia" w:hAnsi="宋体" w:cs="宋体"/>
          <w:b w:val="0"/>
          <w:bCs w:val="0"/>
          <w:kern w:val="2"/>
          <w:szCs w:val="20"/>
          <w:lang w:val="en-GB" w:eastAsia="zh-CN" w:bidi="ar"/>
          <w14:ligatures w14:val="standardContextual"/>
        </w:rPr>
        <w:t>装置内的危险工艺；</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US" w:eastAsia="zh-CN" w:bidi="ar"/>
          <w14:ligatures w14:val="standardContextual"/>
        </w:rPr>
      </w:pPr>
      <w:r>
        <w:rPr>
          <w:rFonts w:hint="eastAsia" w:hAnsi="宋体" w:cs="宋体"/>
          <w:b w:val="0"/>
          <w:bCs w:val="0"/>
          <w:kern w:val="2"/>
          <w:szCs w:val="20"/>
          <w:lang w:val="en-US" w:eastAsia="zh-CN" w:bidi="ar"/>
          <w14:ligatures w14:val="standardContextual"/>
        </w:rPr>
        <w:t>（4）</w:t>
      </w:r>
      <w:r>
        <w:rPr>
          <w:rFonts w:hint="eastAsia" w:hAnsi="宋体" w:cs="宋体"/>
          <w:b w:val="0"/>
          <w:bCs w:val="0"/>
          <w:kern w:val="2"/>
          <w:szCs w:val="20"/>
          <w:lang w:val="en-GB" w:eastAsia="zh-CN" w:bidi="ar"/>
          <w14:ligatures w14:val="standardContextual"/>
        </w:rPr>
        <w:t>装置内的危险材料。</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US" w:eastAsia="zh-CN" w:bidi="ar"/>
          <w14:ligatures w14:val="standardContextual"/>
        </w:rPr>
      </w:pPr>
      <w:r>
        <w:rPr>
          <w:rFonts w:hint="eastAsia" w:hAnsi="宋体" w:cs="宋体"/>
          <w:b w:val="0"/>
          <w:bCs w:val="0"/>
          <w:kern w:val="2"/>
          <w:szCs w:val="20"/>
          <w:lang w:val="en-US" w:eastAsia="zh-CN" w:bidi="ar"/>
          <w14:ligatures w14:val="standardContextual"/>
        </w:rPr>
        <w:t>12.2.16安全作业要求</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GB" w:eastAsia="zh-CN" w:bidi="ar"/>
          <w14:ligatures w14:val="standardContextual"/>
        </w:rPr>
      </w:pPr>
      <w:r>
        <w:rPr>
          <w:rFonts w:hint="eastAsia" w:hAnsi="宋体" w:cs="宋体"/>
          <w:b w:val="0"/>
          <w:bCs w:val="0"/>
          <w:kern w:val="2"/>
          <w:szCs w:val="20"/>
          <w:lang w:val="en-GB" w:eastAsia="zh-CN" w:bidi="ar"/>
          <w14:ligatures w14:val="standardContextual"/>
        </w:rPr>
        <w:t>个人防护用品、防坠落保护、脚手架、维护隔离、屋顶作业、挖掘作业、受限空间、挂牌上锁、轻便式梯子、起重吊装作业、悬吊工作平台、曲臂工作平台、</w:t>
      </w:r>
      <w:r>
        <w:rPr>
          <w:rFonts w:hint="eastAsia" w:hAnsi="宋体" w:cs="宋体"/>
          <w:b w:val="0"/>
          <w:bCs w:val="0"/>
          <w:kern w:val="2"/>
          <w:szCs w:val="20"/>
          <w:lang w:val="en-US" w:eastAsia="zh-CN" w:bidi="ar"/>
          <w14:ligatures w14:val="standardContextual"/>
        </w:rPr>
        <w:t>压缩气瓶、施工临时用电、酒精、药品及吸烟管控、施工机具/设备检查、特种设备/作业人员管理、夜间作业、无损探伤、文明施工、化学品的存储和使用、火灾防护、安全警示标志标识应遵循业主的管理规定或国家、地方政府的法律、法规等。</w:t>
      </w:r>
    </w:p>
    <w:p>
      <w:pPr>
        <w:pStyle w:val="44"/>
        <w:widowControl w:val="0"/>
        <w:spacing w:before="0" w:beforeAutospacing="0" w:after="0" w:afterAutospacing="0" w:line="500" w:lineRule="exact"/>
        <w:ind w:firstLine="482" w:firstLineChars="200"/>
        <w:jc w:val="both"/>
        <w:rPr>
          <w:rFonts w:hint="eastAsia" w:hAnsi="宋体" w:cs="宋体"/>
          <w:b/>
          <w:bCs/>
          <w:kern w:val="2"/>
          <w:szCs w:val="20"/>
          <w:lang w:val="en-US" w:eastAsia="zh-CN" w:bidi="ar"/>
          <w14:ligatures w14:val="standardContextual"/>
        </w:rPr>
      </w:pPr>
      <w:r>
        <w:rPr>
          <w:rFonts w:hint="eastAsia" w:hAnsi="宋体" w:cs="宋体"/>
          <w:b/>
          <w:bCs/>
          <w:kern w:val="2"/>
          <w:szCs w:val="20"/>
          <w:lang w:val="en-US" w:eastAsia="zh-CN" w:bidi="ar"/>
          <w14:ligatures w14:val="standardContextual"/>
        </w:rPr>
        <w:t>12.3进度计划、控制和报告</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US" w:eastAsia="zh-CN" w:bidi="ar"/>
          <w14:ligatures w14:val="standardContextual"/>
        </w:rPr>
      </w:pPr>
      <w:r>
        <w:rPr>
          <w:rFonts w:hint="eastAsia" w:hAnsi="宋体" w:cs="宋体"/>
          <w:b w:val="0"/>
          <w:bCs w:val="0"/>
          <w:kern w:val="2"/>
          <w:szCs w:val="20"/>
          <w:lang w:val="en-US" w:eastAsia="zh-CN" w:bidi="ar"/>
          <w14:ligatures w14:val="standardContextual"/>
        </w:rPr>
        <w:t>12.3.1进度计划见11进度计划表</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US" w:eastAsia="zh-CN" w:bidi="ar"/>
          <w14:ligatures w14:val="standardContextual"/>
        </w:rPr>
      </w:pPr>
      <w:r>
        <w:rPr>
          <w:rFonts w:hint="eastAsia" w:hAnsi="宋体" w:cs="宋体"/>
          <w:b w:val="0"/>
          <w:bCs w:val="0"/>
          <w:kern w:val="2"/>
          <w:szCs w:val="20"/>
          <w:lang w:val="en-US" w:eastAsia="zh-CN" w:bidi="ar"/>
          <w14:ligatures w14:val="standardContextual"/>
        </w:rPr>
        <w:t>12.3.2进度跟踪与分析</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US" w:eastAsia="zh-CN" w:bidi="ar"/>
          <w14:ligatures w14:val="standardContextual"/>
        </w:rPr>
      </w:pPr>
      <w:r>
        <w:rPr>
          <w:rFonts w:hint="eastAsia" w:hAnsi="宋体" w:cs="宋体"/>
          <w:b w:val="0"/>
          <w:bCs w:val="0"/>
          <w:kern w:val="2"/>
          <w:szCs w:val="20"/>
          <w:lang w:val="en-US" w:eastAsia="zh-CN" w:bidi="ar"/>
          <w14:ligatures w14:val="standardContextual"/>
        </w:rPr>
        <w:t>1）合同生效后，投标人应当开始对进度实施监控。</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US" w:eastAsia="zh-CN" w:bidi="ar"/>
          <w14:ligatures w14:val="standardContextual"/>
        </w:rPr>
      </w:pPr>
      <w:r>
        <w:rPr>
          <w:rFonts w:hint="eastAsia" w:hAnsi="宋体" w:cs="宋体"/>
          <w:b w:val="0"/>
          <w:bCs w:val="0"/>
          <w:kern w:val="2"/>
          <w:szCs w:val="20"/>
          <w:lang w:val="en-US" w:eastAsia="zh-CN" w:bidi="ar"/>
          <w14:ligatures w14:val="standardContextual"/>
        </w:rPr>
        <w:t>2）投标人应根据业主批准的项目总体计划对项目实际状态进行连续的监控和分析。任何延迟或影响计划结果的作业和变更要进行研究和分析。</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US" w:eastAsia="zh-CN" w:bidi="ar"/>
          <w14:ligatures w14:val="standardContextual"/>
        </w:rPr>
      </w:pPr>
      <w:r>
        <w:rPr>
          <w:rFonts w:hint="eastAsia" w:hAnsi="宋体" w:cs="宋体"/>
          <w:b w:val="0"/>
          <w:bCs w:val="0"/>
          <w:kern w:val="2"/>
          <w:szCs w:val="20"/>
          <w:lang w:val="en-US" w:eastAsia="zh-CN" w:bidi="ar"/>
          <w14:ligatures w14:val="standardContextual"/>
        </w:rPr>
        <w:t>3）投标人应每周参加业主召开的周（月）进度协调会，并通报上周（月）进度完成情况，人力、工器具投入情况，下周进度计划安排和人力、工器具安排。</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US" w:eastAsia="zh-CN" w:bidi="ar"/>
          <w14:ligatures w14:val="standardContextual"/>
        </w:rPr>
      </w:pPr>
      <w:r>
        <w:rPr>
          <w:rFonts w:hint="eastAsia" w:hAnsi="宋体" w:cs="宋体"/>
          <w:b w:val="0"/>
          <w:bCs w:val="0"/>
          <w:kern w:val="2"/>
          <w:szCs w:val="20"/>
          <w:lang w:val="en-US" w:eastAsia="zh-CN" w:bidi="ar"/>
          <w14:ligatures w14:val="standardContextual"/>
        </w:rPr>
        <w:t>12.3.3进度误期赔偿及进度纠偏</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US" w:eastAsia="zh-CN" w:bidi="ar"/>
          <w14:ligatures w14:val="standardContextual"/>
        </w:rPr>
      </w:pPr>
      <w:r>
        <w:rPr>
          <w:rFonts w:hint="eastAsia" w:hAnsi="宋体" w:cs="宋体"/>
          <w:b w:val="0"/>
          <w:bCs w:val="0"/>
          <w:kern w:val="2"/>
          <w:szCs w:val="20"/>
          <w:lang w:val="en-US" w:eastAsia="zh-CN" w:bidi="ar"/>
          <w14:ligatures w14:val="standardContextual"/>
        </w:rPr>
        <w:t>1）如果投标人未能按合同规定的全部工程期限或截止日期完成整个工程，或未能按合同规定的期限或截止日期完成合同规定的里程碑或控制点，则投标人应向业主支付合同附件中写明的相应金额作为该项违约的损害赔偿费。但此类赔偿费不应超过合同附件中写明的最高限额。</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US" w:eastAsia="zh-CN" w:bidi="ar"/>
          <w14:ligatures w14:val="standardContextual"/>
        </w:rPr>
      </w:pPr>
      <w:r>
        <w:rPr>
          <w:rFonts w:hint="eastAsia" w:hAnsi="宋体" w:cs="宋体"/>
          <w:b w:val="0"/>
          <w:bCs w:val="0"/>
          <w:kern w:val="2"/>
          <w:szCs w:val="20"/>
          <w:lang w:val="en-US" w:eastAsia="zh-CN" w:bidi="ar"/>
          <w14:ligatures w14:val="standardContextual"/>
        </w:rPr>
        <w:t>2）如果投标人延期完成了合同规定的整个工程完成的截止日期或合同规定的里程碑或控制点的截止日期，则投标人应向业主支付合同附件中写明的按日规定的延期罚款。但此类延期罚款不应超过合同附件中写明的罚款最高限额。</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US" w:eastAsia="zh-CN" w:bidi="ar"/>
          <w14:ligatures w14:val="standardContextual"/>
        </w:rPr>
      </w:pPr>
      <w:r>
        <w:rPr>
          <w:rFonts w:hint="eastAsia" w:hAnsi="宋体" w:cs="宋体"/>
          <w:b w:val="0"/>
          <w:bCs w:val="0"/>
          <w:kern w:val="2"/>
          <w:szCs w:val="20"/>
          <w:lang w:val="en-US" w:eastAsia="zh-CN" w:bidi="ar"/>
          <w14:ligatures w14:val="standardContextual"/>
        </w:rPr>
        <w:t>3）如果投标人未能完成当月计划，则当月进度款不予支付。投标人应制订相应的赶工计划，当投标人赶工达到原来目标值时，在达到目标值的当月，将连同当月投标人实际完成的进度款和以前的进度款一并支付。</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US" w:eastAsia="zh-CN" w:bidi="ar"/>
          <w14:ligatures w14:val="standardContextual"/>
        </w:rPr>
      </w:pPr>
      <w:r>
        <w:rPr>
          <w:rFonts w:hint="eastAsia" w:hAnsi="宋体" w:cs="宋体"/>
          <w:b w:val="0"/>
          <w:bCs w:val="0"/>
          <w:kern w:val="2"/>
          <w:szCs w:val="20"/>
          <w:lang w:val="en-US" w:eastAsia="zh-CN" w:bidi="ar"/>
          <w14:ligatures w14:val="standardContextual"/>
        </w:rPr>
        <w:t>4）由于投标人原因造成进度偏差，投标人因纠正此进度偏差而产生的工期和费用的增加，投标人无权要求业主支付费用和延长工期。由于业主或非投标人原因造成的进度偏差，且仍然需要投标人采取措施进行纠偏，由此而产生的费用，业主将与投标人协商解决。</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US" w:eastAsia="zh-CN" w:bidi="ar"/>
          <w14:ligatures w14:val="standardContextual"/>
        </w:rPr>
      </w:pPr>
      <w:r>
        <w:rPr>
          <w:rFonts w:hint="eastAsia" w:hAnsi="宋体" w:cs="宋体"/>
          <w:b w:val="0"/>
          <w:bCs w:val="0"/>
          <w:kern w:val="2"/>
          <w:szCs w:val="20"/>
          <w:lang w:val="en-US" w:eastAsia="zh-CN" w:bidi="ar"/>
          <w14:ligatures w14:val="standardContextual"/>
        </w:rPr>
        <w:t>5）不论何方原因，当进度出现偏差时，投标人应首先按业主要求在规定的时间内采取以下措施进行进度纠偏，以确保工程按计划进行。但不限于增加人力、增加工作时间、优化或调整方案和增加工器具等。</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US" w:eastAsia="zh-CN" w:bidi="ar"/>
          <w14:ligatures w14:val="standardContextual"/>
        </w:rPr>
      </w:pPr>
      <w:r>
        <w:rPr>
          <w:rFonts w:hint="eastAsia" w:hAnsi="宋体" w:cs="宋体"/>
          <w:b w:val="0"/>
          <w:bCs w:val="0"/>
          <w:kern w:val="2"/>
          <w:szCs w:val="20"/>
          <w:lang w:val="en-US" w:eastAsia="zh-CN" w:bidi="ar"/>
          <w14:ligatures w14:val="standardContextual"/>
        </w:rPr>
        <w:t>6）业主因安全和质量的问题，要求投标人所作的工作，甚至停工整改，不构成工期延期因素。</w:t>
      </w:r>
    </w:p>
    <w:p>
      <w:pPr>
        <w:pStyle w:val="44"/>
        <w:widowControl w:val="0"/>
        <w:spacing w:before="0" w:beforeAutospacing="0" w:after="0" w:afterAutospacing="0" w:line="500" w:lineRule="exact"/>
        <w:ind w:firstLine="482" w:firstLineChars="200"/>
        <w:jc w:val="both"/>
        <w:rPr>
          <w:rFonts w:hint="eastAsia" w:hAnsi="宋体" w:cs="宋体"/>
          <w:b/>
          <w:bCs/>
          <w:kern w:val="2"/>
          <w:szCs w:val="20"/>
          <w:lang w:val="en-US" w:eastAsia="zh-CN" w:bidi="ar"/>
          <w14:ligatures w14:val="standardContextual"/>
        </w:rPr>
      </w:pPr>
      <w:r>
        <w:rPr>
          <w:rFonts w:hint="eastAsia" w:hAnsi="宋体" w:cs="宋体"/>
          <w:b/>
          <w:bCs/>
          <w:kern w:val="2"/>
          <w:szCs w:val="20"/>
          <w:lang w:val="en-US" w:eastAsia="zh-CN" w:bidi="ar"/>
          <w14:ligatures w14:val="standardContextual"/>
        </w:rPr>
        <w:t>12.4采购</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US" w:eastAsia="zh-CN" w:bidi="ar"/>
          <w14:ligatures w14:val="standardContextual"/>
        </w:rPr>
      </w:pPr>
      <w:r>
        <w:rPr>
          <w:rFonts w:hint="eastAsia" w:hAnsi="宋体" w:cs="宋体"/>
          <w:b w:val="0"/>
          <w:bCs w:val="0"/>
          <w:kern w:val="2"/>
          <w:szCs w:val="20"/>
          <w:lang w:val="en-US" w:eastAsia="zh-CN" w:bidi="ar"/>
          <w14:ligatures w14:val="standardContextual"/>
        </w:rPr>
        <w:t>12.4.1采购要求</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US" w:eastAsia="zh-CN" w:bidi="ar"/>
          <w14:ligatures w14:val="standardContextual"/>
        </w:rPr>
      </w:pPr>
      <w:r>
        <w:rPr>
          <w:rFonts w:hint="eastAsia" w:hAnsi="宋体" w:cs="宋体"/>
          <w:b w:val="0"/>
          <w:bCs w:val="0"/>
          <w:kern w:val="2"/>
          <w:szCs w:val="20"/>
          <w:lang w:val="en-US" w:eastAsia="zh-CN" w:bidi="ar"/>
          <w14:ligatures w14:val="standardContextual"/>
        </w:rPr>
        <w:t>对投标人的采购要求主要如下：</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US" w:eastAsia="zh-CN" w:bidi="ar"/>
          <w14:ligatures w14:val="standardContextual"/>
        </w:rPr>
      </w:pPr>
      <w:r>
        <w:rPr>
          <w:rFonts w:hint="eastAsia" w:hAnsi="宋体" w:cs="宋体"/>
          <w:b w:val="0"/>
          <w:bCs w:val="0"/>
          <w:kern w:val="2"/>
          <w:szCs w:val="20"/>
          <w:lang w:val="en-US" w:eastAsia="zh-CN" w:bidi="ar"/>
          <w14:ligatures w14:val="standardContextual"/>
        </w:rPr>
        <w:t>1）按照进度要求，特别是要考虑“长周期设备”为关键路径来安排采购进度计划。</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US" w:eastAsia="zh-CN" w:bidi="ar"/>
          <w14:ligatures w14:val="standardContextual"/>
        </w:rPr>
      </w:pPr>
      <w:r>
        <w:rPr>
          <w:rFonts w:hint="eastAsia" w:hAnsi="宋体" w:cs="宋体"/>
          <w:b w:val="0"/>
          <w:bCs w:val="0"/>
          <w:kern w:val="2"/>
          <w:szCs w:val="20"/>
          <w:lang w:val="en-US" w:eastAsia="zh-CN" w:bidi="ar"/>
          <w14:ligatures w14:val="standardContextual"/>
        </w:rPr>
        <w:t>2）确保通过有效的催交和检验及确定的正确物流，恰当管理所有的采购定单。</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US" w:eastAsia="zh-CN" w:bidi="ar"/>
          <w14:ligatures w14:val="standardContextual"/>
        </w:rPr>
      </w:pPr>
      <w:r>
        <w:rPr>
          <w:rFonts w:hint="eastAsia" w:hAnsi="宋体" w:cs="宋体"/>
          <w:b w:val="0"/>
          <w:bCs w:val="0"/>
          <w:kern w:val="2"/>
          <w:szCs w:val="20"/>
          <w:lang w:val="en-US" w:eastAsia="zh-CN" w:bidi="ar"/>
          <w14:ligatures w14:val="standardContextual"/>
        </w:rPr>
        <w:t>3）供应商的支付、索赔和扣款。</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US" w:eastAsia="zh-CN" w:bidi="ar"/>
          <w14:ligatures w14:val="standardContextual"/>
        </w:rPr>
      </w:pPr>
      <w:r>
        <w:rPr>
          <w:rFonts w:hint="eastAsia" w:hAnsi="宋体" w:cs="宋体"/>
          <w:b w:val="0"/>
          <w:bCs w:val="0"/>
          <w:kern w:val="2"/>
          <w:szCs w:val="20"/>
          <w:lang w:val="en-US" w:eastAsia="zh-CN" w:bidi="ar"/>
          <w14:ligatures w14:val="standardContextual"/>
        </w:rPr>
        <w:t>4）确保供货商遵守投标人和业主的采购文件和规定。</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US" w:eastAsia="zh-CN" w:bidi="ar"/>
          <w14:ligatures w14:val="standardContextual"/>
        </w:rPr>
      </w:pPr>
      <w:r>
        <w:rPr>
          <w:rFonts w:hint="eastAsia" w:hAnsi="宋体" w:cs="宋体"/>
          <w:b w:val="0"/>
          <w:bCs w:val="0"/>
          <w:kern w:val="2"/>
          <w:szCs w:val="20"/>
          <w:lang w:val="en-US" w:eastAsia="zh-CN" w:bidi="ar"/>
          <w14:ligatures w14:val="standardContextual"/>
        </w:rPr>
        <w:t>12.4.2采购程序</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US" w:eastAsia="zh-CN" w:bidi="ar"/>
          <w14:ligatures w14:val="standardContextual"/>
        </w:rPr>
      </w:pPr>
      <w:r>
        <w:rPr>
          <w:rFonts w:hint="eastAsia" w:hAnsi="宋体" w:cs="宋体"/>
          <w:b w:val="0"/>
          <w:bCs w:val="0"/>
          <w:kern w:val="2"/>
          <w:szCs w:val="20"/>
          <w:lang w:val="en-US" w:eastAsia="zh-CN" w:bidi="ar"/>
          <w14:ligatures w14:val="standardContextual"/>
        </w:rPr>
        <w:t>按照投标人的正常程序，报告所有设备的采购、催运和检验的状况。</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US" w:eastAsia="zh-CN" w:bidi="ar"/>
          <w14:ligatures w14:val="standardContextual"/>
        </w:rPr>
      </w:pPr>
      <w:r>
        <w:rPr>
          <w:rFonts w:hint="eastAsia" w:hAnsi="宋体" w:cs="宋体"/>
          <w:b w:val="0"/>
          <w:bCs w:val="0"/>
          <w:kern w:val="2"/>
          <w:szCs w:val="20"/>
          <w:lang w:val="en-US" w:eastAsia="zh-CN" w:bidi="ar"/>
          <w14:ligatures w14:val="standardContextual"/>
        </w:rPr>
        <w:t>12.4.3供货商选择</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US" w:eastAsia="zh-CN" w:bidi="ar"/>
          <w14:ligatures w14:val="standardContextual"/>
        </w:rPr>
      </w:pPr>
      <w:r>
        <w:rPr>
          <w:rFonts w:hint="eastAsia" w:hAnsi="宋体" w:cs="宋体"/>
          <w:b w:val="0"/>
          <w:bCs w:val="0"/>
          <w:kern w:val="2"/>
          <w:szCs w:val="20"/>
          <w:lang w:val="en-US" w:eastAsia="zh-CN" w:bidi="ar"/>
          <w14:ligatures w14:val="standardContextual"/>
        </w:rPr>
        <w:t>关键设备和材料的请购单必须经过业主批准后方可发出。</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US" w:eastAsia="zh-CN" w:bidi="ar"/>
          <w14:ligatures w14:val="standardContextual"/>
        </w:rPr>
      </w:pPr>
      <w:r>
        <w:rPr>
          <w:rFonts w:hint="eastAsia" w:hAnsi="宋体" w:cs="宋体"/>
          <w:b w:val="0"/>
          <w:bCs w:val="0"/>
          <w:kern w:val="2"/>
          <w:szCs w:val="20"/>
          <w:lang w:val="en-US" w:eastAsia="zh-CN" w:bidi="ar"/>
          <w14:ligatures w14:val="standardContextual"/>
        </w:rPr>
        <w:t>对于所使用的材料，投标人应考虑余量的比例，如考虑配管的切割和废弃等。</w:t>
      </w:r>
    </w:p>
    <w:p>
      <w:pPr>
        <w:pStyle w:val="44"/>
        <w:widowControl w:val="0"/>
        <w:spacing w:before="0" w:beforeAutospacing="0" w:after="0" w:afterAutospacing="0" w:line="500" w:lineRule="exact"/>
        <w:ind w:firstLine="482" w:firstLineChars="200"/>
        <w:jc w:val="both"/>
        <w:rPr>
          <w:rFonts w:hint="eastAsia" w:hAnsi="宋体" w:cs="宋体"/>
          <w:b/>
          <w:bCs/>
          <w:kern w:val="2"/>
          <w:szCs w:val="20"/>
          <w:lang w:val="en-US" w:eastAsia="zh-CN" w:bidi="ar"/>
          <w14:ligatures w14:val="standardContextual"/>
        </w:rPr>
      </w:pPr>
      <w:r>
        <w:rPr>
          <w:rFonts w:hint="eastAsia" w:hAnsi="宋体" w:cs="宋体"/>
          <w:b/>
          <w:bCs/>
          <w:kern w:val="2"/>
          <w:szCs w:val="20"/>
          <w:lang w:val="en-US" w:eastAsia="zh-CN" w:bidi="ar"/>
          <w14:ligatures w14:val="standardContextual"/>
        </w:rPr>
        <w:t>12.5施工要求</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US" w:eastAsia="zh-CN" w:bidi="ar"/>
          <w14:ligatures w14:val="standardContextual"/>
        </w:rPr>
      </w:pPr>
      <w:r>
        <w:rPr>
          <w:rFonts w:hint="eastAsia" w:hAnsi="宋体" w:cs="宋体"/>
          <w:b w:val="0"/>
          <w:bCs w:val="0"/>
          <w:kern w:val="2"/>
          <w:szCs w:val="20"/>
          <w:lang w:val="en-US" w:eastAsia="zh-CN" w:bidi="ar"/>
          <w14:ligatures w14:val="standardContextual"/>
        </w:rPr>
        <w:t>12.5.1总则</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US" w:eastAsia="zh-CN" w:bidi="ar"/>
          <w14:ligatures w14:val="standardContextual"/>
        </w:rPr>
      </w:pPr>
      <w:r>
        <w:rPr>
          <w:rFonts w:hint="eastAsia" w:hAnsi="宋体" w:cs="宋体"/>
          <w:b w:val="0"/>
          <w:bCs w:val="0"/>
          <w:kern w:val="2"/>
          <w:szCs w:val="20"/>
          <w:lang w:val="en-US" w:eastAsia="zh-CN" w:bidi="ar"/>
          <w14:ligatures w14:val="standardContextual"/>
        </w:rPr>
        <w:t>投标人应提供现场施工、安装足够的且合格的劳动力、管理人员、机具、设备、消耗材料、服务、测试、仓储等，并负担拖运、装卸货、接收、保管、现场预制、现场安装、测试、检验、评价和质量保证等各项费用。</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US" w:eastAsia="zh-CN" w:bidi="ar"/>
          <w14:ligatures w14:val="standardContextual"/>
        </w:rPr>
      </w:pPr>
      <w:r>
        <w:rPr>
          <w:rFonts w:hint="eastAsia" w:hAnsi="宋体" w:cs="宋体"/>
          <w:b w:val="0"/>
          <w:bCs w:val="0"/>
          <w:kern w:val="2"/>
          <w:szCs w:val="20"/>
          <w:lang w:val="en-US" w:eastAsia="zh-CN" w:bidi="ar"/>
          <w14:ligatures w14:val="standardContextual"/>
        </w:rPr>
        <w:t>投标人的工作应按照设计文件、国家和行业的标准及规范、适用于现场的国家和地方的法律法规。</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US" w:eastAsia="zh-CN" w:bidi="ar"/>
          <w14:ligatures w14:val="standardContextual"/>
        </w:rPr>
      </w:pPr>
      <w:r>
        <w:rPr>
          <w:rFonts w:hint="eastAsia" w:hAnsi="宋体" w:cs="宋体"/>
          <w:b w:val="0"/>
          <w:bCs w:val="0"/>
          <w:kern w:val="2"/>
          <w:szCs w:val="20"/>
          <w:lang w:val="en-US" w:eastAsia="zh-CN" w:bidi="ar"/>
          <w14:ligatures w14:val="standardContextual"/>
        </w:rPr>
        <w:t>投标人应遵守业主的有关程序文件和管理规定，具体要求在项目执行前现场交底。</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US" w:eastAsia="zh-CN" w:bidi="ar"/>
          <w14:ligatures w14:val="standardContextual"/>
        </w:rPr>
      </w:pPr>
      <w:r>
        <w:rPr>
          <w:rFonts w:hint="eastAsia" w:hAnsi="宋体" w:cs="宋体"/>
          <w:b w:val="0"/>
          <w:bCs w:val="0"/>
          <w:kern w:val="2"/>
          <w:szCs w:val="20"/>
          <w:lang w:val="en-US" w:eastAsia="zh-CN" w:bidi="ar"/>
          <w14:ligatures w14:val="standardContextual"/>
        </w:rPr>
        <w:t>项目在建设过程中执行国家的法律法规，在施工过程中实行工程监理，投标人有责任和有义务接受工程监理；业主将给予监理单位具体授权。</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US" w:eastAsia="zh-CN" w:bidi="ar"/>
          <w14:ligatures w14:val="standardContextual"/>
        </w:rPr>
      </w:pPr>
      <w:r>
        <w:rPr>
          <w:rFonts w:hint="eastAsia" w:hAnsi="宋体" w:cs="宋体"/>
          <w:b w:val="0"/>
          <w:bCs w:val="0"/>
          <w:kern w:val="2"/>
          <w:szCs w:val="20"/>
          <w:lang w:val="en-US" w:eastAsia="zh-CN" w:bidi="ar"/>
          <w14:ligatures w14:val="standardContextual"/>
        </w:rPr>
        <w:t>12.5.2施工计划及程序</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US" w:eastAsia="zh-CN" w:bidi="ar"/>
          <w14:ligatures w14:val="standardContextual"/>
        </w:rPr>
      </w:pPr>
      <w:r>
        <w:rPr>
          <w:rFonts w:hint="eastAsia" w:hAnsi="宋体" w:cs="宋体"/>
          <w:b w:val="0"/>
          <w:bCs w:val="0"/>
          <w:kern w:val="2"/>
          <w:szCs w:val="20"/>
          <w:lang w:val="en-US" w:eastAsia="zh-CN" w:bidi="ar"/>
          <w14:ligatures w14:val="standardContextual"/>
        </w:rPr>
        <w:t>合同签订后提交更新版的施工计划，但实际进度与计划进度出现偏差时需要投标人及时采取纠偏措施。</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US" w:eastAsia="zh-CN" w:bidi="ar"/>
          <w14:ligatures w14:val="standardContextual"/>
        </w:rPr>
      </w:pPr>
      <w:r>
        <w:rPr>
          <w:rFonts w:hint="eastAsia" w:hAnsi="宋体" w:cs="宋体"/>
          <w:b w:val="0"/>
          <w:bCs w:val="0"/>
          <w:kern w:val="2"/>
          <w:szCs w:val="20"/>
          <w:lang w:val="en-US" w:eastAsia="zh-CN" w:bidi="ar"/>
          <w14:ligatures w14:val="standardContextual"/>
        </w:rPr>
        <w:t>12.5.3施工协调要求</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US" w:eastAsia="zh-CN" w:bidi="ar"/>
          <w14:ligatures w14:val="standardContextual"/>
        </w:rPr>
      </w:pPr>
      <w:r>
        <w:rPr>
          <w:rFonts w:hint="eastAsia" w:hAnsi="宋体" w:cs="宋体"/>
          <w:b w:val="0"/>
          <w:bCs w:val="0"/>
          <w:kern w:val="2"/>
          <w:szCs w:val="20"/>
          <w:lang w:val="en-US" w:eastAsia="zh-CN" w:bidi="ar"/>
          <w14:ligatures w14:val="standardContextual"/>
        </w:rPr>
        <w:t>1）业主现场的管理权力</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US" w:eastAsia="zh-CN" w:bidi="ar"/>
          <w14:ligatures w14:val="standardContextual"/>
        </w:rPr>
      </w:pPr>
      <w:r>
        <w:rPr>
          <w:rFonts w:hint="eastAsia" w:hAnsi="宋体" w:cs="宋体"/>
          <w:b w:val="0"/>
          <w:bCs w:val="0"/>
          <w:kern w:val="2"/>
          <w:szCs w:val="20"/>
          <w:lang w:val="en-US" w:eastAsia="zh-CN" w:bidi="ar"/>
          <w14:ligatures w14:val="standardContextual"/>
        </w:rPr>
        <w:t>（1）投标人应本着诚信和合作的精神进行所有合同范围内的工作。</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US" w:eastAsia="zh-CN" w:bidi="ar"/>
          <w14:ligatures w14:val="standardContextual"/>
        </w:rPr>
      </w:pPr>
      <w:r>
        <w:rPr>
          <w:rFonts w:hint="eastAsia" w:hAnsi="宋体" w:cs="宋体"/>
          <w:b w:val="0"/>
          <w:bCs w:val="0"/>
          <w:kern w:val="2"/>
          <w:szCs w:val="20"/>
          <w:lang w:val="en-US" w:eastAsia="zh-CN" w:bidi="ar"/>
          <w14:ligatures w14:val="standardContextual"/>
        </w:rPr>
        <w:t>（2）未经业主的书面同意，投标人不得变更已确认的任何关键施工管理人员。经业主同意变更的关键施工管理人员，其后任继续承担前任应负的任何责任。</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US" w:eastAsia="zh-CN" w:bidi="ar"/>
          <w14:ligatures w14:val="standardContextual"/>
        </w:rPr>
      </w:pPr>
      <w:r>
        <w:rPr>
          <w:rFonts w:hint="eastAsia" w:hAnsi="宋体" w:cs="宋体"/>
          <w:b w:val="0"/>
          <w:bCs w:val="0"/>
          <w:kern w:val="2"/>
          <w:szCs w:val="20"/>
          <w:lang w:val="en-US" w:eastAsia="zh-CN" w:bidi="ar"/>
          <w14:ligatures w14:val="standardContextual"/>
        </w:rPr>
        <w:t>（3）业主保留对投标人工作不力的任何人员要求调换或令其撤离现场的权力。</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US" w:eastAsia="zh-CN" w:bidi="ar"/>
          <w14:ligatures w14:val="standardContextual"/>
        </w:rPr>
      </w:pPr>
      <w:r>
        <w:rPr>
          <w:rFonts w:hint="eastAsia" w:hAnsi="宋体" w:cs="宋体"/>
          <w:b w:val="0"/>
          <w:bCs w:val="0"/>
          <w:kern w:val="2"/>
          <w:szCs w:val="20"/>
          <w:lang w:val="en-US" w:eastAsia="zh-CN" w:bidi="ar"/>
          <w14:ligatures w14:val="standardContextual"/>
        </w:rPr>
        <w:t>（4）业主对投标人所提议的所有分包商批准后方可进场。</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US" w:eastAsia="zh-CN" w:bidi="ar"/>
          <w14:ligatures w14:val="standardContextual"/>
        </w:rPr>
      </w:pPr>
      <w:r>
        <w:rPr>
          <w:rFonts w:hint="eastAsia" w:hAnsi="宋体" w:cs="宋体"/>
          <w:b w:val="0"/>
          <w:bCs w:val="0"/>
          <w:kern w:val="2"/>
          <w:szCs w:val="20"/>
          <w:lang w:val="en-US" w:eastAsia="zh-CN" w:bidi="ar"/>
          <w14:ligatures w14:val="standardContextual"/>
        </w:rPr>
        <w:t>（5）业主对投标人的全部权力同样适用于其所有分包商。</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US" w:eastAsia="zh-CN" w:bidi="ar"/>
          <w14:ligatures w14:val="standardContextual"/>
        </w:rPr>
      </w:pPr>
      <w:r>
        <w:rPr>
          <w:rFonts w:hint="eastAsia" w:hAnsi="宋体" w:cs="宋体"/>
          <w:b w:val="0"/>
          <w:bCs w:val="0"/>
          <w:kern w:val="2"/>
          <w:szCs w:val="20"/>
          <w:lang w:val="en-US" w:eastAsia="zh-CN" w:bidi="ar"/>
          <w14:ligatures w14:val="standardContextual"/>
        </w:rPr>
        <w:t>2）投标人的施工准备</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US" w:eastAsia="zh-CN" w:bidi="ar"/>
          <w14:ligatures w14:val="standardContextual"/>
        </w:rPr>
      </w:pPr>
      <w:r>
        <w:rPr>
          <w:rFonts w:hint="eastAsia" w:hAnsi="宋体" w:cs="宋体"/>
          <w:b w:val="0"/>
          <w:bCs w:val="0"/>
          <w:kern w:val="2"/>
          <w:szCs w:val="20"/>
          <w:lang w:val="en-US" w:eastAsia="zh-CN" w:bidi="ar"/>
          <w14:ligatures w14:val="standardContextual"/>
        </w:rPr>
        <w:t>（1）在投标人早期规划期间，投标人应确定可能需要的施工经理及其他关键施工成员，来参与施工进度计划的编制、施工计划的执行和可施工性审查，并为现场的施工做准备。准备工作包括办公和生活设施安排、订购材料及设备、安排大型施工机具、安排人力、安排分包商，与混凝土供应商、实验室等服务商签订协议等。</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US" w:eastAsia="zh-CN" w:bidi="ar"/>
          <w14:ligatures w14:val="standardContextual"/>
        </w:rPr>
      </w:pPr>
      <w:r>
        <w:rPr>
          <w:rFonts w:hint="eastAsia" w:hAnsi="宋体" w:cs="宋体"/>
          <w:b w:val="0"/>
          <w:bCs w:val="0"/>
          <w:kern w:val="2"/>
          <w:szCs w:val="20"/>
          <w:lang w:val="en-US" w:eastAsia="zh-CN" w:bidi="ar"/>
          <w14:ligatures w14:val="standardContextual"/>
        </w:rPr>
        <w:t>（2）投标人应编制施工组织设计：具体分为投标人范围内的总体施工组织设计和单项、单位工程施工组织设计。分包商编制的单项、单位工程施工组织设计，投标人应对其进行认真审查。施工组织设计应遵循相关国家标准规范和业主的施工组织设计管理规定，至少包括（但不限于）以下内容：</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US" w:eastAsia="zh-CN" w:bidi="ar"/>
          <w14:ligatures w14:val="standardContextual"/>
        </w:rPr>
      </w:pPr>
      <w:r>
        <w:rPr>
          <w:rFonts w:hint="eastAsia" w:hAnsi="宋体" w:cs="宋体"/>
          <w:b w:val="0"/>
          <w:bCs w:val="0"/>
          <w:kern w:val="2"/>
          <w:szCs w:val="20"/>
          <w:lang w:val="en-US" w:eastAsia="zh-CN" w:bidi="ar"/>
          <w14:ligatures w14:val="standardContextual"/>
        </w:rPr>
        <w:t>编制说明；工程概况和特点；主要工程量；施工工艺、方法及程序；施工技术措施及措施用料；质量目标及保证措施和保证体系；安全生产目标及保证措施和保证体系，危险源辨识及预案；人力、设备、机具、水、电等资源计划；工程施工管理；工程施工技术管理；工程施工分包管理；工程施工协调管理；主要设备及材料计划；施工总平面布置图；施工网络计划、进度目标控制点及其保证措施；工程交付与交付后服务；小微企业付款保证措施，农民工工资支付保证措施。</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US" w:eastAsia="zh-CN" w:bidi="ar"/>
          <w14:ligatures w14:val="standardContextual"/>
        </w:rPr>
      </w:pPr>
      <w:r>
        <w:rPr>
          <w:rFonts w:hint="eastAsia" w:hAnsi="宋体" w:cs="宋体"/>
          <w:b w:val="0"/>
          <w:bCs w:val="0"/>
          <w:kern w:val="2"/>
          <w:szCs w:val="20"/>
          <w:lang w:val="en-US" w:eastAsia="zh-CN" w:bidi="ar"/>
          <w14:ligatures w14:val="standardContextual"/>
        </w:rPr>
        <w:t>3）其它协调要求</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US" w:eastAsia="zh-CN" w:bidi="ar"/>
          <w14:ligatures w14:val="standardContextual"/>
        </w:rPr>
      </w:pPr>
      <w:r>
        <w:rPr>
          <w:rFonts w:hint="eastAsia" w:hAnsi="宋体" w:cs="宋体"/>
          <w:b w:val="0"/>
          <w:bCs w:val="0"/>
          <w:kern w:val="2"/>
          <w:szCs w:val="20"/>
          <w:lang w:val="en-US" w:eastAsia="zh-CN" w:bidi="ar"/>
          <w14:ligatures w14:val="standardContextual"/>
        </w:rPr>
        <w:t>（1）投标人应认真地执行工作，并且采取一切必要的措施来保护其设施以及业主的或与项目有关的现存设施或新安装的设备、管道以及建/构筑物等的完好。投标人应负责由于自己的原因导致的维修返工费用。</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US" w:eastAsia="zh-CN" w:bidi="ar"/>
          <w14:ligatures w14:val="standardContextual"/>
        </w:rPr>
      </w:pPr>
      <w:r>
        <w:rPr>
          <w:rFonts w:hint="eastAsia" w:hAnsi="宋体" w:cs="宋体"/>
          <w:b w:val="0"/>
          <w:bCs w:val="0"/>
          <w:kern w:val="2"/>
          <w:szCs w:val="20"/>
          <w:lang w:val="en-US" w:eastAsia="zh-CN" w:bidi="ar"/>
          <w14:ligatures w14:val="standardContextual"/>
        </w:rPr>
        <w:t>（2）投标人应合理规划仓库和施工场地，并摆放好自己的设备、工具和材料，并规划好自身分包商的平面布置，避免堵塞业主设施/设备进出的通道或妨碍其它投标人在该区域的工作。危险材料应从该区域撤走并存储在合适的场所。工作完成后危险材料必须撤离工作区域。</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US" w:eastAsia="zh-CN" w:bidi="ar"/>
          <w14:ligatures w14:val="standardContextual"/>
        </w:rPr>
      </w:pPr>
      <w:r>
        <w:rPr>
          <w:rFonts w:hint="eastAsia" w:hAnsi="宋体" w:cs="宋体"/>
          <w:b w:val="0"/>
          <w:bCs w:val="0"/>
          <w:kern w:val="2"/>
          <w:szCs w:val="20"/>
          <w:lang w:val="en-US" w:eastAsia="zh-CN" w:bidi="ar"/>
          <w14:ligatures w14:val="standardContextual"/>
        </w:rPr>
        <w:t>（3）投标人应负责与当地政府部门的沟通和协调，进行特种起重设备、压力管道、压力容器、消防系统安装、试验等的注册登记和报验工作，以上工作应在其相应的施工工序前完成。含特种起重设备、压力管道、压力容器获得使用许可证。</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US" w:eastAsia="zh-CN" w:bidi="ar"/>
          <w14:ligatures w14:val="standardContextual"/>
        </w:rPr>
      </w:pPr>
      <w:r>
        <w:rPr>
          <w:rFonts w:hint="eastAsia" w:hAnsi="宋体" w:cs="宋体"/>
          <w:b w:val="0"/>
          <w:bCs w:val="0"/>
          <w:kern w:val="2"/>
          <w:szCs w:val="20"/>
          <w:lang w:val="en-US" w:eastAsia="zh-CN" w:bidi="ar"/>
          <w14:ligatures w14:val="standardContextual"/>
        </w:rPr>
        <w:t>（4）由于投标人不满足开工许可条件而造成的开工拖延、工作停滞带来的损失、或短期内由于紧急情况造成的停工，投标人应承认这些情况造成的拖延在合同范围要求的工期内。因此这些情况均不能构成合同变更、索赔或额外补偿的条件。</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US" w:eastAsia="zh-CN" w:bidi="ar"/>
          <w14:ligatures w14:val="standardContextual"/>
        </w:rPr>
      </w:pPr>
      <w:r>
        <w:rPr>
          <w:rFonts w:hint="eastAsia" w:hAnsi="宋体" w:cs="宋体"/>
          <w:b w:val="0"/>
          <w:bCs w:val="0"/>
          <w:kern w:val="2"/>
          <w:szCs w:val="20"/>
          <w:lang w:val="en-US" w:eastAsia="zh-CN" w:bidi="ar"/>
          <w14:ligatures w14:val="standardContextual"/>
        </w:rPr>
        <w:t>12.5.4施工设施、设备、消耗品和服务</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US" w:eastAsia="zh-CN" w:bidi="ar"/>
          <w14:ligatures w14:val="standardContextual"/>
        </w:rPr>
      </w:pPr>
      <w:r>
        <w:rPr>
          <w:rFonts w:hint="eastAsia" w:hAnsi="宋体" w:cs="宋体"/>
          <w:b w:val="0"/>
          <w:bCs w:val="0"/>
          <w:kern w:val="2"/>
          <w:szCs w:val="20"/>
          <w:lang w:val="en-US" w:eastAsia="zh-CN" w:bidi="ar"/>
          <w14:ligatures w14:val="standardContextual"/>
        </w:rPr>
        <w:t>1）责任范围定义</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US" w:eastAsia="zh-CN" w:bidi="ar"/>
          <w14:ligatures w14:val="standardContextual"/>
        </w:rPr>
      </w:pPr>
      <w:r>
        <w:rPr>
          <w:rFonts w:hint="eastAsia" w:hAnsi="宋体" w:cs="宋体"/>
          <w:b w:val="0"/>
          <w:bCs w:val="0"/>
          <w:kern w:val="2"/>
          <w:szCs w:val="20"/>
          <w:lang w:val="en-US" w:eastAsia="zh-CN" w:bidi="ar"/>
          <w14:ligatures w14:val="standardContextual"/>
        </w:rPr>
        <w:t>施工用水、用电业主负责，其余为投标人的责任范围。</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US" w:eastAsia="zh-CN" w:bidi="ar"/>
          <w14:ligatures w14:val="standardContextual"/>
        </w:rPr>
      </w:pPr>
      <w:r>
        <w:rPr>
          <w:rFonts w:hint="eastAsia" w:hAnsi="宋体" w:cs="宋体"/>
          <w:b w:val="0"/>
          <w:bCs w:val="0"/>
          <w:kern w:val="2"/>
          <w:szCs w:val="20"/>
          <w:lang w:val="en-US" w:eastAsia="zh-CN" w:bidi="ar"/>
          <w14:ligatures w14:val="standardContextual"/>
        </w:rPr>
        <w:t>2）资源收费事项管理</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US" w:eastAsia="zh-CN" w:bidi="ar"/>
          <w14:ligatures w14:val="standardContextual"/>
        </w:rPr>
      </w:pPr>
      <w:r>
        <w:rPr>
          <w:rFonts w:hint="eastAsia" w:hAnsi="宋体" w:cs="宋体"/>
          <w:b w:val="0"/>
          <w:bCs w:val="0"/>
          <w:kern w:val="2"/>
          <w:szCs w:val="20"/>
          <w:lang w:val="en-US" w:eastAsia="zh-CN" w:bidi="ar"/>
          <w14:ligatures w14:val="standardContextual"/>
        </w:rPr>
        <w:t>收费标准：业主承担施工期间的用于本项目的水费、电费。</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US" w:eastAsia="zh-CN" w:bidi="ar"/>
          <w14:ligatures w14:val="standardContextual"/>
        </w:rPr>
      </w:pPr>
      <w:r>
        <w:rPr>
          <w:rFonts w:hint="eastAsia" w:hAnsi="宋体" w:cs="宋体"/>
          <w:b w:val="0"/>
          <w:bCs w:val="0"/>
          <w:kern w:val="2"/>
          <w:szCs w:val="20"/>
          <w:lang w:val="en-US" w:eastAsia="zh-CN" w:bidi="ar"/>
          <w14:ligatures w14:val="standardContextual"/>
        </w:rPr>
        <w:t>3）临时设施建设和拆除</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US" w:eastAsia="zh-CN" w:bidi="ar"/>
          <w14:ligatures w14:val="standardContextual"/>
        </w:rPr>
      </w:pPr>
      <w:r>
        <w:rPr>
          <w:rFonts w:hint="eastAsia" w:hAnsi="宋体" w:cs="宋体"/>
          <w:b w:val="0"/>
          <w:bCs w:val="0"/>
          <w:kern w:val="2"/>
          <w:szCs w:val="20"/>
          <w:lang w:val="en-US" w:eastAsia="zh-CN" w:bidi="ar"/>
          <w14:ligatures w14:val="standardContextual"/>
        </w:rPr>
        <w:t>所有临时设施在项目建成后，投标人需拆除，并将场地恢复原貌。</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US" w:eastAsia="zh-CN" w:bidi="ar"/>
          <w14:ligatures w14:val="standardContextual"/>
        </w:rPr>
      </w:pPr>
      <w:r>
        <w:rPr>
          <w:rFonts w:hint="eastAsia" w:hAnsi="宋体" w:cs="宋体"/>
          <w:b w:val="0"/>
          <w:bCs w:val="0"/>
          <w:kern w:val="2"/>
          <w:szCs w:val="20"/>
          <w:lang w:val="en-US" w:eastAsia="zh-CN" w:bidi="ar"/>
          <w14:ligatures w14:val="standardContextual"/>
        </w:rPr>
        <w:t>4）施工用气体的存储（如适用）</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US" w:eastAsia="zh-CN" w:bidi="ar"/>
          <w14:ligatures w14:val="standardContextual"/>
        </w:rPr>
      </w:pPr>
      <w:r>
        <w:rPr>
          <w:rFonts w:hint="eastAsia" w:hAnsi="宋体" w:cs="宋体"/>
          <w:b w:val="0"/>
          <w:bCs w:val="0"/>
          <w:kern w:val="2"/>
          <w:szCs w:val="20"/>
          <w:lang w:val="en-US" w:eastAsia="zh-CN" w:bidi="ar"/>
          <w14:ligatures w14:val="standardContextual"/>
        </w:rPr>
        <w:t>（1）投标人应遵照可靠性的安全原则为施工用气瓶提供隔离式存放架。</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US" w:eastAsia="zh-CN" w:bidi="ar"/>
          <w14:ligatures w14:val="standardContextual"/>
        </w:rPr>
      </w:pPr>
      <w:r>
        <w:rPr>
          <w:rFonts w:hint="eastAsia" w:hAnsi="宋体" w:cs="宋体"/>
          <w:b w:val="0"/>
          <w:bCs w:val="0"/>
          <w:kern w:val="2"/>
          <w:szCs w:val="20"/>
          <w:lang w:val="en-US" w:eastAsia="zh-CN" w:bidi="ar"/>
          <w14:ligatures w14:val="standardContextual"/>
        </w:rPr>
        <w:t>（2）气瓶应竖直正向存放。</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US" w:eastAsia="zh-CN" w:bidi="ar"/>
          <w14:ligatures w14:val="standardContextual"/>
        </w:rPr>
      </w:pPr>
      <w:r>
        <w:rPr>
          <w:rFonts w:hint="eastAsia" w:hAnsi="宋体" w:cs="宋体"/>
          <w:b w:val="0"/>
          <w:bCs w:val="0"/>
          <w:kern w:val="2"/>
          <w:szCs w:val="20"/>
          <w:lang w:val="en-US" w:eastAsia="zh-CN" w:bidi="ar"/>
          <w14:ligatures w14:val="standardContextual"/>
        </w:rPr>
        <w:t>（3）乙炔、氧气瓶存储应按安全规范的要求（如果规范中没有说明，间距至少10米）分开存储。</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US" w:eastAsia="zh-CN" w:bidi="ar"/>
          <w14:ligatures w14:val="standardContextual"/>
        </w:rPr>
      </w:pPr>
      <w:r>
        <w:rPr>
          <w:rFonts w:hint="eastAsia" w:hAnsi="宋体" w:cs="宋体"/>
          <w:b w:val="0"/>
          <w:bCs w:val="0"/>
          <w:kern w:val="2"/>
          <w:szCs w:val="20"/>
          <w:lang w:val="en-US" w:eastAsia="zh-CN" w:bidi="ar"/>
          <w14:ligatures w14:val="standardContextual"/>
        </w:rPr>
        <w:t>（4）空瓶也应在架子上竖直存放。</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US" w:eastAsia="zh-CN" w:bidi="ar"/>
          <w14:ligatures w14:val="standardContextual"/>
        </w:rPr>
      </w:pPr>
      <w:r>
        <w:rPr>
          <w:rFonts w:hint="eastAsia" w:hAnsi="宋体" w:cs="宋体"/>
          <w:b w:val="0"/>
          <w:bCs w:val="0"/>
          <w:kern w:val="2"/>
          <w:szCs w:val="20"/>
          <w:lang w:val="en-US" w:eastAsia="zh-CN" w:bidi="ar"/>
          <w14:ligatures w14:val="standardContextual"/>
        </w:rPr>
        <w:t>（5）投标人应采取有效的夏季防晒措施。</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US" w:eastAsia="zh-CN" w:bidi="ar"/>
          <w14:ligatures w14:val="standardContextual"/>
        </w:rPr>
      </w:pPr>
      <w:r>
        <w:rPr>
          <w:rFonts w:hint="eastAsia" w:hAnsi="宋体" w:cs="宋体"/>
          <w:b w:val="0"/>
          <w:bCs w:val="0"/>
          <w:kern w:val="2"/>
          <w:szCs w:val="20"/>
          <w:lang w:val="en-US" w:eastAsia="zh-CN" w:bidi="ar"/>
          <w14:ligatures w14:val="standardContextual"/>
        </w:rPr>
        <w:t>5）施工机械要求</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US" w:eastAsia="zh-CN" w:bidi="ar"/>
          <w14:ligatures w14:val="standardContextual"/>
        </w:rPr>
      </w:pPr>
      <w:r>
        <w:rPr>
          <w:rFonts w:hint="eastAsia" w:hAnsi="宋体" w:cs="宋体"/>
          <w:b w:val="0"/>
          <w:bCs w:val="0"/>
          <w:kern w:val="2"/>
          <w:szCs w:val="20"/>
          <w:lang w:val="en-US" w:eastAsia="zh-CN" w:bidi="ar"/>
          <w14:ligatures w14:val="standardContextual"/>
        </w:rPr>
        <w:t>（1）投标人按计划调遣所有必需的施工机械设备；投标人应负责施工机械设备的保险、检验、获得使用许可证、定期维护与保养；施工机械设备应处于正常状态。</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US" w:eastAsia="zh-CN" w:bidi="ar"/>
          <w14:ligatures w14:val="standardContextual"/>
        </w:rPr>
      </w:pPr>
      <w:r>
        <w:rPr>
          <w:rFonts w:hint="eastAsia" w:hAnsi="宋体" w:cs="宋体"/>
          <w:b w:val="0"/>
          <w:bCs w:val="0"/>
          <w:kern w:val="2"/>
          <w:szCs w:val="20"/>
          <w:lang w:val="en-US" w:eastAsia="zh-CN" w:bidi="ar"/>
          <w14:ligatures w14:val="standardContextual"/>
        </w:rPr>
        <w:t>（2）投标人的施工机具性能、规格应能满足安全要求并有效地工作。投标人要对施工机具进行良好的保养使之不发生燃料和润滑油泄漏的情况，一旦燃料或润滑油流到现场地面，投标人必须立即清理。</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US" w:eastAsia="zh-CN" w:bidi="ar"/>
          <w14:ligatures w14:val="standardContextual"/>
        </w:rPr>
      </w:pPr>
      <w:r>
        <w:rPr>
          <w:rFonts w:hint="eastAsia" w:hAnsi="宋体" w:cs="宋体"/>
          <w:b w:val="0"/>
          <w:bCs w:val="0"/>
          <w:kern w:val="2"/>
          <w:szCs w:val="20"/>
          <w:lang w:val="en-US" w:eastAsia="zh-CN" w:bidi="ar"/>
          <w14:ligatures w14:val="standardContextual"/>
        </w:rPr>
        <w:t>（3）投标人所有的吊装设备和索具应有安全鉴定标志或说明其性能及使用范围的文件；吊装设备和索具应按设备制造厂推荐的检验程序进行定期检验，该检验程序符合国家和当地政府的检验规定。</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US" w:eastAsia="zh-CN" w:bidi="ar"/>
          <w14:ligatures w14:val="standardContextual"/>
        </w:rPr>
      </w:pPr>
      <w:r>
        <w:rPr>
          <w:rFonts w:hint="eastAsia" w:hAnsi="宋体" w:cs="宋体"/>
          <w:b w:val="0"/>
          <w:bCs w:val="0"/>
          <w:kern w:val="2"/>
          <w:szCs w:val="20"/>
          <w:lang w:val="en-US" w:eastAsia="zh-CN" w:bidi="ar"/>
          <w14:ligatures w14:val="standardContextual"/>
        </w:rPr>
        <w:t>（4）施工机械操作工应有操作资格证书，包括但不限于起重机、叉车和其他需要人员操作的机械。</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US" w:eastAsia="zh-CN" w:bidi="ar"/>
          <w14:ligatures w14:val="standardContextual"/>
        </w:rPr>
      </w:pPr>
      <w:r>
        <w:rPr>
          <w:rFonts w:hint="eastAsia" w:hAnsi="宋体" w:cs="宋体"/>
          <w:b w:val="0"/>
          <w:bCs w:val="0"/>
          <w:kern w:val="2"/>
          <w:szCs w:val="20"/>
          <w:lang w:val="en-US" w:eastAsia="zh-CN" w:bidi="ar"/>
          <w14:ligatures w14:val="standardContextual"/>
        </w:rPr>
        <w:t>（5）投标人车辆（包括卡车和其他机动车）的司机应持有驾驶执照。</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US" w:eastAsia="zh-CN" w:bidi="ar"/>
          <w14:ligatures w14:val="standardContextual"/>
        </w:rPr>
      </w:pPr>
      <w:r>
        <w:rPr>
          <w:rFonts w:hint="eastAsia" w:hAnsi="宋体" w:cs="宋体"/>
          <w:b w:val="0"/>
          <w:bCs w:val="0"/>
          <w:kern w:val="2"/>
          <w:szCs w:val="20"/>
          <w:lang w:val="en-US" w:eastAsia="zh-CN" w:bidi="ar"/>
          <w14:ligatures w14:val="standardContextual"/>
        </w:rPr>
        <w:t>12.5.5技术资料要求</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US" w:eastAsia="zh-CN" w:bidi="ar"/>
          <w14:ligatures w14:val="standardContextual"/>
        </w:rPr>
      </w:pPr>
      <w:r>
        <w:rPr>
          <w:rFonts w:hint="eastAsia" w:hAnsi="宋体" w:cs="宋体"/>
          <w:b w:val="0"/>
          <w:bCs w:val="0"/>
          <w:kern w:val="2"/>
          <w:szCs w:val="20"/>
          <w:lang w:val="en-US" w:eastAsia="zh-CN" w:bidi="ar"/>
          <w14:ligatures w14:val="standardContextual"/>
        </w:rPr>
        <w:t>1）投标人应按照合同的进度要求,提交设备技术文件、详细工程设计文件，以保证现场施工的连续性要求。</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US" w:eastAsia="zh-CN" w:bidi="ar"/>
          <w14:ligatures w14:val="standardContextual"/>
        </w:rPr>
      </w:pPr>
      <w:r>
        <w:rPr>
          <w:rFonts w:hint="eastAsia" w:hAnsi="宋体" w:cs="宋体"/>
          <w:b w:val="0"/>
          <w:bCs w:val="0"/>
          <w:kern w:val="2"/>
          <w:szCs w:val="20"/>
          <w:lang w:val="en-US" w:eastAsia="zh-CN" w:bidi="ar"/>
          <w14:ligatures w14:val="standardContextual"/>
        </w:rPr>
        <w:t>2） 投标人应保存所有的材料试验报告、制造记录和所有其他材料质量证明文件。投标人应保存好这些文件以备审查，工程竣工应按照合同中竣工资料的要求将所有文件移交给业主。</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US" w:eastAsia="zh-CN" w:bidi="ar"/>
          <w14:ligatures w14:val="standardContextual"/>
        </w:rPr>
      </w:pPr>
      <w:r>
        <w:rPr>
          <w:rFonts w:hint="eastAsia" w:hAnsi="宋体" w:cs="宋体"/>
          <w:b w:val="0"/>
          <w:bCs w:val="0"/>
          <w:kern w:val="2"/>
          <w:szCs w:val="20"/>
          <w:lang w:val="en-US" w:eastAsia="zh-CN" w:bidi="ar"/>
          <w14:ligatures w14:val="standardContextual"/>
        </w:rPr>
        <w:t>3）投标人应在工作现场保存从开工至施工结束日的最新版本所有图纸、规范和其他文件。</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US" w:eastAsia="zh-CN" w:bidi="ar"/>
          <w14:ligatures w14:val="standardContextual"/>
        </w:rPr>
      </w:pPr>
      <w:r>
        <w:rPr>
          <w:rFonts w:hint="eastAsia" w:hAnsi="宋体" w:cs="宋体"/>
          <w:b w:val="0"/>
          <w:bCs w:val="0"/>
          <w:kern w:val="2"/>
          <w:szCs w:val="20"/>
          <w:lang w:val="en-US" w:eastAsia="zh-CN" w:bidi="ar"/>
          <w14:ligatures w14:val="standardContextual"/>
        </w:rPr>
        <w:t>4）投标人应保存现场变更的完整记录，并在工程竣工时按照合同的有关要求将变更反应到竣工图和有关工程设计文件中，并按照业主要求的份数提交。</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US" w:eastAsia="zh-CN" w:bidi="ar"/>
          <w14:ligatures w14:val="standardContextual"/>
        </w:rPr>
      </w:pPr>
      <w:r>
        <w:rPr>
          <w:rFonts w:hint="eastAsia" w:hAnsi="宋体" w:cs="宋体"/>
          <w:b w:val="0"/>
          <w:bCs w:val="0"/>
          <w:kern w:val="2"/>
          <w:szCs w:val="20"/>
          <w:lang w:val="en-US" w:eastAsia="zh-CN" w:bidi="ar"/>
          <w14:ligatures w14:val="standardContextual"/>
        </w:rPr>
        <w:t>5）工作完成后投标人向业主提交的竣工图纸要完整，并且在业主对施工验收之前提交。</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US" w:eastAsia="zh-CN" w:bidi="ar"/>
          <w14:ligatures w14:val="standardContextual"/>
        </w:rPr>
      </w:pPr>
      <w:r>
        <w:rPr>
          <w:rFonts w:hint="eastAsia" w:hAnsi="宋体" w:cs="宋体"/>
          <w:b w:val="0"/>
          <w:bCs w:val="0"/>
          <w:kern w:val="2"/>
          <w:szCs w:val="20"/>
          <w:lang w:val="en-US" w:eastAsia="zh-CN" w:bidi="ar"/>
          <w14:ligatures w14:val="standardContextual"/>
        </w:rPr>
        <w:t>6）投标人应在所有提交给业主的资料中以业主批准的文件编号规则进行编号。</w:t>
      </w:r>
    </w:p>
    <w:p>
      <w:pPr>
        <w:pStyle w:val="44"/>
        <w:widowControl w:val="0"/>
        <w:spacing w:before="0" w:beforeAutospacing="0" w:after="0" w:afterAutospacing="0" w:line="500" w:lineRule="exact"/>
        <w:ind w:firstLine="482" w:firstLineChars="200"/>
        <w:jc w:val="both"/>
        <w:rPr>
          <w:rFonts w:hint="eastAsia" w:hAnsi="宋体" w:cs="宋体"/>
          <w:b/>
          <w:bCs/>
          <w:kern w:val="2"/>
          <w:szCs w:val="20"/>
          <w:lang w:val="en-US" w:eastAsia="zh-CN" w:bidi="ar"/>
          <w14:ligatures w14:val="standardContextual"/>
        </w:rPr>
      </w:pPr>
      <w:r>
        <w:rPr>
          <w:rFonts w:hint="eastAsia" w:hAnsi="宋体" w:cs="宋体"/>
          <w:b/>
          <w:bCs/>
          <w:kern w:val="2"/>
          <w:szCs w:val="20"/>
          <w:lang w:val="en-US" w:eastAsia="zh-CN" w:bidi="ar"/>
          <w14:ligatures w14:val="standardContextual"/>
        </w:rPr>
        <w:t>12.6分包</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US" w:eastAsia="zh-CN" w:bidi="ar"/>
          <w14:ligatures w14:val="standardContextual"/>
        </w:rPr>
      </w:pPr>
      <w:r>
        <w:rPr>
          <w:rFonts w:hint="eastAsia" w:hAnsi="宋体" w:cs="宋体"/>
          <w:b w:val="0"/>
          <w:bCs w:val="0"/>
          <w:kern w:val="2"/>
          <w:szCs w:val="20"/>
          <w:lang w:val="en-US" w:eastAsia="zh-CN" w:bidi="ar"/>
          <w14:ligatures w14:val="standardContextual"/>
        </w:rPr>
        <w:t>12.6.1一般要求</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US" w:eastAsia="zh-CN" w:bidi="ar"/>
          <w14:ligatures w14:val="standardContextual"/>
        </w:rPr>
      </w:pPr>
      <w:r>
        <w:rPr>
          <w:rFonts w:hint="eastAsia" w:hAnsi="宋体" w:cs="宋体"/>
          <w:b w:val="0"/>
          <w:bCs w:val="0"/>
          <w:kern w:val="2"/>
          <w:szCs w:val="20"/>
          <w:lang w:val="en-US" w:eastAsia="zh-CN" w:bidi="ar"/>
          <w14:ligatures w14:val="standardContextual"/>
        </w:rPr>
        <w:t>1）除非获得招标人的事先同意，否则投标人不得分包，对违反合同约定发生分包、转包、挂靠等违法行为的投标人纳入中煤鄂尔多斯能源化工有限公司黑名单，合同终止。</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US" w:eastAsia="zh-CN" w:bidi="ar"/>
          <w14:ligatures w14:val="standardContextual"/>
        </w:rPr>
      </w:pPr>
      <w:r>
        <w:rPr>
          <w:rFonts w:hint="eastAsia" w:hAnsi="宋体" w:cs="宋体"/>
          <w:b w:val="0"/>
          <w:bCs w:val="0"/>
          <w:kern w:val="2"/>
          <w:szCs w:val="20"/>
          <w:lang w:val="en-US" w:eastAsia="zh-CN" w:bidi="ar"/>
          <w14:ligatures w14:val="standardContextual"/>
        </w:rPr>
        <w:t>2）国家、行业相关的法律、法规适用于投标人的分包管理。</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US" w:eastAsia="zh-CN" w:bidi="ar"/>
          <w14:ligatures w14:val="standardContextual"/>
        </w:rPr>
      </w:pPr>
      <w:r>
        <w:rPr>
          <w:rFonts w:hint="eastAsia" w:hAnsi="宋体" w:cs="宋体"/>
          <w:b w:val="0"/>
          <w:bCs w:val="0"/>
          <w:kern w:val="2"/>
          <w:szCs w:val="20"/>
          <w:lang w:val="en-US" w:eastAsia="zh-CN" w:bidi="ar"/>
          <w14:ligatures w14:val="standardContextual"/>
        </w:rPr>
        <w:t>12.6.2分包要求</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US" w:eastAsia="zh-CN" w:bidi="ar"/>
          <w14:ligatures w14:val="standardContextual"/>
        </w:rPr>
      </w:pPr>
      <w:r>
        <w:rPr>
          <w:rFonts w:hint="eastAsia" w:hAnsi="宋体" w:cs="宋体"/>
          <w:b w:val="0"/>
          <w:bCs w:val="0"/>
          <w:kern w:val="2"/>
          <w:szCs w:val="20"/>
          <w:lang w:val="en-US" w:eastAsia="zh-CN" w:bidi="ar"/>
          <w14:ligatures w14:val="standardContextual"/>
        </w:rPr>
        <w:t>投标人应按照规定分包程序进行工程分包，并服从招标人的管理。</w:t>
      </w:r>
    </w:p>
    <w:p>
      <w:pPr>
        <w:pStyle w:val="44"/>
        <w:widowControl w:val="0"/>
        <w:spacing w:before="0" w:beforeAutospacing="0" w:after="0" w:afterAutospacing="0" w:line="500" w:lineRule="exact"/>
        <w:ind w:firstLine="482" w:firstLineChars="200"/>
        <w:jc w:val="both"/>
        <w:rPr>
          <w:rFonts w:hint="eastAsia" w:hAnsi="宋体" w:cs="宋体"/>
          <w:b/>
          <w:bCs/>
          <w:kern w:val="2"/>
          <w:szCs w:val="20"/>
          <w:lang w:val="en-US" w:eastAsia="zh-CN" w:bidi="ar"/>
          <w14:ligatures w14:val="standardContextual"/>
        </w:rPr>
      </w:pPr>
      <w:r>
        <w:rPr>
          <w:rFonts w:hint="eastAsia" w:hAnsi="宋体" w:cs="宋体"/>
          <w:b/>
          <w:bCs/>
          <w:kern w:val="2"/>
          <w:szCs w:val="20"/>
          <w:lang w:val="en-US" w:eastAsia="zh-CN" w:bidi="ar"/>
          <w14:ligatures w14:val="standardContextual"/>
        </w:rPr>
        <w:t>12.7文件管理和通讯</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US" w:eastAsia="zh-CN" w:bidi="ar"/>
          <w14:ligatures w14:val="standardContextual"/>
        </w:rPr>
      </w:pPr>
      <w:r>
        <w:rPr>
          <w:rFonts w:hint="eastAsia" w:hAnsi="宋体" w:cs="宋体"/>
          <w:b w:val="0"/>
          <w:bCs w:val="0"/>
          <w:kern w:val="2"/>
          <w:szCs w:val="20"/>
          <w:lang w:val="en-US" w:eastAsia="zh-CN" w:bidi="ar"/>
          <w14:ligatures w14:val="standardContextual"/>
        </w:rPr>
        <w:t>12.7.1语言</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US" w:eastAsia="zh-CN" w:bidi="ar"/>
          <w14:ligatures w14:val="standardContextual"/>
        </w:rPr>
      </w:pPr>
      <w:r>
        <w:rPr>
          <w:rFonts w:hint="eastAsia" w:hAnsi="宋体" w:cs="宋体"/>
          <w:b w:val="0"/>
          <w:bCs w:val="0"/>
          <w:kern w:val="2"/>
          <w:szCs w:val="20"/>
          <w:lang w:val="en-US" w:eastAsia="zh-CN" w:bidi="ar"/>
          <w14:ligatures w14:val="standardContextual"/>
        </w:rPr>
        <w:t>投标人和业主间的所有来往文件,包括报告、会议纪要、设备说明书等均应以中文书写。</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US" w:eastAsia="zh-CN" w:bidi="ar"/>
          <w14:ligatures w14:val="standardContextual"/>
        </w:rPr>
      </w:pPr>
      <w:r>
        <w:rPr>
          <w:rFonts w:hint="eastAsia" w:hAnsi="宋体" w:cs="宋体"/>
          <w:b w:val="0"/>
          <w:bCs w:val="0"/>
          <w:kern w:val="2"/>
          <w:szCs w:val="20"/>
          <w:lang w:val="en-US" w:eastAsia="zh-CN" w:bidi="ar"/>
          <w14:ligatures w14:val="standardContextual"/>
        </w:rPr>
        <w:t>为工厂操作和维护所需的（包括操作培训）、为政府审批所需的文件及所有其它文件、图纸、工程规定和请购单等均应为中文。</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US" w:eastAsia="zh-CN" w:bidi="ar"/>
          <w14:ligatures w14:val="standardContextual"/>
        </w:rPr>
      </w:pPr>
      <w:r>
        <w:rPr>
          <w:rFonts w:hint="eastAsia" w:hAnsi="宋体" w:cs="宋体"/>
          <w:b w:val="0"/>
          <w:bCs w:val="0"/>
          <w:kern w:val="2"/>
          <w:szCs w:val="20"/>
          <w:lang w:val="en-US" w:eastAsia="zh-CN" w:bidi="ar"/>
          <w14:ligatures w14:val="standardContextual"/>
        </w:rPr>
        <w:t>12.7.2电子文件</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US" w:eastAsia="zh-CN" w:bidi="ar"/>
          <w14:ligatures w14:val="standardContextual"/>
        </w:rPr>
      </w:pPr>
      <w:r>
        <w:rPr>
          <w:rFonts w:hint="eastAsia" w:hAnsi="宋体" w:cs="宋体"/>
          <w:b w:val="0"/>
          <w:bCs w:val="0"/>
          <w:kern w:val="2"/>
          <w:szCs w:val="20"/>
          <w:lang w:val="en-US" w:eastAsia="zh-CN" w:bidi="ar"/>
          <w14:ligatures w14:val="standardContextual"/>
        </w:rPr>
        <w:t>所有文件均应以电子格式制作和存储，并且能够传输到相应的数据载体上（U盘等）。</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US" w:eastAsia="zh-CN" w:bidi="ar"/>
          <w14:ligatures w14:val="standardContextual"/>
        </w:rPr>
      </w:pPr>
      <w:r>
        <w:rPr>
          <w:rFonts w:hint="eastAsia" w:hAnsi="宋体" w:cs="宋体"/>
          <w:b w:val="0"/>
          <w:bCs w:val="0"/>
          <w:kern w:val="2"/>
          <w:szCs w:val="20"/>
          <w:lang w:val="en-US" w:eastAsia="zh-CN" w:bidi="ar"/>
          <w14:ligatures w14:val="standardContextual"/>
        </w:rPr>
        <w:t>向业主提交电子文件的同时，需按业主要求进行过程文件管理工作。应按照业主的需要使用业主的电子文档管理系统，向业主提交电子文档，要求所有电子文档必须是可编辑的和PDF文件。</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US" w:eastAsia="zh-CN" w:bidi="ar"/>
          <w14:ligatures w14:val="standardContextual"/>
        </w:rPr>
      </w:pPr>
      <w:r>
        <w:rPr>
          <w:rFonts w:hint="eastAsia" w:hAnsi="宋体" w:cs="宋体"/>
          <w:b w:val="0"/>
          <w:bCs w:val="0"/>
          <w:kern w:val="2"/>
          <w:szCs w:val="20"/>
          <w:lang w:val="en-US" w:eastAsia="zh-CN" w:bidi="ar"/>
          <w14:ligatures w14:val="standardContextual"/>
        </w:rPr>
        <w:t>12.7.3文件管理和控制</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US" w:eastAsia="zh-CN" w:bidi="ar"/>
          <w14:ligatures w14:val="standardContextual"/>
        </w:rPr>
      </w:pPr>
      <w:r>
        <w:rPr>
          <w:rFonts w:hint="eastAsia" w:hAnsi="宋体" w:cs="宋体"/>
          <w:b w:val="0"/>
          <w:bCs w:val="0"/>
          <w:kern w:val="2"/>
          <w:szCs w:val="20"/>
          <w:lang w:val="en-US" w:eastAsia="zh-CN" w:bidi="ar"/>
          <w14:ligatures w14:val="standardContextual"/>
        </w:rPr>
        <w:t>投标人可根据自己公司已有的文件管理系统建立并维护一个适合于本项目的文件管理和控制系统。投标人的系统应和业主的文件和图纸兼容，以便于操作与维护。投标人应按业主规定的编号系统对其编制的所有文件进行编号。业主将在授予合同前向投标人提供此编号系统。</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US" w:eastAsia="zh-CN" w:bidi="ar"/>
          <w14:ligatures w14:val="standardContextual"/>
        </w:rPr>
      </w:pPr>
      <w:r>
        <w:rPr>
          <w:rFonts w:hint="eastAsia" w:hAnsi="宋体" w:cs="宋体"/>
          <w:b w:val="0"/>
          <w:bCs w:val="0"/>
          <w:kern w:val="2"/>
          <w:szCs w:val="20"/>
          <w:lang w:val="en-US" w:eastAsia="zh-CN" w:bidi="ar"/>
          <w14:ligatures w14:val="standardContextual"/>
        </w:rPr>
        <w:t>12.7.4文件分发</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US" w:eastAsia="zh-CN" w:bidi="ar"/>
          <w14:ligatures w14:val="standardContextual"/>
        </w:rPr>
      </w:pPr>
      <w:r>
        <w:rPr>
          <w:rFonts w:hint="eastAsia" w:hAnsi="宋体" w:cs="宋体"/>
          <w:b w:val="0"/>
          <w:bCs w:val="0"/>
          <w:kern w:val="2"/>
          <w:szCs w:val="20"/>
          <w:lang w:val="en-US" w:eastAsia="zh-CN" w:bidi="ar"/>
          <w14:ligatures w14:val="standardContextual"/>
        </w:rPr>
        <w:t>投标人需按照业主要求的份数向业主发放图纸和文件，同时向投标人的现场办公室分发规定份数的文件和图纸。</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US" w:eastAsia="zh-CN" w:bidi="ar"/>
          <w14:ligatures w14:val="standardContextual"/>
        </w:rPr>
      </w:pPr>
      <w:r>
        <w:rPr>
          <w:rFonts w:hint="eastAsia" w:hAnsi="宋体" w:cs="宋体"/>
          <w:b w:val="0"/>
          <w:bCs w:val="0"/>
          <w:kern w:val="2"/>
          <w:szCs w:val="20"/>
          <w:lang w:val="en-US" w:eastAsia="zh-CN" w:bidi="ar"/>
          <w14:ligatures w14:val="standardContextual"/>
        </w:rPr>
        <w:t>12.7.5供货商/分包商文件和竣工图</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US" w:eastAsia="zh-CN" w:bidi="ar"/>
          <w14:ligatures w14:val="standardContextual"/>
        </w:rPr>
      </w:pPr>
      <w:r>
        <w:rPr>
          <w:rFonts w:hint="eastAsia" w:hAnsi="宋体" w:cs="宋体"/>
          <w:b w:val="0"/>
          <w:bCs w:val="0"/>
          <w:kern w:val="2"/>
          <w:szCs w:val="20"/>
          <w:lang w:val="en-US" w:eastAsia="zh-CN" w:bidi="ar"/>
          <w14:ligatures w14:val="standardContextual"/>
        </w:rPr>
        <w:t>供货商/分包商文件的分发遵循图纸和文件分发的同样程序。</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US" w:eastAsia="zh-CN" w:bidi="ar"/>
          <w14:ligatures w14:val="standardContextual"/>
        </w:rPr>
      </w:pPr>
      <w:r>
        <w:rPr>
          <w:rFonts w:hint="eastAsia" w:hAnsi="宋体" w:cs="宋体"/>
          <w:b w:val="0"/>
          <w:bCs w:val="0"/>
          <w:kern w:val="2"/>
          <w:szCs w:val="20"/>
          <w:lang w:val="en-US" w:eastAsia="zh-CN" w:bidi="ar"/>
          <w14:ligatures w14:val="standardContextual"/>
        </w:rPr>
        <w:t>所有投标人文件都尽可能以电子版的形式提供给业主。供货商的数据手册、操作和维护手册、备件清单等应为业主认可的形式，供货商交付资料的目录需业主认可。</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US" w:eastAsia="zh-CN" w:bidi="ar"/>
          <w14:ligatures w14:val="standardContextual"/>
        </w:rPr>
      </w:pPr>
      <w:r>
        <w:rPr>
          <w:rFonts w:hint="eastAsia" w:hAnsi="宋体" w:cs="宋体"/>
          <w:b w:val="0"/>
          <w:bCs w:val="0"/>
          <w:kern w:val="2"/>
          <w:szCs w:val="20"/>
          <w:lang w:val="en-US" w:eastAsia="zh-CN" w:bidi="ar"/>
          <w14:ligatures w14:val="standardContextual"/>
        </w:rPr>
        <w:t>竣工图在施工完成后，投标人应将变更在竣工图中修改，绘制最终版竣工图，竣工图应提供可编辑的和PDF电子版。</w:t>
      </w:r>
    </w:p>
    <w:p>
      <w:pPr>
        <w:pStyle w:val="44"/>
        <w:widowControl w:val="0"/>
        <w:spacing w:before="0" w:beforeAutospacing="0" w:after="0" w:afterAutospacing="0" w:line="500" w:lineRule="exact"/>
        <w:ind w:firstLine="482" w:firstLineChars="200"/>
        <w:jc w:val="both"/>
        <w:rPr>
          <w:rFonts w:hint="eastAsia" w:hAnsi="宋体" w:cs="宋体"/>
          <w:b/>
          <w:bCs/>
          <w:kern w:val="2"/>
          <w:szCs w:val="20"/>
          <w:lang w:val="en-US" w:eastAsia="zh-CN" w:bidi="ar"/>
          <w14:ligatures w14:val="standardContextual"/>
        </w:rPr>
      </w:pPr>
      <w:r>
        <w:rPr>
          <w:rFonts w:hint="eastAsia" w:hAnsi="宋体" w:cs="宋体"/>
          <w:b/>
          <w:bCs/>
          <w:kern w:val="2"/>
          <w:szCs w:val="20"/>
          <w:lang w:val="en-US" w:eastAsia="zh-CN" w:bidi="ar"/>
          <w14:ligatures w14:val="standardContextual"/>
        </w:rPr>
        <w:t>12.8资料保密规定</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US" w:eastAsia="zh-CN" w:bidi="ar"/>
          <w14:ligatures w14:val="standardContextual"/>
        </w:rPr>
      </w:pPr>
      <w:r>
        <w:rPr>
          <w:rFonts w:hint="eastAsia" w:hAnsi="宋体" w:cs="宋体"/>
          <w:b w:val="0"/>
          <w:bCs w:val="0"/>
          <w:kern w:val="2"/>
          <w:szCs w:val="20"/>
          <w:lang w:val="en-US" w:eastAsia="zh-CN" w:bidi="ar"/>
          <w14:ligatures w14:val="standardContextual"/>
        </w:rPr>
        <w:t>所有介入本项目的投标人人员均要遵守业主的保密协议。投标人要使其供应商、分包商和任何可能接触保密资料的第三方遵守投标人与业主间的保密协议。投标人要负责其雇员、所有供应商、分包商和其他第三方遵守该文件并对其违约后果负责。</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US" w:eastAsia="zh-CN" w:bidi="ar"/>
          <w14:ligatures w14:val="standardContextual"/>
        </w:rPr>
      </w:pPr>
      <w:r>
        <w:rPr>
          <w:rFonts w:hint="eastAsia" w:hAnsi="宋体" w:cs="宋体"/>
          <w:b w:val="0"/>
          <w:bCs w:val="0"/>
          <w:kern w:val="2"/>
          <w:szCs w:val="20"/>
          <w:lang w:val="en-US" w:eastAsia="zh-CN" w:bidi="ar"/>
          <w14:ligatures w14:val="standardContextual"/>
        </w:rPr>
        <w:t>同时，投标人还应该遵守业主资料保密程序文件的要求。</w:t>
      </w:r>
    </w:p>
    <w:p>
      <w:pPr>
        <w:pStyle w:val="44"/>
        <w:widowControl w:val="0"/>
        <w:spacing w:before="0" w:beforeAutospacing="0" w:after="0" w:afterAutospacing="0" w:line="500" w:lineRule="exact"/>
        <w:ind w:firstLine="482" w:firstLineChars="200"/>
        <w:jc w:val="both"/>
        <w:rPr>
          <w:rFonts w:hint="eastAsia" w:hAnsi="宋体" w:cs="宋体"/>
          <w:b/>
          <w:bCs/>
          <w:kern w:val="2"/>
          <w:szCs w:val="20"/>
          <w:lang w:val="en-US" w:eastAsia="zh-CN" w:bidi="ar"/>
          <w14:ligatures w14:val="standardContextual"/>
        </w:rPr>
      </w:pPr>
      <w:r>
        <w:rPr>
          <w:rFonts w:hint="eastAsia" w:hAnsi="宋体" w:cs="宋体"/>
          <w:b/>
          <w:bCs/>
          <w:kern w:val="2"/>
          <w:szCs w:val="20"/>
          <w:lang w:val="en-US" w:eastAsia="zh-CN" w:bidi="ar"/>
          <w14:ligatures w14:val="standardContextual"/>
        </w:rPr>
        <w:t>12.9培训</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US" w:eastAsia="zh-CN" w:bidi="ar"/>
          <w14:ligatures w14:val="standardContextual"/>
        </w:rPr>
      </w:pPr>
      <w:r>
        <w:rPr>
          <w:rFonts w:hint="eastAsia" w:hAnsi="宋体" w:cs="宋体"/>
          <w:b w:val="0"/>
          <w:bCs w:val="0"/>
          <w:kern w:val="2"/>
          <w:szCs w:val="20"/>
          <w:lang w:val="en-US" w:eastAsia="zh-CN" w:bidi="ar"/>
          <w14:ligatures w14:val="standardContextual"/>
        </w:rPr>
        <w:t>见9服务范围</w:t>
      </w:r>
    </w:p>
    <w:p>
      <w:pPr>
        <w:pStyle w:val="44"/>
        <w:widowControl w:val="0"/>
        <w:spacing w:before="0" w:beforeAutospacing="0" w:after="0" w:afterAutospacing="0" w:line="500" w:lineRule="exact"/>
        <w:ind w:firstLine="482" w:firstLineChars="200"/>
        <w:jc w:val="both"/>
        <w:rPr>
          <w:rFonts w:hint="eastAsia" w:hAnsi="宋体" w:cs="宋体"/>
          <w:b/>
          <w:bCs/>
          <w:kern w:val="2"/>
          <w:szCs w:val="20"/>
          <w:lang w:val="en-US" w:eastAsia="zh-CN" w:bidi="ar"/>
          <w14:ligatures w14:val="standardContextual"/>
        </w:rPr>
      </w:pPr>
      <w:r>
        <w:rPr>
          <w:rFonts w:hint="eastAsia" w:hAnsi="宋体" w:cs="宋体"/>
          <w:b/>
          <w:bCs/>
          <w:kern w:val="2"/>
          <w:szCs w:val="20"/>
          <w:lang w:val="en-US" w:eastAsia="zh-CN" w:bidi="ar"/>
          <w14:ligatures w14:val="standardContextual"/>
        </w:rPr>
        <w:t>12.10试车与保镖（如适用）</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US" w:eastAsia="zh-CN" w:bidi="ar"/>
          <w14:ligatures w14:val="standardContextual"/>
        </w:rPr>
      </w:pPr>
      <w:r>
        <w:rPr>
          <w:rFonts w:hint="eastAsia" w:hAnsi="宋体" w:cs="宋体"/>
          <w:b w:val="0"/>
          <w:bCs w:val="0"/>
          <w:kern w:val="2"/>
          <w:szCs w:val="20"/>
          <w:lang w:val="en-US" w:eastAsia="zh-CN" w:bidi="ar"/>
          <w14:ligatures w14:val="standardContextual"/>
        </w:rPr>
        <w:t>12.10.1装置投料试车至装置出合格产品连续稳定运行72小时内为保镖，投标人作业范围内的所有维护与检修项目均属保镖范围。保镖工作是装置按时投产的保证条件，投标人应按照业主的要求建立保镖体系，配齐保镖工种，保证保镖的人员数量、质量和机具，并有一定的后备人员和机具。业主有权要求投标人替换不合格的保镖人员。</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US" w:eastAsia="zh-CN" w:bidi="ar"/>
          <w14:ligatures w14:val="standardContextual"/>
        </w:rPr>
      </w:pPr>
      <w:r>
        <w:rPr>
          <w:rFonts w:hint="eastAsia" w:hAnsi="宋体" w:cs="宋体"/>
          <w:b w:val="0"/>
          <w:bCs w:val="0"/>
          <w:kern w:val="2"/>
          <w:szCs w:val="20"/>
          <w:lang w:val="en-US" w:eastAsia="zh-CN" w:bidi="ar"/>
          <w14:ligatures w14:val="standardContextual"/>
        </w:rPr>
        <w:t>12.10.2保镖人员应佩带相应标志。</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US" w:eastAsia="zh-CN" w:bidi="ar"/>
          <w14:ligatures w14:val="standardContextual"/>
        </w:rPr>
      </w:pPr>
      <w:r>
        <w:rPr>
          <w:rFonts w:hint="eastAsia" w:hAnsi="宋体" w:cs="宋体"/>
          <w:b w:val="0"/>
          <w:bCs w:val="0"/>
          <w:kern w:val="2"/>
          <w:szCs w:val="20"/>
          <w:lang w:val="en-US" w:eastAsia="zh-CN" w:bidi="ar"/>
          <w14:ligatures w14:val="standardContextual"/>
        </w:rPr>
        <w:t>12.10.3投标人的价格分项应是包括保镖人员的食宿和劳保防护等的全部费用。保镖费用应包含在总价中，业主不在另付费用给投标人。</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US" w:eastAsia="zh-CN" w:bidi="ar"/>
          <w14:ligatures w14:val="standardContextual"/>
        </w:rPr>
      </w:pPr>
      <w:r>
        <w:rPr>
          <w:rFonts w:hint="eastAsia" w:hAnsi="宋体" w:cs="宋体"/>
          <w:b w:val="0"/>
          <w:bCs w:val="0"/>
          <w:kern w:val="2"/>
          <w:szCs w:val="20"/>
          <w:lang w:val="en-US" w:eastAsia="zh-CN" w:bidi="ar"/>
          <w14:ligatures w14:val="standardContextual"/>
        </w:rPr>
        <w:t>12.10.4投标人应按时参加业主召开的保镖会议，及时处理问题；提出维检修方案，供业主审查后实施。</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US" w:eastAsia="zh-CN" w:bidi="ar"/>
          <w14:ligatures w14:val="standardContextual"/>
        </w:rPr>
      </w:pPr>
      <w:r>
        <w:rPr>
          <w:rFonts w:hint="eastAsia" w:hAnsi="宋体" w:cs="宋体"/>
          <w:b w:val="0"/>
          <w:bCs w:val="0"/>
          <w:kern w:val="2"/>
          <w:szCs w:val="20"/>
          <w:lang w:val="en-US" w:eastAsia="zh-CN" w:bidi="ar"/>
          <w14:ligatures w14:val="standardContextual"/>
        </w:rPr>
        <w:t>12.10.5投标人不能及时处理业主交给的任务，业主有索赔的权利。</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US" w:eastAsia="zh-CN" w:bidi="ar"/>
          <w14:ligatures w14:val="standardContextual"/>
        </w:rPr>
      </w:pPr>
      <w:r>
        <w:rPr>
          <w:rFonts w:hint="eastAsia" w:hAnsi="宋体" w:cs="宋体"/>
          <w:b w:val="0"/>
          <w:bCs w:val="0"/>
          <w:kern w:val="2"/>
          <w:szCs w:val="20"/>
          <w:lang w:val="en-US" w:eastAsia="zh-CN" w:bidi="ar"/>
          <w14:ligatures w14:val="standardContextual"/>
        </w:rPr>
        <w:t>12.10.6保镖人员应遵守业主的安全生产及各项规章制度。</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US" w:eastAsia="zh-CN" w:bidi="ar"/>
          <w14:ligatures w14:val="standardContextual"/>
        </w:rPr>
      </w:pPr>
      <w:r>
        <w:rPr>
          <w:rFonts w:hint="eastAsia" w:hAnsi="宋体" w:cs="宋体"/>
          <w:b w:val="0"/>
          <w:bCs w:val="0"/>
          <w:kern w:val="2"/>
          <w:szCs w:val="20"/>
          <w:lang w:val="en-US" w:eastAsia="zh-CN" w:bidi="ar"/>
          <w14:ligatures w14:val="standardContextual"/>
        </w:rPr>
        <w:t>12.10.7保镖应有保镖记录、保镖考勤，业主将对投标人的保镖记录、保镖考勤进行考核。</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US" w:eastAsia="zh-CN" w:bidi="ar"/>
          <w14:ligatures w14:val="standardContextual"/>
        </w:rPr>
      </w:pPr>
      <w:r>
        <w:rPr>
          <w:rFonts w:hint="eastAsia" w:hAnsi="宋体" w:cs="宋体"/>
          <w:b w:val="0"/>
          <w:bCs w:val="0"/>
          <w:kern w:val="2"/>
          <w:szCs w:val="20"/>
          <w:lang w:val="en-US" w:eastAsia="zh-CN" w:bidi="ar"/>
          <w14:ligatures w14:val="standardContextual"/>
        </w:rPr>
        <w:t>12.10.8投标人应落实保镖值班地点并挂牌，实行24小时值班，并将值班电话和相关责任人的联系电话交给业主。</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US" w:eastAsia="zh-CN" w:bidi="ar"/>
          <w14:ligatures w14:val="standardContextual"/>
        </w:rPr>
      </w:pPr>
      <w:r>
        <w:rPr>
          <w:rFonts w:hint="eastAsia" w:hAnsi="宋体" w:cs="宋体"/>
          <w:b w:val="0"/>
          <w:bCs w:val="0"/>
          <w:kern w:val="2"/>
          <w:szCs w:val="20"/>
          <w:lang w:val="en-US" w:eastAsia="zh-CN" w:bidi="ar"/>
          <w14:ligatures w14:val="standardContextual"/>
        </w:rPr>
        <w:t>12.10.9投标人的保镖人员和后备人员应住在装置和厂子的附近，且安排值班人员，以保证能在10分钟到达现场。</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US" w:eastAsia="zh-CN" w:bidi="ar"/>
          <w14:ligatures w14:val="standardContextual"/>
        </w:rPr>
      </w:pPr>
      <w:r>
        <w:rPr>
          <w:rFonts w:hint="eastAsia" w:hAnsi="宋体" w:cs="宋体"/>
          <w:b w:val="0"/>
          <w:bCs w:val="0"/>
          <w:kern w:val="2"/>
          <w:szCs w:val="20"/>
          <w:lang w:val="en-US" w:eastAsia="zh-CN" w:bidi="ar"/>
          <w14:ligatures w14:val="standardContextual"/>
        </w:rPr>
        <w:t>12.10.10保镖完成后，业主向投标人颁发工程接收证明书。</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US" w:eastAsia="zh-CN" w:bidi="ar"/>
          <w14:ligatures w14:val="standardContextual"/>
        </w:rPr>
      </w:pPr>
      <w:r>
        <w:rPr>
          <w:rFonts w:hint="eastAsia" w:hAnsi="宋体" w:cs="宋体"/>
          <w:b w:val="0"/>
          <w:bCs w:val="0"/>
          <w:kern w:val="2"/>
          <w:szCs w:val="20"/>
          <w:lang w:val="en-US" w:eastAsia="zh-CN" w:bidi="ar"/>
          <w14:ligatures w14:val="standardContextual"/>
        </w:rPr>
        <w:t>12.10.11投标人可以使用业主的专用工具，用后归还，损坏照价赔偿。</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US" w:eastAsia="zh-CN" w:bidi="ar"/>
          <w14:ligatures w14:val="standardContextual"/>
        </w:rPr>
      </w:pPr>
      <w:r>
        <w:rPr>
          <w:rFonts w:hint="eastAsia" w:hAnsi="宋体" w:cs="宋体"/>
          <w:b w:val="0"/>
          <w:bCs w:val="0"/>
          <w:kern w:val="2"/>
          <w:szCs w:val="20"/>
          <w:lang w:val="en-US" w:eastAsia="zh-CN" w:bidi="ar"/>
          <w14:ligatures w14:val="standardContextual"/>
        </w:rPr>
        <w:t>12.10.12保镖期间投标人可以借用业主的两年备件和主备件，事后需归还。</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US" w:eastAsia="zh-CN" w:bidi="ar"/>
          <w14:ligatures w14:val="standardContextual"/>
        </w:rPr>
      </w:pPr>
      <w:r>
        <w:rPr>
          <w:rFonts w:hint="eastAsia" w:hAnsi="宋体" w:cs="宋体"/>
          <w:b w:val="0"/>
          <w:bCs w:val="0"/>
          <w:kern w:val="2"/>
          <w:szCs w:val="20"/>
          <w:lang w:val="en-US" w:eastAsia="zh-CN" w:bidi="ar"/>
          <w14:ligatures w14:val="standardContextual"/>
        </w:rPr>
        <w:t>12.10.13投标人在装置保镖完成之后，应向业主或业主指定的单位移交保镖记录和保镖考勤。</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US" w:eastAsia="zh-CN" w:bidi="ar"/>
          <w14:ligatures w14:val="standardContextual"/>
        </w:rPr>
      </w:pPr>
      <w:r>
        <w:rPr>
          <w:rFonts w:hint="eastAsia" w:hAnsi="宋体" w:cs="宋体"/>
          <w:b w:val="0"/>
          <w:bCs w:val="0"/>
          <w:kern w:val="2"/>
          <w:szCs w:val="20"/>
          <w:lang w:val="en-US" w:eastAsia="zh-CN" w:bidi="ar"/>
          <w14:ligatures w14:val="standardContextual"/>
        </w:rPr>
        <w:t>12.10.14保镖期间因缺陷引起的费用，若缺陷由业主引起，费用由业主承担；若缺陷由投标人引起，费用由投标人负责。</w:t>
      </w:r>
    </w:p>
    <w:p>
      <w:pPr>
        <w:pStyle w:val="44"/>
        <w:widowControl w:val="0"/>
        <w:spacing w:before="0" w:beforeAutospacing="0" w:after="0" w:afterAutospacing="0" w:line="500" w:lineRule="exact"/>
        <w:ind w:firstLine="480" w:firstLineChars="200"/>
        <w:jc w:val="both"/>
        <w:rPr>
          <w:rFonts w:hint="eastAsia" w:hAnsi="宋体" w:cs="宋体"/>
          <w:b w:val="0"/>
          <w:bCs w:val="0"/>
          <w:kern w:val="2"/>
          <w:szCs w:val="20"/>
          <w:lang w:val="en-US" w:eastAsia="zh-CN" w:bidi="ar"/>
          <w14:ligatures w14:val="standardContextual"/>
        </w:rPr>
      </w:pPr>
      <w:r>
        <w:rPr>
          <w:rFonts w:hint="eastAsia" w:hAnsi="宋体" w:cs="宋体"/>
          <w:b w:val="0"/>
          <w:bCs w:val="0"/>
          <w:kern w:val="2"/>
          <w:szCs w:val="20"/>
          <w:lang w:val="en-US" w:eastAsia="zh-CN" w:bidi="ar"/>
          <w14:ligatures w14:val="standardContextual"/>
        </w:rPr>
        <w:t>12.10.15业主有权对EPC总包商、施工分包商直接进行处罚。</w:t>
      </w:r>
    </w:p>
    <w:p>
      <w:pPr>
        <w:pStyle w:val="44"/>
        <w:widowControl w:val="0"/>
        <w:spacing w:before="0" w:beforeAutospacing="0" w:after="0" w:afterAutospacing="0" w:line="500" w:lineRule="exact"/>
        <w:ind w:firstLine="482" w:firstLineChars="200"/>
        <w:jc w:val="both"/>
        <w:rPr>
          <w:rFonts w:hint="eastAsia" w:hAnsi="宋体" w:cs="宋体"/>
          <w:b/>
          <w:bCs/>
          <w:kern w:val="2"/>
          <w:szCs w:val="20"/>
          <w:lang w:bidi="ar"/>
          <w14:ligatures w14:val="standardContextual"/>
        </w:rPr>
      </w:pPr>
      <w:r>
        <w:rPr>
          <w:rFonts w:hint="eastAsia" w:hAnsi="宋体" w:cs="宋体"/>
          <w:b/>
          <w:bCs/>
          <w:kern w:val="2"/>
          <w:szCs w:val="20"/>
          <w:lang w:val="en-US" w:eastAsia="zh-CN" w:bidi="ar"/>
          <w14:ligatures w14:val="standardContextual"/>
        </w:rPr>
        <w:t xml:space="preserve">13 </w:t>
      </w:r>
      <w:r>
        <w:rPr>
          <w:rFonts w:hint="eastAsia" w:hAnsi="宋体" w:cs="宋体"/>
          <w:b/>
          <w:bCs/>
          <w:kern w:val="2"/>
          <w:szCs w:val="20"/>
          <w:lang w:bidi="ar"/>
          <w14:ligatures w14:val="standardContextual"/>
        </w:rPr>
        <w:t>标准规范清单</w:t>
      </w:r>
    </w:p>
    <w:p>
      <w:pPr>
        <w:pStyle w:val="44"/>
        <w:widowControl w:val="0"/>
        <w:spacing w:before="0" w:beforeAutospacing="0" w:after="0" w:afterAutospacing="0" w:line="500" w:lineRule="exact"/>
        <w:ind w:firstLine="480" w:firstLineChars="200"/>
        <w:jc w:val="both"/>
        <w:rPr>
          <w:rFonts w:hint="eastAsia" w:hAnsi="宋体" w:cs="宋体"/>
          <w:kern w:val="2"/>
          <w:szCs w:val="20"/>
          <w:lang w:bidi="ar"/>
          <w14:ligatures w14:val="standardContextual"/>
        </w:rPr>
      </w:pPr>
      <w:r>
        <w:rPr>
          <w:rFonts w:hint="eastAsia" w:hAnsi="宋体" w:cs="宋体"/>
          <w:kern w:val="2"/>
          <w:szCs w:val="20"/>
          <w:lang w:bidi="ar"/>
          <w14:ligatures w14:val="standardContextual"/>
        </w:rPr>
        <w:t>工程设计、采购、施工及启动试运、性能考核和工程验收工作执行国家、煤化工行业的有关规范、标准、规定。规范、标准、规定的执行必须认真贯彻国家的有关方针政策，必须严格执行国家现行的有关规范、标准、规定，并允许采用国家各行业管理机关或地方颁发的现行的有关规范、标准、规定。当各种规范、标准、规定要求不一致时，应采用要求较高的标准规范，或书面通知业主，以便及时确认。对有更新的标准和规范，应采用最新的版本，包括其中的附加或补充条款。</w:t>
      </w:r>
    </w:p>
    <w:p>
      <w:pPr>
        <w:pStyle w:val="44"/>
        <w:widowControl w:val="0"/>
        <w:spacing w:before="0" w:beforeAutospacing="0" w:after="0" w:afterAutospacing="0" w:line="500" w:lineRule="exact"/>
        <w:ind w:firstLine="482" w:firstLineChars="200"/>
        <w:jc w:val="both"/>
        <w:rPr>
          <w:rFonts w:hint="eastAsia" w:hAnsi="宋体" w:cs="宋体"/>
          <w:b/>
          <w:bCs/>
          <w:kern w:val="2"/>
          <w:szCs w:val="20"/>
          <w:lang w:bidi="ar"/>
          <w14:ligatures w14:val="standardContextual"/>
        </w:rPr>
      </w:pPr>
      <w:r>
        <w:rPr>
          <w:rFonts w:hint="eastAsia" w:hAnsi="宋体" w:cs="宋体"/>
          <w:b/>
          <w:bCs/>
          <w:kern w:val="2"/>
          <w:szCs w:val="20"/>
          <w:lang w:bidi="ar"/>
          <w14:ligatures w14:val="standardContextual"/>
        </w:rPr>
        <w:t>标准及规范均按现行最新版本执行。</w:t>
      </w:r>
    </w:p>
    <w:p>
      <w:pPr>
        <w:pStyle w:val="44"/>
        <w:widowControl w:val="0"/>
        <w:spacing w:before="0" w:beforeAutospacing="0" w:after="0" w:afterAutospacing="0" w:line="500" w:lineRule="exact"/>
        <w:ind w:firstLine="482" w:firstLineChars="200"/>
        <w:jc w:val="both"/>
        <w:rPr>
          <w:rFonts w:hint="eastAsia" w:hAnsi="宋体" w:cs="宋体"/>
          <w:b/>
          <w:bCs/>
          <w:kern w:val="2"/>
          <w:szCs w:val="20"/>
          <w:lang w:bidi="ar"/>
          <w14:ligatures w14:val="standardContextual"/>
        </w:rPr>
      </w:pPr>
      <w:r>
        <w:rPr>
          <w:rFonts w:hint="eastAsia" w:hAnsi="宋体" w:cs="宋体"/>
          <w:b/>
          <w:bCs/>
          <w:kern w:val="2"/>
          <w:szCs w:val="20"/>
          <w:lang w:val="en-US" w:eastAsia="zh-CN" w:bidi="ar"/>
          <w14:ligatures w14:val="standardContextual"/>
        </w:rPr>
        <w:t xml:space="preserve">14 </w:t>
      </w:r>
      <w:r>
        <w:rPr>
          <w:rFonts w:hint="eastAsia" w:hAnsi="宋体" w:cs="宋体"/>
          <w:b/>
          <w:bCs/>
          <w:kern w:val="2"/>
          <w:szCs w:val="20"/>
          <w:lang w:bidi="ar"/>
          <w14:ligatures w14:val="standardContextual"/>
        </w:rPr>
        <w:t>工作完成定义</w:t>
      </w:r>
    </w:p>
    <w:p>
      <w:pPr>
        <w:pStyle w:val="44"/>
        <w:widowControl w:val="0"/>
        <w:spacing w:before="0" w:beforeAutospacing="0" w:after="0" w:afterAutospacing="0" w:line="500" w:lineRule="exact"/>
        <w:ind w:firstLine="480" w:firstLineChars="200"/>
        <w:jc w:val="both"/>
        <w:rPr>
          <w:rFonts w:hint="eastAsia" w:hAnsi="宋体" w:cs="宋体"/>
          <w:kern w:val="2"/>
          <w:szCs w:val="20"/>
          <w:lang w:bidi="ar"/>
          <w14:ligatures w14:val="standardContextual"/>
        </w:rPr>
      </w:pPr>
      <w:r>
        <w:rPr>
          <w:rFonts w:hint="eastAsia" w:hAnsi="宋体" w:cs="宋体"/>
          <w:kern w:val="2"/>
          <w:szCs w:val="20"/>
          <w:lang w:bidi="ar"/>
          <w14:ligatures w14:val="standardContextual"/>
        </w:rPr>
        <w:t>执行中国石化建【2011】897号《中国石化建设项目生产准备与试车管理规定》。</w:t>
      </w:r>
    </w:p>
    <w:p>
      <w:pPr>
        <w:pStyle w:val="44"/>
        <w:widowControl w:val="0"/>
        <w:spacing w:before="0" w:beforeAutospacing="0" w:after="0" w:afterAutospacing="0" w:line="500" w:lineRule="exact"/>
        <w:ind w:firstLine="482" w:firstLineChars="200"/>
        <w:jc w:val="both"/>
        <w:rPr>
          <w:rFonts w:hint="eastAsia" w:hAnsi="宋体" w:cs="宋体"/>
          <w:b/>
          <w:bCs/>
          <w:kern w:val="2"/>
          <w:szCs w:val="20"/>
          <w:lang w:bidi="ar"/>
          <w14:ligatures w14:val="standardContextual"/>
        </w:rPr>
      </w:pPr>
      <w:r>
        <w:rPr>
          <w:rFonts w:hint="eastAsia" w:hAnsi="宋体" w:cs="宋体"/>
          <w:b/>
          <w:bCs/>
          <w:kern w:val="2"/>
          <w:szCs w:val="20"/>
          <w:lang w:val="en-US" w:eastAsia="zh-CN" w:bidi="ar"/>
          <w14:ligatures w14:val="standardContextual"/>
        </w:rPr>
        <w:t xml:space="preserve">15 </w:t>
      </w:r>
      <w:r>
        <w:rPr>
          <w:rFonts w:hint="eastAsia" w:hAnsi="宋体" w:cs="宋体"/>
          <w:b/>
          <w:bCs/>
          <w:kern w:val="2"/>
          <w:szCs w:val="20"/>
          <w:lang w:bidi="ar"/>
          <w14:ligatures w14:val="standardContextual"/>
        </w:rPr>
        <w:t>技术要求</w:t>
      </w:r>
    </w:p>
    <w:p>
      <w:pPr>
        <w:pStyle w:val="44"/>
        <w:widowControl w:val="0"/>
        <w:spacing w:before="0" w:beforeAutospacing="0" w:after="0" w:afterAutospacing="0" w:line="500" w:lineRule="exact"/>
        <w:ind w:firstLine="482" w:firstLineChars="200"/>
        <w:jc w:val="both"/>
        <w:rPr>
          <w:rFonts w:hint="eastAsia" w:hAnsi="宋体" w:cs="宋体"/>
          <w:b/>
          <w:bCs/>
          <w:kern w:val="2"/>
          <w:szCs w:val="20"/>
          <w:lang w:bidi="ar"/>
          <w14:ligatures w14:val="standardContextual"/>
        </w:rPr>
      </w:pPr>
      <w:r>
        <w:rPr>
          <w:rFonts w:hint="eastAsia" w:hAnsi="宋体" w:cs="宋体"/>
          <w:b/>
          <w:bCs/>
          <w:kern w:val="2"/>
          <w:szCs w:val="20"/>
          <w:lang w:val="en-US" w:eastAsia="zh-CN" w:bidi="ar"/>
          <w14:ligatures w14:val="standardContextual"/>
        </w:rPr>
        <w:t>15.1</w:t>
      </w:r>
      <w:r>
        <w:rPr>
          <w:rFonts w:hint="eastAsia" w:hAnsi="宋体" w:cs="宋体"/>
          <w:b/>
          <w:bCs/>
          <w:kern w:val="2"/>
          <w:szCs w:val="20"/>
          <w:lang w:bidi="ar"/>
          <w14:ligatures w14:val="standardContextual"/>
        </w:rPr>
        <w:t>双方工作范围及职责</w:t>
      </w:r>
    </w:p>
    <w:p>
      <w:pPr>
        <w:pStyle w:val="44"/>
        <w:widowControl w:val="0"/>
        <w:spacing w:before="0" w:beforeAutospacing="0" w:after="0" w:afterAutospacing="0" w:line="500" w:lineRule="exact"/>
        <w:ind w:firstLine="480" w:firstLineChars="200"/>
        <w:jc w:val="both"/>
        <w:rPr>
          <w:rFonts w:hint="eastAsia" w:hAnsi="宋体" w:cs="宋体"/>
          <w:kern w:val="2"/>
          <w:szCs w:val="20"/>
          <w:lang w:val="en-US" w:eastAsia="zh-CN" w:bidi="ar"/>
          <w14:ligatures w14:val="standardContextual"/>
        </w:rPr>
      </w:pPr>
      <w:r>
        <w:rPr>
          <w:rFonts w:hint="eastAsia" w:hAnsi="宋体" w:cs="宋体"/>
          <w:kern w:val="2"/>
          <w:szCs w:val="20"/>
          <w:lang w:val="en-US" w:eastAsia="zh-CN" w:bidi="ar"/>
          <w14:ligatures w14:val="standardContextual"/>
        </w:rPr>
        <w:t>15.1.1</w:t>
      </w:r>
      <w:r>
        <w:rPr>
          <w:rFonts w:hint="eastAsia" w:hAnsi="宋体" w:cs="宋体"/>
          <w:kern w:val="2"/>
          <w:szCs w:val="20"/>
          <w:lang w:bidi="ar"/>
          <w14:ligatures w14:val="standardContextual"/>
        </w:rPr>
        <w:t xml:space="preserve"> </w:t>
      </w:r>
      <w:r>
        <w:rPr>
          <w:rFonts w:hint="eastAsia" w:hAnsi="宋体" w:cs="宋体"/>
          <w:kern w:val="2"/>
          <w:szCs w:val="20"/>
          <w:lang w:val="en-US" w:eastAsia="zh-CN" w:bidi="ar"/>
          <w14:ligatures w14:val="standardContextual"/>
        </w:rPr>
        <w:t>招标人</w:t>
      </w:r>
    </w:p>
    <w:p>
      <w:pPr>
        <w:pStyle w:val="44"/>
        <w:widowControl w:val="0"/>
        <w:spacing w:before="0" w:beforeAutospacing="0" w:after="0" w:afterAutospacing="0" w:line="500" w:lineRule="exact"/>
        <w:ind w:firstLine="480" w:firstLineChars="200"/>
        <w:jc w:val="both"/>
        <w:rPr>
          <w:rFonts w:hint="eastAsia" w:hAnsi="宋体" w:cs="宋体"/>
          <w:kern w:val="2"/>
          <w:szCs w:val="20"/>
          <w:lang w:val="zh-CN" w:bidi="ar"/>
          <w14:ligatures w14:val="standardContextual"/>
        </w:rPr>
      </w:pPr>
      <w:r>
        <w:rPr>
          <w:rFonts w:hint="eastAsia" w:hAnsi="宋体" w:cs="宋体"/>
          <w:kern w:val="2"/>
          <w:szCs w:val="20"/>
          <w:lang w:val="en-US" w:eastAsia="zh-CN" w:bidi="ar"/>
          <w14:ligatures w14:val="standardContextual"/>
        </w:rPr>
        <w:t>1）</w:t>
      </w:r>
      <w:r>
        <w:rPr>
          <w:rFonts w:hint="eastAsia" w:hAnsi="宋体" w:cs="宋体"/>
          <w:kern w:val="2"/>
          <w:szCs w:val="20"/>
          <w:lang w:val="zh-CN" w:bidi="ar"/>
          <w14:ligatures w14:val="standardContextual"/>
        </w:rPr>
        <w:t>负责提供本项目所需</w:t>
      </w:r>
      <w:r>
        <w:rPr>
          <w:rFonts w:hint="eastAsia" w:hAnsi="宋体" w:cs="宋体"/>
          <w:kern w:val="2"/>
          <w:szCs w:val="20"/>
          <w:lang w:bidi="ar"/>
          <w14:ligatures w14:val="standardContextual"/>
        </w:rPr>
        <w:t>基础</w:t>
      </w:r>
      <w:r>
        <w:rPr>
          <w:rFonts w:hint="eastAsia" w:hAnsi="宋体" w:cs="宋体"/>
          <w:kern w:val="2"/>
          <w:szCs w:val="20"/>
          <w:lang w:val="zh-CN" w:bidi="ar"/>
          <w14:ligatures w14:val="standardContextual"/>
        </w:rPr>
        <w:t>技术资料；</w:t>
      </w:r>
    </w:p>
    <w:p>
      <w:pPr>
        <w:pStyle w:val="44"/>
        <w:widowControl w:val="0"/>
        <w:spacing w:before="0" w:beforeAutospacing="0" w:after="0" w:afterAutospacing="0" w:line="500" w:lineRule="exact"/>
        <w:ind w:firstLine="480" w:firstLineChars="200"/>
        <w:jc w:val="both"/>
        <w:rPr>
          <w:rFonts w:hint="eastAsia" w:hAnsi="宋体" w:cs="宋体"/>
          <w:kern w:val="2"/>
          <w:szCs w:val="20"/>
          <w:lang w:val="zh-CN" w:bidi="ar"/>
          <w14:ligatures w14:val="standardContextual"/>
        </w:rPr>
      </w:pPr>
      <w:r>
        <w:rPr>
          <w:rFonts w:hint="eastAsia" w:hAnsi="宋体" w:cs="宋体"/>
          <w:kern w:val="2"/>
          <w:szCs w:val="20"/>
          <w:lang w:val="en-US" w:eastAsia="zh-CN" w:bidi="ar"/>
          <w14:ligatures w14:val="standardContextual"/>
        </w:rPr>
        <w:t>2）</w:t>
      </w:r>
      <w:r>
        <w:rPr>
          <w:rFonts w:hint="eastAsia" w:hAnsi="宋体" w:cs="宋体"/>
          <w:kern w:val="2"/>
          <w:szCs w:val="20"/>
          <w:lang w:val="zh-CN" w:bidi="ar"/>
          <w14:ligatures w14:val="standardContextual"/>
        </w:rPr>
        <w:t>设备投用后负责组织试运行及验收。</w:t>
      </w:r>
    </w:p>
    <w:p>
      <w:pPr>
        <w:pStyle w:val="44"/>
        <w:widowControl w:val="0"/>
        <w:spacing w:before="0" w:beforeAutospacing="0" w:after="0" w:afterAutospacing="0" w:line="500" w:lineRule="exact"/>
        <w:ind w:firstLine="480" w:firstLineChars="200"/>
        <w:jc w:val="both"/>
        <w:rPr>
          <w:rFonts w:hint="eastAsia" w:hAnsi="宋体" w:cs="宋体"/>
          <w:kern w:val="2"/>
          <w:szCs w:val="20"/>
          <w:lang w:eastAsia="zh-CN" w:bidi="ar"/>
          <w14:ligatures w14:val="standardContextual"/>
        </w:rPr>
      </w:pPr>
      <w:r>
        <w:rPr>
          <w:rFonts w:hint="eastAsia" w:hAnsi="宋体" w:cs="宋体"/>
          <w:kern w:val="2"/>
          <w:szCs w:val="20"/>
          <w:lang w:val="en-US" w:eastAsia="zh-CN" w:bidi="ar"/>
          <w14:ligatures w14:val="standardContextual"/>
        </w:rPr>
        <w:t>15.1.2</w:t>
      </w:r>
      <w:r>
        <w:rPr>
          <w:rFonts w:hint="eastAsia" w:hAnsi="宋体" w:cs="宋体"/>
          <w:kern w:val="2"/>
          <w:szCs w:val="20"/>
          <w:lang w:eastAsia="zh-CN" w:bidi="ar"/>
          <w14:ligatures w14:val="standardContextual"/>
        </w:rPr>
        <w:t>投标人</w:t>
      </w:r>
    </w:p>
    <w:p>
      <w:pPr>
        <w:pStyle w:val="44"/>
        <w:widowControl w:val="0"/>
        <w:spacing w:before="0" w:beforeAutospacing="0" w:after="0" w:afterAutospacing="0" w:line="500" w:lineRule="exact"/>
        <w:ind w:firstLine="480" w:firstLineChars="200"/>
        <w:jc w:val="both"/>
        <w:rPr>
          <w:rFonts w:hint="eastAsia" w:hAnsi="宋体" w:cs="宋体"/>
          <w:kern w:val="2"/>
          <w:szCs w:val="20"/>
          <w:lang w:bidi="ar"/>
          <w14:ligatures w14:val="standardContextual"/>
        </w:rPr>
      </w:pPr>
      <w:r>
        <w:rPr>
          <w:rFonts w:hint="eastAsia" w:hAnsi="宋体" w:cs="宋体"/>
          <w:kern w:val="2"/>
          <w:szCs w:val="20"/>
          <w:lang w:val="en-US" w:eastAsia="zh-CN" w:bidi="ar"/>
          <w14:ligatures w14:val="standardContextual"/>
        </w:rPr>
        <w:t>1）</w:t>
      </w:r>
      <w:r>
        <w:rPr>
          <w:rFonts w:hint="eastAsia" w:hAnsi="宋体" w:cs="宋体"/>
          <w:kern w:val="2"/>
          <w:szCs w:val="20"/>
          <w:lang w:bidi="ar"/>
          <w14:ligatures w14:val="standardContextual"/>
        </w:rPr>
        <w:t>工作内容</w:t>
      </w:r>
    </w:p>
    <w:p>
      <w:pPr>
        <w:pStyle w:val="44"/>
        <w:widowControl w:val="0"/>
        <w:spacing w:before="0" w:beforeAutospacing="0" w:after="0" w:afterAutospacing="0" w:line="500" w:lineRule="exact"/>
        <w:ind w:firstLine="480" w:firstLineChars="200"/>
        <w:jc w:val="both"/>
        <w:rPr>
          <w:rFonts w:hint="eastAsia" w:hAnsi="宋体" w:cs="宋体"/>
          <w:kern w:val="2"/>
          <w:szCs w:val="20"/>
          <w:lang w:bidi="ar"/>
          <w14:ligatures w14:val="standardContextual"/>
        </w:rPr>
      </w:pPr>
      <w:r>
        <w:rPr>
          <w:rFonts w:hint="eastAsia" w:hAnsi="宋体" w:cs="宋体"/>
          <w:kern w:val="2"/>
          <w:szCs w:val="20"/>
          <w:lang w:bidi="ar"/>
          <w14:ligatures w14:val="standardContextual"/>
        </w:rPr>
        <w:t>负责本项目设备及材料的采购和制造供货并对产品质量负责；负责本项目的现场安装并对施工质量负责；具体工作内容如下：</w:t>
      </w:r>
    </w:p>
    <w:p>
      <w:pPr>
        <w:pStyle w:val="44"/>
        <w:widowControl w:val="0"/>
        <w:spacing w:before="0" w:beforeAutospacing="0" w:after="0" w:afterAutospacing="0" w:line="500" w:lineRule="exact"/>
        <w:ind w:firstLine="480" w:firstLineChars="200"/>
        <w:jc w:val="both"/>
        <w:rPr>
          <w:rFonts w:hint="eastAsia" w:hAnsi="宋体" w:cs="宋体"/>
          <w:kern w:val="2"/>
          <w:szCs w:val="20"/>
          <w:lang w:val="zh-CN" w:bidi="ar"/>
          <w14:ligatures w14:val="standardContextual"/>
        </w:rPr>
      </w:pPr>
      <w:r>
        <w:rPr>
          <w:rFonts w:hint="eastAsia" w:hAnsi="宋体" w:cs="宋体"/>
          <w:kern w:val="2"/>
          <w:szCs w:val="20"/>
          <w:lang w:val="en-US" w:eastAsia="zh-CN" w:bidi="ar"/>
          <w14:ligatures w14:val="standardContextual"/>
        </w:rPr>
        <w:t>（1）</w:t>
      </w:r>
      <w:r>
        <w:rPr>
          <w:rFonts w:hint="eastAsia" w:hAnsi="宋体" w:cs="宋体"/>
          <w:kern w:val="2"/>
          <w:szCs w:val="20"/>
          <w:lang w:val="zh-CN" w:bidi="ar"/>
          <w14:ligatures w14:val="standardContextual"/>
        </w:rPr>
        <w:t>负责投标人供货范围内设备的制造检验以及材料的采购；</w:t>
      </w:r>
    </w:p>
    <w:p>
      <w:pPr>
        <w:pStyle w:val="44"/>
        <w:widowControl w:val="0"/>
        <w:spacing w:before="0" w:beforeAutospacing="0" w:after="0" w:afterAutospacing="0" w:line="500" w:lineRule="exact"/>
        <w:ind w:firstLine="480" w:firstLineChars="200"/>
        <w:jc w:val="both"/>
        <w:rPr>
          <w:rFonts w:hint="eastAsia" w:hAnsi="宋体" w:cs="宋体"/>
          <w:kern w:val="2"/>
          <w:szCs w:val="20"/>
          <w:lang w:val="zh-CN" w:bidi="ar"/>
          <w14:ligatures w14:val="standardContextual"/>
        </w:rPr>
      </w:pPr>
      <w:r>
        <w:rPr>
          <w:rFonts w:hint="eastAsia" w:hAnsi="宋体" w:cs="宋体"/>
          <w:kern w:val="2"/>
          <w:szCs w:val="20"/>
          <w:lang w:val="en-US" w:eastAsia="zh-CN" w:bidi="ar"/>
          <w14:ligatures w14:val="standardContextual"/>
        </w:rPr>
        <w:t>（2）</w:t>
      </w:r>
      <w:r>
        <w:rPr>
          <w:rFonts w:hint="eastAsia" w:hAnsi="宋体" w:cs="宋体"/>
          <w:kern w:val="2"/>
          <w:szCs w:val="20"/>
          <w:lang w:val="zh-CN" w:bidi="ar"/>
          <w14:ligatures w14:val="standardContextual"/>
        </w:rPr>
        <w:t>负责本项目的现场安装</w:t>
      </w:r>
      <w:r>
        <w:rPr>
          <w:rFonts w:hint="eastAsia" w:hAnsi="宋体" w:cs="宋体"/>
          <w:kern w:val="2"/>
          <w:szCs w:val="20"/>
          <w:lang w:bidi="ar"/>
          <w14:ligatures w14:val="standardContextual"/>
        </w:rPr>
        <w:t>施工及人员安全、安保工作</w:t>
      </w:r>
      <w:r>
        <w:rPr>
          <w:rFonts w:hint="eastAsia" w:hAnsi="宋体" w:cs="宋体"/>
          <w:kern w:val="2"/>
          <w:szCs w:val="20"/>
          <w:lang w:val="zh-CN" w:bidi="ar"/>
          <w14:ligatures w14:val="standardContextual"/>
        </w:rPr>
        <w:t>。</w:t>
      </w:r>
    </w:p>
    <w:p>
      <w:pPr>
        <w:pStyle w:val="44"/>
        <w:widowControl w:val="0"/>
        <w:spacing w:before="0" w:beforeAutospacing="0" w:after="0" w:afterAutospacing="0" w:line="500" w:lineRule="exact"/>
        <w:ind w:firstLine="480" w:firstLineChars="200"/>
        <w:jc w:val="both"/>
        <w:rPr>
          <w:rFonts w:hint="eastAsia" w:hAnsi="宋体" w:cs="宋体"/>
          <w:kern w:val="2"/>
          <w:szCs w:val="20"/>
          <w:lang w:val="zh-CN" w:bidi="ar"/>
          <w14:ligatures w14:val="standardContextual"/>
        </w:rPr>
      </w:pPr>
      <w:r>
        <w:rPr>
          <w:rFonts w:hint="eastAsia" w:hAnsi="宋体" w:cs="宋体"/>
          <w:kern w:val="2"/>
          <w:szCs w:val="20"/>
          <w:lang w:val="en-US" w:eastAsia="zh-CN" w:bidi="ar"/>
          <w14:ligatures w14:val="standardContextual"/>
        </w:rPr>
        <w:t>（3）</w:t>
      </w:r>
      <w:r>
        <w:rPr>
          <w:rFonts w:hint="eastAsia" w:hAnsi="宋体" w:cs="宋体"/>
          <w:kern w:val="2"/>
          <w:szCs w:val="20"/>
          <w:lang w:val="en-GB" w:bidi="ar"/>
          <w14:ligatures w14:val="standardContextual"/>
        </w:rPr>
        <w:t>负责</w:t>
      </w:r>
      <w:r>
        <w:rPr>
          <w:rFonts w:hint="eastAsia" w:hAnsi="宋体" w:cs="宋体"/>
          <w:kern w:val="2"/>
          <w:szCs w:val="20"/>
          <w:lang w:bidi="ar"/>
          <w14:ligatures w14:val="standardContextual"/>
        </w:rPr>
        <w:t>本</w:t>
      </w:r>
      <w:r>
        <w:rPr>
          <w:rFonts w:hint="eastAsia" w:hAnsi="宋体" w:cs="宋体"/>
          <w:kern w:val="2"/>
          <w:szCs w:val="20"/>
          <w:lang w:val="en-GB" w:bidi="ar"/>
          <w14:ligatures w14:val="standardContextual"/>
        </w:rPr>
        <w:t>项目中特种设备的报检，最终提供安装监检、维修改造报告。</w:t>
      </w:r>
    </w:p>
    <w:p>
      <w:pPr>
        <w:pStyle w:val="44"/>
        <w:widowControl w:val="0"/>
        <w:spacing w:before="0" w:beforeAutospacing="0" w:after="0" w:afterAutospacing="0" w:line="500" w:lineRule="exact"/>
        <w:ind w:firstLine="480" w:firstLineChars="200"/>
        <w:jc w:val="both"/>
        <w:rPr>
          <w:rFonts w:hint="eastAsia" w:hAnsi="宋体" w:cs="宋体"/>
          <w:kern w:val="2"/>
          <w:szCs w:val="20"/>
          <w:lang w:val="zh-CN" w:bidi="ar"/>
          <w14:ligatures w14:val="standardContextual"/>
        </w:rPr>
      </w:pPr>
      <w:r>
        <w:rPr>
          <w:rFonts w:hint="eastAsia" w:hAnsi="宋体" w:cs="宋体"/>
          <w:kern w:val="2"/>
          <w:szCs w:val="20"/>
          <w:lang w:val="en-US" w:eastAsia="zh-CN" w:bidi="ar"/>
          <w14:ligatures w14:val="standardContextual"/>
        </w:rPr>
        <w:t>（4）</w:t>
      </w:r>
      <w:r>
        <w:rPr>
          <w:rFonts w:hint="eastAsia" w:hAnsi="宋体" w:cs="宋体"/>
          <w:kern w:val="2"/>
          <w:szCs w:val="20"/>
          <w:lang w:bidi="ar"/>
          <w14:ligatures w14:val="standardContextual"/>
        </w:rPr>
        <w:t>负责安装施工期间的交通、住宿，由</w:t>
      </w:r>
      <w:r>
        <w:rPr>
          <w:rFonts w:hint="eastAsia" w:hAnsi="宋体" w:cs="宋体"/>
          <w:kern w:val="2"/>
          <w:szCs w:val="20"/>
          <w:lang w:eastAsia="zh-CN" w:bidi="ar"/>
          <w14:ligatures w14:val="standardContextual"/>
        </w:rPr>
        <w:t>投标人</w:t>
      </w:r>
      <w:r>
        <w:rPr>
          <w:rFonts w:hint="eastAsia" w:hAnsi="宋体" w:cs="宋体"/>
          <w:kern w:val="2"/>
          <w:szCs w:val="20"/>
          <w:lang w:bidi="ar"/>
          <w14:ligatures w14:val="standardContextual"/>
        </w:rPr>
        <w:t>自行解决，</w:t>
      </w:r>
      <w:r>
        <w:rPr>
          <w:rFonts w:hint="eastAsia" w:hAnsi="宋体" w:cs="宋体"/>
          <w:kern w:val="2"/>
          <w:szCs w:val="20"/>
          <w:lang w:val="en-GB" w:bidi="ar"/>
          <w14:ligatures w14:val="standardContextual"/>
        </w:rPr>
        <w:t>费用</w:t>
      </w:r>
      <w:r>
        <w:rPr>
          <w:rFonts w:hint="eastAsia" w:hAnsi="宋体" w:cs="宋体"/>
          <w:kern w:val="2"/>
          <w:szCs w:val="20"/>
          <w:lang w:bidi="ar"/>
          <w14:ligatures w14:val="standardContextual"/>
        </w:rPr>
        <w:t>自负</w:t>
      </w:r>
      <w:r>
        <w:rPr>
          <w:rFonts w:hint="eastAsia" w:hAnsi="宋体" w:cs="宋体"/>
          <w:kern w:val="2"/>
          <w:szCs w:val="20"/>
          <w:lang w:val="en-GB" w:bidi="ar"/>
          <w14:ligatures w14:val="standardContextual"/>
        </w:rPr>
        <w:t>。</w:t>
      </w:r>
    </w:p>
    <w:p>
      <w:pPr>
        <w:pStyle w:val="44"/>
        <w:widowControl w:val="0"/>
        <w:spacing w:before="0" w:beforeAutospacing="0" w:after="0" w:afterAutospacing="0" w:line="500" w:lineRule="exact"/>
        <w:ind w:firstLine="480" w:firstLineChars="200"/>
        <w:jc w:val="both"/>
        <w:rPr>
          <w:rFonts w:hint="eastAsia" w:hAnsi="宋体" w:cs="宋体"/>
          <w:kern w:val="2"/>
          <w:szCs w:val="20"/>
          <w:lang w:val="zh-CN" w:bidi="ar"/>
          <w14:ligatures w14:val="standardContextual"/>
        </w:rPr>
      </w:pPr>
      <w:r>
        <w:rPr>
          <w:rFonts w:hint="eastAsia" w:hAnsi="宋体" w:cs="宋体"/>
          <w:kern w:val="2"/>
          <w:szCs w:val="20"/>
          <w:lang w:val="en-US" w:eastAsia="zh-CN" w:bidi="ar"/>
          <w14:ligatures w14:val="standardContextual"/>
        </w:rPr>
        <w:t>（5）</w:t>
      </w:r>
      <w:r>
        <w:rPr>
          <w:rFonts w:hint="eastAsia" w:hAnsi="宋体" w:cs="宋体"/>
          <w:kern w:val="2"/>
          <w:szCs w:val="20"/>
          <w:lang w:bidi="ar"/>
          <w14:ligatures w14:val="standardContextual"/>
        </w:rPr>
        <w:t>负责安装</w:t>
      </w:r>
      <w:r>
        <w:rPr>
          <w:rFonts w:hint="eastAsia" w:hAnsi="宋体" w:cs="宋体"/>
          <w:kern w:val="2"/>
          <w:szCs w:val="20"/>
          <w:lang w:val="en-GB" w:bidi="ar"/>
          <w14:ligatures w14:val="standardContextual"/>
        </w:rPr>
        <w:t>所涉及的氧气、乙炔、氩气、CO2等工业用气及焊材等辅助材料。</w:t>
      </w:r>
    </w:p>
    <w:p>
      <w:pPr>
        <w:pStyle w:val="44"/>
        <w:widowControl w:val="0"/>
        <w:spacing w:before="0" w:beforeAutospacing="0" w:after="0" w:afterAutospacing="0" w:line="500" w:lineRule="exact"/>
        <w:ind w:firstLine="480" w:firstLineChars="200"/>
        <w:jc w:val="both"/>
        <w:rPr>
          <w:rFonts w:hint="eastAsia" w:hAnsi="宋体" w:cs="宋体"/>
          <w:kern w:val="2"/>
          <w:szCs w:val="20"/>
          <w:lang w:bidi="ar"/>
          <w14:ligatures w14:val="standardContextual"/>
        </w:rPr>
      </w:pPr>
      <w:r>
        <w:rPr>
          <w:rFonts w:hint="eastAsia" w:hAnsi="宋体" w:cs="宋体"/>
          <w:kern w:val="2"/>
          <w:szCs w:val="20"/>
          <w:lang w:val="en-US" w:eastAsia="zh-CN" w:bidi="ar"/>
          <w14:ligatures w14:val="standardContextual"/>
        </w:rPr>
        <w:t>2）</w:t>
      </w:r>
      <w:r>
        <w:rPr>
          <w:rFonts w:hint="eastAsia" w:hAnsi="宋体" w:cs="宋体"/>
          <w:kern w:val="2"/>
          <w:szCs w:val="20"/>
          <w:lang w:bidi="ar"/>
          <w14:ligatures w14:val="standardContextual"/>
        </w:rPr>
        <w:t>责任</w:t>
      </w:r>
    </w:p>
    <w:p>
      <w:pPr>
        <w:pStyle w:val="44"/>
        <w:widowControl w:val="0"/>
        <w:spacing w:before="0" w:beforeAutospacing="0" w:after="0" w:afterAutospacing="0" w:line="500" w:lineRule="exact"/>
        <w:ind w:firstLine="480" w:firstLineChars="200"/>
        <w:jc w:val="both"/>
        <w:rPr>
          <w:rFonts w:hint="eastAsia" w:hAnsi="宋体" w:cs="宋体"/>
          <w:kern w:val="2"/>
          <w:szCs w:val="20"/>
          <w:lang w:val="zh-CN" w:bidi="ar"/>
          <w14:ligatures w14:val="standardContextual"/>
        </w:rPr>
      </w:pPr>
      <w:r>
        <w:rPr>
          <w:rFonts w:hint="eastAsia" w:hAnsi="宋体" w:cs="宋体"/>
          <w:kern w:val="2"/>
          <w:szCs w:val="20"/>
          <w:lang w:val="en-US" w:eastAsia="zh-CN" w:bidi="ar"/>
          <w14:ligatures w14:val="standardContextual"/>
        </w:rPr>
        <w:t>（1）</w:t>
      </w:r>
      <w:r>
        <w:rPr>
          <w:rFonts w:hint="eastAsia" w:hAnsi="宋体" w:cs="宋体"/>
          <w:kern w:val="2"/>
          <w:szCs w:val="20"/>
          <w:lang w:val="zh-CN" w:bidi="ar"/>
          <w14:ligatures w14:val="standardContextual"/>
        </w:rPr>
        <w:t>保证提供的设备及材料符合有关国家及行业标准（最新版），并达到技术要求规定的性能指标。</w:t>
      </w:r>
    </w:p>
    <w:p>
      <w:pPr>
        <w:pStyle w:val="44"/>
        <w:widowControl w:val="0"/>
        <w:spacing w:before="0" w:beforeAutospacing="0" w:after="0" w:afterAutospacing="0" w:line="500" w:lineRule="exact"/>
        <w:ind w:firstLine="480" w:firstLineChars="200"/>
        <w:jc w:val="both"/>
        <w:rPr>
          <w:rFonts w:hint="eastAsia" w:hAnsi="宋体" w:cs="宋体"/>
          <w:kern w:val="2"/>
          <w:szCs w:val="20"/>
          <w:lang w:val="zh-CN" w:bidi="ar"/>
          <w14:ligatures w14:val="standardContextual"/>
        </w:rPr>
      </w:pPr>
      <w:r>
        <w:rPr>
          <w:rFonts w:hint="eastAsia" w:hAnsi="宋体" w:cs="宋体"/>
          <w:kern w:val="2"/>
          <w:szCs w:val="20"/>
          <w:lang w:val="en-US" w:eastAsia="zh-CN" w:bidi="ar"/>
          <w14:ligatures w14:val="standardContextual"/>
        </w:rPr>
        <w:t>（2）</w:t>
      </w:r>
      <w:r>
        <w:rPr>
          <w:rFonts w:hint="eastAsia" w:hAnsi="宋体" w:cs="宋体"/>
          <w:kern w:val="2"/>
          <w:szCs w:val="20"/>
          <w:lang w:val="zh-CN" w:bidi="ar"/>
          <w14:ligatures w14:val="standardContextual"/>
        </w:rPr>
        <w:t>负责本项目技术服务和设备投用、调试、技术指导。</w:t>
      </w:r>
    </w:p>
    <w:p>
      <w:pPr>
        <w:pStyle w:val="44"/>
        <w:widowControl w:val="0"/>
        <w:spacing w:before="0" w:beforeAutospacing="0" w:after="0" w:afterAutospacing="0" w:line="500" w:lineRule="exact"/>
        <w:ind w:firstLine="480" w:firstLineChars="200"/>
        <w:jc w:val="both"/>
        <w:rPr>
          <w:rFonts w:hint="eastAsia" w:hAnsi="宋体" w:cs="宋体"/>
          <w:kern w:val="2"/>
          <w:szCs w:val="20"/>
          <w:lang w:bidi="ar"/>
          <w14:ligatures w14:val="standardContextual"/>
        </w:rPr>
      </w:pPr>
      <w:r>
        <w:rPr>
          <w:rFonts w:hint="eastAsia" w:hAnsi="宋体" w:cs="宋体"/>
          <w:kern w:val="2"/>
          <w:szCs w:val="20"/>
          <w:lang w:val="en-US" w:eastAsia="zh-CN" w:bidi="ar"/>
          <w14:ligatures w14:val="standardContextual"/>
        </w:rPr>
        <w:t>3）</w:t>
      </w:r>
      <w:r>
        <w:rPr>
          <w:rFonts w:hint="eastAsia" w:hAnsi="宋体" w:cs="宋体"/>
          <w:kern w:val="2"/>
          <w:szCs w:val="20"/>
          <w:lang w:bidi="ar"/>
          <w14:ligatures w14:val="standardContextual"/>
        </w:rPr>
        <w:t>设备验收</w:t>
      </w:r>
    </w:p>
    <w:p>
      <w:pPr>
        <w:pStyle w:val="44"/>
        <w:widowControl w:val="0"/>
        <w:spacing w:before="0" w:beforeAutospacing="0" w:after="0" w:afterAutospacing="0" w:line="500" w:lineRule="exact"/>
        <w:ind w:firstLine="480" w:firstLineChars="200"/>
        <w:jc w:val="both"/>
        <w:rPr>
          <w:rFonts w:hint="eastAsia" w:hAnsi="宋体" w:cs="宋体"/>
          <w:kern w:val="2"/>
          <w:szCs w:val="20"/>
          <w:lang w:val="zh-CN" w:bidi="ar"/>
          <w14:ligatures w14:val="standardContextual"/>
        </w:rPr>
      </w:pPr>
      <w:r>
        <w:rPr>
          <w:rFonts w:hint="eastAsia" w:hAnsi="宋体" w:cs="宋体"/>
          <w:kern w:val="2"/>
          <w:szCs w:val="20"/>
          <w:lang w:val="en-US" w:eastAsia="zh-CN" w:bidi="ar"/>
          <w14:ligatures w14:val="standardContextual"/>
        </w:rPr>
        <w:t>（1）</w:t>
      </w:r>
      <w:r>
        <w:rPr>
          <w:rFonts w:hint="eastAsia" w:hAnsi="宋体" w:cs="宋体"/>
          <w:kern w:val="2"/>
          <w:szCs w:val="20"/>
          <w:lang w:val="zh-CN" w:bidi="ar"/>
          <w14:ligatures w14:val="standardContextual"/>
        </w:rPr>
        <w:t>本项目完成后，</w:t>
      </w:r>
      <w:r>
        <w:rPr>
          <w:rFonts w:hint="eastAsia" w:hAnsi="宋体" w:cs="宋体"/>
          <w:kern w:val="2"/>
          <w:szCs w:val="20"/>
          <w:lang w:bidi="ar"/>
          <w14:ligatures w14:val="standardContextual"/>
        </w:rPr>
        <w:t>积极主动联系</w:t>
      </w:r>
      <w:r>
        <w:rPr>
          <w:rFonts w:hint="eastAsia" w:hAnsi="宋体" w:cs="宋体"/>
          <w:kern w:val="2"/>
          <w:szCs w:val="20"/>
          <w:lang w:val="zh-CN" w:bidi="ar"/>
          <w14:ligatures w14:val="standardContextual"/>
        </w:rPr>
        <w:t>业主进行设备中交并验收。</w:t>
      </w:r>
    </w:p>
    <w:p>
      <w:pPr>
        <w:pStyle w:val="44"/>
        <w:widowControl w:val="0"/>
        <w:spacing w:before="0" w:beforeAutospacing="0" w:after="0" w:afterAutospacing="0" w:line="500" w:lineRule="exact"/>
        <w:ind w:firstLine="480" w:firstLineChars="200"/>
        <w:jc w:val="both"/>
        <w:rPr>
          <w:rFonts w:hint="eastAsia" w:hAnsi="宋体" w:cs="宋体"/>
          <w:kern w:val="2"/>
          <w:szCs w:val="20"/>
          <w:lang w:val="zh-CN" w:bidi="ar"/>
          <w14:ligatures w14:val="standardContextual"/>
        </w:rPr>
      </w:pPr>
      <w:r>
        <w:rPr>
          <w:rFonts w:hint="eastAsia" w:hAnsi="宋体" w:cs="宋体"/>
          <w:kern w:val="2"/>
          <w:szCs w:val="20"/>
          <w:lang w:val="en-US" w:eastAsia="zh-CN" w:bidi="ar"/>
          <w14:ligatures w14:val="standardContextual"/>
        </w:rPr>
        <w:t>（2）</w:t>
      </w:r>
      <w:r>
        <w:rPr>
          <w:rFonts w:hint="eastAsia" w:hAnsi="宋体" w:cs="宋体"/>
          <w:kern w:val="2"/>
          <w:szCs w:val="20"/>
          <w:lang w:val="zh-CN" w:bidi="ar"/>
          <w14:ligatures w14:val="standardContextual"/>
        </w:rPr>
        <w:t>配合业主进行成套设备试运标定，与业主共同出具验收报告。</w:t>
      </w:r>
    </w:p>
    <w:p>
      <w:pPr>
        <w:pStyle w:val="44"/>
        <w:widowControl w:val="0"/>
        <w:spacing w:before="0" w:beforeAutospacing="0" w:after="0" w:afterAutospacing="0" w:line="500" w:lineRule="exact"/>
        <w:ind w:firstLine="482" w:firstLineChars="200"/>
        <w:jc w:val="both"/>
        <w:rPr>
          <w:rFonts w:hint="eastAsia" w:hAnsi="宋体" w:cs="宋体"/>
          <w:b/>
          <w:bCs/>
          <w:kern w:val="2"/>
          <w:szCs w:val="20"/>
          <w:lang w:bidi="ar"/>
          <w14:ligatures w14:val="standardContextual"/>
        </w:rPr>
      </w:pPr>
      <w:r>
        <w:rPr>
          <w:rFonts w:hint="eastAsia" w:hAnsi="宋体" w:cs="宋体"/>
          <w:b/>
          <w:bCs/>
          <w:kern w:val="2"/>
          <w:szCs w:val="20"/>
          <w:lang w:val="en-US" w:eastAsia="zh-CN" w:bidi="ar"/>
          <w14:ligatures w14:val="standardContextual"/>
        </w:rPr>
        <w:t>15.2</w:t>
      </w:r>
      <w:r>
        <w:rPr>
          <w:rFonts w:hint="eastAsia" w:hAnsi="宋体" w:cs="宋体"/>
          <w:b/>
          <w:bCs/>
          <w:kern w:val="2"/>
          <w:szCs w:val="20"/>
          <w:lang w:bidi="ar"/>
          <w14:ligatures w14:val="standardContextual"/>
        </w:rPr>
        <w:t>性能考核及质量保证</w:t>
      </w:r>
    </w:p>
    <w:p>
      <w:pPr>
        <w:pStyle w:val="44"/>
        <w:widowControl w:val="0"/>
        <w:spacing w:before="0" w:beforeAutospacing="0" w:after="0" w:afterAutospacing="0" w:line="500" w:lineRule="exact"/>
        <w:ind w:firstLine="480" w:firstLineChars="200"/>
        <w:jc w:val="both"/>
        <w:rPr>
          <w:rFonts w:hint="eastAsia" w:hAnsi="宋体" w:cs="宋体"/>
          <w:kern w:val="2"/>
          <w:szCs w:val="20"/>
          <w:lang w:bidi="ar"/>
          <w14:ligatures w14:val="standardContextual"/>
        </w:rPr>
      </w:pPr>
      <w:r>
        <w:rPr>
          <w:rFonts w:hint="eastAsia" w:hAnsi="宋体" w:cs="宋体"/>
          <w:kern w:val="2"/>
          <w:szCs w:val="20"/>
          <w:lang w:bidi="ar"/>
          <w14:ligatures w14:val="standardContextual"/>
        </w:rPr>
        <w:t>详见商务附件。</w:t>
      </w:r>
    </w:p>
    <w:p>
      <w:pPr>
        <w:pStyle w:val="44"/>
        <w:widowControl w:val="0"/>
        <w:spacing w:before="0" w:beforeAutospacing="0" w:after="0" w:afterAutospacing="0" w:line="500" w:lineRule="exact"/>
        <w:ind w:firstLine="482" w:firstLineChars="200"/>
        <w:jc w:val="both"/>
        <w:rPr>
          <w:rFonts w:hint="eastAsia" w:hAnsi="宋体" w:cs="宋体"/>
          <w:b/>
          <w:bCs/>
          <w:kern w:val="2"/>
          <w:szCs w:val="20"/>
          <w:lang w:bidi="ar"/>
          <w14:ligatures w14:val="standardContextual"/>
        </w:rPr>
      </w:pPr>
      <w:r>
        <w:rPr>
          <w:rFonts w:hint="eastAsia" w:hAnsi="宋体" w:cs="宋体"/>
          <w:b/>
          <w:bCs/>
          <w:kern w:val="2"/>
          <w:szCs w:val="20"/>
          <w:lang w:val="en-US" w:eastAsia="zh-CN" w:bidi="ar"/>
          <w14:ligatures w14:val="standardContextual"/>
        </w:rPr>
        <w:t>15.3</w:t>
      </w:r>
      <w:r>
        <w:rPr>
          <w:rFonts w:hint="eastAsia" w:hAnsi="宋体" w:cs="宋体"/>
          <w:b/>
          <w:bCs/>
          <w:kern w:val="2"/>
          <w:szCs w:val="20"/>
          <w:lang w:bidi="ar"/>
          <w14:ligatures w14:val="standardContextual"/>
        </w:rPr>
        <w:t>见证</w:t>
      </w:r>
    </w:p>
    <w:p>
      <w:pPr>
        <w:pStyle w:val="44"/>
        <w:widowControl w:val="0"/>
        <w:spacing w:before="0" w:beforeAutospacing="0" w:after="0" w:afterAutospacing="0" w:line="500" w:lineRule="exact"/>
        <w:ind w:firstLine="480" w:firstLineChars="200"/>
        <w:jc w:val="both"/>
        <w:rPr>
          <w:rFonts w:hint="eastAsia" w:hAnsi="宋体" w:cs="宋体"/>
          <w:kern w:val="2"/>
          <w:szCs w:val="20"/>
          <w:lang w:bidi="ar"/>
          <w14:ligatures w14:val="standardContextual"/>
        </w:rPr>
      </w:pPr>
      <w:r>
        <w:rPr>
          <w:rFonts w:hint="eastAsia" w:hAnsi="宋体" w:cs="宋体"/>
          <w:kern w:val="2"/>
          <w:szCs w:val="20"/>
          <w:lang w:val="en-US" w:eastAsia="zh-CN" w:bidi="ar"/>
          <w14:ligatures w14:val="standardContextual"/>
        </w:rPr>
        <w:t>15.3.1</w:t>
      </w:r>
      <w:r>
        <w:rPr>
          <w:rFonts w:hint="eastAsia" w:hAnsi="宋体" w:cs="宋体"/>
          <w:kern w:val="2"/>
          <w:szCs w:val="20"/>
          <w:lang w:bidi="ar"/>
          <w14:ligatures w14:val="standardContextual"/>
        </w:rPr>
        <w:t>当业主及第三方要求现场见证时，</w:t>
      </w:r>
      <w:r>
        <w:rPr>
          <w:rFonts w:hint="eastAsia" w:hAnsi="宋体" w:cs="宋体"/>
          <w:kern w:val="2"/>
          <w:szCs w:val="20"/>
          <w:lang w:eastAsia="zh-CN" w:bidi="ar"/>
          <w14:ligatures w14:val="standardContextual"/>
        </w:rPr>
        <w:t>投标人</w:t>
      </w:r>
      <w:r>
        <w:rPr>
          <w:rFonts w:hint="eastAsia" w:hAnsi="宋体" w:cs="宋体"/>
          <w:kern w:val="2"/>
          <w:szCs w:val="20"/>
          <w:lang w:bidi="ar"/>
          <w14:ligatures w14:val="standardContextual"/>
        </w:rPr>
        <w:t>应提供见证所需的设备、设施和仪器</w:t>
      </w:r>
    </w:p>
    <w:p>
      <w:pPr>
        <w:pStyle w:val="44"/>
        <w:widowControl w:val="0"/>
        <w:spacing w:before="0" w:beforeAutospacing="0" w:after="0" w:afterAutospacing="0" w:line="500" w:lineRule="exact"/>
        <w:ind w:firstLine="480" w:firstLineChars="200"/>
        <w:jc w:val="both"/>
        <w:rPr>
          <w:rFonts w:hint="eastAsia" w:hAnsi="宋体" w:cs="宋体"/>
          <w:kern w:val="2"/>
          <w:szCs w:val="20"/>
          <w:lang w:bidi="ar"/>
          <w14:ligatures w14:val="standardContextual"/>
        </w:rPr>
      </w:pPr>
      <w:r>
        <w:rPr>
          <w:rFonts w:hint="eastAsia" w:hAnsi="宋体" w:cs="宋体"/>
          <w:kern w:val="2"/>
          <w:szCs w:val="20"/>
          <w:lang w:bidi="ar"/>
          <w14:ligatures w14:val="standardContextual"/>
        </w:rPr>
        <w:t>和执行见证检验的合适人选。</w:t>
      </w:r>
    </w:p>
    <w:p>
      <w:pPr>
        <w:pStyle w:val="44"/>
        <w:widowControl w:val="0"/>
        <w:spacing w:before="0" w:beforeAutospacing="0" w:after="0" w:afterAutospacing="0" w:line="500" w:lineRule="exact"/>
        <w:ind w:firstLine="480" w:firstLineChars="200"/>
        <w:jc w:val="both"/>
        <w:rPr>
          <w:rFonts w:hint="eastAsia" w:hAnsi="宋体" w:cs="宋体"/>
          <w:kern w:val="2"/>
          <w:szCs w:val="20"/>
          <w:lang w:bidi="ar"/>
          <w14:ligatures w14:val="standardContextual"/>
        </w:rPr>
      </w:pPr>
      <w:r>
        <w:rPr>
          <w:rFonts w:hint="eastAsia" w:hAnsi="宋体" w:cs="宋体"/>
          <w:kern w:val="2"/>
          <w:szCs w:val="20"/>
          <w:lang w:val="en-US" w:eastAsia="zh-CN" w:bidi="ar"/>
          <w14:ligatures w14:val="standardContextual"/>
        </w:rPr>
        <w:t>15.3.2</w:t>
      </w:r>
      <w:r>
        <w:rPr>
          <w:rFonts w:hint="eastAsia" w:hAnsi="宋体" w:cs="宋体"/>
          <w:kern w:val="2"/>
          <w:szCs w:val="20"/>
          <w:lang w:bidi="ar"/>
          <w14:ligatures w14:val="standardContextual"/>
        </w:rPr>
        <w:t>当在见证过程中发现缺陷时，应提高抽检比例，仍然发现有缺陷时将进行100%检验。执行本条款时尚应符合设计文件及相应的标准、规范等的有关抽检比例和判废标准的规定。</w:t>
      </w:r>
    </w:p>
    <w:p>
      <w:pPr>
        <w:pStyle w:val="44"/>
        <w:widowControl w:val="0"/>
        <w:spacing w:before="0" w:beforeAutospacing="0" w:after="0" w:afterAutospacing="0" w:line="500" w:lineRule="exact"/>
        <w:ind w:firstLine="480" w:firstLineChars="200"/>
        <w:jc w:val="both"/>
        <w:rPr>
          <w:rFonts w:hint="eastAsia" w:hAnsi="宋体" w:cs="宋体"/>
          <w:kern w:val="2"/>
          <w:szCs w:val="20"/>
          <w:lang w:bidi="ar"/>
          <w14:ligatures w14:val="standardContextual"/>
        </w:rPr>
      </w:pPr>
      <w:r>
        <w:rPr>
          <w:rFonts w:hint="eastAsia" w:hAnsi="宋体" w:cs="宋体"/>
          <w:kern w:val="2"/>
          <w:szCs w:val="20"/>
          <w:lang w:val="en-US" w:eastAsia="zh-CN" w:bidi="ar"/>
          <w14:ligatures w14:val="standardContextual"/>
        </w:rPr>
        <w:t>15.3.3</w:t>
      </w:r>
      <w:r>
        <w:rPr>
          <w:rFonts w:hint="eastAsia" w:hAnsi="宋体" w:cs="宋体"/>
          <w:kern w:val="2"/>
          <w:szCs w:val="20"/>
          <w:lang w:bidi="ar"/>
          <w14:ligatures w14:val="standardContextual"/>
        </w:rPr>
        <w:t>无论业主和第三方是否现场见证，</w:t>
      </w:r>
      <w:r>
        <w:rPr>
          <w:rFonts w:hint="eastAsia" w:hAnsi="宋体" w:cs="宋体"/>
          <w:kern w:val="2"/>
          <w:szCs w:val="20"/>
          <w:lang w:eastAsia="zh-CN" w:bidi="ar"/>
          <w14:ligatures w14:val="standardContextual"/>
        </w:rPr>
        <w:t>投标人</w:t>
      </w:r>
      <w:r>
        <w:rPr>
          <w:rFonts w:hint="eastAsia" w:hAnsi="宋体" w:cs="宋体"/>
          <w:kern w:val="2"/>
          <w:szCs w:val="20"/>
          <w:lang w:bidi="ar"/>
          <w14:ligatures w14:val="standardContextual"/>
        </w:rPr>
        <w:t>均应进行标准、规范、设计文件和合</w:t>
      </w:r>
    </w:p>
    <w:p>
      <w:pPr>
        <w:pStyle w:val="44"/>
        <w:widowControl w:val="0"/>
        <w:spacing w:before="0" w:beforeAutospacing="0" w:after="0" w:afterAutospacing="0" w:line="500" w:lineRule="exact"/>
        <w:ind w:firstLine="480" w:firstLineChars="200"/>
        <w:jc w:val="both"/>
        <w:rPr>
          <w:rFonts w:hint="eastAsia" w:hAnsi="宋体" w:cs="宋体"/>
          <w:kern w:val="2"/>
          <w:szCs w:val="20"/>
          <w:lang w:bidi="ar"/>
          <w14:ligatures w14:val="standardContextual"/>
        </w:rPr>
      </w:pPr>
      <w:r>
        <w:rPr>
          <w:rFonts w:hint="eastAsia" w:hAnsi="宋体" w:cs="宋体"/>
          <w:kern w:val="2"/>
          <w:szCs w:val="20"/>
          <w:lang w:bidi="ar"/>
          <w14:ligatures w14:val="standardContextual"/>
        </w:rPr>
        <w:t>同中规定的检验、实验记录和认证，供甲方确认。</w:t>
      </w:r>
    </w:p>
    <w:p>
      <w:pPr>
        <w:pStyle w:val="44"/>
        <w:widowControl w:val="0"/>
        <w:spacing w:before="0" w:beforeAutospacing="0" w:after="0" w:afterAutospacing="0" w:line="500" w:lineRule="exact"/>
        <w:ind w:firstLine="480" w:firstLineChars="200"/>
        <w:jc w:val="both"/>
        <w:rPr>
          <w:rFonts w:hint="eastAsia" w:hAnsi="宋体" w:cs="宋体"/>
          <w:kern w:val="2"/>
          <w:szCs w:val="20"/>
          <w:lang w:bidi="ar"/>
          <w14:ligatures w14:val="standardContextual"/>
        </w:rPr>
      </w:pPr>
      <w:r>
        <w:rPr>
          <w:rFonts w:hint="eastAsia" w:hAnsi="宋体" w:cs="宋体"/>
          <w:kern w:val="2"/>
          <w:szCs w:val="20"/>
          <w:lang w:val="en-US" w:eastAsia="zh-CN" w:bidi="ar"/>
          <w14:ligatures w14:val="standardContextual"/>
        </w:rPr>
        <w:t>15.3.4</w:t>
      </w:r>
      <w:r>
        <w:rPr>
          <w:rFonts w:hint="eastAsia" w:hAnsi="宋体" w:cs="宋体"/>
          <w:kern w:val="2"/>
          <w:szCs w:val="20"/>
          <w:lang w:bidi="ar"/>
          <w14:ligatures w14:val="standardContextual"/>
        </w:rPr>
        <w:t>业主保留认为必要时见证和检查</w:t>
      </w:r>
      <w:r>
        <w:rPr>
          <w:rFonts w:hint="eastAsia" w:hAnsi="宋体" w:cs="宋体"/>
          <w:kern w:val="2"/>
          <w:szCs w:val="20"/>
          <w:lang w:eastAsia="zh-CN" w:bidi="ar"/>
          <w14:ligatures w14:val="standardContextual"/>
        </w:rPr>
        <w:t>投标人</w:t>
      </w:r>
      <w:r>
        <w:rPr>
          <w:rFonts w:hint="eastAsia" w:hAnsi="宋体" w:cs="宋体"/>
          <w:kern w:val="2"/>
          <w:szCs w:val="20"/>
          <w:lang w:bidi="ar"/>
          <w14:ligatures w14:val="standardContextual"/>
        </w:rPr>
        <w:t>质量控制过程的权利。</w:t>
      </w:r>
    </w:p>
    <w:p>
      <w:pPr>
        <w:pStyle w:val="44"/>
        <w:widowControl w:val="0"/>
        <w:spacing w:before="0" w:beforeAutospacing="0" w:after="0" w:afterAutospacing="0" w:line="500" w:lineRule="exact"/>
        <w:ind w:firstLine="480" w:firstLineChars="200"/>
        <w:jc w:val="both"/>
        <w:rPr>
          <w:rFonts w:hint="eastAsia" w:hAnsi="宋体" w:cs="宋体"/>
          <w:kern w:val="2"/>
          <w:szCs w:val="20"/>
          <w:lang w:bidi="ar"/>
          <w14:ligatures w14:val="standardContextual"/>
        </w:rPr>
      </w:pPr>
      <w:r>
        <w:rPr>
          <w:rFonts w:hint="eastAsia" w:hAnsi="宋体" w:cs="宋体"/>
          <w:kern w:val="2"/>
          <w:szCs w:val="20"/>
          <w:lang w:val="en-US" w:eastAsia="zh-CN" w:bidi="ar"/>
          <w14:ligatures w14:val="standardContextual"/>
        </w:rPr>
        <w:t>15.3.5</w:t>
      </w:r>
      <w:r>
        <w:rPr>
          <w:rFonts w:hint="eastAsia" w:hAnsi="宋体" w:cs="宋体"/>
          <w:kern w:val="2"/>
          <w:szCs w:val="20"/>
          <w:lang w:bidi="ar"/>
          <w14:ligatures w14:val="standardContextual"/>
        </w:rPr>
        <w:t>业主和第三方的见证、检验和文件确认不免除</w:t>
      </w:r>
      <w:r>
        <w:rPr>
          <w:rFonts w:hint="eastAsia" w:hAnsi="宋体" w:cs="宋体"/>
          <w:kern w:val="2"/>
          <w:szCs w:val="20"/>
          <w:lang w:eastAsia="zh-CN" w:bidi="ar"/>
          <w14:ligatures w14:val="standardContextual"/>
        </w:rPr>
        <w:t>投标人</w:t>
      </w:r>
      <w:r>
        <w:rPr>
          <w:rFonts w:hint="eastAsia" w:hAnsi="宋体" w:cs="宋体"/>
          <w:kern w:val="2"/>
          <w:szCs w:val="20"/>
          <w:lang w:bidi="ar"/>
          <w14:ligatures w14:val="standardContextual"/>
        </w:rPr>
        <w:t>责任和义务。</w:t>
      </w:r>
    </w:p>
    <w:p>
      <w:pPr>
        <w:pStyle w:val="44"/>
        <w:widowControl w:val="0"/>
        <w:spacing w:before="0" w:beforeAutospacing="0" w:after="0" w:afterAutospacing="0" w:line="500" w:lineRule="exact"/>
        <w:ind w:firstLine="480" w:firstLineChars="200"/>
        <w:jc w:val="both"/>
        <w:rPr>
          <w:rFonts w:hint="eastAsia" w:hAnsi="宋体" w:cs="宋体"/>
          <w:kern w:val="2"/>
          <w:szCs w:val="20"/>
          <w:lang w:bidi="ar"/>
          <w14:ligatures w14:val="standardContextual"/>
        </w:rPr>
      </w:pPr>
      <w:r>
        <w:rPr>
          <w:rFonts w:hint="eastAsia" w:hAnsi="宋体" w:cs="宋体"/>
          <w:kern w:val="2"/>
          <w:szCs w:val="20"/>
          <w:lang w:val="en-US" w:eastAsia="zh-CN" w:bidi="ar"/>
          <w14:ligatures w14:val="standardContextual"/>
        </w:rPr>
        <w:t>15.3.6</w:t>
      </w:r>
      <w:r>
        <w:rPr>
          <w:rFonts w:hint="eastAsia" w:hAnsi="宋体" w:cs="宋体"/>
          <w:kern w:val="2"/>
          <w:szCs w:val="20"/>
          <w:lang w:eastAsia="zh-CN" w:bidi="ar"/>
          <w14:ligatures w14:val="standardContextual"/>
        </w:rPr>
        <w:t>投标人</w:t>
      </w:r>
      <w:r>
        <w:rPr>
          <w:rFonts w:hint="eastAsia" w:hAnsi="宋体" w:cs="宋体"/>
          <w:kern w:val="2"/>
          <w:szCs w:val="20"/>
          <w:lang w:bidi="ar"/>
          <w14:ligatures w14:val="standardContextual"/>
        </w:rPr>
        <w:t>应在试验、检验前10天通知业主，业主在规定时间内没有到达</w:t>
      </w:r>
      <w:r>
        <w:rPr>
          <w:rFonts w:hint="eastAsia" w:hAnsi="宋体" w:cs="宋体"/>
          <w:kern w:val="2"/>
          <w:szCs w:val="20"/>
          <w:lang w:eastAsia="zh-CN" w:bidi="ar"/>
          <w14:ligatures w14:val="standardContextual"/>
        </w:rPr>
        <w:t>投标人</w:t>
      </w:r>
      <w:r>
        <w:rPr>
          <w:rFonts w:hint="eastAsia" w:hAnsi="宋体" w:cs="宋体"/>
          <w:kern w:val="2"/>
          <w:szCs w:val="20"/>
          <w:lang w:bidi="ar"/>
          <w14:ligatures w14:val="standardContextual"/>
        </w:rPr>
        <w:t>工</w:t>
      </w:r>
    </w:p>
    <w:p>
      <w:pPr>
        <w:pStyle w:val="44"/>
        <w:widowControl w:val="0"/>
        <w:spacing w:before="0" w:beforeAutospacing="0" w:after="0" w:afterAutospacing="0" w:line="500" w:lineRule="exact"/>
        <w:ind w:firstLine="480" w:firstLineChars="200"/>
        <w:jc w:val="both"/>
        <w:rPr>
          <w:rFonts w:hint="eastAsia" w:hAnsi="宋体" w:cs="宋体"/>
          <w:kern w:val="2"/>
          <w:szCs w:val="20"/>
          <w:lang w:bidi="ar"/>
          <w14:ligatures w14:val="standardContextual"/>
        </w:rPr>
      </w:pPr>
      <w:r>
        <w:rPr>
          <w:rFonts w:hint="eastAsia" w:hAnsi="宋体" w:cs="宋体"/>
          <w:kern w:val="2"/>
          <w:szCs w:val="20"/>
          <w:lang w:bidi="ar"/>
          <w14:ligatures w14:val="standardContextual"/>
        </w:rPr>
        <w:t>厂视为放弃见证权利。</w:t>
      </w:r>
    </w:p>
    <w:p>
      <w:pPr>
        <w:pStyle w:val="44"/>
        <w:widowControl w:val="0"/>
        <w:spacing w:before="0" w:beforeAutospacing="0" w:after="0" w:afterAutospacing="0" w:line="500" w:lineRule="exact"/>
        <w:ind w:firstLine="482" w:firstLineChars="200"/>
        <w:jc w:val="both"/>
        <w:rPr>
          <w:rFonts w:hint="eastAsia" w:hAnsi="宋体" w:cs="宋体"/>
          <w:b/>
          <w:bCs/>
          <w:kern w:val="2"/>
          <w:szCs w:val="20"/>
          <w:lang w:bidi="ar"/>
          <w14:ligatures w14:val="standardContextual"/>
        </w:rPr>
      </w:pPr>
      <w:r>
        <w:rPr>
          <w:rFonts w:hint="eastAsia" w:hAnsi="宋体" w:cs="宋体"/>
          <w:b/>
          <w:bCs/>
          <w:kern w:val="2"/>
          <w:szCs w:val="20"/>
          <w:lang w:val="en-US" w:eastAsia="zh-CN" w:bidi="ar"/>
          <w14:ligatures w14:val="standardContextual"/>
        </w:rPr>
        <w:t>15.4</w:t>
      </w:r>
      <w:r>
        <w:rPr>
          <w:rFonts w:hint="eastAsia" w:hAnsi="宋体" w:cs="宋体"/>
          <w:b/>
          <w:bCs/>
          <w:kern w:val="2"/>
          <w:szCs w:val="20"/>
          <w:lang w:bidi="ar"/>
          <w14:ligatures w14:val="standardContextual"/>
        </w:rPr>
        <w:t>技术服务</w:t>
      </w:r>
    </w:p>
    <w:p>
      <w:pPr>
        <w:pStyle w:val="44"/>
        <w:widowControl w:val="0"/>
        <w:spacing w:before="0" w:beforeAutospacing="0" w:after="0" w:afterAutospacing="0" w:line="500" w:lineRule="exact"/>
        <w:ind w:firstLine="480" w:firstLineChars="200"/>
        <w:jc w:val="both"/>
        <w:rPr>
          <w:rFonts w:hint="eastAsia" w:hAnsi="宋体" w:cs="宋体"/>
          <w:kern w:val="2"/>
          <w:szCs w:val="20"/>
          <w:lang w:bidi="ar"/>
          <w14:ligatures w14:val="standardContextual"/>
        </w:rPr>
      </w:pPr>
      <w:r>
        <w:rPr>
          <w:rFonts w:hint="eastAsia" w:hAnsi="宋体" w:cs="宋体"/>
          <w:kern w:val="2"/>
          <w:szCs w:val="20"/>
          <w:lang w:val="en-US" w:eastAsia="zh-CN" w:bidi="ar"/>
          <w14:ligatures w14:val="standardContextual"/>
        </w:rPr>
        <w:t>15.4.1</w:t>
      </w:r>
      <w:r>
        <w:rPr>
          <w:rFonts w:hint="eastAsia" w:hAnsi="宋体" w:cs="宋体"/>
          <w:kern w:val="2"/>
          <w:szCs w:val="20"/>
          <w:lang w:bidi="ar"/>
          <w14:ligatures w14:val="standardContextual"/>
        </w:rPr>
        <w:t>按时向业主交付所规定的技术资料。</w:t>
      </w:r>
    </w:p>
    <w:p>
      <w:pPr>
        <w:pStyle w:val="44"/>
        <w:widowControl w:val="0"/>
        <w:spacing w:before="0" w:beforeAutospacing="0" w:after="0" w:afterAutospacing="0" w:line="500" w:lineRule="exact"/>
        <w:ind w:firstLine="480" w:firstLineChars="200"/>
        <w:jc w:val="both"/>
        <w:rPr>
          <w:rFonts w:hint="eastAsia" w:hAnsi="宋体" w:cs="宋体"/>
          <w:kern w:val="2"/>
          <w:szCs w:val="20"/>
          <w:lang w:bidi="ar"/>
          <w14:ligatures w14:val="standardContextual"/>
        </w:rPr>
      </w:pPr>
      <w:r>
        <w:rPr>
          <w:rFonts w:hint="eastAsia" w:hAnsi="宋体" w:cs="宋体"/>
          <w:kern w:val="2"/>
          <w:szCs w:val="20"/>
          <w:lang w:val="en-US" w:eastAsia="zh-CN" w:bidi="ar"/>
          <w14:ligatures w14:val="standardContextual"/>
        </w:rPr>
        <w:t>15.4.2</w:t>
      </w:r>
      <w:r>
        <w:rPr>
          <w:rFonts w:hint="eastAsia" w:hAnsi="宋体" w:cs="宋体"/>
          <w:kern w:val="2"/>
          <w:szCs w:val="20"/>
          <w:lang w:eastAsia="zh-CN" w:bidi="ar"/>
          <w14:ligatures w14:val="standardContextual"/>
        </w:rPr>
        <w:t>投标人</w:t>
      </w:r>
      <w:r>
        <w:rPr>
          <w:rFonts w:hint="eastAsia" w:hAnsi="宋体" w:cs="宋体"/>
          <w:kern w:val="2"/>
          <w:szCs w:val="20"/>
          <w:lang w:bidi="ar"/>
          <w14:ligatures w14:val="standardContextual"/>
        </w:rPr>
        <w:t>现场派服务人员，解决有关技术问题。</w:t>
      </w:r>
    </w:p>
    <w:p>
      <w:pPr>
        <w:pStyle w:val="44"/>
        <w:widowControl w:val="0"/>
        <w:spacing w:before="0" w:beforeAutospacing="0" w:after="0" w:afterAutospacing="0" w:line="500" w:lineRule="exact"/>
        <w:ind w:firstLine="480" w:firstLineChars="200"/>
        <w:jc w:val="both"/>
        <w:rPr>
          <w:rFonts w:hint="eastAsia" w:hAnsi="宋体" w:cs="宋体"/>
          <w:kern w:val="2"/>
          <w:szCs w:val="20"/>
          <w:lang w:bidi="ar"/>
          <w14:ligatures w14:val="standardContextual"/>
        </w:rPr>
      </w:pPr>
      <w:r>
        <w:rPr>
          <w:rFonts w:hint="eastAsia" w:hAnsi="宋体" w:cs="宋体"/>
          <w:kern w:val="2"/>
          <w:szCs w:val="20"/>
          <w:lang w:val="en-US" w:eastAsia="zh-CN" w:bidi="ar"/>
          <w14:ligatures w14:val="standardContextual"/>
        </w:rPr>
        <w:t>15.4.3</w:t>
      </w:r>
      <w:r>
        <w:rPr>
          <w:rFonts w:hint="eastAsia" w:hAnsi="宋体" w:cs="宋体"/>
          <w:kern w:val="2"/>
          <w:szCs w:val="20"/>
          <w:lang w:eastAsia="zh-CN" w:bidi="ar"/>
          <w14:ligatures w14:val="standardContextual"/>
        </w:rPr>
        <w:t>投标人</w:t>
      </w:r>
      <w:r>
        <w:rPr>
          <w:rFonts w:hint="eastAsia" w:hAnsi="宋体" w:cs="宋体"/>
          <w:kern w:val="2"/>
          <w:szCs w:val="20"/>
          <w:lang w:bidi="ar"/>
          <w14:ligatures w14:val="standardContextual"/>
        </w:rPr>
        <w:t>负责提供现场调试、开工指导工作。</w:t>
      </w:r>
    </w:p>
    <w:p>
      <w:pPr>
        <w:pStyle w:val="44"/>
        <w:widowControl w:val="0"/>
        <w:spacing w:before="0" w:beforeAutospacing="0" w:after="0" w:afterAutospacing="0" w:line="500" w:lineRule="exact"/>
        <w:ind w:firstLine="480" w:firstLineChars="200"/>
        <w:jc w:val="both"/>
        <w:rPr>
          <w:rFonts w:hint="eastAsia" w:hAnsi="宋体" w:cs="宋体"/>
          <w:kern w:val="2"/>
          <w:szCs w:val="20"/>
          <w:lang w:bidi="ar"/>
          <w14:ligatures w14:val="standardContextual"/>
        </w:rPr>
      </w:pPr>
      <w:r>
        <w:rPr>
          <w:rFonts w:hint="eastAsia" w:hAnsi="宋体" w:cs="宋体"/>
          <w:kern w:val="2"/>
          <w:szCs w:val="20"/>
          <w:lang w:val="en-US" w:eastAsia="zh-CN" w:bidi="ar"/>
          <w14:ligatures w14:val="standardContextual"/>
        </w:rPr>
        <w:t>15.4.4</w:t>
      </w:r>
      <w:r>
        <w:rPr>
          <w:rFonts w:hint="eastAsia" w:hAnsi="宋体" w:cs="宋体"/>
          <w:kern w:val="2"/>
          <w:szCs w:val="20"/>
          <w:lang w:eastAsia="zh-CN" w:bidi="ar"/>
          <w14:ligatures w14:val="standardContextual"/>
        </w:rPr>
        <w:t>投标人</w:t>
      </w:r>
      <w:r>
        <w:rPr>
          <w:rFonts w:hint="eastAsia" w:hAnsi="宋体" w:cs="宋体"/>
          <w:kern w:val="2"/>
          <w:szCs w:val="20"/>
          <w:lang w:bidi="ar"/>
          <w14:ligatures w14:val="standardContextual"/>
        </w:rPr>
        <w:t>现场服务人员的职责</w:t>
      </w:r>
    </w:p>
    <w:p>
      <w:pPr>
        <w:pStyle w:val="44"/>
        <w:widowControl w:val="0"/>
        <w:spacing w:before="0" w:beforeAutospacing="0" w:after="0" w:afterAutospacing="0" w:line="500" w:lineRule="exact"/>
        <w:ind w:firstLine="480" w:firstLineChars="200"/>
        <w:jc w:val="both"/>
        <w:rPr>
          <w:rFonts w:hint="eastAsia" w:hAnsi="宋体" w:cs="宋体"/>
          <w:kern w:val="2"/>
          <w:szCs w:val="20"/>
          <w:lang w:bidi="ar"/>
          <w14:ligatures w14:val="standardContextual"/>
        </w:rPr>
      </w:pPr>
      <w:r>
        <w:rPr>
          <w:rFonts w:hint="eastAsia" w:hAnsi="宋体" w:cs="宋体"/>
          <w:kern w:val="2"/>
          <w:szCs w:val="20"/>
          <w:lang w:val="en-US" w:eastAsia="zh-CN" w:bidi="ar"/>
          <w14:ligatures w14:val="standardContextual"/>
        </w:rPr>
        <w:t>15.4.5</w:t>
      </w:r>
      <w:r>
        <w:rPr>
          <w:rFonts w:hint="eastAsia" w:hAnsi="宋体" w:cs="宋体"/>
          <w:kern w:val="2"/>
          <w:szCs w:val="20"/>
          <w:lang w:eastAsia="zh-CN" w:bidi="ar"/>
          <w14:ligatures w14:val="standardContextual"/>
        </w:rPr>
        <w:t>投标人</w:t>
      </w:r>
      <w:r>
        <w:rPr>
          <w:rFonts w:hint="eastAsia" w:hAnsi="宋体" w:cs="宋体"/>
          <w:kern w:val="2"/>
          <w:szCs w:val="20"/>
          <w:lang w:bidi="ar"/>
          <w14:ligatures w14:val="standardContextual"/>
        </w:rPr>
        <w:t>现场服务人员的任务主要包括货物的开箱检验、设备质量问题的处理、指导安装和调试、参加试运和性能验收标定。</w:t>
      </w:r>
    </w:p>
    <w:p>
      <w:pPr>
        <w:pStyle w:val="44"/>
        <w:widowControl w:val="0"/>
        <w:spacing w:before="0" w:beforeAutospacing="0" w:after="0" w:afterAutospacing="0" w:line="500" w:lineRule="exact"/>
        <w:ind w:firstLine="480" w:firstLineChars="200"/>
        <w:jc w:val="both"/>
        <w:rPr>
          <w:rFonts w:hint="eastAsia" w:hAnsi="宋体" w:cs="宋体"/>
          <w:kern w:val="2"/>
          <w:szCs w:val="20"/>
          <w:lang w:bidi="ar"/>
          <w14:ligatures w14:val="standardContextual"/>
        </w:rPr>
      </w:pPr>
      <w:r>
        <w:rPr>
          <w:rFonts w:hint="eastAsia" w:hAnsi="宋体" w:cs="宋体"/>
          <w:kern w:val="2"/>
          <w:szCs w:val="20"/>
          <w:lang w:val="en-US" w:eastAsia="zh-CN" w:bidi="ar"/>
          <w14:ligatures w14:val="standardContextual"/>
        </w:rPr>
        <w:t>15.4.6</w:t>
      </w:r>
      <w:r>
        <w:rPr>
          <w:rFonts w:hint="eastAsia" w:hAnsi="宋体" w:cs="宋体"/>
          <w:kern w:val="2"/>
          <w:szCs w:val="20"/>
          <w:lang w:bidi="ar"/>
          <w14:ligatures w14:val="standardContextual"/>
        </w:rPr>
        <w:t>在安装和调试前，</w:t>
      </w:r>
      <w:r>
        <w:rPr>
          <w:rFonts w:hint="eastAsia" w:hAnsi="宋体" w:cs="宋体"/>
          <w:kern w:val="2"/>
          <w:szCs w:val="20"/>
          <w:lang w:eastAsia="zh-CN" w:bidi="ar"/>
          <w14:ligatures w14:val="standardContextual"/>
        </w:rPr>
        <w:t>投标人</w:t>
      </w:r>
      <w:r>
        <w:rPr>
          <w:rFonts w:hint="eastAsia" w:hAnsi="宋体" w:cs="宋体"/>
          <w:kern w:val="2"/>
          <w:szCs w:val="20"/>
          <w:lang w:bidi="ar"/>
          <w14:ligatures w14:val="standardContextual"/>
        </w:rPr>
        <w:t>技术服务人员向业主进行技术交底，讲解和示范将要进行的程序和方法。</w:t>
      </w:r>
    </w:p>
    <w:p>
      <w:pPr>
        <w:pStyle w:val="44"/>
        <w:widowControl w:val="0"/>
        <w:spacing w:before="0" w:beforeAutospacing="0" w:after="0" w:afterAutospacing="0" w:line="500" w:lineRule="exact"/>
        <w:ind w:firstLine="480" w:firstLineChars="200"/>
        <w:jc w:val="both"/>
        <w:rPr>
          <w:rFonts w:hint="eastAsia" w:hAnsi="宋体" w:cs="宋体"/>
          <w:kern w:val="2"/>
          <w:szCs w:val="20"/>
          <w:lang w:bidi="ar"/>
          <w14:ligatures w14:val="standardContextual"/>
        </w:rPr>
      </w:pPr>
      <w:r>
        <w:rPr>
          <w:rFonts w:hint="eastAsia" w:hAnsi="宋体" w:cs="宋体"/>
          <w:kern w:val="2"/>
          <w:szCs w:val="20"/>
          <w:lang w:val="en-US" w:eastAsia="zh-CN" w:bidi="ar"/>
          <w14:ligatures w14:val="standardContextual"/>
        </w:rPr>
        <w:t>15.4.7</w:t>
      </w:r>
      <w:r>
        <w:rPr>
          <w:rFonts w:hint="eastAsia" w:hAnsi="宋体" w:cs="宋体"/>
          <w:kern w:val="2"/>
          <w:szCs w:val="20"/>
          <w:lang w:eastAsia="zh-CN" w:bidi="ar"/>
          <w14:ligatures w14:val="standardContextual"/>
        </w:rPr>
        <w:t>投标人</w:t>
      </w:r>
      <w:r>
        <w:rPr>
          <w:rFonts w:hint="eastAsia" w:hAnsi="宋体" w:cs="宋体"/>
          <w:kern w:val="2"/>
          <w:szCs w:val="20"/>
          <w:lang w:bidi="ar"/>
          <w14:ligatures w14:val="standardContextual"/>
        </w:rPr>
        <w:t>现场服务人员有权全权处理现场出现的一切技术和商务问题。如现场发生质量问题，</w:t>
      </w:r>
      <w:r>
        <w:rPr>
          <w:rFonts w:hint="eastAsia" w:hAnsi="宋体" w:cs="宋体"/>
          <w:kern w:val="2"/>
          <w:szCs w:val="20"/>
          <w:lang w:eastAsia="zh-CN" w:bidi="ar"/>
          <w14:ligatures w14:val="standardContextual"/>
        </w:rPr>
        <w:t>投标人</w:t>
      </w:r>
      <w:r>
        <w:rPr>
          <w:rFonts w:hint="eastAsia" w:hAnsi="宋体" w:cs="宋体"/>
          <w:kern w:val="2"/>
          <w:szCs w:val="20"/>
          <w:lang w:bidi="ar"/>
          <w14:ligatures w14:val="standardContextual"/>
        </w:rPr>
        <w:t>现场人员要在业主规定的时间内处理解决。如</w:t>
      </w:r>
      <w:r>
        <w:rPr>
          <w:rFonts w:hint="eastAsia" w:hAnsi="宋体" w:cs="宋体"/>
          <w:kern w:val="2"/>
          <w:szCs w:val="20"/>
          <w:lang w:eastAsia="zh-CN" w:bidi="ar"/>
          <w14:ligatures w14:val="standardContextual"/>
        </w:rPr>
        <w:t>投标人</w:t>
      </w:r>
      <w:r>
        <w:rPr>
          <w:rFonts w:hint="eastAsia" w:hAnsi="宋体" w:cs="宋体"/>
          <w:kern w:val="2"/>
          <w:szCs w:val="20"/>
          <w:lang w:bidi="ar"/>
          <w14:ligatures w14:val="standardContextual"/>
        </w:rPr>
        <w:t>委托业主进行处理，</w:t>
      </w:r>
      <w:r>
        <w:rPr>
          <w:rFonts w:hint="eastAsia" w:hAnsi="宋体" w:cs="宋体"/>
          <w:kern w:val="2"/>
          <w:szCs w:val="20"/>
          <w:lang w:eastAsia="zh-CN" w:bidi="ar"/>
          <w14:ligatures w14:val="standardContextual"/>
        </w:rPr>
        <w:t>投标人</w:t>
      </w:r>
      <w:r>
        <w:rPr>
          <w:rFonts w:hint="eastAsia" w:hAnsi="宋体" w:cs="宋体"/>
          <w:kern w:val="2"/>
          <w:szCs w:val="20"/>
          <w:lang w:bidi="ar"/>
          <w14:ligatures w14:val="standardContextual"/>
        </w:rPr>
        <w:t>现场服务人员要出具委托书并承担相应的经济责任。</w:t>
      </w:r>
    </w:p>
    <w:p>
      <w:pPr>
        <w:pStyle w:val="44"/>
        <w:widowControl w:val="0"/>
        <w:spacing w:before="0" w:beforeAutospacing="0" w:after="0" w:afterAutospacing="0" w:line="500" w:lineRule="exact"/>
        <w:ind w:firstLine="480" w:firstLineChars="200"/>
        <w:jc w:val="both"/>
        <w:rPr>
          <w:rFonts w:hint="eastAsia" w:hAnsi="宋体" w:cs="宋体"/>
          <w:kern w:val="2"/>
          <w:szCs w:val="20"/>
          <w:lang w:bidi="ar"/>
          <w14:ligatures w14:val="standardContextual"/>
        </w:rPr>
      </w:pPr>
      <w:r>
        <w:rPr>
          <w:rFonts w:hint="eastAsia" w:hAnsi="宋体" w:cs="宋体"/>
          <w:kern w:val="2"/>
          <w:szCs w:val="20"/>
          <w:lang w:val="en-US" w:eastAsia="zh-CN" w:bidi="ar"/>
          <w14:ligatures w14:val="standardContextual"/>
        </w:rPr>
        <w:t>15.4.8</w:t>
      </w:r>
      <w:r>
        <w:rPr>
          <w:rFonts w:hint="eastAsia" w:hAnsi="宋体" w:cs="宋体"/>
          <w:kern w:val="2"/>
          <w:szCs w:val="20"/>
          <w:lang w:bidi="ar"/>
          <w14:ligatures w14:val="standardContextual"/>
        </w:rPr>
        <w:t>装置在质保期内，因</w:t>
      </w:r>
      <w:r>
        <w:rPr>
          <w:rFonts w:hint="eastAsia" w:hAnsi="宋体" w:cs="宋体"/>
          <w:kern w:val="2"/>
          <w:szCs w:val="20"/>
          <w:lang w:eastAsia="zh-CN" w:bidi="ar"/>
          <w14:ligatures w14:val="standardContextual"/>
        </w:rPr>
        <w:t>投标人</w:t>
      </w:r>
      <w:r>
        <w:rPr>
          <w:rFonts w:hint="eastAsia" w:hAnsi="宋体" w:cs="宋体"/>
          <w:kern w:val="2"/>
          <w:szCs w:val="20"/>
          <w:lang w:bidi="ar"/>
          <w14:ligatures w14:val="standardContextual"/>
        </w:rPr>
        <w:t>的软件或硬件的质量引起故障，均由</w:t>
      </w:r>
      <w:r>
        <w:rPr>
          <w:rFonts w:hint="eastAsia" w:hAnsi="宋体" w:cs="宋体"/>
          <w:kern w:val="2"/>
          <w:szCs w:val="20"/>
          <w:lang w:eastAsia="zh-CN" w:bidi="ar"/>
          <w14:ligatures w14:val="standardContextual"/>
        </w:rPr>
        <w:t>投标人</w:t>
      </w:r>
      <w:r>
        <w:rPr>
          <w:rFonts w:hint="eastAsia" w:hAnsi="宋体" w:cs="宋体"/>
          <w:kern w:val="2"/>
          <w:szCs w:val="20"/>
          <w:lang w:bidi="ar"/>
          <w14:ligatures w14:val="standardContextual"/>
        </w:rPr>
        <w:t>无偿负责处理。质保期到期后，</w:t>
      </w:r>
      <w:r>
        <w:rPr>
          <w:rFonts w:hint="eastAsia" w:hAnsi="宋体" w:cs="宋体"/>
          <w:kern w:val="2"/>
          <w:szCs w:val="20"/>
          <w:lang w:eastAsia="zh-CN" w:bidi="ar"/>
          <w14:ligatures w14:val="standardContextual"/>
        </w:rPr>
        <w:t>投标人</w:t>
      </w:r>
      <w:r>
        <w:rPr>
          <w:rFonts w:hint="eastAsia" w:hAnsi="宋体" w:cs="宋体"/>
          <w:kern w:val="2"/>
          <w:szCs w:val="20"/>
          <w:lang w:bidi="ar"/>
          <w14:ligatures w14:val="standardContextual"/>
        </w:rPr>
        <w:t>应常年质量跟踪，掌握装置运行情况，长期保证及时优惠提供备件。</w:t>
      </w:r>
    </w:p>
    <w:p>
      <w:pPr>
        <w:pStyle w:val="44"/>
        <w:widowControl w:val="0"/>
        <w:spacing w:before="0" w:beforeAutospacing="0" w:after="0" w:afterAutospacing="0" w:line="500" w:lineRule="exact"/>
        <w:ind w:firstLine="480" w:firstLineChars="200"/>
        <w:jc w:val="both"/>
        <w:rPr>
          <w:rFonts w:hint="eastAsia" w:hAnsi="宋体" w:cs="宋体"/>
          <w:b/>
          <w:bCs/>
          <w:kern w:val="2"/>
          <w:szCs w:val="20"/>
          <w:lang w:val="en-US" w:eastAsia="zh-CN" w:bidi="ar"/>
          <w14:ligatures w14:val="standardContextual"/>
        </w:rPr>
      </w:pPr>
      <w:r>
        <w:rPr>
          <w:rFonts w:hint="eastAsia" w:hAnsi="宋体" w:cs="宋体"/>
          <w:kern w:val="2"/>
          <w:szCs w:val="20"/>
          <w:lang w:val="en-US" w:eastAsia="zh-CN" w:bidi="ar"/>
          <w14:ligatures w14:val="standardContextual"/>
        </w:rPr>
        <w:t>15.4.9</w:t>
      </w:r>
      <w:r>
        <w:rPr>
          <w:rFonts w:hint="eastAsia" w:hAnsi="宋体" w:cs="宋体"/>
          <w:kern w:val="2"/>
          <w:szCs w:val="20"/>
          <w:lang w:eastAsia="zh-CN" w:bidi="ar"/>
          <w14:ligatures w14:val="standardContextual"/>
        </w:rPr>
        <w:t>投标人</w:t>
      </w:r>
      <w:r>
        <w:rPr>
          <w:rFonts w:hint="eastAsia" w:hAnsi="宋体" w:cs="宋体"/>
          <w:kern w:val="2"/>
          <w:szCs w:val="20"/>
          <w:lang w:bidi="ar"/>
          <w14:ligatures w14:val="standardContextual"/>
        </w:rPr>
        <w:t>在接到业主通知后，4小时内给予响应，24小时到业主现场提供技术服务。</w:t>
      </w:r>
    </w:p>
    <w:p>
      <w:pPr>
        <w:pStyle w:val="44"/>
        <w:widowControl w:val="0"/>
        <w:spacing w:before="0" w:beforeAutospacing="0" w:after="0" w:afterAutospacing="0" w:line="500" w:lineRule="exact"/>
        <w:ind w:firstLine="482" w:firstLineChars="200"/>
        <w:jc w:val="both"/>
        <w:rPr>
          <w:rFonts w:hint="eastAsia" w:hAnsi="宋体" w:cs="宋体"/>
          <w:b/>
          <w:bCs/>
          <w:kern w:val="2"/>
          <w:szCs w:val="20"/>
          <w:lang w:bidi="ar"/>
          <w14:ligatures w14:val="standardContextual"/>
        </w:rPr>
      </w:pPr>
      <w:r>
        <w:rPr>
          <w:rFonts w:hint="eastAsia" w:hAnsi="宋体" w:cs="宋体"/>
          <w:b/>
          <w:bCs/>
          <w:kern w:val="2"/>
          <w:szCs w:val="20"/>
          <w:lang w:val="en-US" w:eastAsia="zh-CN" w:bidi="ar"/>
          <w14:ligatures w14:val="standardContextual"/>
        </w:rPr>
        <w:t>16</w:t>
      </w:r>
      <w:r>
        <w:rPr>
          <w:rFonts w:hint="eastAsia" w:hAnsi="宋体" w:cs="宋体"/>
          <w:b/>
          <w:bCs/>
          <w:kern w:val="2"/>
          <w:szCs w:val="20"/>
          <w:lang w:bidi="ar"/>
          <w14:ligatures w14:val="standardContextual"/>
        </w:rPr>
        <w:t xml:space="preserve"> 技术附录</w:t>
      </w:r>
    </w:p>
    <w:p>
      <w:pPr>
        <w:pStyle w:val="44"/>
        <w:widowControl w:val="0"/>
        <w:spacing w:before="0" w:beforeAutospacing="0" w:after="0" w:afterAutospacing="0" w:line="500" w:lineRule="exact"/>
        <w:ind w:firstLine="482" w:firstLineChars="200"/>
        <w:jc w:val="both"/>
        <w:rPr>
          <w:rFonts w:hint="eastAsia" w:hAnsi="宋体" w:cs="宋体"/>
          <w:b/>
          <w:bCs/>
          <w:kern w:val="2"/>
          <w:szCs w:val="20"/>
          <w:lang w:bidi="ar"/>
          <w14:ligatures w14:val="standardContextual"/>
        </w:rPr>
      </w:pPr>
      <w:r>
        <w:rPr>
          <w:rFonts w:hint="eastAsia" w:hAnsi="宋体" w:cs="宋体"/>
          <w:b/>
          <w:bCs/>
          <w:kern w:val="2"/>
          <w:szCs w:val="20"/>
          <w:lang w:bidi="ar"/>
          <w14:ligatures w14:val="standardContextual"/>
        </w:rPr>
        <w:t>技术附录A 投标人应提供的技术资料和数据</w:t>
      </w:r>
    </w:p>
    <w:p>
      <w:pPr>
        <w:pStyle w:val="44"/>
        <w:widowControl w:val="0"/>
        <w:spacing w:before="0" w:beforeAutospacing="0" w:after="0" w:afterAutospacing="0" w:line="500" w:lineRule="exact"/>
        <w:ind w:firstLine="480" w:firstLineChars="200"/>
        <w:jc w:val="both"/>
        <w:rPr>
          <w:rFonts w:hint="eastAsia" w:hAnsi="宋体" w:cs="宋体"/>
          <w:kern w:val="2"/>
          <w:szCs w:val="20"/>
          <w:lang w:bidi="ar"/>
          <w14:ligatures w14:val="standardContextual"/>
        </w:rPr>
      </w:pPr>
      <w:r>
        <w:rPr>
          <w:rFonts w:hint="eastAsia" w:hAnsi="宋体" w:cs="宋体"/>
          <w:kern w:val="2"/>
          <w:szCs w:val="20"/>
          <w:lang w:bidi="ar"/>
          <w14:ligatures w14:val="standardContextual"/>
        </w:rPr>
        <w:t>投标人提供的数据与资料作为正式的文件，包含在本附录中，以表明投标人提供的所有设备的保证性能、预期性能、连接特性，结构特点。这些资料的准确性以及它与招标人规定的所有性能要求的适合性，均由投标人负完全责任。</w:t>
      </w:r>
    </w:p>
    <w:p>
      <w:pPr>
        <w:pStyle w:val="44"/>
        <w:widowControl w:val="0"/>
        <w:spacing w:before="0" w:beforeAutospacing="0" w:after="0" w:afterAutospacing="0" w:line="500" w:lineRule="exact"/>
        <w:ind w:firstLine="480" w:firstLineChars="200"/>
        <w:jc w:val="both"/>
        <w:rPr>
          <w:rFonts w:hint="eastAsia" w:hAnsi="宋体" w:cs="宋体"/>
          <w:kern w:val="2"/>
          <w:szCs w:val="20"/>
          <w:lang w:bidi="ar"/>
          <w14:ligatures w14:val="standardContextual"/>
        </w:rPr>
      </w:pPr>
      <w:r>
        <w:rPr>
          <w:rFonts w:hint="eastAsia" w:hAnsi="宋体" w:cs="宋体"/>
          <w:kern w:val="2"/>
          <w:szCs w:val="20"/>
          <w:lang w:val="en-US" w:eastAsia="zh-CN" w:bidi="ar"/>
          <w14:ligatures w14:val="standardContextual"/>
        </w:rPr>
        <w:t>16.1</w:t>
      </w:r>
      <w:r>
        <w:rPr>
          <w:rFonts w:hint="eastAsia" w:hAnsi="宋体" w:cs="宋体"/>
          <w:kern w:val="2"/>
          <w:szCs w:val="20"/>
          <w:lang w:bidi="ar"/>
          <w14:ligatures w14:val="standardContextual"/>
        </w:rPr>
        <w:t>投标人应向招标人提供完整、详尽的关于验收、储存、安装、调试、运行及维修等方面的技术资料，如果招标人认为投标人所供资料不能满足要求时，有权要求投标人补充。</w:t>
      </w:r>
    </w:p>
    <w:p>
      <w:pPr>
        <w:pStyle w:val="44"/>
        <w:widowControl w:val="0"/>
        <w:spacing w:before="0" w:beforeAutospacing="0" w:after="0" w:afterAutospacing="0" w:line="500" w:lineRule="exact"/>
        <w:ind w:firstLine="480" w:firstLineChars="200"/>
        <w:jc w:val="both"/>
        <w:rPr>
          <w:rFonts w:hint="eastAsia" w:hAnsi="宋体" w:cs="宋体"/>
          <w:kern w:val="2"/>
          <w:szCs w:val="20"/>
          <w:lang w:bidi="ar"/>
          <w14:ligatures w14:val="standardContextual"/>
        </w:rPr>
      </w:pPr>
      <w:r>
        <w:rPr>
          <w:rFonts w:hint="eastAsia" w:hAnsi="宋体" w:cs="宋体"/>
          <w:kern w:val="2"/>
          <w:szCs w:val="20"/>
          <w:lang w:val="en-US" w:eastAsia="zh-CN" w:bidi="ar"/>
          <w14:ligatures w14:val="standardContextual"/>
        </w:rPr>
        <w:t>16.2</w:t>
      </w:r>
      <w:r>
        <w:rPr>
          <w:rFonts w:hint="eastAsia" w:hAnsi="宋体" w:cs="宋体"/>
          <w:kern w:val="2"/>
          <w:szCs w:val="20"/>
          <w:lang w:bidi="ar"/>
          <w14:ligatures w14:val="standardContextual"/>
        </w:rPr>
        <w:t>投标人提供的技术资料中应包括各设备和零部件的检验、试验、安装、运行和维护等方面的技术数据、说明书、有关图纸以及有关的规程、规范、标准及其它技术资料。</w:t>
      </w:r>
    </w:p>
    <w:p>
      <w:pPr>
        <w:pStyle w:val="44"/>
        <w:widowControl w:val="0"/>
        <w:spacing w:before="0" w:beforeAutospacing="0" w:after="0" w:afterAutospacing="0" w:line="500" w:lineRule="exact"/>
        <w:ind w:firstLine="480" w:firstLineChars="200"/>
        <w:jc w:val="both"/>
        <w:rPr>
          <w:rFonts w:hint="eastAsia" w:hAnsi="宋体" w:cs="宋体"/>
          <w:kern w:val="2"/>
          <w:szCs w:val="20"/>
          <w:lang w:bidi="ar"/>
          <w14:ligatures w14:val="standardContextual"/>
        </w:rPr>
      </w:pPr>
      <w:r>
        <w:rPr>
          <w:rFonts w:hint="eastAsia" w:hAnsi="宋体" w:cs="宋体"/>
          <w:kern w:val="2"/>
          <w:szCs w:val="20"/>
          <w:lang w:val="en-US" w:eastAsia="zh-CN" w:bidi="ar"/>
          <w14:ligatures w14:val="standardContextual"/>
        </w:rPr>
        <w:t>16.3</w:t>
      </w:r>
      <w:r>
        <w:rPr>
          <w:rFonts w:hint="eastAsia" w:hAnsi="宋体" w:cs="宋体"/>
          <w:kern w:val="2"/>
          <w:szCs w:val="20"/>
          <w:lang w:bidi="ar"/>
          <w14:ligatures w14:val="standardContextual"/>
        </w:rPr>
        <w:t>投标人提供技术文件的范围也应满足本规范书其它部分的要求。</w:t>
      </w:r>
    </w:p>
    <w:p>
      <w:pPr>
        <w:pStyle w:val="44"/>
        <w:widowControl w:val="0"/>
        <w:spacing w:before="0" w:beforeAutospacing="0" w:after="0" w:afterAutospacing="0" w:line="500" w:lineRule="exact"/>
        <w:ind w:firstLine="480" w:firstLineChars="200"/>
        <w:jc w:val="both"/>
        <w:rPr>
          <w:rFonts w:hint="eastAsia" w:hAnsi="宋体" w:cs="宋体"/>
          <w:kern w:val="2"/>
          <w:szCs w:val="20"/>
          <w:lang w:bidi="ar"/>
          <w14:ligatures w14:val="standardContextual"/>
        </w:rPr>
      </w:pPr>
      <w:r>
        <w:rPr>
          <w:rFonts w:hint="eastAsia" w:hAnsi="宋体" w:cs="宋体"/>
          <w:kern w:val="2"/>
          <w:szCs w:val="20"/>
          <w:lang w:val="en-US" w:eastAsia="zh-CN" w:bidi="ar"/>
          <w14:ligatures w14:val="standardContextual"/>
        </w:rPr>
        <w:t>16.4</w:t>
      </w:r>
      <w:r>
        <w:rPr>
          <w:rFonts w:hint="eastAsia" w:hAnsi="宋体" w:cs="宋体"/>
          <w:kern w:val="2"/>
          <w:szCs w:val="20"/>
          <w:lang w:bidi="ar"/>
          <w14:ligatures w14:val="standardContextual"/>
        </w:rPr>
        <w:t>投标人应提供下列技术文件和图纸，但不限于此：</w:t>
      </w:r>
    </w:p>
    <w:p>
      <w:pPr>
        <w:pStyle w:val="44"/>
        <w:widowControl w:val="0"/>
        <w:spacing w:before="0" w:beforeAutospacing="0" w:after="0" w:afterAutospacing="0" w:line="500" w:lineRule="exact"/>
        <w:ind w:firstLine="480" w:firstLineChars="200"/>
        <w:jc w:val="both"/>
        <w:rPr>
          <w:rFonts w:hint="eastAsia" w:hAnsi="宋体" w:cs="宋体"/>
          <w:kern w:val="2"/>
          <w:szCs w:val="20"/>
          <w:lang w:bidi="ar"/>
          <w14:ligatures w14:val="standardContextual"/>
        </w:rPr>
      </w:pPr>
      <w:r>
        <w:rPr>
          <w:rFonts w:hint="eastAsia" w:hAnsi="宋体" w:cs="宋体"/>
          <w:kern w:val="2"/>
          <w:szCs w:val="20"/>
          <w:lang w:bidi="ar"/>
          <w14:ligatures w14:val="standardContextual"/>
        </w:rPr>
        <w:t>各部件或设备的维修说明及维修质量标准；</w:t>
      </w:r>
    </w:p>
    <w:p>
      <w:pPr>
        <w:pStyle w:val="44"/>
        <w:widowControl w:val="0"/>
        <w:spacing w:before="0" w:beforeAutospacing="0" w:after="0" w:afterAutospacing="0" w:line="500" w:lineRule="exact"/>
        <w:ind w:firstLine="480" w:firstLineChars="200"/>
        <w:jc w:val="both"/>
        <w:rPr>
          <w:rFonts w:hint="eastAsia" w:hAnsi="宋体" w:cs="宋体"/>
          <w:kern w:val="2"/>
          <w:szCs w:val="20"/>
          <w:lang w:bidi="ar"/>
          <w14:ligatures w14:val="standardContextual"/>
        </w:rPr>
      </w:pPr>
      <w:r>
        <w:rPr>
          <w:rFonts w:hint="eastAsia" w:hAnsi="宋体" w:cs="宋体"/>
          <w:kern w:val="2"/>
          <w:szCs w:val="20"/>
          <w:lang w:bidi="ar"/>
          <w14:ligatures w14:val="standardContextual"/>
        </w:rPr>
        <w:t>各部件或设备的规范表；</w:t>
      </w:r>
    </w:p>
    <w:p>
      <w:pPr>
        <w:pStyle w:val="44"/>
        <w:widowControl w:val="0"/>
        <w:spacing w:before="0" w:beforeAutospacing="0" w:after="0" w:afterAutospacing="0" w:line="500" w:lineRule="exact"/>
        <w:ind w:firstLine="480" w:firstLineChars="200"/>
        <w:jc w:val="both"/>
        <w:rPr>
          <w:rFonts w:hint="eastAsia" w:hAnsi="宋体" w:cs="宋体"/>
          <w:kern w:val="2"/>
          <w:szCs w:val="20"/>
          <w:lang w:bidi="ar"/>
          <w14:ligatures w14:val="standardContextual"/>
        </w:rPr>
      </w:pPr>
      <w:r>
        <w:rPr>
          <w:rFonts w:hint="eastAsia" w:hAnsi="宋体" w:cs="宋体"/>
          <w:kern w:val="2"/>
          <w:szCs w:val="20"/>
          <w:lang w:bidi="ar"/>
          <w14:ligatures w14:val="standardContextual"/>
        </w:rPr>
        <w:t>各部件、设备主要用材的元素分析和机械性能资料；</w:t>
      </w:r>
    </w:p>
    <w:p>
      <w:pPr>
        <w:pStyle w:val="44"/>
        <w:widowControl w:val="0"/>
        <w:spacing w:before="0" w:beforeAutospacing="0" w:after="0" w:afterAutospacing="0" w:line="500" w:lineRule="exact"/>
        <w:ind w:firstLine="480" w:firstLineChars="200"/>
        <w:jc w:val="both"/>
        <w:rPr>
          <w:rFonts w:hint="eastAsia" w:hAnsi="宋体" w:cs="宋体"/>
          <w:kern w:val="2"/>
          <w:szCs w:val="20"/>
          <w:lang w:bidi="ar"/>
          <w14:ligatures w14:val="standardContextual"/>
        </w:rPr>
      </w:pPr>
      <w:r>
        <w:rPr>
          <w:rFonts w:hint="eastAsia" w:hAnsi="宋体" w:cs="宋体"/>
          <w:kern w:val="2"/>
          <w:szCs w:val="20"/>
          <w:lang w:bidi="ar"/>
          <w14:ligatures w14:val="standardContextual"/>
        </w:rPr>
        <w:t>各部件、设备主要用材的质量检验书；</w:t>
      </w:r>
    </w:p>
    <w:p>
      <w:pPr>
        <w:pStyle w:val="44"/>
        <w:widowControl w:val="0"/>
        <w:spacing w:before="0" w:beforeAutospacing="0" w:after="0" w:afterAutospacing="0" w:line="500" w:lineRule="exact"/>
        <w:ind w:firstLine="480" w:firstLineChars="200"/>
        <w:jc w:val="both"/>
        <w:rPr>
          <w:rFonts w:hint="eastAsia" w:hAnsi="宋体" w:cs="宋体"/>
          <w:kern w:val="2"/>
          <w:szCs w:val="20"/>
          <w:lang w:bidi="ar"/>
          <w14:ligatures w14:val="standardContextual"/>
        </w:rPr>
      </w:pPr>
      <w:r>
        <w:rPr>
          <w:rFonts w:hint="eastAsia" w:hAnsi="宋体" w:cs="宋体"/>
          <w:kern w:val="2"/>
          <w:szCs w:val="20"/>
          <w:lang w:bidi="ar"/>
          <w14:ligatures w14:val="standardContextual"/>
        </w:rPr>
        <w:t>随机备品备件和专用工具一览表；</w:t>
      </w:r>
    </w:p>
    <w:p>
      <w:pPr>
        <w:pStyle w:val="44"/>
        <w:widowControl w:val="0"/>
        <w:spacing w:before="0" w:beforeAutospacing="0" w:after="0" w:afterAutospacing="0" w:line="500" w:lineRule="exact"/>
        <w:ind w:firstLine="480" w:firstLineChars="200"/>
        <w:jc w:val="both"/>
        <w:rPr>
          <w:rFonts w:hint="eastAsia" w:hAnsi="宋体" w:cs="宋体"/>
          <w:kern w:val="2"/>
          <w:szCs w:val="20"/>
          <w:lang w:bidi="ar"/>
          <w14:ligatures w14:val="standardContextual"/>
        </w:rPr>
      </w:pPr>
      <w:r>
        <w:rPr>
          <w:rFonts w:hint="eastAsia" w:hAnsi="宋体" w:cs="宋体"/>
          <w:kern w:val="2"/>
          <w:szCs w:val="20"/>
          <w:lang w:bidi="ar"/>
          <w14:ligatures w14:val="standardContextual"/>
        </w:rPr>
        <w:t>安装要求及安装质量标准；</w:t>
      </w:r>
    </w:p>
    <w:p>
      <w:pPr>
        <w:pStyle w:val="44"/>
        <w:widowControl w:val="0"/>
        <w:spacing w:before="0" w:beforeAutospacing="0" w:after="0" w:afterAutospacing="0" w:line="500" w:lineRule="exact"/>
        <w:ind w:firstLine="480" w:firstLineChars="200"/>
        <w:jc w:val="both"/>
        <w:rPr>
          <w:rFonts w:hint="eastAsia" w:hAnsi="宋体" w:cs="宋体"/>
          <w:kern w:val="2"/>
          <w:szCs w:val="20"/>
          <w:lang w:bidi="ar"/>
          <w14:ligatures w14:val="standardContextual"/>
        </w:rPr>
      </w:pPr>
      <w:r>
        <w:rPr>
          <w:rFonts w:hint="eastAsia" w:hAnsi="宋体" w:cs="宋体"/>
          <w:kern w:val="2"/>
          <w:szCs w:val="20"/>
          <w:lang w:bidi="ar"/>
          <w14:ligatures w14:val="standardContextual"/>
        </w:rPr>
        <w:t>设备总装配图和部件组装图；</w:t>
      </w:r>
    </w:p>
    <w:p>
      <w:pPr>
        <w:pStyle w:val="44"/>
        <w:widowControl w:val="0"/>
        <w:spacing w:before="0" w:beforeAutospacing="0" w:after="0" w:afterAutospacing="0" w:line="500" w:lineRule="exact"/>
        <w:ind w:firstLine="480" w:firstLineChars="200"/>
        <w:jc w:val="both"/>
        <w:rPr>
          <w:rFonts w:hint="eastAsia" w:hAnsi="宋体" w:cs="宋体"/>
          <w:kern w:val="2"/>
          <w:szCs w:val="20"/>
          <w:lang w:bidi="ar"/>
          <w14:ligatures w14:val="standardContextual"/>
        </w:rPr>
      </w:pPr>
      <w:r>
        <w:rPr>
          <w:rFonts w:hint="eastAsia" w:hAnsi="宋体" w:cs="宋体"/>
          <w:kern w:val="2"/>
          <w:szCs w:val="20"/>
          <w:lang w:bidi="ar"/>
          <w14:ligatures w14:val="standardContextual"/>
        </w:rPr>
        <w:t>易损零件加工图及随机备品备件图号一览表；</w:t>
      </w:r>
    </w:p>
    <w:p>
      <w:pPr>
        <w:pStyle w:val="44"/>
        <w:widowControl w:val="0"/>
        <w:spacing w:before="0" w:beforeAutospacing="0" w:after="0" w:afterAutospacing="0" w:line="500" w:lineRule="exact"/>
        <w:ind w:firstLine="480" w:firstLineChars="200"/>
        <w:jc w:val="both"/>
        <w:rPr>
          <w:rFonts w:hint="eastAsia" w:hAnsi="宋体" w:cs="宋体"/>
          <w:kern w:val="2"/>
          <w:szCs w:val="20"/>
          <w:lang w:bidi="ar"/>
          <w14:ligatures w14:val="standardContextual"/>
        </w:rPr>
      </w:pPr>
      <w:r>
        <w:rPr>
          <w:rFonts w:hint="eastAsia" w:hAnsi="宋体" w:cs="宋体"/>
          <w:kern w:val="2"/>
          <w:szCs w:val="20"/>
          <w:lang w:bidi="ar"/>
          <w14:ligatures w14:val="standardContextual"/>
        </w:rPr>
        <w:t>有关的规程、规范和标准；</w:t>
      </w:r>
    </w:p>
    <w:p>
      <w:pPr>
        <w:pStyle w:val="44"/>
        <w:widowControl w:val="0"/>
        <w:spacing w:before="0" w:beforeAutospacing="0" w:after="0" w:afterAutospacing="0" w:line="500" w:lineRule="exact"/>
        <w:ind w:firstLine="480" w:firstLineChars="200"/>
        <w:jc w:val="both"/>
        <w:rPr>
          <w:rFonts w:hint="eastAsia" w:hAnsi="宋体" w:cs="宋体"/>
          <w:kern w:val="2"/>
          <w:szCs w:val="20"/>
          <w:lang w:bidi="ar"/>
          <w14:ligatures w14:val="standardContextual"/>
        </w:rPr>
      </w:pPr>
      <w:r>
        <w:rPr>
          <w:rFonts w:hint="eastAsia" w:hAnsi="宋体" w:cs="宋体"/>
          <w:kern w:val="2"/>
          <w:szCs w:val="20"/>
          <w:lang w:bidi="ar"/>
          <w14:ligatures w14:val="standardContextual"/>
        </w:rPr>
        <w:t>技术参数表。</w:t>
      </w:r>
    </w:p>
    <w:p>
      <w:pPr>
        <w:pStyle w:val="44"/>
        <w:widowControl w:val="0"/>
        <w:spacing w:before="0" w:beforeAutospacing="0" w:after="0" w:afterAutospacing="0" w:line="500" w:lineRule="exact"/>
        <w:ind w:firstLine="480" w:firstLineChars="200"/>
        <w:jc w:val="both"/>
        <w:rPr>
          <w:rFonts w:hint="eastAsia" w:hAnsi="宋体" w:cs="宋体"/>
          <w:kern w:val="2"/>
          <w:szCs w:val="20"/>
          <w:lang w:bidi="ar"/>
          <w14:ligatures w14:val="standardContextual"/>
        </w:rPr>
      </w:pPr>
      <w:r>
        <w:rPr>
          <w:rFonts w:hint="eastAsia" w:hAnsi="宋体" w:cs="宋体"/>
          <w:kern w:val="2"/>
          <w:szCs w:val="20"/>
          <w:lang w:val="en-US" w:eastAsia="zh-CN" w:bidi="ar"/>
          <w14:ligatures w14:val="standardContextual"/>
        </w:rPr>
        <w:t>16.5</w:t>
      </w:r>
      <w:r>
        <w:rPr>
          <w:rFonts w:hint="eastAsia" w:hAnsi="宋体" w:cs="宋体"/>
          <w:kern w:val="2"/>
          <w:szCs w:val="20"/>
          <w:lang w:bidi="ar"/>
          <w14:ligatures w14:val="standardContextual"/>
        </w:rPr>
        <w:t>投标人应根据保证安装、调试、运行、维护保养等顺利进行的原则，提供有关建议性技术文件资料、计算书和各类图纸。</w:t>
      </w:r>
    </w:p>
    <w:p>
      <w:pPr>
        <w:pStyle w:val="44"/>
        <w:widowControl w:val="0"/>
        <w:spacing w:before="0" w:beforeAutospacing="0" w:after="0" w:afterAutospacing="0" w:line="500" w:lineRule="exact"/>
        <w:ind w:firstLine="482" w:firstLineChars="200"/>
        <w:jc w:val="both"/>
        <w:rPr>
          <w:rFonts w:hint="eastAsia" w:hAnsi="宋体" w:cs="宋体"/>
          <w:kern w:val="2"/>
          <w:szCs w:val="20"/>
          <w:lang w:bidi="ar"/>
          <w14:ligatures w14:val="standardContextual"/>
        </w:rPr>
      </w:pPr>
      <w:r>
        <w:rPr>
          <w:rFonts w:hint="eastAsia" w:hAnsi="宋体" w:cs="宋体"/>
          <w:b/>
          <w:bCs/>
          <w:kern w:val="2"/>
          <w:szCs w:val="20"/>
          <w:lang w:bidi="ar"/>
          <w14:ligatures w14:val="standardContextual"/>
        </w:rPr>
        <w:t>技术附录B 投标人提出的技术偏差表</w:t>
      </w:r>
    </w:p>
    <w:p>
      <w:pPr>
        <w:pStyle w:val="44"/>
        <w:widowControl w:val="0"/>
        <w:spacing w:before="0" w:beforeAutospacing="0" w:after="0" w:afterAutospacing="0" w:line="500" w:lineRule="exact"/>
        <w:ind w:firstLine="480" w:firstLineChars="200"/>
        <w:jc w:val="both"/>
        <w:rPr>
          <w:rFonts w:hint="eastAsia" w:hAnsi="宋体" w:cs="宋体"/>
          <w:kern w:val="2"/>
          <w:szCs w:val="20"/>
          <w:lang w:bidi="ar"/>
          <w14:ligatures w14:val="standardContextual"/>
        </w:rPr>
      </w:pPr>
      <w:r>
        <w:rPr>
          <w:rFonts w:hint="eastAsia" w:hAnsi="宋体" w:cs="宋体"/>
          <w:kern w:val="2"/>
          <w:szCs w:val="20"/>
          <w:lang w:bidi="ar"/>
          <w14:ligatures w14:val="standardContextual"/>
        </w:rPr>
        <w:t>投标人要将投标文件和招标文件的差异之处汇集成表。技术部分和商务部分要单独列表。技术偏差内容包括技术要求、性能指标、供货范围、交货进度等所有与招标文件技术部分要求的不一致的内容。</w:t>
      </w:r>
    </w:p>
    <w:p>
      <w:pPr>
        <w:rPr>
          <w:rFonts w:hint="eastAsia" w:ascii="宋体" w:hAnsi="宋体" w:eastAsia="宋体" w:cs="宋体"/>
          <w:b/>
          <w:bCs/>
          <w:kern w:val="2"/>
          <w:sz w:val="24"/>
          <w:szCs w:val="20"/>
          <w:lang w:val="en-US" w:eastAsia="zh-CN" w:bidi="ar"/>
          <w14:ligatures w14:val="standardContextual"/>
        </w:rPr>
      </w:pPr>
      <w:r>
        <w:rPr>
          <w:rFonts w:hint="eastAsia" w:ascii="宋体" w:hAnsi="宋体" w:eastAsia="宋体" w:cs="宋体"/>
          <w:b/>
          <w:bCs/>
          <w:kern w:val="2"/>
          <w:sz w:val="24"/>
          <w:szCs w:val="20"/>
          <w:lang w:val="en-US" w:eastAsia="zh-CN" w:bidi="ar"/>
          <w14:ligatures w14:val="standardContextual"/>
        </w:rPr>
        <w:br w:type="page"/>
      </w:r>
    </w:p>
    <w:p>
      <w:pPr>
        <w:wordWrap w:val="0"/>
        <w:jc w:val="center"/>
        <w:rPr>
          <w:rFonts w:hint="eastAsia" w:ascii="宋体" w:hAnsi="宋体" w:eastAsia="宋体" w:cs="宋体"/>
          <w:b/>
          <w:bCs/>
          <w:kern w:val="2"/>
          <w:sz w:val="24"/>
          <w:szCs w:val="20"/>
          <w:lang w:val="en-US" w:eastAsia="zh-CN" w:bidi="ar"/>
          <w14:ligatures w14:val="standardContextual"/>
        </w:rPr>
      </w:pPr>
      <w:r>
        <w:rPr>
          <w:rFonts w:hint="eastAsia" w:ascii="宋体" w:hAnsi="宋体" w:eastAsia="宋体" w:cs="宋体"/>
          <w:b/>
          <w:bCs/>
          <w:kern w:val="2"/>
          <w:sz w:val="24"/>
          <w:szCs w:val="20"/>
          <w:lang w:val="en-US" w:eastAsia="zh-CN" w:bidi="ar"/>
          <w14:ligatures w14:val="standardContextual"/>
        </w:rPr>
        <w:t>差异表</w:t>
      </w:r>
    </w:p>
    <w:tbl>
      <w:tblPr>
        <w:tblStyle w:val="50"/>
        <w:tblW w:w="835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22"/>
        <w:gridCol w:w="983"/>
        <w:gridCol w:w="2785"/>
        <w:gridCol w:w="961"/>
        <w:gridCol w:w="2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97" w:hRule="atLeast"/>
          <w:jc w:val="center"/>
        </w:trPr>
        <w:tc>
          <w:tcPr>
            <w:tcW w:w="822" w:type="dxa"/>
            <w:vMerge w:val="restart"/>
            <w:noWrap/>
            <w:vAlign w:val="center"/>
          </w:tcPr>
          <w:p>
            <w:pPr>
              <w:keepNext/>
              <w:jc w:val="center"/>
              <w:rPr>
                <w:rFonts w:hint="eastAsia" w:ascii="宋体" w:hAnsi="宋体" w:eastAsia="宋体" w:cs="宋体"/>
                <w:kern w:val="2"/>
                <w:sz w:val="21"/>
                <w:szCs w:val="21"/>
                <w:lang w:val="en-US" w:eastAsia="zh-CN" w:bidi="ar"/>
                <w14:ligatures w14:val="standardContextual"/>
              </w:rPr>
            </w:pPr>
            <w:r>
              <w:rPr>
                <w:rFonts w:hint="eastAsia" w:ascii="宋体" w:hAnsi="宋体" w:eastAsia="宋体" w:cs="宋体"/>
                <w:kern w:val="2"/>
                <w:sz w:val="21"/>
                <w:szCs w:val="21"/>
                <w:lang w:val="en-US" w:eastAsia="zh-CN" w:bidi="ar"/>
                <w14:ligatures w14:val="standardContextual"/>
              </w:rPr>
              <w:t>序号</w:t>
            </w:r>
          </w:p>
        </w:tc>
        <w:tc>
          <w:tcPr>
            <w:tcW w:w="3768" w:type="dxa"/>
            <w:gridSpan w:val="2"/>
            <w:noWrap/>
            <w:vAlign w:val="center"/>
          </w:tcPr>
          <w:p>
            <w:pPr>
              <w:keepNext/>
              <w:wordWrap w:val="0"/>
              <w:jc w:val="center"/>
              <w:rPr>
                <w:rFonts w:hint="eastAsia" w:ascii="宋体" w:hAnsi="宋体" w:eastAsia="宋体" w:cs="宋体"/>
                <w:kern w:val="2"/>
                <w:sz w:val="21"/>
                <w:szCs w:val="21"/>
                <w:lang w:val="en-US" w:eastAsia="zh-CN" w:bidi="ar"/>
                <w14:ligatures w14:val="standardContextual"/>
              </w:rPr>
            </w:pPr>
            <w:r>
              <w:rPr>
                <w:rFonts w:hint="eastAsia" w:ascii="宋体" w:hAnsi="宋体" w:eastAsia="宋体" w:cs="宋体"/>
                <w:kern w:val="2"/>
                <w:sz w:val="21"/>
                <w:szCs w:val="21"/>
                <w:lang w:val="en-US" w:eastAsia="zh-CN" w:bidi="ar"/>
                <w14:ligatures w14:val="standardContextual"/>
              </w:rPr>
              <w:t>招标文件</w:t>
            </w:r>
          </w:p>
        </w:tc>
        <w:tc>
          <w:tcPr>
            <w:tcW w:w="3767" w:type="dxa"/>
            <w:gridSpan w:val="2"/>
            <w:noWrap/>
            <w:vAlign w:val="center"/>
          </w:tcPr>
          <w:p>
            <w:pPr>
              <w:keepNext/>
              <w:wordWrap w:val="0"/>
              <w:jc w:val="center"/>
              <w:rPr>
                <w:rFonts w:hint="eastAsia" w:ascii="宋体" w:hAnsi="宋体" w:eastAsia="宋体" w:cs="宋体"/>
                <w:kern w:val="2"/>
                <w:sz w:val="21"/>
                <w:szCs w:val="21"/>
                <w:lang w:val="en-US" w:eastAsia="zh-CN" w:bidi="ar"/>
                <w14:ligatures w14:val="standardContextual"/>
              </w:rPr>
            </w:pPr>
            <w:r>
              <w:rPr>
                <w:rFonts w:hint="eastAsia" w:ascii="宋体" w:hAnsi="宋体" w:eastAsia="宋体" w:cs="宋体"/>
                <w:kern w:val="2"/>
                <w:sz w:val="21"/>
                <w:szCs w:val="21"/>
                <w:lang w:val="en-US" w:eastAsia="zh-CN" w:bidi="ar"/>
                <w14:ligatures w14:val="standardContextual"/>
              </w:rPr>
              <w:t>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97" w:hRule="atLeast"/>
          <w:jc w:val="center"/>
        </w:trPr>
        <w:tc>
          <w:tcPr>
            <w:tcW w:w="822" w:type="dxa"/>
            <w:vMerge w:val="continue"/>
            <w:noWrap/>
            <w:vAlign w:val="center"/>
          </w:tcPr>
          <w:p>
            <w:pPr>
              <w:keepNext/>
              <w:wordWrap w:val="0"/>
              <w:jc w:val="center"/>
              <w:rPr>
                <w:rFonts w:hint="eastAsia" w:ascii="宋体" w:hAnsi="宋体" w:eastAsia="宋体" w:cs="宋体"/>
                <w:kern w:val="2"/>
                <w:sz w:val="21"/>
                <w:szCs w:val="21"/>
                <w:lang w:val="en-US" w:eastAsia="zh-CN" w:bidi="ar"/>
                <w14:ligatures w14:val="standardContextual"/>
              </w:rPr>
            </w:pPr>
          </w:p>
        </w:tc>
        <w:tc>
          <w:tcPr>
            <w:tcW w:w="983" w:type="dxa"/>
            <w:noWrap/>
            <w:vAlign w:val="center"/>
          </w:tcPr>
          <w:p>
            <w:pPr>
              <w:keepNext/>
              <w:wordWrap w:val="0"/>
              <w:jc w:val="center"/>
              <w:rPr>
                <w:rFonts w:hint="eastAsia" w:ascii="宋体" w:hAnsi="宋体" w:eastAsia="宋体" w:cs="宋体"/>
                <w:kern w:val="2"/>
                <w:sz w:val="21"/>
                <w:szCs w:val="21"/>
                <w:lang w:val="en-US" w:eastAsia="zh-CN" w:bidi="ar"/>
                <w14:ligatures w14:val="standardContextual"/>
              </w:rPr>
            </w:pPr>
            <w:r>
              <w:rPr>
                <w:rFonts w:hint="eastAsia" w:ascii="宋体" w:hAnsi="宋体" w:eastAsia="宋体" w:cs="宋体"/>
                <w:kern w:val="2"/>
                <w:sz w:val="21"/>
                <w:szCs w:val="21"/>
                <w:lang w:val="en-US" w:eastAsia="zh-CN" w:bidi="ar"/>
                <w14:ligatures w14:val="standardContextual"/>
              </w:rPr>
              <w:t>条目</w:t>
            </w:r>
          </w:p>
        </w:tc>
        <w:tc>
          <w:tcPr>
            <w:tcW w:w="2785" w:type="dxa"/>
            <w:noWrap/>
            <w:vAlign w:val="center"/>
          </w:tcPr>
          <w:p>
            <w:pPr>
              <w:keepNext/>
              <w:wordWrap w:val="0"/>
              <w:jc w:val="center"/>
              <w:rPr>
                <w:rFonts w:hint="eastAsia" w:ascii="宋体" w:hAnsi="宋体" w:eastAsia="宋体" w:cs="宋体"/>
                <w:kern w:val="2"/>
                <w:sz w:val="21"/>
                <w:szCs w:val="21"/>
                <w:lang w:val="en-US" w:eastAsia="zh-CN" w:bidi="ar"/>
                <w14:ligatures w14:val="standardContextual"/>
              </w:rPr>
            </w:pPr>
            <w:r>
              <w:rPr>
                <w:rFonts w:hint="eastAsia" w:ascii="宋体" w:hAnsi="宋体" w:eastAsia="宋体" w:cs="宋体"/>
                <w:kern w:val="2"/>
                <w:sz w:val="21"/>
                <w:szCs w:val="21"/>
                <w:lang w:val="en-US" w:eastAsia="zh-CN" w:bidi="ar"/>
                <w14:ligatures w14:val="standardContextual"/>
              </w:rPr>
              <w:t>简要内容</w:t>
            </w:r>
          </w:p>
        </w:tc>
        <w:tc>
          <w:tcPr>
            <w:tcW w:w="961" w:type="dxa"/>
            <w:noWrap/>
            <w:vAlign w:val="center"/>
          </w:tcPr>
          <w:p>
            <w:pPr>
              <w:keepNext/>
              <w:wordWrap w:val="0"/>
              <w:jc w:val="center"/>
              <w:rPr>
                <w:rFonts w:hint="eastAsia" w:ascii="宋体" w:hAnsi="宋体" w:eastAsia="宋体" w:cs="宋体"/>
                <w:kern w:val="2"/>
                <w:sz w:val="21"/>
                <w:szCs w:val="21"/>
                <w:lang w:val="en-US" w:eastAsia="zh-CN" w:bidi="ar"/>
                <w14:ligatures w14:val="standardContextual"/>
              </w:rPr>
            </w:pPr>
            <w:r>
              <w:rPr>
                <w:rFonts w:hint="eastAsia" w:ascii="宋体" w:hAnsi="宋体" w:eastAsia="宋体" w:cs="宋体"/>
                <w:kern w:val="2"/>
                <w:sz w:val="21"/>
                <w:szCs w:val="21"/>
                <w:lang w:val="en-US" w:eastAsia="zh-CN" w:bidi="ar"/>
                <w14:ligatures w14:val="standardContextual"/>
              </w:rPr>
              <w:t>条目</w:t>
            </w:r>
          </w:p>
        </w:tc>
        <w:tc>
          <w:tcPr>
            <w:tcW w:w="2806" w:type="dxa"/>
            <w:noWrap/>
            <w:vAlign w:val="center"/>
          </w:tcPr>
          <w:p>
            <w:pPr>
              <w:keepNext/>
              <w:wordWrap w:val="0"/>
              <w:jc w:val="center"/>
              <w:rPr>
                <w:rFonts w:hint="eastAsia" w:ascii="宋体" w:hAnsi="宋体" w:eastAsia="宋体" w:cs="宋体"/>
                <w:kern w:val="2"/>
                <w:sz w:val="21"/>
                <w:szCs w:val="21"/>
                <w:lang w:val="en-US" w:eastAsia="zh-CN" w:bidi="ar"/>
                <w14:ligatures w14:val="standardContextual"/>
              </w:rPr>
            </w:pPr>
            <w:r>
              <w:rPr>
                <w:rFonts w:hint="eastAsia" w:ascii="宋体" w:hAnsi="宋体" w:eastAsia="宋体" w:cs="宋体"/>
                <w:kern w:val="2"/>
                <w:sz w:val="21"/>
                <w:szCs w:val="21"/>
                <w:lang w:val="en-US" w:eastAsia="zh-CN" w:bidi="ar"/>
                <w14:ligatures w14:val="standardContextual"/>
              </w:rPr>
              <w:t>简要内容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97" w:hRule="atLeast"/>
          <w:jc w:val="center"/>
        </w:trPr>
        <w:tc>
          <w:tcPr>
            <w:tcW w:w="822" w:type="dxa"/>
            <w:noWrap/>
            <w:vAlign w:val="center"/>
          </w:tcPr>
          <w:p>
            <w:pPr>
              <w:wordWrap w:val="0"/>
              <w:jc w:val="center"/>
              <w:rPr>
                <w:rFonts w:hint="eastAsia" w:ascii="宋体" w:hAnsi="宋体" w:eastAsia="宋体" w:cs="宋体"/>
                <w:kern w:val="2"/>
                <w:sz w:val="21"/>
                <w:szCs w:val="21"/>
                <w:lang w:val="en-US" w:eastAsia="zh-CN" w:bidi="ar"/>
                <w14:ligatures w14:val="standardContextual"/>
              </w:rPr>
            </w:pPr>
            <w:r>
              <w:rPr>
                <w:rFonts w:hint="eastAsia" w:ascii="宋体" w:hAnsi="宋体" w:eastAsia="宋体" w:cs="宋体"/>
                <w:kern w:val="2"/>
                <w:sz w:val="21"/>
                <w:szCs w:val="21"/>
                <w:lang w:val="en-US" w:eastAsia="zh-CN" w:bidi="ar"/>
                <w14:ligatures w14:val="standardContextual"/>
              </w:rPr>
              <w:t>1</w:t>
            </w:r>
          </w:p>
        </w:tc>
        <w:tc>
          <w:tcPr>
            <w:tcW w:w="983" w:type="dxa"/>
            <w:noWrap/>
            <w:vAlign w:val="center"/>
          </w:tcPr>
          <w:p>
            <w:pPr>
              <w:wordWrap w:val="0"/>
              <w:jc w:val="center"/>
              <w:rPr>
                <w:rFonts w:hint="eastAsia" w:ascii="宋体" w:hAnsi="宋体" w:eastAsia="宋体" w:cs="宋体"/>
                <w:kern w:val="2"/>
                <w:sz w:val="21"/>
                <w:szCs w:val="21"/>
                <w:lang w:val="en-US" w:eastAsia="zh-CN" w:bidi="ar"/>
                <w14:ligatures w14:val="standardContextual"/>
              </w:rPr>
            </w:pPr>
          </w:p>
        </w:tc>
        <w:tc>
          <w:tcPr>
            <w:tcW w:w="2785" w:type="dxa"/>
            <w:noWrap/>
            <w:vAlign w:val="center"/>
          </w:tcPr>
          <w:p>
            <w:pPr>
              <w:wordWrap w:val="0"/>
              <w:jc w:val="center"/>
              <w:rPr>
                <w:rFonts w:hint="eastAsia" w:ascii="宋体" w:hAnsi="宋体" w:eastAsia="宋体" w:cs="宋体"/>
                <w:kern w:val="2"/>
                <w:sz w:val="21"/>
                <w:szCs w:val="21"/>
                <w:lang w:val="en-US" w:eastAsia="zh-CN" w:bidi="ar"/>
                <w14:ligatures w14:val="standardContextual"/>
              </w:rPr>
            </w:pPr>
          </w:p>
        </w:tc>
        <w:tc>
          <w:tcPr>
            <w:tcW w:w="961" w:type="dxa"/>
            <w:noWrap/>
            <w:vAlign w:val="center"/>
          </w:tcPr>
          <w:p>
            <w:pPr>
              <w:wordWrap w:val="0"/>
              <w:jc w:val="center"/>
              <w:rPr>
                <w:rFonts w:hint="eastAsia" w:ascii="宋体" w:hAnsi="宋体" w:eastAsia="宋体" w:cs="宋体"/>
                <w:kern w:val="2"/>
                <w:sz w:val="21"/>
                <w:szCs w:val="21"/>
                <w:lang w:val="en-US" w:eastAsia="zh-CN" w:bidi="ar"/>
                <w14:ligatures w14:val="standardContextual"/>
              </w:rPr>
            </w:pPr>
          </w:p>
        </w:tc>
        <w:tc>
          <w:tcPr>
            <w:tcW w:w="2806" w:type="dxa"/>
            <w:noWrap/>
            <w:vAlign w:val="center"/>
          </w:tcPr>
          <w:p>
            <w:pPr>
              <w:wordWrap w:val="0"/>
              <w:jc w:val="center"/>
              <w:rPr>
                <w:rFonts w:hint="eastAsia" w:ascii="宋体" w:hAnsi="宋体" w:eastAsia="宋体" w:cs="宋体"/>
                <w:kern w:val="2"/>
                <w:sz w:val="21"/>
                <w:szCs w:val="21"/>
                <w:lang w:val="en-US" w:eastAsia="zh-CN" w:bidi="ar"/>
                <w14:ligatures w14:val="standardContextual"/>
              </w:rPr>
            </w:pPr>
          </w:p>
        </w:tc>
      </w:tr>
    </w:tbl>
    <w:p>
      <w:pPr>
        <w:keepNext/>
        <w:wordWrap w:val="0"/>
        <w:ind w:firstLine="482" w:firstLineChars="200"/>
        <w:outlineLvl w:val="2"/>
        <w:rPr>
          <w:rFonts w:cs="方正仿宋简体" w:asciiTheme="minorEastAsia" w:hAnsiTheme="minorEastAsia"/>
          <w:b/>
          <w:bCs/>
          <w:color w:val="000000"/>
          <w:sz w:val="24"/>
        </w:rPr>
      </w:pPr>
      <w:r>
        <w:rPr>
          <w:rFonts w:cs="方正仿宋简体" w:asciiTheme="minorEastAsia" w:hAnsiTheme="minorEastAsia"/>
          <w:b/>
          <w:bCs/>
          <w:color w:val="000000"/>
          <w:sz w:val="24"/>
        </w:rPr>
        <w:t>技术附录C 随机备品备件、专用工具和仪器仪表</w:t>
      </w:r>
    </w:p>
    <w:p>
      <w:pPr>
        <w:wordWrap w:val="0"/>
        <w:jc w:val="center"/>
        <w:rPr>
          <w:rFonts w:hint="eastAsia" w:ascii="宋体" w:hAnsi="宋体" w:eastAsia="宋体" w:cs="宋体"/>
          <w:b/>
          <w:bCs/>
          <w:kern w:val="2"/>
          <w:sz w:val="24"/>
          <w:szCs w:val="20"/>
          <w:lang w:val="en-US" w:eastAsia="zh-CN" w:bidi="ar"/>
          <w14:ligatures w14:val="standardContextual"/>
        </w:rPr>
      </w:pPr>
      <w:r>
        <w:rPr>
          <w:rFonts w:hint="eastAsia" w:ascii="宋体" w:hAnsi="宋体" w:eastAsia="宋体" w:cs="宋体"/>
          <w:b/>
          <w:bCs/>
          <w:kern w:val="2"/>
          <w:sz w:val="24"/>
          <w:szCs w:val="20"/>
          <w:lang w:val="en-US" w:eastAsia="zh-CN" w:bidi="ar"/>
          <w14:ligatures w14:val="standardContextual"/>
        </w:rPr>
        <w:t>附录C-1必需的专用工具和仪器仪表</w:t>
      </w:r>
    </w:p>
    <w:tbl>
      <w:tblPr>
        <w:tblStyle w:val="50"/>
        <w:tblW w:w="85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5"/>
        <w:gridCol w:w="2235"/>
        <w:gridCol w:w="1489"/>
        <w:gridCol w:w="1489"/>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125" w:type="dxa"/>
            <w:noWrap/>
          </w:tcPr>
          <w:p>
            <w:pPr>
              <w:keepNext/>
              <w:wordWrap w:val="0"/>
              <w:jc w:val="center"/>
              <w:rPr>
                <w:rFonts w:hint="eastAsia" w:ascii="宋体" w:hAnsi="宋体" w:eastAsia="宋体" w:cs="宋体"/>
                <w:kern w:val="2"/>
                <w:sz w:val="21"/>
                <w:szCs w:val="21"/>
                <w:lang w:val="en-US" w:eastAsia="zh-CN" w:bidi="ar"/>
                <w14:ligatures w14:val="standardContextual"/>
              </w:rPr>
            </w:pPr>
            <w:r>
              <w:rPr>
                <w:rFonts w:hint="eastAsia" w:ascii="宋体" w:hAnsi="宋体" w:eastAsia="宋体" w:cs="宋体"/>
                <w:kern w:val="2"/>
                <w:sz w:val="21"/>
                <w:szCs w:val="21"/>
                <w:lang w:val="en-US" w:eastAsia="zh-CN" w:bidi="ar"/>
                <w14:ligatures w14:val="standardContextual"/>
              </w:rPr>
              <w:t>序号</w:t>
            </w:r>
          </w:p>
        </w:tc>
        <w:tc>
          <w:tcPr>
            <w:tcW w:w="2235" w:type="dxa"/>
            <w:noWrap/>
            <w:vAlign w:val="center"/>
          </w:tcPr>
          <w:p>
            <w:pPr>
              <w:keepNext/>
              <w:wordWrap w:val="0"/>
              <w:jc w:val="center"/>
              <w:rPr>
                <w:rFonts w:hint="eastAsia" w:ascii="宋体" w:hAnsi="宋体" w:eastAsia="宋体" w:cs="宋体"/>
                <w:kern w:val="2"/>
                <w:sz w:val="21"/>
                <w:szCs w:val="21"/>
                <w:lang w:val="en-US" w:eastAsia="zh-CN" w:bidi="ar"/>
                <w14:ligatures w14:val="standardContextual"/>
              </w:rPr>
            </w:pPr>
            <w:r>
              <w:rPr>
                <w:rFonts w:hint="eastAsia" w:ascii="宋体" w:hAnsi="宋体" w:eastAsia="宋体" w:cs="宋体"/>
                <w:kern w:val="2"/>
                <w:sz w:val="21"/>
                <w:szCs w:val="21"/>
                <w:lang w:val="en-US" w:eastAsia="zh-CN" w:bidi="ar"/>
                <w14:ligatures w14:val="standardContextual"/>
              </w:rPr>
              <w:t>专用工具名称</w:t>
            </w:r>
          </w:p>
        </w:tc>
        <w:tc>
          <w:tcPr>
            <w:tcW w:w="1489" w:type="dxa"/>
            <w:noWrap/>
            <w:vAlign w:val="center"/>
          </w:tcPr>
          <w:p>
            <w:pPr>
              <w:keepNext/>
              <w:wordWrap w:val="0"/>
              <w:jc w:val="center"/>
              <w:rPr>
                <w:rFonts w:hint="eastAsia" w:ascii="宋体" w:hAnsi="宋体" w:eastAsia="宋体" w:cs="宋体"/>
                <w:kern w:val="2"/>
                <w:sz w:val="21"/>
                <w:szCs w:val="21"/>
                <w:lang w:val="en-US" w:eastAsia="zh-CN" w:bidi="ar"/>
                <w14:ligatures w14:val="standardContextual"/>
              </w:rPr>
            </w:pPr>
            <w:r>
              <w:rPr>
                <w:rFonts w:hint="eastAsia" w:ascii="宋体" w:hAnsi="宋体" w:eastAsia="宋体" w:cs="宋体"/>
                <w:kern w:val="2"/>
                <w:sz w:val="21"/>
                <w:szCs w:val="21"/>
                <w:lang w:val="en-US" w:eastAsia="zh-CN" w:bidi="ar"/>
                <w14:ligatures w14:val="standardContextual"/>
              </w:rPr>
              <w:t>数量</w:t>
            </w:r>
          </w:p>
        </w:tc>
        <w:tc>
          <w:tcPr>
            <w:tcW w:w="1489" w:type="dxa"/>
            <w:noWrap/>
            <w:vAlign w:val="center"/>
          </w:tcPr>
          <w:p>
            <w:pPr>
              <w:keepNext/>
              <w:wordWrap w:val="0"/>
              <w:jc w:val="center"/>
              <w:rPr>
                <w:rFonts w:hint="eastAsia" w:ascii="宋体" w:hAnsi="宋体" w:eastAsia="宋体" w:cs="宋体"/>
                <w:kern w:val="2"/>
                <w:sz w:val="21"/>
                <w:szCs w:val="21"/>
                <w:lang w:val="en-US" w:eastAsia="zh-CN" w:bidi="ar"/>
                <w14:ligatures w14:val="standardContextual"/>
              </w:rPr>
            </w:pPr>
            <w:r>
              <w:rPr>
                <w:rFonts w:hint="eastAsia" w:ascii="宋体" w:hAnsi="宋体" w:eastAsia="宋体" w:cs="宋体"/>
                <w:kern w:val="2"/>
                <w:sz w:val="21"/>
                <w:szCs w:val="21"/>
                <w:lang w:val="en-US" w:eastAsia="zh-CN" w:bidi="ar"/>
                <w14:ligatures w14:val="standardContextual"/>
              </w:rPr>
              <w:t>型号</w:t>
            </w:r>
          </w:p>
        </w:tc>
        <w:tc>
          <w:tcPr>
            <w:tcW w:w="2179" w:type="dxa"/>
            <w:noWrap/>
            <w:vAlign w:val="center"/>
          </w:tcPr>
          <w:p>
            <w:pPr>
              <w:keepNext/>
              <w:wordWrap w:val="0"/>
              <w:jc w:val="center"/>
              <w:rPr>
                <w:rFonts w:hint="eastAsia" w:ascii="宋体" w:hAnsi="宋体" w:eastAsia="宋体" w:cs="宋体"/>
                <w:kern w:val="2"/>
                <w:sz w:val="21"/>
                <w:szCs w:val="21"/>
                <w:lang w:val="en-US" w:eastAsia="zh-CN" w:bidi="ar"/>
                <w14:ligatures w14:val="standardContextual"/>
              </w:rPr>
            </w:pPr>
            <w:r>
              <w:rPr>
                <w:rFonts w:hint="eastAsia" w:ascii="宋体" w:hAnsi="宋体" w:eastAsia="宋体" w:cs="宋体"/>
                <w:kern w:val="2"/>
                <w:sz w:val="21"/>
                <w:szCs w:val="21"/>
                <w:lang w:val="en-US" w:eastAsia="zh-CN" w:bidi="ar"/>
                <w14:ligatures w14:val="standardContextua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125" w:type="dxa"/>
            <w:noWrap/>
          </w:tcPr>
          <w:p>
            <w:pPr>
              <w:wordWrap w:val="0"/>
              <w:jc w:val="center"/>
              <w:rPr>
                <w:rFonts w:hint="eastAsia" w:ascii="宋体" w:hAnsi="宋体" w:eastAsia="宋体" w:cs="宋体"/>
                <w:kern w:val="2"/>
                <w:sz w:val="21"/>
                <w:szCs w:val="21"/>
                <w:lang w:val="en-US" w:eastAsia="zh-CN" w:bidi="ar"/>
                <w14:ligatures w14:val="standardContextual"/>
              </w:rPr>
            </w:pPr>
          </w:p>
        </w:tc>
        <w:tc>
          <w:tcPr>
            <w:tcW w:w="2235" w:type="dxa"/>
            <w:noWrap/>
          </w:tcPr>
          <w:p>
            <w:pPr>
              <w:wordWrap w:val="0"/>
              <w:jc w:val="center"/>
              <w:rPr>
                <w:rFonts w:hint="eastAsia" w:ascii="宋体" w:hAnsi="宋体" w:eastAsia="宋体" w:cs="宋体"/>
                <w:kern w:val="2"/>
                <w:sz w:val="21"/>
                <w:szCs w:val="21"/>
                <w:lang w:val="en-US" w:eastAsia="zh-CN" w:bidi="ar"/>
                <w14:ligatures w14:val="standardContextual"/>
              </w:rPr>
            </w:pPr>
          </w:p>
        </w:tc>
        <w:tc>
          <w:tcPr>
            <w:tcW w:w="1489" w:type="dxa"/>
            <w:noWrap/>
          </w:tcPr>
          <w:p>
            <w:pPr>
              <w:wordWrap w:val="0"/>
              <w:jc w:val="center"/>
              <w:rPr>
                <w:rFonts w:hint="eastAsia" w:ascii="宋体" w:hAnsi="宋体" w:eastAsia="宋体" w:cs="宋体"/>
                <w:kern w:val="2"/>
                <w:sz w:val="21"/>
                <w:szCs w:val="21"/>
                <w:lang w:val="en-US" w:eastAsia="zh-CN" w:bidi="ar"/>
                <w14:ligatures w14:val="standardContextual"/>
              </w:rPr>
            </w:pPr>
          </w:p>
        </w:tc>
        <w:tc>
          <w:tcPr>
            <w:tcW w:w="1489" w:type="dxa"/>
            <w:noWrap/>
          </w:tcPr>
          <w:p>
            <w:pPr>
              <w:wordWrap w:val="0"/>
              <w:jc w:val="center"/>
              <w:rPr>
                <w:rFonts w:hint="eastAsia" w:ascii="宋体" w:hAnsi="宋体" w:eastAsia="宋体" w:cs="宋体"/>
                <w:kern w:val="2"/>
                <w:sz w:val="21"/>
                <w:szCs w:val="21"/>
                <w:lang w:val="en-US" w:eastAsia="zh-CN" w:bidi="ar"/>
                <w14:ligatures w14:val="standardContextual"/>
              </w:rPr>
            </w:pPr>
          </w:p>
        </w:tc>
        <w:tc>
          <w:tcPr>
            <w:tcW w:w="2179" w:type="dxa"/>
            <w:noWrap/>
          </w:tcPr>
          <w:p>
            <w:pPr>
              <w:wordWrap w:val="0"/>
              <w:jc w:val="center"/>
              <w:rPr>
                <w:rFonts w:hint="eastAsia" w:ascii="宋体" w:hAnsi="宋体" w:eastAsia="宋体" w:cs="宋体"/>
                <w:kern w:val="2"/>
                <w:sz w:val="21"/>
                <w:szCs w:val="21"/>
                <w:lang w:val="en-US" w:eastAsia="zh-CN" w:bidi="ar"/>
                <w14:ligatures w14:val="standardContextual"/>
              </w:rPr>
            </w:pPr>
          </w:p>
        </w:tc>
      </w:tr>
    </w:tbl>
    <w:p>
      <w:pPr>
        <w:wordWrap w:val="0"/>
        <w:snapToGrid w:val="0"/>
        <w:ind w:firstLine="400"/>
        <w:rPr>
          <w:szCs w:val="21"/>
        </w:rPr>
      </w:pPr>
    </w:p>
    <w:p>
      <w:pPr>
        <w:wordWrap w:val="0"/>
        <w:jc w:val="center"/>
        <w:rPr>
          <w:rFonts w:hint="eastAsia" w:ascii="宋体" w:hAnsi="宋体" w:eastAsia="宋体" w:cs="宋体"/>
          <w:kern w:val="2"/>
          <w:sz w:val="24"/>
          <w:szCs w:val="20"/>
          <w:lang w:val="en-US" w:eastAsia="zh-CN" w:bidi="ar"/>
          <w14:ligatures w14:val="standardContextual"/>
        </w:rPr>
      </w:pPr>
      <w:r>
        <w:rPr>
          <w:rFonts w:hint="eastAsia" w:ascii="宋体" w:hAnsi="宋体" w:eastAsia="宋体" w:cs="宋体"/>
          <w:b/>
          <w:bCs/>
          <w:kern w:val="2"/>
          <w:sz w:val="24"/>
          <w:szCs w:val="20"/>
          <w:lang w:val="en-US" w:eastAsia="zh-CN" w:bidi="ar"/>
          <w14:ligatures w14:val="standardContextual"/>
        </w:rPr>
        <w:t>附录C-2 随机备品备件</w:t>
      </w:r>
    </w:p>
    <w:tbl>
      <w:tblPr>
        <w:tblStyle w:val="50"/>
        <w:tblW w:w="85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2855"/>
        <w:gridCol w:w="1191"/>
        <w:gridCol w:w="2446"/>
        <w:gridCol w:w="1068"/>
      </w:tblGrid>
      <w:tr>
        <w:tblPrEx>
          <w:tblLayout w:type="fixed"/>
          <w:tblCellMar>
            <w:top w:w="0" w:type="dxa"/>
            <w:left w:w="108" w:type="dxa"/>
            <w:bottom w:w="0" w:type="dxa"/>
            <w:right w:w="108" w:type="dxa"/>
          </w:tblCellMar>
        </w:tblPrEx>
        <w:trPr>
          <w:cantSplit/>
          <w:trHeight w:val="397" w:hRule="atLeast"/>
          <w:jc w:val="center"/>
        </w:trPr>
        <w:tc>
          <w:tcPr>
            <w:tcW w:w="957" w:type="dxa"/>
            <w:noWrap/>
            <w:vAlign w:val="center"/>
          </w:tcPr>
          <w:p>
            <w:pPr>
              <w:keepNext/>
              <w:wordWrap w:val="0"/>
              <w:jc w:val="center"/>
              <w:rPr>
                <w:rFonts w:hint="eastAsia" w:ascii="宋体" w:hAnsi="宋体" w:eastAsia="宋体" w:cs="宋体"/>
                <w:kern w:val="2"/>
                <w:sz w:val="21"/>
                <w:szCs w:val="21"/>
                <w:lang w:val="en-US" w:eastAsia="zh-CN" w:bidi="ar"/>
                <w14:ligatures w14:val="standardContextual"/>
              </w:rPr>
            </w:pPr>
            <w:r>
              <w:rPr>
                <w:rFonts w:hint="eastAsia" w:ascii="宋体" w:hAnsi="宋体" w:eastAsia="宋体" w:cs="宋体"/>
                <w:kern w:val="2"/>
                <w:sz w:val="21"/>
                <w:szCs w:val="21"/>
                <w:lang w:val="en-US" w:eastAsia="zh-CN" w:bidi="ar"/>
                <w14:ligatures w14:val="standardContextual"/>
              </w:rPr>
              <w:t>序号</w:t>
            </w:r>
          </w:p>
        </w:tc>
        <w:tc>
          <w:tcPr>
            <w:tcW w:w="2855" w:type="dxa"/>
            <w:noWrap/>
            <w:vAlign w:val="center"/>
          </w:tcPr>
          <w:p>
            <w:pPr>
              <w:keepNext/>
              <w:wordWrap w:val="0"/>
              <w:jc w:val="center"/>
              <w:rPr>
                <w:rFonts w:hint="eastAsia" w:ascii="宋体" w:hAnsi="宋体" w:eastAsia="宋体" w:cs="宋体"/>
                <w:kern w:val="2"/>
                <w:sz w:val="21"/>
                <w:szCs w:val="21"/>
                <w:lang w:val="en-US" w:eastAsia="zh-CN" w:bidi="ar"/>
                <w14:ligatures w14:val="standardContextual"/>
              </w:rPr>
            </w:pPr>
            <w:r>
              <w:rPr>
                <w:rFonts w:hint="eastAsia" w:ascii="宋体" w:hAnsi="宋体" w:eastAsia="宋体" w:cs="宋体"/>
                <w:kern w:val="2"/>
                <w:sz w:val="21"/>
                <w:szCs w:val="21"/>
                <w:lang w:val="en-US" w:eastAsia="zh-CN" w:bidi="ar"/>
                <w14:ligatures w14:val="standardContextual"/>
              </w:rPr>
              <w:t>备品、备件名称和规格</w:t>
            </w:r>
          </w:p>
        </w:tc>
        <w:tc>
          <w:tcPr>
            <w:tcW w:w="1191" w:type="dxa"/>
            <w:noWrap/>
            <w:vAlign w:val="center"/>
          </w:tcPr>
          <w:p>
            <w:pPr>
              <w:keepNext/>
              <w:wordWrap w:val="0"/>
              <w:jc w:val="center"/>
              <w:rPr>
                <w:rFonts w:hint="eastAsia" w:ascii="宋体" w:hAnsi="宋体" w:eastAsia="宋体" w:cs="宋体"/>
                <w:kern w:val="2"/>
                <w:sz w:val="21"/>
                <w:szCs w:val="21"/>
                <w:lang w:val="en-US" w:eastAsia="zh-CN" w:bidi="ar"/>
                <w14:ligatures w14:val="standardContextual"/>
              </w:rPr>
            </w:pPr>
            <w:r>
              <w:rPr>
                <w:rFonts w:hint="eastAsia" w:ascii="宋体" w:hAnsi="宋体" w:eastAsia="宋体" w:cs="宋体"/>
                <w:kern w:val="2"/>
                <w:sz w:val="21"/>
                <w:szCs w:val="21"/>
                <w:lang w:val="en-US" w:eastAsia="zh-CN" w:bidi="ar"/>
                <w14:ligatures w14:val="standardContextual"/>
              </w:rPr>
              <w:t>数量</w:t>
            </w:r>
          </w:p>
        </w:tc>
        <w:tc>
          <w:tcPr>
            <w:tcW w:w="2446" w:type="dxa"/>
            <w:noWrap/>
            <w:vAlign w:val="center"/>
          </w:tcPr>
          <w:p>
            <w:pPr>
              <w:keepNext/>
              <w:wordWrap w:val="0"/>
              <w:jc w:val="center"/>
              <w:rPr>
                <w:rFonts w:hint="eastAsia" w:ascii="宋体" w:hAnsi="宋体" w:eastAsia="宋体" w:cs="宋体"/>
                <w:kern w:val="2"/>
                <w:sz w:val="21"/>
                <w:szCs w:val="21"/>
                <w:lang w:val="en-US" w:eastAsia="zh-CN" w:bidi="ar"/>
                <w14:ligatures w14:val="standardContextual"/>
              </w:rPr>
            </w:pPr>
            <w:r>
              <w:rPr>
                <w:rFonts w:hint="eastAsia" w:ascii="宋体" w:hAnsi="宋体" w:eastAsia="宋体" w:cs="宋体"/>
                <w:kern w:val="2"/>
                <w:sz w:val="21"/>
                <w:szCs w:val="21"/>
                <w:lang w:val="en-US" w:eastAsia="zh-CN" w:bidi="ar"/>
                <w14:ligatures w14:val="standardContextual"/>
              </w:rPr>
              <w:t>产地/制造厂名</w:t>
            </w:r>
          </w:p>
        </w:tc>
        <w:tc>
          <w:tcPr>
            <w:tcW w:w="1068" w:type="dxa"/>
            <w:noWrap/>
            <w:vAlign w:val="center"/>
          </w:tcPr>
          <w:p>
            <w:pPr>
              <w:keepNext/>
              <w:wordWrap w:val="0"/>
              <w:jc w:val="center"/>
              <w:rPr>
                <w:rFonts w:hint="eastAsia" w:ascii="宋体" w:hAnsi="宋体" w:eastAsia="宋体" w:cs="宋体"/>
                <w:kern w:val="2"/>
                <w:sz w:val="21"/>
                <w:szCs w:val="21"/>
                <w:lang w:val="en-US" w:eastAsia="zh-CN" w:bidi="ar"/>
                <w14:ligatures w14:val="standardContextual"/>
              </w:rPr>
            </w:pPr>
            <w:r>
              <w:rPr>
                <w:rFonts w:hint="eastAsia" w:ascii="宋体" w:hAnsi="宋体" w:eastAsia="宋体" w:cs="宋体"/>
                <w:kern w:val="2"/>
                <w:sz w:val="21"/>
                <w:szCs w:val="21"/>
                <w:lang w:val="en-US" w:eastAsia="zh-CN" w:bidi="ar"/>
                <w14:ligatures w14:val="standardContextua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957" w:type="dxa"/>
            <w:noWrap/>
          </w:tcPr>
          <w:p>
            <w:pPr>
              <w:wordWrap w:val="0"/>
              <w:jc w:val="center"/>
              <w:rPr>
                <w:rFonts w:hint="eastAsia" w:ascii="宋体" w:hAnsi="宋体" w:eastAsia="宋体" w:cs="宋体"/>
                <w:kern w:val="2"/>
                <w:sz w:val="21"/>
                <w:szCs w:val="21"/>
                <w:lang w:val="en-US" w:eastAsia="zh-CN" w:bidi="ar"/>
                <w14:ligatures w14:val="standardContextual"/>
              </w:rPr>
            </w:pPr>
          </w:p>
        </w:tc>
        <w:tc>
          <w:tcPr>
            <w:tcW w:w="2855" w:type="dxa"/>
            <w:noWrap/>
          </w:tcPr>
          <w:p>
            <w:pPr>
              <w:wordWrap w:val="0"/>
              <w:jc w:val="center"/>
              <w:rPr>
                <w:rFonts w:hint="eastAsia" w:ascii="宋体" w:hAnsi="宋体" w:eastAsia="宋体" w:cs="宋体"/>
                <w:kern w:val="2"/>
                <w:sz w:val="21"/>
                <w:szCs w:val="21"/>
                <w:lang w:val="en-US" w:eastAsia="zh-CN" w:bidi="ar"/>
                <w14:ligatures w14:val="standardContextual"/>
              </w:rPr>
            </w:pPr>
          </w:p>
        </w:tc>
        <w:tc>
          <w:tcPr>
            <w:tcW w:w="1191" w:type="dxa"/>
            <w:noWrap/>
          </w:tcPr>
          <w:p>
            <w:pPr>
              <w:wordWrap w:val="0"/>
              <w:jc w:val="center"/>
              <w:rPr>
                <w:rFonts w:hint="eastAsia" w:ascii="宋体" w:hAnsi="宋体" w:eastAsia="宋体" w:cs="宋体"/>
                <w:kern w:val="2"/>
                <w:sz w:val="21"/>
                <w:szCs w:val="21"/>
                <w:lang w:val="en-US" w:eastAsia="zh-CN" w:bidi="ar"/>
                <w14:ligatures w14:val="standardContextual"/>
              </w:rPr>
            </w:pPr>
          </w:p>
        </w:tc>
        <w:tc>
          <w:tcPr>
            <w:tcW w:w="2446" w:type="dxa"/>
            <w:noWrap/>
          </w:tcPr>
          <w:p>
            <w:pPr>
              <w:wordWrap w:val="0"/>
              <w:jc w:val="center"/>
              <w:rPr>
                <w:rFonts w:hint="eastAsia" w:ascii="宋体" w:hAnsi="宋体" w:eastAsia="宋体" w:cs="宋体"/>
                <w:kern w:val="2"/>
                <w:sz w:val="21"/>
                <w:szCs w:val="21"/>
                <w:lang w:val="en-US" w:eastAsia="zh-CN" w:bidi="ar"/>
                <w14:ligatures w14:val="standardContextual"/>
              </w:rPr>
            </w:pPr>
          </w:p>
        </w:tc>
        <w:tc>
          <w:tcPr>
            <w:tcW w:w="1068" w:type="dxa"/>
            <w:noWrap/>
          </w:tcPr>
          <w:p>
            <w:pPr>
              <w:wordWrap w:val="0"/>
              <w:jc w:val="center"/>
              <w:rPr>
                <w:rFonts w:hint="eastAsia" w:ascii="宋体" w:hAnsi="宋体" w:eastAsia="宋体" w:cs="宋体"/>
                <w:kern w:val="2"/>
                <w:sz w:val="21"/>
                <w:szCs w:val="21"/>
                <w:lang w:val="en-US" w:eastAsia="zh-CN" w:bidi="ar"/>
                <w14:ligatures w14:val="standardContextual"/>
              </w:rPr>
            </w:pPr>
          </w:p>
        </w:tc>
      </w:tr>
    </w:tbl>
    <w:p>
      <w:pPr>
        <w:wordWrap w:val="0"/>
        <w:snapToGrid w:val="0"/>
        <w:ind w:firstLine="400"/>
        <w:rPr>
          <w:szCs w:val="21"/>
        </w:rPr>
      </w:pPr>
    </w:p>
    <w:p>
      <w:pPr>
        <w:wordWrap w:val="0"/>
        <w:jc w:val="center"/>
        <w:rPr>
          <w:rFonts w:hint="eastAsia" w:ascii="宋体" w:hAnsi="宋体" w:eastAsia="宋体" w:cs="宋体"/>
          <w:kern w:val="2"/>
          <w:sz w:val="24"/>
          <w:szCs w:val="20"/>
          <w:lang w:val="en-US" w:eastAsia="zh-CN" w:bidi="ar"/>
          <w14:ligatures w14:val="standardContextual"/>
        </w:rPr>
      </w:pPr>
      <w:r>
        <w:rPr>
          <w:rFonts w:hint="eastAsia" w:ascii="宋体" w:hAnsi="宋体" w:eastAsia="宋体" w:cs="宋体"/>
          <w:b/>
          <w:bCs/>
          <w:kern w:val="2"/>
          <w:sz w:val="24"/>
          <w:szCs w:val="20"/>
          <w:lang w:val="en-US" w:eastAsia="zh-CN" w:bidi="ar"/>
          <w14:ligatures w14:val="standardContextual"/>
        </w:rPr>
        <w:t>附录C-3 推荐备品备件</w:t>
      </w:r>
    </w:p>
    <w:tbl>
      <w:tblPr>
        <w:tblStyle w:val="50"/>
        <w:tblW w:w="85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2851"/>
        <w:gridCol w:w="1189"/>
        <w:gridCol w:w="2443"/>
        <w:gridCol w:w="1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956" w:type="dxa"/>
            <w:noWrap/>
            <w:vAlign w:val="center"/>
          </w:tcPr>
          <w:p>
            <w:pPr>
              <w:keepNext/>
              <w:wordWrap w:val="0"/>
              <w:jc w:val="center"/>
              <w:rPr>
                <w:rFonts w:hint="eastAsia" w:ascii="宋体" w:hAnsi="宋体" w:eastAsia="宋体" w:cs="宋体"/>
                <w:kern w:val="2"/>
                <w:sz w:val="21"/>
                <w:szCs w:val="21"/>
                <w:lang w:val="en-US" w:eastAsia="zh-CN" w:bidi="ar"/>
                <w14:ligatures w14:val="standardContextual"/>
              </w:rPr>
            </w:pPr>
            <w:r>
              <w:rPr>
                <w:rFonts w:hint="eastAsia" w:ascii="宋体" w:hAnsi="宋体" w:eastAsia="宋体" w:cs="宋体"/>
                <w:kern w:val="2"/>
                <w:sz w:val="21"/>
                <w:szCs w:val="21"/>
                <w:lang w:val="en-US" w:eastAsia="zh-CN" w:bidi="ar"/>
                <w14:ligatures w14:val="standardContextual"/>
              </w:rPr>
              <w:t>序号</w:t>
            </w:r>
          </w:p>
        </w:tc>
        <w:tc>
          <w:tcPr>
            <w:tcW w:w="2851" w:type="dxa"/>
            <w:noWrap/>
            <w:vAlign w:val="center"/>
          </w:tcPr>
          <w:p>
            <w:pPr>
              <w:keepNext/>
              <w:wordWrap w:val="0"/>
              <w:jc w:val="center"/>
              <w:rPr>
                <w:rFonts w:hint="eastAsia" w:ascii="宋体" w:hAnsi="宋体" w:eastAsia="宋体" w:cs="宋体"/>
                <w:kern w:val="2"/>
                <w:sz w:val="21"/>
                <w:szCs w:val="21"/>
                <w:lang w:val="en-US" w:eastAsia="zh-CN" w:bidi="ar"/>
                <w14:ligatures w14:val="standardContextual"/>
              </w:rPr>
            </w:pPr>
            <w:r>
              <w:rPr>
                <w:rFonts w:hint="eastAsia" w:ascii="宋体" w:hAnsi="宋体" w:eastAsia="宋体" w:cs="宋体"/>
                <w:kern w:val="2"/>
                <w:sz w:val="21"/>
                <w:szCs w:val="21"/>
                <w:lang w:val="en-US" w:eastAsia="zh-CN" w:bidi="ar"/>
                <w14:ligatures w14:val="standardContextual"/>
              </w:rPr>
              <w:t>备品、备件名称和规格</w:t>
            </w:r>
          </w:p>
        </w:tc>
        <w:tc>
          <w:tcPr>
            <w:tcW w:w="1189" w:type="dxa"/>
            <w:noWrap/>
            <w:vAlign w:val="center"/>
          </w:tcPr>
          <w:p>
            <w:pPr>
              <w:keepNext/>
              <w:wordWrap w:val="0"/>
              <w:jc w:val="center"/>
              <w:rPr>
                <w:rFonts w:hint="eastAsia" w:ascii="宋体" w:hAnsi="宋体" w:eastAsia="宋体" w:cs="宋体"/>
                <w:kern w:val="2"/>
                <w:sz w:val="21"/>
                <w:szCs w:val="21"/>
                <w:lang w:val="en-US" w:eastAsia="zh-CN" w:bidi="ar"/>
                <w14:ligatures w14:val="standardContextual"/>
              </w:rPr>
            </w:pPr>
            <w:r>
              <w:rPr>
                <w:rFonts w:hint="eastAsia" w:ascii="宋体" w:hAnsi="宋体" w:eastAsia="宋体" w:cs="宋体"/>
                <w:kern w:val="2"/>
                <w:sz w:val="21"/>
                <w:szCs w:val="21"/>
                <w:lang w:val="en-US" w:eastAsia="zh-CN" w:bidi="ar"/>
                <w14:ligatures w14:val="standardContextual"/>
              </w:rPr>
              <w:t>数量</w:t>
            </w:r>
          </w:p>
        </w:tc>
        <w:tc>
          <w:tcPr>
            <w:tcW w:w="2443" w:type="dxa"/>
            <w:noWrap/>
            <w:vAlign w:val="center"/>
          </w:tcPr>
          <w:p>
            <w:pPr>
              <w:keepNext/>
              <w:wordWrap w:val="0"/>
              <w:jc w:val="center"/>
              <w:rPr>
                <w:rFonts w:hint="eastAsia" w:ascii="宋体" w:hAnsi="宋体" w:eastAsia="宋体" w:cs="宋体"/>
                <w:kern w:val="2"/>
                <w:sz w:val="21"/>
                <w:szCs w:val="21"/>
                <w:lang w:val="en-US" w:eastAsia="zh-CN" w:bidi="ar"/>
                <w14:ligatures w14:val="standardContextual"/>
              </w:rPr>
            </w:pPr>
            <w:r>
              <w:rPr>
                <w:rFonts w:hint="eastAsia" w:ascii="宋体" w:hAnsi="宋体" w:eastAsia="宋体" w:cs="宋体"/>
                <w:kern w:val="2"/>
                <w:sz w:val="21"/>
                <w:szCs w:val="21"/>
                <w:lang w:val="en-US" w:eastAsia="zh-CN" w:bidi="ar"/>
                <w14:ligatures w14:val="standardContextual"/>
              </w:rPr>
              <w:t>产地/制造厂名</w:t>
            </w:r>
          </w:p>
        </w:tc>
        <w:tc>
          <w:tcPr>
            <w:tcW w:w="1078" w:type="dxa"/>
            <w:noWrap/>
            <w:vAlign w:val="center"/>
          </w:tcPr>
          <w:p>
            <w:pPr>
              <w:keepNext/>
              <w:wordWrap w:val="0"/>
              <w:jc w:val="center"/>
              <w:rPr>
                <w:rFonts w:hint="eastAsia" w:ascii="宋体" w:hAnsi="宋体" w:eastAsia="宋体" w:cs="宋体"/>
                <w:kern w:val="2"/>
                <w:sz w:val="21"/>
                <w:szCs w:val="21"/>
                <w:lang w:val="en-US" w:eastAsia="zh-CN" w:bidi="ar"/>
                <w14:ligatures w14:val="standardContextual"/>
              </w:rPr>
            </w:pPr>
            <w:r>
              <w:rPr>
                <w:rFonts w:hint="eastAsia" w:ascii="宋体" w:hAnsi="宋体" w:eastAsia="宋体" w:cs="宋体"/>
                <w:kern w:val="2"/>
                <w:sz w:val="21"/>
                <w:szCs w:val="21"/>
                <w:lang w:val="en-US" w:eastAsia="zh-CN" w:bidi="ar"/>
                <w14:ligatures w14:val="standardContextua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956" w:type="dxa"/>
            <w:noWrap/>
          </w:tcPr>
          <w:p>
            <w:pPr>
              <w:wordWrap w:val="0"/>
              <w:jc w:val="center"/>
              <w:rPr>
                <w:rFonts w:hint="eastAsia" w:ascii="宋体" w:hAnsi="宋体" w:eastAsia="宋体" w:cs="宋体"/>
                <w:kern w:val="2"/>
                <w:sz w:val="21"/>
                <w:szCs w:val="21"/>
                <w:lang w:val="en-US" w:eastAsia="zh-CN" w:bidi="ar"/>
                <w14:ligatures w14:val="standardContextual"/>
              </w:rPr>
            </w:pPr>
          </w:p>
        </w:tc>
        <w:tc>
          <w:tcPr>
            <w:tcW w:w="2851" w:type="dxa"/>
            <w:noWrap/>
          </w:tcPr>
          <w:p>
            <w:pPr>
              <w:wordWrap w:val="0"/>
              <w:jc w:val="center"/>
              <w:rPr>
                <w:rFonts w:hint="eastAsia" w:ascii="宋体" w:hAnsi="宋体" w:eastAsia="宋体" w:cs="宋体"/>
                <w:kern w:val="2"/>
                <w:sz w:val="21"/>
                <w:szCs w:val="21"/>
                <w:lang w:val="en-US" w:eastAsia="zh-CN" w:bidi="ar"/>
                <w14:ligatures w14:val="standardContextual"/>
              </w:rPr>
            </w:pPr>
          </w:p>
        </w:tc>
        <w:tc>
          <w:tcPr>
            <w:tcW w:w="1189" w:type="dxa"/>
            <w:noWrap/>
          </w:tcPr>
          <w:p>
            <w:pPr>
              <w:wordWrap w:val="0"/>
              <w:jc w:val="center"/>
              <w:rPr>
                <w:rFonts w:hint="eastAsia" w:ascii="宋体" w:hAnsi="宋体" w:eastAsia="宋体" w:cs="宋体"/>
                <w:kern w:val="2"/>
                <w:sz w:val="21"/>
                <w:szCs w:val="21"/>
                <w:lang w:val="en-US" w:eastAsia="zh-CN" w:bidi="ar"/>
                <w14:ligatures w14:val="standardContextual"/>
              </w:rPr>
            </w:pPr>
          </w:p>
        </w:tc>
        <w:tc>
          <w:tcPr>
            <w:tcW w:w="2443" w:type="dxa"/>
            <w:noWrap/>
          </w:tcPr>
          <w:p>
            <w:pPr>
              <w:wordWrap w:val="0"/>
              <w:jc w:val="center"/>
              <w:rPr>
                <w:rFonts w:hint="eastAsia" w:ascii="宋体" w:hAnsi="宋体" w:eastAsia="宋体" w:cs="宋体"/>
                <w:kern w:val="2"/>
                <w:sz w:val="21"/>
                <w:szCs w:val="21"/>
                <w:lang w:val="en-US" w:eastAsia="zh-CN" w:bidi="ar"/>
                <w14:ligatures w14:val="standardContextual"/>
              </w:rPr>
            </w:pPr>
          </w:p>
        </w:tc>
        <w:tc>
          <w:tcPr>
            <w:tcW w:w="1078" w:type="dxa"/>
            <w:noWrap/>
          </w:tcPr>
          <w:p>
            <w:pPr>
              <w:wordWrap w:val="0"/>
              <w:jc w:val="center"/>
              <w:rPr>
                <w:rFonts w:hint="eastAsia" w:ascii="宋体" w:hAnsi="宋体" w:eastAsia="宋体" w:cs="宋体"/>
                <w:kern w:val="2"/>
                <w:sz w:val="21"/>
                <w:szCs w:val="21"/>
                <w:lang w:val="en-US" w:eastAsia="zh-CN" w:bidi="ar"/>
                <w14:ligatures w14:val="standardContextual"/>
              </w:rPr>
            </w:pPr>
          </w:p>
        </w:tc>
      </w:tr>
    </w:tbl>
    <w:p>
      <w:pPr>
        <w:wordWrap w:val="0"/>
        <w:snapToGrid w:val="0"/>
        <w:ind w:firstLine="400"/>
        <w:rPr>
          <w:szCs w:val="21"/>
        </w:rPr>
      </w:pPr>
    </w:p>
    <w:p>
      <w:pPr>
        <w:wordWrap w:val="0"/>
        <w:jc w:val="center"/>
        <w:rPr>
          <w:rFonts w:hint="eastAsia" w:ascii="宋体" w:hAnsi="宋体" w:eastAsia="宋体" w:cs="宋体"/>
          <w:b/>
          <w:bCs/>
          <w:kern w:val="2"/>
          <w:sz w:val="24"/>
          <w:szCs w:val="20"/>
          <w:lang w:val="en-US" w:eastAsia="zh-CN" w:bidi="ar"/>
          <w14:ligatures w14:val="standardContextual"/>
        </w:rPr>
      </w:pPr>
      <w:r>
        <w:rPr>
          <w:rFonts w:hint="eastAsia" w:ascii="宋体" w:hAnsi="宋体" w:eastAsia="宋体" w:cs="宋体"/>
          <w:b/>
          <w:bCs/>
          <w:kern w:val="2"/>
          <w:sz w:val="24"/>
          <w:szCs w:val="20"/>
          <w:lang w:val="en-US" w:eastAsia="zh-CN" w:bidi="ar"/>
          <w14:ligatures w14:val="standardContextual"/>
        </w:rPr>
        <w:t>附录C-4 备品备件加工图</w:t>
      </w:r>
    </w:p>
    <w:tbl>
      <w:tblPr>
        <w:tblStyle w:val="50"/>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
        <w:gridCol w:w="2512"/>
        <w:gridCol w:w="755"/>
        <w:gridCol w:w="808"/>
        <w:gridCol w:w="728"/>
        <w:gridCol w:w="1945"/>
        <w:gridCol w:w="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886" w:type="dxa"/>
            <w:noWrap/>
            <w:vAlign w:val="center"/>
          </w:tcPr>
          <w:p>
            <w:pPr>
              <w:keepNext/>
              <w:wordWrap w:val="0"/>
              <w:jc w:val="center"/>
              <w:rPr>
                <w:rFonts w:hint="eastAsia" w:ascii="宋体" w:hAnsi="宋体" w:eastAsia="宋体" w:cs="宋体"/>
                <w:kern w:val="2"/>
                <w:sz w:val="21"/>
                <w:szCs w:val="21"/>
                <w:lang w:val="en-US" w:eastAsia="zh-CN" w:bidi="ar"/>
                <w14:ligatures w14:val="standardContextual"/>
              </w:rPr>
            </w:pPr>
            <w:r>
              <w:rPr>
                <w:rFonts w:hint="eastAsia" w:ascii="宋体" w:hAnsi="宋体" w:eastAsia="宋体" w:cs="宋体"/>
                <w:kern w:val="2"/>
                <w:sz w:val="21"/>
                <w:szCs w:val="21"/>
                <w:lang w:val="en-US" w:eastAsia="zh-CN" w:bidi="ar"/>
                <w14:ligatures w14:val="standardContextual"/>
              </w:rPr>
              <w:t>序号</w:t>
            </w:r>
          </w:p>
        </w:tc>
        <w:tc>
          <w:tcPr>
            <w:tcW w:w="2512" w:type="dxa"/>
            <w:noWrap/>
            <w:vAlign w:val="center"/>
          </w:tcPr>
          <w:p>
            <w:pPr>
              <w:keepNext/>
              <w:wordWrap w:val="0"/>
              <w:jc w:val="center"/>
              <w:rPr>
                <w:rFonts w:hint="eastAsia" w:ascii="宋体" w:hAnsi="宋体" w:eastAsia="宋体" w:cs="宋体"/>
                <w:kern w:val="2"/>
                <w:sz w:val="21"/>
                <w:szCs w:val="21"/>
                <w:lang w:val="en-US" w:eastAsia="zh-CN" w:bidi="ar"/>
                <w14:ligatures w14:val="standardContextual"/>
              </w:rPr>
            </w:pPr>
            <w:r>
              <w:rPr>
                <w:rFonts w:hint="eastAsia" w:ascii="宋体" w:hAnsi="宋体" w:eastAsia="宋体" w:cs="宋体"/>
                <w:kern w:val="2"/>
                <w:sz w:val="21"/>
                <w:szCs w:val="21"/>
                <w:lang w:val="en-US" w:eastAsia="zh-CN" w:bidi="ar"/>
                <w14:ligatures w14:val="standardContextual"/>
              </w:rPr>
              <w:t>备品备件加工图</w:t>
            </w:r>
          </w:p>
        </w:tc>
        <w:tc>
          <w:tcPr>
            <w:tcW w:w="755" w:type="dxa"/>
            <w:noWrap/>
            <w:vAlign w:val="center"/>
          </w:tcPr>
          <w:p>
            <w:pPr>
              <w:keepNext/>
              <w:wordWrap w:val="0"/>
              <w:jc w:val="center"/>
              <w:rPr>
                <w:rFonts w:hint="eastAsia" w:ascii="宋体" w:hAnsi="宋体" w:eastAsia="宋体" w:cs="宋体"/>
                <w:kern w:val="2"/>
                <w:sz w:val="21"/>
                <w:szCs w:val="21"/>
                <w:lang w:val="en-US" w:eastAsia="zh-CN" w:bidi="ar"/>
                <w14:ligatures w14:val="standardContextual"/>
              </w:rPr>
            </w:pPr>
            <w:r>
              <w:rPr>
                <w:rFonts w:hint="eastAsia" w:ascii="宋体" w:hAnsi="宋体" w:eastAsia="宋体" w:cs="宋体"/>
                <w:kern w:val="2"/>
                <w:sz w:val="21"/>
                <w:szCs w:val="21"/>
                <w:lang w:val="en-US" w:eastAsia="zh-CN" w:bidi="ar"/>
                <w14:ligatures w14:val="standardContextual"/>
              </w:rPr>
              <w:t>数量</w:t>
            </w:r>
          </w:p>
        </w:tc>
        <w:tc>
          <w:tcPr>
            <w:tcW w:w="808" w:type="dxa"/>
            <w:noWrap/>
            <w:vAlign w:val="center"/>
          </w:tcPr>
          <w:p>
            <w:pPr>
              <w:keepNext/>
              <w:wordWrap w:val="0"/>
              <w:jc w:val="center"/>
              <w:rPr>
                <w:rFonts w:hint="eastAsia" w:ascii="宋体" w:hAnsi="宋体" w:eastAsia="宋体" w:cs="宋体"/>
                <w:kern w:val="2"/>
                <w:sz w:val="21"/>
                <w:szCs w:val="21"/>
                <w:lang w:val="en-US" w:eastAsia="zh-CN" w:bidi="ar"/>
                <w14:ligatures w14:val="standardContextual"/>
              </w:rPr>
            </w:pPr>
            <w:r>
              <w:rPr>
                <w:rFonts w:hint="eastAsia" w:ascii="宋体" w:hAnsi="宋体" w:eastAsia="宋体" w:cs="宋体"/>
                <w:kern w:val="2"/>
                <w:sz w:val="21"/>
                <w:szCs w:val="21"/>
                <w:lang w:val="en-US" w:eastAsia="zh-CN" w:bidi="ar"/>
                <w14:ligatures w14:val="standardContextual"/>
              </w:rPr>
              <w:t>无偿</w:t>
            </w:r>
          </w:p>
        </w:tc>
        <w:tc>
          <w:tcPr>
            <w:tcW w:w="728" w:type="dxa"/>
            <w:noWrap/>
            <w:vAlign w:val="center"/>
          </w:tcPr>
          <w:p>
            <w:pPr>
              <w:keepNext/>
              <w:wordWrap w:val="0"/>
              <w:jc w:val="center"/>
              <w:rPr>
                <w:rFonts w:hint="eastAsia" w:ascii="宋体" w:hAnsi="宋体" w:eastAsia="宋体" w:cs="宋体"/>
                <w:kern w:val="2"/>
                <w:sz w:val="21"/>
                <w:szCs w:val="21"/>
                <w:lang w:val="en-US" w:eastAsia="zh-CN" w:bidi="ar"/>
                <w14:ligatures w14:val="standardContextual"/>
              </w:rPr>
            </w:pPr>
            <w:r>
              <w:rPr>
                <w:rFonts w:hint="eastAsia" w:ascii="宋体" w:hAnsi="宋体" w:eastAsia="宋体" w:cs="宋体"/>
                <w:kern w:val="2"/>
                <w:sz w:val="21"/>
                <w:szCs w:val="21"/>
                <w:lang w:val="en-US" w:eastAsia="zh-CN" w:bidi="ar"/>
                <w14:ligatures w14:val="standardContextual"/>
              </w:rPr>
              <w:t>有偿</w:t>
            </w:r>
          </w:p>
        </w:tc>
        <w:tc>
          <w:tcPr>
            <w:tcW w:w="1945" w:type="dxa"/>
            <w:noWrap/>
            <w:vAlign w:val="center"/>
          </w:tcPr>
          <w:p>
            <w:pPr>
              <w:keepNext/>
              <w:wordWrap w:val="0"/>
              <w:jc w:val="center"/>
              <w:rPr>
                <w:rFonts w:hint="eastAsia" w:ascii="宋体" w:hAnsi="宋体" w:eastAsia="宋体" w:cs="宋体"/>
                <w:kern w:val="2"/>
                <w:sz w:val="21"/>
                <w:szCs w:val="21"/>
                <w:lang w:val="en-US" w:eastAsia="zh-CN" w:bidi="ar"/>
                <w14:ligatures w14:val="standardContextual"/>
              </w:rPr>
            </w:pPr>
            <w:r>
              <w:rPr>
                <w:rFonts w:hint="eastAsia" w:ascii="宋体" w:hAnsi="宋体" w:eastAsia="宋体" w:cs="宋体"/>
                <w:kern w:val="2"/>
                <w:sz w:val="21"/>
                <w:szCs w:val="21"/>
                <w:lang w:val="en-US" w:eastAsia="zh-CN" w:bidi="ar"/>
                <w14:ligatures w14:val="standardContextual"/>
              </w:rPr>
              <w:t>单价（若有偿）</w:t>
            </w:r>
          </w:p>
        </w:tc>
        <w:tc>
          <w:tcPr>
            <w:tcW w:w="888" w:type="dxa"/>
            <w:noWrap/>
            <w:vAlign w:val="center"/>
          </w:tcPr>
          <w:p>
            <w:pPr>
              <w:keepNext/>
              <w:wordWrap w:val="0"/>
              <w:jc w:val="center"/>
              <w:rPr>
                <w:rFonts w:hint="eastAsia" w:ascii="宋体" w:hAnsi="宋体" w:eastAsia="宋体" w:cs="宋体"/>
                <w:kern w:val="2"/>
                <w:sz w:val="21"/>
                <w:szCs w:val="21"/>
                <w:lang w:val="en-US" w:eastAsia="zh-CN" w:bidi="ar"/>
                <w14:ligatures w14:val="standardContextual"/>
              </w:rPr>
            </w:pPr>
            <w:r>
              <w:rPr>
                <w:rFonts w:hint="eastAsia" w:ascii="宋体" w:hAnsi="宋体" w:eastAsia="宋体" w:cs="宋体"/>
                <w:kern w:val="2"/>
                <w:sz w:val="21"/>
                <w:szCs w:val="21"/>
                <w:lang w:val="en-US" w:eastAsia="zh-CN" w:bidi="ar"/>
                <w14:ligatures w14:val="standardContextua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886" w:type="dxa"/>
            <w:noWrap/>
          </w:tcPr>
          <w:p>
            <w:pPr>
              <w:wordWrap w:val="0"/>
              <w:rPr>
                <w:rFonts w:hint="eastAsia" w:ascii="宋体" w:hAnsi="宋体" w:eastAsia="宋体" w:cs="宋体"/>
                <w:kern w:val="2"/>
                <w:sz w:val="21"/>
                <w:szCs w:val="21"/>
                <w:lang w:val="en-US" w:eastAsia="zh-CN" w:bidi="ar"/>
                <w14:ligatures w14:val="standardContextual"/>
              </w:rPr>
            </w:pPr>
          </w:p>
        </w:tc>
        <w:tc>
          <w:tcPr>
            <w:tcW w:w="2512" w:type="dxa"/>
            <w:noWrap/>
          </w:tcPr>
          <w:p>
            <w:pPr>
              <w:wordWrap w:val="0"/>
              <w:rPr>
                <w:rFonts w:hint="eastAsia" w:ascii="宋体" w:hAnsi="宋体" w:eastAsia="宋体" w:cs="宋体"/>
                <w:kern w:val="2"/>
                <w:sz w:val="21"/>
                <w:szCs w:val="21"/>
                <w:lang w:val="en-US" w:eastAsia="zh-CN" w:bidi="ar"/>
                <w14:ligatures w14:val="standardContextual"/>
              </w:rPr>
            </w:pPr>
          </w:p>
        </w:tc>
        <w:tc>
          <w:tcPr>
            <w:tcW w:w="755" w:type="dxa"/>
            <w:noWrap/>
          </w:tcPr>
          <w:p>
            <w:pPr>
              <w:wordWrap w:val="0"/>
              <w:rPr>
                <w:rFonts w:hint="eastAsia" w:ascii="宋体" w:hAnsi="宋体" w:eastAsia="宋体" w:cs="宋体"/>
                <w:kern w:val="2"/>
                <w:sz w:val="21"/>
                <w:szCs w:val="21"/>
                <w:lang w:val="en-US" w:eastAsia="zh-CN" w:bidi="ar"/>
                <w14:ligatures w14:val="standardContextual"/>
              </w:rPr>
            </w:pPr>
          </w:p>
        </w:tc>
        <w:tc>
          <w:tcPr>
            <w:tcW w:w="808" w:type="dxa"/>
            <w:noWrap/>
          </w:tcPr>
          <w:p>
            <w:pPr>
              <w:wordWrap w:val="0"/>
              <w:rPr>
                <w:rFonts w:hint="eastAsia" w:ascii="宋体" w:hAnsi="宋体" w:eastAsia="宋体" w:cs="宋体"/>
                <w:kern w:val="2"/>
                <w:sz w:val="21"/>
                <w:szCs w:val="21"/>
                <w:lang w:val="en-US" w:eastAsia="zh-CN" w:bidi="ar"/>
                <w14:ligatures w14:val="standardContextual"/>
              </w:rPr>
            </w:pPr>
          </w:p>
        </w:tc>
        <w:tc>
          <w:tcPr>
            <w:tcW w:w="728" w:type="dxa"/>
            <w:noWrap/>
          </w:tcPr>
          <w:p>
            <w:pPr>
              <w:wordWrap w:val="0"/>
              <w:rPr>
                <w:rFonts w:hint="eastAsia" w:ascii="宋体" w:hAnsi="宋体" w:eastAsia="宋体" w:cs="宋体"/>
                <w:kern w:val="2"/>
                <w:sz w:val="21"/>
                <w:szCs w:val="21"/>
                <w:lang w:val="en-US" w:eastAsia="zh-CN" w:bidi="ar"/>
                <w14:ligatures w14:val="standardContextual"/>
              </w:rPr>
            </w:pPr>
          </w:p>
        </w:tc>
        <w:tc>
          <w:tcPr>
            <w:tcW w:w="1945" w:type="dxa"/>
            <w:noWrap/>
          </w:tcPr>
          <w:p>
            <w:pPr>
              <w:wordWrap w:val="0"/>
              <w:rPr>
                <w:rFonts w:hint="eastAsia" w:ascii="宋体" w:hAnsi="宋体" w:eastAsia="宋体" w:cs="宋体"/>
                <w:kern w:val="2"/>
                <w:sz w:val="21"/>
                <w:szCs w:val="21"/>
                <w:lang w:val="en-US" w:eastAsia="zh-CN" w:bidi="ar"/>
                <w14:ligatures w14:val="standardContextual"/>
              </w:rPr>
            </w:pPr>
          </w:p>
        </w:tc>
        <w:tc>
          <w:tcPr>
            <w:tcW w:w="888" w:type="dxa"/>
            <w:noWrap/>
          </w:tcPr>
          <w:p>
            <w:pPr>
              <w:wordWrap w:val="0"/>
              <w:rPr>
                <w:rFonts w:hint="eastAsia" w:ascii="宋体" w:hAnsi="宋体" w:eastAsia="宋体" w:cs="宋体"/>
                <w:kern w:val="2"/>
                <w:sz w:val="21"/>
                <w:szCs w:val="21"/>
                <w:lang w:val="en-US" w:eastAsia="zh-CN" w:bidi="ar"/>
                <w14:ligatures w14:val="standardContextual"/>
              </w:rPr>
            </w:pPr>
          </w:p>
        </w:tc>
      </w:tr>
    </w:tbl>
    <w:p>
      <w:pPr>
        <w:wordWrap w:val="0"/>
        <w:snapToGrid w:val="0"/>
        <w:ind w:firstLine="400"/>
      </w:pPr>
    </w:p>
    <w:p>
      <w:pPr>
        <w:pStyle w:val="44"/>
        <w:widowControl w:val="0"/>
        <w:spacing w:before="0" w:beforeAutospacing="0" w:after="0" w:afterAutospacing="0" w:line="500" w:lineRule="exact"/>
        <w:ind w:firstLine="482" w:firstLineChars="200"/>
        <w:jc w:val="both"/>
        <w:rPr>
          <w:rFonts w:hint="eastAsia" w:hAnsi="宋体" w:cs="宋体"/>
          <w:b/>
          <w:bCs/>
          <w:kern w:val="2"/>
          <w:szCs w:val="20"/>
          <w:lang w:bidi="ar"/>
          <w14:ligatures w14:val="standardContextual"/>
        </w:rPr>
      </w:pPr>
      <w:r>
        <w:rPr>
          <w:rFonts w:hint="eastAsia" w:hAnsi="宋体" w:cs="宋体"/>
          <w:b/>
          <w:bCs/>
          <w:kern w:val="2"/>
          <w:szCs w:val="20"/>
          <w:lang w:bidi="ar"/>
          <w14:ligatures w14:val="standardContextual"/>
        </w:rPr>
        <w:t>技术附录D 包装、标志、运输和保管的特殊要求</w:t>
      </w:r>
    </w:p>
    <w:p>
      <w:pPr>
        <w:pStyle w:val="44"/>
        <w:widowControl w:val="0"/>
        <w:spacing w:before="0" w:beforeAutospacing="0" w:after="0" w:afterAutospacing="0" w:line="500" w:lineRule="exact"/>
        <w:ind w:firstLine="480" w:firstLineChars="200"/>
        <w:jc w:val="both"/>
        <w:rPr>
          <w:rFonts w:hint="eastAsia" w:hAnsi="宋体" w:cs="宋体"/>
          <w:kern w:val="2"/>
          <w:szCs w:val="20"/>
          <w:lang w:bidi="ar"/>
          <w14:ligatures w14:val="standardContextual"/>
        </w:rPr>
      </w:pPr>
      <w:r>
        <w:rPr>
          <w:rFonts w:hint="eastAsia" w:hAnsi="宋体" w:cs="宋体"/>
          <w:kern w:val="2"/>
          <w:szCs w:val="20"/>
          <w:lang w:bidi="ar"/>
          <w14:ligatures w14:val="standardContextual"/>
        </w:rPr>
        <w:t>投标人负责将所供设备运输至招标人施工现场。如有除下列三条的特殊要求，投标人须向招标人及早提出。</w:t>
      </w:r>
    </w:p>
    <w:p>
      <w:pPr>
        <w:pStyle w:val="44"/>
        <w:widowControl w:val="0"/>
        <w:spacing w:before="0" w:beforeAutospacing="0" w:after="0" w:afterAutospacing="0" w:line="500" w:lineRule="exact"/>
        <w:ind w:firstLine="480" w:firstLineChars="200"/>
        <w:jc w:val="both"/>
        <w:rPr>
          <w:rFonts w:hint="eastAsia" w:hAnsi="宋体" w:cs="宋体"/>
          <w:kern w:val="2"/>
          <w:szCs w:val="20"/>
          <w:lang w:bidi="ar"/>
          <w14:ligatures w14:val="standardContextual"/>
        </w:rPr>
      </w:pPr>
      <w:r>
        <w:rPr>
          <w:rFonts w:hint="eastAsia" w:hAnsi="宋体" w:cs="宋体"/>
          <w:kern w:val="2"/>
          <w:szCs w:val="20"/>
          <w:lang w:bidi="ar"/>
          <w14:ligatures w14:val="standardContextual"/>
        </w:rPr>
        <w:t>（1）包装</w:t>
      </w:r>
    </w:p>
    <w:p>
      <w:pPr>
        <w:pStyle w:val="44"/>
        <w:widowControl w:val="0"/>
        <w:spacing w:before="0" w:beforeAutospacing="0" w:after="0" w:afterAutospacing="0" w:line="500" w:lineRule="exact"/>
        <w:ind w:firstLine="480" w:firstLineChars="200"/>
        <w:jc w:val="both"/>
        <w:rPr>
          <w:rFonts w:hint="eastAsia" w:hAnsi="宋体" w:cs="宋体"/>
          <w:kern w:val="2"/>
          <w:szCs w:val="20"/>
          <w:lang w:bidi="ar"/>
          <w14:ligatures w14:val="standardContextual"/>
        </w:rPr>
      </w:pPr>
      <w:r>
        <w:rPr>
          <w:rFonts w:hint="eastAsia" w:hAnsi="宋体" w:cs="宋体"/>
          <w:kern w:val="2"/>
          <w:szCs w:val="20"/>
          <w:lang w:bidi="ar"/>
          <w14:ligatures w14:val="standardContextual"/>
        </w:rPr>
        <w:t>设备出厂时，零部件的包装应符合JB/ZQ4286的规定，设备、随机备品备件、专用工具应分类装箱并应遵循适于运输、便于安装和查找的原则。</w:t>
      </w:r>
    </w:p>
    <w:p>
      <w:pPr>
        <w:pStyle w:val="44"/>
        <w:widowControl w:val="0"/>
        <w:spacing w:before="0" w:beforeAutospacing="0" w:after="0" w:afterAutospacing="0" w:line="500" w:lineRule="exact"/>
        <w:ind w:firstLine="480" w:firstLineChars="200"/>
        <w:jc w:val="both"/>
        <w:rPr>
          <w:rFonts w:hint="eastAsia" w:hAnsi="宋体" w:cs="宋体"/>
          <w:kern w:val="2"/>
          <w:szCs w:val="20"/>
          <w:lang w:bidi="ar"/>
          <w14:ligatures w14:val="standardContextual"/>
        </w:rPr>
      </w:pPr>
      <w:r>
        <w:rPr>
          <w:rFonts w:hint="eastAsia" w:hAnsi="宋体" w:cs="宋体"/>
          <w:kern w:val="2"/>
          <w:szCs w:val="20"/>
          <w:lang w:bidi="ar"/>
          <w14:ligatures w14:val="standardContextual"/>
        </w:rPr>
        <w:t>包装箱外壁应有明显的文字说明，如：设备名称、用途及运输、储存安全注意事项等。</w:t>
      </w:r>
    </w:p>
    <w:p>
      <w:pPr>
        <w:pStyle w:val="44"/>
        <w:widowControl w:val="0"/>
        <w:spacing w:before="0" w:beforeAutospacing="0" w:after="0" w:afterAutospacing="0" w:line="500" w:lineRule="exact"/>
        <w:ind w:firstLine="480" w:firstLineChars="200"/>
        <w:jc w:val="both"/>
        <w:rPr>
          <w:rFonts w:hint="eastAsia" w:hAnsi="宋体" w:cs="宋体"/>
          <w:kern w:val="2"/>
          <w:szCs w:val="20"/>
          <w:lang w:bidi="ar"/>
          <w14:ligatures w14:val="standardContextual"/>
        </w:rPr>
      </w:pPr>
      <w:r>
        <w:rPr>
          <w:rFonts w:hint="eastAsia" w:hAnsi="宋体" w:cs="宋体"/>
          <w:kern w:val="2"/>
          <w:szCs w:val="20"/>
          <w:lang w:bidi="ar"/>
          <w14:ligatures w14:val="standardContextual"/>
        </w:rPr>
        <w:t>包装箱内应附带下列文件，但不限于此：</w:t>
      </w:r>
    </w:p>
    <w:p>
      <w:pPr>
        <w:pStyle w:val="44"/>
        <w:widowControl w:val="0"/>
        <w:spacing w:before="0" w:beforeAutospacing="0" w:after="0" w:afterAutospacing="0" w:line="500" w:lineRule="exact"/>
        <w:ind w:firstLine="480" w:firstLineChars="200"/>
        <w:jc w:val="both"/>
        <w:rPr>
          <w:rFonts w:hint="eastAsia" w:hAnsi="宋体" w:cs="宋体"/>
          <w:kern w:val="2"/>
          <w:szCs w:val="20"/>
          <w:lang w:bidi="ar"/>
          <w14:ligatures w14:val="standardContextual"/>
        </w:rPr>
      </w:pPr>
      <w:r>
        <w:rPr>
          <w:rFonts w:hint="eastAsia" w:hAnsi="宋体" w:cs="宋体"/>
          <w:kern w:val="2"/>
          <w:szCs w:val="20"/>
          <w:lang w:bidi="ar"/>
          <w14:ligatures w14:val="standardContextual"/>
        </w:rPr>
        <w:t>a）装箱单；</w:t>
      </w:r>
    </w:p>
    <w:p>
      <w:pPr>
        <w:pStyle w:val="44"/>
        <w:widowControl w:val="0"/>
        <w:spacing w:before="0" w:beforeAutospacing="0" w:after="0" w:afterAutospacing="0" w:line="500" w:lineRule="exact"/>
        <w:ind w:firstLine="480" w:firstLineChars="200"/>
        <w:jc w:val="both"/>
        <w:rPr>
          <w:rFonts w:hint="eastAsia" w:hAnsi="宋体" w:cs="宋体"/>
          <w:kern w:val="2"/>
          <w:szCs w:val="20"/>
          <w:lang w:bidi="ar"/>
          <w14:ligatures w14:val="standardContextual"/>
        </w:rPr>
      </w:pPr>
      <w:r>
        <w:rPr>
          <w:rFonts w:hint="eastAsia" w:hAnsi="宋体" w:cs="宋体"/>
          <w:kern w:val="2"/>
          <w:szCs w:val="20"/>
          <w:lang w:bidi="ar"/>
          <w14:ligatures w14:val="standardContextual"/>
        </w:rPr>
        <w:t>b）产品使用说明书；</w:t>
      </w:r>
    </w:p>
    <w:p>
      <w:pPr>
        <w:pStyle w:val="44"/>
        <w:widowControl w:val="0"/>
        <w:spacing w:before="0" w:beforeAutospacing="0" w:after="0" w:afterAutospacing="0" w:line="500" w:lineRule="exact"/>
        <w:ind w:firstLine="480" w:firstLineChars="200"/>
        <w:jc w:val="both"/>
        <w:rPr>
          <w:rFonts w:hint="eastAsia" w:hAnsi="宋体" w:cs="宋体"/>
          <w:kern w:val="2"/>
          <w:szCs w:val="20"/>
          <w:lang w:bidi="ar"/>
          <w14:ligatures w14:val="standardContextual"/>
        </w:rPr>
      </w:pPr>
      <w:r>
        <w:rPr>
          <w:rFonts w:hint="eastAsia" w:hAnsi="宋体" w:cs="宋体"/>
          <w:kern w:val="2"/>
          <w:szCs w:val="20"/>
          <w:lang w:bidi="ar"/>
          <w14:ligatures w14:val="standardContextual"/>
        </w:rPr>
        <w:t>c）产品检验合格证书；</w:t>
      </w:r>
    </w:p>
    <w:p>
      <w:pPr>
        <w:pStyle w:val="44"/>
        <w:widowControl w:val="0"/>
        <w:spacing w:before="0" w:beforeAutospacing="0" w:after="0" w:afterAutospacing="0" w:line="500" w:lineRule="exact"/>
        <w:ind w:firstLine="480" w:firstLineChars="200"/>
        <w:jc w:val="both"/>
        <w:rPr>
          <w:rFonts w:hint="eastAsia" w:hAnsi="宋体" w:cs="宋体"/>
          <w:kern w:val="2"/>
          <w:szCs w:val="20"/>
          <w:lang w:bidi="ar"/>
          <w14:ligatures w14:val="standardContextual"/>
        </w:rPr>
      </w:pPr>
      <w:r>
        <w:rPr>
          <w:rFonts w:hint="eastAsia" w:hAnsi="宋体" w:cs="宋体"/>
          <w:kern w:val="2"/>
          <w:szCs w:val="20"/>
          <w:lang w:bidi="ar"/>
          <w14:ligatures w14:val="standardContextual"/>
        </w:rPr>
        <w:t>d）安装指示图。</w:t>
      </w:r>
    </w:p>
    <w:p>
      <w:pPr>
        <w:pStyle w:val="44"/>
        <w:widowControl w:val="0"/>
        <w:spacing w:before="0" w:beforeAutospacing="0" w:after="0" w:afterAutospacing="0" w:line="500" w:lineRule="exact"/>
        <w:ind w:firstLine="480" w:firstLineChars="200"/>
        <w:jc w:val="both"/>
        <w:rPr>
          <w:rFonts w:hint="eastAsia" w:hAnsi="宋体" w:cs="宋体"/>
          <w:kern w:val="2"/>
          <w:szCs w:val="20"/>
          <w:lang w:bidi="ar"/>
          <w14:ligatures w14:val="standardContextual"/>
        </w:rPr>
      </w:pPr>
      <w:r>
        <w:rPr>
          <w:rFonts w:hint="eastAsia" w:hAnsi="宋体" w:cs="宋体"/>
          <w:kern w:val="2"/>
          <w:szCs w:val="20"/>
          <w:lang w:bidi="ar"/>
          <w14:ligatures w14:val="standardContextual"/>
        </w:rPr>
        <w:t>（2）运输</w:t>
      </w:r>
    </w:p>
    <w:p>
      <w:pPr>
        <w:pStyle w:val="44"/>
        <w:widowControl w:val="0"/>
        <w:spacing w:before="0" w:beforeAutospacing="0" w:after="0" w:afterAutospacing="0" w:line="500" w:lineRule="exact"/>
        <w:ind w:firstLine="480" w:firstLineChars="200"/>
        <w:jc w:val="both"/>
        <w:rPr>
          <w:rFonts w:hint="eastAsia" w:hAnsi="宋体" w:cs="宋体"/>
          <w:kern w:val="2"/>
          <w:szCs w:val="20"/>
          <w:lang w:bidi="ar"/>
          <w14:ligatures w14:val="standardContextual"/>
        </w:rPr>
      </w:pPr>
      <w:r>
        <w:rPr>
          <w:rFonts w:hint="eastAsia" w:hAnsi="宋体" w:cs="宋体"/>
          <w:kern w:val="2"/>
          <w:szCs w:val="20"/>
          <w:lang w:bidi="ar"/>
          <w14:ligatures w14:val="standardContextual"/>
        </w:rPr>
        <w:t>长大部件在运输时必须垫平，防止运输变形，运输中严禁碰撞和摩擦以免损伤。其它运输方式部件的运输尺寸和重量的限值，在授予合同后供需双方进一步协商确定。</w:t>
      </w:r>
    </w:p>
    <w:p>
      <w:pPr>
        <w:pStyle w:val="44"/>
        <w:widowControl w:val="0"/>
        <w:spacing w:before="0" w:beforeAutospacing="0" w:after="0" w:afterAutospacing="0" w:line="500" w:lineRule="exact"/>
        <w:ind w:firstLine="480" w:firstLineChars="200"/>
        <w:jc w:val="both"/>
        <w:rPr>
          <w:rFonts w:hint="eastAsia" w:hAnsi="宋体" w:cs="宋体"/>
          <w:kern w:val="2"/>
          <w:szCs w:val="20"/>
          <w:lang w:bidi="ar"/>
          <w14:ligatures w14:val="standardContextual"/>
        </w:rPr>
      </w:pPr>
      <w:r>
        <w:rPr>
          <w:rFonts w:hint="eastAsia" w:hAnsi="宋体" w:cs="宋体"/>
          <w:kern w:val="2"/>
          <w:szCs w:val="20"/>
          <w:lang w:bidi="ar"/>
          <w14:ligatures w14:val="standardContextual"/>
        </w:rPr>
        <w:t>（3）储存</w:t>
      </w:r>
    </w:p>
    <w:p>
      <w:pPr>
        <w:pStyle w:val="44"/>
        <w:widowControl w:val="0"/>
        <w:spacing w:before="0" w:beforeAutospacing="0" w:after="0" w:afterAutospacing="0" w:line="500" w:lineRule="exact"/>
        <w:ind w:firstLine="480" w:firstLineChars="200"/>
        <w:jc w:val="both"/>
        <w:rPr>
          <w:rFonts w:hint="eastAsia" w:hAnsi="宋体" w:cs="宋体"/>
          <w:kern w:val="2"/>
          <w:szCs w:val="20"/>
          <w:lang w:bidi="ar"/>
          <w14:ligatures w14:val="standardContextual"/>
        </w:rPr>
      </w:pPr>
      <w:r>
        <w:rPr>
          <w:rFonts w:hint="eastAsia" w:hAnsi="宋体" w:cs="宋体"/>
          <w:kern w:val="2"/>
          <w:szCs w:val="20"/>
          <w:lang w:bidi="ar"/>
          <w14:ligatures w14:val="standardContextual"/>
        </w:rPr>
        <w:t>投标人应根据包装箱内所装物品的特性，向招标人提供安全保存方法的说明。</w:t>
      </w:r>
    </w:p>
    <w:p>
      <w:pPr>
        <w:pStyle w:val="44"/>
        <w:widowControl w:val="0"/>
        <w:spacing w:before="0" w:beforeAutospacing="0" w:after="0" w:afterAutospacing="0" w:line="500" w:lineRule="exact"/>
        <w:ind w:firstLine="480" w:firstLineChars="200"/>
        <w:jc w:val="both"/>
        <w:rPr>
          <w:rFonts w:hint="eastAsia" w:hAnsi="宋体" w:cs="宋体"/>
          <w:kern w:val="2"/>
          <w:szCs w:val="20"/>
          <w:lang w:bidi="ar"/>
          <w14:ligatures w14:val="standardContextual"/>
        </w:rPr>
      </w:pPr>
      <w:r>
        <w:rPr>
          <w:rFonts w:hint="eastAsia" w:hAnsi="宋体" w:cs="宋体"/>
          <w:kern w:val="2"/>
          <w:szCs w:val="20"/>
          <w:lang w:bidi="ar"/>
          <w14:ligatures w14:val="standardContextual"/>
        </w:rPr>
        <w:t>投标人所供的随机备品备件及专用工具亦应有安全储存方法的说明</w:t>
      </w:r>
    </w:p>
    <w:p>
      <w:pPr>
        <w:pStyle w:val="44"/>
        <w:widowControl w:val="0"/>
        <w:spacing w:before="0" w:beforeAutospacing="0" w:after="0" w:afterAutospacing="0" w:line="500" w:lineRule="exact"/>
        <w:ind w:firstLine="482" w:firstLineChars="200"/>
        <w:jc w:val="both"/>
        <w:rPr>
          <w:rFonts w:hint="eastAsia" w:hAnsi="宋体" w:cs="宋体"/>
          <w:b/>
          <w:bCs/>
          <w:kern w:val="2"/>
          <w:szCs w:val="20"/>
          <w:lang w:bidi="ar"/>
          <w14:ligatures w14:val="standardContextual"/>
        </w:rPr>
      </w:pPr>
      <w:r>
        <w:rPr>
          <w:rFonts w:hint="eastAsia" w:hAnsi="宋体" w:cs="宋体"/>
          <w:b/>
          <w:bCs/>
          <w:kern w:val="2"/>
          <w:szCs w:val="20"/>
          <w:lang w:bidi="ar"/>
          <w14:ligatures w14:val="standardContextual"/>
        </w:rPr>
        <w:t>技术附录E 投标人提供的其他的技术文件和附图</w:t>
      </w:r>
    </w:p>
    <w:p>
      <w:pPr>
        <w:pStyle w:val="44"/>
        <w:widowControl w:val="0"/>
        <w:spacing w:before="0" w:beforeAutospacing="0" w:after="0" w:afterAutospacing="0" w:line="500" w:lineRule="exact"/>
        <w:ind w:firstLine="480" w:firstLineChars="200"/>
        <w:jc w:val="both"/>
        <w:rPr>
          <w:rFonts w:hint="eastAsia" w:hAnsi="宋体" w:cs="宋体"/>
          <w:kern w:val="2"/>
          <w:szCs w:val="20"/>
          <w:lang w:bidi="ar"/>
          <w14:ligatures w14:val="standardContextual"/>
        </w:rPr>
      </w:pPr>
      <w:r>
        <w:rPr>
          <w:rFonts w:hint="eastAsia" w:hAnsi="宋体" w:cs="宋体"/>
          <w:kern w:val="2"/>
          <w:szCs w:val="20"/>
          <w:lang w:bidi="ar"/>
          <w14:ligatures w14:val="standardContextual"/>
        </w:rPr>
        <w:t>若有，请投标人提供。</w:t>
      </w:r>
    </w:p>
    <w:p>
      <w:pPr>
        <w:wordWrap w:val="0"/>
        <w:jc w:val="center"/>
        <w:rPr>
          <w:rFonts w:hint="eastAsia" w:ascii="宋体" w:hAnsi="宋体" w:eastAsia="宋体" w:cs="宋体"/>
          <w:kern w:val="2"/>
          <w:sz w:val="24"/>
          <w:szCs w:val="20"/>
          <w:lang w:val="en-US" w:eastAsia="zh-CN" w:bidi="ar"/>
          <w14:ligatures w14:val="standardContextual"/>
        </w:rPr>
      </w:pPr>
      <w:r>
        <w:rPr>
          <w:rFonts w:hint="eastAsia" w:ascii="宋体" w:hAnsi="宋体" w:eastAsia="宋体" w:cs="宋体"/>
          <w:b/>
          <w:bCs/>
          <w:kern w:val="2"/>
          <w:sz w:val="24"/>
          <w:szCs w:val="20"/>
          <w:lang w:val="en-US" w:eastAsia="zh-CN" w:bidi="ar"/>
          <w14:ligatures w14:val="standardContextual"/>
        </w:rPr>
        <w:t>关键技术响应表</w:t>
      </w:r>
    </w:p>
    <w:tbl>
      <w:tblPr>
        <w:tblStyle w:val="50"/>
        <w:tblW w:w="85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6"/>
        <w:gridCol w:w="1597"/>
        <w:gridCol w:w="1597"/>
        <w:gridCol w:w="1596"/>
        <w:gridCol w:w="1596"/>
        <w:gridCol w:w="1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066" w:type="dxa"/>
            <w:noWrap/>
            <w:vAlign w:val="center"/>
          </w:tcPr>
          <w:p>
            <w:pPr>
              <w:wordWrap w:val="0"/>
              <w:jc w:val="center"/>
              <w:rPr>
                <w:rFonts w:hint="eastAsia" w:ascii="宋体" w:hAnsi="宋体" w:eastAsia="宋体" w:cs="宋体"/>
                <w:kern w:val="2"/>
                <w:sz w:val="21"/>
                <w:szCs w:val="21"/>
                <w:lang w:val="en-US" w:eastAsia="zh-CN" w:bidi="ar"/>
                <w14:ligatures w14:val="standardContextual"/>
              </w:rPr>
            </w:pPr>
            <w:r>
              <w:rPr>
                <w:rFonts w:hint="eastAsia" w:ascii="宋体" w:hAnsi="宋体" w:eastAsia="宋体" w:cs="宋体"/>
                <w:kern w:val="2"/>
                <w:sz w:val="21"/>
                <w:szCs w:val="21"/>
                <w:lang w:val="en-US" w:eastAsia="zh-CN" w:bidi="ar"/>
                <w14:ligatures w14:val="standardContextual"/>
              </w:rPr>
              <w:t>序号</w:t>
            </w:r>
          </w:p>
        </w:tc>
        <w:tc>
          <w:tcPr>
            <w:tcW w:w="1597" w:type="dxa"/>
            <w:noWrap/>
            <w:vAlign w:val="center"/>
          </w:tcPr>
          <w:p>
            <w:pPr>
              <w:wordWrap w:val="0"/>
              <w:jc w:val="center"/>
              <w:rPr>
                <w:rFonts w:hint="eastAsia" w:ascii="宋体" w:hAnsi="宋体" w:eastAsia="宋体" w:cs="宋体"/>
                <w:kern w:val="2"/>
                <w:sz w:val="21"/>
                <w:szCs w:val="21"/>
                <w:lang w:val="en-US" w:eastAsia="zh-CN" w:bidi="ar"/>
                <w14:ligatures w14:val="standardContextual"/>
              </w:rPr>
            </w:pPr>
            <w:r>
              <w:rPr>
                <w:rFonts w:hint="eastAsia" w:ascii="宋体" w:hAnsi="宋体" w:eastAsia="宋体" w:cs="宋体"/>
                <w:kern w:val="2"/>
                <w:sz w:val="21"/>
                <w:szCs w:val="21"/>
                <w:lang w:val="en-US" w:eastAsia="zh-CN" w:bidi="ar"/>
                <w14:ligatures w14:val="standardContextual"/>
              </w:rPr>
              <w:t>名称</w:t>
            </w:r>
          </w:p>
        </w:tc>
        <w:tc>
          <w:tcPr>
            <w:tcW w:w="1597" w:type="dxa"/>
            <w:noWrap/>
            <w:vAlign w:val="center"/>
          </w:tcPr>
          <w:p>
            <w:pPr>
              <w:wordWrap w:val="0"/>
              <w:jc w:val="center"/>
              <w:rPr>
                <w:rFonts w:hint="eastAsia" w:ascii="宋体" w:hAnsi="宋体" w:eastAsia="宋体" w:cs="宋体"/>
                <w:kern w:val="2"/>
                <w:sz w:val="21"/>
                <w:szCs w:val="21"/>
                <w:lang w:val="en-US" w:eastAsia="zh-CN" w:bidi="ar"/>
                <w14:ligatures w14:val="standardContextual"/>
              </w:rPr>
            </w:pPr>
            <w:r>
              <w:rPr>
                <w:rFonts w:hint="eastAsia" w:ascii="宋体" w:hAnsi="宋体" w:eastAsia="宋体" w:cs="宋体"/>
                <w:kern w:val="2"/>
                <w:sz w:val="21"/>
                <w:szCs w:val="21"/>
                <w:lang w:val="en-US" w:eastAsia="zh-CN" w:bidi="ar"/>
                <w14:ligatures w14:val="standardContextual"/>
              </w:rPr>
              <w:t>招标人要求</w:t>
            </w:r>
          </w:p>
        </w:tc>
        <w:tc>
          <w:tcPr>
            <w:tcW w:w="1596" w:type="dxa"/>
            <w:noWrap/>
            <w:vAlign w:val="center"/>
          </w:tcPr>
          <w:p>
            <w:pPr>
              <w:wordWrap w:val="0"/>
              <w:jc w:val="center"/>
              <w:rPr>
                <w:rFonts w:hint="eastAsia" w:ascii="宋体" w:hAnsi="宋体" w:eastAsia="宋体" w:cs="宋体"/>
                <w:kern w:val="2"/>
                <w:sz w:val="21"/>
                <w:szCs w:val="21"/>
                <w:lang w:val="en-US" w:eastAsia="zh-CN" w:bidi="ar"/>
                <w14:ligatures w14:val="standardContextual"/>
              </w:rPr>
            </w:pPr>
            <w:r>
              <w:rPr>
                <w:rFonts w:hint="eastAsia" w:ascii="宋体" w:hAnsi="宋体" w:eastAsia="宋体" w:cs="宋体"/>
                <w:kern w:val="2"/>
                <w:sz w:val="21"/>
                <w:szCs w:val="21"/>
                <w:lang w:val="en-US" w:eastAsia="zh-CN" w:bidi="ar"/>
                <w14:ligatures w14:val="standardContextual"/>
              </w:rPr>
              <w:t>投标人响应</w:t>
            </w:r>
          </w:p>
        </w:tc>
        <w:tc>
          <w:tcPr>
            <w:tcW w:w="1596" w:type="dxa"/>
            <w:noWrap/>
            <w:vAlign w:val="center"/>
          </w:tcPr>
          <w:p>
            <w:pPr>
              <w:wordWrap w:val="0"/>
              <w:jc w:val="center"/>
              <w:rPr>
                <w:rFonts w:hint="eastAsia" w:ascii="宋体" w:hAnsi="宋体" w:eastAsia="宋体" w:cs="宋体"/>
                <w:kern w:val="2"/>
                <w:sz w:val="21"/>
                <w:szCs w:val="21"/>
                <w:lang w:val="en-US" w:eastAsia="zh-CN" w:bidi="ar"/>
                <w14:ligatures w14:val="standardContextual"/>
              </w:rPr>
            </w:pPr>
            <w:r>
              <w:rPr>
                <w:rFonts w:hint="eastAsia" w:ascii="宋体" w:hAnsi="宋体" w:eastAsia="宋体" w:cs="宋体"/>
                <w:kern w:val="2"/>
                <w:sz w:val="21"/>
                <w:szCs w:val="21"/>
                <w:lang w:val="en-US" w:eastAsia="zh-CN" w:bidi="ar"/>
                <w14:ligatures w14:val="standardContextual"/>
              </w:rPr>
              <w:t>投标文件出处</w:t>
            </w:r>
          </w:p>
        </w:tc>
        <w:tc>
          <w:tcPr>
            <w:tcW w:w="1065" w:type="dxa"/>
            <w:noWrap/>
            <w:vAlign w:val="center"/>
          </w:tcPr>
          <w:p>
            <w:pPr>
              <w:wordWrap w:val="0"/>
              <w:rPr>
                <w:rFonts w:hint="eastAsia" w:ascii="宋体" w:hAnsi="宋体" w:eastAsia="宋体" w:cs="宋体"/>
                <w:kern w:val="2"/>
                <w:sz w:val="21"/>
                <w:szCs w:val="21"/>
                <w:lang w:val="en-US" w:eastAsia="zh-CN" w:bidi="ar"/>
                <w14:ligatures w14:val="standardContextual"/>
              </w:rPr>
            </w:pPr>
            <w:r>
              <w:rPr>
                <w:rFonts w:hint="eastAsia" w:ascii="宋体" w:hAnsi="宋体" w:eastAsia="宋体" w:cs="宋体"/>
                <w:kern w:val="2"/>
                <w:sz w:val="21"/>
                <w:szCs w:val="21"/>
                <w:lang w:val="en-US" w:eastAsia="zh-CN" w:bidi="ar"/>
                <w14:ligatures w14:val="standardContextua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066" w:type="dxa"/>
            <w:noWrap/>
            <w:vAlign w:val="center"/>
          </w:tcPr>
          <w:p>
            <w:pPr>
              <w:wordWrap w:val="0"/>
              <w:rPr>
                <w:rFonts w:hint="eastAsia" w:ascii="宋体" w:hAnsi="宋体" w:eastAsia="宋体" w:cs="宋体"/>
                <w:kern w:val="2"/>
                <w:sz w:val="21"/>
                <w:szCs w:val="21"/>
                <w:lang w:val="en-US" w:eastAsia="zh-CN" w:bidi="ar"/>
                <w14:ligatures w14:val="standardContextual"/>
              </w:rPr>
            </w:pPr>
          </w:p>
        </w:tc>
        <w:tc>
          <w:tcPr>
            <w:tcW w:w="1597" w:type="dxa"/>
            <w:noWrap/>
            <w:vAlign w:val="center"/>
          </w:tcPr>
          <w:p>
            <w:pPr>
              <w:wordWrap w:val="0"/>
              <w:rPr>
                <w:rFonts w:hint="eastAsia" w:ascii="宋体" w:hAnsi="宋体" w:eastAsia="宋体" w:cs="宋体"/>
                <w:kern w:val="2"/>
                <w:sz w:val="21"/>
                <w:szCs w:val="21"/>
                <w:lang w:val="en-US" w:eastAsia="zh-CN" w:bidi="ar"/>
                <w14:ligatures w14:val="standardContextual"/>
              </w:rPr>
            </w:pPr>
          </w:p>
        </w:tc>
        <w:tc>
          <w:tcPr>
            <w:tcW w:w="1597" w:type="dxa"/>
            <w:noWrap/>
            <w:vAlign w:val="center"/>
          </w:tcPr>
          <w:p>
            <w:pPr>
              <w:wordWrap w:val="0"/>
              <w:rPr>
                <w:rFonts w:hint="eastAsia" w:ascii="宋体" w:hAnsi="宋体" w:eastAsia="宋体" w:cs="宋体"/>
                <w:kern w:val="2"/>
                <w:sz w:val="21"/>
                <w:szCs w:val="21"/>
                <w:lang w:val="en-US" w:eastAsia="zh-CN" w:bidi="ar"/>
                <w14:ligatures w14:val="standardContextual"/>
              </w:rPr>
            </w:pPr>
          </w:p>
        </w:tc>
        <w:tc>
          <w:tcPr>
            <w:tcW w:w="1596" w:type="dxa"/>
            <w:noWrap/>
          </w:tcPr>
          <w:p>
            <w:pPr>
              <w:wordWrap w:val="0"/>
              <w:rPr>
                <w:rFonts w:hint="eastAsia" w:ascii="宋体" w:hAnsi="宋体" w:eastAsia="宋体" w:cs="宋体"/>
                <w:kern w:val="2"/>
                <w:sz w:val="21"/>
                <w:szCs w:val="21"/>
                <w:lang w:val="en-US" w:eastAsia="zh-CN" w:bidi="ar"/>
                <w14:ligatures w14:val="standardContextual"/>
              </w:rPr>
            </w:pPr>
          </w:p>
        </w:tc>
        <w:tc>
          <w:tcPr>
            <w:tcW w:w="1596" w:type="dxa"/>
            <w:noWrap/>
          </w:tcPr>
          <w:p>
            <w:pPr>
              <w:wordWrap w:val="0"/>
              <w:rPr>
                <w:rFonts w:hint="eastAsia" w:ascii="宋体" w:hAnsi="宋体" w:eastAsia="宋体" w:cs="宋体"/>
                <w:kern w:val="2"/>
                <w:sz w:val="21"/>
                <w:szCs w:val="21"/>
                <w:lang w:val="en-US" w:eastAsia="zh-CN" w:bidi="ar"/>
                <w14:ligatures w14:val="standardContextual"/>
              </w:rPr>
            </w:pPr>
          </w:p>
        </w:tc>
        <w:tc>
          <w:tcPr>
            <w:tcW w:w="1065" w:type="dxa"/>
            <w:noWrap/>
          </w:tcPr>
          <w:p>
            <w:pPr>
              <w:wordWrap w:val="0"/>
              <w:rPr>
                <w:rFonts w:hint="eastAsia" w:ascii="宋体" w:hAnsi="宋体" w:eastAsia="宋体" w:cs="宋体"/>
                <w:kern w:val="2"/>
                <w:sz w:val="21"/>
                <w:szCs w:val="21"/>
                <w:lang w:val="en-US" w:eastAsia="zh-CN" w:bidi="ar"/>
                <w14:ligatures w14:val="standardContextu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066" w:type="dxa"/>
            <w:noWrap/>
          </w:tcPr>
          <w:p>
            <w:pPr>
              <w:wordWrap w:val="0"/>
              <w:rPr>
                <w:rFonts w:hint="eastAsia" w:ascii="宋体" w:hAnsi="宋体" w:eastAsia="宋体" w:cs="宋体"/>
                <w:kern w:val="2"/>
                <w:sz w:val="24"/>
                <w:szCs w:val="20"/>
                <w:lang w:val="en-US" w:eastAsia="zh-CN" w:bidi="ar"/>
                <w14:ligatures w14:val="standardContextual"/>
              </w:rPr>
            </w:pPr>
          </w:p>
        </w:tc>
        <w:tc>
          <w:tcPr>
            <w:tcW w:w="1597" w:type="dxa"/>
            <w:noWrap/>
          </w:tcPr>
          <w:p>
            <w:pPr>
              <w:wordWrap w:val="0"/>
              <w:rPr>
                <w:rFonts w:hint="eastAsia" w:ascii="宋体" w:hAnsi="宋体" w:eastAsia="宋体" w:cs="宋体"/>
                <w:kern w:val="2"/>
                <w:sz w:val="24"/>
                <w:szCs w:val="20"/>
                <w:lang w:val="en-US" w:eastAsia="zh-CN" w:bidi="ar"/>
                <w14:ligatures w14:val="standardContextual"/>
              </w:rPr>
            </w:pPr>
          </w:p>
        </w:tc>
        <w:tc>
          <w:tcPr>
            <w:tcW w:w="1597" w:type="dxa"/>
            <w:noWrap/>
          </w:tcPr>
          <w:p>
            <w:pPr>
              <w:wordWrap w:val="0"/>
              <w:rPr>
                <w:rFonts w:hint="eastAsia" w:ascii="宋体" w:hAnsi="宋体" w:eastAsia="宋体" w:cs="宋体"/>
                <w:kern w:val="2"/>
                <w:sz w:val="24"/>
                <w:szCs w:val="20"/>
                <w:lang w:val="en-US" w:eastAsia="zh-CN" w:bidi="ar"/>
                <w14:ligatures w14:val="standardContextual"/>
              </w:rPr>
            </w:pPr>
          </w:p>
        </w:tc>
        <w:tc>
          <w:tcPr>
            <w:tcW w:w="1596" w:type="dxa"/>
            <w:noWrap/>
          </w:tcPr>
          <w:p>
            <w:pPr>
              <w:wordWrap w:val="0"/>
              <w:rPr>
                <w:rFonts w:hint="eastAsia" w:ascii="宋体" w:hAnsi="宋体" w:eastAsia="宋体" w:cs="宋体"/>
                <w:kern w:val="2"/>
                <w:sz w:val="24"/>
                <w:szCs w:val="20"/>
                <w:lang w:val="en-US" w:eastAsia="zh-CN" w:bidi="ar"/>
                <w14:ligatures w14:val="standardContextual"/>
              </w:rPr>
            </w:pPr>
          </w:p>
        </w:tc>
        <w:tc>
          <w:tcPr>
            <w:tcW w:w="1596" w:type="dxa"/>
            <w:noWrap/>
          </w:tcPr>
          <w:p>
            <w:pPr>
              <w:wordWrap w:val="0"/>
              <w:rPr>
                <w:rFonts w:hint="eastAsia" w:ascii="宋体" w:hAnsi="宋体" w:eastAsia="宋体" w:cs="宋体"/>
                <w:kern w:val="2"/>
                <w:sz w:val="24"/>
                <w:szCs w:val="20"/>
                <w:lang w:val="en-US" w:eastAsia="zh-CN" w:bidi="ar"/>
                <w14:ligatures w14:val="standardContextual"/>
              </w:rPr>
            </w:pPr>
          </w:p>
        </w:tc>
        <w:tc>
          <w:tcPr>
            <w:tcW w:w="1065" w:type="dxa"/>
            <w:noWrap/>
          </w:tcPr>
          <w:p>
            <w:pPr>
              <w:wordWrap w:val="0"/>
              <w:rPr>
                <w:rFonts w:hint="eastAsia" w:ascii="宋体" w:hAnsi="宋体" w:eastAsia="宋体" w:cs="宋体"/>
                <w:kern w:val="2"/>
                <w:sz w:val="24"/>
                <w:szCs w:val="20"/>
                <w:lang w:val="en-US" w:eastAsia="zh-CN" w:bidi="ar"/>
                <w14:ligatures w14:val="standardContextu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066" w:type="dxa"/>
            <w:noWrap/>
          </w:tcPr>
          <w:p>
            <w:pPr>
              <w:wordWrap w:val="0"/>
              <w:rPr>
                <w:rFonts w:hint="eastAsia" w:ascii="宋体" w:hAnsi="宋体" w:eastAsia="宋体" w:cs="宋体"/>
                <w:kern w:val="2"/>
                <w:sz w:val="24"/>
                <w:szCs w:val="20"/>
                <w:lang w:val="en-US" w:eastAsia="zh-CN" w:bidi="ar"/>
                <w14:ligatures w14:val="standardContextual"/>
              </w:rPr>
            </w:pPr>
          </w:p>
        </w:tc>
        <w:tc>
          <w:tcPr>
            <w:tcW w:w="1597" w:type="dxa"/>
            <w:noWrap/>
          </w:tcPr>
          <w:p>
            <w:pPr>
              <w:wordWrap w:val="0"/>
              <w:rPr>
                <w:rFonts w:hint="eastAsia" w:ascii="宋体" w:hAnsi="宋体" w:eastAsia="宋体" w:cs="宋体"/>
                <w:kern w:val="2"/>
                <w:sz w:val="24"/>
                <w:szCs w:val="20"/>
                <w:lang w:val="en-US" w:eastAsia="zh-CN" w:bidi="ar"/>
                <w14:ligatures w14:val="standardContextual"/>
              </w:rPr>
            </w:pPr>
          </w:p>
        </w:tc>
        <w:tc>
          <w:tcPr>
            <w:tcW w:w="1597" w:type="dxa"/>
            <w:noWrap/>
          </w:tcPr>
          <w:p>
            <w:pPr>
              <w:wordWrap w:val="0"/>
              <w:rPr>
                <w:rFonts w:hint="eastAsia" w:ascii="宋体" w:hAnsi="宋体" w:eastAsia="宋体" w:cs="宋体"/>
                <w:kern w:val="2"/>
                <w:sz w:val="24"/>
                <w:szCs w:val="20"/>
                <w:lang w:val="en-US" w:eastAsia="zh-CN" w:bidi="ar"/>
                <w14:ligatures w14:val="standardContextual"/>
              </w:rPr>
            </w:pPr>
          </w:p>
        </w:tc>
        <w:tc>
          <w:tcPr>
            <w:tcW w:w="1596" w:type="dxa"/>
            <w:noWrap/>
          </w:tcPr>
          <w:p>
            <w:pPr>
              <w:wordWrap w:val="0"/>
              <w:rPr>
                <w:rFonts w:hint="eastAsia" w:ascii="宋体" w:hAnsi="宋体" w:eastAsia="宋体" w:cs="宋体"/>
                <w:kern w:val="2"/>
                <w:sz w:val="24"/>
                <w:szCs w:val="20"/>
                <w:lang w:val="en-US" w:eastAsia="zh-CN" w:bidi="ar"/>
                <w14:ligatures w14:val="standardContextual"/>
              </w:rPr>
            </w:pPr>
          </w:p>
        </w:tc>
        <w:tc>
          <w:tcPr>
            <w:tcW w:w="1596" w:type="dxa"/>
            <w:noWrap/>
          </w:tcPr>
          <w:p>
            <w:pPr>
              <w:wordWrap w:val="0"/>
              <w:rPr>
                <w:rFonts w:hint="eastAsia" w:ascii="宋体" w:hAnsi="宋体" w:eastAsia="宋体" w:cs="宋体"/>
                <w:kern w:val="2"/>
                <w:sz w:val="24"/>
                <w:szCs w:val="20"/>
                <w:lang w:val="en-US" w:eastAsia="zh-CN" w:bidi="ar"/>
                <w14:ligatures w14:val="standardContextual"/>
              </w:rPr>
            </w:pPr>
          </w:p>
        </w:tc>
        <w:tc>
          <w:tcPr>
            <w:tcW w:w="1065" w:type="dxa"/>
            <w:noWrap/>
          </w:tcPr>
          <w:p>
            <w:pPr>
              <w:wordWrap w:val="0"/>
              <w:rPr>
                <w:rFonts w:hint="eastAsia" w:ascii="宋体" w:hAnsi="宋体" w:eastAsia="宋体" w:cs="宋体"/>
                <w:kern w:val="2"/>
                <w:sz w:val="24"/>
                <w:szCs w:val="20"/>
                <w:lang w:val="en-US" w:eastAsia="zh-CN" w:bidi="ar"/>
                <w14:ligatures w14:val="standardContextu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066" w:type="dxa"/>
            <w:noWrap/>
          </w:tcPr>
          <w:p>
            <w:pPr>
              <w:wordWrap w:val="0"/>
              <w:rPr>
                <w:rFonts w:hint="eastAsia" w:ascii="宋体" w:hAnsi="宋体" w:eastAsia="宋体" w:cs="宋体"/>
                <w:kern w:val="2"/>
                <w:sz w:val="24"/>
                <w:szCs w:val="20"/>
                <w:lang w:val="en-US" w:eastAsia="zh-CN" w:bidi="ar"/>
                <w14:ligatures w14:val="standardContextual"/>
              </w:rPr>
            </w:pPr>
          </w:p>
        </w:tc>
        <w:tc>
          <w:tcPr>
            <w:tcW w:w="1597" w:type="dxa"/>
            <w:noWrap/>
          </w:tcPr>
          <w:p>
            <w:pPr>
              <w:wordWrap w:val="0"/>
              <w:rPr>
                <w:rFonts w:hint="eastAsia" w:ascii="宋体" w:hAnsi="宋体" w:eastAsia="宋体" w:cs="宋体"/>
                <w:kern w:val="2"/>
                <w:sz w:val="24"/>
                <w:szCs w:val="20"/>
                <w:lang w:val="en-US" w:eastAsia="zh-CN" w:bidi="ar"/>
                <w14:ligatures w14:val="standardContextual"/>
              </w:rPr>
            </w:pPr>
          </w:p>
        </w:tc>
        <w:tc>
          <w:tcPr>
            <w:tcW w:w="1597" w:type="dxa"/>
            <w:noWrap/>
          </w:tcPr>
          <w:p>
            <w:pPr>
              <w:wordWrap w:val="0"/>
              <w:rPr>
                <w:rFonts w:hint="eastAsia" w:ascii="宋体" w:hAnsi="宋体" w:eastAsia="宋体" w:cs="宋体"/>
                <w:kern w:val="2"/>
                <w:sz w:val="24"/>
                <w:szCs w:val="20"/>
                <w:lang w:val="en-US" w:eastAsia="zh-CN" w:bidi="ar"/>
                <w14:ligatures w14:val="standardContextual"/>
              </w:rPr>
            </w:pPr>
          </w:p>
        </w:tc>
        <w:tc>
          <w:tcPr>
            <w:tcW w:w="1596" w:type="dxa"/>
            <w:noWrap/>
          </w:tcPr>
          <w:p>
            <w:pPr>
              <w:wordWrap w:val="0"/>
              <w:rPr>
                <w:rFonts w:hint="eastAsia" w:ascii="宋体" w:hAnsi="宋体" w:eastAsia="宋体" w:cs="宋体"/>
                <w:kern w:val="2"/>
                <w:sz w:val="24"/>
                <w:szCs w:val="20"/>
                <w:lang w:val="en-US" w:eastAsia="zh-CN" w:bidi="ar"/>
                <w14:ligatures w14:val="standardContextual"/>
              </w:rPr>
            </w:pPr>
          </w:p>
        </w:tc>
        <w:tc>
          <w:tcPr>
            <w:tcW w:w="1596" w:type="dxa"/>
            <w:noWrap/>
          </w:tcPr>
          <w:p>
            <w:pPr>
              <w:wordWrap w:val="0"/>
              <w:rPr>
                <w:rFonts w:hint="eastAsia" w:ascii="宋体" w:hAnsi="宋体" w:eastAsia="宋体" w:cs="宋体"/>
                <w:kern w:val="2"/>
                <w:sz w:val="24"/>
                <w:szCs w:val="20"/>
                <w:lang w:val="en-US" w:eastAsia="zh-CN" w:bidi="ar"/>
                <w14:ligatures w14:val="standardContextual"/>
              </w:rPr>
            </w:pPr>
          </w:p>
        </w:tc>
        <w:tc>
          <w:tcPr>
            <w:tcW w:w="1065" w:type="dxa"/>
            <w:noWrap/>
          </w:tcPr>
          <w:p>
            <w:pPr>
              <w:wordWrap w:val="0"/>
              <w:rPr>
                <w:rFonts w:hint="eastAsia" w:ascii="宋体" w:hAnsi="宋体" w:eastAsia="宋体" w:cs="宋体"/>
                <w:kern w:val="2"/>
                <w:sz w:val="24"/>
                <w:szCs w:val="20"/>
                <w:lang w:val="en-US" w:eastAsia="zh-CN" w:bidi="ar"/>
                <w14:ligatures w14:val="standardContextu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066" w:type="dxa"/>
            <w:noWrap/>
          </w:tcPr>
          <w:p>
            <w:pPr>
              <w:wordWrap w:val="0"/>
            </w:pPr>
          </w:p>
        </w:tc>
        <w:tc>
          <w:tcPr>
            <w:tcW w:w="1597" w:type="dxa"/>
            <w:noWrap/>
          </w:tcPr>
          <w:p>
            <w:pPr>
              <w:wordWrap w:val="0"/>
            </w:pPr>
          </w:p>
        </w:tc>
        <w:tc>
          <w:tcPr>
            <w:tcW w:w="1597" w:type="dxa"/>
            <w:noWrap/>
          </w:tcPr>
          <w:p>
            <w:pPr>
              <w:wordWrap w:val="0"/>
            </w:pPr>
          </w:p>
        </w:tc>
        <w:tc>
          <w:tcPr>
            <w:tcW w:w="1596" w:type="dxa"/>
            <w:noWrap/>
          </w:tcPr>
          <w:p>
            <w:pPr>
              <w:wordWrap w:val="0"/>
            </w:pPr>
          </w:p>
        </w:tc>
        <w:tc>
          <w:tcPr>
            <w:tcW w:w="1596" w:type="dxa"/>
            <w:noWrap/>
          </w:tcPr>
          <w:p>
            <w:pPr>
              <w:wordWrap w:val="0"/>
            </w:pPr>
          </w:p>
        </w:tc>
        <w:tc>
          <w:tcPr>
            <w:tcW w:w="1065" w:type="dxa"/>
            <w:noWrap/>
          </w:tcPr>
          <w:p>
            <w:pPr>
              <w:wordWrap w:val="0"/>
            </w:pPr>
          </w:p>
        </w:tc>
      </w:tr>
    </w:tbl>
    <w:p>
      <w:pPr>
        <w:pStyle w:val="44"/>
        <w:widowControl w:val="0"/>
        <w:spacing w:before="0" w:beforeAutospacing="0" w:after="0" w:afterAutospacing="0" w:line="500" w:lineRule="exact"/>
        <w:ind w:firstLine="480" w:firstLineChars="200"/>
        <w:jc w:val="both"/>
        <w:rPr>
          <w:rFonts w:hint="eastAsia" w:hAnsi="宋体" w:cs="宋体"/>
          <w:kern w:val="2"/>
          <w:szCs w:val="20"/>
          <w:lang w:bidi="ar"/>
          <w14:ligatures w14:val="standardContextual"/>
        </w:rPr>
      </w:pPr>
      <w:r>
        <w:rPr>
          <w:rFonts w:hint="eastAsia" w:hAnsi="宋体" w:cs="宋体"/>
          <w:kern w:val="2"/>
          <w:szCs w:val="20"/>
          <w:lang w:bidi="ar"/>
          <w14:ligatures w14:val="standardContextual"/>
        </w:rPr>
        <w:t>备注：</w:t>
      </w:r>
    </w:p>
    <w:p>
      <w:pPr>
        <w:pStyle w:val="44"/>
        <w:widowControl w:val="0"/>
        <w:spacing w:before="0" w:beforeAutospacing="0" w:after="0" w:afterAutospacing="0" w:line="500" w:lineRule="exact"/>
        <w:ind w:firstLine="480" w:firstLineChars="200"/>
        <w:jc w:val="both"/>
        <w:rPr>
          <w:rFonts w:hint="eastAsia" w:hAnsi="宋体" w:cs="宋体"/>
          <w:kern w:val="2"/>
          <w:szCs w:val="20"/>
          <w:lang w:bidi="ar"/>
          <w14:ligatures w14:val="standardContextual"/>
        </w:rPr>
      </w:pPr>
      <w:r>
        <w:rPr>
          <w:rFonts w:hint="eastAsia" w:hAnsi="宋体" w:cs="宋体"/>
          <w:kern w:val="2"/>
          <w:szCs w:val="20"/>
          <w:lang w:bidi="ar"/>
          <w14:ligatures w14:val="standardContextual"/>
        </w:rPr>
        <w:t>1.本表由投标人填写。</w:t>
      </w:r>
    </w:p>
    <w:p>
      <w:pPr>
        <w:pStyle w:val="44"/>
        <w:widowControl w:val="0"/>
        <w:spacing w:before="0" w:beforeAutospacing="0" w:after="0" w:afterAutospacing="0" w:line="500" w:lineRule="exact"/>
        <w:ind w:firstLine="480" w:firstLineChars="200"/>
        <w:jc w:val="both"/>
        <w:rPr>
          <w:rFonts w:hint="eastAsia" w:hAnsi="宋体" w:cs="宋体"/>
          <w:kern w:val="2"/>
          <w:szCs w:val="20"/>
          <w:lang w:bidi="ar"/>
          <w14:ligatures w14:val="standardContextual"/>
        </w:rPr>
      </w:pPr>
      <w:r>
        <w:rPr>
          <w:rFonts w:hint="eastAsia" w:hAnsi="宋体" w:cs="宋体"/>
          <w:kern w:val="2"/>
          <w:szCs w:val="20"/>
          <w:lang w:bidi="ar"/>
          <w14:ligatures w14:val="standardContextual"/>
        </w:rPr>
        <w:t>2.“投标文件出处”填写投标文件对应响应情况的章节号，如：2.1.1。</w:t>
      </w:r>
    </w:p>
    <w:p>
      <w:pPr>
        <w:pStyle w:val="44"/>
        <w:widowControl w:val="0"/>
        <w:spacing w:before="0" w:beforeAutospacing="0" w:after="0" w:afterAutospacing="0" w:line="500" w:lineRule="exact"/>
        <w:ind w:firstLine="480" w:firstLineChars="200"/>
        <w:jc w:val="both"/>
        <w:rPr>
          <w:rFonts w:hint="eastAsia" w:hAnsi="宋体" w:cs="宋体"/>
          <w:kern w:val="2"/>
          <w:szCs w:val="20"/>
          <w:lang w:bidi="ar"/>
          <w14:ligatures w14:val="standardContextual"/>
        </w:rPr>
      </w:pPr>
      <w:r>
        <w:rPr>
          <w:rFonts w:hint="eastAsia" w:hAnsi="宋体" w:cs="宋体"/>
          <w:kern w:val="2"/>
          <w:szCs w:val="20"/>
          <w:lang w:bidi="ar"/>
          <w14:ligatures w14:val="standardContextual"/>
        </w:rPr>
        <w:t>3.此表内容与招投标文件不一致时，以招投标文件为准。</w:t>
      </w:r>
    </w:p>
    <w:p>
      <w:pPr>
        <w:pStyle w:val="44"/>
        <w:widowControl w:val="0"/>
        <w:spacing w:before="0" w:beforeAutospacing="0" w:after="0" w:afterAutospacing="0" w:line="500" w:lineRule="exact"/>
        <w:ind w:firstLine="482" w:firstLineChars="200"/>
        <w:jc w:val="both"/>
        <w:rPr>
          <w:rFonts w:hint="eastAsia" w:hAnsi="宋体" w:cs="宋体"/>
          <w:b/>
          <w:bCs/>
          <w:kern w:val="2"/>
          <w:szCs w:val="20"/>
          <w:lang w:bidi="ar"/>
          <w14:ligatures w14:val="standardContextual"/>
        </w:rPr>
      </w:pPr>
      <w:r>
        <w:rPr>
          <w:rFonts w:hint="eastAsia" w:hAnsi="宋体" w:cs="宋体"/>
          <w:b/>
          <w:bCs/>
          <w:kern w:val="2"/>
          <w:szCs w:val="20"/>
          <w:lang w:val="en-US" w:eastAsia="zh-CN" w:bidi="ar"/>
          <w14:ligatures w14:val="standardContextual"/>
        </w:rPr>
        <w:t>17</w:t>
      </w:r>
      <w:r>
        <w:rPr>
          <w:rFonts w:hint="eastAsia" w:hAnsi="宋体" w:cs="宋体"/>
          <w:b/>
          <w:bCs/>
          <w:kern w:val="2"/>
          <w:szCs w:val="20"/>
          <w:lang w:bidi="ar"/>
          <w14:ligatures w14:val="standardContextual"/>
        </w:rPr>
        <w:t xml:space="preserve"> 主要工程量表</w:t>
      </w:r>
    </w:p>
    <w:p>
      <w:pPr>
        <w:pStyle w:val="44"/>
        <w:widowControl w:val="0"/>
        <w:spacing w:before="0" w:beforeAutospacing="0" w:after="0" w:afterAutospacing="0" w:line="500" w:lineRule="exact"/>
        <w:ind w:firstLine="480" w:firstLineChars="200"/>
        <w:jc w:val="both"/>
        <w:rPr>
          <w:rFonts w:hint="eastAsia" w:hAnsi="宋体" w:cs="宋体"/>
          <w:kern w:val="2"/>
          <w:szCs w:val="20"/>
          <w:lang w:bidi="ar"/>
          <w14:ligatures w14:val="standardContextual"/>
        </w:rPr>
      </w:pPr>
      <w:r>
        <w:rPr>
          <w:rFonts w:hint="eastAsia" w:hAnsi="宋体" w:cs="宋体"/>
          <w:kern w:val="2"/>
          <w:szCs w:val="20"/>
          <w:lang w:bidi="ar"/>
          <w14:ligatures w14:val="standardContextual"/>
        </w:rPr>
        <w:t>主要工程量表中开列的工程量是招标时估算的工程量，不能作为投标人按合同履行其责任时所应当完成的实际工程量。具体技术特征及工程量以施工图为准。</w:t>
      </w:r>
    </w:p>
    <w:p>
      <w:pPr>
        <w:pStyle w:val="44"/>
        <w:widowControl w:val="0"/>
        <w:spacing w:before="0" w:beforeAutospacing="0" w:after="0" w:afterAutospacing="0" w:line="500" w:lineRule="exact"/>
        <w:ind w:firstLine="480" w:firstLineChars="200"/>
        <w:jc w:val="both"/>
        <w:rPr>
          <w:rFonts w:hint="eastAsia" w:hAnsi="宋体" w:cs="宋体"/>
          <w:color w:val="auto"/>
          <w:kern w:val="2"/>
          <w:szCs w:val="20"/>
          <w:lang w:bidi="ar"/>
          <w14:ligatures w14:val="standardContextual"/>
        </w:rPr>
      </w:pPr>
      <w:r>
        <w:rPr>
          <w:rFonts w:hint="eastAsia" w:hAnsi="宋体" w:cs="宋体"/>
          <w:color w:val="auto"/>
          <w:kern w:val="2"/>
          <w:szCs w:val="20"/>
          <w:lang w:bidi="ar"/>
          <w14:ligatures w14:val="standardContextual"/>
        </w:rPr>
        <w:t>主要工程量表见</w:t>
      </w:r>
      <w:r>
        <w:rPr>
          <w:rFonts w:hint="eastAsia" w:hAnsi="宋体" w:cs="宋体"/>
          <w:color w:val="auto"/>
          <w:kern w:val="2"/>
          <w:szCs w:val="20"/>
          <w:lang w:val="en-US" w:eastAsia="zh-CN" w:bidi="ar"/>
          <w14:ligatures w14:val="standardContextual"/>
        </w:rPr>
        <w:t>下表</w:t>
      </w:r>
      <w:r>
        <w:rPr>
          <w:rFonts w:hint="eastAsia" w:hAnsi="宋体" w:cs="宋体"/>
          <w:color w:val="auto"/>
          <w:kern w:val="2"/>
          <w:szCs w:val="20"/>
          <w:lang w:bidi="ar"/>
          <w14:ligatures w14:val="standardContextual"/>
        </w:rPr>
        <w:t>：</w:t>
      </w:r>
    </w:p>
    <w:p>
      <w:pPr>
        <w:rPr>
          <w:rFonts w:hint="eastAsia" w:hAnsi="宋体" w:cs="宋体"/>
          <w:b/>
          <w:bCs/>
          <w:color w:val="auto"/>
          <w:kern w:val="2"/>
          <w:szCs w:val="20"/>
          <w:lang w:val="en-US" w:eastAsia="zh-CN" w:bidi="ar"/>
          <w14:ligatures w14:val="standardContextual"/>
        </w:rPr>
      </w:pPr>
      <w:r>
        <w:rPr>
          <w:rFonts w:hint="eastAsia" w:hAnsi="宋体" w:cs="宋体"/>
          <w:b/>
          <w:bCs/>
          <w:color w:val="auto"/>
          <w:kern w:val="2"/>
          <w:szCs w:val="20"/>
          <w:lang w:val="en-US" w:eastAsia="zh-CN" w:bidi="ar"/>
          <w14:ligatures w14:val="standardContextual"/>
        </w:rPr>
        <w:br w:type="page"/>
      </w:r>
    </w:p>
    <w:p>
      <w:pPr>
        <w:pStyle w:val="44"/>
        <w:widowControl w:val="0"/>
        <w:spacing w:before="0" w:beforeAutospacing="0" w:after="0" w:afterAutospacing="0" w:line="500" w:lineRule="exact"/>
        <w:ind w:left="0" w:leftChars="0" w:firstLine="0" w:firstLineChars="0"/>
        <w:jc w:val="center"/>
        <w:rPr>
          <w:rFonts w:hint="default" w:hAnsi="宋体" w:eastAsia="宋体" w:cs="宋体"/>
          <w:b/>
          <w:bCs/>
          <w:color w:val="auto"/>
          <w:kern w:val="2"/>
          <w:szCs w:val="20"/>
          <w:lang w:val="en-US" w:eastAsia="zh-CN" w:bidi="ar"/>
          <w14:ligatures w14:val="standardContextual"/>
        </w:rPr>
      </w:pPr>
      <w:r>
        <w:rPr>
          <w:rFonts w:hint="eastAsia" w:hAnsi="宋体" w:cs="宋体"/>
          <w:b/>
          <w:bCs/>
          <w:color w:val="auto"/>
          <w:kern w:val="2"/>
          <w:szCs w:val="20"/>
          <w:lang w:val="en-US" w:eastAsia="zh-CN" w:bidi="ar"/>
          <w14:ligatures w14:val="standardContextual"/>
        </w:rPr>
        <w:t>土建工程量表</w:t>
      </w:r>
    </w:p>
    <w:tbl>
      <w:tblPr>
        <w:tblStyle w:val="50"/>
        <w:tblW w:w="8518"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56"/>
        <w:gridCol w:w="4998"/>
        <w:gridCol w:w="796"/>
        <w:gridCol w:w="884"/>
        <w:gridCol w:w="8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blHeader/>
          <w:jc w:val="center"/>
        </w:trPr>
        <w:tc>
          <w:tcPr>
            <w:tcW w:w="9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auto"/>
                <w:sz w:val="18"/>
                <w:szCs w:val="18"/>
                <w:highlight w:val="none"/>
                <w:u w:val="none"/>
                <w:lang w:val="en-US" w:eastAsia="zh-CN"/>
              </w:rPr>
            </w:pPr>
            <w:r>
              <w:rPr>
                <w:rFonts w:hint="eastAsia" w:ascii="黑体" w:hAnsi="宋体" w:eastAsia="黑体" w:cs="黑体"/>
                <w:i w:val="0"/>
                <w:iCs w:val="0"/>
                <w:color w:val="auto"/>
                <w:sz w:val="18"/>
                <w:szCs w:val="18"/>
                <w:highlight w:val="none"/>
                <w:u w:val="none"/>
                <w:lang w:val="en-US" w:eastAsia="zh-CN"/>
              </w:rPr>
              <w:t>序号</w:t>
            </w:r>
          </w:p>
        </w:tc>
        <w:tc>
          <w:tcPr>
            <w:tcW w:w="49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黑体" w:hAnsi="宋体" w:eastAsia="黑体" w:cs="黑体"/>
                <w:i w:val="0"/>
                <w:iCs w:val="0"/>
                <w:color w:val="auto"/>
                <w:sz w:val="18"/>
                <w:szCs w:val="18"/>
                <w:highlight w:val="none"/>
                <w:u w:val="none"/>
                <w:lang w:val="en-US"/>
              </w:rPr>
            </w:pPr>
            <w:r>
              <w:rPr>
                <w:rFonts w:hint="eastAsia" w:ascii="黑体" w:hAnsi="宋体" w:eastAsia="黑体" w:cs="黑体"/>
                <w:i w:val="0"/>
                <w:iCs w:val="0"/>
                <w:color w:val="auto"/>
                <w:kern w:val="0"/>
                <w:sz w:val="18"/>
                <w:szCs w:val="18"/>
                <w:highlight w:val="none"/>
                <w:u w:val="none"/>
                <w:lang w:val="en-US" w:eastAsia="zh-CN" w:bidi="ar"/>
              </w:rPr>
              <w:t>单位工程名称及简要说明</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单位</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auto"/>
                <w:sz w:val="18"/>
                <w:szCs w:val="18"/>
                <w:highlight w:val="none"/>
                <w:u w:val="none"/>
              </w:rPr>
            </w:pPr>
            <w:r>
              <w:rPr>
                <w:rFonts w:hint="eastAsia" w:ascii="黑体" w:hAnsi="宋体" w:eastAsia="黑体" w:cs="黑体"/>
                <w:i w:val="0"/>
                <w:iCs w:val="0"/>
                <w:color w:val="auto"/>
                <w:kern w:val="0"/>
                <w:sz w:val="18"/>
                <w:szCs w:val="18"/>
                <w:highlight w:val="none"/>
                <w:u w:val="none"/>
                <w:lang w:val="en-US" w:eastAsia="zh-CN" w:bidi="ar"/>
              </w:rPr>
              <w:t>数量</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黑体" w:hAnsi="宋体" w:eastAsia="黑体" w:cs="黑体"/>
                <w:i w:val="0"/>
                <w:iCs w:val="0"/>
                <w:color w:val="auto"/>
                <w:kern w:val="0"/>
                <w:sz w:val="18"/>
                <w:szCs w:val="18"/>
                <w:highlight w:val="none"/>
                <w:u w:val="none"/>
                <w:lang w:val="en-US" w:eastAsia="zh-CN" w:bidi="ar"/>
              </w:rPr>
            </w:pPr>
            <w:r>
              <w:rPr>
                <w:rFonts w:hint="eastAsia" w:ascii="黑体" w:hAnsi="宋体" w:eastAsia="黑体" w:cs="黑体"/>
                <w:i w:val="0"/>
                <w:iCs w:val="0"/>
                <w:color w:val="auto"/>
                <w:kern w:val="0"/>
                <w:sz w:val="18"/>
                <w:szCs w:val="18"/>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9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18"/>
                <w:szCs w:val="18"/>
                <w:highlight w:val="none"/>
                <w:u w:val="none"/>
                <w:lang w:val="en-US" w:eastAsia="zh-CN" w:bidi="ar"/>
              </w:rPr>
            </w:pPr>
            <w:r>
              <w:rPr>
                <w:rFonts w:hint="eastAsia" w:ascii="宋体" w:hAnsi="宋体" w:eastAsia="宋体" w:cs="宋体"/>
                <w:b/>
                <w:bCs/>
                <w:i w:val="0"/>
                <w:iCs w:val="0"/>
                <w:color w:val="auto"/>
                <w:kern w:val="0"/>
                <w:sz w:val="18"/>
                <w:szCs w:val="18"/>
                <w:highlight w:val="none"/>
                <w:u w:val="none"/>
                <w:lang w:val="en-US" w:eastAsia="zh-CN" w:bidi="ar"/>
              </w:rPr>
              <w:t>一</w:t>
            </w:r>
          </w:p>
        </w:tc>
        <w:tc>
          <w:tcPr>
            <w:tcW w:w="4998"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color w:val="auto"/>
                <w:kern w:val="0"/>
                <w:sz w:val="18"/>
                <w:szCs w:val="18"/>
                <w:lang w:val="en-US" w:eastAsia="zh-CN"/>
                <w14:ligatures w14:val="none"/>
              </w:rPr>
              <w:t>储煤系统</w:t>
            </w:r>
          </w:p>
        </w:tc>
        <w:tc>
          <w:tcPr>
            <w:tcW w:w="79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sz w:val="18"/>
                <w:szCs w:val="18"/>
                <w:highlight w:val="none"/>
                <w:u w:val="none"/>
              </w:rPr>
            </w:pP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sz w:val="18"/>
                <w:szCs w:val="18"/>
                <w:highlight w:val="none"/>
                <w:u w:val="none"/>
              </w:rPr>
            </w:pP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9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18"/>
                <w:szCs w:val="18"/>
                <w:highlight w:val="none"/>
                <w:u w:val="none"/>
                <w:lang w:val="en-US" w:eastAsia="zh-CN" w:bidi="ar"/>
              </w:rPr>
            </w:pPr>
            <w:r>
              <w:rPr>
                <w:rFonts w:hint="eastAsia" w:ascii="宋体" w:hAnsi="宋体" w:eastAsia="宋体" w:cs="宋体"/>
                <w:b/>
                <w:bCs/>
                <w:i w:val="0"/>
                <w:iCs w:val="0"/>
                <w:color w:val="auto"/>
                <w:kern w:val="0"/>
                <w:sz w:val="18"/>
                <w:szCs w:val="18"/>
                <w:highlight w:val="none"/>
                <w:u w:val="none"/>
                <w:lang w:val="en-US" w:eastAsia="zh-CN" w:bidi="ar"/>
              </w:rPr>
              <w:t>1</w:t>
            </w:r>
          </w:p>
        </w:tc>
        <w:tc>
          <w:tcPr>
            <w:tcW w:w="49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auto"/>
                <w:kern w:val="0"/>
                <w:sz w:val="18"/>
                <w:szCs w:val="18"/>
                <w:highlight w:val="none"/>
                <w:u w:val="none"/>
                <w:lang w:val="en-US" w:eastAsia="zh-CN" w:bidi="ar"/>
              </w:rPr>
            </w:pPr>
            <w:r>
              <w:rPr>
                <w:rFonts w:hint="eastAsia" w:ascii="宋体" w:hAnsi="宋体" w:eastAsia="宋体" w:cs="宋体"/>
                <w:b/>
                <w:bCs/>
                <w:color w:val="auto"/>
                <w:kern w:val="0"/>
                <w:sz w:val="18"/>
                <w:szCs w:val="18"/>
                <w:lang w:val="en-US" w:eastAsia="zh-CN"/>
                <w14:ligatures w14:val="none"/>
              </w:rPr>
              <w:t>封闭式储煤场</w:t>
            </w:r>
          </w:p>
        </w:tc>
        <w:tc>
          <w:tcPr>
            <w:tcW w:w="79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default" w:ascii="宋体" w:hAnsi="宋体" w:eastAsia="宋体" w:cs="宋体"/>
                <w:b w:val="0"/>
                <w:bCs w:val="0"/>
                <w:color w:val="auto"/>
                <w:kern w:val="0"/>
                <w:sz w:val="18"/>
                <w:szCs w:val="18"/>
                <w:lang w:val="en-US" w:eastAsia="zh-CN" w:bidi="ar-SA"/>
                <w14:ligatures w14:val="none"/>
              </w:rPr>
            </w:pPr>
            <w:r>
              <w:rPr>
                <w:rFonts w:hint="eastAsia" w:ascii="宋体" w:hAnsi="宋体" w:eastAsia="宋体" w:cs="宋体"/>
                <w:b w:val="0"/>
                <w:bCs w:val="0"/>
                <w:color w:val="auto"/>
                <w:kern w:val="0"/>
                <w:sz w:val="18"/>
                <w:szCs w:val="18"/>
                <w:lang w:val="en-US" w:eastAsia="zh-CN"/>
                <w14:ligatures w14:val="none"/>
              </w:rPr>
              <w:t>m</w:t>
            </w:r>
            <w:r>
              <w:rPr>
                <w:rFonts w:hint="eastAsia" w:ascii="宋体" w:hAnsi="宋体" w:eastAsia="宋体" w:cs="宋体"/>
                <w:b w:val="0"/>
                <w:bCs w:val="0"/>
                <w:color w:val="auto"/>
                <w:kern w:val="0"/>
                <w:sz w:val="18"/>
                <w:szCs w:val="18"/>
                <w:vertAlign w:val="superscript"/>
                <w:lang w:val="en-US" w:eastAsia="zh-CN"/>
                <w14:ligatures w14:val="none"/>
              </w:rPr>
              <w:t>3</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b w:val="0"/>
                <w:bCs w:val="0"/>
                <w:color w:val="auto"/>
                <w:kern w:val="0"/>
                <w:sz w:val="18"/>
                <w:szCs w:val="18"/>
                <w:lang w:val="en-US" w:eastAsia="zh-CN" w:bidi="ar-SA"/>
                <w14:ligatures w14:val="none"/>
              </w:rPr>
            </w:pPr>
            <w:r>
              <w:rPr>
                <w:rFonts w:hint="eastAsia" w:ascii="宋体" w:hAnsi="宋体" w:eastAsia="宋体" w:cs="宋体"/>
                <w:b w:val="0"/>
                <w:bCs w:val="0"/>
                <w:color w:val="auto"/>
                <w:kern w:val="0"/>
                <w:sz w:val="18"/>
                <w:szCs w:val="18"/>
                <w14:ligatures w14:val="none"/>
              </w:rPr>
              <w:t>5650</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9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1.1</w:t>
            </w:r>
          </w:p>
        </w:tc>
        <w:tc>
          <w:tcPr>
            <w:tcW w:w="49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color w:val="auto"/>
                <w:kern w:val="0"/>
                <w:sz w:val="18"/>
                <w:szCs w:val="18"/>
                <w:lang w:val="en-US" w:eastAsia="zh-CN"/>
                <w14:ligatures w14:val="none"/>
              </w:rPr>
              <w:t>钢骨架PVDF膜结构</w:t>
            </w:r>
          </w:p>
        </w:tc>
        <w:tc>
          <w:tcPr>
            <w:tcW w:w="79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color w:val="auto"/>
                <w:kern w:val="0"/>
                <w:sz w:val="18"/>
                <w:szCs w:val="18"/>
                <w:lang w:val="en-US" w:eastAsia="zh-CN"/>
                <w14:ligatures w14:val="none"/>
              </w:rPr>
              <w:t>m</w:t>
            </w:r>
            <w:r>
              <w:rPr>
                <w:rFonts w:hint="eastAsia" w:ascii="宋体" w:hAnsi="宋体" w:eastAsia="宋体" w:cs="宋体"/>
                <w:b w:val="0"/>
                <w:bCs w:val="0"/>
                <w:color w:val="auto"/>
                <w:kern w:val="0"/>
                <w:sz w:val="18"/>
                <w:szCs w:val="18"/>
                <w:vertAlign w:val="superscript"/>
                <w:lang w:val="en-US" w:eastAsia="zh-CN"/>
                <w14:ligatures w14:val="none"/>
              </w:rPr>
              <w:t>3</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color w:val="auto"/>
                <w:kern w:val="0"/>
                <w:sz w:val="18"/>
                <w:szCs w:val="18"/>
                <w14:ligatures w14:val="none"/>
              </w:rPr>
              <w:t>5650</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6"/>
                <w:szCs w:val="16"/>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95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kern w:val="0"/>
                <w:sz w:val="18"/>
                <w:szCs w:val="18"/>
                <w:highlight w:val="none"/>
                <w:u w:val="none"/>
                <w:lang w:val="en-US" w:eastAsia="zh-CN" w:bidi="ar"/>
              </w:rPr>
            </w:pPr>
          </w:p>
        </w:tc>
        <w:tc>
          <w:tcPr>
            <w:tcW w:w="49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color w:val="auto"/>
                <w:kern w:val="0"/>
                <w:sz w:val="18"/>
                <w:szCs w:val="18"/>
                <w14:ligatures w14:val="none"/>
              </w:rPr>
              <w:t>PVDF膜材面积11500m</w:t>
            </w:r>
            <w:r>
              <w:rPr>
                <w:rFonts w:hint="eastAsia" w:ascii="宋体" w:hAnsi="宋体" w:eastAsia="宋体" w:cs="宋体"/>
                <w:b w:val="0"/>
                <w:bCs w:val="0"/>
                <w:color w:val="auto"/>
                <w:kern w:val="0"/>
                <w:sz w:val="18"/>
                <w:szCs w:val="18"/>
                <w:vertAlign w:val="superscript"/>
                <w:lang w:val="en-US" w:eastAsia="zh-CN"/>
                <w14:ligatures w14:val="none"/>
              </w:rPr>
              <w:t>2</w:t>
            </w:r>
            <w:r>
              <w:rPr>
                <w:rFonts w:hint="eastAsia" w:ascii="宋体" w:hAnsi="宋体" w:eastAsia="宋体" w:cs="宋体"/>
                <w:b w:val="0"/>
                <w:bCs w:val="0"/>
                <w:color w:val="auto"/>
                <w:kern w:val="0"/>
                <w:sz w:val="18"/>
                <w:szCs w:val="18"/>
                <w14:ligatures w14:val="none"/>
              </w:rPr>
              <w:t>，钢网架及檩条260t，钢质门，地面不</w:t>
            </w:r>
          </w:p>
        </w:tc>
        <w:tc>
          <w:tcPr>
            <w:tcW w:w="79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sz w:val="18"/>
                <w:szCs w:val="18"/>
                <w:highlight w:val="none"/>
                <w:u w:val="none"/>
              </w:rPr>
            </w:pP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sz w:val="18"/>
                <w:szCs w:val="18"/>
                <w:highlight w:val="none"/>
                <w:u w:val="none"/>
              </w:rPr>
            </w:pP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95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kern w:val="0"/>
                <w:sz w:val="18"/>
                <w:szCs w:val="18"/>
                <w:highlight w:val="none"/>
                <w:u w:val="none"/>
                <w:lang w:val="en-US" w:eastAsia="zh-CN" w:bidi="ar"/>
              </w:rPr>
            </w:pPr>
          </w:p>
        </w:tc>
        <w:tc>
          <w:tcPr>
            <w:tcW w:w="49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color w:val="auto"/>
                <w:kern w:val="0"/>
                <w:sz w:val="18"/>
                <w:szCs w:val="18"/>
                <w14:ligatures w14:val="none"/>
              </w:rPr>
              <w:t>硬化。</w:t>
            </w:r>
          </w:p>
        </w:tc>
        <w:tc>
          <w:tcPr>
            <w:tcW w:w="79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sz w:val="18"/>
                <w:szCs w:val="18"/>
                <w:highlight w:val="none"/>
                <w:u w:val="none"/>
              </w:rPr>
            </w:pP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sz w:val="18"/>
                <w:szCs w:val="18"/>
                <w:highlight w:val="none"/>
                <w:u w:val="none"/>
              </w:rPr>
            </w:pP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95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1.2</w:t>
            </w:r>
          </w:p>
        </w:tc>
        <w:tc>
          <w:tcPr>
            <w:tcW w:w="49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color w:val="auto"/>
                <w:kern w:val="0"/>
                <w:sz w:val="18"/>
                <w:szCs w:val="18"/>
                <w14:ligatures w14:val="none"/>
              </w:rPr>
              <w:t>钢筋混凝土挡墙</w:t>
            </w:r>
          </w:p>
        </w:tc>
        <w:tc>
          <w:tcPr>
            <w:tcW w:w="796"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b w:val="0"/>
                <w:bCs w:val="0"/>
                <w:i w:val="0"/>
                <w:iCs w:val="0"/>
                <w:color w:val="auto"/>
                <w:kern w:val="2"/>
                <w:sz w:val="18"/>
                <w:szCs w:val="18"/>
                <w:highlight w:val="none"/>
                <w:u w:val="none"/>
                <w:lang w:val="en-US" w:eastAsia="zh-CN" w:bidi="ar-SA"/>
              </w:rPr>
            </w:pPr>
            <w:r>
              <w:rPr>
                <w:rFonts w:hint="eastAsia" w:ascii="宋体" w:hAnsi="宋体" w:eastAsia="宋体" w:cs="宋体"/>
                <w:b w:val="0"/>
                <w:bCs w:val="0"/>
                <w:color w:val="auto"/>
                <w:kern w:val="0"/>
                <w:sz w:val="18"/>
                <w:szCs w:val="18"/>
                <w:lang w:val="en-US" w:eastAsia="zh-CN"/>
                <w14:ligatures w14:val="none"/>
              </w:rPr>
              <w:t>m</w:t>
            </w:r>
            <w:r>
              <w:rPr>
                <w:rFonts w:hint="eastAsia" w:ascii="宋体" w:hAnsi="宋体" w:eastAsia="宋体" w:cs="宋体"/>
                <w:b w:val="0"/>
                <w:bCs w:val="0"/>
                <w:color w:val="auto"/>
                <w:kern w:val="0"/>
                <w:sz w:val="18"/>
                <w:szCs w:val="18"/>
                <w:vertAlign w:val="superscript"/>
                <w:lang w:val="en-US" w:eastAsia="zh-CN"/>
                <w14:ligatures w14:val="none"/>
              </w:rPr>
              <w:t>3</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b w:val="0"/>
                <w:bCs w:val="0"/>
                <w:i w:val="0"/>
                <w:iCs w:val="0"/>
                <w:color w:val="auto"/>
                <w:kern w:val="2"/>
                <w:sz w:val="18"/>
                <w:szCs w:val="18"/>
                <w:highlight w:val="none"/>
                <w:u w:val="none"/>
                <w:lang w:val="en-US" w:eastAsia="zh-CN" w:bidi="ar-SA"/>
              </w:rPr>
            </w:pPr>
            <w:r>
              <w:rPr>
                <w:rFonts w:hint="eastAsia" w:ascii="宋体" w:hAnsi="宋体" w:eastAsia="宋体" w:cs="宋体"/>
                <w:b w:val="0"/>
                <w:bCs w:val="0"/>
                <w:color w:val="auto"/>
                <w:kern w:val="0"/>
                <w:sz w:val="18"/>
                <w:szCs w:val="18"/>
                <w:lang w:val="en-US" w:eastAsia="zh-CN"/>
                <w14:ligatures w14:val="none"/>
              </w:rPr>
              <w:t>800</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9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c>
          <w:tcPr>
            <w:tcW w:w="49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color w:val="auto"/>
                <w:kern w:val="0"/>
                <w:sz w:val="18"/>
                <w:szCs w:val="18"/>
                <w14:ligatures w14:val="none"/>
              </w:rPr>
              <w:t>挡墙长度296m，高度5.2m</w:t>
            </w:r>
          </w:p>
        </w:tc>
        <w:tc>
          <w:tcPr>
            <w:tcW w:w="7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p>
        </w:tc>
        <w:tc>
          <w:tcPr>
            <w:tcW w:w="8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p>
        </w:tc>
        <w:tc>
          <w:tcPr>
            <w:tcW w:w="88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6"/>
                <w:szCs w:val="16"/>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95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1.3</w:t>
            </w:r>
          </w:p>
        </w:tc>
        <w:tc>
          <w:tcPr>
            <w:tcW w:w="49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钢筋混凝土柱及基础</w:t>
            </w:r>
          </w:p>
        </w:tc>
        <w:tc>
          <w:tcPr>
            <w:tcW w:w="79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color w:val="auto"/>
                <w:kern w:val="0"/>
                <w:sz w:val="18"/>
                <w:szCs w:val="18"/>
                <w:lang w:val="en-US" w:eastAsia="zh-CN"/>
                <w14:ligatures w14:val="none"/>
              </w:rPr>
              <w:t>m</w:t>
            </w:r>
            <w:r>
              <w:rPr>
                <w:rFonts w:hint="eastAsia" w:ascii="宋体" w:hAnsi="宋体" w:eastAsia="宋体" w:cs="宋体"/>
                <w:b w:val="0"/>
                <w:bCs w:val="0"/>
                <w:color w:val="auto"/>
                <w:kern w:val="0"/>
                <w:sz w:val="18"/>
                <w:szCs w:val="18"/>
                <w:vertAlign w:val="superscript"/>
                <w:lang w:val="en-US" w:eastAsia="zh-CN"/>
                <w14:ligatures w14:val="none"/>
              </w:rPr>
              <w:t>3</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sz w:val="18"/>
                <w:szCs w:val="18"/>
                <w:highlight w:val="none"/>
                <w:u w:val="none"/>
              </w:rPr>
              <w:t>950</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95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1.4</w:t>
            </w:r>
          </w:p>
        </w:tc>
        <w:tc>
          <w:tcPr>
            <w:tcW w:w="49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拆除挡风抑尘墙</w:t>
            </w:r>
          </w:p>
        </w:tc>
        <w:tc>
          <w:tcPr>
            <w:tcW w:w="79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sz w:val="18"/>
                <w:szCs w:val="18"/>
                <w:highlight w:val="none"/>
                <w:u w:val="none"/>
                <w:lang w:val="en-US"/>
              </w:rPr>
            </w:pPr>
            <w:r>
              <w:rPr>
                <w:rFonts w:hint="eastAsia" w:ascii="宋体" w:hAnsi="宋体" w:eastAsia="宋体" w:cs="宋体"/>
                <w:b w:val="0"/>
                <w:bCs w:val="0"/>
                <w:color w:val="auto"/>
                <w:kern w:val="0"/>
                <w:sz w:val="18"/>
                <w:szCs w:val="18"/>
                <w:lang w:val="en-US" w:eastAsia="zh-CN"/>
                <w14:ligatures w14:val="none"/>
              </w:rPr>
              <w:t>m</w:t>
            </w:r>
            <w:r>
              <w:rPr>
                <w:rFonts w:hint="eastAsia" w:ascii="宋体" w:hAnsi="宋体" w:eastAsia="宋体" w:cs="宋体"/>
                <w:b w:val="0"/>
                <w:bCs w:val="0"/>
                <w:color w:val="auto"/>
                <w:kern w:val="0"/>
                <w:sz w:val="18"/>
                <w:szCs w:val="18"/>
                <w:vertAlign w:val="superscript"/>
                <w:lang w:val="en-US" w:eastAsia="zh-CN"/>
                <w14:ligatures w14:val="none"/>
              </w:rPr>
              <w:t>2</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sz w:val="18"/>
                <w:szCs w:val="18"/>
                <w:highlight w:val="none"/>
                <w:u w:val="none"/>
              </w:rPr>
              <w:t>3290</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95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kern w:val="0"/>
                <w:sz w:val="18"/>
                <w:szCs w:val="18"/>
                <w:highlight w:val="none"/>
                <w:u w:val="none"/>
                <w:lang w:val="en-US" w:eastAsia="zh-CN" w:bidi="ar"/>
              </w:rPr>
            </w:pPr>
          </w:p>
        </w:tc>
        <w:tc>
          <w:tcPr>
            <w:tcW w:w="49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长度235米（原挡风抑尘网的高度约14米）</w:t>
            </w:r>
          </w:p>
        </w:tc>
        <w:tc>
          <w:tcPr>
            <w:tcW w:w="79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sz w:val="18"/>
                <w:szCs w:val="18"/>
                <w:highlight w:val="none"/>
                <w:u w:val="none"/>
              </w:rPr>
            </w:pP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sz w:val="18"/>
                <w:szCs w:val="18"/>
                <w:highlight w:val="none"/>
                <w:u w:val="none"/>
              </w:rPr>
            </w:pP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95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1.5</w:t>
            </w:r>
          </w:p>
        </w:tc>
        <w:tc>
          <w:tcPr>
            <w:tcW w:w="49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拆除硬化场地，垃圾外运（路面破除）</w:t>
            </w:r>
          </w:p>
        </w:tc>
        <w:tc>
          <w:tcPr>
            <w:tcW w:w="79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color w:val="auto"/>
                <w:kern w:val="0"/>
                <w:sz w:val="18"/>
                <w:szCs w:val="18"/>
                <w:lang w:val="en-US" w:eastAsia="zh-CN"/>
                <w14:ligatures w14:val="none"/>
              </w:rPr>
              <w:t>m</w:t>
            </w:r>
            <w:r>
              <w:rPr>
                <w:rFonts w:hint="eastAsia" w:ascii="宋体" w:hAnsi="宋体" w:eastAsia="宋体" w:cs="宋体"/>
                <w:b w:val="0"/>
                <w:bCs w:val="0"/>
                <w:color w:val="auto"/>
                <w:kern w:val="0"/>
                <w:sz w:val="18"/>
                <w:szCs w:val="18"/>
                <w:vertAlign w:val="superscript"/>
                <w:lang w:val="en-US" w:eastAsia="zh-CN"/>
                <w14:ligatures w14:val="none"/>
              </w:rPr>
              <w:t>2</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sz w:val="18"/>
                <w:szCs w:val="18"/>
                <w:highlight w:val="none"/>
                <w:u w:val="none"/>
              </w:rPr>
              <w:t>1500</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95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1.6</w:t>
            </w:r>
          </w:p>
        </w:tc>
        <w:tc>
          <w:tcPr>
            <w:tcW w:w="49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恢复硬化场地</w:t>
            </w:r>
          </w:p>
        </w:tc>
        <w:tc>
          <w:tcPr>
            <w:tcW w:w="79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kern w:val="2"/>
                <w:sz w:val="18"/>
                <w:szCs w:val="18"/>
                <w:highlight w:val="none"/>
                <w:u w:val="none"/>
                <w:lang w:val="en-US" w:eastAsia="zh-CN" w:bidi="ar-SA"/>
              </w:rPr>
            </w:pPr>
            <w:r>
              <w:rPr>
                <w:rFonts w:hint="eastAsia" w:ascii="宋体" w:hAnsi="宋体" w:eastAsia="宋体" w:cs="宋体"/>
                <w:b w:val="0"/>
                <w:bCs w:val="0"/>
                <w:color w:val="auto"/>
                <w:kern w:val="0"/>
                <w:sz w:val="18"/>
                <w:szCs w:val="18"/>
                <w:lang w:val="en-US" w:eastAsia="zh-CN"/>
                <w14:ligatures w14:val="none"/>
              </w:rPr>
              <w:t>m</w:t>
            </w:r>
            <w:r>
              <w:rPr>
                <w:rFonts w:hint="eastAsia" w:ascii="宋体" w:hAnsi="宋体" w:eastAsia="宋体" w:cs="宋体"/>
                <w:b w:val="0"/>
                <w:bCs w:val="0"/>
                <w:color w:val="auto"/>
                <w:kern w:val="0"/>
                <w:sz w:val="18"/>
                <w:szCs w:val="18"/>
                <w:vertAlign w:val="superscript"/>
                <w:lang w:val="en-US" w:eastAsia="zh-CN"/>
                <w14:ligatures w14:val="none"/>
              </w:rPr>
              <w:t>2</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kern w:val="2"/>
                <w:sz w:val="18"/>
                <w:szCs w:val="18"/>
                <w:highlight w:val="none"/>
                <w:u w:val="none"/>
                <w:lang w:val="en-US" w:eastAsia="zh-CN" w:bidi="ar-SA"/>
              </w:rPr>
            </w:pPr>
            <w:r>
              <w:rPr>
                <w:rFonts w:hint="eastAsia" w:ascii="宋体" w:hAnsi="宋体" w:eastAsia="宋体" w:cs="宋体"/>
                <w:b w:val="0"/>
                <w:bCs w:val="0"/>
                <w:i w:val="0"/>
                <w:iCs w:val="0"/>
                <w:color w:val="auto"/>
                <w:sz w:val="18"/>
                <w:szCs w:val="18"/>
                <w:highlight w:val="none"/>
                <w:u w:val="none"/>
              </w:rPr>
              <w:t>1500</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95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auto"/>
                <w:kern w:val="0"/>
                <w:sz w:val="18"/>
                <w:szCs w:val="18"/>
                <w:highlight w:val="none"/>
                <w:u w:val="none"/>
                <w:lang w:val="en-US" w:eastAsia="zh-CN" w:bidi="ar"/>
              </w:rPr>
            </w:pPr>
            <w:r>
              <w:rPr>
                <w:rFonts w:hint="eastAsia" w:ascii="宋体" w:hAnsi="宋体" w:eastAsia="宋体" w:cs="宋体"/>
                <w:b/>
                <w:bCs/>
                <w:i w:val="0"/>
                <w:iCs w:val="0"/>
                <w:color w:val="auto"/>
                <w:kern w:val="0"/>
                <w:sz w:val="18"/>
                <w:szCs w:val="18"/>
                <w:highlight w:val="none"/>
                <w:u w:val="none"/>
                <w:lang w:val="en-US" w:eastAsia="zh-CN" w:bidi="ar"/>
              </w:rPr>
              <w:t>2</w:t>
            </w:r>
          </w:p>
        </w:tc>
        <w:tc>
          <w:tcPr>
            <w:tcW w:w="49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auto"/>
                <w:kern w:val="0"/>
                <w:sz w:val="18"/>
                <w:szCs w:val="18"/>
                <w:highlight w:val="none"/>
                <w:u w:val="none"/>
                <w:lang w:val="en-US" w:eastAsia="zh-CN" w:bidi="ar"/>
              </w:rPr>
            </w:pPr>
            <w:r>
              <w:rPr>
                <w:rFonts w:hint="eastAsia" w:ascii="宋体" w:hAnsi="宋体" w:eastAsia="宋体" w:cs="宋体"/>
                <w:b/>
                <w:bCs/>
                <w:i w:val="0"/>
                <w:iCs w:val="0"/>
                <w:color w:val="auto"/>
                <w:kern w:val="0"/>
                <w:sz w:val="18"/>
                <w:szCs w:val="18"/>
                <w:highlight w:val="none"/>
                <w:u w:val="none"/>
                <w:lang w:val="en-US" w:eastAsia="zh-CN" w:bidi="ar"/>
              </w:rPr>
              <w:t>给水排水系统</w:t>
            </w:r>
          </w:p>
        </w:tc>
        <w:tc>
          <w:tcPr>
            <w:tcW w:w="79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sz w:val="18"/>
                <w:szCs w:val="18"/>
                <w:highlight w:val="none"/>
                <w:u w:val="none"/>
              </w:rPr>
            </w:pP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sz w:val="18"/>
                <w:szCs w:val="18"/>
                <w:highlight w:val="none"/>
                <w:u w:val="none"/>
              </w:rPr>
            </w:pP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95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2.1</w:t>
            </w:r>
          </w:p>
        </w:tc>
        <w:tc>
          <w:tcPr>
            <w:tcW w:w="49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洗车房</w:t>
            </w:r>
          </w:p>
        </w:tc>
        <w:tc>
          <w:tcPr>
            <w:tcW w:w="79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sz w:val="18"/>
                <w:szCs w:val="18"/>
                <w:highlight w:val="none"/>
                <w:u w:val="none"/>
                <w:lang w:val="en-US" w:eastAsia="zh-CN"/>
              </w:rPr>
            </w:pPr>
            <w:r>
              <w:rPr>
                <w:rFonts w:hint="eastAsia" w:ascii="宋体" w:hAnsi="宋体" w:eastAsia="宋体" w:cs="宋体"/>
                <w:b w:val="0"/>
                <w:bCs w:val="0"/>
                <w:color w:val="auto"/>
                <w:kern w:val="0"/>
                <w:sz w:val="18"/>
                <w:szCs w:val="18"/>
                <w:lang w:val="en-US" w:eastAsia="zh-CN"/>
                <w14:ligatures w14:val="none"/>
              </w:rPr>
              <w:t>m</w:t>
            </w:r>
            <w:r>
              <w:rPr>
                <w:rFonts w:hint="eastAsia" w:ascii="宋体" w:hAnsi="宋体" w:eastAsia="宋体" w:cs="宋体"/>
                <w:b w:val="0"/>
                <w:bCs w:val="0"/>
                <w:color w:val="auto"/>
                <w:kern w:val="0"/>
                <w:sz w:val="18"/>
                <w:szCs w:val="18"/>
                <w:vertAlign w:val="superscript"/>
                <w:lang w:val="en-US" w:eastAsia="zh-CN"/>
                <w14:ligatures w14:val="none"/>
              </w:rPr>
              <w:t>3</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sz w:val="18"/>
                <w:szCs w:val="18"/>
                <w:highlight w:val="none"/>
                <w:u w:val="none"/>
              </w:rPr>
              <w:t>40</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95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kern w:val="0"/>
                <w:sz w:val="18"/>
                <w:szCs w:val="18"/>
                <w:highlight w:val="none"/>
                <w:u w:val="none"/>
                <w:lang w:val="en-US" w:eastAsia="zh-CN" w:bidi="ar"/>
              </w:rPr>
            </w:pPr>
          </w:p>
        </w:tc>
        <w:tc>
          <w:tcPr>
            <w:tcW w:w="49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门式刚架结构，独立基础深2m，檐高5.8m，岩棉夹芯板维护结</w:t>
            </w:r>
          </w:p>
        </w:tc>
        <w:tc>
          <w:tcPr>
            <w:tcW w:w="79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sz w:val="18"/>
                <w:szCs w:val="18"/>
                <w:highlight w:val="none"/>
                <w:u w:val="none"/>
              </w:rPr>
            </w:pP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sz w:val="18"/>
                <w:szCs w:val="18"/>
                <w:highlight w:val="none"/>
                <w:u w:val="none"/>
              </w:rPr>
            </w:pP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95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kern w:val="0"/>
                <w:sz w:val="18"/>
                <w:szCs w:val="18"/>
                <w:highlight w:val="none"/>
                <w:u w:val="none"/>
                <w:lang w:val="en-US" w:eastAsia="zh-CN" w:bidi="ar"/>
              </w:rPr>
            </w:pPr>
          </w:p>
        </w:tc>
        <w:tc>
          <w:tcPr>
            <w:tcW w:w="49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构，钢门塑钢窗，有照明、给排水、通风</w:t>
            </w:r>
          </w:p>
        </w:tc>
        <w:tc>
          <w:tcPr>
            <w:tcW w:w="79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sz w:val="18"/>
                <w:szCs w:val="18"/>
                <w:highlight w:val="none"/>
                <w:u w:val="none"/>
              </w:rPr>
            </w:pP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sz w:val="18"/>
                <w:szCs w:val="18"/>
                <w:highlight w:val="none"/>
                <w:u w:val="none"/>
              </w:rPr>
            </w:pP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95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2.2</w:t>
            </w:r>
          </w:p>
        </w:tc>
        <w:tc>
          <w:tcPr>
            <w:tcW w:w="49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洗车机基础</w:t>
            </w:r>
          </w:p>
        </w:tc>
        <w:tc>
          <w:tcPr>
            <w:tcW w:w="79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kern w:val="2"/>
                <w:sz w:val="18"/>
                <w:szCs w:val="18"/>
                <w:highlight w:val="none"/>
                <w:u w:val="none"/>
                <w:lang w:val="en-US" w:eastAsia="zh-CN" w:bidi="ar-SA"/>
              </w:rPr>
            </w:pPr>
            <w:r>
              <w:rPr>
                <w:rFonts w:hint="eastAsia" w:ascii="宋体" w:hAnsi="宋体" w:eastAsia="宋体" w:cs="宋体"/>
                <w:b w:val="0"/>
                <w:bCs w:val="0"/>
                <w:color w:val="auto"/>
                <w:kern w:val="0"/>
                <w:sz w:val="18"/>
                <w:szCs w:val="18"/>
                <w:lang w:val="en-US" w:eastAsia="zh-CN"/>
                <w14:ligatures w14:val="none"/>
              </w:rPr>
              <w:t>m</w:t>
            </w:r>
            <w:r>
              <w:rPr>
                <w:rFonts w:hint="eastAsia" w:ascii="宋体" w:hAnsi="宋体" w:eastAsia="宋体" w:cs="宋体"/>
                <w:b w:val="0"/>
                <w:bCs w:val="0"/>
                <w:color w:val="auto"/>
                <w:kern w:val="0"/>
                <w:sz w:val="18"/>
                <w:szCs w:val="18"/>
                <w:vertAlign w:val="superscript"/>
                <w:lang w:val="en-US" w:eastAsia="zh-CN"/>
                <w14:ligatures w14:val="none"/>
              </w:rPr>
              <w:t>3</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kern w:val="2"/>
                <w:sz w:val="18"/>
                <w:szCs w:val="18"/>
                <w:highlight w:val="none"/>
                <w:u w:val="none"/>
                <w:lang w:val="en-US" w:eastAsia="zh-CN" w:bidi="ar-SA"/>
              </w:rPr>
            </w:pPr>
            <w:r>
              <w:rPr>
                <w:rFonts w:hint="eastAsia" w:ascii="宋体" w:hAnsi="宋体" w:eastAsia="宋体" w:cs="宋体"/>
                <w:b w:val="0"/>
                <w:bCs w:val="0"/>
                <w:i w:val="0"/>
                <w:iCs w:val="0"/>
                <w:color w:val="auto"/>
                <w:sz w:val="18"/>
                <w:szCs w:val="18"/>
                <w:highlight w:val="none"/>
                <w:u w:val="none"/>
                <w:lang w:val="en-US" w:eastAsia="zh-CN"/>
              </w:rPr>
              <w:t>28</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95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kern w:val="0"/>
                <w:sz w:val="18"/>
                <w:szCs w:val="18"/>
                <w:highlight w:val="none"/>
                <w:u w:val="none"/>
                <w:lang w:val="en-US" w:eastAsia="zh-CN" w:bidi="ar"/>
              </w:rPr>
            </w:pPr>
          </w:p>
        </w:tc>
        <w:tc>
          <w:tcPr>
            <w:tcW w:w="49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C30钢筋砼</w:t>
            </w:r>
          </w:p>
        </w:tc>
        <w:tc>
          <w:tcPr>
            <w:tcW w:w="79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kern w:val="2"/>
                <w:sz w:val="18"/>
                <w:szCs w:val="18"/>
                <w:highlight w:val="none"/>
                <w:u w:val="none"/>
                <w:lang w:val="en-US" w:eastAsia="zh-CN" w:bidi="ar-SA"/>
              </w:rPr>
            </w:pP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kern w:val="2"/>
                <w:sz w:val="18"/>
                <w:szCs w:val="18"/>
                <w:highlight w:val="none"/>
                <w:u w:val="none"/>
                <w:lang w:val="en-US" w:eastAsia="zh-CN" w:bidi="ar-SA"/>
              </w:rPr>
            </w:pP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95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2.3</w:t>
            </w:r>
          </w:p>
        </w:tc>
        <w:tc>
          <w:tcPr>
            <w:tcW w:w="49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沉淀池</w:t>
            </w:r>
          </w:p>
        </w:tc>
        <w:tc>
          <w:tcPr>
            <w:tcW w:w="79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kern w:val="2"/>
                <w:sz w:val="18"/>
                <w:szCs w:val="18"/>
                <w:highlight w:val="none"/>
                <w:u w:val="none"/>
                <w:lang w:val="en-US" w:eastAsia="zh-CN" w:bidi="ar-SA"/>
              </w:rPr>
            </w:pPr>
            <w:r>
              <w:rPr>
                <w:rFonts w:hint="eastAsia" w:ascii="宋体" w:hAnsi="宋体" w:eastAsia="宋体" w:cs="宋体"/>
                <w:b w:val="0"/>
                <w:bCs w:val="0"/>
                <w:color w:val="auto"/>
                <w:kern w:val="0"/>
                <w:sz w:val="18"/>
                <w:szCs w:val="18"/>
                <w:lang w:val="en-US" w:eastAsia="zh-CN"/>
                <w14:ligatures w14:val="none"/>
              </w:rPr>
              <w:t>m</w:t>
            </w:r>
            <w:r>
              <w:rPr>
                <w:rFonts w:hint="eastAsia" w:ascii="宋体" w:hAnsi="宋体" w:eastAsia="宋体" w:cs="宋体"/>
                <w:b w:val="0"/>
                <w:bCs w:val="0"/>
                <w:color w:val="auto"/>
                <w:kern w:val="0"/>
                <w:sz w:val="18"/>
                <w:szCs w:val="18"/>
                <w:vertAlign w:val="superscript"/>
                <w:lang w:val="en-US" w:eastAsia="zh-CN"/>
                <w14:ligatures w14:val="none"/>
              </w:rPr>
              <w:t>3</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kern w:val="2"/>
                <w:sz w:val="18"/>
                <w:szCs w:val="18"/>
                <w:highlight w:val="none"/>
                <w:u w:val="none"/>
                <w:lang w:val="en-US" w:eastAsia="zh-CN" w:bidi="ar-SA"/>
              </w:rPr>
            </w:pPr>
            <w:r>
              <w:rPr>
                <w:rFonts w:hint="eastAsia" w:ascii="宋体" w:hAnsi="宋体" w:eastAsia="宋体" w:cs="宋体"/>
                <w:b w:val="0"/>
                <w:bCs w:val="0"/>
                <w:i w:val="0"/>
                <w:iCs w:val="0"/>
                <w:color w:val="auto"/>
                <w:sz w:val="18"/>
                <w:szCs w:val="18"/>
                <w:highlight w:val="none"/>
                <w:u w:val="none"/>
                <w:lang w:val="en-US" w:eastAsia="zh-CN"/>
              </w:rPr>
              <w:t>138</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95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kern w:val="0"/>
                <w:sz w:val="18"/>
                <w:szCs w:val="18"/>
                <w:highlight w:val="none"/>
                <w:u w:val="none"/>
                <w:lang w:val="en-US" w:eastAsia="zh-CN" w:bidi="ar"/>
              </w:rPr>
            </w:pPr>
          </w:p>
        </w:tc>
        <w:tc>
          <w:tcPr>
            <w:tcW w:w="49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钢筋砼箱型结构，筏板基础深2.3m</w:t>
            </w:r>
          </w:p>
        </w:tc>
        <w:tc>
          <w:tcPr>
            <w:tcW w:w="79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kern w:val="2"/>
                <w:sz w:val="18"/>
                <w:szCs w:val="18"/>
                <w:highlight w:val="none"/>
                <w:u w:val="none"/>
                <w:lang w:val="en-US" w:eastAsia="zh-CN" w:bidi="ar-SA"/>
              </w:rPr>
            </w:pP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kern w:val="2"/>
                <w:sz w:val="18"/>
                <w:szCs w:val="18"/>
                <w:highlight w:val="none"/>
                <w:u w:val="none"/>
                <w:lang w:val="en-US" w:eastAsia="zh-CN" w:bidi="ar-SA"/>
              </w:rPr>
            </w:pP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95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2.4</w:t>
            </w:r>
          </w:p>
        </w:tc>
        <w:tc>
          <w:tcPr>
            <w:tcW w:w="49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室外给水排水</w:t>
            </w:r>
          </w:p>
        </w:tc>
        <w:tc>
          <w:tcPr>
            <w:tcW w:w="79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kern w:val="2"/>
                <w:sz w:val="18"/>
                <w:szCs w:val="18"/>
                <w:highlight w:val="none"/>
                <w:u w:val="none"/>
                <w:lang w:val="en-US" w:eastAsia="zh-CN" w:bidi="ar-SA"/>
              </w:rPr>
            </w:pP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kern w:val="2"/>
                <w:sz w:val="18"/>
                <w:szCs w:val="18"/>
                <w:highlight w:val="none"/>
                <w:u w:val="none"/>
                <w:lang w:val="en-US" w:eastAsia="zh-CN" w:bidi="ar-SA"/>
              </w:rPr>
            </w:pP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95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2.4.1</w:t>
            </w:r>
          </w:p>
        </w:tc>
        <w:tc>
          <w:tcPr>
            <w:tcW w:w="49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室外消防炮系统</w:t>
            </w:r>
          </w:p>
        </w:tc>
        <w:tc>
          <w:tcPr>
            <w:tcW w:w="79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kern w:val="2"/>
                <w:sz w:val="18"/>
                <w:szCs w:val="18"/>
                <w:highlight w:val="none"/>
                <w:u w:val="none"/>
                <w:lang w:val="en-US" w:eastAsia="zh-CN" w:bidi="ar-SA"/>
              </w:rPr>
            </w:pP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kern w:val="2"/>
                <w:sz w:val="18"/>
                <w:szCs w:val="18"/>
                <w:highlight w:val="none"/>
                <w:u w:val="none"/>
                <w:lang w:val="en-US" w:eastAsia="zh-CN" w:bidi="ar-SA"/>
              </w:rPr>
            </w:pP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95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2.4.1.1</w:t>
            </w:r>
          </w:p>
        </w:tc>
        <w:tc>
          <w:tcPr>
            <w:tcW w:w="49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无缝钢管土方</w:t>
            </w:r>
          </w:p>
        </w:tc>
        <w:tc>
          <w:tcPr>
            <w:tcW w:w="79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kern w:val="2"/>
                <w:sz w:val="18"/>
                <w:szCs w:val="18"/>
                <w:highlight w:val="none"/>
                <w:u w:val="none"/>
                <w:lang w:val="en-US" w:eastAsia="zh-CN" w:bidi="ar-SA"/>
              </w:rPr>
            </w:pPr>
            <w:r>
              <w:rPr>
                <w:rFonts w:hint="eastAsia" w:ascii="宋体" w:hAnsi="宋体" w:eastAsia="宋体" w:cs="宋体"/>
                <w:b w:val="0"/>
                <w:bCs w:val="0"/>
                <w:color w:val="auto"/>
                <w:kern w:val="0"/>
                <w:sz w:val="18"/>
                <w:szCs w:val="18"/>
                <w:lang w:val="en-US" w:eastAsia="zh-CN"/>
                <w14:ligatures w14:val="none"/>
              </w:rPr>
              <w:t>m</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kern w:val="2"/>
                <w:sz w:val="18"/>
                <w:szCs w:val="18"/>
                <w:highlight w:val="none"/>
                <w:u w:val="none"/>
                <w:lang w:val="en-US" w:eastAsia="zh-CN" w:bidi="ar-SA"/>
              </w:rPr>
            </w:pPr>
            <w:r>
              <w:rPr>
                <w:rFonts w:hint="eastAsia" w:ascii="宋体" w:hAnsi="宋体" w:eastAsia="宋体" w:cs="宋体"/>
                <w:b w:val="0"/>
                <w:bCs w:val="0"/>
                <w:i w:val="0"/>
                <w:iCs w:val="0"/>
                <w:color w:val="auto"/>
                <w:sz w:val="18"/>
                <w:szCs w:val="18"/>
                <w:highlight w:val="none"/>
                <w:u w:val="none"/>
                <w:lang w:val="en-US" w:eastAsia="zh-CN"/>
              </w:rPr>
              <w:t>500</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95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kern w:val="0"/>
                <w:sz w:val="18"/>
                <w:szCs w:val="18"/>
                <w:highlight w:val="none"/>
                <w:u w:val="none"/>
                <w:lang w:val="en-US" w:eastAsia="zh-CN" w:bidi="ar"/>
              </w:rPr>
            </w:pPr>
          </w:p>
        </w:tc>
        <w:tc>
          <w:tcPr>
            <w:tcW w:w="49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DN250，埋深2.1m</w:t>
            </w:r>
          </w:p>
        </w:tc>
        <w:tc>
          <w:tcPr>
            <w:tcW w:w="79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kern w:val="2"/>
                <w:sz w:val="18"/>
                <w:szCs w:val="18"/>
                <w:highlight w:val="none"/>
                <w:u w:val="none"/>
                <w:lang w:val="en-US" w:eastAsia="zh-CN" w:bidi="ar-SA"/>
              </w:rPr>
            </w:pP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kern w:val="2"/>
                <w:sz w:val="18"/>
                <w:szCs w:val="18"/>
                <w:highlight w:val="none"/>
                <w:u w:val="none"/>
                <w:lang w:val="en-US" w:eastAsia="zh-CN" w:bidi="ar-SA"/>
              </w:rPr>
            </w:pP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95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2.4.1.2</w:t>
            </w:r>
          </w:p>
        </w:tc>
        <w:tc>
          <w:tcPr>
            <w:tcW w:w="49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 xml:space="preserve">钢筋砼阀门井 </w:t>
            </w:r>
          </w:p>
        </w:tc>
        <w:tc>
          <w:tcPr>
            <w:tcW w:w="79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kern w:val="2"/>
                <w:sz w:val="18"/>
                <w:szCs w:val="18"/>
                <w:highlight w:val="none"/>
                <w:u w:val="none"/>
                <w:lang w:val="en-US" w:eastAsia="zh-CN" w:bidi="ar-SA"/>
              </w:rPr>
            </w:pPr>
            <w:r>
              <w:rPr>
                <w:rFonts w:hint="eastAsia" w:ascii="宋体" w:hAnsi="宋体" w:eastAsia="宋体" w:cs="宋体"/>
                <w:b w:val="0"/>
                <w:bCs w:val="0"/>
                <w:i w:val="0"/>
                <w:iCs w:val="0"/>
                <w:color w:val="auto"/>
                <w:sz w:val="18"/>
                <w:szCs w:val="18"/>
                <w:highlight w:val="none"/>
                <w:u w:val="none"/>
                <w:lang w:val="en-US" w:eastAsia="zh-CN"/>
              </w:rPr>
              <w:t>座</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kern w:val="2"/>
                <w:sz w:val="18"/>
                <w:szCs w:val="18"/>
                <w:highlight w:val="none"/>
                <w:u w:val="none"/>
                <w:lang w:val="en-US" w:eastAsia="zh-CN" w:bidi="ar-SA"/>
              </w:rPr>
            </w:pPr>
            <w:r>
              <w:rPr>
                <w:rFonts w:hint="eastAsia" w:ascii="宋体" w:hAnsi="宋体" w:eastAsia="宋体" w:cs="宋体"/>
                <w:b w:val="0"/>
                <w:bCs w:val="0"/>
                <w:i w:val="0"/>
                <w:iCs w:val="0"/>
                <w:color w:val="auto"/>
                <w:sz w:val="18"/>
                <w:szCs w:val="18"/>
                <w:highlight w:val="none"/>
                <w:u w:val="none"/>
                <w:lang w:val="en-US" w:eastAsia="zh-CN"/>
              </w:rPr>
              <w:t>4</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95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kern w:val="0"/>
                <w:sz w:val="18"/>
                <w:szCs w:val="18"/>
                <w:highlight w:val="none"/>
                <w:u w:val="none"/>
                <w:lang w:val="en-US" w:eastAsia="zh-CN" w:bidi="ar"/>
              </w:rPr>
            </w:pPr>
          </w:p>
        </w:tc>
        <w:tc>
          <w:tcPr>
            <w:tcW w:w="49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φ1400mm，配重型井盖井座</w:t>
            </w:r>
          </w:p>
        </w:tc>
        <w:tc>
          <w:tcPr>
            <w:tcW w:w="79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kern w:val="2"/>
                <w:sz w:val="18"/>
                <w:szCs w:val="18"/>
                <w:highlight w:val="none"/>
                <w:u w:val="none"/>
                <w:lang w:val="en-US" w:eastAsia="zh-CN" w:bidi="ar-SA"/>
              </w:rPr>
            </w:pP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kern w:val="2"/>
                <w:sz w:val="18"/>
                <w:szCs w:val="18"/>
                <w:highlight w:val="none"/>
                <w:u w:val="none"/>
                <w:lang w:val="en-US" w:eastAsia="zh-CN" w:bidi="ar-SA"/>
              </w:rPr>
            </w:pP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95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2.4.1.3</w:t>
            </w:r>
          </w:p>
        </w:tc>
        <w:tc>
          <w:tcPr>
            <w:tcW w:w="49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钢筋砼水泵结合器井</w:t>
            </w:r>
          </w:p>
        </w:tc>
        <w:tc>
          <w:tcPr>
            <w:tcW w:w="79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kern w:val="2"/>
                <w:sz w:val="18"/>
                <w:szCs w:val="18"/>
                <w:highlight w:val="none"/>
                <w:u w:val="none"/>
                <w:lang w:val="en-US" w:eastAsia="zh-CN" w:bidi="ar-SA"/>
              </w:rPr>
            </w:pPr>
            <w:r>
              <w:rPr>
                <w:rFonts w:hint="eastAsia" w:ascii="宋体" w:hAnsi="宋体" w:eastAsia="宋体" w:cs="宋体"/>
                <w:b w:val="0"/>
                <w:bCs w:val="0"/>
                <w:i w:val="0"/>
                <w:iCs w:val="0"/>
                <w:color w:val="auto"/>
                <w:sz w:val="18"/>
                <w:szCs w:val="18"/>
                <w:highlight w:val="none"/>
                <w:u w:val="none"/>
                <w:lang w:val="en-US" w:eastAsia="zh-CN"/>
              </w:rPr>
              <w:t>座</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kern w:val="2"/>
                <w:sz w:val="18"/>
                <w:szCs w:val="18"/>
                <w:highlight w:val="none"/>
                <w:u w:val="none"/>
                <w:lang w:val="en-US" w:eastAsia="zh-CN" w:bidi="ar-SA"/>
              </w:rPr>
            </w:pPr>
            <w:r>
              <w:rPr>
                <w:rFonts w:hint="eastAsia" w:ascii="宋体" w:hAnsi="宋体" w:eastAsia="宋体" w:cs="宋体"/>
                <w:b w:val="0"/>
                <w:bCs w:val="0"/>
                <w:i w:val="0"/>
                <w:iCs w:val="0"/>
                <w:color w:val="auto"/>
                <w:sz w:val="18"/>
                <w:szCs w:val="18"/>
                <w:highlight w:val="none"/>
                <w:u w:val="none"/>
                <w:lang w:val="en-US" w:eastAsia="zh-CN"/>
              </w:rPr>
              <w:t>4</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95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kern w:val="0"/>
                <w:sz w:val="18"/>
                <w:szCs w:val="18"/>
                <w:highlight w:val="none"/>
                <w:u w:val="none"/>
                <w:lang w:val="en-US" w:eastAsia="zh-CN" w:bidi="ar"/>
              </w:rPr>
            </w:pPr>
          </w:p>
        </w:tc>
        <w:tc>
          <w:tcPr>
            <w:tcW w:w="49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1750×1250×2700mm，配重型井盖井座</w:t>
            </w:r>
          </w:p>
        </w:tc>
        <w:tc>
          <w:tcPr>
            <w:tcW w:w="79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kern w:val="2"/>
                <w:sz w:val="18"/>
                <w:szCs w:val="18"/>
                <w:highlight w:val="none"/>
                <w:u w:val="none"/>
                <w:lang w:val="en-US" w:eastAsia="zh-CN" w:bidi="ar-SA"/>
              </w:rPr>
            </w:pP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kern w:val="2"/>
                <w:sz w:val="18"/>
                <w:szCs w:val="18"/>
                <w:highlight w:val="none"/>
                <w:u w:val="none"/>
                <w:lang w:val="en-US" w:eastAsia="zh-CN" w:bidi="ar-SA"/>
              </w:rPr>
            </w:pP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95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2.4.2</w:t>
            </w:r>
          </w:p>
        </w:tc>
        <w:tc>
          <w:tcPr>
            <w:tcW w:w="49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室外雾炮系统</w:t>
            </w:r>
          </w:p>
        </w:tc>
        <w:tc>
          <w:tcPr>
            <w:tcW w:w="79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kern w:val="2"/>
                <w:sz w:val="18"/>
                <w:szCs w:val="18"/>
                <w:highlight w:val="none"/>
                <w:u w:val="none"/>
                <w:lang w:val="en-US" w:eastAsia="zh-CN" w:bidi="ar-SA"/>
              </w:rPr>
            </w:pP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kern w:val="2"/>
                <w:sz w:val="18"/>
                <w:szCs w:val="18"/>
                <w:highlight w:val="none"/>
                <w:u w:val="none"/>
                <w:lang w:val="en-US" w:eastAsia="zh-CN" w:bidi="ar-SA"/>
              </w:rPr>
            </w:pP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95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2.4.2.1</w:t>
            </w:r>
          </w:p>
        </w:tc>
        <w:tc>
          <w:tcPr>
            <w:tcW w:w="49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钢丝网骨架塑料复合管土方</w:t>
            </w:r>
          </w:p>
        </w:tc>
        <w:tc>
          <w:tcPr>
            <w:tcW w:w="79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kern w:val="2"/>
                <w:sz w:val="18"/>
                <w:szCs w:val="18"/>
                <w:highlight w:val="none"/>
                <w:u w:val="none"/>
                <w:lang w:val="en-US" w:eastAsia="zh-CN" w:bidi="ar-SA"/>
              </w:rPr>
            </w:pPr>
            <w:r>
              <w:rPr>
                <w:rFonts w:hint="eastAsia" w:ascii="宋体" w:hAnsi="宋体" w:eastAsia="宋体" w:cs="宋体"/>
                <w:b w:val="0"/>
                <w:bCs w:val="0"/>
                <w:color w:val="auto"/>
                <w:kern w:val="0"/>
                <w:sz w:val="18"/>
                <w:szCs w:val="18"/>
                <w:lang w:val="en-US" w:eastAsia="zh-CN"/>
                <w14:ligatures w14:val="none"/>
              </w:rPr>
              <w:t>m</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kern w:val="2"/>
                <w:sz w:val="18"/>
                <w:szCs w:val="18"/>
                <w:highlight w:val="none"/>
                <w:u w:val="none"/>
                <w:lang w:val="en-US" w:eastAsia="zh-CN" w:bidi="ar-SA"/>
              </w:rPr>
            </w:pPr>
            <w:r>
              <w:rPr>
                <w:rFonts w:hint="eastAsia" w:ascii="宋体" w:hAnsi="宋体" w:eastAsia="宋体" w:cs="宋体"/>
                <w:b w:val="0"/>
                <w:bCs w:val="0"/>
                <w:i w:val="0"/>
                <w:iCs w:val="0"/>
                <w:color w:val="auto"/>
                <w:sz w:val="18"/>
                <w:szCs w:val="18"/>
                <w:highlight w:val="none"/>
                <w:u w:val="none"/>
                <w:lang w:val="en-US" w:eastAsia="zh-CN"/>
              </w:rPr>
              <w:t>160</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95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kern w:val="0"/>
                <w:sz w:val="18"/>
                <w:szCs w:val="18"/>
                <w:highlight w:val="none"/>
                <w:u w:val="none"/>
                <w:lang w:val="en-US" w:eastAsia="zh-CN" w:bidi="ar"/>
              </w:rPr>
            </w:pPr>
          </w:p>
        </w:tc>
        <w:tc>
          <w:tcPr>
            <w:tcW w:w="49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DN110，埋深2.1m</w:t>
            </w:r>
          </w:p>
        </w:tc>
        <w:tc>
          <w:tcPr>
            <w:tcW w:w="79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kern w:val="2"/>
                <w:sz w:val="18"/>
                <w:szCs w:val="18"/>
                <w:highlight w:val="none"/>
                <w:u w:val="none"/>
                <w:lang w:val="en-US" w:eastAsia="zh-CN" w:bidi="ar-SA"/>
              </w:rPr>
            </w:pP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auto"/>
                <w:kern w:val="2"/>
                <w:sz w:val="18"/>
                <w:szCs w:val="18"/>
                <w:highlight w:val="none"/>
                <w:u w:val="none"/>
                <w:lang w:val="en-US" w:eastAsia="zh-CN" w:bidi="ar-SA"/>
              </w:rPr>
            </w:pP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95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2.4.2.2</w:t>
            </w:r>
          </w:p>
        </w:tc>
        <w:tc>
          <w:tcPr>
            <w:tcW w:w="49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 xml:space="preserve">钢筋砼阀门井 </w:t>
            </w:r>
          </w:p>
        </w:tc>
        <w:tc>
          <w:tcPr>
            <w:tcW w:w="79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kern w:val="2"/>
                <w:sz w:val="18"/>
                <w:szCs w:val="18"/>
                <w:highlight w:val="none"/>
                <w:u w:val="none"/>
                <w:lang w:val="en-US" w:eastAsia="zh-CN" w:bidi="ar-SA"/>
              </w:rPr>
            </w:pPr>
            <w:r>
              <w:rPr>
                <w:rFonts w:hint="eastAsia" w:ascii="宋体" w:hAnsi="宋体" w:eastAsia="宋体" w:cs="宋体"/>
                <w:b w:val="0"/>
                <w:bCs w:val="0"/>
                <w:i w:val="0"/>
                <w:iCs w:val="0"/>
                <w:color w:val="auto"/>
                <w:sz w:val="18"/>
                <w:szCs w:val="18"/>
                <w:highlight w:val="none"/>
                <w:u w:val="none"/>
                <w:lang w:val="en-US" w:eastAsia="zh-CN"/>
              </w:rPr>
              <w:t>座</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kern w:val="2"/>
                <w:sz w:val="18"/>
                <w:szCs w:val="18"/>
                <w:highlight w:val="none"/>
                <w:u w:val="none"/>
                <w:lang w:val="en-US" w:eastAsia="zh-CN" w:bidi="ar-SA"/>
              </w:rPr>
            </w:pPr>
            <w:r>
              <w:rPr>
                <w:rFonts w:hint="eastAsia" w:ascii="宋体" w:hAnsi="宋体" w:eastAsia="宋体" w:cs="宋体"/>
                <w:b w:val="0"/>
                <w:bCs w:val="0"/>
                <w:i w:val="0"/>
                <w:iCs w:val="0"/>
                <w:color w:val="auto"/>
                <w:sz w:val="18"/>
                <w:szCs w:val="18"/>
                <w:highlight w:val="none"/>
                <w:u w:val="none"/>
                <w:lang w:val="en-US" w:eastAsia="zh-CN"/>
              </w:rPr>
              <w:t>2</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95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kern w:val="0"/>
                <w:sz w:val="18"/>
                <w:szCs w:val="18"/>
                <w:highlight w:val="none"/>
                <w:u w:val="none"/>
                <w:lang w:val="en-US" w:eastAsia="zh-CN" w:bidi="ar"/>
              </w:rPr>
            </w:pPr>
          </w:p>
        </w:tc>
        <w:tc>
          <w:tcPr>
            <w:tcW w:w="49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φ1400mm，配重型井盖井座</w:t>
            </w:r>
          </w:p>
        </w:tc>
        <w:tc>
          <w:tcPr>
            <w:tcW w:w="79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kern w:val="2"/>
                <w:sz w:val="18"/>
                <w:szCs w:val="18"/>
                <w:highlight w:val="none"/>
                <w:u w:val="none"/>
                <w:lang w:val="en-US" w:eastAsia="zh-CN" w:bidi="ar-SA"/>
              </w:rPr>
            </w:pP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auto"/>
                <w:kern w:val="2"/>
                <w:sz w:val="18"/>
                <w:szCs w:val="18"/>
                <w:highlight w:val="none"/>
                <w:u w:val="none"/>
                <w:lang w:val="en-US" w:eastAsia="zh-CN" w:bidi="ar-SA"/>
              </w:rPr>
            </w:pP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95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2.4.3</w:t>
            </w:r>
          </w:p>
        </w:tc>
        <w:tc>
          <w:tcPr>
            <w:tcW w:w="49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室外消火栓系统</w:t>
            </w:r>
          </w:p>
        </w:tc>
        <w:tc>
          <w:tcPr>
            <w:tcW w:w="79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kern w:val="2"/>
                <w:sz w:val="18"/>
                <w:szCs w:val="18"/>
                <w:highlight w:val="none"/>
                <w:u w:val="none"/>
                <w:lang w:val="en-US" w:eastAsia="zh-CN" w:bidi="ar-SA"/>
              </w:rPr>
            </w:pP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auto"/>
                <w:kern w:val="2"/>
                <w:sz w:val="18"/>
                <w:szCs w:val="18"/>
                <w:highlight w:val="none"/>
                <w:u w:val="none"/>
                <w:lang w:val="en-US" w:eastAsia="zh-CN" w:bidi="ar-SA"/>
              </w:rPr>
            </w:pP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95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2.4.3.1</w:t>
            </w:r>
          </w:p>
        </w:tc>
        <w:tc>
          <w:tcPr>
            <w:tcW w:w="49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无缝钢管土方</w:t>
            </w:r>
          </w:p>
        </w:tc>
        <w:tc>
          <w:tcPr>
            <w:tcW w:w="79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kern w:val="2"/>
                <w:sz w:val="18"/>
                <w:szCs w:val="18"/>
                <w:highlight w:val="none"/>
                <w:u w:val="none"/>
                <w:lang w:val="en-US" w:eastAsia="zh-CN" w:bidi="ar-SA"/>
              </w:rPr>
            </w:pPr>
            <w:r>
              <w:rPr>
                <w:rFonts w:hint="eastAsia" w:ascii="宋体" w:hAnsi="宋体" w:eastAsia="宋体" w:cs="宋体"/>
                <w:b w:val="0"/>
                <w:bCs w:val="0"/>
                <w:color w:val="auto"/>
                <w:kern w:val="0"/>
                <w:sz w:val="18"/>
                <w:szCs w:val="18"/>
                <w:lang w:val="en-US" w:eastAsia="zh-CN"/>
                <w14:ligatures w14:val="none"/>
              </w:rPr>
              <w:t>m</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kern w:val="2"/>
                <w:sz w:val="18"/>
                <w:szCs w:val="18"/>
                <w:highlight w:val="none"/>
                <w:u w:val="none"/>
                <w:lang w:val="en-US" w:eastAsia="zh-CN" w:bidi="ar-SA"/>
              </w:rPr>
            </w:pPr>
            <w:r>
              <w:rPr>
                <w:rFonts w:hint="eastAsia" w:ascii="宋体" w:hAnsi="宋体" w:eastAsia="宋体" w:cs="宋体"/>
                <w:b w:val="0"/>
                <w:bCs w:val="0"/>
                <w:i w:val="0"/>
                <w:iCs w:val="0"/>
                <w:color w:val="auto"/>
                <w:sz w:val="18"/>
                <w:szCs w:val="18"/>
                <w:highlight w:val="none"/>
                <w:u w:val="none"/>
                <w:lang w:val="en-US" w:eastAsia="zh-CN"/>
              </w:rPr>
              <w:t>500</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95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kern w:val="0"/>
                <w:sz w:val="18"/>
                <w:szCs w:val="18"/>
                <w:highlight w:val="none"/>
                <w:u w:val="none"/>
                <w:lang w:val="en-US" w:eastAsia="zh-CN" w:bidi="ar"/>
              </w:rPr>
            </w:pPr>
          </w:p>
        </w:tc>
        <w:tc>
          <w:tcPr>
            <w:tcW w:w="49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DN200，埋深2.1m</w:t>
            </w:r>
          </w:p>
        </w:tc>
        <w:tc>
          <w:tcPr>
            <w:tcW w:w="79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kern w:val="2"/>
                <w:sz w:val="18"/>
                <w:szCs w:val="18"/>
                <w:highlight w:val="none"/>
                <w:u w:val="none"/>
                <w:lang w:val="en-US" w:eastAsia="zh-CN" w:bidi="ar-SA"/>
              </w:rPr>
            </w:pP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kern w:val="2"/>
                <w:sz w:val="18"/>
                <w:szCs w:val="18"/>
                <w:highlight w:val="none"/>
                <w:u w:val="none"/>
                <w:lang w:val="en-US" w:eastAsia="zh-CN" w:bidi="ar-SA"/>
              </w:rPr>
            </w:pP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95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2.4.3.2</w:t>
            </w:r>
          </w:p>
        </w:tc>
        <w:tc>
          <w:tcPr>
            <w:tcW w:w="49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 xml:space="preserve">钢筋砼阀门井 </w:t>
            </w:r>
          </w:p>
        </w:tc>
        <w:tc>
          <w:tcPr>
            <w:tcW w:w="79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kern w:val="2"/>
                <w:sz w:val="18"/>
                <w:szCs w:val="18"/>
                <w:highlight w:val="none"/>
                <w:u w:val="none"/>
                <w:lang w:val="en-US" w:eastAsia="zh-CN" w:bidi="ar-SA"/>
              </w:rPr>
            </w:pPr>
            <w:r>
              <w:rPr>
                <w:rFonts w:hint="eastAsia" w:ascii="宋体" w:hAnsi="宋体" w:eastAsia="宋体" w:cs="宋体"/>
                <w:b w:val="0"/>
                <w:bCs w:val="0"/>
                <w:i w:val="0"/>
                <w:iCs w:val="0"/>
                <w:color w:val="auto"/>
                <w:sz w:val="18"/>
                <w:szCs w:val="18"/>
                <w:highlight w:val="none"/>
                <w:u w:val="none"/>
                <w:lang w:val="en-US" w:eastAsia="zh-CN"/>
              </w:rPr>
              <w:t>座</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kern w:val="2"/>
                <w:sz w:val="18"/>
                <w:szCs w:val="18"/>
                <w:highlight w:val="none"/>
                <w:u w:val="none"/>
                <w:lang w:val="en-US" w:eastAsia="zh-CN" w:bidi="ar-SA"/>
              </w:rPr>
            </w:pPr>
            <w:r>
              <w:rPr>
                <w:rFonts w:hint="eastAsia" w:ascii="宋体" w:hAnsi="宋体" w:eastAsia="宋体" w:cs="宋体"/>
                <w:b w:val="0"/>
                <w:bCs w:val="0"/>
                <w:i w:val="0"/>
                <w:iCs w:val="0"/>
                <w:color w:val="auto"/>
                <w:sz w:val="18"/>
                <w:szCs w:val="18"/>
                <w:highlight w:val="none"/>
                <w:u w:val="none"/>
                <w:lang w:val="en-US" w:eastAsia="zh-CN"/>
              </w:rPr>
              <w:t>4</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95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kern w:val="0"/>
                <w:sz w:val="18"/>
                <w:szCs w:val="18"/>
                <w:highlight w:val="none"/>
                <w:u w:val="none"/>
                <w:lang w:val="en-US" w:eastAsia="zh-CN" w:bidi="ar"/>
              </w:rPr>
            </w:pPr>
          </w:p>
        </w:tc>
        <w:tc>
          <w:tcPr>
            <w:tcW w:w="49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φ1400mm，配重型井盖井座</w:t>
            </w:r>
          </w:p>
        </w:tc>
        <w:tc>
          <w:tcPr>
            <w:tcW w:w="79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kern w:val="2"/>
                <w:sz w:val="18"/>
                <w:szCs w:val="18"/>
                <w:highlight w:val="none"/>
                <w:u w:val="none"/>
                <w:lang w:val="en-US" w:eastAsia="zh-CN" w:bidi="ar-SA"/>
              </w:rPr>
            </w:pP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auto"/>
                <w:kern w:val="2"/>
                <w:sz w:val="18"/>
                <w:szCs w:val="18"/>
                <w:highlight w:val="none"/>
                <w:u w:val="none"/>
                <w:lang w:val="en-US" w:eastAsia="zh-CN" w:bidi="ar-SA"/>
              </w:rPr>
            </w:pP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95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2.4.4</w:t>
            </w:r>
          </w:p>
        </w:tc>
        <w:tc>
          <w:tcPr>
            <w:tcW w:w="49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室外管道拆除</w:t>
            </w:r>
          </w:p>
        </w:tc>
        <w:tc>
          <w:tcPr>
            <w:tcW w:w="79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kern w:val="2"/>
                <w:sz w:val="18"/>
                <w:szCs w:val="18"/>
                <w:highlight w:val="none"/>
                <w:u w:val="none"/>
                <w:lang w:val="en-US" w:eastAsia="zh-CN" w:bidi="ar-SA"/>
              </w:rPr>
            </w:pP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kern w:val="2"/>
                <w:sz w:val="18"/>
                <w:szCs w:val="18"/>
                <w:highlight w:val="none"/>
                <w:u w:val="none"/>
                <w:lang w:val="en-US" w:eastAsia="zh-CN" w:bidi="ar-SA"/>
              </w:rPr>
            </w:pP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95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2.4.4.1</w:t>
            </w:r>
          </w:p>
        </w:tc>
        <w:tc>
          <w:tcPr>
            <w:tcW w:w="49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焊接钢管土方</w:t>
            </w:r>
          </w:p>
        </w:tc>
        <w:tc>
          <w:tcPr>
            <w:tcW w:w="79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kern w:val="2"/>
                <w:sz w:val="18"/>
                <w:szCs w:val="18"/>
                <w:highlight w:val="none"/>
                <w:u w:val="none"/>
                <w:lang w:val="en-US" w:eastAsia="zh-CN" w:bidi="ar-SA"/>
              </w:rPr>
            </w:pPr>
            <w:r>
              <w:rPr>
                <w:rFonts w:hint="eastAsia" w:ascii="宋体" w:hAnsi="宋体" w:eastAsia="宋体" w:cs="宋体"/>
                <w:b w:val="0"/>
                <w:bCs w:val="0"/>
                <w:color w:val="auto"/>
                <w:kern w:val="0"/>
                <w:sz w:val="18"/>
                <w:szCs w:val="18"/>
                <w:lang w:val="en-US" w:eastAsia="zh-CN"/>
                <w14:ligatures w14:val="none"/>
              </w:rPr>
              <w:t>m</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kern w:val="2"/>
                <w:sz w:val="18"/>
                <w:szCs w:val="18"/>
                <w:highlight w:val="none"/>
                <w:u w:val="none"/>
                <w:lang w:val="en-US" w:eastAsia="zh-CN" w:bidi="ar-SA"/>
              </w:rPr>
            </w:pPr>
            <w:r>
              <w:rPr>
                <w:rFonts w:hint="eastAsia" w:ascii="宋体" w:hAnsi="宋体" w:eastAsia="宋体" w:cs="宋体"/>
                <w:b w:val="0"/>
                <w:bCs w:val="0"/>
                <w:i w:val="0"/>
                <w:iCs w:val="0"/>
                <w:color w:val="auto"/>
                <w:sz w:val="18"/>
                <w:szCs w:val="18"/>
                <w:highlight w:val="none"/>
                <w:u w:val="none"/>
                <w:lang w:val="en-US" w:eastAsia="zh-CN"/>
              </w:rPr>
              <w:t>100</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95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kern w:val="0"/>
                <w:sz w:val="18"/>
                <w:szCs w:val="18"/>
                <w:highlight w:val="none"/>
                <w:u w:val="none"/>
                <w:lang w:val="en-US" w:eastAsia="zh-CN" w:bidi="ar"/>
              </w:rPr>
            </w:pPr>
          </w:p>
        </w:tc>
        <w:tc>
          <w:tcPr>
            <w:tcW w:w="49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D219×6，埋深2.0m</w:t>
            </w:r>
          </w:p>
        </w:tc>
        <w:tc>
          <w:tcPr>
            <w:tcW w:w="79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kern w:val="2"/>
                <w:sz w:val="18"/>
                <w:szCs w:val="18"/>
                <w:highlight w:val="none"/>
                <w:u w:val="none"/>
                <w:lang w:val="en-US" w:eastAsia="zh-CN" w:bidi="ar-SA"/>
              </w:rPr>
            </w:pP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auto"/>
                <w:kern w:val="2"/>
                <w:sz w:val="18"/>
                <w:szCs w:val="18"/>
                <w:highlight w:val="none"/>
                <w:u w:val="none"/>
                <w:lang w:val="en-US" w:eastAsia="zh-CN" w:bidi="ar-SA"/>
              </w:rPr>
            </w:pP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95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2.4.4.2</w:t>
            </w:r>
          </w:p>
        </w:tc>
        <w:tc>
          <w:tcPr>
            <w:tcW w:w="49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焊钢骨架塑料复合管</w:t>
            </w:r>
          </w:p>
        </w:tc>
        <w:tc>
          <w:tcPr>
            <w:tcW w:w="79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kern w:val="2"/>
                <w:sz w:val="18"/>
                <w:szCs w:val="18"/>
                <w:highlight w:val="none"/>
                <w:u w:val="none"/>
                <w:lang w:val="en-US" w:eastAsia="zh-CN" w:bidi="ar-SA"/>
              </w:rPr>
            </w:pPr>
            <w:r>
              <w:rPr>
                <w:rFonts w:hint="eastAsia" w:ascii="宋体" w:hAnsi="宋体" w:eastAsia="宋体" w:cs="宋体"/>
                <w:b w:val="0"/>
                <w:bCs w:val="0"/>
                <w:color w:val="auto"/>
                <w:kern w:val="0"/>
                <w:sz w:val="18"/>
                <w:szCs w:val="18"/>
                <w:lang w:val="en-US" w:eastAsia="zh-CN"/>
                <w14:ligatures w14:val="none"/>
              </w:rPr>
              <w:t>m</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kern w:val="2"/>
                <w:sz w:val="18"/>
                <w:szCs w:val="18"/>
                <w:highlight w:val="none"/>
                <w:u w:val="none"/>
                <w:lang w:val="en-US" w:eastAsia="zh-CN" w:bidi="ar-SA"/>
              </w:rPr>
            </w:pPr>
            <w:r>
              <w:rPr>
                <w:rFonts w:hint="eastAsia" w:ascii="宋体" w:hAnsi="宋体" w:eastAsia="宋体" w:cs="宋体"/>
                <w:b w:val="0"/>
                <w:bCs w:val="0"/>
                <w:i w:val="0"/>
                <w:iCs w:val="0"/>
                <w:color w:val="auto"/>
                <w:sz w:val="18"/>
                <w:szCs w:val="18"/>
                <w:highlight w:val="none"/>
                <w:u w:val="none"/>
                <w:lang w:val="en-US" w:eastAsia="zh-CN"/>
              </w:rPr>
              <w:t>100</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95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kern w:val="0"/>
                <w:sz w:val="18"/>
                <w:szCs w:val="18"/>
                <w:highlight w:val="none"/>
                <w:u w:val="none"/>
                <w:lang w:val="en-US" w:eastAsia="zh-CN" w:bidi="ar"/>
              </w:rPr>
            </w:pPr>
          </w:p>
        </w:tc>
        <w:tc>
          <w:tcPr>
            <w:tcW w:w="49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DN20，埋深1.9m</w:t>
            </w:r>
          </w:p>
        </w:tc>
        <w:tc>
          <w:tcPr>
            <w:tcW w:w="79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kern w:val="2"/>
                <w:sz w:val="18"/>
                <w:szCs w:val="18"/>
                <w:highlight w:val="none"/>
                <w:u w:val="none"/>
                <w:lang w:val="en-US" w:eastAsia="zh-CN" w:bidi="ar-SA"/>
              </w:rPr>
            </w:pP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auto"/>
                <w:kern w:val="2"/>
                <w:sz w:val="18"/>
                <w:szCs w:val="18"/>
                <w:highlight w:val="none"/>
                <w:u w:val="none"/>
                <w:lang w:val="en-US" w:eastAsia="zh-CN" w:bidi="ar-SA"/>
              </w:rPr>
            </w:pP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95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2.4.4.3</w:t>
            </w:r>
          </w:p>
        </w:tc>
        <w:tc>
          <w:tcPr>
            <w:tcW w:w="49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直埋管道拆除硬化场地及外运</w:t>
            </w:r>
          </w:p>
        </w:tc>
        <w:tc>
          <w:tcPr>
            <w:tcW w:w="79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kern w:val="2"/>
                <w:sz w:val="18"/>
                <w:szCs w:val="18"/>
                <w:highlight w:val="none"/>
                <w:u w:val="none"/>
                <w:lang w:val="en-US" w:eastAsia="zh-CN" w:bidi="ar-SA"/>
              </w:rPr>
            </w:pPr>
            <w:r>
              <w:rPr>
                <w:rFonts w:hint="eastAsia" w:ascii="宋体" w:hAnsi="宋体" w:eastAsia="宋体" w:cs="宋体"/>
                <w:b w:val="0"/>
                <w:bCs w:val="0"/>
                <w:color w:val="auto"/>
                <w:kern w:val="0"/>
                <w:sz w:val="18"/>
                <w:szCs w:val="18"/>
                <w:lang w:val="en-US" w:eastAsia="zh-CN"/>
                <w14:ligatures w14:val="none"/>
              </w:rPr>
              <w:t>m</w:t>
            </w:r>
            <w:r>
              <w:rPr>
                <w:rFonts w:hint="eastAsia" w:ascii="宋体" w:hAnsi="宋体" w:eastAsia="宋体" w:cs="宋体"/>
                <w:b w:val="0"/>
                <w:bCs w:val="0"/>
                <w:color w:val="auto"/>
                <w:kern w:val="0"/>
                <w:sz w:val="18"/>
                <w:szCs w:val="18"/>
                <w:vertAlign w:val="superscript"/>
                <w:lang w:val="en-US" w:eastAsia="zh-CN"/>
                <w14:ligatures w14:val="none"/>
              </w:rPr>
              <w:t>2</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kern w:val="2"/>
                <w:sz w:val="18"/>
                <w:szCs w:val="18"/>
                <w:highlight w:val="none"/>
                <w:u w:val="none"/>
                <w:lang w:val="en-US" w:eastAsia="zh-CN" w:bidi="ar-SA"/>
              </w:rPr>
            </w:pPr>
            <w:r>
              <w:rPr>
                <w:rFonts w:hint="eastAsia" w:ascii="宋体" w:hAnsi="宋体" w:eastAsia="宋体" w:cs="宋体"/>
                <w:b w:val="0"/>
                <w:bCs w:val="0"/>
                <w:i w:val="0"/>
                <w:iCs w:val="0"/>
                <w:color w:val="auto"/>
                <w:sz w:val="18"/>
                <w:szCs w:val="18"/>
                <w:highlight w:val="none"/>
                <w:u w:val="none"/>
                <w:lang w:val="en-US" w:eastAsia="zh-CN"/>
              </w:rPr>
              <w:t>1360</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95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2.4.4.4</w:t>
            </w:r>
          </w:p>
        </w:tc>
        <w:tc>
          <w:tcPr>
            <w:tcW w:w="49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直埋管道恢复硬化场地</w:t>
            </w:r>
          </w:p>
        </w:tc>
        <w:tc>
          <w:tcPr>
            <w:tcW w:w="79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kern w:val="2"/>
                <w:sz w:val="18"/>
                <w:szCs w:val="18"/>
                <w:highlight w:val="none"/>
                <w:u w:val="none"/>
                <w:lang w:val="en-US" w:eastAsia="zh-CN" w:bidi="ar-SA"/>
              </w:rPr>
            </w:pPr>
            <w:r>
              <w:rPr>
                <w:rFonts w:hint="eastAsia" w:ascii="宋体" w:hAnsi="宋体" w:eastAsia="宋体" w:cs="宋体"/>
                <w:b w:val="0"/>
                <w:bCs w:val="0"/>
                <w:color w:val="auto"/>
                <w:kern w:val="0"/>
                <w:sz w:val="18"/>
                <w:szCs w:val="18"/>
                <w:lang w:val="en-US" w:eastAsia="zh-CN"/>
                <w14:ligatures w14:val="none"/>
              </w:rPr>
              <w:t>m</w:t>
            </w:r>
            <w:r>
              <w:rPr>
                <w:rFonts w:hint="eastAsia" w:ascii="宋体" w:hAnsi="宋体" w:eastAsia="宋体" w:cs="宋体"/>
                <w:b w:val="0"/>
                <w:bCs w:val="0"/>
                <w:color w:val="auto"/>
                <w:kern w:val="0"/>
                <w:sz w:val="18"/>
                <w:szCs w:val="18"/>
                <w:vertAlign w:val="superscript"/>
                <w:lang w:val="en-US" w:eastAsia="zh-CN"/>
                <w14:ligatures w14:val="none"/>
              </w:rPr>
              <w:t>2</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kern w:val="2"/>
                <w:sz w:val="18"/>
                <w:szCs w:val="18"/>
                <w:highlight w:val="none"/>
                <w:u w:val="none"/>
                <w:lang w:val="en-US" w:eastAsia="zh-CN" w:bidi="ar-SA"/>
              </w:rPr>
            </w:pPr>
            <w:r>
              <w:rPr>
                <w:rFonts w:hint="eastAsia" w:ascii="宋体" w:hAnsi="宋体" w:eastAsia="宋体" w:cs="宋体"/>
                <w:b w:val="0"/>
                <w:bCs w:val="0"/>
                <w:i w:val="0"/>
                <w:iCs w:val="0"/>
                <w:color w:val="auto"/>
                <w:sz w:val="18"/>
                <w:szCs w:val="18"/>
                <w:highlight w:val="none"/>
                <w:u w:val="none"/>
                <w:lang w:val="en-US" w:eastAsia="zh-CN"/>
              </w:rPr>
              <w:t>1360</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95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2.4.5</w:t>
            </w:r>
          </w:p>
        </w:tc>
        <w:tc>
          <w:tcPr>
            <w:tcW w:w="49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消防水池（带盖水池、覆土1米）</w:t>
            </w:r>
          </w:p>
        </w:tc>
        <w:tc>
          <w:tcPr>
            <w:tcW w:w="79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kern w:val="2"/>
                <w:sz w:val="18"/>
                <w:szCs w:val="18"/>
                <w:highlight w:val="none"/>
                <w:u w:val="none"/>
                <w:lang w:val="en-US" w:eastAsia="zh-CN" w:bidi="ar-SA"/>
              </w:rPr>
            </w:pPr>
            <w:r>
              <w:rPr>
                <w:rFonts w:hint="eastAsia" w:ascii="宋体" w:hAnsi="宋体" w:eastAsia="宋体" w:cs="宋体"/>
                <w:b w:val="0"/>
                <w:bCs w:val="0"/>
                <w:color w:val="auto"/>
                <w:kern w:val="0"/>
                <w:sz w:val="18"/>
                <w:szCs w:val="18"/>
                <w:lang w:val="en-US" w:eastAsia="zh-CN"/>
                <w14:ligatures w14:val="none"/>
              </w:rPr>
              <w:t>m</w:t>
            </w:r>
            <w:r>
              <w:rPr>
                <w:rFonts w:hint="eastAsia" w:ascii="宋体" w:hAnsi="宋体" w:eastAsia="宋体" w:cs="宋体"/>
                <w:b w:val="0"/>
                <w:bCs w:val="0"/>
                <w:color w:val="auto"/>
                <w:kern w:val="0"/>
                <w:sz w:val="18"/>
                <w:szCs w:val="18"/>
                <w:vertAlign w:val="superscript"/>
                <w:lang w:val="en-US" w:eastAsia="zh-CN"/>
                <w14:ligatures w14:val="none"/>
              </w:rPr>
              <w:t>3</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kern w:val="2"/>
                <w:sz w:val="18"/>
                <w:szCs w:val="18"/>
                <w:highlight w:val="none"/>
                <w:u w:val="none"/>
                <w:lang w:val="en-US" w:eastAsia="zh-CN" w:bidi="ar-SA"/>
              </w:rPr>
            </w:pPr>
            <w:r>
              <w:rPr>
                <w:rFonts w:hint="eastAsia" w:ascii="宋体" w:hAnsi="宋体" w:eastAsia="宋体" w:cs="宋体"/>
                <w:b w:val="0"/>
                <w:bCs w:val="0"/>
                <w:i w:val="0"/>
                <w:iCs w:val="0"/>
                <w:color w:val="auto"/>
                <w:sz w:val="18"/>
                <w:szCs w:val="18"/>
                <w:highlight w:val="none"/>
                <w:u w:val="none"/>
                <w:lang w:val="en-US" w:eastAsia="zh-CN"/>
              </w:rPr>
              <w:t>425</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95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kern w:val="0"/>
                <w:sz w:val="18"/>
                <w:szCs w:val="18"/>
                <w:highlight w:val="none"/>
                <w:u w:val="none"/>
                <w:lang w:val="en-US" w:eastAsia="zh-CN" w:bidi="ar"/>
              </w:rPr>
            </w:pPr>
          </w:p>
        </w:tc>
        <w:tc>
          <w:tcPr>
            <w:tcW w:w="49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钢筋混凝土箱型，筏板基础深3.9m，有地下水，外抹防水砂浆</w:t>
            </w:r>
          </w:p>
        </w:tc>
        <w:tc>
          <w:tcPr>
            <w:tcW w:w="79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kern w:val="2"/>
                <w:sz w:val="18"/>
                <w:szCs w:val="18"/>
                <w:highlight w:val="none"/>
                <w:u w:val="none"/>
                <w:lang w:val="en-US" w:eastAsia="zh-CN" w:bidi="ar-SA"/>
              </w:rPr>
            </w:pP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auto"/>
                <w:kern w:val="2"/>
                <w:sz w:val="18"/>
                <w:szCs w:val="18"/>
                <w:highlight w:val="none"/>
                <w:u w:val="none"/>
                <w:lang w:val="en-US" w:eastAsia="zh-CN" w:bidi="ar-SA"/>
              </w:rPr>
            </w:pP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95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2.4.6</w:t>
            </w:r>
          </w:p>
        </w:tc>
        <w:tc>
          <w:tcPr>
            <w:tcW w:w="49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消防泵房</w:t>
            </w:r>
          </w:p>
        </w:tc>
        <w:tc>
          <w:tcPr>
            <w:tcW w:w="79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kern w:val="2"/>
                <w:sz w:val="18"/>
                <w:szCs w:val="18"/>
                <w:highlight w:val="none"/>
                <w:u w:val="none"/>
                <w:lang w:val="en-US" w:eastAsia="zh-CN" w:bidi="ar-SA"/>
              </w:rPr>
            </w:pPr>
            <w:r>
              <w:rPr>
                <w:rFonts w:hint="eastAsia" w:ascii="宋体" w:hAnsi="宋体" w:eastAsia="宋体" w:cs="宋体"/>
                <w:b w:val="0"/>
                <w:bCs w:val="0"/>
                <w:color w:val="auto"/>
                <w:kern w:val="0"/>
                <w:sz w:val="18"/>
                <w:szCs w:val="18"/>
                <w:lang w:val="en-US" w:eastAsia="zh-CN"/>
                <w14:ligatures w14:val="none"/>
              </w:rPr>
              <w:t>m</w:t>
            </w:r>
            <w:r>
              <w:rPr>
                <w:rFonts w:hint="eastAsia" w:ascii="宋体" w:hAnsi="宋体" w:eastAsia="宋体" w:cs="宋体"/>
                <w:b w:val="0"/>
                <w:bCs w:val="0"/>
                <w:color w:val="auto"/>
                <w:kern w:val="0"/>
                <w:sz w:val="18"/>
                <w:szCs w:val="18"/>
                <w:vertAlign w:val="superscript"/>
                <w:lang w:val="en-US" w:eastAsia="zh-CN"/>
                <w14:ligatures w14:val="none"/>
              </w:rPr>
              <w:t>3</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kern w:val="2"/>
                <w:sz w:val="18"/>
                <w:szCs w:val="18"/>
                <w:highlight w:val="none"/>
                <w:u w:val="none"/>
                <w:lang w:val="en-US" w:eastAsia="zh-CN" w:bidi="ar-SA"/>
              </w:rPr>
            </w:pPr>
            <w:r>
              <w:rPr>
                <w:rFonts w:hint="eastAsia" w:ascii="宋体" w:hAnsi="宋体" w:eastAsia="宋体" w:cs="宋体"/>
                <w:b w:val="0"/>
                <w:bCs w:val="0"/>
                <w:i w:val="0"/>
                <w:iCs w:val="0"/>
                <w:color w:val="auto"/>
                <w:sz w:val="18"/>
                <w:szCs w:val="18"/>
                <w:highlight w:val="none"/>
                <w:u w:val="none"/>
                <w:lang w:val="en-US" w:eastAsia="zh-CN"/>
              </w:rPr>
              <w:t>680</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95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kern w:val="0"/>
                <w:sz w:val="18"/>
                <w:szCs w:val="18"/>
                <w:highlight w:val="none"/>
                <w:u w:val="none"/>
                <w:lang w:val="en-US" w:eastAsia="zh-CN" w:bidi="ar"/>
              </w:rPr>
            </w:pPr>
          </w:p>
        </w:tc>
        <w:tc>
          <w:tcPr>
            <w:tcW w:w="49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地上部分：钢筋砼框架，基础落于地下室壁上，挤塑塑苯板、</w:t>
            </w:r>
          </w:p>
        </w:tc>
        <w:tc>
          <w:tcPr>
            <w:tcW w:w="79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kern w:val="2"/>
                <w:sz w:val="18"/>
                <w:szCs w:val="18"/>
                <w:highlight w:val="none"/>
                <w:u w:val="none"/>
                <w:lang w:val="en-US" w:eastAsia="zh-CN" w:bidi="ar-SA"/>
              </w:rPr>
            </w:pP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auto"/>
                <w:kern w:val="2"/>
                <w:sz w:val="18"/>
                <w:szCs w:val="18"/>
                <w:highlight w:val="none"/>
                <w:u w:val="none"/>
                <w:lang w:val="en-US" w:eastAsia="zh-CN" w:bidi="ar-SA"/>
              </w:rPr>
            </w:pP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95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kern w:val="0"/>
                <w:sz w:val="18"/>
                <w:szCs w:val="18"/>
                <w:highlight w:val="none"/>
                <w:u w:val="none"/>
                <w:lang w:val="en-US" w:eastAsia="zh-CN" w:bidi="ar"/>
              </w:rPr>
            </w:pPr>
          </w:p>
        </w:tc>
        <w:tc>
          <w:tcPr>
            <w:tcW w:w="49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 xml:space="preserve">卷材防水屋面，砌体围护，钢质门保温门、塑钢，涂料饰面。 </w:t>
            </w:r>
          </w:p>
        </w:tc>
        <w:tc>
          <w:tcPr>
            <w:tcW w:w="79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kern w:val="2"/>
                <w:sz w:val="18"/>
                <w:szCs w:val="18"/>
                <w:highlight w:val="none"/>
                <w:u w:val="none"/>
                <w:lang w:val="en-US" w:eastAsia="zh-CN" w:bidi="ar-SA"/>
              </w:rPr>
            </w:pP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auto"/>
                <w:kern w:val="2"/>
                <w:sz w:val="18"/>
                <w:szCs w:val="18"/>
                <w:highlight w:val="none"/>
                <w:u w:val="none"/>
                <w:lang w:val="en-US" w:eastAsia="zh-CN" w:bidi="ar-SA"/>
              </w:rPr>
            </w:pP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95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kern w:val="0"/>
                <w:sz w:val="18"/>
                <w:szCs w:val="18"/>
                <w:highlight w:val="none"/>
                <w:u w:val="none"/>
                <w:lang w:val="en-US" w:eastAsia="zh-CN" w:bidi="ar"/>
              </w:rPr>
            </w:pPr>
          </w:p>
        </w:tc>
        <w:tc>
          <w:tcPr>
            <w:tcW w:w="49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地下部分：钢筋砼地下室，筏板基础深5.5m，有地下水，抹防</w:t>
            </w:r>
          </w:p>
        </w:tc>
        <w:tc>
          <w:tcPr>
            <w:tcW w:w="79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kern w:val="2"/>
                <w:sz w:val="18"/>
                <w:szCs w:val="18"/>
                <w:highlight w:val="none"/>
                <w:u w:val="none"/>
                <w:lang w:val="en-US" w:eastAsia="zh-CN" w:bidi="ar-SA"/>
              </w:rPr>
            </w:pP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auto"/>
                <w:kern w:val="2"/>
                <w:sz w:val="18"/>
                <w:szCs w:val="18"/>
                <w:highlight w:val="none"/>
                <w:u w:val="none"/>
                <w:lang w:val="en-US" w:eastAsia="zh-CN" w:bidi="ar-SA"/>
              </w:rPr>
            </w:pP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auto"/>
                <w:sz w:val="18"/>
                <w:szCs w:val="18"/>
                <w:highlight w:val="none"/>
                <w:u w:val="none"/>
              </w:rPr>
            </w:pPr>
          </w:p>
        </w:tc>
      </w:tr>
      <w:tr>
        <w:tblPrEx>
          <w:tblLayout w:type="fixed"/>
          <w:tblCellMar>
            <w:top w:w="0" w:type="dxa"/>
            <w:left w:w="108" w:type="dxa"/>
            <w:bottom w:w="0" w:type="dxa"/>
            <w:right w:w="108" w:type="dxa"/>
          </w:tblCellMar>
        </w:tblPrEx>
        <w:trPr>
          <w:trHeight w:val="283" w:hRule="atLeast"/>
          <w:jc w:val="center"/>
        </w:trPr>
        <w:tc>
          <w:tcPr>
            <w:tcW w:w="95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kern w:val="0"/>
                <w:sz w:val="18"/>
                <w:szCs w:val="18"/>
                <w:highlight w:val="none"/>
                <w:u w:val="none"/>
                <w:lang w:val="en-US" w:eastAsia="zh-CN" w:bidi="ar"/>
              </w:rPr>
            </w:pPr>
          </w:p>
        </w:tc>
        <w:tc>
          <w:tcPr>
            <w:tcW w:w="49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水砂浆</w:t>
            </w:r>
          </w:p>
        </w:tc>
        <w:tc>
          <w:tcPr>
            <w:tcW w:w="79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kern w:val="2"/>
                <w:sz w:val="18"/>
                <w:szCs w:val="18"/>
                <w:highlight w:val="none"/>
                <w:u w:val="none"/>
                <w:lang w:val="en-US" w:eastAsia="zh-CN" w:bidi="ar-SA"/>
              </w:rPr>
            </w:pP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kern w:val="2"/>
                <w:sz w:val="18"/>
                <w:szCs w:val="18"/>
                <w:highlight w:val="none"/>
                <w:u w:val="none"/>
                <w:lang w:val="en-US" w:eastAsia="zh-CN" w:bidi="ar-SA"/>
              </w:rPr>
            </w:pP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95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auto"/>
                <w:kern w:val="0"/>
                <w:sz w:val="18"/>
                <w:szCs w:val="18"/>
                <w:highlight w:val="none"/>
                <w:u w:val="none"/>
                <w:lang w:val="en-US" w:eastAsia="zh-CN" w:bidi="ar"/>
              </w:rPr>
            </w:pPr>
            <w:r>
              <w:rPr>
                <w:rFonts w:hint="eastAsia" w:ascii="宋体" w:hAnsi="宋体" w:eastAsia="宋体" w:cs="宋体"/>
                <w:b/>
                <w:bCs/>
                <w:i w:val="0"/>
                <w:iCs w:val="0"/>
                <w:color w:val="auto"/>
                <w:kern w:val="0"/>
                <w:sz w:val="18"/>
                <w:szCs w:val="18"/>
                <w:highlight w:val="none"/>
                <w:u w:val="none"/>
                <w:lang w:val="en-US" w:eastAsia="zh-CN" w:bidi="ar"/>
              </w:rPr>
              <w:t>3</w:t>
            </w:r>
          </w:p>
        </w:tc>
        <w:tc>
          <w:tcPr>
            <w:tcW w:w="49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auto"/>
                <w:kern w:val="0"/>
                <w:sz w:val="18"/>
                <w:szCs w:val="18"/>
                <w:highlight w:val="none"/>
                <w:u w:val="none"/>
                <w:lang w:val="en-US" w:eastAsia="zh-CN" w:bidi="ar"/>
              </w:rPr>
            </w:pPr>
            <w:r>
              <w:rPr>
                <w:rFonts w:hint="eastAsia" w:ascii="宋体" w:hAnsi="宋体" w:eastAsia="宋体" w:cs="宋体"/>
                <w:b/>
                <w:bCs/>
                <w:i w:val="0"/>
                <w:iCs w:val="0"/>
                <w:color w:val="auto"/>
                <w:kern w:val="0"/>
                <w:sz w:val="18"/>
                <w:szCs w:val="18"/>
                <w:highlight w:val="none"/>
                <w:u w:val="none"/>
                <w:lang w:val="en-US" w:eastAsia="zh-CN" w:bidi="ar"/>
              </w:rPr>
              <w:t>暖通系统</w:t>
            </w:r>
          </w:p>
        </w:tc>
        <w:tc>
          <w:tcPr>
            <w:tcW w:w="79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kern w:val="2"/>
                <w:sz w:val="18"/>
                <w:szCs w:val="18"/>
                <w:highlight w:val="none"/>
                <w:u w:val="none"/>
                <w:lang w:val="en-US" w:eastAsia="zh-CN" w:bidi="ar-SA"/>
              </w:rPr>
            </w:pP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kern w:val="2"/>
                <w:sz w:val="18"/>
                <w:szCs w:val="18"/>
                <w:highlight w:val="none"/>
                <w:u w:val="none"/>
                <w:lang w:val="en-US" w:eastAsia="zh-CN" w:bidi="ar-SA"/>
              </w:rPr>
            </w:pP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95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3.1</w:t>
            </w:r>
          </w:p>
        </w:tc>
        <w:tc>
          <w:tcPr>
            <w:tcW w:w="49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预制聚氨酯直埋保温管</w:t>
            </w:r>
          </w:p>
        </w:tc>
        <w:tc>
          <w:tcPr>
            <w:tcW w:w="79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kern w:val="2"/>
                <w:sz w:val="18"/>
                <w:szCs w:val="18"/>
                <w:highlight w:val="none"/>
                <w:u w:val="none"/>
                <w:lang w:val="en-US" w:eastAsia="zh-CN" w:bidi="ar-SA"/>
              </w:rPr>
            </w:pPr>
            <w:r>
              <w:rPr>
                <w:rFonts w:hint="eastAsia" w:ascii="宋体" w:hAnsi="宋体" w:eastAsia="宋体" w:cs="宋体"/>
                <w:b w:val="0"/>
                <w:bCs w:val="0"/>
                <w:i w:val="0"/>
                <w:iCs w:val="0"/>
                <w:color w:val="auto"/>
                <w:sz w:val="18"/>
                <w:szCs w:val="18"/>
                <w:highlight w:val="none"/>
                <w:u w:val="none"/>
                <w:lang w:val="en-US" w:eastAsia="zh-CN"/>
              </w:rPr>
              <w:t>m</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kern w:val="2"/>
                <w:sz w:val="18"/>
                <w:szCs w:val="18"/>
                <w:highlight w:val="none"/>
                <w:u w:val="none"/>
                <w:lang w:val="en-US" w:eastAsia="zh-CN" w:bidi="ar-SA"/>
              </w:rPr>
            </w:pPr>
            <w:r>
              <w:rPr>
                <w:rFonts w:hint="eastAsia" w:ascii="宋体" w:hAnsi="宋体" w:eastAsia="宋体" w:cs="宋体"/>
                <w:b w:val="0"/>
                <w:bCs w:val="0"/>
                <w:i w:val="0"/>
                <w:iCs w:val="0"/>
                <w:color w:val="auto"/>
                <w:sz w:val="18"/>
                <w:szCs w:val="18"/>
                <w:highlight w:val="none"/>
                <w:u w:val="none"/>
                <w:lang w:val="en-US" w:eastAsia="zh-CN"/>
              </w:rPr>
              <w:t>350</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95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kern w:val="0"/>
                <w:sz w:val="18"/>
                <w:szCs w:val="18"/>
                <w:highlight w:val="none"/>
                <w:u w:val="none"/>
                <w:lang w:val="en-US" w:eastAsia="zh-CN" w:bidi="ar"/>
              </w:rPr>
            </w:pPr>
          </w:p>
        </w:tc>
        <w:tc>
          <w:tcPr>
            <w:tcW w:w="49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内管为无缝钢管，Φ89×4,外包聚氨酯保温层，外护高密度聚</w:t>
            </w:r>
          </w:p>
        </w:tc>
        <w:tc>
          <w:tcPr>
            <w:tcW w:w="79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kern w:val="2"/>
                <w:sz w:val="18"/>
                <w:szCs w:val="18"/>
                <w:highlight w:val="none"/>
                <w:u w:val="none"/>
                <w:lang w:val="en-US" w:eastAsia="zh-CN" w:bidi="ar-SA"/>
              </w:rPr>
            </w:pP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kern w:val="2"/>
                <w:sz w:val="18"/>
                <w:szCs w:val="18"/>
                <w:highlight w:val="none"/>
                <w:u w:val="none"/>
                <w:lang w:val="en-US" w:eastAsia="zh-CN" w:bidi="ar-SA"/>
              </w:rPr>
            </w:pP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95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kern w:val="0"/>
                <w:sz w:val="18"/>
                <w:szCs w:val="18"/>
                <w:highlight w:val="none"/>
                <w:u w:val="none"/>
                <w:lang w:val="en-US" w:eastAsia="zh-CN" w:bidi="ar"/>
              </w:rPr>
            </w:pPr>
          </w:p>
        </w:tc>
        <w:tc>
          <w:tcPr>
            <w:tcW w:w="49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乙烯保护壳</w:t>
            </w:r>
          </w:p>
        </w:tc>
        <w:tc>
          <w:tcPr>
            <w:tcW w:w="79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kern w:val="2"/>
                <w:sz w:val="18"/>
                <w:szCs w:val="18"/>
                <w:highlight w:val="none"/>
                <w:u w:val="none"/>
                <w:lang w:val="en-US" w:eastAsia="zh-CN" w:bidi="ar-SA"/>
              </w:rPr>
            </w:pP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kern w:val="2"/>
                <w:sz w:val="18"/>
                <w:szCs w:val="18"/>
                <w:highlight w:val="none"/>
                <w:u w:val="none"/>
                <w:lang w:val="en-US" w:eastAsia="zh-CN" w:bidi="ar-SA"/>
              </w:rPr>
            </w:pP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95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auto"/>
                <w:kern w:val="0"/>
                <w:sz w:val="18"/>
                <w:szCs w:val="18"/>
                <w:highlight w:val="none"/>
                <w:u w:val="none"/>
                <w:lang w:val="en-US" w:eastAsia="zh-CN" w:bidi="ar"/>
              </w:rPr>
            </w:pPr>
            <w:r>
              <w:rPr>
                <w:rFonts w:hint="eastAsia" w:ascii="宋体" w:hAnsi="宋体" w:eastAsia="宋体" w:cs="宋体"/>
                <w:b/>
                <w:bCs/>
                <w:i w:val="0"/>
                <w:iCs w:val="0"/>
                <w:color w:val="auto"/>
                <w:kern w:val="0"/>
                <w:sz w:val="18"/>
                <w:szCs w:val="18"/>
                <w:highlight w:val="none"/>
                <w:u w:val="none"/>
                <w:lang w:val="en-US" w:eastAsia="zh-CN" w:bidi="ar"/>
              </w:rPr>
              <w:t>4</w:t>
            </w:r>
          </w:p>
        </w:tc>
        <w:tc>
          <w:tcPr>
            <w:tcW w:w="49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auto"/>
                <w:kern w:val="0"/>
                <w:sz w:val="18"/>
                <w:szCs w:val="18"/>
                <w:highlight w:val="none"/>
                <w:u w:val="none"/>
                <w:lang w:val="en-US" w:eastAsia="zh-CN" w:bidi="ar"/>
              </w:rPr>
            </w:pPr>
            <w:r>
              <w:rPr>
                <w:rFonts w:hint="eastAsia" w:ascii="宋体" w:hAnsi="宋体" w:eastAsia="宋体" w:cs="宋体"/>
                <w:b/>
                <w:bCs/>
                <w:i w:val="0"/>
                <w:iCs w:val="0"/>
                <w:color w:val="auto"/>
                <w:kern w:val="0"/>
                <w:sz w:val="18"/>
                <w:szCs w:val="18"/>
                <w:highlight w:val="none"/>
                <w:u w:val="none"/>
                <w:lang w:val="en-US" w:eastAsia="zh-CN" w:bidi="ar"/>
              </w:rPr>
              <w:t>场区设施</w:t>
            </w:r>
          </w:p>
        </w:tc>
        <w:tc>
          <w:tcPr>
            <w:tcW w:w="79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kern w:val="2"/>
                <w:sz w:val="18"/>
                <w:szCs w:val="18"/>
                <w:highlight w:val="none"/>
                <w:u w:val="none"/>
                <w:lang w:val="en-US" w:eastAsia="zh-CN" w:bidi="ar-SA"/>
              </w:rPr>
            </w:pP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kern w:val="2"/>
                <w:sz w:val="18"/>
                <w:szCs w:val="18"/>
                <w:highlight w:val="none"/>
                <w:u w:val="none"/>
                <w:lang w:val="en-US" w:eastAsia="zh-CN" w:bidi="ar-SA"/>
              </w:rPr>
            </w:pP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95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4.1</w:t>
            </w:r>
          </w:p>
        </w:tc>
        <w:tc>
          <w:tcPr>
            <w:tcW w:w="49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改移道路</w:t>
            </w:r>
          </w:p>
        </w:tc>
        <w:tc>
          <w:tcPr>
            <w:tcW w:w="79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kern w:val="2"/>
                <w:sz w:val="18"/>
                <w:szCs w:val="18"/>
                <w:highlight w:val="none"/>
                <w:u w:val="none"/>
                <w:lang w:val="en-US" w:eastAsia="zh-CN" w:bidi="ar-SA"/>
              </w:rPr>
            </w:pPr>
            <w:r>
              <w:rPr>
                <w:rFonts w:hint="eastAsia" w:ascii="宋体" w:hAnsi="宋体" w:eastAsia="宋体" w:cs="宋体"/>
                <w:b w:val="0"/>
                <w:bCs w:val="0"/>
                <w:color w:val="auto"/>
                <w:kern w:val="0"/>
                <w:sz w:val="18"/>
                <w:szCs w:val="18"/>
                <w:lang w:val="en-US" w:eastAsia="zh-CN"/>
                <w14:ligatures w14:val="none"/>
              </w:rPr>
              <w:t>m</w:t>
            </w:r>
            <w:r>
              <w:rPr>
                <w:rFonts w:hint="eastAsia" w:ascii="宋体" w:hAnsi="宋体" w:eastAsia="宋体" w:cs="宋体"/>
                <w:b w:val="0"/>
                <w:bCs w:val="0"/>
                <w:color w:val="auto"/>
                <w:kern w:val="0"/>
                <w:sz w:val="18"/>
                <w:szCs w:val="18"/>
                <w:vertAlign w:val="superscript"/>
                <w:lang w:val="en-US" w:eastAsia="zh-CN"/>
                <w14:ligatures w14:val="none"/>
              </w:rPr>
              <w:t>2</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kern w:val="2"/>
                <w:sz w:val="18"/>
                <w:szCs w:val="18"/>
                <w:highlight w:val="none"/>
                <w:u w:val="none"/>
                <w:lang w:val="en-US" w:eastAsia="zh-CN" w:bidi="ar-SA"/>
              </w:rPr>
            </w:pPr>
            <w:r>
              <w:rPr>
                <w:rFonts w:hint="eastAsia" w:ascii="宋体" w:hAnsi="宋体" w:eastAsia="宋体" w:cs="宋体"/>
                <w:b w:val="0"/>
                <w:bCs w:val="0"/>
                <w:i w:val="0"/>
                <w:iCs w:val="0"/>
                <w:color w:val="auto"/>
                <w:sz w:val="18"/>
                <w:szCs w:val="18"/>
                <w:highlight w:val="none"/>
                <w:u w:val="none"/>
                <w:lang w:val="en-US" w:eastAsia="zh-CN"/>
              </w:rPr>
              <w:t>230</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95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kern w:val="0"/>
                <w:sz w:val="18"/>
                <w:szCs w:val="18"/>
                <w:highlight w:val="none"/>
                <w:u w:val="none"/>
                <w:lang w:val="en-US" w:eastAsia="zh-CN" w:bidi="ar"/>
              </w:rPr>
            </w:pPr>
          </w:p>
        </w:tc>
        <w:tc>
          <w:tcPr>
            <w:tcW w:w="49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C30水泥混凝土面层28cm，水泥稳定碎石基层32cm级配碎石底</w:t>
            </w:r>
          </w:p>
        </w:tc>
        <w:tc>
          <w:tcPr>
            <w:tcW w:w="79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kern w:val="2"/>
                <w:sz w:val="18"/>
                <w:szCs w:val="18"/>
                <w:highlight w:val="none"/>
                <w:u w:val="none"/>
                <w:lang w:val="en-US" w:eastAsia="zh-CN" w:bidi="ar-SA"/>
              </w:rPr>
            </w:pP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kern w:val="2"/>
                <w:sz w:val="18"/>
                <w:szCs w:val="18"/>
                <w:highlight w:val="none"/>
                <w:u w:val="none"/>
                <w:lang w:val="en-US" w:eastAsia="zh-CN" w:bidi="ar-SA"/>
              </w:rPr>
            </w:pP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95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kern w:val="0"/>
                <w:sz w:val="18"/>
                <w:szCs w:val="18"/>
                <w:highlight w:val="none"/>
                <w:u w:val="none"/>
                <w:lang w:val="en-US" w:eastAsia="zh-CN" w:bidi="ar"/>
              </w:rPr>
            </w:pPr>
          </w:p>
        </w:tc>
        <w:tc>
          <w:tcPr>
            <w:tcW w:w="49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基层20cm</w:t>
            </w:r>
          </w:p>
        </w:tc>
        <w:tc>
          <w:tcPr>
            <w:tcW w:w="79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kern w:val="2"/>
                <w:sz w:val="18"/>
                <w:szCs w:val="18"/>
                <w:highlight w:val="none"/>
                <w:u w:val="none"/>
                <w:lang w:val="en-US" w:eastAsia="zh-CN" w:bidi="ar-SA"/>
              </w:rPr>
            </w:pP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kern w:val="2"/>
                <w:sz w:val="18"/>
                <w:szCs w:val="18"/>
                <w:highlight w:val="none"/>
                <w:u w:val="none"/>
                <w:lang w:val="en-US" w:eastAsia="zh-CN" w:bidi="ar-SA"/>
              </w:rPr>
            </w:pP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95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4.2</w:t>
            </w:r>
          </w:p>
        </w:tc>
        <w:tc>
          <w:tcPr>
            <w:tcW w:w="49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拆除挡风抑尘墙路面并修复</w:t>
            </w:r>
          </w:p>
        </w:tc>
        <w:tc>
          <w:tcPr>
            <w:tcW w:w="79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kern w:val="2"/>
                <w:sz w:val="18"/>
                <w:szCs w:val="18"/>
                <w:highlight w:val="none"/>
                <w:u w:val="none"/>
                <w:lang w:val="en-US" w:eastAsia="zh-CN" w:bidi="ar-SA"/>
              </w:rPr>
            </w:pP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kern w:val="2"/>
                <w:sz w:val="18"/>
                <w:szCs w:val="18"/>
                <w:highlight w:val="none"/>
                <w:u w:val="none"/>
                <w:lang w:val="en-US" w:eastAsia="zh-CN" w:bidi="ar-SA"/>
              </w:rPr>
            </w:pP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95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4.2.1</w:t>
            </w:r>
          </w:p>
        </w:tc>
        <w:tc>
          <w:tcPr>
            <w:tcW w:w="49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拆除道路，垃圾外运</w:t>
            </w:r>
          </w:p>
        </w:tc>
        <w:tc>
          <w:tcPr>
            <w:tcW w:w="79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kern w:val="2"/>
                <w:sz w:val="18"/>
                <w:szCs w:val="18"/>
                <w:highlight w:val="none"/>
                <w:u w:val="none"/>
                <w:lang w:val="en-US" w:eastAsia="zh-CN" w:bidi="ar-SA"/>
              </w:rPr>
            </w:pPr>
            <w:r>
              <w:rPr>
                <w:rFonts w:hint="eastAsia" w:ascii="宋体" w:hAnsi="宋体" w:eastAsia="宋体" w:cs="宋体"/>
                <w:b w:val="0"/>
                <w:bCs w:val="0"/>
                <w:color w:val="auto"/>
                <w:kern w:val="0"/>
                <w:sz w:val="18"/>
                <w:szCs w:val="18"/>
                <w:lang w:val="en-US" w:eastAsia="zh-CN"/>
                <w14:ligatures w14:val="none"/>
              </w:rPr>
              <w:t>m</w:t>
            </w:r>
            <w:r>
              <w:rPr>
                <w:rFonts w:hint="eastAsia" w:ascii="宋体" w:hAnsi="宋体" w:eastAsia="宋体" w:cs="宋体"/>
                <w:b w:val="0"/>
                <w:bCs w:val="0"/>
                <w:color w:val="auto"/>
                <w:kern w:val="0"/>
                <w:sz w:val="18"/>
                <w:szCs w:val="18"/>
                <w:vertAlign w:val="superscript"/>
                <w:lang w:val="en-US" w:eastAsia="zh-CN"/>
                <w14:ligatures w14:val="none"/>
              </w:rPr>
              <w:t>2</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kern w:val="2"/>
                <w:sz w:val="18"/>
                <w:szCs w:val="18"/>
                <w:highlight w:val="none"/>
                <w:u w:val="none"/>
                <w:lang w:val="en-US" w:eastAsia="zh-CN" w:bidi="ar-SA"/>
              </w:rPr>
            </w:pPr>
            <w:r>
              <w:rPr>
                <w:rFonts w:hint="eastAsia" w:ascii="宋体" w:hAnsi="宋体" w:eastAsia="宋体" w:cs="宋体"/>
                <w:b w:val="0"/>
                <w:bCs w:val="0"/>
                <w:i w:val="0"/>
                <w:iCs w:val="0"/>
                <w:color w:val="auto"/>
                <w:sz w:val="18"/>
                <w:szCs w:val="18"/>
                <w:highlight w:val="none"/>
                <w:u w:val="none"/>
                <w:lang w:val="en-US" w:eastAsia="zh-CN"/>
              </w:rPr>
              <w:t>720</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95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4.2.2</w:t>
            </w:r>
          </w:p>
        </w:tc>
        <w:tc>
          <w:tcPr>
            <w:tcW w:w="49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恢复道路</w:t>
            </w:r>
          </w:p>
        </w:tc>
        <w:tc>
          <w:tcPr>
            <w:tcW w:w="79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kern w:val="2"/>
                <w:sz w:val="18"/>
                <w:szCs w:val="18"/>
                <w:highlight w:val="none"/>
                <w:u w:val="none"/>
                <w:lang w:val="en-US" w:eastAsia="zh-CN" w:bidi="ar-SA"/>
              </w:rPr>
            </w:pPr>
            <w:r>
              <w:rPr>
                <w:rFonts w:hint="eastAsia" w:ascii="宋体" w:hAnsi="宋体" w:eastAsia="宋体" w:cs="宋体"/>
                <w:b w:val="0"/>
                <w:bCs w:val="0"/>
                <w:color w:val="auto"/>
                <w:kern w:val="0"/>
                <w:sz w:val="18"/>
                <w:szCs w:val="18"/>
                <w:lang w:val="en-US" w:eastAsia="zh-CN"/>
                <w14:ligatures w14:val="none"/>
              </w:rPr>
              <w:t>m</w:t>
            </w:r>
            <w:r>
              <w:rPr>
                <w:rFonts w:hint="eastAsia" w:ascii="宋体" w:hAnsi="宋体" w:eastAsia="宋体" w:cs="宋体"/>
                <w:b w:val="0"/>
                <w:bCs w:val="0"/>
                <w:color w:val="auto"/>
                <w:kern w:val="0"/>
                <w:sz w:val="18"/>
                <w:szCs w:val="18"/>
                <w:vertAlign w:val="superscript"/>
                <w:lang w:val="en-US" w:eastAsia="zh-CN"/>
                <w14:ligatures w14:val="none"/>
              </w:rPr>
              <w:t>2</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kern w:val="2"/>
                <w:sz w:val="18"/>
                <w:szCs w:val="18"/>
                <w:highlight w:val="none"/>
                <w:u w:val="none"/>
                <w:lang w:val="en-US" w:eastAsia="zh-CN" w:bidi="ar-SA"/>
              </w:rPr>
            </w:pPr>
            <w:r>
              <w:rPr>
                <w:rFonts w:hint="eastAsia" w:ascii="宋体" w:hAnsi="宋体" w:eastAsia="宋体" w:cs="宋体"/>
                <w:b w:val="0"/>
                <w:bCs w:val="0"/>
                <w:i w:val="0"/>
                <w:iCs w:val="0"/>
                <w:color w:val="auto"/>
                <w:sz w:val="18"/>
                <w:szCs w:val="18"/>
                <w:highlight w:val="none"/>
                <w:u w:val="none"/>
                <w:lang w:val="en-US" w:eastAsia="zh-CN"/>
              </w:rPr>
              <w:t>720</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95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kern w:val="0"/>
                <w:sz w:val="18"/>
                <w:szCs w:val="18"/>
                <w:highlight w:val="none"/>
                <w:u w:val="none"/>
                <w:lang w:val="en-US" w:eastAsia="zh-CN" w:bidi="ar"/>
              </w:rPr>
            </w:pPr>
          </w:p>
        </w:tc>
        <w:tc>
          <w:tcPr>
            <w:tcW w:w="49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水泥混凝土面层28cm，水泥稳定碎石基层（两步）32cm级配碎</w:t>
            </w:r>
          </w:p>
        </w:tc>
        <w:tc>
          <w:tcPr>
            <w:tcW w:w="79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kern w:val="2"/>
                <w:sz w:val="18"/>
                <w:szCs w:val="18"/>
                <w:highlight w:val="none"/>
                <w:u w:val="none"/>
                <w:lang w:val="en-US" w:eastAsia="zh-CN" w:bidi="ar-SA"/>
              </w:rPr>
            </w:pP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kern w:val="2"/>
                <w:sz w:val="18"/>
                <w:szCs w:val="18"/>
                <w:highlight w:val="none"/>
                <w:u w:val="none"/>
                <w:lang w:val="en-US" w:eastAsia="zh-CN" w:bidi="ar-SA"/>
              </w:rPr>
            </w:pP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95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kern w:val="0"/>
                <w:sz w:val="18"/>
                <w:szCs w:val="18"/>
                <w:highlight w:val="none"/>
                <w:u w:val="none"/>
                <w:lang w:val="en-US" w:eastAsia="zh-CN" w:bidi="ar"/>
              </w:rPr>
            </w:pPr>
          </w:p>
        </w:tc>
        <w:tc>
          <w:tcPr>
            <w:tcW w:w="49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石厚20cm</w:t>
            </w:r>
          </w:p>
        </w:tc>
        <w:tc>
          <w:tcPr>
            <w:tcW w:w="79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kern w:val="2"/>
                <w:sz w:val="18"/>
                <w:szCs w:val="18"/>
                <w:highlight w:val="none"/>
                <w:u w:val="none"/>
                <w:lang w:val="en-US" w:eastAsia="zh-CN" w:bidi="ar-SA"/>
              </w:rPr>
            </w:pP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kern w:val="2"/>
                <w:sz w:val="18"/>
                <w:szCs w:val="18"/>
                <w:highlight w:val="none"/>
                <w:u w:val="none"/>
                <w:lang w:val="en-US" w:eastAsia="zh-CN" w:bidi="ar-SA"/>
              </w:rPr>
            </w:pP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95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4.2.3</w:t>
            </w:r>
          </w:p>
        </w:tc>
        <w:tc>
          <w:tcPr>
            <w:tcW w:w="49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路缘石</w:t>
            </w:r>
          </w:p>
        </w:tc>
        <w:tc>
          <w:tcPr>
            <w:tcW w:w="79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kern w:val="2"/>
                <w:sz w:val="18"/>
                <w:szCs w:val="18"/>
                <w:highlight w:val="none"/>
                <w:u w:val="none"/>
                <w:lang w:val="en-US" w:eastAsia="zh-CN" w:bidi="ar-SA"/>
              </w:rPr>
            </w:pPr>
            <w:r>
              <w:rPr>
                <w:rFonts w:hint="eastAsia" w:ascii="宋体" w:hAnsi="宋体" w:eastAsia="宋体" w:cs="宋体"/>
                <w:b w:val="0"/>
                <w:bCs w:val="0"/>
                <w:i w:val="0"/>
                <w:iCs w:val="0"/>
                <w:color w:val="auto"/>
                <w:sz w:val="18"/>
                <w:szCs w:val="18"/>
                <w:highlight w:val="none"/>
                <w:u w:val="none"/>
                <w:lang w:val="en-US" w:eastAsia="zh-CN"/>
              </w:rPr>
              <w:t>m</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kern w:val="2"/>
                <w:sz w:val="18"/>
                <w:szCs w:val="18"/>
                <w:highlight w:val="none"/>
                <w:u w:val="none"/>
                <w:lang w:val="en-US" w:eastAsia="zh-CN" w:bidi="ar-SA"/>
              </w:rPr>
            </w:pPr>
            <w:r>
              <w:rPr>
                <w:rFonts w:hint="eastAsia" w:ascii="宋体" w:hAnsi="宋体" w:eastAsia="宋体" w:cs="宋体"/>
                <w:b w:val="0"/>
                <w:bCs w:val="0"/>
                <w:i w:val="0"/>
                <w:iCs w:val="0"/>
                <w:color w:val="auto"/>
                <w:sz w:val="18"/>
                <w:szCs w:val="18"/>
                <w:highlight w:val="none"/>
                <w:u w:val="none"/>
                <w:lang w:val="en-US" w:eastAsia="zh-CN"/>
              </w:rPr>
              <w:t>90</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95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4.2.4</w:t>
            </w:r>
          </w:p>
        </w:tc>
        <w:tc>
          <w:tcPr>
            <w:tcW w:w="49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铺砌场地</w:t>
            </w:r>
          </w:p>
        </w:tc>
        <w:tc>
          <w:tcPr>
            <w:tcW w:w="79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kern w:val="2"/>
                <w:sz w:val="18"/>
                <w:szCs w:val="18"/>
                <w:highlight w:val="none"/>
                <w:u w:val="none"/>
                <w:lang w:val="en-US" w:eastAsia="zh-CN" w:bidi="ar-SA"/>
              </w:rPr>
            </w:pPr>
            <w:r>
              <w:rPr>
                <w:rFonts w:hint="eastAsia" w:ascii="宋体" w:hAnsi="宋体" w:eastAsia="宋体" w:cs="宋体"/>
                <w:b w:val="0"/>
                <w:bCs w:val="0"/>
                <w:color w:val="auto"/>
                <w:kern w:val="0"/>
                <w:sz w:val="18"/>
                <w:szCs w:val="18"/>
                <w:lang w:val="en-US" w:eastAsia="zh-CN"/>
                <w14:ligatures w14:val="none"/>
              </w:rPr>
              <w:t>m</w:t>
            </w:r>
            <w:r>
              <w:rPr>
                <w:rFonts w:hint="eastAsia" w:ascii="宋体" w:hAnsi="宋体" w:eastAsia="宋体" w:cs="宋体"/>
                <w:b w:val="0"/>
                <w:bCs w:val="0"/>
                <w:color w:val="auto"/>
                <w:kern w:val="0"/>
                <w:sz w:val="18"/>
                <w:szCs w:val="18"/>
                <w:vertAlign w:val="superscript"/>
                <w:lang w:val="en-US" w:eastAsia="zh-CN"/>
                <w14:ligatures w14:val="none"/>
              </w:rPr>
              <w:t>2</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kern w:val="2"/>
                <w:sz w:val="18"/>
                <w:szCs w:val="18"/>
                <w:highlight w:val="none"/>
                <w:u w:val="none"/>
                <w:lang w:val="en-US" w:eastAsia="zh-CN" w:bidi="ar-SA"/>
              </w:rPr>
            </w:pPr>
            <w:r>
              <w:rPr>
                <w:rFonts w:hint="eastAsia" w:ascii="宋体" w:hAnsi="宋体" w:eastAsia="宋体" w:cs="宋体"/>
                <w:b w:val="0"/>
                <w:bCs w:val="0"/>
                <w:i w:val="0"/>
                <w:iCs w:val="0"/>
                <w:color w:val="auto"/>
                <w:sz w:val="18"/>
                <w:szCs w:val="18"/>
                <w:highlight w:val="none"/>
                <w:u w:val="none"/>
                <w:lang w:val="en-US" w:eastAsia="zh-CN"/>
              </w:rPr>
              <w:t>70</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95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kern w:val="0"/>
                <w:sz w:val="18"/>
                <w:szCs w:val="18"/>
                <w:highlight w:val="none"/>
                <w:u w:val="none"/>
                <w:lang w:val="en-US" w:eastAsia="zh-CN" w:bidi="ar"/>
              </w:rPr>
            </w:pPr>
          </w:p>
        </w:tc>
        <w:tc>
          <w:tcPr>
            <w:tcW w:w="49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水泥混凝土面层22cm，水泥稳定碎石基层（两步）32cm级配碎</w:t>
            </w:r>
          </w:p>
        </w:tc>
        <w:tc>
          <w:tcPr>
            <w:tcW w:w="79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kern w:val="2"/>
                <w:sz w:val="18"/>
                <w:szCs w:val="18"/>
                <w:highlight w:val="none"/>
                <w:u w:val="none"/>
                <w:lang w:val="en-US" w:eastAsia="zh-CN" w:bidi="ar-SA"/>
              </w:rPr>
            </w:pP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kern w:val="2"/>
                <w:sz w:val="18"/>
                <w:szCs w:val="18"/>
                <w:highlight w:val="none"/>
                <w:u w:val="none"/>
                <w:lang w:val="en-US" w:eastAsia="zh-CN" w:bidi="ar-SA"/>
              </w:rPr>
            </w:pP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95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kern w:val="0"/>
                <w:sz w:val="18"/>
                <w:szCs w:val="18"/>
                <w:highlight w:val="none"/>
                <w:u w:val="none"/>
                <w:lang w:val="en-US" w:eastAsia="zh-CN" w:bidi="ar"/>
              </w:rPr>
            </w:pPr>
          </w:p>
        </w:tc>
        <w:tc>
          <w:tcPr>
            <w:tcW w:w="49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石厚20cm</w:t>
            </w:r>
          </w:p>
        </w:tc>
        <w:tc>
          <w:tcPr>
            <w:tcW w:w="79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kern w:val="2"/>
                <w:sz w:val="18"/>
                <w:szCs w:val="18"/>
                <w:highlight w:val="none"/>
                <w:u w:val="none"/>
                <w:lang w:val="en-US" w:eastAsia="zh-CN" w:bidi="ar-SA"/>
              </w:rPr>
            </w:pP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kern w:val="2"/>
                <w:sz w:val="18"/>
                <w:szCs w:val="18"/>
                <w:highlight w:val="none"/>
                <w:u w:val="none"/>
                <w:lang w:val="en-US" w:eastAsia="zh-CN" w:bidi="ar-SA"/>
              </w:rPr>
            </w:pP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95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4.3</w:t>
            </w:r>
          </w:p>
        </w:tc>
        <w:tc>
          <w:tcPr>
            <w:tcW w:w="49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盖板排雨水沟拆除</w:t>
            </w:r>
          </w:p>
        </w:tc>
        <w:tc>
          <w:tcPr>
            <w:tcW w:w="79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kern w:val="2"/>
                <w:sz w:val="18"/>
                <w:szCs w:val="18"/>
                <w:highlight w:val="none"/>
                <w:u w:val="none"/>
                <w:lang w:val="en-US" w:eastAsia="zh-CN" w:bidi="ar-SA"/>
              </w:rPr>
            </w:pPr>
            <w:r>
              <w:rPr>
                <w:rFonts w:hint="eastAsia" w:ascii="宋体" w:hAnsi="宋体" w:eastAsia="宋体" w:cs="宋体"/>
                <w:b w:val="0"/>
                <w:bCs w:val="0"/>
                <w:i w:val="0"/>
                <w:iCs w:val="0"/>
                <w:color w:val="auto"/>
                <w:sz w:val="18"/>
                <w:szCs w:val="18"/>
                <w:highlight w:val="none"/>
                <w:u w:val="none"/>
                <w:lang w:val="en-US" w:eastAsia="zh-CN"/>
              </w:rPr>
              <w:t>m</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kern w:val="2"/>
                <w:sz w:val="18"/>
                <w:szCs w:val="18"/>
                <w:highlight w:val="none"/>
                <w:u w:val="none"/>
                <w:lang w:val="en-US" w:eastAsia="zh-CN" w:bidi="ar-SA"/>
              </w:rPr>
            </w:pPr>
            <w:r>
              <w:rPr>
                <w:rFonts w:hint="eastAsia" w:ascii="宋体" w:hAnsi="宋体" w:eastAsia="宋体" w:cs="宋体"/>
                <w:b w:val="0"/>
                <w:bCs w:val="0"/>
                <w:i w:val="0"/>
                <w:iCs w:val="0"/>
                <w:color w:val="auto"/>
                <w:sz w:val="18"/>
                <w:szCs w:val="18"/>
                <w:highlight w:val="none"/>
                <w:u w:val="none"/>
                <w:lang w:val="en-US" w:eastAsia="zh-CN"/>
              </w:rPr>
              <w:t>50</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95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4.4</w:t>
            </w:r>
          </w:p>
        </w:tc>
        <w:tc>
          <w:tcPr>
            <w:tcW w:w="49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盖板排雨水沟（改道新建）</w:t>
            </w:r>
          </w:p>
        </w:tc>
        <w:tc>
          <w:tcPr>
            <w:tcW w:w="79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kern w:val="2"/>
                <w:sz w:val="18"/>
                <w:szCs w:val="18"/>
                <w:highlight w:val="none"/>
                <w:u w:val="none"/>
                <w:lang w:val="en-US" w:eastAsia="zh-CN" w:bidi="ar-SA"/>
              </w:rPr>
            </w:pPr>
            <w:r>
              <w:rPr>
                <w:rFonts w:hint="eastAsia" w:ascii="宋体" w:hAnsi="宋体" w:eastAsia="宋体" w:cs="宋体"/>
                <w:b w:val="0"/>
                <w:bCs w:val="0"/>
                <w:i w:val="0"/>
                <w:iCs w:val="0"/>
                <w:color w:val="auto"/>
                <w:sz w:val="18"/>
                <w:szCs w:val="18"/>
                <w:highlight w:val="none"/>
                <w:u w:val="none"/>
                <w:lang w:val="en-US" w:eastAsia="zh-CN"/>
              </w:rPr>
              <w:t>m</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kern w:val="2"/>
                <w:sz w:val="18"/>
                <w:szCs w:val="18"/>
                <w:highlight w:val="none"/>
                <w:u w:val="none"/>
                <w:lang w:val="en-US" w:eastAsia="zh-CN" w:bidi="ar-SA"/>
              </w:rPr>
            </w:pPr>
            <w:r>
              <w:rPr>
                <w:rFonts w:hint="eastAsia" w:ascii="宋体" w:hAnsi="宋体" w:eastAsia="宋体" w:cs="宋体"/>
                <w:b w:val="0"/>
                <w:bCs w:val="0"/>
                <w:i w:val="0"/>
                <w:iCs w:val="0"/>
                <w:color w:val="auto"/>
                <w:sz w:val="18"/>
                <w:szCs w:val="18"/>
                <w:highlight w:val="none"/>
                <w:u w:val="none"/>
                <w:lang w:val="en-US" w:eastAsia="zh-CN"/>
              </w:rPr>
              <w:t>130</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95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auto"/>
                <w:kern w:val="0"/>
                <w:sz w:val="18"/>
                <w:szCs w:val="18"/>
                <w:highlight w:val="none"/>
                <w:u w:val="none"/>
                <w:lang w:val="en-US" w:eastAsia="zh-CN" w:bidi="ar"/>
              </w:rPr>
            </w:pPr>
            <w:r>
              <w:rPr>
                <w:rFonts w:hint="eastAsia" w:ascii="宋体" w:hAnsi="宋体" w:eastAsia="宋体" w:cs="宋体"/>
                <w:b/>
                <w:bCs/>
                <w:i w:val="0"/>
                <w:iCs w:val="0"/>
                <w:color w:val="auto"/>
                <w:kern w:val="0"/>
                <w:sz w:val="18"/>
                <w:szCs w:val="18"/>
                <w:highlight w:val="none"/>
                <w:u w:val="none"/>
                <w:lang w:val="en-US" w:eastAsia="zh-CN" w:bidi="ar"/>
              </w:rPr>
              <w:t>5</w:t>
            </w:r>
          </w:p>
        </w:tc>
        <w:tc>
          <w:tcPr>
            <w:tcW w:w="49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auto"/>
                <w:kern w:val="0"/>
                <w:sz w:val="18"/>
                <w:szCs w:val="18"/>
                <w:highlight w:val="none"/>
                <w:u w:val="none"/>
                <w:lang w:val="en-US" w:eastAsia="zh-CN" w:bidi="ar"/>
              </w:rPr>
            </w:pPr>
            <w:r>
              <w:rPr>
                <w:rFonts w:hint="eastAsia" w:ascii="宋体" w:hAnsi="宋体" w:eastAsia="宋体" w:cs="宋体"/>
                <w:b/>
                <w:bCs/>
                <w:i w:val="0"/>
                <w:iCs w:val="0"/>
                <w:color w:val="auto"/>
                <w:kern w:val="0"/>
                <w:sz w:val="18"/>
                <w:szCs w:val="18"/>
                <w:highlight w:val="none"/>
                <w:u w:val="none"/>
                <w:lang w:val="en-US" w:eastAsia="zh-CN" w:bidi="ar"/>
              </w:rPr>
              <w:t>基础处理及降水</w:t>
            </w:r>
          </w:p>
        </w:tc>
        <w:tc>
          <w:tcPr>
            <w:tcW w:w="79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kern w:val="2"/>
                <w:sz w:val="18"/>
                <w:szCs w:val="18"/>
                <w:highlight w:val="none"/>
                <w:u w:val="none"/>
                <w:lang w:val="en-US" w:eastAsia="zh-CN" w:bidi="ar-SA"/>
              </w:rPr>
            </w:pP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kern w:val="2"/>
                <w:sz w:val="18"/>
                <w:szCs w:val="18"/>
                <w:highlight w:val="none"/>
                <w:u w:val="none"/>
                <w:lang w:val="en-US" w:eastAsia="zh-CN" w:bidi="ar-SA"/>
              </w:rPr>
            </w:pP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auto"/>
                <w:sz w:val="18"/>
                <w:szCs w:val="18"/>
                <w:highlight w:val="none"/>
                <w:u w:val="none"/>
              </w:rPr>
            </w:pPr>
          </w:p>
        </w:tc>
      </w:tr>
      <w:tr>
        <w:tblPrEx>
          <w:tblLayout w:type="fixed"/>
          <w:tblCellMar>
            <w:top w:w="0" w:type="dxa"/>
            <w:left w:w="108" w:type="dxa"/>
            <w:bottom w:w="0" w:type="dxa"/>
            <w:right w:w="108" w:type="dxa"/>
          </w:tblCellMar>
        </w:tblPrEx>
        <w:trPr>
          <w:trHeight w:val="283" w:hRule="atLeast"/>
          <w:jc w:val="center"/>
        </w:trPr>
        <w:tc>
          <w:tcPr>
            <w:tcW w:w="95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5.1</w:t>
            </w:r>
          </w:p>
        </w:tc>
        <w:tc>
          <w:tcPr>
            <w:tcW w:w="49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地基处理碎石换填</w:t>
            </w:r>
          </w:p>
        </w:tc>
        <w:tc>
          <w:tcPr>
            <w:tcW w:w="79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kern w:val="2"/>
                <w:sz w:val="18"/>
                <w:szCs w:val="18"/>
                <w:highlight w:val="none"/>
                <w:u w:val="none"/>
                <w:lang w:val="en-US" w:eastAsia="zh-CN" w:bidi="ar-SA"/>
              </w:rPr>
            </w:pPr>
            <w:r>
              <w:rPr>
                <w:rFonts w:hint="eastAsia" w:ascii="宋体" w:hAnsi="宋体" w:eastAsia="宋体" w:cs="宋体"/>
                <w:b w:val="0"/>
                <w:bCs w:val="0"/>
                <w:color w:val="auto"/>
                <w:kern w:val="0"/>
                <w:sz w:val="18"/>
                <w:szCs w:val="18"/>
                <w:lang w:val="en-US" w:eastAsia="zh-CN"/>
                <w14:ligatures w14:val="none"/>
              </w:rPr>
              <w:t>m</w:t>
            </w:r>
            <w:r>
              <w:rPr>
                <w:rFonts w:hint="eastAsia" w:ascii="宋体" w:hAnsi="宋体" w:eastAsia="宋体" w:cs="宋体"/>
                <w:b w:val="0"/>
                <w:bCs w:val="0"/>
                <w:color w:val="auto"/>
                <w:kern w:val="0"/>
                <w:sz w:val="18"/>
                <w:szCs w:val="18"/>
                <w:vertAlign w:val="superscript"/>
                <w:lang w:val="en-US" w:eastAsia="zh-CN"/>
                <w14:ligatures w14:val="none"/>
              </w:rPr>
              <w:t>3</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kern w:val="2"/>
                <w:sz w:val="18"/>
                <w:szCs w:val="18"/>
                <w:highlight w:val="none"/>
                <w:u w:val="none"/>
                <w:lang w:val="en-US" w:eastAsia="zh-CN" w:bidi="ar-SA"/>
              </w:rPr>
            </w:pPr>
            <w:r>
              <w:rPr>
                <w:rFonts w:hint="eastAsia" w:ascii="宋体" w:hAnsi="宋体" w:eastAsia="宋体" w:cs="宋体"/>
                <w:b w:val="0"/>
                <w:bCs w:val="0"/>
                <w:i w:val="0"/>
                <w:iCs w:val="0"/>
                <w:color w:val="auto"/>
                <w:sz w:val="18"/>
                <w:szCs w:val="18"/>
                <w:highlight w:val="none"/>
                <w:u w:val="none"/>
                <w:lang w:val="en-US" w:eastAsia="zh-CN"/>
              </w:rPr>
              <w:t>2500</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95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5.2</w:t>
            </w:r>
          </w:p>
        </w:tc>
        <w:tc>
          <w:tcPr>
            <w:tcW w:w="49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降水</w:t>
            </w:r>
          </w:p>
        </w:tc>
        <w:tc>
          <w:tcPr>
            <w:tcW w:w="79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kern w:val="2"/>
                <w:sz w:val="18"/>
                <w:szCs w:val="18"/>
                <w:highlight w:val="none"/>
                <w:u w:val="none"/>
                <w:lang w:val="en-US" w:eastAsia="zh-CN" w:bidi="ar-SA"/>
              </w:rPr>
            </w:pPr>
            <w:r>
              <w:rPr>
                <w:rFonts w:hint="eastAsia" w:ascii="宋体" w:hAnsi="宋体" w:eastAsia="宋体" w:cs="宋体"/>
                <w:b w:val="0"/>
                <w:bCs w:val="0"/>
                <w:i w:val="0"/>
                <w:iCs w:val="0"/>
                <w:color w:val="auto"/>
                <w:sz w:val="18"/>
                <w:szCs w:val="18"/>
                <w:highlight w:val="none"/>
                <w:u w:val="none"/>
                <w:lang w:val="en-US" w:eastAsia="zh-CN"/>
              </w:rPr>
              <w:t>项</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kern w:val="2"/>
                <w:sz w:val="18"/>
                <w:szCs w:val="18"/>
                <w:highlight w:val="none"/>
                <w:u w:val="none"/>
                <w:lang w:val="en-US" w:eastAsia="zh-CN" w:bidi="ar-SA"/>
              </w:rPr>
            </w:pPr>
            <w:r>
              <w:rPr>
                <w:rFonts w:hint="eastAsia" w:ascii="宋体" w:hAnsi="宋体" w:eastAsia="宋体" w:cs="宋体"/>
                <w:b w:val="0"/>
                <w:bCs w:val="0"/>
                <w:i w:val="0"/>
                <w:iCs w:val="0"/>
                <w:color w:val="auto"/>
                <w:sz w:val="18"/>
                <w:szCs w:val="18"/>
                <w:highlight w:val="none"/>
                <w:u w:val="none"/>
                <w:lang w:val="en-US" w:eastAsia="zh-CN"/>
              </w:rPr>
              <w:t>1</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95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kern w:val="0"/>
                <w:sz w:val="18"/>
                <w:szCs w:val="18"/>
                <w:highlight w:val="none"/>
                <w:u w:val="none"/>
                <w:lang w:val="en-US" w:eastAsia="zh-CN" w:bidi="ar"/>
              </w:rPr>
            </w:pPr>
          </w:p>
        </w:tc>
        <w:tc>
          <w:tcPr>
            <w:tcW w:w="49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c>
          <w:tcPr>
            <w:tcW w:w="79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kern w:val="2"/>
                <w:sz w:val="18"/>
                <w:szCs w:val="18"/>
                <w:highlight w:val="none"/>
                <w:u w:val="none"/>
                <w:lang w:val="en-US" w:eastAsia="zh-CN" w:bidi="ar-SA"/>
              </w:rPr>
            </w:pP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kern w:val="2"/>
                <w:sz w:val="18"/>
                <w:szCs w:val="18"/>
                <w:highlight w:val="none"/>
                <w:u w:val="none"/>
                <w:lang w:val="en-US" w:eastAsia="zh-CN" w:bidi="ar-SA"/>
              </w:rPr>
            </w:pP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95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kern w:val="0"/>
                <w:sz w:val="18"/>
                <w:szCs w:val="18"/>
                <w:highlight w:val="none"/>
                <w:u w:val="none"/>
                <w:lang w:val="en-US" w:eastAsia="zh-CN" w:bidi="ar"/>
              </w:rPr>
            </w:pPr>
          </w:p>
        </w:tc>
        <w:tc>
          <w:tcPr>
            <w:tcW w:w="49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c>
          <w:tcPr>
            <w:tcW w:w="79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kern w:val="2"/>
                <w:sz w:val="18"/>
                <w:szCs w:val="18"/>
                <w:highlight w:val="none"/>
                <w:u w:val="none"/>
                <w:lang w:val="en-US" w:eastAsia="zh-CN" w:bidi="ar-SA"/>
              </w:rPr>
            </w:pP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kern w:val="2"/>
                <w:sz w:val="18"/>
                <w:szCs w:val="18"/>
                <w:highlight w:val="none"/>
                <w:u w:val="none"/>
                <w:lang w:val="en-US" w:eastAsia="zh-CN" w:bidi="ar-SA"/>
              </w:rPr>
            </w:pP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95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kern w:val="0"/>
                <w:sz w:val="18"/>
                <w:szCs w:val="18"/>
                <w:highlight w:val="none"/>
                <w:u w:val="none"/>
                <w:lang w:val="en-US" w:eastAsia="zh-CN" w:bidi="ar"/>
              </w:rPr>
            </w:pPr>
          </w:p>
        </w:tc>
        <w:tc>
          <w:tcPr>
            <w:tcW w:w="49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c>
          <w:tcPr>
            <w:tcW w:w="79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kern w:val="2"/>
                <w:sz w:val="18"/>
                <w:szCs w:val="18"/>
                <w:highlight w:val="none"/>
                <w:u w:val="none"/>
                <w:lang w:val="en-US" w:eastAsia="zh-CN" w:bidi="ar-SA"/>
              </w:rPr>
            </w:pP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kern w:val="2"/>
                <w:sz w:val="18"/>
                <w:szCs w:val="18"/>
                <w:highlight w:val="none"/>
                <w:u w:val="none"/>
                <w:lang w:val="en-US" w:eastAsia="zh-CN" w:bidi="ar-SA"/>
              </w:rPr>
            </w:pPr>
          </w:p>
        </w:tc>
        <w:tc>
          <w:tcPr>
            <w:tcW w:w="88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auto"/>
                <w:sz w:val="18"/>
                <w:szCs w:val="18"/>
                <w:highlight w:val="none"/>
                <w:u w:val="none"/>
              </w:rPr>
            </w:pPr>
          </w:p>
        </w:tc>
      </w:tr>
    </w:tbl>
    <w:p>
      <w:pPr>
        <w:pStyle w:val="44"/>
        <w:widowControl w:val="0"/>
        <w:spacing w:before="0" w:beforeAutospacing="0" w:after="0" w:afterAutospacing="0" w:line="500" w:lineRule="exact"/>
        <w:ind w:firstLine="480" w:firstLineChars="200"/>
        <w:jc w:val="both"/>
        <w:rPr>
          <w:rFonts w:hint="eastAsia" w:hAnsi="宋体" w:cs="宋体"/>
          <w:color w:val="auto"/>
          <w:kern w:val="2"/>
          <w:szCs w:val="20"/>
          <w:lang w:bidi="ar"/>
          <w14:ligatures w14:val="standardContextual"/>
        </w:rPr>
      </w:pPr>
    </w:p>
    <w:p>
      <w:pPr>
        <w:pStyle w:val="44"/>
        <w:widowControl w:val="0"/>
        <w:spacing w:before="0" w:beforeAutospacing="0" w:after="0" w:afterAutospacing="0" w:line="500" w:lineRule="exact"/>
        <w:ind w:left="0" w:leftChars="0" w:firstLine="0" w:firstLineChars="0"/>
        <w:jc w:val="center"/>
        <w:rPr>
          <w:rFonts w:hint="default" w:hAnsi="宋体" w:eastAsia="宋体" w:cs="宋体"/>
          <w:color w:val="auto"/>
          <w:kern w:val="2"/>
          <w:szCs w:val="20"/>
          <w:lang w:val="en-US" w:eastAsia="zh-CN" w:bidi="ar"/>
          <w14:ligatures w14:val="standardContextual"/>
        </w:rPr>
      </w:pPr>
      <w:r>
        <w:rPr>
          <w:rFonts w:hint="eastAsia" w:hAnsi="宋体" w:cs="宋体"/>
          <w:b/>
          <w:bCs/>
          <w:color w:val="auto"/>
          <w:kern w:val="2"/>
          <w:szCs w:val="20"/>
          <w:lang w:val="en-US" w:eastAsia="zh-CN" w:bidi="ar"/>
          <w14:ligatures w14:val="standardContextual"/>
        </w:rPr>
        <w:t>安装工程量表</w:t>
      </w:r>
    </w:p>
    <w:tbl>
      <w:tblPr>
        <w:tblStyle w:val="50"/>
        <w:tblW w:w="9314"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63"/>
        <w:gridCol w:w="2570"/>
        <w:gridCol w:w="3212"/>
        <w:gridCol w:w="642"/>
        <w:gridCol w:w="642"/>
        <w:gridCol w:w="12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blHeader/>
          <w:jc w:val="center"/>
        </w:trPr>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b/>
                <w:bCs/>
                <w:i w:val="0"/>
                <w:iCs w:val="0"/>
                <w:color w:val="auto"/>
                <w:sz w:val="18"/>
                <w:szCs w:val="18"/>
                <w:highlight w:val="none"/>
                <w:u w:val="none"/>
                <w:lang w:val="en-US" w:eastAsia="zh-CN"/>
              </w:rPr>
            </w:pPr>
            <w:r>
              <w:rPr>
                <w:rFonts w:hint="eastAsia" w:ascii="黑体" w:hAnsi="宋体" w:eastAsia="黑体" w:cs="黑体"/>
                <w:b/>
                <w:bCs/>
                <w:i w:val="0"/>
                <w:iCs w:val="0"/>
                <w:color w:val="auto"/>
                <w:sz w:val="18"/>
                <w:szCs w:val="18"/>
                <w:highlight w:val="none"/>
                <w:u w:val="none"/>
                <w:lang w:val="en-US" w:eastAsia="zh-CN"/>
              </w:rPr>
              <w:t>序号</w:t>
            </w:r>
          </w:p>
        </w:tc>
        <w:tc>
          <w:tcPr>
            <w:tcW w:w="25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黑体" w:hAnsi="宋体" w:eastAsia="黑体" w:cs="黑体"/>
                <w:b/>
                <w:bCs/>
                <w:i w:val="0"/>
                <w:iCs w:val="0"/>
                <w:color w:val="auto"/>
                <w:sz w:val="18"/>
                <w:szCs w:val="18"/>
                <w:highlight w:val="none"/>
                <w:u w:val="none"/>
                <w:lang w:val="en-US"/>
              </w:rPr>
            </w:pPr>
            <w:r>
              <w:rPr>
                <w:rFonts w:hint="eastAsia" w:ascii="黑体" w:hAnsi="宋体" w:eastAsia="黑体" w:cs="黑体"/>
                <w:b/>
                <w:bCs/>
                <w:i w:val="0"/>
                <w:iCs w:val="0"/>
                <w:color w:val="auto"/>
                <w:kern w:val="0"/>
                <w:sz w:val="18"/>
                <w:szCs w:val="18"/>
                <w:highlight w:val="none"/>
                <w:u w:val="none"/>
                <w:lang w:val="en-US" w:eastAsia="zh-CN" w:bidi="ar"/>
              </w:rPr>
              <w:t>名称</w:t>
            </w:r>
          </w:p>
        </w:tc>
        <w:tc>
          <w:tcPr>
            <w:tcW w:w="32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黑体" w:hAnsi="宋体" w:eastAsia="黑体" w:cs="黑体"/>
                <w:b/>
                <w:bCs/>
                <w:i w:val="0"/>
                <w:iCs w:val="0"/>
                <w:color w:val="auto"/>
                <w:kern w:val="0"/>
                <w:sz w:val="18"/>
                <w:szCs w:val="18"/>
                <w:highlight w:val="none"/>
                <w:u w:val="none"/>
                <w:lang w:val="en-US" w:eastAsia="zh-CN" w:bidi="ar"/>
              </w:rPr>
            </w:pPr>
            <w:r>
              <w:rPr>
                <w:rFonts w:hint="eastAsia" w:ascii="黑体" w:hAnsi="宋体" w:eastAsia="黑体" w:cs="黑体"/>
                <w:b/>
                <w:bCs/>
                <w:i w:val="0"/>
                <w:iCs w:val="0"/>
                <w:color w:val="auto"/>
                <w:kern w:val="0"/>
                <w:sz w:val="18"/>
                <w:szCs w:val="18"/>
                <w:highlight w:val="none"/>
                <w:u w:val="none"/>
                <w:lang w:val="en-US" w:eastAsia="zh-CN" w:bidi="ar"/>
              </w:rPr>
              <w:t>技术要求</w:t>
            </w:r>
          </w:p>
        </w:tc>
        <w:tc>
          <w:tcPr>
            <w:tcW w:w="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b/>
                <w:bCs/>
                <w:i w:val="0"/>
                <w:iCs w:val="0"/>
                <w:color w:val="auto"/>
                <w:sz w:val="18"/>
                <w:szCs w:val="18"/>
                <w:highlight w:val="none"/>
                <w:u w:val="none"/>
              </w:rPr>
            </w:pPr>
            <w:r>
              <w:rPr>
                <w:rFonts w:hint="eastAsia" w:ascii="黑体" w:hAnsi="宋体" w:eastAsia="黑体" w:cs="黑体"/>
                <w:b/>
                <w:bCs/>
                <w:i w:val="0"/>
                <w:iCs w:val="0"/>
                <w:color w:val="auto"/>
                <w:kern w:val="0"/>
                <w:sz w:val="18"/>
                <w:szCs w:val="18"/>
                <w:highlight w:val="none"/>
                <w:u w:val="none"/>
                <w:lang w:val="en-US" w:eastAsia="zh-CN" w:bidi="ar"/>
              </w:rPr>
              <w:t>单位</w:t>
            </w:r>
          </w:p>
        </w:tc>
        <w:tc>
          <w:tcPr>
            <w:tcW w:w="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b/>
                <w:bCs/>
                <w:i w:val="0"/>
                <w:iCs w:val="0"/>
                <w:color w:val="auto"/>
                <w:sz w:val="18"/>
                <w:szCs w:val="18"/>
                <w:highlight w:val="none"/>
                <w:u w:val="none"/>
              </w:rPr>
            </w:pPr>
            <w:r>
              <w:rPr>
                <w:rFonts w:hint="eastAsia" w:ascii="黑体" w:hAnsi="宋体" w:eastAsia="黑体" w:cs="黑体"/>
                <w:b/>
                <w:bCs/>
                <w:i w:val="0"/>
                <w:iCs w:val="0"/>
                <w:color w:val="auto"/>
                <w:kern w:val="0"/>
                <w:sz w:val="18"/>
                <w:szCs w:val="18"/>
                <w:highlight w:val="none"/>
                <w:u w:val="none"/>
                <w:lang w:val="en-US" w:eastAsia="zh-CN" w:bidi="ar"/>
              </w:rPr>
              <w:t>数量</w:t>
            </w:r>
          </w:p>
        </w:tc>
        <w:tc>
          <w:tcPr>
            <w:tcW w:w="12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黑体" w:hAnsi="宋体" w:eastAsia="黑体" w:cs="黑体"/>
                <w:b/>
                <w:bCs/>
                <w:i w:val="0"/>
                <w:iCs w:val="0"/>
                <w:color w:val="auto"/>
                <w:kern w:val="0"/>
                <w:sz w:val="18"/>
                <w:szCs w:val="18"/>
                <w:highlight w:val="none"/>
                <w:u w:val="none"/>
                <w:lang w:val="en-US" w:eastAsia="zh-CN" w:bidi="ar"/>
              </w:rPr>
            </w:pPr>
            <w:r>
              <w:rPr>
                <w:rFonts w:hint="eastAsia" w:ascii="黑体" w:hAnsi="宋体" w:eastAsia="黑体" w:cs="黑体"/>
                <w:b/>
                <w:bCs/>
                <w:i w:val="0"/>
                <w:iCs w:val="0"/>
                <w:color w:val="auto"/>
                <w:kern w:val="0"/>
                <w:sz w:val="18"/>
                <w:szCs w:val="18"/>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18"/>
                <w:szCs w:val="18"/>
                <w:highlight w:val="none"/>
                <w:u w:val="none"/>
                <w:lang w:val="en-US" w:eastAsia="zh-CN" w:bidi="ar"/>
              </w:rPr>
            </w:pPr>
            <w:r>
              <w:rPr>
                <w:rFonts w:hint="eastAsia" w:ascii="宋体" w:hAnsi="宋体" w:eastAsia="宋体" w:cs="宋体"/>
                <w:b/>
                <w:bCs/>
                <w:i w:val="0"/>
                <w:iCs w:val="0"/>
                <w:color w:val="auto"/>
                <w:kern w:val="0"/>
                <w:sz w:val="18"/>
                <w:szCs w:val="18"/>
                <w:highlight w:val="none"/>
                <w:u w:val="none"/>
                <w:lang w:val="en-US" w:eastAsia="zh-CN" w:bidi="ar"/>
              </w:rPr>
              <w:t>一</w:t>
            </w:r>
          </w:p>
        </w:tc>
        <w:tc>
          <w:tcPr>
            <w:tcW w:w="25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auto"/>
                <w:kern w:val="0"/>
                <w:sz w:val="18"/>
                <w:szCs w:val="18"/>
                <w:highlight w:val="none"/>
                <w:u w:val="none"/>
                <w:lang w:val="en-US" w:eastAsia="zh-CN" w:bidi="ar"/>
              </w:rPr>
            </w:pPr>
            <w:r>
              <w:rPr>
                <w:rFonts w:hint="eastAsia" w:ascii="宋体" w:hAnsi="宋体" w:eastAsia="宋体" w:cs="宋体"/>
                <w:b/>
                <w:bCs/>
                <w:i w:val="0"/>
                <w:iCs w:val="0"/>
                <w:color w:val="auto"/>
                <w:kern w:val="0"/>
                <w:sz w:val="18"/>
                <w:szCs w:val="18"/>
                <w:highlight w:val="none"/>
                <w:u w:val="none"/>
                <w:lang w:val="en-US" w:eastAsia="zh-CN" w:bidi="ar"/>
              </w:rPr>
              <w:t>给排水系统</w:t>
            </w:r>
          </w:p>
        </w:tc>
        <w:tc>
          <w:tcPr>
            <w:tcW w:w="321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b w:val="0"/>
                <w:bCs w:val="0"/>
                <w:i w:val="0"/>
                <w:iCs w:val="0"/>
                <w:color w:val="auto"/>
                <w:sz w:val="18"/>
                <w:szCs w:val="18"/>
                <w:highlight w:val="none"/>
                <w:u w:val="none"/>
              </w:rPr>
            </w:pPr>
          </w:p>
        </w:tc>
        <w:tc>
          <w:tcPr>
            <w:tcW w:w="64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sz w:val="18"/>
                <w:szCs w:val="18"/>
                <w:highlight w:val="none"/>
                <w:u w:val="none"/>
              </w:rPr>
            </w:pPr>
          </w:p>
        </w:tc>
        <w:tc>
          <w:tcPr>
            <w:tcW w:w="64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sz w:val="18"/>
                <w:szCs w:val="18"/>
                <w:highlight w:val="none"/>
                <w:u w:val="none"/>
              </w:rPr>
            </w:pPr>
          </w:p>
        </w:tc>
        <w:tc>
          <w:tcPr>
            <w:tcW w:w="128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18"/>
                <w:szCs w:val="18"/>
                <w:highlight w:val="none"/>
                <w:u w:val="none"/>
                <w:lang w:val="en-US" w:eastAsia="zh-CN" w:bidi="ar"/>
              </w:rPr>
            </w:pPr>
            <w:r>
              <w:rPr>
                <w:rFonts w:hint="eastAsia" w:ascii="宋体" w:hAnsi="宋体" w:eastAsia="宋体" w:cs="宋体"/>
                <w:b/>
                <w:bCs/>
                <w:i w:val="0"/>
                <w:iCs w:val="0"/>
                <w:color w:val="auto"/>
                <w:kern w:val="0"/>
                <w:sz w:val="18"/>
                <w:szCs w:val="18"/>
                <w:highlight w:val="none"/>
                <w:u w:val="none"/>
                <w:lang w:val="en-US" w:eastAsia="zh-CN" w:bidi="ar"/>
              </w:rPr>
              <w:t>1</w:t>
            </w:r>
          </w:p>
        </w:tc>
        <w:tc>
          <w:tcPr>
            <w:tcW w:w="25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auto"/>
                <w:kern w:val="0"/>
                <w:sz w:val="18"/>
                <w:szCs w:val="18"/>
                <w:highlight w:val="none"/>
                <w:u w:val="none"/>
                <w:lang w:val="en-US" w:eastAsia="zh-CN" w:bidi="ar"/>
              </w:rPr>
            </w:pPr>
            <w:r>
              <w:rPr>
                <w:rFonts w:hint="eastAsia" w:ascii="宋体" w:hAnsi="宋体" w:eastAsia="宋体" w:cs="宋体"/>
                <w:b/>
                <w:bCs/>
                <w:i w:val="0"/>
                <w:iCs w:val="0"/>
                <w:color w:val="auto"/>
                <w:kern w:val="0"/>
                <w:sz w:val="18"/>
                <w:szCs w:val="18"/>
                <w:highlight w:val="none"/>
                <w:u w:val="none"/>
                <w:lang w:val="en-US" w:eastAsia="zh-CN" w:bidi="ar"/>
              </w:rPr>
              <w:t>储煤场室内-给排水材料</w:t>
            </w:r>
          </w:p>
        </w:tc>
        <w:tc>
          <w:tcPr>
            <w:tcW w:w="32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c>
          <w:tcPr>
            <w:tcW w:w="64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b w:val="0"/>
                <w:bCs w:val="0"/>
                <w:color w:val="auto"/>
                <w:kern w:val="0"/>
                <w:sz w:val="18"/>
                <w:szCs w:val="18"/>
                <w:lang w:val="en-US" w:eastAsia="zh-CN" w:bidi="ar-SA"/>
                <w14:ligatures w14:val="none"/>
              </w:rPr>
            </w:pPr>
          </w:p>
        </w:tc>
        <w:tc>
          <w:tcPr>
            <w:tcW w:w="64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b w:val="0"/>
                <w:bCs w:val="0"/>
                <w:color w:val="auto"/>
                <w:kern w:val="0"/>
                <w:sz w:val="18"/>
                <w:szCs w:val="18"/>
                <w:lang w:val="en-US" w:eastAsia="zh-CN" w:bidi="ar-SA"/>
                <w14:ligatures w14:val="none"/>
              </w:rPr>
            </w:pPr>
          </w:p>
        </w:tc>
        <w:tc>
          <w:tcPr>
            <w:tcW w:w="128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1.1</w:t>
            </w:r>
          </w:p>
        </w:tc>
        <w:tc>
          <w:tcPr>
            <w:tcW w:w="25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室内消防炮系统</w:t>
            </w:r>
          </w:p>
        </w:tc>
        <w:tc>
          <w:tcPr>
            <w:tcW w:w="32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c>
          <w:tcPr>
            <w:tcW w:w="64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b w:val="0"/>
                <w:bCs w:val="0"/>
                <w:i w:val="0"/>
                <w:iCs w:val="0"/>
                <w:color w:val="auto"/>
                <w:sz w:val="18"/>
                <w:szCs w:val="18"/>
                <w:highlight w:val="none"/>
                <w:u w:val="none"/>
              </w:rPr>
            </w:pPr>
          </w:p>
        </w:tc>
        <w:tc>
          <w:tcPr>
            <w:tcW w:w="642"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eastAsia="宋体" w:cs="宋体"/>
                <w:b w:val="0"/>
                <w:bCs w:val="0"/>
                <w:i w:val="0"/>
                <w:iCs w:val="0"/>
                <w:color w:val="auto"/>
                <w:sz w:val="18"/>
                <w:szCs w:val="18"/>
                <w:highlight w:val="none"/>
                <w:u w:val="none"/>
              </w:rPr>
            </w:pPr>
          </w:p>
        </w:tc>
        <w:tc>
          <w:tcPr>
            <w:tcW w:w="12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6"/>
                <w:szCs w:val="16"/>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1.1.1</w:t>
            </w:r>
          </w:p>
        </w:tc>
        <w:tc>
          <w:tcPr>
            <w:tcW w:w="25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加厚热浸锌镀锌钢管</w:t>
            </w:r>
          </w:p>
        </w:tc>
        <w:tc>
          <w:tcPr>
            <w:tcW w:w="32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DN200，2.5MPa</w:t>
            </w:r>
          </w:p>
        </w:tc>
        <w:tc>
          <w:tcPr>
            <w:tcW w:w="6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100m</w:t>
            </w:r>
          </w:p>
        </w:tc>
        <w:tc>
          <w:tcPr>
            <w:tcW w:w="6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128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1.1.2</w:t>
            </w:r>
          </w:p>
        </w:tc>
        <w:tc>
          <w:tcPr>
            <w:tcW w:w="25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信号阀</w:t>
            </w:r>
          </w:p>
        </w:tc>
        <w:tc>
          <w:tcPr>
            <w:tcW w:w="32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DN200，2.5MPa</w:t>
            </w:r>
          </w:p>
        </w:tc>
        <w:tc>
          <w:tcPr>
            <w:tcW w:w="6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个</w:t>
            </w:r>
          </w:p>
        </w:tc>
        <w:tc>
          <w:tcPr>
            <w:tcW w:w="6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128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1.1.3</w:t>
            </w:r>
          </w:p>
        </w:tc>
        <w:tc>
          <w:tcPr>
            <w:tcW w:w="25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电磁阀</w:t>
            </w:r>
          </w:p>
        </w:tc>
        <w:tc>
          <w:tcPr>
            <w:tcW w:w="32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DN200，2.5MPa，20W</w:t>
            </w:r>
          </w:p>
        </w:tc>
        <w:tc>
          <w:tcPr>
            <w:tcW w:w="6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个</w:t>
            </w:r>
          </w:p>
        </w:tc>
        <w:tc>
          <w:tcPr>
            <w:tcW w:w="6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12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b w:val="0"/>
                <w:bCs w:val="0"/>
                <w:i w:val="0"/>
                <w:iCs w:val="0"/>
                <w:color w:val="auto"/>
                <w:sz w:val="16"/>
                <w:szCs w:val="16"/>
                <w:highlight w:val="none"/>
                <w:u w:val="none"/>
              </w:rPr>
            </w:pPr>
            <w:r>
              <w:rPr>
                <w:rFonts w:hint="eastAsia" w:hAnsi="宋体" w:cs="宋体"/>
                <w:color w:val="auto"/>
                <w:kern w:val="2"/>
                <w:sz w:val="13"/>
                <w:szCs w:val="13"/>
                <w:lang w:val="en-US" w:eastAsia="zh-CN" w:bidi="ar"/>
                <w14:ligatures w14:val="standardContextual"/>
              </w:rPr>
              <w:t>招标人负责供货，投标人负责安装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1.1.4</w:t>
            </w:r>
          </w:p>
        </w:tc>
        <w:tc>
          <w:tcPr>
            <w:tcW w:w="25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电伴热</w:t>
            </w:r>
          </w:p>
        </w:tc>
        <w:tc>
          <w:tcPr>
            <w:tcW w:w="32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单根55m：25DXW，2.4kW，防爆</w:t>
            </w:r>
          </w:p>
        </w:tc>
        <w:tc>
          <w:tcPr>
            <w:tcW w:w="6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套</w:t>
            </w:r>
          </w:p>
        </w:tc>
        <w:tc>
          <w:tcPr>
            <w:tcW w:w="6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12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6"/>
                <w:szCs w:val="16"/>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1.1.5</w:t>
            </w:r>
          </w:p>
        </w:tc>
        <w:tc>
          <w:tcPr>
            <w:tcW w:w="25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自动消防炮</w:t>
            </w:r>
          </w:p>
        </w:tc>
        <w:tc>
          <w:tcPr>
            <w:tcW w:w="32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Q=30L/s，射程55m，电压380V,</w:t>
            </w:r>
          </w:p>
        </w:tc>
        <w:tc>
          <w:tcPr>
            <w:tcW w:w="6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套</w:t>
            </w:r>
          </w:p>
        </w:tc>
        <w:tc>
          <w:tcPr>
            <w:tcW w:w="6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12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default" w:ascii="宋体" w:hAnsi="宋体" w:eastAsia="宋体" w:cs="宋体"/>
                <w:b w:val="0"/>
                <w:bCs w:val="0"/>
                <w:i w:val="0"/>
                <w:iCs w:val="0"/>
                <w:color w:val="auto"/>
                <w:sz w:val="16"/>
                <w:szCs w:val="16"/>
                <w:highlight w:val="none"/>
                <w:u w:val="none"/>
                <w:lang w:val="en-US" w:eastAsia="zh-CN"/>
              </w:rPr>
            </w:pPr>
            <w:r>
              <w:rPr>
                <w:rFonts w:hint="eastAsia" w:hAnsi="宋体" w:cs="宋体"/>
                <w:color w:val="auto"/>
                <w:kern w:val="2"/>
                <w:sz w:val="13"/>
                <w:szCs w:val="13"/>
                <w:lang w:val="en-US" w:eastAsia="zh-CN" w:bidi="ar"/>
                <w14:ligatures w14:val="standardContextual"/>
              </w:rPr>
              <w:t>招标人负责供货，投标人负责安装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c>
          <w:tcPr>
            <w:tcW w:w="25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c>
          <w:tcPr>
            <w:tcW w:w="32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功耗：500W，电机防爆</w:t>
            </w:r>
          </w:p>
        </w:tc>
        <w:tc>
          <w:tcPr>
            <w:tcW w:w="6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c>
          <w:tcPr>
            <w:tcW w:w="6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c>
          <w:tcPr>
            <w:tcW w:w="12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b w:val="0"/>
                <w:bCs w:val="0"/>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1.1.6</w:t>
            </w:r>
          </w:p>
        </w:tc>
        <w:tc>
          <w:tcPr>
            <w:tcW w:w="25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自动排气阀</w:t>
            </w:r>
          </w:p>
        </w:tc>
        <w:tc>
          <w:tcPr>
            <w:tcW w:w="32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DN50，2.5MPa</w:t>
            </w:r>
          </w:p>
        </w:tc>
        <w:tc>
          <w:tcPr>
            <w:tcW w:w="6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套</w:t>
            </w:r>
          </w:p>
        </w:tc>
        <w:tc>
          <w:tcPr>
            <w:tcW w:w="6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1</w:t>
            </w:r>
          </w:p>
        </w:tc>
        <w:tc>
          <w:tcPr>
            <w:tcW w:w="12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b w:val="0"/>
                <w:bCs w:val="0"/>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1.2</w:t>
            </w:r>
          </w:p>
        </w:tc>
        <w:tc>
          <w:tcPr>
            <w:tcW w:w="25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室内雾炮系统</w:t>
            </w:r>
          </w:p>
        </w:tc>
        <w:tc>
          <w:tcPr>
            <w:tcW w:w="32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c>
          <w:tcPr>
            <w:tcW w:w="6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c>
          <w:tcPr>
            <w:tcW w:w="6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c>
          <w:tcPr>
            <w:tcW w:w="12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b w:val="0"/>
                <w:bCs w:val="0"/>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1.2.1</w:t>
            </w:r>
          </w:p>
        </w:tc>
        <w:tc>
          <w:tcPr>
            <w:tcW w:w="25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热浸锌镀锌钢管</w:t>
            </w:r>
          </w:p>
        </w:tc>
        <w:tc>
          <w:tcPr>
            <w:tcW w:w="32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DN50，1.0MPa</w:t>
            </w:r>
          </w:p>
        </w:tc>
        <w:tc>
          <w:tcPr>
            <w:tcW w:w="6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100m</w:t>
            </w:r>
          </w:p>
        </w:tc>
        <w:tc>
          <w:tcPr>
            <w:tcW w:w="6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1.2</w:t>
            </w:r>
          </w:p>
        </w:tc>
        <w:tc>
          <w:tcPr>
            <w:tcW w:w="12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b w:val="0"/>
                <w:bCs w:val="0"/>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1.2.2</w:t>
            </w:r>
          </w:p>
        </w:tc>
        <w:tc>
          <w:tcPr>
            <w:tcW w:w="25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蝶阀</w:t>
            </w:r>
          </w:p>
        </w:tc>
        <w:tc>
          <w:tcPr>
            <w:tcW w:w="32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DN50，1.0MPa</w:t>
            </w:r>
          </w:p>
        </w:tc>
        <w:tc>
          <w:tcPr>
            <w:tcW w:w="6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个</w:t>
            </w:r>
          </w:p>
        </w:tc>
        <w:tc>
          <w:tcPr>
            <w:tcW w:w="6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12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b w:val="0"/>
                <w:bCs w:val="0"/>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1.2.3</w:t>
            </w:r>
          </w:p>
        </w:tc>
        <w:tc>
          <w:tcPr>
            <w:tcW w:w="25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电伴热</w:t>
            </w:r>
          </w:p>
        </w:tc>
        <w:tc>
          <w:tcPr>
            <w:tcW w:w="32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单根10m：15DXW，1kW，防爆</w:t>
            </w:r>
          </w:p>
        </w:tc>
        <w:tc>
          <w:tcPr>
            <w:tcW w:w="6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套</w:t>
            </w:r>
          </w:p>
        </w:tc>
        <w:tc>
          <w:tcPr>
            <w:tcW w:w="6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8</w:t>
            </w:r>
          </w:p>
        </w:tc>
        <w:tc>
          <w:tcPr>
            <w:tcW w:w="12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b w:val="0"/>
                <w:bCs w:val="0"/>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1.2.4</w:t>
            </w:r>
          </w:p>
        </w:tc>
        <w:tc>
          <w:tcPr>
            <w:tcW w:w="25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雾炮</w:t>
            </w:r>
          </w:p>
        </w:tc>
        <w:tc>
          <w:tcPr>
            <w:tcW w:w="32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FCF-60型，Q=6.5m</w:t>
            </w:r>
            <w:r>
              <w:rPr>
                <w:rFonts w:hint="eastAsia" w:ascii="宋体" w:hAnsi="宋体" w:eastAsia="宋体" w:cs="宋体"/>
                <w:b w:val="0"/>
                <w:bCs w:val="0"/>
                <w:i w:val="0"/>
                <w:iCs w:val="0"/>
                <w:color w:val="auto"/>
                <w:kern w:val="0"/>
                <w:sz w:val="18"/>
                <w:szCs w:val="18"/>
                <w:highlight w:val="none"/>
                <w:u w:val="none"/>
                <w:vertAlign w:val="superscript"/>
                <w:lang w:val="en-US" w:eastAsia="zh-CN" w:bidi="ar"/>
              </w:rPr>
              <w:t>3</w:t>
            </w:r>
            <w:r>
              <w:rPr>
                <w:rFonts w:hint="eastAsia" w:ascii="宋体" w:hAnsi="宋体" w:eastAsia="宋体" w:cs="宋体"/>
                <w:b w:val="0"/>
                <w:bCs w:val="0"/>
                <w:i w:val="0"/>
                <w:iCs w:val="0"/>
                <w:color w:val="auto"/>
                <w:kern w:val="0"/>
                <w:sz w:val="18"/>
                <w:szCs w:val="18"/>
                <w:highlight w:val="none"/>
                <w:u w:val="none"/>
                <w:lang w:val="en-US" w:eastAsia="zh-CN" w:bidi="ar"/>
              </w:rPr>
              <w:t>/h，最大射程60m，</w:t>
            </w:r>
          </w:p>
        </w:tc>
        <w:tc>
          <w:tcPr>
            <w:tcW w:w="6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套</w:t>
            </w:r>
          </w:p>
        </w:tc>
        <w:tc>
          <w:tcPr>
            <w:tcW w:w="6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12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b w:val="0"/>
                <w:bCs w:val="0"/>
                <w:i w:val="0"/>
                <w:iCs w:val="0"/>
                <w:color w:val="auto"/>
                <w:sz w:val="16"/>
                <w:szCs w:val="16"/>
                <w:highlight w:val="none"/>
                <w:u w:val="none"/>
              </w:rPr>
            </w:pPr>
            <w:r>
              <w:rPr>
                <w:rFonts w:hint="eastAsia" w:hAnsi="宋体" w:cs="宋体"/>
                <w:color w:val="auto"/>
                <w:kern w:val="2"/>
                <w:sz w:val="13"/>
                <w:szCs w:val="13"/>
                <w:lang w:val="en-US" w:eastAsia="zh-CN" w:bidi="ar"/>
                <w14:ligatures w14:val="standardContextual"/>
              </w:rPr>
              <w:t>招标人负责供货，投标人负责安装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c>
          <w:tcPr>
            <w:tcW w:w="25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c>
          <w:tcPr>
            <w:tcW w:w="32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N=30kW,AC380V，配保温水箱，</w:t>
            </w:r>
          </w:p>
        </w:tc>
        <w:tc>
          <w:tcPr>
            <w:tcW w:w="6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c>
          <w:tcPr>
            <w:tcW w:w="6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c>
          <w:tcPr>
            <w:tcW w:w="128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c>
          <w:tcPr>
            <w:tcW w:w="25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c>
          <w:tcPr>
            <w:tcW w:w="32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带加热棒和温度计</w:t>
            </w:r>
          </w:p>
        </w:tc>
        <w:tc>
          <w:tcPr>
            <w:tcW w:w="6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c>
          <w:tcPr>
            <w:tcW w:w="6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c>
          <w:tcPr>
            <w:tcW w:w="128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1.3</w:t>
            </w:r>
          </w:p>
        </w:tc>
        <w:tc>
          <w:tcPr>
            <w:tcW w:w="25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室内消防栓系统</w:t>
            </w:r>
          </w:p>
        </w:tc>
        <w:tc>
          <w:tcPr>
            <w:tcW w:w="32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c>
          <w:tcPr>
            <w:tcW w:w="6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c>
          <w:tcPr>
            <w:tcW w:w="6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c>
          <w:tcPr>
            <w:tcW w:w="128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1.3.1</w:t>
            </w:r>
          </w:p>
        </w:tc>
        <w:tc>
          <w:tcPr>
            <w:tcW w:w="25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加厚热浸锌镀锌钢管</w:t>
            </w:r>
          </w:p>
        </w:tc>
        <w:tc>
          <w:tcPr>
            <w:tcW w:w="32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DN150，2.5MPa</w:t>
            </w:r>
          </w:p>
        </w:tc>
        <w:tc>
          <w:tcPr>
            <w:tcW w:w="6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100m</w:t>
            </w:r>
          </w:p>
        </w:tc>
        <w:tc>
          <w:tcPr>
            <w:tcW w:w="6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3.5</w:t>
            </w:r>
          </w:p>
        </w:tc>
        <w:tc>
          <w:tcPr>
            <w:tcW w:w="128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1.3.2</w:t>
            </w:r>
          </w:p>
        </w:tc>
        <w:tc>
          <w:tcPr>
            <w:tcW w:w="25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加厚热浸锌镀锌钢管</w:t>
            </w:r>
          </w:p>
        </w:tc>
        <w:tc>
          <w:tcPr>
            <w:tcW w:w="32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DN65，2.5MPa</w:t>
            </w:r>
          </w:p>
        </w:tc>
        <w:tc>
          <w:tcPr>
            <w:tcW w:w="6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100m</w:t>
            </w:r>
          </w:p>
        </w:tc>
        <w:tc>
          <w:tcPr>
            <w:tcW w:w="6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c>
          <w:tcPr>
            <w:tcW w:w="128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1.3.3</w:t>
            </w:r>
          </w:p>
        </w:tc>
        <w:tc>
          <w:tcPr>
            <w:tcW w:w="25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蝶阀</w:t>
            </w:r>
          </w:p>
        </w:tc>
        <w:tc>
          <w:tcPr>
            <w:tcW w:w="32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DN65，2.5MPa</w:t>
            </w:r>
          </w:p>
        </w:tc>
        <w:tc>
          <w:tcPr>
            <w:tcW w:w="6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个</w:t>
            </w:r>
          </w:p>
        </w:tc>
        <w:tc>
          <w:tcPr>
            <w:tcW w:w="6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13</w:t>
            </w:r>
          </w:p>
        </w:tc>
        <w:tc>
          <w:tcPr>
            <w:tcW w:w="128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1.3.4</w:t>
            </w:r>
          </w:p>
        </w:tc>
        <w:tc>
          <w:tcPr>
            <w:tcW w:w="25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电伴热</w:t>
            </w:r>
          </w:p>
        </w:tc>
        <w:tc>
          <w:tcPr>
            <w:tcW w:w="32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单根30m：25DXW，1.0kW，防爆</w:t>
            </w:r>
          </w:p>
        </w:tc>
        <w:tc>
          <w:tcPr>
            <w:tcW w:w="6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套</w:t>
            </w:r>
          </w:p>
        </w:tc>
        <w:tc>
          <w:tcPr>
            <w:tcW w:w="6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13</w:t>
            </w:r>
          </w:p>
        </w:tc>
        <w:tc>
          <w:tcPr>
            <w:tcW w:w="128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1.3.5</w:t>
            </w:r>
          </w:p>
        </w:tc>
        <w:tc>
          <w:tcPr>
            <w:tcW w:w="25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甲型单栓室内消火栓箱</w:t>
            </w:r>
          </w:p>
        </w:tc>
        <w:tc>
          <w:tcPr>
            <w:tcW w:w="32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配减压稳压型消火栓</w:t>
            </w:r>
          </w:p>
        </w:tc>
        <w:tc>
          <w:tcPr>
            <w:tcW w:w="6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套</w:t>
            </w:r>
          </w:p>
        </w:tc>
        <w:tc>
          <w:tcPr>
            <w:tcW w:w="6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13</w:t>
            </w:r>
          </w:p>
        </w:tc>
        <w:tc>
          <w:tcPr>
            <w:tcW w:w="128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1.3.6</w:t>
            </w:r>
          </w:p>
        </w:tc>
        <w:tc>
          <w:tcPr>
            <w:tcW w:w="25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自动排气阀</w:t>
            </w:r>
          </w:p>
        </w:tc>
        <w:tc>
          <w:tcPr>
            <w:tcW w:w="32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DN50，2.5MPa</w:t>
            </w:r>
          </w:p>
        </w:tc>
        <w:tc>
          <w:tcPr>
            <w:tcW w:w="6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套</w:t>
            </w:r>
          </w:p>
        </w:tc>
        <w:tc>
          <w:tcPr>
            <w:tcW w:w="6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13</w:t>
            </w:r>
          </w:p>
        </w:tc>
        <w:tc>
          <w:tcPr>
            <w:tcW w:w="128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18"/>
                <w:szCs w:val="18"/>
                <w:highlight w:val="none"/>
                <w:u w:val="none"/>
                <w:lang w:val="en-US" w:eastAsia="zh-CN" w:bidi="ar"/>
              </w:rPr>
            </w:pPr>
            <w:r>
              <w:rPr>
                <w:rFonts w:hint="eastAsia" w:ascii="宋体" w:hAnsi="宋体" w:eastAsia="宋体" w:cs="宋体"/>
                <w:b/>
                <w:bCs/>
                <w:i w:val="0"/>
                <w:iCs w:val="0"/>
                <w:color w:val="auto"/>
                <w:kern w:val="0"/>
                <w:sz w:val="18"/>
                <w:szCs w:val="18"/>
                <w:highlight w:val="none"/>
                <w:u w:val="none"/>
                <w:lang w:val="en-US" w:eastAsia="zh-CN" w:bidi="ar"/>
              </w:rPr>
              <w:t>2</w:t>
            </w:r>
          </w:p>
        </w:tc>
        <w:tc>
          <w:tcPr>
            <w:tcW w:w="25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auto"/>
                <w:kern w:val="0"/>
                <w:sz w:val="18"/>
                <w:szCs w:val="18"/>
                <w:highlight w:val="none"/>
                <w:u w:val="none"/>
                <w:lang w:val="en-US" w:eastAsia="zh-CN" w:bidi="ar"/>
              </w:rPr>
            </w:pPr>
            <w:r>
              <w:rPr>
                <w:rFonts w:hint="eastAsia" w:ascii="宋体" w:hAnsi="宋体" w:eastAsia="宋体" w:cs="宋体"/>
                <w:b/>
                <w:bCs/>
                <w:i w:val="0"/>
                <w:iCs w:val="0"/>
                <w:color w:val="auto"/>
                <w:kern w:val="0"/>
                <w:sz w:val="18"/>
                <w:szCs w:val="18"/>
                <w:highlight w:val="none"/>
                <w:u w:val="none"/>
                <w:lang w:val="en-US" w:eastAsia="zh-CN" w:bidi="ar"/>
              </w:rPr>
              <w:t>储煤场室外-给排水材料</w:t>
            </w:r>
          </w:p>
        </w:tc>
        <w:tc>
          <w:tcPr>
            <w:tcW w:w="32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c>
          <w:tcPr>
            <w:tcW w:w="6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c>
          <w:tcPr>
            <w:tcW w:w="6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c>
          <w:tcPr>
            <w:tcW w:w="128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2.1</w:t>
            </w:r>
          </w:p>
        </w:tc>
        <w:tc>
          <w:tcPr>
            <w:tcW w:w="25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消防泵房消防炮系统</w:t>
            </w:r>
          </w:p>
        </w:tc>
        <w:tc>
          <w:tcPr>
            <w:tcW w:w="32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c>
          <w:tcPr>
            <w:tcW w:w="6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c>
          <w:tcPr>
            <w:tcW w:w="6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c>
          <w:tcPr>
            <w:tcW w:w="128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2.1.1</w:t>
            </w:r>
          </w:p>
        </w:tc>
        <w:tc>
          <w:tcPr>
            <w:tcW w:w="25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消防炮加压泵</w:t>
            </w:r>
          </w:p>
        </w:tc>
        <w:tc>
          <w:tcPr>
            <w:tcW w:w="32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Q=60L/s，H=140m,132kW,380V</w:t>
            </w:r>
          </w:p>
        </w:tc>
        <w:tc>
          <w:tcPr>
            <w:tcW w:w="6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台</w:t>
            </w:r>
          </w:p>
        </w:tc>
        <w:tc>
          <w:tcPr>
            <w:tcW w:w="6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128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2.1.2</w:t>
            </w:r>
          </w:p>
        </w:tc>
        <w:tc>
          <w:tcPr>
            <w:tcW w:w="25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消防炮稳压设施</w:t>
            </w:r>
          </w:p>
        </w:tc>
        <w:tc>
          <w:tcPr>
            <w:tcW w:w="32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c>
          <w:tcPr>
            <w:tcW w:w="6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c>
          <w:tcPr>
            <w:tcW w:w="6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c>
          <w:tcPr>
            <w:tcW w:w="12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b w:val="0"/>
                <w:bCs w:val="0"/>
                <w:i w:val="0"/>
                <w:iCs w:val="0"/>
                <w:color w:val="auto"/>
                <w:sz w:val="16"/>
                <w:szCs w:val="16"/>
                <w:highlight w:val="none"/>
                <w:u w:val="none"/>
              </w:rPr>
            </w:pPr>
            <w:r>
              <w:rPr>
                <w:rFonts w:hint="eastAsia" w:hAnsi="宋体" w:cs="宋体"/>
                <w:color w:val="auto"/>
                <w:kern w:val="2"/>
                <w:sz w:val="13"/>
                <w:szCs w:val="13"/>
                <w:lang w:val="en-US" w:eastAsia="zh-CN" w:bidi="ar"/>
                <w14:ligatures w14:val="standardContextual"/>
              </w:rPr>
              <w:t>招标人负责供货，投标人负责安装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c>
          <w:tcPr>
            <w:tcW w:w="25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稳压泵</w:t>
            </w:r>
          </w:p>
        </w:tc>
        <w:tc>
          <w:tcPr>
            <w:tcW w:w="32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Q=2L/s，H=173m，7.5kW，380V</w:t>
            </w:r>
          </w:p>
        </w:tc>
        <w:tc>
          <w:tcPr>
            <w:tcW w:w="6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台</w:t>
            </w:r>
          </w:p>
        </w:tc>
        <w:tc>
          <w:tcPr>
            <w:tcW w:w="6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12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b w:val="0"/>
                <w:bCs w:val="0"/>
                <w:i w:val="0"/>
                <w:iCs w:val="0"/>
                <w:color w:val="auto"/>
                <w:sz w:val="16"/>
                <w:szCs w:val="16"/>
                <w:highlight w:val="none"/>
                <w:u w:val="none"/>
              </w:rPr>
            </w:pPr>
            <w:r>
              <w:rPr>
                <w:rFonts w:hint="eastAsia" w:hAnsi="宋体" w:cs="宋体"/>
                <w:color w:val="auto"/>
                <w:kern w:val="2"/>
                <w:sz w:val="13"/>
                <w:szCs w:val="13"/>
                <w:lang w:val="en-US" w:eastAsia="zh-CN" w:bidi="ar"/>
                <w14:ligatures w14:val="standardContextual"/>
              </w:rPr>
              <w:t>招标人负责供货，投标人负责安装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c>
          <w:tcPr>
            <w:tcW w:w="25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气压罐</w:t>
            </w:r>
          </w:p>
        </w:tc>
        <w:tc>
          <w:tcPr>
            <w:tcW w:w="32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SQL1000-1.6</w:t>
            </w:r>
          </w:p>
        </w:tc>
        <w:tc>
          <w:tcPr>
            <w:tcW w:w="6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套</w:t>
            </w:r>
          </w:p>
        </w:tc>
        <w:tc>
          <w:tcPr>
            <w:tcW w:w="6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1</w:t>
            </w:r>
          </w:p>
        </w:tc>
        <w:tc>
          <w:tcPr>
            <w:tcW w:w="12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b w:val="0"/>
                <w:bCs w:val="0"/>
                <w:i w:val="0"/>
                <w:iCs w:val="0"/>
                <w:color w:val="auto"/>
                <w:sz w:val="16"/>
                <w:szCs w:val="16"/>
                <w:highlight w:val="none"/>
                <w:u w:val="none"/>
              </w:rPr>
            </w:pPr>
            <w:r>
              <w:rPr>
                <w:rFonts w:hint="eastAsia" w:hAnsi="宋体" w:cs="宋体"/>
                <w:color w:val="auto"/>
                <w:kern w:val="2"/>
                <w:sz w:val="13"/>
                <w:szCs w:val="13"/>
                <w:lang w:val="en-US" w:eastAsia="zh-CN" w:bidi="ar"/>
                <w14:ligatures w14:val="standardContextual"/>
              </w:rPr>
              <w:t>招标人负责供货，投标人负责安装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2.1.3</w:t>
            </w:r>
          </w:p>
        </w:tc>
        <w:tc>
          <w:tcPr>
            <w:tcW w:w="25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加厚热浸锌镀锌钢管</w:t>
            </w:r>
          </w:p>
        </w:tc>
        <w:tc>
          <w:tcPr>
            <w:tcW w:w="32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DN250，2.5MPa</w:t>
            </w:r>
          </w:p>
        </w:tc>
        <w:tc>
          <w:tcPr>
            <w:tcW w:w="6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m</w:t>
            </w:r>
          </w:p>
        </w:tc>
        <w:tc>
          <w:tcPr>
            <w:tcW w:w="6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120</w:t>
            </w:r>
          </w:p>
        </w:tc>
        <w:tc>
          <w:tcPr>
            <w:tcW w:w="128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2.1.4</w:t>
            </w:r>
          </w:p>
        </w:tc>
        <w:tc>
          <w:tcPr>
            <w:tcW w:w="25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加厚热浸锌镀锌钢管</w:t>
            </w:r>
          </w:p>
        </w:tc>
        <w:tc>
          <w:tcPr>
            <w:tcW w:w="32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DN150，2.5MPa</w:t>
            </w:r>
          </w:p>
        </w:tc>
        <w:tc>
          <w:tcPr>
            <w:tcW w:w="6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m</w:t>
            </w:r>
          </w:p>
        </w:tc>
        <w:tc>
          <w:tcPr>
            <w:tcW w:w="6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80</w:t>
            </w:r>
          </w:p>
        </w:tc>
        <w:tc>
          <w:tcPr>
            <w:tcW w:w="128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2.1.5</w:t>
            </w:r>
          </w:p>
        </w:tc>
        <w:tc>
          <w:tcPr>
            <w:tcW w:w="25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止回阀</w:t>
            </w:r>
          </w:p>
        </w:tc>
        <w:tc>
          <w:tcPr>
            <w:tcW w:w="32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DN250，2.5MPa</w:t>
            </w:r>
          </w:p>
        </w:tc>
        <w:tc>
          <w:tcPr>
            <w:tcW w:w="6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个</w:t>
            </w:r>
          </w:p>
        </w:tc>
        <w:tc>
          <w:tcPr>
            <w:tcW w:w="6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128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2.1.6</w:t>
            </w:r>
          </w:p>
        </w:tc>
        <w:tc>
          <w:tcPr>
            <w:tcW w:w="25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止回阀</w:t>
            </w:r>
          </w:p>
        </w:tc>
        <w:tc>
          <w:tcPr>
            <w:tcW w:w="32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DN150，2.5MPa</w:t>
            </w:r>
          </w:p>
        </w:tc>
        <w:tc>
          <w:tcPr>
            <w:tcW w:w="6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个</w:t>
            </w:r>
          </w:p>
        </w:tc>
        <w:tc>
          <w:tcPr>
            <w:tcW w:w="6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128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2.1.7</w:t>
            </w:r>
          </w:p>
        </w:tc>
        <w:tc>
          <w:tcPr>
            <w:tcW w:w="25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闸阀</w:t>
            </w:r>
          </w:p>
        </w:tc>
        <w:tc>
          <w:tcPr>
            <w:tcW w:w="32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DN250，2.5MPa</w:t>
            </w:r>
          </w:p>
        </w:tc>
        <w:tc>
          <w:tcPr>
            <w:tcW w:w="6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个</w:t>
            </w:r>
          </w:p>
        </w:tc>
        <w:tc>
          <w:tcPr>
            <w:tcW w:w="6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6</w:t>
            </w:r>
          </w:p>
        </w:tc>
        <w:tc>
          <w:tcPr>
            <w:tcW w:w="128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2.1.8</w:t>
            </w:r>
          </w:p>
        </w:tc>
        <w:tc>
          <w:tcPr>
            <w:tcW w:w="25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截止阀</w:t>
            </w:r>
          </w:p>
        </w:tc>
        <w:tc>
          <w:tcPr>
            <w:tcW w:w="32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DN150，2.5MPa</w:t>
            </w:r>
          </w:p>
        </w:tc>
        <w:tc>
          <w:tcPr>
            <w:tcW w:w="6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个</w:t>
            </w:r>
          </w:p>
        </w:tc>
        <w:tc>
          <w:tcPr>
            <w:tcW w:w="6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128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2.1.9</w:t>
            </w:r>
          </w:p>
        </w:tc>
        <w:tc>
          <w:tcPr>
            <w:tcW w:w="25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可曲挠橡胶接头单球阀</w:t>
            </w:r>
          </w:p>
        </w:tc>
        <w:tc>
          <w:tcPr>
            <w:tcW w:w="32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DN150，2.5MPa</w:t>
            </w:r>
          </w:p>
        </w:tc>
        <w:tc>
          <w:tcPr>
            <w:tcW w:w="6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个</w:t>
            </w:r>
          </w:p>
        </w:tc>
        <w:tc>
          <w:tcPr>
            <w:tcW w:w="6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128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2.1.10</w:t>
            </w:r>
          </w:p>
        </w:tc>
        <w:tc>
          <w:tcPr>
            <w:tcW w:w="25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压力、水位监测及控制装置</w:t>
            </w:r>
          </w:p>
        </w:tc>
        <w:tc>
          <w:tcPr>
            <w:tcW w:w="32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水池水位显示及控制、消防系统压力</w:t>
            </w:r>
          </w:p>
        </w:tc>
        <w:tc>
          <w:tcPr>
            <w:tcW w:w="6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套</w:t>
            </w:r>
          </w:p>
        </w:tc>
        <w:tc>
          <w:tcPr>
            <w:tcW w:w="6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1</w:t>
            </w:r>
          </w:p>
        </w:tc>
        <w:tc>
          <w:tcPr>
            <w:tcW w:w="128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c>
          <w:tcPr>
            <w:tcW w:w="25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c>
          <w:tcPr>
            <w:tcW w:w="32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监测及控制</w:t>
            </w:r>
          </w:p>
        </w:tc>
        <w:tc>
          <w:tcPr>
            <w:tcW w:w="6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c>
          <w:tcPr>
            <w:tcW w:w="6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c>
          <w:tcPr>
            <w:tcW w:w="1285"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b w:val="0"/>
                <w:bCs w:val="0"/>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2.1.11</w:t>
            </w:r>
          </w:p>
        </w:tc>
        <w:tc>
          <w:tcPr>
            <w:tcW w:w="25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潜污泵</w:t>
            </w:r>
          </w:p>
        </w:tc>
        <w:tc>
          <w:tcPr>
            <w:tcW w:w="32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Q=30m</w:t>
            </w:r>
            <w:r>
              <w:rPr>
                <w:rFonts w:hint="eastAsia" w:ascii="宋体" w:hAnsi="宋体" w:eastAsia="宋体" w:cs="宋体"/>
                <w:b w:val="0"/>
                <w:bCs w:val="0"/>
                <w:i w:val="0"/>
                <w:iCs w:val="0"/>
                <w:color w:val="auto"/>
                <w:kern w:val="0"/>
                <w:sz w:val="18"/>
                <w:szCs w:val="18"/>
                <w:highlight w:val="none"/>
                <w:u w:val="none"/>
                <w:vertAlign w:val="superscript"/>
                <w:lang w:val="en-US" w:eastAsia="zh-CN" w:bidi="ar"/>
              </w:rPr>
              <w:t>3</w:t>
            </w:r>
            <w:r>
              <w:rPr>
                <w:rFonts w:hint="eastAsia" w:ascii="宋体" w:hAnsi="宋体" w:eastAsia="宋体" w:cs="宋体"/>
                <w:b w:val="0"/>
                <w:bCs w:val="0"/>
                <w:i w:val="0"/>
                <w:iCs w:val="0"/>
                <w:color w:val="auto"/>
                <w:kern w:val="0"/>
                <w:sz w:val="18"/>
                <w:szCs w:val="18"/>
                <w:highlight w:val="none"/>
                <w:u w:val="none"/>
                <w:lang w:val="en-US" w:eastAsia="zh-CN" w:bidi="ar"/>
              </w:rPr>
              <w:t>/h，H=25m，N=7.5kW，380V</w:t>
            </w:r>
          </w:p>
        </w:tc>
        <w:tc>
          <w:tcPr>
            <w:tcW w:w="6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台</w:t>
            </w:r>
          </w:p>
        </w:tc>
        <w:tc>
          <w:tcPr>
            <w:tcW w:w="6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12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b w:val="0"/>
                <w:bCs w:val="0"/>
                <w:i w:val="0"/>
                <w:iCs w:val="0"/>
                <w:color w:val="auto"/>
                <w:sz w:val="16"/>
                <w:szCs w:val="16"/>
                <w:highlight w:val="none"/>
                <w:u w:val="none"/>
              </w:rPr>
            </w:pPr>
            <w:r>
              <w:rPr>
                <w:rFonts w:hint="eastAsia" w:hAnsi="宋体" w:cs="宋体"/>
                <w:color w:val="auto"/>
                <w:kern w:val="2"/>
                <w:sz w:val="13"/>
                <w:szCs w:val="13"/>
                <w:lang w:val="en-US" w:eastAsia="zh-CN" w:bidi="ar"/>
                <w14:ligatures w14:val="standardContextual"/>
              </w:rPr>
              <w:t>招标人负责供货，投标人负责安装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2.2</w:t>
            </w:r>
          </w:p>
        </w:tc>
        <w:tc>
          <w:tcPr>
            <w:tcW w:w="25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室外消防炮系统</w:t>
            </w:r>
          </w:p>
        </w:tc>
        <w:tc>
          <w:tcPr>
            <w:tcW w:w="32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c>
          <w:tcPr>
            <w:tcW w:w="6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c>
          <w:tcPr>
            <w:tcW w:w="6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c>
          <w:tcPr>
            <w:tcW w:w="128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2.2.1</w:t>
            </w:r>
          </w:p>
        </w:tc>
        <w:tc>
          <w:tcPr>
            <w:tcW w:w="25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无缝钢管</w:t>
            </w:r>
          </w:p>
        </w:tc>
        <w:tc>
          <w:tcPr>
            <w:tcW w:w="32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dn250,2.5MPa</w:t>
            </w:r>
          </w:p>
        </w:tc>
        <w:tc>
          <w:tcPr>
            <w:tcW w:w="6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100m</w:t>
            </w:r>
          </w:p>
        </w:tc>
        <w:tc>
          <w:tcPr>
            <w:tcW w:w="6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5</w:t>
            </w:r>
          </w:p>
        </w:tc>
        <w:tc>
          <w:tcPr>
            <w:tcW w:w="128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2.2.2</w:t>
            </w:r>
          </w:p>
        </w:tc>
        <w:tc>
          <w:tcPr>
            <w:tcW w:w="25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闸阀</w:t>
            </w:r>
          </w:p>
        </w:tc>
        <w:tc>
          <w:tcPr>
            <w:tcW w:w="32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DN250，2.5MPa</w:t>
            </w:r>
          </w:p>
        </w:tc>
        <w:tc>
          <w:tcPr>
            <w:tcW w:w="6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个</w:t>
            </w:r>
          </w:p>
        </w:tc>
        <w:tc>
          <w:tcPr>
            <w:tcW w:w="6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8</w:t>
            </w:r>
          </w:p>
        </w:tc>
        <w:tc>
          <w:tcPr>
            <w:tcW w:w="128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2.2.3</w:t>
            </w:r>
          </w:p>
        </w:tc>
        <w:tc>
          <w:tcPr>
            <w:tcW w:w="25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止回阀</w:t>
            </w:r>
          </w:p>
        </w:tc>
        <w:tc>
          <w:tcPr>
            <w:tcW w:w="32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DN250，2.5MPa</w:t>
            </w:r>
          </w:p>
        </w:tc>
        <w:tc>
          <w:tcPr>
            <w:tcW w:w="6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个</w:t>
            </w:r>
          </w:p>
        </w:tc>
        <w:tc>
          <w:tcPr>
            <w:tcW w:w="6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128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2.2.4</w:t>
            </w:r>
          </w:p>
        </w:tc>
        <w:tc>
          <w:tcPr>
            <w:tcW w:w="25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水泵结合器</w:t>
            </w:r>
          </w:p>
        </w:tc>
        <w:tc>
          <w:tcPr>
            <w:tcW w:w="32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DN150，2.5MPa</w:t>
            </w:r>
          </w:p>
        </w:tc>
        <w:tc>
          <w:tcPr>
            <w:tcW w:w="6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套</w:t>
            </w:r>
          </w:p>
        </w:tc>
        <w:tc>
          <w:tcPr>
            <w:tcW w:w="6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128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2.3</w:t>
            </w:r>
          </w:p>
        </w:tc>
        <w:tc>
          <w:tcPr>
            <w:tcW w:w="25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室外雾炮系统</w:t>
            </w:r>
          </w:p>
        </w:tc>
        <w:tc>
          <w:tcPr>
            <w:tcW w:w="32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c>
          <w:tcPr>
            <w:tcW w:w="6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c>
          <w:tcPr>
            <w:tcW w:w="6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c>
          <w:tcPr>
            <w:tcW w:w="128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2.3.1</w:t>
            </w:r>
          </w:p>
        </w:tc>
        <w:tc>
          <w:tcPr>
            <w:tcW w:w="25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钢丝网骨架塑料复合管</w:t>
            </w:r>
          </w:p>
        </w:tc>
        <w:tc>
          <w:tcPr>
            <w:tcW w:w="32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dn110,1.0MPa</w:t>
            </w:r>
          </w:p>
        </w:tc>
        <w:tc>
          <w:tcPr>
            <w:tcW w:w="6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100m</w:t>
            </w:r>
          </w:p>
        </w:tc>
        <w:tc>
          <w:tcPr>
            <w:tcW w:w="6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1.6</w:t>
            </w:r>
          </w:p>
        </w:tc>
        <w:tc>
          <w:tcPr>
            <w:tcW w:w="128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2.3.2</w:t>
            </w:r>
          </w:p>
        </w:tc>
        <w:tc>
          <w:tcPr>
            <w:tcW w:w="25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闸阀</w:t>
            </w:r>
          </w:p>
        </w:tc>
        <w:tc>
          <w:tcPr>
            <w:tcW w:w="32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DN100，1.0MPa</w:t>
            </w:r>
          </w:p>
        </w:tc>
        <w:tc>
          <w:tcPr>
            <w:tcW w:w="6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个</w:t>
            </w:r>
          </w:p>
        </w:tc>
        <w:tc>
          <w:tcPr>
            <w:tcW w:w="6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128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2.4</w:t>
            </w:r>
          </w:p>
        </w:tc>
        <w:tc>
          <w:tcPr>
            <w:tcW w:w="25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室外消火栓系统</w:t>
            </w:r>
          </w:p>
        </w:tc>
        <w:tc>
          <w:tcPr>
            <w:tcW w:w="32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c>
          <w:tcPr>
            <w:tcW w:w="6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c>
          <w:tcPr>
            <w:tcW w:w="6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c>
          <w:tcPr>
            <w:tcW w:w="128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2.4.1</w:t>
            </w:r>
          </w:p>
        </w:tc>
        <w:tc>
          <w:tcPr>
            <w:tcW w:w="25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无缝钢管</w:t>
            </w:r>
          </w:p>
        </w:tc>
        <w:tc>
          <w:tcPr>
            <w:tcW w:w="32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dn200,2.5MPa</w:t>
            </w:r>
          </w:p>
        </w:tc>
        <w:tc>
          <w:tcPr>
            <w:tcW w:w="6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100m</w:t>
            </w:r>
          </w:p>
        </w:tc>
        <w:tc>
          <w:tcPr>
            <w:tcW w:w="6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5</w:t>
            </w:r>
          </w:p>
        </w:tc>
        <w:tc>
          <w:tcPr>
            <w:tcW w:w="128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2.4.2</w:t>
            </w:r>
          </w:p>
        </w:tc>
        <w:tc>
          <w:tcPr>
            <w:tcW w:w="25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闸阀</w:t>
            </w:r>
          </w:p>
        </w:tc>
        <w:tc>
          <w:tcPr>
            <w:tcW w:w="32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DN200，2.5MPa</w:t>
            </w:r>
          </w:p>
        </w:tc>
        <w:tc>
          <w:tcPr>
            <w:tcW w:w="6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个</w:t>
            </w:r>
          </w:p>
        </w:tc>
        <w:tc>
          <w:tcPr>
            <w:tcW w:w="6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128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2.4.3</w:t>
            </w:r>
          </w:p>
        </w:tc>
        <w:tc>
          <w:tcPr>
            <w:tcW w:w="25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室外地上式消火栓</w:t>
            </w:r>
          </w:p>
        </w:tc>
        <w:tc>
          <w:tcPr>
            <w:tcW w:w="32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SSF100/65-1.6采用防撞防冻栓</w:t>
            </w:r>
          </w:p>
        </w:tc>
        <w:tc>
          <w:tcPr>
            <w:tcW w:w="6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套</w:t>
            </w:r>
          </w:p>
        </w:tc>
        <w:tc>
          <w:tcPr>
            <w:tcW w:w="6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6</w:t>
            </w:r>
          </w:p>
        </w:tc>
        <w:tc>
          <w:tcPr>
            <w:tcW w:w="128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18"/>
                <w:szCs w:val="18"/>
                <w:highlight w:val="none"/>
                <w:u w:val="none"/>
                <w:lang w:val="en-US" w:eastAsia="zh-CN" w:bidi="ar"/>
              </w:rPr>
            </w:pPr>
            <w:r>
              <w:rPr>
                <w:rFonts w:hint="eastAsia" w:ascii="宋体" w:hAnsi="宋体" w:eastAsia="宋体" w:cs="宋体"/>
                <w:b/>
                <w:bCs/>
                <w:i w:val="0"/>
                <w:iCs w:val="0"/>
                <w:color w:val="auto"/>
                <w:kern w:val="0"/>
                <w:sz w:val="18"/>
                <w:szCs w:val="18"/>
                <w:highlight w:val="none"/>
                <w:u w:val="none"/>
                <w:lang w:val="en-US" w:eastAsia="zh-CN" w:bidi="ar"/>
              </w:rPr>
              <w:t>3</w:t>
            </w:r>
          </w:p>
        </w:tc>
        <w:tc>
          <w:tcPr>
            <w:tcW w:w="25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auto"/>
                <w:kern w:val="0"/>
                <w:sz w:val="18"/>
                <w:szCs w:val="18"/>
                <w:highlight w:val="none"/>
                <w:u w:val="none"/>
                <w:lang w:val="en-US" w:eastAsia="zh-CN" w:bidi="ar"/>
              </w:rPr>
            </w:pPr>
            <w:r>
              <w:rPr>
                <w:rFonts w:hint="eastAsia" w:ascii="宋体" w:hAnsi="宋体" w:eastAsia="宋体" w:cs="宋体"/>
                <w:b/>
                <w:bCs/>
                <w:i w:val="0"/>
                <w:iCs w:val="0"/>
                <w:color w:val="auto"/>
                <w:kern w:val="0"/>
                <w:sz w:val="18"/>
                <w:szCs w:val="18"/>
                <w:highlight w:val="none"/>
                <w:u w:val="none"/>
                <w:lang w:val="en-US" w:eastAsia="zh-CN" w:bidi="ar"/>
              </w:rPr>
              <w:t>室外拆除-给排水材料</w:t>
            </w:r>
          </w:p>
        </w:tc>
        <w:tc>
          <w:tcPr>
            <w:tcW w:w="32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c>
          <w:tcPr>
            <w:tcW w:w="6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c>
          <w:tcPr>
            <w:tcW w:w="6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c>
          <w:tcPr>
            <w:tcW w:w="128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3.1</w:t>
            </w:r>
          </w:p>
        </w:tc>
        <w:tc>
          <w:tcPr>
            <w:tcW w:w="25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焊接钢管拆除</w:t>
            </w:r>
          </w:p>
        </w:tc>
        <w:tc>
          <w:tcPr>
            <w:tcW w:w="32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D219×6，1.0MPa</w:t>
            </w:r>
          </w:p>
        </w:tc>
        <w:tc>
          <w:tcPr>
            <w:tcW w:w="6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100m</w:t>
            </w:r>
          </w:p>
        </w:tc>
        <w:tc>
          <w:tcPr>
            <w:tcW w:w="6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1</w:t>
            </w:r>
          </w:p>
        </w:tc>
        <w:tc>
          <w:tcPr>
            <w:tcW w:w="128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3.2</w:t>
            </w:r>
          </w:p>
        </w:tc>
        <w:tc>
          <w:tcPr>
            <w:tcW w:w="25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焊钢骨架塑料复合管拆除</w:t>
            </w:r>
          </w:p>
        </w:tc>
        <w:tc>
          <w:tcPr>
            <w:tcW w:w="32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DN20，1.0MPa</w:t>
            </w:r>
          </w:p>
        </w:tc>
        <w:tc>
          <w:tcPr>
            <w:tcW w:w="6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100m</w:t>
            </w:r>
          </w:p>
        </w:tc>
        <w:tc>
          <w:tcPr>
            <w:tcW w:w="6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1</w:t>
            </w:r>
          </w:p>
        </w:tc>
        <w:tc>
          <w:tcPr>
            <w:tcW w:w="128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18"/>
                <w:szCs w:val="18"/>
                <w:highlight w:val="none"/>
                <w:u w:val="none"/>
                <w:lang w:val="en-US" w:eastAsia="zh-CN" w:bidi="ar"/>
              </w:rPr>
            </w:pPr>
            <w:r>
              <w:rPr>
                <w:rFonts w:hint="eastAsia" w:ascii="宋体" w:hAnsi="宋体" w:eastAsia="宋体" w:cs="宋体"/>
                <w:b/>
                <w:bCs/>
                <w:i w:val="0"/>
                <w:iCs w:val="0"/>
                <w:color w:val="auto"/>
                <w:kern w:val="0"/>
                <w:sz w:val="18"/>
                <w:szCs w:val="18"/>
                <w:highlight w:val="none"/>
                <w:u w:val="none"/>
                <w:lang w:val="en-US" w:eastAsia="zh-CN" w:bidi="ar"/>
              </w:rPr>
              <w:t>4</w:t>
            </w:r>
          </w:p>
        </w:tc>
        <w:tc>
          <w:tcPr>
            <w:tcW w:w="25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auto"/>
                <w:kern w:val="0"/>
                <w:sz w:val="18"/>
                <w:szCs w:val="18"/>
                <w:highlight w:val="none"/>
                <w:u w:val="none"/>
                <w:lang w:val="en-US" w:eastAsia="zh-CN" w:bidi="ar"/>
              </w:rPr>
            </w:pPr>
            <w:r>
              <w:rPr>
                <w:rFonts w:hint="eastAsia" w:ascii="宋体" w:hAnsi="宋体" w:eastAsia="宋体" w:cs="宋体"/>
                <w:b/>
                <w:bCs/>
                <w:i w:val="0"/>
                <w:iCs w:val="0"/>
                <w:color w:val="auto"/>
                <w:kern w:val="0"/>
                <w:sz w:val="18"/>
                <w:szCs w:val="18"/>
                <w:highlight w:val="none"/>
                <w:u w:val="none"/>
                <w:lang w:val="en-US" w:eastAsia="zh-CN" w:bidi="ar"/>
              </w:rPr>
              <w:t>洗车平台</w:t>
            </w:r>
          </w:p>
        </w:tc>
        <w:tc>
          <w:tcPr>
            <w:tcW w:w="32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c>
          <w:tcPr>
            <w:tcW w:w="6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c>
          <w:tcPr>
            <w:tcW w:w="6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c>
          <w:tcPr>
            <w:tcW w:w="128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4.1</w:t>
            </w:r>
          </w:p>
        </w:tc>
        <w:tc>
          <w:tcPr>
            <w:tcW w:w="25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龙门式洗车平台</w:t>
            </w:r>
          </w:p>
        </w:tc>
        <w:tc>
          <w:tcPr>
            <w:tcW w:w="32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设备外尺寸：长7.0m×宽6.0m×高</w:t>
            </w:r>
          </w:p>
        </w:tc>
        <w:tc>
          <w:tcPr>
            <w:tcW w:w="6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套</w:t>
            </w:r>
          </w:p>
        </w:tc>
        <w:tc>
          <w:tcPr>
            <w:tcW w:w="6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1</w:t>
            </w:r>
          </w:p>
        </w:tc>
        <w:tc>
          <w:tcPr>
            <w:tcW w:w="12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b w:val="0"/>
                <w:bCs w:val="0"/>
                <w:i w:val="0"/>
                <w:iCs w:val="0"/>
                <w:color w:val="auto"/>
                <w:sz w:val="16"/>
                <w:szCs w:val="16"/>
                <w:highlight w:val="none"/>
                <w:u w:val="none"/>
              </w:rPr>
            </w:pPr>
            <w:r>
              <w:rPr>
                <w:rFonts w:hint="eastAsia" w:hAnsi="宋体" w:cs="宋体"/>
                <w:color w:val="auto"/>
                <w:kern w:val="2"/>
                <w:sz w:val="13"/>
                <w:szCs w:val="13"/>
                <w:lang w:val="en-US" w:eastAsia="zh-CN" w:bidi="ar"/>
                <w14:ligatures w14:val="standardContextual"/>
              </w:rPr>
              <w:t>招标人负责供货，投标人负责安装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c>
          <w:tcPr>
            <w:tcW w:w="25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c>
          <w:tcPr>
            <w:tcW w:w="32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5.5m，配套控制系统、操作面板等安装</w:t>
            </w:r>
          </w:p>
        </w:tc>
        <w:tc>
          <w:tcPr>
            <w:tcW w:w="6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c>
          <w:tcPr>
            <w:tcW w:w="6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c>
          <w:tcPr>
            <w:tcW w:w="12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b w:val="0"/>
                <w:bCs w:val="0"/>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c>
          <w:tcPr>
            <w:tcW w:w="25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c>
          <w:tcPr>
            <w:tcW w:w="32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附件</w:t>
            </w:r>
          </w:p>
        </w:tc>
        <w:tc>
          <w:tcPr>
            <w:tcW w:w="6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c>
          <w:tcPr>
            <w:tcW w:w="6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c>
          <w:tcPr>
            <w:tcW w:w="12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b w:val="0"/>
                <w:bCs w:val="0"/>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c>
          <w:tcPr>
            <w:tcW w:w="25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高压水泵A</w:t>
            </w:r>
          </w:p>
        </w:tc>
        <w:tc>
          <w:tcPr>
            <w:tcW w:w="32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Q=65m</w:t>
            </w:r>
            <w:r>
              <w:rPr>
                <w:rFonts w:hint="eastAsia" w:ascii="宋体" w:hAnsi="宋体" w:eastAsia="宋体" w:cs="宋体"/>
                <w:b w:val="0"/>
                <w:bCs w:val="0"/>
                <w:i w:val="0"/>
                <w:iCs w:val="0"/>
                <w:color w:val="auto"/>
                <w:kern w:val="0"/>
                <w:sz w:val="18"/>
                <w:szCs w:val="18"/>
                <w:highlight w:val="none"/>
                <w:u w:val="none"/>
                <w:vertAlign w:val="superscript"/>
                <w:lang w:val="en-US" w:eastAsia="zh-CN" w:bidi="ar"/>
              </w:rPr>
              <w:t>3</w:t>
            </w:r>
            <w:r>
              <w:rPr>
                <w:rFonts w:hint="eastAsia" w:ascii="宋体" w:hAnsi="宋体" w:eastAsia="宋体" w:cs="宋体"/>
                <w:b w:val="0"/>
                <w:bCs w:val="0"/>
                <w:i w:val="0"/>
                <w:iCs w:val="0"/>
                <w:color w:val="auto"/>
                <w:kern w:val="0"/>
                <w:sz w:val="18"/>
                <w:szCs w:val="18"/>
                <w:highlight w:val="none"/>
                <w:u w:val="none"/>
                <w:lang w:val="en-US" w:eastAsia="zh-CN" w:bidi="ar"/>
              </w:rPr>
              <w:t>/h，H=46m，N=15kW</w:t>
            </w:r>
          </w:p>
        </w:tc>
        <w:tc>
          <w:tcPr>
            <w:tcW w:w="6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套</w:t>
            </w:r>
          </w:p>
        </w:tc>
        <w:tc>
          <w:tcPr>
            <w:tcW w:w="6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1</w:t>
            </w:r>
          </w:p>
        </w:tc>
        <w:tc>
          <w:tcPr>
            <w:tcW w:w="12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b w:val="0"/>
                <w:bCs w:val="0"/>
                <w:i w:val="0"/>
                <w:iCs w:val="0"/>
                <w:color w:val="auto"/>
                <w:sz w:val="16"/>
                <w:szCs w:val="16"/>
                <w:highlight w:val="none"/>
                <w:u w:val="none"/>
              </w:rPr>
            </w:pPr>
            <w:r>
              <w:rPr>
                <w:rFonts w:hint="eastAsia" w:hAnsi="宋体" w:cs="宋体"/>
                <w:color w:val="auto"/>
                <w:kern w:val="2"/>
                <w:sz w:val="13"/>
                <w:szCs w:val="13"/>
                <w:lang w:val="en-US" w:eastAsia="zh-CN" w:bidi="ar"/>
                <w14:ligatures w14:val="standardContextual"/>
              </w:rPr>
              <w:t>招标人负责供货，投标人负责安装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c>
          <w:tcPr>
            <w:tcW w:w="25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高压水泵B</w:t>
            </w:r>
          </w:p>
        </w:tc>
        <w:tc>
          <w:tcPr>
            <w:tcW w:w="32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Q=65m</w:t>
            </w:r>
            <w:r>
              <w:rPr>
                <w:rFonts w:hint="eastAsia" w:ascii="宋体" w:hAnsi="宋体" w:eastAsia="宋体" w:cs="宋体"/>
                <w:b w:val="0"/>
                <w:bCs w:val="0"/>
                <w:i w:val="0"/>
                <w:iCs w:val="0"/>
                <w:color w:val="auto"/>
                <w:kern w:val="0"/>
                <w:sz w:val="18"/>
                <w:szCs w:val="18"/>
                <w:highlight w:val="none"/>
                <w:u w:val="none"/>
                <w:vertAlign w:val="superscript"/>
                <w:lang w:val="en-US" w:eastAsia="zh-CN" w:bidi="ar"/>
              </w:rPr>
              <w:t>3</w:t>
            </w:r>
            <w:r>
              <w:rPr>
                <w:rFonts w:hint="eastAsia" w:ascii="宋体" w:hAnsi="宋体" w:eastAsia="宋体" w:cs="宋体"/>
                <w:b w:val="0"/>
                <w:bCs w:val="0"/>
                <w:i w:val="0"/>
                <w:iCs w:val="0"/>
                <w:color w:val="auto"/>
                <w:kern w:val="0"/>
                <w:sz w:val="18"/>
                <w:szCs w:val="18"/>
                <w:highlight w:val="none"/>
                <w:u w:val="none"/>
                <w:lang w:val="en-US" w:eastAsia="zh-CN" w:bidi="ar"/>
              </w:rPr>
              <w:t>/h，H=46m，N=15kW</w:t>
            </w:r>
          </w:p>
        </w:tc>
        <w:tc>
          <w:tcPr>
            <w:tcW w:w="6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套</w:t>
            </w:r>
          </w:p>
        </w:tc>
        <w:tc>
          <w:tcPr>
            <w:tcW w:w="6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1</w:t>
            </w:r>
          </w:p>
        </w:tc>
        <w:tc>
          <w:tcPr>
            <w:tcW w:w="12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b w:val="0"/>
                <w:bCs w:val="0"/>
                <w:i w:val="0"/>
                <w:iCs w:val="0"/>
                <w:color w:val="auto"/>
                <w:sz w:val="16"/>
                <w:szCs w:val="16"/>
                <w:highlight w:val="none"/>
                <w:u w:val="none"/>
              </w:rPr>
            </w:pPr>
            <w:r>
              <w:rPr>
                <w:rFonts w:hint="eastAsia" w:hAnsi="宋体" w:cs="宋体"/>
                <w:color w:val="auto"/>
                <w:kern w:val="2"/>
                <w:sz w:val="13"/>
                <w:szCs w:val="13"/>
                <w:lang w:val="en-US" w:eastAsia="zh-CN" w:bidi="ar"/>
                <w14:ligatures w14:val="standardContextual"/>
              </w:rPr>
              <w:t>招标人负责供货，投标人负责安装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c>
          <w:tcPr>
            <w:tcW w:w="25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高压喷头</w:t>
            </w:r>
          </w:p>
        </w:tc>
        <w:tc>
          <w:tcPr>
            <w:tcW w:w="32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含直喷高压喷头、可调高压喷头</w:t>
            </w:r>
          </w:p>
        </w:tc>
        <w:tc>
          <w:tcPr>
            <w:tcW w:w="6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套</w:t>
            </w:r>
          </w:p>
        </w:tc>
        <w:tc>
          <w:tcPr>
            <w:tcW w:w="6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12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b w:val="0"/>
                <w:bCs w:val="0"/>
                <w:i w:val="0"/>
                <w:iCs w:val="0"/>
                <w:color w:val="auto"/>
                <w:sz w:val="16"/>
                <w:szCs w:val="16"/>
                <w:highlight w:val="none"/>
                <w:u w:val="none"/>
              </w:rPr>
            </w:pPr>
            <w:r>
              <w:rPr>
                <w:rFonts w:hint="eastAsia" w:hAnsi="宋体" w:cs="宋体"/>
                <w:color w:val="auto"/>
                <w:kern w:val="2"/>
                <w:sz w:val="13"/>
                <w:szCs w:val="13"/>
                <w:lang w:val="en-US" w:eastAsia="zh-CN" w:bidi="ar"/>
                <w14:ligatures w14:val="standardContextual"/>
              </w:rPr>
              <w:t>招标人负责供货，投标人负责安装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c>
          <w:tcPr>
            <w:tcW w:w="25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风机+风刀</w:t>
            </w:r>
          </w:p>
        </w:tc>
        <w:tc>
          <w:tcPr>
            <w:tcW w:w="32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N=5.5kW</w:t>
            </w:r>
          </w:p>
        </w:tc>
        <w:tc>
          <w:tcPr>
            <w:tcW w:w="6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套</w:t>
            </w:r>
          </w:p>
        </w:tc>
        <w:tc>
          <w:tcPr>
            <w:tcW w:w="6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12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b w:val="0"/>
                <w:bCs w:val="0"/>
                <w:i w:val="0"/>
                <w:iCs w:val="0"/>
                <w:color w:val="auto"/>
                <w:sz w:val="16"/>
                <w:szCs w:val="16"/>
                <w:highlight w:val="none"/>
                <w:u w:val="none"/>
              </w:rPr>
            </w:pPr>
            <w:r>
              <w:rPr>
                <w:rFonts w:hint="eastAsia" w:hAnsi="宋体" w:cs="宋体"/>
                <w:color w:val="auto"/>
                <w:kern w:val="2"/>
                <w:sz w:val="13"/>
                <w:szCs w:val="13"/>
                <w:lang w:val="en-US" w:eastAsia="zh-CN" w:bidi="ar"/>
                <w14:ligatures w14:val="standardContextual"/>
              </w:rPr>
              <w:t>招标人负责供货，投标人负责安装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c>
          <w:tcPr>
            <w:tcW w:w="25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传感器</w:t>
            </w:r>
          </w:p>
        </w:tc>
        <w:tc>
          <w:tcPr>
            <w:tcW w:w="32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高灵敏度红外传感器</w:t>
            </w:r>
          </w:p>
        </w:tc>
        <w:tc>
          <w:tcPr>
            <w:tcW w:w="6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套</w:t>
            </w:r>
          </w:p>
        </w:tc>
        <w:tc>
          <w:tcPr>
            <w:tcW w:w="6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12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b w:val="0"/>
                <w:bCs w:val="0"/>
                <w:i w:val="0"/>
                <w:iCs w:val="0"/>
                <w:color w:val="auto"/>
                <w:sz w:val="16"/>
                <w:szCs w:val="16"/>
                <w:highlight w:val="none"/>
                <w:u w:val="none"/>
              </w:rPr>
            </w:pPr>
            <w:r>
              <w:rPr>
                <w:rFonts w:hint="eastAsia" w:hAnsi="宋体" w:cs="宋体"/>
                <w:color w:val="auto"/>
                <w:kern w:val="2"/>
                <w:sz w:val="13"/>
                <w:szCs w:val="13"/>
                <w:lang w:val="en-US" w:eastAsia="zh-CN" w:bidi="ar"/>
                <w14:ligatures w14:val="standardContextual"/>
              </w:rPr>
              <w:t>招标人负责供货，投标人负责安装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c>
          <w:tcPr>
            <w:tcW w:w="25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供水管道（热浸镀锌钢管）</w:t>
            </w:r>
          </w:p>
        </w:tc>
        <w:tc>
          <w:tcPr>
            <w:tcW w:w="32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DN150</w:t>
            </w:r>
          </w:p>
        </w:tc>
        <w:tc>
          <w:tcPr>
            <w:tcW w:w="6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m</w:t>
            </w:r>
          </w:p>
        </w:tc>
        <w:tc>
          <w:tcPr>
            <w:tcW w:w="6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50</w:t>
            </w:r>
          </w:p>
        </w:tc>
        <w:tc>
          <w:tcPr>
            <w:tcW w:w="12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b w:val="0"/>
                <w:bCs w:val="0"/>
                <w:i w:val="0"/>
                <w:iCs w:val="0"/>
                <w:color w:val="auto"/>
                <w:sz w:val="16"/>
                <w:szCs w:val="16"/>
                <w:highlight w:val="none"/>
                <w:u w:val="none"/>
              </w:rPr>
            </w:pPr>
            <w:r>
              <w:rPr>
                <w:rFonts w:hint="eastAsia" w:hAnsi="宋体" w:cs="宋体"/>
                <w:color w:val="auto"/>
                <w:kern w:val="2"/>
                <w:sz w:val="13"/>
                <w:szCs w:val="13"/>
                <w:lang w:val="en-US" w:eastAsia="zh-CN" w:bidi="ar"/>
                <w14:ligatures w14:val="standardContextual"/>
              </w:rPr>
              <w:t>招标人负责供货，投标人负责安装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18"/>
                <w:szCs w:val="18"/>
                <w:highlight w:val="none"/>
                <w:u w:val="none"/>
                <w:lang w:val="en-US" w:eastAsia="zh-CN" w:bidi="ar"/>
              </w:rPr>
            </w:pPr>
            <w:r>
              <w:rPr>
                <w:rFonts w:hint="eastAsia" w:ascii="宋体" w:hAnsi="宋体" w:eastAsia="宋体" w:cs="宋体"/>
                <w:b/>
                <w:bCs/>
                <w:i w:val="0"/>
                <w:iCs w:val="0"/>
                <w:color w:val="auto"/>
                <w:kern w:val="0"/>
                <w:sz w:val="18"/>
                <w:szCs w:val="18"/>
                <w:highlight w:val="none"/>
                <w:u w:val="none"/>
                <w:lang w:val="en-US" w:eastAsia="zh-CN" w:bidi="ar"/>
              </w:rPr>
              <w:t>二</w:t>
            </w:r>
          </w:p>
        </w:tc>
        <w:tc>
          <w:tcPr>
            <w:tcW w:w="25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auto"/>
                <w:kern w:val="0"/>
                <w:sz w:val="18"/>
                <w:szCs w:val="18"/>
                <w:highlight w:val="none"/>
                <w:u w:val="none"/>
                <w:lang w:val="en-US" w:eastAsia="zh-CN" w:bidi="ar"/>
              </w:rPr>
            </w:pPr>
            <w:r>
              <w:rPr>
                <w:rFonts w:hint="eastAsia" w:ascii="宋体" w:hAnsi="宋体" w:eastAsia="宋体" w:cs="宋体"/>
                <w:b/>
                <w:bCs/>
                <w:i w:val="0"/>
                <w:iCs w:val="0"/>
                <w:color w:val="auto"/>
                <w:kern w:val="0"/>
                <w:sz w:val="18"/>
                <w:szCs w:val="18"/>
                <w:highlight w:val="none"/>
                <w:u w:val="none"/>
                <w:lang w:val="en-US" w:eastAsia="zh-CN" w:bidi="ar"/>
              </w:rPr>
              <w:t>暖通系统</w:t>
            </w:r>
          </w:p>
        </w:tc>
        <w:tc>
          <w:tcPr>
            <w:tcW w:w="32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c>
          <w:tcPr>
            <w:tcW w:w="6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c>
          <w:tcPr>
            <w:tcW w:w="6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c>
          <w:tcPr>
            <w:tcW w:w="128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18"/>
                <w:szCs w:val="18"/>
                <w:highlight w:val="none"/>
                <w:u w:val="none"/>
                <w:lang w:val="en-US" w:eastAsia="zh-CN" w:bidi="ar"/>
              </w:rPr>
            </w:pPr>
            <w:r>
              <w:rPr>
                <w:rFonts w:hint="eastAsia" w:ascii="宋体" w:hAnsi="宋体" w:eastAsia="宋体" w:cs="宋体"/>
                <w:b/>
                <w:bCs/>
                <w:i w:val="0"/>
                <w:iCs w:val="0"/>
                <w:color w:val="auto"/>
                <w:kern w:val="0"/>
                <w:sz w:val="18"/>
                <w:szCs w:val="18"/>
                <w:highlight w:val="none"/>
                <w:u w:val="none"/>
                <w:lang w:val="en-US" w:eastAsia="zh-CN" w:bidi="ar"/>
              </w:rPr>
              <w:t>1</w:t>
            </w:r>
          </w:p>
        </w:tc>
        <w:tc>
          <w:tcPr>
            <w:tcW w:w="25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auto"/>
                <w:kern w:val="0"/>
                <w:sz w:val="18"/>
                <w:szCs w:val="18"/>
                <w:highlight w:val="none"/>
                <w:u w:val="none"/>
                <w:lang w:val="en-US" w:eastAsia="zh-CN" w:bidi="ar"/>
              </w:rPr>
            </w:pPr>
            <w:r>
              <w:rPr>
                <w:rFonts w:hint="eastAsia" w:ascii="宋体" w:hAnsi="宋体" w:eastAsia="宋体" w:cs="宋体"/>
                <w:b/>
                <w:bCs/>
                <w:i w:val="0"/>
                <w:iCs w:val="0"/>
                <w:color w:val="auto"/>
                <w:kern w:val="0"/>
                <w:sz w:val="18"/>
                <w:szCs w:val="18"/>
                <w:highlight w:val="none"/>
                <w:u w:val="none"/>
                <w:lang w:val="en-US" w:eastAsia="zh-CN" w:bidi="ar"/>
              </w:rPr>
              <w:t>暖通设备</w:t>
            </w:r>
          </w:p>
        </w:tc>
        <w:tc>
          <w:tcPr>
            <w:tcW w:w="32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c>
          <w:tcPr>
            <w:tcW w:w="6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c>
          <w:tcPr>
            <w:tcW w:w="6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c>
          <w:tcPr>
            <w:tcW w:w="128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1.1</w:t>
            </w:r>
          </w:p>
        </w:tc>
        <w:tc>
          <w:tcPr>
            <w:tcW w:w="25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微雾主机（防爆）</w:t>
            </w:r>
          </w:p>
        </w:tc>
        <w:tc>
          <w:tcPr>
            <w:tcW w:w="32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c>
          <w:tcPr>
            <w:tcW w:w="6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台</w:t>
            </w:r>
          </w:p>
        </w:tc>
        <w:tc>
          <w:tcPr>
            <w:tcW w:w="6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1</w:t>
            </w:r>
          </w:p>
        </w:tc>
        <w:tc>
          <w:tcPr>
            <w:tcW w:w="12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b w:val="0"/>
                <w:bCs w:val="0"/>
                <w:i w:val="0"/>
                <w:iCs w:val="0"/>
                <w:color w:val="auto"/>
                <w:sz w:val="16"/>
                <w:szCs w:val="16"/>
                <w:highlight w:val="none"/>
                <w:u w:val="none"/>
              </w:rPr>
            </w:pPr>
            <w:r>
              <w:rPr>
                <w:rFonts w:hint="eastAsia" w:hAnsi="宋体" w:cs="宋体"/>
                <w:color w:val="auto"/>
                <w:kern w:val="2"/>
                <w:sz w:val="13"/>
                <w:szCs w:val="13"/>
                <w:lang w:val="en-US" w:eastAsia="zh-CN" w:bidi="ar"/>
                <w14:ligatures w14:val="standardContextual"/>
              </w:rPr>
              <w:t>招标人负责供货，投标人负责安装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1.1.1</w:t>
            </w:r>
          </w:p>
        </w:tc>
        <w:tc>
          <w:tcPr>
            <w:tcW w:w="25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雾化集成箱</w:t>
            </w:r>
          </w:p>
        </w:tc>
        <w:tc>
          <w:tcPr>
            <w:tcW w:w="32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单组配10个喷头</w:t>
            </w:r>
          </w:p>
        </w:tc>
        <w:tc>
          <w:tcPr>
            <w:tcW w:w="6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套</w:t>
            </w:r>
          </w:p>
        </w:tc>
        <w:tc>
          <w:tcPr>
            <w:tcW w:w="6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16</w:t>
            </w:r>
          </w:p>
        </w:tc>
        <w:tc>
          <w:tcPr>
            <w:tcW w:w="12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b w:val="0"/>
                <w:bCs w:val="0"/>
                <w:i w:val="0"/>
                <w:iCs w:val="0"/>
                <w:color w:val="auto"/>
                <w:sz w:val="16"/>
                <w:szCs w:val="16"/>
                <w:highlight w:val="none"/>
                <w:u w:val="none"/>
              </w:rPr>
            </w:pPr>
            <w:r>
              <w:rPr>
                <w:rFonts w:hint="eastAsia" w:hAnsi="宋体" w:cs="宋体"/>
                <w:color w:val="auto"/>
                <w:kern w:val="2"/>
                <w:sz w:val="13"/>
                <w:szCs w:val="13"/>
                <w:lang w:val="en-US" w:eastAsia="zh-CN" w:bidi="ar"/>
                <w14:ligatures w14:val="standardContextual"/>
              </w:rPr>
              <w:t>招标人负责供货，投标人负责安装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1.1.2</w:t>
            </w:r>
          </w:p>
        </w:tc>
        <w:tc>
          <w:tcPr>
            <w:tcW w:w="25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雾化集成箱</w:t>
            </w:r>
          </w:p>
        </w:tc>
        <w:tc>
          <w:tcPr>
            <w:tcW w:w="32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单组配15个喷头</w:t>
            </w:r>
          </w:p>
        </w:tc>
        <w:tc>
          <w:tcPr>
            <w:tcW w:w="6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套</w:t>
            </w:r>
          </w:p>
        </w:tc>
        <w:tc>
          <w:tcPr>
            <w:tcW w:w="6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16</w:t>
            </w:r>
          </w:p>
        </w:tc>
        <w:tc>
          <w:tcPr>
            <w:tcW w:w="12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b w:val="0"/>
                <w:bCs w:val="0"/>
                <w:i w:val="0"/>
                <w:iCs w:val="0"/>
                <w:color w:val="auto"/>
                <w:sz w:val="16"/>
                <w:szCs w:val="16"/>
                <w:highlight w:val="none"/>
                <w:u w:val="none"/>
              </w:rPr>
            </w:pPr>
            <w:r>
              <w:rPr>
                <w:rFonts w:hint="eastAsia" w:hAnsi="宋体" w:cs="宋体"/>
                <w:color w:val="auto"/>
                <w:kern w:val="2"/>
                <w:sz w:val="13"/>
                <w:szCs w:val="13"/>
                <w:lang w:val="en-US" w:eastAsia="zh-CN" w:bidi="ar"/>
                <w14:ligatures w14:val="standardContextual"/>
              </w:rPr>
              <w:t>招标人负责供货，投标人负责安装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1.1.3</w:t>
            </w:r>
          </w:p>
        </w:tc>
        <w:tc>
          <w:tcPr>
            <w:tcW w:w="25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微雾控制器（气）</w:t>
            </w:r>
          </w:p>
        </w:tc>
        <w:tc>
          <w:tcPr>
            <w:tcW w:w="32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c>
          <w:tcPr>
            <w:tcW w:w="6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套</w:t>
            </w:r>
          </w:p>
        </w:tc>
        <w:tc>
          <w:tcPr>
            <w:tcW w:w="6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8</w:t>
            </w:r>
          </w:p>
        </w:tc>
        <w:tc>
          <w:tcPr>
            <w:tcW w:w="12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b w:val="0"/>
                <w:bCs w:val="0"/>
                <w:i w:val="0"/>
                <w:iCs w:val="0"/>
                <w:color w:val="auto"/>
                <w:sz w:val="16"/>
                <w:szCs w:val="16"/>
                <w:highlight w:val="none"/>
                <w:u w:val="none"/>
              </w:rPr>
            </w:pPr>
            <w:r>
              <w:rPr>
                <w:rFonts w:hint="eastAsia" w:hAnsi="宋体" w:cs="宋体"/>
                <w:color w:val="auto"/>
                <w:kern w:val="2"/>
                <w:sz w:val="13"/>
                <w:szCs w:val="13"/>
                <w:lang w:val="en-US" w:eastAsia="zh-CN" w:bidi="ar"/>
                <w14:ligatures w14:val="standardContextual"/>
              </w:rPr>
              <w:t>招标人负责供货，投标人负责安装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1.1.4</w:t>
            </w:r>
          </w:p>
        </w:tc>
        <w:tc>
          <w:tcPr>
            <w:tcW w:w="25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微雾控制器（水）</w:t>
            </w:r>
          </w:p>
        </w:tc>
        <w:tc>
          <w:tcPr>
            <w:tcW w:w="32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c>
          <w:tcPr>
            <w:tcW w:w="6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套</w:t>
            </w:r>
          </w:p>
        </w:tc>
        <w:tc>
          <w:tcPr>
            <w:tcW w:w="6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8</w:t>
            </w:r>
          </w:p>
        </w:tc>
        <w:tc>
          <w:tcPr>
            <w:tcW w:w="12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b w:val="0"/>
                <w:bCs w:val="0"/>
                <w:i w:val="0"/>
                <w:iCs w:val="0"/>
                <w:color w:val="auto"/>
                <w:sz w:val="16"/>
                <w:szCs w:val="16"/>
                <w:highlight w:val="none"/>
                <w:u w:val="none"/>
              </w:rPr>
            </w:pPr>
            <w:r>
              <w:rPr>
                <w:rFonts w:hint="eastAsia" w:hAnsi="宋体" w:cs="宋体"/>
                <w:color w:val="auto"/>
                <w:kern w:val="2"/>
                <w:sz w:val="13"/>
                <w:szCs w:val="13"/>
                <w:lang w:val="en-US" w:eastAsia="zh-CN" w:bidi="ar"/>
                <w14:ligatures w14:val="standardContextual"/>
              </w:rPr>
              <w:t>招标人负责供货，投标人负责安装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1.1.5</w:t>
            </w:r>
          </w:p>
        </w:tc>
        <w:tc>
          <w:tcPr>
            <w:tcW w:w="25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就地控制箱（防爆）</w:t>
            </w:r>
          </w:p>
        </w:tc>
        <w:tc>
          <w:tcPr>
            <w:tcW w:w="32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c>
          <w:tcPr>
            <w:tcW w:w="6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套</w:t>
            </w:r>
          </w:p>
        </w:tc>
        <w:tc>
          <w:tcPr>
            <w:tcW w:w="6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1</w:t>
            </w:r>
          </w:p>
        </w:tc>
        <w:tc>
          <w:tcPr>
            <w:tcW w:w="12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b w:val="0"/>
                <w:bCs w:val="0"/>
                <w:i w:val="0"/>
                <w:iCs w:val="0"/>
                <w:color w:val="auto"/>
                <w:sz w:val="16"/>
                <w:szCs w:val="16"/>
                <w:highlight w:val="none"/>
                <w:u w:val="none"/>
              </w:rPr>
            </w:pPr>
            <w:r>
              <w:rPr>
                <w:rFonts w:hint="eastAsia" w:hAnsi="宋体" w:cs="宋体"/>
                <w:color w:val="auto"/>
                <w:kern w:val="2"/>
                <w:sz w:val="13"/>
                <w:szCs w:val="13"/>
                <w:lang w:val="en-US" w:eastAsia="zh-CN" w:bidi="ar"/>
                <w14:ligatures w14:val="standardContextual"/>
              </w:rPr>
              <w:t>招标人负责供货，投标人负责安装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1.1.6</w:t>
            </w:r>
          </w:p>
        </w:tc>
        <w:tc>
          <w:tcPr>
            <w:tcW w:w="25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就地按钮箱（防爆）</w:t>
            </w:r>
          </w:p>
        </w:tc>
        <w:tc>
          <w:tcPr>
            <w:tcW w:w="32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c>
          <w:tcPr>
            <w:tcW w:w="6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套</w:t>
            </w:r>
          </w:p>
        </w:tc>
        <w:tc>
          <w:tcPr>
            <w:tcW w:w="6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12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b w:val="0"/>
                <w:bCs w:val="0"/>
                <w:i w:val="0"/>
                <w:iCs w:val="0"/>
                <w:color w:val="auto"/>
                <w:sz w:val="16"/>
                <w:szCs w:val="16"/>
                <w:highlight w:val="none"/>
                <w:u w:val="none"/>
              </w:rPr>
            </w:pPr>
            <w:r>
              <w:rPr>
                <w:rFonts w:hint="eastAsia" w:hAnsi="宋体" w:cs="宋体"/>
                <w:color w:val="auto"/>
                <w:kern w:val="2"/>
                <w:sz w:val="13"/>
                <w:szCs w:val="13"/>
                <w:lang w:val="en-US" w:eastAsia="zh-CN" w:bidi="ar"/>
                <w14:ligatures w14:val="standardContextual"/>
              </w:rPr>
              <w:t>招标人负责供货，投标人负责安装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1.1.7</w:t>
            </w:r>
          </w:p>
        </w:tc>
        <w:tc>
          <w:tcPr>
            <w:tcW w:w="25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反冲洗过滤器</w:t>
            </w:r>
          </w:p>
        </w:tc>
        <w:tc>
          <w:tcPr>
            <w:tcW w:w="32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c>
          <w:tcPr>
            <w:tcW w:w="6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项</w:t>
            </w:r>
          </w:p>
        </w:tc>
        <w:tc>
          <w:tcPr>
            <w:tcW w:w="6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1</w:t>
            </w:r>
          </w:p>
        </w:tc>
        <w:tc>
          <w:tcPr>
            <w:tcW w:w="12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b w:val="0"/>
                <w:bCs w:val="0"/>
                <w:i w:val="0"/>
                <w:iCs w:val="0"/>
                <w:color w:val="auto"/>
                <w:sz w:val="16"/>
                <w:szCs w:val="16"/>
                <w:highlight w:val="none"/>
                <w:u w:val="none"/>
              </w:rPr>
            </w:pPr>
            <w:r>
              <w:rPr>
                <w:rFonts w:hint="eastAsia" w:hAnsi="宋体" w:cs="宋体"/>
                <w:color w:val="auto"/>
                <w:kern w:val="2"/>
                <w:sz w:val="13"/>
                <w:szCs w:val="13"/>
                <w:lang w:val="en-US" w:eastAsia="zh-CN" w:bidi="ar"/>
                <w14:ligatures w14:val="standardContextual"/>
              </w:rPr>
              <w:t>招标人负责供货，投标人负责安装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1.1.8</w:t>
            </w:r>
          </w:p>
        </w:tc>
        <w:tc>
          <w:tcPr>
            <w:tcW w:w="25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增压泵</w:t>
            </w:r>
          </w:p>
        </w:tc>
        <w:tc>
          <w:tcPr>
            <w:tcW w:w="32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5.5kW/380V</w:t>
            </w:r>
          </w:p>
        </w:tc>
        <w:tc>
          <w:tcPr>
            <w:tcW w:w="6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台</w:t>
            </w:r>
          </w:p>
        </w:tc>
        <w:tc>
          <w:tcPr>
            <w:tcW w:w="6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12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b w:val="0"/>
                <w:bCs w:val="0"/>
                <w:i w:val="0"/>
                <w:iCs w:val="0"/>
                <w:color w:val="auto"/>
                <w:sz w:val="16"/>
                <w:szCs w:val="16"/>
                <w:highlight w:val="none"/>
                <w:u w:val="none"/>
              </w:rPr>
            </w:pPr>
            <w:r>
              <w:rPr>
                <w:rFonts w:hint="eastAsia" w:hAnsi="宋体" w:cs="宋体"/>
                <w:color w:val="auto"/>
                <w:kern w:val="2"/>
                <w:sz w:val="13"/>
                <w:szCs w:val="13"/>
                <w:lang w:val="en-US" w:eastAsia="zh-CN" w:bidi="ar"/>
                <w14:ligatures w14:val="standardContextual"/>
              </w:rPr>
              <w:t>招标人负责供货，投标人负责安装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1.1.9</w:t>
            </w:r>
          </w:p>
        </w:tc>
        <w:tc>
          <w:tcPr>
            <w:tcW w:w="25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不锈钢保温水箱</w:t>
            </w:r>
          </w:p>
        </w:tc>
        <w:tc>
          <w:tcPr>
            <w:tcW w:w="32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4m</w:t>
            </w:r>
            <w:r>
              <w:rPr>
                <w:rFonts w:hint="eastAsia" w:ascii="宋体" w:hAnsi="宋体" w:eastAsia="宋体" w:cs="宋体"/>
                <w:b w:val="0"/>
                <w:bCs w:val="0"/>
                <w:i w:val="0"/>
                <w:iCs w:val="0"/>
                <w:color w:val="auto"/>
                <w:kern w:val="0"/>
                <w:sz w:val="18"/>
                <w:szCs w:val="18"/>
                <w:highlight w:val="none"/>
                <w:u w:val="none"/>
                <w:vertAlign w:val="superscript"/>
                <w:lang w:val="en-US" w:eastAsia="zh-CN" w:bidi="ar"/>
              </w:rPr>
              <w:t>3</w:t>
            </w:r>
          </w:p>
        </w:tc>
        <w:tc>
          <w:tcPr>
            <w:tcW w:w="6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台</w:t>
            </w:r>
          </w:p>
        </w:tc>
        <w:tc>
          <w:tcPr>
            <w:tcW w:w="6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1</w:t>
            </w:r>
          </w:p>
        </w:tc>
        <w:tc>
          <w:tcPr>
            <w:tcW w:w="12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宋体" w:hAnsi="宋体" w:eastAsia="宋体" w:cs="宋体"/>
                <w:b w:val="0"/>
                <w:bCs w:val="0"/>
                <w:i w:val="0"/>
                <w:iCs w:val="0"/>
                <w:color w:val="auto"/>
                <w:sz w:val="16"/>
                <w:szCs w:val="16"/>
                <w:highlight w:val="none"/>
                <w:u w:val="none"/>
              </w:rPr>
            </w:pPr>
            <w:r>
              <w:rPr>
                <w:rFonts w:hint="eastAsia" w:hAnsi="宋体" w:cs="宋体"/>
                <w:color w:val="auto"/>
                <w:kern w:val="2"/>
                <w:sz w:val="13"/>
                <w:szCs w:val="13"/>
                <w:lang w:val="en-US" w:eastAsia="zh-CN" w:bidi="ar"/>
                <w14:ligatures w14:val="standardContextual"/>
              </w:rPr>
              <w:t>招标人负责供货，投标人负责安装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1.1.10</w:t>
            </w:r>
          </w:p>
        </w:tc>
        <w:tc>
          <w:tcPr>
            <w:tcW w:w="25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空压机</w:t>
            </w:r>
          </w:p>
        </w:tc>
        <w:tc>
          <w:tcPr>
            <w:tcW w:w="32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110kW/0.8MPa</w:t>
            </w:r>
          </w:p>
        </w:tc>
        <w:tc>
          <w:tcPr>
            <w:tcW w:w="6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台</w:t>
            </w:r>
          </w:p>
        </w:tc>
        <w:tc>
          <w:tcPr>
            <w:tcW w:w="6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1</w:t>
            </w:r>
          </w:p>
        </w:tc>
        <w:tc>
          <w:tcPr>
            <w:tcW w:w="12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宋体" w:hAnsi="宋体" w:eastAsia="宋体" w:cs="宋体"/>
                <w:b w:val="0"/>
                <w:bCs w:val="0"/>
                <w:i w:val="0"/>
                <w:iCs w:val="0"/>
                <w:color w:val="auto"/>
                <w:sz w:val="16"/>
                <w:szCs w:val="16"/>
                <w:highlight w:val="none"/>
                <w:u w:val="none"/>
              </w:rPr>
            </w:pPr>
            <w:r>
              <w:rPr>
                <w:rFonts w:hint="eastAsia" w:hAnsi="宋体" w:cs="宋体"/>
                <w:color w:val="auto"/>
                <w:kern w:val="2"/>
                <w:sz w:val="13"/>
                <w:szCs w:val="13"/>
                <w:lang w:val="en-US" w:eastAsia="zh-CN" w:bidi="ar"/>
                <w14:ligatures w14:val="standardContextual"/>
              </w:rPr>
              <w:t>招标人负责供货，投标人负责安装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1.1.11</w:t>
            </w:r>
          </w:p>
        </w:tc>
        <w:tc>
          <w:tcPr>
            <w:tcW w:w="25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储气罐</w:t>
            </w:r>
          </w:p>
        </w:tc>
        <w:tc>
          <w:tcPr>
            <w:tcW w:w="32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8m</w:t>
            </w:r>
            <w:r>
              <w:rPr>
                <w:rFonts w:hint="eastAsia" w:ascii="宋体" w:hAnsi="宋体" w:eastAsia="宋体" w:cs="宋体"/>
                <w:b w:val="0"/>
                <w:bCs w:val="0"/>
                <w:i w:val="0"/>
                <w:iCs w:val="0"/>
                <w:color w:val="auto"/>
                <w:kern w:val="0"/>
                <w:sz w:val="18"/>
                <w:szCs w:val="18"/>
                <w:highlight w:val="none"/>
                <w:u w:val="none"/>
                <w:vertAlign w:val="superscript"/>
                <w:lang w:val="en-US" w:eastAsia="zh-CN" w:bidi="ar"/>
              </w:rPr>
              <w:t>3</w:t>
            </w:r>
            <w:r>
              <w:rPr>
                <w:rFonts w:hint="eastAsia" w:ascii="宋体" w:hAnsi="宋体" w:eastAsia="宋体" w:cs="宋体"/>
                <w:b w:val="0"/>
                <w:bCs w:val="0"/>
                <w:i w:val="0"/>
                <w:iCs w:val="0"/>
                <w:color w:val="auto"/>
                <w:kern w:val="0"/>
                <w:sz w:val="18"/>
                <w:szCs w:val="18"/>
                <w:highlight w:val="none"/>
                <w:u w:val="none"/>
                <w:lang w:val="en-US" w:eastAsia="zh-CN" w:bidi="ar"/>
              </w:rPr>
              <w:t>/1.0MPa</w:t>
            </w:r>
          </w:p>
        </w:tc>
        <w:tc>
          <w:tcPr>
            <w:tcW w:w="6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台</w:t>
            </w:r>
          </w:p>
        </w:tc>
        <w:tc>
          <w:tcPr>
            <w:tcW w:w="6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12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宋体" w:hAnsi="宋体" w:eastAsia="宋体" w:cs="宋体"/>
                <w:b w:val="0"/>
                <w:bCs w:val="0"/>
                <w:i w:val="0"/>
                <w:iCs w:val="0"/>
                <w:color w:val="auto"/>
                <w:sz w:val="16"/>
                <w:szCs w:val="16"/>
                <w:highlight w:val="none"/>
                <w:u w:val="none"/>
              </w:rPr>
            </w:pPr>
            <w:r>
              <w:rPr>
                <w:rFonts w:hint="eastAsia" w:hAnsi="宋体" w:cs="宋体"/>
                <w:color w:val="auto"/>
                <w:kern w:val="2"/>
                <w:sz w:val="13"/>
                <w:szCs w:val="13"/>
                <w:lang w:val="en-US" w:eastAsia="zh-CN" w:bidi="ar"/>
                <w14:ligatures w14:val="standardContextual"/>
              </w:rPr>
              <w:t>招标人负责供货，投标人负责安装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1.1.12</w:t>
            </w:r>
          </w:p>
        </w:tc>
        <w:tc>
          <w:tcPr>
            <w:tcW w:w="25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车位传感器</w:t>
            </w:r>
          </w:p>
        </w:tc>
        <w:tc>
          <w:tcPr>
            <w:tcW w:w="32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c>
          <w:tcPr>
            <w:tcW w:w="6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套</w:t>
            </w:r>
          </w:p>
        </w:tc>
        <w:tc>
          <w:tcPr>
            <w:tcW w:w="6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12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宋体" w:hAnsi="宋体" w:eastAsia="宋体" w:cs="宋体"/>
                <w:b w:val="0"/>
                <w:bCs w:val="0"/>
                <w:i w:val="0"/>
                <w:iCs w:val="0"/>
                <w:color w:val="auto"/>
                <w:sz w:val="16"/>
                <w:szCs w:val="16"/>
                <w:highlight w:val="none"/>
                <w:u w:val="none"/>
              </w:rPr>
            </w:pPr>
            <w:r>
              <w:rPr>
                <w:rFonts w:hint="eastAsia" w:hAnsi="宋体" w:cs="宋体"/>
                <w:color w:val="auto"/>
                <w:kern w:val="2"/>
                <w:sz w:val="13"/>
                <w:szCs w:val="13"/>
                <w:lang w:val="en-US" w:eastAsia="zh-CN" w:bidi="ar"/>
                <w14:ligatures w14:val="standardContextual"/>
              </w:rPr>
              <w:t>招标人负责供货，投标人负责安装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1.1.13</w:t>
            </w:r>
          </w:p>
        </w:tc>
        <w:tc>
          <w:tcPr>
            <w:tcW w:w="25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现场安装材料</w:t>
            </w:r>
          </w:p>
        </w:tc>
        <w:tc>
          <w:tcPr>
            <w:tcW w:w="32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管路、附件、阀门、伴热、电缆等</w:t>
            </w:r>
          </w:p>
        </w:tc>
        <w:tc>
          <w:tcPr>
            <w:tcW w:w="6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项</w:t>
            </w:r>
          </w:p>
        </w:tc>
        <w:tc>
          <w:tcPr>
            <w:tcW w:w="6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1</w:t>
            </w:r>
          </w:p>
        </w:tc>
        <w:tc>
          <w:tcPr>
            <w:tcW w:w="12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宋体" w:hAnsi="宋体" w:eastAsia="宋体" w:cs="宋体"/>
                <w:b w:val="0"/>
                <w:bCs w:val="0"/>
                <w:i w:val="0"/>
                <w:iCs w:val="0"/>
                <w:color w:val="auto"/>
                <w:sz w:val="16"/>
                <w:szCs w:val="16"/>
                <w:highlight w:val="none"/>
                <w:u w:val="none"/>
              </w:rPr>
            </w:pPr>
            <w:r>
              <w:rPr>
                <w:rFonts w:hint="eastAsia" w:hAnsi="宋体" w:cs="宋体"/>
                <w:color w:val="auto"/>
                <w:kern w:val="2"/>
                <w:sz w:val="13"/>
                <w:szCs w:val="13"/>
                <w:lang w:val="en-US" w:eastAsia="zh-CN" w:bidi="ar"/>
                <w14:ligatures w14:val="standardContextual"/>
              </w:rPr>
              <w:t>招标人负责供货，投标人负责安装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1.2</w:t>
            </w:r>
          </w:p>
        </w:tc>
        <w:tc>
          <w:tcPr>
            <w:tcW w:w="25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轴流风机</w:t>
            </w:r>
          </w:p>
        </w:tc>
        <w:tc>
          <w:tcPr>
            <w:tcW w:w="32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风量：5581m³/h   全压：115Pa</w:t>
            </w:r>
          </w:p>
        </w:tc>
        <w:tc>
          <w:tcPr>
            <w:tcW w:w="6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台</w:t>
            </w:r>
          </w:p>
        </w:tc>
        <w:tc>
          <w:tcPr>
            <w:tcW w:w="6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1</w:t>
            </w:r>
          </w:p>
        </w:tc>
        <w:tc>
          <w:tcPr>
            <w:tcW w:w="12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宋体" w:hAnsi="宋体" w:eastAsia="宋体" w:cs="宋体"/>
                <w:b w:val="0"/>
                <w:bCs w:val="0"/>
                <w:i w:val="0"/>
                <w:iCs w:val="0"/>
                <w:color w:val="auto"/>
                <w:sz w:val="16"/>
                <w:szCs w:val="16"/>
                <w:highlight w:val="none"/>
                <w:u w:val="none"/>
              </w:rPr>
            </w:pPr>
            <w:r>
              <w:rPr>
                <w:rFonts w:hint="eastAsia" w:hAnsi="宋体" w:cs="宋体"/>
                <w:color w:val="auto"/>
                <w:kern w:val="2"/>
                <w:sz w:val="13"/>
                <w:szCs w:val="13"/>
                <w:lang w:val="en-US" w:eastAsia="zh-CN" w:bidi="ar"/>
                <w14:ligatures w14:val="standardContextual"/>
              </w:rPr>
              <w:t>招标人负责供货，投标人负责安装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c>
          <w:tcPr>
            <w:tcW w:w="25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c>
          <w:tcPr>
            <w:tcW w:w="32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转速：1450r/min  功率：0.25kW</w:t>
            </w:r>
          </w:p>
        </w:tc>
        <w:tc>
          <w:tcPr>
            <w:tcW w:w="6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c>
          <w:tcPr>
            <w:tcW w:w="6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c>
          <w:tcPr>
            <w:tcW w:w="128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c>
          <w:tcPr>
            <w:tcW w:w="25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c>
          <w:tcPr>
            <w:tcW w:w="32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工作电压：380V</w:t>
            </w:r>
          </w:p>
        </w:tc>
        <w:tc>
          <w:tcPr>
            <w:tcW w:w="6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c>
          <w:tcPr>
            <w:tcW w:w="6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c>
          <w:tcPr>
            <w:tcW w:w="128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1.3</w:t>
            </w:r>
          </w:p>
        </w:tc>
        <w:tc>
          <w:tcPr>
            <w:tcW w:w="25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预制聚氨酯直埋保温管</w:t>
            </w:r>
          </w:p>
        </w:tc>
        <w:tc>
          <w:tcPr>
            <w:tcW w:w="32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Φ89×4</w:t>
            </w:r>
          </w:p>
        </w:tc>
        <w:tc>
          <w:tcPr>
            <w:tcW w:w="6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100m</w:t>
            </w:r>
          </w:p>
        </w:tc>
        <w:tc>
          <w:tcPr>
            <w:tcW w:w="6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3.8</w:t>
            </w:r>
          </w:p>
        </w:tc>
        <w:tc>
          <w:tcPr>
            <w:tcW w:w="128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18"/>
                <w:szCs w:val="18"/>
                <w:highlight w:val="none"/>
                <w:u w:val="none"/>
                <w:lang w:val="en-US" w:eastAsia="zh-CN" w:bidi="ar"/>
              </w:rPr>
            </w:pPr>
            <w:r>
              <w:rPr>
                <w:rFonts w:hint="eastAsia" w:ascii="宋体" w:hAnsi="宋体" w:eastAsia="宋体" w:cs="宋体"/>
                <w:b/>
                <w:bCs/>
                <w:i w:val="0"/>
                <w:iCs w:val="0"/>
                <w:color w:val="auto"/>
                <w:kern w:val="0"/>
                <w:sz w:val="18"/>
                <w:szCs w:val="18"/>
                <w:highlight w:val="none"/>
                <w:u w:val="none"/>
                <w:lang w:val="en-US" w:eastAsia="zh-CN" w:bidi="ar"/>
              </w:rPr>
              <w:t>三</w:t>
            </w:r>
          </w:p>
        </w:tc>
        <w:tc>
          <w:tcPr>
            <w:tcW w:w="25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auto"/>
                <w:kern w:val="0"/>
                <w:sz w:val="18"/>
                <w:szCs w:val="18"/>
                <w:highlight w:val="none"/>
                <w:u w:val="none"/>
                <w:lang w:val="en-US" w:eastAsia="zh-CN" w:bidi="ar"/>
              </w:rPr>
            </w:pPr>
            <w:r>
              <w:rPr>
                <w:rFonts w:hint="eastAsia" w:ascii="宋体" w:hAnsi="宋体" w:eastAsia="宋体" w:cs="宋体"/>
                <w:b/>
                <w:bCs/>
                <w:i w:val="0"/>
                <w:iCs w:val="0"/>
                <w:color w:val="auto"/>
                <w:kern w:val="0"/>
                <w:sz w:val="18"/>
                <w:szCs w:val="18"/>
                <w:highlight w:val="none"/>
                <w:u w:val="none"/>
                <w:lang w:val="en-US" w:eastAsia="zh-CN" w:bidi="ar"/>
              </w:rPr>
              <w:t>电气系统</w:t>
            </w:r>
          </w:p>
        </w:tc>
        <w:tc>
          <w:tcPr>
            <w:tcW w:w="32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c>
          <w:tcPr>
            <w:tcW w:w="6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c>
          <w:tcPr>
            <w:tcW w:w="6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c>
          <w:tcPr>
            <w:tcW w:w="128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18"/>
                <w:szCs w:val="18"/>
                <w:highlight w:val="none"/>
                <w:u w:val="none"/>
                <w:lang w:val="en-US" w:eastAsia="zh-CN" w:bidi="ar"/>
              </w:rPr>
            </w:pPr>
            <w:r>
              <w:rPr>
                <w:rFonts w:hint="eastAsia" w:ascii="宋体" w:hAnsi="宋体" w:eastAsia="宋体" w:cs="宋体"/>
                <w:b/>
                <w:bCs/>
                <w:i w:val="0"/>
                <w:iCs w:val="0"/>
                <w:color w:val="auto"/>
                <w:kern w:val="0"/>
                <w:sz w:val="18"/>
                <w:szCs w:val="18"/>
                <w:highlight w:val="none"/>
                <w:u w:val="none"/>
                <w:lang w:val="en-US" w:eastAsia="zh-CN" w:bidi="ar"/>
              </w:rPr>
              <w:t>1</w:t>
            </w:r>
          </w:p>
        </w:tc>
        <w:tc>
          <w:tcPr>
            <w:tcW w:w="25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auto"/>
                <w:kern w:val="0"/>
                <w:sz w:val="18"/>
                <w:szCs w:val="18"/>
                <w:highlight w:val="none"/>
                <w:u w:val="none"/>
                <w:lang w:val="en-US" w:eastAsia="zh-CN" w:bidi="ar"/>
              </w:rPr>
            </w:pPr>
            <w:r>
              <w:rPr>
                <w:rFonts w:hint="eastAsia" w:ascii="宋体" w:hAnsi="宋体" w:eastAsia="宋体" w:cs="宋体"/>
                <w:b/>
                <w:bCs/>
                <w:i w:val="0"/>
                <w:iCs w:val="0"/>
                <w:color w:val="auto"/>
                <w:kern w:val="0"/>
                <w:sz w:val="18"/>
                <w:szCs w:val="18"/>
                <w:highlight w:val="none"/>
                <w:u w:val="none"/>
                <w:lang w:val="en-US" w:eastAsia="zh-CN" w:bidi="ar"/>
              </w:rPr>
              <w:t>卸煤场抑尘配电</w:t>
            </w:r>
          </w:p>
        </w:tc>
        <w:tc>
          <w:tcPr>
            <w:tcW w:w="32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c>
          <w:tcPr>
            <w:tcW w:w="6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c>
          <w:tcPr>
            <w:tcW w:w="6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c>
          <w:tcPr>
            <w:tcW w:w="128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1.1</w:t>
            </w:r>
          </w:p>
        </w:tc>
        <w:tc>
          <w:tcPr>
            <w:tcW w:w="25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低压开关柜</w:t>
            </w:r>
          </w:p>
        </w:tc>
        <w:tc>
          <w:tcPr>
            <w:tcW w:w="32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MNS-380V</w:t>
            </w:r>
          </w:p>
        </w:tc>
        <w:tc>
          <w:tcPr>
            <w:tcW w:w="6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台</w:t>
            </w:r>
          </w:p>
        </w:tc>
        <w:tc>
          <w:tcPr>
            <w:tcW w:w="6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3</w:t>
            </w:r>
          </w:p>
        </w:tc>
        <w:tc>
          <w:tcPr>
            <w:tcW w:w="12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宋体" w:hAnsi="宋体" w:eastAsia="宋体" w:cs="宋体"/>
                <w:b w:val="0"/>
                <w:bCs w:val="0"/>
                <w:i w:val="0"/>
                <w:iCs w:val="0"/>
                <w:color w:val="auto"/>
                <w:sz w:val="16"/>
                <w:szCs w:val="16"/>
                <w:highlight w:val="none"/>
                <w:u w:val="none"/>
              </w:rPr>
            </w:pPr>
            <w:r>
              <w:rPr>
                <w:rFonts w:hint="eastAsia" w:hAnsi="宋体" w:cs="宋体"/>
                <w:color w:val="auto"/>
                <w:kern w:val="2"/>
                <w:sz w:val="13"/>
                <w:szCs w:val="13"/>
                <w:lang w:val="en-US" w:eastAsia="zh-CN" w:bidi="ar"/>
                <w14:ligatures w14:val="standardContextual"/>
              </w:rPr>
              <w:t>招标人负责供货，投标人负责安装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1.2</w:t>
            </w:r>
          </w:p>
        </w:tc>
        <w:tc>
          <w:tcPr>
            <w:tcW w:w="25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照明配电箱</w:t>
            </w:r>
          </w:p>
        </w:tc>
        <w:tc>
          <w:tcPr>
            <w:tcW w:w="32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AC380V 防爆</w:t>
            </w:r>
          </w:p>
        </w:tc>
        <w:tc>
          <w:tcPr>
            <w:tcW w:w="6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台</w:t>
            </w:r>
          </w:p>
        </w:tc>
        <w:tc>
          <w:tcPr>
            <w:tcW w:w="6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1</w:t>
            </w:r>
          </w:p>
        </w:tc>
        <w:tc>
          <w:tcPr>
            <w:tcW w:w="128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1.3</w:t>
            </w:r>
          </w:p>
        </w:tc>
        <w:tc>
          <w:tcPr>
            <w:tcW w:w="25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双电源配电箱</w:t>
            </w:r>
          </w:p>
        </w:tc>
        <w:tc>
          <w:tcPr>
            <w:tcW w:w="32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AC380V 防爆</w:t>
            </w:r>
          </w:p>
        </w:tc>
        <w:tc>
          <w:tcPr>
            <w:tcW w:w="6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台</w:t>
            </w:r>
          </w:p>
        </w:tc>
        <w:tc>
          <w:tcPr>
            <w:tcW w:w="6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128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1.4</w:t>
            </w:r>
          </w:p>
        </w:tc>
        <w:tc>
          <w:tcPr>
            <w:tcW w:w="25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配电箱</w:t>
            </w:r>
          </w:p>
        </w:tc>
        <w:tc>
          <w:tcPr>
            <w:tcW w:w="32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AC380V 防爆</w:t>
            </w:r>
          </w:p>
        </w:tc>
        <w:tc>
          <w:tcPr>
            <w:tcW w:w="6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台</w:t>
            </w:r>
          </w:p>
        </w:tc>
        <w:tc>
          <w:tcPr>
            <w:tcW w:w="6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1</w:t>
            </w:r>
          </w:p>
        </w:tc>
        <w:tc>
          <w:tcPr>
            <w:tcW w:w="128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1.5</w:t>
            </w:r>
          </w:p>
        </w:tc>
        <w:tc>
          <w:tcPr>
            <w:tcW w:w="25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电力电缆</w:t>
            </w:r>
          </w:p>
        </w:tc>
        <w:tc>
          <w:tcPr>
            <w:tcW w:w="32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ZC-YJY22-0.6/1kV 3×185+2×95mm2</w:t>
            </w:r>
          </w:p>
        </w:tc>
        <w:tc>
          <w:tcPr>
            <w:tcW w:w="6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m</w:t>
            </w:r>
          </w:p>
        </w:tc>
        <w:tc>
          <w:tcPr>
            <w:tcW w:w="6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200</w:t>
            </w:r>
          </w:p>
        </w:tc>
        <w:tc>
          <w:tcPr>
            <w:tcW w:w="128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1.6</w:t>
            </w:r>
          </w:p>
        </w:tc>
        <w:tc>
          <w:tcPr>
            <w:tcW w:w="25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电力电缆</w:t>
            </w:r>
          </w:p>
        </w:tc>
        <w:tc>
          <w:tcPr>
            <w:tcW w:w="32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ZC-YJY22-0.6/1kV 3×25+2×16mm2</w:t>
            </w:r>
          </w:p>
        </w:tc>
        <w:tc>
          <w:tcPr>
            <w:tcW w:w="6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m</w:t>
            </w:r>
          </w:p>
        </w:tc>
        <w:tc>
          <w:tcPr>
            <w:tcW w:w="6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900</w:t>
            </w:r>
          </w:p>
        </w:tc>
        <w:tc>
          <w:tcPr>
            <w:tcW w:w="128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1.7</w:t>
            </w:r>
          </w:p>
        </w:tc>
        <w:tc>
          <w:tcPr>
            <w:tcW w:w="25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电力电缆</w:t>
            </w:r>
          </w:p>
        </w:tc>
        <w:tc>
          <w:tcPr>
            <w:tcW w:w="32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ZC-YJY22-0.6/1kV 5×16mm2</w:t>
            </w:r>
          </w:p>
        </w:tc>
        <w:tc>
          <w:tcPr>
            <w:tcW w:w="6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m</w:t>
            </w:r>
          </w:p>
        </w:tc>
        <w:tc>
          <w:tcPr>
            <w:tcW w:w="6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400</w:t>
            </w:r>
          </w:p>
        </w:tc>
        <w:tc>
          <w:tcPr>
            <w:tcW w:w="128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1.8</w:t>
            </w:r>
          </w:p>
        </w:tc>
        <w:tc>
          <w:tcPr>
            <w:tcW w:w="25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电力电缆</w:t>
            </w:r>
          </w:p>
        </w:tc>
        <w:tc>
          <w:tcPr>
            <w:tcW w:w="32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ZC-YJY22-0.6/1kV 5×6mm2</w:t>
            </w:r>
          </w:p>
        </w:tc>
        <w:tc>
          <w:tcPr>
            <w:tcW w:w="6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m</w:t>
            </w:r>
          </w:p>
        </w:tc>
        <w:tc>
          <w:tcPr>
            <w:tcW w:w="6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500</w:t>
            </w:r>
          </w:p>
        </w:tc>
        <w:tc>
          <w:tcPr>
            <w:tcW w:w="128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1.9</w:t>
            </w:r>
          </w:p>
        </w:tc>
        <w:tc>
          <w:tcPr>
            <w:tcW w:w="25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电力电缆</w:t>
            </w:r>
          </w:p>
        </w:tc>
        <w:tc>
          <w:tcPr>
            <w:tcW w:w="32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NH-YJY-0.6/1kV 4×4mm2</w:t>
            </w:r>
          </w:p>
        </w:tc>
        <w:tc>
          <w:tcPr>
            <w:tcW w:w="6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m</w:t>
            </w:r>
          </w:p>
        </w:tc>
        <w:tc>
          <w:tcPr>
            <w:tcW w:w="6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600</w:t>
            </w:r>
          </w:p>
        </w:tc>
        <w:tc>
          <w:tcPr>
            <w:tcW w:w="128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1.10</w:t>
            </w:r>
          </w:p>
        </w:tc>
        <w:tc>
          <w:tcPr>
            <w:tcW w:w="25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电缆桥架</w:t>
            </w:r>
          </w:p>
        </w:tc>
        <w:tc>
          <w:tcPr>
            <w:tcW w:w="32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镁铝合金 梯架 600*200</w:t>
            </w:r>
          </w:p>
        </w:tc>
        <w:tc>
          <w:tcPr>
            <w:tcW w:w="6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m</w:t>
            </w:r>
          </w:p>
        </w:tc>
        <w:tc>
          <w:tcPr>
            <w:tcW w:w="6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200</w:t>
            </w:r>
          </w:p>
        </w:tc>
        <w:tc>
          <w:tcPr>
            <w:tcW w:w="128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1.11</w:t>
            </w:r>
          </w:p>
        </w:tc>
        <w:tc>
          <w:tcPr>
            <w:tcW w:w="25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镀锌槽钢</w:t>
            </w:r>
          </w:p>
        </w:tc>
        <w:tc>
          <w:tcPr>
            <w:tcW w:w="32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#10</w:t>
            </w:r>
          </w:p>
        </w:tc>
        <w:tc>
          <w:tcPr>
            <w:tcW w:w="6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m</w:t>
            </w:r>
          </w:p>
        </w:tc>
        <w:tc>
          <w:tcPr>
            <w:tcW w:w="6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10</w:t>
            </w:r>
          </w:p>
        </w:tc>
        <w:tc>
          <w:tcPr>
            <w:tcW w:w="128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1.12</w:t>
            </w:r>
          </w:p>
        </w:tc>
        <w:tc>
          <w:tcPr>
            <w:tcW w:w="25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接地扁钢</w:t>
            </w:r>
          </w:p>
        </w:tc>
        <w:tc>
          <w:tcPr>
            <w:tcW w:w="32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40×4</w:t>
            </w:r>
          </w:p>
        </w:tc>
        <w:tc>
          <w:tcPr>
            <w:tcW w:w="6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m</w:t>
            </w:r>
          </w:p>
        </w:tc>
        <w:tc>
          <w:tcPr>
            <w:tcW w:w="6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200</w:t>
            </w:r>
          </w:p>
        </w:tc>
        <w:tc>
          <w:tcPr>
            <w:tcW w:w="128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1.13</w:t>
            </w:r>
          </w:p>
        </w:tc>
        <w:tc>
          <w:tcPr>
            <w:tcW w:w="25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镀锌钢管</w:t>
            </w:r>
          </w:p>
        </w:tc>
        <w:tc>
          <w:tcPr>
            <w:tcW w:w="32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DN100</w:t>
            </w:r>
          </w:p>
        </w:tc>
        <w:tc>
          <w:tcPr>
            <w:tcW w:w="6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m</w:t>
            </w:r>
          </w:p>
        </w:tc>
        <w:tc>
          <w:tcPr>
            <w:tcW w:w="6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200</w:t>
            </w:r>
          </w:p>
        </w:tc>
        <w:tc>
          <w:tcPr>
            <w:tcW w:w="128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sz w:val="16"/>
                <w:szCs w:val="16"/>
                <w:highlight w:val="none"/>
                <w:u w:val="none"/>
              </w:rPr>
            </w:pPr>
          </w:p>
        </w:tc>
      </w:tr>
      <w:tr>
        <w:tblPrEx>
          <w:tblLayout w:type="fixed"/>
          <w:tblCellMar>
            <w:top w:w="0" w:type="dxa"/>
            <w:left w:w="108" w:type="dxa"/>
            <w:bottom w:w="0" w:type="dxa"/>
            <w:right w:w="108" w:type="dxa"/>
          </w:tblCellMar>
        </w:tblPrEx>
        <w:trPr>
          <w:trHeight w:val="283" w:hRule="atLeast"/>
          <w:jc w:val="center"/>
        </w:trPr>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1.14</w:t>
            </w:r>
          </w:p>
        </w:tc>
        <w:tc>
          <w:tcPr>
            <w:tcW w:w="25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镀锌钢管</w:t>
            </w:r>
          </w:p>
        </w:tc>
        <w:tc>
          <w:tcPr>
            <w:tcW w:w="32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DN32</w:t>
            </w:r>
          </w:p>
        </w:tc>
        <w:tc>
          <w:tcPr>
            <w:tcW w:w="6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m</w:t>
            </w:r>
          </w:p>
        </w:tc>
        <w:tc>
          <w:tcPr>
            <w:tcW w:w="6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500</w:t>
            </w:r>
          </w:p>
        </w:tc>
        <w:tc>
          <w:tcPr>
            <w:tcW w:w="128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1.15</w:t>
            </w:r>
          </w:p>
        </w:tc>
        <w:tc>
          <w:tcPr>
            <w:tcW w:w="25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投光灯</w:t>
            </w:r>
          </w:p>
        </w:tc>
        <w:tc>
          <w:tcPr>
            <w:tcW w:w="32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LED 200W  防爆</w:t>
            </w:r>
          </w:p>
        </w:tc>
        <w:tc>
          <w:tcPr>
            <w:tcW w:w="6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盏</w:t>
            </w:r>
          </w:p>
        </w:tc>
        <w:tc>
          <w:tcPr>
            <w:tcW w:w="6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16</w:t>
            </w:r>
          </w:p>
        </w:tc>
        <w:tc>
          <w:tcPr>
            <w:tcW w:w="128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18"/>
                <w:szCs w:val="18"/>
                <w:highlight w:val="none"/>
                <w:u w:val="none"/>
                <w:lang w:val="en-US" w:eastAsia="zh-CN" w:bidi="ar"/>
              </w:rPr>
            </w:pPr>
            <w:r>
              <w:rPr>
                <w:rFonts w:hint="eastAsia" w:ascii="宋体" w:hAnsi="宋体" w:eastAsia="宋体" w:cs="宋体"/>
                <w:b/>
                <w:bCs/>
                <w:i w:val="0"/>
                <w:iCs w:val="0"/>
                <w:color w:val="auto"/>
                <w:kern w:val="0"/>
                <w:sz w:val="18"/>
                <w:szCs w:val="18"/>
                <w:highlight w:val="none"/>
                <w:u w:val="none"/>
                <w:lang w:val="en-US" w:eastAsia="zh-CN" w:bidi="ar"/>
              </w:rPr>
              <w:t>2</w:t>
            </w:r>
          </w:p>
        </w:tc>
        <w:tc>
          <w:tcPr>
            <w:tcW w:w="25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bCs/>
                <w:i w:val="0"/>
                <w:iCs w:val="0"/>
                <w:color w:val="auto"/>
                <w:kern w:val="0"/>
                <w:sz w:val="18"/>
                <w:szCs w:val="18"/>
                <w:highlight w:val="none"/>
                <w:u w:val="none"/>
                <w:lang w:val="en-US" w:eastAsia="zh-CN" w:bidi="ar"/>
              </w:rPr>
            </w:pPr>
            <w:r>
              <w:rPr>
                <w:rFonts w:hint="eastAsia" w:ascii="宋体" w:hAnsi="宋体" w:eastAsia="宋体" w:cs="宋体"/>
                <w:b/>
                <w:bCs/>
                <w:i w:val="0"/>
                <w:iCs w:val="0"/>
                <w:color w:val="auto"/>
                <w:kern w:val="0"/>
                <w:sz w:val="18"/>
                <w:szCs w:val="18"/>
                <w:highlight w:val="none"/>
                <w:u w:val="none"/>
                <w:lang w:val="en-US" w:eastAsia="zh-CN" w:bidi="ar"/>
              </w:rPr>
              <w:t>消防泵房配电</w:t>
            </w:r>
          </w:p>
        </w:tc>
        <w:tc>
          <w:tcPr>
            <w:tcW w:w="32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c>
          <w:tcPr>
            <w:tcW w:w="6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c>
          <w:tcPr>
            <w:tcW w:w="6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c>
          <w:tcPr>
            <w:tcW w:w="128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2.1</w:t>
            </w:r>
          </w:p>
        </w:tc>
        <w:tc>
          <w:tcPr>
            <w:tcW w:w="25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低压柜</w:t>
            </w:r>
          </w:p>
        </w:tc>
        <w:tc>
          <w:tcPr>
            <w:tcW w:w="32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GGD3-380</w:t>
            </w:r>
          </w:p>
        </w:tc>
        <w:tc>
          <w:tcPr>
            <w:tcW w:w="6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台</w:t>
            </w:r>
          </w:p>
        </w:tc>
        <w:tc>
          <w:tcPr>
            <w:tcW w:w="6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3</w:t>
            </w:r>
          </w:p>
        </w:tc>
        <w:tc>
          <w:tcPr>
            <w:tcW w:w="12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宋体" w:hAnsi="宋体" w:eastAsia="宋体" w:cs="宋体"/>
                <w:b w:val="0"/>
                <w:bCs w:val="0"/>
                <w:i w:val="0"/>
                <w:iCs w:val="0"/>
                <w:color w:val="auto"/>
                <w:sz w:val="16"/>
                <w:szCs w:val="16"/>
                <w:highlight w:val="none"/>
                <w:u w:val="none"/>
              </w:rPr>
            </w:pPr>
            <w:r>
              <w:rPr>
                <w:rFonts w:hint="eastAsia" w:hAnsi="宋体" w:cs="宋体"/>
                <w:color w:val="auto"/>
                <w:kern w:val="2"/>
                <w:sz w:val="13"/>
                <w:szCs w:val="13"/>
                <w:lang w:val="en-US" w:eastAsia="zh-CN" w:bidi="ar"/>
                <w14:ligatures w14:val="standardContextual"/>
              </w:rPr>
              <w:t>招标人负责供货，投标人负责安装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2.2</w:t>
            </w:r>
          </w:p>
        </w:tc>
        <w:tc>
          <w:tcPr>
            <w:tcW w:w="25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照明配电箱</w:t>
            </w:r>
          </w:p>
        </w:tc>
        <w:tc>
          <w:tcPr>
            <w:tcW w:w="32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AC380V 防水防尘</w:t>
            </w:r>
          </w:p>
        </w:tc>
        <w:tc>
          <w:tcPr>
            <w:tcW w:w="6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台</w:t>
            </w:r>
          </w:p>
        </w:tc>
        <w:tc>
          <w:tcPr>
            <w:tcW w:w="6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1</w:t>
            </w:r>
          </w:p>
        </w:tc>
        <w:tc>
          <w:tcPr>
            <w:tcW w:w="128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2.3</w:t>
            </w:r>
          </w:p>
        </w:tc>
        <w:tc>
          <w:tcPr>
            <w:tcW w:w="25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电力电缆</w:t>
            </w:r>
          </w:p>
        </w:tc>
        <w:tc>
          <w:tcPr>
            <w:tcW w:w="32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BTTZ-0.6/1kV 3×185+2×95mm2</w:t>
            </w:r>
          </w:p>
        </w:tc>
        <w:tc>
          <w:tcPr>
            <w:tcW w:w="6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m</w:t>
            </w:r>
          </w:p>
        </w:tc>
        <w:tc>
          <w:tcPr>
            <w:tcW w:w="6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300</w:t>
            </w:r>
          </w:p>
        </w:tc>
        <w:tc>
          <w:tcPr>
            <w:tcW w:w="128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2.4</w:t>
            </w:r>
          </w:p>
        </w:tc>
        <w:tc>
          <w:tcPr>
            <w:tcW w:w="25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电力电缆</w:t>
            </w:r>
          </w:p>
        </w:tc>
        <w:tc>
          <w:tcPr>
            <w:tcW w:w="32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BTTZ-0.6/1kV 3×185+1×95mm2</w:t>
            </w:r>
          </w:p>
        </w:tc>
        <w:tc>
          <w:tcPr>
            <w:tcW w:w="6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m</w:t>
            </w:r>
          </w:p>
        </w:tc>
        <w:tc>
          <w:tcPr>
            <w:tcW w:w="6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200</w:t>
            </w:r>
          </w:p>
        </w:tc>
        <w:tc>
          <w:tcPr>
            <w:tcW w:w="128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2.5</w:t>
            </w:r>
          </w:p>
        </w:tc>
        <w:tc>
          <w:tcPr>
            <w:tcW w:w="25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电力电缆</w:t>
            </w:r>
          </w:p>
        </w:tc>
        <w:tc>
          <w:tcPr>
            <w:tcW w:w="32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NH-YJY-0.6/1kV 4×6mm2</w:t>
            </w:r>
          </w:p>
        </w:tc>
        <w:tc>
          <w:tcPr>
            <w:tcW w:w="6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m</w:t>
            </w:r>
          </w:p>
        </w:tc>
        <w:tc>
          <w:tcPr>
            <w:tcW w:w="6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200</w:t>
            </w:r>
          </w:p>
        </w:tc>
        <w:tc>
          <w:tcPr>
            <w:tcW w:w="128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2.6</w:t>
            </w:r>
          </w:p>
        </w:tc>
        <w:tc>
          <w:tcPr>
            <w:tcW w:w="25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电缆桥架</w:t>
            </w:r>
          </w:p>
        </w:tc>
        <w:tc>
          <w:tcPr>
            <w:tcW w:w="32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镁铝合金 梯架 600*200</w:t>
            </w:r>
          </w:p>
        </w:tc>
        <w:tc>
          <w:tcPr>
            <w:tcW w:w="6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m</w:t>
            </w:r>
          </w:p>
        </w:tc>
        <w:tc>
          <w:tcPr>
            <w:tcW w:w="6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200</w:t>
            </w:r>
          </w:p>
        </w:tc>
        <w:tc>
          <w:tcPr>
            <w:tcW w:w="128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2.7</w:t>
            </w:r>
          </w:p>
        </w:tc>
        <w:tc>
          <w:tcPr>
            <w:tcW w:w="25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槽钢</w:t>
            </w:r>
          </w:p>
        </w:tc>
        <w:tc>
          <w:tcPr>
            <w:tcW w:w="32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#10</w:t>
            </w:r>
          </w:p>
        </w:tc>
        <w:tc>
          <w:tcPr>
            <w:tcW w:w="6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m</w:t>
            </w:r>
          </w:p>
        </w:tc>
        <w:tc>
          <w:tcPr>
            <w:tcW w:w="6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10</w:t>
            </w:r>
          </w:p>
        </w:tc>
        <w:tc>
          <w:tcPr>
            <w:tcW w:w="128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2.8</w:t>
            </w:r>
          </w:p>
        </w:tc>
        <w:tc>
          <w:tcPr>
            <w:tcW w:w="25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接地扁钢</w:t>
            </w:r>
          </w:p>
        </w:tc>
        <w:tc>
          <w:tcPr>
            <w:tcW w:w="32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40×4</w:t>
            </w:r>
          </w:p>
        </w:tc>
        <w:tc>
          <w:tcPr>
            <w:tcW w:w="6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m</w:t>
            </w:r>
          </w:p>
        </w:tc>
        <w:tc>
          <w:tcPr>
            <w:tcW w:w="6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100</w:t>
            </w:r>
          </w:p>
        </w:tc>
        <w:tc>
          <w:tcPr>
            <w:tcW w:w="128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2.9</w:t>
            </w:r>
          </w:p>
        </w:tc>
        <w:tc>
          <w:tcPr>
            <w:tcW w:w="25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镀锌钢管</w:t>
            </w:r>
          </w:p>
        </w:tc>
        <w:tc>
          <w:tcPr>
            <w:tcW w:w="32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DN150</w:t>
            </w:r>
          </w:p>
        </w:tc>
        <w:tc>
          <w:tcPr>
            <w:tcW w:w="6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m</w:t>
            </w:r>
          </w:p>
        </w:tc>
        <w:tc>
          <w:tcPr>
            <w:tcW w:w="6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80</w:t>
            </w:r>
          </w:p>
        </w:tc>
        <w:tc>
          <w:tcPr>
            <w:tcW w:w="128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2.10</w:t>
            </w:r>
          </w:p>
        </w:tc>
        <w:tc>
          <w:tcPr>
            <w:tcW w:w="25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镀锌钢管</w:t>
            </w:r>
          </w:p>
        </w:tc>
        <w:tc>
          <w:tcPr>
            <w:tcW w:w="32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DN32</w:t>
            </w:r>
          </w:p>
        </w:tc>
        <w:tc>
          <w:tcPr>
            <w:tcW w:w="6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m</w:t>
            </w:r>
          </w:p>
        </w:tc>
        <w:tc>
          <w:tcPr>
            <w:tcW w:w="6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80</w:t>
            </w:r>
          </w:p>
        </w:tc>
        <w:tc>
          <w:tcPr>
            <w:tcW w:w="128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25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联合调试</w:t>
            </w:r>
          </w:p>
        </w:tc>
        <w:tc>
          <w:tcPr>
            <w:tcW w:w="32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c>
          <w:tcPr>
            <w:tcW w:w="6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项</w:t>
            </w:r>
          </w:p>
        </w:tc>
        <w:tc>
          <w:tcPr>
            <w:tcW w:w="6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1</w:t>
            </w:r>
          </w:p>
        </w:tc>
        <w:tc>
          <w:tcPr>
            <w:tcW w:w="128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5</w:t>
            </w:r>
          </w:p>
        </w:tc>
        <w:tc>
          <w:tcPr>
            <w:tcW w:w="25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建筑工程一切险</w:t>
            </w:r>
          </w:p>
        </w:tc>
        <w:tc>
          <w:tcPr>
            <w:tcW w:w="32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c>
          <w:tcPr>
            <w:tcW w:w="6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项</w:t>
            </w:r>
          </w:p>
        </w:tc>
        <w:tc>
          <w:tcPr>
            <w:tcW w:w="6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1</w:t>
            </w:r>
          </w:p>
        </w:tc>
        <w:tc>
          <w:tcPr>
            <w:tcW w:w="128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96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kern w:val="0"/>
                <w:sz w:val="18"/>
                <w:szCs w:val="18"/>
                <w:highlight w:val="none"/>
                <w:u w:val="none"/>
                <w:lang w:val="en-US" w:eastAsia="zh-CN" w:bidi="ar"/>
              </w:rPr>
            </w:pPr>
          </w:p>
        </w:tc>
        <w:tc>
          <w:tcPr>
            <w:tcW w:w="25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c>
          <w:tcPr>
            <w:tcW w:w="32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c>
          <w:tcPr>
            <w:tcW w:w="64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sz w:val="18"/>
                <w:szCs w:val="18"/>
                <w:highlight w:val="none"/>
                <w:u w:val="none"/>
                <w:lang w:val="en-US"/>
              </w:rPr>
            </w:pPr>
          </w:p>
        </w:tc>
        <w:tc>
          <w:tcPr>
            <w:tcW w:w="64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sz w:val="18"/>
                <w:szCs w:val="18"/>
                <w:highlight w:val="none"/>
                <w:u w:val="none"/>
              </w:rPr>
            </w:pPr>
          </w:p>
        </w:tc>
        <w:tc>
          <w:tcPr>
            <w:tcW w:w="128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96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kern w:val="0"/>
                <w:sz w:val="18"/>
                <w:szCs w:val="18"/>
                <w:highlight w:val="none"/>
                <w:u w:val="none"/>
                <w:lang w:val="en-US" w:eastAsia="zh-CN" w:bidi="ar"/>
              </w:rPr>
            </w:pPr>
          </w:p>
        </w:tc>
        <w:tc>
          <w:tcPr>
            <w:tcW w:w="25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c>
          <w:tcPr>
            <w:tcW w:w="32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c>
          <w:tcPr>
            <w:tcW w:w="64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sz w:val="18"/>
                <w:szCs w:val="18"/>
                <w:highlight w:val="none"/>
                <w:u w:val="none"/>
                <w:lang w:val="en-US"/>
              </w:rPr>
            </w:pPr>
          </w:p>
        </w:tc>
        <w:tc>
          <w:tcPr>
            <w:tcW w:w="64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sz w:val="18"/>
                <w:szCs w:val="18"/>
                <w:highlight w:val="none"/>
                <w:u w:val="none"/>
              </w:rPr>
            </w:pPr>
          </w:p>
        </w:tc>
        <w:tc>
          <w:tcPr>
            <w:tcW w:w="128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auto"/>
                <w:sz w:val="16"/>
                <w:szCs w:val="16"/>
                <w:highlight w:val="none"/>
                <w:u w:val="none"/>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default" w:ascii="Times New Roman" w:hAnsi="Times New Roman" w:eastAsia="宋体" w:cs="Times New Roman"/>
          <w:color w:val="auto"/>
          <w:sz w:val="24"/>
          <w:szCs w:val="24"/>
          <w:highlight w:val="none"/>
          <w:lang w:val="en-US" w:eastAsia="zh-CN"/>
        </w:rPr>
      </w:pPr>
    </w:p>
    <w:p>
      <w:pPr>
        <w:pStyle w:val="18"/>
        <w:tabs>
          <w:tab w:val="left" w:pos="9000"/>
          <w:tab w:val="right" w:pos="9360"/>
        </w:tabs>
        <w:rPr>
          <w:rFonts w:hint="default"/>
          <w:color w:val="auto"/>
          <w:highlight w:val="none"/>
          <w:lang w:val="en-US" w:eastAsia="zh-CN"/>
        </w:rPr>
      </w:pPr>
    </w:p>
    <w:p>
      <w:pPr>
        <w:pStyle w:val="65"/>
        <w:ind w:left="0" w:leftChars="0" w:firstLine="0" w:firstLineChars="0"/>
        <w:rPr>
          <w:rFonts w:hint="default" w:ascii="Times New Roman" w:hAnsi="Times New Roman" w:cs="Times New Roman" w:eastAsiaTheme="minorEastAsia"/>
          <w:color w:val="auto"/>
          <w:sz w:val="24"/>
          <w:szCs w:val="24"/>
          <w:highlight w:val="none"/>
          <w:lang w:val="en-US" w:eastAsia="zh-CN"/>
        </w:rPr>
      </w:pPr>
    </w:p>
    <w:p>
      <w:pPr>
        <w:pStyle w:val="65"/>
        <w:ind w:left="0" w:leftChars="0" w:firstLine="0" w:firstLineChars="0"/>
        <w:rPr>
          <w:rFonts w:hint="default" w:ascii="Times New Roman" w:hAnsi="Times New Roman" w:cs="Times New Roman" w:eastAsiaTheme="minorEastAsia"/>
          <w:color w:val="auto"/>
          <w:sz w:val="24"/>
          <w:szCs w:val="24"/>
          <w:highlight w:val="none"/>
          <w:lang w:val="en-US" w:eastAsia="zh-CN"/>
        </w:rPr>
      </w:pPr>
    </w:p>
    <w:p>
      <w:pPr>
        <w:rPr>
          <w:rFonts w:hint="default"/>
          <w:color w:val="auto"/>
          <w:highlight w:val="none"/>
        </w:rPr>
      </w:pPr>
      <w:r>
        <w:rPr>
          <w:rFonts w:hint="default"/>
          <w:color w:val="auto"/>
          <w:highlight w:val="none"/>
        </w:rPr>
        <w:br w:type="page"/>
      </w:r>
    </w:p>
    <w:p>
      <w:pPr>
        <w:pStyle w:val="27"/>
        <w:rPr>
          <w:rFonts w:hint="default"/>
          <w:color w:val="auto"/>
          <w:highlight w:val="none"/>
        </w:rPr>
      </w:pPr>
    </w:p>
    <w:p>
      <w:pPr>
        <w:pStyle w:val="4"/>
        <w:bidi w:val="0"/>
        <w:jc w:val="center"/>
        <w:rPr>
          <w:rFonts w:hint="default" w:ascii="Times New Roman" w:hAnsi="Times New Roman" w:cs="Times New Roman"/>
          <w:b/>
          <w:color w:val="auto"/>
          <w:kern w:val="2"/>
          <w:sz w:val="44"/>
          <w:szCs w:val="44"/>
          <w:highlight w:val="none"/>
        </w:rPr>
      </w:pPr>
      <w:r>
        <w:rPr>
          <w:rFonts w:hint="default" w:ascii="Times New Roman" w:hAnsi="Times New Roman" w:cs="Times New Roman"/>
          <w:b/>
          <w:color w:val="auto"/>
          <w:kern w:val="2"/>
          <w:sz w:val="44"/>
          <w:szCs w:val="44"/>
          <w:highlight w:val="none"/>
        </w:rPr>
        <w:t>第五章  采购响应文件格式</w:t>
      </w:r>
      <w:bookmarkEnd w:id="62"/>
      <w:bookmarkEnd w:id="63"/>
      <w:bookmarkEnd w:id="64"/>
    </w:p>
    <w:p>
      <w:pPr>
        <w:jc w:val="both"/>
        <w:rPr>
          <w:rFonts w:hint="default" w:ascii="Times New Roman" w:hAnsi="Times New Roman" w:cs="Times New Roman"/>
          <w:color w:val="auto"/>
          <w:sz w:val="36"/>
          <w:highlight w:val="none"/>
        </w:rPr>
      </w:pPr>
    </w:p>
    <w:p>
      <w:pPr>
        <w:jc w:val="both"/>
        <w:rPr>
          <w:rFonts w:hint="default" w:ascii="Times New Roman" w:hAnsi="Times New Roman" w:cs="Times New Roman"/>
          <w:color w:val="auto"/>
          <w:sz w:val="36"/>
          <w:highlight w:val="none"/>
        </w:rPr>
      </w:pPr>
    </w:p>
    <w:p>
      <w:pPr>
        <w:jc w:val="both"/>
        <w:rPr>
          <w:rFonts w:hint="default" w:ascii="Times New Roman" w:hAnsi="Times New Roman" w:cs="Times New Roman"/>
          <w:color w:val="auto"/>
          <w:sz w:val="36"/>
          <w:highlight w:val="none"/>
        </w:rPr>
      </w:pPr>
    </w:p>
    <w:p>
      <w:pPr>
        <w:jc w:val="both"/>
        <w:rPr>
          <w:rFonts w:hint="default" w:ascii="Times New Roman" w:hAnsi="Times New Roman" w:cs="Times New Roman"/>
          <w:color w:val="auto"/>
          <w:sz w:val="36"/>
          <w:highlight w:val="none"/>
        </w:rPr>
      </w:pPr>
    </w:p>
    <w:p>
      <w:pPr>
        <w:jc w:val="both"/>
        <w:rPr>
          <w:rFonts w:hint="default" w:ascii="Times New Roman" w:hAnsi="Times New Roman" w:cs="Times New Roman"/>
          <w:color w:val="auto"/>
          <w:sz w:val="36"/>
          <w:highlight w:val="none"/>
        </w:rPr>
      </w:pPr>
    </w:p>
    <w:p>
      <w:pPr>
        <w:widowControl w:val="0"/>
        <w:snapToGrid w:val="0"/>
        <w:jc w:val="center"/>
        <w:rPr>
          <w:rFonts w:hint="default" w:ascii="Times New Roman" w:hAnsi="Times New Roman" w:cs="Times New Roman"/>
          <w:color w:val="auto"/>
          <w:kern w:val="2"/>
          <w:sz w:val="110"/>
          <w:szCs w:val="24"/>
          <w:highlight w:val="none"/>
        </w:rPr>
      </w:pPr>
      <w:bookmarkStart w:id="93" w:name="_Toc22467_WPSOffice_Level1"/>
      <w:r>
        <w:rPr>
          <w:rFonts w:hint="default" w:ascii="Times New Roman" w:hAnsi="Times New Roman" w:cs="Times New Roman"/>
          <w:color w:val="auto"/>
          <w:kern w:val="2"/>
          <w:sz w:val="110"/>
          <w:szCs w:val="24"/>
          <w:highlight w:val="none"/>
        </w:rPr>
        <w:t>采购响应文件</w:t>
      </w:r>
      <w:bookmarkEnd w:id="93"/>
    </w:p>
    <w:p>
      <w:pPr>
        <w:jc w:val="center"/>
        <w:rPr>
          <w:rFonts w:hint="default" w:ascii="Times New Roman" w:hAnsi="Times New Roman" w:cs="Times New Roman"/>
          <w:color w:val="auto"/>
          <w:sz w:val="36"/>
          <w:szCs w:val="36"/>
          <w:highlight w:val="none"/>
        </w:rPr>
      </w:pPr>
      <w:bookmarkStart w:id="94" w:name="_Toc19430_WPSOffice_Level1"/>
      <w:r>
        <w:rPr>
          <w:rFonts w:hint="default" w:ascii="Times New Roman" w:hAnsi="Times New Roman" w:cs="Times New Roman"/>
          <w:color w:val="auto"/>
          <w:sz w:val="36"/>
          <w:szCs w:val="36"/>
          <w:highlight w:val="none"/>
        </w:rPr>
        <w:t>（封  面）</w:t>
      </w:r>
      <w:bookmarkEnd w:id="94"/>
    </w:p>
    <w:p>
      <w:pPr>
        <w:jc w:val="both"/>
        <w:rPr>
          <w:rFonts w:hint="default" w:ascii="Times New Roman" w:hAnsi="Times New Roman" w:cs="Times New Roman"/>
          <w:color w:val="auto"/>
          <w:sz w:val="36"/>
          <w:highlight w:val="none"/>
        </w:rPr>
      </w:pPr>
    </w:p>
    <w:p>
      <w:pPr>
        <w:jc w:val="both"/>
        <w:rPr>
          <w:rFonts w:hint="default" w:ascii="Times New Roman" w:hAnsi="Times New Roman" w:cs="Times New Roman"/>
          <w:color w:val="auto"/>
          <w:sz w:val="36"/>
          <w:highlight w:val="none"/>
        </w:rPr>
      </w:pPr>
    </w:p>
    <w:p>
      <w:pPr>
        <w:jc w:val="both"/>
        <w:rPr>
          <w:rFonts w:hint="default" w:ascii="Times New Roman" w:hAnsi="Times New Roman" w:cs="Times New Roman"/>
          <w:color w:val="auto"/>
          <w:sz w:val="36"/>
          <w:highlight w:val="none"/>
        </w:rPr>
      </w:pPr>
    </w:p>
    <w:p>
      <w:pPr>
        <w:jc w:val="both"/>
        <w:rPr>
          <w:rFonts w:hint="default" w:ascii="Times New Roman" w:hAnsi="Times New Roman" w:cs="Times New Roman"/>
          <w:color w:val="auto"/>
          <w:sz w:val="36"/>
          <w:highlight w:val="none"/>
        </w:rPr>
      </w:pPr>
    </w:p>
    <w:p>
      <w:pPr>
        <w:jc w:val="both"/>
        <w:rPr>
          <w:rFonts w:hint="default" w:ascii="Times New Roman" w:hAnsi="Times New Roman" w:cs="Times New Roman"/>
          <w:color w:val="auto"/>
          <w:sz w:val="36"/>
          <w:highlight w:val="none"/>
        </w:rPr>
      </w:pPr>
    </w:p>
    <w:p>
      <w:pPr>
        <w:jc w:val="both"/>
        <w:rPr>
          <w:rFonts w:hint="default" w:ascii="Times New Roman" w:hAnsi="Times New Roman" w:cs="Times New Roman"/>
          <w:color w:val="auto"/>
          <w:sz w:val="36"/>
          <w:highlight w:val="none"/>
        </w:rPr>
      </w:pPr>
    </w:p>
    <w:p>
      <w:pPr>
        <w:jc w:val="both"/>
        <w:rPr>
          <w:rFonts w:hint="default" w:ascii="Times New Roman" w:hAnsi="Times New Roman" w:cs="Times New Roman"/>
          <w:color w:val="auto"/>
          <w:sz w:val="36"/>
          <w:highlight w:val="none"/>
        </w:rPr>
      </w:pPr>
    </w:p>
    <w:p>
      <w:pPr>
        <w:jc w:val="both"/>
        <w:rPr>
          <w:rFonts w:hint="default" w:ascii="Times New Roman" w:hAnsi="Times New Roman" w:cs="Times New Roman"/>
          <w:color w:val="auto"/>
          <w:sz w:val="36"/>
          <w:highlight w:val="none"/>
        </w:rPr>
      </w:pPr>
    </w:p>
    <w:p>
      <w:pPr>
        <w:widowControl w:val="0"/>
        <w:tabs>
          <w:tab w:val="left" w:pos="4860"/>
        </w:tabs>
        <w:snapToGrid w:val="0"/>
        <w:spacing w:line="700" w:lineRule="exact"/>
        <w:ind w:left="2844" w:leftChars="672" w:hanging="1500" w:hangingChars="500"/>
        <w:jc w:val="both"/>
        <w:rPr>
          <w:rFonts w:hint="default" w:ascii="Times New Roman" w:hAnsi="Times New Roman" w:cs="Times New Roman"/>
          <w:bCs/>
          <w:color w:val="auto"/>
          <w:kern w:val="2"/>
          <w:sz w:val="30"/>
          <w:szCs w:val="30"/>
          <w:highlight w:val="none"/>
        </w:rPr>
      </w:pPr>
      <w:bookmarkStart w:id="95" w:name="_Toc15062_WPSOffice_Level1"/>
      <w:r>
        <w:rPr>
          <w:rFonts w:hint="default" w:ascii="Times New Roman" w:hAnsi="Times New Roman" w:cs="Times New Roman"/>
          <w:bCs/>
          <w:color w:val="auto"/>
          <w:kern w:val="2"/>
          <w:sz w:val="30"/>
          <w:szCs w:val="30"/>
          <w:highlight w:val="none"/>
        </w:rPr>
        <w:t>项目名称：</w:t>
      </w:r>
      <w:bookmarkEnd w:id="95"/>
    </w:p>
    <w:p>
      <w:pPr>
        <w:widowControl w:val="0"/>
        <w:tabs>
          <w:tab w:val="left" w:pos="4860"/>
        </w:tabs>
        <w:snapToGrid w:val="0"/>
        <w:spacing w:line="700" w:lineRule="exact"/>
        <w:ind w:left="2844" w:leftChars="672" w:hanging="1500" w:hangingChars="500"/>
        <w:jc w:val="both"/>
        <w:rPr>
          <w:rFonts w:hint="default" w:ascii="Times New Roman" w:hAnsi="Times New Roman" w:cs="Times New Roman"/>
          <w:bCs/>
          <w:color w:val="auto"/>
          <w:kern w:val="2"/>
          <w:sz w:val="30"/>
          <w:szCs w:val="30"/>
          <w:highlight w:val="none"/>
        </w:rPr>
      </w:pPr>
      <w:r>
        <w:rPr>
          <w:rFonts w:hint="default" w:ascii="Times New Roman" w:hAnsi="Times New Roman" w:cs="Times New Roman"/>
          <w:bCs/>
          <w:color w:val="auto"/>
          <w:kern w:val="2"/>
          <w:sz w:val="30"/>
          <w:szCs w:val="30"/>
          <w:highlight w:val="none"/>
        </w:rPr>
        <w:t>项目编号：</w:t>
      </w:r>
    </w:p>
    <w:p>
      <w:pPr>
        <w:widowControl w:val="0"/>
        <w:tabs>
          <w:tab w:val="left" w:pos="4860"/>
        </w:tabs>
        <w:snapToGrid w:val="0"/>
        <w:spacing w:line="700" w:lineRule="exact"/>
        <w:ind w:left="2844" w:leftChars="672" w:hanging="1500" w:hangingChars="500"/>
        <w:jc w:val="both"/>
        <w:rPr>
          <w:rFonts w:hint="default" w:ascii="Times New Roman" w:hAnsi="Times New Roman" w:cs="Times New Roman"/>
          <w:bCs/>
          <w:color w:val="auto"/>
          <w:kern w:val="2"/>
          <w:sz w:val="30"/>
          <w:szCs w:val="30"/>
          <w:highlight w:val="none"/>
        </w:rPr>
      </w:pPr>
      <w:bookmarkStart w:id="96" w:name="_Toc20974_WPSOffice_Level1"/>
      <w:r>
        <w:rPr>
          <w:rFonts w:hint="default" w:ascii="Times New Roman" w:hAnsi="Times New Roman" w:cs="Times New Roman"/>
          <w:bCs/>
          <w:color w:val="auto"/>
          <w:kern w:val="2"/>
          <w:sz w:val="30"/>
          <w:szCs w:val="30"/>
          <w:highlight w:val="none"/>
        </w:rPr>
        <w:t>供 应 商（盖章）：</w:t>
      </w:r>
      <w:bookmarkEnd w:id="96"/>
    </w:p>
    <w:p>
      <w:pPr>
        <w:widowControl w:val="0"/>
        <w:tabs>
          <w:tab w:val="left" w:pos="4860"/>
        </w:tabs>
        <w:snapToGrid w:val="0"/>
        <w:spacing w:line="700" w:lineRule="exact"/>
        <w:ind w:left="2844" w:leftChars="672" w:hanging="1500" w:hangingChars="500"/>
        <w:jc w:val="both"/>
        <w:rPr>
          <w:rFonts w:hint="default" w:ascii="Times New Roman" w:hAnsi="Times New Roman" w:cs="Times New Roman"/>
          <w:bCs/>
          <w:color w:val="auto"/>
          <w:kern w:val="2"/>
          <w:sz w:val="30"/>
          <w:szCs w:val="30"/>
          <w:highlight w:val="none"/>
        </w:rPr>
      </w:pPr>
      <w:bookmarkStart w:id="97" w:name="_Toc20260_WPSOffice_Level1"/>
      <w:r>
        <w:rPr>
          <w:rFonts w:hint="default" w:ascii="Times New Roman" w:hAnsi="Times New Roman" w:cs="Times New Roman"/>
          <w:bCs/>
          <w:color w:val="auto"/>
          <w:kern w:val="2"/>
          <w:sz w:val="30"/>
          <w:szCs w:val="30"/>
          <w:highlight w:val="none"/>
        </w:rPr>
        <w:t>法定代表人（盖章）：</w:t>
      </w:r>
      <w:bookmarkEnd w:id="97"/>
    </w:p>
    <w:p>
      <w:pPr>
        <w:widowControl w:val="0"/>
        <w:tabs>
          <w:tab w:val="left" w:pos="4860"/>
        </w:tabs>
        <w:snapToGrid w:val="0"/>
        <w:spacing w:line="700" w:lineRule="exact"/>
        <w:ind w:left="2844" w:leftChars="672" w:hanging="1500" w:hangingChars="500"/>
        <w:jc w:val="both"/>
        <w:rPr>
          <w:rFonts w:hint="default" w:ascii="Times New Roman" w:hAnsi="Times New Roman" w:cs="Times New Roman"/>
          <w:bCs/>
          <w:color w:val="auto"/>
          <w:kern w:val="2"/>
          <w:sz w:val="30"/>
          <w:szCs w:val="30"/>
          <w:highlight w:val="none"/>
        </w:rPr>
      </w:pPr>
      <w:bookmarkStart w:id="98" w:name="_Toc1396_WPSOffice_Level1"/>
      <w:r>
        <w:rPr>
          <w:rFonts w:hint="default" w:ascii="Times New Roman" w:hAnsi="Times New Roman" w:cs="Times New Roman"/>
          <w:bCs/>
          <w:color w:val="auto"/>
          <w:kern w:val="2"/>
          <w:sz w:val="30"/>
          <w:szCs w:val="30"/>
          <w:highlight w:val="none"/>
        </w:rPr>
        <w:t>日期：   年   月   日</w:t>
      </w:r>
      <w:bookmarkEnd w:id="98"/>
    </w:p>
    <w:p>
      <w:pPr>
        <w:pStyle w:val="5"/>
        <w:bidi w:val="0"/>
        <w:rPr>
          <w:rFonts w:hint="default" w:ascii="Times New Roman" w:hAnsi="Times New Roman" w:cs="Times New Roman"/>
          <w:b/>
          <w:color w:val="auto"/>
          <w:kern w:val="2"/>
          <w:sz w:val="32"/>
          <w:szCs w:val="32"/>
          <w:highlight w:val="none"/>
        </w:rPr>
      </w:pPr>
      <w:r>
        <w:rPr>
          <w:rFonts w:hint="default" w:ascii="Times New Roman" w:hAnsi="Times New Roman" w:cs="Times New Roman"/>
          <w:color w:val="auto"/>
          <w:sz w:val="36"/>
          <w:highlight w:val="none"/>
        </w:rPr>
        <w:br w:type="page"/>
      </w:r>
      <w:bookmarkStart w:id="99" w:name="_Toc14424_WPSOffice_Level1"/>
      <w:r>
        <w:rPr>
          <w:rFonts w:hint="default" w:ascii="Times New Roman" w:hAnsi="Times New Roman" w:cs="Times New Roman"/>
          <w:b/>
          <w:color w:val="auto"/>
          <w:kern w:val="2"/>
          <w:sz w:val="32"/>
          <w:szCs w:val="32"/>
          <w:highlight w:val="none"/>
        </w:rPr>
        <w:t>采购响应文件目录</w:t>
      </w:r>
      <w:bookmarkEnd w:id="99"/>
    </w:p>
    <w:p>
      <w:pPr>
        <w:pStyle w:val="6"/>
        <w:bidi w:val="0"/>
        <w:rPr>
          <w:rFonts w:hint="default"/>
        </w:rPr>
      </w:pPr>
      <w:r>
        <w:rPr>
          <w:rFonts w:hint="default"/>
        </w:rPr>
        <w:t>第一部分：采购响应文件商务部分</w:t>
      </w:r>
    </w:p>
    <w:p>
      <w:pPr>
        <w:pStyle w:val="44"/>
        <w:tabs>
          <w:tab w:val="left" w:pos="720"/>
        </w:tabs>
        <w:spacing w:before="0" w:beforeAutospacing="0" w:after="0" w:afterAutospacing="0" w:line="500" w:lineRule="exact"/>
        <w:ind w:left="-2" w:leftChars="-1" w:right="26" w:firstLine="480" w:firstLineChars="200"/>
        <w:jc w:val="both"/>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1）洽谈报价函</w:t>
      </w:r>
    </w:p>
    <w:p>
      <w:pPr>
        <w:pStyle w:val="44"/>
        <w:tabs>
          <w:tab w:val="left" w:pos="720"/>
        </w:tabs>
        <w:spacing w:before="0" w:beforeAutospacing="0" w:after="0" w:afterAutospacing="0" w:line="500" w:lineRule="exact"/>
        <w:ind w:left="-2" w:leftChars="-1" w:right="26" w:firstLine="480" w:firstLineChars="200"/>
        <w:jc w:val="both"/>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2）报价一览表</w:t>
      </w:r>
    </w:p>
    <w:p>
      <w:pPr>
        <w:pStyle w:val="44"/>
        <w:tabs>
          <w:tab w:val="left" w:pos="720"/>
        </w:tabs>
        <w:spacing w:before="0" w:beforeAutospacing="0" w:after="0" w:afterAutospacing="0" w:line="500" w:lineRule="exact"/>
        <w:ind w:left="-2" w:leftChars="-1" w:right="26" w:firstLine="480" w:firstLineChars="200"/>
        <w:jc w:val="both"/>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3) 分项报价表</w:t>
      </w:r>
    </w:p>
    <w:p>
      <w:pPr>
        <w:pStyle w:val="44"/>
        <w:tabs>
          <w:tab w:val="left" w:pos="720"/>
        </w:tabs>
        <w:spacing w:before="0" w:beforeAutospacing="0" w:after="0" w:afterAutospacing="0" w:line="500" w:lineRule="exact"/>
        <w:ind w:left="-2" w:leftChars="-1" w:right="26" w:firstLine="480" w:firstLineChars="200"/>
        <w:jc w:val="both"/>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4）供应商基本情况表</w:t>
      </w:r>
    </w:p>
    <w:p>
      <w:pPr>
        <w:pStyle w:val="44"/>
        <w:tabs>
          <w:tab w:val="left" w:pos="720"/>
        </w:tabs>
        <w:spacing w:before="0" w:beforeAutospacing="0" w:after="0" w:afterAutospacing="0" w:line="500" w:lineRule="exact"/>
        <w:ind w:left="-2" w:leftChars="-1" w:right="26" w:firstLine="480" w:firstLineChars="200"/>
        <w:jc w:val="both"/>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5）法定代表人身份证明</w:t>
      </w:r>
      <w:r>
        <w:rPr>
          <w:rFonts w:hint="default" w:ascii="Times New Roman" w:hAnsi="Times New Roman" w:cs="Times New Roman"/>
          <w:bCs/>
          <w:color w:val="auto"/>
          <w:highlight w:val="none"/>
        </w:rPr>
        <w:tab/>
      </w:r>
    </w:p>
    <w:p>
      <w:pPr>
        <w:pStyle w:val="44"/>
        <w:tabs>
          <w:tab w:val="left" w:pos="720"/>
        </w:tabs>
        <w:spacing w:before="0" w:beforeAutospacing="0" w:after="0" w:afterAutospacing="0" w:line="500" w:lineRule="exact"/>
        <w:ind w:left="-2" w:leftChars="-1" w:right="26" w:firstLine="480" w:firstLineChars="200"/>
        <w:jc w:val="both"/>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6）法人授权委托书</w:t>
      </w:r>
    </w:p>
    <w:p>
      <w:pPr>
        <w:pStyle w:val="44"/>
        <w:tabs>
          <w:tab w:val="left" w:pos="720"/>
        </w:tabs>
        <w:spacing w:before="0" w:beforeAutospacing="0" w:after="0" w:afterAutospacing="0" w:line="500" w:lineRule="exact"/>
        <w:ind w:left="-2" w:leftChars="-1" w:right="26" w:firstLine="480" w:firstLineChars="200"/>
        <w:jc w:val="both"/>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7）供应商资格证明文件</w:t>
      </w:r>
    </w:p>
    <w:p>
      <w:pPr>
        <w:pStyle w:val="44"/>
        <w:tabs>
          <w:tab w:val="left" w:pos="720"/>
        </w:tabs>
        <w:spacing w:before="0" w:beforeAutospacing="0" w:after="0" w:afterAutospacing="0" w:line="500" w:lineRule="exact"/>
        <w:ind w:left="-2" w:leftChars="-1" w:right="26" w:firstLine="480" w:firstLineChars="200"/>
        <w:jc w:val="both"/>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8）供应商资料真实性承诺书</w:t>
      </w:r>
    </w:p>
    <w:p>
      <w:pPr>
        <w:pStyle w:val="44"/>
        <w:tabs>
          <w:tab w:val="left" w:pos="720"/>
        </w:tabs>
        <w:spacing w:before="0" w:beforeAutospacing="0" w:after="0" w:afterAutospacing="0" w:line="500" w:lineRule="exact"/>
        <w:ind w:left="-2" w:leftChars="-1" w:right="26" w:firstLine="480" w:firstLineChars="200"/>
        <w:jc w:val="both"/>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9)技术部分/商务部分差异表</w:t>
      </w:r>
    </w:p>
    <w:p>
      <w:pPr>
        <w:pStyle w:val="44"/>
        <w:tabs>
          <w:tab w:val="left" w:pos="720"/>
        </w:tabs>
        <w:spacing w:before="0" w:beforeAutospacing="0" w:after="0" w:afterAutospacing="0" w:line="500" w:lineRule="exact"/>
        <w:ind w:left="-2" w:leftChars="-1" w:right="26" w:firstLine="480" w:firstLineChars="200"/>
        <w:jc w:val="both"/>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10)廉洁承诺书,供需双方廉洁互保协议</w:t>
      </w:r>
    </w:p>
    <w:p>
      <w:pPr>
        <w:pStyle w:val="44"/>
        <w:tabs>
          <w:tab w:val="left" w:pos="720"/>
        </w:tabs>
        <w:spacing w:before="0" w:beforeAutospacing="0" w:after="0" w:afterAutospacing="0" w:line="500" w:lineRule="exact"/>
        <w:ind w:left="-2" w:leftChars="-1" w:right="26" w:firstLine="480" w:firstLineChars="200"/>
        <w:jc w:val="both"/>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1</w:t>
      </w:r>
      <w:r>
        <w:rPr>
          <w:rFonts w:hint="eastAsia" w:ascii="Times New Roman" w:cs="Times New Roman"/>
          <w:bCs/>
          <w:color w:val="auto"/>
          <w:highlight w:val="none"/>
          <w:lang w:val="en-US" w:eastAsia="zh-CN"/>
        </w:rPr>
        <w:t>1</w:t>
      </w:r>
      <w:r>
        <w:rPr>
          <w:rFonts w:hint="default" w:ascii="Times New Roman" w:hAnsi="Times New Roman" w:cs="Times New Roman"/>
          <w:bCs/>
          <w:color w:val="auto"/>
          <w:highlight w:val="none"/>
        </w:rPr>
        <w:t>）供应商认为有必要提供的声明及文件</w:t>
      </w:r>
    </w:p>
    <w:p>
      <w:pPr>
        <w:pStyle w:val="6"/>
        <w:bidi w:val="0"/>
        <w:rPr>
          <w:rFonts w:hint="default"/>
        </w:rPr>
      </w:pPr>
      <w:r>
        <w:rPr>
          <w:rFonts w:hint="default"/>
        </w:rPr>
        <w:t>第二部分：采购响应文件技术部分</w:t>
      </w:r>
    </w:p>
    <w:p>
      <w:pPr>
        <w:pStyle w:val="44"/>
        <w:tabs>
          <w:tab w:val="left" w:pos="720"/>
        </w:tabs>
        <w:spacing w:before="0" w:beforeAutospacing="0" w:after="0" w:afterAutospacing="0" w:line="500" w:lineRule="exact"/>
        <w:ind w:left="-2" w:leftChars="-1" w:right="26" w:firstLine="480" w:firstLineChars="200"/>
        <w:jc w:val="both"/>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1)服务方案，包括详细的实施方案等。技术部分应满足或者高于技术规格书的要求。</w:t>
      </w:r>
    </w:p>
    <w:p>
      <w:pPr>
        <w:pStyle w:val="44"/>
        <w:tabs>
          <w:tab w:val="left" w:pos="720"/>
        </w:tabs>
        <w:spacing w:before="0" w:beforeAutospacing="0" w:after="0" w:afterAutospacing="0" w:line="500" w:lineRule="exact"/>
        <w:ind w:left="-2" w:leftChars="-1" w:right="26" w:firstLine="480" w:firstLineChars="200"/>
        <w:jc w:val="both"/>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2)对采购人提出的协作和配合要求</w:t>
      </w:r>
    </w:p>
    <w:p>
      <w:pPr>
        <w:pStyle w:val="44"/>
        <w:tabs>
          <w:tab w:val="left" w:pos="720"/>
        </w:tabs>
        <w:spacing w:before="0" w:beforeAutospacing="0" w:after="0" w:afterAutospacing="0" w:line="500" w:lineRule="exact"/>
        <w:ind w:left="-2" w:leftChars="-1" w:right="26" w:firstLine="480" w:firstLineChars="200"/>
        <w:jc w:val="both"/>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3）对服务内容和方式、人员设置等相关问题，做出明确的说明和承诺</w:t>
      </w:r>
    </w:p>
    <w:p>
      <w:pPr>
        <w:pStyle w:val="44"/>
        <w:tabs>
          <w:tab w:val="left" w:pos="720"/>
        </w:tabs>
        <w:spacing w:before="0" w:beforeAutospacing="0" w:after="0" w:afterAutospacing="0" w:line="500" w:lineRule="exact"/>
        <w:ind w:left="-2" w:leftChars="-1" w:right="26" w:firstLine="480" w:firstLineChars="200"/>
        <w:jc w:val="both"/>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4)认为有必要说明的其它问题。</w:t>
      </w:r>
    </w:p>
    <w:p>
      <w:pPr>
        <w:widowControl w:val="0"/>
        <w:tabs>
          <w:tab w:val="left" w:pos="360"/>
          <w:tab w:val="left" w:pos="720"/>
          <w:tab w:val="left" w:pos="3060"/>
        </w:tabs>
        <w:spacing w:line="400" w:lineRule="exact"/>
        <w:outlineLvl w:val="1"/>
        <w:rPr>
          <w:rFonts w:hint="default" w:ascii="Times New Roman" w:hAnsi="Times New Roman" w:cs="Times New Roman"/>
          <w:b/>
          <w:color w:val="auto"/>
          <w:kern w:val="2"/>
          <w:sz w:val="28"/>
          <w:szCs w:val="28"/>
          <w:highlight w:val="none"/>
        </w:rPr>
      </w:pPr>
      <w:r>
        <w:rPr>
          <w:rFonts w:hint="default" w:ascii="Times New Roman" w:hAnsi="Times New Roman" w:cs="Times New Roman"/>
          <w:b/>
          <w:color w:val="auto"/>
          <w:sz w:val="24"/>
          <w:szCs w:val="24"/>
          <w:highlight w:val="none"/>
        </w:rPr>
        <w:br w:type="page"/>
      </w:r>
      <w:bookmarkStart w:id="100" w:name="_Toc10122275"/>
      <w:bookmarkStart w:id="101" w:name="_Toc10184884"/>
      <w:bookmarkStart w:id="102" w:name="_Toc512354292"/>
      <w:bookmarkStart w:id="103" w:name="_Toc31166"/>
      <w:bookmarkStart w:id="104" w:name="_Toc484699854"/>
      <w:bookmarkStart w:id="105" w:name="_Toc382509464"/>
      <w:bookmarkStart w:id="106" w:name="_Toc484699852"/>
      <w:bookmarkStart w:id="107" w:name="_Toc512354290"/>
      <w:r>
        <w:rPr>
          <w:rStyle w:val="66"/>
          <w:rFonts w:hint="default" w:ascii="Times New Roman" w:hAnsi="Times New Roman" w:cs="Times New Roman"/>
          <w:color w:val="auto"/>
          <w:highlight w:val="none"/>
        </w:rPr>
        <w:t>格式一                            洽谈报价函</w:t>
      </w:r>
      <w:bookmarkEnd w:id="100"/>
      <w:bookmarkEnd w:id="101"/>
      <w:bookmarkEnd w:id="102"/>
      <w:bookmarkEnd w:id="103"/>
      <w:bookmarkEnd w:id="104"/>
    </w:p>
    <w:p>
      <w:pPr>
        <w:spacing w:line="400" w:lineRule="exact"/>
        <w:jc w:val="both"/>
        <w:rPr>
          <w:rFonts w:hint="default" w:ascii="Times New Roman" w:hAnsi="Times New Roman" w:cs="Times New Roman"/>
          <w:color w:val="auto"/>
          <w:sz w:val="28"/>
          <w:szCs w:val="28"/>
          <w:highlight w:val="none"/>
        </w:rPr>
      </w:pPr>
    </w:p>
    <w:p>
      <w:pPr>
        <w:spacing w:line="360" w:lineRule="auto"/>
        <w:rPr>
          <w:rFonts w:hint="default" w:ascii="Times New Roman" w:hAnsi="Times New Roman" w:cs="Times New Roman"/>
          <w:b/>
          <w:color w:val="auto"/>
          <w:sz w:val="24"/>
          <w:szCs w:val="24"/>
          <w:highlight w:val="none"/>
          <w:u w:val="single"/>
        </w:rPr>
      </w:pPr>
      <w:r>
        <w:rPr>
          <w:rFonts w:hint="default" w:ascii="Times New Roman" w:hAnsi="Times New Roman" w:cs="Times New Roman"/>
          <w:color w:val="auto"/>
          <w:sz w:val="24"/>
          <w:szCs w:val="24"/>
          <w:highlight w:val="none"/>
          <w:u w:val="single"/>
          <w:lang w:val="zh-CN"/>
        </w:rPr>
        <w:t>（采购人全称）</w:t>
      </w:r>
      <w:r>
        <w:rPr>
          <w:rFonts w:hint="default" w:ascii="Times New Roman" w:hAnsi="Times New Roman" w:cs="Times New Roman"/>
          <w:color w:val="auto"/>
          <w:sz w:val="24"/>
          <w:szCs w:val="24"/>
          <w:highlight w:val="none"/>
          <w:u w:val="single"/>
        </w:rPr>
        <w:t>：</w:t>
      </w:r>
    </w:p>
    <w:p>
      <w:pPr>
        <w:spacing w:line="440" w:lineRule="exact"/>
        <w:ind w:firstLine="480" w:firstLineChars="200"/>
        <w:jc w:val="both"/>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根据已收到的采购文件，我公司经过研究采购文件之后，决定授权</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rPr>
        <w:t xml:space="preserve">（法人代表或授权代理人），参加贵单位组织的 </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rPr>
        <w:t>（项目名称）采购活动，并根据法定代表人身份证书（或法人授权委托书）赋予的权限参加整个采购工作的全过程。为此：</w:t>
      </w:r>
    </w:p>
    <w:p>
      <w:pPr>
        <w:spacing w:line="440" w:lineRule="exact"/>
        <w:ind w:firstLine="480" w:firstLineChars="200"/>
        <w:jc w:val="both"/>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xml:space="preserve">1、提供供应商须知规定的全部采购响应文件，其中：响应文件正本一份 </w:t>
      </w:r>
    </w:p>
    <w:p>
      <w:pPr>
        <w:spacing w:line="440" w:lineRule="exact"/>
        <w:ind w:firstLine="480" w:firstLineChars="200"/>
        <w:jc w:val="both"/>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2、固定总价</w:t>
      </w:r>
      <w:r>
        <w:rPr>
          <w:rFonts w:hint="default" w:ascii="Times New Roman" w:hAnsi="Times New Roman" w:cs="Times New Roman"/>
          <w:color w:val="auto"/>
          <w:sz w:val="24"/>
          <w:szCs w:val="24"/>
          <w:highlight w:val="none"/>
          <w:u w:val="single"/>
        </w:rPr>
        <w:t xml:space="preserve">         </w:t>
      </w:r>
      <w:r>
        <w:rPr>
          <w:rFonts w:hint="default" w:ascii="Times New Roman" w:hAnsi="Times New Roman" w:cs="Times New Roman"/>
          <w:color w:val="auto"/>
          <w:sz w:val="24"/>
          <w:szCs w:val="24"/>
          <w:highlight w:val="none"/>
        </w:rPr>
        <w:t>（含税报价），其中增值税税率</w:t>
      </w:r>
      <w:r>
        <w:rPr>
          <w:rFonts w:hint="default" w:ascii="Times New Roman" w:hAnsi="Times New Roman" w:cs="Times New Roman"/>
          <w:color w:val="auto"/>
          <w:sz w:val="24"/>
          <w:szCs w:val="24"/>
          <w:highlight w:val="none"/>
          <w:u w:val="single"/>
        </w:rPr>
        <w:t xml:space="preserve">为       </w:t>
      </w:r>
      <w:r>
        <w:rPr>
          <w:rFonts w:hint="default" w:ascii="Times New Roman" w:hAnsi="Times New Roman" w:cs="Times New Roman"/>
          <w:color w:val="auto"/>
          <w:sz w:val="24"/>
          <w:szCs w:val="24"/>
          <w:highlight w:val="none"/>
        </w:rPr>
        <w:t>。</w:t>
      </w:r>
    </w:p>
    <w:p>
      <w:pPr>
        <w:spacing w:line="440" w:lineRule="exact"/>
        <w:ind w:firstLine="480" w:firstLineChars="200"/>
        <w:jc w:val="both"/>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3、贵单位的采购文件、成交通知书和本响应文件构成约束双方的合同。</w:t>
      </w:r>
    </w:p>
    <w:p>
      <w:pPr>
        <w:spacing w:line="440" w:lineRule="exact"/>
        <w:ind w:firstLine="480" w:firstLineChars="200"/>
        <w:jc w:val="both"/>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4、本供应商已详细审查全部采购文件，包括修改文件以及全部参考资料和有关附件。我们完全理解并同意放弃对这方面有不明及误解的权利。</w:t>
      </w:r>
    </w:p>
    <w:p>
      <w:pPr>
        <w:spacing w:line="440" w:lineRule="exact"/>
        <w:ind w:firstLine="480" w:firstLineChars="200"/>
        <w:jc w:val="both"/>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5、如果在采购响应文件送达截止时间后，我们撤回报价，则采购响应保证金采购人不予返还。</w:t>
      </w:r>
    </w:p>
    <w:p>
      <w:pPr>
        <w:spacing w:line="440" w:lineRule="exact"/>
        <w:ind w:firstLine="480" w:firstLineChars="200"/>
        <w:jc w:val="both"/>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6、本供应商同意提供按照采购方可能要求的与本采购有关的一切数据或资料，完全理解采购方拒绝迟到的任何报价和最低报价不是被授予合同的唯一条件，并不要求对不成交原因做出解释。</w:t>
      </w:r>
    </w:p>
    <w:p>
      <w:pPr>
        <w:spacing w:line="400" w:lineRule="exact"/>
        <w:ind w:firstLine="480" w:firstLineChars="200"/>
        <w:jc w:val="both"/>
        <w:rPr>
          <w:rFonts w:hint="default" w:ascii="Times New Roman" w:hAnsi="Times New Roman" w:cs="Times New Roman"/>
          <w:color w:val="auto"/>
          <w:sz w:val="24"/>
          <w:szCs w:val="24"/>
          <w:highlight w:val="none"/>
        </w:rPr>
      </w:pPr>
    </w:p>
    <w:p>
      <w:pPr>
        <w:spacing w:line="400" w:lineRule="exact"/>
        <w:ind w:firstLine="480" w:firstLineChars="200"/>
        <w:jc w:val="both"/>
        <w:rPr>
          <w:rFonts w:hint="default" w:ascii="Times New Roman" w:hAnsi="Times New Roman" w:cs="Times New Roman"/>
          <w:color w:val="auto"/>
          <w:sz w:val="24"/>
          <w:szCs w:val="24"/>
          <w:highlight w:val="none"/>
        </w:rPr>
      </w:pPr>
    </w:p>
    <w:p>
      <w:pPr>
        <w:spacing w:line="400" w:lineRule="exact"/>
        <w:ind w:firstLine="480" w:firstLineChars="200"/>
        <w:jc w:val="both"/>
        <w:rPr>
          <w:rFonts w:hint="default" w:ascii="Times New Roman" w:hAnsi="Times New Roman" w:cs="Times New Roman"/>
          <w:color w:val="auto"/>
          <w:sz w:val="24"/>
          <w:szCs w:val="24"/>
          <w:highlight w:val="none"/>
        </w:rPr>
      </w:pPr>
    </w:p>
    <w:p>
      <w:pPr>
        <w:spacing w:line="400" w:lineRule="exact"/>
        <w:jc w:val="both"/>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供应商（盖章）：                        法定代表人签字或印鉴：</w:t>
      </w:r>
    </w:p>
    <w:p>
      <w:pPr>
        <w:spacing w:line="400" w:lineRule="exact"/>
        <w:jc w:val="both"/>
        <w:rPr>
          <w:rFonts w:hint="default" w:ascii="Times New Roman" w:hAnsi="Times New Roman" w:cs="Times New Roman"/>
          <w:color w:val="auto"/>
          <w:sz w:val="24"/>
          <w:szCs w:val="24"/>
          <w:highlight w:val="none"/>
        </w:rPr>
      </w:pPr>
    </w:p>
    <w:p>
      <w:pPr>
        <w:spacing w:line="400" w:lineRule="exact"/>
        <w:jc w:val="both"/>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 </w:t>
      </w:r>
    </w:p>
    <w:p>
      <w:pPr>
        <w:spacing w:line="400" w:lineRule="exact"/>
        <w:ind w:firstLine="6240" w:firstLineChars="2600"/>
        <w:jc w:val="both"/>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日期：</w:t>
      </w:r>
    </w:p>
    <w:p>
      <w:pPr>
        <w:widowControl w:val="0"/>
        <w:spacing w:line="400" w:lineRule="exact"/>
        <w:ind w:left="306"/>
        <w:jc w:val="both"/>
        <w:rPr>
          <w:rFonts w:hint="default" w:ascii="Times New Roman" w:hAnsi="Times New Roman" w:cs="Times New Roman"/>
          <w:b/>
          <w:color w:val="auto"/>
          <w:sz w:val="24"/>
          <w:szCs w:val="24"/>
          <w:highlight w:val="none"/>
        </w:rPr>
      </w:pPr>
      <w:bookmarkStart w:id="108" w:name="_Toc267398721"/>
      <w:bookmarkStart w:id="109" w:name="_Toc267389606"/>
      <w:bookmarkStart w:id="110" w:name="_Toc235710542"/>
      <w:bookmarkStart w:id="111" w:name="_Toc237354726"/>
      <w:bookmarkStart w:id="112" w:name="_Toc286842570"/>
      <w:bookmarkStart w:id="113" w:name="_Toc267398988"/>
      <w:bookmarkStart w:id="114" w:name="_Toc267398559"/>
      <w:bookmarkStart w:id="115" w:name="_Toc234036500"/>
      <w:bookmarkStart w:id="116" w:name="_Toc69321507"/>
      <w:r>
        <w:rPr>
          <w:rFonts w:hint="default" w:ascii="Times New Roman" w:hAnsi="Times New Roman" w:cs="Times New Roman"/>
          <w:b/>
          <w:color w:val="auto"/>
          <w:sz w:val="24"/>
          <w:szCs w:val="24"/>
          <w:highlight w:val="none"/>
        </w:rPr>
        <w:br w:type="page"/>
      </w:r>
    </w:p>
    <w:p>
      <w:pPr>
        <w:pStyle w:val="5"/>
        <w:rPr>
          <w:rFonts w:hint="default" w:ascii="Times New Roman" w:hAnsi="Times New Roman" w:cs="Times New Roman"/>
          <w:color w:val="auto"/>
          <w:highlight w:val="none"/>
        </w:rPr>
      </w:pPr>
      <w:bookmarkStart w:id="117" w:name="_Toc10184885"/>
      <w:bookmarkStart w:id="118" w:name="_Toc382509468"/>
      <w:bookmarkStart w:id="119" w:name="_Toc512354293"/>
      <w:bookmarkStart w:id="120" w:name="_Toc484699855"/>
      <w:bookmarkStart w:id="121" w:name="_Toc26632"/>
      <w:bookmarkStart w:id="122" w:name="_Toc10122276"/>
      <w:r>
        <w:rPr>
          <w:rFonts w:hint="default" w:ascii="Times New Roman" w:hAnsi="Times New Roman" w:cs="Times New Roman"/>
          <w:color w:val="auto"/>
          <w:highlight w:val="none"/>
        </w:rPr>
        <w:t xml:space="preserve">格式二                            </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r>
        <w:rPr>
          <w:rFonts w:hint="default" w:ascii="Times New Roman" w:hAnsi="Times New Roman" w:cs="Times New Roman"/>
          <w:color w:val="auto"/>
          <w:highlight w:val="none"/>
        </w:rPr>
        <w:t>报价一览表</w:t>
      </w:r>
    </w:p>
    <w:p>
      <w:pPr>
        <w:widowControl w:val="0"/>
        <w:spacing w:line="400" w:lineRule="exact"/>
        <w:ind w:left="306"/>
        <w:jc w:val="both"/>
        <w:rPr>
          <w:rFonts w:hint="default" w:ascii="Times New Roman" w:hAnsi="Times New Roman" w:cs="Times New Roman"/>
          <w:b/>
          <w:bCs/>
          <w:color w:val="auto"/>
          <w:sz w:val="22"/>
          <w:szCs w:val="22"/>
          <w:highlight w:val="none"/>
        </w:rPr>
      </w:pPr>
      <w:r>
        <w:rPr>
          <w:rFonts w:hint="default" w:ascii="Times New Roman" w:hAnsi="Times New Roman" w:cs="Times New Roman"/>
          <w:b/>
          <w:bCs/>
          <w:color w:val="auto"/>
          <w:sz w:val="22"/>
          <w:szCs w:val="22"/>
          <w:highlight w:val="none"/>
        </w:rPr>
        <w:t>项目名称：                                        项目编号：</w:t>
      </w:r>
    </w:p>
    <w:tbl>
      <w:tblPr>
        <w:tblStyle w:val="50"/>
        <w:tblW w:w="8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266"/>
        <w:gridCol w:w="4391"/>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00" w:beforeAutospacing="1" w:after="100" w:afterAutospacing="1"/>
              <w:rPr>
                <w:rFonts w:hint="default" w:ascii="Times New Roman" w:hAnsi="Times New Roman" w:cs="Times New Roman"/>
                <w:b/>
                <w:color w:val="auto"/>
                <w:szCs w:val="21"/>
                <w:highlight w:val="none"/>
              </w:rPr>
            </w:pPr>
            <w:bookmarkStart w:id="123" w:name="_Toc10184886"/>
            <w:bookmarkStart w:id="124" w:name="_Toc10122277"/>
            <w:bookmarkStart w:id="125" w:name="_Toc17685"/>
            <w:r>
              <w:rPr>
                <w:rFonts w:hint="default" w:ascii="Times New Roman" w:hAnsi="Times New Roman" w:cs="Times New Roman"/>
                <w:b/>
                <w:color w:val="auto"/>
                <w:szCs w:val="21"/>
                <w:highlight w:val="none"/>
              </w:rPr>
              <w:t>序号</w:t>
            </w:r>
          </w:p>
        </w:tc>
        <w:tc>
          <w:tcPr>
            <w:tcW w:w="22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00" w:beforeAutospacing="1" w:after="100" w:afterAutospacing="1"/>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分项</w:t>
            </w:r>
          </w:p>
        </w:tc>
        <w:tc>
          <w:tcPr>
            <w:tcW w:w="43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00" w:beforeAutospacing="1" w:after="100" w:afterAutospacing="1"/>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报价内容</w:t>
            </w:r>
          </w:p>
        </w:tc>
        <w:tc>
          <w:tcPr>
            <w:tcW w:w="15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00" w:beforeAutospacing="1" w:after="100" w:afterAutospacing="1"/>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00" w:beforeAutospacing="1" w:after="100" w:afterAutospacing="1"/>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w:t>
            </w:r>
          </w:p>
        </w:tc>
        <w:tc>
          <w:tcPr>
            <w:tcW w:w="22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00" w:beforeAutospacing="1" w:after="100" w:afterAutospacing="1"/>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货物名称</w:t>
            </w:r>
          </w:p>
        </w:tc>
        <w:tc>
          <w:tcPr>
            <w:tcW w:w="43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00" w:beforeAutospacing="1" w:after="100" w:afterAutospacing="1"/>
              <w:rPr>
                <w:rFonts w:hint="default" w:ascii="Times New Roman" w:hAnsi="Times New Roman" w:cs="Times New Roman"/>
                <w:color w:val="auto"/>
                <w:szCs w:val="21"/>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00" w:beforeAutospacing="1" w:after="100" w:afterAutospacing="1"/>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00" w:beforeAutospacing="1" w:after="100" w:afterAutospacing="1"/>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w:t>
            </w:r>
          </w:p>
        </w:tc>
        <w:tc>
          <w:tcPr>
            <w:tcW w:w="22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00" w:beforeAutospacing="1" w:after="100" w:afterAutospacing="1"/>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报价总价（小写）</w:t>
            </w:r>
          </w:p>
        </w:tc>
        <w:tc>
          <w:tcPr>
            <w:tcW w:w="43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00" w:beforeAutospacing="1" w:after="100" w:afterAutospacing="1"/>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w:t>
            </w:r>
          </w:p>
        </w:tc>
        <w:tc>
          <w:tcPr>
            <w:tcW w:w="15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00" w:beforeAutospacing="1" w:after="100" w:afterAutospacing="1"/>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00" w:beforeAutospacing="1" w:after="100" w:afterAutospacing="1"/>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w:t>
            </w:r>
          </w:p>
        </w:tc>
        <w:tc>
          <w:tcPr>
            <w:tcW w:w="22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00" w:beforeAutospacing="1" w:after="100" w:afterAutospacing="1"/>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报价总价（大写）</w:t>
            </w:r>
          </w:p>
        </w:tc>
        <w:tc>
          <w:tcPr>
            <w:tcW w:w="43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00" w:beforeAutospacing="1" w:after="100" w:afterAutospacing="1"/>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人民币     万元整</w:t>
            </w:r>
          </w:p>
        </w:tc>
        <w:tc>
          <w:tcPr>
            <w:tcW w:w="15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00" w:beforeAutospacing="1" w:after="100" w:afterAutospacing="1"/>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00" w:beforeAutospacing="1" w:after="100" w:afterAutospacing="1"/>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w:t>
            </w:r>
          </w:p>
        </w:tc>
        <w:tc>
          <w:tcPr>
            <w:tcW w:w="22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00" w:beforeAutospacing="1" w:after="100" w:afterAutospacing="1"/>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交货期</w:t>
            </w:r>
          </w:p>
        </w:tc>
        <w:tc>
          <w:tcPr>
            <w:tcW w:w="43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00" w:beforeAutospacing="1" w:after="100" w:afterAutospacing="1"/>
              <w:rPr>
                <w:rFonts w:hint="default" w:ascii="Times New Roman" w:hAnsi="Times New Roman" w:cs="Times New Roman"/>
                <w:color w:val="auto"/>
                <w:szCs w:val="21"/>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00" w:beforeAutospacing="1" w:after="100" w:afterAutospacing="1"/>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00" w:beforeAutospacing="1" w:after="100" w:afterAutospacing="1"/>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5</w:t>
            </w:r>
          </w:p>
        </w:tc>
        <w:tc>
          <w:tcPr>
            <w:tcW w:w="22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00" w:beforeAutospacing="1" w:after="100" w:afterAutospacing="1"/>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报价声明</w:t>
            </w:r>
          </w:p>
        </w:tc>
        <w:tc>
          <w:tcPr>
            <w:tcW w:w="43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00" w:beforeAutospacing="1" w:after="100" w:afterAutospacing="1"/>
              <w:rPr>
                <w:rFonts w:hint="default" w:ascii="Times New Roman" w:hAnsi="Times New Roman" w:cs="Times New Roman"/>
                <w:color w:val="auto"/>
                <w:szCs w:val="21"/>
                <w:highlight w:val="none"/>
              </w:rPr>
            </w:pPr>
          </w:p>
          <w:p>
            <w:pPr>
              <w:adjustRightInd w:val="0"/>
              <w:snapToGrid w:val="0"/>
              <w:spacing w:before="100" w:beforeAutospacing="1" w:after="100" w:afterAutospacing="1"/>
              <w:rPr>
                <w:rFonts w:hint="default" w:ascii="Times New Roman" w:hAnsi="Times New Roman" w:cs="Times New Roman"/>
                <w:color w:val="auto"/>
                <w:szCs w:val="21"/>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00" w:beforeAutospacing="1" w:after="100" w:afterAutospacing="1"/>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892"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before="100" w:beforeAutospacing="1" w:after="100" w:afterAutospacing="1"/>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授权代表签字或印鉴：                      日期：   </w:t>
            </w:r>
            <w:r>
              <w:rPr>
                <w:rFonts w:hint="eastAsia" w:cs="Times New Roman"/>
                <w:color w:val="auto"/>
                <w:szCs w:val="21"/>
                <w:highlight w:val="none"/>
                <w:lang w:eastAsia="zh-CN"/>
              </w:rPr>
              <w:t>2024</w:t>
            </w:r>
            <w:r>
              <w:rPr>
                <w:rFonts w:hint="default" w:ascii="Times New Roman" w:hAnsi="Times New Roman" w:cs="Times New Roman"/>
                <w:color w:val="auto"/>
                <w:szCs w:val="21"/>
                <w:highlight w:val="none"/>
              </w:rPr>
              <w:t>年  月  日</w:t>
            </w:r>
          </w:p>
          <w:p>
            <w:pPr>
              <w:adjustRightInd w:val="0"/>
              <w:snapToGrid w:val="0"/>
              <w:spacing w:before="100" w:beforeAutospacing="1" w:after="100" w:afterAutospacing="1"/>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892"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before="100" w:beforeAutospacing="1" w:after="100" w:afterAutospacing="1"/>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报价单位（盖章）：                 </w:t>
            </w:r>
          </w:p>
          <w:p>
            <w:pPr>
              <w:adjustRightInd w:val="0"/>
              <w:snapToGrid w:val="0"/>
              <w:spacing w:before="100" w:beforeAutospacing="1" w:after="100" w:afterAutospacing="1"/>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892"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before="20" w:after="20"/>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备注：</w:t>
            </w:r>
            <w:r>
              <w:rPr>
                <w:rFonts w:hint="default" w:ascii="Times New Roman" w:hAnsi="Times New Roman" w:cs="Times New Roman"/>
                <w:b/>
                <w:color w:val="auto"/>
                <w:szCs w:val="21"/>
                <w:highlight w:val="none"/>
                <w:lang w:val="en-US" w:eastAsia="zh-CN"/>
              </w:rPr>
              <w:t>1</w:t>
            </w:r>
            <w:r>
              <w:rPr>
                <w:rFonts w:hint="default" w:ascii="Times New Roman" w:hAnsi="Times New Roman" w:cs="Times New Roman"/>
                <w:b/>
                <w:color w:val="auto"/>
                <w:szCs w:val="21"/>
                <w:highlight w:val="none"/>
              </w:rPr>
              <w:t>.报价为</w:t>
            </w:r>
            <w:r>
              <w:rPr>
                <w:rFonts w:hint="default" w:ascii="Times New Roman" w:hAnsi="Times New Roman" w:cs="Times New Roman"/>
                <w:b/>
                <w:color w:val="auto"/>
                <w:szCs w:val="21"/>
                <w:highlight w:val="none"/>
                <w:u w:val="single"/>
              </w:rPr>
              <w:t>目的地交货含税价格</w:t>
            </w:r>
            <w:r>
              <w:rPr>
                <w:rFonts w:hint="default" w:ascii="Times New Roman" w:hAnsi="Times New Roman" w:cs="Times New Roman"/>
                <w:b/>
                <w:color w:val="auto"/>
                <w:szCs w:val="21"/>
                <w:highlight w:val="none"/>
              </w:rPr>
              <w:t>；</w:t>
            </w:r>
          </w:p>
          <w:p>
            <w:pPr>
              <w:adjustRightInd w:val="0"/>
              <w:snapToGrid w:val="0"/>
              <w:spacing w:before="20" w:after="20"/>
              <w:ind w:firstLine="602" w:firstLineChars="300"/>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lang w:val="en-US" w:eastAsia="zh-CN"/>
              </w:rPr>
              <w:t>2</w:t>
            </w:r>
            <w:r>
              <w:rPr>
                <w:rFonts w:hint="default" w:ascii="Times New Roman" w:hAnsi="Times New Roman" w:cs="Times New Roman"/>
                <w:b/>
                <w:color w:val="auto"/>
                <w:szCs w:val="21"/>
                <w:highlight w:val="none"/>
              </w:rPr>
              <w:t>.此表手写无效，报价人须在电子版上妥善填写。</w:t>
            </w:r>
          </w:p>
          <w:p>
            <w:pPr>
              <w:adjustRightInd w:val="0"/>
              <w:snapToGrid w:val="0"/>
              <w:spacing w:before="20" w:after="20"/>
              <w:ind w:firstLine="720" w:firstLineChars="300"/>
              <w:rPr>
                <w:rFonts w:hint="default" w:ascii="Times New Roman" w:hAnsi="Times New Roman" w:cs="Times New Roman"/>
                <w:color w:val="auto"/>
                <w:sz w:val="24"/>
                <w:highlight w:val="none"/>
              </w:rPr>
            </w:pPr>
          </w:p>
        </w:tc>
      </w:tr>
    </w:tbl>
    <w:p>
      <w:pPr>
        <w:tabs>
          <w:tab w:val="center" w:pos="4535"/>
          <w:tab w:val="left" w:pos="5840"/>
        </w:tabs>
        <w:spacing w:line="360" w:lineRule="auto"/>
        <w:jc w:val="both"/>
        <w:rPr>
          <w:rStyle w:val="66"/>
          <w:rFonts w:hint="default" w:ascii="Times New Roman" w:hAnsi="Times New Roman" w:cs="Times New Roman"/>
          <w:color w:val="auto"/>
          <w:highlight w:val="none"/>
        </w:rPr>
      </w:pPr>
    </w:p>
    <w:p>
      <w:pPr>
        <w:tabs>
          <w:tab w:val="center" w:pos="4535"/>
          <w:tab w:val="left" w:pos="5840"/>
        </w:tabs>
        <w:spacing w:line="360" w:lineRule="auto"/>
        <w:jc w:val="both"/>
        <w:rPr>
          <w:rStyle w:val="66"/>
          <w:rFonts w:hint="default" w:ascii="Times New Roman" w:hAnsi="Times New Roman" w:cs="Times New Roman"/>
          <w:color w:val="auto"/>
          <w:highlight w:val="none"/>
        </w:rPr>
      </w:pPr>
    </w:p>
    <w:p>
      <w:pPr>
        <w:widowControl w:val="0"/>
        <w:spacing w:line="400" w:lineRule="exact"/>
        <w:ind w:left="306"/>
        <w:jc w:val="both"/>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br w:type="page"/>
      </w:r>
    </w:p>
    <w:p>
      <w:pPr>
        <w:tabs>
          <w:tab w:val="center" w:pos="4535"/>
          <w:tab w:val="left" w:pos="5840"/>
        </w:tabs>
        <w:spacing w:line="360" w:lineRule="auto"/>
        <w:ind w:firstLine="321" w:firstLineChars="100"/>
        <w:jc w:val="both"/>
        <w:outlineLvl w:val="1"/>
        <w:rPr>
          <w:rStyle w:val="66"/>
          <w:rFonts w:hint="default" w:ascii="Times New Roman" w:hAnsi="Times New Roman" w:cs="Times New Roman"/>
          <w:color w:val="auto"/>
          <w:highlight w:val="none"/>
        </w:rPr>
      </w:pPr>
      <w:r>
        <w:rPr>
          <w:rStyle w:val="66"/>
          <w:rFonts w:hint="default" w:ascii="Times New Roman" w:hAnsi="Times New Roman" w:cs="Times New Roman"/>
          <w:color w:val="auto"/>
          <w:highlight w:val="none"/>
        </w:rPr>
        <w:t xml:space="preserve">格式三                            分项报价表  （格式可自拟）                           </w:t>
      </w:r>
    </w:p>
    <w:p>
      <w:pPr>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 xml:space="preserve">报价人名称：            采购编号：                    </w:t>
      </w:r>
    </w:p>
    <w:p>
      <w:pPr>
        <w:spacing w:before="100" w:beforeAutospacing="1" w:after="100" w:afterAutospacing="1" w:line="360" w:lineRule="auto"/>
        <w:rPr>
          <w:rFonts w:hint="default" w:ascii="Times New Roman" w:hAnsi="Times New Roman" w:cs="Times New Roman"/>
          <w:color w:val="auto"/>
          <w:sz w:val="30"/>
          <w:highlight w:val="none"/>
        </w:rPr>
      </w:pPr>
      <w:r>
        <w:rPr>
          <w:rFonts w:hint="default" w:ascii="Times New Roman" w:hAnsi="Times New Roman" w:cs="Times New Roman"/>
          <w:color w:val="auto"/>
          <w:sz w:val="24"/>
          <w:highlight w:val="none"/>
        </w:rPr>
        <w:t>报价人盖章：</w:t>
      </w:r>
    </w:p>
    <w:tbl>
      <w:tblPr>
        <w:tblStyle w:val="50"/>
        <w:tblW w:w="11368" w:type="dxa"/>
        <w:tblInd w:w="-10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1099"/>
        <w:gridCol w:w="1338"/>
        <w:gridCol w:w="1559"/>
        <w:gridCol w:w="1972"/>
        <w:gridCol w:w="1033"/>
        <w:gridCol w:w="1050"/>
        <w:gridCol w:w="1633"/>
        <w:gridCol w:w="1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4" w:type="dxa"/>
            <w:tcBorders>
              <w:top w:val="single" w:color="auto" w:sz="4" w:space="0"/>
              <w:left w:val="single" w:color="auto" w:sz="4" w:space="0"/>
              <w:bottom w:val="single" w:color="auto" w:sz="4" w:space="0"/>
              <w:right w:val="single" w:color="auto" w:sz="8" w:space="0"/>
            </w:tcBorders>
            <w:vAlign w:val="center"/>
          </w:tcPr>
          <w:p>
            <w:pPr>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序号</w:t>
            </w:r>
          </w:p>
        </w:tc>
        <w:tc>
          <w:tcPr>
            <w:tcW w:w="1099" w:type="dxa"/>
            <w:tcBorders>
              <w:top w:val="single" w:color="auto" w:sz="4" w:space="0"/>
              <w:left w:val="single" w:color="auto" w:sz="8" w:space="0"/>
              <w:bottom w:val="single" w:color="auto" w:sz="4" w:space="0"/>
              <w:right w:val="single" w:color="auto" w:sz="4" w:space="0"/>
            </w:tcBorders>
            <w:vAlign w:val="center"/>
          </w:tcPr>
          <w:p>
            <w:pPr>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货物名称</w:t>
            </w:r>
          </w:p>
        </w:tc>
        <w:tc>
          <w:tcPr>
            <w:tcW w:w="133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规格型号</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单位</w:t>
            </w:r>
          </w:p>
        </w:tc>
        <w:tc>
          <w:tcPr>
            <w:tcW w:w="1972"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数量</w:t>
            </w:r>
          </w:p>
        </w:tc>
        <w:tc>
          <w:tcPr>
            <w:tcW w:w="103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单价(元)</w:t>
            </w:r>
          </w:p>
        </w:tc>
        <w:tc>
          <w:tcPr>
            <w:tcW w:w="105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总价(元)</w:t>
            </w:r>
          </w:p>
        </w:tc>
        <w:tc>
          <w:tcPr>
            <w:tcW w:w="163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制造厂（品牌）</w:t>
            </w:r>
          </w:p>
        </w:tc>
        <w:tc>
          <w:tcPr>
            <w:tcW w:w="100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4" w:type="dxa"/>
            <w:tcBorders>
              <w:top w:val="single" w:color="auto" w:sz="4" w:space="0"/>
              <w:left w:val="single" w:color="auto" w:sz="4" w:space="0"/>
              <w:bottom w:val="single" w:color="auto" w:sz="4" w:space="0"/>
              <w:right w:val="single" w:color="auto" w:sz="8" w:space="0"/>
            </w:tcBorders>
          </w:tcPr>
          <w:p>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w:t>
            </w:r>
          </w:p>
        </w:tc>
        <w:tc>
          <w:tcPr>
            <w:tcW w:w="1099" w:type="dxa"/>
            <w:tcBorders>
              <w:top w:val="single" w:color="auto" w:sz="4" w:space="0"/>
              <w:left w:val="single" w:color="auto" w:sz="8" w:space="0"/>
              <w:bottom w:val="single" w:color="auto" w:sz="4" w:space="0"/>
              <w:right w:val="single" w:color="auto" w:sz="4" w:space="0"/>
            </w:tcBorders>
          </w:tcPr>
          <w:p>
            <w:pPr>
              <w:rPr>
                <w:rFonts w:hint="default" w:ascii="Times New Roman" w:hAnsi="Times New Roman" w:cs="Times New Roman"/>
                <w:color w:val="auto"/>
                <w:szCs w:val="21"/>
                <w:highlight w:val="none"/>
              </w:rPr>
            </w:pPr>
          </w:p>
        </w:tc>
        <w:tc>
          <w:tcPr>
            <w:tcW w:w="1338"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color w:val="auto"/>
                <w:szCs w:val="21"/>
                <w:highlight w:val="none"/>
              </w:rPr>
            </w:pPr>
          </w:p>
        </w:tc>
        <w:tc>
          <w:tcPr>
            <w:tcW w:w="1559"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color w:val="auto"/>
                <w:szCs w:val="21"/>
                <w:highlight w:val="none"/>
              </w:rPr>
            </w:pPr>
          </w:p>
        </w:tc>
        <w:tc>
          <w:tcPr>
            <w:tcW w:w="1972"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color w:val="auto"/>
                <w:szCs w:val="21"/>
                <w:highlight w:val="none"/>
              </w:rPr>
            </w:pPr>
          </w:p>
        </w:tc>
        <w:tc>
          <w:tcPr>
            <w:tcW w:w="1633"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color w:val="auto"/>
                <w:szCs w:val="21"/>
                <w:highlight w:val="none"/>
              </w:rPr>
            </w:pPr>
          </w:p>
        </w:tc>
        <w:tc>
          <w:tcPr>
            <w:tcW w:w="100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4" w:type="dxa"/>
            <w:tcBorders>
              <w:top w:val="single" w:color="auto" w:sz="4" w:space="0"/>
              <w:left w:val="single" w:color="auto" w:sz="4" w:space="0"/>
              <w:bottom w:val="single" w:color="auto" w:sz="4" w:space="0"/>
              <w:right w:val="single" w:color="auto" w:sz="8" w:space="0"/>
            </w:tcBorders>
          </w:tcPr>
          <w:p>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w:t>
            </w:r>
          </w:p>
        </w:tc>
        <w:tc>
          <w:tcPr>
            <w:tcW w:w="1099" w:type="dxa"/>
            <w:tcBorders>
              <w:top w:val="single" w:color="auto" w:sz="4" w:space="0"/>
              <w:left w:val="single" w:color="auto" w:sz="8" w:space="0"/>
              <w:bottom w:val="single" w:color="auto" w:sz="4" w:space="0"/>
              <w:right w:val="single" w:color="auto" w:sz="4" w:space="0"/>
            </w:tcBorders>
          </w:tcPr>
          <w:p>
            <w:pPr>
              <w:rPr>
                <w:rFonts w:hint="default" w:ascii="Times New Roman" w:hAnsi="Times New Roman" w:cs="Times New Roman"/>
                <w:color w:val="auto"/>
                <w:szCs w:val="21"/>
                <w:highlight w:val="none"/>
              </w:rPr>
            </w:pPr>
          </w:p>
        </w:tc>
        <w:tc>
          <w:tcPr>
            <w:tcW w:w="1338"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color w:val="auto"/>
                <w:szCs w:val="21"/>
                <w:highlight w:val="none"/>
              </w:rPr>
            </w:pPr>
          </w:p>
        </w:tc>
        <w:tc>
          <w:tcPr>
            <w:tcW w:w="1559"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color w:val="auto"/>
                <w:szCs w:val="21"/>
                <w:highlight w:val="none"/>
              </w:rPr>
            </w:pPr>
          </w:p>
        </w:tc>
        <w:tc>
          <w:tcPr>
            <w:tcW w:w="1972"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color w:val="auto"/>
                <w:szCs w:val="21"/>
                <w:highlight w:val="none"/>
              </w:rPr>
            </w:pPr>
          </w:p>
        </w:tc>
        <w:tc>
          <w:tcPr>
            <w:tcW w:w="1633"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color w:val="auto"/>
                <w:szCs w:val="21"/>
                <w:highlight w:val="none"/>
              </w:rPr>
            </w:pPr>
          </w:p>
        </w:tc>
        <w:tc>
          <w:tcPr>
            <w:tcW w:w="100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4" w:type="dxa"/>
            <w:tcBorders>
              <w:top w:val="single" w:color="auto" w:sz="4" w:space="0"/>
              <w:left w:val="single" w:color="auto" w:sz="4" w:space="0"/>
              <w:bottom w:val="single" w:color="auto" w:sz="4" w:space="0"/>
              <w:right w:val="single" w:color="auto" w:sz="8" w:space="0"/>
            </w:tcBorders>
          </w:tcPr>
          <w:p>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w:t>
            </w:r>
          </w:p>
        </w:tc>
        <w:tc>
          <w:tcPr>
            <w:tcW w:w="1099" w:type="dxa"/>
            <w:tcBorders>
              <w:top w:val="single" w:color="auto" w:sz="4" w:space="0"/>
              <w:left w:val="single" w:color="auto" w:sz="8" w:space="0"/>
              <w:bottom w:val="single" w:color="auto" w:sz="4" w:space="0"/>
              <w:right w:val="single" w:color="auto" w:sz="4" w:space="0"/>
            </w:tcBorders>
          </w:tcPr>
          <w:p>
            <w:pPr>
              <w:rPr>
                <w:rFonts w:hint="default" w:ascii="Times New Roman" w:hAnsi="Times New Roman" w:cs="Times New Roman"/>
                <w:color w:val="auto"/>
                <w:szCs w:val="21"/>
                <w:highlight w:val="none"/>
              </w:rPr>
            </w:pPr>
          </w:p>
        </w:tc>
        <w:tc>
          <w:tcPr>
            <w:tcW w:w="1338"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color w:val="auto"/>
                <w:szCs w:val="21"/>
                <w:highlight w:val="none"/>
              </w:rPr>
            </w:pPr>
          </w:p>
        </w:tc>
        <w:tc>
          <w:tcPr>
            <w:tcW w:w="1559"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color w:val="auto"/>
                <w:szCs w:val="21"/>
                <w:highlight w:val="none"/>
              </w:rPr>
            </w:pPr>
          </w:p>
        </w:tc>
        <w:tc>
          <w:tcPr>
            <w:tcW w:w="1972"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color w:val="auto"/>
                <w:szCs w:val="21"/>
                <w:highlight w:val="none"/>
              </w:rPr>
            </w:pPr>
          </w:p>
        </w:tc>
        <w:tc>
          <w:tcPr>
            <w:tcW w:w="1633"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color w:val="auto"/>
                <w:szCs w:val="21"/>
                <w:highlight w:val="none"/>
              </w:rPr>
            </w:pPr>
          </w:p>
        </w:tc>
        <w:tc>
          <w:tcPr>
            <w:tcW w:w="100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4" w:type="dxa"/>
            <w:tcBorders>
              <w:top w:val="single" w:color="auto" w:sz="4" w:space="0"/>
              <w:left w:val="single" w:color="auto" w:sz="4" w:space="0"/>
              <w:bottom w:val="single" w:color="auto" w:sz="4" w:space="0"/>
              <w:right w:val="single" w:color="auto" w:sz="8" w:space="0"/>
            </w:tcBorders>
          </w:tcPr>
          <w:p>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w:t>
            </w:r>
          </w:p>
        </w:tc>
        <w:tc>
          <w:tcPr>
            <w:tcW w:w="1099" w:type="dxa"/>
            <w:tcBorders>
              <w:top w:val="single" w:color="auto" w:sz="4" w:space="0"/>
              <w:left w:val="single" w:color="auto" w:sz="8" w:space="0"/>
              <w:bottom w:val="single" w:color="auto" w:sz="4" w:space="0"/>
              <w:right w:val="single" w:color="auto" w:sz="4" w:space="0"/>
            </w:tcBorders>
          </w:tcPr>
          <w:p>
            <w:pPr>
              <w:rPr>
                <w:rFonts w:hint="default" w:ascii="Times New Roman" w:hAnsi="Times New Roman" w:cs="Times New Roman"/>
                <w:color w:val="auto"/>
                <w:szCs w:val="21"/>
                <w:highlight w:val="none"/>
              </w:rPr>
            </w:pPr>
          </w:p>
        </w:tc>
        <w:tc>
          <w:tcPr>
            <w:tcW w:w="1338"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color w:val="auto"/>
                <w:szCs w:val="21"/>
                <w:highlight w:val="none"/>
              </w:rPr>
            </w:pPr>
          </w:p>
        </w:tc>
        <w:tc>
          <w:tcPr>
            <w:tcW w:w="1559"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color w:val="auto"/>
                <w:szCs w:val="21"/>
                <w:highlight w:val="none"/>
              </w:rPr>
            </w:pPr>
          </w:p>
        </w:tc>
        <w:tc>
          <w:tcPr>
            <w:tcW w:w="1972"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color w:val="auto"/>
                <w:szCs w:val="21"/>
                <w:highlight w:val="none"/>
              </w:rPr>
            </w:pPr>
          </w:p>
        </w:tc>
        <w:tc>
          <w:tcPr>
            <w:tcW w:w="1633"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color w:val="auto"/>
                <w:szCs w:val="21"/>
                <w:highlight w:val="none"/>
              </w:rPr>
            </w:pPr>
          </w:p>
        </w:tc>
        <w:tc>
          <w:tcPr>
            <w:tcW w:w="100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4" w:type="dxa"/>
            <w:tcBorders>
              <w:top w:val="single" w:color="auto" w:sz="4" w:space="0"/>
              <w:left w:val="single" w:color="auto" w:sz="4" w:space="0"/>
              <w:bottom w:val="single" w:color="auto" w:sz="4" w:space="0"/>
              <w:right w:val="single" w:color="auto" w:sz="8" w:space="0"/>
            </w:tcBorders>
          </w:tcPr>
          <w:p>
            <w:pPr>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w:t>
            </w:r>
          </w:p>
        </w:tc>
        <w:tc>
          <w:tcPr>
            <w:tcW w:w="1099" w:type="dxa"/>
            <w:tcBorders>
              <w:top w:val="single" w:color="auto" w:sz="4" w:space="0"/>
              <w:left w:val="single" w:color="auto" w:sz="8" w:space="0"/>
              <w:bottom w:val="single" w:color="auto" w:sz="4" w:space="0"/>
              <w:right w:val="single" w:color="auto" w:sz="4" w:space="0"/>
            </w:tcBorders>
          </w:tcPr>
          <w:p>
            <w:pPr>
              <w:rPr>
                <w:rFonts w:hint="default" w:ascii="Times New Roman" w:hAnsi="Times New Roman" w:cs="Times New Roman"/>
                <w:color w:val="auto"/>
                <w:szCs w:val="21"/>
                <w:highlight w:val="none"/>
              </w:rPr>
            </w:pPr>
          </w:p>
        </w:tc>
        <w:tc>
          <w:tcPr>
            <w:tcW w:w="1338"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color w:val="auto"/>
                <w:szCs w:val="21"/>
                <w:highlight w:val="none"/>
              </w:rPr>
            </w:pPr>
          </w:p>
        </w:tc>
        <w:tc>
          <w:tcPr>
            <w:tcW w:w="1559"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color w:val="auto"/>
                <w:szCs w:val="21"/>
                <w:highlight w:val="none"/>
              </w:rPr>
            </w:pPr>
          </w:p>
        </w:tc>
        <w:tc>
          <w:tcPr>
            <w:tcW w:w="1972"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color w:val="auto"/>
                <w:szCs w:val="21"/>
                <w:highlight w:val="none"/>
              </w:rPr>
            </w:pPr>
          </w:p>
        </w:tc>
        <w:tc>
          <w:tcPr>
            <w:tcW w:w="1633"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color w:val="auto"/>
                <w:szCs w:val="21"/>
                <w:highlight w:val="none"/>
              </w:rPr>
            </w:pPr>
          </w:p>
        </w:tc>
        <w:tc>
          <w:tcPr>
            <w:tcW w:w="100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783" w:type="dxa"/>
            <w:gridSpan w:val="2"/>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color w:val="auto"/>
                <w:sz w:val="24"/>
                <w:highlight w:val="none"/>
              </w:rPr>
            </w:pPr>
            <w:r>
              <w:rPr>
                <w:rFonts w:hint="default" w:ascii="Times New Roman" w:hAnsi="Times New Roman" w:cs="Times New Roman"/>
                <w:b/>
                <w:color w:val="auto"/>
                <w:sz w:val="24"/>
                <w:highlight w:val="none"/>
              </w:rPr>
              <w:t>总计</w:t>
            </w:r>
          </w:p>
        </w:tc>
        <w:tc>
          <w:tcPr>
            <w:tcW w:w="8585" w:type="dxa"/>
            <w:gridSpan w:val="6"/>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color w:val="auto"/>
                <w:sz w:val="24"/>
                <w:highlight w:val="none"/>
              </w:rPr>
            </w:pPr>
          </w:p>
        </w:tc>
        <w:tc>
          <w:tcPr>
            <w:tcW w:w="100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783" w:type="dxa"/>
            <w:gridSpan w:val="2"/>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税率</w:t>
            </w:r>
            <w:r>
              <w:rPr>
                <w:rFonts w:hint="default" w:ascii="Times New Roman" w:hAnsi="Times New Roman" w:cs="Times New Roman"/>
                <w:color w:val="auto"/>
                <w:szCs w:val="21"/>
                <w:highlight w:val="none"/>
              </w:rPr>
              <w:t>（</w:t>
            </w:r>
            <w:r>
              <w:rPr>
                <w:rFonts w:hint="default" w:ascii="Times New Roman" w:hAnsi="Times New Roman" w:cs="Times New Roman"/>
                <w:b/>
                <w:color w:val="auto"/>
                <w:szCs w:val="21"/>
                <w:highlight w:val="none"/>
                <w:u w:val="single"/>
              </w:rPr>
              <w:t>计入总价</w:t>
            </w:r>
            <w:r>
              <w:rPr>
                <w:rFonts w:hint="default" w:ascii="Times New Roman" w:hAnsi="Times New Roman" w:cs="Times New Roman"/>
                <w:color w:val="auto"/>
                <w:szCs w:val="21"/>
                <w:highlight w:val="none"/>
              </w:rPr>
              <w:t>）</w:t>
            </w:r>
          </w:p>
        </w:tc>
        <w:tc>
          <w:tcPr>
            <w:tcW w:w="8585" w:type="dxa"/>
            <w:gridSpan w:val="6"/>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color w:val="auto"/>
                <w:sz w:val="24"/>
                <w:highlight w:val="none"/>
              </w:rPr>
            </w:pPr>
            <w:r>
              <w:rPr>
                <w:rFonts w:hint="eastAsia" w:cs="Times New Roman"/>
                <w:color w:val="auto"/>
                <w:sz w:val="24"/>
                <w:highlight w:val="none"/>
                <w:lang w:val="en-US" w:eastAsia="zh-CN"/>
              </w:rPr>
              <w:t>9</w:t>
            </w:r>
            <w:r>
              <w:rPr>
                <w:rFonts w:hint="default" w:ascii="Times New Roman" w:hAnsi="Times New Roman" w:cs="Times New Roman"/>
                <w:color w:val="auto"/>
                <w:sz w:val="24"/>
                <w:highlight w:val="none"/>
              </w:rPr>
              <w:t>%</w:t>
            </w:r>
          </w:p>
        </w:tc>
        <w:tc>
          <w:tcPr>
            <w:tcW w:w="100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color w:val="auto"/>
                <w:sz w:val="24"/>
                <w:highlight w:val="none"/>
              </w:rPr>
            </w:pPr>
          </w:p>
        </w:tc>
      </w:tr>
    </w:tbl>
    <w:p>
      <w:pPr>
        <w:tabs>
          <w:tab w:val="center" w:pos="4535"/>
          <w:tab w:val="left" w:pos="5840"/>
        </w:tabs>
        <w:spacing w:line="360" w:lineRule="auto"/>
        <w:jc w:val="both"/>
        <w:rPr>
          <w:rStyle w:val="66"/>
          <w:rFonts w:hint="default" w:ascii="Times New Roman" w:hAnsi="Times New Roman" w:cs="Times New Roman"/>
          <w:color w:val="auto"/>
          <w:highlight w:val="none"/>
        </w:rPr>
      </w:pPr>
    </w:p>
    <w:p>
      <w:pPr>
        <w:spacing w:before="100" w:beforeAutospacing="1" w:after="100" w:afterAutospacing="1" w:line="360" w:lineRule="auto"/>
        <w:rPr>
          <w:rFonts w:hint="default" w:ascii="Times New Roman" w:hAnsi="Times New Roman" w:cs="Times New Roman"/>
          <w:color w:val="auto"/>
          <w:sz w:val="24"/>
          <w:szCs w:val="22"/>
          <w:highlight w:val="none"/>
        </w:rPr>
      </w:pPr>
      <w:r>
        <w:rPr>
          <w:rFonts w:hint="default" w:ascii="Times New Roman" w:hAnsi="Times New Roman" w:cs="Times New Roman"/>
          <w:color w:val="auto"/>
          <w:sz w:val="24"/>
          <w:szCs w:val="22"/>
          <w:highlight w:val="none"/>
        </w:rPr>
        <w:t>授权代表签字或印鉴：                      日期：   202</w:t>
      </w:r>
      <w:r>
        <w:rPr>
          <w:rFonts w:hint="eastAsia" w:cs="Times New Roman"/>
          <w:color w:val="auto"/>
          <w:sz w:val="24"/>
          <w:szCs w:val="22"/>
          <w:highlight w:val="none"/>
          <w:lang w:val="en-US" w:eastAsia="zh-CN"/>
        </w:rPr>
        <w:t xml:space="preserve">4 </w:t>
      </w:r>
      <w:r>
        <w:rPr>
          <w:rFonts w:hint="default" w:ascii="Times New Roman" w:hAnsi="Times New Roman" w:cs="Times New Roman"/>
          <w:color w:val="auto"/>
          <w:sz w:val="24"/>
          <w:szCs w:val="22"/>
          <w:highlight w:val="none"/>
        </w:rPr>
        <w:t>年</w:t>
      </w:r>
      <w:r>
        <w:rPr>
          <w:rFonts w:hint="eastAsia" w:cs="Times New Roman"/>
          <w:color w:val="auto"/>
          <w:sz w:val="24"/>
          <w:szCs w:val="22"/>
          <w:highlight w:val="none"/>
          <w:lang w:val="en-US" w:eastAsia="zh-CN"/>
        </w:rPr>
        <w:t xml:space="preserve">  </w:t>
      </w:r>
      <w:r>
        <w:rPr>
          <w:rFonts w:hint="default" w:ascii="Times New Roman" w:hAnsi="Times New Roman" w:cs="Times New Roman"/>
          <w:color w:val="auto"/>
          <w:sz w:val="24"/>
          <w:szCs w:val="22"/>
          <w:highlight w:val="none"/>
        </w:rPr>
        <w:t xml:space="preserve">  月 </w:t>
      </w:r>
      <w:r>
        <w:rPr>
          <w:rFonts w:hint="eastAsia" w:cs="Times New Roman"/>
          <w:color w:val="auto"/>
          <w:sz w:val="24"/>
          <w:szCs w:val="22"/>
          <w:highlight w:val="none"/>
          <w:lang w:val="en-US" w:eastAsia="zh-CN"/>
        </w:rPr>
        <w:t xml:space="preserve">  </w:t>
      </w:r>
      <w:r>
        <w:rPr>
          <w:rFonts w:hint="default" w:ascii="Times New Roman" w:hAnsi="Times New Roman" w:cs="Times New Roman"/>
          <w:color w:val="auto"/>
          <w:sz w:val="24"/>
          <w:szCs w:val="22"/>
          <w:highlight w:val="none"/>
        </w:rPr>
        <w:t xml:space="preserve"> 日</w:t>
      </w:r>
    </w:p>
    <w:p>
      <w:pPr>
        <w:pStyle w:val="18"/>
        <w:rPr>
          <w:rStyle w:val="66"/>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tabs>
          <w:tab w:val="center" w:pos="4535"/>
          <w:tab w:val="left" w:pos="5840"/>
        </w:tabs>
        <w:spacing w:line="360" w:lineRule="auto"/>
        <w:jc w:val="both"/>
        <w:rPr>
          <w:rStyle w:val="66"/>
          <w:rFonts w:hint="default" w:ascii="Times New Roman" w:hAnsi="Times New Roman" w:cs="Times New Roman"/>
          <w:color w:val="auto"/>
          <w:highlight w:val="none"/>
        </w:rPr>
      </w:pPr>
    </w:p>
    <w:p>
      <w:pPr>
        <w:pStyle w:val="8"/>
        <w:rPr>
          <w:rStyle w:val="66"/>
          <w:rFonts w:hint="default" w:ascii="Times New Roman" w:hAnsi="Times New Roman" w:cs="Times New Roman"/>
          <w:color w:val="auto"/>
          <w:highlight w:val="none"/>
        </w:rPr>
      </w:pPr>
    </w:p>
    <w:p>
      <w:pPr>
        <w:pStyle w:val="8"/>
        <w:rPr>
          <w:rStyle w:val="66"/>
          <w:rFonts w:hint="default" w:ascii="Times New Roman" w:hAnsi="Times New Roman" w:cs="Times New Roman"/>
          <w:color w:val="auto"/>
          <w:highlight w:val="none"/>
        </w:rPr>
      </w:pPr>
    </w:p>
    <w:p>
      <w:pPr>
        <w:pStyle w:val="8"/>
        <w:rPr>
          <w:rStyle w:val="66"/>
          <w:rFonts w:hint="default" w:ascii="Times New Roman" w:hAnsi="Times New Roman" w:cs="Times New Roman"/>
          <w:color w:val="auto"/>
          <w:highlight w:val="none"/>
        </w:rPr>
      </w:pPr>
    </w:p>
    <w:p>
      <w:pPr>
        <w:pStyle w:val="8"/>
        <w:rPr>
          <w:rStyle w:val="66"/>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pStyle w:val="8"/>
        <w:rPr>
          <w:rStyle w:val="66"/>
          <w:rFonts w:hint="default" w:ascii="Times New Roman" w:hAnsi="Times New Roman" w:cs="Times New Roman"/>
          <w:color w:val="auto"/>
          <w:highlight w:val="none"/>
        </w:rPr>
      </w:pPr>
    </w:p>
    <w:p>
      <w:pPr>
        <w:pStyle w:val="8"/>
        <w:rPr>
          <w:rStyle w:val="66"/>
          <w:rFonts w:hint="default" w:ascii="Times New Roman" w:hAnsi="Times New Roman" w:cs="Times New Roman"/>
          <w:color w:val="auto"/>
          <w:highlight w:val="none"/>
        </w:rPr>
      </w:pPr>
    </w:p>
    <w:p>
      <w:pPr>
        <w:pStyle w:val="8"/>
        <w:rPr>
          <w:rStyle w:val="66"/>
          <w:rFonts w:hint="default" w:ascii="Times New Roman" w:hAnsi="Times New Roman" w:cs="Times New Roman"/>
          <w:color w:val="auto"/>
          <w:highlight w:val="none"/>
        </w:rPr>
      </w:pPr>
    </w:p>
    <w:p>
      <w:pPr>
        <w:pStyle w:val="8"/>
        <w:rPr>
          <w:rStyle w:val="66"/>
          <w:rFonts w:hint="default" w:ascii="Times New Roman" w:hAnsi="Times New Roman" w:cs="Times New Roman"/>
          <w:color w:val="auto"/>
          <w:highlight w:val="none"/>
        </w:rPr>
      </w:pPr>
    </w:p>
    <w:p>
      <w:pPr>
        <w:pStyle w:val="8"/>
        <w:rPr>
          <w:rStyle w:val="66"/>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pStyle w:val="8"/>
        <w:rPr>
          <w:rStyle w:val="66"/>
          <w:rFonts w:hint="default" w:ascii="Times New Roman" w:hAnsi="Times New Roman" w:cs="Times New Roman"/>
          <w:color w:val="auto"/>
          <w:highlight w:val="none"/>
        </w:rPr>
      </w:pPr>
    </w:p>
    <w:bookmarkEnd w:id="123"/>
    <w:bookmarkEnd w:id="124"/>
    <w:bookmarkEnd w:id="125"/>
    <w:p>
      <w:pPr>
        <w:bidi w:val="0"/>
        <w:rPr>
          <w:rStyle w:val="66"/>
          <w:rFonts w:hint="default" w:ascii="Times New Roman" w:hAnsi="Times New Roman" w:cs="Times New Roman"/>
          <w:color w:val="auto"/>
          <w:highlight w:val="none"/>
        </w:rPr>
      </w:pPr>
      <w:bookmarkStart w:id="126" w:name="_Toc10122278"/>
      <w:bookmarkStart w:id="127" w:name="_Toc26786"/>
      <w:bookmarkStart w:id="128" w:name="_Toc10184887"/>
    </w:p>
    <w:p>
      <w:pPr>
        <w:rPr>
          <w:rFonts w:hint="default" w:ascii="Times New Roman" w:hAnsi="Times New Roman" w:cs="Times New Roman"/>
          <w:color w:val="auto"/>
          <w:sz w:val="21"/>
          <w:szCs w:val="22"/>
          <w:highlight w:val="none"/>
        </w:rPr>
      </w:pPr>
    </w:p>
    <w:p>
      <w:pPr>
        <w:pStyle w:val="8"/>
        <w:rPr>
          <w:rStyle w:val="66"/>
          <w:rFonts w:hint="default" w:ascii="Times New Roman" w:hAnsi="Times New Roman" w:cs="Times New Roman"/>
          <w:color w:val="auto"/>
          <w:highlight w:val="none"/>
        </w:rPr>
      </w:pPr>
    </w:p>
    <w:p>
      <w:pPr>
        <w:pStyle w:val="8"/>
        <w:rPr>
          <w:rStyle w:val="66"/>
          <w:rFonts w:hint="default" w:ascii="Times New Roman" w:hAnsi="Times New Roman" w:cs="Times New Roman"/>
          <w:color w:val="auto"/>
          <w:highlight w:val="none"/>
        </w:rPr>
      </w:pPr>
    </w:p>
    <w:p>
      <w:pPr>
        <w:pStyle w:val="8"/>
        <w:rPr>
          <w:rStyle w:val="66"/>
          <w:rFonts w:hint="default" w:ascii="Times New Roman" w:hAnsi="Times New Roman" w:cs="Times New Roman"/>
          <w:color w:val="auto"/>
          <w:highlight w:val="none"/>
        </w:rPr>
      </w:pPr>
    </w:p>
    <w:p>
      <w:pPr>
        <w:pStyle w:val="8"/>
        <w:rPr>
          <w:rStyle w:val="66"/>
          <w:rFonts w:hint="default" w:ascii="Times New Roman" w:hAnsi="Times New Roman" w:cs="Times New Roman"/>
          <w:color w:val="auto"/>
          <w:highlight w:val="none"/>
        </w:rPr>
      </w:pPr>
    </w:p>
    <w:p>
      <w:pPr>
        <w:pStyle w:val="8"/>
        <w:rPr>
          <w:rStyle w:val="66"/>
          <w:rFonts w:hint="default" w:ascii="Times New Roman" w:hAnsi="Times New Roman" w:cs="Times New Roman"/>
          <w:color w:val="auto"/>
          <w:highlight w:val="none"/>
        </w:rPr>
      </w:pPr>
    </w:p>
    <w:p>
      <w:pPr>
        <w:pStyle w:val="8"/>
        <w:rPr>
          <w:rStyle w:val="66"/>
          <w:rFonts w:hint="default" w:ascii="Times New Roman" w:hAnsi="Times New Roman" w:cs="Times New Roman"/>
          <w:color w:val="auto"/>
          <w:highlight w:val="none"/>
        </w:rPr>
      </w:pPr>
    </w:p>
    <w:p>
      <w:pPr>
        <w:pStyle w:val="8"/>
        <w:rPr>
          <w:rStyle w:val="66"/>
          <w:rFonts w:hint="default" w:ascii="Times New Roman" w:hAnsi="Times New Roman" w:cs="Times New Roman"/>
          <w:color w:val="auto"/>
          <w:highlight w:val="none"/>
        </w:rPr>
      </w:pPr>
    </w:p>
    <w:p>
      <w:pPr>
        <w:bidi w:val="0"/>
        <w:rPr>
          <w:rStyle w:val="66"/>
          <w:rFonts w:hint="default" w:ascii="Times New Roman" w:hAnsi="Times New Roman" w:cs="Times New Roman"/>
          <w:color w:val="auto"/>
          <w:highlight w:val="none"/>
        </w:rPr>
      </w:pPr>
    </w:p>
    <w:p>
      <w:pPr>
        <w:tabs>
          <w:tab w:val="center" w:pos="4535"/>
          <w:tab w:val="left" w:pos="5840"/>
        </w:tabs>
        <w:spacing w:line="360" w:lineRule="auto"/>
        <w:jc w:val="both"/>
        <w:outlineLvl w:val="1"/>
        <w:rPr>
          <w:rFonts w:hint="default" w:ascii="Times New Roman" w:hAnsi="Times New Roman" w:cs="Times New Roman"/>
          <w:b/>
          <w:bCs/>
          <w:color w:val="auto"/>
          <w:sz w:val="30"/>
          <w:szCs w:val="30"/>
          <w:highlight w:val="none"/>
        </w:rPr>
      </w:pPr>
      <w:r>
        <w:rPr>
          <w:rStyle w:val="66"/>
          <w:rFonts w:hint="default" w:ascii="Times New Roman" w:hAnsi="Times New Roman" w:cs="Times New Roman"/>
          <w:color w:val="auto"/>
          <w:highlight w:val="none"/>
        </w:rPr>
        <w:t>格式四                            供应商基本情况表</w:t>
      </w:r>
    </w:p>
    <w:tbl>
      <w:tblPr>
        <w:tblStyle w:val="50"/>
        <w:tblW w:w="93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8"/>
        <w:gridCol w:w="90"/>
        <w:gridCol w:w="413"/>
        <w:gridCol w:w="847"/>
        <w:gridCol w:w="264"/>
        <w:gridCol w:w="276"/>
        <w:gridCol w:w="456"/>
        <w:gridCol w:w="444"/>
        <w:gridCol w:w="203"/>
        <w:gridCol w:w="207"/>
        <w:gridCol w:w="1210"/>
        <w:gridCol w:w="216"/>
        <w:gridCol w:w="317"/>
        <w:gridCol w:w="727"/>
        <w:gridCol w:w="36"/>
        <w:gridCol w:w="641"/>
        <w:gridCol w:w="1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728" w:type="dxa"/>
            <w:gridSpan w:val="2"/>
            <w:vAlign w:val="center"/>
          </w:tcPr>
          <w:p>
            <w:pPr>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单位全称</w:t>
            </w:r>
          </w:p>
        </w:tc>
        <w:tc>
          <w:tcPr>
            <w:tcW w:w="7596" w:type="dxa"/>
            <w:gridSpan w:val="15"/>
            <w:vAlign w:val="center"/>
          </w:tcPr>
          <w:p>
            <w:pPr>
              <w:jc w:val="center"/>
              <w:rPr>
                <w:rFonts w:hint="default" w:ascii="Times New Roman" w:hAnsi="Times New Roman"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728" w:type="dxa"/>
            <w:gridSpan w:val="2"/>
            <w:vAlign w:val="center"/>
          </w:tcPr>
          <w:p>
            <w:pPr>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营业执</w:t>
            </w:r>
          </w:p>
          <w:p>
            <w:pPr>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照号码</w:t>
            </w:r>
          </w:p>
        </w:tc>
        <w:tc>
          <w:tcPr>
            <w:tcW w:w="1800" w:type="dxa"/>
            <w:gridSpan w:val="4"/>
            <w:vAlign w:val="center"/>
          </w:tcPr>
          <w:p>
            <w:pPr>
              <w:jc w:val="center"/>
              <w:rPr>
                <w:rFonts w:hint="default" w:ascii="Times New Roman" w:hAnsi="Times New Roman" w:cs="Times New Roman"/>
                <w:color w:val="auto"/>
                <w:sz w:val="24"/>
                <w:highlight w:val="none"/>
              </w:rPr>
            </w:pPr>
          </w:p>
        </w:tc>
        <w:tc>
          <w:tcPr>
            <w:tcW w:w="1103" w:type="dxa"/>
            <w:gridSpan w:val="3"/>
            <w:vAlign w:val="center"/>
          </w:tcPr>
          <w:p>
            <w:pPr>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税务登</w:t>
            </w:r>
          </w:p>
          <w:p>
            <w:pPr>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记号码</w:t>
            </w:r>
          </w:p>
        </w:tc>
        <w:tc>
          <w:tcPr>
            <w:tcW w:w="1633" w:type="dxa"/>
            <w:gridSpan w:val="3"/>
            <w:vAlign w:val="center"/>
          </w:tcPr>
          <w:p>
            <w:pPr>
              <w:jc w:val="center"/>
              <w:rPr>
                <w:rFonts w:hint="default" w:ascii="Times New Roman" w:hAnsi="Times New Roman" w:cs="Times New Roman"/>
                <w:color w:val="auto"/>
                <w:sz w:val="24"/>
                <w:highlight w:val="none"/>
              </w:rPr>
            </w:pPr>
          </w:p>
        </w:tc>
        <w:tc>
          <w:tcPr>
            <w:tcW w:w="1080" w:type="dxa"/>
            <w:gridSpan w:val="3"/>
            <w:vAlign w:val="center"/>
          </w:tcPr>
          <w:p>
            <w:pPr>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单位法</w:t>
            </w:r>
          </w:p>
          <w:p>
            <w:pPr>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人代码</w:t>
            </w:r>
          </w:p>
        </w:tc>
        <w:tc>
          <w:tcPr>
            <w:tcW w:w="1980" w:type="dxa"/>
            <w:gridSpan w:val="2"/>
            <w:vAlign w:val="center"/>
          </w:tcPr>
          <w:p>
            <w:pPr>
              <w:jc w:val="center"/>
              <w:rPr>
                <w:rFonts w:hint="default" w:ascii="Times New Roman" w:hAnsi="Times New Roman"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728" w:type="dxa"/>
            <w:gridSpan w:val="2"/>
            <w:vAlign w:val="center"/>
          </w:tcPr>
          <w:p>
            <w:pPr>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地址</w:t>
            </w:r>
          </w:p>
        </w:tc>
        <w:tc>
          <w:tcPr>
            <w:tcW w:w="4536" w:type="dxa"/>
            <w:gridSpan w:val="10"/>
            <w:vAlign w:val="center"/>
          </w:tcPr>
          <w:p>
            <w:pPr>
              <w:jc w:val="center"/>
              <w:rPr>
                <w:rFonts w:hint="default" w:ascii="Times New Roman" w:hAnsi="Times New Roman" w:cs="Times New Roman"/>
                <w:color w:val="auto"/>
                <w:sz w:val="24"/>
                <w:highlight w:val="none"/>
              </w:rPr>
            </w:pPr>
          </w:p>
        </w:tc>
        <w:tc>
          <w:tcPr>
            <w:tcW w:w="1080" w:type="dxa"/>
            <w:gridSpan w:val="3"/>
            <w:vAlign w:val="center"/>
          </w:tcPr>
          <w:p>
            <w:pPr>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邮编</w:t>
            </w:r>
          </w:p>
        </w:tc>
        <w:tc>
          <w:tcPr>
            <w:tcW w:w="1980" w:type="dxa"/>
            <w:gridSpan w:val="2"/>
            <w:vAlign w:val="center"/>
          </w:tcPr>
          <w:p>
            <w:pPr>
              <w:jc w:val="center"/>
              <w:rPr>
                <w:rFonts w:hint="default" w:ascii="Times New Roman" w:hAnsi="Times New Roman"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728" w:type="dxa"/>
            <w:gridSpan w:val="2"/>
            <w:vAlign w:val="center"/>
          </w:tcPr>
          <w:p>
            <w:pPr>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电话</w:t>
            </w:r>
          </w:p>
        </w:tc>
        <w:tc>
          <w:tcPr>
            <w:tcW w:w="2256" w:type="dxa"/>
            <w:gridSpan w:val="5"/>
            <w:vAlign w:val="center"/>
          </w:tcPr>
          <w:p>
            <w:pPr>
              <w:jc w:val="center"/>
              <w:rPr>
                <w:rFonts w:hint="default" w:ascii="Times New Roman" w:hAnsi="Times New Roman" w:cs="Times New Roman"/>
                <w:color w:val="auto"/>
                <w:sz w:val="24"/>
                <w:highlight w:val="none"/>
              </w:rPr>
            </w:pPr>
          </w:p>
        </w:tc>
        <w:tc>
          <w:tcPr>
            <w:tcW w:w="2280" w:type="dxa"/>
            <w:gridSpan w:val="5"/>
            <w:vAlign w:val="center"/>
          </w:tcPr>
          <w:p>
            <w:pPr>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传真</w:t>
            </w:r>
          </w:p>
        </w:tc>
        <w:tc>
          <w:tcPr>
            <w:tcW w:w="3060" w:type="dxa"/>
            <w:gridSpan w:val="5"/>
            <w:vAlign w:val="center"/>
          </w:tcPr>
          <w:p>
            <w:pPr>
              <w:jc w:val="center"/>
              <w:rPr>
                <w:rFonts w:hint="default" w:ascii="Times New Roman" w:hAnsi="Times New Roman"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728" w:type="dxa"/>
            <w:gridSpan w:val="2"/>
            <w:vAlign w:val="center"/>
          </w:tcPr>
          <w:p>
            <w:pPr>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法定代表人</w:t>
            </w:r>
          </w:p>
        </w:tc>
        <w:tc>
          <w:tcPr>
            <w:tcW w:w="2256" w:type="dxa"/>
            <w:gridSpan w:val="5"/>
            <w:vAlign w:val="center"/>
          </w:tcPr>
          <w:p>
            <w:pPr>
              <w:jc w:val="center"/>
              <w:rPr>
                <w:rFonts w:hint="default" w:ascii="Times New Roman" w:hAnsi="Times New Roman" w:cs="Times New Roman"/>
                <w:color w:val="auto"/>
                <w:sz w:val="24"/>
                <w:highlight w:val="none"/>
              </w:rPr>
            </w:pPr>
          </w:p>
        </w:tc>
        <w:tc>
          <w:tcPr>
            <w:tcW w:w="2280" w:type="dxa"/>
            <w:gridSpan w:val="5"/>
            <w:vAlign w:val="center"/>
          </w:tcPr>
          <w:p>
            <w:pPr>
              <w:ind w:firstLine="720" w:firstLineChars="30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建筑面积</w:t>
            </w:r>
          </w:p>
        </w:tc>
        <w:tc>
          <w:tcPr>
            <w:tcW w:w="3060" w:type="dxa"/>
            <w:gridSpan w:val="5"/>
            <w:vAlign w:val="center"/>
          </w:tcPr>
          <w:p>
            <w:pPr>
              <w:ind w:firstLine="1680" w:firstLineChars="70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9" w:hRule="atLeast"/>
        </w:trPr>
        <w:tc>
          <w:tcPr>
            <w:tcW w:w="1728" w:type="dxa"/>
            <w:gridSpan w:val="2"/>
            <w:vAlign w:val="center"/>
          </w:tcPr>
          <w:p>
            <w:pPr>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注册资本</w:t>
            </w:r>
          </w:p>
        </w:tc>
        <w:tc>
          <w:tcPr>
            <w:tcW w:w="7596" w:type="dxa"/>
            <w:gridSpan w:val="15"/>
            <w:vAlign w:val="center"/>
          </w:tcPr>
          <w:p>
            <w:pPr>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4" w:hRule="atLeast"/>
        </w:trPr>
        <w:tc>
          <w:tcPr>
            <w:tcW w:w="1728" w:type="dxa"/>
            <w:gridSpan w:val="2"/>
            <w:vMerge w:val="restart"/>
            <w:vAlign w:val="center"/>
          </w:tcPr>
          <w:p>
            <w:pPr>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经营范围</w:t>
            </w:r>
          </w:p>
        </w:tc>
        <w:tc>
          <w:tcPr>
            <w:tcW w:w="1260" w:type="dxa"/>
            <w:gridSpan w:val="2"/>
            <w:vAlign w:val="center"/>
          </w:tcPr>
          <w:p>
            <w:pPr>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主  营</w:t>
            </w:r>
          </w:p>
        </w:tc>
        <w:tc>
          <w:tcPr>
            <w:tcW w:w="6336" w:type="dxa"/>
            <w:gridSpan w:val="13"/>
            <w:vAlign w:val="center"/>
          </w:tcPr>
          <w:p>
            <w:pPr>
              <w:jc w:val="center"/>
              <w:rPr>
                <w:rFonts w:hint="default" w:ascii="Times New Roman" w:hAnsi="Times New Roman"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7" w:hRule="atLeast"/>
        </w:trPr>
        <w:tc>
          <w:tcPr>
            <w:tcW w:w="1728" w:type="dxa"/>
            <w:gridSpan w:val="2"/>
            <w:vMerge w:val="continue"/>
            <w:vAlign w:val="center"/>
          </w:tcPr>
          <w:p>
            <w:pPr>
              <w:rPr>
                <w:rFonts w:hint="default" w:ascii="Times New Roman" w:hAnsi="Times New Roman" w:cs="Times New Roman"/>
                <w:color w:val="auto"/>
                <w:highlight w:val="none"/>
              </w:rPr>
            </w:pPr>
          </w:p>
        </w:tc>
        <w:tc>
          <w:tcPr>
            <w:tcW w:w="1260" w:type="dxa"/>
            <w:gridSpan w:val="2"/>
            <w:vAlign w:val="center"/>
          </w:tcPr>
          <w:p>
            <w:pPr>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兼  营</w:t>
            </w:r>
          </w:p>
        </w:tc>
        <w:tc>
          <w:tcPr>
            <w:tcW w:w="6336" w:type="dxa"/>
            <w:gridSpan w:val="13"/>
            <w:vAlign w:val="center"/>
          </w:tcPr>
          <w:p>
            <w:pPr>
              <w:jc w:val="center"/>
              <w:rPr>
                <w:rFonts w:hint="default" w:ascii="Times New Roman" w:hAnsi="Times New Roman"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728" w:type="dxa"/>
            <w:gridSpan w:val="2"/>
            <w:vMerge w:val="restart"/>
            <w:vAlign w:val="center"/>
          </w:tcPr>
          <w:p>
            <w:pPr>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单位员工结构</w:t>
            </w:r>
          </w:p>
        </w:tc>
        <w:tc>
          <w:tcPr>
            <w:tcW w:w="1260" w:type="dxa"/>
            <w:gridSpan w:val="2"/>
            <w:vAlign w:val="center"/>
          </w:tcPr>
          <w:p>
            <w:pPr>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员工</w:t>
            </w:r>
          </w:p>
          <w:p>
            <w:pPr>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总数</w:t>
            </w:r>
          </w:p>
        </w:tc>
        <w:tc>
          <w:tcPr>
            <w:tcW w:w="1440" w:type="dxa"/>
            <w:gridSpan w:val="4"/>
            <w:vAlign w:val="center"/>
          </w:tcPr>
          <w:p>
            <w:pPr>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高级技</w:t>
            </w:r>
          </w:p>
          <w:p>
            <w:pPr>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术人员</w:t>
            </w:r>
          </w:p>
        </w:tc>
        <w:tc>
          <w:tcPr>
            <w:tcW w:w="1620" w:type="dxa"/>
            <w:gridSpan w:val="3"/>
            <w:vAlign w:val="center"/>
          </w:tcPr>
          <w:p>
            <w:pPr>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中级技</w:t>
            </w:r>
          </w:p>
          <w:p>
            <w:pPr>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术人员</w:t>
            </w:r>
          </w:p>
        </w:tc>
        <w:tc>
          <w:tcPr>
            <w:tcW w:w="1260" w:type="dxa"/>
            <w:gridSpan w:val="3"/>
            <w:vAlign w:val="center"/>
          </w:tcPr>
          <w:p>
            <w:pPr>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初级技</w:t>
            </w:r>
          </w:p>
          <w:p>
            <w:pPr>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术人员</w:t>
            </w:r>
          </w:p>
        </w:tc>
        <w:tc>
          <w:tcPr>
            <w:tcW w:w="2016" w:type="dxa"/>
            <w:gridSpan w:val="3"/>
            <w:vAlign w:val="center"/>
          </w:tcPr>
          <w:p>
            <w:pPr>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行政管</w:t>
            </w:r>
          </w:p>
          <w:p>
            <w:pPr>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1" w:hRule="atLeast"/>
        </w:trPr>
        <w:tc>
          <w:tcPr>
            <w:tcW w:w="1728" w:type="dxa"/>
            <w:gridSpan w:val="2"/>
            <w:vMerge w:val="continue"/>
            <w:vAlign w:val="center"/>
          </w:tcPr>
          <w:p>
            <w:pPr>
              <w:rPr>
                <w:rFonts w:hint="default" w:ascii="Times New Roman" w:hAnsi="Times New Roman" w:cs="Times New Roman"/>
                <w:color w:val="auto"/>
                <w:highlight w:val="none"/>
              </w:rPr>
            </w:pPr>
          </w:p>
        </w:tc>
        <w:tc>
          <w:tcPr>
            <w:tcW w:w="1260" w:type="dxa"/>
            <w:gridSpan w:val="2"/>
            <w:vAlign w:val="center"/>
          </w:tcPr>
          <w:p>
            <w:pPr>
              <w:jc w:val="center"/>
              <w:rPr>
                <w:rFonts w:hint="default" w:ascii="Times New Roman" w:hAnsi="Times New Roman" w:cs="Times New Roman"/>
                <w:color w:val="auto"/>
                <w:sz w:val="24"/>
                <w:highlight w:val="none"/>
              </w:rPr>
            </w:pPr>
          </w:p>
        </w:tc>
        <w:tc>
          <w:tcPr>
            <w:tcW w:w="1440" w:type="dxa"/>
            <w:gridSpan w:val="4"/>
            <w:vAlign w:val="center"/>
          </w:tcPr>
          <w:p>
            <w:pPr>
              <w:jc w:val="center"/>
              <w:rPr>
                <w:rFonts w:hint="default" w:ascii="Times New Roman" w:hAnsi="Times New Roman" w:cs="Times New Roman"/>
                <w:color w:val="auto"/>
                <w:sz w:val="24"/>
                <w:highlight w:val="none"/>
              </w:rPr>
            </w:pPr>
          </w:p>
        </w:tc>
        <w:tc>
          <w:tcPr>
            <w:tcW w:w="1620" w:type="dxa"/>
            <w:gridSpan w:val="3"/>
            <w:vAlign w:val="center"/>
          </w:tcPr>
          <w:p>
            <w:pPr>
              <w:jc w:val="center"/>
              <w:rPr>
                <w:rFonts w:hint="default" w:ascii="Times New Roman" w:hAnsi="Times New Roman" w:cs="Times New Roman"/>
                <w:color w:val="auto"/>
                <w:sz w:val="24"/>
                <w:highlight w:val="none"/>
              </w:rPr>
            </w:pPr>
          </w:p>
        </w:tc>
        <w:tc>
          <w:tcPr>
            <w:tcW w:w="1260" w:type="dxa"/>
            <w:gridSpan w:val="3"/>
            <w:vAlign w:val="center"/>
          </w:tcPr>
          <w:p>
            <w:pPr>
              <w:jc w:val="center"/>
              <w:rPr>
                <w:rFonts w:hint="default" w:ascii="Times New Roman" w:hAnsi="Times New Roman" w:cs="Times New Roman"/>
                <w:color w:val="auto"/>
                <w:sz w:val="24"/>
                <w:highlight w:val="none"/>
              </w:rPr>
            </w:pPr>
          </w:p>
        </w:tc>
        <w:tc>
          <w:tcPr>
            <w:tcW w:w="2016" w:type="dxa"/>
            <w:gridSpan w:val="3"/>
            <w:vAlign w:val="center"/>
          </w:tcPr>
          <w:p>
            <w:pPr>
              <w:jc w:val="center"/>
              <w:rPr>
                <w:rFonts w:hint="default" w:ascii="Times New Roman" w:hAnsi="Times New Roman"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3" w:hRule="atLeast"/>
        </w:trPr>
        <w:tc>
          <w:tcPr>
            <w:tcW w:w="9324" w:type="dxa"/>
            <w:gridSpan w:val="17"/>
            <w:vAlign w:val="center"/>
          </w:tcPr>
          <w:p>
            <w:pPr>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生产销售状况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3" w:hRule="atLeast"/>
        </w:trPr>
        <w:tc>
          <w:tcPr>
            <w:tcW w:w="3252" w:type="dxa"/>
            <w:gridSpan w:val="5"/>
            <w:vAlign w:val="center"/>
          </w:tcPr>
          <w:p>
            <w:pPr>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20</w:t>
            </w:r>
            <w:r>
              <w:rPr>
                <w:rFonts w:hint="eastAsia" w:cs="Times New Roman"/>
                <w:color w:val="auto"/>
                <w:sz w:val="24"/>
                <w:highlight w:val="none"/>
                <w:lang w:val="en-US" w:eastAsia="zh-CN"/>
              </w:rPr>
              <w:t>20</w:t>
            </w:r>
            <w:r>
              <w:rPr>
                <w:rFonts w:hint="default" w:ascii="Times New Roman" w:hAnsi="Times New Roman" w:cs="Times New Roman"/>
                <w:color w:val="auto"/>
                <w:sz w:val="24"/>
                <w:highlight w:val="none"/>
              </w:rPr>
              <w:t>年</w:t>
            </w:r>
          </w:p>
        </w:tc>
        <w:tc>
          <w:tcPr>
            <w:tcW w:w="3329" w:type="dxa"/>
            <w:gridSpan w:val="8"/>
            <w:vAlign w:val="center"/>
          </w:tcPr>
          <w:p>
            <w:pPr>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20</w:t>
            </w:r>
            <w:r>
              <w:rPr>
                <w:rFonts w:hint="eastAsia" w:cs="Times New Roman"/>
                <w:color w:val="auto"/>
                <w:sz w:val="24"/>
                <w:highlight w:val="none"/>
                <w:lang w:val="en-US" w:eastAsia="zh-CN"/>
              </w:rPr>
              <w:t>21</w:t>
            </w:r>
            <w:r>
              <w:rPr>
                <w:rFonts w:hint="default" w:ascii="Times New Roman" w:hAnsi="Times New Roman" w:cs="Times New Roman"/>
                <w:color w:val="auto"/>
                <w:sz w:val="24"/>
                <w:highlight w:val="none"/>
              </w:rPr>
              <w:t>年</w:t>
            </w:r>
          </w:p>
        </w:tc>
        <w:tc>
          <w:tcPr>
            <w:tcW w:w="2743" w:type="dxa"/>
            <w:gridSpan w:val="4"/>
            <w:vAlign w:val="center"/>
          </w:tcPr>
          <w:p>
            <w:pPr>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202</w:t>
            </w:r>
            <w:r>
              <w:rPr>
                <w:rFonts w:hint="eastAsia" w:cs="Times New Roman"/>
                <w:color w:val="auto"/>
                <w:sz w:val="24"/>
                <w:highlight w:val="none"/>
                <w:lang w:val="en-US" w:eastAsia="zh-CN"/>
              </w:rPr>
              <w:t>2</w:t>
            </w:r>
            <w:r>
              <w:rPr>
                <w:rFonts w:hint="default" w:ascii="Times New Roman" w:hAnsi="Times New Roman" w:cs="Times New Roman"/>
                <w:color w:val="auto"/>
                <w:sz w:val="24"/>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638" w:type="dxa"/>
            <w:vAlign w:val="center"/>
          </w:tcPr>
          <w:p>
            <w:pPr>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年产量</w:t>
            </w:r>
          </w:p>
        </w:tc>
        <w:tc>
          <w:tcPr>
            <w:tcW w:w="1614" w:type="dxa"/>
            <w:gridSpan w:val="4"/>
            <w:vAlign w:val="center"/>
          </w:tcPr>
          <w:p>
            <w:pPr>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年销售额</w:t>
            </w:r>
          </w:p>
          <w:p>
            <w:pPr>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（万元）</w:t>
            </w:r>
          </w:p>
        </w:tc>
        <w:tc>
          <w:tcPr>
            <w:tcW w:w="1586" w:type="dxa"/>
            <w:gridSpan w:val="5"/>
            <w:vAlign w:val="center"/>
          </w:tcPr>
          <w:p>
            <w:pPr>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年产量</w:t>
            </w:r>
          </w:p>
        </w:tc>
        <w:tc>
          <w:tcPr>
            <w:tcW w:w="1743" w:type="dxa"/>
            <w:gridSpan w:val="3"/>
            <w:vAlign w:val="center"/>
          </w:tcPr>
          <w:p>
            <w:pPr>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年销售额</w:t>
            </w:r>
          </w:p>
          <w:p>
            <w:pP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（万元）</w:t>
            </w:r>
          </w:p>
        </w:tc>
        <w:tc>
          <w:tcPr>
            <w:tcW w:w="1404" w:type="dxa"/>
            <w:gridSpan w:val="3"/>
            <w:vAlign w:val="center"/>
          </w:tcPr>
          <w:p>
            <w:pPr>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年产量</w:t>
            </w:r>
          </w:p>
        </w:tc>
        <w:tc>
          <w:tcPr>
            <w:tcW w:w="1339" w:type="dxa"/>
            <w:vAlign w:val="center"/>
          </w:tcPr>
          <w:p>
            <w:pPr>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年销售额</w:t>
            </w:r>
          </w:p>
          <w:p>
            <w:pPr>
              <w:jc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3" w:hRule="atLeast"/>
        </w:trPr>
        <w:tc>
          <w:tcPr>
            <w:tcW w:w="1638" w:type="dxa"/>
            <w:vAlign w:val="center"/>
          </w:tcPr>
          <w:p>
            <w:pPr>
              <w:jc w:val="center"/>
              <w:rPr>
                <w:rFonts w:hint="default" w:ascii="Times New Roman" w:hAnsi="Times New Roman" w:cs="Times New Roman"/>
                <w:color w:val="auto"/>
                <w:sz w:val="24"/>
                <w:highlight w:val="none"/>
              </w:rPr>
            </w:pPr>
          </w:p>
        </w:tc>
        <w:tc>
          <w:tcPr>
            <w:tcW w:w="1614" w:type="dxa"/>
            <w:gridSpan w:val="4"/>
            <w:vAlign w:val="center"/>
          </w:tcPr>
          <w:p>
            <w:pPr>
              <w:jc w:val="center"/>
              <w:rPr>
                <w:rFonts w:hint="default" w:ascii="Times New Roman" w:hAnsi="Times New Roman" w:cs="Times New Roman"/>
                <w:color w:val="auto"/>
                <w:sz w:val="24"/>
                <w:highlight w:val="none"/>
              </w:rPr>
            </w:pPr>
          </w:p>
        </w:tc>
        <w:tc>
          <w:tcPr>
            <w:tcW w:w="1586" w:type="dxa"/>
            <w:gridSpan w:val="5"/>
            <w:vAlign w:val="center"/>
          </w:tcPr>
          <w:p>
            <w:pPr>
              <w:jc w:val="center"/>
              <w:rPr>
                <w:rFonts w:hint="default" w:ascii="Times New Roman" w:hAnsi="Times New Roman" w:cs="Times New Roman"/>
                <w:color w:val="auto"/>
                <w:sz w:val="24"/>
                <w:highlight w:val="none"/>
              </w:rPr>
            </w:pPr>
          </w:p>
        </w:tc>
        <w:tc>
          <w:tcPr>
            <w:tcW w:w="1743" w:type="dxa"/>
            <w:gridSpan w:val="3"/>
            <w:vAlign w:val="center"/>
          </w:tcPr>
          <w:p>
            <w:pPr>
              <w:jc w:val="center"/>
              <w:rPr>
                <w:rFonts w:hint="default" w:ascii="Times New Roman" w:hAnsi="Times New Roman" w:cs="Times New Roman"/>
                <w:color w:val="auto"/>
                <w:sz w:val="24"/>
                <w:highlight w:val="none"/>
              </w:rPr>
            </w:pPr>
          </w:p>
        </w:tc>
        <w:tc>
          <w:tcPr>
            <w:tcW w:w="1404" w:type="dxa"/>
            <w:gridSpan w:val="3"/>
            <w:vAlign w:val="center"/>
          </w:tcPr>
          <w:p>
            <w:pPr>
              <w:jc w:val="center"/>
              <w:rPr>
                <w:rFonts w:hint="default" w:ascii="Times New Roman" w:hAnsi="Times New Roman" w:cs="Times New Roman"/>
                <w:color w:val="auto"/>
                <w:sz w:val="24"/>
                <w:highlight w:val="none"/>
              </w:rPr>
            </w:pPr>
          </w:p>
        </w:tc>
        <w:tc>
          <w:tcPr>
            <w:tcW w:w="1339" w:type="dxa"/>
            <w:vAlign w:val="center"/>
          </w:tcPr>
          <w:p>
            <w:pPr>
              <w:jc w:val="center"/>
              <w:rPr>
                <w:rFonts w:hint="default" w:ascii="Times New Roman" w:hAnsi="Times New Roman"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9" w:hRule="atLeast"/>
        </w:trPr>
        <w:tc>
          <w:tcPr>
            <w:tcW w:w="2141" w:type="dxa"/>
            <w:gridSpan w:val="3"/>
            <w:vMerge w:val="restart"/>
            <w:vAlign w:val="center"/>
          </w:tcPr>
          <w:p>
            <w:pPr>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主要原材料、配件进货渠道（可另附纸）</w:t>
            </w:r>
          </w:p>
        </w:tc>
        <w:tc>
          <w:tcPr>
            <w:tcW w:w="2697" w:type="dxa"/>
            <w:gridSpan w:val="7"/>
            <w:vAlign w:val="center"/>
          </w:tcPr>
          <w:p>
            <w:pPr>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原材料、配件名称</w:t>
            </w:r>
          </w:p>
        </w:tc>
        <w:tc>
          <w:tcPr>
            <w:tcW w:w="4486" w:type="dxa"/>
            <w:gridSpan w:val="7"/>
            <w:vAlign w:val="center"/>
          </w:tcPr>
          <w:p>
            <w:pPr>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生产厂名称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3" w:hRule="atLeast"/>
        </w:trPr>
        <w:tc>
          <w:tcPr>
            <w:tcW w:w="2141" w:type="dxa"/>
            <w:gridSpan w:val="3"/>
            <w:vMerge w:val="continue"/>
            <w:vAlign w:val="center"/>
          </w:tcPr>
          <w:p>
            <w:pPr>
              <w:rPr>
                <w:rFonts w:hint="default" w:ascii="Times New Roman" w:hAnsi="Times New Roman" w:cs="Times New Roman"/>
                <w:color w:val="auto"/>
                <w:highlight w:val="none"/>
              </w:rPr>
            </w:pPr>
          </w:p>
        </w:tc>
        <w:tc>
          <w:tcPr>
            <w:tcW w:w="2697" w:type="dxa"/>
            <w:gridSpan w:val="7"/>
            <w:vAlign w:val="center"/>
          </w:tcPr>
          <w:p>
            <w:pPr>
              <w:jc w:val="center"/>
              <w:rPr>
                <w:rFonts w:hint="default" w:ascii="Times New Roman" w:hAnsi="Times New Roman" w:cs="Times New Roman"/>
                <w:color w:val="auto"/>
                <w:sz w:val="24"/>
                <w:highlight w:val="none"/>
              </w:rPr>
            </w:pPr>
          </w:p>
        </w:tc>
        <w:tc>
          <w:tcPr>
            <w:tcW w:w="4486" w:type="dxa"/>
            <w:gridSpan w:val="7"/>
            <w:vAlign w:val="center"/>
          </w:tcPr>
          <w:p>
            <w:pPr>
              <w:jc w:val="center"/>
              <w:rPr>
                <w:rFonts w:hint="default" w:ascii="Times New Roman" w:hAnsi="Times New Roman"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9" w:hRule="atLeast"/>
        </w:trPr>
        <w:tc>
          <w:tcPr>
            <w:tcW w:w="2141" w:type="dxa"/>
            <w:gridSpan w:val="3"/>
            <w:vMerge w:val="continue"/>
            <w:vAlign w:val="center"/>
          </w:tcPr>
          <w:p>
            <w:pPr>
              <w:rPr>
                <w:rFonts w:hint="default" w:ascii="Times New Roman" w:hAnsi="Times New Roman" w:cs="Times New Roman"/>
                <w:color w:val="auto"/>
                <w:highlight w:val="none"/>
              </w:rPr>
            </w:pPr>
          </w:p>
        </w:tc>
        <w:tc>
          <w:tcPr>
            <w:tcW w:w="2697" w:type="dxa"/>
            <w:gridSpan w:val="7"/>
            <w:vAlign w:val="center"/>
          </w:tcPr>
          <w:p>
            <w:pPr>
              <w:jc w:val="center"/>
              <w:rPr>
                <w:rFonts w:hint="default" w:ascii="Times New Roman" w:hAnsi="Times New Roman" w:cs="Times New Roman"/>
                <w:color w:val="auto"/>
                <w:sz w:val="24"/>
                <w:highlight w:val="none"/>
              </w:rPr>
            </w:pPr>
          </w:p>
        </w:tc>
        <w:tc>
          <w:tcPr>
            <w:tcW w:w="4486" w:type="dxa"/>
            <w:gridSpan w:val="7"/>
            <w:vAlign w:val="center"/>
          </w:tcPr>
          <w:p>
            <w:pPr>
              <w:jc w:val="center"/>
              <w:rPr>
                <w:rFonts w:hint="default" w:ascii="Times New Roman" w:hAnsi="Times New Roman"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9" w:hRule="atLeast"/>
        </w:trPr>
        <w:tc>
          <w:tcPr>
            <w:tcW w:w="2141" w:type="dxa"/>
            <w:gridSpan w:val="3"/>
            <w:vMerge w:val="continue"/>
            <w:vAlign w:val="center"/>
          </w:tcPr>
          <w:p>
            <w:pPr>
              <w:rPr>
                <w:rFonts w:hint="default" w:ascii="Times New Roman" w:hAnsi="Times New Roman" w:cs="Times New Roman"/>
                <w:color w:val="auto"/>
                <w:highlight w:val="none"/>
              </w:rPr>
            </w:pPr>
          </w:p>
        </w:tc>
        <w:tc>
          <w:tcPr>
            <w:tcW w:w="2697" w:type="dxa"/>
            <w:gridSpan w:val="7"/>
            <w:vAlign w:val="center"/>
          </w:tcPr>
          <w:p>
            <w:pPr>
              <w:jc w:val="center"/>
              <w:rPr>
                <w:rFonts w:hint="default" w:ascii="Times New Roman" w:hAnsi="Times New Roman" w:cs="Times New Roman"/>
                <w:color w:val="auto"/>
                <w:sz w:val="24"/>
                <w:highlight w:val="none"/>
              </w:rPr>
            </w:pPr>
          </w:p>
        </w:tc>
        <w:tc>
          <w:tcPr>
            <w:tcW w:w="4486" w:type="dxa"/>
            <w:gridSpan w:val="7"/>
            <w:vAlign w:val="center"/>
          </w:tcPr>
          <w:p>
            <w:pPr>
              <w:jc w:val="center"/>
              <w:rPr>
                <w:rFonts w:hint="default" w:ascii="Times New Roman" w:hAnsi="Times New Roman" w:cs="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9324" w:type="dxa"/>
            <w:gridSpan w:val="17"/>
          </w:tcPr>
          <w:p>
            <w:pPr>
              <w:rPr>
                <w:rFonts w:hint="default" w:ascii="Times New Roman" w:hAnsi="Times New Roman" w:cs="Times New Roman"/>
                <w:color w:val="auto"/>
                <w:sz w:val="24"/>
                <w:highlight w:val="none"/>
              </w:rPr>
            </w:pPr>
          </w:p>
          <w:p>
            <w:pP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法定代表人（签字或印鉴）：</w:t>
            </w:r>
          </w:p>
          <w:p>
            <w:pPr>
              <w:rPr>
                <w:rFonts w:hint="default" w:ascii="Times New Roman" w:hAnsi="Times New Roman" w:cs="Times New Roman"/>
                <w:color w:val="auto"/>
                <w:sz w:val="24"/>
                <w:highlight w:val="none"/>
              </w:rPr>
            </w:pPr>
          </w:p>
          <w:p>
            <w:pP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单位（公章）：</w:t>
            </w:r>
          </w:p>
          <w:p>
            <w:pPr>
              <w:ind w:firstLine="5520" w:firstLineChars="23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年 </w:t>
            </w:r>
            <w:r>
              <w:rPr>
                <w:rFonts w:hint="eastAsia" w:cs="Times New Roman"/>
                <w:color w:val="auto"/>
                <w:sz w:val="24"/>
                <w:highlight w:val="none"/>
                <w:lang w:val="en-US" w:eastAsia="zh-CN"/>
              </w:rPr>
              <w:t xml:space="preserve"> </w:t>
            </w:r>
            <w:r>
              <w:rPr>
                <w:rFonts w:hint="default" w:ascii="Times New Roman" w:hAnsi="Times New Roman" w:cs="Times New Roman"/>
                <w:color w:val="auto"/>
                <w:sz w:val="24"/>
                <w:highlight w:val="none"/>
              </w:rPr>
              <w:t xml:space="preserve">   月   </w:t>
            </w:r>
            <w:r>
              <w:rPr>
                <w:rFonts w:hint="eastAsia" w:cs="Times New Roman"/>
                <w:color w:val="auto"/>
                <w:sz w:val="24"/>
                <w:highlight w:val="none"/>
                <w:lang w:val="en-US" w:eastAsia="zh-CN"/>
              </w:rPr>
              <w:t xml:space="preserve">   </w:t>
            </w:r>
            <w:r>
              <w:rPr>
                <w:rFonts w:hint="default" w:ascii="Times New Roman" w:hAnsi="Times New Roman" w:cs="Times New Roman"/>
                <w:color w:val="auto"/>
                <w:sz w:val="24"/>
                <w:highlight w:val="none"/>
              </w:rPr>
              <w:t>日</w:t>
            </w:r>
          </w:p>
        </w:tc>
      </w:tr>
    </w:tbl>
    <w:p>
      <w:pPr>
        <w:widowControl w:val="0"/>
        <w:spacing w:line="400" w:lineRule="exact"/>
        <w:jc w:val="both"/>
        <w:rPr>
          <w:rFonts w:hint="default" w:ascii="Times New Roman" w:hAnsi="Times New Roman" w:cs="Times New Roman"/>
          <w:color w:val="auto"/>
          <w:sz w:val="24"/>
          <w:highlight w:val="none"/>
        </w:rPr>
      </w:pPr>
      <w:r>
        <w:rPr>
          <w:rFonts w:hint="default" w:ascii="Times New Roman" w:hAnsi="Times New Roman" w:cs="Times New Roman"/>
          <w:b/>
          <w:color w:val="auto"/>
          <w:sz w:val="24"/>
          <w:szCs w:val="24"/>
          <w:highlight w:val="none"/>
        </w:rPr>
        <w:br w:type="page"/>
      </w:r>
    </w:p>
    <w:p>
      <w:pPr>
        <w:pStyle w:val="5"/>
        <w:rPr>
          <w:rFonts w:hint="default" w:ascii="Times New Roman" w:hAnsi="Times New Roman" w:cs="Times New Roman"/>
          <w:color w:val="auto"/>
          <w:highlight w:val="none"/>
        </w:rPr>
      </w:pPr>
      <w:r>
        <w:rPr>
          <w:rFonts w:hint="default" w:ascii="Times New Roman" w:hAnsi="Times New Roman" w:cs="Times New Roman"/>
          <w:color w:val="auto"/>
          <w:highlight w:val="none"/>
        </w:rPr>
        <w:t>格式五                            法定代表人身份证明书</w:t>
      </w:r>
      <w:bookmarkEnd w:id="105"/>
      <w:bookmarkEnd w:id="106"/>
      <w:bookmarkEnd w:id="107"/>
      <w:bookmarkEnd w:id="126"/>
      <w:bookmarkEnd w:id="127"/>
      <w:bookmarkEnd w:id="128"/>
    </w:p>
    <w:p>
      <w:pPr>
        <w:rPr>
          <w:rFonts w:hint="default" w:ascii="Times New Roman" w:hAnsi="Times New Roman" w:cs="Times New Roman"/>
          <w:b/>
          <w:color w:val="auto"/>
          <w:sz w:val="32"/>
          <w:szCs w:val="32"/>
          <w:highlight w:val="none"/>
        </w:rPr>
      </w:pPr>
    </w:p>
    <w:p>
      <w:pPr>
        <w:autoSpaceDE w:val="0"/>
        <w:autoSpaceDN w:val="0"/>
        <w:adjustRightInd w:val="0"/>
        <w:spacing w:line="480" w:lineRule="auto"/>
        <w:ind w:firstLine="612"/>
        <w:rPr>
          <w:rFonts w:hint="default" w:ascii="Times New Roman" w:hAnsi="Times New Roman" w:cs="Times New Roman"/>
          <w:color w:val="auto"/>
          <w:sz w:val="28"/>
          <w:szCs w:val="28"/>
          <w:highlight w:val="none"/>
        </w:rPr>
      </w:pPr>
    </w:p>
    <w:p>
      <w:pPr>
        <w:autoSpaceDE w:val="0"/>
        <w:autoSpaceDN w:val="0"/>
        <w:adjustRightInd w:val="0"/>
        <w:spacing w:line="480" w:lineRule="auto"/>
        <w:ind w:firstLine="612"/>
        <w:rPr>
          <w:rFonts w:hint="default" w:ascii="Times New Roman" w:hAnsi="Times New Roman" w:cs="Times New Roman"/>
          <w:color w:val="auto"/>
          <w:sz w:val="24"/>
          <w:szCs w:val="24"/>
          <w:highlight w:val="none"/>
          <w:lang w:val="zh-CN"/>
        </w:rPr>
      </w:pPr>
      <w:r>
        <w:rPr>
          <w:rFonts w:hint="default" w:ascii="Times New Roman" w:hAnsi="Times New Roman" w:cs="Times New Roman"/>
          <w:color w:val="auto"/>
          <w:sz w:val="24"/>
          <w:szCs w:val="24"/>
          <w:highlight w:val="none"/>
          <w:lang w:val="zh-CN"/>
        </w:rPr>
        <w:t>单位名称：</w:t>
      </w:r>
      <w:r>
        <w:rPr>
          <w:rFonts w:hint="default" w:ascii="Times New Roman" w:hAnsi="Times New Roman" w:cs="Times New Roman"/>
          <w:color w:val="auto"/>
          <w:sz w:val="24"/>
          <w:szCs w:val="24"/>
          <w:highlight w:val="none"/>
          <w:u w:val="single"/>
          <w:lang w:val="zh-CN"/>
        </w:rPr>
        <w:tab/>
      </w:r>
      <w:r>
        <w:rPr>
          <w:rFonts w:hint="default" w:ascii="Times New Roman" w:hAnsi="Times New Roman" w:cs="Times New Roman"/>
          <w:color w:val="auto"/>
          <w:sz w:val="24"/>
          <w:szCs w:val="24"/>
          <w:highlight w:val="none"/>
          <w:u w:val="single"/>
          <w:lang w:val="zh-CN"/>
        </w:rPr>
        <w:tab/>
      </w:r>
    </w:p>
    <w:p>
      <w:pPr>
        <w:autoSpaceDE w:val="0"/>
        <w:autoSpaceDN w:val="0"/>
        <w:adjustRightInd w:val="0"/>
        <w:spacing w:line="480" w:lineRule="auto"/>
        <w:ind w:firstLine="610"/>
        <w:rPr>
          <w:rFonts w:hint="default" w:ascii="Times New Roman" w:hAnsi="Times New Roman" w:cs="Times New Roman"/>
          <w:color w:val="auto"/>
          <w:sz w:val="24"/>
          <w:szCs w:val="24"/>
          <w:highlight w:val="none"/>
          <w:u w:val="single"/>
          <w:lang w:val="zh-CN"/>
        </w:rPr>
      </w:pPr>
      <w:r>
        <w:rPr>
          <w:rFonts w:hint="default" w:ascii="Times New Roman" w:hAnsi="Times New Roman" w:cs="Times New Roman"/>
          <w:color w:val="auto"/>
          <w:sz w:val="24"/>
          <w:szCs w:val="24"/>
          <w:highlight w:val="none"/>
          <w:lang w:val="zh-CN"/>
        </w:rPr>
        <w:t>单位性质：</w:t>
      </w:r>
      <w:r>
        <w:rPr>
          <w:rFonts w:hint="default" w:ascii="Times New Roman" w:hAnsi="Times New Roman" w:cs="Times New Roman"/>
          <w:color w:val="auto"/>
          <w:sz w:val="24"/>
          <w:szCs w:val="24"/>
          <w:highlight w:val="none"/>
          <w:u w:val="single"/>
          <w:lang w:val="zh-CN"/>
        </w:rPr>
        <w:tab/>
      </w:r>
      <w:r>
        <w:rPr>
          <w:rFonts w:hint="default" w:ascii="Times New Roman" w:hAnsi="Times New Roman" w:cs="Times New Roman"/>
          <w:color w:val="auto"/>
          <w:sz w:val="24"/>
          <w:szCs w:val="24"/>
          <w:highlight w:val="none"/>
          <w:u w:val="single"/>
          <w:lang w:val="zh-CN"/>
        </w:rPr>
        <w:tab/>
      </w:r>
      <w:r>
        <w:rPr>
          <w:rFonts w:hint="default" w:ascii="Times New Roman" w:hAnsi="Times New Roman" w:cs="Times New Roman"/>
          <w:color w:val="auto"/>
          <w:sz w:val="24"/>
          <w:szCs w:val="24"/>
          <w:highlight w:val="none"/>
          <w:u w:val="single"/>
          <w:lang w:val="zh-CN"/>
        </w:rPr>
        <w:tab/>
      </w:r>
      <w:r>
        <w:rPr>
          <w:rFonts w:hint="default" w:ascii="Times New Roman" w:hAnsi="Times New Roman" w:cs="Times New Roman"/>
          <w:color w:val="auto"/>
          <w:sz w:val="24"/>
          <w:szCs w:val="24"/>
          <w:highlight w:val="none"/>
          <w:u w:val="single"/>
          <w:lang w:val="zh-CN"/>
        </w:rPr>
        <w:tab/>
      </w:r>
      <w:r>
        <w:rPr>
          <w:rFonts w:hint="default" w:ascii="Times New Roman" w:hAnsi="Times New Roman" w:cs="Times New Roman"/>
          <w:color w:val="auto"/>
          <w:sz w:val="24"/>
          <w:szCs w:val="24"/>
          <w:highlight w:val="none"/>
          <w:u w:val="single"/>
          <w:lang w:val="zh-CN"/>
        </w:rPr>
        <w:tab/>
      </w:r>
    </w:p>
    <w:p>
      <w:pPr>
        <w:autoSpaceDE w:val="0"/>
        <w:autoSpaceDN w:val="0"/>
        <w:adjustRightInd w:val="0"/>
        <w:spacing w:line="480" w:lineRule="auto"/>
        <w:ind w:firstLine="610"/>
        <w:rPr>
          <w:rFonts w:hint="default" w:ascii="Times New Roman" w:hAnsi="Times New Roman" w:cs="Times New Roman"/>
          <w:color w:val="auto"/>
          <w:sz w:val="24"/>
          <w:szCs w:val="24"/>
          <w:highlight w:val="none"/>
          <w:u w:val="single"/>
          <w:lang w:val="zh-CN"/>
        </w:rPr>
      </w:pPr>
      <w:r>
        <w:rPr>
          <w:rFonts w:hint="default" w:ascii="Times New Roman" w:hAnsi="Times New Roman" w:cs="Times New Roman"/>
          <w:color w:val="auto"/>
          <w:sz w:val="24"/>
          <w:szCs w:val="24"/>
          <w:highlight w:val="none"/>
          <w:lang w:val="zh-CN"/>
        </w:rPr>
        <w:t>地址：</w:t>
      </w:r>
      <w:r>
        <w:rPr>
          <w:rFonts w:hint="default" w:ascii="Times New Roman" w:hAnsi="Times New Roman" w:cs="Times New Roman"/>
          <w:color w:val="auto"/>
          <w:sz w:val="24"/>
          <w:szCs w:val="24"/>
          <w:highlight w:val="none"/>
          <w:u w:val="single"/>
          <w:lang w:val="zh-CN"/>
        </w:rPr>
        <w:tab/>
      </w:r>
      <w:r>
        <w:rPr>
          <w:rFonts w:hint="default" w:ascii="Times New Roman" w:hAnsi="Times New Roman" w:cs="Times New Roman"/>
          <w:color w:val="auto"/>
          <w:sz w:val="24"/>
          <w:szCs w:val="24"/>
          <w:highlight w:val="none"/>
          <w:u w:val="single"/>
          <w:lang w:val="zh-CN"/>
        </w:rPr>
        <w:tab/>
      </w:r>
      <w:r>
        <w:rPr>
          <w:rFonts w:hint="default" w:ascii="Times New Roman" w:hAnsi="Times New Roman" w:cs="Times New Roman"/>
          <w:color w:val="auto"/>
          <w:sz w:val="24"/>
          <w:szCs w:val="24"/>
          <w:highlight w:val="none"/>
          <w:u w:val="single"/>
          <w:lang w:val="zh-CN"/>
        </w:rPr>
        <w:tab/>
      </w:r>
    </w:p>
    <w:p>
      <w:pPr>
        <w:autoSpaceDE w:val="0"/>
        <w:autoSpaceDN w:val="0"/>
        <w:adjustRightInd w:val="0"/>
        <w:spacing w:line="480" w:lineRule="auto"/>
        <w:ind w:firstLine="610"/>
        <w:rPr>
          <w:rFonts w:hint="default" w:ascii="Times New Roman" w:hAnsi="Times New Roman" w:cs="Times New Roman"/>
          <w:color w:val="auto"/>
          <w:sz w:val="24"/>
          <w:szCs w:val="24"/>
          <w:highlight w:val="none"/>
          <w:lang w:val="zh-CN"/>
        </w:rPr>
      </w:pPr>
      <w:r>
        <w:rPr>
          <w:rFonts w:hint="default" w:ascii="Times New Roman" w:hAnsi="Times New Roman" w:cs="Times New Roman"/>
          <w:color w:val="auto"/>
          <w:sz w:val="24"/>
          <w:szCs w:val="24"/>
          <w:highlight w:val="none"/>
          <w:lang w:val="zh-CN"/>
        </w:rPr>
        <w:t>成立时间：</w:t>
      </w:r>
      <w:r>
        <w:rPr>
          <w:rFonts w:hint="default" w:ascii="Times New Roman" w:hAnsi="Times New Roman" w:cs="Times New Roman"/>
          <w:color w:val="auto"/>
          <w:sz w:val="24"/>
          <w:szCs w:val="24"/>
          <w:highlight w:val="none"/>
          <w:u w:val="single"/>
          <w:lang w:val="zh-CN"/>
        </w:rPr>
        <w:t xml:space="preserve">          年          月           日</w:t>
      </w:r>
    </w:p>
    <w:p>
      <w:pPr>
        <w:autoSpaceDE w:val="0"/>
        <w:autoSpaceDN w:val="0"/>
        <w:adjustRightInd w:val="0"/>
        <w:spacing w:line="480" w:lineRule="auto"/>
        <w:ind w:firstLine="610"/>
        <w:rPr>
          <w:rFonts w:hint="default" w:ascii="Times New Roman" w:hAnsi="Times New Roman" w:cs="Times New Roman"/>
          <w:color w:val="auto"/>
          <w:sz w:val="24"/>
          <w:szCs w:val="24"/>
          <w:highlight w:val="none"/>
          <w:u w:val="single"/>
          <w:lang w:val="zh-CN"/>
        </w:rPr>
      </w:pPr>
      <w:r>
        <w:rPr>
          <w:rFonts w:hint="default" w:ascii="Times New Roman" w:hAnsi="Times New Roman" w:cs="Times New Roman"/>
          <w:color w:val="auto"/>
          <w:sz w:val="24"/>
          <w:szCs w:val="24"/>
          <w:highlight w:val="none"/>
          <w:lang w:val="zh-CN"/>
        </w:rPr>
        <w:t>经营期限：</w:t>
      </w:r>
      <w:r>
        <w:rPr>
          <w:rFonts w:hint="default" w:ascii="Times New Roman" w:hAnsi="Times New Roman" w:cs="Times New Roman"/>
          <w:color w:val="auto"/>
          <w:sz w:val="24"/>
          <w:szCs w:val="24"/>
          <w:highlight w:val="none"/>
          <w:u w:val="single"/>
          <w:lang w:val="zh-CN"/>
        </w:rPr>
        <w:tab/>
      </w:r>
      <w:r>
        <w:rPr>
          <w:rFonts w:hint="default" w:ascii="Times New Roman" w:hAnsi="Times New Roman" w:cs="Times New Roman"/>
          <w:color w:val="auto"/>
          <w:sz w:val="24"/>
          <w:szCs w:val="24"/>
          <w:highlight w:val="none"/>
          <w:u w:val="single"/>
          <w:lang w:val="zh-CN"/>
        </w:rPr>
        <w:tab/>
      </w:r>
    </w:p>
    <w:p>
      <w:pPr>
        <w:autoSpaceDE w:val="0"/>
        <w:autoSpaceDN w:val="0"/>
        <w:adjustRightInd w:val="0"/>
        <w:spacing w:line="480" w:lineRule="auto"/>
        <w:ind w:firstLine="610"/>
        <w:rPr>
          <w:rFonts w:hint="default" w:ascii="Times New Roman" w:hAnsi="Times New Roman" w:cs="Times New Roman"/>
          <w:color w:val="auto"/>
          <w:sz w:val="24"/>
          <w:szCs w:val="24"/>
          <w:highlight w:val="none"/>
          <w:u w:val="single"/>
          <w:lang w:val="zh-CN"/>
        </w:rPr>
      </w:pPr>
      <w:r>
        <w:rPr>
          <w:rFonts w:hint="default" w:ascii="Times New Roman" w:hAnsi="Times New Roman" w:cs="Times New Roman"/>
          <w:color w:val="auto"/>
          <w:sz w:val="24"/>
          <w:szCs w:val="24"/>
          <w:highlight w:val="none"/>
          <w:lang w:val="zh-CN"/>
        </w:rPr>
        <w:t>姓名：</w:t>
      </w:r>
      <w:r>
        <w:rPr>
          <w:rFonts w:hint="default" w:ascii="Times New Roman" w:hAnsi="Times New Roman" w:cs="Times New Roman"/>
          <w:color w:val="auto"/>
          <w:sz w:val="24"/>
          <w:szCs w:val="24"/>
          <w:highlight w:val="none"/>
          <w:u w:val="single"/>
          <w:lang w:val="zh-CN"/>
        </w:rPr>
        <w:t xml:space="preserve">     </w:t>
      </w:r>
      <w:r>
        <w:rPr>
          <w:rFonts w:hint="default" w:ascii="Times New Roman" w:hAnsi="Times New Roman" w:cs="Times New Roman"/>
          <w:color w:val="auto"/>
          <w:sz w:val="24"/>
          <w:szCs w:val="24"/>
          <w:highlight w:val="none"/>
          <w:lang w:val="zh-CN"/>
        </w:rPr>
        <w:t>性别：年龄：职务：</w:t>
      </w:r>
      <w:r>
        <w:rPr>
          <w:rFonts w:hint="default" w:ascii="Times New Roman" w:hAnsi="Times New Roman" w:cs="Times New Roman"/>
          <w:color w:val="auto"/>
          <w:sz w:val="24"/>
          <w:szCs w:val="24"/>
          <w:highlight w:val="none"/>
          <w:u w:val="single"/>
          <w:lang w:val="zh-CN"/>
        </w:rPr>
        <w:tab/>
      </w:r>
    </w:p>
    <w:p>
      <w:pPr>
        <w:autoSpaceDE w:val="0"/>
        <w:autoSpaceDN w:val="0"/>
        <w:adjustRightInd w:val="0"/>
        <w:spacing w:line="480" w:lineRule="auto"/>
        <w:ind w:firstLine="610"/>
        <w:rPr>
          <w:rFonts w:hint="default" w:ascii="Times New Roman" w:hAnsi="Times New Roman" w:cs="Times New Roman"/>
          <w:color w:val="auto"/>
          <w:sz w:val="24"/>
          <w:szCs w:val="24"/>
          <w:highlight w:val="none"/>
          <w:lang w:val="zh-CN"/>
        </w:rPr>
      </w:pPr>
      <w:r>
        <w:rPr>
          <w:rFonts w:hint="default" w:ascii="Times New Roman" w:hAnsi="Times New Roman" w:cs="Times New Roman"/>
          <w:color w:val="auto"/>
          <w:sz w:val="24"/>
          <w:szCs w:val="24"/>
          <w:highlight w:val="none"/>
          <w:lang w:val="zh-CN"/>
        </w:rPr>
        <w:t>系我单位法定代表人。</w:t>
      </w:r>
    </w:p>
    <w:p>
      <w:pPr>
        <w:autoSpaceDE w:val="0"/>
        <w:autoSpaceDN w:val="0"/>
        <w:adjustRightInd w:val="0"/>
        <w:spacing w:line="480" w:lineRule="auto"/>
        <w:ind w:firstLine="610"/>
        <w:rPr>
          <w:rFonts w:hint="default" w:ascii="Times New Roman" w:hAnsi="Times New Roman" w:cs="Times New Roman"/>
          <w:color w:val="auto"/>
          <w:sz w:val="24"/>
          <w:szCs w:val="24"/>
          <w:highlight w:val="none"/>
          <w:lang w:val="zh-CN"/>
        </w:rPr>
      </w:pPr>
      <w:r>
        <w:rPr>
          <w:rFonts w:hint="default" w:ascii="Times New Roman" w:hAnsi="Times New Roman" w:cs="Times New Roman"/>
          <w:color w:val="auto"/>
          <w:sz w:val="24"/>
          <w:szCs w:val="24"/>
          <w:highlight w:val="none"/>
          <w:lang w:val="zh-CN"/>
        </w:rPr>
        <w:t>特此证明。</w:t>
      </w:r>
    </w:p>
    <w:p>
      <w:pPr>
        <w:tabs>
          <w:tab w:val="left" w:pos="720"/>
          <w:tab w:val="left" w:pos="900"/>
        </w:tabs>
        <w:autoSpaceDE w:val="0"/>
        <w:autoSpaceDN w:val="0"/>
        <w:adjustRightInd w:val="0"/>
        <w:spacing w:line="360" w:lineRule="auto"/>
        <w:ind w:firstLine="600"/>
        <w:rPr>
          <w:rFonts w:hint="default" w:ascii="Times New Roman" w:hAnsi="Times New Roman" w:cs="Times New Roman"/>
          <w:color w:val="auto"/>
          <w:sz w:val="24"/>
          <w:szCs w:val="24"/>
          <w:highlight w:val="none"/>
          <w:lang w:val="zh-CN"/>
        </w:rPr>
      </w:pPr>
    </w:p>
    <w:p>
      <w:pPr>
        <w:tabs>
          <w:tab w:val="left" w:pos="720"/>
          <w:tab w:val="left" w:pos="900"/>
        </w:tabs>
        <w:autoSpaceDE w:val="0"/>
        <w:autoSpaceDN w:val="0"/>
        <w:adjustRightInd w:val="0"/>
        <w:spacing w:line="360" w:lineRule="auto"/>
        <w:ind w:firstLine="600"/>
        <w:rPr>
          <w:rFonts w:hint="default" w:ascii="Times New Roman" w:hAnsi="Times New Roman" w:cs="Times New Roman"/>
          <w:color w:val="auto"/>
          <w:sz w:val="24"/>
          <w:szCs w:val="24"/>
          <w:highlight w:val="none"/>
          <w:u w:val="single"/>
          <w:lang w:val="zh-CN"/>
        </w:rPr>
      </w:pPr>
      <w:r>
        <w:rPr>
          <w:rFonts w:hint="default" w:ascii="Times New Roman" w:hAnsi="Times New Roman" w:cs="Times New Roman"/>
          <w:color w:val="auto"/>
          <w:sz w:val="24"/>
          <w:szCs w:val="24"/>
          <w:highlight w:val="none"/>
          <w:lang w:val="zh-CN"/>
        </w:rPr>
        <w:t>单位名称（盖章）：</w:t>
      </w:r>
    </w:p>
    <w:p>
      <w:pPr>
        <w:tabs>
          <w:tab w:val="left" w:pos="720"/>
          <w:tab w:val="left" w:pos="900"/>
        </w:tabs>
        <w:autoSpaceDE w:val="0"/>
        <w:autoSpaceDN w:val="0"/>
        <w:adjustRightInd w:val="0"/>
        <w:spacing w:line="360" w:lineRule="auto"/>
        <w:ind w:firstLine="480" w:firstLineChars="200"/>
        <w:rPr>
          <w:rFonts w:hint="default" w:ascii="Times New Roman" w:hAnsi="Times New Roman" w:cs="Times New Roman"/>
          <w:color w:val="auto"/>
          <w:sz w:val="24"/>
          <w:szCs w:val="24"/>
          <w:highlight w:val="none"/>
          <w:lang w:val="zh-CN"/>
        </w:rPr>
      </w:pPr>
    </w:p>
    <w:p>
      <w:pPr>
        <w:tabs>
          <w:tab w:val="left" w:pos="720"/>
          <w:tab w:val="left" w:pos="900"/>
        </w:tabs>
        <w:autoSpaceDE w:val="0"/>
        <w:autoSpaceDN w:val="0"/>
        <w:adjustRightInd w:val="0"/>
        <w:spacing w:line="360" w:lineRule="auto"/>
        <w:ind w:firstLine="480" w:firstLineChars="200"/>
        <w:rPr>
          <w:rFonts w:hint="default" w:ascii="Times New Roman" w:hAnsi="Times New Roman" w:cs="Times New Roman"/>
          <w:color w:val="auto"/>
          <w:sz w:val="24"/>
          <w:szCs w:val="24"/>
          <w:highlight w:val="none"/>
          <w:lang w:val="zh-CN"/>
        </w:rPr>
      </w:pPr>
      <w:r>
        <w:rPr>
          <w:rFonts w:hint="default" w:ascii="Times New Roman" w:hAnsi="Times New Roman" w:cs="Times New Roman"/>
          <w:color w:val="auto"/>
          <w:sz w:val="24"/>
          <w:szCs w:val="24"/>
          <w:highlight w:val="none"/>
          <w:lang w:val="zh-CN"/>
        </w:rPr>
        <w:t>日期：     年     月    日</w:t>
      </w:r>
    </w:p>
    <w:p>
      <w:pPr>
        <w:pStyle w:val="79"/>
        <w:ind w:left="360" w:firstLine="0" w:firstLineChars="0"/>
        <w:jc w:val="center"/>
        <w:rPr>
          <w:rFonts w:hint="default" w:ascii="Times New Roman" w:hAnsi="Times New Roman" w:cs="Times New Roman"/>
          <w:color w:val="auto"/>
          <w:sz w:val="24"/>
          <w:szCs w:val="24"/>
          <w:highlight w:val="none"/>
        </w:rPr>
      </w:pPr>
    </w:p>
    <w:p>
      <w:pPr>
        <w:pStyle w:val="79"/>
        <w:ind w:left="360" w:firstLine="0" w:firstLineChars="0"/>
        <w:jc w:val="center"/>
        <w:rPr>
          <w:rFonts w:hint="default" w:ascii="Times New Roman" w:hAnsi="Times New Roman" w:cs="Times New Roman"/>
          <w:color w:val="auto"/>
          <w:sz w:val="24"/>
          <w:szCs w:val="24"/>
          <w:highlight w:val="none"/>
        </w:rPr>
      </w:pPr>
      <w:bookmarkStart w:id="129" w:name="_Toc11162_WPSOffice_Level2"/>
      <w:r>
        <w:rPr>
          <w:rFonts w:hint="default" w:ascii="Times New Roman" w:hAnsi="Times New Roman" w:cs="Times New Roman"/>
          <w:color w:val="auto"/>
          <w:sz w:val="24"/>
          <w:szCs w:val="24"/>
          <w:highlight w:val="none"/>
        </w:rPr>
        <w:t>附法定代表人身份证</w:t>
      </w:r>
      <w:bookmarkEnd w:id="129"/>
      <w:r>
        <w:rPr>
          <w:rFonts w:hint="default" w:ascii="Times New Roman" w:hAnsi="Times New Roman" w:cs="Times New Roman"/>
          <w:color w:val="auto"/>
          <w:sz w:val="24"/>
          <w:szCs w:val="24"/>
          <w:highlight w:val="none"/>
        </w:rPr>
        <w:t>复印件</w:t>
      </w:r>
    </w:p>
    <w:p>
      <w:pPr>
        <w:pStyle w:val="79"/>
        <w:ind w:left="360" w:firstLine="0" w:firstLineChars="0"/>
        <w:jc w:val="center"/>
        <w:rPr>
          <w:rFonts w:hint="default" w:ascii="Times New Roman" w:hAnsi="Times New Roman" w:cs="Times New Roman"/>
          <w:color w:val="auto"/>
          <w:sz w:val="28"/>
          <w:szCs w:val="28"/>
          <w:highlight w:val="none"/>
        </w:rPr>
      </w:pPr>
      <w:r>
        <w:rPr>
          <w:rFonts w:hint="default" w:ascii="Times New Roman" w:hAnsi="Times New Roman" w:cs="Times New Roman"/>
          <w:color w:val="auto"/>
          <w:sz w:val="24"/>
          <w:szCs w:val="24"/>
          <w:highlight w:val="none"/>
        </w:rPr>
        <w:br w:type="page"/>
      </w:r>
    </w:p>
    <w:p>
      <w:pPr>
        <w:pStyle w:val="5"/>
        <w:rPr>
          <w:rFonts w:hint="default" w:ascii="Times New Roman" w:hAnsi="Times New Roman" w:cs="Times New Roman"/>
          <w:color w:val="auto"/>
          <w:sz w:val="24"/>
          <w:szCs w:val="24"/>
          <w:highlight w:val="none"/>
        </w:rPr>
      </w:pPr>
      <w:bookmarkStart w:id="130" w:name="_Toc512354291"/>
      <w:bookmarkStart w:id="131" w:name="_Toc484699853"/>
      <w:bookmarkStart w:id="132" w:name="_Toc382509465"/>
      <w:bookmarkStart w:id="133" w:name="_Toc30354"/>
      <w:bookmarkStart w:id="134" w:name="_Toc10122279"/>
      <w:bookmarkStart w:id="135" w:name="_Toc10184888"/>
      <w:r>
        <w:rPr>
          <w:rFonts w:hint="default" w:ascii="Times New Roman" w:hAnsi="Times New Roman" w:cs="Times New Roman"/>
          <w:color w:val="auto"/>
          <w:highlight w:val="none"/>
        </w:rPr>
        <w:t xml:space="preserve">格式六                </w:t>
      </w:r>
      <w:bookmarkStart w:id="136" w:name="_Toc12139"/>
      <w:r>
        <w:rPr>
          <w:rFonts w:hint="default" w:ascii="Times New Roman" w:hAnsi="Times New Roman" w:cs="Times New Roman"/>
          <w:color w:val="auto"/>
          <w:highlight w:val="none"/>
        </w:rPr>
        <w:t xml:space="preserve">           法人单位授权书及法人授权委托</w:t>
      </w:r>
      <w:bookmarkEnd w:id="130"/>
      <w:bookmarkEnd w:id="131"/>
      <w:bookmarkEnd w:id="132"/>
      <w:bookmarkEnd w:id="133"/>
      <w:bookmarkEnd w:id="136"/>
      <w:r>
        <w:rPr>
          <w:rFonts w:hint="default" w:ascii="Times New Roman" w:hAnsi="Times New Roman" w:cs="Times New Roman"/>
          <w:color w:val="auto"/>
          <w:highlight w:val="none"/>
        </w:rPr>
        <w:t>书</w:t>
      </w:r>
      <w:bookmarkEnd w:id="134"/>
      <w:bookmarkEnd w:id="135"/>
    </w:p>
    <w:p>
      <w:pPr>
        <w:spacing w:line="360" w:lineRule="auto"/>
        <w:rPr>
          <w:rFonts w:hint="default" w:ascii="Times New Roman" w:hAnsi="Times New Roman" w:cs="Times New Roman"/>
          <w:b/>
          <w:color w:val="auto"/>
          <w:sz w:val="24"/>
          <w:szCs w:val="24"/>
          <w:highlight w:val="none"/>
          <w:u w:val="single"/>
        </w:rPr>
      </w:pPr>
      <w:r>
        <w:rPr>
          <w:rFonts w:hint="default" w:ascii="Times New Roman" w:hAnsi="Times New Roman" w:cs="Times New Roman"/>
          <w:color w:val="auto"/>
          <w:sz w:val="24"/>
          <w:szCs w:val="24"/>
          <w:highlight w:val="none"/>
          <w:u w:val="single"/>
          <w:lang w:val="zh-CN"/>
        </w:rPr>
        <w:t>（采购人全称）</w:t>
      </w:r>
      <w:r>
        <w:rPr>
          <w:rFonts w:hint="default" w:ascii="Times New Roman" w:hAnsi="Times New Roman" w:cs="Times New Roman"/>
          <w:color w:val="auto"/>
          <w:sz w:val="24"/>
          <w:szCs w:val="24"/>
          <w:highlight w:val="none"/>
          <w:u w:val="single"/>
        </w:rPr>
        <w:t>：</w:t>
      </w:r>
    </w:p>
    <w:p>
      <w:pPr>
        <w:spacing w:line="360" w:lineRule="auto"/>
        <w:ind w:firstLine="480" w:firstLineChars="200"/>
        <w:jc w:val="both"/>
        <w:rPr>
          <w:rFonts w:hint="default" w:ascii="Times New Roman" w:hAnsi="Times New Roman" w:cs="Times New Roman"/>
          <w:color w:val="auto"/>
          <w:sz w:val="24"/>
          <w:szCs w:val="24"/>
          <w:highlight w:val="none"/>
          <w:lang w:val="zh-CN"/>
        </w:rPr>
      </w:pPr>
      <w:r>
        <w:rPr>
          <w:rFonts w:hint="default" w:ascii="Times New Roman" w:hAnsi="Times New Roman" w:cs="Times New Roman"/>
          <w:color w:val="auto"/>
          <w:sz w:val="24"/>
          <w:szCs w:val="24"/>
          <w:highlight w:val="none"/>
          <w:u w:val="single"/>
          <w:lang w:val="zh-CN"/>
        </w:rPr>
        <w:t>（法定代表人姓名）</w:t>
      </w:r>
      <w:r>
        <w:rPr>
          <w:rFonts w:hint="default" w:ascii="Times New Roman" w:hAnsi="Times New Roman" w:cs="Times New Roman"/>
          <w:color w:val="auto"/>
          <w:sz w:val="24"/>
          <w:szCs w:val="24"/>
          <w:highlight w:val="none"/>
          <w:lang w:val="zh-CN"/>
        </w:rPr>
        <w:t>系注册于</w:t>
      </w:r>
      <w:r>
        <w:rPr>
          <w:rFonts w:hint="default" w:ascii="Times New Roman" w:hAnsi="Times New Roman" w:cs="Times New Roman"/>
          <w:color w:val="auto"/>
          <w:sz w:val="24"/>
          <w:szCs w:val="24"/>
          <w:highlight w:val="none"/>
          <w:u w:val="single"/>
          <w:lang w:val="zh-CN"/>
        </w:rPr>
        <w:t xml:space="preserve">        （公司地址）     </w:t>
      </w:r>
      <w:r>
        <w:rPr>
          <w:rFonts w:hint="default" w:ascii="Times New Roman" w:hAnsi="Times New Roman" w:cs="Times New Roman"/>
          <w:color w:val="auto"/>
          <w:sz w:val="24"/>
          <w:szCs w:val="24"/>
          <w:highlight w:val="none"/>
          <w:lang w:val="zh-CN"/>
        </w:rPr>
        <w:t xml:space="preserve">的  </w:t>
      </w:r>
      <w:r>
        <w:rPr>
          <w:rFonts w:hint="default" w:ascii="Times New Roman" w:hAnsi="Times New Roman" w:cs="Times New Roman"/>
          <w:color w:val="auto"/>
          <w:sz w:val="24"/>
          <w:szCs w:val="24"/>
          <w:highlight w:val="none"/>
          <w:u w:val="single"/>
          <w:lang w:val="zh-CN"/>
        </w:rPr>
        <w:t>（公司名称）</w:t>
      </w:r>
      <w:r>
        <w:rPr>
          <w:rFonts w:hint="default" w:ascii="Times New Roman" w:hAnsi="Times New Roman" w:cs="Times New Roman"/>
          <w:color w:val="auto"/>
          <w:sz w:val="24"/>
          <w:szCs w:val="24"/>
          <w:highlight w:val="none"/>
          <w:lang w:val="zh-CN"/>
        </w:rPr>
        <w:t>的法定代表人，现代表公司授权</w:t>
      </w:r>
      <w:r>
        <w:rPr>
          <w:rFonts w:hint="default" w:ascii="Times New Roman" w:hAnsi="Times New Roman" w:cs="Times New Roman"/>
          <w:color w:val="auto"/>
          <w:sz w:val="24"/>
          <w:szCs w:val="24"/>
          <w:highlight w:val="none"/>
          <w:u w:val="single"/>
          <w:lang w:val="zh-CN"/>
        </w:rPr>
        <w:t xml:space="preserve">                        （被授权人姓名，身份证号码）</w:t>
      </w:r>
      <w:r>
        <w:rPr>
          <w:rFonts w:hint="default" w:ascii="Times New Roman" w:hAnsi="Times New Roman" w:cs="Times New Roman"/>
          <w:color w:val="auto"/>
          <w:sz w:val="24"/>
          <w:szCs w:val="24"/>
          <w:highlight w:val="none"/>
          <w:lang w:val="zh-CN"/>
        </w:rPr>
        <w:t>为我公司合法代理人，代表本公司参加</w:t>
      </w:r>
      <w:r>
        <w:rPr>
          <w:rFonts w:hint="default" w:ascii="Times New Roman" w:hAnsi="Times New Roman" w:cs="Times New Roman"/>
          <w:color w:val="auto"/>
          <w:sz w:val="24"/>
          <w:szCs w:val="24"/>
          <w:highlight w:val="none"/>
          <w:u w:val="single"/>
          <w:lang w:val="zh-CN"/>
        </w:rPr>
        <w:t>（项目名称）</w:t>
      </w:r>
      <w:r>
        <w:rPr>
          <w:rFonts w:hint="default" w:ascii="Times New Roman" w:hAnsi="Times New Roman" w:cs="Times New Roman"/>
          <w:color w:val="auto"/>
          <w:sz w:val="24"/>
          <w:szCs w:val="24"/>
          <w:highlight w:val="none"/>
          <w:lang w:val="zh-CN"/>
        </w:rPr>
        <w:t>报价、谈判、签约、履约等具体工作，并签署全部有关的文件、协议及合同。</w:t>
      </w:r>
    </w:p>
    <w:p>
      <w:pPr>
        <w:autoSpaceDE w:val="0"/>
        <w:autoSpaceDN w:val="0"/>
        <w:adjustRightInd w:val="0"/>
        <w:spacing w:line="360" w:lineRule="auto"/>
        <w:ind w:firstLine="480" w:firstLineChars="200"/>
        <w:jc w:val="both"/>
        <w:rPr>
          <w:rFonts w:hint="default" w:ascii="Times New Roman" w:hAnsi="Times New Roman" w:cs="Times New Roman"/>
          <w:color w:val="auto"/>
          <w:sz w:val="24"/>
          <w:szCs w:val="24"/>
          <w:highlight w:val="none"/>
          <w:lang w:val="zh-CN"/>
        </w:rPr>
      </w:pPr>
      <w:r>
        <w:rPr>
          <w:rFonts w:hint="default" w:ascii="Times New Roman" w:hAnsi="Times New Roman" w:cs="Times New Roman"/>
          <w:color w:val="auto"/>
          <w:sz w:val="24"/>
          <w:szCs w:val="24"/>
          <w:highlight w:val="none"/>
          <w:lang w:val="zh-CN"/>
        </w:rPr>
        <w:t>我公司对被授权人的签名负全部责任。</w:t>
      </w:r>
    </w:p>
    <w:p>
      <w:pPr>
        <w:autoSpaceDE w:val="0"/>
        <w:autoSpaceDN w:val="0"/>
        <w:adjustRightInd w:val="0"/>
        <w:spacing w:line="360" w:lineRule="auto"/>
        <w:ind w:firstLine="480" w:firstLineChars="200"/>
        <w:jc w:val="both"/>
        <w:rPr>
          <w:rFonts w:hint="default" w:ascii="Times New Roman" w:hAnsi="Times New Roman" w:cs="Times New Roman"/>
          <w:color w:val="auto"/>
          <w:sz w:val="24"/>
          <w:szCs w:val="24"/>
          <w:highlight w:val="none"/>
          <w:lang w:val="zh-CN"/>
        </w:rPr>
      </w:pPr>
      <w:r>
        <w:rPr>
          <w:rFonts w:hint="default" w:ascii="Times New Roman" w:hAnsi="Times New Roman" w:cs="Times New Roman"/>
          <w:color w:val="auto"/>
          <w:sz w:val="24"/>
          <w:szCs w:val="24"/>
          <w:highlight w:val="none"/>
          <w:lang w:val="zh-CN"/>
        </w:rPr>
        <w:t>本授权书于年月日签字生效，被授权人签署的所有文件不因授权的撤销而失效。</w:t>
      </w:r>
    </w:p>
    <w:p>
      <w:pPr>
        <w:autoSpaceDE w:val="0"/>
        <w:autoSpaceDN w:val="0"/>
        <w:adjustRightInd w:val="0"/>
        <w:spacing w:line="360" w:lineRule="auto"/>
        <w:ind w:firstLine="480" w:firstLineChars="200"/>
        <w:rPr>
          <w:rFonts w:hint="default" w:ascii="Times New Roman" w:hAnsi="Times New Roman" w:cs="Times New Roman"/>
          <w:color w:val="auto"/>
          <w:sz w:val="24"/>
          <w:szCs w:val="24"/>
          <w:highlight w:val="none"/>
          <w:lang w:val="zh-CN"/>
        </w:rPr>
      </w:pPr>
    </w:p>
    <w:p>
      <w:pPr>
        <w:spacing w:line="360" w:lineRule="auto"/>
        <w:ind w:firstLine="484" w:firstLineChars="202"/>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公司名称（公章）：</w:t>
      </w:r>
    </w:p>
    <w:p>
      <w:pPr>
        <w:autoSpaceDE w:val="0"/>
        <w:autoSpaceDN w:val="0"/>
        <w:adjustRightInd w:val="0"/>
        <w:spacing w:line="360" w:lineRule="auto"/>
        <w:ind w:firstLine="484" w:firstLineChars="202"/>
        <w:rPr>
          <w:rFonts w:hint="default" w:ascii="Times New Roman" w:hAnsi="Times New Roman" w:cs="Times New Roman"/>
          <w:color w:val="auto"/>
          <w:sz w:val="24"/>
          <w:szCs w:val="24"/>
          <w:highlight w:val="none"/>
          <w:u w:val="single"/>
          <w:lang w:val="zh-CN"/>
        </w:rPr>
      </w:pPr>
      <w:r>
        <w:rPr>
          <w:rFonts w:hint="default" w:ascii="Times New Roman" w:hAnsi="Times New Roman" w:cs="Times New Roman"/>
          <w:color w:val="auto"/>
          <w:sz w:val="24"/>
          <w:szCs w:val="24"/>
          <w:highlight w:val="none"/>
          <w:lang w:val="zh-CN"/>
        </w:rPr>
        <w:t>授权人（签字</w:t>
      </w:r>
      <w:r>
        <w:rPr>
          <w:rFonts w:hint="default" w:ascii="Times New Roman" w:hAnsi="Times New Roman" w:cs="Times New Roman"/>
          <w:color w:val="auto"/>
          <w:sz w:val="24"/>
          <w:szCs w:val="24"/>
          <w:highlight w:val="none"/>
        </w:rPr>
        <w:t>或印鉴</w:t>
      </w:r>
      <w:r>
        <w:rPr>
          <w:rFonts w:hint="default" w:ascii="Times New Roman" w:hAnsi="Times New Roman" w:cs="Times New Roman"/>
          <w:color w:val="auto"/>
          <w:sz w:val="24"/>
          <w:szCs w:val="24"/>
          <w:highlight w:val="none"/>
          <w:lang w:val="zh-CN"/>
        </w:rPr>
        <w:t>）：</w:t>
      </w:r>
    </w:p>
    <w:p>
      <w:pPr>
        <w:spacing w:line="360" w:lineRule="auto"/>
        <w:ind w:firstLine="484" w:firstLineChars="202"/>
        <w:rPr>
          <w:rFonts w:hint="default" w:ascii="Times New Roman" w:hAnsi="Times New Roman" w:cs="Times New Roman"/>
          <w:color w:val="auto"/>
          <w:sz w:val="24"/>
          <w:szCs w:val="24"/>
          <w:highlight w:val="none"/>
          <w:u w:val="single"/>
        </w:rPr>
      </w:pPr>
      <w:r>
        <w:rPr>
          <w:rFonts w:hint="default" w:ascii="Times New Roman" w:hAnsi="Times New Roman" w:cs="Times New Roman"/>
          <w:color w:val="auto"/>
          <w:sz w:val="24"/>
          <w:szCs w:val="24"/>
          <w:highlight w:val="none"/>
        </w:rPr>
        <w:t>授权代表</w:t>
      </w:r>
      <w:r>
        <w:rPr>
          <w:rFonts w:hint="default" w:ascii="Times New Roman" w:hAnsi="Times New Roman" w:cs="Times New Roman"/>
          <w:color w:val="auto"/>
          <w:sz w:val="24"/>
          <w:szCs w:val="24"/>
          <w:highlight w:val="none"/>
          <w:lang w:val="zh-CN"/>
        </w:rPr>
        <w:t>（签字</w:t>
      </w:r>
      <w:r>
        <w:rPr>
          <w:rFonts w:hint="default" w:ascii="Times New Roman" w:hAnsi="Times New Roman" w:cs="Times New Roman"/>
          <w:color w:val="auto"/>
          <w:sz w:val="24"/>
          <w:szCs w:val="24"/>
          <w:highlight w:val="none"/>
        </w:rPr>
        <w:t>或印鉴</w:t>
      </w:r>
      <w:r>
        <w:rPr>
          <w:rFonts w:hint="default" w:ascii="Times New Roman" w:hAnsi="Times New Roman" w:cs="Times New Roman"/>
          <w:color w:val="auto"/>
          <w:sz w:val="24"/>
          <w:szCs w:val="24"/>
          <w:highlight w:val="none"/>
          <w:lang w:val="zh-CN"/>
        </w:rPr>
        <w:t>）：</w:t>
      </w:r>
    </w:p>
    <w:p>
      <w:pPr>
        <w:spacing w:line="360" w:lineRule="auto"/>
        <w:ind w:firstLine="484" w:firstLineChars="202"/>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日    期：    年    月    日</w:t>
      </w:r>
    </w:p>
    <w:p>
      <w:pPr>
        <w:tabs>
          <w:tab w:val="left" w:pos="720"/>
          <w:tab w:val="left" w:pos="900"/>
        </w:tabs>
        <w:autoSpaceDE w:val="0"/>
        <w:autoSpaceDN w:val="0"/>
        <w:adjustRightInd w:val="0"/>
        <w:spacing w:line="360" w:lineRule="auto"/>
        <w:rPr>
          <w:rFonts w:hint="default" w:ascii="Times New Roman" w:hAnsi="Times New Roman" w:cs="Times New Roman"/>
          <w:color w:val="auto"/>
          <w:sz w:val="24"/>
          <w:szCs w:val="24"/>
          <w:highlight w:val="none"/>
          <w:lang w:val="zh-CN"/>
        </w:rPr>
      </w:pPr>
    </w:p>
    <w:p>
      <w:pPr>
        <w:tabs>
          <w:tab w:val="left" w:pos="720"/>
          <w:tab w:val="left" w:pos="900"/>
        </w:tabs>
        <w:autoSpaceDE w:val="0"/>
        <w:autoSpaceDN w:val="0"/>
        <w:adjustRightInd w:val="0"/>
        <w:spacing w:line="360" w:lineRule="auto"/>
        <w:ind w:firstLine="482" w:firstLineChars="200"/>
        <w:jc w:val="both"/>
        <w:rPr>
          <w:rFonts w:hint="eastAsia" w:ascii="Times New Roman" w:hAnsi="Times New Roman" w:eastAsia="宋体" w:cs="Times New Roman"/>
          <w:b/>
          <w:bCs/>
          <w:color w:val="auto"/>
          <w:sz w:val="24"/>
          <w:szCs w:val="24"/>
          <w:highlight w:val="none"/>
          <w:lang w:val="en-US" w:eastAsia="zh-CN"/>
        </w:rPr>
      </w:pPr>
      <w:bookmarkStart w:id="137" w:name="_Toc32416_WPSOffice_Level2"/>
      <w:r>
        <w:rPr>
          <w:rFonts w:hint="default" w:ascii="Times New Roman" w:hAnsi="Times New Roman" w:cs="Times New Roman"/>
          <w:b/>
          <w:bCs/>
          <w:color w:val="auto"/>
          <w:sz w:val="24"/>
          <w:szCs w:val="24"/>
          <w:highlight w:val="none"/>
          <w:lang w:val="zh-CN"/>
        </w:rPr>
        <w:t>附</w:t>
      </w:r>
      <w:r>
        <w:rPr>
          <w:rFonts w:hint="default" w:ascii="Times New Roman" w:hAnsi="Times New Roman" w:cs="Times New Roman"/>
          <w:b/>
          <w:bCs/>
          <w:color w:val="auto"/>
          <w:sz w:val="24"/>
          <w:szCs w:val="24"/>
          <w:highlight w:val="none"/>
        </w:rPr>
        <w:t>授权代表</w:t>
      </w:r>
      <w:r>
        <w:rPr>
          <w:rFonts w:hint="default" w:ascii="Times New Roman" w:hAnsi="Times New Roman" w:cs="Times New Roman"/>
          <w:b/>
          <w:bCs/>
          <w:color w:val="auto"/>
          <w:sz w:val="24"/>
          <w:szCs w:val="24"/>
          <w:highlight w:val="none"/>
          <w:lang w:val="zh-CN"/>
        </w:rPr>
        <w:t>姓名</w:t>
      </w:r>
      <w:r>
        <w:rPr>
          <w:rFonts w:hint="eastAsia" w:cs="Times New Roman"/>
          <w:b/>
          <w:bCs/>
          <w:color w:val="auto"/>
          <w:sz w:val="24"/>
          <w:szCs w:val="24"/>
          <w:highlight w:val="none"/>
          <w:lang w:val="zh-CN"/>
        </w:rPr>
        <w:t>、</w:t>
      </w:r>
      <w:r>
        <w:rPr>
          <w:rFonts w:hint="default" w:ascii="Times New Roman" w:hAnsi="Times New Roman" w:cs="Times New Roman"/>
          <w:b/>
          <w:bCs/>
          <w:color w:val="auto"/>
          <w:sz w:val="24"/>
          <w:szCs w:val="24"/>
          <w:highlight w:val="none"/>
          <w:lang w:val="zh-CN"/>
        </w:rPr>
        <w:t>身份证</w:t>
      </w:r>
      <w:bookmarkEnd w:id="137"/>
      <w:r>
        <w:rPr>
          <w:rFonts w:hint="default" w:ascii="Times New Roman" w:hAnsi="Times New Roman" w:cs="Times New Roman"/>
          <w:b/>
          <w:bCs/>
          <w:color w:val="auto"/>
          <w:sz w:val="24"/>
          <w:szCs w:val="24"/>
          <w:highlight w:val="none"/>
        </w:rPr>
        <w:t>复印件</w:t>
      </w:r>
      <w:r>
        <w:rPr>
          <w:rFonts w:hint="eastAsia" w:cs="Times New Roman"/>
          <w:b/>
          <w:bCs/>
          <w:color w:val="auto"/>
          <w:sz w:val="24"/>
          <w:szCs w:val="24"/>
          <w:highlight w:val="none"/>
          <w:lang w:eastAsia="zh-CN"/>
        </w:rPr>
        <w:t>、</w:t>
      </w:r>
      <w:r>
        <w:rPr>
          <w:rFonts w:hint="eastAsia" w:cs="Times New Roman"/>
          <w:b/>
          <w:bCs/>
          <w:color w:val="auto"/>
          <w:sz w:val="24"/>
          <w:szCs w:val="24"/>
          <w:highlight w:val="none"/>
          <w:lang w:val="en-US" w:eastAsia="zh-CN"/>
        </w:rPr>
        <w:t>联系方式</w:t>
      </w:r>
    </w:p>
    <w:p>
      <w:pPr>
        <w:tabs>
          <w:tab w:val="left" w:pos="720"/>
          <w:tab w:val="left" w:pos="900"/>
        </w:tabs>
        <w:autoSpaceDE w:val="0"/>
        <w:autoSpaceDN w:val="0"/>
        <w:adjustRightInd w:val="0"/>
        <w:spacing w:line="360" w:lineRule="auto"/>
        <w:ind w:firstLine="482" w:firstLineChars="200"/>
        <w:rPr>
          <w:rFonts w:ascii="宋体" w:cs="宋体"/>
          <w:b/>
          <w:bCs/>
          <w:color w:val="auto"/>
          <w:sz w:val="24"/>
          <w:szCs w:val="24"/>
          <w:highlight w:val="none"/>
          <w:lang w:val="zh-CN"/>
        </w:rPr>
      </w:pPr>
      <w:r>
        <w:rPr>
          <w:rFonts w:hint="eastAsia" w:ascii="宋体" w:cs="宋体"/>
          <w:b/>
          <w:bCs/>
          <w:color w:val="auto"/>
          <w:sz w:val="24"/>
          <w:szCs w:val="24"/>
          <w:highlight w:val="none"/>
          <w:lang w:val="zh-CN"/>
        </w:rPr>
        <w:t>附</w:t>
      </w:r>
      <w:r>
        <w:rPr>
          <w:rFonts w:hint="eastAsia" w:ascii="宋体" w:hAnsi="Times New Roman" w:cs="Times New Roman"/>
          <w:b/>
          <w:bCs/>
          <w:color w:val="auto"/>
          <w:kern w:val="0"/>
          <w:sz w:val="24"/>
          <w:szCs w:val="24"/>
          <w:highlight w:val="none"/>
        </w:rPr>
        <w:t>供</w:t>
      </w:r>
      <w:r>
        <w:rPr>
          <w:rFonts w:hint="eastAsia" w:ascii="宋体"/>
          <w:b/>
          <w:bCs/>
          <w:color w:val="auto"/>
          <w:kern w:val="0"/>
          <w:sz w:val="24"/>
          <w:szCs w:val="24"/>
          <w:highlight w:val="none"/>
        </w:rPr>
        <w:t>应商法人授权代表需提供本人在供应商单位近半年社保证明文</w:t>
      </w:r>
      <w:r>
        <w:rPr>
          <w:rFonts w:hint="eastAsia" w:hAnsi="宋体" w:cs="宋体"/>
          <w:b/>
          <w:bCs/>
          <w:color w:val="auto"/>
          <w:highlight w:val="none"/>
        </w:rPr>
        <w:t>件</w:t>
      </w:r>
    </w:p>
    <w:p>
      <w:pPr>
        <w:tabs>
          <w:tab w:val="left" w:pos="720"/>
          <w:tab w:val="left" w:pos="900"/>
        </w:tabs>
        <w:autoSpaceDE w:val="0"/>
        <w:autoSpaceDN w:val="0"/>
        <w:adjustRightInd w:val="0"/>
        <w:spacing w:line="360" w:lineRule="auto"/>
        <w:ind w:firstLine="480" w:firstLineChars="200"/>
        <w:rPr>
          <w:rFonts w:hint="default" w:ascii="Times New Roman" w:hAnsi="Times New Roman" w:cs="Times New Roman"/>
          <w:color w:val="auto"/>
          <w:sz w:val="24"/>
          <w:szCs w:val="24"/>
          <w:highlight w:val="none"/>
          <w:lang w:val="zh-CN"/>
        </w:rPr>
      </w:pPr>
    </w:p>
    <w:p>
      <w:pPr>
        <w:widowControl w:val="0"/>
        <w:tabs>
          <w:tab w:val="left" w:pos="360"/>
          <w:tab w:val="left" w:pos="720"/>
          <w:tab w:val="left" w:pos="3060"/>
        </w:tabs>
        <w:spacing w:line="400" w:lineRule="exact"/>
        <w:jc w:val="both"/>
        <w:rPr>
          <w:rFonts w:hint="default" w:ascii="Times New Roman" w:hAnsi="Times New Roman" w:cs="Times New Roman"/>
          <w:b/>
          <w:color w:val="auto"/>
          <w:kern w:val="2"/>
          <w:sz w:val="24"/>
          <w:szCs w:val="24"/>
          <w:highlight w:val="none"/>
        </w:rPr>
      </w:pPr>
      <w:r>
        <w:rPr>
          <w:rFonts w:hint="default" w:ascii="Times New Roman" w:hAnsi="Times New Roman" w:cs="Times New Roman"/>
          <w:b/>
          <w:color w:val="auto"/>
          <w:kern w:val="2"/>
          <w:sz w:val="24"/>
          <w:szCs w:val="24"/>
          <w:highlight w:val="none"/>
        </w:rPr>
        <w:br w:type="page"/>
      </w:r>
      <w:bookmarkStart w:id="138" w:name="_Toc382509467"/>
    </w:p>
    <w:bookmarkEnd w:id="138"/>
    <w:p>
      <w:pPr>
        <w:pStyle w:val="5"/>
        <w:rPr>
          <w:rFonts w:hint="default" w:ascii="Times New Roman" w:hAnsi="Times New Roman" w:cs="Times New Roman"/>
          <w:color w:val="auto"/>
          <w:sz w:val="24"/>
          <w:szCs w:val="24"/>
          <w:highlight w:val="none"/>
        </w:rPr>
      </w:pPr>
      <w:bookmarkStart w:id="139" w:name="_Toc512354294"/>
      <w:bookmarkStart w:id="140" w:name="_Toc484699856"/>
      <w:bookmarkStart w:id="141" w:name="_Toc382509469"/>
      <w:bookmarkStart w:id="142" w:name="_Toc10184889"/>
      <w:bookmarkStart w:id="143" w:name="_Toc10122280"/>
      <w:bookmarkStart w:id="144" w:name="_Toc10471"/>
      <w:r>
        <w:rPr>
          <w:rFonts w:hint="default" w:ascii="Times New Roman" w:hAnsi="Times New Roman" w:cs="Times New Roman"/>
          <w:color w:val="auto"/>
          <w:highlight w:val="none"/>
        </w:rPr>
        <w:t xml:space="preserve">格式七                           </w:t>
      </w:r>
      <w:bookmarkEnd w:id="139"/>
      <w:bookmarkEnd w:id="140"/>
      <w:bookmarkEnd w:id="141"/>
      <w:r>
        <w:rPr>
          <w:rFonts w:hint="default" w:ascii="Times New Roman" w:hAnsi="Times New Roman" w:cs="Times New Roman"/>
          <w:color w:val="auto"/>
          <w:highlight w:val="none"/>
        </w:rPr>
        <w:t>供应商资格证明文件</w:t>
      </w:r>
      <w:bookmarkEnd w:id="142"/>
      <w:bookmarkEnd w:id="143"/>
      <w:bookmarkEnd w:id="144"/>
    </w:p>
    <w:p>
      <w:pPr>
        <w:pStyle w:val="44"/>
        <w:pageBreakBefore w:val="0"/>
        <w:widowControl/>
        <w:kinsoku/>
        <w:overflowPunct/>
        <w:topLinePunct w:val="0"/>
        <w:autoSpaceDE/>
        <w:autoSpaceDN/>
        <w:bidi w:val="0"/>
        <w:adjustRightInd/>
        <w:snapToGrid/>
        <w:spacing w:before="0" w:beforeAutospacing="0" w:after="0" w:afterAutospacing="0" w:line="560" w:lineRule="exact"/>
        <w:ind w:firstLine="480" w:firstLineChars="200"/>
        <w:textAlignment w:val="auto"/>
        <w:rPr>
          <w:rFonts w:hint="default" w:ascii="Times New Roman" w:hAnsi="Times New Roman" w:cs="Times New Roman"/>
          <w:color w:val="auto"/>
          <w:highlight w:val="none"/>
        </w:rPr>
      </w:pPr>
      <w:bookmarkStart w:id="145" w:name="_Toc10184890"/>
      <w:bookmarkStart w:id="146" w:name="_Toc512354298"/>
      <w:bookmarkStart w:id="147" w:name="_Toc27559"/>
      <w:bookmarkStart w:id="148" w:name="_Toc10122281"/>
      <w:bookmarkStart w:id="149" w:name="_Toc484699860"/>
      <w:r>
        <w:rPr>
          <w:rFonts w:hint="default" w:ascii="Times New Roman" w:hAnsi="Times New Roman" w:cs="Times New Roman"/>
          <w:color w:val="auto"/>
          <w:highlight w:val="none"/>
        </w:rPr>
        <w:t>（1）报价人必须是合格的独立法人企业，且具有履行合同能力的增值税一般纳税人。</w:t>
      </w:r>
    </w:p>
    <w:p>
      <w:pPr>
        <w:pStyle w:val="44"/>
        <w:pageBreakBefore w:val="0"/>
        <w:widowControl/>
        <w:kinsoku/>
        <w:overflowPunct/>
        <w:topLinePunct w:val="0"/>
        <w:autoSpaceDE/>
        <w:autoSpaceDN/>
        <w:bidi w:val="0"/>
        <w:adjustRightInd/>
        <w:snapToGrid/>
        <w:spacing w:before="0" w:beforeAutospacing="0" w:after="0" w:afterAutospacing="0" w:line="560" w:lineRule="exact"/>
        <w:ind w:firstLine="480" w:firstLineChars="20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（2）报价人应具有良好的信誉，并具备履行合同所需的财务和技术能力，财务状况须提供近三年</w:t>
      </w:r>
      <w:r>
        <w:rPr>
          <w:rFonts w:hint="eastAsia" w:ascii="Times New Roman" w:cs="Times New Roman"/>
          <w:color w:val="auto"/>
          <w:highlight w:val="none"/>
          <w:lang w:eastAsia="zh-CN"/>
        </w:rPr>
        <w:t>（</w:t>
      </w:r>
      <w:r>
        <w:rPr>
          <w:rFonts w:hint="eastAsia" w:ascii="Times New Roman" w:cs="Times New Roman"/>
          <w:color w:val="auto"/>
          <w:highlight w:val="none"/>
          <w:lang w:val="en-US" w:eastAsia="zh-CN"/>
        </w:rPr>
        <w:t>2021-2023</w:t>
      </w:r>
      <w:r>
        <w:rPr>
          <w:rFonts w:hint="eastAsia" w:ascii="Times New Roman" w:cs="Times New Roman"/>
          <w:color w:val="auto"/>
          <w:highlight w:val="none"/>
          <w:lang w:eastAsia="zh-CN"/>
        </w:rPr>
        <w:t>）</w:t>
      </w:r>
      <w:r>
        <w:rPr>
          <w:rFonts w:hint="eastAsia" w:ascii="Times New Roman" w:cs="Times New Roman"/>
          <w:color w:val="auto"/>
          <w:highlight w:val="none"/>
          <w:lang w:val="en-US" w:eastAsia="zh-CN"/>
        </w:rPr>
        <w:t>或公司成来以来</w:t>
      </w:r>
      <w:r>
        <w:rPr>
          <w:rFonts w:hint="default" w:ascii="Times New Roman" w:hAnsi="Times New Roman" w:cs="Times New Roman"/>
          <w:color w:val="auto"/>
          <w:highlight w:val="none"/>
        </w:rPr>
        <w:t>的财务报表。</w:t>
      </w:r>
    </w:p>
    <w:p>
      <w:pPr>
        <w:pStyle w:val="44"/>
        <w:pageBreakBefore w:val="0"/>
        <w:widowControl/>
        <w:kinsoku/>
        <w:overflowPunct/>
        <w:topLinePunct w:val="0"/>
        <w:autoSpaceDE/>
        <w:autoSpaceDN/>
        <w:bidi w:val="0"/>
        <w:adjustRightInd/>
        <w:snapToGrid/>
        <w:spacing w:before="0" w:beforeAutospacing="0" w:after="0" w:afterAutospacing="0" w:line="560" w:lineRule="exact"/>
        <w:ind w:firstLine="480" w:firstLineChars="20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（3）供应商需具备建筑工程施工总承包</w:t>
      </w:r>
      <w:r>
        <w:rPr>
          <w:rFonts w:hint="eastAsia" w:ascii="Times New Roman" w:cs="Times New Roman"/>
          <w:color w:val="auto"/>
          <w:highlight w:val="none"/>
          <w:lang w:val="en-US" w:eastAsia="zh-CN"/>
        </w:rPr>
        <w:t>一</w:t>
      </w:r>
      <w:r>
        <w:rPr>
          <w:rFonts w:hint="default" w:ascii="Times New Roman" w:hAnsi="Times New Roman" w:cs="Times New Roman"/>
          <w:color w:val="auto"/>
          <w:highlight w:val="none"/>
        </w:rPr>
        <w:t>级资质，</w:t>
      </w:r>
      <w:r>
        <w:rPr>
          <w:rFonts w:hint="eastAsia" w:ascii="Times New Roman" w:hAnsi="Times New Roman" w:cs="Times New Roman"/>
          <w:color w:val="auto"/>
          <w:highlight w:val="none"/>
          <w:lang w:val="en-US" w:eastAsia="zh-CN"/>
        </w:rPr>
        <w:t>钢结构工程专业承包一级，</w:t>
      </w:r>
      <w:r>
        <w:rPr>
          <w:rFonts w:hint="default" w:ascii="Times New Roman" w:hAnsi="Times New Roman" w:cs="Times New Roman"/>
          <w:color w:val="auto"/>
          <w:highlight w:val="none"/>
        </w:rPr>
        <w:t>并具备安全生产许可证。</w:t>
      </w:r>
    </w:p>
    <w:p>
      <w:pPr>
        <w:pStyle w:val="44"/>
        <w:pageBreakBefore w:val="0"/>
        <w:widowControl/>
        <w:kinsoku/>
        <w:overflowPunct/>
        <w:topLinePunct w:val="0"/>
        <w:autoSpaceDE/>
        <w:autoSpaceDN/>
        <w:bidi w:val="0"/>
        <w:adjustRightInd/>
        <w:snapToGrid/>
        <w:spacing w:before="0" w:beforeAutospacing="0" w:after="0" w:afterAutospacing="0" w:line="560" w:lineRule="exact"/>
        <w:ind w:firstLine="480" w:firstLineChars="200"/>
        <w:textAlignment w:val="auto"/>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rPr>
        <w:t>（4）报价人拟投入的项目经理须具备一级注册建造师执业资格，且在本项目合同期内不得兼职其他项目</w:t>
      </w:r>
      <w:r>
        <w:rPr>
          <w:rFonts w:hint="eastAsia" w:ascii="Times New Roman" w:cs="Times New Roman"/>
          <w:color w:val="auto"/>
          <w:highlight w:val="none"/>
          <w:lang w:eastAsia="zh-CN"/>
        </w:rPr>
        <w:t>，</w:t>
      </w:r>
      <w:r>
        <w:rPr>
          <w:rFonts w:hint="eastAsia" w:ascii="Times New Roman" w:cs="Times New Roman"/>
          <w:color w:val="auto"/>
          <w:highlight w:val="none"/>
          <w:lang w:val="en-US" w:eastAsia="zh-CN"/>
        </w:rPr>
        <w:t>项目经理需提供在供应商单位社保证明文件。</w:t>
      </w:r>
    </w:p>
    <w:p>
      <w:pPr>
        <w:pStyle w:val="44"/>
        <w:pageBreakBefore w:val="0"/>
        <w:widowControl/>
        <w:kinsoku/>
        <w:overflowPunct/>
        <w:topLinePunct w:val="0"/>
        <w:autoSpaceDE/>
        <w:autoSpaceDN/>
        <w:bidi w:val="0"/>
        <w:adjustRightInd/>
        <w:snapToGrid/>
        <w:spacing w:before="0" w:beforeAutospacing="0" w:after="0" w:afterAutospacing="0" w:line="560" w:lineRule="exact"/>
        <w:ind w:firstLine="480" w:firstLineChars="20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（5）报价人近五年内</w:t>
      </w:r>
      <w:r>
        <w:rPr>
          <w:rFonts w:hint="eastAsia" w:ascii="Times New Roman" w:cs="Times New Roman"/>
          <w:color w:val="auto"/>
          <w:highlight w:val="none"/>
          <w:lang w:eastAsia="zh-CN"/>
        </w:rPr>
        <w:t>（</w:t>
      </w:r>
      <w:r>
        <w:rPr>
          <w:rFonts w:hint="eastAsia" w:ascii="Times New Roman" w:cs="Times New Roman"/>
          <w:color w:val="auto"/>
          <w:highlight w:val="none"/>
          <w:lang w:val="en-US" w:eastAsia="zh-CN"/>
        </w:rPr>
        <w:t>2017-2022年</w:t>
      </w:r>
      <w:r>
        <w:rPr>
          <w:rFonts w:hint="eastAsia" w:ascii="Times New Roman" w:cs="Times New Roman"/>
          <w:color w:val="auto"/>
          <w:highlight w:val="none"/>
          <w:lang w:eastAsia="zh-CN"/>
        </w:rPr>
        <w:t>）</w:t>
      </w:r>
      <w:r>
        <w:rPr>
          <w:rFonts w:hint="default" w:ascii="Times New Roman" w:hAnsi="Times New Roman" w:cs="Times New Roman"/>
          <w:color w:val="auto"/>
          <w:highlight w:val="none"/>
        </w:rPr>
        <w:t>须具</w:t>
      </w:r>
      <w:r>
        <w:rPr>
          <w:rFonts w:hint="eastAsia" w:ascii="Times New Roman" w:cs="Times New Roman"/>
          <w:color w:val="auto"/>
          <w:highlight w:val="none"/>
          <w:lang w:val="en-US" w:eastAsia="zh-CN"/>
        </w:rPr>
        <w:t>相关类型</w:t>
      </w:r>
      <w:r>
        <w:rPr>
          <w:rFonts w:hint="default" w:ascii="Times New Roman" w:hAnsi="Times New Roman" w:cs="Times New Roman"/>
          <w:color w:val="auto"/>
          <w:highlight w:val="none"/>
        </w:rPr>
        <w:t>业绩。（需提供报价人单位的业绩合同</w:t>
      </w:r>
      <w:r>
        <w:rPr>
          <w:rFonts w:hint="eastAsia" w:ascii="Times New Roman" w:cs="Times New Roman"/>
          <w:color w:val="auto"/>
          <w:highlight w:val="none"/>
          <w:lang w:val="en-US" w:eastAsia="zh-CN"/>
        </w:rPr>
        <w:t>及相关</w:t>
      </w:r>
      <w:r>
        <w:rPr>
          <w:rFonts w:hint="default" w:ascii="Times New Roman" w:hAnsi="Times New Roman" w:cs="Times New Roman"/>
          <w:color w:val="auto"/>
          <w:highlight w:val="none"/>
        </w:rPr>
        <w:t>证明文件）</w:t>
      </w:r>
    </w:p>
    <w:p>
      <w:pPr>
        <w:pStyle w:val="44"/>
        <w:pageBreakBefore w:val="0"/>
        <w:widowControl/>
        <w:kinsoku/>
        <w:overflowPunct/>
        <w:topLinePunct w:val="0"/>
        <w:autoSpaceDE/>
        <w:autoSpaceDN/>
        <w:bidi w:val="0"/>
        <w:adjustRightInd/>
        <w:snapToGrid/>
        <w:spacing w:before="0" w:beforeAutospacing="0" w:after="0" w:afterAutospacing="0" w:line="560" w:lineRule="exact"/>
        <w:ind w:firstLine="480" w:firstLineChars="20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（6）报价人及报价人所报产品须具有满足本项目的国家强制许可资质。</w:t>
      </w:r>
    </w:p>
    <w:p>
      <w:pPr>
        <w:pStyle w:val="44"/>
        <w:pageBreakBefore w:val="0"/>
        <w:widowControl/>
        <w:kinsoku/>
        <w:overflowPunct/>
        <w:topLinePunct w:val="0"/>
        <w:autoSpaceDE/>
        <w:autoSpaceDN/>
        <w:bidi w:val="0"/>
        <w:adjustRightInd/>
        <w:snapToGrid/>
        <w:spacing w:before="0" w:beforeAutospacing="0" w:after="0" w:afterAutospacing="0" w:line="560" w:lineRule="exact"/>
        <w:ind w:firstLine="480" w:firstLineChars="200"/>
        <w:textAlignment w:val="auto"/>
        <w:rPr>
          <w:rFonts w:hint="eastAsia" w:ascii="Times New Roman" w:hAnsi="Times New Roman" w:eastAsia="宋体" w:cs="Times New Roman"/>
          <w:color w:val="auto"/>
          <w:highlight w:val="none"/>
          <w:lang w:eastAsia="zh-CN"/>
        </w:rPr>
      </w:pPr>
      <w:r>
        <w:rPr>
          <w:rFonts w:hint="default" w:ascii="Times New Roman" w:hAnsi="Times New Roman" w:cs="Times New Roman"/>
          <w:color w:val="auto"/>
          <w:highlight w:val="none"/>
        </w:rPr>
        <w:t>（7）具有以下情形的不得参与本次采购活动： 在“信用中国”网站（www.creditchina.gov.cn）等渠道列入失信被执行人（需附截图）</w:t>
      </w:r>
      <w:r>
        <w:rPr>
          <w:rFonts w:hint="eastAsia" w:ascii="Times New Roman" w:cs="Times New Roman"/>
          <w:color w:val="auto"/>
          <w:highlight w:val="none"/>
          <w:lang w:eastAsia="zh-CN"/>
        </w:rPr>
        <w:t>。</w:t>
      </w:r>
    </w:p>
    <w:p>
      <w:pPr>
        <w:pStyle w:val="44"/>
        <w:spacing w:before="0" w:beforeAutospacing="0" w:after="0" w:afterAutospacing="0" w:line="480" w:lineRule="auto"/>
        <w:ind w:firstLine="480" w:firstLineChars="200"/>
        <w:rPr>
          <w:rFonts w:hint="default" w:ascii="Times New Roman" w:hAnsi="Times New Roman" w:cs="Times New Roman"/>
          <w:color w:val="auto"/>
          <w:highlight w:val="none"/>
        </w:rPr>
      </w:pPr>
    </w:p>
    <w:p>
      <w:pPr>
        <w:pStyle w:val="5"/>
        <w:rPr>
          <w:rFonts w:hint="default" w:ascii="Times New Roman" w:hAnsi="Times New Roman" w:cs="Times New Roman"/>
          <w:color w:val="auto"/>
          <w:highlight w:val="none"/>
        </w:rPr>
      </w:pPr>
      <w:r>
        <w:rPr>
          <w:rFonts w:hint="default" w:ascii="Times New Roman" w:hAnsi="Times New Roman" w:cs="Times New Roman"/>
          <w:color w:val="auto"/>
          <w:kern w:val="2"/>
          <w:sz w:val="24"/>
          <w:szCs w:val="24"/>
          <w:highlight w:val="none"/>
        </w:rPr>
        <w:br w:type="page"/>
      </w:r>
      <w:r>
        <w:rPr>
          <w:rFonts w:hint="default" w:ascii="Times New Roman" w:hAnsi="Times New Roman" w:cs="Times New Roman"/>
          <w:color w:val="auto"/>
          <w:highlight w:val="none"/>
        </w:rPr>
        <w:t>格式八                           供应商资料真实性承诺书</w:t>
      </w:r>
      <w:bookmarkEnd w:id="145"/>
      <w:bookmarkEnd w:id="146"/>
      <w:bookmarkEnd w:id="147"/>
      <w:bookmarkEnd w:id="148"/>
      <w:bookmarkEnd w:id="149"/>
    </w:p>
    <w:p>
      <w:pPr>
        <w:pStyle w:val="44"/>
        <w:shd w:val="clear" w:color="auto" w:fill="FFFFFF"/>
        <w:spacing w:before="0" w:beforeAutospacing="0" w:after="0" w:afterAutospacing="0" w:line="560" w:lineRule="exact"/>
        <w:textAlignment w:val="baseline"/>
        <w:rPr>
          <w:rFonts w:hint="default" w:ascii="Times New Roman" w:hAnsi="Times New Roman" w:cs="Times New Roman"/>
          <w:color w:val="auto"/>
          <w:highlight w:val="none"/>
        </w:rPr>
      </w:pPr>
    </w:p>
    <w:p>
      <w:pPr>
        <w:spacing w:line="360" w:lineRule="auto"/>
        <w:rPr>
          <w:rFonts w:hint="default" w:ascii="Times New Roman" w:hAnsi="Times New Roman" w:cs="Times New Roman"/>
          <w:color w:val="auto"/>
          <w:sz w:val="24"/>
          <w:szCs w:val="24"/>
          <w:highlight w:val="none"/>
          <w:u w:val="single"/>
        </w:rPr>
      </w:pPr>
      <w:r>
        <w:rPr>
          <w:rFonts w:hint="default" w:ascii="Times New Roman" w:hAnsi="Times New Roman" w:cs="Times New Roman"/>
          <w:color w:val="auto"/>
          <w:sz w:val="24"/>
          <w:szCs w:val="24"/>
          <w:highlight w:val="none"/>
          <w:u w:val="single"/>
        </w:rPr>
        <w:t>（采购人全称）：</w:t>
      </w:r>
    </w:p>
    <w:p>
      <w:pPr>
        <w:pStyle w:val="44"/>
        <w:shd w:val="clear" w:color="auto" w:fill="FFFFFF"/>
        <w:spacing w:before="0" w:beforeAutospacing="0" w:after="0" w:afterAutospacing="0" w:line="560" w:lineRule="exact"/>
        <w:ind w:firstLine="480" w:firstLineChars="200"/>
        <w:textAlignment w:val="baseline"/>
        <w:rPr>
          <w:rFonts w:hint="default" w:ascii="Times New Roman" w:hAnsi="Times New Roman" w:cs="Times New Roman"/>
          <w:color w:val="auto"/>
          <w:highlight w:val="none"/>
        </w:rPr>
      </w:pPr>
      <w:r>
        <w:rPr>
          <w:rFonts w:hint="default" w:ascii="Times New Roman" w:hAnsi="Times New Roman" w:cs="Times New Roman"/>
          <w:color w:val="auto"/>
          <w:highlight w:val="none"/>
        </w:rPr>
        <w:t>我单位</w:t>
      </w:r>
      <w:r>
        <w:rPr>
          <w:rFonts w:hint="default" w:ascii="Times New Roman" w:hAnsi="Times New Roman" w:cs="Times New Roman"/>
          <w:color w:val="auto"/>
          <w:highlight w:val="none"/>
          <w:u w:val="single"/>
        </w:rPr>
        <w:t xml:space="preserve">   （单位全称）   </w:t>
      </w:r>
      <w:r>
        <w:rPr>
          <w:rFonts w:hint="default" w:ascii="Times New Roman" w:hAnsi="Times New Roman" w:cs="Times New Roman"/>
          <w:color w:val="auto"/>
          <w:highlight w:val="none"/>
        </w:rPr>
        <w:t>郑重承诺：</w:t>
      </w:r>
    </w:p>
    <w:p>
      <w:pPr>
        <w:pStyle w:val="44"/>
        <w:shd w:val="clear" w:color="auto" w:fill="FFFFFF"/>
        <w:spacing w:before="0" w:beforeAutospacing="0" w:after="0" w:afterAutospacing="0" w:line="560" w:lineRule="exact"/>
        <w:ind w:firstLine="480" w:firstLineChars="200"/>
        <w:jc w:val="both"/>
        <w:textAlignment w:val="baseline"/>
        <w:rPr>
          <w:rFonts w:hint="default" w:ascii="Times New Roman" w:hAnsi="Times New Roman" w:cs="Times New Roman"/>
          <w:color w:val="auto"/>
          <w:highlight w:val="none"/>
        </w:rPr>
      </w:pPr>
      <w:r>
        <w:rPr>
          <w:rFonts w:hint="default" w:ascii="Times New Roman" w:hAnsi="Times New Roman" w:cs="Times New Roman"/>
          <w:color w:val="auto"/>
          <w:highlight w:val="none"/>
        </w:rPr>
        <w:t>在项目采购中，提交的所有资料都是真实的、有效的。如有虚假、无效的资料，本单位愿意承担被取消报价、</w:t>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"http://www.lawtime.cn/info/zhaobiaotoubiao/zhongbiao/" </w:instrText>
      </w:r>
      <w:r>
        <w:rPr>
          <w:rFonts w:hint="default" w:ascii="Times New Roman" w:hAnsi="Times New Roman" w:cs="Times New Roman"/>
          <w:color w:val="auto"/>
          <w:highlight w:val="none"/>
        </w:rPr>
        <w:fldChar w:fldCharType="separate"/>
      </w:r>
      <w:r>
        <w:rPr>
          <w:rStyle w:val="58"/>
          <w:rFonts w:hint="default" w:ascii="Times New Roman" w:hAnsi="Times New Roman" w:cs="Times New Roman"/>
          <w:color w:val="auto"/>
          <w:highlight w:val="none"/>
        </w:rPr>
        <w:t>成交</w:t>
      </w:r>
      <w:r>
        <w:rPr>
          <w:rStyle w:val="58"/>
          <w:rFonts w:hint="default" w:ascii="Times New Roman" w:hAnsi="Times New Roman" w:cs="Times New Roman"/>
          <w:color w:val="auto"/>
          <w:highlight w:val="none"/>
        </w:rPr>
        <w:fldChar w:fldCharType="end"/>
      </w:r>
      <w:r>
        <w:rPr>
          <w:rFonts w:hint="default" w:ascii="Times New Roman" w:hAnsi="Times New Roman" w:cs="Times New Roman"/>
          <w:color w:val="auto"/>
          <w:highlight w:val="none"/>
        </w:rPr>
        <w:t>资格等一切</w:t>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"http://www.lawtime.cn/info/zhian/cfcxjueding/" </w:instrText>
      </w:r>
      <w:r>
        <w:rPr>
          <w:rFonts w:hint="default" w:ascii="Times New Roman" w:hAnsi="Times New Roman" w:cs="Times New Roman"/>
          <w:color w:val="auto"/>
          <w:highlight w:val="none"/>
        </w:rPr>
        <w:fldChar w:fldCharType="separate"/>
      </w:r>
      <w:r>
        <w:rPr>
          <w:rStyle w:val="58"/>
          <w:rFonts w:hint="default" w:ascii="Times New Roman" w:hAnsi="Times New Roman" w:cs="Times New Roman"/>
          <w:color w:val="auto"/>
          <w:highlight w:val="none"/>
        </w:rPr>
        <w:t>后果</w:t>
      </w:r>
      <w:r>
        <w:rPr>
          <w:rStyle w:val="58"/>
          <w:rFonts w:hint="default" w:ascii="Times New Roman" w:hAnsi="Times New Roman" w:cs="Times New Roman"/>
          <w:color w:val="auto"/>
          <w:highlight w:val="none"/>
        </w:rPr>
        <w:fldChar w:fldCharType="end"/>
      </w:r>
      <w:r>
        <w:rPr>
          <w:rFonts w:hint="default" w:ascii="Times New Roman" w:hAnsi="Times New Roman" w:cs="Times New Roman"/>
          <w:color w:val="auto"/>
          <w:highlight w:val="none"/>
        </w:rPr>
        <w:t>。</w:t>
      </w:r>
    </w:p>
    <w:p>
      <w:pPr>
        <w:pStyle w:val="44"/>
        <w:shd w:val="clear" w:color="auto" w:fill="FFFFFF"/>
        <w:spacing w:before="340" w:beforeAutospacing="0" w:after="340" w:afterAutospacing="0" w:line="380" w:lineRule="atLeast"/>
        <w:ind w:firstLine="4250" w:firstLineChars="1771"/>
        <w:textAlignment w:val="baseline"/>
        <w:rPr>
          <w:rFonts w:hint="default" w:ascii="Times New Roman" w:hAnsi="Times New Roman" w:cs="Times New Roman"/>
          <w:color w:val="auto"/>
          <w:highlight w:val="none"/>
        </w:rPr>
      </w:pPr>
    </w:p>
    <w:p>
      <w:pPr>
        <w:pStyle w:val="44"/>
        <w:shd w:val="clear" w:color="auto" w:fill="FFFFFF"/>
        <w:spacing w:before="340" w:beforeAutospacing="0" w:after="340" w:afterAutospacing="0" w:line="380" w:lineRule="atLeast"/>
        <w:ind w:firstLine="4250" w:firstLineChars="1771"/>
        <w:textAlignment w:val="baseline"/>
        <w:rPr>
          <w:rFonts w:hint="default" w:ascii="Times New Roman" w:hAnsi="Times New Roman" w:cs="Times New Roman"/>
          <w:color w:val="auto"/>
          <w:highlight w:val="none"/>
        </w:rPr>
      </w:pPr>
    </w:p>
    <w:p>
      <w:pPr>
        <w:pStyle w:val="44"/>
        <w:shd w:val="clear" w:color="auto" w:fill="FFFFFF"/>
        <w:spacing w:before="340" w:beforeAutospacing="0" w:after="340" w:afterAutospacing="0" w:line="380" w:lineRule="atLeast"/>
        <w:ind w:firstLine="4250" w:firstLineChars="1771"/>
        <w:textAlignment w:val="baseline"/>
        <w:rPr>
          <w:rFonts w:hint="default" w:ascii="Times New Roman" w:hAnsi="Times New Roman" w:cs="Times New Roman"/>
          <w:color w:val="auto"/>
          <w:highlight w:val="none"/>
        </w:rPr>
      </w:pPr>
    </w:p>
    <w:p>
      <w:pPr>
        <w:pStyle w:val="44"/>
        <w:shd w:val="clear" w:color="auto" w:fill="FFFFFF"/>
        <w:spacing w:before="340" w:beforeAutospacing="0" w:after="340" w:afterAutospacing="0" w:line="380" w:lineRule="atLeast"/>
        <w:ind w:firstLine="3967" w:firstLineChars="1653"/>
        <w:textAlignment w:val="baseline"/>
        <w:rPr>
          <w:rFonts w:hint="default" w:ascii="Times New Roman" w:hAnsi="Times New Roman" w:cs="Times New Roman"/>
          <w:color w:val="auto"/>
          <w:highlight w:val="none"/>
        </w:rPr>
      </w:pPr>
      <w:r>
        <w:rPr>
          <w:rFonts w:hint="default" w:ascii="Times New Roman" w:hAnsi="Times New Roman" w:cs="Times New Roman"/>
          <w:color w:val="auto"/>
          <w:highlight w:val="none"/>
        </w:rPr>
        <w:t>供应商： (全称)(盖章)</w:t>
      </w:r>
    </w:p>
    <w:p>
      <w:pPr>
        <w:pStyle w:val="44"/>
        <w:shd w:val="clear" w:color="auto" w:fill="FFFFFF"/>
        <w:spacing w:before="240" w:beforeAutospacing="0" w:after="240" w:afterAutospacing="0" w:line="500" w:lineRule="atLeast"/>
        <w:ind w:firstLine="3967" w:firstLineChars="1653"/>
        <w:textAlignment w:val="baseline"/>
        <w:rPr>
          <w:rFonts w:hint="default" w:ascii="Times New Roman" w:hAnsi="Times New Roman" w:cs="Times New Roman"/>
          <w:color w:val="auto"/>
          <w:highlight w:val="none"/>
        </w:rPr>
      </w:pPr>
      <w:r>
        <w:rPr>
          <w:rFonts w:hint="default" w:ascii="Times New Roman" w:hAnsi="Times New Roman" w:cs="Times New Roman"/>
          <w:color w:val="auto"/>
          <w:highlight w:val="none"/>
        </w:rPr>
        <w:t>法定代表人或授权代表： (签字或</w:t>
      </w:r>
      <w:r>
        <w:rPr>
          <w:rFonts w:hint="default" w:ascii="Times New Roman" w:hAnsi="Times New Roman" w:cs="Times New Roman"/>
          <w:color w:val="auto"/>
          <w:szCs w:val="21"/>
          <w:highlight w:val="none"/>
        </w:rPr>
        <w:t>印鉴</w:t>
      </w:r>
      <w:r>
        <w:rPr>
          <w:rFonts w:hint="default" w:ascii="Times New Roman" w:hAnsi="Times New Roman" w:cs="Times New Roman"/>
          <w:color w:val="auto"/>
          <w:highlight w:val="none"/>
        </w:rPr>
        <w:t>)</w:t>
      </w:r>
    </w:p>
    <w:p>
      <w:pPr>
        <w:pStyle w:val="44"/>
        <w:shd w:val="clear" w:color="auto" w:fill="FFFFFF"/>
        <w:spacing w:before="340" w:beforeAutospacing="0" w:after="340" w:afterAutospacing="0" w:line="500" w:lineRule="atLeast"/>
        <w:ind w:firstLine="3967" w:firstLineChars="1653"/>
        <w:textAlignment w:val="baseline"/>
        <w:rPr>
          <w:rFonts w:hint="default" w:ascii="Times New Roman" w:hAnsi="Times New Roman" w:cs="Times New Roman"/>
          <w:color w:val="auto"/>
          <w:highlight w:val="none"/>
        </w:rPr>
      </w:pPr>
      <w:r>
        <w:rPr>
          <w:rFonts w:hint="default" w:ascii="Times New Roman" w:hAnsi="Times New Roman" w:cs="Times New Roman"/>
          <w:color w:val="auto"/>
          <w:highlight w:val="none"/>
        </w:rPr>
        <w:t>日 期：</w:t>
      </w:r>
      <w:r>
        <w:rPr>
          <w:rFonts w:hint="eastAsia" w:ascii="Times New Roman" w:cs="Times New Roman"/>
          <w:color w:val="auto"/>
          <w:highlight w:val="none"/>
          <w:lang w:val="en-US" w:eastAsia="zh-CN"/>
        </w:rPr>
        <w:t xml:space="preserve">      </w:t>
      </w:r>
      <w:r>
        <w:rPr>
          <w:rFonts w:hint="default" w:ascii="Times New Roman" w:hAnsi="Times New Roman" w:cs="Times New Roman"/>
          <w:color w:val="auto"/>
          <w:highlight w:val="none"/>
        </w:rPr>
        <w:t xml:space="preserve"> 年</w:t>
      </w:r>
      <w:r>
        <w:rPr>
          <w:rFonts w:hint="eastAsia" w:ascii="Times New Roman" w:cs="Times New Roman"/>
          <w:color w:val="auto"/>
          <w:highlight w:val="none"/>
          <w:lang w:val="en-US" w:eastAsia="zh-CN"/>
        </w:rPr>
        <w:t xml:space="preserve">    </w:t>
      </w:r>
      <w:r>
        <w:rPr>
          <w:rFonts w:hint="default" w:ascii="Times New Roman" w:hAnsi="Times New Roman" w:cs="Times New Roman"/>
          <w:color w:val="auto"/>
          <w:highlight w:val="none"/>
        </w:rPr>
        <w:t xml:space="preserve"> 月 </w:t>
      </w:r>
      <w:r>
        <w:rPr>
          <w:rFonts w:hint="eastAsia" w:ascii="Times New Roman" w:cs="Times New Roman"/>
          <w:color w:val="auto"/>
          <w:highlight w:val="none"/>
          <w:lang w:val="en-US" w:eastAsia="zh-CN"/>
        </w:rPr>
        <w:t xml:space="preserve">    </w:t>
      </w:r>
      <w:r>
        <w:rPr>
          <w:rFonts w:hint="default" w:ascii="Times New Roman" w:hAnsi="Times New Roman" w:cs="Times New Roman"/>
          <w:color w:val="auto"/>
          <w:highlight w:val="none"/>
        </w:rPr>
        <w:t>日</w:t>
      </w:r>
    </w:p>
    <w:p>
      <w:pPr>
        <w:widowControl w:val="0"/>
        <w:spacing w:line="400" w:lineRule="exact"/>
        <w:ind w:left="306"/>
        <w:jc w:val="both"/>
        <w:rPr>
          <w:rFonts w:hint="default" w:ascii="Times New Roman" w:hAnsi="Times New Roman" w:cs="Times New Roman"/>
          <w:b/>
          <w:color w:val="auto"/>
          <w:sz w:val="24"/>
          <w:szCs w:val="24"/>
          <w:highlight w:val="none"/>
        </w:rPr>
      </w:pPr>
      <w:r>
        <w:rPr>
          <w:rFonts w:hint="default" w:ascii="Times New Roman" w:hAnsi="Times New Roman" w:cs="Times New Roman"/>
          <w:color w:val="auto"/>
          <w:highlight w:val="none"/>
        </w:rPr>
        <w:br w:type="page"/>
      </w:r>
    </w:p>
    <w:p>
      <w:pPr>
        <w:widowControl w:val="0"/>
        <w:tabs>
          <w:tab w:val="left" w:pos="360"/>
          <w:tab w:val="left" w:pos="720"/>
          <w:tab w:val="left" w:pos="3060"/>
        </w:tabs>
        <w:spacing w:line="400" w:lineRule="exact"/>
        <w:outlineLvl w:val="1"/>
        <w:rPr>
          <w:rFonts w:hint="default" w:ascii="Times New Roman" w:hAnsi="Times New Roman" w:cs="Times New Roman"/>
          <w:b/>
          <w:color w:val="auto"/>
          <w:kern w:val="2"/>
          <w:sz w:val="28"/>
          <w:szCs w:val="28"/>
          <w:highlight w:val="none"/>
        </w:rPr>
      </w:pPr>
      <w:bookmarkStart w:id="150" w:name="_Toc10122283"/>
      <w:bookmarkStart w:id="151" w:name="_Toc512354297"/>
      <w:bookmarkStart w:id="152" w:name="_Toc484699859"/>
      <w:bookmarkStart w:id="153" w:name="_Toc21204"/>
      <w:bookmarkStart w:id="154" w:name="_Toc382509472"/>
      <w:bookmarkStart w:id="155" w:name="_Toc10184892"/>
      <w:r>
        <w:rPr>
          <w:rStyle w:val="66"/>
          <w:rFonts w:hint="default" w:ascii="Times New Roman" w:hAnsi="Times New Roman" w:cs="Times New Roman"/>
          <w:color w:val="auto"/>
          <w:highlight w:val="none"/>
        </w:rPr>
        <w:t>格式九                           技术部分/商务部分差异表</w:t>
      </w:r>
      <w:bookmarkEnd w:id="150"/>
      <w:bookmarkEnd w:id="151"/>
      <w:bookmarkEnd w:id="152"/>
      <w:bookmarkEnd w:id="153"/>
      <w:bookmarkEnd w:id="154"/>
      <w:bookmarkEnd w:id="155"/>
    </w:p>
    <w:p>
      <w:pPr>
        <w:spacing w:line="300" w:lineRule="auto"/>
        <w:rPr>
          <w:rFonts w:hint="default" w:ascii="Times New Roman" w:hAnsi="Times New Roman" w:cs="Times New Roman"/>
          <w:b/>
          <w:color w:val="auto"/>
          <w:sz w:val="24"/>
          <w:szCs w:val="24"/>
          <w:highlight w:val="none"/>
        </w:rPr>
      </w:pPr>
    </w:p>
    <w:p>
      <w:pPr>
        <w:spacing w:line="300" w:lineRule="auto"/>
        <w:rPr>
          <w:rFonts w:hint="default" w:ascii="Times New Roman" w:hAnsi="Times New Roman" w:cs="Times New Roman"/>
          <w:b/>
          <w:color w:val="auto"/>
          <w:sz w:val="24"/>
          <w:szCs w:val="24"/>
          <w:highlight w:val="none"/>
        </w:rPr>
      </w:pPr>
    </w:p>
    <w:p>
      <w:pPr>
        <w:spacing w:line="300" w:lineRule="auto"/>
        <w:rPr>
          <w:rFonts w:hint="default" w:ascii="Times New Roman" w:hAnsi="Times New Roman" w:cs="Times New Roman"/>
          <w:b/>
          <w:color w:val="auto"/>
          <w:sz w:val="24"/>
          <w:szCs w:val="24"/>
          <w:highlight w:val="none"/>
        </w:rPr>
      </w:pPr>
    </w:p>
    <w:tbl>
      <w:tblPr>
        <w:tblStyle w:val="50"/>
        <w:tblW w:w="8896" w:type="dxa"/>
        <w:jc w:val="center"/>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84" w:type="dxa"/>
          <w:left w:w="84" w:type="dxa"/>
          <w:bottom w:w="84" w:type="dxa"/>
          <w:right w:w="84" w:type="dxa"/>
        </w:tblCellMar>
      </w:tblPr>
      <w:tblGrid>
        <w:gridCol w:w="630"/>
        <w:gridCol w:w="866"/>
        <w:gridCol w:w="2847"/>
        <w:gridCol w:w="1420"/>
        <w:gridCol w:w="3133"/>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84" w:type="dxa"/>
            <w:left w:w="84" w:type="dxa"/>
            <w:bottom w:w="84" w:type="dxa"/>
            <w:right w:w="84" w:type="dxa"/>
          </w:tblCellMar>
        </w:tblPrEx>
        <w:trPr>
          <w:cantSplit/>
          <w:trHeight w:val="146" w:hRule="atLeast"/>
          <w:jc w:val="center"/>
        </w:trPr>
        <w:tc>
          <w:tcPr>
            <w:tcW w:w="630" w:type="dxa"/>
            <w:vMerge w:val="restart"/>
            <w:vAlign w:val="center"/>
          </w:tcPr>
          <w:p>
            <w:pPr>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序号</w:t>
            </w:r>
          </w:p>
        </w:tc>
        <w:tc>
          <w:tcPr>
            <w:tcW w:w="3713" w:type="dxa"/>
            <w:gridSpan w:val="2"/>
            <w:vAlign w:val="center"/>
          </w:tcPr>
          <w:p>
            <w:pPr>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采购文件</w:t>
            </w:r>
          </w:p>
        </w:tc>
        <w:tc>
          <w:tcPr>
            <w:tcW w:w="4553" w:type="dxa"/>
            <w:gridSpan w:val="2"/>
            <w:vAlign w:val="center"/>
          </w:tcPr>
          <w:p>
            <w:pPr>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响应文件</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84" w:type="dxa"/>
            <w:left w:w="84" w:type="dxa"/>
            <w:bottom w:w="84" w:type="dxa"/>
            <w:right w:w="84" w:type="dxa"/>
          </w:tblCellMar>
        </w:tblPrEx>
        <w:trPr>
          <w:cantSplit/>
          <w:trHeight w:val="146" w:hRule="atLeast"/>
          <w:jc w:val="center"/>
        </w:trPr>
        <w:tc>
          <w:tcPr>
            <w:tcW w:w="630" w:type="dxa"/>
            <w:vMerge w:val="continue"/>
            <w:vAlign w:val="center"/>
          </w:tcPr>
          <w:p>
            <w:pPr>
              <w:rPr>
                <w:rFonts w:hint="default" w:ascii="Times New Roman" w:hAnsi="Times New Roman" w:cs="Times New Roman"/>
                <w:color w:val="auto"/>
                <w:highlight w:val="none"/>
              </w:rPr>
            </w:pPr>
          </w:p>
        </w:tc>
        <w:tc>
          <w:tcPr>
            <w:tcW w:w="866" w:type="dxa"/>
            <w:vAlign w:val="center"/>
          </w:tcPr>
          <w:p>
            <w:pPr>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条目</w:t>
            </w:r>
          </w:p>
        </w:tc>
        <w:tc>
          <w:tcPr>
            <w:tcW w:w="2847" w:type="dxa"/>
            <w:vAlign w:val="center"/>
          </w:tcPr>
          <w:p>
            <w:pPr>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简要内容</w:t>
            </w:r>
          </w:p>
        </w:tc>
        <w:tc>
          <w:tcPr>
            <w:tcW w:w="1420" w:type="dxa"/>
            <w:vAlign w:val="center"/>
          </w:tcPr>
          <w:p>
            <w:pPr>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条目</w:t>
            </w:r>
          </w:p>
        </w:tc>
        <w:tc>
          <w:tcPr>
            <w:tcW w:w="3133" w:type="dxa"/>
            <w:vAlign w:val="center"/>
          </w:tcPr>
          <w:p>
            <w:pPr>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简要内容</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84" w:type="dxa"/>
            <w:left w:w="84" w:type="dxa"/>
            <w:bottom w:w="84" w:type="dxa"/>
            <w:right w:w="84" w:type="dxa"/>
          </w:tblCellMar>
        </w:tblPrEx>
        <w:trPr>
          <w:trHeight w:val="446" w:hRule="atLeast"/>
          <w:jc w:val="center"/>
        </w:trPr>
        <w:tc>
          <w:tcPr>
            <w:tcW w:w="630" w:type="dxa"/>
            <w:vAlign w:val="center"/>
          </w:tcPr>
          <w:p>
            <w:pPr>
              <w:rPr>
                <w:rFonts w:hint="default" w:ascii="Times New Roman" w:hAnsi="Times New Roman" w:cs="Times New Roman"/>
                <w:color w:val="auto"/>
                <w:szCs w:val="19"/>
                <w:highlight w:val="none"/>
              </w:rPr>
            </w:pPr>
          </w:p>
        </w:tc>
        <w:tc>
          <w:tcPr>
            <w:tcW w:w="866" w:type="dxa"/>
            <w:vAlign w:val="center"/>
          </w:tcPr>
          <w:p>
            <w:pPr>
              <w:rPr>
                <w:rFonts w:hint="default" w:ascii="Times New Roman" w:hAnsi="Times New Roman" w:cs="Times New Roman"/>
                <w:color w:val="auto"/>
                <w:szCs w:val="19"/>
                <w:highlight w:val="none"/>
              </w:rPr>
            </w:pPr>
          </w:p>
        </w:tc>
        <w:tc>
          <w:tcPr>
            <w:tcW w:w="2847" w:type="dxa"/>
            <w:vAlign w:val="center"/>
          </w:tcPr>
          <w:p>
            <w:pPr>
              <w:jc w:val="center"/>
              <w:rPr>
                <w:rFonts w:hint="default" w:ascii="Times New Roman" w:hAnsi="Times New Roman" w:cs="Times New Roman"/>
                <w:color w:val="auto"/>
                <w:sz w:val="24"/>
                <w:highlight w:val="none"/>
              </w:rPr>
            </w:pPr>
          </w:p>
        </w:tc>
        <w:tc>
          <w:tcPr>
            <w:tcW w:w="1420" w:type="dxa"/>
            <w:vAlign w:val="center"/>
          </w:tcPr>
          <w:p>
            <w:pPr>
              <w:jc w:val="center"/>
              <w:rPr>
                <w:rFonts w:hint="default" w:ascii="Times New Roman" w:hAnsi="Times New Roman" w:cs="Times New Roman"/>
                <w:color w:val="auto"/>
                <w:sz w:val="24"/>
                <w:highlight w:val="none"/>
              </w:rPr>
            </w:pPr>
          </w:p>
        </w:tc>
        <w:tc>
          <w:tcPr>
            <w:tcW w:w="3133" w:type="dxa"/>
            <w:vAlign w:val="center"/>
          </w:tcPr>
          <w:p>
            <w:pPr>
              <w:jc w:val="center"/>
              <w:rPr>
                <w:rFonts w:hint="default" w:ascii="Times New Roman" w:hAnsi="Times New Roman" w:cs="Times New Roman"/>
                <w:color w:val="auto"/>
                <w:sz w:val="24"/>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84" w:type="dxa"/>
            <w:left w:w="84" w:type="dxa"/>
            <w:bottom w:w="84" w:type="dxa"/>
            <w:right w:w="84" w:type="dxa"/>
          </w:tblCellMar>
        </w:tblPrEx>
        <w:trPr>
          <w:trHeight w:val="446" w:hRule="atLeast"/>
          <w:jc w:val="center"/>
        </w:trPr>
        <w:tc>
          <w:tcPr>
            <w:tcW w:w="630" w:type="dxa"/>
            <w:vAlign w:val="center"/>
          </w:tcPr>
          <w:p>
            <w:pPr>
              <w:rPr>
                <w:rFonts w:hint="default" w:ascii="Times New Roman" w:hAnsi="Times New Roman" w:cs="Times New Roman"/>
                <w:color w:val="auto"/>
                <w:szCs w:val="19"/>
                <w:highlight w:val="none"/>
              </w:rPr>
            </w:pPr>
          </w:p>
        </w:tc>
        <w:tc>
          <w:tcPr>
            <w:tcW w:w="866" w:type="dxa"/>
            <w:vAlign w:val="center"/>
          </w:tcPr>
          <w:p>
            <w:pPr>
              <w:rPr>
                <w:rFonts w:hint="default" w:ascii="Times New Roman" w:hAnsi="Times New Roman" w:cs="Times New Roman"/>
                <w:color w:val="auto"/>
                <w:szCs w:val="19"/>
                <w:highlight w:val="none"/>
              </w:rPr>
            </w:pPr>
          </w:p>
        </w:tc>
        <w:tc>
          <w:tcPr>
            <w:tcW w:w="2847" w:type="dxa"/>
            <w:vAlign w:val="center"/>
          </w:tcPr>
          <w:p>
            <w:pPr>
              <w:rPr>
                <w:rFonts w:hint="default" w:ascii="Times New Roman" w:hAnsi="Times New Roman" w:cs="Times New Roman"/>
                <w:color w:val="auto"/>
                <w:szCs w:val="19"/>
                <w:highlight w:val="none"/>
              </w:rPr>
            </w:pPr>
          </w:p>
        </w:tc>
        <w:tc>
          <w:tcPr>
            <w:tcW w:w="1420" w:type="dxa"/>
            <w:vAlign w:val="center"/>
          </w:tcPr>
          <w:p>
            <w:pPr>
              <w:rPr>
                <w:rFonts w:hint="default" w:ascii="Times New Roman" w:hAnsi="Times New Roman" w:cs="Times New Roman"/>
                <w:color w:val="auto"/>
                <w:szCs w:val="19"/>
                <w:highlight w:val="none"/>
              </w:rPr>
            </w:pPr>
          </w:p>
        </w:tc>
        <w:tc>
          <w:tcPr>
            <w:tcW w:w="3133" w:type="dxa"/>
            <w:vAlign w:val="center"/>
          </w:tcPr>
          <w:p>
            <w:pPr>
              <w:rPr>
                <w:rFonts w:hint="default" w:ascii="Times New Roman" w:hAnsi="Times New Roman" w:cs="Times New Roman"/>
                <w:color w:val="auto"/>
                <w:szCs w:val="19"/>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84" w:type="dxa"/>
            <w:left w:w="84" w:type="dxa"/>
            <w:bottom w:w="84" w:type="dxa"/>
            <w:right w:w="84" w:type="dxa"/>
          </w:tblCellMar>
        </w:tblPrEx>
        <w:trPr>
          <w:trHeight w:val="446" w:hRule="atLeast"/>
          <w:jc w:val="center"/>
        </w:trPr>
        <w:tc>
          <w:tcPr>
            <w:tcW w:w="630" w:type="dxa"/>
            <w:vAlign w:val="center"/>
          </w:tcPr>
          <w:p>
            <w:pPr>
              <w:rPr>
                <w:rFonts w:hint="default" w:ascii="Times New Roman" w:hAnsi="Times New Roman" w:cs="Times New Roman"/>
                <w:color w:val="auto"/>
                <w:szCs w:val="19"/>
                <w:highlight w:val="none"/>
              </w:rPr>
            </w:pPr>
          </w:p>
        </w:tc>
        <w:tc>
          <w:tcPr>
            <w:tcW w:w="866" w:type="dxa"/>
            <w:vAlign w:val="center"/>
          </w:tcPr>
          <w:p>
            <w:pPr>
              <w:rPr>
                <w:rFonts w:hint="default" w:ascii="Times New Roman" w:hAnsi="Times New Roman" w:cs="Times New Roman"/>
                <w:color w:val="auto"/>
                <w:szCs w:val="19"/>
                <w:highlight w:val="none"/>
              </w:rPr>
            </w:pPr>
          </w:p>
        </w:tc>
        <w:tc>
          <w:tcPr>
            <w:tcW w:w="2847" w:type="dxa"/>
            <w:vAlign w:val="center"/>
          </w:tcPr>
          <w:p>
            <w:pPr>
              <w:rPr>
                <w:rFonts w:hint="default" w:ascii="Times New Roman" w:hAnsi="Times New Roman" w:cs="Times New Roman"/>
                <w:color w:val="auto"/>
                <w:szCs w:val="19"/>
                <w:highlight w:val="none"/>
              </w:rPr>
            </w:pPr>
          </w:p>
        </w:tc>
        <w:tc>
          <w:tcPr>
            <w:tcW w:w="1420" w:type="dxa"/>
            <w:vAlign w:val="center"/>
          </w:tcPr>
          <w:p>
            <w:pPr>
              <w:rPr>
                <w:rFonts w:hint="default" w:ascii="Times New Roman" w:hAnsi="Times New Roman" w:cs="Times New Roman"/>
                <w:color w:val="auto"/>
                <w:szCs w:val="19"/>
                <w:highlight w:val="none"/>
              </w:rPr>
            </w:pPr>
          </w:p>
        </w:tc>
        <w:tc>
          <w:tcPr>
            <w:tcW w:w="3133" w:type="dxa"/>
            <w:vAlign w:val="center"/>
          </w:tcPr>
          <w:p>
            <w:pPr>
              <w:rPr>
                <w:rFonts w:hint="default" w:ascii="Times New Roman" w:hAnsi="Times New Roman" w:cs="Times New Roman"/>
                <w:color w:val="auto"/>
                <w:szCs w:val="19"/>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84" w:type="dxa"/>
            <w:left w:w="84" w:type="dxa"/>
            <w:bottom w:w="84" w:type="dxa"/>
            <w:right w:w="84" w:type="dxa"/>
          </w:tblCellMar>
        </w:tblPrEx>
        <w:trPr>
          <w:trHeight w:val="446" w:hRule="atLeast"/>
          <w:jc w:val="center"/>
        </w:trPr>
        <w:tc>
          <w:tcPr>
            <w:tcW w:w="630" w:type="dxa"/>
            <w:vAlign w:val="center"/>
          </w:tcPr>
          <w:p>
            <w:pPr>
              <w:rPr>
                <w:rFonts w:hint="default" w:ascii="Times New Roman" w:hAnsi="Times New Roman" w:cs="Times New Roman"/>
                <w:color w:val="auto"/>
                <w:szCs w:val="19"/>
                <w:highlight w:val="none"/>
              </w:rPr>
            </w:pPr>
          </w:p>
        </w:tc>
        <w:tc>
          <w:tcPr>
            <w:tcW w:w="866" w:type="dxa"/>
            <w:vAlign w:val="center"/>
          </w:tcPr>
          <w:p>
            <w:pPr>
              <w:rPr>
                <w:rFonts w:hint="default" w:ascii="Times New Roman" w:hAnsi="Times New Roman" w:cs="Times New Roman"/>
                <w:color w:val="auto"/>
                <w:szCs w:val="19"/>
                <w:highlight w:val="none"/>
              </w:rPr>
            </w:pPr>
          </w:p>
        </w:tc>
        <w:tc>
          <w:tcPr>
            <w:tcW w:w="2847" w:type="dxa"/>
            <w:vAlign w:val="center"/>
          </w:tcPr>
          <w:p>
            <w:pPr>
              <w:rPr>
                <w:rFonts w:hint="default" w:ascii="Times New Roman" w:hAnsi="Times New Roman" w:cs="Times New Roman"/>
                <w:color w:val="auto"/>
                <w:szCs w:val="19"/>
                <w:highlight w:val="none"/>
              </w:rPr>
            </w:pPr>
          </w:p>
        </w:tc>
        <w:tc>
          <w:tcPr>
            <w:tcW w:w="1420" w:type="dxa"/>
            <w:vAlign w:val="center"/>
          </w:tcPr>
          <w:p>
            <w:pPr>
              <w:rPr>
                <w:rFonts w:hint="default" w:ascii="Times New Roman" w:hAnsi="Times New Roman" w:cs="Times New Roman"/>
                <w:color w:val="auto"/>
                <w:szCs w:val="19"/>
                <w:highlight w:val="none"/>
              </w:rPr>
            </w:pPr>
          </w:p>
        </w:tc>
        <w:tc>
          <w:tcPr>
            <w:tcW w:w="3133" w:type="dxa"/>
            <w:vAlign w:val="center"/>
          </w:tcPr>
          <w:p>
            <w:pPr>
              <w:rPr>
                <w:rFonts w:hint="default" w:ascii="Times New Roman" w:hAnsi="Times New Roman" w:cs="Times New Roman"/>
                <w:color w:val="auto"/>
                <w:szCs w:val="19"/>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84" w:type="dxa"/>
            <w:left w:w="84" w:type="dxa"/>
            <w:bottom w:w="84" w:type="dxa"/>
            <w:right w:w="84" w:type="dxa"/>
          </w:tblCellMar>
        </w:tblPrEx>
        <w:trPr>
          <w:trHeight w:val="446" w:hRule="atLeast"/>
          <w:jc w:val="center"/>
        </w:trPr>
        <w:tc>
          <w:tcPr>
            <w:tcW w:w="630" w:type="dxa"/>
            <w:vAlign w:val="center"/>
          </w:tcPr>
          <w:p>
            <w:pPr>
              <w:rPr>
                <w:rFonts w:hint="default" w:ascii="Times New Roman" w:hAnsi="Times New Roman" w:cs="Times New Roman"/>
                <w:color w:val="auto"/>
                <w:szCs w:val="19"/>
                <w:highlight w:val="none"/>
              </w:rPr>
            </w:pPr>
          </w:p>
        </w:tc>
        <w:tc>
          <w:tcPr>
            <w:tcW w:w="866" w:type="dxa"/>
            <w:vAlign w:val="center"/>
          </w:tcPr>
          <w:p>
            <w:pPr>
              <w:rPr>
                <w:rFonts w:hint="default" w:ascii="Times New Roman" w:hAnsi="Times New Roman" w:cs="Times New Roman"/>
                <w:color w:val="auto"/>
                <w:szCs w:val="19"/>
                <w:highlight w:val="none"/>
              </w:rPr>
            </w:pPr>
          </w:p>
        </w:tc>
        <w:tc>
          <w:tcPr>
            <w:tcW w:w="2847" w:type="dxa"/>
            <w:vAlign w:val="center"/>
          </w:tcPr>
          <w:p>
            <w:pPr>
              <w:rPr>
                <w:rFonts w:hint="default" w:ascii="Times New Roman" w:hAnsi="Times New Roman" w:cs="Times New Roman"/>
                <w:color w:val="auto"/>
                <w:szCs w:val="19"/>
                <w:highlight w:val="none"/>
              </w:rPr>
            </w:pPr>
          </w:p>
        </w:tc>
        <w:tc>
          <w:tcPr>
            <w:tcW w:w="1420" w:type="dxa"/>
            <w:vAlign w:val="center"/>
          </w:tcPr>
          <w:p>
            <w:pPr>
              <w:rPr>
                <w:rFonts w:hint="default" w:ascii="Times New Roman" w:hAnsi="Times New Roman" w:cs="Times New Roman"/>
                <w:color w:val="auto"/>
                <w:szCs w:val="19"/>
                <w:highlight w:val="none"/>
              </w:rPr>
            </w:pPr>
          </w:p>
        </w:tc>
        <w:tc>
          <w:tcPr>
            <w:tcW w:w="3133" w:type="dxa"/>
            <w:vAlign w:val="center"/>
          </w:tcPr>
          <w:p>
            <w:pPr>
              <w:rPr>
                <w:rFonts w:hint="default" w:ascii="Times New Roman" w:hAnsi="Times New Roman" w:cs="Times New Roman"/>
                <w:color w:val="auto"/>
                <w:szCs w:val="19"/>
                <w:highlight w:val="none"/>
              </w:rPr>
            </w:pPr>
          </w:p>
        </w:tc>
      </w:tr>
    </w:tbl>
    <w:p>
      <w:pPr>
        <w:spacing w:before="100" w:beforeAutospacing="1" w:after="100" w:afterAutospacing="1" w:line="360" w:lineRule="auto"/>
        <w:rPr>
          <w:rFonts w:hint="default" w:ascii="Times New Roman" w:hAnsi="Times New Roman" w:cs="Times New Roman"/>
          <w:color w:val="auto"/>
          <w:sz w:val="24"/>
          <w:szCs w:val="22"/>
          <w:highlight w:val="none"/>
        </w:rPr>
      </w:pPr>
      <w:r>
        <w:rPr>
          <w:rFonts w:hint="default" w:ascii="Times New Roman" w:hAnsi="Times New Roman" w:cs="Times New Roman"/>
          <w:color w:val="auto"/>
          <w:sz w:val="24"/>
          <w:szCs w:val="22"/>
          <w:highlight w:val="none"/>
        </w:rPr>
        <w:t xml:space="preserve">授权代表签字或印鉴：                      日期：   </w:t>
      </w:r>
      <w:r>
        <w:rPr>
          <w:rFonts w:hint="eastAsia" w:cs="Times New Roman"/>
          <w:color w:val="auto"/>
          <w:sz w:val="24"/>
          <w:szCs w:val="22"/>
          <w:highlight w:val="none"/>
          <w:lang w:eastAsia="zh-CN"/>
        </w:rPr>
        <w:t>2024</w:t>
      </w:r>
      <w:r>
        <w:rPr>
          <w:rFonts w:hint="default" w:ascii="Times New Roman" w:hAnsi="Times New Roman" w:cs="Times New Roman"/>
          <w:color w:val="auto"/>
          <w:sz w:val="24"/>
          <w:szCs w:val="22"/>
          <w:highlight w:val="none"/>
        </w:rPr>
        <w:t>年</w:t>
      </w:r>
      <w:r>
        <w:rPr>
          <w:rFonts w:hint="eastAsia" w:cs="Times New Roman"/>
          <w:color w:val="auto"/>
          <w:sz w:val="24"/>
          <w:szCs w:val="22"/>
          <w:highlight w:val="none"/>
          <w:lang w:val="en-US" w:eastAsia="zh-CN"/>
        </w:rPr>
        <w:t xml:space="preserve">  </w:t>
      </w:r>
      <w:r>
        <w:rPr>
          <w:rFonts w:hint="default" w:ascii="Times New Roman" w:hAnsi="Times New Roman" w:cs="Times New Roman"/>
          <w:color w:val="auto"/>
          <w:sz w:val="24"/>
          <w:szCs w:val="22"/>
          <w:highlight w:val="none"/>
        </w:rPr>
        <w:t xml:space="preserve">  月 </w:t>
      </w:r>
      <w:r>
        <w:rPr>
          <w:rFonts w:hint="eastAsia" w:cs="Times New Roman"/>
          <w:color w:val="auto"/>
          <w:sz w:val="24"/>
          <w:szCs w:val="22"/>
          <w:highlight w:val="none"/>
          <w:lang w:val="en-US" w:eastAsia="zh-CN"/>
        </w:rPr>
        <w:t xml:space="preserve">  </w:t>
      </w:r>
      <w:r>
        <w:rPr>
          <w:rFonts w:hint="default" w:ascii="Times New Roman" w:hAnsi="Times New Roman" w:cs="Times New Roman"/>
          <w:color w:val="auto"/>
          <w:sz w:val="24"/>
          <w:szCs w:val="22"/>
          <w:highlight w:val="none"/>
        </w:rPr>
        <w:t xml:space="preserve"> 日</w:t>
      </w:r>
    </w:p>
    <w:p>
      <w:pPr>
        <w:pStyle w:val="79"/>
        <w:ind w:firstLine="420" w:firstLineChars="0"/>
        <w:rPr>
          <w:rFonts w:hint="default" w:ascii="Times New Roman" w:hAnsi="Times New Roman" w:cs="Times New Roman"/>
          <w:b/>
          <w:color w:val="auto"/>
          <w:szCs w:val="21"/>
          <w:highlight w:val="none"/>
        </w:rPr>
      </w:pPr>
    </w:p>
    <w:p>
      <w:pPr>
        <w:pStyle w:val="79"/>
        <w:ind w:firstLine="420" w:firstLineChars="0"/>
        <w:rPr>
          <w:rFonts w:hint="default" w:ascii="Times New Roman" w:hAnsi="Times New Roman" w:cs="Times New Roman"/>
          <w:b/>
          <w:color w:val="auto"/>
          <w:sz w:val="28"/>
          <w:szCs w:val="28"/>
          <w:highlight w:val="none"/>
        </w:rPr>
      </w:pPr>
    </w:p>
    <w:p>
      <w:pPr>
        <w:pStyle w:val="46"/>
        <w:jc w:val="center"/>
        <w:outlineLvl w:val="9"/>
        <w:rPr>
          <w:rFonts w:hint="default" w:ascii="Times New Roman" w:hAnsi="Times New Roman" w:cs="Times New Roman"/>
          <w:color w:val="auto"/>
          <w:kern w:val="2"/>
          <w:highlight w:val="none"/>
        </w:rPr>
      </w:pPr>
    </w:p>
    <w:p>
      <w:pPr>
        <w:widowControl w:val="0"/>
        <w:tabs>
          <w:tab w:val="left" w:pos="360"/>
          <w:tab w:val="left" w:pos="720"/>
          <w:tab w:val="left" w:pos="3060"/>
        </w:tabs>
        <w:spacing w:line="400" w:lineRule="exact"/>
        <w:outlineLvl w:val="1"/>
        <w:rPr>
          <w:rFonts w:hint="default" w:ascii="Times New Roman" w:hAnsi="Times New Roman" w:cs="Times New Roman"/>
          <w:b/>
          <w:color w:val="auto"/>
          <w:kern w:val="2"/>
          <w:sz w:val="28"/>
          <w:szCs w:val="28"/>
          <w:highlight w:val="none"/>
        </w:rPr>
      </w:pPr>
      <w:r>
        <w:rPr>
          <w:rFonts w:hint="default" w:ascii="Times New Roman" w:hAnsi="Times New Roman" w:cs="Times New Roman"/>
          <w:b/>
          <w:color w:val="auto"/>
          <w:sz w:val="32"/>
          <w:szCs w:val="32"/>
          <w:highlight w:val="none"/>
        </w:rPr>
        <w:br w:type="page"/>
      </w:r>
      <w:bookmarkStart w:id="156" w:name="_Toc381027005"/>
      <w:bookmarkStart w:id="157" w:name="_Toc10122284"/>
      <w:bookmarkStart w:id="158" w:name="_Toc10461"/>
      <w:bookmarkStart w:id="159" w:name="_Toc376793720"/>
      <w:bookmarkStart w:id="160" w:name="_Toc512354299"/>
      <w:bookmarkStart w:id="161" w:name="_Toc10184893"/>
      <w:bookmarkStart w:id="162" w:name="_Toc376793566"/>
      <w:bookmarkStart w:id="163" w:name="_Toc376793585"/>
      <w:r>
        <w:rPr>
          <w:rStyle w:val="66"/>
          <w:rFonts w:hint="default" w:ascii="Times New Roman" w:hAnsi="Times New Roman" w:cs="Times New Roman"/>
          <w:color w:val="auto"/>
          <w:highlight w:val="none"/>
        </w:rPr>
        <w:t xml:space="preserve">格式十                       </w:t>
      </w:r>
      <w:r>
        <w:rPr>
          <w:rStyle w:val="66"/>
          <w:rFonts w:hint="eastAsia" w:cs="Times New Roman"/>
          <w:color w:val="auto"/>
          <w:highlight w:val="none"/>
          <w:lang w:val="en-US"/>
        </w:rPr>
        <w:t xml:space="preserve">    </w:t>
      </w:r>
      <w:r>
        <w:rPr>
          <w:rStyle w:val="66"/>
          <w:rFonts w:hint="default" w:ascii="Times New Roman" w:hAnsi="Times New Roman" w:cs="Times New Roman"/>
          <w:color w:val="auto"/>
          <w:highlight w:val="none"/>
        </w:rPr>
        <w:t>廉洁承诺书</w:t>
      </w:r>
      <w:bookmarkEnd w:id="156"/>
      <w:bookmarkEnd w:id="157"/>
      <w:bookmarkEnd w:id="158"/>
      <w:bookmarkEnd w:id="159"/>
      <w:bookmarkEnd w:id="160"/>
      <w:bookmarkEnd w:id="161"/>
      <w:bookmarkEnd w:id="162"/>
      <w:bookmarkEnd w:id="163"/>
    </w:p>
    <w:p>
      <w:pPr>
        <w:widowControl w:val="0"/>
        <w:tabs>
          <w:tab w:val="left" w:pos="1080"/>
          <w:tab w:val="left" w:pos="1980"/>
          <w:tab w:val="left" w:pos="2160"/>
          <w:tab w:val="left" w:pos="2340"/>
          <w:tab w:val="left" w:pos="2520"/>
          <w:tab w:val="left" w:pos="2700"/>
          <w:tab w:val="left" w:pos="3240"/>
        </w:tabs>
        <w:spacing w:line="400" w:lineRule="exact"/>
        <w:jc w:val="both"/>
        <w:rPr>
          <w:rFonts w:hint="default" w:ascii="Times New Roman" w:hAnsi="Times New Roman" w:cs="Times New Roman"/>
          <w:b/>
          <w:color w:val="auto"/>
          <w:kern w:val="2"/>
          <w:sz w:val="32"/>
          <w:szCs w:val="32"/>
          <w:highlight w:val="none"/>
        </w:rPr>
      </w:pPr>
    </w:p>
    <w:p>
      <w:pPr>
        <w:spacing w:line="400" w:lineRule="exact"/>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为维护公平竞争的市场秩序，我方自愿在参与贵方组织的商业往来活动中，加强有关人员廉洁从业管理，恪守商业道德，从源头预防和遏制违法、违规、违纪行为发生，特作以下承诺：</w:t>
      </w:r>
    </w:p>
    <w:p>
      <w:pPr>
        <w:spacing w:line="400" w:lineRule="exact"/>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一、严格遵守国家有关法律法规，坚持诚实守信原则，恪守商业道德，规范商务人员廉洁从业行为。</w:t>
      </w:r>
    </w:p>
    <w:p>
      <w:pPr>
        <w:spacing w:line="400" w:lineRule="exact"/>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二、不伙同他人串标、围标或非法排挤竞争对手，不在商业活动中提供虚假资料，损害贵方合法权益。</w:t>
      </w:r>
    </w:p>
    <w:p>
      <w:pPr>
        <w:spacing w:line="400" w:lineRule="exact"/>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三、不为贵方工作人员提供回扣、礼金、有价证券、贵重物品和报销个人费用。</w:t>
      </w:r>
    </w:p>
    <w:p>
      <w:pPr>
        <w:spacing w:line="400" w:lineRule="exact"/>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四、不为贵方工作人员安排有可能影响公平、公正交易的宴请、健身、娱乐等活动。</w:t>
      </w:r>
    </w:p>
    <w:p>
      <w:pPr>
        <w:spacing w:line="400" w:lineRule="exact"/>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五、不为贵方工作人员投资入股、个人借款或买卖股票、债券等提供方便。</w:t>
      </w:r>
    </w:p>
    <w:p>
      <w:pPr>
        <w:spacing w:line="400" w:lineRule="exact"/>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六、不为贵方工作人员购买或装修住房、婚丧嫁娶、配偶子女上学或工作安排以及出国出境、旅游等提供方便。</w:t>
      </w:r>
    </w:p>
    <w:p>
      <w:pPr>
        <w:spacing w:line="400" w:lineRule="exact"/>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七、不违反规定为贵方工作人员在我方相关企业挂名兼职、合伙经营、介绍承揽业务等提供方便。</w:t>
      </w:r>
    </w:p>
    <w:p>
      <w:pPr>
        <w:spacing w:line="400" w:lineRule="exact"/>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八、不利用非法手段向贵方工作人员打探有关涉及贵方的商业秘密、业务渠道等。</w:t>
      </w:r>
    </w:p>
    <w:p>
      <w:pPr>
        <w:spacing w:line="400" w:lineRule="exact"/>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九、贵方对涉嫌不廉洁的商业行为进行调查时，我方有配合提供证据、作证的义务。</w:t>
      </w:r>
    </w:p>
    <w:p>
      <w:pPr>
        <w:spacing w:line="400" w:lineRule="exact"/>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十、未经贵方同意，我方不向任何新闻媒体、第三人述及有关贵方工作人员恪守商业道德方面的评价、信息。</w:t>
      </w:r>
    </w:p>
    <w:p>
      <w:pPr>
        <w:spacing w:line="400" w:lineRule="exact"/>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我方自愿接受社会及贵方监督，如有违反约定，承诺及时对相关工作人员进行处分处理，并限期整改；如导致贵方工作人员受到纪律处分、组织处理或构成违法犯罪的，愿意按照双方约定赔付违约金，并列入永久禁入中煤市场黑名单；给贵方造成重大社会影响或重大经济损失的，同意解除、终止双方尚未履行完毕的业务合同，暂停结算合同未支付款项，赔偿贵方遭受的经济损失，并列入永久禁入中煤市场黑名单。</w:t>
      </w:r>
    </w:p>
    <w:p>
      <w:pPr>
        <w:spacing w:line="400" w:lineRule="exact"/>
        <w:ind w:firstLine="480" w:firstLineChars="200"/>
        <w:rPr>
          <w:rFonts w:hint="default" w:ascii="Times New Roman" w:hAnsi="Times New Roman" w:cs="Times New Roman"/>
          <w:color w:val="auto"/>
          <w:sz w:val="24"/>
          <w:szCs w:val="24"/>
          <w:highlight w:val="none"/>
        </w:rPr>
      </w:pPr>
    </w:p>
    <w:p>
      <w:pPr>
        <w:spacing w:line="400" w:lineRule="exact"/>
        <w:ind w:firstLine="480" w:firstLineChars="200"/>
        <w:jc w:val="center"/>
        <w:rPr>
          <w:rFonts w:hint="default" w:ascii="Times New Roman" w:hAnsi="Times New Roman" w:cs="Times New Roman"/>
          <w:color w:val="auto"/>
          <w:sz w:val="24"/>
          <w:szCs w:val="24"/>
          <w:highlight w:val="none"/>
        </w:rPr>
      </w:pPr>
      <w:bookmarkStart w:id="164" w:name="_Toc1811_WPSOffice_Level2"/>
      <w:r>
        <w:rPr>
          <w:rFonts w:hint="default" w:ascii="Times New Roman" w:hAnsi="Times New Roman" w:cs="Times New Roman"/>
          <w:color w:val="auto"/>
          <w:sz w:val="24"/>
          <w:szCs w:val="24"/>
          <w:highlight w:val="none"/>
        </w:rPr>
        <w:t>承诺方：（盖章）</w:t>
      </w:r>
      <w:bookmarkEnd w:id="164"/>
    </w:p>
    <w:p>
      <w:pPr>
        <w:spacing w:line="400" w:lineRule="exact"/>
        <w:ind w:firstLine="480" w:firstLineChars="200"/>
        <w:jc w:val="center"/>
        <w:rPr>
          <w:rFonts w:hint="default" w:ascii="Times New Roman" w:hAnsi="Times New Roman" w:cs="Times New Roman"/>
          <w:color w:val="auto"/>
          <w:sz w:val="24"/>
          <w:szCs w:val="24"/>
          <w:highlight w:val="none"/>
        </w:rPr>
      </w:pPr>
      <w:bookmarkStart w:id="165" w:name="_Toc20412_WPSOffice_Level2"/>
      <w:r>
        <w:rPr>
          <w:rFonts w:hint="default" w:ascii="Times New Roman" w:hAnsi="Times New Roman" w:cs="Times New Roman"/>
          <w:color w:val="auto"/>
          <w:sz w:val="24"/>
          <w:szCs w:val="24"/>
          <w:highlight w:val="none"/>
        </w:rPr>
        <w:t>法定代表人：（签字）</w:t>
      </w:r>
      <w:bookmarkEnd w:id="165"/>
    </w:p>
    <w:p>
      <w:pPr>
        <w:spacing w:line="400" w:lineRule="exact"/>
        <w:ind w:firstLine="480" w:firstLineChars="200"/>
        <w:jc w:val="center"/>
        <w:rPr>
          <w:rFonts w:hint="default" w:ascii="Times New Roman" w:hAnsi="Times New Roman" w:cs="Times New Roman"/>
          <w:color w:val="auto"/>
          <w:sz w:val="24"/>
          <w:szCs w:val="24"/>
          <w:highlight w:val="none"/>
        </w:rPr>
      </w:pPr>
      <w:bookmarkStart w:id="166" w:name="_Toc1925_WPSOffice_Level2"/>
      <w:r>
        <w:rPr>
          <w:rFonts w:hint="default" w:ascii="Times New Roman" w:hAnsi="Times New Roman" w:cs="Times New Roman"/>
          <w:color w:val="auto"/>
          <w:sz w:val="24"/>
          <w:szCs w:val="24"/>
          <w:highlight w:val="none"/>
        </w:rPr>
        <w:t>日  期：</w:t>
      </w:r>
      <w:r>
        <w:rPr>
          <w:rFonts w:hint="eastAsia" w:cs="Times New Roman"/>
          <w:color w:val="auto"/>
          <w:sz w:val="24"/>
          <w:szCs w:val="24"/>
          <w:highlight w:val="none"/>
          <w:lang w:val="en-US" w:eastAsia="zh-CN"/>
        </w:rPr>
        <w:t xml:space="preserve">       </w:t>
      </w:r>
      <w:r>
        <w:rPr>
          <w:rFonts w:hint="default" w:ascii="Times New Roman" w:hAnsi="Times New Roman" w:cs="Times New Roman"/>
          <w:color w:val="auto"/>
          <w:sz w:val="24"/>
          <w:szCs w:val="24"/>
          <w:highlight w:val="none"/>
        </w:rPr>
        <w:t>年</w:t>
      </w:r>
      <w:r>
        <w:rPr>
          <w:rFonts w:hint="eastAsia" w:cs="Times New Roman"/>
          <w:color w:val="auto"/>
          <w:sz w:val="24"/>
          <w:szCs w:val="24"/>
          <w:highlight w:val="none"/>
          <w:lang w:val="en-US" w:eastAsia="zh-CN"/>
        </w:rPr>
        <w:t xml:space="preserve">      </w:t>
      </w:r>
      <w:r>
        <w:rPr>
          <w:rFonts w:hint="default" w:ascii="Times New Roman" w:hAnsi="Times New Roman" w:cs="Times New Roman"/>
          <w:color w:val="auto"/>
          <w:sz w:val="24"/>
          <w:szCs w:val="24"/>
          <w:highlight w:val="none"/>
        </w:rPr>
        <w:t>月</w:t>
      </w:r>
      <w:r>
        <w:rPr>
          <w:rFonts w:hint="eastAsia" w:cs="Times New Roman"/>
          <w:color w:val="auto"/>
          <w:sz w:val="24"/>
          <w:szCs w:val="24"/>
          <w:highlight w:val="none"/>
          <w:lang w:val="en-US" w:eastAsia="zh-CN"/>
        </w:rPr>
        <w:t xml:space="preserve">      </w:t>
      </w:r>
      <w:r>
        <w:rPr>
          <w:rFonts w:hint="default" w:ascii="Times New Roman" w:hAnsi="Times New Roman" w:cs="Times New Roman"/>
          <w:color w:val="auto"/>
          <w:sz w:val="24"/>
          <w:szCs w:val="24"/>
          <w:highlight w:val="none"/>
        </w:rPr>
        <w:t>日</w:t>
      </w:r>
      <w:bookmarkEnd w:id="166"/>
    </w:p>
    <w:p>
      <w:pPr>
        <w:widowControl w:val="0"/>
        <w:spacing w:line="360" w:lineRule="auto"/>
        <w:ind w:right="480"/>
        <w:rPr>
          <w:rFonts w:hint="default" w:ascii="Times New Roman" w:hAnsi="Times New Roman" w:cs="Times New Roman"/>
          <w:b/>
          <w:bCs/>
          <w:color w:val="auto"/>
          <w:sz w:val="24"/>
          <w:szCs w:val="24"/>
          <w:highlight w:val="none"/>
        </w:rPr>
      </w:pPr>
      <w:r>
        <w:rPr>
          <w:rFonts w:hint="default" w:ascii="Times New Roman" w:hAnsi="Times New Roman" w:cs="Times New Roman"/>
          <w:bCs/>
          <w:color w:val="auto"/>
          <w:sz w:val="24"/>
          <w:szCs w:val="24"/>
          <w:highlight w:val="none"/>
        </w:rPr>
        <w:t>▲</w:t>
      </w:r>
      <w:r>
        <w:rPr>
          <w:rFonts w:hint="default" w:ascii="Times New Roman" w:hAnsi="Times New Roman" w:cs="Times New Roman"/>
          <w:b/>
          <w:bCs/>
          <w:color w:val="auto"/>
          <w:sz w:val="24"/>
          <w:szCs w:val="24"/>
          <w:highlight w:val="none"/>
        </w:rPr>
        <w:t>要求由法定代表人签字、加盖单位公章后，附在采购响应文件中。</w:t>
      </w:r>
    </w:p>
    <w:p>
      <w:pPr>
        <w:widowControl w:val="0"/>
        <w:tabs>
          <w:tab w:val="left" w:pos="360"/>
          <w:tab w:val="left" w:pos="720"/>
          <w:tab w:val="left" w:pos="3060"/>
        </w:tabs>
        <w:spacing w:line="400" w:lineRule="exact"/>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r>
        <w:rPr>
          <w:rFonts w:hint="default" w:ascii="Times New Roman" w:hAnsi="Times New Roman" w:cs="Times New Roman"/>
          <w:color w:val="auto"/>
          <w:highlight w:val="none"/>
        </w:rPr>
        <w:br w:type="page"/>
      </w:r>
    </w:p>
    <w:p>
      <w:pPr>
        <w:spacing w:line="400" w:lineRule="exact"/>
        <w:ind w:firstLine="562" w:firstLineChars="200"/>
        <w:jc w:val="center"/>
        <w:rPr>
          <w:rFonts w:hint="default" w:ascii="Times New Roman" w:hAnsi="Times New Roman" w:cs="Times New Roman"/>
          <w:color w:val="auto"/>
          <w:sz w:val="24"/>
          <w:szCs w:val="24"/>
          <w:highlight w:val="none"/>
        </w:rPr>
      </w:pPr>
      <w:bookmarkStart w:id="167" w:name="_Toc512354300"/>
      <w:bookmarkStart w:id="168" w:name="_Toc32743"/>
      <w:bookmarkStart w:id="169" w:name="_Toc10122285"/>
      <w:bookmarkStart w:id="170" w:name="_Toc209"/>
      <w:bookmarkStart w:id="171" w:name="_Toc10184894"/>
      <w:bookmarkStart w:id="172" w:name="_Toc32552"/>
      <w:r>
        <w:rPr>
          <w:rFonts w:hint="default" w:ascii="Times New Roman" w:hAnsi="Times New Roman" w:cs="Times New Roman"/>
          <w:b/>
          <w:color w:val="auto"/>
          <w:kern w:val="2"/>
          <w:sz w:val="28"/>
          <w:szCs w:val="28"/>
          <w:highlight w:val="none"/>
        </w:rPr>
        <w:t>供需双方廉洁互保协议</w:t>
      </w:r>
      <w:bookmarkEnd w:id="167"/>
      <w:bookmarkEnd w:id="168"/>
      <w:bookmarkEnd w:id="169"/>
      <w:bookmarkEnd w:id="170"/>
      <w:bookmarkEnd w:id="171"/>
      <w:bookmarkEnd w:id="172"/>
    </w:p>
    <w:p>
      <w:pPr>
        <w:spacing w:line="400" w:lineRule="exact"/>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买方：（以下简称甲方）</w:t>
      </w:r>
    </w:p>
    <w:p>
      <w:pPr>
        <w:spacing w:line="400" w:lineRule="exact"/>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卖方：（以下简称乙方）</w:t>
      </w:r>
    </w:p>
    <w:p>
      <w:pPr>
        <w:spacing w:line="400" w:lineRule="exact"/>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为规范双方业务往来活动，建立诚实守信的商务合作关系，共同维护双方合法权益，防止违法违纪现象发生，经友好协商，双方就业务往来中的廉洁事宜达成此互保协议。</w:t>
      </w:r>
    </w:p>
    <w:p>
      <w:pPr>
        <w:spacing w:line="400" w:lineRule="exact"/>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第一条甲乙双方共同的权利和义务</w:t>
      </w:r>
    </w:p>
    <w:p>
      <w:pPr>
        <w:spacing w:line="400" w:lineRule="exact"/>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1.严格遵守国家有关法律法规，坚持诚实守信原则，恪守商业道德，规范商务人员廉洁从业行为。</w:t>
      </w:r>
    </w:p>
    <w:p>
      <w:pPr>
        <w:spacing w:line="400" w:lineRule="exact"/>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2.双方业务活动坚持公开、公正、诚信、透明的原则（商业秘密和合同文件另有规定的除外），不得损害国家和对方利益。</w:t>
      </w:r>
    </w:p>
    <w:p>
      <w:pPr>
        <w:spacing w:line="400" w:lineRule="exact"/>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3.发现对方工作人员在业务活动中有违反廉洁规定的行为，有及时要求对方纠正并向对方举报的权利和义务；涉嫌违法的，可以依法向有关部门举报。</w:t>
      </w:r>
    </w:p>
    <w:p>
      <w:pPr>
        <w:spacing w:line="400" w:lineRule="exact"/>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4.对涉嫌不廉洁的商业行为进行调查时，双方有相互配合、提供证据、作证的义务。</w:t>
      </w:r>
    </w:p>
    <w:p>
      <w:pPr>
        <w:spacing w:line="400" w:lineRule="exact"/>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5.未经对方同意，不向任何新闻媒体、第三人述及有关对方工作人员恪守商业道德方面的评价、信息。</w:t>
      </w:r>
    </w:p>
    <w:p>
      <w:pPr>
        <w:spacing w:line="400" w:lineRule="exact"/>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6.双方应依法保护举报人员，不得以任何方式对举报人员进行打击报复。</w:t>
      </w:r>
    </w:p>
    <w:p>
      <w:pPr>
        <w:spacing w:line="400" w:lineRule="exact"/>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第二条甲方的廉洁责任</w:t>
      </w:r>
    </w:p>
    <w:p>
      <w:pPr>
        <w:spacing w:line="400" w:lineRule="exact"/>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1.甲方工作人员不得以任何形式索要或接受乙方的礼金、礼品和有价证券，不得在乙方报销任何应由个人支付的各种费用。</w:t>
      </w:r>
    </w:p>
    <w:p>
      <w:pPr>
        <w:spacing w:line="400" w:lineRule="exact"/>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2.甲方工作人员不得私自参加乙方安排的宴请，不得私自接受乙方提供的通讯、交通工具和办公用品，不得向乙方泄露谈判中的商业秘密。</w:t>
      </w:r>
    </w:p>
    <w:p>
      <w:pPr>
        <w:spacing w:line="400" w:lineRule="exact"/>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3.甲方工作人员不得要求或者接受乙方以住房装修、婚丧嫁娶、家属及其他亲属的工作安排、出国出境、旅游等为理由所提供的方便。</w:t>
      </w:r>
    </w:p>
    <w:p>
      <w:pPr>
        <w:spacing w:line="400" w:lineRule="exact"/>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4.甲方工作人员不得以任何理由向乙方推荐物资供应单位、工程承包或劳务分包单位，合同另有约定除外。</w:t>
      </w:r>
    </w:p>
    <w:p>
      <w:pPr>
        <w:spacing w:line="400" w:lineRule="exact"/>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第三条乙方的廉洁责任</w:t>
      </w:r>
    </w:p>
    <w:p>
      <w:pPr>
        <w:spacing w:line="400" w:lineRule="exact"/>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1.乙方及其工作人员不得为甲方工作人员提供回扣、礼金、有价证券、贵重物品和报销个人费用。</w:t>
      </w:r>
    </w:p>
    <w:p>
      <w:pPr>
        <w:spacing w:line="400" w:lineRule="exact"/>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2.乙方及其工作人员不得为甲方工作人员安排有可能影响公平、公正交易的宴请、健身、娱乐等活动。</w:t>
      </w:r>
    </w:p>
    <w:p>
      <w:pPr>
        <w:spacing w:line="400" w:lineRule="exact"/>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3.乙方及其工作人员不得为甲方工作人员投资入股、个人借款或买卖股票、债券等提供方便。</w:t>
      </w:r>
    </w:p>
    <w:p>
      <w:pPr>
        <w:spacing w:line="400" w:lineRule="exact"/>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4.乙方及其工作人员不得为甲方工作人员购买或装修住房、婚丧嫁娶、配偶子女上学或工作安排以及出国出境、旅游等提供方便。</w:t>
      </w:r>
    </w:p>
    <w:p>
      <w:pPr>
        <w:spacing w:line="400" w:lineRule="exact"/>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5.乙方及其工作人员不得为甲方工作人员在其相关企业挂名兼职、合伙经营、介绍承揽业务等提供方便。</w:t>
      </w:r>
    </w:p>
    <w:p>
      <w:pPr>
        <w:spacing w:line="400" w:lineRule="exact"/>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6.乙方及其工作人员不得利用非法手段向甲方工作人员打探有关涉及甲方的商业秘密、业务渠道等。</w:t>
      </w:r>
    </w:p>
    <w:p>
      <w:pPr>
        <w:spacing w:line="400" w:lineRule="exact"/>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7.乙方及其工作人员与甲方发生业务往来过程中，不得有弄虚作假、以次充好、虚结虚算等违反诚信原则的行为。</w:t>
      </w:r>
    </w:p>
    <w:p>
      <w:pPr>
        <w:spacing w:line="400" w:lineRule="exact"/>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8.其它违反廉洁规定的行为。</w:t>
      </w:r>
    </w:p>
    <w:p>
      <w:pPr>
        <w:spacing w:line="400" w:lineRule="exact"/>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第四条甲方工作人员有违反本协议行为的，甲方应按照管理权限，依据有关规定给予纪律处分、组织处理或经济处罚；涉嫌犯罪的，移交司法机关追究法律责任。</w:t>
      </w:r>
    </w:p>
    <w:p>
      <w:pPr>
        <w:spacing w:line="400" w:lineRule="exact"/>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第五条乙方及其工作人员有违反本协议行为的，甲方有权根据情节和所造成的影响采取以下相应措施：</w:t>
      </w:r>
    </w:p>
    <w:p>
      <w:pPr>
        <w:spacing w:line="400" w:lineRule="exact"/>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1.情节轻微的，要求乙方对相关工作人员进行处分处理，并限期整改。</w:t>
      </w:r>
    </w:p>
    <w:p>
      <w:pPr>
        <w:spacing w:line="400" w:lineRule="exact"/>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2.导致甲方工作人员受到纪律处分、组织处理或构成违法犯罪的，扣罚乙方合同金额50%的违约金，列入永久禁入中煤市场黑名单。</w:t>
      </w:r>
    </w:p>
    <w:p>
      <w:pPr>
        <w:spacing w:line="400" w:lineRule="exact"/>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3.给甲方造成重大社会影响或重大经济损失的，甲方有权解除、终止双方尚未履行完毕的业务合同，暂停支付合同未结算款项，甲方遭受的损失由乙方负责赔偿，乙方因甲方解除合同产生的损失由乙方自行承担，列入永久禁入中煤市场黑名单。</w:t>
      </w:r>
    </w:p>
    <w:p>
      <w:pPr>
        <w:spacing w:line="400" w:lineRule="exact"/>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第六条本协议作为双方签订的所有业务合同的组成部分，与业务合同具有同等法律效力。</w:t>
      </w:r>
    </w:p>
    <w:p>
      <w:pPr>
        <w:spacing w:line="400" w:lineRule="exact"/>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第七条本协议自双方签字盖章之日起生效，有效期与合同履约期一致。</w:t>
      </w:r>
    </w:p>
    <w:p>
      <w:pPr>
        <w:spacing w:line="400" w:lineRule="exact"/>
        <w:ind w:firstLine="480" w:firstLineChars="200"/>
        <w:rPr>
          <w:rFonts w:hint="default" w:ascii="Times New Roman" w:hAnsi="Times New Roman" w:cs="Times New Roman"/>
          <w:color w:val="auto"/>
          <w:sz w:val="24"/>
          <w:szCs w:val="24"/>
          <w:highlight w:val="none"/>
        </w:rPr>
      </w:pPr>
    </w:p>
    <w:p>
      <w:pPr>
        <w:spacing w:line="400" w:lineRule="exact"/>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甲方：（盖章）                         乙方：（盖章）</w:t>
      </w:r>
    </w:p>
    <w:p>
      <w:pPr>
        <w:spacing w:line="400" w:lineRule="exact"/>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法定代表人：（签字）                   法定代表人：（签字）</w:t>
      </w:r>
    </w:p>
    <w:p>
      <w:pPr>
        <w:spacing w:line="400" w:lineRule="exact"/>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授权代表：（签字）                     授权代表：（签字）</w:t>
      </w:r>
    </w:p>
    <w:p>
      <w:pPr>
        <w:spacing w:line="400" w:lineRule="exact"/>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地址：                                 地址：</w:t>
      </w:r>
    </w:p>
    <w:p>
      <w:pPr>
        <w:spacing w:line="400" w:lineRule="exact"/>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电话：                                 电话：</w:t>
      </w:r>
    </w:p>
    <w:p>
      <w:pPr>
        <w:spacing w:line="400" w:lineRule="exact"/>
        <w:ind w:firstLine="960" w:firstLineChars="4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年</w:t>
      </w:r>
      <w:r>
        <w:rPr>
          <w:rFonts w:hint="eastAsia" w:cs="Times New Roman"/>
          <w:color w:val="auto"/>
          <w:sz w:val="24"/>
          <w:szCs w:val="24"/>
          <w:highlight w:val="none"/>
          <w:lang w:val="en-US" w:eastAsia="zh-CN"/>
        </w:rPr>
        <w:t xml:space="preserve">    </w:t>
      </w:r>
      <w:r>
        <w:rPr>
          <w:rFonts w:hint="default" w:ascii="Times New Roman" w:hAnsi="Times New Roman" w:cs="Times New Roman"/>
          <w:color w:val="auto"/>
          <w:sz w:val="24"/>
          <w:szCs w:val="24"/>
          <w:highlight w:val="none"/>
        </w:rPr>
        <w:t>月</w:t>
      </w:r>
      <w:r>
        <w:rPr>
          <w:rFonts w:hint="eastAsia" w:cs="Times New Roman"/>
          <w:color w:val="auto"/>
          <w:sz w:val="24"/>
          <w:szCs w:val="24"/>
          <w:highlight w:val="none"/>
          <w:lang w:val="en-US" w:eastAsia="zh-CN"/>
        </w:rPr>
        <w:t xml:space="preserve">    </w:t>
      </w:r>
      <w:r>
        <w:rPr>
          <w:rFonts w:hint="default" w:ascii="Times New Roman" w:hAnsi="Times New Roman" w:cs="Times New Roman"/>
          <w:color w:val="auto"/>
          <w:sz w:val="24"/>
          <w:szCs w:val="24"/>
          <w:highlight w:val="none"/>
        </w:rPr>
        <w:t>日                                 年</w:t>
      </w:r>
      <w:r>
        <w:rPr>
          <w:rFonts w:hint="eastAsia" w:cs="Times New Roman"/>
          <w:color w:val="auto"/>
          <w:sz w:val="24"/>
          <w:szCs w:val="24"/>
          <w:highlight w:val="none"/>
          <w:lang w:val="en-US" w:eastAsia="zh-CN"/>
        </w:rPr>
        <w:t xml:space="preserve">    </w:t>
      </w:r>
      <w:r>
        <w:rPr>
          <w:rFonts w:hint="default" w:ascii="Times New Roman" w:hAnsi="Times New Roman" w:cs="Times New Roman"/>
          <w:color w:val="auto"/>
          <w:sz w:val="24"/>
          <w:szCs w:val="24"/>
          <w:highlight w:val="none"/>
        </w:rPr>
        <w:t>月</w:t>
      </w:r>
      <w:r>
        <w:rPr>
          <w:rFonts w:hint="eastAsia" w:cs="Times New Roman"/>
          <w:color w:val="auto"/>
          <w:sz w:val="24"/>
          <w:szCs w:val="24"/>
          <w:highlight w:val="none"/>
          <w:lang w:val="en-US" w:eastAsia="zh-CN"/>
        </w:rPr>
        <w:t xml:space="preserve">    </w:t>
      </w:r>
      <w:r>
        <w:rPr>
          <w:rFonts w:hint="default" w:ascii="Times New Roman" w:hAnsi="Times New Roman" w:cs="Times New Roman"/>
          <w:color w:val="auto"/>
          <w:sz w:val="24"/>
          <w:szCs w:val="24"/>
          <w:highlight w:val="none"/>
        </w:rPr>
        <w:t>日</w:t>
      </w:r>
    </w:p>
    <w:p>
      <w:pPr>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widowControl w:val="0"/>
        <w:tabs>
          <w:tab w:val="left" w:pos="360"/>
          <w:tab w:val="left" w:pos="720"/>
          <w:tab w:val="left" w:pos="3060"/>
        </w:tabs>
        <w:spacing w:line="500" w:lineRule="exact"/>
        <w:ind w:left="600" w:leftChars="300" w:firstLine="300" w:firstLineChars="150"/>
        <w:rPr>
          <w:rFonts w:hint="default" w:ascii="Times New Roman" w:hAnsi="Times New Roman" w:cs="Times New Roman"/>
          <w:b/>
          <w:color w:val="auto"/>
          <w:kern w:val="2"/>
          <w:sz w:val="24"/>
          <w:szCs w:val="24"/>
          <w:highlight w:val="none"/>
        </w:rPr>
      </w:pPr>
      <w:r>
        <w:rPr>
          <w:rFonts w:hint="default" w:ascii="Times New Roman" w:hAnsi="Times New Roman" w:cs="Times New Roman"/>
          <w:color w:val="auto"/>
          <w:highlight w:val="none"/>
        </w:rPr>
        <w:br w:type="page"/>
      </w:r>
    </w:p>
    <w:p>
      <w:pPr>
        <w:pStyle w:val="2"/>
        <w:rPr>
          <w:rFonts w:hint="default" w:ascii="Times New Roman" w:hAnsi="Times New Roman" w:cs="Times New Roman"/>
          <w:color w:val="auto"/>
          <w:highlight w:val="none"/>
        </w:rPr>
      </w:pPr>
    </w:p>
    <w:p>
      <w:pPr>
        <w:pStyle w:val="5"/>
        <w:rPr>
          <w:rFonts w:hint="default" w:ascii="Times New Roman" w:hAnsi="Times New Roman" w:cs="Times New Roman"/>
          <w:color w:val="auto"/>
          <w:highlight w:val="none"/>
        </w:rPr>
      </w:pPr>
      <w:bookmarkStart w:id="173" w:name="_Toc10184896"/>
      <w:bookmarkStart w:id="174" w:name="_Toc10122287"/>
      <w:r>
        <w:rPr>
          <w:rFonts w:hint="default" w:ascii="Times New Roman" w:hAnsi="Times New Roman" w:cs="Times New Roman"/>
          <w:color w:val="auto"/>
          <w:highlight w:val="none"/>
        </w:rPr>
        <w:t>格式十</w:t>
      </w:r>
      <w:r>
        <w:rPr>
          <w:rFonts w:hint="eastAsia" w:ascii="Times New Roman" w:hAnsi="Times New Roman" w:cs="Times New Roman"/>
          <w:color w:val="auto"/>
          <w:highlight w:val="none"/>
          <w:lang w:val="en-US" w:eastAsia="zh-CN"/>
        </w:rPr>
        <w:t>一</w:t>
      </w:r>
      <w:r>
        <w:rPr>
          <w:rFonts w:hint="default" w:ascii="Times New Roman" w:hAnsi="Times New Roman" w:cs="Times New Roman"/>
          <w:color w:val="auto"/>
          <w:highlight w:val="none"/>
        </w:rPr>
        <w:t xml:space="preserve">                       其他证明材料</w:t>
      </w:r>
      <w:bookmarkEnd w:id="173"/>
      <w:bookmarkEnd w:id="174"/>
    </w:p>
    <w:p>
      <w:pPr>
        <w:widowControl w:val="0"/>
        <w:tabs>
          <w:tab w:val="left" w:pos="1080"/>
          <w:tab w:val="left" w:pos="1980"/>
          <w:tab w:val="left" w:pos="2160"/>
          <w:tab w:val="left" w:pos="2340"/>
          <w:tab w:val="left" w:pos="2520"/>
          <w:tab w:val="left" w:pos="2700"/>
          <w:tab w:val="left" w:pos="3240"/>
        </w:tabs>
        <w:spacing w:line="400" w:lineRule="exact"/>
        <w:jc w:val="both"/>
        <w:rPr>
          <w:rFonts w:hint="default" w:ascii="Times New Roman" w:hAnsi="Times New Roman" w:cs="Times New Roman"/>
          <w:b/>
          <w:color w:val="auto"/>
          <w:kern w:val="2"/>
          <w:sz w:val="28"/>
          <w:szCs w:val="28"/>
          <w:highlight w:val="none"/>
        </w:rPr>
      </w:pPr>
    </w:p>
    <w:p>
      <w:pPr>
        <w:pStyle w:val="23"/>
        <w:rPr>
          <w:rFonts w:hint="default" w:ascii="Times New Roman" w:hAnsi="Times New Roman" w:cs="Times New Roman"/>
          <w:color w:val="auto"/>
          <w:highlight w:val="none"/>
        </w:rPr>
      </w:pPr>
      <w:r>
        <w:rPr>
          <w:rFonts w:hint="default" w:ascii="Times New Roman" w:hAnsi="Times New Roman" w:cs="Times New Roman"/>
          <w:color w:val="auto"/>
          <w:highlight w:val="none"/>
        </w:rPr>
        <w:br w:type="page"/>
      </w:r>
    </w:p>
    <w:p>
      <w:pPr>
        <w:widowControl w:val="0"/>
        <w:spacing w:line="500" w:lineRule="exact"/>
        <w:jc w:val="both"/>
        <w:rPr>
          <w:rFonts w:hint="default" w:ascii="Times New Roman" w:hAnsi="Times New Roman" w:cs="Times New Roman"/>
          <w:b/>
          <w:bCs/>
          <w:color w:val="auto"/>
          <w:kern w:val="2"/>
          <w:sz w:val="32"/>
          <w:szCs w:val="32"/>
          <w:highlight w:val="none"/>
        </w:rPr>
      </w:pPr>
      <w:r>
        <w:rPr>
          <w:rFonts w:hint="default" w:ascii="Times New Roman" w:hAnsi="Times New Roman" w:cs="Times New Roman"/>
          <w:b/>
          <w:bCs/>
          <w:color w:val="auto"/>
          <w:kern w:val="2"/>
          <w:sz w:val="32"/>
          <w:szCs w:val="32"/>
          <w:highlight w:val="none"/>
        </w:rPr>
        <w:t>第二部分：采购响应文件技术部分</w:t>
      </w:r>
    </w:p>
    <w:p>
      <w:pPr>
        <w:widowControl w:val="0"/>
        <w:tabs>
          <w:tab w:val="left" w:pos="1080"/>
          <w:tab w:val="left" w:pos="1980"/>
          <w:tab w:val="left" w:pos="2160"/>
          <w:tab w:val="left" w:pos="2340"/>
          <w:tab w:val="left" w:pos="2520"/>
          <w:tab w:val="left" w:pos="2700"/>
          <w:tab w:val="left" w:pos="3240"/>
        </w:tabs>
        <w:spacing w:line="400" w:lineRule="exact"/>
        <w:jc w:val="both"/>
        <w:rPr>
          <w:rFonts w:hint="default" w:ascii="Times New Roman" w:hAnsi="Times New Roman" w:cs="Times New Roman"/>
          <w:b/>
          <w:color w:val="auto"/>
          <w:kern w:val="2"/>
          <w:sz w:val="28"/>
          <w:szCs w:val="28"/>
          <w:highlight w:val="none"/>
        </w:rPr>
      </w:pPr>
    </w:p>
    <w:sectPr>
      <w:headerReference r:id="rId13" w:type="default"/>
      <w:footerReference r:id="rId14" w:type="default"/>
      <w:pgSz w:w="11907" w:h="16840"/>
      <w:pgMar w:top="1418" w:right="1275" w:bottom="1418" w:left="1531" w:header="102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1" w:csb1="00000000"/>
  </w:font>
  <w:font w:name="MingLiU">
    <w:altName w:val="PMingLiU-ExtB"/>
    <w:panose1 w:val="02020509000000000000"/>
    <w:charset w:val="88"/>
    <w:family w:val="modern"/>
    <w:pitch w:val="default"/>
    <w:sig w:usb0="00000000" w:usb1="00000000" w:usb2="00000016" w:usb3="00000000" w:csb0="00100001" w:csb1="00000000"/>
  </w:font>
  <w:font w:name="隶书">
    <w:panose1 w:val="02010509060101010101"/>
    <w:charset w:val="86"/>
    <w:family w:val="modern"/>
    <w:pitch w:val="default"/>
    <w:sig w:usb0="00000001" w:usb1="080E0000" w:usb2="00000000" w:usb3="00000000" w:csb0="00040000" w:csb1="00000000"/>
  </w:font>
  <w:font w:name="方正大黑简体">
    <w:altName w:val="黑体"/>
    <w:panose1 w:val="00000000000000000000"/>
    <w:charset w:val="86"/>
    <w:family w:val="auto"/>
    <w:pitch w:val="default"/>
    <w:sig w:usb0="00000000" w:usb1="00000000" w:usb2="00000010" w:usb3="00000000" w:csb0="00040000" w:csb1="00000000"/>
  </w:font>
  <w:font w:name="Palatino Linotype">
    <w:panose1 w:val="02040502050505030304"/>
    <w:charset w:val="00"/>
    <w:family w:val="roman"/>
    <w:pitch w:val="default"/>
    <w:sig w:usb0="E0000287" w:usb1="40000013" w:usb2="00000000" w:usb3="00000000" w:csb0="2000019F" w:csb1="00000000"/>
  </w:font>
  <w:font w:name="Arial Narrow">
    <w:panose1 w:val="020B0606020202030204"/>
    <w:charset w:val="00"/>
    <w:family w:val="swiss"/>
    <w:pitch w:val="default"/>
    <w:sig w:usb0="00000287" w:usb1="00000800" w:usb2="00000000" w:usb3="00000000" w:csb0="2000009F" w:csb1="DFD70000"/>
  </w:font>
  <w:font w:name="Plotter">
    <w:altName w:val="Courier New"/>
    <w:panose1 w:val="00000000000000000000"/>
    <w:charset w:val="00"/>
    <w:family w:val="modern"/>
    <w:pitch w:val="default"/>
    <w:sig w:usb0="00000000" w:usb1="00000000" w:usb2="00000000" w:usb3="00000000" w:csb0="00000001" w:csb1="00000000"/>
  </w:font>
  <w:font w:name="SimSun-ExtB">
    <w:panose1 w:val="02010609060101010101"/>
    <w:charset w:val="86"/>
    <w:family w:val="modern"/>
    <w:pitch w:val="default"/>
    <w:sig w:usb0="00000001" w:usb1="02000000" w:usb2="00000000" w:usb3="00000000" w:csb0="00040001" w:csb1="00000000"/>
  </w:font>
  <w:font w:name="方正仿宋简体">
    <w:altName w:val="微软雅黑"/>
    <w:panose1 w:val="02000000000000000000"/>
    <w:charset w:val="86"/>
    <w:family w:val="script"/>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both"/>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3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150" cy="131445"/>
              <wp:effectExtent l="0" t="0" r="0" b="0"/>
              <wp:wrapNone/>
              <wp:docPr id="2" name="矩形 1"/>
              <wp:cNvGraphicFramePr/>
              <a:graphic xmlns:a="http://schemas.openxmlformats.org/drawingml/2006/main">
                <a:graphicData uri="http://schemas.microsoft.com/office/word/2010/wordprocessingShape">
                  <wps:wsp>
                    <wps:cNvSpPr/>
                    <wps:spPr>
                      <a:xfrm>
                        <a:off x="0" y="0"/>
                        <a:ext cx="57149" cy="131557"/>
                      </a:xfrm>
                      <a:prstGeom prst="rect">
                        <a:avLst/>
                      </a:prstGeom>
                      <a:noFill/>
                      <a:ln w="9525" cap="flat" cmpd="sng">
                        <a:noFill/>
                        <a:prstDash val="solid"/>
                        <a:miter/>
                      </a:ln>
                      <a:effectLst/>
                    </wps:spPr>
                    <wps:txbx>
                      <w:txbxContent>
                        <w:p>
                          <w:pPr>
                            <w:pStyle w:val="33"/>
                          </w:pPr>
                          <w:r>
                            <w:fldChar w:fldCharType="begin"/>
                          </w:r>
                          <w:r>
                            <w:instrText xml:space="preserve"> PAGE  \* MERGEFORMAT </w:instrText>
                          </w:r>
                          <w:r>
                            <w:fldChar w:fldCharType="separate"/>
                          </w:r>
                          <w:r>
                            <w:t>2</w:t>
                          </w:r>
                          <w:r>
                            <w:fldChar w:fldCharType="end"/>
                          </w:r>
                        </w:p>
                      </w:txbxContent>
                    </wps:txbx>
                    <wps:bodyPr vert="horz" wrap="none" lIns="0" tIns="0" rIns="0" bIns="0" anchor="t" anchorCtr="0" upright="1">
                      <a:spAutoFit/>
                    </wps:bodyPr>
                  </wps:wsp>
                </a:graphicData>
              </a:graphic>
            </wp:anchor>
          </w:drawing>
        </mc:Choice>
        <mc:Fallback>
          <w:pict>
            <v:rect id="矩形 1" o:spid="_x0000_s1026" o:spt="1" style="position:absolute;left:0pt;margin-top:0pt;height:10.35pt;width:4.5pt;mso-position-horizontal:center;mso-position-horizontal-relative:margin;mso-wrap-style:none;z-index:251660288;mso-width-relative:page;mso-height-relative:page;" filled="f" stroked="f" coordsize="21600,21600" o:gfxdata="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NQNszjQAAAAAgEA&#10;AA8AAAAAAAAAAQAgAAAAIgAAAGRycy9kb3ducmV2LnhtbFBLAQIUABQAAAAIAIdO4kA4lbSF6QEA&#10;ALADAAAOAAAAAAAAAAEAIAAAAB8BAABkcnMvZTJvRG9jLnhtbFBLBQYAAAAABgAGAFkBAAB6BQAA&#10;AAA=&#10;">
              <v:fill on="f" focussize="0,0"/>
              <v:stroke on="f" joinstyle="miter"/>
              <v:imagedata o:title=""/>
              <o:lock v:ext="edit" aspectratio="f"/>
              <v:textbox inset="0mm,0mm,0mm,0mm" style="mso-fit-shape-to-text:t;">
                <w:txbxContent>
                  <w:p>
                    <w:pPr>
                      <w:pStyle w:val="33"/>
                    </w:pPr>
                    <w:r>
                      <w:fldChar w:fldCharType="begin"/>
                    </w:r>
                    <w:r>
                      <w:instrText xml:space="preserve"> PAGE  \* MERGEFORMAT </w:instrText>
                    </w:r>
                    <w:r>
                      <w:fldChar w:fldCharType="separate"/>
                    </w:r>
                    <w:r>
                      <w:t>2</w:t>
                    </w:r>
                    <w: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3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32</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snapToGrid/>
      <w:spacing w:line="240" w:lineRule="auto"/>
      <w:ind w:firstLine="0" w:firstLineChars="0"/>
      <w:jc w:val="center"/>
    </w:pPr>
    <w:r>
      <w:fldChar w:fldCharType="begin"/>
    </w:r>
    <w:r>
      <w:instrText xml:space="preserve"> PAGE   \* MERGEFORMAT </w:instrText>
    </w:r>
    <w:r>
      <w:fldChar w:fldCharType="separate"/>
    </w:r>
    <w:r>
      <w:rPr>
        <w:lang w:val="zh-CN"/>
      </w:rPr>
      <w:t>33</w:t>
    </w:r>
    <w:r>
      <w:rPr>
        <w:lang w:val="zh-CN"/>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rPr>
        <w:rFonts w:hint="eastAsia"/>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10;">
              <v:fill on="f" focussize="0,0"/>
              <v:stroke on="f" weight="0.5pt"/>
              <v:imagedata o:title=""/>
              <o:lock v:ext="edit" aspectratio="f"/>
              <v:textbox inset="0mm,0mm,0mm,0mm" style="mso-fit-shape-to-text:t;">
                <w:txbxContent>
                  <w:p>
                    <w:pPr>
                      <w:pStyle w:val="3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BC46AC1"/>
    <w:multiLevelType w:val="singleLevel"/>
    <w:tmpl w:val="CBC46AC1"/>
    <w:lvl w:ilvl="0" w:tentative="0">
      <w:start w:val="1"/>
      <w:numFmt w:val="decimal"/>
      <w:pStyle w:val="28"/>
      <w:lvlText w:val="%1."/>
      <w:lvlJc w:val="left"/>
      <w:pPr>
        <w:tabs>
          <w:tab w:val="left" w:pos="2040"/>
        </w:tabs>
        <w:ind w:left="2040" w:hanging="360"/>
      </w:pPr>
    </w:lvl>
  </w:abstractNum>
  <w:abstractNum w:abstractNumId="1">
    <w:nsid w:val="00000011"/>
    <w:multiLevelType w:val="multilevel"/>
    <w:tmpl w:val="00000011"/>
    <w:lvl w:ilvl="0" w:tentative="0">
      <w:start w:val="1"/>
      <w:numFmt w:val="decimal"/>
      <w:pStyle w:val="64"/>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27854E6"/>
    <w:multiLevelType w:val="multilevel"/>
    <w:tmpl w:val="027854E6"/>
    <w:lvl w:ilvl="0" w:tentative="0">
      <w:start w:val="1"/>
      <w:numFmt w:val="decimal"/>
      <w:lvlText w:val="%1."/>
      <w:lvlJc w:val="left"/>
      <w:pPr>
        <w:ind w:left="135" w:hanging="229"/>
      </w:pPr>
      <w:rPr>
        <w:rFonts w:hint="default" w:ascii="Times New Roman" w:hAnsi="Times New Roman" w:eastAsia="Times New Roman" w:cs="Times New Roman"/>
        <w:b w:val="0"/>
        <w:bCs w:val="0"/>
        <w:i w:val="0"/>
        <w:iCs w:val="0"/>
        <w:spacing w:val="17"/>
        <w:w w:val="100"/>
        <w:sz w:val="24"/>
        <w:szCs w:val="24"/>
        <w:lang w:val="en-US" w:eastAsia="zh-CN" w:bidi="ar-SA"/>
      </w:rPr>
    </w:lvl>
    <w:lvl w:ilvl="1" w:tentative="0">
      <w:start w:val="0"/>
      <w:numFmt w:val="bullet"/>
      <w:lvlText w:val="•"/>
      <w:lvlJc w:val="left"/>
      <w:pPr>
        <w:ind w:left="980" w:hanging="229"/>
      </w:pPr>
      <w:rPr>
        <w:rFonts w:hint="default"/>
        <w:lang w:val="en-US" w:eastAsia="zh-CN" w:bidi="ar-SA"/>
      </w:rPr>
    </w:lvl>
    <w:lvl w:ilvl="2" w:tentative="0">
      <w:start w:val="0"/>
      <w:numFmt w:val="bullet"/>
      <w:lvlText w:val="•"/>
      <w:lvlJc w:val="left"/>
      <w:pPr>
        <w:ind w:left="1821" w:hanging="229"/>
      </w:pPr>
      <w:rPr>
        <w:rFonts w:hint="default"/>
        <w:lang w:val="en-US" w:eastAsia="zh-CN" w:bidi="ar-SA"/>
      </w:rPr>
    </w:lvl>
    <w:lvl w:ilvl="3" w:tentative="0">
      <w:start w:val="0"/>
      <w:numFmt w:val="bullet"/>
      <w:lvlText w:val="•"/>
      <w:lvlJc w:val="left"/>
      <w:pPr>
        <w:ind w:left="2661" w:hanging="229"/>
      </w:pPr>
      <w:rPr>
        <w:rFonts w:hint="default"/>
        <w:lang w:val="en-US" w:eastAsia="zh-CN" w:bidi="ar-SA"/>
      </w:rPr>
    </w:lvl>
    <w:lvl w:ilvl="4" w:tentative="0">
      <w:start w:val="0"/>
      <w:numFmt w:val="bullet"/>
      <w:lvlText w:val="•"/>
      <w:lvlJc w:val="left"/>
      <w:pPr>
        <w:ind w:left="3502" w:hanging="229"/>
      </w:pPr>
      <w:rPr>
        <w:rFonts w:hint="default"/>
        <w:lang w:val="en-US" w:eastAsia="zh-CN" w:bidi="ar-SA"/>
      </w:rPr>
    </w:lvl>
    <w:lvl w:ilvl="5" w:tentative="0">
      <w:start w:val="0"/>
      <w:numFmt w:val="bullet"/>
      <w:lvlText w:val="•"/>
      <w:lvlJc w:val="left"/>
      <w:pPr>
        <w:ind w:left="4342" w:hanging="229"/>
      </w:pPr>
      <w:rPr>
        <w:rFonts w:hint="default"/>
        <w:lang w:val="en-US" w:eastAsia="zh-CN" w:bidi="ar-SA"/>
      </w:rPr>
    </w:lvl>
    <w:lvl w:ilvl="6" w:tentative="0">
      <w:start w:val="0"/>
      <w:numFmt w:val="bullet"/>
      <w:lvlText w:val="•"/>
      <w:lvlJc w:val="left"/>
      <w:pPr>
        <w:ind w:left="5183" w:hanging="229"/>
      </w:pPr>
      <w:rPr>
        <w:rFonts w:hint="default"/>
        <w:lang w:val="en-US" w:eastAsia="zh-CN" w:bidi="ar-SA"/>
      </w:rPr>
    </w:lvl>
    <w:lvl w:ilvl="7" w:tentative="0">
      <w:start w:val="0"/>
      <w:numFmt w:val="bullet"/>
      <w:lvlText w:val="•"/>
      <w:lvlJc w:val="left"/>
      <w:pPr>
        <w:ind w:left="6023" w:hanging="229"/>
      </w:pPr>
      <w:rPr>
        <w:rFonts w:hint="default"/>
        <w:lang w:val="en-US" w:eastAsia="zh-CN" w:bidi="ar-SA"/>
      </w:rPr>
    </w:lvl>
    <w:lvl w:ilvl="8" w:tentative="0">
      <w:start w:val="0"/>
      <w:numFmt w:val="bullet"/>
      <w:lvlText w:val="•"/>
      <w:lvlJc w:val="left"/>
      <w:pPr>
        <w:ind w:left="6864" w:hanging="229"/>
      </w:pPr>
      <w:rPr>
        <w:rFonts w:hint="default"/>
        <w:lang w:val="en-US" w:eastAsia="zh-CN" w:bidi="ar-SA"/>
      </w:rPr>
    </w:lvl>
  </w:abstractNum>
  <w:abstractNum w:abstractNumId="3">
    <w:nsid w:val="06E2B002"/>
    <w:multiLevelType w:val="singleLevel"/>
    <w:tmpl w:val="06E2B002"/>
    <w:lvl w:ilvl="0" w:tentative="0">
      <w:start w:val="5"/>
      <w:numFmt w:val="chineseCounting"/>
      <w:suff w:val="nothing"/>
      <w:lvlText w:val="%1、"/>
      <w:lvlJc w:val="left"/>
      <w:rPr>
        <w:rFonts w:hint="eastAsia"/>
      </w:rPr>
    </w:lvl>
  </w:abstractNum>
  <w:abstractNum w:abstractNumId="4">
    <w:nsid w:val="07BE3797"/>
    <w:multiLevelType w:val="multilevel"/>
    <w:tmpl w:val="07BE3797"/>
    <w:lvl w:ilvl="0" w:tentative="0">
      <w:start w:val="1"/>
      <w:numFmt w:val="decimal"/>
      <w:lvlText w:val="%1)"/>
      <w:lvlJc w:val="left"/>
      <w:pPr>
        <w:ind w:left="1555" w:hanging="420"/>
      </w:pPr>
    </w:lvl>
    <w:lvl w:ilvl="1" w:tentative="0">
      <w:start w:val="1"/>
      <w:numFmt w:val="lowerLetter"/>
      <w:lvlText w:val="%2)"/>
      <w:lvlJc w:val="left"/>
      <w:pPr>
        <w:ind w:left="1975" w:hanging="420"/>
      </w:pPr>
    </w:lvl>
    <w:lvl w:ilvl="2" w:tentative="0">
      <w:start w:val="1"/>
      <w:numFmt w:val="lowerRoman"/>
      <w:lvlText w:val="%3."/>
      <w:lvlJc w:val="right"/>
      <w:pPr>
        <w:ind w:left="2395" w:hanging="420"/>
      </w:pPr>
    </w:lvl>
    <w:lvl w:ilvl="3" w:tentative="0">
      <w:start w:val="1"/>
      <w:numFmt w:val="decimal"/>
      <w:lvlText w:val="%4."/>
      <w:lvlJc w:val="left"/>
      <w:pPr>
        <w:ind w:left="2815" w:hanging="420"/>
      </w:pPr>
    </w:lvl>
    <w:lvl w:ilvl="4" w:tentative="0">
      <w:start w:val="1"/>
      <w:numFmt w:val="lowerLetter"/>
      <w:lvlText w:val="%5)"/>
      <w:lvlJc w:val="left"/>
      <w:pPr>
        <w:ind w:left="3235" w:hanging="420"/>
      </w:pPr>
    </w:lvl>
    <w:lvl w:ilvl="5" w:tentative="0">
      <w:start w:val="1"/>
      <w:numFmt w:val="lowerRoman"/>
      <w:lvlText w:val="%6."/>
      <w:lvlJc w:val="right"/>
      <w:pPr>
        <w:ind w:left="3655" w:hanging="420"/>
      </w:pPr>
    </w:lvl>
    <w:lvl w:ilvl="6" w:tentative="0">
      <w:start w:val="1"/>
      <w:numFmt w:val="decimal"/>
      <w:lvlText w:val="%7."/>
      <w:lvlJc w:val="left"/>
      <w:pPr>
        <w:ind w:left="4075" w:hanging="420"/>
      </w:pPr>
    </w:lvl>
    <w:lvl w:ilvl="7" w:tentative="0">
      <w:start w:val="1"/>
      <w:numFmt w:val="lowerLetter"/>
      <w:lvlText w:val="%8)"/>
      <w:lvlJc w:val="left"/>
      <w:pPr>
        <w:ind w:left="4495" w:hanging="420"/>
      </w:pPr>
    </w:lvl>
    <w:lvl w:ilvl="8" w:tentative="0">
      <w:start w:val="1"/>
      <w:numFmt w:val="lowerRoman"/>
      <w:lvlText w:val="%9."/>
      <w:lvlJc w:val="right"/>
      <w:pPr>
        <w:ind w:left="4915" w:hanging="420"/>
      </w:pPr>
    </w:lvl>
  </w:abstractNum>
  <w:abstractNum w:abstractNumId="5">
    <w:nsid w:val="15C8EFC3"/>
    <w:multiLevelType w:val="singleLevel"/>
    <w:tmpl w:val="15C8EFC3"/>
    <w:lvl w:ilvl="0" w:tentative="0">
      <w:start w:val="1"/>
      <w:numFmt w:val="decimal"/>
      <w:suff w:val="nothing"/>
      <w:lvlText w:val="%1、"/>
      <w:lvlJc w:val="left"/>
    </w:lvl>
  </w:abstractNum>
  <w:abstractNum w:abstractNumId="6">
    <w:nsid w:val="2295587B"/>
    <w:multiLevelType w:val="multilevel"/>
    <w:tmpl w:val="2295587B"/>
    <w:lvl w:ilvl="0" w:tentative="0">
      <w:start w:val="1"/>
      <w:numFmt w:val="decimal"/>
      <w:lvlText w:val="%1"/>
      <w:lvlJc w:val="left"/>
      <w:pPr>
        <w:ind w:left="0" w:firstLine="0"/>
      </w:pPr>
    </w:lvl>
    <w:lvl w:ilvl="1" w:tentative="0">
      <w:start w:val="1"/>
      <w:numFmt w:val="decimal"/>
      <w:lvlText w:val="%2."/>
      <w:lvlJc w:val="left"/>
      <w:pPr>
        <w:ind w:left="0" w:firstLine="0"/>
      </w:pPr>
      <w:rPr>
        <w:b/>
      </w:rPr>
    </w:lvl>
    <w:lvl w:ilvl="2" w:tentative="0">
      <w:start w:val="1"/>
      <w:numFmt w:val="decimal"/>
      <w:pStyle w:val="174"/>
      <w:lvlText w:val="%2.%3"/>
      <w:lvlJc w:val="left"/>
      <w:pPr>
        <w:ind w:left="-426" w:firstLine="426"/>
      </w:pPr>
      <w:rPr>
        <w:rFonts w:hint="eastAsia" w:ascii="Times New Roman" w:hAnsi="Times New Roman" w:eastAsia="宋体"/>
        <w:b/>
        <w:i w:val="0"/>
        <w:sz w:val="24"/>
        <w:szCs w:val="24"/>
      </w:rPr>
    </w:lvl>
    <w:lvl w:ilvl="3" w:tentative="0">
      <w:start w:val="1"/>
      <w:numFmt w:val="decimal"/>
      <w:lvlText w:val="%2.%3.%4"/>
      <w:lvlJc w:val="left"/>
      <w:pPr>
        <w:ind w:left="210" w:firstLine="0"/>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7">
    <w:nsid w:val="360B02E5"/>
    <w:multiLevelType w:val="multilevel"/>
    <w:tmpl w:val="360B02E5"/>
    <w:lvl w:ilvl="0" w:tentative="0">
      <w:start w:val="1"/>
      <w:numFmt w:val="decimal"/>
      <w:lvlText w:val="%1."/>
      <w:lvlJc w:val="left"/>
      <w:pPr>
        <w:ind w:left="130" w:hanging="225"/>
      </w:pPr>
      <w:rPr>
        <w:rFonts w:hint="default" w:ascii="Times New Roman" w:hAnsi="Times New Roman" w:eastAsia="Times New Roman" w:cs="Times New Roman"/>
        <w:b w:val="0"/>
        <w:bCs w:val="0"/>
        <w:i w:val="0"/>
        <w:iCs w:val="0"/>
        <w:w w:val="100"/>
        <w:sz w:val="26"/>
        <w:szCs w:val="26"/>
        <w:lang w:val="en-US" w:eastAsia="zh-CN" w:bidi="ar-SA"/>
      </w:rPr>
    </w:lvl>
    <w:lvl w:ilvl="1" w:tentative="0">
      <w:start w:val="0"/>
      <w:numFmt w:val="bullet"/>
      <w:lvlText w:val="•"/>
      <w:lvlJc w:val="left"/>
      <w:pPr>
        <w:ind w:left="980" w:hanging="225"/>
      </w:pPr>
      <w:rPr>
        <w:rFonts w:hint="default"/>
        <w:lang w:val="en-US" w:eastAsia="zh-CN" w:bidi="ar-SA"/>
      </w:rPr>
    </w:lvl>
    <w:lvl w:ilvl="2" w:tentative="0">
      <w:start w:val="0"/>
      <w:numFmt w:val="bullet"/>
      <w:lvlText w:val="•"/>
      <w:lvlJc w:val="left"/>
      <w:pPr>
        <w:ind w:left="1821" w:hanging="225"/>
      </w:pPr>
      <w:rPr>
        <w:rFonts w:hint="default"/>
        <w:lang w:val="en-US" w:eastAsia="zh-CN" w:bidi="ar-SA"/>
      </w:rPr>
    </w:lvl>
    <w:lvl w:ilvl="3" w:tentative="0">
      <w:start w:val="0"/>
      <w:numFmt w:val="bullet"/>
      <w:lvlText w:val="•"/>
      <w:lvlJc w:val="left"/>
      <w:pPr>
        <w:ind w:left="2661" w:hanging="225"/>
      </w:pPr>
      <w:rPr>
        <w:rFonts w:hint="default"/>
        <w:lang w:val="en-US" w:eastAsia="zh-CN" w:bidi="ar-SA"/>
      </w:rPr>
    </w:lvl>
    <w:lvl w:ilvl="4" w:tentative="0">
      <w:start w:val="0"/>
      <w:numFmt w:val="bullet"/>
      <w:lvlText w:val="•"/>
      <w:lvlJc w:val="left"/>
      <w:pPr>
        <w:ind w:left="3502" w:hanging="225"/>
      </w:pPr>
      <w:rPr>
        <w:rFonts w:hint="default"/>
        <w:lang w:val="en-US" w:eastAsia="zh-CN" w:bidi="ar-SA"/>
      </w:rPr>
    </w:lvl>
    <w:lvl w:ilvl="5" w:tentative="0">
      <w:start w:val="0"/>
      <w:numFmt w:val="bullet"/>
      <w:lvlText w:val="•"/>
      <w:lvlJc w:val="left"/>
      <w:pPr>
        <w:ind w:left="4342" w:hanging="225"/>
      </w:pPr>
      <w:rPr>
        <w:rFonts w:hint="default"/>
        <w:lang w:val="en-US" w:eastAsia="zh-CN" w:bidi="ar-SA"/>
      </w:rPr>
    </w:lvl>
    <w:lvl w:ilvl="6" w:tentative="0">
      <w:start w:val="0"/>
      <w:numFmt w:val="bullet"/>
      <w:lvlText w:val="•"/>
      <w:lvlJc w:val="left"/>
      <w:pPr>
        <w:ind w:left="5183" w:hanging="225"/>
      </w:pPr>
      <w:rPr>
        <w:rFonts w:hint="default"/>
        <w:lang w:val="en-US" w:eastAsia="zh-CN" w:bidi="ar-SA"/>
      </w:rPr>
    </w:lvl>
    <w:lvl w:ilvl="7" w:tentative="0">
      <w:start w:val="0"/>
      <w:numFmt w:val="bullet"/>
      <w:lvlText w:val="•"/>
      <w:lvlJc w:val="left"/>
      <w:pPr>
        <w:ind w:left="6023" w:hanging="225"/>
      </w:pPr>
      <w:rPr>
        <w:rFonts w:hint="default"/>
        <w:lang w:val="en-US" w:eastAsia="zh-CN" w:bidi="ar-SA"/>
      </w:rPr>
    </w:lvl>
    <w:lvl w:ilvl="8" w:tentative="0">
      <w:start w:val="0"/>
      <w:numFmt w:val="bullet"/>
      <w:lvlText w:val="•"/>
      <w:lvlJc w:val="left"/>
      <w:pPr>
        <w:ind w:left="6864" w:hanging="225"/>
      </w:pPr>
      <w:rPr>
        <w:rFonts w:hint="default"/>
        <w:lang w:val="en-US" w:eastAsia="zh-CN" w:bidi="ar-SA"/>
      </w:rPr>
    </w:lvl>
  </w:abstractNum>
  <w:abstractNum w:abstractNumId="8">
    <w:nsid w:val="372A067B"/>
    <w:multiLevelType w:val="multilevel"/>
    <w:tmpl w:val="372A067B"/>
    <w:lvl w:ilvl="0" w:tentative="0">
      <w:start w:val="1"/>
      <w:numFmt w:val="decimal"/>
      <w:lvlText w:val="%1)"/>
      <w:lvlJc w:val="left"/>
      <w:pPr>
        <w:ind w:left="1258" w:hanging="420"/>
      </w:pPr>
    </w:lvl>
    <w:lvl w:ilvl="1" w:tentative="0">
      <w:start w:val="1"/>
      <w:numFmt w:val="decimal"/>
      <w:lvlText w:val="（%2）"/>
      <w:lvlJc w:val="left"/>
      <w:pPr>
        <w:ind w:left="1978" w:hanging="720"/>
      </w:pPr>
      <w:rPr>
        <w:rFonts w:cs="Times New Roman"/>
      </w:rPr>
    </w:lvl>
    <w:lvl w:ilvl="2" w:tentative="0">
      <w:start w:val="1"/>
      <w:numFmt w:val="lowerRoman"/>
      <w:lvlText w:val="%3."/>
      <w:lvlJc w:val="right"/>
      <w:pPr>
        <w:ind w:left="2098" w:hanging="420"/>
      </w:pPr>
    </w:lvl>
    <w:lvl w:ilvl="3" w:tentative="0">
      <w:start w:val="1"/>
      <w:numFmt w:val="decimal"/>
      <w:lvlText w:val="%4."/>
      <w:lvlJc w:val="left"/>
      <w:pPr>
        <w:ind w:left="2518" w:hanging="420"/>
      </w:pPr>
    </w:lvl>
    <w:lvl w:ilvl="4" w:tentative="0">
      <w:start w:val="1"/>
      <w:numFmt w:val="lowerLetter"/>
      <w:lvlText w:val="%5)"/>
      <w:lvlJc w:val="left"/>
      <w:pPr>
        <w:ind w:left="2938" w:hanging="420"/>
      </w:pPr>
    </w:lvl>
    <w:lvl w:ilvl="5" w:tentative="0">
      <w:start w:val="1"/>
      <w:numFmt w:val="lowerRoman"/>
      <w:lvlText w:val="%6."/>
      <w:lvlJc w:val="right"/>
      <w:pPr>
        <w:ind w:left="3358" w:hanging="420"/>
      </w:pPr>
    </w:lvl>
    <w:lvl w:ilvl="6" w:tentative="0">
      <w:start w:val="1"/>
      <w:numFmt w:val="decimal"/>
      <w:lvlText w:val="%7."/>
      <w:lvlJc w:val="left"/>
      <w:pPr>
        <w:ind w:left="3778" w:hanging="420"/>
      </w:pPr>
    </w:lvl>
    <w:lvl w:ilvl="7" w:tentative="0">
      <w:start w:val="1"/>
      <w:numFmt w:val="lowerLetter"/>
      <w:lvlText w:val="%8)"/>
      <w:lvlJc w:val="left"/>
      <w:pPr>
        <w:ind w:left="4198" w:hanging="420"/>
      </w:pPr>
    </w:lvl>
    <w:lvl w:ilvl="8" w:tentative="0">
      <w:start w:val="1"/>
      <w:numFmt w:val="lowerRoman"/>
      <w:lvlText w:val="%9."/>
      <w:lvlJc w:val="right"/>
      <w:pPr>
        <w:ind w:left="4618" w:hanging="420"/>
      </w:pPr>
    </w:lvl>
  </w:abstractNum>
  <w:abstractNum w:abstractNumId="9">
    <w:nsid w:val="38682DF7"/>
    <w:multiLevelType w:val="multilevel"/>
    <w:tmpl w:val="38682DF7"/>
    <w:lvl w:ilvl="0" w:tentative="0">
      <w:start w:val="1"/>
      <w:numFmt w:val="decimal"/>
      <w:lvlText w:val="%1."/>
      <w:lvlJc w:val="left"/>
      <w:pPr>
        <w:ind w:left="140" w:hanging="200"/>
      </w:pPr>
      <w:rPr>
        <w:rFonts w:hint="default" w:ascii="Times New Roman" w:hAnsi="Times New Roman" w:eastAsia="Times New Roman" w:cs="Times New Roman"/>
        <w:b w:val="0"/>
        <w:bCs w:val="0"/>
        <w:i w:val="0"/>
        <w:iCs w:val="0"/>
        <w:w w:val="100"/>
        <w:sz w:val="24"/>
        <w:szCs w:val="24"/>
        <w:lang w:val="en-US" w:eastAsia="zh-CN" w:bidi="ar-SA"/>
      </w:rPr>
    </w:lvl>
    <w:lvl w:ilvl="1" w:tentative="0">
      <w:start w:val="0"/>
      <w:numFmt w:val="bullet"/>
      <w:lvlText w:val="•"/>
      <w:lvlJc w:val="left"/>
      <w:pPr>
        <w:ind w:left="980" w:hanging="200"/>
      </w:pPr>
      <w:rPr>
        <w:rFonts w:hint="default"/>
        <w:lang w:val="en-US" w:eastAsia="zh-CN" w:bidi="ar-SA"/>
      </w:rPr>
    </w:lvl>
    <w:lvl w:ilvl="2" w:tentative="0">
      <w:start w:val="0"/>
      <w:numFmt w:val="bullet"/>
      <w:lvlText w:val="•"/>
      <w:lvlJc w:val="left"/>
      <w:pPr>
        <w:ind w:left="1821" w:hanging="200"/>
      </w:pPr>
      <w:rPr>
        <w:rFonts w:hint="default"/>
        <w:lang w:val="en-US" w:eastAsia="zh-CN" w:bidi="ar-SA"/>
      </w:rPr>
    </w:lvl>
    <w:lvl w:ilvl="3" w:tentative="0">
      <w:start w:val="0"/>
      <w:numFmt w:val="bullet"/>
      <w:lvlText w:val="•"/>
      <w:lvlJc w:val="left"/>
      <w:pPr>
        <w:ind w:left="2661" w:hanging="200"/>
      </w:pPr>
      <w:rPr>
        <w:rFonts w:hint="default"/>
        <w:lang w:val="en-US" w:eastAsia="zh-CN" w:bidi="ar-SA"/>
      </w:rPr>
    </w:lvl>
    <w:lvl w:ilvl="4" w:tentative="0">
      <w:start w:val="0"/>
      <w:numFmt w:val="bullet"/>
      <w:lvlText w:val="•"/>
      <w:lvlJc w:val="left"/>
      <w:pPr>
        <w:ind w:left="3502" w:hanging="200"/>
      </w:pPr>
      <w:rPr>
        <w:rFonts w:hint="default"/>
        <w:lang w:val="en-US" w:eastAsia="zh-CN" w:bidi="ar-SA"/>
      </w:rPr>
    </w:lvl>
    <w:lvl w:ilvl="5" w:tentative="0">
      <w:start w:val="0"/>
      <w:numFmt w:val="bullet"/>
      <w:lvlText w:val="•"/>
      <w:lvlJc w:val="left"/>
      <w:pPr>
        <w:ind w:left="4342" w:hanging="200"/>
      </w:pPr>
      <w:rPr>
        <w:rFonts w:hint="default"/>
        <w:lang w:val="en-US" w:eastAsia="zh-CN" w:bidi="ar-SA"/>
      </w:rPr>
    </w:lvl>
    <w:lvl w:ilvl="6" w:tentative="0">
      <w:start w:val="0"/>
      <w:numFmt w:val="bullet"/>
      <w:lvlText w:val="•"/>
      <w:lvlJc w:val="left"/>
      <w:pPr>
        <w:ind w:left="5183" w:hanging="200"/>
      </w:pPr>
      <w:rPr>
        <w:rFonts w:hint="default"/>
        <w:lang w:val="en-US" w:eastAsia="zh-CN" w:bidi="ar-SA"/>
      </w:rPr>
    </w:lvl>
    <w:lvl w:ilvl="7" w:tentative="0">
      <w:start w:val="0"/>
      <w:numFmt w:val="bullet"/>
      <w:lvlText w:val="•"/>
      <w:lvlJc w:val="left"/>
      <w:pPr>
        <w:ind w:left="6023" w:hanging="200"/>
      </w:pPr>
      <w:rPr>
        <w:rFonts w:hint="default"/>
        <w:lang w:val="en-US" w:eastAsia="zh-CN" w:bidi="ar-SA"/>
      </w:rPr>
    </w:lvl>
    <w:lvl w:ilvl="8" w:tentative="0">
      <w:start w:val="0"/>
      <w:numFmt w:val="bullet"/>
      <w:lvlText w:val="•"/>
      <w:lvlJc w:val="left"/>
      <w:pPr>
        <w:ind w:left="6864" w:hanging="200"/>
      </w:pPr>
      <w:rPr>
        <w:rFonts w:hint="default"/>
        <w:lang w:val="en-US" w:eastAsia="zh-CN" w:bidi="ar-SA"/>
      </w:rPr>
    </w:lvl>
  </w:abstractNum>
  <w:abstractNum w:abstractNumId="10">
    <w:nsid w:val="3DDB2E79"/>
    <w:multiLevelType w:val="multilevel"/>
    <w:tmpl w:val="3DDB2E79"/>
    <w:lvl w:ilvl="0" w:tentative="0">
      <w:start w:val="1"/>
      <w:numFmt w:val="japaneseCounting"/>
      <w:lvlText w:val="%1、"/>
      <w:lvlJc w:val="left"/>
      <w:pPr>
        <w:tabs>
          <w:tab w:val="left" w:pos="645"/>
        </w:tabs>
        <w:ind w:left="645" w:hanging="645"/>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419064D5"/>
    <w:multiLevelType w:val="multilevel"/>
    <w:tmpl w:val="419064D5"/>
    <w:lvl w:ilvl="0" w:tentative="0">
      <w:start w:val="3"/>
      <w:numFmt w:val="japaneseCounting"/>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47A54C7E"/>
    <w:multiLevelType w:val="multilevel"/>
    <w:tmpl w:val="47A54C7E"/>
    <w:lvl w:ilvl="0" w:tentative="0">
      <w:start w:val="1"/>
      <w:numFmt w:val="decimal"/>
      <w:lvlText w:val="%1)"/>
      <w:lvlJc w:val="left"/>
      <w:pPr>
        <w:ind w:left="420" w:hanging="420"/>
      </w:pPr>
    </w:lvl>
    <w:lvl w:ilvl="1" w:tentative="0">
      <w:start w:val="1"/>
      <w:numFmt w:val="decimal"/>
      <w:lvlText w:val="%2)"/>
      <w:lvlJc w:val="left"/>
      <w:pPr>
        <w:ind w:left="1555"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4B496847"/>
    <w:multiLevelType w:val="multilevel"/>
    <w:tmpl w:val="4B496847"/>
    <w:lvl w:ilvl="0" w:tentative="0">
      <w:start w:val="1"/>
      <w:numFmt w:val="decimal"/>
      <w:lvlText w:val="%1."/>
      <w:lvlJc w:val="left"/>
      <w:pPr>
        <w:ind w:left="135" w:hanging="720"/>
      </w:pPr>
      <w:rPr>
        <w:rFonts w:hint="default" w:ascii="Times New Roman" w:hAnsi="Times New Roman" w:eastAsia="Times New Roman" w:cs="Times New Roman"/>
        <w:b w:val="0"/>
        <w:bCs w:val="0"/>
        <w:i w:val="0"/>
        <w:iCs w:val="0"/>
        <w:w w:val="100"/>
        <w:sz w:val="26"/>
        <w:szCs w:val="26"/>
        <w:lang w:val="en-US" w:eastAsia="zh-CN" w:bidi="ar-SA"/>
      </w:rPr>
    </w:lvl>
    <w:lvl w:ilvl="1" w:tentative="0">
      <w:start w:val="0"/>
      <w:numFmt w:val="bullet"/>
      <w:lvlText w:val="•"/>
      <w:lvlJc w:val="left"/>
      <w:pPr>
        <w:ind w:left="980" w:hanging="720"/>
      </w:pPr>
      <w:rPr>
        <w:rFonts w:hint="default"/>
        <w:lang w:val="en-US" w:eastAsia="zh-CN" w:bidi="ar-SA"/>
      </w:rPr>
    </w:lvl>
    <w:lvl w:ilvl="2" w:tentative="0">
      <w:start w:val="0"/>
      <w:numFmt w:val="bullet"/>
      <w:lvlText w:val="•"/>
      <w:lvlJc w:val="left"/>
      <w:pPr>
        <w:ind w:left="1821" w:hanging="720"/>
      </w:pPr>
      <w:rPr>
        <w:rFonts w:hint="default"/>
        <w:lang w:val="en-US" w:eastAsia="zh-CN" w:bidi="ar-SA"/>
      </w:rPr>
    </w:lvl>
    <w:lvl w:ilvl="3" w:tentative="0">
      <w:start w:val="0"/>
      <w:numFmt w:val="bullet"/>
      <w:lvlText w:val="•"/>
      <w:lvlJc w:val="left"/>
      <w:pPr>
        <w:ind w:left="2661" w:hanging="720"/>
      </w:pPr>
      <w:rPr>
        <w:rFonts w:hint="default"/>
        <w:lang w:val="en-US" w:eastAsia="zh-CN" w:bidi="ar-SA"/>
      </w:rPr>
    </w:lvl>
    <w:lvl w:ilvl="4" w:tentative="0">
      <w:start w:val="0"/>
      <w:numFmt w:val="bullet"/>
      <w:lvlText w:val="•"/>
      <w:lvlJc w:val="left"/>
      <w:pPr>
        <w:ind w:left="3502" w:hanging="720"/>
      </w:pPr>
      <w:rPr>
        <w:rFonts w:hint="default"/>
        <w:lang w:val="en-US" w:eastAsia="zh-CN" w:bidi="ar-SA"/>
      </w:rPr>
    </w:lvl>
    <w:lvl w:ilvl="5" w:tentative="0">
      <w:start w:val="0"/>
      <w:numFmt w:val="bullet"/>
      <w:lvlText w:val="•"/>
      <w:lvlJc w:val="left"/>
      <w:pPr>
        <w:ind w:left="4342" w:hanging="720"/>
      </w:pPr>
      <w:rPr>
        <w:rFonts w:hint="default"/>
        <w:lang w:val="en-US" w:eastAsia="zh-CN" w:bidi="ar-SA"/>
      </w:rPr>
    </w:lvl>
    <w:lvl w:ilvl="6" w:tentative="0">
      <w:start w:val="0"/>
      <w:numFmt w:val="bullet"/>
      <w:lvlText w:val="•"/>
      <w:lvlJc w:val="left"/>
      <w:pPr>
        <w:ind w:left="5183" w:hanging="720"/>
      </w:pPr>
      <w:rPr>
        <w:rFonts w:hint="default"/>
        <w:lang w:val="en-US" w:eastAsia="zh-CN" w:bidi="ar-SA"/>
      </w:rPr>
    </w:lvl>
    <w:lvl w:ilvl="7" w:tentative="0">
      <w:start w:val="0"/>
      <w:numFmt w:val="bullet"/>
      <w:lvlText w:val="•"/>
      <w:lvlJc w:val="left"/>
      <w:pPr>
        <w:ind w:left="6023" w:hanging="720"/>
      </w:pPr>
      <w:rPr>
        <w:rFonts w:hint="default"/>
        <w:lang w:val="en-US" w:eastAsia="zh-CN" w:bidi="ar-SA"/>
      </w:rPr>
    </w:lvl>
    <w:lvl w:ilvl="8" w:tentative="0">
      <w:start w:val="0"/>
      <w:numFmt w:val="bullet"/>
      <w:lvlText w:val="•"/>
      <w:lvlJc w:val="left"/>
      <w:pPr>
        <w:ind w:left="6864" w:hanging="720"/>
      </w:pPr>
      <w:rPr>
        <w:rFonts w:hint="default"/>
        <w:lang w:val="en-US" w:eastAsia="zh-CN" w:bidi="ar-SA"/>
      </w:rPr>
    </w:lvl>
  </w:abstractNum>
  <w:abstractNum w:abstractNumId="14">
    <w:nsid w:val="59276817"/>
    <w:multiLevelType w:val="multilevel"/>
    <w:tmpl w:val="59276817"/>
    <w:lvl w:ilvl="0" w:tentative="0">
      <w:start w:val="1"/>
      <w:numFmt w:val="decimal"/>
      <w:lvlText w:val="%1)"/>
      <w:lvlJc w:val="left"/>
      <w:pPr>
        <w:ind w:left="899" w:hanging="420"/>
      </w:pPr>
    </w:lvl>
    <w:lvl w:ilvl="1" w:tentative="0">
      <w:start w:val="1"/>
      <w:numFmt w:val="decimal"/>
      <w:lvlText w:val="%2)"/>
      <w:lvlJc w:val="left"/>
      <w:pPr>
        <w:ind w:left="1319" w:hanging="420"/>
      </w:pPr>
    </w:lvl>
    <w:lvl w:ilvl="2" w:tentative="0">
      <w:start w:val="1"/>
      <w:numFmt w:val="lowerRoman"/>
      <w:lvlText w:val="%3."/>
      <w:lvlJc w:val="right"/>
      <w:pPr>
        <w:ind w:left="1739" w:hanging="420"/>
      </w:pPr>
    </w:lvl>
    <w:lvl w:ilvl="3" w:tentative="0">
      <w:start w:val="1"/>
      <w:numFmt w:val="decimal"/>
      <w:lvlText w:val="%4."/>
      <w:lvlJc w:val="left"/>
      <w:pPr>
        <w:ind w:left="2159" w:hanging="420"/>
      </w:pPr>
    </w:lvl>
    <w:lvl w:ilvl="4" w:tentative="0">
      <w:start w:val="1"/>
      <w:numFmt w:val="lowerLetter"/>
      <w:lvlText w:val="%5)"/>
      <w:lvlJc w:val="left"/>
      <w:pPr>
        <w:ind w:left="2579" w:hanging="420"/>
      </w:pPr>
    </w:lvl>
    <w:lvl w:ilvl="5" w:tentative="0">
      <w:start w:val="1"/>
      <w:numFmt w:val="lowerRoman"/>
      <w:lvlText w:val="%6."/>
      <w:lvlJc w:val="right"/>
      <w:pPr>
        <w:ind w:left="2999" w:hanging="420"/>
      </w:pPr>
    </w:lvl>
    <w:lvl w:ilvl="6" w:tentative="0">
      <w:start w:val="1"/>
      <w:numFmt w:val="decimal"/>
      <w:lvlText w:val="%7."/>
      <w:lvlJc w:val="left"/>
      <w:pPr>
        <w:ind w:left="3419" w:hanging="420"/>
      </w:pPr>
    </w:lvl>
    <w:lvl w:ilvl="7" w:tentative="0">
      <w:start w:val="1"/>
      <w:numFmt w:val="lowerLetter"/>
      <w:lvlText w:val="%8)"/>
      <w:lvlJc w:val="left"/>
      <w:pPr>
        <w:ind w:left="3839" w:hanging="420"/>
      </w:pPr>
    </w:lvl>
    <w:lvl w:ilvl="8" w:tentative="0">
      <w:start w:val="1"/>
      <w:numFmt w:val="lowerRoman"/>
      <w:lvlText w:val="%9."/>
      <w:lvlJc w:val="right"/>
      <w:pPr>
        <w:ind w:left="4259" w:hanging="420"/>
      </w:pPr>
    </w:lvl>
  </w:abstractNum>
  <w:abstractNum w:abstractNumId="15">
    <w:nsid w:val="774601A9"/>
    <w:multiLevelType w:val="multilevel"/>
    <w:tmpl w:val="774601A9"/>
    <w:lvl w:ilvl="0" w:tentative="0">
      <w:start w:val="1"/>
      <w:numFmt w:val="decimal"/>
      <w:suff w:val="space"/>
      <w:lvlText w:val="（%1）"/>
      <w:lvlJc w:val="left"/>
      <w:pPr>
        <w:ind w:left="0" w:firstLine="567"/>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7A2424F"/>
    <w:multiLevelType w:val="multilevel"/>
    <w:tmpl w:val="77A2424F"/>
    <w:lvl w:ilvl="0" w:tentative="0">
      <w:start w:val="1"/>
      <w:numFmt w:val="decimal"/>
      <w:lvlText w:val="%1)"/>
      <w:lvlJc w:val="left"/>
      <w:pPr>
        <w:ind w:left="1258" w:hanging="420"/>
      </w:pPr>
    </w:lvl>
    <w:lvl w:ilvl="1" w:tentative="0">
      <w:start w:val="1"/>
      <w:numFmt w:val="decimal"/>
      <w:lvlText w:val="（%2）"/>
      <w:lvlJc w:val="left"/>
      <w:pPr>
        <w:ind w:left="1978" w:hanging="720"/>
      </w:pPr>
      <w:rPr>
        <w:rFonts w:cs="Times New Roman"/>
      </w:rPr>
    </w:lvl>
    <w:lvl w:ilvl="2" w:tentative="0">
      <w:start w:val="1"/>
      <w:numFmt w:val="lowerRoman"/>
      <w:lvlText w:val="%3."/>
      <w:lvlJc w:val="right"/>
      <w:pPr>
        <w:ind w:left="2098" w:hanging="420"/>
      </w:pPr>
    </w:lvl>
    <w:lvl w:ilvl="3" w:tentative="0">
      <w:start w:val="1"/>
      <w:numFmt w:val="decimal"/>
      <w:lvlText w:val="%4."/>
      <w:lvlJc w:val="left"/>
      <w:pPr>
        <w:ind w:left="2518" w:hanging="420"/>
      </w:pPr>
    </w:lvl>
    <w:lvl w:ilvl="4" w:tentative="0">
      <w:start w:val="1"/>
      <w:numFmt w:val="lowerLetter"/>
      <w:lvlText w:val="%5)"/>
      <w:lvlJc w:val="left"/>
      <w:pPr>
        <w:ind w:left="2938" w:hanging="420"/>
      </w:pPr>
    </w:lvl>
    <w:lvl w:ilvl="5" w:tentative="0">
      <w:start w:val="1"/>
      <w:numFmt w:val="lowerRoman"/>
      <w:lvlText w:val="%6."/>
      <w:lvlJc w:val="right"/>
      <w:pPr>
        <w:ind w:left="3358" w:hanging="420"/>
      </w:pPr>
    </w:lvl>
    <w:lvl w:ilvl="6" w:tentative="0">
      <w:start w:val="1"/>
      <w:numFmt w:val="decimal"/>
      <w:lvlText w:val="%7."/>
      <w:lvlJc w:val="left"/>
      <w:pPr>
        <w:ind w:left="3778" w:hanging="420"/>
      </w:pPr>
    </w:lvl>
    <w:lvl w:ilvl="7" w:tentative="0">
      <w:start w:val="1"/>
      <w:numFmt w:val="lowerLetter"/>
      <w:lvlText w:val="%8)"/>
      <w:lvlJc w:val="left"/>
      <w:pPr>
        <w:ind w:left="4198" w:hanging="420"/>
      </w:pPr>
    </w:lvl>
    <w:lvl w:ilvl="8" w:tentative="0">
      <w:start w:val="1"/>
      <w:numFmt w:val="lowerRoman"/>
      <w:lvlText w:val="%9."/>
      <w:lvlJc w:val="right"/>
      <w:pPr>
        <w:ind w:left="4618" w:hanging="420"/>
      </w:pPr>
    </w:lvl>
  </w:abstractNum>
  <w:num w:numId="1">
    <w:abstractNumId w:val="0"/>
  </w:num>
  <w:num w:numId="2">
    <w:abstractNumId w:val="1"/>
  </w:num>
  <w:num w:numId="3">
    <w:abstractNumId w:val="6"/>
  </w:num>
  <w:num w:numId="4">
    <w:abstractNumId w:val="5"/>
  </w:num>
  <w:num w:numId="5">
    <w:abstractNumId w:val="6"/>
    <w:lvlOverride w:ilvl="3">
      <w:startOverride w:val="1"/>
    </w:lvlOverride>
  </w:num>
  <w:num w:numId="6">
    <w:abstractNumId w:val="16"/>
    <w:lvlOverride w:ilvl="0">
      <w:startOverride w:val="1"/>
    </w:lvlOverride>
  </w:num>
  <w:num w:numId="7">
    <w:abstractNumId w:val="8"/>
    <w:lvlOverride w:ilvl="0">
      <w:startOverride w:val="1"/>
    </w:lvlOverride>
  </w:num>
  <w:num w:numId="8">
    <w:abstractNumId w:val="14"/>
    <w:lvlOverride w:ilvl="1">
      <w:startOverride w:val="1"/>
    </w:lvlOverride>
  </w:num>
  <w:num w:numId="9">
    <w:abstractNumId w:val="12"/>
    <w:lvlOverride w:ilvl="1">
      <w:startOverride w:val="1"/>
    </w:lvlOverride>
  </w:num>
  <w:num w:numId="10">
    <w:abstractNumId w:val="4"/>
    <w:lvlOverride w:ilvl="0">
      <w:startOverride w:val="1"/>
    </w:lvlOverride>
  </w:num>
  <w:num w:numId="11">
    <w:abstractNumId w:val="3"/>
  </w:num>
  <w:num w:numId="12">
    <w:abstractNumId w:val="15"/>
  </w:num>
  <w:num w:numId="13">
    <w:abstractNumId w:val="10"/>
  </w:num>
  <w:num w:numId="14">
    <w:abstractNumId w:val="11"/>
  </w:num>
  <w:num w:numId="15">
    <w:abstractNumId w:val="13"/>
  </w:num>
  <w:num w:numId="16">
    <w:abstractNumId w:val="2"/>
  </w:num>
  <w:num w:numId="17">
    <w:abstractNumId w:val="7"/>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dit="readOnly" w:enforcement="0"/>
  <w:defaultTabStop w:val="720"/>
  <w:drawingGridHorizontalSpacing w:val="100"/>
  <w:drawingGridVerticalSpacing w:val="271"/>
  <w:displayHorizontalDrawingGridEvery w:val="1"/>
  <w:displayVerticalDrawingGridEvery w:val="1"/>
  <w:noPunctuationKerning w:val="1"/>
  <w:characterSpacingControl w:val="doNotCompress"/>
  <w:hdrShapeDefaults>
    <o:shapelayout v:ext="edit">
      <o:idmap v:ext="edit" data="1"/>
    </o:shapelayout>
  </w:hdrShapeDefaults>
  <w:compat>
    <w:spaceForUL/>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5ZmRlMDg3Y2FkNjI4YWY3ODgwOTA0OTdiNmU2OGIifQ=="/>
  </w:docVars>
  <w:rsids>
    <w:rsidRoot w:val="000656C7"/>
    <w:rsid w:val="000656C7"/>
    <w:rsid w:val="00160112"/>
    <w:rsid w:val="00233771"/>
    <w:rsid w:val="004B3CF3"/>
    <w:rsid w:val="00691550"/>
    <w:rsid w:val="0069523E"/>
    <w:rsid w:val="008E2C42"/>
    <w:rsid w:val="008E3B92"/>
    <w:rsid w:val="009B4980"/>
    <w:rsid w:val="00A03E08"/>
    <w:rsid w:val="00AB4FF6"/>
    <w:rsid w:val="00AF1FD6"/>
    <w:rsid w:val="00B21622"/>
    <w:rsid w:val="00BA5934"/>
    <w:rsid w:val="00BF27F5"/>
    <w:rsid w:val="00CC4458"/>
    <w:rsid w:val="00DA555A"/>
    <w:rsid w:val="00EF0805"/>
    <w:rsid w:val="00FB508C"/>
    <w:rsid w:val="01661298"/>
    <w:rsid w:val="017C1BBD"/>
    <w:rsid w:val="01977A7F"/>
    <w:rsid w:val="01AE6017"/>
    <w:rsid w:val="01B0306C"/>
    <w:rsid w:val="01B61386"/>
    <w:rsid w:val="01DF1E93"/>
    <w:rsid w:val="02026FB1"/>
    <w:rsid w:val="026A4322"/>
    <w:rsid w:val="028E67CC"/>
    <w:rsid w:val="02E3061C"/>
    <w:rsid w:val="034A2A19"/>
    <w:rsid w:val="03CA233E"/>
    <w:rsid w:val="03D90B54"/>
    <w:rsid w:val="03E3074B"/>
    <w:rsid w:val="04000899"/>
    <w:rsid w:val="04171EA0"/>
    <w:rsid w:val="04272560"/>
    <w:rsid w:val="042D61AA"/>
    <w:rsid w:val="04B25EF5"/>
    <w:rsid w:val="04C70C3A"/>
    <w:rsid w:val="04E23BDB"/>
    <w:rsid w:val="04F237A3"/>
    <w:rsid w:val="05316FBB"/>
    <w:rsid w:val="054B2952"/>
    <w:rsid w:val="055602A6"/>
    <w:rsid w:val="05640CCC"/>
    <w:rsid w:val="05686138"/>
    <w:rsid w:val="05757284"/>
    <w:rsid w:val="05785AF3"/>
    <w:rsid w:val="057F3EE1"/>
    <w:rsid w:val="05B16B2D"/>
    <w:rsid w:val="05DD56C6"/>
    <w:rsid w:val="062C1F95"/>
    <w:rsid w:val="064E4BBA"/>
    <w:rsid w:val="0677382A"/>
    <w:rsid w:val="06BB7366"/>
    <w:rsid w:val="06EF2A30"/>
    <w:rsid w:val="06FE35D3"/>
    <w:rsid w:val="072C2BD3"/>
    <w:rsid w:val="07593D1C"/>
    <w:rsid w:val="07B97F0F"/>
    <w:rsid w:val="07C53F72"/>
    <w:rsid w:val="07D42FBA"/>
    <w:rsid w:val="07EF52C3"/>
    <w:rsid w:val="080729D7"/>
    <w:rsid w:val="082F322E"/>
    <w:rsid w:val="08B4553A"/>
    <w:rsid w:val="08F20539"/>
    <w:rsid w:val="08F8188D"/>
    <w:rsid w:val="09375562"/>
    <w:rsid w:val="09432A65"/>
    <w:rsid w:val="09591EF4"/>
    <w:rsid w:val="09724954"/>
    <w:rsid w:val="099E3F20"/>
    <w:rsid w:val="0A3131ED"/>
    <w:rsid w:val="0A710837"/>
    <w:rsid w:val="0ACD7131"/>
    <w:rsid w:val="0AE34729"/>
    <w:rsid w:val="0AFC130C"/>
    <w:rsid w:val="0BF42085"/>
    <w:rsid w:val="0C1E4153"/>
    <w:rsid w:val="0C2242F5"/>
    <w:rsid w:val="0C3C082B"/>
    <w:rsid w:val="0C6D5657"/>
    <w:rsid w:val="0C774878"/>
    <w:rsid w:val="0C8F2A95"/>
    <w:rsid w:val="0C963C02"/>
    <w:rsid w:val="0CB82F0F"/>
    <w:rsid w:val="0CD45A9E"/>
    <w:rsid w:val="0D1718E9"/>
    <w:rsid w:val="0D427B32"/>
    <w:rsid w:val="0DB932F1"/>
    <w:rsid w:val="0E29085D"/>
    <w:rsid w:val="0E8019E3"/>
    <w:rsid w:val="0E8259CB"/>
    <w:rsid w:val="0E987E21"/>
    <w:rsid w:val="0EF46D40"/>
    <w:rsid w:val="0F041519"/>
    <w:rsid w:val="0F9750E5"/>
    <w:rsid w:val="0FB30BFB"/>
    <w:rsid w:val="0FED660D"/>
    <w:rsid w:val="106F0231"/>
    <w:rsid w:val="10775C25"/>
    <w:rsid w:val="109A336E"/>
    <w:rsid w:val="10C10908"/>
    <w:rsid w:val="10E00F95"/>
    <w:rsid w:val="10FC78A1"/>
    <w:rsid w:val="115D5441"/>
    <w:rsid w:val="118D32D3"/>
    <w:rsid w:val="11A70124"/>
    <w:rsid w:val="11CD7C3E"/>
    <w:rsid w:val="125E6A8A"/>
    <w:rsid w:val="12974EAB"/>
    <w:rsid w:val="12AB219E"/>
    <w:rsid w:val="12C7758E"/>
    <w:rsid w:val="136E02DC"/>
    <w:rsid w:val="1378390A"/>
    <w:rsid w:val="1393618A"/>
    <w:rsid w:val="139501DE"/>
    <w:rsid w:val="13C2034C"/>
    <w:rsid w:val="13D22CDF"/>
    <w:rsid w:val="140A1637"/>
    <w:rsid w:val="141D199A"/>
    <w:rsid w:val="14390210"/>
    <w:rsid w:val="14677EEE"/>
    <w:rsid w:val="14812C7D"/>
    <w:rsid w:val="14997013"/>
    <w:rsid w:val="14A50F86"/>
    <w:rsid w:val="14C062D2"/>
    <w:rsid w:val="14CE68F0"/>
    <w:rsid w:val="15291E57"/>
    <w:rsid w:val="152D7221"/>
    <w:rsid w:val="154468DF"/>
    <w:rsid w:val="154B2BCA"/>
    <w:rsid w:val="1551414D"/>
    <w:rsid w:val="15545D6F"/>
    <w:rsid w:val="1566628E"/>
    <w:rsid w:val="15D25811"/>
    <w:rsid w:val="15F31123"/>
    <w:rsid w:val="15F7295D"/>
    <w:rsid w:val="15F8011F"/>
    <w:rsid w:val="15FA431C"/>
    <w:rsid w:val="15FB75BA"/>
    <w:rsid w:val="162D791D"/>
    <w:rsid w:val="16634658"/>
    <w:rsid w:val="16676AC9"/>
    <w:rsid w:val="166F749A"/>
    <w:rsid w:val="16CA2368"/>
    <w:rsid w:val="171D6307"/>
    <w:rsid w:val="173C6004"/>
    <w:rsid w:val="17465D7B"/>
    <w:rsid w:val="17BE40AC"/>
    <w:rsid w:val="17D22915"/>
    <w:rsid w:val="18095112"/>
    <w:rsid w:val="185C58BA"/>
    <w:rsid w:val="18882C6C"/>
    <w:rsid w:val="18930BB5"/>
    <w:rsid w:val="189F1BE3"/>
    <w:rsid w:val="18C44F21"/>
    <w:rsid w:val="18E222C5"/>
    <w:rsid w:val="1917264E"/>
    <w:rsid w:val="19225D47"/>
    <w:rsid w:val="195E03ED"/>
    <w:rsid w:val="1968527C"/>
    <w:rsid w:val="198C15EA"/>
    <w:rsid w:val="19CB08A4"/>
    <w:rsid w:val="1A0C32C4"/>
    <w:rsid w:val="1A4E20E6"/>
    <w:rsid w:val="1A776856"/>
    <w:rsid w:val="1A8E694B"/>
    <w:rsid w:val="1AAD3FA2"/>
    <w:rsid w:val="1AAF559D"/>
    <w:rsid w:val="1AD60B67"/>
    <w:rsid w:val="1AEA235C"/>
    <w:rsid w:val="1B4F4A78"/>
    <w:rsid w:val="1B643BB0"/>
    <w:rsid w:val="1B8B480A"/>
    <w:rsid w:val="1BC1349B"/>
    <w:rsid w:val="1BD154F2"/>
    <w:rsid w:val="1BD16F82"/>
    <w:rsid w:val="1C466E46"/>
    <w:rsid w:val="1C7B302D"/>
    <w:rsid w:val="1CDE3D87"/>
    <w:rsid w:val="1D170E5D"/>
    <w:rsid w:val="1D6A2573"/>
    <w:rsid w:val="1D7928A7"/>
    <w:rsid w:val="1D947D5B"/>
    <w:rsid w:val="1DAA1CBF"/>
    <w:rsid w:val="1E3C1592"/>
    <w:rsid w:val="1E457B81"/>
    <w:rsid w:val="1EA74B86"/>
    <w:rsid w:val="1EB362B9"/>
    <w:rsid w:val="1F0A5FA0"/>
    <w:rsid w:val="1F847DB0"/>
    <w:rsid w:val="200A2E06"/>
    <w:rsid w:val="200B7A32"/>
    <w:rsid w:val="20803CBA"/>
    <w:rsid w:val="210D5A8E"/>
    <w:rsid w:val="211128E7"/>
    <w:rsid w:val="218A46C0"/>
    <w:rsid w:val="21956F0A"/>
    <w:rsid w:val="21996DD2"/>
    <w:rsid w:val="21B7142C"/>
    <w:rsid w:val="21F3562B"/>
    <w:rsid w:val="220C6DEC"/>
    <w:rsid w:val="221D35AA"/>
    <w:rsid w:val="22392907"/>
    <w:rsid w:val="22490FE4"/>
    <w:rsid w:val="22A8426A"/>
    <w:rsid w:val="23061A42"/>
    <w:rsid w:val="23605376"/>
    <w:rsid w:val="237D778F"/>
    <w:rsid w:val="23934527"/>
    <w:rsid w:val="23D70CF1"/>
    <w:rsid w:val="23FC494F"/>
    <w:rsid w:val="2424041C"/>
    <w:rsid w:val="24465709"/>
    <w:rsid w:val="24625310"/>
    <w:rsid w:val="24A403DD"/>
    <w:rsid w:val="24B2600B"/>
    <w:rsid w:val="24B86734"/>
    <w:rsid w:val="24BA519E"/>
    <w:rsid w:val="24D074CE"/>
    <w:rsid w:val="24F046F9"/>
    <w:rsid w:val="25010383"/>
    <w:rsid w:val="250D017B"/>
    <w:rsid w:val="2523427D"/>
    <w:rsid w:val="25822771"/>
    <w:rsid w:val="25910411"/>
    <w:rsid w:val="25B34965"/>
    <w:rsid w:val="25C24156"/>
    <w:rsid w:val="25E726D9"/>
    <w:rsid w:val="26067196"/>
    <w:rsid w:val="26100D52"/>
    <w:rsid w:val="26252EDF"/>
    <w:rsid w:val="26267E0D"/>
    <w:rsid w:val="26384131"/>
    <w:rsid w:val="26843AD9"/>
    <w:rsid w:val="26893CB9"/>
    <w:rsid w:val="26C65AAA"/>
    <w:rsid w:val="27290461"/>
    <w:rsid w:val="27413D21"/>
    <w:rsid w:val="27524284"/>
    <w:rsid w:val="275A0F27"/>
    <w:rsid w:val="278F1442"/>
    <w:rsid w:val="27DE4B30"/>
    <w:rsid w:val="284B03E1"/>
    <w:rsid w:val="292F4E93"/>
    <w:rsid w:val="29486497"/>
    <w:rsid w:val="2998799A"/>
    <w:rsid w:val="29FE12AF"/>
    <w:rsid w:val="2A0310EA"/>
    <w:rsid w:val="2A5D64C0"/>
    <w:rsid w:val="2A942545"/>
    <w:rsid w:val="2AAD64BF"/>
    <w:rsid w:val="2AB15611"/>
    <w:rsid w:val="2ADC4C67"/>
    <w:rsid w:val="2B076B0E"/>
    <w:rsid w:val="2B7B5B3F"/>
    <w:rsid w:val="2B7C1517"/>
    <w:rsid w:val="2BB71EC2"/>
    <w:rsid w:val="2BB959C0"/>
    <w:rsid w:val="2BF37E64"/>
    <w:rsid w:val="2C084B84"/>
    <w:rsid w:val="2C1E3307"/>
    <w:rsid w:val="2C44612B"/>
    <w:rsid w:val="2C8F6204"/>
    <w:rsid w:val="2C9D7964"/>
    <w:rsid w:val="2CB00759"/>
    <w:rsid w:val="2CF4769B"/>
    <w:rsid w:val="2D1032D4"/>
    <w:rsid w:val="2D28658A"/>
    <w:rsid w:val="2D456457"/>
    <w:rsid w:val="2D9F3C58"/>
    <w:rsid w:val="2DF84FA9"/>
    <w:rsid w:val="2E0518FD"/>
    <w:rsid w:val="2E297901"/>
    <w:rsid w:val="2E36027B"/>
    <w:rsid w:val="2E6B604E"/>
    <w:rsid w:val="2E8959E5"/>
    <w:rsid w:val="2ECB3EFD"/>
    <w:rsid w:val="2EEB7C5D"/>
    <w:rsid w:val="2FC37951"/>
    <w:rsid w:val="2FF214AA"/>
    <w:rsid w:val="2FF43089"/>
    <w:rsid w:val="304B6125"/>
    <w:rsid w:val="30CB2D6D"/>
    <w:rsid w:val="30D52765"/>
    <w:rsid w:val="310529FA"/>
    <w:rsid w:val="310D6708"/>
    <w:rsid w:val="31416E03"/>
    <w:rsid w:val="314F4091"/>
    <w:rsid w:val="31516DF8"/>
    <w:rsid w:val="316B6CD3"/>
    <w:rsid w:val="31966FF6"/>
    <w:rsid w:val="31A612D6"/>
    <w:rsid w:val="31A7441D"/>
    <w:rsid w:val="31BB6D08"/>
    <w:rsid w:val="31C755E0"/>
    <w:rsid w:val="31D506AE"/>
    <w:rsid w:val="31F8468B"/>
    <w:rsid w:val="328952D1"/>
    <w:rsid w:val="32B91AE0"/>
    <w:rsid w:val="331F2BFC"/>
    <w:rsid w:val="33533E0C"/>
    <w:rsid w:val="340C12B1"/>
    <w:rsid w:val="340F767B"/>
    <w:rsid w:val="346A63B5"/>
    <w:rsid w:val="348A433A"/>
    <w:rsid w:val="34A45A92"/>
    <w:rsid w:val="34D039DC"/>
    <w:rsid w:val="34F321F6"/>
    <w:rsid w:val="34F64C93"/>
    <w:rsid w:val="350F2456"/>
    <w:rsid w:val="353C344F"/>
    <w:rsid w:val="356C6BC4"/>
    <w:rsid w:val="3596451F"/>
    <w:rsid w:val="359B7F5D"/>
    <w:rsid w:val="35CD04BD"/>
    <w:rsid w:val="369373CC"/>
    <w:rsid w:val="369A1286"/>
    <w:rsid w:val="36A95170"/>
    <w:rsid w:val="36B76777"/>
    <w:rsid w:val="371F7454"/>
    <w:rsid w:val="37B54F13"/>
    <w:rsid w:val="37F0329D"/>
    <w:rsid w:val="38300DD4"/>
    <w:rsid w:val="38473B77"/>
    <w:rsid w:val="38774232"/>
    <w:rsid w:val="38E64B9A"/>
    <w:rsid w:val="38FA1BEF"/>
    <w:rsid w:val="393C1D5F"/>
    <w:rsid w:val="397D4C19"/>
    <w:rsid w:val="39AF25D8"/>
    <w:rsid w:val="39D404CE"/>
    <w:rsid w:val="39E1590C"/>
    <w:rsid w:val="39E72FFE"/>
    <w:rsid w:val="3A1E6540"/>
    <w:rsid w:val="3A4A5EEB"/>
    <w:rsid w:val="3A7B116F"/>
    <w:rsid w:val="3A9240F7"/>
    <w:rsid w:val="3ABE7C14"/>
    <w:rsid w:val="3B2F4D62"/>
    <w:rsid w:val="3B3B78E7"/>
    <w:rsid w:val="3B3F440E"/>
    <w:rsid w:val="3B48680D"/>
    <w:rsid w:val="3B4872C2"/>
    <w:rsid w:val="3B5977F6"/>
    <w:rsid w:val="3B597C08"/>
    <w:rsid w:val="3B874433"/>
    <w:rsid w:val="3B912E25"/>
    <w:rsid w:val="3BF2123F"/>
    <w:rsid w:val="3C222D8B"/>
    <w:rsid w:val="3C2B7448"/>
    <w:rsid w:val="3C437143"/>
    <w:rsid w:val="3CB00F10"/>
    <w:rsid w:val="3CB45AE0"/>
    <w:rsid w:val="3D100E29"/>
    <w:rsid w:val="3D31144A"/>
    <w:rsid w:val="3D6076EB"/>
    <w:rsid w:val="3D6E6C9A"/>
    <w:rsid w:val="3D8E56DE"/>
    <w:rsid w:val="3DC02CE6"/>
    <w:rsid w:val="3DE35556"/>
    <w:rsid w:val="3DF80E8D"/>
    <w:rsid w:val="3E897251"/>
    <w:rsid w:val="3E9944DC"/>
    <w:rsid w:val="3EB36B04"/>
    <w:rsid w:val="3ED71417"/>
    <w:rsid w:val="3F663C97"/>
    <w:rsid w:val="3FB4435E"/>
    <w:rsid w:val="3FCE1422"/>
    <w:rsid w:val="3FD76D2D"/>
    <w:rsid w:val="3FE4347F"/>
    <w:rsid w:val="3FEC4E01"/>
    <w:rsid w:val="400D777E"/>
    <w:rsid w:val="401A2555"/>
    <w:rsid w:val="40351EDE"/>
    <w:rsid w:val="404E37EC"/>
    <w:rsid w:val="40C573F8"/>
    <w:rsid w:val="40CE6FDE"/>
    <w:rsid w:val="40DC7213"/>
    <w:rsid w:val="40E87E13"/>
    <w:rsid w:val="42192EF7"/>
    <w:rsid w:val="427E60EF"/>
    <w:rsid w:val="429C0DC4"/>
    <w:rsid w:val="42BD3152"/>
    <w:rsid w:val="42C203DF"/>
    <w:rsid w:val="42EF025B"/>
    <w:rsid w:val="42FD536C"/>
    <w:rsid w:val="430077BB"/>
    <w:rsid w:val="43010022"/>
    <w:rsid w:val="431B6A38"/>
    <w:rsid w:val="43613001"/>
    <w:rsid w:val="43737B1E"/>
    <w:rsid w:val="439773A1"/>
    <w:rsid w:val="43F576F1"/>
    <w:rsid w:val="444D55F9"/>
    <w:rsid w:val="44533863"/>
    <w:rsid w:val="44632E55"/>
    <w:rsid w:val="44855AE9"/>
    <w:rsid w:val="44911BAD"/>
    <w:rsid w:val="44A537D4"/>
    <w:rsid w:val="44D5267E"/>
    <w:rsid w:val="45010AE4"/>
    <w:rsid w:val="45185A1F"/>
    <w:rsid w:val="45457C86"/>
    <w:rsid w:val="454C41BB"/>
    <w:rsid w:val="45AB376A"/>
    <w:rsid w:val="461D5DAA"/>
    <w:rsid w:val="46233184"/>
    <w:rsid w:val="468C52CF"/>
    <w:rsid w:val="469046E8"/>
    <w:rsid w:val="47377130"/>
    <w:rsid w:val="473A3923"/>
    <w:rsid w:val="47801086"/>
    <w:rsid w:val="4798607D"/>
    <w:rsid w:val="47B26C32"/>
    <w:rsid w:val="48003186"/>
    <w:rsid w:val="480C0255"/>
    <w:rsid w:val="4819722E"/>
    <w:rsid w:val="48E74BAF"/>
    <w:rsid w:val="48F87203"/>
    <w:rsid w:val="492A4134"/>
    <w:rsid w:val="494015D1"/>
    <w:rsid w:val="49426706"/>
    <w:rsid w:val="49581E5A"/>
    <w:rsid w:val="498339E3"/>
    <w:rsid w:val="4A2C0CF1"/>
    <w:rsid w:val="4A51311A"/>
    <w:rsid w:val="4AB53740"/>
    <w:rsid w:val="4AD260E9"/>
    <w:rsid w:val="4ADC7DC2"/>
    <w:rsid w:val="4B014CD4"/>
    <w:rsid w:val="4B415A95"/>
    <w:rsid w:val="4B8638B4"/>
    <w:rsid w:val="4B9B71DE"/>
    <w:rsid w:val="4B9F339D"/>
    <w:rsid w:val="4BA4648C"/>
    <w:rsid w:val="4BD83CE9"/>
    <w:rsid w:val="4BED2AD9"/>
    <w:rsid w:val="4BF900F0"/>
    <w:rsid w:val="4C0C0625"/>
    <w:rsid w:val="4C56619C"/>
    <w:rsid w:val="4C9518ED"/>
    <w:rsid w:val="4CDA7838"/>
    <w:rsid w:val="4CDC2F1E"/>
    <w:rsid w:val="4D6F5C28"/>
    <w:rsid w:val="4D860284"/>
    <w:rsid w:val="4D877018"/>
    <w:rsid w:val="4D93222B"/>
    <w:rsid w:val="4DA00084"/>
    <w:rsid w:val="4DE03978"/>
    <w:rsid w:val="4E206D87"/>
    <w:rsid w:val="4E353987"/>
    <w:rsid w:val="4E3E6803"/>
    <w:rsid w:val="4E7E02BF"/>
    <w:rsid w:val="4EB4458B"/>
    <w:rsid w:val="4EC43A0E"/>
    <w:rsid w:val="4EE319B6"/>
    <w:rsid w:val="4F5452ED"/>
    <w:rsid w:val="4FBB7360"/>
    <w:rsid w:val="4FCD7FDD"/>
    <w:rsid w:val="50050479"/>
    <w:rsid w:val="50171560"/>
    <w:rsid w:val="501848E2"/>
    <w:rsid w:val="50736A37"/>
    <w:rsid w:val="50D3271B"/>
    <w:rsid w:val="51034713"/>
    <w:rsid w:val="51687EA0"/>
    <w:rsid w:val="51836D7B"/>
    <w:rsid w:val="51D83EA5"/>
    <w:rsid w:val="51DC57EE"/>
    <w:rsid w:val="51E4094F"/>
    <w:rsid w:val="51E86F4B"/>
    <w:rsid w:val="51FD5006"/>
    <w:rsid w:val="52075A8D"/>
    <w:rsid w:val="522369BC"/>
    <w:rsid w:val="523547DB"/>
    <w:rsid w:val="52473D1D"/>
    <w:rsid w:val="52843C9E"/>
    <w:rsid w:val="52C41FA9"/>
    <w:rsid w:val="52CB46B8"/>
    <w:rsid w:val="53506854"/>
    <w:rsid w:val="536F4EB5"/>
    <w:rsid w:val="53787653"/>
    <w:rsid w:val="53920D1A"/>
    <w:rsid w:val="53BD692C"/>
    <w:rsid w:val="53D66B33"/>
    <w:rsid w:val="53DC6054"/>
    <w:rsid w:val="53E97303"/>
    <w:rsid w:val="5430237F"/>
    <w:rsid w:val="54705ED0"/>
    <w:rsid w:val="54A16ECF"/>
    <w:rsid w:val="554B1BFA"/>
    <w:rsid w:val="55524980"/>
    <w:rsid w:val="5556113E"/>
    <w:rsid w:val="55924B91"/>
    <w:rsid w:val="55E669D5"/>
    <w:rsid w:val="56277A22"/>
    <w:rsid w:val="566B7360"/>
    <w:rsid w:val="567D7AB9"/>
    <w:rsid w:val="568606C4"/>
    <w:rsid w:val="56913B21"/>
    <w:rsid w:val="56B70F76"/>
    <w:rsid w:val="56F26206"/>
    <w:rsid w:val="56F56192"/>
    <w:rsid w:val="57960381"/>
    <w:rsid w:val="57A817E1"/>
    <w:rsid w:val="57AB60AD"/>
    <w:rsid w:val="5844617D"/>
    <w:rsid w:val="587404E9"/>
    <w:rsid w:val="59286A20"/>
    <w:rsid w:val="593762DE"/>
    <w:rsid w:val="599B0E9A"/>
    <w:rsid w:val="59A72AB3"/>
    <w:rsid w:val="59CA18F7"/>
    <w:rsid w:val="59E6237F"/>
    <w:rsid w:val="5A083AAC"/>
    <w:rsid w:val="5A0E24E4"/>
    <w:rsid w:val="5A2E2CDE"/>
    <w:rsid w:val="5A340B0D"/>
    <w:rsid w:val="5A691891"/>
    <w:rsid w:val="5AAA708E"/>
    <w:rsid w:val="5ACB7A99"/>
    <w:rsid w:val="5AFF1545"/>
    <w:rsid w:val="5B4C151A"/>
    <w:rsid w:val="5B607DBD"/>
    <w:rsid w:val="5BB5269B"/>
    <w:rsid w:val="5C1E562C"/>
    <w:rsid w:val="5C396D60"/>
    <w:rsid w:val="5C4E4CAF"/>
    <w:rsid w:val="5CB31CE4"/>
    <w:rsid w:val="5CB54C16"/>
    <w:rsid w:val="5CE1691B"/>
    <w:rsid w:val="5CE76D35"/>
    <w:rsid w:val="5D1877F1"/>
    <w:rsid w:val="5D1C300C"/>
    <w:rsid w:val="5D1F197B"/>
    <w:rsid w:val="5D671C68"/>
    <w:rsid w:val="5D6B7055"/>
    <w:rsid w:val="5D872FE5"/>
    <w:rsid w:val="5D8A7FE9"/>
    <w:rsid w:val="5DD27A66"/>
    <w:rsid w:val="5DD37839"/>
    <w:rsid w:val="5DD6329B"/>
    <w:rsid w:val="5E307ADD"/>
    <w:rsid w:val="5EEB04E3"/>
    <w:rsid w:val="5F17297E"/>
    <w:rsid w:val="5F2112E7"/>
    <w:rsid w:val="5F2F62C5"/>
    <w:rsid w:val="5F412F33"/>
    <w:rsid w:val="5F657915"/>
    <w:rsid w:val="5FEB2462"/>
    <w:rsid w:val="5FEE4A25"/>
    <w:rsid w:val="6036652E"/>
    <w:rsid w:val="60C83A6B"/>
    <w:rsid w:val="61115A81"/>
    <w:rsid w:val="61203C74"/>
    <w:rsid w:val="61B20A1A"/>
    <w:rsid w:val="61E26605"/>
    <w:rsid w:val="62043692"/>
    <w:rsid w:val="62073D3F"/>
    <w:rsid w:val="621E0693"/>
    <w:rsid w:val="624C19CF"/>
    <w:rsid w:val="62742810"/>
    <w:rsid w:val="62F4251F"/>
    <w:rsid w:val="62F5664F"/>
    <w:rsid w:val="62FB4A67"/>
    <w:rsid w:val="630A625B"/>
    <w:rsid w:val="631042C4"/>
    <w:rsid w:val="636149B3"/>
    <w:rsid w:val="63841A86"/>
    <w:rsid w:val="6390531B"/>
    <w:rsid w:val="63BC00B9"/>
    <w:rsid w:val="63C113E2"/>
    <w:rsid w:val="63C76B44"/>
    <w:rsid w:val="63D15561"/>
    <w:rsid w:val="64046DFA"/>
    <w:rsid w:val="640B7A80"/>
    <w:rsid w:val="642B496E"/>
    <w:rsid w:val="644B75B7"/>
    <w:rsid w:val="64795169"/>
    <w:rsid w:val="649F0DD4"/>
    <w:rsid w:val="64FA58E9"/>
    <w:rsid w:val="65196159"/>
    <w:rsid w:val="656045E0"/>
    <w:rsid w:val="658D2E9C"/>
    <w:rsid w:val="65981954"/>
    <w:rsid w:val="6598460B"/>
    <w:rsid w:val="65D92565"/>
    <w:rsid w:val="66526620"/>
    <w:rsid w:val="666C6E5E"/>
    <w:rsid w:val="66BF26E9"/>
    <w:rsid w:val="66C80F4E"/>
    <w:rsid w:val="66EC1B6A"/>
    <w:rsid w:val="66F20B62"/>
    <w:rsid w:val="67002BB9"/>
    <w:rsid w:val="671D0F01"/>
    <w:rsid w:val="67804DBF"/>
    <w:rsid w:val="67901BEA"/>
    <w:rsid w:val="67D006B8"/>
    <w:rsid w:val="67D37144"/>
    <w:rsid w:val="681C0937"/>
    <w:rsid w:val="683E3590"/>
    <w:rsid w:val="68931903"/>
    <w:rsid w:val="689B7C4F"/>
    <w:rsid w:val="689F2BCA"/>
    <w:rsid w:val="68B65076"/>
    <w:rsid w:val="68C92C78"/>
    <w:rsid w:val="690A341E"/>
    <w:rsid w:val="69230539"/>
    <w:rsid w:val="69320E19"/>
    <w:rsid w:val="69545289"/>
    <w:rsid w:val="6968059C"/>
    <w:rsid w:val="69A662D1"/>
    <w:rsid w:val="69B83C2A"/>
    <w:rsid w:val="69F925DF"/>
    <w:rsid w:val="6A184A3D"/>
    <w:rsid w:val="6AA72F5C"/>
    <w:rsid w:val="6ABA65C3"/>
    <w:rsid w:val="6AC43A82"/>
    <w:rsid w:val="6AE21D43"/>
    <w:rsid w:val="6B187C11"/>
    <w:rsid w:val="6B1A113D"/>
    <w:rsid w:val="6B1D1292"/>
    <w:rsid w:val="6BF956E0"/>
    <w:rsid w:val="6C002788"/>
    <w:rsid w:val="6C5073DF"/>
    <w:rsid w:val="6C5A02D9"/>
    <w:rsid w:val="6CB203E5"/>
    <w:rsid w:val="6D003938"/>
    <w:rsid w:val="6D0903CC"/>
    <w:rsid w:val="6D937B5B"/>
    <w:rsid w:val="6DB63B2A"/>
    <w:rsid w:val="6DBA5C6B"/>
    <w:rsid w:val="6DBA7C50"/>
    <w:rsid w:val="6DC17D90"/>
    <w:rsid w:val="6DD06F95"/>
    <w:rsid w:val="6DFD798C"/>
    <w:rsid w:val="6E0632CB"/>
    <w:rsid w:val="6E163C50"/>
    <w:rsid w:val="6E5C2037"/>
    <w:rsid w:val="6E697C90"/>
    <w:rsid w:val="6E6D3EA0"/>
    <w:rsid w:val="6E991E11"/>
    <w:rsid w:val="6EEF44C0"/>
    <w:rsid w:val="6EF06C9C"/>
    <w:rsid w:val="6F0178C0"/>
    <w:rsid w:val="6F253B14"/>
    <w:rsid w:val="6F3C7024"/>
    <w:rsid w:val="6F5E3A5E"/>
    <w:rsid w:val="6F791441"/>
    <w:rsid w:val="6F7C02C4"/>
    <w:rsid w:val="6F855BCC"/>
    <w:rsid w:val="6FA57984"/>
    <w:rsid w:val="6FB32F11"/>
    <w:rsid w:val="6FC0148C"/>
    <w:rsid w:val="6FCF099E"/>
    <w:rsid w:val="6FDF07C2"/>
    <w:rsid w:val="6FF16F1E"/>
    <w:rsid w:val="70002A4B"/>
    <w:rsid w:val="702A6812"/>
    <w:rsid w:val="705E4AC7"/>
    <w:rsid w:val="71210AED"/>
    <w:rsid w:val="715435A1"/>
    <w:rsid w:val="718D080F"/>
    <w:rsid w:val="718E63F7"/>
    <w:rsid w:val="71B03EB2"/>
    <w:rsid w:val="72254C01"/>
    <w:rsid w:val="7275241E"/>
    <w:rsid w:val="72A005D2"/>
    <w:rsid w:val="72C86434"/>
    <w:rsid w:val="72D96D3E"/>
    <w:rsid w:val="72E97369"/>
    <w:rsid w:val="72EC3029"/>
    <w:rsid w:val="73235F4F"/>
    <w:rsid w:val="73856713"/>
    <w:rsid w:val="74704C22"/>
    <w:rsid w:val="74B7675E"/>
    <w:rsid w:val="750E0CC8"/>
    <w:rsid w:val="755736CC"/>
    <w:rsid w:val="75606812"/>
    <w:rsid w:val="757D3866"/>
    <w:rsid w:val="75C0732A"/>
    <w:rsid w:val="75CD1904"/>
    <w:rsid w:val="75CE0A00"/>
    <w:rsid w:val="762F2022"/>
    <w:rsid w:val="763720E2"/>
    <w:rsid w:val="763F6BD4"/>
    <w:rsid w:val="76905BC0"/>
    <w:rsid w:val="76BD1996"/>
    <w:rsid w:val="76D65F05"/>
    <w:rsid w:val="7734085C"/>
    <w:rsid w:val="779074AE"/>
    <w:rsid w:val="779B6206"/>
    <w:rsid w:val="77B71084"/>
    <w:rsid w:val="77E0539B"/>
    <w:rsid w:val="77F05D07"/>
    <w:rsid w:val="77F45FD3"/>
    <w:rsid w:val="77F644DB"/>
    <w:rsid w:val="78F67BE4"/>
    <w:rsid w:val="793E29C7"/>
    <w:rsid w:val="796027FE"/>
    <w:rsid w:val="79863623"/>
    <w:rsid w:val="79A7513B"/>
    <w:rsid w:val="79A91F2D"/>
    <w:rsid w:val="79AB7992"/>
    <w:rsid w:val="79DE41B1"/>
    <w:rsid w:val="7A0C047A"/>
    <w:rsid w:val="7A32365C"/>
    <w:rsid w:val="7A4D47FB"/>
    <w:rsid w:val="7A594A34"/>
    <w:rsid w:val="7A5B39F2"/>
    <w:rsid w:val="7A5E0D40"/>
    <w:rsid w:val="7A7B10A5"/>
    <w:rsid w:val="7A827938"/>
    <w:rsid w:val="7A8B7A69"/>
    <w:rsid w:val="7AC44CE1"/>
    <w:rsid w:val="7AE615E2"/>
    <w:rsid w:val="7AE6470C"/>
    <w:rsid w:val="7B0E644C"/>
    <w:rsid w:val="7B387D3A"/>
    <w:rsid w:val="7B390640"/>
    <w:rsid w:val="7B3B5632"/>
    <w:rsid w:val="7B8926F3"/>
    <w:rsid w:val="7BB05A5D"/>
    <w:rsid w:val="7BB1420A"/>
    <w:rsid w:val="7BC260B5"/>
    <w:rsid w:val="7C1942AB"/>
    <w:rsid w:val="7C1969AA"/>
    <w:rsid w:val="7C50132B"/>
    <w:rsid w:val="7D2C0620"/>
    <w:rsid w:val="7D590EF3"/>
    <w:rsid w:val="7D6C579B"/>
    <w:rsid w:val="7D85009F"/>
    <w:rsid w:val="7D892263"/>
    <w:rsid w:val="7DBE1C53"/>
    <w:rsid w:val="7DE67B3E"/>
    <w:rsid w:val="7DEE13B1"/>
    <w:rsid w:val="7E6B7FDD"/>
    <w:rsid w:val="7E730A33"/>
    <w:rsid w:val="7E8B203A"/>
    <w:rsid w:val="7EC508BA"/>
    <w:rsid w:val="7EDD1B36"/>
    <w:rsid w:val="7F0367E6"/>
    <w:rsid w:val="7F1433F1"/>
    <w:rsid w:val="7F440DFC"/>
    <w:rsid w:val="7F490CDE"/>
    <w:rsid w:val="7F9C38BB"/>
    <w:rsid w:val="7FBC01A8"/>
    <w:rsid w:val="7FD84619"/>
    <w:rsid w:val="7FF028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lang w:val="en-US" w:eastAsia="zh-CN" w:bidi="ar-SA"/>
    </w:rPr>
  </w:style>
  <w:style w:type="paragraph" w:styleId="4">
    <w:name w:val="heading 1"/>
    <w:basedOn w:val="1"/>
    <w:next w:val="1"/>
    <w:qFormat/>
    <w:uiPriority w:val="0"/>
    <w:pPr>
      <w:keepNext/>
      <w:widowControl w:val="0"/>
      <w:autoSpaceDE w:val="0"/>
      <w:autoSpaceDN w:val="0"/>
      <w:adjustRightInd w:val="0"/>
      <w:spacing w:line="440" w:lineRule="exact"/>
      <w:outlineLvl w:val="0"/>
    </w:pPr>
    <w:rPr>
      <w:rFonts w:ascii="宋体"/>
      <w:b/>
      <w:sz w:val="28"/>
    </w:rPr>
  </w:style>
  <w:style w:type="paragraph" w:styleId="5">
    <w:name w:val="heading 2"/>
    <w:basedOn w:val="1"/>
    <w:next w:val="1"/>
    <w:link w:val="66"/>
    <w:qFormat/>
    <w:uiPriority w:val="0"/>
    <w:pPr>
      <w:keepNext/>
      <w:keepLines/>
      <w:spacing w:before="260" w:after="260" w:line="415" w:lineRule="auto"/>
      <w:outlineLvl w:val="1"/>
    </w:pPr>
    <w:rPr>
      <w:rFonts w:ascii="Cambria" w:hAnsi="Cambria"/>
      <w:b/>
      <w:bCs/>
      <w:sz w:val="32"/>
      <w:szCs w:val="32"/>
    </w:rPr>
  </w:style>
  <w:style w:type="paragraph" w:styleId="6">
    <w:name w:val="heading 3"/>
    <w:basedOn w:val="1"/>
    <w:next w:val="1"/>
    <w:link w:val="163"/>
    <w:qFormat/>
    <w:uiPriority w:val="0"/>
    <w:pPr>
      <w:keepNext/>
      <w:keepLines/>
      <w:spacing w:before="260" w:after="260" w:line="415" w:lineRule="auto"/>
      <w:outlineLvl w:val="2"/>
    </w:pPr>
    <w:rPr>
      <w:b/>
      <w:bCs/>
      <w:sz w:val="32"/>
      <w:szCs w:val="32"/>
    </w:rPr>
  </w:style>
  <w:style w:type="paragraph" w:styleId="7">
    <w:name w:val="heading 4"/>
    <w:basedOn w:val="1"/>
    <w:next w:val="8"/>
    <w:qFormat/>
    <w:uiPriority w:val="0"/>
    <w:pPr>
      <w:keepNext/>
      <w:keepLines/>
      <w:widowControl w:val="0"/>
      <w:spacing w:before="120" w:after="120" w:line="480" w:lineRule="exact"/>
      <w:outlineLvl w:val="3"/>
    </w:pPr>
    <w:rPr>
      <w:rFonts w:eastAsia="仿宋_GB2312"/>
      <w:kern w:val="2"/>
      <w:sz w:val="24"/>
    </w:rPr>
  </w:style>
  <w:style w:type="paragraph" w:styleId="9">
    <w:name w:val="heading 5"/>
    <w:basedOn w:val="1"/>
    <w:next w:val="1"/>
    <w:qFormat/>
    <w:uiPriority w:val="0"/>
    <w:pPr>
      <w:keepNext/>
      <w:keepLines/>
      <w:spacing w:before="280" w:after="290" w:line="377" w:lineRule="auto"/>
      <w:outlineLvl w:val="4"/>
    </w:pPr>
    <w:rPr>
      <w:b/>
      <w:bCs/>
      <w:sz w:val="28"/>
      <w:szCs w:val="28"/>
    </w:rPr>
  </w:style>
  <w:style w:type="paragraph" w:styleId="10">
    <w:name w:val="heading 6"/>
    <w:basedOn w:val="1"/>
    <w:next w:val="1"/>
    <w:link w:val="153"/>
    <w:qFormat/>
    <w:uiPriority w:val="0"/>
    <w:pPr>
      <w:keepNext/>
      <w:keepLines/>
      <w:widowControl w:val="0"/>
      <w:numPr>
        <w:ilvl w:val="5"/>
        <w:numId w:val="1"/>
      </w:numPr>
      <w:tabs>
        <w:tab w:val="left" w:pos="2040"/>
      </w:tabs>
      <w:adjustRightInd w:val="0"/>
      <w:spacing w:before="240" w:after="64" w:line="320" w:lineRule="atLeast"/>
      <w:textAlignment w:val="baseline"/>
      <w:outlineLvl w:val="5"/>
    </w:pPr>
    <w:rPr>
      <w:rFonts w:ascii="Arial" w:hAnsi="Arial" w:eastAsia="黑体"/>
      <w:spacing w:val="20"/>
      <w:sz w:val="24"/>
    </w:rPr>
  </w:style>
  <w:style w:type="paragraph" w:styleId="11">
    <w:name w:val="heading 7"/>
    <w:basedOn w:val="1"/>
    <w:next w:val="1"/>
    <w:link w:val="154"/>
    <w:qFormat/>
    <w:uiPriority w:val="0"/>
    <w:pPr>
      <w:keepNext/>
      <w:keepLines/>
      <w:widowControl w:val="0"/>
      <w:numPr>
        <w:ilvl w:val="6"/>
        <w:numId w:val="1"/>
      </w:numPr>
      <w:tabs>
        <w:tab w:val="left" w:pos="2040"/>
      </w:tabs>
      <w:adjustRightInd w:val="0"/>
      <w:spacing w:before="240" w:after="64" w:line="320" w:lineRule="atLeast"/>
      <w:textAlignment w:val="baseline"/>
      <w:outlineLvl w:val="6"/>
    </w:pPr>
    <w:rPr>
      <w:spacing w:val="20"/>
      <w:sz w:val="24"/>
    </w:rPr>
  </w:style>
  <w:style w:type="paragraph" w:styleId="12">
    <w:name w:val="heading 8"/>
    <w:basedOn w:val="1"/>
    <w:next w:val="1"/>
    <w:link w:val="155"/>
    <w:qFormat/>
    <w:uiPriority w:val="0"/>
    <w:pPr>
      <w:keepNext/>
      <w:keepLines/>
      <w:widowControl w:val="0"/>
      <w:numPr>
        <w:ilvl w:val="7"/>
        <w:numId w:val="1"/>
      </w:numPr>
      <w:tabs>
        <w:tab w:val="left" w:pos="2040"/>
      </w:tabs>
      <w:adjustRightInd w:val="0"/>
      <w:spacing w:before="240" w:after="64" w:line="320" w:lineRule="atLeast"/>
      <w:textAlignment w:val="baseline"/>
      <w:outlineLvl w:val="7"/>
    </w:pPr>
    <w:rPr>
      <w:rFonts w:ascii="Arial" w:hAnsi="Arial" w:eastAsia="黑体"/>
      <w:spacing w:val="20"/>
      <w:sz w:val="24"/>
    </w:rPr>
  </w:style>
  <w:style w:type="paragraph" w:styleId="13">
    <w:name w:val="heading 9"/>
    <w:basedOn w:val="1"/>
    <w:next w:val="1"/>
    <w:link w:val="156"/>
    <w:qFormat/>
    <w:uiPriority w:val="0"/>
    <w:pPr>
      <w:keepNext/>
      <w:keepLines/>
      <w:widowControl w:val="0"/>
      <w:numPr>
        <w:ilvl w:val="8"/>
        <w:numId w:val="1"/>
      </w:numPr>
      <w:tabs>
        <w:tab w:val="left" w:pos="2040"/>
      </w:tabs>
      <w:adjustRightInd w:val="0"/>
      <w:spacing w:before="240" w:after="64" w:line="320" w:lineRule="atLeast"/>
      <w:textAlignment w:val="baseline"/>
      <w:outlineLvl w:val="8"/>
    </w:pPr>
    <w:rPr>
      <w:rFonts w:ascii="Arial" w:hAnsi="Arial" w:eastAsia="黑体"/>
      <w:spacing w:val="20"/>
      <w:sz w:val="24"/>
    </w:rPr>
  </w:style>
  <w:style w:type="character" w:default="1" w:styleId="52">
    <w:name w:val="Default Paragraph Font"/>
    <w:link w:val="53"/>
    <w:semiHidden/>
    <w:unhideWhenUsed/>
    <w:qFormat/>
    <w:uiPriority w:val="1"/>
    <w:rPr>
      <w:rFonts w:ascii="宋体" w:hAnsi="宋体" w:cs="宋体"/>
      <w:kern w:val="2"/>
      <w:sz w:val="24"/>
      <w:szCs w:val="24"/>
    </w:rPr>
  </w:style>
  <w:style w:type="table" w:default="1" w:styleId="5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3"/>
    <w:qFormat/>
    <w:uiPriority w:val="0"/>
    <w:pPr>
      <w:widowControl w:val="0"/>
      <w:autoSpaceDE w:val="0"/>
      <w:autoSpaceDN w:val="0"/>
      <w:adjustRightInd w:val="0"/>
      <w:jc w:val="both"/>
    </w:pPr>
    <w:rPr>
      <w:b/>
      <w:sz w:val="21"/>
    </w:rPr>
  </w:style>
  <w:style w:type="paragraph" w:customStyle="1" w:styleId="3">
    <w:name w:val="_Style 2"/>
    <w:next w:val="1"/>
    <w:qFormat/>
    <w:uiPriority w:val="1"/>
    <w:rPr>
      <w:rFonts w:ascii="Times New Roman" w:hAnsi="Times New Roman" w:eastAsia="宋体" w:cs="Times New Roman"/>
      <w:kern w:val="0"/>
      <w:sz w:val="22"/>
      <w:szCs w:val="22"/>
      <w:lang w:val="en-US" w:eastAsia="zh-CN" w:bidi="ar-SA"/>
    </w:rPr>
  </w:style>
  <w:style w:type="paragraph" w:styleId="8">
    <w:name w:val="Normal Indent"/>
    <w:basedOn w:val="1"/>
    <w:next w:val="1"/>
    <w:qFormat/>
    <w:uiPriority w:val="0"/>
    <w:pPr>
      <w:widowControl w:val="0"/>
      <w:ind w:firstLine="420"/>
      <w:jc w:val="both"/>
    </w:pPr>
    <w:rPr>
      <w:kern w:val="2"/>
      <w:sz w:val="21"/>
      <w:szCs w:val="24"/>
    </w:rPr>
  </w:style>
  <w:style w:type="paragraph" w:styleId="14">
    <w:name w:val="toc 7"/>
    <w:basedOn w:val="1"/>
    <w:next w:val="1"/>
    <w:qFormat/>
    <w:uiPriority w:val="0"/>
    <w:pPr>
      <w:ind w:left="1200"/>
    </w:pPr>
    <w:rPr>
      <w:rFonts w:ascii="Calibri" w:hAnsi="Calibri" w:cs="Calibri"/>
      <w:sz w:val="18"/>
      <w:szCs w:val="18"/>
    </w:rPr>
  </w:style>
  <w:style w:type="paragraph" w:styleId="15">
    <w:name w:val="table of authorities"/>
    <w:basedOn w:val="1"/>
    <w:next w:val="1"/>
    <w:semiHidden/>
    <w:unhideWhenUsed/>
    <w:qFormat/>
    <w:uiPriority w:val="99"/>
    <w:pPr>
      <w:ind w:left="420" w:leftChars="200"/>
    </w:pPr>
  </w:style>
  <w:style w:type="paragraph" w:styleId="16">
    <w:name w:val="index 8"/>
    <w:basedOn w:val="1"/>
    <w:next w:val="1"/>
    <w:qFormat/>
    <w:uiPriority w:val="0"/>
    <w:pPr>
      <w:ind w:left="1400" w:leftChars="1400"/>
    </w:pPr>
    <w:rPr>
      <w:b/>
      <w:bCs/>
      <w:color w:val="FF0000"/>
    </w:rPr>
  </w:style>
  <w:style w:type="paragraph" w:styleId="17">
    <w:name w:val="Document Map"/>
    <w:basedOn w:val="1"/>
    <w:qFormat/>
    <w:uiPriority w:val="0"/>
    <w:pPr>
      <w:widowControl w:val="0"/>
      <w:adjustRightInd w:val="0"/>
      <w:spacing w:line="360" w:lineRule="atLeast"/>
      <w:textAlignment w:val="baseline"/>
    </w:pPr>
    <w:rPr>
      <w:rFonts w:ascii="微软雅黑" w:hAnsi="微软雅黑"/>
      <w:sz w:val="18"/>
      <w:szCs w:val="18"/>
    </w:rPr>
  </w:style>
  <w:style w:type="paragraph" w:styleId="18">
    <w:name w:val="toa heading"/>
    <w:basedOn w:val="1"/>
    <w:next w:val="1"/>
    <w:qFormat/>
    <w:uiPriority w:val="0"/>
    <w:pPr>
      <w:spacing w:before="120"/>
    </w:pPr>
    <w:rPr>
      <w:rFonts w:ascii="Arial" w:hAnsi="Arial"/>
      <w:sz w:val="24"/>
    </w:rPr>
  </w:style>
  <w:style w:type="paragraph" w:styleId="19">
    <w:name w:val="annotation text"/>
    <w:basedOn w:val="1"/>
    <w:link w:val="158"/>
    <w:qFormat/>
    <w:uiPriority w:val="0"/>
    <w:pPr>
      <w:widowControl w:val="0"/>
    </w:pPr>
    <w:rPr>
      <w:kern w:val="2"/>
      <w:sz w:val="21"/>
      <w:szCs w:val="24"/>
    </w:rPr>
  </w:style>
  <w:style w:type="paragraph" w:styleId="20">
    <w:name w:val="index 6"/>
    <w:basedOn w:val="1"/>
    <w:next w:val="1"/>
    <w:qFormat/>
    <w:uiPriority w:val="0"/>
    <w:pPr>
      <w:widowControl w:val="0"/>
      <w:spacing w:line="480" w:lineRule="exact"/>
      <w:ind w:left="2100"/>
    </w:pPr>
    <w:rPr>
      <w:rFonts w:eastAsia="仿宋_GB2312"/>
      <w:kern w:val="2"/>
      <w:sz w:val="28"/>
    </w:rPr>
  </w:style>
  <w:style w:type="paragraph" w:styleId="21">
    <w:name w:val="Body Text 3"/>
    <w:basedOn w:val="1"/>
    <w:qFormat/>
    <w:uiPriority w:val="0"/>
    <w:pPr>
      <w:spacing w:after="120"/>
    </w:pPr>
    <w:rPr>
      <w:sz w:val="16"/>
      <w:szCs w:val="16"/>
    </w:rPr>
  </w:style>
  <w:style w:type="paragraph" w:styleId="22">
    <w:name w:val="Body Text Indent"/>
    <w:basedOn w:val="1"/>
    <w:next w:val="8"/>
    <w:qFormat/>
    <w:uiPriority w:val="0"/>
    <w:pPr>
      <w:widowControl w:val="0"/>
      <w:adjustRightInd w:val="0"/>
      <w:spacing w:after="120" w:line="360" w:lineRule="atLeast"/>
      <w:ind w:left="200" w:leftChars="200"/>
      <w:textAlignment w:val="baseline"/>
    </w:pPr>
    <w:rPr>
      <w:sz w:val="24"/>
    </w:rPr>
  </w:style>
  <w:style w:type="paragraph" w:styleId="23">
    <w:name w:val="Block Text"/>
    <w:basedOn w:val="1"/>
    <w:next w:val="24"/>
    <w:qFormat/>
    <w:uiPriority w:val="0"/>
    <w:pPr>
      <w:adjustRightInd w:val="0"/>
      <w:spacing w:line="360" w:lineRule="auto"/>
      <w:ind w:left="1560" w:right="1466" w:hanging="240"/>
      <w:textAlignment w:val="baseline"/>
    </w:pPr>
    <w:rPr>
      <w:color w:val="000000"/>
      <w:sz w:val="24"/>
    </w:rPr>
  </w:style>
  <w:style w:type="paragraph" w:styleId="24">
    <w:name w:val="header"/>
    <w:basedOn w:val="1"/>
    <w:next w:val="1"/>
    <w:qFormat/>
    <w:uiPriority w:val="0"/>
    <w:pPr>
      <w:pBdr>
        <w:bottom w:val="single" w:color="auto" w:sz="6" w:space="1"/>
      </w:pBdr>
      <w:tabs>
        <w:tab w:val="center" w:pos="4153"/>
        <w:tab w:val="right" w:pos="8306"/>
      </w:tabs>
      <w:snapToGrid w:val="0"/>
      <w:jc w:val="center"/>
    </w:pPr>
    <w:rPr>
      <w:sz w:val="18"/>
      <w:szCs w:val="18"/>
    </w:rPr>
  </w:style>
  <w:style w:type="paragraph" w:styleId="25">
    <w:name w:val="toc 5"/>
    <w:basedOn w:val="1"/>
    <w:next w:val="1"/>
    <w:qFormat/>
    <w:uiPriority w:val="0"/>
    <w:pPr>
      <w:ind w:left="800"/>
    </w:pPr>
    <w:rPr>
      <w:rFonts w:ascii="Calibri" w:hAnsi="Calibri" w:cs="Calibri"/>
      <w:sz w:val="18"/>
      <w:szCs w:val="18"/>
    </w:rPr>
  </w:style>
  <w:style w:type="paragraph" w:styleId="26">
    <w:name w:val="toc 3"/>
    <w:basedOn w:val="1"/>
    <w:next w:val="1"/>
    <w:qFormat/>
    <w:uiPriority w:val="0"/>
    <w:pPr>
      <w:ind w:left="400"/>
    </w:pPr>
    <w:rPr>
      <w:rFonts w:ascii="Calibri" w:hAnsi="Calibri" w:cs="Calibri"/>
      <w:i/>
      <w:iCs/>
    </w:rPr>
  </w:style>
  <w:style w:type="paragraph" w:styleId="27">
    <w:name w:val="Plain Text"/>
    <w:basedOn w:val="1"/>
    <w:next w:val="28"/>
    <w:link w:val="160"/>
    <w:qFormat/>
    <w:uiPriority w:val="0"/>
    <w:pPr>
      <w:widowControl w:val="0"/>
      <w:jc w:val="both"/>
    </w:pPr>
    <w:rPr>
      <w:rFonts w:ascii="宋体"/>
      <w:kern w:val="2"/>
      <w:sz w:val="21"/>
    </w:rPr>
  </w:style>
  <w:style w:type="paragraph" w:styleId="28">
    <w:name w:val="List Number 5"/>
    <w:basedOn w:val="1"/>
    <w:qFormat/>
    <w:uiPriority w:val="0"/>
    <w:pPr>
      <w:numPr>
        <w:ilvl w:val="0"/>
        <w:numId w:val="1"/>
      </w:numPr>
    </w:pPr>
  </w:style>
  <w:style w:type="paragraph" w:styleId="29">
    <w:name w:val="toc 8"/>
    <w:basedOn w:val="1"/>
    <w:next w:val="1"/>
    <w:qFormat/>
    <w:uiPriority w:val="0"/>
    <w:pPr>
      <w:ind w:left="1400"/>
    </w:pPr>
    <w:rPr>
      <w:rFonts w:ascii="Calibri" w:hAnsi="Calibri" w:cs="Calibri"/>
      <w:sz w:val="18"/>
      <w:szCs w:val="18"/>
    </w:rPr>
  </w:style>
  <w:style w:type="paragraph" w:styleId="30">
    <w:name w:val="Date"/>
    <w:basedOn w:val="1"/>
    <w:next w:val="1"/>
    <w:link w:val="162"/>
    <w:qFormat/>
    <w:uiPriority w:val="0"/>
    <w:pPr>
      <w:widowControl w:val="0"/>
      <w:ind w:left="100"/>
      <w:jc w:val="both"/>
    </w:pPr>
    <w:rPr>
      <w:kern w:val="2"/>
      <w:sz w:val="21"/>
    </w:rPr>
  </w:style>
  <w:style w:type="paragraph" w:styleId="31">
    <w:name w:val="Body Text Indent 2"/>
    <w:basedOn w:val="1"/>
    <w:qFormat/>
    <w:uiPriority w:val="0"/>
    <w:pPr>
      <w:widowControl w:val="0"/>
      <w:spacing w:line="360" w:lineRule="auto"/>
      <w:ind w:firstLine="482"/>
      <w:jc w:val="both"/>
    </w:pPr>
    <w:rPr>
      <w:rFonts w:ascii="仿宋_GB2312" w:eastAsia="仿宋_GB2312"/>
      <w:sz w:val="24"/>
    </w:rPr>
  </w:style>
  <w:style w:type="paragraph" w:styleId="32">
    <w:name w:val="Balloon Text"/>
    <w:basedOn w:val="1"/>
    <w:link w:val="161"/>
    <w:qFormat/>
    <w:uiPriority w:val="0"/>
    <w:rPr>
      <w:sz w:val="18"/>
      <w:szCs w:val="18"/>
    </w:rPr>
  </w:style>
  <w:style w:type="paragraph" w:styleId="33">
    <w:name w:val="footer"/>
    <w:basedOn w:val="1"/>
    <w:next w:val="1"/>
    <w:link w:val="157"/>
    <w:qFormat/>
    <w:uiPriority w:val="99"/>
    <w:pPr>
      <w:tabs>
        <w:tab w:val="center" w:pos="4153"/>
        <w:tab w:val="right" w:pos="8306"/>
      </w:tabs>
      <w:snapToGrid w:val="0"/>
    </w:pPr>
    <w:rPr>
      <w:sz w:val="18"/>
      <w:szCs w:val="18"/>
    </w:rPr>
  </w:style>
  <w:style w:type="paragraph" w:styleId="34">
    <w:name w:val="toc 1"/>
    <w:basedOn w:val="1"/>
    <w:next w:val="1"/>
    <w:qFormat/>
    <w:uiPriority w:val="39"/>
    <w:pPr>
      <w:widowControl w:val="0"/>
      <w:tabs>
        <w:tab w:val="right" w:leader="dot" w:pos="8931"/>
      </w:tabs>
      <w:spacing w:before="120" w:after="120"/>
    </w:pPr>
    <w:rPr>
      <w:rFonts w:eastAsia="黑体"/>
      <w:b/>
      <w:bCs/>
      <w:caps/>
      <w:kern w:val="2"/>
      <w:sz w:val="24"/>
      <w:szCs w:val="24"/>
    </w:rPr>
  </w:style>
  <w:style w:type="paragraph" w:styleId="35">
    <w:name w:val="toc 4"/>
    <w:basedOn w:val="1"/>
    <w:next w:val="1"/>
    <w:qFormat/>
    <w:uiPriority w:val="0"/>
    <w:pPr>
      <w:ind w:left="600"/>
    </w:pPr>
    <w:rPr>
      <w:rFonts w:ascii="Calibri" w:hAnsi="Calibri" w:cs="Calibri"/>
      <w:sz w:val="18"/>
      <w:szCs w:val="18"/>
    </w:rPr>
  </w:style>
  <w:style w:type="paragraph" w:styleId="36">
    <w:name w:val="Subtitle"/>
    <w:basedOn w:val="1"/>
    <w:next w:val="1"/>
    <w:qFormat/>
    <w:uiPriority w:val="0"/>
    <w:pPr>
      <w:widowControl w:val="0"/>
      <w:spacing w:before="240" w:after="60" w:line="312" w:lineRule="auto"/>
      <w:jc w:val="center"/>
      <w:outlineLvl w:val="1"/>
    </w:pPr>
    <w:rPr>
      <w:rFonts w:ascii="Cambria" w:hAnsi="Cambria"/>
      <w:b/>
      <w:bCs/>
      <w:kern w:val="28"/>
      <w:sz w:val="32"/>
      <w:szCs w:val="32"/>
    </w:rPr>
  </w:style>
  <w:style w:type="paragraph" w:styleId="37">
    <w:name w:val="List"/>
    <w:basedOn w:val="1"/>
    <w:qFormat/>
    <w:uiPriority w:val="0"/>
    <w:pPr>
      <w:ind w:left="420" w:hanging="420"/>
    </w:pPr>
    <w:rPr>
      <w:sz w:val="28"/>
    </w:rPr>
  </w:style>
  <w:style w:type="paragraph" w:styleId="38">
    <w:name w:val="toc 6"/>
    <w:basedOn w:val="1"/>
    <w:next w:val="1"/>
    <w:qFormat/>
    <w:uiPriority w:val="0"/>
    <w:pPr>
      <w:ind w:left="1000"/>
    </w:pPr>
    <w:rPr>
      <w:rFonts w:ascii="Calibri" w:hAnsi="Calibri" w:cs="Calibri"/>
      <w:sz w:val="18"/>
      <w:szCs w:val="18"/>
    </w:rPr>
  </w:style>
  <w:style w:type="paragraph" w:styleId="39">
    <w:name w:val="Body Text Indent 3"/>
    <w:basedOn w:val="1"/>
    <w:qFormat/>
    <w:uiPriority w:val="0"/>
    <w:pPr>
      <w:widowControl w:val="0"/>
      <w:ind w:firstLine="200" w:firstLineChars="200"/>
      <w:jc w:val="both"/>
    </w:pPr>
    <w:rPr>
      <w:rFonts w:ascii="宋体"/>
      <w:spacing w:val="20"/>
      <w:kern w:val="2"/>
      <w:sz w:val="28"/>
      <w:szCs w:val="24"/>
    </w:rPr>
  </w:style>
  <w:style w:type="paragraph" w:styleId="40">
    <w:name w:val="table of figures"/>
    <w:basedOn w:val="1"/>
    <w:next w:val="1"/>
    <w:qFormat/>
    <w:uiPriority w:val="0"/>
    <w:pPr>
      <w:ind w:hanging="200"/>
    </w:pPr>
    <w:rPr>
      <w:rFonts w:hAnsi="宋体" w:cs="宋体"/>
      <w:kern w:val="0"/>
      <w:szCs w:val="20"/>
    </w:rPr>
  </w:style>
  <w:style w:type="paragraph" w:styleId="41">
    <w:name w:val="toc 2"/>
    <w:basedOn w:val="1"/>
    <w:next w:val="1"/>
    <w:qFormat/>
    <w:uiPriority w:val="0"/>
    <w:pPr>
      <w:widowControl w:val="0"/>
      <w:tabs>
        <w:tab w:val="right" w:leader="dot" w:pos="8931"/>
      </w:tabs>
      <w:spacing w:line="360" w:lineRule="auto"/>
      <w:ind w:left="278"/>
    </w:pPr>
    <w:rPr>
      <w:b/>
      <w:bCs/>
      <w:smallCaps/>
      <w:kern w:val="2"/>
      <w:sz w:val="24"/>
      <w:szCs w:val="24"/>
    </w:rPr>
  </w:style>
  <w:style w:type="paragraph" w:styleId="42">
    <w:name w:val="toc 9"/>
    <w:basedOn w:val="1"/>
    <w:next w:val="1"/>
    <w:qFormat/>
    <w:uiPriority w:val="0"/>
    <w:pPr>
      <w:ind w:left="1600"/>
    </w:pPr>
    <w:rPr>
      <w:rFonts w:ascii="Calibri" w:hAnsi="Calibri" w:cs="Calibri"/>
      <w:sz w:val="18"/>
      <w:szCs w:val="18"/>
    </w:rPr>
  </w:style>
  <w:style w:type="paragraph" w:styleId="4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sz w:val="24"/>
      <w:szCs w:val="24"/>
    </w:rPr>
  </w:style>
  <w:style w:type="paragraph" w:styleId="44">
    <w:name w:val="Normal (Web)"/>
    <w:basedOn w:val="1"/>
    <w:qFormat/>
    <w:uiPriority w:val="0"/>
    <w:pPr>
      <w:spacing w:before="100" w:beforeAutospacing="1" w:after="100" w:afterAutospacing="1"/>
    </w:pPr>
    <w:rPr>
      <w:rFonts w:ascii="宋体"/>
      <w:sz w:val="24"/>
      <w:szCs w:val="24"/>
    </w:rPr>
  </w:style>
  <w:style w:type="paragraph" w:styleId="45">
    <w:name w:val="index 1"/>
    <w:basedOn w:val="1"/>
    <w:next w:val="1"/>
    <w:qFormat/>
    <w:uiPriority w:val="0"/>
    <w:pPr>
      <w:widowControl w:val="0"/>
      <w:adjustRightInd w:val="0"/>
      <w:spacing w:line="400" w:lineRule="atLeast"/>
      <w:jc w:val="center"/>
      <w:textAlignment w:val="baseline"/>
    </w:pPr>
    <w:rPr>
      <w:rFonts w:ascii="宋体"/>
      <w:color w:val="FF0000"/>
      <w:sz w:val="24"/>
    </w:rPr>
  </w:style>
  <w:style w:type="paragraph" w:styleId="46">
    <w:name w:val="Title"/>
    <w:basedOn w:val="1"/>
    <w:next w:val="1"/>
    <w:qFormat/>
    <w:uiPriority w:val="0"/>
    <w:pPr>
      <w:spacing w:before="240" w:after="60" w:line="440" w:lineRule="exact"/>
      <w:outlineLvl w:val="0"/>
    </w:pPr>
    <w:rPr>
      <w:rFonts w:ascii="Cambria" w:hAnsi="Cambria"/>
      <w:b/>
      <w:bCs/>
      <w:sz w:val="32"/>
      <w:szCs w:val="32"/>
    </w:rPr>
  </w:style>
  <w:style w:type="paragraph" w:styleId="47">
    <w:name w:val="annotation subject"/>
    <w:basedOn w:val="19"/>
    <w:next w:val="19"/>
    <w:link w:val="164"/>
    <w:qFormat/>
    <w:uiPriority w:val="0"/>
    <w:pPr>
      <w:widowControl/>
    </w:pPr>
    <w:rPr>
      <w:b/>
      <w:bCs/>
    </w:rPr>
  </w:style>
  <w:style w:type="paragraph" w:styleId="48">
    <w:name w:val="Body Text First Indent"/>
    <w:basedOn w:val="2"/>
    <w:next w:val="40"/>
    <w:qFormat/>
    <w:uiPriority w:val="0"/>
    <w:pPr>
      <w:adjustRightInd/>
      <w:spacing w:after="120" w:line="240" w:lineRule="auto"/>
      <w:ind w:firstLine="420"/>
      <w:jc w:val="both"/>
    </w:pPr>
    <w:rPr>
      <w:rFonts w:ascii="楷体_GB2312" w:hAnsi="Calibri" w:eastAsia="楷体_GB2312" w:cs="Times New Roman"/>
      <w:kern w:val="2"/>
      <w:sz w:val="21"/>
    </w:rPr>
  </w:style>
  <w:style w:type="paragraph" w:styleId="49">
    <w:name w:val="Body Text First Indent 2"/>
    <w:basedOn w:val="22"/>
    <w:next w:val="27"/>
    <w:qFormat/>
    <w:uiPriority w:val="0"/>
    <w:pPr>
      <w:tabs>
        <w:tab w:val="left" w:pos="1440"/>
      </w:tabs>
      <w:ind w:firstLine="560"/>
    </w:pPr>
  </w:style>
  <w:style w:type="table" w:styleId="51">
    <w:name w:val="Table Grid"/>
    <w:basedOn w:val="5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53">
    <w:name w:val=" Char Char Char2 Char Char Char Char"/>
    <w:basedOn w:val="1"/>
    <w:link w:val="52"/>
    <w:qFormat/>
    <w:uiPriority w:val="0"/>
    <w:pPr>
      <w:widowControl w:val="0"/>
      <w:spacing w:line="360" w:lineRule="auto"/>
      <w:ind w:firstLine="200" w:firstLineChars="200"/>
      <w:jc w:val="both"/>
    </w:pPr>
    <w:rPr>
      <w:rFonts w:ascii="宋体" w:hAnsi="宋体" w:cs="宋体"/>
      <w:kern w:val="2"/>
      <w:sz w:val="24"/>
      <w:szCs w:val="24"/>
    </w:rPr>
  </w:style>
  <w:style w:type="character" w:styleId="54">
    <w:name w:val="Strong"/>
    <w:basedOn w:val="52"/>
    <w:qFormat/>
    <w:uiPriority w:val="0"/>
    <w:rPr>
      <w:b/>
    </w:rPr>
  </w:style>
  <w:style w:type="character" w:styleId="55">
    <w:name w:val="page number"/>
    <w:basedOn w:val="52"/>
    <w:qFormat/>
    <w:uiPriority w:val="0"/>
  </w:style>
  <w:style w:type="character" w:styleId="56">
    <w:name w:val="FollowedHyperlink"/>
    <w:basedOn w:val="52"/>
    <w:qFormat/>
    <w:uiPriority w:val="0"/>
    <w:rPr>
      <w:color w:val="800080"/>
      <w:u w:val="single"/>
    </w:rPr>
  </w:style>
  <w:style w:type="character" w:styleId="57">
    <w:name w:val="Emphasis"/>
    <w:qFormat/>
    <w:uiPriority w:val="0"/>
    <w:rPr>
      <w:i/>
      <w:iCs/>
    </w:rPr>
  </w:style>
  <w:style w:type="character" w:styleId="58">
    <w:name w:val="Hyperlink"/>
    <w:qFormat/>
    <w:uiPriority w:val="99"/>
    <w:rPr>
      <w:color w:val="000000"/>
      <w:u w:val="none"/>
    </w:rPr>
  </w:style>
  <w:style w:type="character" w:styleId="59">
    <w:name w:val="annotation reference"/>
    <w:qFormat/>
    <w:uiPriority w:val="0"/>
    <w:rPr>
      <w:sz w:val="21"/>
      <w:szCs w:val="21"/>
    </w:rPr>
  </w:style>
  <w:style w:type="paragraph" w:customStyle="1" w:styleId="60">
    <w:name w:val="标书正文"/>
    <w:basedOn w:val="1"/>
    <w:qFormat/>
    <w:uiPriority w:val="0"/>
    <w:pPr>
      <w:spacing w:line="440" w:lineRule="exact"/>
      <w:ind w:firstLine="200" w:firstLineChars="200"/>
    </w:pPr>
    <w:rPr>
      <w:rFonts w:ascii="Arial" w:hAnsi="Arial"/>
      <w:color w:val="000000"/>
      <w:kern w:val="24"/>
      <w:sz w:val="24"/>
    </w:rPr>
  </w:style>
  <w:style w:type="paragraph" w:customStyle="1" w:styleId="61">
    <w:name w:val="Char Char Char2 Char Char Char Char"/>
    <w:basedOn w:val="1"/>
    <w:qFormat/>
    <w:uiPriority w:val="0"/>
    <w:pPr>
      <w:spacing w:line="360" w:lineRule="auto"/>
      <w:ind w:firstLine="200" w:firstLineChars="200"/>
    </w:pPr>
    <w:rPr>
      <w:rFonts w:ascii="宋体" w:hAnsi="宋体" w:cs="宋体"/>
      <w:sz w:val="24"/>
    </w:rPr>
  </w:style>
  <w:style w:type="paragraph" w:customStyle="1" w:styleId="62">
    <w:name w:val="默认段落字体 Para Char"/>
    <w:basedOn w:val="1"/>
    <w:qFormat/>
    <w:uiPriority w:val="0"/>
    <w:pPr>
      <w:widowControl w:val="0"/>
      <w:spacing w:line="360" w:lineRule="auto"/>
      <w:ind w:firstLine="200" w:firstLineChars="200"/>
      <w:jc w:val="both"/>
    </w:pPr>
    <w:rPr>
      <w:rFonts w:ascii="宋体" w:cs="宋体"/>
      <w:kern w:val="2"/>
      <w:sz w:val="24"/>
      <w:szCs w:val="24"/>
    </w:rPr>
  </w:style>
  <w:style w:type="paragraph" w:customStyle="1" w:styleId="63">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64">
    <w:name w:val="Body Text First Indent1"/>
    <w:basedOn w:val="2"/>
    <w:qFormat/>
    <w:uiPriority w:val="0"/>
    <w:pPr>
      <w:numPr>
        <w:ilvl w:val="0"/>
        <w:numId w:val="2"/>
      </w:numPr>
      <w:tabs>
        <w:tab w:val="left" w:pos="425"/>
        <w:tab w:val="clear" w:pos="420"/>
      </w:tabs>
      <w:ind w:firstLine="880"/>
    </w:pPr>
  </w:style>
  <w:style w:type="paragraph" w:customStyle="1" w:styleId="65">
    <w:name w:val="NormalIndent"/>
    <w:basedOn w:val="1"/>
    <w:qFormat/>
    <w:uiPriority w:val="0"/>
    <w:pPr>
      <w:ind w:firstLine="420"/>
      <w:textAlignment w:val="baseline"/>
    </w:pPr>
    <w:rPr>
      <w:sz w:val="21"/>
      <w:szCs w:val="24"/>
    </w:rPr>
  </w:style>
  <w:style w:type="character" w:customStyle="1" w:styleId="66">
    <w:name w:val="标题 2 字符"/>
    <w:basedOn w:val="52"/>
    <w:link w:val="5"/>
    <w:qFormat/>
    <w:uiPriority w:val="0"/>
    <w:rPr>
      <w:rFonts w:ascii="Cambria" w:hAnsi="Cambria" w:eastAsia="宋体" w:cs="Times New Roman"/>
      <w:b/>
      <w:bCs/>
      <w:sz w:val="32"/>
      <w:szCs w:val="32"/>
      <w:lang w:val="en-US" w:eastAsia="zh-CN" w:bidi="ar-SA"/>
    </w:rPr>
  </w:style>
  <w:style w:type="character" w:customStyle="1" w:styleId="67">
    <w:name w:val="标题 2 Char2"/>
    <w:qFormat/>
    <w:uiPriority w:val="0"/>
    <w:rPr>
      <w:rFonts w:ascii="Arial" w:hAnsi="Arial" w:eastAsia="黑体"/>
      <w:b/>
      <w:bCs/>
      <w:kern w:val="2"/>
      <w:sz w:val="32"/>
      <w:szCs w:val="32"/>
    </w:rPr>
  </w:style>
  <w:style w:type="paragraph" w:customStyle="1" w:styleId="68">
    <w:name w:val="我的正文"/>
    <w:basedOn w:val="1"/>
    <w:qFormat/>
    <w:uiPriority w:val="0"/>
    <w:pPr>
      <w:widowControl w:val="0"/>
      <w:spacing w:line="460" w:lineRule="exact"/>
      <w:ind w:firstLine="200" w:firstLineChars="200"/>
    </w:pPr>
    <w:rPr>
      <w:rFonts w:eastAsia="仿宋_GB2312"/>
      <w:bCs/>
      <w:color w:val="0000CC"/>
      <w:kern w:val="2"/>
      <w:sz w:val="28"/>
      <w:szCs w:val="24"/>
    </w:rPr>
  </w:style>
  <w:style w:type="character" w:customStyle="1" w:styleId="69">
    <w:name w:val="访问过的超链接1"/>
    <w:qFormat/>
    <w:uiPriority w:val="0"/>
    <w:rPr>
      <w:color w:val="800080"/>
      <w:u w:val="single"/>
    </w:rPr>
  </w:style>
  <w:style w:type="character" w:customStyle="1" w:styleId="70">
    <w:name w:val="文档结构图 Char1"/>
    <w:qFormat/>
    <w:uiPriority w:val="0"/>
    <w:rPr>
      <w:rFonts w:ascii="宋体"/>
      <w:sz w:val="18"/>
      <w:szCs w:val="18"/>
    </w:rPr>
  </w:style>
  <w:style w:type="paragraph" w:customStyle="1" w:styleId="71">
    <w:name w:val="正文文本 (2)"/>
    <w:basedOn w:val="1"/>
    <w:qFormat/>
    <w:uiPriority w:val="0"/>
    <w:pPr>
      <w:widowControl w:val="0"/>
      <w:shd w:val="clear" w:color="auto" w:fill="FFFFFF"/>
      <w:spacing w:line="456" w:lineRule="exact"/>
    </w:pPr>
    <w:rPr>
      <w:rFonts w:ascii="MingLiU" w:hAnsi="MingLiU" w:eastAsia="MingLiU"/>
      <w:sz w:val="22"/>
    </w:rPr>
  </w:style>
  <w:style w:type="paragraph" w:customStyle="1" w:styleId="72">
    <w:name w:val="样式 ymn正文 + 首行缩进:  2 字符"/>
    <w:basedOn w:val="1"/>
    <w:qFormat/>
    <w:uiPriority w:val="0"/>
    <w:pPr>
      <w:widowControl w:val="0"/>
      <w:adjustRightInd w:val="0"/>
      <w:snapToGrid w:val="0"/>
      <w:spacing w:line="360" w:lineRule="auto"/>
      <w:ind w:firstLine="200" w:firstLineChars="200"/>
      <w:jc w:val="both"/>
    </w:pPr>
    <w:rPr>
      <w:sz w:val="24"/>
    </w:rPr>
  </w:style>
  <w:style w:type="character" w:customStyle="1" w:styleId="73">
    <w:name w:val="正文文本缩进 Char1"/>
    <w:basedOn w:val="52"/>
    <w:qFormat/>
    <w:uiPriority w:val="0"/>
  </w:style>
  <w:style w:type="character" w:customStyle="1" w:styleId="74">
    <w:name w:val="正文文本缩进 2 Char"/>
    <w:qFormat/>
    <w:uiPriority w:val="0"/>
    <w:rPr>
      <w:rFonts w:ascii="仿宋_GB2312" w:eastAsia="仿宋_GB2312"/>
      <w:sz w:val="24"/>
    </w:rPr>
  </w:style>
  <w:style w:type="paragraph" w:customStyle="1" w:styleId="75">
    <w:name w:val="条文首行缩进"/>
    <w:basedOn w:val="8"/>
    <w:qFormat/>
    <w:uiPriority w:val="0"/>
    <w:pPr>
      <w:ind w:firstLine="200" w:firstLineChars="200"/>
    </w:pPr>
    <w:rPr>
      <w:rFonts w:ascii="Arial" w:hAnsi="Arial"/>
      <w:kern w:val="0"/>
      <w:sz w:val="24"/>
      <w:szCs w:val="20"/>
    </w:rPr>
  </w:style>
  <w:style w:type="paragraph" w:styleId="76">
    <w:name w:val="No Spacing"/>
    <w:qFormat/>
    <w:uiPriority w:val="0"/>
    <w:rPr>
      <w:rFonts w:ascii="Calibri" w:hAnsi="Calibri" w:eastAsia="宋体" w:cs="Times New Roman"/>
      <w:sz w:val="22"/>
      <w:szCs w:val="22"/>
      <w:lang w:val="en-US" w:eastAsia="zh-CN" w:bidi="ar-SA"/>
    </w:rPr>
  </w:style>
  <w:style w:type="character" w:customStyle="1" w:styleId="77">
    <w:name w:val="批注文字 Char1"/>
    <w:qFormat/>
    <w:uiPriority w:val="0"/>
    <w:rPr>
      <w:rFonts w:ascii="Times New Roman" w:hAnsi="Times New Roman" w:eastAsia="宋体" w:cs="Times New Roman"/>
      <w:kern w:val="0"/>
      <w:sz w:val="24"/>
      <w:szCs w:val="20"/>
    </w:rPr>
  </w:style>
  <w:style w:type="character" w:customStyle="1" w:styleId="78">
    <w:name w:val="正文文本缩进 3 Char"/>
    <w:qFormat/>
    <w:uiPriority w:val="0"/>
    <w:rPr>
      <w:rFonts w:ascii="宋体"/>
      <w:spacing w:val="20"/>
      <w:kern w:val="2"/>
      <w:sz w:val="28"/>
      <w:szCs w:val="24"/>
    </w:rPr>
  </w:style>
  <w:style w:type="paragraph" w:styleId="79">
    <w:name w:val="List Paragraph"/>
    <w:basedOn w:val="1"/>
    <w:qFormat/>
    <w:uiPriority w:val="0"/>
    <w:pPr>
      <w:widowControl w:val="0"/>
      <w:ind w:firstLine="200" w:firstLineChars="200"/>
      <w:jc w:val="both"/>
    </w:pPr>
    <w:rPr>
      <w:rFonts w:ascii="Calibri" w:hAnsi="Calibri"/>
      <w:kern w:val="2"/>
      <w:sz w:val="21"/>
      <w:szCs w:val="22"/>
    </w:rPr>
  </w:style>
  <w:style w:type="paragraph" w:customStyle="1" w:styleId="80">
    <w:name w:val="xl22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sz w:val="18"/>
      <w:szCs w:val="18"/>
    </w:rPr>
  </w:style>
  <w:style w:type="paragraph" w:customStyle="1" w:styleId="81">
    <w:name w:val="xl208"/>
    <w:basedOn w:val="1"/>
    <w:qFormat/>
    <w:uiPriority w:val="0"/>
    <w:pPr>
      <w:spacing w:before="100" w:beforeAutospacing="1" w:after="100" w:afterAutospacing="1"/>
    </w:pPr>
    <w:rPr>
      <w:rFonts w:ascii="宋体" w:cs="宋体"/>
      <w:color w:val="000000"/>
      <w:sz w:val="18"/>
      <w:szCs w:val="18"/>
    </w:rPr>
  </w:style>
  <w:style w:type="paragraph" w:customStyle="1" w:styleId="82">
    <w:name w:val="xl21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sz w:val="18"/>
      <w:szCs w:val="18"/>
    </w:rPr>
  </w:style>
  <w:style w:type="paragraph" w:customStyle="1" w:styleId="83">
    <w:name w:val="列出段落1"/>
    <w:basedOn w:val="1"/>
    <w:qFormat/>
    <w:uiPriority w:val="0"/>
    <w:pPr>
      <w:widowControl w:val="0"/>
      <w:ind w:firstLine="200" w:firstLineChars="200"/>
      <w:jc w:val="both"/>
    </w:pPr>
    <w:rPr>
      <w:kern w:val="2"/>
      <w:sz w:val="21"/>
      <w:szCs w:val="24"/>
    </w:rPr>
  </w:style>
  <w:style w:type="paragraph" w:customStyle="1" w:styleId="84">
    <w:name w:val="xl21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cs="宋体"/>
      <w:sz w:val="18"/>
      <w:szCs w:val="18"/>
    </w:rPr>
  </w:style>
  <w:style w:type="paragraph" w:customStyle="1" w:styleId="85">
    <w:name w:val="TOC 标题1"/>
    <w:basedOn w:val="4"/>
    <w:next w:val="1"/>
    <w:qFormat/>
    <w:uiPriority w:val="0"/>
    <w:pPr>
      <w:keepLines/>
      <w:widowControl/>
      <w:autoSpaceDE/>
      <w:autoSpaceDN/>
      <w:adjustRightInd/>
      <w:spacing w:before="480" w:line="276" w:lineRule="auto"/>
      <w:outlineLvl w:val="9"/>
    </w:pPr>
    <w:rPr>
      <w:rFonts w:ascii="Cambria" w:hAnsi="Cambria"/>
      <w:bCs/>
      <w:color w:val="365F91"/>
      <w:szCs w:val="28"/>
    </w:rPr>
  </w:style>
  <w:style w:type="paragraph" w:customStyle="1" w:styleId="86">
    <w:name w:val="自定义页脚1"/>
    <w:basedOn w:val="33"/>
    <w:qFormat/>
    <w:uiPriority w:val="0"/>
    <w:pPr>
      <w:widowControl w:val="0"/>
      <w:pBdr>
        <w:top w:val="single" w:color="auto" w:sz="2" w:space="1"/>
      </w:pBdr>
      <w:jc w:val="center"/>
    </w:pPr>
    <w:rPr>
      <w:rFonts w:ascii="隶书" w:eastAsia="隶书"/>
      <w:kern w:val="2"/>
      <w:sz w:val="21"/>
      <w:szCs w:val="21"/>
    </w:rPr>
  </w:style>
  <w:style w:type="paragraph" w:customStyle="1" w:styleId="87">
    <w:name w:val="样式1"/>
    <w:basedOn w:val="33"/>
    <w:qFormat/>
    <w:uiPriority w:val="0"/>
    <w:pPr>
      <w:tabs>
        <w:tab w:val="left" w:pos="1680"/>
        <w:tab w:val="clear" w:pos="4153"/>
        <w:tab w:val="clear" w:pos="8306"/>
      </w:tabs>
      <w:spacing w:line="480" w:lineRule="exact"/>
      <w:ind w:left="280"/>
    </w:pPr>
    <w:rPr>
      <w:rFonts w:eastAsia="仿宋_GB2312"/>
      <w:szCs w:val="20"/>
    </w:rPr>
  </w:style>
  <w:style w:type="paragraph" w:customStyle="1" w:styleId="88">
    <w:name w:val="xl211"/>
    <w:basedOn w:val="1"/>
    <w:qFormat/>
    <w:uiPriority w:val="0"/>
    <w:pPr>
      <w:spacing w:before="100" w:beforeAutospacing="1" w:after="100" w:afterAutospacing="1"/>
    </w:pPr>
    <w:rPr>
      <w:rFonts w:ascii="宋体" w:cs="宋体"/>
      <w:color w:val="000000"/>
      <w:sz w:val="18"/>
      <w:szCs w:val="18"/>
    </w:rPr>
  </w:style>
  <w:style w:type="paragraph" w:customStyle="1" w:styleId="89">
    <w:name w:val="BT1"/>
    <w:basedOn w:val="1"/>
    <w:qFormat/>
    <w:uiPriority w:val="0"/>
    <w:pPr>
      <w:widowControl w:val="0"/>
      <w:spacing w:before="50" w:beforeLines="50" w:after="50" w:afterLines="50"/>
    </w:pPr>
    <w:rPr>
      <w:rFonts w:ascii="宋体" w:hAnsi="宋体" w:eastAsia="黑体"/>
      <w:b/>
      <w:kern w:val="2"/>
      <w:sz w:val="28"/>
      <w:szCs w:val="24"/>
    </w:rPr>
  </w:style>
  <w:style w:type="paragraph" w:customStyle="1" w:styleId="90">
    <w:name w:val="xl209"/>
    <w:basedOn w:val="1"/>
    <w:qFormat/>
    <w:uiPriority w:val="0"/>
    <w:pPr>
      <w:spacing w:before="100" w:beforeAutospacing="1" w:after="100" w:afterAutospacing="1"/>
    </w:pPr>
    <w:rPr>
      <w:rFonts w:ascii="宋体" w:cs="宋体"/>
      <w:sz w:val="18"/>
      <w:szCs w:val="18"/>
    </w:rPr>
  </w:style>
  <w:style w:type="paragraph" w:customStyle="1" w:styleId="91">
    <w:name w:val="Char Char Char1 Char Char Char Char Char Char Char"/>
    <w:basedOn w:val="1"/>
    <w:next w:val="1"/>
    <w:qFormat/>
    <w:uiPriority w:val="0"/>
    <w:pPr>
      <w:widowControl w:val="0"/>
      <w:spacing w:line="360" w:lineRule="auto"/>
      <w:ind w:firstLine="200" w:firstLineChars="200"/>
      <w:jc w:val="both"/>
    </w:pPr>
    <w:rPr>
      <w:rFonts w:ascii="宋体" w:cs="宋体"/>
      <w:kern w:val="2"/>
      <w:sz w:val="24"/>
      <w:szCs w:val="24"/>
    </w:rPr>
  </w:style>
  <w:style w:type="paragraph" w:customStyle="1" w:styleId="92">
    <w:name w:val="样式 标题 5 + 黑体 非加粗 首行缩进:  2.24 字符"/>
    <w:qFormat/>
    <w:uiPriority w:val="0"/>
    <w:pPr>
      <w:ind w:firstLine="224" w:firstLineChars="224"/>
    </w:pPr>
    <w:rPr>
      <w:rFonts w:ascii="黑体" w:hAnsi="Times New Roman" w:eastAsia="黑体" w:cs="宋体"/>
      <w:sz w:val="28"/>
      <w:lang w:val="en-US" w:eastAsia="zh-CN" w:bidi="ar-SA"/>
    </w:rPr>
  </w:style>
  <w:style w:type="paragraph" w:customStyle="1" w:styleId="93">
    <w:name w:val="Char Char Char1 Char Char Char Char Char Char Char11"/>
    <w:basedOn w:val="1"/>
    <w:next w:val="1"/>
    <w:qFormat/>
    <w:uiPriority w:val="0"/>
    <w:pPr>
      <w:widowControl w:val="0"/>
      <w:spacing w:line="360" w:lineRule="auto"/>
      <w:ind w:firstLine="200" w:firstLineChars="200"/>
      <w:jc w:val="both"/>
    </w:pPr>
    <w:rPr>
      <w:rFonts w:ascii="宋体" w:cs="宋体"/>
      <w:kern w:val="2"/>
      <w:sz w:val="24"/>
      <w:szCs w:val="24"/>
    </w:rPr>
  </w:style>
  <w:style w:type="paragraph" w:customStyle="1" w:styleId="94">
    <w:name w:val="xl21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color w:val="000000"/>
      <w:sz w:val="18"/>
      <w:szCs w:val="18"/>
    </w:rPr>
  </w:style>
  <w:style w:type="paragraph" w:customStyle="1" w:styleId="95">
    <w:name w:val="样式3"/>
    <w:basedOn w:val="1"/>
    <w:qFormat/>
    <w:uiPriority w:val="0"/>
    <w:pPr>
      <w:widowControl w:val="0"/>
      <w:spacing w:line="500" w:lineRule="exact"/>
      <w:ind w:firstLine="200" w:firstLineChars="200"/>
      <w:jc w:val="center"/>
      <w:outlineLvl w:val="1"/>
    </w:pPr>
    <w:rPr>
      <w:rFonts w:ascii="Arial" w:hAnsi="Arial" w:eastAsia="方正大黑简体" w:cs="Arial"/>
      <w:bCs/>
      <w:kern w:val="2"/>
      <w:sz w:val="32"/>
      <w:szCs w:val="32"/>
    </w:rPr>
  </w:style>
  <w:style w:type="paragraph" w:customStyle="1" w:styleId="96">
    <w:name w:val="xl22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cs="宋体"/>
      <w:sz w:val="18"/>
      <w:szCs w:val="18"/>
    </w:rPr>
  </w:style>
  <w:style w:type="paragraph" w:customStyle="1" w:styleId="97">
    <w:name w:val="font1"/>
    <w:basedOn w:val="1"/>
    <w:qFormat/>
    <w:uiPriority w:val="0"/>
    <w:pPr>
      <w:spacing w:before="100" w:beforeAutospacing="1" w:after="100" w:afterAutospacing="1"/>
    </w:pPr>
    <w:rPr>
      <w:rFonts w:ascii="宋体" w:cs="宋体"/>
      <w:color w:val="000000"/>
      <w:sz w:val="22"/>
      <w:szCs w:val="22"/>
    </w:rPr>
  </w:style>
  <w:style w:type="paragraph" w:customStyle="1" w:styleId="98">
    <w:name w:val="样式 标题 1 + 黑体 三号 居中 段前: 7.8 磅 段后: 7.8 磅 行距: 固定值 24 磅"/>
    <w:qFormat/>
    <w:uiPriority w:val="0"/>
    <w:pPr>
      <w:spacing w:before="156" w:after="156" w:line="480" w:lineRule="exact"/>
      <w:jc w:val="center"/>
    </w:pPr>
    <w:rPr>
      <w:rFonts w:ascii="黑体" w:hAnsi="Times New Roman" w:eastAsia="黑体" w:cs="宋体"/>
      <w:b/>
      <w:bCs/>
      <w:sz w:val="32"/>
      <w:lang w:val="en-US" w:eastAsia="zh-CN" w:bidi="ar-SA"/>
    </w:rPr>
  </w:style>
  <w:style w:type="paragraph" w:customStyle="1" w:styleId="99">
    <w:name w:val="xl21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sz w:val="18"/>
      <w:szCs w:val="18"/>
    </w:rPr>
  </w:style>
  <w:style w:type="paragraph" w:customStyle="1" w:styleId="100">
    <w:name w:val="xl222"/>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cs="宋体"/>
      <w:color w:val="000000"/>
      <w:sz w:val="18"/>
      <w:szCs w:val="18"/>
    </w:rPr>
  </w:style>
  <w:style w:type="paragraph" w:customStyle="1" w:styleId="101">
    <w:name w:val="xl21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sz w:val="18"/>
      <w:szCs w:val="18"/>
    </w:rPr>
  </w:style>
  <w:style w:type="paragraph" w:customStyle="1" w:styleId="102">
    <w:name w:val="xl210"/>
    <w:basedOn w:val="1"/>
    <w:qFormat/>
    <w:uiPriority w:val="0"/>
    <w:pPr>
      <w:pBdr>
        <w:top w:val="single" w:color="000000" w:sz="4" w:space="0"/>
        <w:left w:val="single" w:color="000000" w:sz="4" w:space="0"/>
        <w:right w:val="single" w:color="000000" w:sz="4" w:space="0"/>
      </w:pBdr>
      <w:spacing w:before="100" w:beforeAutospacing="1" w:after="100" w:afterAutospacing="1"/>
      <w:jc w:val="center"/>
    </w:pPr>
    <w:rPr>
      <w:rFonts w:ascii="宋体" w:cs="宋体"/>
      <w:color w:val="000000"/>
      <w:sz w:val="18"/>
      <w:szCs w:val="18"/>
    </w:rPr>
  </w:style>
  <w:style w:type="paragraph" w:customStyle="1" w:styleId="103">
    <w:name w:val="p15"/>
    <w:basedOn w:val="1"/>
    <w:qFormat/>
    <w:uiPriority w:val="0"/>
    <w:pPr>
      <w:spacing w:line="440" w:lineRule="atLeast"/>
      <w:ind w:firstLine="420"/>
    </w:pPr>
    <w:rPr>
      <w:rFonts w:ascii="宋体" w:cs="宋体"/>
      <w:sz w:val="24"/>
      <w:szCs w:val="24"/>
    </w:rPr>
  </w:style>
  <w:style w:type="paragraph" w:customStyle="1" w:styleId="104">
    <w:name w:val="Char Char Char2 Char Char Char Char1"/>
    <w:basedOn w:val="1"/>
    <w:qFormat/>
    <w:uiPriority w:val="0"/>
    <w:pPr>
      <w:widowControl w:val="0"/>
      <w:spacing w:line="360" w:lineRule="auto"/>
      <w:ind w:firstLine="200" w:firstLineChars="200"/>
      <w:jc w:val="both"/>
    </w:pPr>
    <w:rPr>
      <w:rFonts w:ascii="宋体" w:cs="宋体"/>
      <w:kern w:val="2"/>
      <w:sz w:val="24"/>
      <w:szCs w:val="24"/>
    </w:rPr>
  </w:style>
  <w:style w:type="paragraph" w:customStyle="1" w:styleId="105">
    <w:name w:val="xl21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cs="宋体"/>
      <w:color w:val="000000"/>
      <w:sz w:val="18"/>
      <w:szCs w:val="18"/>
    </w:rPr>
  </w:style>
  <w:style w:type="paragraph" w:customStyle="1" w:styleId="106">
    <w:name w:val="xl219"/>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cs="宋体"/>
      <w:sz w:val="18"/>
      <w:szCs w:val="18"/>
    </w:rPr>
  </w:style>
  <w:style w:type="paragraph" w:customStyle="1" w:styleId="107">
    <w:name w:val="正文页眉"/>
    <w:basedOn w:val="24"/>
    <w:qFormat/>
    <w:uiPriority w:val="0"/>
    <w:pPr>
      <w:widowControl w:val="0"/>
      <w:pBdr>
        <w:bottom w:val="thinThickSmallGap" w:color="auto" w:sz="12" w:space="1"/>
      </w:pBdr>
      <w:jc w:val="both"/>
    </w:pPr>
    <w:rPr>
      <w:rFonts w:ascii="宋体"/>
      <w:iCs/>
      <w:kern w:val="2"/>
      <w:sz w:val="21"/>
      <w:szCs w:val="21"/>
    </w:rPr>
  </w:style>
  <w:style w:type="paragraph" w:customStyle="1" w:styleId="108">
    <w:name w:val="xl22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cs="宋体"/>
      <w:sz w:val="18"/>
      <w:szCs w:val="18"/>
    </w:rPr>
  </w:style>
  <w:style w:type="paragraph" w:customStyle="1" w:styleId="109">
    <w:name w:val="p0"/>
    <w:basedOn w:val="1"/>
    <w:qFormat/>
    <w:uiPriority w:val="0"/>
    <w:pPr>
      <w:jc w:val="both"/>
    </w:pPr>
    <w:rPr>
      <w:sz w:val="21"/>
      <w:szCs w:val="21"/>
    </w:rPr>
  </w:style>
  <w:style w:type="paragraph" w:customStyle="1" w:styleId="110">
    <w:name w:val="xl21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ascii="宋体" w:cs="宋体"/>
      <w:color w:val="000000"/>
      <w:sz w:val="18"/>
      <w:szCs w:val="18"/>
    </w:rPr>
  </w:style>
  <w:style w:type="paragraph" w:customStyle="1" w:styleId="111">
    <w:name w:val="正文1"/>
    <w:basedOn w:val="1"/>
    <w:qFormat/>
    <w:uiPriority w:val="0"/>
    <w:pPr>
      <w:widowControl w:val="0"/>
      <w:adjustRightInd w:val="0"/>
      <w:spacing w:line="360" w:lineRule="atLeast"/>
    </w:pPr>
    <w:rPr>
      <w:rFonts w:ascii="宋体"/>
      <w:sz w:val="24"/>
    </w:rPr>
  </w:style>
  <w:style w:type="paragraph" w:customStyle="1" w:styleId="112">
    <w:name w:val="标题1"/>
    <w:basedOn w:val="4"/>
    <w:qFormat/>
    <w:uiPriority w:val="0"/>
    <w:pPr>
      <w:keepLines/>
      <w:autoSpaceDE/>
      <w:autoSpaceDN/>
      <w:adjustRightInd/>
      <w:spacing w:line="240" w:lineRule="auto"/>
      <w:jc w:val="both"/>
    </w:pPr>
    <w:rPr>
      <w:rFonts w:ascii="Times New Roman"/>
      <w:bCs/>
      <w:kern w:val="24"/>
      <w:sz w:val="24"/>
      <w:szCs w:val="44"/>
    </w:rPr>
  </w:style>
  <w:style w:type="paragraph" w:customStyle="1" w:styleId="113">
    <w:name w:val="font5"/>
    <w:basedOn w:val="1"/>
    <w:qFormat/>
    <w:uiPriority w:val="0"/>
    <w:pPr>
      <w:spacing w:before="100" w:beforeAutospacing="1" w:after="100" w:afterAutospacing="1"/>
    </w:pPr>
    <w:rPr>
      <w:rFonts w:ascii="宋体" w:cs="宋体"/>
      <w:sz w:val="18"/>
      <w:szCs w:val="18"/>
    </w:rPr>
  </w:style>
  <w:style w:type="paragraph" w:customStyle="1" w:styleId="114">
    <w:name w:val="font6"/>
    <w:basedOn w:val="1"/>
    <w:qFormat/>
    <w:uiPriority w:val="0"/>
    <w:pPr>
      <w:spacing w:before="100" w:beforeAutospacing="1" w:after="100" w:afterAutospacing="1"/>
    </w:pPr>
    <w:rPr>
      <w:rFonts w:ascii="宋体" w:cs="宋体"/>
      <w:sz w:val="18"/>
      <w:szCs w:val="18"/>
    </w:rPr>
  </w:style>
  <w:style w:type="paragraph" w:customStyle="1" w:styleId="115">
    <w:name w:val="xl22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cs="宋体"/>
      <w:color w:val="000000"/>
      <w:sz w:val="18"/>
      <w:szCs w:val="18"/>
    </w:rPr>
  </w:style>
  <w:style w:type="paragraph" w:customStyle="1" w:styleId="116">
    <w:name w:val="列出段落2"/>
    <w:basedOn w:val="1"/>
    <w:qFormat/>
    <w:uiPriority w:val="0"/>
    <w:pPr>
      <w:widowControl w:val="0"/>
      <w:ind w:firstLine="200" w:firstLineChars="200"/>
      <w:jc w:val="both"/>
    </w:pPr>
    <w:rPr>
      <w:rFonts w:ascii="Calibri" w:hAnsi="Calibri"/>
      <w:kern w:val="2"/>
      <w:sz w:val="21"/>
      <w:szCs w:val="22"/>
    </w:rPr>
  </w:style>
  <w:style w:type="paragraph" w:customStyle="1" w:styleId="117">
    <w:name w:val="正文页脚"/>
    <w:basedOn w:val="33"/>
    <w:qFormat/>
    <w:uiPriority w:val="0"/>
    <w:pPr>
      <w:pBdr>
        <w:top w:val="single" w:color="auto" w:sz="6" w:space="1"/>
      </w:pBdr>
    </w:pPr>
    <w:rPr>
      <w:rFonts w:ascii="隶书" w:eastAsia="隶书"/>
      <w:sz w:val="21"/>
      <w:szCs w:val="21"/>
    </w:rPr>
  </w:style>
  <w:style w:type="paragraph" w:customStyle="1" w:styleId="118">
    <w:name w:val="reader-word-layer"/>
    <w:basedOn w:val="1"/>
    <w:qFormat/>
    <w:uiPriority w:val="0"/>
    <w:pPr>
      <w:spacing w:before="100" w:beforeAutospacing="1" w:after="100" w:afterAutospacing="1"/>
    </w:pPr>
    <w:rPr>
      <w:rFonts w:ascii="宋体" w:cs="宋体"/>
      <w:sz w:val="24"/>
      <w:szCs w:val="24"/>
    </w:rPr>
  </w:style>
  <w:style w:type="paragraph" w:customStyle="1" w:styleId="119">
    <w:name w:val="样式 标题 5 + 黑体 非加粗"/>
    <w:qFormat/>
    <w:uiPriority w:val="0"/>
    <w:rPr>
      <w:rFonts w:ascii="黑体" w:hAnsi="Times New Roman" w:eastAsia="黑体" w:cs="Times New Roman"/>
      <w:sz w:val="28"/>
      <w:szCs w:val="28"/>
      <w:lang w:val="en-US" w:eastAsia="zh-CN" w:bidi="ar-SA"/>
    </w:rPr>
  </w:style>
  <w:style w:type="paragraph" w:customStyle="1" w:styleId="120">
    <w:name w:val="样式 标题 2 + 小四 段后: 0 磅 首行缩进:  2 字符"/>
    <w:qFormat/>
    <w:uiPriority w:val="0"/>
    <w:pPr>
      <w:ind w:firstLine="200" w:firstLineChars="200"/>
    </w:pPr>
    <w:rPr>
      <w:rFonts w:ascii="Cambria" w:hAnsi="Cambria" w:eastAsia="宋体" w:cs="宋体"/>
      <w:b/>
      <w:bCs/>
      <w:sz w:val="24"/>
      <w:lang w:val="en-US" w:eastAsia="zh-CN" w:bidi="ar-SA"/>
    </w:rPr>
  </w:style>
  <w:style w:type="paragraph" w:customStyle="1" w:styleId="121">
    <w:name w:val="TOC 标题11"/>
    <w:basedOn w:val="4"/>
    <w:next w:val="1"/>
    <w:qFormat/>
    <w:uiPriority w:val="0"/>
    <w:pPr>
      <w:keepLines/>
      <w:widowControl/>
      <w:autoSpaceDE/>
      <w:autoSpaceDN/>
      <w:adjustRightInd/>
      <w:spacing w:before="480" w:line="276" w:lineRule="auto"/>
      <w:jc w:val="center"/>
      <w:outlineLvl w:val="9"/>
    </w:pPr>
    <w:rPr>
      <w:rFonts w:ascii="Cambria" w:hAnsi="Cambria"/>
      <w:bCs/>
      <w:color w:val="365F91"/>
      <w:sz w:val="32"/>
      <w:szCs w:val="28"/>
    </w:rPr>
  </w:style>
  <w:style w:type="paragraph" w:customStyle="1" w:styleId="122">
    <w:name w:val="Char Char Char1 Char Char Char Char Char Char Char1"/>
    <w:basedOn w:val="1"/>
    <w:next w:val="1"/>
    <w:qFormat/>
    <w:uiPriority w:val="0"/>
    <w:pPr>
      <w:widowControl w:val="0"/>
      <w:spacing w:line="360" w:lineRule="auto"/>
      <w:ind w:firstLine="200" w:firstLineChars="200"/>
      <w:jc w:val="both"/>
    </w:pPr>
    <w:rPr>
      <w:rFonts w:ascii="宋体" w:cs="宋体"/>
      <w:kern w:val="2"/>
      <w:sz w:val="24"/>
      <w:szCs w:val="24"/>
    </w:rPr>
  </w:style>
  <w:style w:type="paragraph" w:customStyle="1" w:styleId="123">
    <w:name w:val="WPSOffice手动目录 1"/>
    <w:qFormat/>
    <w:uiPriority w:val="0"/>
    <w:rPr>
      <w:rFonts w:ascii="Times New Roman" w:hAnsi="Times New Roman" w:eastAsia="宋体" w:cs="Times New Roman"/>
      <w:lang w:val="en-US" w:eastAsia="zh-CN" w:bidi="ar-SA"/>
    </w:rPr>
  </w:style>
  <w:style w:type="paragraph" w:customStyle="1" w:styleId="124">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125">
    <w:name w:val="font11"/>
    <w:basedOn w:val="52"/>
    <w:qFormat/>
    <w:uiPriority w:val="0"/>
    <w:rPr>
      <w:rFonts w:ascii="Times New Roman" w:hAnsi="Times New Roman" w:cs="Times New Roman"/>
      <w:b/>
      <w:color w:val="000000"/>
      <w:sz w:val="21"/>
      <w:szCs w:val="21"/>
      <w:u w:val="none"/>
    </w:rPr>
  </w:style>
  <w:style w:type="character" w:customStyle="1" w:styleId="126">
    <w:name w:val="font61"/>
    <w:basedOn w:val="52"/>
    <w:qFormat/>
    <w:uiPriority w:val="0"/>
    <w:rPr>
      <w:rFonts w:ascii="宋体" w:eastAsia="宋体" w:cs="宋体"/>
      <w:b/>
      <w:color w:val="000000"/>
      <w:sz w:val="21"/>
      <w:szCs w:val="21"/>
      <w:u w:val="none"/>
    </w:rPr>
  </w:style>
  <w:style w:type="character" w:customStyle="1" w:styleId="127">
    <w:name w:val="font51"/>
    <w:basedOn w:val="52"/>
    <w:qFormat/>
    <w:uiPriority w:val="0"/>
    <w:rPr>
      <w:rFonts w:ascii="宋体" w:eastAsia="宋体" w:cs="宋体"/>
      <w:color w:val="000000"/>
      <w:sz w:val="21"/>
      <w:szCs w:val="21"/>
      <w:u w:val="none"/>
    </w:rPr>
  </w:style>
  <w:style w:type="character" w:customStyle="1" w:styleId="128">
    <w:name w:val="font31"/>
    <w:basedOn w:val="52"/>
    <w:qFormat/>
    <w:uiPriority w:val="0"/>
    <w:rPr>
      <w:rFonts w:ascii="Times New Roman" w:hAnsi="Times New Roman" w:cs="Times New Roman"/>
      <w:color w:val="000000"/>
      <w:sz w:val="21"/>
      <w:szCs w:val="21"/>
      <w:u w:val="none"/>
    </w:rPr>
  </w:style>
  <w:style w:type="character" w:customStyle="1" w:styleId="129">
    <w:name w:val="NormalCharacter"/>
    <w:qFormat/>
    <w:uiPriority w:val="0"/>
  </w:style>
  <w:style w:type="paragraph" w:customStyle="1" w:styleId="130">
    <w:name w:val="表"/>
    <w:basedOn w:val="1"/>
    <w:qFormat/>
    <w:uiPriority w:val="0"/>
    <w:rPr>
      <w:rFonts w:ascii="Arial" w:hAnsi="Arial" w:cs="Arial"/>
      <w:sz w:val="21"/>
      <w:szCs w:val="21"/>
    </w:rPr>
  </w:style>
  <w:style w:type="paragraph" w:customStyle="1" w:styleId="131">
    <w:name w:val="章节小1级标题"/>
    <w:qFormat/>
    <w:uiPriority w:val="0"/>
    <w:pPr>
      <w:spacing w:line="360" w:lineRule="auto"/>
      <w:outlineLvl w:val="1"/>
    </w:pPr>
    <w:rPr>
      <w:rFonts w:ascii="宋体" w:hAnsi="Times New Roman" w:eastAsia="宋体" w:cs="Times New Roman"/>
      <w:b/>
      <w:kern w:val="2"/>
      <w:sz w:val="24"/>
      <w:lang w:val="en-US" w:eastAsia="zh-CN" w:bidi="ar-SA"/>
    </w:rPr>
  </w:style>
  <w:style w:type="paragraph" w:customStyle="1" w:styleId="132">
    <w:name w:val="Char Char Char1 Char Char Char Char Char Char Char2"/>
    <w:basedOn w:val="1"/>
    <w:next w:val="1"/>
    <w:qFormat/>
    <w:uiPriority w:val="0"/>
    <w:pPr>
      <w:spacing w:line="360" w:lineRule="auto"/>
      <w:ind w:firstLine="200" w:firstLineChars="200"/>
      <w:jc w:val="both"/>
    </w:pPr>
    <w:rPr>
      <w:rFonts w:ascii="宋体" w:hAnsi="宋体" w:cs="宋体"/>
      <w:sz w:val="24"/>
      <w:szCs w:val="24"/>
    </w:rPr>
  </w:style>
  <w:style w:type="paragraph" w:customStyle="1" w:styleId="133">
    <w:name w:val="纯文本1"/>
    <w:basedOn w:val="1"/>
    <w:qFormat/>
    <w:uiPriority w:val="0"/>
    <w:rPr>
      <w:rFonts w:ascii="宋体" w:hAnsi="Courier New"/>
      <w:szCs w:val="24"/>
    </w:rPr>
  </w:style>
  <w:style w:type="paragraph" w:customStyle="1" w:styleId="134">
    <w:name w:val="表格文字"/>
    <w:basedOn w:val="21"/>
    <w:qFormat/>
    <w:uiPriority w:val="0"/>
    <w:pPr>
      <w:autoSpaceDE w:val="0"/>
      <w:autoSpaceDN w:val="0"/>
      <w:adjustRightInd w:val="0"/>
      <w:spacing w:before="78" w:beforeLines="25" w:after="78" w:afterLines="25"/>
      <w:jc w:val="center"/>
    </w:pPr>
    <w:rPr>
      <w:rFonts w:ascii="宋体" w:hAnsi="宋体"/>
      <w:sz w:val="22"/>
      <w:szCs w:val="22"/>
    </w:rPr>
  </w:style>
  <w:style w:type="paragraph" w:customStyle="1" w:styleId="135">
    <w:name w:val="规定正文"/>
    <w:basedOn w:val="1"/>
    <w:qFormat/>
    <w:uiPriority w:val="0"/>
    <w:pPr>
      <w:topLinePunct/>
      <w:spacing w:beforeLines="50" w:line="360" w:lineRule="auto"/>
      <w:ind w:firstLine="200" w:firstLineChars="200"/>
    </w:pPr>
    <w:rPr>
      <w:rFonts w:hAnsi="宋体" w:cs="宋体"/>
      <w:bCs/>
      <w:sz w:val="24"/>
      <w:szCs w:val="21"/>
      <w:lang w:val="zh-CN" w:eastAsia="en-US" w:bidi="en-US"/>
    </w:rPr>
  </w:style>
  <w:style w:type="paragraph" w:customStyle="1" w:styleId="136">
    <w:name w:val="规定表格"/>
    <w:basedOn w:val="1"/>
    <w:qFormat/>
    <w:uiPriority w:val="0"/>
    <w:pPr>
      <w:topLinePunct/>
      <w:spacing w:beforeLines="50" w:afterLines="50"/>
      <w:ind w:firstLine="480" w:firstLineChars="200"/>
      <w:jc w:val="center"/>
    </w:pPr>
    <w:rPr>
      <w:rFonts w:hAnsi="宋体" w:cs="宋体"/>
      <w:bCs/>
      <w:sz w:val="24"/>
      <w:szCs w:val="21"/>
      <w:lang w:val="zh-CN" w:eastAsia="en-US" w:bidi="en-US"/>
    </w:rPr>
  </w:style>
  <w:style w:type="paragraph" w:customStyle="1" w:styleId="137">
    <w:name w:val="规定表格中"/>
    <w:basedOn w:val="135"/>
    <w:qFormat/>
    <w:uiPriority w:val="0"/>
    <w:pPr>
      <w:spacing w:beforeLines="0" w:line="240" w:lineRule="auto"/>
      <w:ind w:firstLine="0" w:firstLineChars="0"/>
    </w:pPr>
    <w:rPr>
      <w:sz w:val="20"/>
    </w:rPr>
  </w:style>
  <w:style w:type="character" w:customStyle="1" w:styleId="138">
    <w:name w:val="font01"/>
    <w:qFormat/>
    <w:uiPriority w:val="0"/>
    <w:rPr>
      <w:rFonts w:hint="eastAsia" w:ascii="宋体" w:hAnsi="宋体" w:eastAsia="宋体" w:cs="宋体"/>
      <w:b/>
      <w:color w:val="000000"/>
      <w:sz w:val="20"/>
      <w:szCs w:val="20"/>
      <w:u w:val="none"/>
    </w:rPr>
  </w:style>
  <w:style w:type="character" w:customStyle="1" w:styleId="139">
    <w:name w:val="font41"/>
    <w:qFormat/>
    <w:uiPriority w:val="0"/>
    <w:rPr>
      <w:rFonts w:hint="default" w:ascii="Arial" w:hAnsi="Arial" w:cs="Arial"/>
      <w:b/>
      <w:color w:val="000000"/>
      <w:sz w:val="20"/>
      <w:szCs w:val="20"/>
      <w:u w:val="none"/>
    </w:rPr>
  </w:style>
  <w:style w:type="paragraph" w:customStyle="1" w:styleId="140">
    <w:name w:val="正文（首行缩进两字） Char Char"/>
    <w:basedOn w:val="1"/>
    <w:qFormat/>
    <w:uiPriority w:val="0"/>
    <w:pPr>
      <w:spacing w:line="300" w:lineRule="auto"/>
      <w:ind w:firstLine="480" w:firstLineChars="200"/>
    </w:pPr>
    <w:rPr>
      <w:sz w:val="24"/>
      <w:szCs w:val="24"/>
    </w:rPr>
  </w:style>
  <w:style w:type="paragraph" w:customStyle="1" w:styleId="141">
    <w:name w:val="正式文本"/>
    <w:qFormat/>
    <w:uiPriority w:val="0"/>
    <w:pPr>
      <w:suppressAutoHyphens/>
      <w:autoSpaceDN w:val="0"/>
      <w:spacing w:line="540" w:lineRule="exact"/>
      <w:textAlignment w:val="baseline"/>
    </w:pPr>
    <w:rPr>
      <w:rFonts w:ascii="宋体" w:hAnsi="宋体" w:eastAsia="宋体" w:cs="宋体"/>
      <w:kern w:val="3"/>
      <w:sz w:val="28"/>
      <w:szCs w:val="24"/>
      <w:lang w:val="en-US" w:eastAsia="zh-CN" w:bidi="hi-IN"/>
    </w:rPr>
  </w:style>
  <w:style w:type="character" w:customStyle="1" w:styleId="142">
    <w:name w:val="lawsitemtext"/>
    <w:qFormat/>
    <w:uiPriority w:val="0"/>
  </w:style>
  <w:style w:type="paragraph" w:customStyle="1" w:styleId="143">
    <w:name w:val="HH正文"/>
    <w:basedOn w:val="39"/>
    <w:qFormat/>
    <w:uiPriority w:val="0"/>
    <w:pPr>
      <w:spacing w:line="500" w:lineRule="exact"/>
    </w:pPr>
    <w:rPr>
      <w:rFonts w:hAnsi="隶书"/>
      <w:sz w:val="24"/>
    </w:rPr>
  </w:style>
  <w:style w:type="paragraph" w:customStyle="1" w:styleId="144">
    <w:name w:val="正文文本3"/>
    <w:basedOn w:val="1"/>
    <w:qFormat/>
    <w:uiPriority w:val="0"/>
    <w:pPr>
      <w:shd w:val="clear" w:color="auto" w:fill="FFFFFF"/>
      <w:spacing w:line="0" w:lineRule="atLeast"/>
      <w:ind w:hanging="640"/>
    </w:pPr>
    <w:rPr>
      <w:rFonts w:ascii="黑体" w:hAnsi="黑体" w:eastAsia="黑体"/>
      <w:sz w:val="23"/>
      <w:szCs w:val="23"/>
    </w:rPr>
  </w:style>
  <w:style w:type="character" w:customStyle="1" w:styleId="145">
    <w:name w:val="Body text + Palatino Linotype"/>
    <w:qFormat/>
    <w:uiPriority w:val="0"/>
    <w:rPr>
      <w:rFonts w:ascii="Palatino Linotype" w:hAnsi="Palatino Linotype" w:eastAsia="Palatino Linotype" w:cs="Palatino Linotype"/>
      <w:spacing w:val="0"/>
      <w:sz w:val="22"/>
      <w:szCs w:val="22"/>
    </w:rPr>
  </w:style>
  <w:style w:type="paragraph" w:customStyle="1" w:styleId="146">
    <w:name w:val="天津院正文"/>
    <w:basedOn w:val="1"/>
    <w:qFormat/>
    <w:uiPriority w:val="0"/>
    <w:pPr>
      <w:adjustRightInd w:val="0"/>
      <w:snapToGrid w:val="0"/>
      <w:spacing w:line="500" w:lineRule="exact"/>
      <w:ind w:firstLine="480" w:firstLineChars="200"/>
    </w:pPr>
    <w:rPr>
      <w:bCs/>
      <w:color w:val="0000FF"/>
      <w:sz w:val="24"/>
    </w:rPr>
  </w:style>
  <w:style w:type="paragraph" w:customStyle="1" w:styleId="147">
    <w:name w:val="表格样式"/>
    <w:basedOn w:val="1"/>
    <w:next w:val="1"/>
    <w:qFormat/>
    <w:uiPriority w:val="0"/>
    <w:pPr>
      <w:jc w:val="center"/>
    </w:pPr>
    <w:rPr>
      <w:rFonts w:cs="Arial"/>
      <w:bCs/>
      <w:sz w:val="21"/>
      <w:szCs w:val="24"/>
    </w:rPr>
  </w:style>
  <w:style w:type="paragraph" w:customStyle="1" w:styleId="148">
    <w:name w:val="Table Paragraph"/>
    <w:qFormat/>
    <w:uiPriority w:val="1"/>
    <w:pPr>
      <w:widowControl w:val="0"/>
      <w:jc w:val="both"/>
    </w:pPr>
    <w:rPr>
      <w:rFonts w:ascii="宋体" w:hAnsi="宋体" w:eastAsia="宋体" w:cs="宋体"/>
      <w:kern w:val="2"/>
      <w:sz w:val="21"/>
      <w:szCs w:val="24"/>
      <w:lang w:val="zh-CN" w:eastAsia="zh-CN" w:bidi="zh-CN"/>
    </w:rPr>
  </w:style>
  <w:style w:type="paragraph" w:customStyle="1" w:styleId="149">
    <w:name w:val="xl43"/>
    <w:basedOn w:val="1"/>
    <w:qFormat/>
    <w:uiPriority w:val="0"/>
    <w:pPr>
      <w:spacing w:before="100" w:beforeAutospacing="1" w:after="100" w:afterAutospacing="1"/>
      <w:jc w:val="center"/>
      <w:textAlignment w:val="center"/>
    </w:pPr>
    <w:rPr>
      <w:rFonts w:hint="eastAsia" w:ascii="黑体" w:hAnsi="宋体" w:eastAsia="黑体"/>
      <w:b/>
      <w:bCs/>
      <w:sz w:val="44"/>
      <w:szCs w:val="44"/>
    </w:rPr>
  </w:style>
  <w:style w:type="paragraph" w:customStyle="1" w:styleId="150">
    <w:name w:val="表头 Char"/>
    <w:basedOn w:val="1"/>
    <w:qFormat/>
    <w:uiPriority w:val="99"/>
    <w:pPr>
      <w:tabs>
        <w:tab w:val="left" w:pos="4660"/>
      </w:tabs>
      <w:adjustRightInd w:val="0"/>
      <w:snapToGrid w:val="0"/>
      <w:spacing w:before="261" w:beforeLines="50"/>
      <w:jc w:val="center"/>
    </w:pPr>
    <w:rPr>
      <w:rFonts w:ascii="Arial Narrow" w:hAnsi="Arial Narrow" w:cs="宋体"/>
      <w:b/>
      <w:sz w:val="24"/>
    </w:rPr>
  </w:style>
  <w:style w:type="paragraph" w:customStyle="1" w:styleId="151">
    <w:name w:val="自定义页眉1"/>
    <w:basedOn w:val="1"/>
    <w:qFormat/>
    <w:uiPriority w:val="0"/>
    <w:pPr>
      <w:pBdr>
        <w:bottom w:val="thinThickSmallGap" w:color="auto" w:sz="12" w:space="1"/>
      </w:pBdr>
    </w:pPr>
  </w:style>
  <w:style w:type="character" w:customStyle="1" w:styleId="152">
    <w:name w:val="fontstyle11"/>
    <w:basedOn w:val="52"/>
    <w:qFormat/>
    <w:uiPriority w:val="0"/>
    <w:rPr>
      <w:rFonts w:hint="default" w:ascii="Times New Roman" w:hAnsi="Times New Roman" w:cs="Times New Roman"/>
      <w:color w:val="0000FF"/>
      <w:sz w:val="22"/>
      <w:szCs w:val="22"/>
    </w:rPr>
  </w:style>
  <w:style w:type="character" w:customStyle="1" w:styleId="153">
    <w:name w:val="标题 6 字符"/>
    <w:basedOn w:val="52"/>
    <w:link w:val="10"/>
    <w:qFormat/>
    <w:uiPriority w:val="0"/>
    <w:rPr>
      <w:rFonts w:ascii="Arial" w:hAnsi="Arial" w:eastAsia="黑体"/>
      <w:spacing w:val="20"/>
      <w:sz w:val="24"/>
    </w:rPr>
  </w:style>
  <w:style w:type="character" w:customStyle="1" w:styleId="154">
    <w:name w:val="标题 7 字符"/>
    <w:basedOn w:val="52"/>
    <w:link w:val="11"/>
    <w:qFormat/>
    <w:uiPriority w:val="0"/>
    <w:rPr>
      <w:spacing w:val="20"/>
      <w:sz w:val="24"/>
    </w:rPr>
  </w:style>
  <w:style w:type="character" w:customStyle="1" w:styleId="155">
    <w:name w:val="标题 8 字符"/>
    <w:basedOn w:val="52"/>
    <w:link w:val="12"/>
    <w:qFormat/>
    <w:uiPriority w:val="0"/>
    <w:rPr>
      <w:rFonts w:ascii="Arial" w:hAnsi="Arial" w:eastAsia="黑体"/>
      <w:spacing w:val="20"/>
      <w:sz w:val="24"/>
    </w:rPr>
  </w:style>
  <w:style w:type="character" w:customStyle="1" w:styleId="156">
    <w:name w:val="标题 9 字符"/>
    <w:basedOn w:val="52"/>
    <w:link w:val="13"/>
    <w:qFormat/>
    <w:uiPriority w:val="0"/>
    <w:rPr>
      <w:rFonts w:ascii="Arial" w:hAnsi="Arial" w:eastAsia="黑体"/>
      <w:spacing w:val="20"/>
      <w:sz w:val="24"/>
    </w:rPr>
  </w:style>
  <w:style w:type="character" w:customStyle="1" w:styleId="157">
    <w:name w:val="页脚 字符"/>
    <w:link w:val="33"/>
    <w:qFormat/>
    <w:uiPriority w:val="99"/>
    <w:rPr>
      <w:sz w:val="18"/>
      <w:szCs w:val="18"/>
    </w:rPr>
  </w:style>
  <w:style w:type="character" w:customStyle="1" w:styleId="158">
    <w:name w:val="批注文字 字符"/>
    <w:link w:val="19"/>
    <w:qFormat/>
    <w:uiPriority w:val="0"/>
    <w:rPr>
      <w:kern w:val="2"/>
      <w:sz w:val="21"/>
      <w:szCs w:val="24"/>
    </w:rPr>
  </w:style>
  <w:style w:type="character" w:customStyle="1" w:styleId="159">
    <w:name w:val="普通文字 Char1"/>
    <w:qFormat/>
    <w:uiPriority w:val="0"/>
    <w:rPr>
      <w:rFonts w:ascii="宋体" w:hAnsi="Courier New" w:eastAsia="宋体" w:cs="Plotter"/>
      <w:kern w:val="2"/>
      <w:sz w:val="21"/>
      <w:lang w:val="en-US" w:eastAsia="zh-CN" w:bidi="ar-SA"/>
    </w:rPr>
  </w:style>
  <w:style w:type="character" w:customStyle="1" w:styleId="160">
    <w:name w:val="纯文本 字符"/>
    <w:link w:val="27"/>
    <w:qFormat/>
    <w:uiPriority w:val="0"/>
    <w:rPr>
      <w:rFonts w:ascii="宋体"/>
      <w:kern w:val="2"/>
      <w:sz w:val="21"/>
    </w:rPr>
  </w:style>
  <w:style w:type="character" w:customStyle="1" w:styleId="161">
    <w:name w:val="批注框文本 字符"/>
    <w:link w:val="32"/>
    <w:qFormat/>
    <w:uiPriority w:val="0"/>
    <w:rPr>
      <w:sz w:val="18"/>
      <w:szCs w:val="18"/>
    </w:rPr>
  </w:style>
  <w:style w:type="character" w:customStyle="1" w:styleId="162">
    <w:name w:val="日期 字符"/>
    <w:link w:val="30"/>
    <w:qFormat/>
    <w:uiPriority w:val="0"/>
    <w:rPr>
      <w:kern w:val="2"/>
      <w:sz w:val="21"/>
    </w:rPr>
  </w:style>
  <w:style w:type="character" w:customStyle="1" w:styleId="163">
    <w:name w:val="标题 3 字符"/>
    <w:link w:val="6"/>
    <w:qFormat/>
    <w:uiPriority w:val="0"/>
    <w:rPr>
      <w:b/>
      <w:bCs/>
      <w:sz w:val="32"/>
      <w:szCs w:val="32"/>
    </w:rPr>
  </w:style>
  <w:style w:type="character" w:customStyle="1" w:styleId="164">
    <w:name w:val="批注主题 字符"/>
    <w:link w:val="47"/>
    <w:qFormat/>
    <w:uiPriority w:val="0"/>
    <w:rPr>
      <w:b/>
      <w:bCs/>
      <w:kern w:val="2"/>
      <w:sz w:val="21"/>
      <w:szCs w:val="24"/>
    </w:rPr>
  </w:style>
  <w:style w:type="character" w:customStyle="1" w:styleId="165">
    <w:name w:val="说明书 Char"/>
    <w:link w:val="166"/>
    <w:qFormat/>
    <w:uiPriority w:val="0"/>
    <w:rPr>
      <w:rFonts w:ascii="宋体" w:hAnsi="宋体"/>
      <w:kern w:val="2"/>
      <w:sz w:val="24"/>
      <w:szCs w:val="24"/>
    </w:rPr>
  </w:style>
  <w:style w:type="paragraph" w:customStyle="1" w:styleId="166">
    <w:name w:val="说明书"/>
    <w:basedOn w:val="1"/>
    <w:link w:val="165"/>
    <w:qFormat/>
    <w:uiPriority w:val="0"/>
    <w:pPr>
      <w:widowControl w:val="0"/>
      <w:spacing w:line="500" w:lineRule="exact"/>
      <w:ind w:firstLine="200" w:firstLineChars="200"/>
    </w:pPr>
    <w:rPr>
      <w:rFonts w:ascii="宋体" w:hAnsi="宋体"/>
      <w:kern w:val="2"/>
      <w:sz w:val="24"/>
      <w:szCs w:val="24"/>
    </w:rPr>
  </w:style>
  <w:style w:type="paragraph" w:customStyle="1" w:styleId="167">
    <w:name w:val="TOC Heading"/>
    <w:basedOn w:val="4"/>
    <w:next w:val="1"/>
    <w:qFormat/>
    <w:uiPriority w:val="39"/>
    <w:pPr>
      <w:keepLines/>
      <w:widowControl/>
      <w:autoSpaceDE/>
      <w:autoSpaceDN/>
      <w:adjustRightInd/>
      <w:spacing w:before="480" w:line="276" w:lineRule="auto"/>
      <w:outlineLvl w:val="9"/>
    </w:pPr>
    <w:rPr>
      <w:rFonts w:ascii="Cambria" w:hAnsi="Cambria"/>
      <w:bCs/>
      <w:color w:val="365F91"/>
      <w:szCs w:val="28"/>
    </w:rPr>
  </w:style>
  <w:style w:type="paragraph" w:customStyle="1" w:styleId="168">
    <w:name w:val="Normal"/>
    <w:qFormat/>
    <w:uiPriority w:val="0"/>
    <w:pPr>
      <w:widowControl w:val="0"/>
      <w:adjustRightInd w:val="0"/>
      <w:spacing w:line="315" w:lineRule="atLeast"/>
      <w:textAlignment w:val="baseline"/>
    </w:pPr>
    <w:rPr>
      <w:rFonts w:ascii="宋体" w:hAnsi="Times New Roman" w:eastAsia="宋体" w:cs="Times New Roman"/>
      <w:sz w:val="24"/>
      <w:lang w:val="en-US" w:eastAsia="zh-CN" w:bidi="ar-SA"/>
    </w:rPr>
  </w:style>
  <w:style w:type="paragraph" w:customStyle="1" w:styleId="169">
    <w:name w:val="黑标题"/>
    <w:basedOn w:val="1"/>
    <w:qFormat/>
    <w:uiPriority w:val="0"/>
    <w:pPr>
      <w:widowControl w:val="0"/>
      <w:spacing w:line="500" w:lineRule="exact"/>
      <w:ind w:firstLine="200" w:firstLineChars="200"/>
    </w:pPr>
    <w:rPr>
      <w:rFonts w:eastAsia="黑体"/>
      <w:b/>
      <w:bCs/>
      <w:kern w:val="2"/>
      <w:sz w:val="24"/>
      <w:szCs w:val="24"/>
    </w:rPr>
  </w:style>
  <w:style w:type="paragraph" w:customStyle="1" w:styleId="170">
    <w:name w:val="正文文字缩进"/>
    <w:basedOn w:val="1"/>
    <w:qFormat/>
    <w:uiPriority w:val="0"/>
    <w:pPr>
      <w:spacing w:line="5391" w:lineRule="atLeast"/>
      <w:ind w:firstLine="481"/>
      <w:jc w:val="both"/>
      <w:textAlignment w:val="baseline"/>
    </w:pPr>
    <w:rPr>
      <w:rFonts w:ascii="宋体"/>
      <w:color w:val="000000"/>
      <w:sz w:val="24"/>
      <w:u w:color="000000"/>
    </w:rPr>
  </w:style>
  <w:style w:type="paragraph" w:customStyle="1" w:styleId="171">
    <w:name w:val="hdy"/>
    <w:basedOn w:val="1"/>
    <w:qFormat/>
    <w:uiPriority w:val="0"/>
    <w:pPr>
      <w:adjustRightInd w:val="0"/>
      <w:snapToGrid w:val="0"/>
      <w:spacing w:line="500" w:lineRule="exact"/>
      <w:ind w:firstLine="200" w:firstLineChars="200"/>
    </w:pPr>
    <w:rPr>
      <w:bCs/>
      <w:color w:val="0000FF"/>
      <w:sz w:val="24"/>
      <w:szCs w:val="24"/>
    </w:rPr>
  </w:style>
  <w:style w:type="character" w:customStyle="1" w:styleId="172">
    <w:name w:val="font71"/>
    <w:basedOn w:val="52"/>
    <w:qFormat/>
    <w:uiPriority w:val="0"/>
    <w:rPr>
      <w:rFonts w:hint="eastAsia" w:ascii="宋体" w:hAnsi="宋体" w:eastAsia="宋体" w:cs="宋体"/>
      <w:color w:val="000000"/>
      <w:sz w:val="20"/>
      <w:szCs w:val="20"/>
      <w:u w:val="none"/>
    </w:rPr>
  </w:style>
  <w:style w:type="character" w:customStyle="1" w:styleId="173">
    <w:name w:val="font21"/>
    <w:basedOn w:val="52"/>
    <w:qFormat/>
    <w:uiPriority w:val="0"/>
    <w:rPr>
      <w:rFonts w:hint="default" w:ascii="Times New Roman" w:hAnsi="Times New Roman" w:cs="Times New Roman"/>
      <w:color w:val="000000"/>
      <w:sz w:val="20"/>
      <w:szCs w:val="20"/>
      <w:u w:val="none"/>
    </w:rPr>
  </w:style>
  <w:style w:type="paragraph" w:customStyle="1" w:styleId="174">
    <w:name w:val="标题3"/>
    <w:basedOn w:val="6"/>
    <w:qFormat/>
    <w:uiPriority w:val="0"/>
    <w:pPr>
      <w:keepNext w:val="0"/>
      <w:numPr>
        <w:ilvl w:val="2"/>
        <w:numId w:val="3"/>
      </w:numPr>
      <w:tabs>
        <w:tab w:val="left" w:pos="360"/>
        <w:tab w:val="left" w:pos="840"/>
      </w:tabs>
      <w:topLinePunct/>
      <w:adjustRightInd w:val="0"/>
      <w:snapToGrid w:val="0"/>
      <w:spacing w:before="0" w:beforeLines="0" w:after="0" w:afterLines="0" w:line="360" w:lineRule="auto"/>
      <w:ind w:left="567" w:right="100" w:rightChars="100" w:firstLine="0"/>
      <w:jc w:val="left"/>
      <w:outlineLvl w:val="9"/>
    </w:pPr>
    <w:rPr>
      <w:rFonts w:ascii="宋体" w:hAnsi="宋体" w:eastAsia="宋体" w:cs="Times New Roman"/>
      <w:b w:val="0"/>
      <w:bCs w:val="0"/>
      <w:spacing w:val="2"/>
      <w:kern w:val="0"/>
      <w:sz w:val="24"/>
      <w:szCs w:val="24"/>
    </w:rPr>
  </w:style>
  <w:style w:type="paragraph" w:customStyle="1" w:styleId="175">
    <w:name w:val="表头"/>
    <w:basedOn w:val="1"/>
    <w:qFormat/>
    <w:uiPriority w:val="0"/>
    <w:pPr>
      <w:spacing w:line="240" w:lineRule="auto"/>
      <w:ind w:left="0" w:leftChars="0" w:firstLine="0" w:firstLineChars="0"/>
      <w:jc w:val="left"/>
    </w:pPr>
    <w:rPr>
      <w:b/>
      <w:szCs w:val="24"/>
    </w:rPr>
  </w:style>
  <w:style w:type="paragraph" w:customStyle="1" w:styleId="176">
    <w:name w:val="表格正文"/>
    <w:basedOn w:val="1"/>
    <w:qFormat/>
    <w:uiPriority w:val="0"/>
    <w:pPr>
      <w:adjustRightInd w:val="0"/>
      <w:spacing w:line="240" w:lineRule="auto"/>
      <w:ind w:firstLine="0" w:firstLineChars="0"/>
      <w:jc w:val="center"/>
      <w:textAlignment w:val="baseline"/>
    </w:pPr>
    <w:rPr>
      <w:kern w:val="0"/>
      <w:sz w:val="21"/>
    </w:rPr>
  </w:style>
  <w:style w:type="paragraph" w:customStyle="1" w:styleId="177">
    <w:name w:val="样式 宋体 四号 行距: 固定值 25 磅"/>
    <w:basedOn w:val="1"/>
    <w:qFormat/>
    <w:uiPriority w:val="0"/>
    <w:pPr>
      <w:spacing w:line="500" w:lineRule="exact"/>
      <w:ind w:firstLine="560" w:firstLineChars="200"/>
    </w:pPr>
    <w:rPr>
      <w:rFonts w:ascii="宋体" w:hAnsi="宋体" w:cs="宋体"/>
    </w:rPr>
  </w:style>
  <w:style w:type="paragraph" w:customStyle="1" w:styleId="178">
    <w:name w:val="正文zsh"/>
    <w:qFormat/>
    <w:uiPriority w:val="0"/>
    <w:pPr>
      <w:widowControl w:val="0"/>
      <w:spacing w:line="500" w:lineRule="exact"/>
      <w:ind w:firstLine="480" w:firstLineChars="200"/>
      <w:jc w:val="both"/>
    </w:pPr>
    <w:rPr>
      <w:rFonts w:ascii="宋体" w:hAnsi="Courier New" w:eastAsia="宋体" w:cs="Times New Roman"/>
      <w:color w:val="0000FF"/>
      <w:kern w:val="0"/>
      <w:sz w:val="24"/>
      <w:szCs w:val="30"/>
      <w:lang w:val="en-US" w:eastAsia="zh-CN" w:bidi="ar-SA"/>
    </w:rPr>
  </w:style>
  <w:style w:type="paragraph" w:customStyle="1" w:styleId="179">
    <w:name w:val="123正文"/>
    <w:basedOn w:val="1"/>
    <w:qFormat/>
    <w:uiPriority w:val="0"/>
    <w:rPr>
      <w:bCs/>
      <w:lang w:val="zh-CN" w:eastAsia="zh-CN"/>
    </w:rPr>
  </w:style>
  <w:style w:type="paragraph" w:customStyle="1" w:styleId="180">
    <w:name w:val="段"/>
    <w:qFormat/>
    <w:uiPriority w:val="0"/>
    <w:pPr>
      <w:tabs>
        <w:tab w:val="center" w:pos="4201"/>
        <w:tab w:val="right" w:leader="dot" w:pos="9298"/>
      </w:tabs>
      <w:autoSpaceDE w:val="0"/>
      <w:autoSpaceDN w:val="0"/>
      <w:ind w:firstLine="420" w:firstLineChars="200"/>
      <w:jc w:val="both"/>
    </w:pPr>
    <w:rPr>
      <w:rFonts w:ascii="宋体" w:hAnsi="Calibri" w:eastAsia="宋体" w:cs="Times New Roman"/>
      <w:sz w:val="21"/>
      <w:szCs w:val="22"/>
      <w:lang w:val="en-US" w:eastAsia="zh-CN" w:bidi="ar-SA"/>
    </w:rPr>
  </w:style>
  <w:style w:type="paragraph" w:customStyle="1" w:styleId="181">
    <w:name w:val="表格"/>
    <w:basedOn w:val="1"/>
    <w:qFormat/>
    <w:uiPriority w:val="0"/>
    <w:pPr>
      <w:adjustRightInd w:val="0"/>
      <w:spacing w:before="60" w:after="60" w:line="360" w:lineRule="auto"/>
      <w:ind w:firstLine="200" w:firstLineChars="200"/>
      <w:jc w:val="center"/>
      <w:textAlignment w:val="baseline"/>
    </w:pPr>
    <w:rPr>
      <w:rFonts w:ascii="宋体" w:hAnsi="Calibri" w:eastAsia="宋体" w:cs="Times New Roman"/>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emf"/><Relationship Id="rId15" Type="http://schemas.openxmlformats.org/officeDocument/2006/relationships/theme" Target="theme/theme1.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130</Pages>
  <Words>61281</Words>
  <Characters>66941</Characters>
  <Lines>285</Lines>
  <Paragraphs>80</Paragraphs>
  <TotalTime>20</TotalTime>
  <ScaleCrop>false</ScaleCrop>
  <LinksUpToDate>false</LinksUpToDate>
  <CharactersWithSpaces>70336</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2018-07-17T09:43:00Z</dcterms:created>
  <dc:creator>微软（中国）有限公司</dc:creator>
  <cp:lastModifiedBy>admin</cp:lastModifiedBy>
  <cp:lastPrinted>2021-06-18T00:54:00Z</cp:lastPrinted>
  <dcterms:modified xsi:type="dcterms:W3CDTF">2024-09-04T02:05:38Z</dcterms:modified>
  <dc:title>政府采购招标文件</dc:title>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y fmtid="{D5CDD505-2E9C-101B-9397-08002B2CF9AE}" pid="3" name="ICV">
    <vt:lpwstr>734CB8B5DB1640279CAF28BA7868EAF2</vt:lpwstr>
  </property>
</Properties>
</file>