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ind w:left="0" w:firstLine="0"/>
        <w:rPr>
          <w:rFonts w:hint="default" w:ascii="Times New Roman" w:hAnsi="Times New Roman" w:cs="Times New Roman"/>
          <w:color w:val="auto"/>
          <w:highlight w:val="none"/>
        </w:rPr>
      </w:pPr>
    </w:p>
    <w:p>
      <w:pPr>
        <w:adjustRightInd w:val="0"/>
        <w:snapToGrid w:val="0"/>
        <w:spacing w:before="240" w:beforeLines="100" w:line="360" w:lineRule="auto"/>
        <w:jc w:val="center"/>
        <w:rPr>
          <w:rStyle w:val="128"/>
          <w:rFonts w:hint="default" w:cs="Times New Roman"/>
          <w:b/>
          <w:bCs/>
          <w:color w:val="auto"/>
          <w:sz w:val="52"/>
          <w:szCs w:val="52"/>
          <w:highlight w:val="none"/>
          <w:lang w:val="en-US" w:eastAsia="zh-CN"/>
        </w:rPr>
      </w:pPr>
      <w:bookmarkStart w:id="0" w:name="_Hlk108905130"/>
      <w:r>
        <w:rPr>
          <w:rStyle w:val="128"/>
          <w:rFonts w:hint="eastAsia" w:cs="Times New Roman"/>
          <w:b/>
          <w:bCs/>
          <w:color w:val="auto"/>
          <w:sz w:val="52"/>
          <w:szCs w:val="52"/>
          <w:highlight w:val="none"/>
          <w:lang w:eastAsia="zh-CN"/>
        </w:rPr>
        <w:t>中天合创能源有限责任公司葫芦素矿井煤矸石灌浆系统</w:t>
      </w:r>
      <w:r>
        <w:rPr>
          <w:rStyle w:val="128"/>
          <w:rFonts w:hint="eastAsia" w:cs="Times New Roman"/>
          <w:b/>
          <w:bCs/>
          <w:color w:val="auto"/>
          <w:sz w:val="52"/>
          <w:szCs w:val="52"/>
          <w:highlight w:val="none"/>
          <w:lang w:val="en-US" w:eastAsia="zh-CN"/>
        </w:rPr>
        <w:t>EPC总承包</w:t>
      </w:r>
    </w:p>
    <w:p>
      <w:pPr>
        <w:adjustRightInd w:val="0"/>
        <w:snapToGrid w:val="0"/>
        <w:spacing w:before="240" w:beforeLines="100" w:line="360" w:lineRule="auto"/>
        <w:jc w:val="center"/>
        <w:rPr>
          <w:rStyle w:val="128"/>
          <w:rFonts w:hint="default" w:ascii="Times New Roman" w:hAnsi="Times New Roman" w:cs="Times New Roman"/>
          <w:b/>
          <w:bCs/>
          <w:color w:val="auto"/>
          <w:sz w:val="52"/>
          <w:szCs w:val="52"/>
          <w:highlight w:val="none"/>
        </w:rPr>
      </w:pPr>
      <w:r>
        <w:rPr>
          <w:rStyle w:val="128"/>
          <w:rFonts w:hint="eastAsia" w:cs="Times New Roman"/>
          <w:b/>
          <w:bCs/>
          <w:color w:val="auto"/>
          <w:sz w:val="52"/>
          <w:szCs w:val="52"/>
          <w:highlight w:val="none"/>
          <w:lang w:val="en-US" w:eastAsia="zh-CN"/>
        </w:rPr>
        <w:t>建安</w:t>
      </w:r>
      <w:r>
        <w:rPr>
          <w:rStyle w:val="128"/>
          <w:rFonts w:hint="eastAsia" w:cs="Times New Roman"/>
          <w:b/>
          <w:bCs/>
          <w:color w:val="auto"/>
          <w:sz w:val="52"/>
          <w:szCs w:val="52"/>
          <w:highlight w:val="none"/>
          <w:lang w:eastAsia="zh-CN"/>
        </w:rPr>
        <w:t>工程</w:t>
      </w:r>
      <w:r>
        <w:rPr>
          <w:rStyle w:val="128"/>
          <w:rFonts w:hint="default" w:ascii="Times New Roman" w:hAnsi="Times New Roman" w:cs="Times New Roman"/>
          <w:b/>
          <w:bCs/>
          <w:color w:val="auto"/>
          <w:sz w:val="52"/>
          <w:szCs w:val="52"/>
          <w:highlight w:val="none"/>
        </w:rPr>
        <w:t>采购</w:t>
      </w:r>
      <w:bookmarkEnd w:id="0"/>
      <w:r>
        <w:rPr>
          <w:rStyle w:val="128"/>
          <w:rFonts w:hint="default" w:ascii="Times New Roman" w:hAnsi="Times New Roman" w:cs="Times New Roman"/>
          <w:b/>
          <w:bCs/>
          <w:color w:val="auto"/>
          <w:sz w:val="52"/>
          <w:szCs w:val="52"/>
          <w:highlight w:val="none"/>
        </w:rPr>
        <w:t>文件</w:t>
      </w:r>
    </w:p>
    <w:p>
      <w:pPr>
        <w:adjustRightInd w:val="0"/>
        <w:snapToGrid w:val="0"/>
        <w:ind w:firstLine="1687" w:firstLineChars="200"/>
        <w:rPr>
          <w:rStyle w:val="128"/>
          <w:rFonts w:hint="default" w:ascii="Times New Roman" w:hAnsi="Times New Roman" w:eastAsia="黑体" w:cs="Times New Roman"/>
          <w:b/>
          <w:color w:val="auto"/>
          <w:sz w:val="84"/>
          <w:highlight w:val="none"/>
        </w:rPr>
      </w:pPr>
    </w:p>
    <w:p>
      <w:pPr>
        <w:adjustRightInd w:val="0"/>
        <w:snapToGrid w:val="0"/>
        <w:ind w:firstLine="400" w:firstLineChars="200"/>
        <w:rPr>
          <w:rStyle w:val="128"/>
          <w:rFonts w:hint="default" w:ascii="Times New Roman" w:hAnsi="Times New Roman" w:cs="Times New Roman"/>
          <w:color w:val="auto"/>
          <w:szCs w:val="21"/>
          <w:highlight w:val="none"/>
        </w:rPr>
      </w:pPr>
    </w:p>
    <w:p>
      <w:pPr>
        <w:pStyle w:val="7"/>
        <w:rPr>
          <w:rStyle w:val="128"/>
          <w:rFonts w:hint="default" w:ascii="Times New Roman" w:hAnsi="Times New Roman" w:cs="Times New Roman"/>
          <w:color w:val="auto"/>
          <w:szCs w:val="21"/>
          <w:highlight w:val="none"/>
        </w:rPr>
      </w:pPr>
    </w:p>
    <w:p>
      <w:pPr>
        <w:pStyle w:val="7"/>
        <w:rPr>
          <w:rStyle w:val="128"/>
          <w:rFonts w:hint="default" w:ascii="Times New Roman" w:hAnsi="Times New Roman" w:cs="Times New Roman"/>
          <w:color w:val="auto"/>
          <w:szCs w:val="21"/>
          <w:highlight w:val="none"/>
        </w:rPr>
      </w:pPr>
    </w:p>
    <w:p>
      <w:pPr>
        <w:pStyle w:val="7"/>
        <w:rPr>
          <w:rStyle w:val="128"/>
          <w:rFonts w:hint="default" w:ascii="Times New Roman" w:hAnsi="Times New Roman" w:cs="Times New Roman"/>
          <w:color w:val="auto"/>
          <w:szCs w:val="21"/>
          <w:highlight w:val="none"/>
        </w:rPr>
      </w:pPr>
    </w:p>
    <w:p>
      <w:pPr>
        <w:pStyle w:val="7"/>
        <w:rPr>
          <w:rStyle w:val="128"/>
          <w:rFonts w:hint="default" w:ascii="Times New Roman" w:hAnsi="Times New Roman" w:cs="Times New Roman"/>
          <w:color w:val="auto"/>
          <w:szCs w:val="21"/>
          <w:highlight w:val="none"/>
        </w:rPr>
      </w:pPr>
    </w:p>
    <w:p>
      <w:pPr>
        <w:pStyle w:val="7"/>
        <w:rPr>
          <w:rStyle w:val="128"/>
          <w:rFonts w:hint="default" w:ascii="Times New Roman" w:hAnsi="Times New Roman" w:cs="Times New Roman"/>
          <w:color w:val="auto"/>
          <w:szCs w:val="21"/>
          <w:highlight w:val="none"/>
        </w:rPr>
      </w:pPr>
    </w:p>
    <w:p>
      <w:pPr>
        <w:pStyle w:val="7"/>
        <w:rPr>
          <w:rStyle w:val="128"/>
          <w:rFonts w:hint="default" w:ascii="Times New Roman" w:hAnsi="Times New Roman" w:cs="Times New Roman"/>
          <w:color w:val="auto"/>
          <w:szCs w:val="21"/>
          <w:highlight w:val="none"/>
        </w:rPr>
      </w:pPr>
    </w:p>
    <w:p>
      <w:pPr>
        <w:pStyle w:val="7"/>
        <w:rPr>
          <w:rStyle w:val="128"/>
          <w:rFonts w:hint="default" w:ascii="Times New Roman" w:hAnsi="Times New Roman" w:cs="Times New Roman"/>
          <w:color w:val="auto"/>
          <w:szCs w:val="21"/>
          <w:highlight w:val="none"/>
        </w:rPr>
      </w:pPr>
    </w:p>
    <w:p>
      <w:pPr>
        <w:pStyle w:val="7"/>
        <w:rPr>
          <w:rStyle w:val="128"/>
          <w:rFonts w:hint="default" w:ascii="Times New Roman" w:hAnsi="Times New Roman" w:cs="Times New Roman"/>
          <w:color w:val="auto"/>
          <w:szCs w:val="21"/>
          <w:highlight w:val="none"/>
        </w:rPr>
      </w:pPr>
    </w:p>
    <w:p>
      <w:pPr>
        <w:pStyle w:val="7"/>
        <w:rPr>
          <w:rStyle w:val="128"/>
          <w:rFonts w:hint="default" w:ascii="Times New Roman" w:hAnsi="Times New Roman" w:cs="Times New Roman"/>
          <w:color w:val="auto"/>
          <w:szCs w:val="21"/>
          <w:highlight w:val="none"/>
        </w:rPr>
      </w:pPr>
    </w:p>
    <w:p>
      <w:pPr>
        <w:adjustRightInd w:val="0"/>
        <w:snapToGrid w:val="0"/>
        <w:ind w:firstLine="640" w:firstLineChars="200"/>
        <w:jc w:val="center"/>
        <w:rPr>
          <w:rFonts w:hint="default" w:ascii="Times New Roman" w:hAnsi="Times New Roman" w:cs="Times New Roman"/>
          <w:color w:val="auto"/>
          <w:sz w:val="32"/>
          <w:szCs w:val="32"/>
          <w:highlight w:val="none"/>
        </w:rPr>
      </w:pPr>
    </w:p>
    <w:p>
      <w:pPr>
        <w:adjustRightInd w:val="0"/>
        <w:snapToGrid w:val="0"/>
        <w:spacing w:line="360" w:lineRule="auto"/>
        <w:ind w:firstLine="1280" w:firstLineChars="4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采购项目编号：XJ2024090140</w:t>
      </w:r>
    </w:p>
    <w:p>
      <w:pPr>
        <w:adjustRightInd w:val="0"/>
        <w:snapToGrid w:val="0"/>
        <w:spacing w:line="360" w:lineRule="auto"/>
        <w:ind w:firstLine="1280" w:firstLineChars="4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采   购   人：中煤天津设计工程有限责任公司</w:t>
      </w:r>
    </w:p>
    <w:p>
      <w:pPr>
        <w:adjustRightInd w:val="0"/>
        <w:snapToGrid w:val="0"/>
        <w:ind w:firstLine="602" w:firstLineChars="200"/>
        <w:jc w:val="center"/>
        <w:rPr>
          <w:rFonts w:hint="default" w:ascii="Times New Roman" w:hAnsi="Times New Roman" w:cs="Times New Roman"/>
          <w:b/>
          <w:color w:val="auto"/>
          <w:sz w:val="30"/>
          <w:szCs w:val="30"/>
          <w:highlight w:val="none"/>
        </w:rPr>
      </w:pPr>
    </w:p>
    <w:p>
      <w:pPr>
        <w:pStyle w:val="7"/>
        <w:rPr>
          <w:rFonts w:hint="default" w:ascii="Times New Roman" w:hAnsi="Times New Roman" w:cs="Times New Roman"/>
          <w:b/>
          <w:color w:val="auto"/>
          <w:sz w:val="30"/>
          <w:szCs w:val="30"/>
          <w:highlight w:val="none"/>
        </w:rPr>
      </w:pPr>
    </w:p>
    <w:p>
      <w:pPr>
        <w:rPr>
          <w:rFonts w:hint="default" w:ascii="Times New Roman" w:hAnsi="Times New Roman" w:cs="Times New Roman"/>
          <w:b/>
          <w:color w:val="auto"/>
          <w:sz w:val="30"/>
          <w:szCs w:val="30"/>
          <w:highlight w:val="none"/>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pStyle w:val="7"/>
        <w:rPr>
          <w:rFonts w:hint="default" w:ascii="Times New Roman" w:hAnsi="Times New Roman" w:cs="Times New Roman"/>
          <w:b/>
          <w:color w:val="auto"/>
          <w:sz w:val="30"/>
          <w:szCs w:val="30"/>
          <w:highlight w:val="none"/>
        </w:rPr>
      </w:pPr>
    </w:p>
    <w:p>
      <w:pPr>
        <w:pStyle w:val="21"/>
        <w:spacing w:line="360" w:lineRule="auto"/>
        <w:jc w:val="center"/>
        <w:rPr>
          <w:rFonts w:hint="default" w:ascii="Times New Roman" w:hAnsi="Times New Roman" w:eastAsia="黑体" w:cs="Times New Roman"/>
          <w:bCs/>
          <w:color w:val="auto"/>
          <w:kern w:val="2"/>
          <w:sz w:val="36"/>
          <w:szCs w:val="36"/>
          <w:highlight w:val="none"/>
        </w:rPr>
      </w:pPr>
      <w:r>
        <w:rPr>
          <w:rFonts w:hint="default" w:ascii="Times New Roman" w:hAnsi="Times New Roman" w:cs="Times New Roman"/>
          <w:color w:val="auto"/>
          <w:sz w:val="32"/>
          <w:szCs w:val="32"/>
          <w:highlight w:val="none"/>
        </w:rPr>
        <w:t>202</w:t>
      </w:r>
      <w:r>
        <w:rPr>
          <w:rFonts w:hint="eastAsia" w:cs="Times New Roman"/>
          <w:color w:val="auto"/>
          <w:sz w:val="32"/>
          <w:szCs w:val="32"/>
          <w:highlight w:val="none"/>
          <w:lang w:val="en-US" w:eastAsia="zh-CN"/>
        </w:rPr>
        <w:t>4</w:t>
      </w:r>
      <w:r>
        <w:rPr>
          <w:rFonts w:hint="default" w:ascii="Times New Roman" w:hAnsi="Times New Roman" w:cs="Times New Roman"/>
          <w:color w:val="auto"/>
          <w:sz w:val="32"/>
          <w:szCs w:val="32"/>
          <w:highlight w:val="none"/>
        </w:rPr>
        <w:t>年</w:t>
      </w:r>
      <w:r>
        <w:rPr>
          <w:rFonts w:hint="eastAsia" w:cs="Times New Roman"/>
          <w:color w:val="auto"/>
          <w:sz w:val="32"/>
          <w:szCs w:val="32"/>
          <w:highlight w:val="none"/>
          <w:lang w:val="en-US" w:eastAsia="zh-CN"/>
        </w:rPr>
        <w:t>08</w:t>
      </w:r>
      <w:r>
        <w:rPr>
          <w:rFonts w:hint="default" w:ascii="Times New Roman" w:hAnsi="Times New Roman" w:cs="Times New Roman"/>
          <w:color w:val="auto"/>
          <w:sz w:val="32"/>
          <w:szCs w:val="32"/>
          <w:highlight w:val="none"/>
        </w:rPr>
        <w:t>月</w:t>
      </w:r>
    </w:p>
    <w:p>
      <w:pPr>
        <w:pStyle w:val="34"/>
        <w:ind w:firstLine="4392" w:firstLineChars="1823"/>
        <w:rPr>
          <w:rFonts w:hint="default" w:ascii="Times New Roman" w:hAnsi="Times New Roman" w:cs="Times New Roman"/>
          <w:color w:val="auto"/>
          <w:highlight w:val="none"/>
        </w:rPr>
      </w:pPr>
      <w:r>
        <w:rPr>
          <w:rFonts w:hint="default" w:ascii="Times New Roman" w:hAnsi="Times New Roman" w:eastAsia="宋体" w:cs="Times New Roman"/>
          <w:color w:val="auto"/>
          <w:highlight w:val="none"/>
        </w:rPr>
        <w:br w:type="page"/>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TOC \o "1-2" \h \z \u </w:instrText>
      </w:r>
      <w:r>
        <w:rPr>
          <w:rFonts w:hint="default" w:ascii="Times New Roman" w:hAnsi="Times New Roman" w:eastAsia="宋体" w:cs="Times New Roman"/>
          <w:color w:val="auto"/>
          <w:highlight w:val="none"/>
        </w:rPr>
        <w:fldChar w:fldCharType="separate"/>
      </w:r>
    </w:p>
    <w:p>
      <w:pPr>
        <w:pStyle w:val="34"/>
        <w:rPr>
          <w:rFonts w:hint="default" w:ascii="Times New Roman" w:hAnsi="Times New Roman" w:cs="Times New Roman"/>
          <w:b w:val="0"/>
          <w:bCs w:val="0"/>
          <w:caps w:val="0"/>
          <w:color w:val="auto"/>
          <w:sz w:val="21"/>
          <w:szCs w:val="2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"_Toc10184872"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第一章 采购公</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告</w:t>
      </w:r>
    </w:p>
    <w:p>
      <w:pPr>
        <w:pStyle w:val="34"/>
        <w:rPr>
          <w:rFonts w:hint="default" w:ascii="Times New Roman" w:hAnsi="Times New Roman" w:cs="Times New Roman"/>
          <w:color w:val="auto"/>
          <w:highlight w:val="none"/>
        </w:rPr>
      </w:pPr>
    </w:p>
    <w:p>
      <w:pPr>
        <w:pStyle w:val="34"/>
        <w:rPr>
          <w:rFonts w:hint="default" w:ascii="Times New Roman" w:hAnsi="Times New Roman" w:eastAsia="宋体" w:cs="Times New Roman"/>
          <w:b w:val="0"/>
          <w:bCs w:val="0"/>
          <w:caps w:val="0"/>
          <w:color w:val="auto"/>
          <w:sz w:val="21"/>
          <w:szCs w:val="2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"_Toc10184873"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第二章 供应商须知及前附表</w:t>
      </w:r>
      <w:r>
        <w:rPr>
          <w:rFonts w:hint="default" w:ascii="Times New Roman" w:hAnsi="Times New Roman" w:cs="Times New Roman"/>
          <w:color w:val="auto"/>
          <w:highlight w:val="none"/>
        </w:rPr>
        <w:fldChar w:fldCharType="end"/>
      </w:r>
    </w:p>
    <w:p>
      <w:pPr>
        <w:pStyle w:val="34"/>
        <w:rPr>
          <w:rFonts w:hint="default" w:ascii="Times New Roman" w:hAnsi="Times New Roman" w:cs="Times New Roman"/>
          <w:color w:val="auto"/>
          <w:highlight w:val="none"/>
        </w:rPr>
      </w:pPr>
    </w:p>
    <w:p>
      <w:pPr>
        <w:pStyle w:val="34"/>
        <w:rPr>
          <w:rFonts w:hint="default" w:ascii="Times New Roman" w:hAnsi="Times New Roman" w:eastAsia="宋体" w:cs="Times New Roman"/>
          <w:b w:val="0"/>
          <w:bCs w:val="0"/>
          <w:caps w:val="0"/>
          <w:color w:val="auto"/>
          <w:sz w:val="21"/>
          <w:szCs w:val="2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"_Toc10184881"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第三章 合同主要条款</w:t>
      </w:r>
      <w:r>
        <w:rPr>
          <w:rFonts w:hint="default" w:ascii="Times New Roman" w:hAnsi="Times New Roman" w:cs="Times New Roman"/>
          <w:color w:val="auto"/>
          <w:highlight w:val="none"/>
        </w:rPr>
        <w:fldChar w:fldCharType="end"/>
      </w:r>
    </w:p>
    <w:p>
      <w:pPr>
        <w:pStyle w:val="34"/>
        <w:rPr>
          <w:rFonts w:hint="default" w:ascii="Times New Roman" w:hAnsi="Times New Roman" w:cs="Times New Roman"/>
          <w:color w:val="auto"/>
          <w:highlight w:val="none"/>
        </w:rPr>
      </w:pPr>
    </w:p>
    <w:p>
      <w:pPr>
        <w:pStyle w:val="34"/>
        <w:rPr>
          <w:rFonts w:hint="default" w:ascii="Times New Roman" w:hAnsi="Times New Roman" w:eastAsia="宋体" w:cs="Times New Roman"/>
          <w:b w:val="0"/>
          <w:bCs w:val="0"/>
          <w:caps w:val="0"/>
          <w:color w:val="auto"/>
          <w:sz w:val="21"/>
          <w:szCs w:val="2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"_Toc10184882"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第四章 技术规格书</w:t>
      </w:r>
      <w:r>
        <w:rPr>
          <w:rFonts w:hint="default" w:ascii="Times New Roman" w:hAnsi="Times New Roman" w:cs="Times New Roman"/>
          <w:color w:val="auto"/>
          <w:highlight w:val="none"/>
        </w:rPr>
        <w:fldChar w:fldCharType="end"/>
      </w:r>
    </w:p>
    <w:p>
      <w:pPr>
        <w:pStyle w:val="34"/>
        <w:rPr>
          <w:rFonts w:hint="default" w:ascii="Times New Roman" w:hAnsi="Times New Roman" w:cs="Times New Roman"/>
          <w:color w:val="auto"/>
          <w:highlight w:val="none"/>
        </w:rPr>
      </w:pPr>
    </w:p>
    <w:p>
      <w:pPr>
        <w:pStyle w:val="34"/>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"_Toc10184883"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第五章 采购响应文件格式</w:t>
      </w:r>
      <w:r>
        <w:rPr>
          <w:rFonts w:hint="default" w:ascii="Times New Roman" w:hAnsi="Times New Roman" w:cs="Times New Roman"/>
          <w:color w:val="auto"/>
          <w:highlight w:val="none"/>
        </w:rPr>
        <w:fldChar w:fldCharType="end"/>
      </w:r>
    </w:p>
    <w:p>
      <w:pPr>
        <w:ind w:firstLine="100" w:firstLineChars="50"/>
        <w:jc w:val="center"/>
        <w:outlineLvl w:val="0"/>
        <w:rPr>
          <w:rFonts w:hint="default" w:ascii="Times New Roman" w:hAnsi="Times New Roman" w:cs="Times New Roman"/>
          <w:color w:val="auto"/>
          <w:highlight w:val="none"/>
        </w:rPr>
        <w:sectPr>
          <w:footerReference r:id="rId4" w:type="first"/>
          <w:footerReference r:id="rId3" w:type="default"/>
          <w:type w:val="continuous"/>
          <w:pgSz w:w="11907" w:h="16840"/>
          <w:pgMar w:top="1418" w:right="1275" w:bottom="1418" w:left="1531" w:header="1021" w:footer="907" w:gutter="0"/>
          <w:pgBorders>
            <w:top w:val="none" w:sz="0" w:space="0"/>
            <w:left w:val="none" w:sz="0" w:space="0"/>
            <w:bottom w:val="none" w:sz="0" w:space="0"/>
            <w:right w:val="none" w:sz="0" w:space="0"/>
          </w:pgBorders>
          <w:cols w:space="720" w:num="1"/>
          <w:docGrid w:linePitch="312" w:charSpace="0"/>
        </w:sectPr>
      </w:pPr>
    </w:p>
    <w:p>
      <w:pPr>
        <w:pStyle w:val="3"/>
        <w:bidi w:val="0"/>
        <w:jc w:val="center"/>
        <w:rPr>
          <w:rFonts w:hint="default" w:ascii="Times New Roman" w:hAnsi="Times New Roman" w:cs="Times New Roman"/>
          <w:b/>
          <w:color w:val="auto"/>
          <w:kern w:val="2"/>
          <w:sz w:val="44"/>
          <w:szCs w:val="44"/>
          <w:highlight w:val="none"/>
        </w:rPr>
      </w:pPr>
      <w:r>
        <w:rPr>
          <w:rFonts w:hint="default" w:ascii="Times New Roman" w:hAnsi="Times New Roman" w:cs="Times New Roman"/>
          <w:color w:val="auto"/>
          <w:highlight w:val="none"/>
        </w:rPr>
        <w:fldChar w:fldCharType="end"/>
      </w:r>
      <w:bookmarkStart w:id="1" w:name="_Toc4336"/>
      <w:bookmarkStart w:id="2" w:name="_Toc10184872"/>
      <w:bookmarkStart w:id="3" w:name="_Toc376793708"/>
      <w:bookmarkStart w:id="4" w:name="_Toc199062850"/>
      <w:bookmarkStart w:id="5" w:name="_Toc382509453"/>
      <w:bookmarkStart w:id="6" w:name="_Toc376793553"/>
      <w:bookmarkStart w:id="7" w:name="_Toc199065441"/>
      <w:bookmarkStart w:id="8" w:name="_Toc376164237"/>
      <w:bookmarkStart w:id="9" w:name="_Toc376793572"/>
      <w:bookmarkStart w:id="10" w:name="_Toc199040648"/>
      <w:r>
        <w:rPr>
          <w:rFonts w:hint="default" w:ascii="Times New Roman" w:hAnsi="Times New Roman" w:cs="Times New Roman"/>
          <w:b/>
          <w:color w:val="auto"/>
          <w:kern w:val="2"/>
          <w:sz w:val="44"/>
          <w:szCs w:val="44"/>
          <w:highlight w:val="none"/>
        </w:rPr>
        <w:t>第一章</w:t>
      </w:r>
      <w:bookmarkEnd w:id="1"/>
      <w:r>
        <w:rPr>
          <w:rFonts w:hint="default" w:ascii="Times New Roman" w:hAnsi="Times New Roman" w:cs="Times New Roman"/>
          <w:b/>
          <w:color w:val="auto"/>
          <w:kern w:val="2"/>
          <w:sz w:val="44"/>
          <w:szCs w:val="44"/>
          <w:highlight w:val="none"/>
        </w:rPr>
        <w:t xml:space="preserve"> 采购</w:t>
      </w:r>
      <w:bookmarkEnd w:id="2"/>
      <w:r>
        <w:rPr>
          <w:rFonts w:hint="default" w:ascii="Times New Roman" w:hAnsi="Times New Roman" w:cs="Times New Roman"/>
          <w:b/>
          <w:color w:val="auto"/>
          <w:kern w:val="2"/>
          <w:sz w:val="44"/>
          <w:szCs w:val="44"/>
          <w:highlight w:val="none"/>
        </w:rPr>
        <w:t>公告</w:t>
      </w:r>
    </w:p>
    <w:p>
      <w:pPr>
        <w:pStyle w:val="43"/>
        <w:spacing w:line="384" w:lineRule="atLeast"/>
        <w:rPr>
          <w:rFonts w:hint="default" w:ascii="Times New Roman" w:hAnsi="Times New Roman" w:cs="Times New Roman"/>
          <w:color w:val="auto"/>
          <w:szCs w:val="22"/>
          <w:highlight w:val="none"/>
        </w:rPr>
      </w:pPr>
      <w:r>
        <w:rPr>
          <w:rFonts w:hint="default" w:ascii="Times New Roman" w:hAnsi="Times New Roman" w:cs="Times New Roman"/>
          <w:color w:val="auto"/>
          <w:highlight w:val="none"/>
        </w:rPr>
        <w:t>项目编号：</w:t>
      </w:r>
      <w:r>
        <w:rPr>
          <w:rFonts w:hint="default" w:ascii="Times New Roman" w:hAnsi="Times New Roman" w:cs="Times New Roman"/>
          <w:color w:val="auto"/>
          <w:szCs w:val="22"/>
          <w:highlight w:val="none"/>
        </w:rPr>
        <w:t>XJ2024090140</w:t>
      </w:r>
    </w:p>
    <w:p>
      <w:pPr>
        <w:pStyle w:val="43"/>
        <w:spacing w:line="384" w:lineRule="atLeast"/>
        <w:rPr>
          <w:rFonts w:hint="default" w:ascii="Times New Roman" w:hAnsi="Times New Roman" w:cs="Times New Roman"/>
          <w:color w:val="auto"/>
          <w:highlight w:val="none"/>
        </w:rPr>
      </w:pPr>
      <w:r>
        <w:rPr>
          <w:rFonts w:hint="default" w:ascii="Times New Roman" w:hAnsi="Times New Roman" w:cs="Times New Roman"/>
          <w:color w:val="auto"/>
          <w:highlight w:val="none"/>
        </w:rPr>
        <w:t>类       别：</w:t>
      </w:r>
      <w:r>
        <w:rPr>
          <w:rFonts w:hint="eastAsia" w:ascii="Times New Roman" w:cs="Times New Roman"/>
          <w:color w:val="auto"/>
          <w:highlight w:val="none"/>
          <w:lang w:val="en-US" w:eastAsia="zh-CN"/>
        </w:rPr>
        <w:t>单一来源</w:t>
      </w:r>
      <w:r>
        <w:rPr>
          <w:rFonts w:hint="default" w:ascii="Times New Roman" w:hAnsi="Times New Roman" w:cs="Times New Roman"/>
          <w:color w:val="auto"/>
          <w:highlight w:val="none"/>
        </w:rPr>
        <w:t>谈判</w:t>
      </w:r>
    </w:p>
    <w:p>
      <w:pPr>
        <w:pStyle w:val="7"/>
        <w:ind w:firstLine="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谈判时间：2024-09-</w:t>
      </w:r>
      <w:r>
        <w:rPr>
          <w:rFonts w:hint="eastAsia" w:cs="Times New Roman"/>
          <w:color w:val="auto"/>
          <w:kern w:val="0"/>
          <w:sz w:val="24"/>
          <w:highlight w:val="none"/>
          <w:lang w:val="en-US" w:eastAsia="zh-CN"/>
        </w:rPr>
        <w:t>11</w:t>
      </w:r>
      <w:r>
        <w:rPr>
          <w:rFonts w:hint="default" w:ascii="Times New Roman" w:hAnsi="Times New Roman" w:cs="Times New Roman"/>
          <w:color w:val="auto"/>
          <w:kern w:val="0"/>
          <w:sz w:val="24"/>
          <w:highlight w:val="none"/>
        </w:rPr>
        <w:t xml:space="preserve"> 09:00:00</w:t>
      </w:r>
    </w:p>
    <w:p>
      <w:pPr>
        <w:rPr>
          <w:rFonts w:hint="default" w:ascii="Times New Roman" w:hAnsi="Times New Roman" w:cs="Times New Roman"/>
          <w:color w:val="auto"/>
          <w:highlight w:val="none"/>
        </w:rPr>
      </w:pPr>
    </w:p>
    <w:p>
      <w:pPr>
        <w:pStyle w:val="43"/>
        <w:spacing w:before="0" w:beforeAutospacing="0" w:after="0" w:afterAutospacing="0" w:line="48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根据相关法律法规，遵循公开、公平、公正和诚实信用的原则，现对</w:t>
      </w:r>
      <w:r>
        <w:rPr>
          <w:rFonts w:hint="eastAsia" w:ascii="Times New Roman" w:cs="Times New Roman"/>
          <w:color w:val="auto"/>
          <w:highlight w:val="none"/>
          <w:lang w:eastAsia="zh-CN"/>
        </w:rPr>
        <w:t>中天合创能源有限责任公司葫芦素矿井煤矸石灌浆系统</w:t>
      </w:r>
      <w:r>
        <w:rPr>
          <w:rFonts w:hint="eastAsia" w:ascii="Times New Roman" w:cs="Times New Roman"/>
          <w:color w:val="auto"/>
          <w:highlight w:val="none"/>
          <w:lang w:val="en-US" w:eastAsia="zh-CN"/>
        </w:rPr>
        <w:t>EPC总承包建安工程</w:t>
      </w:r>
      <w:r>
        <w:rPr>
          <w:rFonts w:hint="default" w:ascii="Times New Roman" w:hAnsi="Times New Roman" w:cs="Times New Roman"/>
          <w:color w:val="auto"/>
          <w:highlight w:val="none"/>
        </w:rPr>
        <w:t>采购进行</w:t>
      </w:r>
      <w:r>
        <w:rPr>
          <w:rFonts w:hint="eastAsia" w:ascii="Times New Roman" w:cs="Times New Roman"/>
          <w:color w:val="auto"/>
          <w:highlight w:val="none"/>
          <w:lang w:val="en-US" w:eastAsia="zh-CN"/>
        </w:rPr>
        <w:t>单一来源</w:t>
      </w:r>
      <w:r>
        <w:rPr>
          <w:rFonts w:hint="default" w:ascii="Times New Roman" w:hAnsi="Times New Roman" w:cs="Times New Roman"/>
          <w:color w:val="auto"/>
          <w:highlight w:val="none"/>
        </w:rPr>
        <w:t>谈判。</w:t>
      </w:r>
    </w:p>
    <w:p>
      <w:pPr>
        <w:pStyle w:val="4"/>
        <w:keepNext/>
        <w:keepLines/>
        <w:pageBreakBefore w:val="0"/>
        <w:widowControl/>
        <w:numPr>
          <w:ilvl w:val="0"/>
          <w:numId w:val="4"/>
        </w:numPr>
        <w:kinsoku/>
        <w:wordWrap/>
        <w:overflowPunct/>
        <w:topLinePunct w:val="0"/>
        <w:autoSpaceDE/>
        <w:autoSpaceDN/>
        <w:bidi w:val="0"/>
        <w:adjustRightInd/>
        <w:snapToGrid/>
        <w:spacing w:before="0" w:after="0" w:line="416" w:lineRule="auto"/>
        <w:textAlignment w:val="auto"/>
        <w:rPr>
          <w:rFonts w:hint="default"/>
          <w:sz w:val="28"/>
          <w:szCs w:val="28"/>
        </w:rPr>
      </w:pPr>
      <w:r>
        <w:rPr>
          <w:rFonts w:hint="default"/>
          <w:sz w:val="28"/>
          <w:szCs w:val="28"/>
        </w:rPr>
        <w:t>采购范围</w:t>
      </w:r>
    </w:p>
    <w:p>
      <w:pPr>
        <w:pStyle w:val="40"/>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葫芦素煤矿需要在西翼盘区增加灌浆站，规模为120m3/h，为充分利用已建成投用的煤矸石离层注浆充填系统优势，结合现场实际情况，计划采用离层注浆充填浆液进行灌浆防灭火。</w:t>
      </w:r>
    </w:p>
    <w:p>
      <w:pPr>
        <w:pStyle w:val="40"/>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 xml:space="preserve">本次工程利用已建成投用的煤矸石离层注浆充填系统配合设计新增管路、新增地面至井下灌浆孔以及井下灌浆管路组成矿井灌浆防灭火系统。灌浆能力为120m3/h，现有离层注浆系统中矸石浆液制成之后从一级注浆站通过输浆管路输送至二级注浆站，本次设计从一二级注浆站之间的现有输浆管路距一级站约2.05km处新增地面输浆管路，并施工地面钻孔至井下四盘区大巷附近，与灌浆孔孔口连接，由灌浆孔孔底处向东西方向开凿巷道与四盘区主运大巷与回风大巷联通并向东铺设管路至回风大巷，灌浆浆液通过地面管路、灌浆孔，最后通过井下管路输送至井下需浆地点完成灌浆流程。 </w:t>
      </w:r>
    </w:p>
    <w:p>
      <w:pPr>
        <w:pStyle w:val="40"/>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中天合创能源有限责任公司葫芦素矿井灌浆系统招标范围包括地面设施全部设计、安装、工程施工、设备采购、竣工验收、调试及灌浆孔全部工程设计、施工、设备采购、竣工验收、调试工作。</w:t>
      </w:r>
    </w:p>
    <w:p>
      <w:pPr>
        <w:pStyle w:val="40"/>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地面设施包括：太阳能无线摄像头、悬浮剂添加机、充填耐磨钢管、手动浆液阀、机械流量计、注浆管道支架、集装箱式活动房等。</w:t>
      </w:r>
    </w:p>
    <w:p>
      <w:pPr>
        <w:pStyle w:val="40"/>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灌浆孔包括：灌浆孔开凿、灌浆孔孔护壁管、外管及内管等。</w:t>
      </w:r>
    </w:p>
    <w:p>
      <w:pPr>
        <w:pStyle w:val="40"/>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rPr>
      </w:pPr>
      <w:r>
        <w:rPr>
          <w:rFonts w:hint="default" w:ascii="Times New Roman" w:hAnsi="Times New Roman" w:cs="Times New Roman"/>
          <w:color w:val="auto"/>
          <w:sz w:val="24"/>
          <w:szCs w:val="24"/>
          <w:highlight w:val="none"/>
          <w:lang w:val="en-US" w:eastAsia="zh-CN"/>
        </w:rPr>
        <w:t xml:space="preserve">本项目包括地面设施设备购置、施工机械、人工、材料、措施费、管理费、利润、施工期间的各种风险、政策性调整、技术服务费、林草地手续、国土手续、协调费用等全部费用。上述全部内容在总承包范围内。 </w:t>
      </w:r>
    </w:p>
    <w:p>
      <w:pPr>
        <w:pStyle w:val="40"/>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投标人</w:t>
      </w:r>
      <w:r>
        <w:rPr>
          <w:rFonts w:hint="eastAsia" w:ascii="Times New Roman" w:hAnsi="Times New Roman" w:cs="Times New Roman"/>
          <w:bCs/>
          <w:color w:val="auto"/>
          <w:kern w:val="2"/>
          <w:sz w:val="24"/>
          <w:szCs w:val="24"/>
          <w:highlight w:val="none"/>
          <w:lang w:val="en-US" w:eastAsia="zh-CN" w:bidi="ar-SA"/>
        </w:rPr>
        <w:t>负责</w:t>
      </w:r>
      <w:r>
        <w:rPr>
          <w:rFonts w:hint="eastAsia" w:ascii="Times New Roman" w:hAnsi="Times New Roman" w:cs="Times New Roman"/>
          <w:color w:val="auto"/>
          <w:sz w:val="24"/>
          <w:szCs w:val="24"/>
          <w:highlight w:val="none"/>
          <w:lang w:val="en-US" w:eastAsia="zh-CN"/>
        </w:rPr>
        <w:t>分包</w:t>
      </w:r>
      <w:r>
        <w:rPr>
          <w:rFonts w:hint="default" w:ascii="Times New Roman" w:hAnsi="Times New Roman" w:eastAsia="宋体" w:cs="Times New Roman"/>
          <w:bCs/>
          <w:color w:val="auto"/>
          <w:kern w:val="2"/>
          <w:sz w:val="24"/>
          <w:szCs w:val="24"/>
          <w:highlight w:val="none"/>
          <w:lang w:val="en-US" w:eastAsia="zh-CN" w:bidi="ar-SA"/>
        </w:rPr>
        <w:t>范围内</w:t>
      </w:r>
      <w:r>
        <w:rPr>
          <w:rFonts w:hint="eastAsia" w:ascii="Times New Roman" w:hAnsi="Times New Roman" w:cs="Times New Roman"/>
          <w:bCs/>
          <w:color w:val="auto"/>
          <w:kern w:val="2"/>
          <w:sz w:val="24"/>
          <w:szCs w:val="24"/>
          <w:highlight w:val="none"/>
          <w:lang w:val="en-US" w:eastAsia="zh-CN" w:bidi="ar-SA"/>
        </w:rPr>
        <w:t>的</w:t>
      </w:r>
      <w:r>
        <w:rPr>
          <w:rFonts w:hint="default" w:ascii="Times New Roman" w:hAnsi="Times New Roman" w:eastAsia="宋体" w:cs="Times New Roman"/>
          <w:bCs/>
          <w:color w:val="auto"/>
          <w:kern w:val="2"/>
          <w:sz w:val="24"/>
          <w:szCs w:val="24"/>
          <w:highlight w:val="none"/>
          <w:lang w:val="en-US" w:eastAsia="zh-CN" w:bidi="ar-SA"/>
        </w:rPr>
        <w:t>全部竣工图、</w:t>
      </w:r>
      <w:r>
        <w:rPr>
          <w:rFonts w:hint="eastAsia" w:ascii="Times New Roman" w:hAnsi="Times New Roman" w:cs="Times New Roman"/>
          <w:bCs/>
          <w:color w:val="auto"/>
          <w:kern w:val="2"/>
          <w:sz w:val="24"/>
          <w:szCs w:val="24"/>
          <w:highlight w:val="none"/>
          <w:lang w:val="en-US" w:eastAsia="zh-CN" w:bidi="ar-SA"/>
        </w:rPr>
        <w:t>材料供货及安装施工</w:t>
      </w:r>
      <w:r>
        <w:rPr>
          <w:rFonts w:hint="default" w:ascii="Times New Roman" w:hAnsi="Times New Roman" w:eastAsia="宋体" w:cs="Times New Roman"/>
          <w:bCs/>
          <w:color w:val="auto"/>
          <w:kern w:val="2"/>
          <w:sz w:val="24"/>
          <w:szCs w:val="24"/>
          <w:highlight w:val="none"/>
          <w:lang w:val="en-US" w:eastAsia="zh-CN" w:bidi="ar-SA"/>
        </w:rPr>
        <w:t>、催交、监造、仓储、建筑施工、</w:t>
      </w:r>
      <w:r>
        <w:rPr>
          <w:rFonts w:hint="default" w:ascii="Times New Roman" w:hAnsi="Times New Roman" w:cs="Times New Roman"/>
          <w:color w:val="auto"/>
          <w:sz w:val="24"/>
          <w:szCs w:val="24"/>
          <w:highlight w:val="none"/>
          <w:lang w:val="en-US" w:eastAsia="zh-CN"/>
        </w:rPr>
        <w:t>试验及检查、</w:t>
      </w:r>
      <w:r>
        <w:rPr>
          <w:rFonts w:hint="eastAsia" w:ascii="Times New Roman" w:hAnsi="Times New Roman" w:cs="Times New Roman"/>
          <w:bCs/>
          <w:color w:val="auto"/>
          <w:kern w:val="2"/>
          <w:sz w:val="24"/>
          <w:szCs w:val="24"/>
          <w:highlight w:val="none"/>
          <w:lang w:val="en-US" w:eastAsia="zh-CN" w:bidi="ar-SA"/>
        </w:rPr>
        <w:t>消缺、</w:t>
      </w:r>
      <w:r>
        <w:rPr>
          <w:rFonts w:hint="default" w:ascii="Times New Roman" w:hAnsi="Times New Roman" w:cs="Times New Roman"/>
          <w:color w:val="auto"/>
          <w:sz w:val="24"/>
          <w:szCs w:val="24"/>
          <w:highlight w:val="none"/>
          <w:lang w:val="en-US" w:eastAsia="zh-CN"/>
        </w:rPr>
        <w:t>考核验收、移交生产</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性能质量保证、达标投产、工程质量保修期限服务的</w:t>
      </w:r>
      <w:r>
        <w:rPr>
          <w:rFonts w:hint="default" w:ascii="Times New Roman" w:hAnsi="Times New Roman" w:eastAsia="宋体" w:cs="Times New Roman"/>
          <w:bCs/>
          <w:color w:val="auto"/>
          <w:kern w:val="2"/>
          <w:sz w:val="24"/>
          <w:szCs w:val="24"/>
          <w:highlight w:val="none"/>
          <w:lang w:val="en-US" w:eastAsia="zh-CN" w:bidi="ar-SA"/>
        </w:rPr>
        <w:t>全过程</w:t>
      </w:r>
      <w:r>
        <w:rPr>
          <w:rFonts w:hint="eastAsia" w:ascii="Times New Roman" w:hAnsi="Times New Roman" w:cs="Times New Roman"/>
          <w:bCs/>
          <w:color w:val="auto"/>
          <w:kern w:val="2"/>
          <w:sz w:val="24"/>
          <w:szCs w:val="24"/>
          <w:highlight w:val="none"/>
          <w:lang w:val="en-US" w:eastAsia="zh-CN" w:bidi="ar-SA"/>
        </w:rPr>
        <w:t>工作</w:t>
      </w:r>
      <w:r>
        <w:rPr>
          <w:rFonts w:hint="default" w:ascii="Times New Roman" w:hAnsi="Times New Roman" w:eastAsia="宋体" w:cs="Times New Roman"/>
          <w:bCs/>
          <w:color w:val="auto"/>
          <w:kern w:val="2"/>
          <w:sz w:val="24"/>
          <w:szCs w:val="24"/>
          <w:highlight w:val="none"/>
          <w:lang w:val="en-US" w:eastAsia="zh-CN" w:bidi="ar-SA"/>
        </w:rPr>
        <w:t>，</w:t>
      </w:r>
      <w:r>
        <w:rPr>
          <w:rFonts w:hint="eastAsia" w:ascii="Times New Roman" w:hAnsi="Times New Roman" w:cs="Times New Roman"/>
          <w:bCs/>
          <w:color w:val="auto"/>
          <w:kern w:val="2"/>
          <w:sz w:val="24"/>
          <w:szCs w:val="24"/>
          <w:highlight w:val="none"/>
          <w:lang w:val="en-US" w:eastAsia="zh-CN" w:bidi="ar-SA"/>
        </w:rPr>
        <w:t>配合</w:t>
      </w:r>
      <w:r>
        <w:rPr>
          <w:rFonts w:hint="default" w:ascii="Times New Roman" w:hAnsi="Times New Roman" w:eastAsia="宋体" w:cs="Times New Roman"/>
          <w:bCs/>
          <w:color w:val="auto"/>
          <w:kern w:val="2"/>
          <w:sz w:val="24"/>
          <w:szCs w:val="24"/>
          <w:highlight w:val="none"/>
          <w:lang w:val="en-US" w:eastAsia="zh-CN" w:bidi="ar-SA"/>
        </w:rPr>
        <w:t>招标</w:t>
      </w:r>
      <w:r>
        <w:rPr>
          <w:rFonts w:hint="eastAsia" w:ascii="Times New Roman" w:hAnsi="Times New Roman" w:cs="Times New Roman"/>
          <w:bCs/>
          <w:color w:val="auto"/>
          <w:kern w:val="2"/>
          <w:sz w:val="24"/>
          <w:szCs w:val="24"/>
          <w:highlight w:val="none"/>
          <w:lang w:val="en-US" w:eastAsia="zh-CN" w:bidi="ar-SA"/>
        </w:rPr>
        <w:t>人</w:t>
      </w:r>
      <w:r>
        <w:rPr>
          <w:rFonts w:hint="default" w:ascii="Times New Roman" w:hAnsi="Times New Roman" w:eastAsia="宋体" w:cs="Times New Roman"/>
          <w:bCs/>
          <w:color w:val="auto"/>
          <w:kern w:val="2"/>
          <w:sz w:val="24"/>
          <w:szCs w:val="24"/>
          <w:highlight w:val="none"/>
          <w:lang w:val="en-US" w:eastAsia="zh-CN" w:bidi="ar-SA"/>
        </w:rPr>
        <w:t>通过国家环保部门的专项验收，进行消防、施工、运行、调试等相关验收，以及项目验收范围内的其它专项验收。</w:t>
      </w:r>
    </w:p>
    <w:p>
      <w:pPr>
        <w:pStyle w:val="4"/>
        <w:keepNext/>
        <w:keepLines/>
        <w:pageBreakBefore w:val="0"/>
        <w:widowControl/>
        <w:kinsoku/>
        <w:wordWrap/>
        <w:overflowPunct/>
        <w:topLinePunct w:val="0"/>
        <w:autoSpaceDE/>
        <w:autoSpaceDN/>
        <w:bidi w:val="0"/>
        <w:adjustRightInd/>
        <w:snapToGrid/>
        <w:spacing w:before="0" w:after="0" w:line="416" w:lineRule="auto"/>
        <w:textAlignment w:val="auto"/>
        <w:rPr>
          <w:rFonts w:hint="default"/>
          <w:sz w:val="28"/>
          <w:szCs w:val="28"/>
          <w:lang w:val="en-US" w:eastAsia="zh-CN"/>
        </w:rPr>
      </w:pPr>
      <w:r>
        <w:rPr>
          <w:rFonts w:hint="eastAsia"/>
          <w:sz w:val="28"/>
          <w:szCs w:val="28"/>
          <w:lang w:val="en-US" w:eastAsia="zh-CN"/>
        </w:rPr>
        <w:t>2、</w:t>
      </w:r>
      <w:r>
        <w:rPr>
          <w:rFonts w:hint="default"/>
          <w:sz w:val="28"/>
          <w:szCs w:val="28"/>
          <w:lang w:val="en-US" w:eastAsia="zh-CN"/>
        </w:rPr>
        <w:t>主要内容</w:t>
      </w:r>
    </w:p>
    <w:p>
      <w:pPr>
        <w:pStyle w:val="43"/>
        <w:spacing w:before="0" w:beforeAutospacing="0" w:after="0" w:afterAutospacing="0" w:line="48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详见技术规格书</w:t>
      </w:r>
    </w:p>
    <w:p>
      <w:pPr>
        <w:pStyle w:val="4"/>
        <w:keepNext/>
        <w:keepLines/>
        <w:pageBreakBefore w:val="0"/>
        <w:widowControl/>
        <w:kinsoku/>
        <w:wordWrap/>
        <w:overflowPunct/>
        <w:topLinePunct w:val="0"/>
        <w:autoSpaceDE/>
        <w:autoSpaceDN/>
        <w:bidi w:val="0"/>
        <w:adjustRightInd/>
        <w:snapToGrid/>
        <w:spacing w:before="0" w:after="0" w:line="416" w:lineRule="auto"/>
        <w:textAlignment w:val="auto"/>
        <w:rPr>
          <w:rFonts w:hint="default"/>
          <w:sz w:val="28"/>
          <w:szCs w:val="28"/>
          <w:lang w:val="en-US" w:eastAsia="zh-CN"/>
        </w:rPr>
      </w:pPr>
      <w:r>
        <w:rPr>
          <w:rFonts w:hint="eastAsia"/>
          <w:sz w:val="28"/>
          <w:szCs w:val="28"/>
          <w:lang w:val="en-US" w:eastAsia="zh-CN"/>
        </w:rPr>
        <w:t>3</w:t>
      </w:r>
      <w:r>
        <w:rPr>
          <w:rFonts w:hint="default"/>
          <w:sz w:val="28"/>
          <w:szCs w:val="28"/>
          <w:lang w:val="en-US" w:eastAsia="zh-CN"/>
        </w:rPr>
        <w:t>、质量标准</w:t>
      </w:r>
    </w:p>
    <w:p>
      <w:pPr>
        <w:pStyle w:val="40"/>
        <w:keepNext w:val="0"/>
        <w:keepLines w:val="0"/>
        <w:pageBreakBefore w:val="0"/>
        <w:widowControl w:val="0"/>
        <w:kinsoku/>
        <w:wordWrap/>
        <w:overflowPunct/>
        <w:topLinePunct w:val="0"/>
        <w:autoSpaceDE/>
        <w:autoSpaceDN/>
        <w:bidi w:val="0"/>
        <w:adjustRightInd/>
        <w:snapToGrid/>
        <w:spacing w:line="500" w:lineRule="exact"/>
        <w:ind w:left="240" w:leftChars="120" w:firstLine="0" w:firstLineChars="0"/>
        <w:textAlignment w:val="auto"/>
        <w:rPr>
          <w:rFonts w:hint="default" w:ascii="Times New Roman" w:hAnsi="Times New Roman" w:eastAsia="宋体" w:cs="Times New Roman"/>
          <w:bCs/>
          <w:color w:val="auto"/>
          <w:kern w:val="2"/>
          <w:sz w:val="24"/>
          <w:szCs w:val="24"/>
          <w:highlight w:val="none"/>
          <w:lang w:val="en-US" w:eastAsia="zh-CN" w:bidi="ar-SA"/>
        </w:rPr>
      </w:pPr>
      <w:r>
        <w:rPr>
          <w:rFonts w:hint="eastAsia" w:hAnsi="Times New Roman" w:cs="Times New Roman"/>
          <w:bCs/>
          <w:color w:val="auto"/>
          <w:kern w:val="2"/>
          <w:sz w:val="24"/>
          <w:szCs w:val="24"/>
          <w:highlight w:val="none"/>
          <w:lang w:val="en-US" w:eastAsia="zh-CN" w:bidi="ar-SA"/>
        </w:rPr>
        <w:t>（1）</w:t>
      </w:r>
      <w:r>
        <w:rPr>
          <w:rFonts w:hint="default" w:ascii="Times New Roman" w:hAnsi="Times New Roman" w:eastAsia="宋体" w:cs="Times New Roman"/>
          <w:bCs/>
          <w:color w:val="auto"/>
          <w:kern w:val="2"/>
          <w:sz w:val="24"/>
          <w:szCs w:val="24"/>
          <w:highlight w:val="none"/>
          <w:lang w:val="en-US" w:eastAsia="zh-CN" w:bidi="ar-SA"/>
        </w:rPr>
        <w:t xml:space="preserve">设备物资采购质量标准：工程物资采购质量符合设计图纸及现行国家、行业有关标准规范要求，设备、材料入场合格率100%。  </w:t>
      </w:r>
    </w:p>
    <w:p>
      <w:pPr>
        <w:pStyle w:val="40"/>
        <w:keepNext w:val="0"/>
        <w:keepLines w:val="0"/>
        <w:pageBreakBefore w:val="0"/>
        <w:widowControl w:val="0"/>
        <w:kinsoku/>
        <w:wordWrap/>
        <w:overflowPunct/>
        <w:topLinePunct w:val="0"/>
        <w:autoSpaceDE/>
        <w:autoSpaceDN/>
        <w:bidi w:val="0"/>
        <w:adjustRightInd/>
        <w:snapToGrid/>
        <w:spacing w:line="500" w:lineRule="exact"/>
        <w:ind w:left="240" w:leftChars="120" w:firstLine="0" w:firstLineChars="0"/>
        <w:textAlignment w:val="auto"/>
        <w:rPr>
          <w:rFonts w:hint="default" w:ascii="Times New Roman" w:hAnsi="Times New Roman" w:eastAsia="宋体" w:cs="Times New Roman"/>
          <w:bCs/>
          <w:color w:val="auto"/>
          <w:kern w:val="2"/>
          <w:sz w:val="24"/>
          <w:szCs w:val="24"/>
          <w:highlight w:val="none"/>
          <w:lang w:val="en-US" w:eastAsia="zh-CN" w:bidi="ar-SA"/>
        </w:rPr>
      </w:pPr>
      <w:r>
        <w:rPr>
          <w:rFonts w:hint="eastAsia" w:hAnsi="Times New Roman" w:cs="Times New Roman"/>
          <w:bCs/>
          <w:color w:val="auto"/>
          <w:kern w:val="2"/>
          <w:sz w:val="24"/>
          <w:szCs w:val="24"/>
          <w:highlight w:val="none"/>
          <w:lang w:val="en-US" w:eastAsia="zh-CN" w:bidi="ar-SA"/>
        </w:rPr>
        <w:t>（2）</w:t>
      </w:r>
      <w:r>
        <w:rPr>
          <w:rFonts w:hint="default" w:ascii="Times New Roman" w:hAnsi="Times New Roman" w:eastAsia="宋体" w:cs="Times New Roman"/>
          <w:bCs/>
          <w:color w:val="auto"/>
          <w:kern w:val="2"/>
          <w:sz w:val="24"/>
          <w:szCs w:val="24"/>
          <w:highlight w:val="none"/>
          <w:lang w:val="en-US" w:eastAsia="zh-CN" w:bidi="ar-SA"/>
        </w:rPr>
        <w:t>设备</w:t>
      </w:r>
      <w:r>
        <w:rPr>
          <w:rFonts w:hint="eastAsia" w:ascii="Times New Roman" w:hAnsi="Times New Roman" w:eastAsia="宋体" w:cs="Times New Roman"/>
          <w:bCs/>
          <w:color w:val="auto"/>
          <w:kern w:val="2"/>
          <w:sz w:val="24"/>
          <w:szCs w:val="24"/>
          <w:highlight w:val="none"/>
          <w:lang w:val="en-US" w:eastAsia="zh-CN" w:bidi="ar-SA"/>
        </w:rPr>
        <w:t>包装：小型设备必须套防雨塑料袋，木箱包装</w:t>
      </w:r>
      <w:r>
        <w:rPr>
          <w:rFonts w:hint="default" w:ascii="Times New Roman" w:hAnsi="Times New Roman" w:eastAsia="宋体" w:cs="Times New Roman"/>
          <w:bCs/>
          <w:color w:val="auto"/>
          <w:kern w:val="2"/>
          <w:sz w:val="24"/>
          <w:szCs w:val="24"/>
          <w:highlight w:val="none"/>
          <w:lang w:val="en-US" w:eastAsia="zh-CN" w:bidi="ar-SA"/>
        </w:rPr>
        <w:t>。</w:t>
      </w:r>
      <w:r>
        <w:rPr>
          <w:rFonts w:hint="eastAsia" w:ascii="Times New Roman" w:hAnsi="Times New Roman" w:eastAsia="宋体" w:cs="Times New Roman"/>
          <w:bCs/>
          <w:color w:val="auto"/>
          <w:kern w:val="2"/>
          <w:sz w:val="24"/>
          <w:szCs w:val="24"/>
          <w:highlight w:val="none"/>
          <w:lang w:val="en-US" w:eastAsia="zh-CN" w:bidi="ar-SA"/>
        </w:rPr>
        <w:t>大型设备的电机、控制柜、电气元件必须套防雨塑料袋，防止雨水进入。</w:t>
      </w:r>
    </w:p>
    <w:p>
      <w:pPr>
        <w:pStyle w:val="40"/>
        <w:keepNext w:val="0"/>
        <w:keepLines w:val="0"/>
        <w:pageBreakBefore w:val="0"/>
        <w:widowControl w:val="0"/>
        <w:kinsoku/>
        <w:wordWrap/>
        <w:overflowPunct/>
        <w:topLinePunct w:val="0"/>
        <w:autoSpaceDE/>
        <w:autoSpaceDN/>
        <w:bidi w:val="0"/>
        <w:adjustRightInd/>
        <w:snapToGrid/>
        <w:spacing w:line="500" w:lineRule="exact"/>
        <w:ind w:left="240" w:leftChars="120" w:firstLine="0" w:firstLineChars="0"/>
        <w:textAlignment w:val="auto"/>
        <w:rPr>
          <w:rFonts w:hint="default" w:ascii="Times New Roman" w:hAnsi="Times New Roman" w:eastAsia="宋体" w:cs="Times New Roman"/>
          <w:bCs/>
          <w:color w:val="auto"/>
          <w:kern w:val="2"/>
          <w:sz w:val="24"/>
          <w:szCs w:val="24"/>
          <w:highlight w:val="none"/>
          <w:lang w:val="en-US" w:eastAsia="zh-CN" w:bidi="ar-SA"/>
        </w:rPr>
      </w:pPr>
      <w:r>
        <w:rPr>
          <w:rFonts w:hint="eastAsia" w:hAnsi="Times New Roman" w:cs="Times New Roman"/>
          <w:bCs/>
          <w:color w:val="auto"/>
          <w:kern w:val="2"/>
          <w:sz w:val="24"/>
          <w:szCs w:val="24"/>
          <w:highlight w:val="none"/>
          <w:lang w:val="en-US" w:eastAsia="zh-CN" w:bidi="ar-SA"/>
        </w:rPr>
        <w:t>（3）</w:t>
      </w:r>
      <w:r>
        <w:rPr>
          <w:rFonts w:hint="eastAsia" w:ascii="Times New Roman" w:hAnsi="Times New Roman" w:eastAsia="宋体" w:cs="Times New Roman"/>
          <w:bCs/>
          <w:color w:val="auto"/>
          <w:kern w:val="2"/>
          <w:sz w:val="24"/>
          <w:szCs w:val="24"/>
          <w:highlight w:val="none"/>
          <w:lang w:val="en-US" w:eastAsia="zh-CN" w:bidi="ar-SA"/>
        </w:rPr>
        <w:t>设备供货期和运输：合同签订后，30天内具备发货条件。接到甲方发货通知，货物要求在7天内运输到合同指定收货地址。</w:t>
      </w:r>
    </w:p>
    <w:p>
      <w:pPr>
        <w:pStyle w:val="40"/>
        <w:keepNext w:val="0"/>
        <w:keepLines w:val="0"/>
        <w:pageBreakBefore w:val="0"/>
        <w:widowControl w:val="0"/>
        <w:kinsoku/>
        <w:wordWrap/>
        <w:overflowPunct/>
        <w:topLinePunct w:val="0"/>
        <w:autoSpaceDE/>
        <w:autoSpaceDN/>
        <w:bidi w:val="0"/>
        <w:adjustRightInd/>
        <w:snapToGrid/>
        <w:spacing w:line="500" w:lineRule="exact"/>
        <w:ind w:left="240" w:leftChars="120" w:firstLine="0" w:firstLineChars="0"/>
        <w:textAlignment w:val="auto"/>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（4）设备质保期：设备验收后1年。设备验收后，1年内出现产品质量问题，免费更换设备或维修。</w:t>
      </w:r>
    </w:p>
    <w:p>
      <w:pPr>
        <w:pStyle w:val="40"/>
        <w:keepNext w:val="0"/>
        <w:keepLines w:val="0"/>
        <w:pageBreakBefore w:val="0"/>
        <w:widowControl w:val="0"/>
        <w:kinsoku/>
        <w:wordWrap/>
        <w:overflowPunct/>
        <w:topLinePunct w:val="0"/>
        <w:autoSpaceDE/>
        <w:autoSpaceDN/>
        <w:bidi w:val="0"/>
        <w:adjustRightInd/>
        <w:snapToGrid/>
        <w:spacing w:line="500" w:lineRule="exact"/>
        <w:ind w:left="240" w:leftChars="120" w:firstLine="0" w:firstLineChars="0"/>
        <w:textAlignment w:val="auto"/>
        <w:rPr>
          <w:rFonts w:hint="default"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（5）在包括分包工程的总包工程竣工交付使用后，分包人应按国家有关规定对分包工程出现的缺陷进行保修，具体保修责任按照分包人与承包人在工程竣工验收之前签订的质量保修书执行。</w:t>
      </w:r>
    </w:p>
    <w:p>
      <w:pPr>
        <w:pStyle w:val="43"/>
        <w:spacing w:before="0" w:beforeAutospacing="0" w:after="0" w:afterAutospacing="0" w:line="480" w:lineRule="auto"/>
        <w:ind w:firstLine="480" w:firstLineChars="200"/>
        <w:rPr>
          <w:rFonts w:hint="default" w:ascii="Times New Roman" w:hAnsi="Times New Roman" w:cs="Times New Roman"/>
          <w:color w:val="auto"/>
          <w:highlight w:val="none"/>
        </w:rPr>
      </w:pPr>
      <w:r>
        <w:rPr>
          <w:rFonts w:hint="eastAsia" w:ascii="Times New Roman" w:cs="Times New Roman"/>
          <w:color w:val="auto"/>
          <w:highlight w:val="none"/>
          <w:lang w:val="en-US" w:eastAsia="zh-CN"/>
        </w:rPr>
        <w:t>其它详细内容</w:t>
      </w:r>
      <w:r>
        <w:rPr>
          <w:rFonts w:hint="default" w:ascii="Times New Roman" w:hAnsi="Times New Roman" w:cs="Times New Roman"/>
          <w:color w:val="auto"/>
          <w:highlight w:val="none"/>
        </w:rPr>
        <w:t>按技术规格书内标准。</w:t>
      </w:r>
    </w:p>
    <w:p>
      <w:pPr>
        <w:pStyle w:val="4"/>
        <w:keepNext/>
        <w:keepLines/>
        <w:pageBreakBefore w:val="0"/>
        <w:widowControl/>
        <w:kinsoku/>
        <w:wordWrap/>
        <w:overflowPunct/>
        <w:topLinePunct w:val="0"/>
        <w:autoSpaceDE/>
        <w:autoSpaceDN/>
        <w:bidi w:val="0"/>
        <w:adjustRightInd/>
        <w:snapToGrid/>
        <w:spacing w:before="0" w:after="0" w:line="416" w:lineRule="auto"/>
        <w:textAlignment w:val="auto"/>
        <w:rPr>
          <w:rFonts w:hint="default" w:ascii="Times New Roman" w:hAnsi="Times New Roman" w:eastAsia="宋体" w:cs="Times New Roman"/>
          <w:b w:val="0"/>
          <w:bCs w:val="0"/>
          <w:color w:val="auto"/>
          <w:sz w:val="24"/>
          <w:szCs w:val="24"/>
          <w:highlight w:val="none"/>
          <w:lang w:val="en-US" w:eastAsia="zh-CN" w:bidi="ar-SA"/>
        </w:rPr>
      </w:pPr>
      <w:r>
        <w:rPr>
          <w:rFonts w:hint="eastAsia" w:cs="Times New Roman"/>
          <w:b/>
          <w:bCs/>
          <w:sz w:val="28"/>
          <w:szCs w:val="28"/>
          <w:lang w:val="en-US" w:eastAsia="zh-CN" w:bidi="ar-SA"/>
        </w:rPr>
        <w:t>4、</w:t>
      </w:r>
      <w:r>
        <w:rPr>
          <w:rFonts w:hint="default" w:ascii="Cambria" w:hAnsi="Cambria" w:eastAsia="宋体" w:cs="Times New Roman"/>
          <w:b/>
          <w:bCs/>
          <w:sz w:val="28"/>
          <w:szCs w:val="28"/>
          <w:lang w:val="en-US" w:eastAsia="zh-CN" w:bidi="ar-SA"/>
        </w:rPr>
        <w:t>交货地点：</w:t>
      </w:r>
      <w:r>
        <w:rPr>
          <w:rFonts w:hint="eastAsia" w:ascii="Times New Roman" w:hAnsi="Times New Roman" w:eastAsia="宋体" w:cs="Times New Roman"/>
          <w:b w:val="0"/>
          <w:bCs w:val="0"/>
          <w:color w:val="auto"/>
          <w:sz w:val="24"/>
          <w:szCs w:val="24"/>
          <w:highlight w:val="none"/>
          <w:lang w:val="en-US" w:eastAsia="zh-CN" w:bidi="ar-SA"/>
        </w:rPr>
        <w:t>内蒙古自治区鄂尔多斯市</w:t>
      </w:r>
      <w:r>
        <w:rPr>
          <w:rFonts w:hint="default" w:ascii="Times New Roman" w:hAnsi="Times New Roman" w:eastAsia="宋体" w:cs="Times New Roman"/>
          <w:b w:val="0"/>
          <w:bCs w:val="0"/>
          <w:color w:val="auto"/>
          <w:sz w:val="24"/>
          <w:szCs w:val="24"/>
          <w:highlight w:val="none"/>
          <w:lang w:val="en-US" w:eastAsia="zh-CN" w:bidi="ar-SA"/>
        </w:rPr>
        <w:t>。</w:t>
      </w:r>
    </w:p>
    <w:p>
      <w:pPr>
        <w:pStyle w:val="43"/>
        <w:numPr>
          <w:ilvl w:val="0"/>
          <w:numId w:val="0"/>
        </w:numPr>
        <w:spacing w:before="0" w:beforeAutospacing="0" w:after="0" w:afterAutospacing="0" w:line="480" w:lineRule="auto"/>
        <w:rPr>
          <w:rFonts w:hint="default" w:ascii="Times New Roman" w:hAnsi="Times New Roman" w:eastAsia="宋体" w:cs="Times New Roman"/>
          <w:b w:val="0"/>
          <w:bCs w:val="0"/>
          <w:color w:val="auto"/>
          <w:sz w:val="24"/>
          <w:szCs w:val="24"/>
          <w:highlight w:val="none"/>
          <w:lang w:val="en-US" w:eastAsia="zh-CN" w:bidi="ar-SA"/>
        </w:rPr>
      </w:pPr>
      <w:r>
        <w:rPr>
          <w:rFonts w:hint="eastAsia" w:ascii="Cambria" w:hAnsi="Cambria" w:cs="Times New Roman"/>
          <w:b/>
          <w:bCs/>
          <w:sz w:val="28"/>
          <w:szCs w:val="28"/>
          <w:lang w:val="en-US" w:eastAsia="zh-CN" w:bidi="ar-SA"/>
        </w:rPr>
        <w:t>5、</w:t>
      </w:r>
      <w:r>
        <w:rPr>
          <w:rFonts w:hint="default" w:ascii="Cambria" w:hAnsi="Cambria" w:eastAsia="宋体" w:cs="Times New Roman"/>
          <w:b/>
          <w:bCs/>
          <w:sz w:val="28"/>
          <w:szCs w:val="28"/>
          <w:lang w:val="en-US" w:eastAsia="zh-CN" w:bidi="ar-SA"/>
        </w:rPr>
        <w:t>工期</w:t>
      </w:r>
      <w:r>
        <w:rPr>
          <w:rStyle w:val="53"/>
          <w:rFonts w:hint="eastAsia" w:cs="Times New Roman"/>
          <w:b/>
          <w:color w:val="auto"/>
          <w:sz w:val="28"/>
          <w:szCs w:val="28"/>
          <w:highlight w:val="none"/>
          <w:lang w:eastAsia="zh-CN"/>
        </w:rPr>
        <w:t>：</w:t>
      </w:r>
      <w:r>
        <w:rPr>
          <w:rFonts w:hint="eastAsia" w:ascii="Times New Roman" w:hAnsi="Times New Roman" w:eastAsia="宋体" w:cs="Times New Roman"/>
          <w:b w:val="0"/>
          <w:bCs w:val="0"/>
          <w:color w:val="auto"/>
          <w:sz w:val="24"/>
          <w:szCs w:val="24"/>
          <w:highlight w:val="none"/>
          <w:lang w:val="en-US" w:eastAsia="zh-CN" w:bidi="ar-SA"/>
        </w:rPr>
        <w:t>4个月，开工日期以发出开工令之日起</w:t>
      </w:r>
      <w:r>
        <w:rPr>
          <w:rFonts w:hint="default" w:ascii="Times New Roman" w:hAnsi="Times New Roman" w:eastAsia="宋体" w:cs="Times New Roman"/>
          <w:b w:val="0"/>
          <w:bCs w:val="0"/>
          <w:color w:val="auto"/>
          <w:sz w:val="24"/>
          <w:szCs w:val="24"/>
          <w:highlight w:val="none"/>
          <w:lang w:val="en-US" w:eastAsia="zh-CN" w:bidi="ar-SA"/>
        </w:rPr>
        <w:t>。</w:t>
      </w:r>
    </w:p>
    <w:p>
      <w:pPr>
        <w:pStyle w:val="43"/>
        <w:numPr>
          <w:ilvl w:val="0"/>
          <w:numId w:val="0"/>
        </w:numPr>
        <w:spacing w:before="0" w:beforeAutospacing="0" w:after="0" w:afterAutospacing="0" w:line="480" w:lineRule="auto"/>
        <w:rPr>
          <w:rFonts w:hint="default" w:ascii="Cambria" w:hAnsi="Cambria" w:eastAsia="宋体" w:cs="Times New Roman"/>
          <w:b/>
          <w:bCs/>
          <w:sz w:val="28"/>
          <w:szCs w:val="28"/>
          <w:lang w:val="en-US" w:eastAsia="zh-CN" w:bidi="ar-SA"/>
        </w:rPr>
      </w:pPr>
      <w:r>
        <w:rPr>
          <w:rFonts w:hint="eastAsia" w:ascii="Cambria" w:hAnsi="Cambria" w:eastAsia="宋体" w:cs="Times New Roman"/>
          <w:b/>
          <w:bCs/>
          <w:sz w:val="28"/>
          <w:szCs w:val="28"/>
          <w:lang w:val="en-US" w:eastAsia="zh-CN" w:bidi="ar-SA"/>
        </w:rPr>
        <w:t>6、</w:t>
      </w:r>
      <w:r>
        <w:rPr>
          <w:rFonts w:hint="default" w:ascii="Cambria" w:hAnsi="Cambria" w:eastAsia="宋体" w:cs="Times New Roman"/>
          <w:b/>
          <w:bCs/>
          <w:sz w:val="28"/>
          <w:szCs w:val="28"/>
          <w:lang w:val="en-US" w:eastAsia="zh-CN" w:bidi="ar-SA"/>
        </w:rPr>
        <w:t>付款方式</w:t>
      </w:r>
    </w:p>
    <w:p>
      <w:pPr>
        <w:pStyle w:val="43"/>
        <w:numPr>
          <w:ilvl w:val="0"/>
          <w:numId w:val="0"/>
        </w:numPr>
        <w:spacing w:before="0" w:beforeAutospacing="0" w:after="0" w:afterAutospacing="0" w:line="480" w:lineRule="auto"/>
        <w:rPr>
          <w:rFonts w:hint="default" w:ascii="Cambria" w:hAnsi="Cambria" w:eastAsia="宋体" w:cs="Times New Roman"/>
          <w:b/>
          <w:bCs/>
          <w:sz w:val="28"/>
          <w:szCs w:val="28"/>
          <w:lang w:val="en-US" w:eastAsia="zh-CN" w:bidi="ar-SA"/>
        </w:rPr>
      </w:pPr>
      <w:r>
        <w:rPr>
          <w:rFonts w:hint="eastAsia" w:ascii="Cambria" w:hAnsi="Cambria" w:eastAsia="宋体" w:cs="Times New Roman"/>
          <w:b/>
          <w:bCs/>
          <w:sz w:val="28"/>
          <w:szCs w:val="28"/>
          <w:lang w:val="en-US" w:eastAsia="zh-CN" w:bidi="ar-SA"/>
        </w:rPr>
        <w:t>6.1</w:t>
      </w:r>
      <w:r>
        <w:rPr>
          <w:rFonts w:hint="default" w:ascii="Cambria" w:hAnsi="Cambria" w:eastAsia="宋体" w:cs="Times New Roman"/>
          <w:b/>
          <w:bCs/>
          <w:sz w:val="28"/>
          <w:szCs w:val="28"/>
          <w:lang w:val="en-US" w:eastAsia="zh-CN" w:bidi="ar-SA"/>
        </w:rPr>
        <w:t xml:space="preserve">  预付款</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rPr>
      </w:pPr>
      <w:r>
        <w:rPr>
          <w:rFonts w:hint="default"/>
          <w:sz w:val="24"/>
          <w:szCs w:val="24"/>
        </w:rPr>
        <w:t>合同签订、施工人员及施工设备进场、具备开工条件后支付合同总价款20%的预付款，预付款优先在进度款中予以扣回（分两次扣回，每次扣回预付款的50%。）。</w:t>
      </w:r>
    </w:p>
    <w:p>
      <w:pPr>
        <w:pStyle w:val="4"/>
        <w:pageBreakBefore w:val="0"/>
        <w:widowControl/>
        <w:kinsoku/>
        <w:overflowPunct/>
        <w:topLinePunct w:val="0"/>
        <w:autoSpaceDE/>
        <w:autoSpaceDN/>
        <w:bidi w:val="0"/>
        <w:adjustRightInd/>
        <w:snapToGrid/>
        <w:spacing w:before="0" w:after="0" w:line="560" w:lineRule="exact"/>
        <w:textAlignment w:val="auto"/>
        <w:rPr>
          <w:rFonts w:hint="default" w:ascii="Cambria" w:hAnsi="Cambria" w:cs="Times New Roman"/>
          <w:b/>
          <w:bCs/>
          <w:sz w:val="28"/>
          <w:szCs w:val="28"/>
          <w:lang w:val="en-US" w:eastAsia="zh-CN" w:bidi="ar-SA"/>
        </w:rPr>
      </w:pPr>
      <w:r>
        <w:rPr>
          <w:rFonts w:hint="eastAsia" w:ascii="Cambria" w:hAnsi="Cambria" w:cs="Times New Roman"/>
          <w:b/>
          <w:bCs/>
          <w:sz w:val="28"/>
          <w:szCs w:val="28"/>
          <w:lang w:val="en-US" w:eastAsia="zh-CN" w:bidi="ar-SA"/>
        </w:rPr>
        <w:t>6.2</w:t>
      </w:r>
      <w:r>
        <w:rPr>
          <w:rFonts w:hint="default" w:ascii="Cambria" w:hAnsi="Cambria" w:cs="Times New Roman"/>
          <w:b/>
          <w:bCs/>
          <w:sz w:val="28"/>
          <w:szCs w:val="28"/>
          <w:lang w:val="en-US" w:eastAsia="zh-CN" w:bidi="ar-SA"/>
        </w:rPr>
        <w:t xml:space="preserve">  工程进度款</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cs="Times New Roman"/>
          <w:color w:val="auto"/>
          <w:highlight w:val="none"/>
        </w:rPr>
      </w:pPr>
      <w:r>
        <w:rPr>
          <w:rFonts w:hint="eastAsia" w:ascii="Times New Roman" w:cs="Times New Roman"/>
          <w:color w:val="auto"/>
          <w:highlight w:val="none"/>
          <w:lang w:eastAsia="zh-CN"/>
        </w:rPr>
        <w:t>（</w:t>
      </w:r>
      <w:r>
        <w:rPr>
          <w:rFonts w:hint="default" w:ascii="Times New Roman" w:hAnsi="Times New Roman" w:cs="Times New Roman"/>
          <w:color w:val="auto"/>
          <w:highlight w:val="none"/>
        </w:rPr>
        <w:t>1</w:t>
      </w:r>
      <w:r>
        <w:rPr>
          <w:rFonts w:hint="eastAsia" w:ascii="Times New Roman" w:cs="Times New Roman"/>
          <w:color w:val="auto"/>
          <w:highlight w:val="none"/>
          <w:lang w:eastAsia="zh-CN"/>
        </w:rPr>
        <w:t>）</w:t>
      </w:r>
      <w:r>
        <w:rPr>
          <w:rFonts w:hint="default" w:ascii="Times New Roman" w:hAnsi="Times New Roman" w:cs="Times New Roman"/>
          <w:color w:val="auto"/>
          <w:highlight w:val="none"/>
        </w:rPr>
        <w:t>按月支付进度款，进度款按承包人的工程进度（已完成并经发包人、监理验收合格的工程量）月报审批。发包人按审批后的工程进度款的85%支付；</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cs="Times New Roman"/>
          <w:color w:val="auto"/>
          <w:highlight w:val="none"/>
        </w:rPr>
      </w:pPr>
      <w:r>
        <w:rPr>
          <w:rFonts w:hint="eastAsia" w:ascii="Times New Roman" w:cs="Times New Roman"/>
          <w:color w:val="auto"/>
          <w:highlight w:val="none"/>
          <w:lang w:eastAsia="zh-CN"/>
        </w:rPr>
        <w:t>（</w:t>
      </w:r>
      <w:r>
        <w:rPr>
          <w:rFonts w:hint="eastAsia" w:ascii="Times New Roman" w:cs="Times New Roman"/>
          <w:color w:val="auto"/>
          <w:highlight w:val="none"/>
          <w:lang w:val="en-US" w:eastAsia="zh-CN"/>
        </w:rPr>
        <w:t>2</w:t>
      </w:r>
      <w:r>
        <w:rPr>
          <w:rFonts w:hint="eastAsia" w:ascii="Times New Roman" w:cs="Times New Roman"/>
          <w:color w:val="auto"/>
          <w:highlight w:val="none"/>
          <w:lang w:eastAsia="zh-CN"/>
        </w:rPr>
        <w:t>）</w:t>
      </w:r>
      <w:r>
        <w:rPr>
          <w:rFonts w:hint="default" w:ascii="Times New Roman" w:hAnsi="Times New Roman" w:cs="Times New Roman"/>
          <w:color w:val="auto"/>
          <w:highlight w:val="none"/>
        </w:rPr>
        <w:t>工程完工，工程价款支付至工程总价款的90%，待工程竣工验收合格，承包人提供竣工结算报告经审核后，发包人支付至工程结算总价款的97%；</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cs="Times New Roman"/>
          <w:color w:val="auto"/>
          <w:highlight w:val="none"/>
        </w:rPr>
      </w:pPr>
      <w:r>
        <w:rPr>
          <w:rFonts w:hint="eastAsia" w:ascii="Times New Roman" w:cs="Times New Roman"/>
          <w:color w:val="auto"/>
          <w:highlight w:val="none"/>
          <w:lang w:eastAsia="zh-CN"/>
        </w:rPr>
        <w:t>（</w:t>
      </w:r>
      <w:r>
        <w:rPr>
          <w:rFonts w:hint="eastAsia" w:ascii="Times New Roman" w:cs="Times New Roman"/>
          <w:color w:val="auto"/>
          <w:highlight w:val="none"/>
          <w:lang w:val="en-US" w:eastAsia="zh-CN"/>
        </w:rPr>
        <w:t>3</w:t>
      </w:r>
      <w:r>
        <w:rPr>
          <w:rFonts w:hint="eastAsia" w:ascii="Times New Roman" w:cs="Times New Roman"/>
          <w:color w:val="auto"/>
          <w:highlight w:val="none"/>
          <w:lang w:eastAsia="zh-CN"/>
        </w:rPr>
        <w:t>）</w:t>
      </w:r>
      <w:r>
        <w:rPr>
          <w:rFonts w:hint="default" w:ascii="Times New Roman" w:hAnsi="Times New Roman" w:cs="Times New Roman"/>
          <w:color w:val="auto"/>
          <w:highlight w:val="none"/>
        </w:rPr>
        <w:t>工程结算总价款的3%作为质量保证金，待工程竣工验收合格一年后，没有发现任何质量问题，一次性支付给承包人（不计利息）。</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rPr>
      </w:pPr>
      <w:r>
        <w:rPr>
          <w:rFonts w:hint="eastAsia" w:ascii="Times New Roman" w:cs="Times New Roman"/>
          <w:color w:val="auto"/>
          <w:highlight w:val="none"/>
          <w:lang w:eastAsia="zh-CN"/>
        </w:rPr>
        <w:t>（</w:t>
      </w:r>
      <w:r>
        <w:rPr>
          <w:rFonts w:hint="eastAsia" w:ascii="Times New Roman" w:cs="Times New Roman"/>
          <w:color w:val="auto"/>
          <w:highlight w:val="none"/>
          <w:lang w:val="en-US" w:eastAsia="zh-CN"/>
        </w:rPr>
        <w:t>4</w:t>
      </w:r>
      <w:r>
        <w:rPr>
          <w:rFonts w:hint="eastAsia" w:ascii="Times New Roman" w:cs="Times New Roman"/>
          <w:color w:val="auto"/>
          <w:highlight w:val="none"/>
          <w:lang w:eastAsia="zh-CN"/>
        </w:rPr>
        <w:t>）</w:t>
      </w:r>
      <w:r>
        <w:rPr>
          <w:rFonts w:hint="default" w:ascii="Times New Roman" w:hAnsi="Times New Roman" w:cs="Times New Roman"/>
          <w:color w:val="auto"/>
          <w:highlight w:val="none"/>
        </w:rPr>
        <w:t>发包人向承包人支付工程进度款之前，承包人按进度结算金额向发包人提供等额增值税专用发票（税率为9%，如遇国家税率调整，将按照合同不含税价格和国家调整后的适用税率执行）。</w:t>
      </w:r>
    </w:p>
    <w:p>
      <w:pPr>
        <w:pStyle w:val="4"/>
        <w:pageBreakBefore w:val="0"/>
        <w:widowControl/>
        <w:kinsoku/>
        <w:overflowPunct/>
        <w:topLinePunct w:val="0"/>
        <w:autoSpaceDE/>
        <w:autoSpaceDN/>
        <w:bidi w:val="0"/>
        <w:adjustRightInd/>
        <w:snapToGrid/>
        <w:spacing w:before="0" w:after="0" w:line="560" w:lineRule="exact"/>
        <w:textAlignment w:val="auto"/>
        <w:rPr>
          <w:rFonts w:hint="default" w:ascii="Cambria" w:hAnsi="Cambria" w:cs="Times New Roman"/>
          <w:b/>
          <w:bCs/>
          <w:sz w:val="32"/>
          <w:szCs w:val="32"/>
          <w:lang w:val="en-US" w:eastAsia="zh-CN" w:bidi="ar-SA"/>
        </w:rPr>
      </w:pPr>
      <w:r>
        <w:rPr>
          <w:rFonts w:hint="eastAsia" w:ascii="Cambria" w:hAnsi="Cambria" w:cs="Times New Roman"/>
          <w:b/>
          <w:bCs/>
          <w:sz w:val="28"/>
          <w:szCs w:val="28"/>
          <w:lang w:val="en-US" w:eastAsia="zh-CN" w:bidi="ar-SA"/>
        </w:rPr>
        <w:t>7</w:t>
      </w:r>
      <w:r>
        <w:rPr>
          <w:rFonts w:hint="default" w:ascii="Cambria" w:hAnsi="Cambria" w:cs="Times New Roman"/>
          <w:b/>
          <w:bCs/>
          <w:sz w:val="28"/>
          <w:szCs w:val="28"/>
          <w:lang w:val="en-US" w:eastAsia="zh-CN" w:bidi="ar-SA"/>
        </w:rPr>
        <w:t>、供应商资格要求</w:t>
      </w:r>
    </w:p>
    <w:p>
      <w:pPr>
        <w:pStyle w:val="43"/>
        <w:pageBreakBefore w:val="0"/>
        <w:widowControl/>
        <w:kinsoku/>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（1）报价人必须是合格的独立法人企业，且具有履行合同能力的增值税一般纳税人。</w:t>
      </w:r>
    </w:p>
    <w:p>
      <w:pPr>
        <w:pStyle w:val="43"/>
        <w:pageBreakBefore w:val="0"/>
        <w:widowControl/>
        <w:kinsoku/>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（2）报价人应具有良好的信誉，并具备履行合同所需的财务和技术能力，财务状况须提供近三年</w:t>
      </w:r>
      <w:r>
        <w:rPr>
          <w:rFonts w:hint="eastAsia" w:ascii="Times New Roman" w:cs="Times New Roman"/>
          <w:color w:val="auto"/>
          <w:highlight w:val="none"/>
          <w:lang w:eastAsia="zh-CN"/>
        </w:rPr>
        <w:t>（</w:t>
      </w:r>
      <w:r>
        <w:rPr>
          <w:rFonts w:hint="eastAsia" w:ascii="Times New Roman" w:cs="Times New Roman"/>
          <w:color w:val="auto"/>
          <w:highlight w:val="none"/>
          <w:lang w:val="en-US" w:eastAsia="zh-CN"/>
        </w:rPr>
        <w:t>2020-2022</w:t>
      </w:r>
      <w:r>
        <w:rPr>
          <w:rFonts w:hint="eastAsia" w:ascii="Times New Roman" w:cs="Times New Roman"/>
          <w:color w:val="auto"/>
          <w:highlight w:val="none"/>
          <w:lang w:eastAsia="zh-CN"/>
        </w:rPr>
        <w:t>）</w:t>
      </w:r>
      <w:r>
        <w:rPr>
          <w:rFonts w:hint="eastAsia" w:ascii="Times New Roman" w:cs="Times New Roman"/>
          <w:color w:val="auto"/>
          <w:highlight w:val="none"/>
          <w:lang w:val="en-US" w:eastAsia="zh-CN"/>
        </w:rPr>
        <w:t>或公司成来以来</w:t>
      </w:r>
      <w:r>
        <w:rPr>
          <w:rFonts w:hint="default" w:ascii="Times New Roman" w:hAnsi="Times New Roman" w:cs="Times New Roman"/>
          <w:color w:val="auto"/>
          <w:highlight w:val="none"/>
        </w:rPr>
        <w:t>的财务报表。</w:t>
      </w:r>
    </w:p>
    <w:p>
      <w:pPr>
        <w:pStyle w:val="43"/>
        <w:pageBreakBefore w:val="0"/>
        <w:widowControl/>
        <w:kinsoku/>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（3）供应商需具备建筑工程施工总承包二级及以上资质，并具备安全生产许可证。</w:t>
      </w:r>
    </w:p>
    <w:p>
      <w:pPr>
        <w:pStyle w:val="43"/>
        <w:pageBreakBefore w:val="0"/>
        <w:widowControl/>
        <w:kinsoku/>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（4）报价人拟投入的项目经理须具备一级注册建造师执业资格，且在本项目合同期内不得兼职其他项目</w:t>
      </w:r>
      <w:r>
        <w:rPr>
          <w:rFonts w:hint="eastAsia" w:ascii="Times New Roman" w:cs="Times New Roman"/>
          <w:color w:val="auto"/>
          <w:highlight w:val="none"/>
          <w:lang w:eastAsia="zh-CN"/>
        </w:rPr>
        <w:t>，</w:t>
      </w:r>
      <w:r>
        <w:rPr>
          <w:rFonts w:hint="eastAsia" w:ascii="Times New Roman" w:cs="Times New Roman"/>
          <w:color w:val="auto"/>
          <w:highlight w:val="none"/>
          <w:lang w:val="en-US" w:eastAsia="zh-CN"/>
        </w:rPr>
        <w:t>项目经理需提供在供应商单位社保证明文件。</w:t>
      </w:r>
    </w:p>
    <w:p>
      <w:pPr>
        <w:pStyle w:val="43"/>
        <w:pageBreakBefore w:val="0"/>
        <w:widowControl/>
        <w:kinsoku/>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（5）报价人近五年内</w:t>
      </w:r>
      <w:r>
        <w:rPr>
          <w:rFonts w:hint="eastAsia" w:ascii="Times New Roman" w:cs="Times New Roman"/>
          <w:color w:val="auto"/>
          <w:highlight w:val="none"/>
          <w:lang w:eastAsia="zh-CN"/>
        </w:rPr>
        <w:t>（</w:t>
      </w:r>
      <w:r>
        <w:rPr>
          <w:rFonts w:hint="eastAsia" w:ascii="Times New Roman" w:cs="Times New Roman"/>
          <w:color w:val="auto"/>
          <w:highlight w:val="none"/>
          <w:lang w:val="en-US" w:eastAsia="zh-CN"/>
        </w:rPr>
        <w:t>2017-2022年</w:t>
      </w:r>
      <w:r>
        <w:rPr>
          <w:rFonts w:hint="eastAsia" w:ascii="Times New Roman" w:cs="Times New Roman"/>
          <w:color w:val="auto"/>
          <w:highlight w:val="none"/>
          <w:lang w:eastAsia="zh-CN"/>
        </w:rPr>
        <w:t>）</w:t>
      </w:r>
      <w:r>
        <w:rPr>
          <w:rFonts w:hint="default" w:ascii="Times New Roman" w:hAnsi="Times New Roman" w:cs="Times New Roman"/>
          <w:color w:val="auto"/>
          <w:highlight w:val="none"/>
        </w:rPr>
        <w:t>须具</w:t>
      </w:r>
      <w:r>
        <w:rPr>
          <w:rFonts w:hint="eastAsia" w:ascii="Times New Roman" w:cs="Times New Roman"/>
          <w:color w:val="auto"/>
          <w:highlight w:val="none"/>
          <w:lang w:val="en-US" w:eastAsia="zh-CN"/>
        </w:rPr>
        <w:t>相关类型</w:t>
      </w:r>
      <w:r>
        <w:rPr>
          <w:rFonts w:hint="default" w:ascii="Times New Roman" w:hAnsi="Times New Roman" w:cs="Times New Roman"/>
          <w:color w:val="auto"/>
          <w:highlight w:val="none"/>
        </w:rPr>
        <w:t>业绩。（需提供报价人单位的业绩合同</w:t>
      </w:r>
      <w:r>
        <w:rPr>
          <w:rFonts w:hint="eastAsia" w:ascii="Times New Roman" w:cs="Times New Roman"/>
          <w:color w:val="auto"/>
          <w:highlight w:val="none"/>
          <w:lang w:val="en-US" w:eastAsia="zh-CN"/>
        </w:rPr>
        <w:t>及相关</w:t>
      </w:r>
      <w:r>
        <w:rPr>
          <w:rFonts w:hint="default" w:ascii="Times New Roman" w:hAnsi="Times New Roman" w:cs="Times New Roman"/>
          <w:color w:val="auto"/>
          <w:highlight w:val="none"/>
        </w:rPr>
        <w:t>证明文件）</w:t>
      </w:r>
    </w:p>
    <w:p>
      <w:pPr>
        <w:pStyle w:val="43"/>
        <w:pageBreakBefore w:val="0"/>
        <w:widowControl/>
        <w:kinsoku/>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（6）报价人及报价人所报产品须具有满足本项目的国家强制许可资质。</w:t>
      </w:r>
    </w:p>
    <w:p>
      <w:pPr>
        <w:pStyle w:val="43"/>
        <w:pageBreakBefore w:val="0"/>
        <w:widowControl/>
        <w:kinsoku/>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（7）具有以下情形的不得参与本次采购活动： 在“信用中国”网站（www.creditchina.gov.cn）等渠道列入失信被执行人（需附截图）</w:t>
      </w:r>
      <w:r>
        <w:rPr>
          <w:rFonts w:hint="eastAsia" w:ascii="Times New Roman" w:cs="Times New Roman"/>
          <w:color w:val="auto"/>
          <w:highlight w:val="none"/>
          <w:lang w:eastAsia="zh-CN"/>
        </w:rPr>
        <w:t>。</w:t>
      </w:r>
    </w:p>
    <w:p>
      <w:pPr>
        <w:pStyle w:val="4"/>
        <w:pageBreakBefore w:val="0"/>
        <w:widowControl/>
        <w:kinsoku/>
        <w:overflowPunct/>
        <w:topLinePunct w:val="0"/>
        <w:autoSpaceDE/>
        <w:autoSpaceDN/>
        <w:bidi w:val="0"/>
        <w:adjustRightInd/>
        <w:snapToGrid/>
        <w:spacing w:before="0" w:after="0" w:line="560" w:lineRule="exact"/>
        <w:textAlignment w:val="auto"/>
        <w:rPr>
          <w:rFonts w:hint="default" w:ascii="Cambria" w:hAnsi="Cambria" w:cs="Times New Roman"/>
          <w:b/>
          <w:bCs/>
          <w:sz w:val="28"/>
          <w:szCs w:val="28"/>
          <w:lang w:val="en-US" w:eastAsia="zh-CN" w:bidi="ar-SA"/>
        </w:rPr>
      </w:pPr>
      <w:r>
        <w:rPr>
          <w:rFonts w:hint="eastAsia" w:ascii="Cambria" w:hAnsi="Cambria" w:cs="Times New Roman"/>
          <w:b/>
          <w:bCs/>
          <w:sz w:val="28"/>
          <w:szCs w:val="28"/>
          <w:lang w:val="en-US" w:eastAsia="zh-CN" w:bidi="ar-SA"/>
        </w:rPr>
        <w:t>8</w:t>
      </w:r>
      <w:r>
        <w:rPr>
          <w:rFonts w:hint="default" w:ascii="Cambria" w:hAnsi="Cambria" w:cs="Times New Roman"/>
          <w:b/>
          <w:bCs/>
          <w:sz w:val="28"/>
          <w:szCs w:val="28"/>
          <w:lang w:val="en-US" w:eastAsia="zh-CN" w:bidi="ar-SA"/>
        </w:rPr>
        <w:t>、联系方式</w:t>
      </w:r>
    </w:p>
    <w:p>
      <w:pPr>
        <w:pStyle w:val="43"/>
        <w:pageBreakBefore w:val="0"/>
        <w:widowControl/>
        <w:kinsoku/>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采购人：中煤天津设计工程有限责任公司</w:t>
      </w:r>
    </w:p>
    <w:p>
      <w:pPr>
        <w:pStyle w:val="43"/>
        <w:pageBreakBefore w:val="0"/>
        <w:widowControl/>
        <w:kinsoku/>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地址：天津市红桥区大丰路安顺大厦（西北角水游城）3号楼</w:t>
      </w:r>
    </w:p>
    <w:p>
      <w:pPr>
        <w:pageBreakBefore w:val="0"/>
        <w:widowControl/>
        <w:kinsoku/>
        <w:wordWrap w:val="0"/>
        <w:overflowPunct/>
        <w:topLinePunct w:val="0"/>
        <w:autoSpaceDE/>
        <w:autoSpaceDN/>
        <w:bidi w:val="0"/>
        <w:adjustRightInd/>
        <w:snapToGrid/>
        <w:spacing w:line="560" w:lineRule="exact"/>
        <w:ind w:left="225" w:firstLine="240" w:firstLineChars="100"/>
        <w:textAlignment w:val="auto"/>
        <w:rPr>
          <w:rFonts w:hint="eastAsia" w:ascii="Times New Roman" w:hAnsi="Times New Roman" w:eastAsia="宋体" w:cs="Times New Roman"/>
          <w:bCs/>
          <w:color w:val="auto"/>
          <w:sz w:val="24"/>
          <w:szCs w:val="24"/>
          <w:highlight w:val="none"/>
          <w:lang w:eastAsia="zh-CN"/>
        </w:rPr>
      </w:pPr>
      <w:r>
        <w:rPr>
          <w:rFonts w:hint="default" w:ascii="Times New Roman" w:hAnsi="Times New Roman" w:cs="Times New Roman" w:eastAsiaTheme="minorEastAsia"/>
          <w:bCs/>
          <w:color w:val="auto"/>
          <w:sz w:val="24"/>
          <w:szCs w:val="24"/>
          <w:highlight w:val="none"/>
        </w:rPr>
        <w:t>项目联系人：</w:t>
      </w:r>
      <w:r>
        <w:rPr>
          <w:rFonts w:hint="default" w:ascii="Times New Roman" w:hAnsi="Times New Roman" w:cs="Times New Roman"/>
          <w:color w:val="auto"/>
          <w:sz w:val="24"/>
          <w:szCs w:val="24"/>
          <w:highlight w:val="none"/>
        </w:rPr>
        <w:t>罗</w:t>
      </w:r>
      <w:r>
        <w:rPr>
          <w:rFonts w:hint="eastAsia" w:cs="Times New Roman"/>
          <w:color w:val="auto"/>
          <w:sz w:val="24"/>
          <w:szCs w:val="24"/>
          <w:highlight w:val="none"/>
          <w:lang w:val="en-US" w:eastAsia="zh-CN"/>
        </w:rPr>
        <w:t>芳</w:t>
      </w:r>
    </w:p>
    <w:p>
      <w:pPr>
        <w:pStyle w:val="43"/>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eastAsia="宋体" w:cs="Times New Roman"/>
          <w:bCs/>
          <w:color w:val="auto"/>
          <w:highlight w:val="none"/>
          <w:lang w:val="en-US" w:eastAsia="zh-CN"/>
        </w:rPr>
      </w:pPr>
      <w:r>
        <w:rPr>
          <w:rFonts w:hint="default" w:ascii="Times New Roman" w:hAnsi="Times New Roman" w:cs="Times New Roman"/>
          <w:color w:val="auto"/>
          <w:highlight w:val="none"/>
        </w:rPr>
        <w:t>电  话：</w:t>
      </w:r>
      <w:r>
        <w:rPr>
          <w:rFonts w:hint="default" w:ascii="Times New Roman" w:hAnsi="Times New Roman" w:cs="Times New Roman"/>
          <w:bCs/>
          <w:color w:val="auto"/>
          <w:highlight w:val="none"/>
        </w:rPr>
        <w:t>1</w:t>
      </w:r>
      <w:r>
        <w:rPr>
          <w:rFonts w:hint="eastAsia" w:ascii="Times New Roman" w:cs="Times New Roman"/>
          <w:bCs/>
          <w:color w:val="auto"/>
          <w:highlight w:val="none"/>
          <w:lang w:val="en-US" w:eastAsia="zh-CN"/>
        </w:rPr>
        <w:t>8</w:t>
      </w:r>
      <w:r>
        <w:rPr>
          <w:rFonts w:hint="default" w:ascii="Times New Roman" w:hAnsi="Times New Roman" w:cs="Times New Roman"/>
          <w:bCs/>
          <w:color w:val="auto"/>
          <w:highlight w:val="none"/>
        </w:rPr>
        <w:t>8</w:t>
      </w:r>
      <w:r>
        <w:rPr>
          <w:rFonts w:hint="eastAsia" w:ascii="Times New Roman" w:cs="Times New Roman"/>
          <w:bCs/>
          <w:color w:val="auto"/>
          <w:highlight w:val="none"/>
          <w:lang w:val="en-US" w:eastAsia="zh-CN"/>
        </w:rPr>
        <w:t>32046637</w:t>
      </w:r>
    </w:p>
    <w:p>
      <w:pPr>
        <w:pStyle w:val="4"/>
        <w:pageBreakBefore w:val="0"/>
        <w:widowControl/>
        <w:kinsoku/>
        <w:overflowPunct/>
        <w:topLinePunct w:val="0"/>
        <w:autoSpaceDE/>
        <w:autoSpaceDN/>
        <w:bidi w:val="0"/>
        <w:adjustRightInd/>
        <w:snapToGrid/>
        <w:spacing w:before="0" w:after="0" w:line="560" w:lineRule="exact"/>
        <w:textAlignment w:val="auto"/>
        <w:rPr>
          <w:rFonts w:hint="default" w:ascii="Cambria" w:hAnsi="Cambria" w:cs="Times New Roman"/>
          <w:b/>
          <w:bCs/>
          <w:sz w:val="28"/>
          <w:szCs w:val="28"/>
          <w:lang w:val="en-US" w:eastAsia="zh-CN" w:bidi="ar-SA"/>
        </w:rPr>
      </w:pPr>
      <w:r>
        <w:rPr>
          <w:rFonts w:hint="eastAsia" w:ascii="Cambria" w:hAnsi="Cambria" w:cs="Times New Roman"/>
          <w:b/>
          <w:bCs/>
          <w:sz w:val="28"/>
          <w:szCs w:val="28"/>
          <w:lang w:val="en-US" w:eastAsia="zh-CN" w:bidi="ar-SA"/>
        </w:rPr>
        <w:t>9</w:t>
      </w:r>
      <w:r>
        <w:rPr>
          <w:rFonts w:hint="default" w:ascii="Cambria" w:hAnsi="Cambria" w:cs="Times New Roman"/>
          <w:b/>
          <w:bCs/>
          <w:sz w:val="28"/>
          <w:szCs w:val="28"/>
          <w:lang w:val="en-US" w:eastAsia="zh-CN" w:bidi="ar-SA"/>
        </w:rPr>
        <w:t>、投标须知</w:t>
      </w:r>
    </w:p>
    <w:p>
      <w:pPr>
        <w:pStyle w:val="43"/>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请各投标供应商投标时将投标文件扫描件（签字盖章版本）作为附件上传，如未按规定上传投标文件将被视为未响应招标文件。</w:t>
      </w:r>
    </w:p>
    <w:p>
      <w:pPr>
        <w:spacing w:line="360" w:lineRule="auto"/>
        <w:jc w:val="both"/>
        <w:rPr>
          <w:rFonts w:hint="default" w:ascii="Times New Roman" w:hAnsi="Times New Roman" w:cs="Times New Roman"/>
          <w:bCs/>
          <w:color w:val="auto"/>
          <w:sz w:val="24"/>
          <w:szCs w:val="24"/>
          <w:highlight w:val="none"/>
        </w:rPr>
      </w:pP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pStyle w:val="3"/>
        <w:bidi w:val="0"/>
        <w:jc w:val="center"/>
        <w:rPr>
          <w:rFonts w:hint="default" w:ascii="Times New Roman" w:hAnsi="Times New Roman" w:cs="Times New Roman"/>
          <w:b/>
          <w:color w:val="auto"/>
          <w:kern w:val="2"/>
          <w:sz w:val="44"/>
          <w:szCs w:val="44"/>
          <w:highlight w:val="none"/>
        </w:rPr>
      </w:pPr>
      <w:bookmarkStart w:id="11" w:name="_Toc28419"/>
      <w:bookmarkStart w:id="12" w:name="_Toc10184873"/>
      <w:r>
        <w:rPr>
          <w:rFonts w:hint="default" w:ascii="Times New Roman" w:hAnsi="Times New Roman" w:cs="Times New Roman"/>
          <w:b/>
          <w:color w:val="auto"/>
          <w:kern w:val="2"/>
          <w:sz w:val="44"/>
          <w:szCs w:val="44"/>
          <w:highlight w:val="none"/>
        </w:rPr>
        <w:t>第二章 供应商须知</w:t>
      </w:r>
      <w:bookmarkStart w:id="13" w:name="_Toc33084454"/>
      <w:bookmarkStart w:id="14" w:name="_Toc33094715"/>
      <w:bookmarkStart w:id="15" w:name="_Toc34420943"/>
      <w:bookmarkStart w:id="16" w:name="_Toc35883024"/>
      <w:bookmarkStart w:id="17" w:name="_Toc33094625"/>
      <w:bookmarkStart w:id="18" w:name="_Toc37576450"/>
      <w:bookmarkStart w:id="19" w:name="_Toc37576399"/>
      <w:bookmarkStart w:id="20" w:name="_Toc35881603"/>
      <w:bookmarkStart w:id="21" w:name="_Toc33084570"/>
      <w:bookmarkStart w:id="22" w:name="_Toc40668281"/>
      <w:bookmarkStart w:id="23" w:name="_Toc35881739"/>
      <w:bookmarkStart w:id="24" w:name="_Toc33094937"/>
      <w:bookmarkStart w:id="25" w:name="_Toc35882039"/>
      <w:bookmarkStart w:id="26" w:name="_Toc35882139"/>
      <w:bookmarkStart w:id="27" w:name="_Toc34382767"/>
      <w:r>
        <w:rPr>
          <w:rFonts w:hint="default" w:ascii="Times New Roman" w:hAnsi="Times New Roman" w:cs="Times New Roman"/>
          <w:b/>
          <w:color w:val="auto"/>
          <w:kern w:val="2"/>
          <w:sz w:val="44"/>
          <w:szCs w:val="44"/>
          <w:highlight w:val="none"/>
        </w:rPr>
        <w:t>及前附表</w:t>
      </w:r>
      <w:bookmarkEnd w:id="3"/>
      <w:bookmarkEnd w:id="4"/>
      <w:bookmarkEnd w:id="5"/>
      <w:bookmarkEnd w:id="6"/>
      <w:bookmarkEnd w:id="7"/>
      <w:bookmarkEnd w:id="8"/>
      <w:bookmarkEnd w:id="9"/>
      <w:bookmarkEnd w:id="10"/>
      <w:bookmarkEnd w:id="11"/>
      <w:bookmarkEnd w:id="12"/>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Pr>
        <w:pStyle w:val="4"/>
        <w:spacing w:line="360" w:lineRule="auto"/>
        <w:jc w:val="center"/>
        <w:rPr>
          <w:rFonts w:hint="default" w:ascii="Times New Roman" w:hAnsi="Times New Roman" w:cs="Times New Roman"/>
          <w:color w:val="auto"/>
          <w:highlight w:val="none"/>
        </w:rPr>
      </w:pPr>
      <w:bookmarkStart w:id="28" w:name="_Toc1396_WPSOffice_Level2"/>
      <w:bookmarkStart w:id="29" w:name="_Toc191969098"/>
      <w:bookmarkStart w:id="30" w:name="_Toc199065442"/>
      <w:bookmarkStart w:id="31" w:name="_Toc10122263"/>
      <w:bookmarkStart w:id="32" w:name="_Toc199040649"/>
      <w:bookmarkStart w:id="33" w:name="_Toc199062851"/>
      <w:bookmarkStart w:id="34" w:name="_Toc10184874"/>
      <w:bookmarkStart w:id="35" w:name="_Toc67210880"/>
      <w:bookmarkStart w:id="36" w:name="_Toc17216785"/>
      <w:bookmarkStart w:id="37" w:name="_Toc376164238"/>
      <w:bookmarkStart w:id="38" w:name="_Toc195209739"/>
      <w:bookmarkStart w:id="39" w:name="_Toc382509454"/>
      <w:bookmarkStart w:id="40" w:name="_Toc376793710"/>
      <w:bookmarkStart w:id="41" w:name="_Toc376793555"/>
      <w:bookmarkStart w:id="42" w:name="_Toc376793574"/>
      <w:bookmarkStart w:id="43" w:name="_Toc382505439"/>
      <w:r>
        <w:rPr>
          <w:rFonts w:hint="default" w:ascii="Times New Roman" w:hAnsi="Times New Roman" w:cs="Times New Roman"/>
          <w:color w:val="auto"/>
          <w:highlight w:val="none"/>
        </w:rPr>
        <w:t>供应商须知前附表</w:t>
      </w:r>
      <w:bookmarkEnd w:id="28"/>
      <w:bookmarkEnd w:id="29"/>
      <w:bookmarkEnd w:id="30"/>
      <w:bookmarkEnd w:id="31"/>
      <w:bookmarkEnd w:id="32"/>
      <w:bookmarkEnd w:id="33"/>
      <w:bookmarkEnd w:id="34"/>
      <w:bookmarkEnd w:id="35"/>
      <w:bookmarkEnd w:id="36"/>
      <w:bookmarkEnd w:id="37"/>
      <w:bookmarkEnd w:id="38"/>
    </w:p>
    <w:tbl>
      <w:tblPr>
        <w:tblStyle w:val="49"/>
        <w:tblW w:w="9492" w:type="dxa"/>
        <w:tblInd w:w="-17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977"/>
        <w:gridCol w:w="66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2" w:hRule="atLeast"/>
          <w:tblHeader/>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项号</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内    容</w:t>
            </w:r>
          </w:p>
        </w:tc>
        <w:tc>
          <w:tcPr>
            <w:tcW w:w="6697" w:type="dxa"/>
            <w:tcBorders>
              <w:top w:val="single" w:color="auto" w:sz="4" w:space="0"/>
              <w:left w:val="single" w:color="auto" w:sz="4" w:space="0"/>
              <w:bottom w:val="single" w:color="auto" w:sz="4" w:space="0"/>
              <w:right w:val="single" w:color="auto" w:sz="4" w:space="0"/>
            </w:tcBorders>
            <w:vAlign w:val="center"/>
          </w:tcPr>
          <w:p>
            <w:pPr>
              <w:tabs>
                <w:tab w:val="left" w:pos="1180"/>
              </w:tabs>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p>
        </w:tc>
        <w:tc>
          <w:tcPr>
            <w:tcW w:w="197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项目名称</w:t>
            </w:r>
          </w:p>
        </w:tc>
        <w:tc>
          <w:tcPr>
            <w:tcW w:w="669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highlight w:val="none"/>
              </w:rPr>
            </w:pPr>
          </w:p>
          <w:p>
            <w:pPr>
              <w:adjustRightInd w:val="0"/>
              <w:snapToGrid w:val="0"/>
              <w:spacing w:line="360" w:lineRule="auto"/>
              <w:rPr>
                <w:rFonts w:hint="eastAsia" w:ascii="Times New Roman" w:hAnsi="Times New Roman" w:eastAsia="宋体" w:cs="Times New Roman"/>
                <w:bCs/>
                <w:color w:val="auto"/>
                <w:spacing w:val="-4"/>
                <w:sz w:val="24"/>
                <w:szCs w:val="24"/>
                <w:highlight w:val="none"/>
                <w:lang w:eastAsia="zh-CN"/>
              </w:rPr>
            </w:pPr>
            <w:r>
              <w:rPr>
                <w:rFonts w:hint="eastAsia" w:cs="Times New Roman"/>
                <w:color w:val="auto"/>
                <w:sz w:val="24"/>
                <w:szCs w:val="24"/>
                <w:highlight w:val="none"/>
                <w:lang w:val="en-US" w:eastAsia="zh-CN" w:bidi="ar-SA"/>
              </w:rPr>
              <w:t>中天合创能源有限责任公司葫芦素矿井煤矸石灌浆系统EPC总承包建安工程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9"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w:t>
            </w:r>
          </w:p>
        </w:tc>
        <w:tc>
          <w:tcPr>
            <w:tcW w:w="197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到货地点</w:t>
            </w:r>
          </w:p>
        </w:tc>
        <w:tc>
          <w:tcPr>
            <w:tcW w:w="669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bCs/>
                <w:color w:val="auto"/>
                <w:sz w:val="24"/>
                <w:szCs w:val="24"/>
                <w:highlight w:val="none"/>
              </w:rPr>
            </w:pPr>
            <w:r>
              <w:rPr>
                <w:rFonts w:hint="eastAsia" w:ascii="Times New Roman" w:hAnsi="Times New Roman" w:eastAsia="宋体" w:cs="Times New Roman"/>
                <w:b w:val="0"/>
                <w:bCs w:val="0"/>
                <w:color w:val="auto"/>
                <w:sz w:val="24"/>
                <w:szCs w:val="24"/>
                <w:highlight w:val="none"/>
                <w:lang w:val="en-US" w:eastAsia="zh-CN" w:bidi="ar-SA"/>
              </w:rPr>
              <w:t>内蒙古自治区鄂尔多斯市</w:t>
            </w:r>
            <w:r>
              <w:rPr>
                <w:rFonts w:hint="default" w:ascii="Times New Roman" w:hAnsi="Times New Roman" w:eastAsia="宋体" w:cs="Times New Roman"/>
                <w:color w:val="auto"/>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w:t>
            </w:r>
          </w:p>
        </w:tc>
        <w:tc>
          <w:tcPr>
            <w:tcW w:w="197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报价方式</w:t>
            </w:r>
          </w:p>
        </w:tc>
        <w:tc>
          <w:tcPr>
            <w:tcW w:w="669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szCs w:val="24"/>
                <w:highlight w:val="none"/>
              </w:rPr>
              <w:t>固定总价（含税）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w:t>
            </w:r>
          </w:p>
        </w:tc>
        <w:tc>
          <w:tcPr>
            <w:tcW w:w="197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采购内容及范围</w:t>
            </w:r>
          </w:p>
        </w:tc>
        <w:tc>
          <w:tcPr>
            <w:tcW w:w="6697" w:type="dxa"/>
            <w:tcBorders>
              <w:top w:val="single" w:color="auto" w:sz="4" w:space="0"/>
              <w:left w:val="single" w:color="auto" w:sz="4" w:space="0"/>
              <w:bottom w:val="single" w:color="auto" w:sz="4" w:space="0"/>
              <w:right w:val="single" w:color="auto" w:sz="4" w:space="0"/>
            </w:tcBorders>
            <w:vAlign w:val="center"/>
          </w:tcPr>
          <w:p>
            <w:pPr>
              <w:pStyle w:val="43"/>
              <w:tabs>
                <w:tab w:val="left" w:pos="720"/>
              </w:tabs>
              <w:spacing w:before="0" w:beforeAutospacing="0" w:after="0" w:afterAutospacing="0" w:line="260" w:lineRule="exact"/>
              <w:ind w:left="-2" w:leftChars="-1" w:right="28"/>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详见采购文件技术规范书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w:t>
            </w:r>
          </w:p>
        </w:tc>
        <w:tc>
          <w:tcPr>
            <w:tcW w:w="197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资金来源</w:t>
            </w:r>
          </w:p>
        </w:tc>
        <w:tc>
          <w:tcPr>
            <w:tcW w:w="6697" w:type="dxa"/>
            <w:tcBorders>
              <w:top w:val="single" w:color="auto" w:sz="4" w:space="0"/>
              <w:left w:val="single" w:color="auto" w:sz="4" w:space="0"/>
              <w:bottom w:val="single" w:color="auto" w:sz="4" w:space="0"/>
              <w:right w:val="single" w:color="auto" w:sz="4" w:space="0"/>
            </w:tcBorders>
            <w:vAlign w:val="center"/>
          </w:tcPr>
          <w:p>
            <w:pPr>
              <w:pStyle w:val="30"/>
              <w:ind w:left="0"/>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w:t>
            </w:r>
          </w:p>
        </w:tc>
        <w:tc>
          <w:tcPr>
            <w:tcW w:w="197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供应商资格标准</w:t>
            </w:r>
          </w:p>
        </w:tc>
        <w:tc>
          <w:tcPr>
            <w:tcW w:w="6697" w:type="dxa"/>
            <w:tcBorders>
              <w:top w:val="single" w:color="auto" w:sz="4" w:space="0"/>
              <w:left w:val="single" w:color="auto" w:sz="4" w:space="0"/>
              <w:bottom w:val="single" w:color="auto" w:sz="4" w:space="0"/>
              <w:right w:val="single" w:color="auto" w:sz="4" w:space="0"/>
            </w:tcBorders>
            <w:vAlign w:val="center"/>
          </w:tcPr>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（1）报价人必须是合格的独立法人企业，且具有履行合同能力的增值税一般纳税人。</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（2）报价人应具有良好的信誉，并具备履行合同所需的财务和技术能力，财务状况须提供近三年</w:t>
            </w:r>
            <w:r>
              <w:rPr>
                <w:rFonts w:hint="eastAsia" w:ascii="Times New Roman" w:cs="Times New Roman"/>
                <w:color w:val="auto"/>
                <w:highlight w:val="none"/>
                <w:lang w:eastAsia="zh-CN"/>
              </w:rPr>
              <w:t>（</w:t>
            </w:r>
            <w:r>
              <w:rPr>
                <w:rFonts w:hint="eastAsia" w:ascii="Times New Roman" w:cs="Times New Roman"/>
                <w:color w:val="auto"/>
                <w:highlight w:val="none"/>
                <w:lang w:val="en-US" w:eastAsia="zh-CN"/>
              </w:rPr>
              <w:t>2020-2022</w:t>
            </w:r>
            <w:r>
              <w:rPr>
                <w:rFonts w:hint="eastAsia" w:ascii="Times New Roman" w:cs="Times New Roman"/>
                <w:color w:val="auto"/>
                <w:highlight w:val="none"/>
                <w:lang w:eastAsia="zh-CN"/>
              </w:rPr>
              <w:t>）</w:t>
            </w:r>
            <w:r>
              <w:rPr>
                <w:rFonts w:hint="eastAsia" w:ascii="Times New Roman" w:cs="Times New Roman"/>
                <w:color w:val="auto"/>
                <w:highlight w:val="none"/>
                <w:lang w:val="en-US" w:eastAsia="zh-CN"/>
              </w:rPr>
              <w:t>或公司成来以来</w:t>
            </w:r>
            <w:r>
              <w:rPr>
                <w:rFonts w:hint="default" w:ascii="Times New Roman" w:hAnsi="Times New Roman" w:cs="Times New Roman"/>
                <w:color w:val="auto"/>
                <w:highlight w:val="none"/>
              </w:rPr>
              <w:t>的财务报表。</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（3）供应商需具备建筑工程施工总承包二级及以上资质，并具备安全生产许可证。</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（4）报价人拟投入的项目经理须具备一级注册建造师执业资格，且在本项目合同期内不得兼职其他项目</w:t>
            </w:r>
            <w:r>
              <w:rPr>
                <w:rFonts w:hint="eastAsia" w:ascii="Times New Roman" w:cs="Times New Roman"/>
                <w:color w:val="auto"/>
                <w:highlight w:val="none"/>
                <w:lang w:eastAsia="zh-CN"/>
              </w:rPr>
              <w:t>，</w:t>
            </w:r>
            <w:r>
              <w:rPr>
                <w:rFonts w:hint="eastAsia" w:ascii="Times New Roman" w:cs="Times New Roman"/>
                <w:color w:val="auto"/>
                <w:highlight w:val="none"/>
                <w:lang w:val="en-US" w:eastAsia="zh-CN"/>
              </w:rPr>
              <w:t>项目经理需提供在供应商单位社保证明文件。</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（5）报价人近五年内</w:t>
            </w:r>
            <w:r>
              <w:rPr>
                <w:rFonts w:hint="eastAsia" w:ascii="Times New Roman" w:cs="Times New Roman"/>
                <w:color w:val="auto"/>
                <w:highlight w:val="none"/>
                <w:lang w:eastAsia="zh-CN"/>
              </w:rPr>
              <w:t>（</w:t>
            </w:r>
            <w:r>
              <w:rPr>
                <w:rFonts w:hint="eastAsia" w:ascii="Times New Roman" w:cs="Times New Roman"/>
                <w:color w:val="auto"/>
                <w:highlight w:val="none"/>
                <w:lang w:val="en-US" w:eastAsia="zh-CN"/>
              </w:rPr>
              <w:t>2017-2022年</w:t>
            </w:r>
            <w:r>
              <w:rPr>
                <w:rFonts w:hint="eastAsia" w:ascii="Times New Roman" w:cs="Times New Roman"/>
                <w:color w:val="auto"/>
                <w:highlight w:val="none"/>
                <w:lang w:eastAsia="zh-CN"/>
              </w:rPr>
              <w:t>）</w:t>
            </w:r>
            <w:r>
              <w:rPr>
                <w:rFonts w:hint="default" w:ascii="Times New Roman" w:hAnsi="Times New Roman" w:cs="Times New Roman"/>
                <w:color w:val="auto"/>
                <w:highlight w:val="none"/>
              </w:rPr>
              <w:t>须具</w:t>
            </w:r>
            <w:r>
              <w:rPr>
                <w:rFonts w:hint="eastAsia" w:ascii="Times New Roman" w:cs="Times New Roman"/>
                <w:color w:val="auto"/>
                <w:highlight w:val="none"/>
                <w:lang w:val="en-US" w:eastAsia="zh-CN"/>
              </w:rPr>
              <w:t>相关类型</w:t>
            </w:r>
            <w:r>
              <w:rPr>
                <w:rFonts w:hint="default" w:ascii="Times New Roman" w:hAnsi="Times New Roman" w:cs="Times New Roman"/>
                <w:color w:val="auto"/>
                <w:highlight w:val="none"/>
              </w:rPr>
              <w:t>业绩。（需提供报价人单位的业绩合同</w:t>
            </w:r>
            <w:r>
              <w:rPr>
                <w:rFonts w:hint="eastAsia" w:ascii="Times New Roman" w:cs="Times New Roman"/>
                <w:color w:val="auto"/>
                <w:highlight w:val="none"/>
                <w:lang w:val="en-US" w:eastAsia="zh-CN"/>
              </w:rPr>
              <w:t>及相关</w:t>
            </w:r>
            <w:r>
              <w:rPr>
                <w:rFonts w:hint="default" w:ascii="Times New Roman" w:hAnsi="Times New Roman" w:cs="Times New Roman"/>
                <w:color w:val="auto"/>
                <w:highlight w:val="none"/>
              </w:rPr>
              <w:t>证明文件）</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（6）报价人及报价人所报产品须具有满足本项目的国家强制许可资质。</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（7）具有以下情形的不得参与本次采购活动： 在“信用中国”网站（www.creditchina.gov.cn）等渠道列入失信被执行人（需附截图）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9"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w:t>
            </w:r>
          </w:p>
        </w:tc>
        <w:tc>
          <w:tcPr>
            <w:tcW w:w="197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资格审查方式</w:t>
            </w:r>
          </w:p>
        </w:tc>
        <w:tc>
          <w:tcPr>
            <w:tcW w:w="6697" w:type="dxa"/>
            <w:tcBorders>
              <w:top w:val="single" w:color="auto" w:sz="4" w:space="0"/>
              <w:left w:val="single" w:color="auto" w:sz="4" w:space="0"/>
              <w:bottom w:val="single" w:color="auto" w:sz="4" w:space="0"/>
              <w:right w:val="single" w:color="auto" w:sz="4" w:space="0"/>
            </w:tcBorders>
            <w:vAlign w:val="center"/>
          </w:tcPr>
          <w:p>
            <w:pPr>
              <w:pStyle w:val="30"/>
              <w:ind w:left="0"/>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2"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8</w:t>
            </w:r>
          </w:p>
        </w:tc>
        <w:tc>
          <w:tcPr>
            <w:tcW w:w="197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采购有效期</w:t>
            </w:r>
          </w:p>
        </w:tc>
        <w:tc>
          <w:tcPr>
            <w:tcW w:w="6697" w:type="dxa"/>
            <w:tcBorders>
              <w:top w:val="single" w:color="auto" w:sz="4" w:space="0"/>
              <w:left w:val="single" w:color="auto" w:sz="4" w:space="0"/>
              <w:bottom w:val="single" w:color="auto" w:sz="4" w:space="0"/>
              <w:right w:val="single" w:color="auto" w:sz="4" w:space="0"/>
            </w:tcBorders>
            <w:vAlign w:val="center"/>
          </w:tcPr>
          <w:p>
            <w:pPr>
              <w:ind w:leftChars="-23" w:hanging="45" w:hangingChars="19"/>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自洽谈之日起90日历日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5"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9</w:t>
            </w:r>
          </w:p>
        </w:tc>
        <w:tc>
          <w:tcPr>
            <w:tcW w:w="1977" w:type="dxa"/>
            <w:tcBorders>
              <w:top w:val="single" w:color="auto" w:sz="4" w:space="0"/>
              <w:left w:val="single" w:color="auto" w:sz="4" w:space="0"/>
              <w:bottom w:val="single" w:color="auto" w:sz="4" w:space="0"/>
              <w:right w:val="single" w:color="auto" w:sz="4" w:space="0"/>
            </w:tcBorders>
            <w:vAlign w:val="center"/>
          </w:tcPr>
          <w:p>
            <w:pPr>
              <w:pStyle w:val="30"/>
              <w:ind w:left="0"/>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现场勘查</w:t>
            </w:r>
          </w:p>
        </w:tc>
        <w:tc>
          <w:tcPr>
            <w:tcW w:w="6697" w:type="dxa"/>
            <w:tcBorders>
              <w:top w:val="single" w:color="auto" w:sz="4" w:space="0"/>
              <w:left w:val="single" w:color="auto" w:sz="4" w:space="0"/>
              <w:bottom w:val="single" w:color="auto" w:sz="4" w:space="0"/>
              <w:right w:val="single" w:color="auto" w:sz="4" w:space="0"/>
            </w:tcBorders>
            <w:vAlign w:val="center"/>
          </w:tcPr>
          <w:p>
            <w:pPr>
              <w:widowControl w:val="0"/>
              <w:snapToGrid w:val="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采购人不安排踏勘。供应商可自行安排，相关一切费用自理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5"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w:t>
            </w:r>
          </w:p>
        </w:tc>
        <w:tc>
          <w:tcPr>
            <w:tcW w:w="197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响应文件份数及封装要求</w:t>
            </w:r>
          </w:p>
        </w:tc>
        <w:tc>
          <w:tcPr>
            <w:tcW w:w="66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投标文件电子版（签字盖章扫描版）请于报价截止时间前同投标报价一起上传至中煤易购平台。如未按规定上传投标文件将被视为未响应招标文件。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11</w:t>
            </w:r>
          </w:p>
        </w:tc>
        <w:tc>
          <w:tcPr>
            <w:tcW w:w="197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装订要求</w:t>
            </w:r>
          </w:p>
        </w:tc>
        <w:tc>
          <w:tcPr>
            <w:tcW w:w="669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竖向左侧软皮胶订，不允许活页装订。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12</w:t>
            </w:r>
          </w:p>
        </w:tc>
        <w:tc>
          <w:tcPr>
            <w:tcW w:w="197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color w:val="auto"/>
                <w:sz w:val="24"/>
                <w:szCs w:val="24"/>
                <w:highlight w:val="none"/>
              </w:rPr>
            </w:pPr>
            <w:r>
              <w:rPr>
                <w:rFonts w:hint="eastAsia" w:ascii="宋体"/>
                <w:color w:val="auto"/>
                <w:sz w:val="24"/>
                <w:szCs w:val="24"/>
                <w:highlight w:val="none"/>
                <w:lang w:val="en-US" w:eastAsia="zh-CN"/>
              </w:rPr>
              <w:t>供应商需提供资料</w:t>
            </w:r>
          </w:p>
        </w:tc>
        <w:tc>
          <w:tcPr>
            <w:tcW w:w="6697" w:type="dxa"/>
            <w:tcBorders>
              <w:top w:val="single" w:color="auto" w:sz="4" w:space="0"/>
              <w:left w:val="single" w:color="auto" w:sz="4" w:space="0"/>
              <w:bottom w:val="single" w:color="auto" w:sz="4" w:space="0"/>
              <w:right w:val="single" w:color="auto" w:sz="4" w:space="0"/>
            </w:tcBorders>
            <w:vAlign w:val="center"/>
          </w:tcPr>
          <w:p>
            <w:pPr>
              <w:pStyle w:val="30"/>
              <w:ind w:left="0" w:leftChars="0"/>
              <w:rPr>
                <w:rFonts w:hint="default" w:ascii="Times New Roman" w:hAnsi="Times New Roman" w:cs="Times New Roman"/>
                <w:color w:val="auto"/>
                <w:sz w:val="24"/>
                <w:szCs w:val="24"/>
                <w:highlight w:val="none"/>
              </w:rPr>
            </w:pPr>
            <w:r>
              <w:rPr>
                <w:rFonts w:hint="eastAsia" w:ascii="宋体" w:hAnsi="Times New Roman" w:cs="Times New Roman"/>
                <w:color w:val="auto"/>
                <w:kern w:val="0"/>
                <w:sz w:val="24"/>
                <w:szCs w:val="24"/>
                <w:highlight w:val="none"/>
              </w:rPr>
              <w:t>供</w:t>
            </w:r>
            <w:r>
              <w:rPr>
                <w:rFonts w:hint="eastAsia" w:ascii="宋体"/>
                <w:color w:val="auto"/>
                <w:kern w:val="0"/>
                <w:sz w:val="24"/>
                <w:szCs w:val="24"/>
                <w:highlight w:val="none"/>
              </w:rPr>
              <w:t>应商法人授权代表需提供本人在供应商单位近半年社保证明文</w:t>
            </w:r>
            <w:r>
              <w:rPr>
                <w:rFonts w:hint="eastAsia" w:hAnsi="宋体" w:cs="宋体"/>
                <w:color w:val="auto"/>
                <w:highlight w:val="none"/>
              </w:rPr>
              <w:t>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rPr>
              <w:t>1</w:t>
            </w:r>
            <w:r>
              <w:rPr>
                <w:rFonts w:hint="eastAsia" w:cs="Times New Roman"/>
                <w:color w:val="auto"/>
                <w:sz w:val="24"/>
                <w:szCs w:val="24"/>
                <w:highlight w:val="none"/>
                <w:lang w:val="en-US" w:eastAsia="zh-CN"/>
              </w:rPr>
              <w:t>3</w:t>
            </w:r>
          </w:p>
        </w:tc>
        <w:tc>
          <w:tcPr>
            <w:tcW w:w="1977" w:type="dxa"/>
            <w:tcBorders>
              <w:top w:val="single" w:color="auto" w:sz="4" w:space="0"/>
              <w:left w:val="single" w:color="auto" w:sz="4" w:space="0"/>
              <w:bottom w:val="single" w:color="auto" w:sz="4" w:space="0"/>
              <w:right w:val="single" w:color="auto" w:sz="4" w:space="0"/>
            </w:tcBorders>
            <w:vAlign w:val="center"/>
          </w:tcPr>
          <w:p>
            <w:pPr>
              <w:pStyle w:val="7"/>
              <w:ind w:firstLine="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成交供应商</w:t>
            </w:r>
          </w:p>
        </w:tc>
        <w:tc>
          <w:tcPr>
            <w:tcW w:w="6697" w:type="dxa"/>
            <w:tcBorders>
              <w:top w:val="single" w:color="auto" w:sz="4" w:space="0"/>
              <w:left w:val="single" w:color="auto" w:sz="4" w:space="0"/>
              <w:bottom w:val="single" w:color="auto" w:sz="4" w:space="0"/>
              <w:right w:val="single" w:color="auto" w:sz="4" w:space="0"/>
            </w:tcBorders>
            <w:vAlign w:val="center"/>
          </w:tcPr>
          <w:p>
            <w:pPr>
              <w:pStyle w:val="7"/>
              <w:ind w:firstLine="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由采购人确定成交供应商。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17"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rPr>
              <w:t>1</w:t>
            </w:r>
            <w:r>
              <w:rPr>
                <w:rFonts w:hint="eastAsia" w:cs="Times New Roman"/>
                <w:color w:val="auto"/>
                <w:sz w:val="24"/>
                <w:szCs w:val="24"/>
                <w:highlight w:val="none"/>
                <w:lang w:val="en-US" w:eastAsia="zh-CN"/>
              </w:rPr>
              <w:t>4</w:t>
            </w:r>
          </w:p>
        </w:tc>
        <w:tc>
          <w:tcPr>
            <w:tcW w:w="8674" w:type="dxa"/>
            <w:gridSpan w:val="2"/>
            <w:tcBorders>
              <w:top w:val="single" w:color="auto" w:sz="4" w:space="0"/>
              <w:left w:val="single" w:color="auto" w:sz="4" w:space="0"/>
              <w:bottom w:val="single" w:color="auto" w:sz="4" w:space="0"/>
              <w:right w:val="single" w:color="auto" w:sz="4" w:space="0"/>
            </w:tcBorders>
            <w:vAlign w:val="center"/>
          </w:tcPr>
          <w:p>
            <w:pPr>
              <w:pStyle w:val="43"/>
              <w:tabs>
                <w:tab w:val="left" w:pos="720"/>
              </w:tabs>
              <w:spacing w:before="0" w:beforeAutospacing="0" w:after="0" w:afterAutospacing="0" w:line="288" w:lineRule="auto"/>
              <w:ind w:right="26"/>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采购人：中煤天津设计工程有限责任公司</w:t>
            </w:r>
          </w:p>
          <w:p>
            <w:pPr>
              <w:pStyle w:val="43"/>
              <w:tabs>
                <w:tab w:val="left" w:pos="720"/>
              </w:tabs>
              <w:spacing w:before="0" w:beforeAutospacing="0" w:after="0" w:afterAutospacing="0" w:line="288" w:lineRule="auto"/>
              <w:ind w:right="26"/>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地址：天津市红桥区大丰路安顺大厦（西北角水游城）3号楼</w:t>
            </w:r>
          </w:p>
          <w:p>
            <w:pPr>
              <w:pStyle w:val="43"/>
              <w:tabs>
                <w:tab w:val="left" w:pos="720"/>
              </w:tabs>
              <w:spacing w:before="0" w:beforeAutospacing="0" w:after="0" w:afterAutospacing="0" w:line="288" w:lineRule="auto"/>
              <w:ind w:right="26"/>
              <w:jc w:val="both"/>
              <w:rPr>
                <w:rFonts w:hint="eastAsia" w:ascii="Times New Roman" w:hAnsi="Times New Roman" w:eastAsia="宋体" w:cs="Times New Roman"/>
                <w:bCs/>
                <w:color w:val="auto"/>
                <w:highlight w:val="none"/>
                <w:lang w:eastAsia="zh-CN"/>
              </w:rPr>
            </w:pPr>
            <w:r>
              <w:rPr>
                <w:rFonts w:hint="default" w:ascii="Times New Roman" w:hAnsi="Times New Roman" w:cs="Times New Roman"/>
                <w:bCs/>
                <w:color w:val="auto"/>
                <w:highlight w:val="none"/>
              </w:rPr>
              <w:t>项目联系人：罗</w:t>
            </w:r>
            <w:r>
              <w:rPr>
                <w:rFonts w:hint="eastAsia" w:ascii="Times New Roman" w:cs="Times New Roman"/>
                <w:bCs/>
                <w:color w:val="auto"/>
                <w:highlight w:val="none"/>
                <w:lang w:val="en-US" w:eastAsia="zh-CN"/>
              </w:rPr>
              <w:t>芳</w:t>
            </w:r>
          </w:p>
          <w:p>
            <w:pPr>
              <w:pStyle w:val="43"/>
              <w:tabs>
                <w:tab w:val="left" w:pos="720"/>
              </w:tabs>
              <w:spacing w:before="0" w:beforeAutospacing="0" w:after="0" w:afterAutospacing="0" w:line="288" w:lineRule="auto"/>
              <w:ind w:right="26"/>
              <w:jc w:val="both"/>
              <w:rPr>
                <w:rFonts w:hint="default" w:ascii="Times New Roman" w:hAnsi="Times New Roman" w:eastAsia="宋体" w:cs="Times New Roman"/>
                <w:color w:val="auto"/>
                <w:highlight w:val="none"/>
                <w:lang w:val="en-US" w:eastAsia="zh-CN"/>
              </w:rPr>
            </w:pPr>
            <w:r>
              <w:rPr>
                <w:rFonts w:hint="default" w:ascii="Times New Roman" w:hAnsi="Times New Roman" w:cs="Times New Roman"/>
                <w:bCs/>
                <w:color w:val="auto"/>
                <w:highlight w:val="none"/>
              </w:rPr>
              <w:t>电  话：1</w:t>
            </w:r>
            <w:r>
              <w:rPr>
                <w:rFonts w:hint="eastAsia" w:ascii="Times New Roman" w:cs="Times New Roman"/>
                <w:bCs/>
                <w:color w:val="auto"/>
                <w:highlight w:val="none"/>
                <w:lang w:val="en-US" w:eastAsia="zh-CN"/>
              </w:rPr>
              <w:t>8</w:t>
            </w:r>
            <w:r>
              <w:rPr>
                <w:rFonts w:hint="default" w:ascii="Times New Roman" w:hAnsi="Times New Roman" w:cs="Times New Roman"/>
                <w:bCs/>
                <w:color w:val="auto"/>
                <w:highlight w:val="none"/>
              </w:rPr>
              <w:t>8</w:t>
            </w:r>
            <w:r>
              <w:rPr>
                <w:rFonts w:hint="eastAsia" w:ascii="Times New Roman" w:cs="Times New Roman"/>
                <w:bCs/>
                <w:color w:val="auto"/>
                <w:highlight w:val="none"/>
                <w:lang w:val="en-US" w:eastAsia="zh-CN"/>
              </w:rPr>
              <w:t>32046637</w:t>
            </w:r>
          </w:p>
        </w:tc>
      </w:tr>
    </w:tbl>
    <w:p>
      <w:pPr>
        <w:spacing w:line="360" w:lineRule="auto"/>
        <w:ind w:left="567" w:hanging="567"/>
        <w:jc w:val="center"/>
        <w:outlineLvl w:val="1"/>
        <w:rPr>
          <w:rFonts w:hint="eastAsia" w:ascii="Cambria" w:hAnsi="Cambria"/>
          <w:bCs/>
          <w:color w:val="auto"/>
          <w:kern w:val="28"/>
          <w:sz w:val="32"/>
          <w:szCs w:val="32"/>
          <w:highlight w:val="none"/>
        </w:rPr>
      </w:pPr>
      <w:r>
        <w:rPr>
          <w:rFonts w:hint="default" w:ascii="Times New Roman" w:hAnsi="Times New Roman" w:cs="Times New Roman"/>
          <w:color w:val="auto"/>
          <w:kern w:val="2"/>
          <w:highlight w:val="none"/>
        </w:rPr>
        <w:br w:type="page"/>
      </w:r>
      <w:bookmarkEnd w:id="39"/>
      <w:bookmarkEnd w:id="40"/>
      <w:bookmarkEnd w:id="41"/>
      <w:bookmarkEnd w:id="42"/>
      <w:bookmarkEnd w:id="43"/>
      <w:bookmarkStart w:id="44" w:name="_Toc382509460"/>
      <w:r>
        <w:rPr>
          <w:rFonts w:hint="eastAsia" w:ascii="Times New Roman" w:hAnsi="Times New Roman" w:eastAsia="宋体" w:cs="Times New Roman"/>
          <w:b/>
          <w:bCs/>
          <w:color w:val="auto"/>
          <w:sz w:val="32"/>
          <w:szCs w:val="32"/>
          <w:highlight w:val="none"/>
          <w:lang w:val="en-US" w:eastAsia="zh-CN" w:bidi="ar-SA"/>
        </w:rPr>
        <w:t>一、总则</w:t>
      </w:r>
    </w:p>
    <w:p>
      <w:pPr>
        <w:pStyle w:val="173"/>
        <w:numPr>
          <w:ilvl w:val="0"/>
          <w:numId w:val="0"/>
        </w:numPr>
        <w:ind w:right="210"/>
        <w:rPr>
          <w:rFonts w:hint="eastAsia" w:cs="宋体"/>
          <w:b/>
          <w:color w:val="auto"/>
          <w:highlight w:val="none"/>
        </w:rPr>
      </w:pPr>
      <w:r>
        <w:rPr>
          <w:rFonts w:hint="eastAsia" w:cs="宋体"/>
          <w:b/>
          <w:color w:val="auto"/>
          <w:highlight w:val="none"/>
        </w:rPr>
        <w:t>1.1项目概况</w:t>
      </w:r>
    </w:p>
    <w:p>
      <w:pPr>
        <w:pStyle w:val="173"/>
        <w:numPr>
          <w:ilvl w:val="3"/>
          <w:numId w:val="5"/>
        </w:numPr>
        <w:ind w:right="210"/>
        <w:rPr>
          <w:rFonts w:hint="eastAsia" w:cs="宋体"/>
          <w:color w:val="auto"/>
          <w:highlight w:val="none"/>
        </w:rPr>
      </w:pPr>
      <w:r>
        <w:rPr>
          <w:rFonts w:hint="eastAsia" w:cs="宋体"/>
          <w:color w:val="auto"/>
          <w:highlight w:val="none"/>
        </w:rPr>
        <w:t>根据《中华人民共和国招标投标法》等有关法律、法规和规章的规定，本招标项目已具备</w:t>
      </w:r>
      <w:r>
        <w:rPr>
          <w:rFonts w:hint="eastAsia" w:cs="宋体"/>
          <w:color w:val="auto"/>
          <w:highlight w:val="none"/>
          <w:lang w:val="en-US" w:eastAsia="zh-CN"/>
        </w:rPr>
        <w:t>采购</w:t>
      </w:r>
      <w:r>
        <w:rPr>
          <w:rFonts w:hint="eastAsia" w:cs="宋体"/>
          <w:color w:val="auto"/>
          <w:highlight w:val="none"/>
        </w:rPr>
        <w:t>条件，现对本项目进行</w:t>
      </w:r>
      <w:r>
        <w:rPr>
          <w:rFonts w:hint="eastAsia" w:cs="宋体"/>
          <w:color w:val="auto"/>
          <w:highlight w:val="none"/>
          <w:lang w:val="en-US" w:eastAsia="zh-CN"/>
        </w:rPr>
        <w:t>采购</w:t>
      </w:r>
      <w:r>
        <w:rPr>
          <w:rFonts w:hint="eastAsia" w:cs="宋体"/>
          <w:color w:val="auto"/>
          <w:highlight w:val="none"/>
        </w:rPr>
        <w:t>。</w:t>
      </w:r>
    </w:p>
    <w:p>
      <w:pPr>
        <w:pStyle w:val="173"/>
        <w:numPr>
          <w:ilvl w:val="3"/>
          <w:numId w:val="5"/>
        </w:numPr>
        <w:ind w:right="210"/>
        <w:rPr>
          <w:rFonts w:hint="eastAsia" w:cs="宋体"/>
          <w:color w:val="auto"/>
          <w:highlight w:val="none"/>
        </w:rPr>
      </w:pPr>
      <w:r>
        <w:rPr>
          <w:rFonts w:hint="eastAsia" w:cs="宋体"/>
          <w:color w:val="auto"/>
          <w:highlight w:val="none"/>
        </w:rPr>
        <w:t>本</w:t>
      </w:r>
      <w:r>
        <w:rPr>
          <w:rFonts w:hint="eastAsia" w:cs="宋体"/>
          <w:color w:val="auto"/>
          <w:highlight w:val="none"/>
          <w:lang w:val="en-US" w:eastAsia="zh-CN"/>
        </w:rPr>
        <w:t>采购</w:t>
      </w:r>
      <w:r>
        <w:rPr>
          <w:rFonts w:hint="eastAsia" w:cs="宋体"/>
          <w:color w:val="auto"/>
          <w:highlight w:val="none"/>
        </w:rPr>
        <w:t>项目</w:t>
      </w:r>
      <w:r>
        <w:rPr>
          <w:rFonts w:hint="eastAsia" w:cs="宋体"/>
          <w:color w:val="auto"/>
          <w:highlight w:val="none"/>
          <w:lang w:val="en-US" w:eastAsia="zh-CN"/>
        </w:rPr>
        <w:t>采购</w:t>
      </w:r>
      <w:r>
        <w:rPr>
          <w:rFonts w:hint="eastAsia" w:cs="宋体"/>
          <w:color w:val="auto"/>
          <w:highlight w:val="none"/>
        </w:rPr>
        <w:t>人：见投标人须知前附表。</w:t>
      </w:r>
    </w:p>
    <w:p>
      <w:pPr>
        <w:pStyle w:val="173"/>
        <w:numPr>
          <w:ilvl w:val="3"/>
          <w:numId w:val="5"/>
        </w:numPr>
        <w:ind w:right="210"/>
        <w:rPr>
          <w:rFonts w:hint="eastAsia" w:cs="宋体"/>
          <w:color w:val="auto"/>
          <w:highlight w:val="none"/>
        </w:rPr>
      </w:pPr>
      <w:r>
        <w:rPr>
          <w:rFonts w:hint="eastAsia" w:cs="宋体"/>
          <w:color w:val="auto"/>
          <w:highlight w:val="none"/>
        </w:rPr>
        <w:t>本</w:t>
      </w:r>
      <w:r>
        <w:rPr>
          <w:rFonts w:hint="eastAsia" w:cs="宋体"/>
          <w:color w:val="auto"/>
          <w:highlight w:val="none"/>
          <w:lang w:val="en-US" w:eastAsia="zh-CN"/>
        </w:rPr>
        <w:t>采购</w:t>
      </w:r>
      <w:r>
        <w:rPr>
          <w:rFonts w:hint="eastAsia" w:cs="宋体"/>
          <w:color w:val="auto"/>
          <w:highlight w:val="none"/>
        </w:rPr>
        <w:t>项目名称：见投标人须知前附表。</w:t>
      </w:r>
    </w:p>
    <w:p>
      <w:pPr>
        <w:pStyle w:val="173"/>
        <w:numPr>
          <w:ilvl w:val="3"/>
          <w:numId w:val="5"/>
        </w:numPr>
        <w:ind w:right="210"/>
        <w:rPr>
          <w:rFonts w:hint="eastAsia" w:cs="宋体"/>
          <w:color w:val="auto"/>
          <w:highlight w:val="none"/>
        </w:rPr>
      </w:pPr>
      <w:r>
        <w:rPr>
          <w:rFonts w:hint="eastAsia" w:cs="宋体"/>
          <w:color w:val="auto"/>
          <w:highlight w:val="none"/>
        </w:rPr>
        <w:t>本</w:t>
      </w:r>
      <w:r>
        <w:rPr>
          <w:rFonts w:hint="eastAsia" w:cs="宋体"/>
          <w:color w:val="auto"/>
          <w:highlight w:val="none"/>
          <w:lang w:val="en-US" w:eastAsia="zh-CN"/>
        </w:rPr>
        <w:t>采购</w:t>
      </w:r>
      <w:r>
        <w:rPr>
          <w:rFonts w:hint="eastAsia" w:cs="宋体"/>
          <w:color w:val="auto"/>
          <w:highlight w:val="none"/>
        </w:rPr>
        <w:t>项目建设地点：见投标人须知前附表。</w:t>
      </w:r>
    </w:p>
    <w:p>
      <w:pPr>
        <w:pStyle w:val="173"/>
        <w:numPr>
          <w:ilvl w:val="0"/>
          <w:numId w:val="0"/>
        </w:numPr>
        <w:ind w:right="210"/>
        <w:rPr>
          <w:rFonts w:hint="eastAsia" w:cs="宋体"/>
          <w:b/>
          <w:color w:val="auto"/>
          <w:highlight w:val="none"/>
        </w:rPr>
      </w:pPr>
      <w:r>
        <w:rPr>
          <w:rFonts w:hint="eastAsia" w:cs="宋体"/>
          <w:b/>
          <w:color w:val="auto"/>
          <w:highlight w:val="none"/>
        </w:rPr>
        <w:t>1.2资金来源和落实情况</w:t>
      </w:r>
    </w:p>
    <w:p>
      <w:pPr>
        <w:pStyle w:val="173"/>
        <w:numPr>
          <w:ilvl w:val="0"/>
          <w:numId w:val="0"/>
        </w:numPr>
        <w:ind w:left="210" w:right="210"/>
        <w:rPr>
          <w:rFonts w:hint="eastAsia" w:cs="宋体"/>
          <w:color w:val="auto"/>
          <w:highlight w:val="none"/>
        </w:rPr>
      </w:pPr>
      <w:r>
        <w:rPr>
          <w:rFonts w:hint="eastAsia" w:cs="宋体"/>
          <w:color w:val="auto"/>
          <w:highlight w:val="none"/>
        </w:rPr>
        <w:t>1.2.1本</w:t>
      </w:r>
      <w:r>
        <w:rPr>
          <w:rFonts w:hint="eastAsia" w:cs="宋体"/>
          <w:color w:val="auto"/>
          <w:highlight w:val="none"/>
          <w:lang w:val="en-US" w:eastAsia="zh-CN"/>
        </w:rPr>
        <w:t>采购</w:t>
      </w:r>
      <w:r>
        <w:rPr>
          <w:rFonts w:hint="eastAsia" w:cs="宋体"/>
          <w:color w:val="auto"/>
          <w:highlight w:val="none"/>
        </w:rPr>
        <w:t>项目的资金来源：见投标人须知前附表。</w:t>
      </w:r>
    </w:p>
    <w:p>
      <w:pPr>
        <w:pStyle w:val="173"/>
        <w:numPr>
          <w:ilvl w:val="0"/>
          <w:numId w:val="0"/>
        </w:numPr>
        <w:ind w:left="210" w:right="210"/>
        <w:rPr>
          <w:rFonts w:hint="eastAsia" w:cs="宋体"/>
          <w:color w:val="auto"/>
          <w:highlight w:val="none"/>
        </w:rPr>
      </w:pPr>
      <w:r>
        <w:rPr>
          <w:rFonts w:hint="eastAsia" w:cs="宋体"/>
          <w:color w:val="auto"/>
          <w:highlight w:val="none"/>
        </w:rPr>
        <w:t>1.2.2本</w:t>
      </w:r>
      <w:r>
        <w:rPr>
          <w:rFonts w:hint="eastAsia" w:cs="宋体"/>
          <w:color w:val="auto"/>
          <w:highlight w:val="none"/>
          <w:lang w:val="en-US" w:eastAsia="zh-CN"/>
        </w:rPr>
        <w:t>采购</w:t>
      </w:r>
      <w:r>
        <w:rPr>
          <w:rFonts w:hint="eastAsia" w:cs="宋体"/>
          <w:color w:val="auto"/>
          <w:highlight w:val="none"/>
        </w:rPr>
        <w:t>项目的出资比例：见投标人须知前附表。</w:t>
      </w:r>
    </w:p>
    <w:p>
      <w:pPr>
        <w:pStyle w:val="173"/>
        <w:numPr>
          <w:ilvl w:val="0"/>
          <w:numId w:val="0"/>
        </w:numPr>
        <w:ind w:left="210" w:right="210"/>
        <w:rPr>
          <w:rFonts w:hint="eastAsia" w:cs="宋体"/>
          <w:color w:val="auto"/>
          <w:highlight w:val="none"/>
        </w:rPr>
      </w:pPr>
      <w:r>
        <w:rPr>
          <w:rFonts w:hint="eastAsia" w:cs="宋体"/>
          <w:color w:val="auto"/>
          <w:highlight w:val="none"/>
        </w:rPr>
        <w:t>1.2.3本</w:t>
      </w:r>
      <w:r>
        <w:rPr>
          <w:rFonts w:hint="eastAsia" w:cs="宋体"/>
          <w:color w:val="auto"/>
          <w:highlight w:val="none"/>
          <w:lang w:val="en-US" w:eastAsia="zh-CN"/>
        </w:rPr>
        <w:t>采购</w:t>
      </w:r>
      <w:r>
        <w:rPr>
          <w:rFonts w:hint="eastAsia" w:cs="宋体"/>
          <w:color w:val="auto"/>
          <w:highlight w:val="none"/>
        </w:rPr>
        <w:t>项目的资金落实情况：见投标人须知前附表。</w:t>
      </w:r>
    </w:p>
    <w:p>
      <w:pPr>
        <w:pStyle w:val="173"/>
        <w:numPr>
          <w:ilvl w:val="0"/>
          <w:numId w:val="0"/>
        </w:numPr>
        <w:ind w:right="210"/>
        <w:rPr>
          <w:rFonts w:hint="eastAsia" w:cs="宋体"/>
          <w:b/>
          <w:color w:val="auto"/>
          <w:highlight w:val="none"/>
        </w:rPr>
      </w:pPr>
      <w:r>
        <w:rPr>
          <w:rFonts w:hint="eastAsia" w:cs="宋体"/>
          <w:b/>
          <w:color w:val="auto"/>
          <w:highlight w:val="none"/>
        </w:rPr>
        <w:t>1.3</w:t>
      </w:r>
      <w:r>
        <w:rPr>
          <w:rFonts w:hint="eastAsia" w:cs="宋体"/>
          <w:color w:val="auto"/>
          <w:highlight w:val="none"/>
          <w:lang w:val="en-US" w:eastAsia="zh-CN"/>
        </w:rPr>
        <w:t>采购</w:t>
      </w:r>
      <w:r>
        <w:rPr>
          <w:rFonts w:hint="eastAsia" w:cs="宋体"/>
          <w:b/>
          <w:color w:val="auto"/>
          <w:highlight w:val="none"/>
        </w:rPr>
        <w:t>范围、计划工期和质量要求</w:t>
      </w:r>
    </w:p>
    <w:p>
      <w:pPr>
        <w:pStyle w:val="173"/>
        <w:numPr>
          <w:ilvl w:val="0"/>
          <w:numId w:val="0"/>
        </w:numPr>
        <w:ind w:left="210" w:right="210"/>
        <w:rPr>
          <w:rFonts w:hint="eastAsia" w:cs="宋体"/>
          <w:color w:val="auto"/>
          <w:highlight w:val="none"/>
        </w:rPr>
      </w:pPr>
      <w:r>
        <w:rPr>
          <w:rFonts w:hint="eastAsia" w:cs="宋体"/>
          <w:color w:val="auto"/>
          <w:highlight w:val="none"/>
        </w:rPr>
        <w:t>1.3.1本次</w:t>
      </w:r>
      <w:r>
        <w:rPr>
          <w:rFonts w:hint="eastAsia" w:cs="宋体"/>
          <w:color w:val="auto"/>
          <w:highlight w:val="none"/>
          <w:lang w:val="en-US" w:eastAsia="zh-CN"/>
        </w:rPr>
        <w:t>采购</w:t>
      </w:r>
      <w:r>
        <w:rPr>
          <w:rFonts w:hint="eastAsia" w:cs="宋体"/>
          <w:color w:val="auto"/>
          <w:highlight w:val="none"/>
        </w:rPr>
        <w:t>范围：见投标人须知前附表。</w:t>
      </w:r>
    </w:p>
    <w:p>
      <w:pPr>
        <w:pStyle w:val="173"/>
        <w:numPr>
          <w:ilvl w:val="0"/>
          <w:numId w:val="0"/>
        </w:numPr>
        <w:ind w:left="210" w:right="210"/>
        <w:rPr>
          <w:rFonts w:hint="eastAsia" w:cs="宋体"/>
          <w:color w:val="auto"/>
          <w:highlight w:val="none"/>
        </w:rPr>
      </w:pPr>
      <w:r>
        <w:rPr>
          <w:rFonts w:hint="eastAsia" w:cs="宋体"/>
          <w:color w:val="auto"/>
          <w:highlight w:val="none"/>
        </w:rPr>
        <w:t>1.3.2本</w:t>
      </w:r>
      <w:r>
        <w:rPr>
          <w:rFonts w:hint="eastAsia" w:cs="宋体"/>
          <w:color w:val="auto"/>
          <w:highlight w:val="none"/>
          <w:lang w:val="en-US" w:eastAsia="zh-CN"/>
        </w:rPr>
        <w:t>采购</w:t>
      </w:r>
      <w:r>
        <w:rPr>
          <w:rFonts w:hint="eastAsia" w:cs="宋体"/>
          <w:color w:val="auto"/>
          <w:highlight w:val="none"/>
        </w:rPr>
        <w:t>项目的计划工期：见投标人须知前附表。</w:t>
      </w:r>
    </w:p>
    <w:p>
      <w:pPr>
        <w:pStyle w:val="173"/>
        <w:numPr>
          <w:ilvl w:val="0"/>
          <w:numId w:val="0"/>
        </w:numPr>
        <w:ind w:left="210" w:right="210"/>
        <w:rPr>
          <w:rFonts w:hint="eastAsia" w:cs="宋体"/>
          <w:color w:val="auto"/>
          <w:highlight w:val="none"/>
        </w:rPr>
      </w:pPr>
      <w:r>
        <w:rPr>
          <w:rFonts w:hint="eastAsia" w:cs="宋体"/>
          <w:color w:val="auto"/>
          <w:highlight w:val="none"/>
        </w:rPr>
        <w:t>1.3.3本</w:t>
      </w:r>
      <w:r>
        <w:rPr>
          <w:rFonts w:hint="eastAsia" w:cs="宋体"/>
          <w:color w:val="auto"/>
          <w:highlight w:val="none"/>
          <w:lang w:val="en-US" w:eastAsia="zh-CN"/>
        </w:rPr>
        <w:t>采购</w:t>
      </w:r>
      <w:r>
        <w:rPr>
          <w:rFonts w:hint="eastAsia" w:cs="宋体"/>
          <w:color w:val="auto"/>
          <w:highlight w:val="none"/>
        </w:rPr>
        <w:t>项目的质量要求：见投标人须知前附表。</w:t>
      </w:r>
    </w:p>
    <w:p>
      <w:pPr>
        <w:pStyle w:val="173"/>
        <w:numPr>
          <w:ilvl w:val="0"/>
          <w:numId w:val="0"/>
        </w:numPr>
        <w:ind w:right="210"/>
        <w:rPr>
          <w:rFonts w:hint="eastAsia" w:cs="宋体"/>
          <w:b/>
          <w:color w:val="auto"/>
          <w:highlight w:val="none"/>
        </w:rPr>
      </w:pPr>
      <w:r>
        <w:rPr>
          <w:rFonts w:hint="eastAsia" w:cs="宋体"/>
          <w:b/>
          <w:color w:val="auto"/>
          <w:highlight w:val="none"/>
        </w:rPr>
        <w:t>1.4投标人资格要求</w:t>
      </w:r>
    </w:p>
    <w:p>
      <w:pPr>
        <w:pStyle w:val="173"/>
        <w:numPr>
          <w:ilvl w:val="0"/>
          <w:numId w:val="0"/>
        </w:numPr>
        <w:ind w:left="210" w:right="210"/>
        <w:rPr>
          <w:rFonts w:hint="eastAsia" w:cs="宋体"/>
          <w:color w:val="auto"/>
          <w:highlight w:val="none"/>
        </w:rPr>
      </w:pPr>
      <w:r>
        <w:rPr>
          <w:rFonts w:hint="eastAsia" w:cs="宋体"/>
          <w:color w:val="auto"/>
          <w:highlight w:val="none"/>
        </w:rPr>
        <w:t>1.4.1见投标人须知前附表。</w:t>
      </w:r>
    </w:p>
    <w:p>
      <w:pPr>
        <w:pStyle w:val="173"/>
        <w:numPr>
          <w:ilvl w:val="0"/>
          <w:numId w:val="0"/>
        </w:numPr>
        <w:ind w:left="210" w:right="210"/>
        <w:rPr>
          <w:rFonts w:hint="eastAsia" w:cs="宋体"/>
          <w:color w:val="auto"/>
          <w:highlight w:val="none"/>
        </w:rPr>
      </w:pPr>
      <w:r>
        <w:rPr>
          <w:rFonts w:hint="eastAsia" w:cs="宋体"/>
          <w:color w:val="auto"/>
          <w:highlight w:val="none"/>
        </w:rPr>
        <w:t>1.4.2投标人不得存在下列情形之一：</w:t>
      </w:r>
    </w:p>
    <w:p>
      <w:pPr>
        <w:numPr>
          <w:ilvl w:val="0"/>
          <w:numId w:val="6"/>
        </w:numPr>
        <w:autoSpaceDE w:val="0"/>
        <w:autoSpaceDN w:val="0"/>
        <w:adjustRightInd w:val="0"/>
        <w:snapToGrid w:val="0"/>
        <w:spacing w:line="360" w:lineRule="auto"/>
        <w:ind w:left="1259" w:right="-23"/>
        <w:jc w:val="left"/>
        <w:rPr>
          <w:rFonts w:hint="eastAsia" w:ascii="宋体" w:hAnsi="宋体" w:cs="宋体"/>
          <w:color w:val="auto"/>
          <w:kern w:val="0"/>
          <w:position w:val="-1"/>
          <w:sz w:val="24"/>
          <w:szCs w:val="24"/>
          <w:highlight w:val="none"/>
        </w:rPr>
      </w:pPr>
      <w:r>
        <w:rPr>
          <w:rFonts w:hint="eastAsia" w:ascii="宋体" w:hAnsi="宋体" w:cs="宋体"/>
          <w:color w:val="auto"/>
          <w:kern w:val="0"/>
          <w:position w:val="-1"/>
          <w:sz w:val="24"/>
          <w:szCs w:val="24"/>
          <w:highlight w:val="none"/>
        </w:rPr>
        <w:t>为</w:t>
      </w:r>
      <w:r>
        <w:rPr>
          <w:rFonts w:hint="eastAsia" w:cs="宋体"/>
          <w:color w:val="auto"/>
          <w:highlight w:val="none"/>
          <w:lang w:val="en-US" w:eastAsia="zh-CN"/>
        </w:rPr>
        <w:t>采购</w:t>
      </w:r>
      <w:r>
        <w:rPr>
          <w:rFonts w:hint="eastAsia" w:ascii="宋体" w:hAnsi="宋体" w:cs="宋体"/>
          <w:color w:val="auto"/>
          <w:kern w:val="0"/>
          <w:position w:val="-1"/>
          <w:sz w:val="24"/>
          <w:szCs w:val="24"/>
          <w:highlight w:val="none"/>
        </w:rPr>
        <w:t>人不具有独立法人资格的附属机构（单位）；</w:t>
      </w:r>
    </w:p>
    <w:p>
      <w:pPr>
        <w:numPr>
          <w:ilvl w:val="0"/>
          <w:numId w:val="6"/>
        </w:numPr>
        <w:autoSpaceDE w:val="0"/>
        <w:autoSpaceDN w:val="0"/>
        <w:adjustRightInd w:val="0"/>
        <w:snapToGrid w:val="0"/>
        <w:spacing w:line="360" w:lineRule="auto"/>
        <w:ind w:left="1259" w:right="-23"/>
        <w:jc w:val="left"/>
        <w:rPr>
          <w:rFonts w:hint="eastAsia" w:ascii="宋体" w:hAnsi="宋体" w:cs="宋体"/>
          <w:color w:val="auto"/>
          <w:kern w:val="0"/>
          <w:position w:val="-1"/>
          <w:sz w:val="24"/>
          <w:szCs w:val="24"/>
          <w:highlight w:val="none"/>
        </w:rPr>
      </w:pPr>
      <w:r>
        <w:rPr>
          <w:rFonts w:hint="eastAsia" w:ascii="宋体" w:hAnsi="宋体" w:cs="宋体"/>
          <w:color w:val="auto"/>
          <w:kern w:val="0"/>
          <w:position w:val="-1"/>
          <w:sz w:val="24"/>
          <w:szCs w:val="24"/>
          <w:highlight w:val="none"/>
        </w:rPr>
        <w:t>为本</w:t>
      </w:r>
      <w:r>
        <w:rPr>
          <w:rFonts w:hint="eastAsia" w:ascii="宋体" w:hAnsi="宋体" w:cs="宋体"/>
          <w:color w:val="auto"/>
          <w:kern w:val="0"/>
          <w:position w:val="-1"/>
          <w:sz w:val="24"/>
          <w:szCs w:val="24"/>
          <w:highlight w:val="none"/>
          <w:lang w:val="en-US" w:eastAsia="zh-CN"/>
        </w:rPr>
        <w:t>采购</w:t>
      </w:r>
      <w:r>
        <w:rPr>
          <w:rFonts w:hint="eastAsia" w:ascii="宋体" w:hAnsi="宋体" w:cs="宋体"/>
          <w:color w:val="auto"/>
          <w:kern w:val="0"/>
          <w:position w:val="-1"/>
          <w:sz w:val="24"/>
          <w:szCs w:val="24"/>
          <w:highlight w:val="none"/>
        </w:rPr>
        <w:t>项目前期准备提供设计或咨询服务的，但设计施工总承包的除外；</w:t>
      </w:r>
    </w:p>
    <w:p>
      <w:pPr>
        <w:numPr>
          <w:ilvl w:val="0"/>
          <w:numId w:val="6"/>
        </w:numPr>
        <w:autoSpaceDE w:val="0"/>
        <w:autoSpaceDN w:val="0"/>
        <w:adjustRightInd w:val="0"/>
        <w:snapToGrid w:val="0"/>
        <w:spacing w:line="360" w:lineRule="auto"/>
        <w:ind w:left="1259" w:right="-23"/>
        <w:jc w:val="left"/>
        <w:rPr>
          <w:rFonts w:hint="eastAsia" w:ascii="宋体" w:hAnsi="宋体" w:cs="宋体"/>
          <w:color w:val="auto"/>
          <w:kern w:val="0"/>
          <w:position w:val="-1"/>
          <w:sz w:val="24"/>
          <w:szCs w:val="24"/>
          <w:highlight w:val="none"/>
        </w:rPr>
      </w:pPr>
      <w:r>
        <w:rPr>
          <w:rFonts w:hint="eastAsia" w:ascii="宋体" w:hAnsi="宋体" w:cs="宋体"/>
          <w:color w:val="auto"/>
          <w:kern w:val="0"/>
          <w:position w:val="-1"/>
          <w:sz w:val="24"/>
          <w:szCs w:val="24"/>
          <w:highlight w:val="none"/>
        </w:rPr>
        <w:t>为本</w:t>
      </w:r>
      <w:r>
        <w:rPr>
          <w:rFonts w:hint="eastAsia" w:ascii="宋体" w:hAnsi="宋体" w:cs="宋体"/>
          <w:color w:val="auto"/>
          <w:kern w:val="0"/>
          <w:position w:val="-1"/>
          <w:sz w:val="24"/>
          <w:szCs w:val="24"/>
          <w:highlight w:val="none"/>
          <w:lang w:val="en-US" w:eastAsia="zh-CN"/>
        </w:rPr>
        <w:t>采购</w:t>
      </w:r>
      <w:r>
        <w:rPr>
          <w:rFonts w:hint="eastAsia" w:ascii="宋体" w:hAnsi="宋体" w:cs="宋体"/>
          <w:color w:val="auto"/>
          <w:kern w:val="0"/>
          <w:position w:val="-1"/>
          <w:sz w:val="24"/>
          <w:szCs w:val="24"/>
          <w:highlight w:val="none"/>
        </w:rPr>
        <w:t>项目的监理人；</w:t>
      </w:r>
    </w:p>
    <w:p>
      <w:pPr>
        <w:numPr>
          <w:ilvl w:val="0"/>
          <w:numId w:val="6"/>
        </w:numPr>
        <w:autoSpaceDE w:val="0"/>
        <w:autoSpaceDN w:val="0"/>
        <w:adjustRightInd w:val="0"/>
        <w:snapToGrid w:val="0"/>
        <w:spacing w:line="360" w:lineRule="auto"/>
        <w:ind w:left="1259" w:right="-23"/>
        <w:jc w:val="left"/>
        <w:rPr>
          <w:rFonts w:hint="eastAsia" w:ascii="宋体" w:hAnsi="宋体" w:cs="宋体"/>
          <w:color w:val="auto"/>
          <w:kern w:val="0"/>
          <w:position w:val="-1"/>
          <w:sz w:val="24"/>
          <w:szCs w:val="24"/>
          <w:highlight w:val="none"/>
        </w:rPr>
      </w:pPr>
      <w:r>
        <w:rPr>
          <w:rFonts w:hint="eastAsia" w:ascii="宋体" w:hAnsi="宋体" w:cs="宋体"/>
          <w:color w:val="auto"/>
          <w:kern w:val="0"/>
          <w:position w:val="-1"/>
          <w:sz w:val="24"/>
          <w:szCs w:val="24"/>
          <w:highlight w:val="none"/>
        </w:rPr>
        <w:t>为本</w:t>
      </w:r>
      <w:r>
        <w:rPr>
          <w:rFonts w:hint="eastAsia" w:ascii="宋体" w:hAnsi="宋体" w:cs="宋体"/>
          <w:color w:val="auto"/>
          <w:kern w:val="0"/>
          <w:position w:val="-1"/>
          <w:sz w:val="24"/>
          <w:szCs w:val="24"/>
          <w:highlight w:val="none"/>
          <w:lang w:val="en-US" w:eastAsia="zh-CN"/>
        </w:rPr>
        <w:t>采购</w:t>
      </w:r>
      <w:r>
        <w:rPr>
          <w:rFonts w:hint="eastAsia" w:ascii="宋体" w:hAnsi="宋体" w:cs="宋体"/>
          <w:color w:val="auto"/>
          <w:kern w:val="0"/>
          <w:position w:val="-1"/>
          <w:sz w:val="24"/>
          <w:szCs w:val="24"/>
          <w:highlight w:val="none"/>
        </w:rPr>
        <w:t>项目的代建人；</w:t>
      </w:r>
    </w:p>
    <w:p>
      <w:pPr>
        <w:numPr>
          <w:ilvl w:val="0"/>
          <w:numId w:val="6"/>
        </w:numPr>
        <w:autoSpaceDE w:val="0"/>
        <w:autoSpaceDN w:val="0"/>
        <w:adjustRightInd w:val="0"/>
        <w:snapToGrid w:val="0"/>
        <w:spacing w:line="360" w:lineRule="auto"/>
        <w:ind w:left="1259" w:right="-23"/>
        <w:jc w:val="left"/>
        <w:rPr>
          <w:rFonts w:hint="eastAsia" w:ascii="宋体" w:hAnsi="宋体" w:cs="宋体"/>
          <w:color w:val="auto"/>
          <w:kern w:val="0"/>
          <w:position w:val="-1"/>
          <w:sz w:val="24"/>
          <w:szCs w:val="24"/>
          <w:highlight w:val="none"/>
        </w:rPr>
      </w:pPr>
      <w:r>
        <w:rPr>
          <w:rFonts w:hint="eastAsia" w:ascii="宋体" w:hAnsi="宋体" w:cs="宋体"/>
          <w:color w:val="auto"/>
          <w:kern w:val="0"/>
          <w:position w:val="-1"/>
          <w:sz w:val="24"/>
          <w:szCs w:val="24"/>
          <w:highlight w:val="none"/>
        </w:rPr>
        <w:t>为本</w:t>
      </w:r>
      <w:r>
        <w:rPr>
          <w:rFonts w:hint="eastAsia" w:ascii="宋体" w:hAnsi="宋体" w:cs="宋体"/>
          <w:color w:val="auto"/>
          <w:kern w:val="0"/>
          <w:position w:val="-1"/>
          <w:sz w:val="24"/>
          <w:szCs w:val="24"/>
          <w:highlight w:val="none"/>
          <w:lang w:val="en-US" w:eastAsia="zh-CN"/>
        </w:rPr>
        <w:t>采购</w:t>
      </w:r>
      <w:r>
        <w:rPr>
          <w:rFonts w:hint="eastAsia" w:ascii="宋体" w:hAnsi="宋体" w:cs="宋体"/>
          <w:color w:val="auto"/>
          <w:kern w:val="0"/>
          <w:position w:val="-1"/>
          <w:sz w:val="24"/>
          <w:szCs w:val="24"/>
          <w:highlight w:val="none"/>
        </w:rPr>
        <w:t>项目提供招标代理服务的；</w:t>
      </w:r>
    </w:p>
    <w:p>
      <w:pPr>
        <w:numPr>
          <w:ilvl w:val="0"/>
          <w:numId w:val="6"/>
        </w:numPr>
        <w:autoSpaceDE w:val="0"/>
        <w:autoSpaceDN w:val="0"/>
        <w:adjustRightInd w:val="0"/>
        <w:snapToGrid w:val="0"/>
        <w:spacing w:line="360" w:lineRule="auto"/>
        <w:ind w:left="1259" w:right="-23"/>
        <w:jc w:val="left"/>
        <w:rPr>
          <w:rFonts w:hint="eastAsia" w:ascii="宋体" w:hAnsi="宋体" w:cs="宋体"/>
          <w:color w:val="auto"/>
          <w:kern w:val="0"/>
          <w:position w:val="-1"/>
          <w:sz w:val="24"/>
          <w:szCs w:val="24"/>
          <w:highlight w:val="none"/>
        </w:rPr>
      </w:pPr>
      <w:r>
        <w:rPr>
          <w:rFonts w:hint="eastAsia" w:ascii="宋体" w:hAnsi="宋体" w:cs="宋体"/>
          <w:color w:val="auto"/>
          <w:kern w:val="0"/>
          <w:position w:val="-1"/>
          <w:sz w:val="24"/>
          <w:szCs w:val="24"/>
          <w:highlight w:val="none"/>
        </w:rPr>
        <w:t>与本</w:t>
      </w:r>
      <w:r>
        <w:rPr>
          <w:rFonts w:hint="eastAsia" w:ascii="宋体" w:hAnsi="宋体" w:cs="宋体"/>
          <w:color w:val="auto"/>
          <w:kern w:val="0"/>
          <w:position w:val="-1"/>
          <w:sz w:val="24"/>
          <w:szCs w:val="24"/>
          <w:highlight w:val="none"/>
          <w:lang w:val="en-US" w:eastAsia="zh-CN"/>
        </w:rPr>
        <w:t>采购</w:t>
      </w:r>
      <w:r>
        <w:rPr>
          <w:rFonts w:hint="eastAsia" w:ascii="宋体" w:hAnsi="宋体" w:cs="宋体"/>
          <w:color w:val="auto"/>
          <w:kern w:val="0"/>
          <w:position w:val="-1"/>
          <w:sz w:val="24"/>
          <w:szCs w:val="24"/>
          <w:highlight w:val="none"/>
        </w:rPr>
        <w:t>项目的监理人或代建人或招标代理机构同为一个法定代表人的；</w:t>
      </w:r>
    </w:p>
    <w:p>
      <w:pPr>
        <w:numPr>
          <w:ilvl w:val="0"/>
          <w:numId w:val="6"/>
        </w:numPr>
        <w:autoSpaceDE w:val="0"/>
        <w:autoSpaceDN w:val="0"/>
        <w:adjustRightInd w:val="0"/>
        <w:snapToGrid w:val="0"/>
        <w:spacing w:line="360" w:lineRule="auto"/>
        <w:ind w:left="1259" w:right="-23"/>
        <w:jc w:val="left"/>
        <w:rPr>
          <w:rFonts w:hint="eastAsia" w:ascii="宋体" w:hAnsi="宋体" w:cs="宋体"/>
          <w:color w:val="auto"/>
          <w:kern w:val="0"/>
          <w:position w:val="-1"/>
          <w:sz w:val="24"/>
          <w:szCs w:val="24"/>
          <w:highlight w:val="none"/>
        </w:rPr>
      </w:pPr>
      <w:r>
        <w:rPr>
          <w:rFonts w:hint="eastAsia" w:ascii="宋体" w:hAnsi="宋体" w:cs="宋体"/>
          <w:color w:val="auto"/>
          <w:kern w:val="0"/>
          <w:position w:val="-1"/>
          <w:sz w:val="24"/>
          <w:szCs w:val="24"/>
          <w:highlight w:val="none"/>
        </w:rPr>
        <w:t>与本</w:t>
      </w:r>
      <w:r>
        <w:rPr>
          <w:rFonts w:hint="eastAsia" w:ascii="宋体" w:hAnsi="宋体" w:cs="宋体"/>
          <w:color w:val="auto"/>
          <w:kern w:val="0"/>
          <w:position w:val="-1"/>
          <w:sz w:val="24"/>
          <w:szCs w:val="24"/>
          <w:highlight w:val="none"/>
          <w:lang w:val="en-US" w:eastAsia="zh-CN"/>
        </w:rPr>
        <w:t>采购</w:t>
      </w:r>
      <w:r>
        <w:rPr>
          <w:rFonts w:hint="eastAsia" w:ascii="宋体" w:hAnsi="宋体" w:cs="宋体"/>
          <w:color w:val="auto"/>
          <w:kern w:val="0"/>
          <w:position w:val="-1"/>
          <w:sz w:val="24"/>
          <w:szCs w:val="24"/>
          <w:highlight w:val="none"/>
        </w:rPr>
        <w:t>项目的监理人或代建人或招标代理机构相互控股或参股的；</w:t>
      </w:r>
    </w:p>
    <w:p>
      <w:pPr>
        <w:numPr>
          <w:ilvl w:val="0"/>
          <w:numId w:val="6"/>
        </w:numPr>
        <w:autoSpaceDE w:val="0"/>
        <w:autoSpaceDN w:val="0"/>
        <w:adjustRightInd w:val="0"/>
        <w:snapToGrid w:val="0"/>
        <w:spacing w:line="360" w:lineRule="auto"/>
        <w:ind w:left="1259" w:right="-23"/>
        <w:jc w:val="left"/>
        <w:rPr>
          <w:rFonts w:hint="eastAsia" w:ascii="宋体" w:hAnsi="宋体" w:cs="宋体"/>
          <w:color w:val="auto"/>
          <w:kern w:val="0"/>
          <w:position w:val="-1"/>
          <w:sz w:val="24"/>
          <w:szCs w:val="24"/>
          <w:highlight w:val="none"/>
        </w:rPr>
      </w:pPr>
      <w:r>
        <w:rPr>
          <w:rFonts w:hint="eastAsia" w:ascii="宋体" w:hAnsi="宋体" w:cs="宋体"/>
          <w:color w:val="auto"/>
          <w:kern w:val="0"/>
          <w:position w:val="-1"/>
          <w:sz w:val="24"/>
          <w:szCs w:val="24"/>
          <w:highlight w:val="none"/>
        </w:rPr>
        <w:t>与本</w:t>
      </w:r>
      <w:r>
        <w:rPr>
          <w:rFonts w:hint="eastAsia" w:ascii="宋体" w:hAnsi="宋体" w:cs="宋体"/>
          <w:color w:val="auto"/>
          <w:kern w:val="0"/>
          <w:position w:val="-1"/>
          <w:sz w:val="24"/>
          <w:szCs w:val="24"/>
          <w:highlight w:val="none"/>
          <w:lang w:val="en-US" w:eastAsia="zh-CN"/>
        </w:rPr>
        <w:t>采购</w:t>
      </w:r>
      <w:r>
        <w:rPr>
          <w:rFonts w:hint="eastAsia" w:ascii="宋体" w:hAnsi="宋体" w:cs="宋体"/>
          <w:color w:val="auto"/>
          <w:kern w:val="0"/>
          <w:position w:val="-1"/>
          <w:sz w:val="24"/>
          <w:szCs w:val="24"/>
          <w:highlight w:val="none"/>
        </w:rPr>
        <w:t>项目的监理人或代建人或招标代理机构相互任职或工作的；</w:t>
      </w:r>
    </w:p>
    <w:p>
      <w:pPr>
        <w:numPr>
          <w:ilvl w:val="0"/>
          <w:numId w:val="6"/>
        </w:numPr>
        <w:autoSpaceDE w:val="0"/>
        <w:autoSpaceDN w:val="0"/>
        <w:adjustRightInd w:val="0"/>
        <w:snapToGrid w:val="0"/>
        <w:spacing w:line="360" w:lineRule="auto"/>
        <w:ind w:left="1259" w:right="-23"/>
        <w:jc w:val="left"/>
        <w:rPr>
          <w:rFonts w:hint="eastAsia" w:ascii="宋体" w:hAnsi="宋体" w:cs="宋体"/>
          <w:color w:val="auto"/>
          <w:kern w:val="0"/>
          <w:position w:val="-1"/>
          <w:sz w:val="24"/>
          <w:szCs w:val="24"/>
          <w:highlight w:val="none"/>
        </w:rPr>
      </w:pPr>
      <w:r>
        <w:rPr>
          <w:rFonts w:hint="eastAsia" w:ascii="宋体" w:hAnsi="宋体" w:cs="宋体"/>
          <w:color w:val="auto"/>
          <w:kern w:val="0"/>
          <w:position w:val="-1"/>
          <w:sz w:val="24"/>
          <w:szCs w:val="24"/>
          <w:highlight w:val="none"/>
        </w:rPr>
        <w:t>被责令停业的；</w:t>
      </w:r>
    </w:p>
    <w:p>
      <w:pPr>
        <w:numPr>
          <w:ilvl w:val="0"/>
          <w:numId w:val="6"/>
        </w:numPr>
        <w:autoSpaceDE w:val="0"/>
        <w:autoSpaceDN w:val="0"/>
        <w:adjustRightInd w:val="0"/>
        <w:snapToGrid w:val="0"/>
        <w:spacing w:line="360" w:lineRule="auto"/>
        <w:ind w:left="1259" w:right="-23"/>
        <w:jc w:val="left"/>
        <w:rPr>
          <w:rFonts w:hint="eastAsia" w:ascii="宋体" w:hAnsi="宋体" w:cs="宋体"/>
          <w:color w:val="auto"/>
          <w:kern w:val="0"/>
          <w:position w:val="-1"/>
          <w:sz w:val="24"/>
          <w:szCs w:val="24"/>
          <w:highlight w:val="none"/>
        </w:rPr>
      </w:pPr>
      <w:r>
        <w:rPr>
          <w:rFonts w:hint="eastAsia" w:ascii="宋体" w:hAnsi="宋体" w:cs="宋体"/>
          <w:color w:val="auto"/>
          <w:kern w:val="0"/>
          <w:position w:val="-1"/>
          <w:sz w:val="24"/>
          <w:szCs w:val="24"/>
          <w:highlight w:val="none"/>
        </w:rPr>
        <w:t>被暂停或取消投标资格的；</w:t>
      </w:r>
    </w:p>
    <w:p>
      <w:pPr>
        <w:numPr>
          <w:ilvl w:val="0"/>
          <w:numId w:val="6"/>
        </w:numPr>
        <w:autoSpaceDE w:val="0"/>
        <w:autoSpaceDN w:val="0"/>
        <w:adjustRightInd w:val="0"/>
        <w:snapToGrid w:val="0"/>
        <w:spacing w:line="360" w:lineRule="auto"/>
        <w:ind w:left="1259" w:right="-23"/>
        <w:jc w:val="left"/>
        <w:rPr>
          <w:rFonts w:hint="eastAsia" w:ascii="宋体" w:hAnsi="宋体" w:cs="宋体"/>
          <w:color w:val="auto"/>
          <w:kern w:val="0"/>
          <w:position w:val="-1"/>
          <w:sz w:val="24"/>
          <w:szCs w:val="24"/>
          <w:highlight w:val="none"/>
        </w:rPr>
      </w:pPr>
      <w:r>
        <w:rPr>
          <w:rFonts w:hint="eastAsia" w:ascii="宋体" w:hAnsi="宋体" w:cs="宋体"/>
          <w:color w:val="auto"/>
          <w:kern w:val="0"/>
          <w:position w:val="-1"/>
          <w:sz w:val="24"/>
          <w:szCs w:val="24"/>
          <w:highlight w:val="none"/>
        </w:rPr>
        <w:t>财产被接管或冻结的；</w:t>
      </w:r>
    </w:p>
    <w:p>
      <w:pPr>
        <w:numPr>
          <w:ilvl w:val="0"/>
          <w:numId w:val="6"/>
        </w:numPr>
        <w:autoSpaceDE w:val="0"/>
        <w:autoSpaceDN w:val="0"/>
        <w:adjustRightInd w:val="0"/>
        <w:snapToGrid w:val="0"/>
        <w:spacing w:line="360" w:lineRule="auto"/>
        <w:ind w:left="1259" w:right="-23"/>
        <w:jc w:val="left"/>
        <w:rPr>
          <w:rFonts w:hint="eastAsia" w:ascii="宋体" w:hAnsi="宋体" w:cs="宋体"/>
          <w:color w:val="auto"/>
          <w:kern w:val="0"/>
          <w:position w:val="-1"/>
          <w:sz w:val="24"/>
          <w:szCs w:val="24"/>
          <w:highlight w:val="none"/>
        </w:rPr>
      </w:pPr>
      <w:r>
        <w:rPr>
          <w:rFonts w:hint="eastAsia" w:ascii="宋体" w:hAnsi="宋体" w:cs="宋体"/>
          <w:color w:val="auto"/>
          <w:kern w:val="0"/>
          <w:position w:val="-1"/>
          <w:sz w:val="24"/>
          <w:szCs w:val="24"/>
          <w:highlight w:val="none"/>
        </w:rPr>
        <w:t>在最近三年内有骗取中标或严重违约或重大工程质量问题的。</w:t>
      </w:r>
    </w:p>
    <w:p>
      <w:pPr>
        <w:numPr>
          <w:ilvl w:val="0"/>
          <w:numId w:val="6"/>
        </w:numPr>
        <w:autoSpaceDE w:val="0"/>
        <w:autoSpaceDN w:val="0"/>
        <w:adjustRightInd w:val="0"/>
        <w:snapToGrid w:val="0"/>
        <w:spacing w:line="360" w:lineRule="auto"/>
        <w:ind w:left="1259" w:right="-23"/>
        <w:jc w:val="left"/>
        <w:rPr>
          <w:rFonts w:hint="eastAsia" w:ascii="宋体" w:hAnsi="宋体" w:cs="宋体"/>
          <w:color w:val="auto"/>
          <w:kern w:val="0"/>
          <w:position w:val="-1"/>
          <w:sz w:val="24"/>
          <w:szCs w:val="24"/>
          <w:highlight w:val="none"/>
        </w:rPr>
      </w:pPr>
      <w:r>
        <w:rPr>
          <w:rFonts w:hint="eastAsia" w:ascii="宋体" w:hAnsi="宋体" w:cs="宋体"/>
          <w:color w:val="auto"/>
          <w:kern w:val="0"/>
          <w:position w:val="-1"/>
          <w:sz w:val="24"/>
          <w:szCs w:val="24"/>
          <w:highlight w:val="none"/>
        </w:rPr>
        <w:t>单位负责人为同一人或者存在控股、管理关系的不同单位，不得参加投标。</w:t>
      </w:r>
    </w:p>
    <w:p>
      <w:pPr>
        <w:pStyle w:val="173"/>
        <w:numPr>
          <w:ilvl w:val="0"/>
          <w:numId w:val="0"/>
        </w:numPr>
        <w:ind w:right="210"/>
        <w:rPr>
          <w:rFonts w:hint="eastAsia" w:cs="宋体"/>
          <w:b/>
          <w:color w:val="auto"/>
          <w:highlight w:val="none"/>
        </w:rPr>
      </w:pPr>
      <w:r>
        <w:rPr>
          <w:rFonts w:hint="eastAsia" w:cs="宋体"/>
          <w:b/>
          <w:color w:val="auto"/>
          <w:highlight w:val="none"/>
        </w:rPr>
        <w:t>1.5费用承担</w:t>
      </w:r>
    </w:p>
    <w:p>
      <w:pPr>
        <w:autoSpaceDE w:val="0"/>
        <w:autoSpaceDN w:val="0"/>
        <w:adjustRightInd w:val="0"/>
        <w:snapToGrid w:val="0"/>
        <w:spacing w:before="29" w:line="360" w:lineRule="auto"/>
        <w:ind w:right="-159"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投标人准备和参加</w:t>
      </w:r>
      <w:r>
        <w:rPr>
          <w:rFonts w:hint="eastAsia" w:ascii="宋体" w:hAnsi="宋体" w:cs="宋体"/>
          <w:color w:val="auto"/>
          <w:kern w:val="0"/>
          <w:position w:val="-1"/>
          <w:sz w:val="24"/>
          <w:szCs w:val="24"/>
          <w:highlight w:val="none"/>
          <w:lang w:val="en-US" w:eastAsia="zh-CN"/>
        </w:rPr>
        <w:t>采购</w:t>
      </w:r>
      <w:r>
        <w:rPr>
          <w:rFonts w:hint="eastAsia" w:ascii="宋体" w:hAnsi="宋体" w:cs="宋体"/>
          <w:color w:val="auto"/>
          <w:kern w:val="0"/>
          <w:sz w:val="24"/>
          <w:szCs w:val="24"/>
          <w:highlight w:val="none"/>
        </w:rPr>
        <w:t>活动发生的费用自理。</w:t>
      </w:r>
    </w:p>
    <w:p>
      <w:pPr>
        <w:pStyle w:val="173"/>
        <w:numPr>
          <w:ilvl w:val="0"/>
          <w:numId w:val="0"/>
        </w:numPr>
        <w:ind w:right="210"/>
        <w:rPr>
          <w:rFonts w:hint="eastAsia" w:cs="宋体"/>
          <w:b/>
          <w:color w:val="auto"/>
          <w:highlight w:val="none"/>
        </w:rPr>
      </w:pPr>
      <w:r>
        <w:rPr>
          <w:rFonts w:hint="eastAsia" w:cs="宋体"/>
          <w:b/>
          <w:color w:val="auto"/>
          <w:highlight w:val="none"/>
        </w:rPr>
        <w:t>1.6保密</w:t>
      </w:r>
    </w:p>
    <w:p>
      <w:pPr>
        <w:autoSpaceDE w:val="0"/>
        <w:autoSpaceDN w:val="0"/>
        <w:adjustRightInd w:val="0"/>
        <w:snapToGrid w:val="0"/>
        <w:spacing w:before="29" w:line="360" w:lineRule="auto"/>
        <w:ind w:right="-159"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参与</w:t>
      </w:r>
      <w:r>
        <w:rPr>
          <w:rFonts w:hint="eastAsia" w:ascii="宋体" w:hAnsi="宋体" w:cs="宋体"/>
          <w:color w:val="auto"/>
          <w:kern w:val="0"/>
          <w:position w:val="-1"/>
          <w:sz w:val="24"/>
          <w:szCs w:val="24"/>
          <w:highlight w:val="none"/>
          <w:lang w:val="en-US" w:eastAsia="zh-CN"/>
        </w:rPr>
        <w:t>采购</w:t>
      </w:r>
      <w:r>
        <w:rPr>
          <w:rFonts w:hint="eastAsia" w:ascii="宋体" w:hAnsi="宋体" w:cs="宋体"/>
          <w:color w:val="auto"/>
          <w:kern w:val="0"/>
          <w:sz w:val="24"/>
          <w:szCs w:val="24"/>
          <w:highlight w:val="none"/>
        </w:rPr>
        <w:t>投标活动的各方应对招标文件和投标文件中的商业和技术等秘密保密，违者应对由此造成的后果承担法律责任。</w:t>
      </w:r>
    </w:p>
    <w:p>
      <w:pPr>
        <w:pStyle w:val="173"/>
        <w:numPr>
          <w:ilvl w:val="0"/>
          <w:numId w:val="0"/>
        </w:numPr>
        <w:ind w:right="210"/>
        <w:rPr>
          <w:rFonts w:hint="eastAsia" w:cs="宋体"/>
          <w:b/>
          <w:color w:val="auto"/>
          <w:highlight w:val="none"/>
        </w:rPr>
      </w:pPr>
      <w:r>
        <w:rPr>
          <w:rFonts w:hint="eastAsia" w:cs="宋体"/>
          <w:b/>
          <w:color w:val="auto"/>
          <w:highlight w:val="none"/>
        </w:rPr>
        <w:t>1.7语言文字</w:t>
      </w:r>
    </w:p>
    <w:p>
      <w:pPr>
        <w:autoSpaceDE w:val="0"/>
        <w:autoSpaceDN w:val="0"/>
        <w:adjustRightInd w:val="0"/>
        <w:snapToGrid w:val="0"/>
        <w:spacing w:before="29" w:line="360" w:lineRule="auto"/>
        <w:ind w:right="-159"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除专用术语外，与</w:t>
      </w:r>
      <w:r>
        <w:rPr>
          <w:rFonts w:hint="eastAsia" w:ascii="宋体" w:hAnsi="宋体" w:cs="宋体"/>
          <w:color w:val="auto"/>
          <w:kern w:val="0"/>
          <w:position w:val="-1"/>
          <w:sz w:val="24"/>
          <w:szCs w:val="24"/>
          <w:highlight w:val="none"/>
          <w:lang w:val="en-US" w:eastAsia="zh-CN"/>
        </w:rPr>
        <w:t>采购</w:t>
      </w:r>
      <w:r>
        <w:rPr>
          <w:rFonts w:hint="eastAsia" w:ascii="宋体" w:hAnsi="宋体" w:cs="宋体"/>
          <w:color w:val="auto"/>
          <w:kern w:val="0"/>
          <w:sz w:val="24"/>
          <w:szCs w:val="24"/>
          <w:highlight w:val="none"/>
        </w:rPr>
        <w:t>投标有关的语言均使用中文。必要时专用术语应附有中文注释。</w:t>
      </w:r>
    </w:p>
    <w:p>
      <w:pPr>
        <w:pStyle w:val="173"/>
        <w:numPr>
          <w:ilvl w:val="0"/>
          <w:numId w:val="0"/>
        </w:numPr>
        <w:ind w:right="210"/>
        <w:rPr>
          <w:rFonts w:hint="eastAsia" w:cs="宋体"/>
          <w:b/>
          <w:color w:val="auto"/>
          <w:highlight w:val="none"/>
        </w:rPr>
      </w:pPr>
      <w:r>
        <w:rPr>
          <w:rFonts w:hint="eastAsia" w:cs="宋体"/>
          <w:b/>
          <w:color w:val="auto"/>
          <w:highlight w:val="none"/>
        </w:rPr>
        <w:t>1.8计量单位</w:t>
      </w:r>
    </w:p>
    <w:p>
      <w:pPr>
        <w:autoSpaceDE w:val="0"/>
        <w:autoSpaceDN w:val="0"/>
        <w:adjustRightInd w:val="0"/>
        <w:snapToGrid w:val="0"/>
        <w:spacing w:before="29" w:line="360" w:lineRule="auto"/>
        <w:ind w:right="-159"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所有计量均采用中华人民共和国法定计量单位。</w:t>
      </w:r>
    </w:p>
    <w:p>
      <w:pPr>
        <w:pStyle w:val="173"/>
        <w:numPr>
          <w:ilvl w:val="0"/>
          <w:numId w:val="0"/>
        </w:numPr>
        <w:ind w:right="210"/>
        <w:rPr>
          <w:rFonts w:hint="eastAsia" w:cs="宋体"/>
          <w:b/>
          <w:color w:val="auto"/>
          <w:highlight w:val="none"/>
        </w:rPr>
      </w:pPr>
      <w:r>
        <w:rPr>
          <w:rFonts w:hint="eastAsia" w:cs="宋体"/>
          <w:b/>
          <w:color w:val="auto"/>
          <w:highlight w:val="none"/>
        </w:rPr>
        <w:t>1.9踏勘现场</w:t>
      </w:r>
    </w:p>
    <w:p>
      <w:pPr>
        <w:pStyle w:val="173"/>
        <w:numPr>
          <w:ilvl w:val="0"/>
          <w:numId w:val="0"/>
        </w:numPr>
        <w:ind w:left="210" w:right="210"/>
        <w:rPr>
          <w:rFonts w:hint="eastAsia" w:cs="宋体"/>
          <w:color w:val="auto"/>
          <w:highlight w:val="none"/>
        </w:rPr>
      </w:pPr>
      <w:r>
        <w:rPr>
          <w:rFonts w:hint="eastAsia" w:cs="宋体"/>
          <w:color w:val="auto"/>
          <w:highlight w:val="none"/>
        </w:rPr>
        <w:t>1.9.1投标人须知前附表规定组织踏勘现场的，</w:t>
      </w:r>
      <w:r>
        <w:rPr>
          <w:rFonts w:hint="eastAsia" w:ascii="宋体" w:hAnsi="宋体" w:cs="宋体"/>
          <w:color w:val="auto"/>
          <w:kern w:val="0"/>
          <w:position w:val="-1"/>
          <w:sz w:val="24"/>
          <w:szCs w:val="24"/>
          <w:highlight w:val="none"/>
          <w:lang w:val="en-US" w:eastAsia="zh-CN"/>
        </w:rPr>
        <w:t>采购</w:t>
      </w:r>
      <w:r>
        <w:rPr>
          <w:rFonts w:hint="eastAsia" w:cs="宋体"/>
          <w:color w:val="auto"/>
          <w:highlight w:val="none"/>
        </w:rPr>
        <w:t>人按投标人须知前附表规定的时间、地点组织投标人踏勘项目现场。</w:t>
      </w:r>
    </w:p>
    <w:p>
      <w:pPr>
        <w:numPr>
          <w:ilvl w:val="0"/>
          <w:numId w:val="7"/>
        </w:numPr>
        <w:autoSpaceDE w:val="0"/>
        <w:autoSpaceDN w:val="0"/>
        <w:adjustRightInd w:val="0"/>
        <w:snapToGrid w:val="0"/>
        <w:spacing w:line="360" w:lineRule="auto"/>
        <w:ind w:left="1259" w:right="-23"/>
        <w:jc w:val="left"/>
        <w:rPr>
          <w:rFonts w:hint="eastAsia" w:ascii="宋体" w:hAnsi="宋体" w:cs="宋体"/>
          <w:color w:val="auto"/>
          <w:kern w:val="0"/>
          <w:position w:val="-1"/>
          <w:sz w:val="24"/>
          <w:szCs w:val="24"/>
          <w:highlight w:val="none"/>
        </w:rPr>
      </w:pPr>
      <w:r>
        <w:rPr>
          <w:rFonts w:hint="eastAsia" w:ascii="宋体" w:hAnsi="宋体" w:cs="宋体"/>
          <w:color w:val="auto"/>
          <w:kern w:val="0"/>
          <w:position w:val="-1"/>
          <w:sz w:val="24"/>
          <w:szCs w:val="24"/>
          <w:highlight w:val="none"/>
        </w:rPr>
        <w:t>投标人踏勘现场发生的费用自理。</w:t>
      </w:r>
    </w:p>
    <w:p>
      <w:pPr>
        <w:numPr>
          <w:ilvl w:val="0"/>
          <w:numId w:val="7"/>
        </w:numPr>
        <w:autoSpaceDE w:val="0"/>
        <w:autoSpaceDN w:val="0"/>
        <w:adjustRightInd w:val="0"/>
        <w:snapToGrid w:val="0"/>
        <w:spacing w:line="360" w:lineRule="auto"/>
        <w:ind w:left="1259" w:right="-23"/>
        <w:jc w:val="left"/>
        <w:rPr>
          <w:rFonts w:hint="eastAsia" w:ascii="宋体" w:hAnsi="宋体" w:cs="宋体"/>
          <w:color w:val="auto"/>
          <w:kern w:val="0"/>
          <w:position w:val="-1"/>
          <w:sz w:val="24"/>
          <w:szCs w:val="24"/>
          <w:highlight w:val="none"/>
        </w:rPr>
      </w:pPr>
      <w:r>
        <w:rPr>
          <w:rFonts w:hint="eastAsia" w:ascii="宋体" w:hAnsi="宋体" w:cs="宋体"/>
          <w:color w:val="auto"/>
          <w:kern w:val="0"/>
          <w:position w:val="-1"/>
          <w:sz w:val="24"/>
          <w:szCs w:val="24"/>
          <w:highlight w:val="none"/>
        </w:rPr>
        <w:t>除招标人的原因外，投标人自行负责在踏勘现场中所发生的人员伤亡和财产损失。</w:t>
      </w:r>
    </w:p>
    <w:p>
      <w:pPr>
        <w:pStyle w:val="173"/>
        <w:numPr>
          <w:ilvl w:val="0"/>
          <w:numId w:val="0"/>
        </w:numPr>
        <w:ind w:left="210" w:right="210"/>
        <w:rPr>
          <w:rFonts w:hint="eastAsia" w:cs="宋体"/>
          <w:color w:val="auto"/>
          <w:highlight w:val="none"/>
        </w:rPr>
      </w:pPr>
      <w:r>
        <w:rPr>
          <w:rFonts w:hint="eastAsia" w:cs="宋体"/>
          <w:color w:val="auto"/>
          <w:highlight w:val="none"/>
        </w:rPr>
        <w:t>1.9.2</w:t>
      </w:r>
      <w:r>
        <w:rPr>
          <w:rFonts w:hint="eastAsia" w:ascii="宋体" w:hAnsi="宋体" w:cs="宋体"/>
          <w:color w:val="auto"/>
          <w:kern w:val="0"/>
          <w:position w:val="-1"/>
          <w:sz w:val="24"/>
          <w:szCs w:val="24"/>
          <w:highlight w:val="none"/>
          <w:lang w:val="en-US" w:eastAsia="zh-CN"/>
        </w:rPr>
        <w:t>采购</w:t>
      </w:r>
      <w:r>
        <w:rPr>
          <w:rFonts w:hint="eastAsia" w:cs="宋体"/>
          <w:color w:val="auto"/>
          <w:highlight w:val="none"/>
        </w:rPr>
        <w:t>人在踏勘现场中介绍的工程场地和相关的周边环境情况，供投标人在编制投标文件时参考，招标人不对投标人据此作出的判断和决策负责。</w:t>
      </w:r>
    </w:p>
    <w:p>
      <w:pPr>
        <w:pStyle w:val="173"/>
        <w:numPr>
          <w:ilvl w:val="0"/>
          <w:numId w:val="0"/>
        </w:numPr>
        <w:ind w:right="210"/>
        <w:rPr>
          <w:rFonts w:hint="eastAsia" w:cs="宋体"/>
          <w:b/>
          <w:color w:val="auto"/>
          <w:highlight w:val="none"/>
        </w:rPr>
      </w:pPr>
      <w:r>
        <w:rPr>
          <w:rFonts w:hint="eastAsia" w:cs="宋体"/>
          <w:b/>
          <w:color w:val="auto"/>
          <w:highlight w:val="none"/>
        </w:rPr>
        <w:t>1.1</w:t>
      </w:r>
      <w:r>
        <w:rPr>
          <w:rFonts w:hint="eastAsia" w:cs="宋体"/>
          <w:b/>
          <w:color w:val="auto"/>
          <w:highlight w:val="none"/>
          <w:lang w:val="en-US" w:eastAsia="zh-CN"/>
        </w:rPr>
        <w:t>0</w:t>
      </w:r>
      <w:r>
        <w:rPr>
          <w:rFonts w:hint="eastAsia" w:cs="宋体"/>
          <w:b/>
          <w:color w:val="auto"/>
          <w:highlight w:val="none"/>
        </w:rPr>
        <w:t>分包</w:t>
      </w:r>
    </w:p>
    <w:p>
      <w:pPr>
        <w:autoSpaceDE w:val="0"/>
        <w:autoSpaceDN w:val="0"/>
        <w:adjustRightInd w:val="0"/>
        <w:snapToGrid w:val="0"/>
        <w:spacing w:before="29" w:line="360" w:lineRule="auto"/>
        <w:ind w:right="-159"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投标人拟在中标后将中标项目的部分非主体</w:t>
      </w:r>
      <w:r>
        <w:rPr>
          <w:rFonts w:hint="eastAsia" w:ascii="宋体" w:hAnsi="宋体" w:cs="宋体"/>
          <w:color w:val="auto"/>
          <w:spacing w:val="-16"/>
          <w:kern w:val="0"/>
          <w:sz w:val="24"/>
          <w:szCs w:val="24"/>
          <w:highlight w:val="none"/>
        </w:rPr>
        <w:t>、</w:t>
      </w:r>
      <w:r>
        <w:rPr>
          <w:rFonts w:hint="eastAsia" w:ascii="宋体" w:hAnsi="宋体" w:cs="宋体"/>
          <w:color w:val="auto"/>
          <w:kern w:val="0"/>
          <w:sz w:val="24"/>
          <w:szCs w:val="24"/>
          <w:highlight w:val="none"/>
        </w:rPr>
        <w:t>非关键性工作进行分包的</w:t>
      </w:r>
      <w:r>
        <w:rPr>
          <w:rFonts w:hint="eastAsia" w:ascii="宋体" w:hAnsi="宋体" w:cs="宋体"/>
          <w:color w:val="auto"/>
          <w:spacing w:val="-16"/>
          <w:kern w:val="0"/>
          <w:sz w:val="24"/>
          <w:szCs w:val="24"/>
          <w:highlight w:val="none"/>
        </w:rPr>
        <w:t>，</w:t>
      </w:r>
      <w:r>
        <w:rPr>
          <w:rFonts w:hint="eastAsia" w:ascii="宋体" w:hAnsi="宋体" w:cs="宋体"/>
          <w:color w:val="auto"/>
          <w:kern w:val="0"/>
          <w:sz w:val="24"/>
          <w:szCs w:val="24"/>
          <w:highlight w:val="none"/>
        </w:rPr>
        <w:t>应符合投标人须知前附表规定的分包内容、分包金额和接受分包的第三人资质要求等限制性条件。</w:t>
      </w:r>
    </w:p>
    <w:p>
      <w:pPr>
        <w:spacing w:line="360" w:lineRule="auto"/>
        <w:jc w:val="center"/>
        <w:outlineLvl w:val="1"/>
        <w:rPr>
          <w:rFonts w:hint="eastAsia" w:ascii="Cambria" w:hAnsi="Cambria"/>
          <w:b/>
          <w:bCs w:val="0"/>
          <w:color w:val="auto"/>
          <w:kern w:val="28"/>
          <w:sz w:val="32"/>
          <w:szCs w:val="32"/>
          <w:highlight w:val="none"/>
        </w:rPr>
      </w:pPr>
      <w:bookmarkStart w:id="45" w:name="_Toc405303365"/>
      <w:bookmarkStart w:id="46" w:name="_Toc405302854"/>
      <w:bookmarkStart w:id="47" w:name="_Toc438129406"/>
      <w:r>
        <w:rPr>
          <w:rFonts w:hint="eastAsia" w:ascii="Cambria" w:hAnsi="Cambria"/>
          <w:b/>
          <w:bCs w:val="0"/>
          <w:color w:val="auto"/>
          <w:kern w:val="28"/>
          <w:sz w:val="32"/>
          <w:szCs w:val="32"/>
          <w:highlight w:val="none"/>
        </w:rPr>
        <w:t>二、</w:t>
      </w:r>
      <w:r>
        <w:rPr>
          <w:rFonts w:hint="eastAsia" w:ascii="Cambria" w:hAnsi="Cambria"/>
          <w:b/>
          <w:bCs w:val="0"/>
          <w:color w:val="auto"/>
          <w:kern w:val="28"/>
          <w:sz w:val="32"/>
          <w:szCs w:val="32"/>
          <w:highlight w:val="none"/>
          <w:lang w:val="en-US" w:eastAsia="zh-CN"/>
        </w:rPr>
        <w:t>采购</w:t>
      </w:r>
      <w:r>
        <w:rPr>
          <w:rFonts w:hint="eastAsia" w:ascii="Cambria" w:hAnsi="Cambria"/>
          <w:b/>
          <w:bCs w:val="0"/>
          <w:color w:val="auto"/>
          <w:kern w:val="28"/>
          <w:sz w:val="32"/>
          <w:szCs w:val="32"/>
          <w:highlight w:val="none"/>
        </w:rPr>
        <w:t>文件</w:t>
      </w:r>
      <w:bookmarkEnd w:id="45"/>
      <w:bookmarkEnd w:id="46"/>
      <w:bookmarkEnd w:id="47"/>
    </w:p>
    <w:p>
      <w:pPr>
        <w:pStyle w:val="173"/>
        <w:numPr>
          <w:ilvl w:val="0"/>
          <w:numId w:val="0"/>
        </w:numPr>
        <w:ind w:left="567" w:right="210"/>
        <w:rPr>
          <w:rFonts w:hint="eastAsia" w:cs="宋体"/>
          <w:b/>
          <w:bCs w:val="0"/>
          <w:color w:val="auto"/>
          <w:highlight w:val="none"/>
        </w:rPr>
      </w:pPr>
      <w:r>
        <w:rPr>
          <w:rFonts w:hint="eastAsia" w:cs="宋体"/>
          <w:b/>
          <w:bCs w:val="0"/>
          <w:color w:val="auto"/>
          <w:highlight w:val="none"/>
        </w:rPr>
        <w:t xml:space="preserve">2.1 </w:t>
      </w:r>
      <w:r>
        <w:rPr>
          <w:rFonts w:hint="eastAsia" w:ascii="宋体" w:hAnsi="宋体" w:cs="宋体"/>
          <w:b/>
          <w:bCs w:val="0"/>
          <w:color w:val="auto"/>
          <w:kern w:val="0"/>
          <w:position w:val="-1"/>
          <w:sz w:val="24"/>
          <w:szCs w:val="24"/>
          <w:highlight w:val="none"/>
          <w:lang w:val="en-US" w:eastAsia="zh-CN"/>
        </w:rPr>
        <w:t>采购</w:t>
      </w:r>
      <w:r>
        <w:rPr>
          <w:rFonts w:hint="eastAsia" w:cs="宋体"/>
          <w:b/>
          <w:bCs w:val="0"/>
          <w:color w:val="auto"/>
          <w:highlight w:val="none"/>
        </w:rPr>
        <w:t>文件的组成</w:t>
      </w:r>
    </w:p>
    <w:p>
      <w:pPr>
        <w:autoSpaceDE w:val="0"/>
        <w:autoSpaceDN w:val="0"/>
        <w:adjustRightInd w:val="0"/>
        <w:snapToGrid w:val="0"/>
        <w:spacing w:before="29" w:line="360" w:lineRule="auto"/>
        <w:ind w:right="-159"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w:t>
      </w:r>
      <w:r>
        <w:rPr>
          <w:rFonts w:hint="eastAsia" w:ascii="宋体" w:hAnsi="宋体" w:cs="宋体"/>
          <w:color w:val="auto"/>
          <w:kern w:val="0"/>
          <w:position w:val="-1"/>
          <w:sz w:val="24"/>
          <w:szCs w:val="24"/>
          <w:highlight w:val="none"/>
          <w:lang w:val="en-US" w:eastAsia="zh-CN"/>
        </w:rPr>
        <w:t>采购</w:t>
      </w:r>
      <w:r>
        <w:rPr>
          <w:rFonts w:hint="eastAsia" w:ascii="宋体" w:hAnsi="宋体" w:cs="宋体"/>
          <w:color w:val="auto"/>
          <w:kern w:val="0"/>
          <w:sz w:val="24"/>
          <w:szCs w:val="24"/>
          <w:highlight w:val="none"/>
        </w:rPr>
        <w:t>文件包括：</w:t>
      </w:r>
    </w:p>
    <w:p>
      <w:pPr>
        <w:numPr>
          <w:ilvl w:val="1"/>
          <w:numId w:val="8"/>
        </w:numPr>
        <w:autoSpaceDE w:val="0"/>
        <w:autoSpaceDN w:val="0"/>
        <w:adjustRightInd w:val="0"/>
        <w:snapToGrid w:val="0"/>
        <w:spacing w:before="37" w:line="360" w:lineRule="auto"/>
        <w:ind w:right="-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投标邀请书</w:t>
      </w:r>
    </w:p>
    <w:p>
      <w:pPr>
        <w:numPr>
          <w:ilvl w:val="1"/>
          <w:numId w:val="8"/>
        </w:numPr>
        <w:autoSpaceDE w:val="0"/>
        <w:autoSpaceDN w:val="0"/>
        <w:adjustRightInd w:val="0"/>
        <w:snapToGrid w:val="0"/>
        <w:spacing w:before="36" w:line="360" w:lineRule="auto"/>
        <w:ind w:right="-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w:t>
      </w:r>
      <w:r>
        <w:rPr>
          <w:rFonts w:hint="eastAsia" w:ascii="宋体" w:hAnsi="宋体" w:cs="宋体"/>
          <w:color w:val="auto"/>
          <w:spacing w:val="-1"/>
          <w:kern w:val="0"/>
          <w:sz w:val="24"/>
          <w:szCs w:val="24"/>
          <w:highlight w:val="none"/>
        </w:rPr>
        <w:t>人</w:t>
      </w:r>
      <w:r>
        <w:rPr>
          <w:rFonts w:hint="eastAsia" w:ascii="宋体" w:hAnsi="宋体" w:cs="宋体"/>
          <w:color w:val="auto"/>
          <w:kern w:val="0"/>
          <w:sz w:val="24"/>
          <w:szCs w:val="24"/>
          <w:highlight w:val="none"/>
        </w:rPr>
        <w:t>须知；</w:t>
      </w:r>
    </w:p>
    <w:p>
      <w:pPr>
        <w:numPr>
          <w:ilvl w:val="1"/>
          <w:numId w:val="8"/>
        </w:numPr>
        <w:autoSpaceDE w:val="0"/>
        <w:autoSpaceDN w:val="0"/>
        <w:adjustRightInd w:val="0"/>
        <w:snapToGrid w:val="0"/>
        <w:spacing w:before="36" w:line="360" w:lineRule="auto"/>
        <w:ind w:right="-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评标</w:t>
      </w:r>
      <w:r>
        <w:rPr>
          <w:rFonts w:hint="eastAsia" w:ascii="宋体" w:hAnsi="宋体" w:cs="宋体"/>
          <w:color w:val="auto"/>
          <w:spacing w:val="-1"/>
          <w:kern w:val="0"/>
          <w:sz w:val="24"/>
          <w:szCs w:val="24"/>
          <w:highlight w:val="none"/>
        </w:rPr>
        <w:t>办</w:t>
      </w:r>
      <w:r>
        <w:rPr>
          <w:rFonts w:hint="eastAsia" w:ascii="宋体" w:hAnsi="宋体" w:cs="宋体"/>
          <w:color w:val="auto"/>
          <w:kern w:val="0"/>
          <w:sz w:val="24"/>
          <w:szCs w:val="24"/>
          <w:highlight w:val="none"/>
        </w:rPr>
        <w:t>法；</w:t>
      </w:r>
    </w:p>
    <w:p>
      <w:pPr>
        <w:numPr>
          <w:ilvl w:val="1"/>
          <w:numId w:val="8"/>
        </w:numPr>
        <w:autoSpaceDE w:val="0"/>
        <w:autoSpaceDN w:val="0"/>
        <w:adjustRightInd w:val="0"/>
        <w:snapToGrid w:val="0"/>
        <w:spacing w:before="37" w:line="360" w:lineRule="auto"/>
        <w:ind w:right="-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合同</w:t>
      </w:r>
      <w:r>
        <w:rPr>
          <w:rFonts w:hint="eastAsia" w:ascii="宋体" w:hAnsi="宋体" w:cs="宋体"/>
          <w:color w:val="auto"/>
          <w:spacing w:val="-1"/>
          <w:kern w:val="0"/>
          <w:sz w:val="24"/>
          <w:szCs w:val="24"/>
          <w:highlight w:val="none"/>
        </w:rPr>
        <w:t>条</w:t>
      </w:r>
      <w:r>
        <w:rPr>
          <w:rFonts w:hint="eastAsia" w:ascii="宋体" w:hAnsi="宋体" w:cs="宋体"/>
          <w:color w:val="auto"/>
          <w:kern w:val="0"/>
          <w:sz w:val="24"/>
          <w:szCs w:val="24"/>
          <w:highlight w:val="none"/>
        </w:rPr>
        <w:t>款；</w:t>
      </w:r>
    </w:p>
    <w:p>
      <w:pPr>
        <w:numPr>
          <w:ilvl w:val="1"/>
          <w:numId w:val="8"/>
        </w:numPr>
        <w:autoSpaceDE w:val="0"/>
        <w:autoSpaceDN w:val="0"/>
        <w:adjustRightInd w:val="0"/>
        <w:snapToGrid w:val="0"/>
        <w:spacing w:before="36" w:line="360" w:lineRule="auto"/>
        <w:ind w:right="-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技术要求；</w:t>
      </w:r>
    </w:p>
    <w:p>
      <w:pPr>
        <w:numPr>
          <w:ilvl w:val="1"/>
          <w:numId w:val="8"/>
        </w:numPr>
        <w:autoSpaceDE w:val="0"/>
        <w:autoSpaceDN w:val="0"/>
        <w:adjustRightInd w:val="0"/>
        <w:snapToGrid w:val="0"/>
        <w:spacing w:before="36" w:line="360" w:lineRule="auto"/>
        <w:ind w:right="-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投标文件格式；</w:t>
      </w:r>
    </w:p>
    <w:p>
      <w:pPr>
        <w:autoSpaceDE w:val="0"/>
        <w:autoSpaceDN w:val="0"/>
        <w:adjustRightInd w:val="0"/>
        <w:snapToGrid w:val="0"/>
        <w:spacing w:before="29" w:line="360" w:lineRule="auto"/>
        <w:ind w:right="-159"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根据本章规定对</w:t>
      </w:r>
      <w:r>
        <w:rPr>
          <w:rFonts w:hint="eastAsia" w:ascii="宋体" w:hAnsi="宋体" w:cs="宋体"/>
          <w:color w:val="auto"/>
          <w:kern w:val="0"/>
          <w:position w:val="-1"/>
          <w:sz w:val="24"/>
          <w:szCs w:val="24"/>
          <w:highlight w:val="none"/>
          <w:lang w:val="en-US" w:eastAsia="zh-CN"/>
        </w:rPr>
        <w:t>采购</w:t>
      </w:r>
      <w:r>
        <w:rPr>
          <w:rFonts w:hint="eastAsia" w:ascii="宋体" w:hAnsi="宋体" w:cs="宋体"/>
          <w:color w:val="auto"/>
          <w:kern w:val="0"/>
          <w:sz w:val="24"/>
          <w:szCs w:val="24"/>
          <w:highlight w:val="none"/>
        </w:rPr>
        <w:t>文件所作的澄清、修改，构成</w:t>
      </w:r>
      <w:r>
        <w:rPr>
          <w:rFonts w:hint="eastAsia" w:ascii="宋体" w:hAnsi="宋体" w:cs="宋体"/>
          <w:color w:val="auto"/>
          <w:kern w:val="0"/>
          <w:position w:val="-1"/>
          <w:sz w:val="24"/>
          <w:szCs w:val="24"/>
          <w:highlight w:val="none"/>
          <w:lang w:val="en-US" w:eastAsia="zh-CN"/>
        </w:rPr>
        <w:t>采购</w:t>
      </w:r>
      <w:r>
        <w:rPr>
          <w:rFonts w:hint="eastAsia" w:ascii="宋体" w:hAnsi="宋体" w:cs="宋体"/>
          <w:color w:val="auto"/>
          <w:kern w:val="0"/>
          <w:sz w:val="24"/>
          <w:szCs w:val="24"/>
          <w:highlight w:val="none"/>
        </w:rPr>
        <w:t>文件的组成部分。</w:t>
      </w:r>
    </w:p>
    <w:p>
      <w:pPr>
        <w:pStyle w:val="173"/>
        <w:numPr>
          <w:ilvl w:val="0"/>
          <w:numId w:val="0"/>
        </w:numPr>
        <w:ind w:left="567" w:right="210"/>
        <w:rPr>
          <w:rFonts w:hint="eastAsia" w:cs="宋体"/>
          <w:bCs/>
          <w:color w:val="auto"/>
          <w:highlight w:val="none"/>
        </w:rPr>
      </w:pPr>
      <w:bookmarkStart w:id="48" w:name="_Toc405303163"/>
      <w:bookmarkStart w:id="49" w:name="_Toc445195936"/>
      <w:bookmarkStart w:id="50" w:name="_Toc448152360"/>
      <w:r>
        <w:rPr>
          <w:rFonts w:hint="eastAsia" w:cs="宋体"/>
          <w:b/>
          <w:color w:val="auto"/>
          <w:highlight w:val="none"/>
        </w:rPr>
        <w:t xml:space="preserve">2.2 </w:t>
      </w:r>
      <w:r>
        <w:rPr>
          <w:rFonts w:hint="eastAsia" w:ascii="宋体" w:hAnsi="宋体" w:cs="宋体"/>
          <w:color w:val="auto"/>
          <w:kern w:val="0"/>
          <w:position w:val="-1"/>
          <w:sz w:val="24"/>
          <w:szCs w:val="24"/>
          <w:highlight w:val="none"/>
          <w:lang w:val="en-US" w:eastAsia="zh-CN"/>
        </w:rPr>
        <w:t>采购</w:t>
      </w:r>
      <w:r>
        <w:rPr>
          <w:rFonts w:hint="eastAsia" w:cs="宋体"/>
          <w:b/>
          <w:color w:val="auto"/>
          <w:highlight w:val="none"/>
        </w:rPr>
        <w:t>文件的澄清</w:t>
      </w:r>
      <w:r>
        <w:rPr>
          <w:rFonts w:hint="eastAsia" w:cs="宋体"/>
          <w:b/>
          <w:color w:val="auto"/>
          <w:highlight w:val="none"/>
        </w:rPr>
        <w:br w:type="textWrapping"/>
      </w:r>
      <w:r>
        <w:rPr>
          <w:rFonts w:hint="eastAsia" w:cs="宋体"/>
          <w:bCs/>
          <w:color w:val="auto"/>
          <w:highlight w:val="none"/>
        </w:rPr>
        <w:t>2.2.1投标人应仔细阅读和检查招标文件的全部内容。如发现缺页或附件不全，应及时向招标人提出，以便补齐。</w:t>
      </w:r>
    </w:p>
    <w:bookmarkEnd w:id="48"/>
    <w:bookmarkEnd w:id="49"/>
    <w:bookmarkEnd w:id="50"/>
    <w:p>
      <w:pPr>
        <w:spacing w:line="360" w:lineRule="auto"/>
        <w:ind w:left="567" w:hanging="567"/>
        <w:jc w:val="center"/>
        <w:rPr>
          <w:rFonts w:hint="eastAsia" w:ascii="Cambria" w:hAnsi="Cambria"/>
          <w:bCs/>
          <w:color w:val="auto"/>
          <w:kern w:val="28"/>
          <w:sz w:val="32"/>
          <w:szCs w:val="32"/>
          <w:highlight w:val="none"/>
        </w:rPr>
      </w:pPr>
    </w:p>
    <w:p>
      <w:pPr>
        <w:spacing w:line="360" w:lineRule="auto"/>
        <w:ind w:left="567" w:hanging="567"/>
        <w:jc w:val="center"/>
        <w:rPr>
          <w:rFonts w:hint="eastAsia" w:ascii="Cambria" w:hAnsi="Cambria"/>
          <w:bCs/>
          <w:color w:val="auto"/>
          <w:kern w:val="28"/>
          <w:sz w:val="32"/>
          <w:szCs w:val="32"/>
          <w:highlight w:val="none"/>
        </w:rPr>
      </w:pPr>
    </w:p>
    <w:p>
      <w:pPr>
        <w:spacing w:line="360" w:lineRule="auto"/>
        <w:ind w:left="567" w:hanging="567"/>
        <w:jc w:val="center"/>
        <w:outlineLvl w:val="1"/>
        <w:rPr>
          <w:rFonts w:hint="eastAsia" w:ascii="Cambria" w:hAnsi="Cambria"/>
          <w:b/>
          <w:bCs w:val="0"/>
          <w:color w:val="auto"/>
          <w:kern w:val="28"/>
          <w:sz w:val="32"/>
          <w:szCs w:val="32"/>
          <w:highlight w:val="none"/>
        </w:rPr>
      </w:pPr>
      <w:r>
        <w:rPr>
          <w:rFonts w:hint="eastAsia" w:ascii="Cambria" w:hAnsi="Cambria"/>
          <w:b/>
          <w:bCs w:val="0"/>
          <w:color w:val="auto"/>
          <w:kern w:val="28"/>
          <w:sz w:val="32"/>
          <w:szCs w:val="32"/>
          <w:highlight w:val="none"/>
        </w:rPr>
        <w:t>三、投标文件</w:t>
      </w:r>
    </w:p>
    <w:p>
      <w:pPr>
        <w:pStyle w:val="173"/>
        <w:numPr>
          <w:ilvl w:val="0"/>
          <w:numId w:val="0"/>
        </w:numPr>
        <w:ind w:right="210"/>
        <w:rPr>
          <w:rFonts w:hint="eastAsia" w:cs="宋体"/>
          <w:b/>
          <w:color w:val="auto"/>
          <w:highlight w:val="none"/>
        </w:rPr>
      </w:pPr>
      <w:r>
        <w:rPr>
          <w:rFonts w:hint="eastAsia" w:cs="宋体"/>
          <w:b/>
          <w:color w:val="auto"/>
          <w:highlight w:val="none"/>
        </w:rPr>
        <w:t>3.1投标文件的组成</w:t>
      </w:r>
    </w:p>
    <w:p>
      <w:pPr>
        <w:numPr>
          <w:ilvl w:val="1"/>
          <w:numId w:val="9"/>
        </w:numPr>
        <w:autoSpaceDE w:val="0"/>
        <w:autoSpaceDN w:val="0"/>
        <w:adjustRightInd w:val="0"/>
        <w:snapToGrid w:val="0"/>
        <w:spacing w:before="28" w:line="360" w:lineRule="auto"/>
        <w:ind w:right="-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w:t>
      </w:r>
      <w:r>
        <w:rPr>
          <w:rFonts w:hint="eastAsia" w:ascii="宋体" w:hAnsi="宋体" w:cs="宋体"/>
          <w:color w:val="auto"/>
          <w:spacing w:val="-1"/>
          <w:kern w:val="0"/>
          <w:sz w:val="24"/>
          <w:szCs w:val="24"/>
          <w:highlight w:val="none"/>
        </w:rPr>
        <w:t>函</w:t>
      </w:r>
      <w:r>
        <w:rPr>
          <w:rFonts w:hint="eastAsia" w:ascii="宋体" w:hAnsi="宋体" w:cs="宋体"/>
          <w:color w:val="auto"/>
          <w:kern w:val="0"/>
          <w:sz w:val="24"/>
          <w:szCs w:val="24"/>
          <w:highlight w:val="none"/>
        </w:rPr>
        <w:t>；</w:t>
      </w:r>
    </w:p>
    <w:p>
      <w:pPr>
        <w:numPr>
          <w:ilvl w:val="1"/>
          <w:numId w:val="9"/>
        </w:numPr>
        <w:autoSpaceDE w:val="0"/>
        <w:autoSpaceDN w:val="0"/>
        <w:adjustRightInd w:val="0"/>
        <w:snapToGrid w:val="0"/>
        <w:spacing w:before="28" w:line="360" w:lineRule="auto"/>
        <w:ind w:right="-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w:t>
      </w:r>
      <w:r>
        <w:rPr>
          <w:rFonts w:hint="eastAsia" w:ascii="宋体" w:hAnsi="宋体" w:cs="宋体"/>
          <w:color w:val="auto"/>
          <w:spacing w:val="-1"/>
          <w:kern w:val="0"/>
          <w:sz w:val="24"/>
          <w:szCs w:val="24"/>
          <w:highlight w:val="none"/>
        </w:rPr>
        <w:t>代</w:t>
      </w:r>
      <w:r>
        <w:rPr>
          <w:rFonts w:hint="eastAsia" w:ascii="宋体" w:hAnsi="宋体" w:cs="宋体"/>
          <w:color w:val="auto"/>
          <w:kern w:val="0"/>
          <w:sz w:val="24"/>
          <w:szCs w:val="24"/>
          <w:highlight w:val="none"/>
        </w:rPr>
        <w:t>表人身份证明和法人授权委托书；</w:t>
      </w:r>
    </w:p>
    <w:p>
      <w:pPr>
        <w:numPr>
          <w:ilvl w:val="1"/>
          <w:numId w:val="9"/>
        </w:numPr>
        <w:autoSpaceDE w:val="0"/>
        <w:autoSpaceDN w:val="0"/>
        <w:adjustRightInd w:val="0"/>
        <w:snapToGrid w:val="0"/>
        <w:spacing w:before="28" w:line="360" w:lineRule="auto"/>
        <w:ind w:right="-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投标报价</w:t>
      </w:r>
    </w:p>
    <w:p>
      <w:pPr>
        <w:numPr>
          <w:ilvl w:val="1"/>
          <w:numId w:val="9"/>
        </w:numPr>
        <w:autoSpaceDE w:val="0"/>
        <w:autoSpaceDN w:val="0"/>
        <w:adjustRightInd w:val="0"/>
        <w:snapToGrid w:val="0"/>
        <w:spacing w:before="28" w:line="360" w:lineRule="auto"/>
        <w:ind w:right="-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投标文件商务部分</w:t>
      </w:r>
    </w:p>
    <w:p>
      <w:pPr>
        <w:numPr>
          <w:ilvl w:val="1"/>
          <w:numId w:val="9"/>
        </w:numPr>
        <w:autoSpaceDE w:val="0"/>
        <w:autoSpaceDN w:val="0"/>
        <w:adjustRightInd w:val="0"/>
        <w:snapToGrid w:val="0"/>
        <w:spacing w:before="28" w:line="360" w:lineRule="auto"/>
        <w:ind w:right="-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投标文件技术部分</w:t>
      </w:r>
    </w:p>
    <w:p>
      <w:pPr>
        <w:pStyle w:val="173"/>
        <w:numPr>
          <w:ilvl w:val="0"/>
          <w:numId w:val="0"/>
        </w:numPr>
        <w:ind w:right="210"/>
        <w:rPr>
          <w:rFonts w:hint="eastAsia" w:cs="宋体"/>
          <w:b/>
          <w:color w:val="auto"/>
          <w:highlight w:val="none"/>
        </w:rPr>
      </w:pPr>
      <w:r>
        <w:rPr>
          <w:rFonts w:hint="eastAsia" w:cs="宋体"/>
          <w:b/>
          <w:color w:val="auto"/>
          <w:highlight w:val="none"/>
        </w:rPr>
        <w:t>3.2投标报价与结算依据</w:t>
      </w:r>
    </w:p>
    <w:p>
      <w:pPr>
        <w:pStyle w:val="173"/>
        <w:numPr>
          <w:ilvl w:val="0"/>
          <w:numId w:val="0"/>
        </w:numPr>
        <w:ind w:right="210"/>
        <w:rPr>
          <w:rFonts w:hint="eastAsia" w:cs="宋体"/>
          <w:color w:val="auto"/>
          <w:highlight w:val="none"/>
        </w:rPr>
      </w:pPr>
      <w:r>
        <w:rPr>
          <w:rFonts w:hint="eastAsia" w:cs="宋体"/>
          <w:color w:val="auto"/>
          <w:highlight w:val="none"/>
        </w:rPr>
        <w:t>3.2.1投标人应根据招标人提供的各种技术资料、图纸等，根据施工现场实际情况，充分考虑到各种风险，合理报出投标价格。</w:t>
      </w:r>
    </w:p>
    <w:p>
      <w:pPr>
        <w:pStyle w:val="173"/>
        <w:numPr>
          <w:ilvl w:val="0"/>
          <w:numId w:val="0"/>
        </w:numPr>
        <w:ind w:right="210"/>
        <w:rPr>
          <w:rFonts w:hint="eastAsia"/>
          <w:b/>
          <w:bCs/>
          <w:color w:val="auto"/>
          <w:szCs w:val="21"/>
          <w:highlight w:val="none"/>
        </w:rPr>
      </w:pPr>
      <w:r>
        <w:rPr>
          <w:rFonts w:hint="eastAsia" w:cs="宋体"/>
          <w:color w:val="auto"/>
          <w:highlight w:val="none"/>
        </w:rPr>
        <w:t>3.2.2</w:t>
      </w:r>
      <w:r>
        <w:rPr>
          <w:rFonts w:hint="eastAsia" w:cs="宋体"/>
          <w:b/>
          <w:bCs/>
          <w:color w:val="auto"/>
          <w:highlight w:val="none"/>
        </w:rPr>
        <w:t>本工程</w:t>
      </w:r>
      <w:r>
        <w:rPr>
          <w:b/>
          <w:bCs/>
          <w:color w:val="auto"/>
          <w:szCs w:val="21"/>
          <w:highlight w:val="none"/>
        </w:rPr>
        <w:t>投标报价为</w:t>
      </w:r>
      <w:r>
        <w:rPr>
          <w:rFonts w:hint="eastAsia"/>
          <w:b/>
          <w:bCs/>
          <w:color w:val="auto"/>
          <w:szCs w:val="21"/>
          <w:highlight w:val="none"/>
        </w:rPr>
        <w:t>固定总价，</w:t>
      </w:r>
      <w:r>
        <w:rPr>
          <w:rFonts w:hint="eastAsia" w:cs="宋体"/>
          <w:color w:val="auto"/>
          <w:highlight w:val="none"/>
        </w:rPr>
        <w:t>在合同实施期间不因市场变化因素而变动，投标人在计算报价时可考虑一定的风险系数。投标报价应包含完成招标图纸范围内全部工程的所有费用，即包括：人工费（工资、福利、交通、食宿、通信、劳保、社保）、安装费用、材料、设备与工器具投入、管理、标准化建设、环保等措施费、政策性文件规定及合同包含的所有风险、责任等各项应有费用。</w:t>
      </w:r>
      <w:r>
        <w:rPr>
          <w:rFonts w:hint="eastAsia" w:cs="宋体"/>
          <w:b/>
          <w:bCs/>
          <w:color w:val="auto"/>
          <w:highlight w:val="none"/>
        </w:rPr>
        <w:t>报价要求含增值税</w:t>
      </w:r>
      <w:r>
        <w:rPr>
          <w:rFonts w:hint="eastAsia"/>
          <w:b/>
          <w:bCs/>
          <w:color w:val="auto"/>
          <w:szCs w:val="21"/>
          <w:highlight w:val="none"/>
        </w:rPr>
        <w:t>。</w:t>
      </w:r>
    </w:p>
    <w:p>
      <w:pPr>
        <w:pStyle w:val="173"/>
        <w:numPr>
          <w:ilvl w:val="0"/>
          <w:numId w:val="0"/>
        </w:numPr>
        <w:ind w:right="210" w:firstLine="490" w:firstLineChars="200"/>
        <w:rPr>
          <w:rFonts w:hint="eastAsia" w:cs="宋体"/>
          <w:color w:val="auto"/>
          <w:highlight w:val="none"/>
        </w:rPr>
      </w:pPr>
      <w:r>
        <w:rPr>
          <w:rFonts w:hint="eastAsia"/>
          <w:b/>
          <w:bCs/>
          <w:color w:val="auto"/>
          <w:szCs w:val="21"/>
          <w:highlight w:val="none"/>
        </w:rPr>
        <w:t>投标人报价还应包含：地方关系协调费。</w:t>
      </w:r>
    </w:p>
    <w:p>
      <w:pPr>
        <w:pStyle w:val="173"/>
        <w:numPr>
          <w:ilvl w:val="0"/>
          <w:numId w:val="0"/>
        </w:numPr>
        <w:ind w:right="210" w:firstLine="488" w:firstLineChars="200"/>
        <w:rPr>
          <w:rFonts w:hint="eastAsia" w:cs="宋体"/>
          <w:color w:val="auto"/>
          <w:highlight w:val="none"/>
        </w:rPr>
      </w:pPr>
      <w:r>
        <w:rPr>
          <w:rFonts w:hint="eastAsia" w:cs="宋体"/>
          <w:color w:val="auto"/>
          <w:highlight w:val="none"/>
        </w:rPr>
        <w:t>本工程的投标报价应是投标须知所确定工程招标范围内完成全部工作所需的费用。其中包括设备、材料、劳务、管理、运输、安装、试验、质保期正常养护、利润、保险及政策性文件规定等各项应有费用,除投标人特别声明报价中不包含的费用外，其他的所有费用均包含在报价中。</w:t>
      </w:r>
    </w:p>
    <w:p>
      <w:pPr>
        <w:pStyle w:val="173"/>
        <w:numPr>
          <w:ilvl w:val="0"/>
          <w:numId w:val="0"/>
        </w:numPr>
        <w:ind w:right="210"/>
        <w:rPr>
          <w:rFonts w:hint="eastAsia" w:cs="宋体"/>
          <w:color w:val="auto"/>
          <w:highlight w:val="none"/>
        </w:rPr>
      </w:pPr>
      <w:r>
        <w:rPr>
          <w:rFonts w:hint="eastAsia" w:cs="宋体"/>
          <w:color w:val="auto"/>
          <w:highlight w:val="none"/>
        </w:rPr>
        <w:t>3.2.3</w:t>
      </w:r>
      <w:r>
        <w:rPr>
          <w:bCs/>
          <w:color w:val="auto"/>
          <w:highlight w:val="none"/>
        </w:rPr>
        <w:t>报价应根据</w:t>
      </w:r>
      <w:r>
        <w:rPr>
          <w:rFonts w:hint="eastAsia"/>
          <w:bCs/>
          <w:color w:val="auto"/>
          <w:highlight w:val="none"/>
        </w:rPr>
        <w:t>采购</w:t>
      </w:r>
      <w:r>
        <w:rPr>
          <w:bCs/>
          <w:color w:val="auto"/>
          <w:highlight w:val="none"/>
        </w:rPr>
        <w:t>文件中的投标须知、质量技术要求</w:t>
      </w:r>
      <w:r>
        <w:rPr>
          <w:rFonts w:hint="eastAsia"/>
          <w:bCs/>
          <w:color w:val="auto"/>
          <w:highlight w:val="none"/>
        </w:rPr>
        <w:t>及供应商</w:t>
      </w:r>
      <w:r>
        <w:rPr>
          <w:bCs/>
          <w:color w:val="auto"/>
          <w:highlight w:val="none"/>
        </w:rPr>
        <w:t>自身情况，依据企业及市场价格信息并综合考虑各种风险自主编制报价。</w:t>
      </w:r>
    </w:p>
    <w:p>
      <w:pPr>
        <w:pStyle w:val="173"/>
        <w:numPr>
          <w:ilvl w:val="0"/>
          <w:numId w:val="0"/>
        </w:numPr>
        <w:ind w:right="210"/>
        <w:rPr>
          <w:rFonts w:hint="eastAsia" w:cs="宋体"/>
          <w:color w:val="auto"/>
          <w:highlight w:val="none"/>
        </w:rPr>
      </w:pPr>
      <w:r>
        <w:rPr>
          <w:rFonts w:hint="eastAsia" w:cs="宋体"/>
          <w:color w:val="auto"/>
          <w:highlight w:val="none"/>
        </w:rPr>
        <w:t>3.2.4</w:t>
      </w:r>
      <w:r>
        <w:rPr>
          <w:bCs/>
          <w:color w:val="auto"/>
          <w:highlight w:val="none"/>
        </w:rPr>
        <w:t>为保证</w:t>
      </w:r>
      <w:r>
        <w:rPr>
          <w:rFonts w:hint="eastAsia"/>
          <w:bCs/>
          <w:color w:val="auto"/>
          <w:highlight w:val="none"/>
        </w:rPr>
        <w:t>项目</w:t>
      </w:r>
      <w:r>
        <w:rPr>
          <w:bCs/>
          <w:color w:val="auto"/>
          <w:highlight w:val="none"/>
        </w:rPr>
        <w:t>顺利进行和项目目标实现，当</w:t>
      </w:r>
      <w:r>
        <w:rPr>
          <w:rFonts w:hint="eastAsia"/>
          <w:bCs/>
          <w:color w:val="auto"/>
          <w:highlight w:val="none"/>
        </w:rPr>
        <w:t>招标</w:t>
      </w:r>
      <w:r>
        <w:rPr>
          <w:bCs/>
          <w:color w:val="auto"/>
          <w:highlight w:val="none"/>
        </w:rPr>
        <w:t>人认为需要调整工序或加大资源投入而赶工时，不再另行支付赶工费用</w:t>
      </w:r>
      <w:r>
        <w:rPr>
          <w:rFonts w:hint="eastAsia" w:cs="宋体"/>
          <w:color w:val="auto"/>
          <w:highlight w:val="none"/>
        </w:rPr>
        <w:t xml:space="preserve">。 </w:t>
      </w:r>
    </w:p>
    <w:p>
      <w:pPr>
        <w:pStyle w:val="173"/>
        <w:numPr>
          <w:ilvl w:val="0"/>
          <w:numId w:val="0"/>
        </w:numPr>
        <w:ind w:right="210"/>
        <w:rPr>
          <w:rFonts w:hint="eastAsia" w:cs="宋体"/>
          <w:color w:val="auto"/>
          <w:highlight w:val="none"/>
        </w:rPr>
      </w:pPr>
      <w:r>
        <w:rPr>
          <w:rFonts w:hint="eastAsia" w:cs="宋体"/>
          <w:color w:val="auto"/>
          <w:highlight w:val="none"/>
        </w:rPr>
        <w:t>3.2.5投标人应按招标人提供的图纸及相关资料报价，图纸中标明的工程量不作为投标报价的依据，投标报价中的工程量由投标人按照招标人提供的图纸自行计算和确定。</w:t>
      </w:r>
    </w:p>
    <w:p>
      <w:pPr>
        <w:pStyle w:val="173"/>
        <w:numPr>
          <w:ilvl w:val="0"/>
          <w:numId w:val="0"/>
        </w:numPr>
        <w:ind w:right="210"/>
        <w:rPr>
          <w:rFonts w:hint="eastAsia" w:cs="宋体"/>
          <w:color w:val="auto"/>
          <w:highlight w:val="none"/>
        </w:rPr>
      </w:pPr>
      <w:r>
        <w:rPr>
          <w:rFonts w:hint="eastAsia"/>
          <w:color w:val="auto"/>
          <w:highlight w:val="none"/>
        </w:rPr>
        <w:t>3.2.6</w:t>
      </w:r>
      <w:r>
        <w:rPr>
          <w:rFonts w:hint="eastAsia"/>
          <w:bCs/>
          <w:color w:val="auto"/>
          <w:highlight w:val="none"/>
        </w:rPr>
        <w:t>经招标人同意，供应商</w:t>
      </w:r>
      <w:r>
        <w:rPr>
          <w:bCs/>
          <w:color w:val="auto"/>
          <w:highlight w:val="none"/>
        </w:rPr>
        <w:t>可到现场踏勘现场以充分了解现场位置、道路、储存空间、装卸限制及任何其他足以影响</w:t>
      </w:r>
      <w:r>
        <w:rPr>
          <w:rFonts w:hint="eastAsia"/>
          <w:bCs/>
          <w:color w:val="auto"/>
          <w:highlight w:val="none"/>
        </w:rPr>
        <w:t>报</w:t>
      </w:r>
      <w:r>
        <w:rPr>
          <w:bCs/>
          <w:color w:val="auto"/>
          <w:highlight w:val="none"/>
        </w:rPr>
        <w:t>价的情况，任何因忽视或误解情况而导致的索赔或工期延长申请将不被批准</w:t>
      </w:r>
      <w:r>
        <w:rPr>
          <w:rFonts w:hint="eastAsia"/>
          <w:color w:val="auto"/>
          <w:highlight w:val="none"/>
        </w:rPr>
        <w:t>。</w:t>
      </w:r>
    </w:p>
    <w:p>
      <w:pPr>
        <w:pStyle w:val="173"/>
        <w:numPr>
          <w:ilvl w:val="0"/>
          <w:numId w:val="0"/>
        </w:numPr>
        <w:ind w:right="210"/>
        <w:rPr>
          <w:rFonts w:hint="eastAsia" w:cs="宋体"/>
          <w:color w:val="auto"/>
          <w:highlight w:val="none"/>
        </w:rPr>
      </w:pPr>
      <w:bookmarkStart w:id="51" w:name="_Toc394671674"/>
      <w:bookmarkStart w:id="52" w:name="_Toc405303186"/>
      <w:bookmarkStart w:id="53" w:name="_Toc405455203"/>
      <w:r>
        <w:rPr>
          <w:rFonts w:hint="eastAsia" w:cs="宋体"/>
          <w:color w:val="auto"/>
          <w:highlight w:val="none"/>
        </w:rPr>
        <w:t>3.2.7投标报价编制依据</w:t>
      </w:r>
      <w:bookmarkEnd w:id="51"/>
      <w:bookmarkEnd w:id="52"/>
      <w:bookmarkEnd w:id="53"/>
    </w:p>
    <w:p>
      <w:pPr>
        <w:numPr>
          <w:ilvl w:val="0"/>
          <w:numId w:val="10"/>
        </w:numPr>
        <w:autoSpaceDE w:val="0"/>
        <w:autoSpaceDN w:val="0"/>
        <w:adjustRightInd w:val="0"/>
        <w:snapToGrid w:val="0"/>
        <w:spacing w:before="28" w:line="360" w:lineRule="auto"/>
        <w:ind w:right="-29"/>
        <w:jc w:val="left"/>
        <w:rPr>
          <w:rFonts w:hint="eastAsia" w:ascii="宋体" w:hAnsi="宋体" w:cs="宋体"/>
          <w:color w:val="auto"/>
          <w:spacing w:val="1"/>
          <w:kern w:val="0"/>
          <w:sz w:val="24"/>
          <w:szCs w:val="24"/>
          <w:highlight w:val="none"/>
        </w:rPr>
      </w:pPr>
      <w:r>
        <w:rPr>
          <w:rFonts w:hint="eastAsia" w:ascii="宋体" w:hAnsi="宋体" w:cs="宋体"/>
          <w:color w:val="auto"/>
          <w:spacing w:val="1"/>
          <w:kern w:val="0"/>
          <w:sz w:val="24"/>
          <w:szCs w:val="24"/>
          <w:highlight w:val="none"/>
        </w:rPr>
        <w:t>招标文件给出的招标范围、技术附件、图纸；</w:t>
      </w:r>
    </w:p>
    <w:p>
      <w:pPr>
        <w:numPr>
          <w:ilvl w:val="0"/>
          <w:numId w:val="10"/>
        </w:numPr>
        <w:autoSpaceDE w:val="0"/>
        <w:autoSpaceDN w:val="0"/>
        <w:adjustRightInd w:val="0"/>
        <w:snapToGrid w:val="0"/>
        <w:spacing w:before="28" w:line="360" w:lineRule="auto"/>
        <w:ind w:right="-29"/>
        <w:jc w:val="left"/>
        <w:rPr>
          <w:rFonts w:hint="eastAsia" w:ascii="宋体" w:hAnsi="宋体" w:cs="宋体"/>
          <w:color w:val="auto"/>
          <w:spacing w:val="1"/>
          <w:kern w:val="0"/>
          <w:sz w:val="24"/>
          <w:szCs w:val="24"/>
          <w:highlight w:val="none"/>
        </w:rPr>
      </w:pPr>
      <w:r>
        <w:rPr>
          <w:rFonts w:hint="eastAsia" w:ascii="宋体" w:hAnsi="宋体" w:cs="宋体"/>
          <w:color w:val="auto"/>
          <w:spacing w:val="1"/>
          <w:kern w:val="0"/>
          <w:sz w:val="24"/>
          <w:szCs w:val="24"/>
          <w:highlight w:val="none"/>
        </w:rPr>
        <w:t>国家行业定额；</w:t>
      </w:r>
    </w:p>
    <w:p>
      <w:pPr>
        <w:numPr>
          <w:ilvl w:val="0"/>
          <w:numId w:val="10"/>
        </w:numPr>
        <w:autoSpaceDE w:val="0"/>
        <w:autoSpaceDN w:val="0"/>
        <w:adjustRightInd w:val="0"/>
        <w:snapToGrid w:val="0"/>
        <w:spacing w:before="28" w:line="360" w:lineRule="auto"/>
        <w:ind w:right="-29"/>
        <w:jc w:val="left"/>
        <w:rPr>
          <w:rFonts w:hint="eastAsia" w:ascii="宋体" w:hAnsi="宋体" w:cs="宋体"/>
          <w:color w:val="auto"/>
          <w:spacing w:val="1"/>
          <w:kern w:val="0"/>
          <w:sz w:val="24"/>
          <w:szCs w:val="24"/>
          <w:highlight w:val="none"/>
        </w:rPr>
      </w:pPr>
      <w:r>
        <w:rPr>
          <w:rFonts w:hint="eastAsia" w:ascii="宋体" w:hAnsi="宋体" w:cs="宋体"/>
          <w:color w:val="auto"/>
          <w:spacing w:val="1"/>
          <w:kern w:val="0"/>
          <w:sz w:val="24"/>
          <w:szCs w:val="24"/>
          <w:highlight w:val="none"/>
        </w:rPr>
        <w:t>项目建设地的材料价格信息；</w:t>
      </w:r>
    </w:p>
    <w:p>
      <w:pPr>
        <w:numPr>
          <w:ilvl w:val="0"/>
          <w:numId w:val="10"/>
        </w:numPr>
        <w:autoSpaceDE w:val="0"/>
        <w:autoSpaceDN w:val="0"/>
        <w:adjustRightInd w:val="0"/>
        <w:snapToGrid w:val="0"/>
        <w:spacing w:before="28" w:line="360" w:lineRule="auto"/>
        <w:ind w:right="-29"/>
        <w:jc w:val="left"/>
        <w:rPr>
          <w:rFonts w:hint="eastAsia" w:ascii="宋体" w:hAnsi="宋体" w:cs="宋体"/>
          <w:color w:val="auto"/>
          <w:spacing w:val="1"/>
          <w:kern w:val="0"/>
          <w:sz w:val="24"/>
          <w:szCs w:val="24"/>
          <w:highlight w:val="none"/>
        </w:rPr>
      </w:pPr>
      <w:r>
        <w:rPr>
          <w:rFonts w:hint="eastAsia" w:ascii="宋体" w:hAnsi="宋体" w:cs="宋体"/>
          <w:color w:val="auto"/>
          <w:spacing w:val="1"/>
          <w:kern w:val="0"/>
          <w:sz w:val="24"/>
          <w:szCs w:val="24"/>
          <w:highlight w:val="none"/>
        </w:rPr>
        <w:t>企业定额和风险分析。</w:t>
      </w:r>
    </w:p>
    <w:p>
      <w:pPr>
        <w:pStyle w:val="173"/>
        <w:numPr>
          <w:ilvl w:val="0"/>
          <w:numId w:val="0"/>
        </w:numPr>
        <w:ind w:right="210"/>
        <w:rPr>
          <w:rFonts w:hint="eastAsia" w:cs="宋体"/>
          <w:b/>
          <w:color w:val="auto"/>
          <w:highlight w:val="none"/>
        </w:rPr>
      </w:pPr>
      <w:r>
        <w:rPr>
          <w:rFonts w:hint="eastAsia" w:cs="宋体"/>
          <w:b/>
          <w:color w:val="auto"/>
          <w:highlight w:val="none"/>
        </w:rPr>
        <w:t>3.5资格审查资料（适用于未进行资格预审的）</w:t>
      </w:r>
    </w:p>
    <w:p>
      <w:pPr>
        <w:pStyle w:val="173"/>
        <w:numPr>
          <w:ilvl w:val="0"/>
          <w:numId w:val="0"/>
        </w:numPr>
        <w:ind w:left="210" w:right="210"/>
        <w:rPr>
          <w:rFonts w:hint="eastAsia" w:cs="宋体"/>
          <w:color w:val="auto"/>
          <w:highlight w:val="none"/>
        </w:rPr>
      </w:pPr>
      <w:r>
        <w:rPr>
          <w:rFonts w:hint="eastAsia" w:cs="宋体"/>
          <w:color w:val="auto"/>
          <w:highlight w:val="none"/>
        </w:rPr>
        <w:t>3.5.1“投标人基本情况表”应附投标人营业执照副本及其年检合格的证明材料、资质证书副本和安全生产许可证等材料的复印件。</w:t>
      </w:r>
    </w:p>
    <w:p>
      <w:pPr>
        <w:pStyle w:val="173"/>
        <w:numPr>
          <w:ilvl w:val="0"/>
          <w:numId w:val="0"/>
        </w:numPr>
        <w:ind w:left="210" w:right="210"/>
        <w:rPr>
          <w:rFonts w:hint="eastAsia" w:cs="宋体"/>
          <w:color w:val="auto"/>
          <w:highlight w:val="none"/>
        </w:rPr>
      </w:pPr>
      <w:r>
        <w:rPr>
          <w:rFonts w:hint="eastAsia" w:cs="宋体"/>
          <w:color w:val="auto"/>
          <w:highlight w:val="none"/>
        </w:rPr>
        <w:t>3.5.2“近年财务状况表”应附经会计师事务所或审计机构审计的财务会计报表，包括资产负债表、现金流量表、利润表和财务情况说明书的复印件，具体年份要求见投标人须知前附表。</w:t>
      </w:r>
    </w:p>
    <w:p>
      <w:pPr>
        <w:pStyle w:val="173"/>
        <w:numPr>
          <w:ilvl w:val="0"/>
          <w:numId w:val="0"/>
        </w:numPr>
        <w:ind w:left="210" w:right="210"/>
        <w:rPr>
          <w:rFonts w:hint="eastAsia" w:cs="宋体"/>
          <w:color w:val="auto"/>
          <w:highlight w:val="none"/>
        </w:rPr>
      </w:pPr>
      <w:r>
        <w:rPr>
          <w:rFonts w:hint="eastAsia" w:cs="宋体"/>
          <w:color w:val="auto"/>
          <w:highlight w:val="none"/>
        </w:rPr>
        <w:t>3.5.3“近年完成或在建的类似项目情况表”（应附中标通知书、合同协议书等的复印件），具体年份要求见投标人须知前附表。</w:t>
      </w:r>
    </w:p>
    <w:p>
      <w:pPr>
        <w:pStyle w:val="173"/>
        <w:numPr>
          <w:ilvl w:val="0"/>
          <w:numId w:val="0"/>
        </w:numPr>
        <w:ind w:right="210"/>
        <w:rPr>
          <w:rFonts w:hint="eastAsia" w:cs="宋体"/>
          <w:b/>
          <w:color w:val="auto"/>
          <w:highlight w:val="none"/>
        </w:rPr>
      </w:pPr>
      <w:r>
        <w:rPr>
          <w:rFonts w:hint="eastAsia" w:cs="宋体"/>
          <w:b/>
          <w:color w:val="auto"/>
          <w:highlight w:val="none"/>
        </w:rPr>
        <w:t>3.6备选投标方案</w:t>
      </w:r>
    </w:p>
    <w:p>
      <w:pPr>
        <w:autoSpaceDE w:val="0"/>
        <w:autoSpaceDN w:val="0"/>
        <w:adjustRightInd w:val="0"/>
        <w:snapToGrid w:val="0"/>
        <w:spacing w:before="29" w:line="360" w:lineRule="auto"/>
        <w:ind w:right="-159"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173"/>
        <w:numPr>
          <w:ilvl w:val="0"/>
          <w:numId w:val="0"/>
        </w:numPr>
        <w:ind w:right="210"/>
        <w:rPr>
          <w:rFonts w:hint="eastAsia" w:cs="宋体"/>
          <w:b/>
          <w:color w:val="auto"/>
          <w:highlight w:val="none"/>
        </w:rPr>
      </w:pPr>
      <w:r>
        <w:rPr>
          <w:rFonts w:hint="eastAsia" w:cs="宋体"/>
          <w:b/>
          <w:color w:val="auto"/>
          <w:highlight w:val="none"/>
        </w:rPr>
        <w:t>3.7投标文件的编制</w:t>
      </w:r>
    </w:p>
    <w:p>
      <w:pPr>
        <w:pStyle w:val="173"/>
        <w:numPr>
          <w:ilvl w:val="0"/>
          <w:numId w:val="0"/>
        </w:numPr>
        <w:ind w:right="210" w:firstLine="244" w:firstLineChars="100"/>
        <w:rPr>
          <w:rFonts w:hint="eastAsia" w:cs="宋体"/>
          <w:color w:val="auto"/>
          <w:highlight w:val="none"/>
        </w:rPr>
      </w:pPr>
      <w:r>
        <w:rPr>
          <w:rFonts w:hint="eastAsia" w:cs="宋体"/>
          <w:color w:val="auto"/>
          <w:highlight w:val="none"/>
        </w:rPr>
        <w:t>3.7.1投标文件应按第</w:t>
      </w:r>
      <w:r>
        <w:rPr>
          <w:rFonts w:hint="eastAsia" w:cs="宋体"/>
          <w:color w:val="auto"/>
          <w:highlight w:val="none"/>
          <w:lang w:val="en-US" w:eastAsia="zh-CN"/>
        </w:rPr>
        <w:t>五</w:t>
      </w:r>
      <w:r>
        <w:rPr>
          <w:rFonts w:hint="eastAsia" w:cs="宋体"/>
          <w:color w:val="auto"/>
          <w:highlight w:val="none"/>
        </w:rPr>
        <w:t>章“投标文件格式”进行编写，如有必要，可以增加附页，作为投标文件的组成部分。</w:t>
      </w:r>
    </w:p>
    <w:p>
      <w:pPr>
        <w:pStyle w:val="173"/>
        <w:numPr>
          <w:ilvl w:val="0"/>
          <w:numId w:val="0"/>
        </w:numPr>
        <w:ind w:left="210" w:right="210"/>
        <w:rPr>
          <w:rFonts w:hint="eastAsia" w:cs="宋体"/>
          <w:color w:val="auto"/>
          <w:highlight w:val="none"/>
        </w:rPr>
      </w:pPr>
      <w:r>
        <w:rPr>
          <w:rFonts w:hint="eastAsia" w:cs="宋体"/>
          <w:color w:val="auto"/>
          <w:highlight w:val="none"/>
        </w:rPr>
        <w:t>3.7.2投标文件应当对招标文件有关工期、投标有效期、施工方案、质量要求、技术标准和要求、招标范围等实质性内容作出响应。</w:t>
      </w:r>
    </w:p>
    <w:p>
      <w:pPr>
        <w:pStyle w:val="173"/>
        <w:numPr>
          <w:ilvl w:val="0"/>
          <w:numId w:val="0"/>
        </w:numPr>
        <w:ind w:left="210" w:right="210"/>
        <w:rPr>
          <w:rFonts w:hint="eastAsia" w:cs="宋体"/>
          <w:color w:val="auto"/>
          <w:highlight w:val="none"/>
        </w:rPr>
      </w:pPr>
      <w:r>
        <w:rPr>
          <w:rFonts w:hint="eastAsia" w:cs="宋体"/>
          <w:color w:val="auto"/>
          <w:highlight w:val="none"/>
        </w:rPr>
        <w:t>3.7.3投标文件由投标人的法定代表人或其委托代理人签字并盖公章。</w:t>
      </w:r>
      <w:r>
        <w:rPr>
          <w:rFonts w:hint="eastAsia" w:cs="宋体"/>
          <w:b/>
          <w:bCs/>
          <w:color w:val="auto"/>
          <w:highlight w:val="none"/>
        </w:rPr>
        <w:t>其中，投标函及对投标文件的澄清和说明应加盖投标单位公章，并由投标人的法定代表或其委托代理人签字。</w:t>
      </w:r>
    </w:p>
    <w:p>
      <w:pPr>
        <w:pStyle w:val="173"/>
        <w:numPr>
          <w:ilvl w:val="0"/>
          <w:numId w:val="0"/>
        </w:numPr>
        <w:ind w:right="210" w:firstLine="244" w:firstLineChars="100"/>
        <w:rPr>
          <w:rFonts w:hint="eastAsia" w:cs="宋体"/>
          <w:color w:val="auto"/>
          <w:highlight w:val="none"/>
        </w:rPr>
      </w:pPr>
      <w:r>
        <w:rPr>
          <w:rFonts w:hint="eastAsia" w:cs="宋体"/>
          <w:color w:val="auto"/>
          <w:highlight w:val="none"/>
        </w:rPr>
        <w:t>3.7.4如果投标文件由委托代理人签署，则投标人须提交授权委托书，</w:t>
      </w:r>
      <w:r>
        <w:rPr>
          <w:rFonts w:hint="eastAsia" w:cs="宋体"/>
          <w:b/>
          <w:bCs/>
          <w:color w:val="auto"/>
          <w:highlight w:val="none"/>
        </w:rPr>
        <w:t>授权委托书应按第</w:t>
      </w:r>
      <w:r>
        <w:rPr>
          <w:rFonts w:hint="eastAsia" w:cs="宋体"/>
          <w:b/>
          <w:bCs/>
          <w:color w:val="auto"/>
          <w:highlight w:val="none"/>
          <w:lang w:val="en-US" w:eastAsia="zh-CN"/>
        </w:rPr>
        <w:t>五</w:t>
      </w:r>
      <w:r>
        <w:rPr>
          <w:rFonts w:hint="eastAsia" w:cs="宋体"/>
          <w:b/>
          <w:bCs/>
          <w:color w:val="auto"/>
          <w:highlight w:val="none"/>
        </w:rPr>
        <w:t>章“投标文件格式”的要求出具</w:t>
      </w:r>
      <w:r>
        <w:rPr>
          <w:rFonts w:hint="eastAsia" w:cs="宋体"/>
          <w:color w:val="auto"/>
          <w:highlight w:val="none"/>
        </w:rPr>
        <w:t>。</w:t>
      </w:r>
    </w:p>
    <w:p>
      <w:pPr>
        <w:pStyle w:val="173"/>
        <w:numPr>
          <w:ilvl w:val="0"/>
          <w:numId w:val="0"/>
        </w:numPr>
        <w:ind w:right="210" w:firstLine="244" w:firstLineChars="100"/>
        <w:rPr>
          <w:rFonts w:hint="eastAsia" w:cs="宋体"/>
          <w:color w:val="auto"/>
          <w:highlight w:val="none"/>
        </w:rPr>
      </w:pPr>
      <w:r>
        <w:rPr>
          <w:rFonts w:hint="eastAsia" w:cs="宋体"/>
          <w:color w:val="auto"/>
          <w:highlight w:val="none"/>
        </w:rPr>
        <w:t>3.7.5如果由投标人的法定代表人亲自签署投标文件，则投标人需提交法定代表人身份证明。</w:t>
      </w:r>
    </w:p>
    <w:p>
      <w:pPr>
        <w:pStyle w:val="173"/>
        <w:numPr>
          <w:ilvl w:val="0"/>
          <w:numId w:val="0"/>
        </w:numPr>
        <w:ind w:right="210" w:firstLine="244" w:firstLineChars="100"/>
        <w:rPr>
          <w:rFonts w:hint="eastAsia" w:cs="宋体"/>
          <w:color w:val="auto"/>
          <w:highlight w:val="none"/>
        </w:rPr>
      </w:pPr>
      <w:r>
        <w:rPr>
          <w:rFonts w:hint="eastAsia" w:cs="宋体"/>
          <w:color w:val="auto"/>
          <w:highlight w:val="none"/>
        </w:rPr>
        <w:t>3.7.6投标文件应尽量避免涂改、行间插字或删除。如果出现上述情况，改动之处应加盖单位章或由投标人的法定代表人或其授权的代理人签字确认。签字或盖章的具体要求见投标人须知前附表。</w:t>
      </w:r>
    </w:p>
    <w:p>
      <w:pPr>
        <w:spacing w:line="360" w:lineRule="auto"/>
        <w:ind w:left="567" w:hanging="567"/>
        <w:jc w:val="center"/>
        <w:outlineLvl w:val="1"/>
        <w:rPr>
          <w:rFonts w:hint="default" w:ascii="Cambria" w:hAnsi="Cambria" w:eastAsia="宋体"/>
          <w:b/>
          <w:bCs w:val="0"/>
          <w:color w:val="auto"/>
          <w:kern w:val="28"/>
          <w:sz w:val="32"/>
          <w:szCs w:val="32"/>
          <w:highlight w:val="none"/>
          <w:lang w:val="en-US" w:eastAsia="zh-CN"/>
        </w:rPr>
      </w:pPr>
      <w:r>
        <w:rPr>
          <w:rFonts w:hint="eastAsia" w:ascii="Cambria" w:hAnsi="Cambria"/>
          <w:b/>
          <w:bCs w:val="0"/>
          <w:color w:val="auto"/>
          <w:kern w:val="28"/>
          <w:sz w:val="32"/>
          <w:szCs w:val="32"/>
          <w:highlight w:val="none"/>
          <w:lang w:val="en-US" w:eastAsia="zh-CN"/>
        </w:rPr>
        <w:t>四</w:t>
      </w:r>
      <w:r>
        <w:rPr>
          <w:rFonts w:hint="eastAsia" w:ascii="Cambria" w:hAnsi="Cambria"/>
          <w:b/>
          <w:bCs w:val="0"/>
          <w:color w:val="auto"/>
          <w:kern w:val="28"/>
          <w:sz w:val="32"/>
          <w:szCs w:val="32"/>
          <w:highlight w:val="none"/>
        </w:rPr>
        <w:t>、投标文件</w:t>
      </w:r>
      <w:r>
        <w:rPr>
          <w:rFonts w:hint="eastAsia" w:ascii="Cambria" w:hAnsi="Cambria"/>
          <w:b/>
          <w:bCs w:val="0"/>
          <w:color w:val="auto"/>
          <w:kern w:val="28"/>
          <w:sz w:val="32"/>
          <w:szCs w:val="32"/>
          <w:highlight w:val="none"/>
          <w:lang w:val="en-US" w:eastAsia="zh-CN"/>
        </w:rPr>
        <w:t>递交和投标截止时间</w:t>
      </w:r>
    </w:p>
    <w:p>
      <w:pPr>
        <w:bidi w:val="0"/>
        <w:rPr>
          <w:rFonts w:hint="eastAsia"/>
        </w:rPr>
      </w:pPr>
    </w:p>
    <w:p>
      <w:pPr>
        <w:pStyle w:val="173"/>
        <w:numPr>
          <w:ilvl w:val="0"/>
          <w:numId w:val="0"/>
        </w:numPr>
        <w:ind w:right="210"/>
        <w:rPr>
          <w:rFonts w:hint="eastAsia" w:cs="宋体"/>
          <w:b/>
          <w:color w:val="auto"/>
          <w:highlight w:val="none"/>
        </w:rPr>
      </w:pPr>
      <w:r>
        <w:rPr>
          <w:rFonts w:hint="eastAsia" w:cs="宋体"/>
          <w:b/>
          <w:color w:val="auto"/>
          <w:highlight w:val="none"/>
        </w:rPr>
        <w:t>4.</w:t>
      </w:r>
      <w:r>
        <w:rPr>
          <w:rFonts w:hint="eastAsia" w:cs="宋体"/>
          <w:b/>
          <w:color w:val="auto"/>
          <w:highlight w:val="none"/>
          <w:lang w:val="en-US" w:eastAsia="zh-CN"/>
        </w:rPr>
        <w:t>1</w:t>
      </w:r>
      <w:r>
        <w:rPr>
          <w:rFonts w:hint="eastAsia" w:ascii="宋体" w:hAnsi="宋体" w:cs="宋体"/>
          <w:color w:val="auto"/>
          <w:kern w:val="0"/>
          <w:position w:val="-1"/>
          <w:sz w:val="24"/>
          <w:szCs w:val="24"/>
          <w:highlight w:val="none"/>
          <w:lang w:val="en-US" w:eastAsia="zh-CN"/>
        </w:rPr>
        <w:t>采购</w:t>
      </w:r>
      <w:r>
        <w:rPr>
          <w:rFonts w:hint="eastAsia" w:cs="宋体"/>
          <w:b/>
          <w:color w:val="auto"/>
          <w:highlight w:val="none"/>
        </w:rPr>
        <w:t>文件的递交</w:t>
      </w:r>
    </w:p>
    <w:p>
      <w:pPr>
        <w:pStyle w:val="173"/>
        <w:numPr>
          <w:ilvl w:val="0"/>
          <w:numId w:val="0"/>
        </w:numPr>
        <w:ind w:left="210" w:right="210"/>
        <w:rPr>
          <w:rFonts w:hint="eastAsia" w:cs="宋体"/>
          <w:color w:val="auto"/>
          <w:highlight w:val="none"/>
        </w:rPr>
      </w:pPr>
      <w:r>
        <w:rPr>
          <w:rFonts w:hint="eastAsia" w:cs="宋体"/>
          <w:color w:val="auto"/>
          <w:highlight w:val="none"/>
        </w:rPr>
        <w:t>投标人应在本章规定的投标截止时间前</w:t>
      </w:r>
      <w:r>
        <w:rPr>
          <w:rFonts w:hint="eastAsia" w:cs="宋体"/>
          <w:color w:val="auto"/>
          <w:highlight w:val="none"/>
          <w:lang w:val="en-US" w:eastAsia="zh-CN"/>
        </w:rPr>
        <w:t>在中煤易购上</w:t>
      </w:r>
      <w:r>
        <w:rPr>
          <w:rFonts w:hint="eastAsia" w:cs="宋体"/>
          <w:color w:val="auto"/>
          <w:highlight w:val="none"/>
        </w:rPr>
        <w:t>递交投标文件。</w:t>
      </w:r>
    </w:p>
    <w:p>
      <w:pPr>
        <w:tabs>
          <w:tab w:val="left" w:pos="0"/>
          <w:tab w:val="decimal" w:pos="6240"/>
          <w:tab w:val="right" w:leader="dot" w:pos="10800"/>
        </w:tabs>
        <w:adjustRightInd w:val="0"/>
        <w:snapToGrid w:val="0"/>
        <w:spacing w:line="360" w:lineRule="auto"/>
        <w:ind w:right="20" w:rightChars="10"/>
        <w:jc w:val="left"/>
        <w:rPr>
          <w:rFonts w:hint="eastAsia" w:ascii="宋体" w:hAnsi="宋体"/>
          <w:b/>
          <w:bCs/>
          <w:color w:val="auto"/>
          <w:sz w:val="24"/>
          <w:highlight w:val="none"/>
        </w:rPr>
      </w:pPr>
      <w:r>
        <w:rPr>
          <w:rFonts w:hint="eastAsia" w:ascii="宋体" w:hAnsi="宋体"/>
          <w:b/>
          <w:bCs/>
          <w:color w:val="auto"/>
          <w:sz w:val="24"/>
          <w:highlight w:val="none"/>
        </w:rPr>
        <w:t>4.</w:t>
      </w:r>
      <w:r>
        <w:rPr>
          <w:rFonts w:hint="eastAsia" w:ascii="宋体" w:hAnsi="宋体"/>
          <w:b/>
          <w:bCs/>
          <w:color w:val="auto"/>
          <w:sz w:val="24"/>
          <w:highlight w:val="none"/>
          <w:lang w:val="en-US" w:eastAsia="zh-CN"/>
        </w:rPr>
        <w:t>2</w:t>
      </w:r>
      <w:r>
        <w:rPr>
          <w:rFonts w:hint="eastAsia" w:ascii="宋体" w:hAnsi="宋体"/>
          <w:b/>
          <w:bCs/>
          <w:color w:val="auto"/>
          <w:sz w:val="24"/>
          <w:highlight w:val="none"/>
        </w:rPr>
        <w:t>投标截止时间</w:t>
      </w:r>
    </w:p>
    <w:p>
      <w:pPr>
        <w:widowControl/>
        <w:autoSpaceDE w:val="0"/>
        <w:autoSpaceDN w:val="0"/>
        <w:adjustRightInd w:val="0"/>
        <w:spacing w:line="300" w:lineRule="auto"/>
        <w:ind w:firstLine="240" w:firstLineChars="100"/>
        <w:jc w:val="left"/>
        <w:rPr>
          <w:rFonts w:hint="eastAsia" w:ascii="宋体" w:hAnsi="宋体"/>
          <w:bCs/>
          <w:color w:val="auto"/>
          <w:kern w:val="0"/>
          <w:sz w:val="24"/>
          <w:highlight w:val="none"/>
          <w:shd w:val="clear" w:color="auto" w:fill="FFFFFF"/>
          <w:lang w:bidi="en-US"/>
        </w:rPr>
      </w:pPr>
      <w:r>
        <w:rPr>
          <w:rFonts w:hint="eastAsia" w:ascii="宋体" w:hAnsi="宋体"/>
          <w:color w:val="auto"/>
          <w:kern w:val="0"/>
          <w:sz w:val="24"/>
          <w:highlight w:val="none"/>
          <w:shd w:val="clear" w:color="auto" w:fill="FFFFFF"/>
          <w:lang w:bidi="en-US"/>
        </w:rPr>
        <w:t>所有投标文件都必须按招标方在公告/投标邀请书中规定的投标截止时间前</w:t>
      </w:r>
      <w:r>
        <w:rPr>
          <w:rFonts w:hint="eastAsia" w:ascii="宋体" w:hAnsi="宋体"/>
          <w:color w:val="auto"/>
          <w:kern w:val="0"/>
          <w:sz w:val="24"/>
          <w:highlight w:val="none"/>
          <w:shd w:val="clear" w:color="auto" w:fill="FFFFFF"/>
          <w:lang w:val="en-US" w:eastAsia="zh-CN" w:bidi="en-US"/>
        </w:rPr>
        <w:t>上传。</w:t>
      </w:r>
    </w:p>
    <w:p>
      <w:pPr>
        <w:numPr>
          <w:ilvl w:val="0"/>
          <w:numId w:val="11"/>
        </w:numPr>
        <w:spacing w:line="360" w:lineRule="auto"/>
        <w:ind w:left="567" w:hanging="567"/>
        <w:jc w:val="center"/>
        <w:outlineLvl w:val="1"/>
        <w:rPr>
          <w:rFonts w:hint="eastAsia" w:ascii="Cambria" w:hAnsi="Cambria"/>
          <w:b/>
          <w:bCs w:val="0"/>
          <w:color w:val="auto"/>
          <w:kern w:val="28"/>
          <w:sz w:val="32"/>
          <w:szCs w:val="32"/>
          <w:highlight w:val="none"/>
        </w:rPr>
      </w:pPr>
      <w:r>
        <w:rPr>
          <w:rFonts w:hint="eastAsia" w:ascii="Cambria" w:hAnsi="Cambria"/>
          <w:b/>
          <w:bCs w:val="0"/>
          <w:color w:val="auto"/>
          <w:kern w:val="28"/>
          <w:sz w:val="32"/>
          <w:szCs w:val="32"/>
          <w:highlight w:val="none"/>
        </w:rPr>
        <w:t>开标</w:t>
      </w:r>
    </w:p>
    <w:p>
      <w:pPr>
        <w:pStyle w:val="173"/>
        <w:numPr>
          <w:ilvl w:val="0"/>
          <w:numId w:val="0"/>
        </w:numPr>
        <w:ind w:right="210"/>
        <w:rPr>
          <w:rFonts w:hint="eastAsia"/>
        </w:rPr>
      </w:pPr>
    </w:p>
    <w:p>
      <w:pPr>
        <w:pStyle w:val="173"/>
        <w:numPr>
          <w:ilvl w:val="0"/>
          <w:numId w:val="0"/>
        </w:numPr>
        <w:ind w:right="210"/>
        <w:rPr>
          <w:rFonts w:hint="eastAsia" w:cs="宋体"/>
          <w:b/>
          <w:color w:val="auto"/>
          <w:highlight w:val="none"/>
        </w:rPr>
      </w:pPr>
      <w:r>
        <w:rPr>
          <w:rFonts w:hint="eastAsia" w:cs="宋体"/>
          <w:b/>
          <w:color w:val="auto"/>
          <w:highlight w:val="none"/>
        </w:rPr>
        <w:t>5.1开标时投标文件有下列情形之一的，该投标文件将被拒绝：</w:t>
      </w:r>
    </w:p>
    <w:p>
      <w:pPr>
        <w:pStyle w:val="173"/>
        <w:numPr>
          <w:ilvl w:val="0"/>
          <w:numId w:val="0"/>
        </w:numPr>
        <w:ind w:right="210" w:firstLine="490" w:firstLineChars="200"/>
        <w:rPr>
          <w:rFonts w:hint="eastAsia" w:cs="宋体"/>
          <w:b/>
          <w:color w:val="auto"/>
          <w:highlight w:val="none"/>
        </w:rPr>
      </w:pPr>
      <w:r>
        <w:rPr>
          <w:rFonts w:hint="eastAsia" w:cs="宋体"/>
          <w:b/>
          <w:color w:val="auto"/>
          <w:highlight w:val="none"/>
        </w:rPr>
        <w:t xml:space="preserve"> 投标文件逾期</w:t>
      </w:r>
      <w:r>
        <w:rPr>
          <w:rFonts w:hint="eastAsia" w:cs="宋体"/>
          <w:b/>
          <w:color w:val="auto"/>
          <w:highlight w:val="none"/>
          <w:lang w:val="en-US" w:eastAsia="zh-CN"/>
        </w:rPr>
        <w:t>上传</w:t>
      </w:r>
      <w:r>
        <w:rPr>
          <w:rFonts w:hint="eastAsia" w:cs="宋体"/>
          <w:b/>
          <w:color w:val="auto"/>
          <w:highlight w:val="none"/>
        </w:rPr>
        <w:t>的；</w:t>
      </w:r>
    </w:p>
    <w:p>
      <w:pPr>
        <w:pStyle w:val="173"/>
        <w:numPr>
          <w:ilvl w:val="0"/>
          <w:numId w:val="0"/>
        </w:numPr>
        <w:ind w:right="210"/>
        <w:rPr>
          <w:rFonts w:hint="eastAsia" w:cs="宋体"/>
          <w:b/>
          <w:color w:val="auto"/>
          <w:highlight w:val="none"/>
        </w:rPr>
      </w:pPr>
      <w:r>
        <w:rPr>
          <w:rFonts w:hint="eastAsia" w:cs="宋体"/>
          <w:b/>
          <w:color w:val="auto"/>
          <w:highlight w:val="none"/>
        </w:rPr>
        <w:t>5.2开标时间和地点</w:t>
      </w:r>
    </w:p>
    <w:p>
      <w:pPr>
        <w:autoSpaceDE w:val="0"/>
        <w:autoSpaceDN w:val="0"/>
        <w:adjustRightInd w:val="0"/>
        <w:snapToGrid w:val="0"/>
        <w:spacing w:before="29" w:line="360" w:lineRule="auto"/>
        <w:ind w:right="-159"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招标人在本章规定的投标截止时间（开标时间）和投标人须知前附表规定的</w:t>
      </w:r>
      <w:r>
        <w:rPr>
          <w:rFonts w:hint="eastAsia" w:ascii="宋体" w:hAnsi="宋体" w:cs="宋体"/>
          <w:color w:val="auto"/>
          <w:kern w:val="0"/>
          <w:sz w:val="24"/>
          <w:szCs w:val="24"/>
          <w:highlight w:val="none"/>
          <w:lang w:val="en-US" w:eastAsia="zh-CN"/>
        </w:rPr>
        <w:t>时间</w:t>
      </w:r>
      <w:r>
        <w:rPr>
          <w:rFonts w:hint="eastAsia" w:ascii="宋体" w:hAnsi="宋体" w:cs="宋体"/>
          <w:color w:val="auto"/>
          <w:kern w:val="0"/>
          <w:sz w:val="24"/>
          <w:szCs w:val="24"/>
          <w:highlight w:val="none"/>
        </w:rPr>
        <w:t>开标。</w:t>
      </w:r>
    </w:p>
    <w:p>
      <w:pPr>
        <w:spacing w:line="360" w:lineRule="auto"/>
        <w:ind w:left="567" w:hanging="567"/>
        <w:jc w:val="center"/>
        <w:outlineLvl w:val="1"/>
        <w:rPr>
          <w:rFonts w:hint="eastAsia" w:ascii="Cambria" w:hAnsi="Cambria"/>
          <w:b/>
          <w:bCs w:val="0"/>
          <w:color w:val="auto"/>
          <w:kern w:val="28"/>
          <w:sz w:val="32"/>
          <w:szCs w:val="32"/>
          <w:highlight w:val="none"/>
        </w:rPr>
      </w:pPr>
      <w:bookmarkStart w:id="54" w:name="_Toc405302858"/>
      <w:bookmarkStart w:id="55" w:name="_Toc405303369"/>
      <w:bookmarkStart w:id="56" w:name="_Toc438129410"/>
      <w:r>
        <w:rPr>
          <w:rFonts w:hint="eastAsia" w:ascii="Cambria" w:hAnsi="Cambria"/>
          <w:b/>
          <w:bCs w:val="0"/>
          <w:color w:val="auto"/>
          <w:kern w:val="28"/>
          <w:sz w:val="32"/>
          <w:szCs w:val="32"/>
          <w:highlight w:val="none"/>
        </w:rPr>
        <w:t>六、</w:t>
      </w:r>
      <w:r>
        <w:rPr>
          <w:rFonts w:hint="eastAsia" w:ascii="Cambria" w:hAnsi="Cambria"/>
          <w:b/>
          <w:bCs w:val="0"/>
          <w:color w:val="auto"/>
          <w:kern w:val="28"/>
          <w:sz w:val="32"/>
          <w:szCs w:val="32"/>
          <w:highlight w:val="none"/>
          <w:lang w:val="en-US" w:eastAsia="zh-CN"/>
        </w:rPr>
        <w:t>评审及谈判</w:t>
      </w:r>
      <w:bookmarkEnd w:id="54"/>
      <w:bookmarkEnd w:id="55"/>
      <w:bookmarkEnd w:id="56"/>
    </w:p>
    <w:p>
      <w:pPr>
        <w:pStyle w:val="43"/>
        <w:widowControl w:val="0"/>
        <w:tabs>
          <w:tab w:val="left" w:pos="720"/>
        </w:tabs>
        <w:spacing w:before="0" w:beforeAutospacing="0" w:after="0" w:afterAutospacing="0" w:line="360" w:lineRule="auto"/>
        <w:ind w:left="-2" w:leftChars="-1" w:right="28" w:firstLine="482" w:firstLineChars="200"/>
        <w:jc w:val="both"/>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1.评审</w:t>
      </w:r>
    </w:p>
    <w:p>
      <w:pPr>
        <w:pStyle w:val="43"/>
        <w:widowControl w:val="0"/>
        <w:tabs>
          <w:tab w:val="left" w:pos="720"/>
        </w:tabs>
        <w:spacing w:before="0" w:beforeAutospacing="0" w:after="0" w:afterAutospacing="0" w:line="360" w:lineRule="auto"/>
        <w:ind w:left="-2" w:leftChars="-1" w:right="28"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1.1采购方将在“供应商须知前附表”规定的时间组织洽谈。供应商应由其法定代表人或授权代表以及专业技术人员参与。</w:t>
      </w:r>
    </w:p>
    <w:p>
      <w:pPr>
        <w:pStyle w:val="43"/>
        <w:widowControl w:val="0"/>
        <w:tabs>
          <w:tab w:val="left" w:pos="720"/>
        </w:tabs>
        <w:spacing w:before="0" w:beforeAutospacing="0" w:after="0" w:afterAutospacing="0" w:line="360" w:lineRule="auto"/>
        <w:ind w:left="-2" w:leftChars="-1" w:right="28"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1.2采购方的洽谈小组由采购人依法依规组建，采购人代表、商务代表及技术人员三名或三名以上单数评审人员组成。</w:t>
      </w:r>
    </w:p>
    <w:p>
      <w:pPr>
        <w:pStyle w:val="43"/>
        <w:widowControl w:val="0"/>
        <w:tabs>
          <w:tab w:val="left" w:pos="720"/>
        </w:tabs>
        <w:spacing w:before="0" w:beforeAutospacing="0" w:after="0" w:afterAutospacing="0" w:line="360" w:lineRule="auto"/>
        <w:ind w:left="-2" w:leftChars="-1" w:right="28"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1.3洽谈开始前，洽谈小组将首先认真审查各供应商之间是否存在相互围串、报价文件造假等其他禁止报价的情形和供应商提交的采购响应文件，了解其与采购文件的要求是否有偏离，包括但不限于以下内容：</w:t>
      </w:r>
    </w:p>
    <w:p>
      <w:pPr>
        <w:pStyle w:val="43"/>
        <w:widowControl w:val="0"/>
        <w:tabs>
          <w:tab w:val="left" w:pos="720"/>
        </w:tabs>
        <w:spacing w:before="0" w:beforeAutospacing="0" w:after="0" w:afterAutospacing="0" w:line="360" w:lineRule="auto"/>
        <w:ind w:left="-2" w:leftChars="-1" w:right="28"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1.4.1  采购响应文件是否存在混装、雷同、报价规律性差异等情形；</w:t>
      </w:r>
    </w:p>
    <w:p>
      <w:pPr>
        <w:pStyle w:val="43"/>
        <w:widowControl w:val="0"/>
        <w:tabs>
          <w:tab w:val="left" w:pos="720"/>
        </w:tabs>
        <w:spacing w:before="0" w:beforeAutospacing="0" w:after="0" w:afterAutospacing="0" w:line="360" w:lineRule="auto"/>
        <w:ind w:left="-2" w:leftChars="-1" w:right="28"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1.4.2 采购响应文件是否照规定的要求进行编制、装订和签署；</w:t>
      </w:r>
    </w:p>
    <w:p>
      <w:pPr>
        <w:pStyle w:val="43"/>
        <w:widowControl w:val="0"/>
        <w:tabs>
          <w:tab w:val="left" w:pos="720"/>
        </w:tabs>
        <w:spacing w:before="0" w:beforeAutospacing="0" w:after="0" w:afterAutospacing="0" w:line="360" w:lineRule="auto"/>
        <w:ind w:left="-2" w:leftChars="-1" w:right="28"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1.4.3 所提交的各种资格证明文件是否满足报价人资格要求并真实、完整、合法、有效；</w:t>
      </w:r>
    </w:p>
    <w:p>
      <w:pPr>
        <w:pStyle w:val="43"/>
        <w:widowControl w:val="0"/>
        <w:tabs>
          <w:tab w:val="left" w:pos="720"/>
        </w:tabs>
        <w:spacing w:before="0" w:beforeAutospacing="0" w:after="0" w:afterAutospacing="0" w:line="360" w:lineRule="auto"/>
        <w:ind w:left="-2" w:leftChars="-1" w:right="28"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1.4.4 根据采购文件要求所提出的技术方案是否完整、可行；</w:t>
      </w:r>
    </w:p>
    <w:p>
      <w:pPr>
        <w:pStyle w:val="43"/>
        <w:widowControl w:val="0"/>
        <w:tabs>
          <w:tab w:val="left" w:pos="720"/>
        </w:tabs>
        <w:spacing w:before="0" w:beforeAutospacing="0" w:after="0" w:afterAutospacing="0" w:line="360" w:lineRule="auto"/>
        <w:ind w:left="-2" w:leftChars="-1" w:right="28"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1.4.5 采购响应书对法律、法规和采购文件其他明确要求的符合性。</w:t>
      </w:r>
    </w:p>
    <w:p>
      <w:pPr>
        <w:pStyle w:val="43"/>
        <w:widowControl w:val="0"/>
        <w:tabs>
          <w:tab w:val="left" w:pos="720"/>
        </w:tabs>
        <w:spacing w:before="0" w:beforeAutospacing="0" w:after="0" w:afterAutospacing="0" w:line="360" w:lineRule="auto"/>
        <w:ind w:left="-2" w:leftChars="-1" w:right="28"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1.5 在掌握了供应商采购响应文件的基本情况后，洽谈小组将与供应商进行磋商、谈判。</w:t>
      </w:r>
    </w:p>
    <w:p>
      <w:pPr>
        <w:pStyle w:val="43"/>
        <w:widowControl w:val="0"/>
        <w:tabs>
          <w:tab w:val="left" w:pos="720"/>
        </w:tabs>
        <w:spacing w:before="0" w:beforeAutospacing="0" w:after="0" w:afterAutospacing="0" w:line="360" w:lineRule="auto"/>
        <w:ind w:left="-2" w:leftChars="-1" w:right="28" w:firstLine="482" w:firstLineChars="200"/>
        <w:jc w:val="both"/>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2、谈判</w:t>
      </w:r>
    </w:p>
    <w:p>
      <w:pPr>
        <w:pStyle w:val="43"/>
        <w:widowControl w:val="0"/>
        <w:tabs>
          <w:tab w:val="left" w:pos="720"/>
        </w:tabs>
        <w:spacing w:line="360" w:lineRule="auto"/>
        <w:ind w:left="-2" w:leftChars="-1" w:right="28"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2.1谈判小组按照递交的采购响应性文件应就采购项目的技术要求、市场价格、工程承诺等与供应商进行谈判,</w:t>
      </w:r>
      <w:r>
        <w:rPr>
          <w:rFonts w:hint="default" w:ascii="Times New Roman" w:hAnsi="Times New Roman" w:cs="Times New Roman"/>
          <w:color w:val="auto"/>
          <w:highlight w:val="none"/>
        </w:rPr>
        <w:t>并给予所有参加谈判的供应商平等的机会</w:t>
      </w:r>
      <w:r>
        <w:rPr>
          <w:rFonts w:hint="default" w:ascii="Times New Roman" w:hAnsi="Times New Roman" w:cs="Times New Roman"/>
          <w:bCs/>
          <w:color w:val="auto"/>
          <w:highlight w:val="none"/>
        </w:rPr>
        <w:t>。在第一轮谈判中，首先会要求供应商就采购响应书中含糊不清、错漏的地方进行澄清，并提出问题，然后与供应商就其价格构成与高低进行谈判。在其后的谈判中，谈判小组将要求供应商就之前提出的问题进行确认，然后报出自己能承受的最终价格，以书面形式确认，并由法定代表人或其授权人签署；</w:t>
      </w:r>
    </w:p>
    <w:p>
      <w:pPr>
        <w:pStyle w:val="43"/>
        <w:widowControl w:val="0"/>
        <w:tabs>
          <w:tab w:val="left" w:pos="720"/>
        </w:tabs>
        <w:spacing w:before="0" w:beforeAutospacing="0" w:after="0" w:afterAutospacing="0" w:line="360" w:lineRule="auto"/>
        <w:ind w:left="-2" w:leftChars="-1" w:right="28"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2.2谈判中，采购方的采购文件如有实质性变动的，谈判小组将以书面形式通知参加谈判的供应商。供应商也可以对自己采购响应文件中的有关技术配置、售后服务和报价等方面的问题进行修改，以符合采购文件的要求；</w:t>
      </w:r>
    </w:p>
    <w:p>
      <w:pPr>
        <w:pStyle w:val="43"/>
        <w:widowControl w:val="0"/>
        <w:tabs>
          <w:tab w:val="left" w:pos="720"/>
        </w:tabs>
        <w:spacing w:line="360" w:lineRule="auto"/>
        <w:ind w:left="-2" w:leftChars="-1" w:right="28"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2.3谈判小组将依据供应商最终提交的最终确认文件进行认真的审查，如满足采购文件的要求、价格合理，谈判小组将推荐成交候选供应商。否则，重新组织采购或终止采购。</w:t>
      </w:r>
    </w:p>
    <w:p>
      <w:pPr>
        <w:pStyle w:val="43"/>
        <w:widowControl w:val="0"/>
        <w:tabs>
          <w:tab w:val="left" w:pos="720"/>
        </w:tabs>
        <w:spacing w:before="0" w:beforeAutospacing="0" w:after="0" w:afterAutospacing="0" w:line="360" w:lineRule="auto"/>
        <w:ind w:left="-2" w:leftChars="-1" w:right="28"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2.4谈判的任何一方在未征得另一方同意的情况下，不得向第三方透露与谈判有关的一切技术资料、价格或其他信息。</w:t>
      </w:r>
    </w:p>
    <w:p>
      <w:pPr>
        <w:pStyle w:val="43"/>
        <w:widowControl w:val="0"/>
        <w:tabs>
          <w:tab w:val="left" w:pos="720"/>
        </w:tabs>
        <w:spacing w:before="0" w:beforeAutospacing="0" w:after="0" w:afterAutospacing="0" w:line="360" w:lineRule="auto"/>
        <w:ind w:left="-2" w:leftChars="-1" w:right="28" w:firstLine="482" w:firstLineChars="200"/>
        <w:jc w:val="both"/>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3、评审报告</w:t>
      </w:r>
    </w:p>
    <w:p>
      <w:pPr>
        <w:pStyle w:val="43"/>
        <w:widowControl w:val="0"/>
        <w:tabs>
          <w:tab w:val="left" w:pos="720"/>
        </w:tabs>
        <w:spacing w:before="0" w:beforeAutospacing="0" w:after="0" w:afterAutospacing="0" w:line="360" w:lineRule="auto"/>
        <w:ind w:left="-2" w:leftChars="-1" w:right="28"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3.1 洽谈小组完成评审后，应当向采购人提出书面评审报告。</w:t>
      </w:r>
    </w:p>
    <w:p>
      <w:pPr>
        <w:pStyle w:val="43"/>
        <w:widowControl w:val="0"/>
        <w:tabs>
          <w:tab w:val="left" w:pos="720"/>
        </w:tabs>
        <w:spacing w:before="0" w:beforeAutospacing="0" w:after="0" w:afterAutospacing="0" w:line="360" w:lineRule="auto"/>
        <w:ind w:left="-2" w:leftChars="-1" w:right="28"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3.2 评审报告由洽谈小组全体成员签字。对评审结论持有异议的洽谈小组成员可以书面方式阐述其不同意见和理由。洽谈小组成员拒绝在评审报告上签字且不陈述其不同意见和理由的，视为同意评审结论。洽谈小组应当对此作出书面说明并记录在案。</w:t>
      </w:r>
    </w:p>
    <w:p>
      <w:pPr>
        <w:pStyle w:val="43"/>
        <w:widowControl w:val="0"/>
        <w:tabs>
          <w:tab w:val="left" w:pos="720"/>
        </w:tabs>
        <w:spacing w:before="0" w:beforeAutospacing="0" w:after="0" w:afterAutospacing="0" w:line="360" w:lineRule="auto"/>
        <w:ind w:left="-2" w:leftChars="-1" w:right="28"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3.3 洽谈小组向采购人提交书面评审报告后，洽谈小组即告解散。</w:t>
      </w:r>
    </w:p>
    <w:p>
      <w:pPr>
        <w:spacing w:line="360" w:lineRule="auto"/>
        <w:ind w:left="567" w:hanging="567"/>
        <w:jc w:val="center"/>
        <w:outlineLvl w:val="1"/>
        <w:rPr>
          <w:rFonts w:hint="eastAsia" w:ascii="Cambria" w:hAnsi="Cambria"/>
          <w:b/>
          <w:bCs/>
          <w:color w:val="auto"/>
          <w:kern w:val="28"/>
          <w:sz w:val="32"/>
          <w:szCs w:val="32"/>
          <w:highlight w:val="none"/>
        </w:rPr>
      </w:pPr>
      <w:r>
        <w:rPr>
          <w:rFonts w:hint="eastAsia" w:ascii="宋体" w:hAnsi="宋体"/>
          <w:b/>
          <w:bCs/>
          <w:color w:val="auto"/>
          <w:sz w:val="32"/>
          <w:szCs w:val="32"/>
          <w:highlight w:val="none"/>
        </w:rPr>
        <w:t>七、</w:t>
      </w:r>
      <w:r>
        <w:rPr>
          <w:rFonts w:hint="eastAsia" w:ascii="Cambria" w:hAnsi="Cambria"/>
          <w:b/>
          <w:bCs/>
          <w:color w:val="auto"/>
          <w:kern w:val="28"/>
          <w:sz w:val="32"/>
          <w:szCs w:val="32"/>
          <w:highlight w:val="none"/>
        </w:rPr>
        <w:t>合同授予</w:t>
      </w:r>
    </w:p>
    <w:p>
      <w:pPr>
        <w:pStyle w:val="173"/>
        <w:numPr>
          <w:ilvl w:val="0"/>
          <w:numId w:val="0"/>
        </w:numPr>
        <w:ind w:right="210"/>
        <w:rPr>
          <w:rFonts w:hint="eastAsia" w:cs="宋体"/>
          <w:b/>
          <w:color w:val="auto"/>
          <w:highlight w:val="none"/>
        </w:rPr>
      </w:pPr>
      <w:r>
        <w:rPr>
          <w:rFonts w:hint="eastAsia" w:cs="宋体"/>
          <w:b/>
          <w:color w:val="auto"/>
          <w:highlight w:val="none"/>
        </w:rPr>
        <w:t>7.1定标方式</w:t>
      </w:r>
    </w:p>
    <w:p>
      <w:pPr>
        <w:numPr>
          <w:ilvl w:val="0"/>
          <w:numId w:val="12"/>
        </w:numPr>
        <w:spacing w:line="360" w:lineRule="auto"/>
        <w:rPr>
          <w:color w:val="auto"/>
          <w:sz w:val="24"/>
          <w:highlight w:val="none"/>
        </w:rPr>
      </w:pPr>
      <w:r>
        <w:rPr>
          <w:rFonts w:hint="eastAsia"/>
          <w:color w:val="auto"/>
          <w:sz w:val="24"/>
          <w:highlight w:val="none"/>
        </w:rPr>
        <w:t>合同将授予其投标实质上响应招标文件的要求，能最大限度地满足招标文件中规定的各项综合评价标准，并能圆满地履行合同的投标人。</w:t>
      </w:r>
    </w:p>
    <w:p>
      <w:pPr>
        <w:pStyle w:val="173"/>
        <w:numPr>
          <w:ilvl w:val="0"/>
          <w:numId w:val="0"/>
        </w:numPr>
        <w:ind w:right="210"/>
        <w:rPr>
          <w:rFonts w:hint="eastAsia" w:cs="宋体"/>
          <w:b/>
          <w:color w:val="auto"/>
          <w:highlight w:val="none"/>
        </w:rPr>
      </w:pPr>
      <w:r>
        <w:rPr>
          <w:rFonts w:hint="eastAsia" w:cs="宋体"/>
          <w:b/>
          <w:color w:val="auto"/>
          <w:highlight w:val="none"/>
        </w:rPr>
        <w:t>7.2中标通知</w:t>
      </w:r>
    </w:p>
    <w:p>
      <w:pPr>
        <w:autoSpaceDE w:val="0"/>
        <w:autoSpaceDN w:val="0"/>
        <w:adjustRightInd w:val="0"/>
        <w:snapToGrid w:val="0"/>
        <w:spacing w:before="29" w:line="360" w:lineRule="auto"/>
        <w:ind w:right="-159"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在投标有效期内，</w:t>
      </w:r>
      <w:r>
        <w:rPr>
          <w:rFonts w:hint="eastAsia" w:ascii="宋体" w:hAnsi="宋体" w:cs="宋体"/>
          <w:color w:val="auto"/>
          <w:kern w:val="0"/>
          <w:position w:val="-1"/>
          <w:sz w:val="24"/>
          <w:szCs w:val="24"/>
          <w:highlight w:val="none"/>
          <w:lang w:val="en-US" w:eastAsia="zh-CN"/>
        </w:rPr>
        <w:t>采购</w:t>
      </w:r>
      <w:r>
        <w:rPr>
          <w:rFonts w:hint="eastAsia" w:ascii="宋体" w:hAnsi="宋体" w:cs="宋体"/>
          <w:color w:val="auto"/>
          <w:kern w:val="0"/>
          <w:sz w:val="24"/>
          <w:szCs w:val="24"/>
          <w:highlight w:val="none"/>
        </w:rPr>
        <w:t>人以书面形式向中标人发出中标通知书，同时将中标结果通知未中标的投标人。</w:t>
      </w:r>
    </w:p>
    <w:p>
      <w:pPr>
        <w:pStyle w:val="173"/>
        <w:numPr>
          <w:ilvl w:val="0"/>
          <w:numId w:val="0"/>
        </w:numPr>
        <w:ind w:right="210"/>
        <w:rPr>
          <w:rFonts w:hint="eastAsia" w:cs="宋体"/>
          <w:b/>
          <w:color w:val="auto"/>
          <w:highlight w:val="none"/>
        </w:rPr>
      </w:pPr>
      <w:r>
        <w:rPr>
          <w:rFonts w:hint="eastAsia" w:cs="宋体"/>
          <w:b/>
          <w:color w:val="auto"/>
          <w:highlight w:val="none"/>
        </w:rPr>
        <w:t>7.</w:t>
      </w:r>
      <w:r>
        <w:rPr>
          <w:rFonts w:hint="eastAsia" w:cs="宋体"/>
          <w:b/>
          <w:color w:val="auto"/>
          <w:highlight w:val="none"/>
          <w:lang w:val="en-US" w:eastAsia="zh-CN"/>
        </w:rPr>
        <w:t>3</w:t>
      </w:r>
      <w:r>
        <w:rPr>
          <w:rFonts w:hint="eastAsia" w:cs="宋体"/>
          <w:b/>
          <w:color w:val="auto"/>
          <w:highlight w:val="none"/>
        </w:rPr>
        <w:t>签订合同</w:t>
      </w:r>
    </w:p>
    <w:p>
      <w:pPr>
        <w:pStyle w:val="173"/>
        <w:numPr>
          <w:ilvl w:val="0"/>
          <w:numId w:val="0"/>
        </w:numPr>
        <w:ind w:right="210" w:firstLine="244" w:firstLineChars="100"/>
        <w:rPr>
          <w:rFonts w:hint="eastAsia" w:cs="宋体"/>
          <w:color w:val="auto"/>
          <w:highlight w:val="none"/>
        </w:rPr>
      </w:pPr>
      <w:r>
        <w:rPr>
          <w:rFonts w:hint="eastAsia" w:cs="宋体"/>
          <w:color w:val="auto"/>
          <w:highlight w:val="none"/>
        </w:rPr>
        <w:t>7.</w:t>
      </w:r>
      <w:r>
        <w:rPr>
          <w:rFonts w:hint="eastAsia" w:cs="宋体"/>
          <w:color w:val="auto"/>
          <w:highlight w:val="none"/>
          <w:lang w:val="en-US" w:eastAsia="zh-CN"/>
        </w:rPr>
        <w:t>3</w:t>
      </w:r>
      <w:r>
        <w:rPr>
          <w:rFonts w:hint="eastAsia" w:cs="宋体"/>
          <w:color w:val="auto"/>
          <w:highlight w:val="none"/>
        </w:rPr>
        <w:t>.1</w:t>
      </w:r>
      <w:r>
        <w:rPr>
          <w:rFonts w:hint="eastAsia" w:ascii="宋体" w:hAnsi="宋体" w:cs="宋体"/>
          <w:color w:val="auto"/>
          <w:kern w:val="0"/>
          <w:position w:val="-1"/>
          <w:sz w:val="24"/>
          <w:szCs w:val="24"/>
          <w:highlight w:val="none"/>
          <w:lang w:val="en-US" w:eastAsia="zh-CN"/>
        </w:rPr>
        <w:t>采购</w:t>
      </w:r>
      <w:r>
        <w:rPr>
          <w:rFonts w:hint="eastAsia" w:cs="宋体"/>
          <w:color w:val="auto"/>
          <w:highlight w:val="none"/>
        </w:rPr>
        <w:t>人和中标人应当自中标通知书发出之日起 30 天内，根据招标文件和中标人的投标文件订立书面合同。中标人无正当理由拒签合同的，</w:t>
      </w:r>
      <w:r>
        <w:rPr>
          <w:rFonts w:hint="eastAsia" w:ascii="宋体" w:hAnsi="宋体" w:cs="宋体"/>
          <w:color w:val="auto"/>
          <w:kern w:val="0"/>
          <w:position w:val="-1"/>
          <w:sz w:val="24"/>
          <w:szCs w:val="24"/>
          <w:highlight w:val="none"/>
          <w:lang w:val="en-US" w:eastAsia="zh-CN"/>
        </w:rPr>
        <w:t>采购</w:t>
      </w:r>
      <w:r>
        <w:rPr>
          <w:rFonts w:hint="eastAsia" w:cs="宋体"/>
          <w:color w:val="auto"/>
          <w:highlight w:val="none"/>
        </w:rPr>
        <w:t>人取消其中标资格。</w:t>
      </w:r>
    </w:p>
    <w:p>
      <w:pPr>
        <w:pStyle w:val="173"/>
        <w:numPr>
          <w:ilvl w:val="0"/>
          <w:numId w:val="0"/>
        </w:numPr>
        <w:ind w:right="210" w:firstLine="244" w:firstLineChars="100"/>
        <w:rPr>
          <w:rFonts w:hint="eastAsia" w:cs="宋体"/>
          <w:bCs/>
          <w:color w:val="auto"/>
          <w:highlight w:val="none"/>
        </w:rPr>
      </w:pPr>
      <w:r>
        <w:rPr>
          <w:rFonts w:hint="eastAsia" w:cs="宋体"/>
          <w:color w:val="auto"/>
          <w:highlight w:val="none"/>
        </w:rPr>
        <w:t>7.</w:t>
      </w:r>
      <w:r>
        <w:rPr>
          <w:rFonts w:hint="eastAsia" w:cs="宋体"/>
          <w:color w:val="auto"/>
          <w:highlight w:val="none"/>
          <w:lang w:val="en-US" w:eastAsia="zh-CN"/>
        </w:rPr>
        <w:t>3</w:t>
      </w:r>
      <w:r>
        <w:rPr>
          <w:rFonts w:hint="eastAsia" w:cs="宋体"/>
          <w:color w:val="auto"/>
          <w:highlight w:val="none"/>
        </w:rPr>
        <w:t>.2发出中标通知书后，招标人无正当理由拒签合同的，给中标人造成损失的，还应当赔偿损失。</w:t>
      </w:r>
    </w:p>
    <w:p>
      <w:pPr>
        <w:pStyle w:val="173"/>
        <w:numPr>
          <w:ilvl w:val="0"/>
          <w:numId w:val="0"/>
        </w:numPr>
        <w:ind w:right="210" w:firstLine="244" w:firstLineChars="100"/>
        <w:rPr>
          <w:rFonts w:hint="eastAsia" w:cs="宋体"/>
          <w:bCs/>
          <w:color w:val="auto"/>
          <w:highlight w:val="none"/>
        </w:rPr>
      </w:pPr>
      <w:r>
        <w:rPr>
          <w:rFonts w:hint="eastAsia" w:cs="宋体"/>
          <w:bCs/>
          <w:color w:val="auto"/>
          <w:highlight w:val="none"/>
        </w:rPr>
        <w:t>7.</w:t>
      </w:r>
      <w:r>
        <w:rPr>
          <w:rFonts w:hint="eastAsia" w:cs="宋体"/>
          <w:bCs/>
          <w:color w:val="auto"/>
          <w:highlight w:val="none"/>
          <w:lang w:val="en-US" w:eastAsia="zh-CN"/>
        </w:rPr>
        <w:t>3</w:t>
      </w:r>
      <w:r>
        <w:rPr>
          <w:rFonts w:hint="eastAsia" w:cs="宋体"/>
          <w:bCs/>
          <w:color w:val="auto"/>
          <w:highlight w:val="none"/>
        </w:rPr>
        <w:t>.3招标文件、中标人的投标文件及其澄清文件等，均为签订协议的依据。</w:t>
      </w:r>
    </w:p>
    <w:p>
      <w:pPr>
        <w:pStyle w:val="173"/>
        <w:numPr>
          <w:ilvl w:val="0"/>
          <w:numId w:val="0"/>
        </w:numPr>
        <w:ind w:right="210" w:firstLine="244" w:firstLineChars="100"/>
        <w:rPr>
          <w:rFonts w:hint="eastAsia" w:cs="宋体"/>
          <w:color w:val="auto"/>
          <w:highlight w:val="none"/>
        </w:rPr>
      </w:pPr>
      <w:r>
        <w:rPr>
          <w:rFonts w:hint="eastAsia" w:cs="宋体"/>
          <w:bCs/>
          <w:color w:val="auto"/>
          <w:highlight w:val="none"/>
        </w:rPr>
        <w:t>7.</w:t>
      </w:r>
      <w:r>
        <w:rPr>
          <w:rFonts w:hint="eastAsia" w:cs="宋体"/>
          <w:bCs/>
          <w:color w:val="auto"/>
          <w:highlight w:val="none"/>
          <w:lang w:val="en-US" w:eastAsia="zh-CN"/>
        </w:rPr>
        <w:t>3</w:t>
      </w:r>
      <w:r>
        <w:rPr>
          <w:rFonts w:hint="eastAsia" w:cs="宋体"/>
          <w:bCs/>
          <w:color w:val="auto"/>
          <w:highlight w:val="none"/>
        </w:rPr>
        <w:t>.4甲方应将合同授予能够满意的履行合同义务合理投标价的投标人。</w:t>
      </w:r>
    </w:p>
    <w:p>
      <w:pPr>
        <w:pStyle w:val="173"/>
        <w:numPr>
          <w:ilvl w:val="0"/>
          <w:numId w:val="0"/>
        </w:numPr>
        <w:ind w:right="210" w:firstLine="244" w:firstLineChars="100"/>
        <w:rPr>
          <w:rFonts w:hint="eastAsia" w:cs="宋体"/>
          <w:bCs/>
          <w:color w:val="auto"/>
          <w:highlight w:val="none"/>
        </w:rPr>
      </w:pPr>
      <w:r>
        <w:rPr>
          <w:rFonts w:hint="eastAsia" w:cs="宋体"/>
          <w:bCs/>
          <w:color w:val="auto"/>
          <w:highlight w:val="none"/>
        </w:rPr>
        <w:t>7.</w:t>
      </w:r>
      <w:r>
        <w:rPr>
          <w:rFonts w:hint="eastAsia" w:cs="宋体"/>
          <w:bCs/>
          <w:color w:val="auto"/>
          <w:highlight w:val="none"/>
          <w:lang w:val="en-US" w:eastAsia="zh-CN"/>
        </w:rPr>
        <w:t>3</w:t>
      </w:r>
      <w:r>
        <w:rPr>
          <w:rFonts w:hint="eastAsia" w:cs="宋体"/>
          <w:bCs/>
          <w:color w:val="auto"/>
          <w:highlight w:val="none"/>
        </w:rPr>
        <w:t>.5甲方有授予合同时变更数量的权利。</w:t>
      </w:r>
    </w:p>
    <w:p>
      <w:pPr>
        <w:spacing w:line="360" w:lineRule="auto"/>
        <w:ind w:left="567" w:hanging="567"/>
        <w:jc w:val="center"/>
        <w:rPr>
          <w:rFonts w:hint="eastAsia" w:ascii="Cambria" w:hAnsi="Cambria"/>
          <w:bCs/>
          <w:color w:val="auto"/>
          <w:kern w:val="28"/>
          <w:sz w:val="32"/>
          <w:szCs w:val="32"/>
          <w:highlight w:val="none"/>
        </w:rPr>
      </w:pPr>
    </w:p>
    <w:p>
      <w:pPr>
        <w:spacing w:line="360" w:lineRule="auto"/>
        <w:ind w:left="567" w:hanging="567"/>
        <w:jc w:val="center"/>
        <w:rPr>
          <w:rFonts w:hint="eastAsia" w:ascii="Cambria" w:hAnsi="Cambria"/>
          <w:bCs/>
          <w:color w:val="auto"/>
          <w:kern w:val="28"/>
          <w:sz w:val="32"/>
          <w:szCs w:val="32"/>
          <w:highlight w:val="none"/>
        </w:rPr>
      </w:pPr>
    </w:p>
    <w:p>
      <w:pPr>
        <w:widowControl/>
        <w:spacing w:line="360" w:lineRule="auto"/>
        <w:ind w:firstLine="488" w:firstLineChars="200"/>
        <w:rPr>
          <w:rFonts w:hint="eastAsia" w:ascii="宋体" w:hAnsi="宋体" w:cs="宋体"/>
          <w:color w:val="auto"/>
          <w:spacing w:val="2"/>
          <w:kern w:val="0"/>
          <w:sz w:val="24"/>
          <w:szCs w:val="24"/>
          <w:highlight w:val="none"/>
        </w:rPr>
      </w:pPr>
    </w:p>
    <w:p>
      <w:pPr>
        <w:widowControl/>
        <w:spacing w:line="360" w:lineRule="auto"/>
        <w:ind w:firstLine="488" w:firstLineChars="200"/>
        <w:rPr>
          <w:rFonts w:hint="eastAsia" w:ascii="宋体" w:hAnsi="宋体" w:cs="宋体"/>
          <w:color w:val="auto"/>
          <w:spacing w:val="2"/>
          <w:kern w:val="0"/>
          <w:sz w:val="24"/>
          <w:szCs w:val="24"/>
          <w:highlight w:val="none"/>
        </w:rPr>
      </w:pPr>
    </w:p>
    <w:p>
      <w:pPr>
        <w:rPr>
          <w:rFonts w:hint="eastAsia" w:ascii="宋体" w:hAnsi="宋体" w:cs="宋体"/>
          <w:color w:val="auto"/>
          <w:spacing w:val="2"/>
          <w:kern w:val="0"/>
          <w:sz w:val="24"/>
          <w:szCs w:val="24"/>
          <w:highlight w:val="none"/>
        </w:rPr>
      </w:pPr>
      <w:r>
        <w:rPr>
          <w:rFonts w:hint="eastAsia" w:ascii="宋体" w:hAnsi="宋体" w:cs="宋体"/>
          <w:color w:val="auto"/>
          <w:spacing w:val="2"/>
          <w:kern w:val="0"/>
          <w:sz w:val="24"/>
          <w:szCs w:val="24"/>
          <w:highlight w:val="none"/>
        </w:rPr>
        <w:br w:type="page"/>
      </w:r>
    </w:p>
    <w:p>
      <w:pPr>
        <w:bidi w:val="0"/>
        <w:rPr>
          <w:rFonts w:hint="eastAsia"/>
        </w:rPr>
      </w:pPr>
    </w:p>
    <w:p>
      <w:pPr>
        <w:spacing w:line="360" w:lineRule="auto"/>
        <w:ind w:left="567" w:hanging="567"/>
        <w:jc w:val="center"/>
        <w:outlineLvl w:val="1"/>
        <w:rPr>
          <w:rFonts w:hint="eastAsia" w:ascii="宋体" w:hAnsi="宋体"/>
          <w:b/>
          <w:bCs/>
          <w:color w:val="auto"/>
          <w:sz w:val="32"/>
          <w:szCs w:val="32"/>
          <w:highlight w:val="none"/>
        </w:rPr>
      </w:pPr>
      <w:r>
        <w:rPr>
          <w:rFonts w:hint="eastAsia" w:ascii="宋体" w:hAnsi="宋体"/>
          <w:b/>
          <w:bCs/>
          <w:color w:val="auto"/>
          <w:sz w:val="32"/>
          <w:szCs w:val="32"/>
          <w:highlight w:val="none"/>
          <w:lang w:val="en-US" w:eastAsia="zh-CN"/>
        </w:rPr>
        <w:t>八</w:t>
      </w:r>
      <w:r>
        <w:rPr>
          <w:rFonts w:hint="eastAsia" w:ascii="宋体" w:hAnsi="宋体"/>
          <w:b/>
          <w:bCs/>
          <w:color w:val="auto"/>
          <w:sz w:val="32"/>
          <w:szCs w:val="32"/>
          <w:highlight w:val="none"/>
        </w:rPr>
        <w:t>、投标人纪律要求</w:t>
      </w:r>
    </w:p>
    <w:p>
      <w:pPr>
        <w:spacing w:line="360" w:lineRule="auto"/>
        <w:ind w:firstLine="482" w:firstLineChars="200"/>
        <w:rPr>
          <w:rFonts w:ascii="宋体" w:hAnsi="宋体"/>
          <w:b/>
          <w:color w:val="auto"/>
          <w:sz w:val="24"/>
          <w:szCs w:val="24"/>
          <w:highlight w:val="none"/>
        </w:rPr>
      </w:pPr>
      <w:r>
        <w:rPr>
          <w:rFonts w:ascii="宋体" w:hAnsi="宋体"/>
          <w:b/>
          <w:color w:val="auto"/>
          <w:sz w:val="24"/>
          <w:szCs w:val="24"/>
          <w:highlight w:val="none"/>
        </w:rPr>
        <w:t>投标人有下列情形之一的，</w:t>
      </w:r>
      <w:r>
        <w:rPr>
          <w:rFonts w:hint="eastAsia" w:ascii="宋体" w:hAnsi="宋体"/>
          <w:b/>
          <w:color w:val="auto"/>
          <w:sz w:val="24"/>
          <w:szCs w:val="24"/>
          <w:highlight w:val="none"/>
        </w:rPr>
        <w:t>投</w:t>
      </w:r>
      <w:r>
        <w:rPr>
          <w:rFonts w:ascii="宋体" w:hAnsi="宋体"/>
          <w:b/>
          <w:color w:val="auto"/>
          <w:sz w:val="24"/>
          <w:szCs w:val="24"/>
          <w:highlight w:val="none"/>
        </w:rPr>
        <w:t>标无效，给招标人造成损失的，依法承担赔偿责任；依情节严重程度取消其一至三年内参加</w:t>
      </w:r>
      <w:r>
        <w:rPr>
          <w:rFonts w:hint="eastAsia" w:ascii="宋体" w:hAnsi="宋体"/>
          <w:b/>
          <w:color w:val="auto"/>
          <w:sz w:val="24"/>
          <w:szCs w:val="24"/>
          <w:highlight w:val="none"/>
        </w:rPr>
        <w:t>中煤天津设计工程</w:t>
      </w:r>
      <w:r>
        <w:rPr>
          <w:rFonts w:ascii="宋体" w:hAnsi="宋体"/>
          <w:b/>
          <w:color w:val="auto"/>
          <w:sz w:val="24"/>
          <w:szCs w:val="24"/>
          <w:highlight w:val="none"/>
        </w:rPr>
        <w:t>公司投标资格</w:t>
      </w:r>
      <w:r>
        <w:rPr>
          <w:rFonts w:hint="eastAsia" w:ascii="宋体" w:hAnsi="宋体"/>
          <w:b/>
          <w:color w:val="auto"/>
          <w:sz w:val="24"/>
          <w:szCs w:val="24"/>
          <w:highlight w:val="none"/>
        </w:rPr>
        <w:t>并上报中煤集团</w:t>
      </w:r>
      <w:r>
        <w:rPr>
          <w:rFonts w:ascii="宋体" w:hAnsi="宋体"/>
          <w:b/>
          <w:color w:val="auto"/>
          <w:sz w:val="24"/>
          <w:szCs w:val="24"/>
          <w:highlight w:val="none"/>
        </w:rPr>
        <w:t>等处罚；构成犯罪的，依法追究刑事责任：</w:t>
      </w:r>
    </w:p>
    <w:p>
      <w:pPr>
        <w:spacing w:line="360" w:lineRule="auto"/>
        <w:rPr>
          <w:rFonts w:ascii="宋体" w:hAnsi="宋体"/>
          <w:b/>
          <w:color w:val="auto"/>
          <w:sz w:val="24"/>
          <w:szCs w:val="24"/>
          <w:highlight w:val="none"/>
        </w:rPr>
      </w:pPr>
      <w:r>
        <w:rPr>
          <w:rFonts w:ascii="宋体" w:hAnsi="宋体"/>
          <w:b/>
          <w:color w:val="auto"/>
          <w:sz w:val="24"/>
          <w:szCs w:val="24"/>
          <w:highlight w:val="none"/>
        </w:rPr>
        <w:t>（</w:t>
      </w:r>
      <w:r>
        <w:rPr>
          <w:rFonts w:hint="eastAsia" w:ascii="宋体" w:hAnsi="宋体"/>
          <w:b/>
          <w:color w:val="auto"/>
          <w:sz w:val="24"/>
          <w:szCs w:val="24"/>
          <w:highlight w:val="none"/>
        </w:rPr>
        <w:t>1</w:t>
      </w:r>
      <w:r>
        <w:rPr>
          <w:rFonts w:ascii="宋体" w:hAnsi="宋体"/>
          <w:b/>
          <w:color w:val="auto"/>
          <w:sz w:val="24"/>
          <w:szCs w:val="24"/>
          <w:highlight w:val="none"/>
        </w:rPr>
        <w:t>）相互串通投标或者与招标人串通投标的，或者以向招标人或者评标委员会成员行贿的手段谋取中标的；</w:t>
      </w:r>
    </w:p>
    <w:p>
      <w:pPr>
        <w:spacing w:line="360" w:lineRule="auto"/>
        <w:rPr>
          <w:rFonts w:ascii="宋体" w:hAnsi="宋体"/>
          <w:b/>
          <w:color w:val="auto"/>
          <w:sz w:val="24"/>
          <w:szCs w:val="24"/>
          <w:highlight w:val="none"/>
        </w:rPr>
      </w:pPr>
      <w:r>
        <w:rPr>
          <w:rFonts w:ascii="宋体" w:hAnsi="宋体"/>
          <w:b/>
          <w:color w:val="auto"/>
          <w:sz w:val="24"/>
          <w:szCs w:val="24"/>
          <w:highlight w:val="none"/>
        </w:rPr>
        <w:t>（</w:t>
      </w:r>
      <w:r>
        <w:rPr>
          <w:rFonts w:hint="eastAsia" w:ascii="宋体" w:hAnsi="宋体"/>
          <w:b/>
          <w:color w:val="auto"/>
          <w:sz w:val="24"/>
          <w:szCs w:val="24"/>
          <w:highlight w:val="none"/>
        </w:rPr>
        <w:t>2</w:t>
      </w:r>
      <w:r>
        <w:rPr>
          <w:rFonts w:ascii="宋体" w:hAnsi="宋体"/>
          <w:b/>
          <w:color w:val="auto"/>
          <w:sz w:val="24"/>
          <w:szCs w:val="24"/>
          <w:highlight w:val="none"/>
        </w:rPr>
        <w:t>）以他人名义投标，或者以其他方式弄虚作假骗取中标的；</w:t>
      </w:r>
    </w:p>
    <w:p>
      <w:pPr>
        <w:spacing w:line="360" w:lineRule="auto"/>
        <w:rPr>
          <w:rFonts w:ascii="宋体" w:hAnsi="宋体"/>
          <w:b/>
          <w:color w:val="auto"/>
          <w:sz w:val="24"/>
          <w:szCs w:val="24"/>
          <w:highlight w:val="none"/>
        </w:rPr>
      </w:pPr>
      <w:r>
        <w:rPr>
          <w:rFonts w:ascii="宋体" w:hAnsi="宋体"/>
          <w:b/>
          <w:color w:val="auto"/>
          <w:sz w:val="24"/>
          <w:szCs w:val="24"/>
          <w:highlight w:val="none"/>
        </w:rPr>
        <w:t>（</w:t>
      </w:r>
      <w:r>
        <w:rPr>
          <w:rFonts w:hint="eastAsia" w:ascii="宋体" w:hAnsi="宋体"/>
          <w:b/>
          <w:color w:val="auto"/>
          <w:sz w:val="24"/>
          <w:szCs w:val="24"/>
          <w:highlight w:val="none"/>
        </w:rPr>
        <w:t>3</w:t>
      </w:r>
      <w:r>
        <w:rPr>
          <w:rFonts w:ascii="宋体" w:hAnsi="宋体"/>
          <w:b/>
          <w:color w:val="auto"/>
          <w:sz w:val="24"/>
          <w:szCs w:val="24"/>
          <w:highlight w:val="none"/>
        </w:rPr>
        <w:t>）投标人收到中标通知书后，无正当理由不与招标人订立合同，在签订合同时向招标人提出附加条件，或者不按照招标文件要求提交履约保证金的；</w:t>
      </w:r>
    </w:p>
    <w:p>
      <w:pPr>
        <w:spacing w:line="360" w:lineRule="auto"/>
        <w:rPr>
          <w:rFonts w:ascii="宋体" w:hAnsi="宋体"/>
          <w:b/>
          <w:color w:val="auto"/>
          <w:sz w:val="24"/>
          <w:szCs w:val="24"/>
          <w:highlight w:val="none"/>
        </w:rPr>
      </w:pPr>
      <w:r>
        <w:rPr>
          <w:rFonts w:ascii="宋体" w:hAnsi="宋体"/>
          <w:b/>
          <w:color w:val="auto"/>
          <w:sz w:val="24"/>
          <w:szCs w:val="24"/>
          <w:highlight w:val="none"/>
        </w:rPr>
        <w:t>（</w:t>
      </w:r>
      <w:r>
        <w:rPr>
          <w:rFonts w:hint="eastAsia" w:ascii="宋体" w:hAnsi="宋体"/>
          <w:b/>
          <w:color w:val="auto"/>
          <w:sz w:val="24"/>
          <w:szCs w:val="24"/>
          <w:highlight w:val="none"/>
        </w:rPr>
        <w:t>4</w:t>
      </w:r>
      <w:r>
        <w:rPr>
          <w:rFonts w:ascii="宋体" w:hAnsi="宋体"/>
          <w:b/>
          <w:color w:val="auto"/>
          <w:sz w:val="24"/>
          <w:szCs w:val="24"/>
          <w:highlight w:val="none"/>
        </w:rPr>
        <w:t>）投标人捏造事实、伪造材料或者以非法手段取得证明材料进行恶意投诉的。</w:t>
      </w:r>
    </w:p>
    <w:p>
      <w:pPr>
        <w:widowControl/>
        <w:spacing w:line="360" w:lineRule="auto"/>
        <w:ind w:firstLine="482" w:firstLineChars="200"/>
        <w:rPr>
          <w:rStyle w:val="65"/>
          <w:rFonts w:hint="default" w:ascii="Times New Roman" w:hAnsi="Times New Roman" w:cs="Times New Roman"/>
          <w:b/>
          <w:bCs/>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ascii="宋体" w:hAnsi="宋体"/>
          <w:b/>
          <w:color w:val="auto"/>
          <w:sz w:val="24"/>
          <w:szCs w:val="24"/>
          <w:highlight w:val="none"/>
        </w:rPr>
        <w:t>投标人中标后，将中标项目全部转让给他人的，将中标项目肢解后分别转让给他人的，违反招标投标法和实施条例规定将中标项目的部分主体、关键性工作分包给他人的，或者分包人再次分包的，除按照国家规定处罚外，取消其一至三年内参加</w:t>
      </w:r>
      <w:r>
        <w:rPr>
          <w:rFonts w:hint="eastAsia" w:ascii="宋体" w:hAnsi="宋体"/>
          <w:b/>
          <w:color w:val="auto"/>
          <w:sz w:val="24"/>
          <w:szCs w:val="24"/>
          <w:highlight w:val="none"/>
        </w:rPr>
        <w:t>中煤</w:t>
      </w:r>
      <w:r>
        <w:rPr>
          <w:rFonts w:ascii="宋体" w:hAnsi="宋体"/>
          <w:b/>
          <w:color w:val="auto"/>
          <w:sz w:val="24"/>
          <w:szCs w:val="24"/>
          <w:highlight w:val="none"/>
        </w:rPr>
        <w:t>集团公司的投标资格。</w:t>
      </w:r>
    </w:p>
    <w:bookmarkEnd w:id="44"/>
    <w:p>
      <w:pPr>
        <w:pStyle w:val="3"/>
        <w:bidi w:val="0"/>
        <w:jc w:val="center"/>
        <w:rPr>
          <w:rFonts w:hint="default" w:ascii="Times New Roman" w:hAnsi="Times New Roman" w:cs="Times New Roman"/>
          <w:b/>
          <w:color w:val="auto"/>
          <w:kern w:val="2"/>
          <w:sz w:val="44"/>
          <w:szCs w:val="44"/>
          <w:highlight w:val="none"/>
        </w:rPr>
      </w:pPr>
      <w:bookmarkStart w:id="57" w:name="_Toc376793722"/>
      <w:bookmarkStart w:id="58" w:name="_Toc376793568"/>
      <w:bookmarkStart w:id="59" w:name="_Toc376793587"/>
      <w:bookmarkStart w:id="60" w:name="_Toc382509462"/>
      <w:bookmarkStart w:id="61" w:name="_Toc9289"/>
      <w:bookmarkStart w:id="62" w:name="_Toc10184882"/>
      <w:r>
        <w:rPr>
          <w:rFonts w:hint="default" w:ascii="Times New Roman" w:hAnsi="Times New Roman" w:cs="Times New Roman"/>
          <w:b/>
          <w:color w:val="auto"/>
          <w:kern w:val="2"/>
          <w:sz w:val="44"/>
          <w:szCs w:val="44"/>
          <w:highlight w:val="none"/>
        </w:rPr>
        <w:fldChar w:fldCharType="begin"/>
      </w:r>
      <w:r>
        <w:rPr>
          <w:rFonts w:hint="default" w:ascii="Times New Roman" w:hAnsi="Times New Roman" w:cs="Times New Roman"/>
          <w:b/>
          <w:color w:val="auto"/>
          <w:kern w:val="2"/>
          <w:sz w:val="44"/>
          <w:szCs w:val="44"/>
          <w:highlight w:val="none"/>
        </w:rPr>
        <w:instrText xml:space="preserve"> HYPERLINK \l "_Toc10184881" </w:instrText>
      </w:r>
      <w:r>
        <w:rPr>
          <w:rFonts w:hint="default" w:ascii="Times New Roman" w:hAnsi="Times New Roman" w:cs="Times New Roman"/>
          <w:b/>
          <w:color w:val="auto"/>
          <w:kern w:val="2"/>
          <w:sz w:val="44"/>
          <w:szCs w:val="44"/>
          <w:highlight w:val="none"/>
        </w:rPr>
        <w:fldChar w:fldCharType="separate"/>
      </w:r>
      <w:r>
        <w:rPr>
          <w:rFonts w:hint="default" w:ascii="Times New Roman" w:hAnsi="Times New Roman" w:cs="Times New Roman"/>
          <w:b/>
          <w:color w:val="auto"/>
          <w:kern w:val="2"/>
          <w:sz w:val="44"/>
          <w:szCs w:val="44"/>
          <w:highlight w:val="none"/>
        </w:rPr>
        <w:t>第三章 合同主要条款</w:t>
      </w:r>
      <w:r>
        <w:rPr>
          <w:rFonts w:hint="default" w:ascii="Times New Roman" w:hAnsi="Times New Roman" w:cs="Times New Roman"/>
          <w:b/>
          <w:color w:val="auto"/>
          <w:kern w:val="2"/>
          <w:sz w:val="44"/>
          <w:szCs w:val="44"/>
          <w:highlight w:val="none"/>
        </w:rPr>
        <w:fldChar w:fldCharType="end"/>
      </w:r>
    </w:p>
    <w:p>
      <w:pPr>
        <w:spacing w:line="420" w:lineRule="exact"/>
        <w:rPr>
          <w:rFonts w:hint="default" w:ascii="Times New Roman" w:hAnsi="Times New Roman" w:cs="Times New Roman"/>
          <w:color w:val="auto"/>
          <w:sz w:val="30"/>
          <w:highlight w:val="none"/>
        </w:rPr>
      </w:pPr>
    </w:p>
    <w:p>
      <w:pPr>
        <w:spacing w:line="420" w:lineRule="exact"/>
        <w:jc w:val="center"/>
        <w:rPr>
          <w:rFonts w:hint="default" w:ascii="Times New Roman" w:hAnsi="Times New Roman" w:eastAsia="仿宋_GB2312" w:cs="Times New Roman"/>
          <w:color w:val="auto"/>
          <w:sz w:val="48"/>
          <w:szCs w:val="48"/>
          <w:highlight w:val="none"/>
        </w:rPr>
      </w:pPr>
    </w:p>
    <w:p>
      <w:pPr>
        <w:snapToGrid w:val="0"/>
        <w:spacing w:line="360" w:lineRule="auto"/>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合同编号：</w:t>
      </w:r>
    </w:p>
    <w:p>
      <w:pPr>
        <w:spacing w:line="360" w:lineRule="auto"/>
        <w:jc w:val="center"/>
        <w:rPr>
          <w:rFonts w:asciiTheme="minorEastAsia" w:hAnsiTheme="minorEastAsia" w:eastAsiaTheme="minorEastAsia"/>
          <w:color w:val="auto"/>
          <w:sz w:val="30"/>
          <w:szCs w:val="30"/>
          <w:highlight w:val="none"/>
        </w:rPr>
      </w:pPr>
    </w:p>
    <w:p>
      <w:pPr>
        <w:spacing w:line="360" w:lineRule="auto"/>
        <w:jc w:val="center"/>
        <w:rPr>
          <w:rFonts w:asciiTheme="minorEastAsia" w:hAnsiTheme="minorEastAsia" w:eastAsiaTheme="minorEastAsia"/>
          <w:color w:val="auto"/>
          <w:sz w:val="30"/>
          <w:szCs w:val="30"/>
          <w:highlight w:val="none"/>
        </w:rPr>
      </w:pPr>
    </w:p>
    <w:p>
      <w:pPr>
        <w:spacing w:line="360" w:lineRule="auto"/>
        <w:jc w:val="center"/>
        <w:rPr>
          <w:rFonts w:asciiTheme="minorEastAsia" w:hAnsiTheme="minorEastAsia" w:eastAsiaTheme="minorEastAsia"/>
          <w:color w:val="auto"/>
          <w:sz w:val="30"/>
          <w:szCs w:val="30"/>
          <w:highlight w:val="none"/>
        </w:rPr>
      </w:pPr>
    </w:p>
    <w:p>
      <w:pPr>
        <w:spacing w:line="360" w:lineRule="auto"/>
        <w:jc w:val="center"/>
        <w:rPr>
          <w:rFonts w:hint="eastAsia" w:asciiTheme="minorEastAsia" w:hAnsiTheme="minorEastAsia" w:eastAsiaTheme="minorEastAsia"/>
          <w:b/>
          <w:bCs/>
          <w:color w:val="auto"/>
          <w:sz w:val="36"/>
          <w:szCs w:val="32"/>
          <w:highlight w:val="none"/>
          <w:lang w:eastAsia="zh-CN"/>
        </w:rPr>
      </w:pPr>
      <w:r>
        <w:rPr>
          <w:rFonts w:hint="eastAsia" w:asciiTheme="minorEastAsia" w:hAnsiTheme="minorEastAsia" w:eastAsiaTheme="minorEastAsia"/>
          <w:b/>
          <w:bCs/>
          <w:color w:val="auto"/>
          <w:sz w:val="36"/>
          <w:szCs w:val="32"/>
          <w:highlight w:val="none"/>
          <w:lang w:eastAsia="zh-CN"/>
        </w:rPr>
        <w:t>中天合创能源有限责任公司</w:t>
      </w:r>
    </w:p>
    <w:p>
      <w:pPr>
        <w:spacing w:line="360" w:lineRule="auto"/>
        <w:jc w:val="center"/>
        <w:rPr>
          <w:rFonts w:hint="eastAsia" w:asciiTheme="minorEastAsia" w:hAnsiTheme="minorEastAsia" w:eastAsiaTheme="minorEastAsia"/>
          <w:b/>
          <w:bCs/>
          <w:color w:val="auto"/>
          <w:sz w:val="44"/>
          <w:szCs w:val="44"/>
          <w:highlight w:val="none"/>
          <w:lang w:eastAsia="zh-CN"/>
        </w:rPr>
      </w:pPr>
      <w:r>
        <w:rPr>
          <w:rFonts w:hint="eastAsia" w:asciiTheme="minorEastAsia" w:hAnsiTheme="minorEastAsia" w:eastAsiaTheme="minorEastAsia"/>
          <w:b/>
          <w:bCs/>
          <w:color w:val="auto"/>
          <w:sz w:val="44"/>
          <w:szCs w:val="44"/>
          <w:highlight w:val="none"/>
          <w:lang w:eastAsia="zh-CN"/>
        </w:rPr>
        <w:t>葫芦素矿井煤矸石灌浆系统EPC总承包</w:t>
      </w:r>
    </w:p>
    <w:p>
      <w:pPr>
        <w:spacing w:line="360" w:lineRule="auto"/>
        <w:jc w:val="center"/>
        <w:rPr>
          <w:rFonts w:asciiTheme="minorEastAsia" w:hAnsiTheme="minorEastAsia" w:eastAsiaTheme="minorEastAsia"/>
          <w:color w:val="auto"/>
          <w:sz w:val="36"/>
          <w:szCs w:val="36"/>
          <w:highlight w:val="none"/>
        </w:rPr>
      </w:pPr>
    </w:p>
    <w:p>
      <w:pPr>
        <w:spacing w:line="360" w:lineRule="auto"/>
        <w:jc w:val="center"/>
        <w:rPr>
          <w:rFonts w:asciiTheme="minorEastAsia" w:hAnsiTheme="minorEastAsia" w:eastAsiaTheme="minorEastAsia"/>
          <w:b/>
          <w:bCs/>
          <w:color w:val="auto"/>
          <w:sz w:val="44"/>
          <w:szCs w:val="44"/>
          <w:highlight w:val="none"/>
        </w:rPr>
      </w:pPr>
      <w:r>
        <w:rPr>
          <w:rFonts w:hint="eastAsia" w:asciiTheme="minorEastAsia" w:hAnsiTheme="minorEastAsia" w:eastAsiaTheme="minorEastAsia"/>
          <w:b/>
          <w:bCs/>
          <w:color w:val="auto"/>
          <w:sz w:val="44"/>
          <w:szCs w:val="44"/>
          <w:highlight w:val="none"/>
          <w:lang w:val="en-US" w:eastAsia="zh-CN"/>
        </w:rPr>
        <w:t>建安</w:t>
      </w:r>
      <w:r>
        <w:rPr>
          <w:rFonts w:hint="eastAsia" w:asciiTheme="minorEastAsia" w:hAnsiTheme="minorEastAsia" w:eastAsiaTheme="minorEastAsia"/>
          <w:b/>
          <w:bCs/>
          <w:color w:val="auto"/>
          <w:sz w:val="44"/>
          <w:szCs w:val="44"/>
          <w:highlight w:val="none"/>
        </w:rPr>
        <w:t>工程</w:t>
      </w:r>
      <w:r>
        <w:rPr>
          <w:rFonts w:asciiTheme="minorEastAsia" w:hAnsiTheme="minorEastAsia" w:eastAsiaTheme="minorEastAsia"/>
          <w:b/>
          <w:bCs/>
          <w:color w:val="auto"/>
          <w:sz w:val="44"/>
          <w:szCs w:val="44"/>
          <w:highlight w:val="none"/>
        </w:rPr>
        <w:t>分包合同</w:t>
      </w:r>
    </w:p>
    <w:p>
      <w:pPr>
        <w:snapToGrid w:val="0"/>
        <w:spacing w:line="360" w:lineRule="auto"/>
        <w:jc w:val="center"/>
        <w:rPr>
          <w:rFonts w:eastAsia="仿宋_GB2312"/>
          <w:color w:val="auto"/>
          <w:sz w:val="28"/>
          <w:szCs w:val="28"/>
          <w:highlight w:val="none"/>
        </w:rPr>
      </w:pPr>
    </w:p>
    <w:p>
      <w:pPr>
        <w:snapToGrid w:val="0"/>
        <w:spacing w:line="360" w:lineRule="auto"/>
        <w:jc w:val="center"/>
        <w:rPr>
          <w:rFonts w:eastAsia="仿宋_GB2312"/>
          <w:color w:val="auto"/>
          <w:sz w:val="28"/>
          <w:szCs w:val="28"/>
          <w:highlight w:val="none"/>
        </w:rPr>
      </w:pPr>
    </w:p>
    <w:p>
      <w:pPr>
        <w:spacing w:line="420" w:lineRule="exact"/>
        <w:jc w:val="center"/>
        <w:rPr>
          <w:color w:val="auto"/>
          <w:sz w:val="30"/>
          <w:highlight w:val="none"/>
        </w:rPr>
      </w:pPr>
    </w:p>
    <w:p>
      <w:pPr>
        <w:spacing w:line="420" w:lineRule="exact"/>
        <w:jc w:val="center"/>
        <w:rPr>
          <w:color w:val="auto"/>
          <w:sz w:val="30"/>
          <w:highlight w:val="none"/>
        </w:rPr>
      </w:pPr>
    </w:p>
    <w:p>
      <w:pPr>
        <w:spacing w:line="420" w:lineRule="exact"/>
        <w:jc w:val="center"/>
        <w:rPr>
          <w:color w:val="auto"/>
          <w:sz w:val="30"/>
          <w:highlight w:val="none"/>
        </w:rPr>
      </w:pPr>
    </w:p>
    <w:p>
      <w:pPr>
        <w:spacing w:line="420" w:lineRule="exact"/>
        <w:jc w:val="center"/>
        <w:rPr>
          <w:color w:val="auto"/>
          <w:sz w:val="30"/>
          <w:highlight w:val="none"/>
        </w:rPr>
      </w:pPr>
    </w:p>
    <w:p>
      <w:pPr>
        <w:spacing w:line="420" w:lineRule="exact"/>
        <w:jc w:val="center"/>
        <w:rPr>
          <w:color w:val="auto"/>
          <w:sz w:val="30"/>
          <w:highlight w:val="none"/>
        </w:rPr>
      </w:pPr>
    </w:p>
    <w:p>
      <w:pPr>
        <w:spacing w:line="420" w:lineRule="exact"/>
        <w:rPr>
          <w:color w:val="auto"/>
          <w:sz w:val="30"/>
          <w:highlight w:val="none"/>
        </w:rPr>
      </w:pPr>
    </w:p>
    <w:p>
      <w:pPr>
        <w:jc w:val="both"/>
        <w:rPr>
          <w:bCs/>
          <w:color w:val="auto"/>
          <w:sz w:val="40"/>
          <w:szCs w:val="22"/>
          <w:highlight w:val="none"/>
        </w:rPr>
      </w:pPr>
    </w:p>
    <w:p>
      <w:pPr>
        <w:ind w:firstLine="840" w:firstLineChars="300"/>
        <w:rPr>
          <w:color w:val="auto"/>
          <w:sz w:val="28"/>
          <w:szCs w:val="28"/>
          <w:highlight w:val="none"/>
        </w:rPr>
      </w:pPr>
      <w:r>
        <w:rPr>
          <w:color w:val="auto"/>
          <w:sz w:val="28"/>
          <w:szCs w:val="28"/>
          <w:highlight w:val="none"/>
        </w:rPr>
        <w:t xml:space="preserve">承包人： </w:t>
      </w:r>
    </w:p>
    <w:p>
      <w:pPr>
        <w:wordWrap w:val="0"/>
        <w:spacing w:before="75" w:after="75"/>
        <w:ind w:firstLine="840" w:firstLineChars="300"/>
        <w:rPr>
          <w:color w:val="auto"/>
          <w:sz w:val="28"/>
          <w:szCs w:val="28"/>
          <w:highlight w:val="none"/>
        </w:rPr>
      </w:pPr>
      <w:r>
        <w:rPr>
          <w:color w:val="auto"/>
          <w:sz w:val="28"/>
          <w:szCs w:val="28"/>
          <w:highlight w:val="none"/>
        </w:rPr>
        <w:t>分包人：</w:t>
      </w:r>
    </w:p>
    <w:p>
      <w:pPr>
        <w:jc w:val="center"/>
        <w:rPr>
          <w:color w:val="auto"/>
          <w:sz w:val="30"/>
          <w:highlight w:val="none"/>
        </w:rPr>
        <w:sectPr>
          <w:footerReference r:id="rId5" w:type="even"/>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color w:val="auto"/>
          <w:sz w:val="36"/>
          <w:szCs w:val="22"/>
          <w:highlight w:val="none"/>
        </w:rPr>
        <w:t>202</w:t>
      </w:r>
      <w:r>
        <w:rPr>
          <w:rFonts w:hint="eastAsia"/>
          <w:color w:val="auto"/>
          <w:sz w:val="36"/>
          <w:szCs w:val="22"/>
          <w:highlight w:val="none"/>
          <w:lang w:val="en-US" w:eastAsia="zh-CN"/>
        </w:rPr>
        <w:t>4</w:t>
      </w:r>
      <w:r>
        <w:rPr>
          <w:rFonts w:hint="eastAsia"/>
          <w:color w:val="auto"/>
          <w:sz w:val="36"/>
          <w:szCs w:val="22"/>
          <w:highlight w:val="none"/>
        </w:rPr>
        <w:t>年</w:t>
      </w:r>
      <w:r>
        <w:rPr>
          <w:rFonts w:hint="eastAsia"/>
          <w:color w:val="auto"/>
          <w:sz w:val="36"/>
          <w:szCs w:val="22"/>
          <w:highlight w:val="none"/>
          <w:lang w:val="en-US" w:eastAsia="zh-CN"/>
        </w:rPr>
        <w:t xml:space="preserve">     </w:t>
      </w:r>
      <w:r>
        <w:rPr>
          <w:rFonts w:hint="eastAsia"/>
          <w:color w:val="auto"/>
          <w:sz w:val="36"/>
          <w:szCs w:val="22"/>
          <w:highlight w:val="none"/>
        </w:rPr>
        <w:t>月</w:t>
      </w:r>
    </w:p>
    <w:p>
      <w:pPr>
        <w:snapToGrid w:val="0"/>
        <w:spacing w:line="360" w:lineRule="auto"/>
        <w:jc w:val="both"/>
        <w:rPr>
          <w:rFonts w:eastAsia="仿宋_GB2312"/>
          <w:color w:val="auto"/>
          <w:sz w:val="10"/>
          <w:szCs w:val="32"/>
          <w:highlight w:val="none"/>
        </w:rPr>
      </w:pPr>
    </w:p>
    <w:p>
      <w:pPr>
        <w:pStyle w:val="4"/>
        <w:bidi w:val="0"/>
        <w:jc w:val="center"/>
      </w:pPr>
      <w:r>
        <w:t>第一部分　协议书</w:t>
      </w:r>
    </w:p>
    <w:p>
      <w:pPr>
        <w:spacing w:line="460" w:lineRule="exact"/>
        <w:ind w:firstLine="400" w:firstLineChars="200"/>
        <w:rPr>
          <w:color w:val="auto"/>
          <w:highlight w:val="none"/>
        </w:rPr>
      </w:pPr>
      <w:r>
        <w:rPr>
          <w:color w:val="auto"/>
          <w:highlight w:val="none"/>
        </w:rPr>
        <w:t xml:space="preserve">承包人（全称）： </w:t>
      </w:r>
    </w:p>
    <w:p>
      <w:pPr>
        <w:spacing w:line="360" w:lineRule="auto"/>
        <w:ind w:firstLine="400" w:firstLineChars="200"/>
        <w:rPr>
          <w:color w:val="auto"/>
          <w:highlight w:val="none"/>
          <w:u w:val="single"/>
        </w:rPr>
      </w:pPr>
      <w:r>
        <w:rPr>
          <w:color w:val="auto"/>
          <w:highlight w:val="none"/>
        </w:rPr>
        <w:t>分包人（全称）：</w:t>
      </w:r>
      <w:r>
        <w:rPr>
          <w:color w:val="auto"/>
          <w:highlight w:val="none"/>
          <w:u w:val="single"/>
        </w:rPr>
        <w:t xml:space="preserve"> </w:t>
      </w:r>
    </w:p>
    <w:p>
      <w:pPr>
        <w:snapToGrid w:val="0"/>
        <w:spacing w:line="360" w:lineRule="auto"/>
        <w:ind w:firstLine="400" w:firstLineChars="200"/>
        <w:rPr>
          <w:color w:val="auto"/>
          <w:szCs w:val="22"/>
          <w:highlight w:val="none"/>
          <w:u w:val="single"/>
        </w:rPr>
      </w:pPr>
      <w:r>
        <w:rPr>
          <w:color w:val="auto"/>
          <w:highlight w:val="none"/>
        </w:rPr>
        <w:t>依照《中华人民共和国民法典》、《中华人民共和国建筑法》及其它有关法律、行政法规，遵循平等、自愿、公平和诚实信用的原则，鉴于</w:t>
      </w:r>
      <w:r>
        <w:rPr>
          <w:rFonts w:hint="eastAsia"/>
          <w:color w:val="auto"/>
          <w:highlight w:val="none"/>
          <w:u w:val="single"/>
        </w:rPr>
        <w:t>X</w:t>
      </w:r>
      <w:r>
        <w:rPr>
          <w:color w:val="auto"/>
          <w:highlight w:val="none"/>
          <w:u w:val="single"/>
        </w:rPr>
        <w:t>XX</w:t>
      </w:r>
      <w:r>
        <w:rPr>
          <w:color w:val="auto"/>
          <w:highlight w:val="none"/>
        </w:rPr>
        <w:t>（以下简称为“发包人”）与承包人已经签订</w:t>
      </w:r>
      <w:r>
        <w:rPr>
          <w:rFonts w:hint="eastAsia"/>
          <w:color w:val="auto"/>
          <w:szCs w:val="22"/>
          <w:highlight w:val="none"/>
          <w:u w:val="single"/>
        </w:rPr>
        <w:t>X</w:t>
      </w:r>
      <w:r>
        <w:rPr>
          <w:color w:val="auto"/>
          <w:szCs w:val="22"/>
          <w:highlight w:val="none"/>
          <w:u w:val="single"/>
        </w:rPr>
        <w:t>XX</w:t>
      </w:r>
      <w:r>
        <w:rPr>
          <w:color w:val="auto"/>
          <w:highlight w:val="none"/>
        </w:rPr>
        <w:t>（以下称为“总包合同”），承包人和分包人双方就分包工程</w:t>
      </w:r>
      <w:r>
        <w:rPr>
          <w:rFonts w:hint="eastAsia"/>
          <w:color w:val="auto"/>
          <w:highlight w:val="none"/>
        </w:rPr>
        <w:t>安装工程</w:t>
      </w:r>
      <w:r>
        <w:rPr>
          <w:color w:val="auto"/>
          <w:highlight w:val="none"/>
        </w:rPr>
        <w:t>事项经协商达成一致，订立本合同。</w:t>
      </w:r>
    </w:p>
    <w:p>
      <w:pPr>
        <w:ind w:firstLine="400" w:firstLineChars="200"/>
        <w:rPr>
          <w:color w:val="auto"/>
          <w:highlight w:val="none"/>
        </w:rPr>
      </w:pPr>
      <w:r>
        <w:rPr>
          <w:color w:val="auto"/>
          <w:highlight w:val="none"/>
        </w:rPr>
        <w:t>一、分包工程概况</w:t>
      </w:r>
    </w:p>
    <w:p>
      <w:pPr>
        <w:spacing w:line="460" w:lineRule="exact"/>
        <w:rPr>
          <w:color w:val="auto"/>
          <w:highlight w:val="none"/>
          <w:u w:val="single"/>
        </w:rPr>
      </w:pPr>
      <w:r>
        <w:rPr>
          <w:color w:val="auto"/>
          <w:highlight w:val="none"/>
        </w:rPr>
        <w:t xml:space="preserve">    工程名称：</w:t>
      </w:r>
      <w:r>
        <w:rPr>
          <w:color w:val="auto"/>
          <w:highlight w:val="none"/>
          <w:u w:val="single"/>
        </w:rPr>
        <w:t xml:space="preserve"> </w:t>
      </w:r>
    </w:p>
    <w:p>
      <w:pPr>
        <w:spacing w:line="460" w:lineRule="exact"/>
        <w:ind w:firstLine="400" w:firstLineChars="200"/>
        <w:rPr>
          <w:rFonts w:hint="default" w:eastAsia="宋体"/>
          <w:color w:val="auto"/>
          <w:highlight w:val="none"/>
          <w:u w:val="single"/>
          <w:lang w:val="en-US" w:eastAsia="zh-CN"/>
        </w:rPr>
      </w:pPr>
      <w:r>
        <w:rPr>
          <w:color w:val="auto"/>
          <w:highlight w:val="none"/>
        </w:rPr>
        <w:t>工程地点：</w:t>
      </w:r>
      <w:r>
        <w:rPr>
          <w:rFonts w:hint="eastAsia"/>
          <w:b/>
          <w:bCs/>
          <w:strike w:val="0"/>
          <w:dstrike w:val="0"/>
          <w:color w:val="auto"/>
          <w:sz w:val="21"/>
          <w:szCs w:val="22"/>
          <w:highlight w:val="none"/>
          <w:u w:val="single"/>
          <w:lang w:val="en-US" w:eastAsia="zh-CN"/>
        </w:rPr>
        <w:t>内蒙古自治区鄂尔多斯市</w:t>
      </w:r>
    </w:p>
    <w:p>
      <w:pPr>
        <w:spacing w:line="460" w:lineRule="exact"/>
        <w:ind w:firstLine="400" w:firstLineChars="200"/>
        <w:rPr>
          <w:color w:val="auto"/>
          <w:highlight w:val="none"/>
        </w:rPr>
      </w:pPr>
      <w:r>
        <w:rPr>
          <w:color w:val="auto"/>
          <w:highlight w:val="none"/>
        </w:rPr>
        <w:t xml:space="preserve">分包工程范围： </w:t>
      </w:r>
    </w:p>
    <w:p>
      <w:pPr>
        <w:spacing w:line="460" w:lineRule="exact"/>
        <w:ind w:firstLine="400" w:firstLineChars="200"/>
        <w:rPr>
          <w:color w:val="auto"/>
          <w:highlight w:val="none"/>
        </w:rPr>
      </w:pPr>
      <w:r>
        <w:rPr>
          <w:color w:val="auto"/>
          <w:highlight w:val="none"/>
        </w:rPr>
        <w:t>二、分包合同价款</w:t>
      </w:r>
    </w:p>
    <w:p>
      <w:pPr>
        <w:spacing w:line="460" w:lineRule="exact"/>
        <w:ind w:firstLine="435"/>
        <w:rPr>
          <w:color w:val="auto"/>
          <w:highlight w:val="none"/>
        </w:rPr>
      </w:pPr>
      <w:r>
        <w:rPr>
          <w:color w:val="auto"/>
          <w:highlight w:val="none"/>
        </w:rPr>
        <w:t>合同金额，人民币￥</w:t>
      </w:r>
      <w:r>
        <w:rPr>
          <w:rFonts w:hint="eastAsia"/>
          <w:color w:val="auto"/>
          <w:highlight w:val="none"/>
          <w:u w:val="single"/>
        </w:rPr>
        <w:t>元</w:t>
      </w:r>
      <w:r>
        <w:rPr>
          <w:color w:val="auto"/>
          <w:highlight w:val="none"/>
        </w:rPr>
        <w:t>（含税，税率为。如遇国家税率调整，不含税价格不变）。</w:t>
      </w:r>
    </w:p>
    <w:p>
      <w:pPr>
        <w:spacing w:line="460" w:lineRule="exact"/>
        <w:ind w:firstLine="400" w:firstLineChars="200"/>
        <w:rPr>
          <w:color w:val="auto"/>
          <w:highlight w:val="none"/>
        </w:rPr>
      </w:pPr>
      <w:r>
        <w:rPr>
          <w:color w:val="auto"/>
          <w:highlight w:val="none"/>
        </w:rPr>
        <w:t xml:space="preserve">大写： </w:t>
      </w:r>
    </w:p>
    <w:p>
      <w:pPr>
        <w:spacing w:line="460" w:lineRule="exact"/>
        <w:ind w:firstLine="400" w:firstLineChars="200"/>
        <w:rPr>
          <w:color w:val="auto"/>
          <w:highlight w:val="none"/>
        </w:rPr>
      </w:pPr>
      <w:r>
        <w:rPr>
          <w:color w:val="auto"/>
          <w:highlight w:val="none"/>
        </w:rPr>
        <w:t>该合同为固定总价合同。</w:t>
      </w:r>
    </w:p>
    <w:p>
      <w:pPr>
        <w:spacing w:line="460" w:lineRule="exact"/>
        <w:ind w:firstLine="400" w:firstLineChars="200"/>
        <w:rPr>
          <w:color w:val="auto"/>
          <w:highlight w:val="none"/>
        </w:rPr>
      </w:pPr>
      <w:r>
        <w:rPr>
          <w:color w:val="auto"/>
          <w:highlight w:val="none"/>
        </w:rPr>
        <w:t>三、工期：</w:t>
      </w:r>
      <w:r>
        <w:rPr>
          <w:rFonts w:hint="eastAsia"/>
          <w:color w:val="auto"/>
          <w:highlight w:val="none"/>
        </w:rPr>
        <w:t>。</w:t>
      </w:r>
    </w:p>
    <w:p>
      <w:pPr>
        <w:spacing w:line="460" w:lineRule="exact"/>
        <w:ind w:firstLine="400" w:firstLineChars="200"/>
        <w:rPr>
          <w:color w:val="auto"/>
          <w:highlight w:val="none"/>
        </w:rPr>
      </w:pPr>
      <w:r>
        <w:rPr>
          <w:color w:val="auto"/>
          <w:highlight w:val="none"/>
        </w:rPr>
        <w:t>四、工程质量标准</w:t>
      </w:r>
    </w:p>
    <w:p>
      <w:pPr>
        <w:spacing w:line="460" w:lineRule="exact"/>
        <w:rPr>
          <w:color w:val="auto"/>
          <w:highlight w:val="none"/>
        </w:rPr>
      </w:pPr>
      <w:r>
        <w:rPr>
          <w:color w:val="auto"/>
          <w:highlight w:val="none"/>
        </w:rPr>
        <w:t xml:space="preserve">    本分包工程质量标准双方约定为：</w:t>
      </w:r>
      <w:r>
        <w:rPr>
          <w:color w:val="auto"/>
          <w:highlight w:val="none"/>
          <w:u w:val="single"/>
        </w:rPr>
        <w:t>合格，符合国家、地方及行业现行规范及标准要求。</w:t>
      </w:r>
    </w:p>
    <w:p>
      <w:pPr>
        <w:spacing w:line="460" w:lineRule="exact"/>
        <w:ind w:firstLine="400" w:firstLineChars="200"/>
        <w:rPr>
          <w:color w:val="auto"/>
          <w:highlight w:val="none"/>
        </w:rPr>
      </w:pPr>
      <w:r>
        <w:rPr>
          <w:color w:val="auto"/>
          <w:highlight w:val="none"/>
        </w:rPr>
        <w:t>五、组成分包合同的文件包括：</w:t>
      </w:r>
    </w:p>
    <w:p>
      <w:pPr>
        <w:pStyle w:val="23"/>
        <w:ind w:left="400"/>
        <w:rPr>
          <w:rFonts w:asciiTheme="minorEastAsia" w:hAnsiTheme="minorEastAsia" w:eastAsiaTheme="minorEastAsia"/>
          <w:color w:val="auto"/>
          <w:sz w:val="20"/>
          <w:highlight w:val="none"/>
        </w:rPr>
      </w:pPr>
      <w:r>
        <w:rPr>
          <w:rFonts w:asciiTheme="minorEastAsia" w:hAnsiTheme="minorEastAsia" w:eastAsiaTheme="minorEastAsia"/>
          <w:color w:val="auto"/>
          <w:sz w:val="20"/>
          <w:highlight w:val="none"/>
        </w:rPr>
        <w:t>（1）合同协议书；</w:t>
      </w:r>
    </w:p>
    <w:p>
      <w:pPr>
        <w:pStyle w:val="23"/>
        <w:ind w:left="400"/>
        <w:rPr>
          <w:rFonts w:asciiTheme="minorEastAsia" w:hAnsiTheme="minorEastAsia" w:eastAsiaTheme="minorEastAsia"/>
          <w:color w:val="auto"/>
          <w:sz w:val="20"/>
          <w:highlight w:val="none"/>
        </w:rPr>
      </w:pPr>
      <w:r>
        <w:rPr>
          <w:rFonts w:asciiTheme="minorEastAsia" w:hAnsiTheme="minorEastAsia" w:eastAsiaTheme="minorEastAsia"/>
          <w:color w:val="auto"/>
          <w:sz w:val="20"/>
          <w:highlight w:val="none"/>
        </w:rPr>
        <w:t xml:space="preserve">（2）专用合同条件； </w:t>
      </w:r>
    </w:p>
    <w:p>
      <w:pPr>
        <w:pStyle w:val="23"/>
        <w:ind w:left="400"/>
        <w:rPr>
          <w:rFonts w:asciiTheme="minorEastAsia" w:hAnsiTheme="minorEastAsia" w:eastAsiaTheme="minorEastAsia"/>
          <w:color w:val="auto"/>
          <w:sz w:val="20"/>
          <w:highlight w:val="none"/>
        </w:rPr>
      </w:pPr>
      <w:r>
        <w:rPr>
          <w:rFonts w:asciiTheme="minorEastAsia" w:hAnsiTheme="minorEastAsia" w:eastAsiaTheme="minorEastAsia"/>
          <w:color w:val="auto"/>
          <w:sz w:val="20"/>
          <w:highlight w:val="none"/>
        </w:rPr>
        <w:t>（3）中标通知书；</w:t>
      </w:r>
    </w:p>
    <w:p>
      <w:pPr>
        <w:pStyle w:val="23"/>
        <w:ind w:left="400"/>
        <w:rPr>
          <w:rFonts w:asciiTheme="minorEastAsia" w:hAnsiTheme="minorEastAsia" w:eastAsiaTheme="minorEastAsia"/>
          <w:color w:val="auto"/>
          <w:sz w:val="20"/>
          <w:highlight w:val="none"/>
        </w:rPr>
      </w:pPr>
      <w:r>
        <w:rPr>
          <w:rFonts w:asciiTheme="minorEastAsia" w:hAnsiTheme="minorEastAsia" w:eastAsiaTheme="minorEastAsia"/>
          <w:color w:val="auto"/>
          <w:sz w:val="20"/>
          <w:highlight w:val="none"/>
        </w:rPr>
        <w:t>（4）通用合同条件；</w:t>
      </w:r>
    </w:p>
    <w:p>
      <w:pPr>
        <w:pStyle w:val="23"/>
        <w:ind w:left="400"/>
        <w:rPr>
          <w:rFonts w:asciiTheme="minorEastAsia" w:hAnsiTheme="minorEastAsia" w:eastAsiaTheme="minorEastAsia"/>
          <w:color w:val="auto"/>
          <w:sz w:val="20"/>
          <w:highlight w:val="none"/>
        </w:rPr>
      </w:pPr>
      <w:r>
        <w:rPr>
          <w:rFonts w:asciiTheme="minorEastAsia" w:hAnsiTheme="minorEastAsia" w:eastAsiaTheme="minorEastAsia"/>
          <w:color w:val="auto"/>
          <w:sz w:val="20"/>
          <w:highlight w:val="none"/>
        </w:rPr>
        <w:t>（5）招标文件及澄清；</w:t>
      </w:r>
    </w:p>
    <w:p>
      <w:pPr>
        <w:pStyle w:val="23"/>
        <w:ind w:left="400"/>
        <w:rPr>
          <w:rFonts w:asciiTheme="minorEastAsia" w:hAnsiTheme="minorEastAsia" w:eastAsiaTheme="minorEastAsia"/>
          <w:color w:val="auto"/>
          <w:sz w:val="20"/>
          <w:highlight w:val="none"/>
        </w:rPr>
      </w:pPr>
      <w:r>
        <w:rPr>
          <w:rFonts w:asciiTheme="minorEastAsia" w:hAnsiTheme="minorEastAsia" w:eastAsiaTheme="minorEastAsia"/>
          <w:color w:val="auto"/>
          <w:sz w:val="20"/>
          <w:highlight w:val="none"/>
        </w:rPr>
        <w:t>（6）投标文件及附录；</w:t>
      </w:r>
    </w:p>
    <w:p>
      <w:pPr>
        <w:pStyle w:val="23"/>
        <w:ind w:left="400"/>
        <w:rPr>
          <w:rFonts w:asciiTheme="minorEastAsia" w:hAnsiTheme="minorEastAsia" w:eastAsiaTheme="minorEastAsia"/>
          <w:color w:val="auto"/>
          <w:sz w:val="20"/>
          <w:highlight w:val="none"/>
        </w:rPr>
      </w:pPr>
      <w:r>
        <w:rPr>
          <w:rFonts w:asciiTheme="minorEastAsia" w:hAnsiTheme="minorEastAsia" w:eastAsiaTheme="minorEastAsia"/>
          <w:color w:val="auto"/>
          <w:sz w:val="20"/>
          <w:highlight w:val="none"/>
        </w:rPr>
        <w:t>（7）技术标准和要求；</w:t>
      </w:r>
    </w:p>
    <w:p>
      <w:pPr>
        <w:pStyle w:val="23"/>
        <w:ind w:left="400"/>
        <w:rPr>
          <w:rFonts w:asciiTheme="minorEastAsia" w:hAnsiTheme="minorEastAsia" w:eastAsiaTheme="minorEastAsia"/>
          <w:color w:val="auto"/>
          <w:sz w:val="20"/>
          <w:highlight w:val="none"/>
        </w:rPr>
      </w:pPr>
      <w:r>
        <w:rPr>
          <w:rFonts w:asciiTheme="minorEastAsia" w:hAnsiTheme="minorEastAsia" w:eastAsiaTheme="minorEastAsia"/>
          <w:color w:val="auto"/>
          <w:sz w:val="20"/>
          <w:highlight w:val="none"/>
        </w:rPr>
        <w:t>（8）图纸；</w:t>
      </w:r>
    </w:p>
    <w:p>
      <w:pPr>
        <w:pStyle w:val="23"/>
        <w:ind w:left="400"/>
        <w:rPr>
          <w:rFonts w:asciiTheme="minorEastAsia" w:hAnsiTheme="minorEastAsia" w:eastAsiaTheme="minorEastAsia"/>
          <w:color w:val="auto"/>
          <w:sz w:val="20"/>
          <w:highlight w:val="none"/>
        </w:rPr>
      </w:pPr>
      <w:r>
        <w:rPr>
          <w:rFonts w:asciiTheme="minorEastAsia" w:hAnsiTheme="minorEastAsia" w:eastAsiaTheme="minorEastAsia"/>
          <w:color w:val="auto"/>
          <w:sz w:val="20"/>
          <w:highlight w:val="none"/>
        </w:rPr>
        <w:t>（9）已标价工程量清单或预算书；</w:t>
      </w:r>
    </w:p>
    <w:p>
      <w:pPr>
        <w:pStyle w:val="23"/>
        <w:ind w:left="400"/>
        <w:rPr>
          <w:rFonts w:asciiTheme="minorEastAsia" w:hAnsiTheme="minorEastAsia" w:eastAsiaTheme="minorEastAsia"/>
          <w:color w:val="auto"/>
          <w:sz w:val="20"/>
          <w:highlight w:val="none"/>
        </w:rPr>
      </w:pPr>
      <w:r>
        <w:rPr>
          <w:rFonts w:asciiTheme="minorEastAsia" w:hAnsiTheme="minorEastAsia" w:eastAsiaTheme="minorEastAsia"/>
          <w:color w:val="auto"/>
          <w:sz w:val="20"/>
          <w:highlight w:val="none"/>
        </w:rPr>
        <w:t>（10）其他合同文件。</w:t>
      </w:r>
    </w:p>
    <w:p>
      <w:pPr>
        <w:pStyle w:val="23"/>
        <w:spacing w:line="360" w:lineRule="auto"/>
        <w:ind w:left="400"/>
        <w:rPr>
          <w:rFonts w:asciiTheme="minorEastAsia" w:hAnsiTheme="minorEastAsia" w:eastAsiaTheme="minorEastAsia"/>
          <w:color w:val="auto"/>
          <w:sz w:val="20"/>
          <w:highlight w:val="none"/>
        </w:rPr>
      </w:pPr>
      <w:r>
        <w:rPr>
          <w:rFonts w:asciiTheme="minorEastAsia" w:hAnsiTheme="minorEastAsia" w:eastAsiaTheme="minorEastAsia"/>
          <w:color w:val="auto"/>
          <w:sz w:val="20"/>
          <w:highlight w:val="none"/>
        </w:rPr>
        <w:t>六、本协议书中有关词语的含义与本合同第二部分《通用条款》中分别赋予它们的定义相同。</w:t>
      </w:r>
    </w:p>
    <w:p>
      <w:pPr>
        <w:pStyle w:val="39"/>
        <w:spacing w:line="360" w:lineRule="auto"/>
        <w:ind w:firstLine="400"/>
        <w:rPr>
          <w:rFonts w:asciiTheme="minorEastAsia" w:hAnsiTheme="minorEastAsia" w:eastAsiaTheme="minorEastAsia"/>
          <w:color w:val="auto"/>
          <w:spacing w:val="0"/>
          <w:kern w:val="0"/>
          <w:sz w:val="20"/>
          <w:szCs w:val="20"/>
          <w:highlight w:val="none"/>
        </w:rPr>
      </w:pPr>
      <w:r>
        <w:rPr>
          <w:rFonts w:asciiTheme="minorEastAsia" w:hAnsiTheme="minorEastAsia" w:eastAsiaTheme="minorEastAsia"/>
          <w:color w:val="auto"/>
          <w:spacing w:val="0"/>
          <w:kern w:val="0"/>
          <w:sz w:val="20"/>
          <w:szCs w:val="20"/>
          <w:highlight w:val="none"/>
        </w:rPr>
        <w:t>七、分包人向承包人承诺，按照合同约定的工期和质量标准，完成本协议书第一条约定的工程（以下简称为“分包工程”），并在质量保修期内承担保修责任。</w:t>
      </w:r>
    </w:p>
    <w:p>
      <w:pPr>
        <w:pStyle w:val="39"/>
        <w:spacing w:line="360" w:lineRule="auto"/>
        <w:ind w:firstLine="400"/>
        <w:rPr>
          <w:rFonts w:asciiTheme="minorEastAsia" w:hAnsiTheme="minorEastAsia" w:eastAsiaTheme="minorEastAsia"/>
          <w:color w:val="auto"/>
          <w:spacing w:val="0"/>
          <w:kern w:val="0"/>
          <w:sz w:val="20"/>
          <w:szCs w:val="20"/>
          <w:highlight w:val="none"/>
        </w:rPr>
      </w:pPr>
      <w:r>
        <w:rPr>
          <w:rFonts w:asciiTheme="minorEastAsia" w:hAnsiTheme="minorEastAsia" w:eastAsiaTheme="minorEastAsia"/>
          <w:color w:val="auto"/>
          <w:spacing w:val="0"/>
          <w:kern w:val="0"/>
          <w:sz w:val="20"/>
          <w:szCs w:val="20"/>
          <w:highlight w:val="none"/>
        </w:rPr>
        <w:t>八、承包人向分包人承诺，按照合同约定的期限和方式，支付本协议书第二条约定的合同价款（以下简称“分包合同价”）。</w:t>
      </w:r>
    </w:p>
    <w:p>
      <w:pPr>
        <w:spacing w:line="360" w:lineRule="auto"/>
        <w:ind w:firstLine="40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九、分包人向承包人承诺，履行总包合同中与分包工程有关的承包人的所有义务，并与承包人承担履行分包工程合同以及确保分包工程质量的连带责任。</w:t>
      </w:r>
    </w:p>
    <w:p>
      <w:pPr>
        <w:spacing w:line="460" w:lineRule="exact"/>
        <w:ind w:firstLine="40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十、合同的生效</w:t>
      </w:r>
    </w:p>
    <w:p>
      <w:pPr>
        <w:spacing w:line="460" w:lineRule="exact"/>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    合同订立时间：</w:t>
      </w:r>
      <w:r>
        <w:rPr>
          <w:rFonts w:asciiTheme="minorEastAsia" w:hAnsiTheme="minorEastAsia" w:eastAsiaTheme="minorEastAsia"/>
          <w:color w:val="auto"/>
          <w:highlight w:val="none"/>
          <w:u w:val="single"/>
        </w:rPr>
        <w:t xml:space="preserve">  202</w:t>
      </w:r>
      <w:r>
        <w:rPr>
          <w:rFonts w:hint="eastAsia" w:asciiTheme="minorEastAsia" w:hAnsiTheme="minorEastAsia" w:eastAsiaTheme="minorEastAsia"/>
          <w:color w:val="auto"/>
          <w:highlight w:val="none"/>
          <w:u w:val="single"/>
          <w:lang w:val="en-US" w:eastAsia="zh-CN"/>
        </w:rPr>
        <w:t>4</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年</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月</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日；</w:t>
      </w:r>
    </w:p>
    <w:p>
      <w:pPr>
        <w:spacing w:line="460" w:lineRule="exact"/>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    合同订立地点：</w:t>
      </w:r>
      <w:r>
        <w:rPr>
          <w:rFonts w:asciiTheme="minorEastAsia" w:hAnsiTheme="minorEastAsia" w:eastAsiaTheme="minorEastAsia"/>
          <w:color w:val="auto"/>
          <w:highlight w:val="none"/>
          <w:u w:val="single"/>
        </w:rPr>
        <w:t>天津市</w:t>
      </w:r>
      <w:r>
        <w:rPr>
          <w:rFonts w:asciiTheme="minorEastAsia" w:hAnsiTheme="minorEastAsia" w:eastAsiaTheme="minorEastAsia"/>
          <w:color w:val="auto"/>
          <w:highlight w:val="none"/>
        </w:rPr>
        <w:t xml:space="preserve">       </w:t>
      </w:r>
    </w:p>
    <w:p>
      <w:pPr>
        <w:spacing w:line="460" w:lineRule="exact"/>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    本合同双方约定</w:t>
      </w:r>
      <w:r>
        <w:rPr>
          <w:rFonts w:asciiTheme="minorEastAsia" w:hAnsiTheme="minorEastAsia" w:eastAsiaTheme="minorEastAsia"/>
          <w:color w:val="auto"/>
          <w:highlight w:val="none"/>
          <w:u w:val="single"/>
        </w:rPr>
        <w:t>签字、盖章</w:t>
      </w:r>
      <w:r>
        <w:rPr>
          <w:rFonts w:asciiTheme="minorEastAsia" w:hAnsiTheme="minorEastAsia" w:eastAsiaTheme="minorEastAsia"/>
          <w:color w:val="auto"/>
          <w:highlight w:val="none"/>
        </w:rPr>
        <w:t>后生效。</w:t>
      </w:r>
    </w:p>
    <w:p>
      <w:pPr>
        <w:spacing w:line="460" w:lineRule="exact"/>
        <w:rPr>
          <w:rFonts w:asciiTheme="minorEastAsia" w:hAnsiTheme="minorEastAsia" w:eastAsiaTheme="minorEastAsia"/>
          <w:color w:val="auto"/>
          <w:highlight w:val="none"/>
        </w:rPr>
      </w:pPr>
    </w:p>
    <w:p>
      <w:pPr>
        <w:spacing w:line="460" w:lineRule="exact"/>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承包人：中煤天津设计工程有限责任公司       </w:t>
      </w:r>
      <w:r>
        <w:rPr>
          <w:rFonts w:hint="eastAsia" w:asciiTheme="minorEastAsia" w:hAnsiTheme="minorEastAsia" w:eastAsiaTheme="minorEastAsia"/>
          <w:color w:val="auto"/>
          <w:highlight w:val="none"/>
          <w:lang w:val="en-US" w:eastAsia="zh-CN"/>
        </w:rPr>
        <w:t xml:space="preserve">     </w:t>
      </w:r>
      <w:r>
        <w:rPr>
          <w:rFonts w:asciiTheme="minorEastAsia" w:hAnsiTheme="minorEastAsia" w:eastAsiaTheme="minorEastAsia"/>
          <w:color w:val="auto"/>
          <w:highlight w:val="none"/>
        </w:rPr>
        <w:t xml:space="preserve">  分包人： </w:t>
      </w:r>
    </w:p>
    <w:p>
      <w:pPr>
        <w:spacing w:line="460" w:lineRule="exact"/>
        <w:ind w:firstLine="1200" w:firstLineChars="600"/>
        <w:rPr>
          <w:rFonts w:asciiTheme="minorEastAsia" w:hAnsiTheme="minorEastAsia" w:eastAsiaTheme="minorEastAsia"/>
          <w:color w:val="auto"/>
          <w:highlight w:val="none"/>
        </w:rPr>
      </w:pPr>
      <w:r>
        <w:rPr>
          <w:rFonts w:asciiTheme="minorEastAsia" w:hAnsiTheme="minorEastAsia" w:eastAsiaTheme="minorEastAsia"/>
          <w:color w:val="auto"/>
          <w:highlight w:val="none"/>
        </w:rPr>
        <w:t>（盖章）                                    （盖章）</w:t>
      </w:r>
    </w:p>
    <w:p>
      <w:pPr>
        <w:spacing w:line="460" w:lineRule="exact"/>
        <w:ind w:left="800" w:hanging="800" w:hangingChars="400"/>
        <w:rPr>
          <w:rFonts w:asciiTheme="minorEastAsia" w:hAnsiTheme="minorEastAsia" w:eastAsiaTheme="minorEastAsia"/>
          <w:color w:val="auto"/>
          <w:highlight w:val="none"/>
        </w:rPr>
      </w:pPr>
      <w:r>
        <w:rPr>
          <w:rFonts w:asciiTheme="minorEastAsia" w:hAnsiTheme="minorEastAsia" w:eastAsiaTheme="minorEastAsia"/>
          <w:color w:val="auto"/>
          <w:highlight w:val="none"/>
        </w:rPr>
        <w:t>住</w:t>
      </w:r>
      <w:r>
        <w:rPr>
          <w:rFonts w:hint="eastAsia" w:asciiTheme="minorEastAsia" w:hAnsiTheme="minorEastAsia" w:eastAsiaTheme="minorEastAsia"/>
          <w:color w:val="auto"/>
          <w:highlight w:val="none"/>
        </w:rPr>
        <w:t xml:space="preserve"> </w:t>
      </w:r>
      <w:r>
        <w:rPr>
          <w:rFonts w:asciiTheme="minorEastAsia" w:hAnsiTheme="minorEastAsia" w:eastAsiaTheme="minorEastAsia"/>
          <w:color w:val="auto"/>
          <w:highlight w:val="none"/>
        </w:rPr>
        <w:t xml:space="preserve"> 所：</w:t>
      </w:r>
      <w:r>
        <w:rPr>
          <w:rFonts w:asciiTheme="minorEastAsia" w:hAnsiTheme="minorEastAsia" w:eastAsiaTheme="minorEastAsia"/>
          <w:color w:val="auto"/>
          <w:spacing w:val="-20"/>
          <w:highlight w:val="none"/>
        </w:rPr>
        <w:t>天津市红桥区大丰路（水游城）安顺</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lang w:val="en-US" w:eastAsia="zh-CN"/>
        </w:rPr>
        <w:t xml:space="preserve">  </w:t>
      </w:r>
      <w:r>
        <w:rPr>
          <w:rFonts w:asciiTheme="minorEastAsia" w:hAnsiTheme="minorEastAsia" w:eastAsiaTheme="minorEastAsia"/>
          <w:color w:val="auto"/>
          <w:highlight w:val="none"/>
        </w:rPr>
        <w:t xml:space="preserve"> 住</w:t>
      </w:r>
      <w:r>
        <w:rPr>
          <w:rFonts w:hint="eastAsia" w:asciiTheme="minorEastAsia" w:hAnsiTheme="minorEastAsia" w:eastAsiaTheme="minorEastAsia"/>
          <w:color w:val="auto"/>
          <w:highlight w:val="none"/>
        </w:rPr>
        <w:t xml:space="preserve"> </w:t>
      </w:r>
      <w:r>
        <w:rPr>
          <w:rFonts w:asciiTheme="minorEastAsia" w:hAnsiTheme="minorEastAsia" w:eastAsiaTheme="minorEastAsia"/>
          <w:color w:val="auto"/>
          <w:highlight w:val="none"/>
        </w:rPr>
        <w:t xml:space="preserve"> 所：                                                   大厦3号楼                </w:t>
      </w:r>
    </w:p>
    <w:p>
      <w:pPr>
        <w:spacing w:line="460" w:lineRule="exact"/>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法定代表人：                </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t xml:space="preserve">       法定代表人：   </w:t>
      </w:r>
    </w:p>
    <w:p>
      <w:pPr>
        <w:spacing w:line="460" w:lineRule="exact"/>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或委托代理人：                 </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t xml:space="preserve">       或委托代理人：          </w:t>
      </w:r>
    </w:p>
    <w:p>
      <w:pPr>
        <w:spacing w:line="460" w:lineRule="exact"/>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电话：022-87779186                           </w:t>
      </w:r>
      <w:r>
        <w:rPr>
          <w:rFonts w:hint="eastAsia" w:asciiTheme="minorEastAsia" w:hAnsiTheme="minorEastAsia" w:eastAsiaTheme="minorEastAsia"/>
          <w:color w:val="auto"/>
          <w:highlight w:val="none"/>
          <w:lang w:val="en-US" w:eastAsia="zh-CN"/>
        </w:rPr>
        <w:t xml:space="preserve">     </w:t>
      </w:r>
      <w:r>
        <w:rPr>
          <w:rFonts w:asciiTheme="minorEastAsia" w:hAnsiTheme="minorEastAsia" w:eastAsiaTheme="minorEastAsia"/>
          <w:color w:val="auto"/>
          <w:highlight w:val="none"/>
        </w:rPr>
        <w:t xml:space="preserve">电话：           </w:t>
      </w:r>
    </w:p>
    <w:p>
      <w:pPr>
        <w:spacing w:line="460" w:lineRule="exact"/>
        <w:ind w:left="5440" w:hanging="5440" w:hangingChars="3400"/>
        <w:rPr>
          <w:rFonts w:asciiTheme="minorEastAsia" w:hAnsiTheme="minorEastAsia" w:eastAsiaTheme="minorEastAsia"/>
          <w:color w:val="auto"/>
          <w:highlight w:val="none"/>
        </w:rPr>
      </w:pPr>
      <w:r>
        <w:rPr>
          <w:rFonts w:asciiTheme="minorEastAsia" w:hAnsiTheme="minorEastAsia" w:eastAsiaTheme="minorEastAsia"/>
          <w:color w:val="auto"/>
          <w:spacing w:val="-20"/>
          <w:highlight w:val="none"/>
        </w:rPr>
        <w:t>开户银行：</w:t>
      </w:r>
      <w:r>
        <w:rPr>
          <w:rFonts w:hint="eastAsia" w:asciiTheme="minorEastAsia" w:hAnsiTheme="minorEastAsia" w:eastAsiaTheme="minorEastAsia"/>
          <w:color w:val="auto"/>
          <w:highlight w:val="none"/>
        </w:rPr>
        <w:t>中国银行股份有限公司天津红桥支行</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lang w:val="en-US" w:eastAsia="zh-CN"/>
        </w:rPr>
        <w:t xml:space="preserve">    </w:t>
      </w:r>
      <w:r>
        <w:rPr>
          <w:rFonts w:asciiTheme="minorEastAsia" w:hAnsiTheme="minorEastAsia" w:eastAsiaTheme="minorEastAsia"/>
          <w:color w:val="auto"/>
          <w:highlight w:val="none"/>
        </w:rPr>
        <w:t xml:space="preserve">  </w:t>
      </w:r>
      <w:r>
        <w:rPr>
          <w:rFonts w:asciiTheme="minorEastAsia" w:hAnsiTheme="minorEastAsia" w:eastAsiaTheme="minorEastAsia"/>
          <w:color w:val="auto"/>
          <w:spacing w:val="-20"/>
          <w:highlight w:val="none"/>
        </w:rPr>
        <w:t>开户银行：</w:t>
      </w:r>
      <w:r>
        <w:rPr>
          <w:rFonts w:asciiTheme="minorEastAsia" w:hAnsiTheme="minorEastAsia" w:eastAsiaTheme="minorEastAsia"/>
          <w:color w:val="auto"/>
          <w:highlight w:val="none"/>
        </w:rPr>
        <w:t xml:space="preserve"> </w:t>
      </w:r>
    </w:p>
    <w:p>
      <w:pPr>
        <w:spacing w:line="460" w:lineRule="exact"/>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帐号：2739 6982 9946                        </w:t>
      </w:r>
      <w:r>
        <w:rPr>
          <w:rFonts w:hint="eastAsia" w:asciiTheme="minorEastAsia" w:hAnsiTheme="minorEastAsia" w:eastAsiaTheme="minorEastAsia"/>
          <w:color w:val="auto"/>
          <w:highlight w:val="none"/>
          <w:lang w:val="en-US" w:eastAsia="zh-CN"/>
        </w:rPr>
        <w:t xml:space="preserve">     </w:t>
      </w:r>
      <w:r>
        <w:rPr>
          <w:rFonts w:asciiTheme="minorEastAsia" w:hAnsiTheme="minorEastAsia" w:eastAsiaTheme="minorEastAsia"/>
          <w:color w:val="auto"/>
          <w:highlight w:val="none"/>
        </w:rPr>
        <w:t xml:space="preserve"> 帐号：</w:t>
      </w:r>
    </w:p>
    <w:p>
      <w:pPr>
        <w:widowControl w:val="0"/>
        <w:spacing w:line="460" w:lineRule="exact"/>
        <w:ind w:firstLine="435"/>
        <w:rPr>
          <w:color w:val="auto"/>
          <w:highlight w:val="none"/>
        </w:rPr>
      </w:pPr>
    </w:p>
    <w:p>
      <w:pPr>
        <w:pStyle w:val="4"/>
        <w:bidi w:val="0"/>
        <w:jc w:val="center"/>
        <w:rPr>
          <w:rFonts w:ascii="Times New Roman"/>
          <w:color w:val="auto"/>
          <w:highlight w:val="none"/>
        </w:rPr>
      </w:pPr>
      <w:r>
        <w:rPr>
          <w:rFonts w:ascii="Times New Roman"/>
          <w:color w:val="auto"/>
          <w:highlight w:val="none"/>
        </w:rPr>
        <w:br w:type="page"/>
      </w:r>
      <w:r>
        <w:rPr>
          <w:rFonts w:ascii="Cambria" w:hAnsi="Cambria" w:eastAsia="宋体" w:cs="Times New Roman"/>
          <w:b/>
          <w:bCs/>
          <w:sz w:val="32"/>
          <w:szCs w:val="32"/>
          <w:lang w:val="en-US" w:eastAsia="zh-CN" w:bidi="ar-SA"/>
        </w:rPr>
        <w:t>第二部分  通用条款</w:t>
      </w:r>
    </w:p>
    <w:p>
      <w:pPr>
        <w:pStyle w:val="5"/>
        <w:bidi w:val="0"/>
      </w:pPr>
      <w:r>
        <w:t>一、词语定义及合同文件</w:t>
      </w:r>
    </w:p>
    <w:p>
      <w:pPr>
        <w:pStyle w:val="6"/>
        <w:bidi w:val="0"/>
      </w:pPr>
      <w:r>
        <w:t>1、词语定义</w:t>
      </w:r>
    </w:p>
    <w:p>
      <w:pPr>
        <w:spacing w:line="360" w:lineRule="auto"/>
        <w:ind w:left="360"/>
        <w:rPr>
          <w:color w:val="auto"/>
          <w:highlight w:val="none"/>
        </w:rPr>
      </w:pPr>
      <w:r>
        <w:rPr>
          <w:color w:val="auto"/>
          <w:highlight w:val="none"/>
        </w:rPr>
        <w:t>下列词语除专用条款另有约定外，应具有本条款所赋予的定义：</w:t>
      </w:r>
    </w:p>
    <w:p>
      <w:pPr>
        <w:spacing w:line="360" w:lineRule="auto"/>
        <w:ind w:firstLine="435"/>
        <w:rPr>
          <w:color w:val="auto"/>
          <w:highlight w:val="none"/>
        </w:rPr>
      </w:pPr>
      <w:r>
        <w:rPr>
          <w:color w:val="auto"/>
          <w:highlight w:val="none"/>
        </w:rPr>
        <w:t>1.1 通用条款：是根据法律、行政法规规定及建设工程施工的需要订立，通用于分包工程施工的条款。</w:t>
      </w:r>
    </w:p>
    <w:p>
      <w:pPr>
        <w:spacing w:line="360" w:lineRule="auto"/>
        <w:ind w:firstLine="435"/>
        <w:rPr>
          <w:b/>
          <w:color w:val="auto"/>
          <w:highlight w:val="none"/>
        </w:rPr>
      </w:pPr>
      <w:r>
        <w:rPr>
          <w:color w:val="auto"/>
          <w:highlight w:val="none"/>
        </w:rPr>
        <w:t>1.2 专用条款：是承包人与分包人根据法律、行政法规规定，结合具体工程实际，经协商达成一致意见的条款，是对通用条款的具体化、补充或修改。</w:t>
      </w:r>
    </w:p>
    <w:p>
      <w:pPr>
        <w:spacing w:line="360" w:lineRule="auto"/>
        <w:rPr>
          <w:color w:val="auto"/>
          <w:highlight w:val="none"/>
        </w:rPr>
      </w:pPr>
      <w:r>
        <w:rPr>
          <w:color w:val="auto"/>
          <w:highlight w:val="none"/>
        </w:rPr>
        <w:t xml:space="preserve">   </w:t>
      </w:r>
      <w:r>
        <w:rPr>
          <w:rFonts w:hint="eastAsia"/>
          <w:color w:val="auto"/>
          <w:highlight w:val="none"/>
          <w:lang w:val="en-US" w:eastAsia="zh-CN"/>
        </w:rPr>
        <w:t xml:space="preserve">     </w:t>
      </w:r>
      <w:r>
        <w:rPr>
          <w:color w:val="auto"/>
          <w:highlight w:val="none"/>
        </w:rPr>
        <w:t xml:space="preserve"> 1.3 发包人：指在总包合同协议书中约定的具有工程发包主体资格和支付工程价款能力的当事人，以及取得该当事人资格的合法继承人。</w:t>
      </w:r>
    </w:p>
    <w:p>
      <w:pPr>
        <w:spacing w:line="360" w:lineRule="auto"/>
        <w:ind w:firstLine="435"/>
        <w:rPr>
          <w:color w:val="auto"/>
          <w:highlight w:val="none"/>
        </w:rPr>
      </w:pPr>
      <w:r>
        <w:rPr>
          <w:color w:val="auto"/>
          <w:highlight w:val="none"/>
        </w:rPr>
        <w:t>1.4 承包人：指在总包合同协议书中约定的，被发包人接受的具有工程施工总承包主体资格的当事人，以及取得该当事人资格的合法继承人。</w:t>
      </w:r>
    </w:p>
    <w:p>
      <w:pPr>
        <w:spacing w:line="360" w:lineRule="auto"/>
        <w:ind w:firstLine="435"/>
        <w:rPr>
          <w:color w:val="auto"/>
          <w:highlight w:val="none"/>
        </w:rPr>
      </w:pPr>
      <w:r>
        <w:rPr>
          <w:color w:val="auto"/>
          <w:highlight w:val="none"/>
        </w:rPr>
        <w:t>1.5 分包人：指在本分包合同协议书中约定的，被承包人接受的具有分包该工程资格的当事人，以及取得该当事人资格的合法继承人。</w:t>
      </w:r>
    </w:p>
    <w:p>
      <w:pPr>
        <w:spacing w:line="360" w:lineRule="auto"/>
        <w:ind w:firstLine="400" w:firstLineChars="200"/>
        <w:rPr>
          <w:color w:val="auto"/>
          <w:highlight w:val="none"/>
        </w:rPr>
      </w:pPr>
      <w:r>
        <w:rPr>
          <w:color w:val="auto"/>
          <w:highlight w:val="none"/>
        </w:rPr>
        <w:t>1.6 总包工程：指由发包人和承包人在总包合同协议书中约定的承包范围内的工程。</w:t>
      </w:r>
    </w:p>
    <w:p>
      <w:pPr>
        <w:spacing w:line="360" w:lineRule="auto"/>
        <w:ind w:firstLine="435"/>
        <w:rPr>
          <w:color w:val="auto"/>
          <w:highlight w:val="none"/>
        </w:rPr>
      </w:pPr>
      <w:r>
        <w:rPr>
          <w:color w:val="auto"/>
          <w:highlight w:val="none"/>
        </w:rPr>
        <w:t>1.7 分包工程：指由承包人和分包人在本合同协议书中约定的分包范围内的工程。</w:t>
      </w:r>
    </w:p>
    <w:p>
      <w:pPr>
        <w:spacing w:line="360" w:lineRule="auto"/>
        <w:ind w:firstLine="200" w:firstLineChars="100"/>
        <w:rPr>
          <w:color w:val="auto"/>
          <w:highlight w:val="none"/>
        </w:rPr>
      </w:pPr>
      <w:r>
        <w:rPr>
          <w:color w:val="auto"/>
          <w:highlight w:val="none"/>
        </w:rPr>
        <w:t xml:space="preserve">    1.8 工程师：指在总包合同中约定的由工程监理单位委派的工程师或发包人指定的履行总包合同的代表，其具体身份和职权由发包人和承包人在总包合同专用条款中约定。</w:t>
      </w:r>
    </w:p>
    <w:p>
      <w:pPr>
        <w:spacing w:line="360" w:lineRule="auto"/>
        <w:ind w:firstLine="200" w:firstLineChars="100"/>
        <w:rPr>
          <w:color w:val="auto"/>
          <w:highlight w:val="none"/>
        </w:rPr>
      </w:pPr>
      <w:r>
        <w:rPr>
          <w:color w:val="auto"/>
          <w:highlight w:val="none"/>
        </w:rPr>
        <w:t xml:space="preserve">    1.9 项目经理：指承包人在总包合同专用条款和本合同专用条款中指定的负责施工管理、履行总包合同及本合同的代表。</w:t>
      </w:r>
    </w:p>
    <w:p>
      <w:pPr>
        <w:spacing w:line="360" w:lineRule="auto"/>
        <w:rPr>
          <w:color w:val="auto"/>
          <w:highlight w:val="none"/>
        </w:rPr>
      </w:pPr>
      <w:r>
        <w:rPr>
          <w:color w:val="auto"/>
          <w:highlight w:val="none"/>
        </w:rPr>
        <w:t xml:space="preserve"> </w:t>
      </w:r>
      <w:r>
        <w:rPr>
          <w:rFonts w:hint="eastAsia"/>
          <w:color w:val="auto"/>
          <w:highlight w:val="none"/>
          <w:lang w:val="en-US" w:eastAsia="zh-CN"/>
        </w:rPr>
        <w:t xml:space="preserve">   </w:t>
      </w:r>
      <w:r>
        <w:rPr>
          <w:color w:val="auto"/>
          <w:highlight w:val="none"/>
        </w:rPr>
        <w:t xml:space="preserve">   1.10 分包项目经理：指由分包人在分包合同专用条款中指定的负责施工管理和履行分包合同的代表。</w:t>
      </w:r>
    </w:p>
    <w:p>
      <w:pPr>
        <w:spacing w:line="360" w:lineRule="auto"/>
        <w:ind w:firstLine="435"/>
        <w:rPr>
          <w:color w:val="auto"/>
          <w:highlight w:val="none"/>
        </w:rPr>
      </w:pPr>
      <w:r>
        <w:rPr>
          <w:color w:val="auto"/>
          <w:highlight w:val="none"/>
        </w:rPr>
        <w:t>1.11 总包合同：指发包人与承包人之间签订的施工总承包合同，由协议书、通用条款和专用条款组成。</w:t>
      </w:r>
    </w:p>
    <w:p>
      <w:pPr>
        <w:spacing w:line="360" w:lineRule="auto"/>
        <w:ind w:firstLine="435"/>
        <w:rPr>
          <w:color w:val="auto"/>
          <w:highlight w:val="none"/>
        </w:rPr>
      </w:pPr>
      <w:r>
        <w:rPr>
          <w:color w:val="auto"/>
          <w:highlight w:val="none"/>
        </w:rPr>
        <w:t>1.12 总包合同条款：指中华人民共和国住房和城乡建设部和国家市场监督管理总局于2020年修订印发的《建设项目工程总承包合同》（示范文本）中的合同通用条款，以及经发包人和承包人协商一致的专用条款。</w:t>
      </w:r>
    </w:p>
    <w:p>
      <w:pPr>
        <w:spacing w:line="360" w:lineRule="auto"/>
        <w:rPr>
          <w:color w:val="auto"/>
          <w:highlight w:val="none"/>
        </w:rPr>
      </w:pPr>
      <w:r>
        <w:rPr>
          <w:color w:val="auto"/>
          <w:highlight w:val="none"/>
        </w:rPr>
        <w:t xml:space="preserve">    1.13 分包合同：指承包人和分包人之间签订的施工专业分包合同，由协议书、通用条款和专用条款组成。</w:t>
      </w:r>
    </w:p>
    <w:p>
      <w:pPr>
        <w:spacing w:line="360" w:lineRule="auto"/>
        <w:rPr>
          <w:color w:val="auto"/>
          <w:highlight w:val="none"/>
        </w:rPr>
      </w:pPr>
      <w:r>
        <w:rPr>
          <w:color w:val="auto"/>
          <w:highlight w:val="none"/>
        </w:rPr>
        <w:t xml:space="preserve">    1.14 工程建设标准：指与分包工程相关的工程建设标准，以及经承包人确认的，对工程建设标准进行的任何修改或增补。</w:t>
      </w:r>
    </w:p>
    <w:p>
      <w:pPr>
        <w:spacing w:line="360" w:lineRule="auto"/>
        <w:rPr>
          <w:color w:val="auto"/>
          <w:highlight w:val="none"/>
        </w:rPr>
      </w:pPr>
      <w:r>
        <w:rPr>
          <w:color w:val="auto"/>
          <w:highlight w:val="none"/>
        </w:rPr>
        <w:t xml:space="preserve">    1.15 图纸：指由承包人提供的符合总包合同要求及分包合同需要的所有图纸、计算书、配套说明以及相关的技术资料。</w:t>
      </w:r>
    </w:p>
    <w:p>
      <w:pPr>
        <w:spacing w:line="360" w:lineRule="auto"/>
        <w:rPr>
          <w:color w:val="auto"/>
          <w:highlight w:val="none"/>
        </w:rPr>
      </w:pPr>
      <w:r>
        <w:rPr>
          <w:color w:val="auto"/>
          <w:highlight w:val="none"/>
        </w:rPr>
        <w:t xml:space="preserve">    1.16 报价书：指由分包人根据分包合同的规定，为完成分包工程，向承包人提出的分包合同报价。在承包人采用招标方式确定分包人时，该报价书应与中标通知书中的中标价格一致。</w:t>
      </w:r>
    </w:p>
    <w:p>
      <w:pPr>
        <w:spacing w:line="360" w:lineRule="auto"/>
        <w:rPr>
          <w:color w:val="auto"/>
          <w:highlight w:val="none"/>
        </w:rPr>
      </w:pPr>
      <w:r>
        <w:rPr>
          <w:color w:val="auto"/>
          <w:highlight w:val="none"/>
        </w:rPr>
        <w:t xml:space="preserve">    1.17 中标通知书：指由承包人发出的确定分包人中标的通知。</w:t>
      </w:r>
    </w:p>
    <w:p>
      <w:pPr>
        <w:spacing w:line="360" w:lineRule="auto"/>
        <w:rPr>
          <w:color w:val="auto"/>
          <w:highlight w:val="none"/>
        </w:rPr>
      </w:pPr>
      <w:r>
        <w:rPr>
          <w:color w:val="auto"/>
          <w:highlight w:val="none"/>
        </w:rPr>
        <w:t xml:space="preserve">    1.18 开工日期：指承包人和分包人在本合同协议书中约定的，分包人开始施工的绝对或相对的日期。</w:t>
      </w:r>
    </w:p>
    <w:p>
      <w:pPr>
        <w:spacing w:line="360" w:lineRule="auto"/>
        <w:rPr>
          <w:color w:val="auto"/>
          <w:highlight w:val="none"/>
        </w:rPr>
      </w:pPr>
      <w:r>
        <w:rPr>
          <w:color w:val="auto"/>
          <w:highlight w:val="none"/>
        </w:rPr>
        <w:t xml:space="preserve">    1.19 竣工日期：指承包人和分包人在本合同协议书中约定的，分包人完成分包工程的绝对或相对的日期。</w:t>
      </w:r>
    </w:p>
    <w:p>
      <w:pPr>
        <w:spacing w:line="360" w:lineRule="auto"/>
        <w:ind w:firstLine="435"/>
        <w:rPr>
          <w:color w:val="auto"/>
          <w:highlight w:val="none"/>
        </w:rPr>
      </w:pPr>
      <w:r>
        <w:rPr>
          <w:color w:val="auto"/>
          <w:highlight w:val="none"/>
        </w:rPr>
        <w:t>1.20合同价款：指承包人与分包人在本合同协议书中约定，承包人用以支付分包人按照分包合同完成分包范围内全部工程并承担质量保修责任的款项。</w:t>
      </w:r>
    </w:p>
    <w:p>
      <w:pPr>
        <w:spacing w:line="360" w:lineRule="auto"/>
        <w:ind w:firstLine="435"/>
        <w:rPr>
          <w:color w:val="auto"/>
          <w:highlight w:val="none"/>
        </w:rPr>
      </w:pPr>
      <w:r>
        <w:rPr>
          <w:color w:val="auto"/>
          <w:highlight w:val="none"/>
        </w:rPr>
        <w:t>1.21追加合同价款：指在分包合同履行过程中发生需要增加合同款项的情况，经承包人确认后，按双方约定的计算合同价款的方法增加的合同价款。</w:t>
      </w:r>
    </w:p>
    <w:p>
      <w:pPr>
        <w:spacing w:line="360" w:lineRule="auto"/>
        <w:rPr>
          <w:color w:val="auto"/>
          <w:highlight w:val="none"/>
        </w:rPr>
      </w:pPr>
      <w:r>
        <w:rPr>
          <w:color w:val="auto"/>
          <w:highlight w:val="none"/>
        </w:rPr>
        <w:t xml:space="preserve">    1.22 施工场地：指由承包人提供的用于分包工程施工的场所，以及承包人在现场总平面图中具体指定的供分包人施工使用的任何其他场所。 </w:t>
      </w:r>
    </w:p>
    <w:p>
      <w:pPr>
        <w:spacing w:line="360" w:lineRule="auto"/>
        <w:ind w:firstLine="400" w:firstLineChars="200"/>
        <w:rPr>
          <w:color w:val="auto"/>
          <w:highlight w:val="none"/>
        </w:rPr>
      </w:pPr>
      <w:r>
        <w:rPr>
          <w:color w:val="auto"/>
          <w:highlight w:val="none"/>
        </w:rPr>
        <w:t>1.23 书面形式：指分包合同、信件和数据电文（包括电报、电传、传真、电子数据交换和电子邮件）等可以有形地表现所载内容的形式。</w:t>
      </w:r>
    </w:p>
    <w:p>
      <w:pPr>
        <w:spacing w:line="360" w:lineRule="auto"/>
        <w:ind w:firstLine="435"/>
        <w:rPr>
          <w:color w:val="auto"/>
          <w:highlight w:val="none"/>
        </w:rPr>
      </w:pPr>
      <w:r>
        <w:rPr>
          <w:color w:val="auto"/>
          <w:highlight w:val="none"/>
        </w:rPr>
        <w:t>1.24 违约责任：指合同一方不履行合同义务或履行合同义务不符合约定内容，所应承担的责任。</w:t>
      </w:r>
    </w:p>
    <w:p>
      <w:pPr>
        <w:spacing w:line="360" w:lineRule="auto"/>
        <w:ind w:firstLine="435"/>
        <w:rPr>
          <w:color w:val="auto"/>
          <w:highlight w:val="none"/>
        </w:rPr>
      </w:pPr>
      <w:r>
        <w:rPr>
          <w:color w:val="auto"/>
          <w:highlight w:val="none"/>
        </w:rPr>
        <w:t>1.25 索赔：指在合同履行过程中，对于并非自己的过错，而是应由对方承担责任的情况造成的实际损失，向对方提出经济补偿和（或）工期顺延的要求。</w:t>
      </w:r>
    </w:p>
    <w:p>
      <w:pPr>
        <w:spacing w:line="360" w:lineRule="auto"/>
        <w:ind w:firstLine="435"/>
        <w:rPr>
          <w:color w:val="auto"/>
          <w:highlight w:val="none"/>
        </w:rPr>
      </w:pPr>
      <w:r>
        <w:rPr>
          <w:color w:val="auto"/>
          <w:highlight w:val="none"/>
        </w:rPr>
        <w:t>1.26 不可抗力：指不能预见、不能避免并不能克服的客观情况。</w:t>
      </w:r>
    </w:p>
    <w:p>
      <w:pPr>
        <w:spacing w:line="360" w:lineRule="auto"/>
        <w:ind w:firstLine="435"/>
        <w:rPr>
          <w:color w:val="auto"/>
          <w:highlight w:val="none"/>
        </w:rPr>
      </w:pPr>
      <w:r>
        <w:rPr>
          <w:color w:val="auto"/>
          <w:highlight w:val="none"/>
        </w:rPr>
        <w:t>1.27 小时或天：本合同中规定按小时计算时间的，从事件有效开始时计算（不扣除休息时间）；规定按天计算时间的，开始当天不计入，从次日开始计算。时限的最后一天是休息日或者其他法定节假日的，以休息日或节假日次日为时限的最后一天，但竣工日期除外。时限的最后一天的截止时间为当日24时。</w:t>
      </w:r>
    </w:p>
    <w:p>
      <w:pPr>
        <w:pStyle w:val="6"/>
        <w:bidi w:val="0"/>
      </w:pPr>
      <w:r>
        <w:t>2、合同文件及解释顺序</w:t>
      </w:r>
    </w:p>
    <w:p>
      <w:pPr>
        <w:spacing w:line="360" w:lineRule="auto"/>
        <w:rPr>
          <w:color w:val="auto"/>
          <w:highlight w:val="none"/>
        </w:rPr>
      </w:pPr>
      <w:r>
        <w:rPr>
          <w:color w:val="auto"/>
          <w:highlight w:val="none"/>
        </w:rPr>
        <w:t xml:space="preserve">    2.1合同文件应能互相解释，互为说明。除本合同专用条款另有约定外，组成本合同的文件及优先解释顺序如下：</w:t>
      </w:r>
    </w:p>
    <w:p>
      <w:pPr>
        <w:spacing w:line="360" w:lineRule="auto"/>
        <w:ind w:left="204" w:leftChars="102" w:firstLine="200" w:firstLineChars="100"/>
        <w:rPr>
          <w:color w:val="auto"/>
          <w:highlight w:val="none"/>
        </w:rPr>
      </w:pPr>
      <w:r>
        <w:rPr>
          <w:color w:val="auto"/>
          <w:highlight w:val="none"/>
        </w:rPr>
        <w:t>（1）、本合同协议书；</w:t>
      </w:r>
    </w:p>
    <w:p>
      <w:pPr>
        <w:spacing w:line="360" w:lineRule="auto"/>
        <w:ind w:left="204" w:leftChars="102" w:firstLine="200" w:firstLineChars="100"/>
        <w:rPr>
          <w:color w:val="auto"/>
          <w:highlight w:val="none"/>
        </w:rPr>
      </w:pPr>
      <w:r>
        <w:rPr>
          <w:color w:val="auto"/>
          <w:highlight w:val="none"/>
        </w:rPr>
        <w:t>（2）、中标通知书（如有时）；</w:t>
      </w:r>
    </w:p>
    <w:p>
      <w:pPr>
        <w:spacing w:line="360" w:lineRule="auto"/>
        <w:ind w:left="204" w:leftChars="102" w:firstLine="200" w:firstLineChars="100"/>
        <w:rPr>
          <w:color w:val="auto"/>
          <w:highlight w:val="none"/>
        </w:rPr>
      </w:pPr>
      <w:r>
        <w:rPr>
          <w:color w:val="auto"/>
          <w:highlight w:val="none"/>
        </w:rPr>
        <w:t>（3）、分包人的投标函及报价书；</w:t>
      </w:r>
    </w:p>
    <w:p>
      <w:pPr>
        <w:spacing w:line="360" w:lineRule="auto"/>
        <w:ind w:left="204" w:leftChars="102" w:firstLine="200" w:firstLineChars="100"/>
        <w:rPr>
          <w:bCs/>
          <w:color w:val="auto"/>
          <w:highlight w:val="none"/>
        </w:rPr>
      </w:pPr>
      <w:r>
        <w:rPr>
          <w:bCs/>
          <w:color w:val="auto"/>
          <w:highlight w:val="none"/>
        </w:rPr>
        <w:t>（4）、除总包合同工程价款之外的总包合同文件。</w:t>
      </w:r>
    </w:p>
    <w:p>
      <w:pPr>
        <w:spacing w:line="360" w:lineRule="auto"/>
        <w:ind w:left="204" w:leftChars="102" w:firstLine="200" w:firstLineChars="100"/>
        <w:rPr>
          <w:color w:val="auto"/>
          <w:highlight w:val="none"/>
        </w:rPr>
      </w:pPr>
      <w:r>
        <w:rPr>
          <w:color w:val="auto"/>
          <w:highlight w:val="none"/>
        </w:rPr>
        <w:t>（5）、本合同专用条款；</w:t>
      </w:r>
    </w:p>
    <w:p>
      <w:pPr>
        <w:spacing w:line="360" w:lineRule="auto"/>
        <w:ind w:left="204" w:leftChars="102" w:firstLine="200" w:firstLineChars="100"/>
        <w:rPr>
          <w:color w:val="auto"/>
          <w:highlight w:val="none"/>
        </w:rPr>
      </w:pPr>
      <w:r>
        <w:rPr>
          <w:color w:val="auto"/>
          <w:highlight w:val="none"/>
        </w:rPr>
        <w:t>（6）、本合同通用条款；</w:t>
      </w:r>
    </w:p>
    <w:p>
      <w:pPr>
        <w:spacing w:line="360" w:lineRule="auto"/>
        <w:ind w:left="204" w:leftChars="102" w:firstLine="200" w:firstLineChars="100"/>
        <w:rPr>
          <w:color w:val="auto"/>
          <w:highlight w:val="none"/>
        </w:rPr>
      </w:pPr>
      <w:r>
        <w:rPr>
          <w:color w:val="auto"/>
          <w:highlight w:val="none"/>
        </w:rPr>
        <w:t>（7）、本合同工程建设标准、图纸；</w:t>
      </w:r>
    </w:p>
    <w:p>
      <w:pPr>
        <w:spacing w:line="360" w:lineRule="auto"/>
        <w:ind w:left="204" w:leftChars="102" w:firstLine="200" w:firstLineChars="100"/>
        <w:rPr>
          <w:bCs/>
          <w:color w:val="auto"/>
          <w:highlight w:val="none"/>
        </w:rPr>
      </w:pPr>
      <w:r>
        <w:rPr>
          <w:bCs/>
          <w:color w:val="auto"/>
          <w:highlight w:val="none"/>
        </w:rPr>
        <w:t>（8）、合同履行过程中，承包人和分包人协商一致的其他书面文件。</w:t>
      </w:r>
    </w:p>
    <w:p>
      <w:pPr>
        <w:spacing w:line="360" w:lineRule="auto"/>
        <w:ind w:firstLine="435"/>
        <w:rPr>
          <w:color w:val="auto"/>
          <w:highlight w:val="none"/>
        </w:rPr>
      </w:pPr>
      <w:r>
        <w:rPr>
          <w:color w:val="auto"/>
          <w:highlight w:val="none"/>
        </w:rPr>
        <w:t>2.2 当合同文件内容出现含糊不清或不相一致时，应在不影响工程正常进行的情况下，由分包人和承包人协商解决。双方协商不成时，按本合同通用条款第28条关于争议的约定处理。</w:t>
      </w:r>
    </w:p>
    <w:p>
      <w:pPr>
        <w:pStyle w:val="6"/>
        <w:bidi w:val="0"/>
      </w:pPr>
      <w:r>
        <w:t>3、语言文字和适用法律、行政法规及工程建设标准</w:t>
      </w:r>
    </w:p>
    <w:p>
      <w:pPr>
        <w:spacing w:line="360" w:lineRule="auto"/>
        <w:rPr>
          <w:color w:val="auto"/>
          <w:highlight w:val="none"/>
        </w:rPr>
      </w:pPr>
      <w:r>
        <w:rPr>
          <w:color w:val="auto"/>
          <w:highlight w:val="none"/>
        </w:rPr>
        <w:t xml:space="preserve">    3.1 语言文字</w:t>
      </w:r>
    </w:p>
    <w:p>
      <w:pPr>
        <w:spacing w:line="360" w:lineRule="auto"/>
        <w:rPr>
          <w:color w:val="auto"/>
          <w:highlight w:val="none"/>
        </w:rPr>
      </w:pPr>
      <w:r>
        <w:rPr>
          <w:color w:val="auto"/>
          <w:highlight w:val="none"/>
        </w:rPr>
        <w:t xml:space="preserve">    除本合同专用条款中另有约定，本合同文件使用的语言文字应与总包合同文件使用的语言文字相同。</w:t>
      </w:r>
    </w:p>
    <w:p>
      <w:pPr>
        <w:spacing w:line="360" w:lineRule="auto"/>
        <w:rPr>
          <w:color w:val="auto"/>
          <w:highlight w:val="none"/>
        </w:rPr>
      </w:pPr>
      <w:r>
        <w:rPr>
          <w:color w:val="auto"/>
          <w:highlight w:val="none"/>
        </w:rPr>
        <w:t xml:space="preserve">    3.2 适用法律和行政法规</w:t>
      </w:r>
    </w:p>
    <w:p>
      <w:pPr>
        <w:spacing w:line="360" w:lineRule="auto"/>
        <w:rPr>
          <w:color w:val="auto"/>
          <w:highlight w:val="none"/>
        </w:rPr>
      </w:pPr>
      <w:r>
        <w:rPr>
          <w:color w:val="auto"/>
          <w:highlight w:val="none"/>
        </w:rPr>
        <w:t xml:space="preserve">    除本合同专用条款中另有约定，本合同适用的法律、法规应与总包合同中规定适用的法律、法规相同。需要明示的法律、行政法规在专用条款内约定。</w:t>
      </w:r>
    </w:p>
    <w:p>
      <w:pPr>
        <w:spacing w:line="360" w:lineRule="auto"/>
        <w:rPr>
          <w:color w:val="auto"/>
          <w:highlight w:val="none"/>
        </w:rPr>
      </w:pPr>
      <w:r>
        <w:rPr>
          <w:color w:val="auto"/>
          <w:highlight w:val="none"/>
        </w:rPr>
        <w:t xml:space="preserve">    3.3 适用工程建设标准</w:t>
      </w:r>
    </w:p>
    <w:p>
      <w:pPr>
        <w:spacing w:line="360" w:lineRule="auto"/>
        <w:rPr>
          <w:color w:val="auto"/>
          <w:highlight w:val="none"/>
        </w:rPr>
      </w:pPr>
      <w:r>
        <w:rPr>
          <w:color w:val="auto"/>
          <w:highlight w:val="none"/>
        </w:rPr>
        <w:t xml:space="preserve">    双方在本合同专用条款内约定适用的工程建设标准的名称；本合同专用条款没有具体约定的，应使用总包合同中所规定的与分包工程有关的工程建设标准。承包人应按本合同专用条款约定的时间向分包人提供一式两份约定的工程建设标准。</w:t>
      </w:r>
    </w:p>
    <w:p>
      <w:pPr>
        <w:spacing w:line="360" w:lineRule="auto"/>
        <w:rPr>
          <w:color w:val="auto"/>
          <w:highlight w:val="none"/>
        </w:rPr>
      </w:pPr>
      <w:r>
        <w:rPr>
          <w:color w:val="auto"/>
          <w:highlight w:val="none"/>
        </w:rPr>
        <w:t xml:space="preserve">    本合同中没有相应工程建设标准的，应由承包人按照本合同专用条款约定的时间向分包人提出施工技术要求，分包人按约定的时间和要求提出施工工艺，经承包人确认后执行。</w:t>
      </w:r>
    </w:p>
    <w:p>
      <w:pPr>
        <w:pStyle w:val="6"/>
        <w:bidi w:val="0"/>
      </w:pPr>
      <w:r>
        <w:t>4、图纸</w:t>
      </w:r>
    </w:p>
    <w:p>
      <w:pPr>
        <w:spacing w:line="360" w:lineRule="auto"/>
        <w:rPr>
          <w:color w:val="auto"/>
          <w:highlight w:val="none"/>
        </w:rPr>
      </w:pPr>
      <w:r>
        <w:rPr>
          <w:color w:val="auto"/>
          <w:highlight w:val="none"/>
        </w:rPr>
        <w:t xml:space="preserve">    4.1 承包人应按照本合同专用条款约定的日期和套数，向分包人提供图纸。分包人需要增加约定以外图纸套数的，承包人应代为复制，复制费用由分包人承担；如根据总包合同，承包人对工程图纸负有保密义务的，分包人应负责分包工程范围内图纸的保密工作，分包人的保密义务在分包合同终止后，应当继续履行。</w:t>
      </w:r>
    </w:p>
    <w:p>
      <w:pPr>
        <w:spacing w:line="360" w:lineRule="auto"/>
        <w:rPr>
          <w:color w:val="auto"/>
          <w:highlight w:val="none"/>
        </w:rPr>
      </w:pPr>
      <w:r>
        <w:rPr>
          <w:color w:val="auto"/>
          <w:highlight w:val="none"/>
        </w:rPr>
        <w:t xml:space="preserve">    4.2 如分包工程的图纸不能完全满足施工需要，并且承包人委托分包人进行深化施工图设计的，分包人应在其设计资质等级和业务允许的范围内，在原分包工程图纸的基础上，根据国家有关工程建设标准进行深化设计，分包人的深化设计须经过承包人确认后方可进行施工。如分包人不具备相应的设计资质，应由承包人委托具有相应资质的单位进行深化设计。分包人应对自行设计的图纸负有全部的法律责任。</w:t>
      </w:r>
    </w:p>
    <w:p>
      <w:pPr>
        <w:spacing w:line="360" w:lineRule="auto"/>
        <w:rPr>
          <w:color w:val="auto"/>
          <w:highlight w:val="none"/>
        </w:rPr>
      </w:pPr>
      <w:r>
        <w:rPr>
          <w:color w:val="auto"/>
          <w:highlight w:val="none"/>
        </w:rPr>
        <w:tab/>
      </w:r>
      <w:r>
        <w:rPr>
          <w:color w:val="auto"/>
          <w:highlight w:val="none"/>
        </w:rPr>
        <w:t>关于承包人委托分包人进行深化施工图设计的范围及发生的费用，双方应在专用条款中约定。</w:t>
      </w:r>
    </w:p>
    <w:p>
      <w:pPr>
        <w:spacing w:line="360" w:lineRule="auto"/>
        <w:ind w:firstLine="420"/>
        <w:rPr>
          <w:color w:val="auto"/>
          <w:highlight w:val="none"/>
        </w:rPr>
      </w:pPr>
      <w:r>
        <w:rPr>
          <w:color w:val="auto"/>
          <w:highlight w:val="none"/>
        </w:rPr>
        <w:t>4.3承包人提供的图纸不能满足分包工程施工需要时，双方在专用条款内约定复制、重新绘制、翻译、购买标准图纸等的责任和费用承担。</w:t>
      </w:r>
    </w:p>
    <w:p>
      <w:pPr>
        <w:pStyle w:val="5"/>
        <w:bidi w:val="0"/>
      </w:pPr>
      <w:r>
        <w:t>二、双方一般权利和义务</w:t>
      </w:r>
    </w:p>
    <w:p>
      <w:pPr>
        <w:pStyle w:val="6"/>
        <w:bidi w:val="0"/>
      </w:pPr>
      <w:r>
        <w:t>5、总包合同</w:t>
      </w:r>
    </w:p>
    <w:p>
      <w:pPr>
        <w:spacing w:line="360" w:lineRule="auto"/>
        <w:rPr>
          <w:color w:val="auto"/>
          <w:highlight w:val="none"/>
        </w:rPr>
      </w:pPr>
      <w:r>
        <w:rPr>
          <w:color w:val="auto"/>
          <w:highlight w:val="none"/>
        </w:rPr>
        <w:t xml:space="preserve">    5.1 分包人对总包合同的了解</w:t>
      </w:r>
    </w:p>
    <w:p>
      <w:pPr>
        <w:spacing w:line="360" w:lineRule="auto"/>
        <w:rPr>
          <w:color w:val="auto"/>
          <w:highlight w:val="none"/>
        </w:rPr>
      </w:pPr>
      <w:r>
        <w:rPr>
          <w:color w:val="auto"/>
          <w:highlight w:val="none"/>
        </w:rPr>
        <w:t xml:space="preserve">    承包人应提供总包合同（有关承包工程的价格内容除外）供分包人查阅。当分包人要求时，承包人应向分包人提供一份总包合同（有关承包工程的价格内容除外）的副本或复印件。分包人应全面了解总包合同的各项规定（有关承包工程的价格内容除外）。</w:t>
      </w:r>
    </w:p>
    <w:p>
      <w:pPr>
        <w:spacing w:line="360" w:lineRule="auto"/>
        <w:rPr>
          <w:color w:val="auto"/>
          <w:highlight w:val="none"/>
        </w:rPr>
      </w:pPr>
      <w:r>
        <w:rPr>
          <w:color w:val="auto"/>
          <w:highlight w:val="none"/>
        </w:rPr>
        <w:t xml:space="preserve">    5.2 分包人对有关分包工程的责任</w:t>
      </w:r>
    </w:p>
    <w:p>
      <w:pPr>
        <w:spacing w:line="360" w:lineRule="auto"/>
        <w:ind w:firstLine="435"/>
        <w:rPr>
          <w:color w:val="auto"/>
          <w:highlight w:val="none"/>
        </w:rPr>
      </w:pPr>
      <w:r>
        <w:rPr>
          <w:color w:val="auto"/>
          <w:highlight w:val="none"/>
        </w:rPr>
        <w:t>除本合同条款另有约定，分包人应履行并承担总包合同中与分包工程有关的承包人的所有义务与责任，同时应避免因分包人自身行为或疏漏造成承包人违反总包合同中约定的承包人义务的情况发生。</w:t>
      </w:r>
    </w:p>
    <w:p>
      <w:pPr>
        <w:spacing w:line="360" w:lineRule="auto"/>
        <w:ind w:firstLine="435"/>
        <w:rPr>
          <w:color w:val="auto"/>
          <w:highlight w:val="none"/>
        </w:rPr>
      </w:pPr>
      <w:r>
        <w:rPr>
          <w:color w:val="auto"/>
          <w:highlight w:val="none"/>
        </w:rPr>
        <w:t>5.3 分包人与发包人的关系</w:t>
      </w:r>
    </w:p>
    <w:p>
      <w:pPr>
        <w:spacing w:line="360" w:lineRule="auto"/>
        <w:ind w:firstLine="435"/>
        <w:rPr>
          <w:color w:val="auto"/>
          <w:highlight w:val="none"/>
        </w:rPr>
      </w:pPr>
      <w:r>
        <w:rPr>
          <w:color w:val="auto"/>
          <w:highlight w:val="none"/>
        </w:rPr>
        <w:t>分包人须服从承包人转发的发包人或工程师与分包工程有关的指令。未经承包人允许，分包人不得以任何理由与发包人或工程师发生直接工作联系，分包人不得直接致函发包人或工程师，也不得直接接受发包人或工程师的指令。如分包人与发包人或工程师发生直接工作联系，将被视为违约，并承担违约责任。</w:t>
      </w:r>
    </w:p>
    <w:p>
      <w:pPr>
        <w:pStyle w:val="6"/>
        <w:bidi w:val="0"/>
      </w:pPr>
      <w:r>
        <w:t>6、指令和决定</w:t>
      </w:r>
    </w:p>
    <w:p>
      <w:pPr>
        <w:spacing w:line="360" w:lineRule="auto"/>
        <w:rPr>
          <w:color w:val="auto"/>
          <w:highlight w:val="none"/>
        </w:rPr>
      </w:pPr>
      <w:r>
        <w:rPr>
          <w:color w:val="auto"/>
          <w:highlight w:val="none"/>
        </w:rPr>
        <w:t xml:space="preserve">    6.1 承包人指令</w:t>
      </w:r>
    </w:p>
    <w:p>
      <w:pPr>
        <w:spacing w:line="360" w:lineRule="auto"/>
        <w:rPr>
          <w:color w:val="auto"/>
          <w:highlight w:val="none"/>
        </w:rPr>
      </w:pPr>
      <w:r>
        <w:rPr>
          <w:color w:val="auto"/>
          <w:highlight w:val="none"/>
        </w:rPr>
        <w:t xml:space="preserve">    就分包工程范围内的有关工作，承包人随时可以向分包人发出指令，分包人应执行承包人根据分包合同所发出的所有指令。分包人拒不执行指令，承包人可委托其他施工单位完成该指令事项，发生的费用从应付给分包人的相应款项中扣除。</w:t>
      </w:r>
    </w:p>
    <w:p>
      <w:pPr>
        <w:spacing w:line="360" w:lineRule="auto"/>
        <w:rPr>
          <w:color w:val="auto"/>
          <w:highlight w:val="none"/>
        </w:rPr>
      </w:pPr>
      <w:r>
        <w:rPr>
          <w:color w:val="auto"/>
          <w:highlight w:val="none"/>
        </w:rPr>
        <w:t xml:space="preserve">    6.2 发包人或工程师指令</w:t>
      </w:r>
    </w:p>
    <w:p>
      <w:pPr>
        <w:spacing w:line="360" w:lineRule="auto"/>
        <w:ind w:firstLine="420"/>
        <w:rPr>
          <w:color w:val="auto"/>
          <w:highlight w:val="none"/>
        </w:rPr>
      </w:pPr>
      <w:r>
        <w:rPr>
          <w:color w:val="auto"/>
          <w:highlight w:val="none"/>
        </w:rPr>
        <w:t>就分包工程范围内的有关工作，分包人应执行经承包人确认和转发的发包人或工程师发出的所有指令和决定。</w:t>
      </w:r>
    </w:p>
    <w:p>
      <w:pPr>
        <w:pStyle w:val="6"/>
        <w:bidi w:val="0"/>
      </w:pPr>
      <w:r>
        <w:t>7、项目经理</w:t>
      </w:r>
    </w:p>
    <w:p>
      <w:pPr>
        <w:spacing w:line="360" w:lineRule="auto"/>
        <w:ind w:firstLine="400" w:firstLineChars="200"/>
        <w:rPr>
          <w:b/>
          <w:color w:val="auto"/>
          <w:highlight w:val="none"/>
        </w:rPr>
      </w:pPr>
      <w:r>
        <w:rPr>
          <w:color w:val="auto"/>
          <w:highlight w:val="none"/>
        </w:rPr>
        <w:t>7.1 项目经理的姓名、职称在本合同专用条款内写明。</w:t>
      </w:r>
    </w:p>
    <w:p>
      <w:pPr>
        <w:spacing w:line="360" w:lineRule="auto"/>
        <w:rPr>
          <w:color w:val="auto"/>
          <w:highlight w:val="none"/>
        </w:rPr>
      </w:pPr>
      <w:r>
        <w:rPr>
          <w:color w:val="auto"/>
          <w:highlight w:val="none"/>
        </w:rPr>
        <w:t xml:space="preserve">    7.2 项目经理可授权具体的管理人员行使自己的部分权利，并在认为有必要时可撤回授权，授权和撤回均应提前7天以书面形式通知分包人，委派书及撤回通知作为分包合同的附件。</w:t>
      </w:r>
    </w:p>
    <w:p>
      <w:pPr>
        <w:spacing w:line="360" w:lineRule="auto"/>
        <w:rPr>
          <w:color w:val="auto"/>
          <w:highlight w:val="none"/>
        </w:rPr>
      </w:pPr>
      <w:r>
        <w:rPr>
          <w:color w:val="auto"/>
          <w:highlight w:val="none"/>
        </w:rPr>
        <w:t xml:space="preserve">    7.3 承包人所发出的指令、通知，由项目经理（或其授权人）签字后，以书面形式交给分包人，分包项目经理在回执上签署自己的姓名及收到时间后生效。确有必要时，项目经理可发出口头指令，并在48小时内给予书面确认。项目经理在48小时后未予书面确认的，分包人应于承包人发出口头指令后7天内提出书面确认要求，项目经理在分包人提出确认要求后7天内不予答复，应视为分包人要求已被确认。分包人认为承包人指令不合理，应在收到指令后24小时内提出书面申告，承包人在收到分包人申告后24小时内作出修改指令或继续执行原指令的决定，并以书面形式通知分包人。紧急情况下，项目经理可发出要求分包人立即执行的指令，分包人如有异议也应执行。如承包人发出错误的指令，并给分包人造成经济损失的，则承包人应给予分包人相应的补偿，但因分包人违反分包合同引起的损失除外。</w:t>
      </w:r>
    </w:p>
    <w:p>
      <w:pPr>
        <w:spacing w:line="360" w:lineRule="auto"/>
        <w:rPr>
          <w:color w:val="auto"/>
          <w:highlight w:val="none"/>
        </w:rPr>
      </w:pPr>
      <w:r>
        <w:rPr>
          <w:color w:val="auto"/>
          <w:highlight w:val="none"/>
        </w:rPr>
        <w:t xml:space="preserve">    7.4 项目经理应按分包合同的约定，及时向分包人提供所需的指令、批准、图纸并履行其它约定的义务，否则分包人应在约定时间后24小时内将具体要求、需要的理由及延误的后果通知承包人，项目经理在收到通知后48小时内不予答复，应承担因延误造成的损失。</w:t>
      </w:r>
    </w:p>
    <w:p>
      <w:pPr>
        <w:spacing w:line="360" w:lineRule="auto"/>
        <w:rPr>
          <w:color w:val="auto"/>
          <w:highlight w:val="none"/>
        </w:rPr>
      </w:pPr>
      <w:r>
        <w:rPr>
          <w:color w:val="auto"/>
          <w:highlight w:val="none"/>
        </w:rPr>
        <w:t xml:space="preserve">    7.5 承包人如需更换项目经理，应至少提前7天以书面形式通知分包人，后任继续行使前任的职权，履行前任的义务。</w:t>
      </w:r>
    </w:p>
    <w:p>
      <w:pPr>
        <w:pStyle w:val="6"/>
        <w:bidi w:val="0"/>
      </w:pPr>
      <w:r>
        <w:t>8、分包项目经理</w:t>
      </w:r>
    </w:p>
    <w:p>
      <w:pPr>
        <w:spacing w:line="360" w:lineRule="auto"/>
        <w:ind w:firstLine="400" w:firstLineChars="200"/>
        <w:rPr>
          <w:b/>
          <w:color w:val="auto"/>
          <w:highlight w:val="none"/>
        </w:rPr>
      </w:pPr>
      <w:r>
        <w:rPr>
          <w:color w:val="auto"/>
          <w:highlight w:val="none"/>
        </w:rPr>
        <w:t>8.1 分包项目经理的姓名、职称在本合同专用条款内写明。</w:t>
      </w:r>
    </w:p>
    <w:p>
      <w:pPr>
        <w:spacing w:line="360" w:lineRule="auto"/>
        <w:rPr>
          <w:color w:val="auto"/>
          <w:highlight w:val="none"/>
        </w:rPr>
      </w:pPr>
      <w:r>
        <w:rPr>
          <w:color w:val="auto"/>
          <w:highlight w:val="none"/>
        </w:rPr>
        <w:t xml:space="preserve">    8.2 分包人依据合同发出的请求和通知，以书面形式由分包项目经理签字后送交项目经理，项目经理在回执上签署姓名和收到的时间后生效。</w:t>
      </w:r>
    </w:p>
    <w:p>
      <w:pPr>
        <w:spacing w:line="360" w:lineRule="auto"/>
        <w:rPr>
          <w:color w:val="auto"/>
          <w:highlight w:val="none"/>
        </w:rPr>
      </w:pPr>
      <w:r>
        <w:rPr>
          <w:color w:val="auto"/>
          <w:highlight w:val="none"/>
        </w:rPr>
        <w:t xml:space="preserve">    8.3分包项目经理按项目经理批准的施工组织设计（或施工方案）和依据分包合同发出的指令组织施工。在情况紧急且无法与项目经理取得联系时，分包项目经理应采取保证人员生命和工程、财产安全的紧急措施，并在采取措施后48小时内向项目经理送交报告。责任在承包人或第三人，由承包人承担由此发生的追加合同价款，相应顺延工期；责任在分包人，由分包人承担费用，不顺延工期。</w:t>
      </w:r>
    </w:p>
    <w:p>
      <w:pPr>
        <w:spacing w:line="360" w:lineRule="auto"/>
        <w:ind w:firstLine="400" w:firstLineChars="200"/>
        <w:rPr>
          <w:color w:val="auto"/>
          <w:highlight w:val="none"/>
        </w:rPr>
      </w:pPr>
      <w:r>
        <w:rPr>
          <w:color w:val="auto"/>
          <w:highlight w:val="none"/>
        </w:rPr>
        <w:t>8.4 分包人如需更换分包项目经理，应至少提前7天以书面形式通知承包人，并征得承包人同意，后任继续行使前任的职权，履行前任的义务。</w:t>
      </w:r>
    </w:p>
    <w:p>
      <w:pPr>
        <w:spacing w:line="360" w:lineRule="auto"/>
        <w:ind w:firstLine="400" w:firstLineChars="200"/>
        <w:rPr>
          <w:color w:val="auto"/>
          <w:highlight w:val="none"/>
        </w:rPr>
      </w:pPr>
      <w:r>
        <w:rPr>
          <w:color w:val="auto"/>
          <w:highlight w:val="none"/>
        </w:rPr>
        <w:t>8.5 承包人可与分包人协商，建议更换其认为不称职的分包项目经理。</w:t>
      </w:r>
    </w:p>
    <w:p>
      <w:pPr>
        <w:pStyle w:val="6"/>
        <w:bidi w:val="0"/>
      </w:pPr>
      <w:r>
        <w:t>9、承包人的工作</w:t>
      </w:r>
    </w:p>
    <w:p>
      <w:pPr>
        <w:spacing w:line="360" w:lineRule="auto"/>
        <w:rPr>
          <w:color w:val="auto"/>
          <w:highlight w:val="none"/>
        </w:rPr>
      </w:pPr>
      <w:r>
        <w:rPr>
          <w:color w:val="auto"/>
          <w:highlight w:val="none"/>
        </w:rPr>
        <w:t xml:space="preserve">    9.1 承包人应按本合同专用条款约定的内容和时间，一次或分阶段完成下列工作：</w:t>
      </w:r>
    </w:p>
    <w:p>
      <w:pPr>
        <w:spacing w:line="360" w:lineRule="auto"/>
        <w:rPr>
          <w:color w:val="auto"/>
          <w:highlight w:val="none"/>
        </w:rPr>
      </w:pPr>
      <w:r>
        <w:rPr>
          <w:color w:val="auto"/>
          <w:highlight w:val="none"/>
        </w:rPr>
        <w:t xml:space="preserve">    （1）向分包人提供根据总包合同由发包人办理的与分包工程相关的各种证件、批件、各种相关资料，向分包人提供具备施工条件的施工场地。</w:t>
      </w:r>
    </w:p>
    <w:p>
      <w:pPr>
        <w:spacing w:line="360" w:lineRule="auto"/>
        <w:rPr>
          <w:color w:val="auto"/>
          <w:highlight w:val="none"/>
        </w:rPr>
      </w:pPr>
      <w:r>
        <w:rPr>
          <w:color w:val="auto"/>
          <w:highlight w:val="none"/>
        </w:rPr>
        <w:t xml:space="preserve">    （2）按本合同专用条款约定的时间，组织分包人参加发包人组织的图纸会审，向分包人进行设计图纸交底。</w:t>
      </w:r>
    </w:p>
    <w:p>
      <w:pPr>
        <w:spacing w:line="360" w:lineRule="auto"/>
        <w:rPr>
          <w:color w:val="auto"/>
          <w:highlight w:val="none"/>
        </w:rPr>
      </w:pPr>
      <w:r>
        <w:rPr>
          <w:color w:val="auto"/>
          <w:highlight w:val="none"/>
        </w:rPr>
        <w:t xml:space="preserve">    （3）提供本合同专用条款中约定的设备和设施，并承担因此发生的费用。</w:t>
      </w:r>
    </w:p>
    <w:p>
      <w:pPr>
        <w:spacing w:line="360" w:lineRule="auto"/>
        <w:rPr>
          <w:color w:val="auto"/>
          <w:highlight w:val="none"/>
        </w:rPr>
      </w:pPr>
      <w:r>
        <w:rPr>
          <w:color w:val="auto"/>
          <w:highlight w:val="none"/>
        </w:rPr>
        <w:t xml:space="preserve">    （4）随时为分包人提供确保分包工程的施工所要求的施工场地和通道等，满足施工运输的需要，保证施工期间的畅通。</w:t>
      </w:r>
    </w:p>
    <w:p>
      <w:pPr>
        <w:spacing w:line="360" w:lineRule="auto"/>
        <w:ind w:firstLine="435"/>
        <w:rPr>
          <w:color w:val="auto"/>
          <w:highlight w:val="none"/>
        </w:rPr>
      </w:pPr>
      <w:r>
        <w:rPr>
          <w:color w:val="auto"/>
          <w:highlight w:val="none"/>
        </w:rPr>
        <w:t>（5）负责整个施工场地的管理工作，协调分包人与同一施工场地的其它分包人之间的交叉配合，确保分包人按照经批准的施工组织设计进行施工。</w:t>
      </w:r>
    </w:p>
    <w:p>
      <w:pPr>
        <w:spacing w:line="360" w:lineRule="auto"/>
        <w:ind w:firstLine="435"/>
        <w:rPr>
          <w:color w:val="auto"/>
          <w:highlight w:val="none"/>
        </w:rPr>
      </w:pPr>
      <w:r>
        <w:rPr>
          <w:color w:val="auto"/>
          <w:highlight w:val="none"/>
        </w:rPr>
        <w:t>（6）承包人应做的其他工作，双方在本合同专用条款内约定。</w:t>
      </w:r>
    </w:p>
    <w:p>
      <w:pPr>
        <w:spacing w:line="360" w:lineRule="auto"/>
        <w:ind w:firstLine="435"/>
        <w:rPr>
          <w:color w:val="auto"/>
          <w:highlight w:val="none"/>
        </w:rPr>
      </w:pPr>
      <w:r>
        <w:rPr>
          <w:color w:val="auto"/>
          <w:highlight w:val="none"/>
        </w:rPr>
        <w:t xml:space="preserve"> 9.2 承包人未履行前款各项义务，导致工期延误或给分包人造成损失的，承包人赔偿分包人的相应损失，顺延延误的工期。</w:t>
      </w:r>
    </w:p>
    <w:p>
      <w:pPr>
        <w:pStyle w:val="6"/>
        <w:bidi w:val="0"/>
      </w:pPr>
      <w:r>
        <w:t>10、分包人的工作</w:t>
      </w:r>
    </w:p>
    <w:p>
      <w:pPr>
        <w:spacing w:line="360" w:lineRule="auto"/>
        <w:rPr>
          <w:color w:val="auto"/>
          <w:highlight w:val="none"/>
        </w:rPr>
      </w:pPr>
      <w:r>
        <w:rPr>
          <w:color w:val="auto"/>
          <w:highlight w:val="none"/>
        </w:rPr>
        <w:t xml:space="preserve">    10.1分包人应按本合同专用条款约定的内容和时间，完成下列工作：</w:t>
      </w:r>
    </w:p>
    <w:p>
      <w:pPr>
        <w:spacing w:line="360" w:lineRule="auto"/>
        <w:rPr>
          <w:color w:val="auto"/>
          <w:highlight w:val="none"/>
        </w:rPr>
      </w:pPr>
      <w:r>
        <w:rPr>
          <w:color w:val="auto"/>
          <w:highlight w:val="none"/>
        </w:rPr>
        <w:t xml:space="preserve">    （1）分包人应按照分包合同的约定，对分包工程进行设计（分包合同有约定时）、施工、竣工和保修。分包人在审阅分包合同和（或）总包合同时，或在分包合同的施工中，如发现分包工程的设计或工程建设标准、技术要求存在错误、遗漏、失误或其它缺陷，应立即通知承包人。</w:t>
      </w:r>
    </w:p>
    <w:p>
      <w:pPr>
        <w:spacing w:line="360" w:lineRule="auto"/>
        <w:ind w:firstLine="435"/>
        <w:rPr>
          <w:color w:val="auto"/>
          <w:highlight w:val="none"/>
        </w:rPr>
      </w:pPr>
      <w:r>
        <w:rPr>
          <w:color w:val="auto"/>
          <w:highlight w:val="none"/>
        </w:rPr>
        <w:t>（2）按照本合同专用条款约定的时间，完成规定的设计内容，报承包人确认后在分包工程中使用。承包人承担由此发生的费用。</w:t>
      </w:r>
    </w:p>
    <w:p>
      <w:pPr>
        <w:spacing w:line="360" w:lineRule="auto"/>
        <w:ind w:firstLine="435"/>
        <w:rPr>
          <w:color w:val="auto"/>
          <w:highlight w:val="none"/>
        </w:rPr>
      </w:pPr>
      <w:r>
        <w:rPr>
          <w:color w:val="auto"/>
          <w:highlight w:val="none"/>
        </w:rPr>
        <w:t>（3）在本合同专用条款约定的时间内，向承包人提供年、季、月度工程进度计划及相应进度统计报表。分包人不能按承包人批准的进度计划施工时，应根据承包人的要求提交一份修订的进度计划，以保证分包工程如期竣工。</w:t>
      </w:r>
    </w:p>
    <w:p>
      <w:pPr>
        <w:spacing w:line="360" w:lineRule="auto"/>
        <w:rPr>
          <w:color w:val="auto"/>
          <w:highlight w:val="none"/>
        </w:rPr>
      </w:pPr>
      <w:r>
        <w:rPr>
          <w:color w:val="auto"/>
          <w:highlight w:val="none"/>
        </w:rPr>
        <w:t xml:space="preserve">    （4）分包人应在专用条款约定的时间内，向承包人提交一份详细施工组织设计，承包人应在专用条款约定的时间内批准，分包人方可执行。</w:t>
      </w:r>
    </w:p>
    <w:p>
      <w:pPr>
        <w:spacing w:line="360" w:lineRule="auto"/>
        <w:rPr>
          <w:color w:val="auto"/>
          <w:highlight w:val="none"/>
        </w:rPr>
      </w:pPr>
      <w:r>
        <w:rPr>
          <w:color w:val="auto"/>
          <w:highlight w:val="none"/>
        </w:rPr>
        <w:t xml:space="preserve">    （5）遵守政府有关主管部门对施工场地交通、施工噪音以及环境保护和安全文明生产等的管理规定，按规定办理有关手续，并以书面形式通知承包人，承包人承担由此发生的费用，因分包人责任造成的罚款除外。</w:t>
      </w:r>
    </w:p>
    <w:p>
      <w:pPr>
        <w:spacing w:line="360" w:lineRule="auto"/>
        <w:rPr>
          <w:color w:val="auto"/>
          <w:highlight w:val="none"/>
        </w:rPr>
      </w:pPr>
      <w:r>
        <w:rPr>
          <w:color w:val="auto"/>
          <w:highlight w:val="none"/>
        </w:rPr>
        <w:t xml:space="preserve">    （6）分包人应允许承包人、发包人、工程师及其三方中任何一方授权的人员在工作时间内，合理进入分包工程施工场地或材料存放的地点，以及施工场地以外与分包合同有关的分包人的任何工作或准备的地点，分包人应提供方便。</w:t>
      </w:r>
    </w:p>
    <w:p>
      <w:pPr>
        <w:spacing w:line="360" w:lineRule="auto"/>
        <w:ind w:firstLine="435"/>
        <w:rPr>
          <w:color w:val="auto"/>
          <w:highlight w:val="none"/>
        </w:rPr>
      </w:pPr>
      <w:r>
        <w:rPr>
          <w:color w:val="auto"/>
          <w:highlight w:val="none"/>
        </w:rPr>
        <w:t>（7）已竣工工程未交付承包人之前，分包人应负责已完分包工程的成品保护工作，保护期间发生损坏，分包人自费予以修复；承包人要求分包人采取特殊措施保护的工程部位和相应的追加合同价款，双方在本合同专用条款内约定。</w:t>
      </w:r>
    </w:p>
    <w:p>
      <w:pPr>
        <w:spacing w:line="360" w:lineRule="auto"/>
        <w:ind w:firstLine="435"/>
        <w:rPr>
          <w:color w:val="auto"/>
          <w:highlight w:val="none"/>
        </w:rPr>
      </w:pPr>
      <w:r>
        <w:rPr>
          <w:color w:val="auto"/>
          <w:highlight w:val="none"/>
        </w:rPr>
        <w:t>（8）分包人应做的其他工作，双方在本合同专用条款内约定。</w:t>
      </w:r>
    </w:p>
    <w:p>
      <w:pPr>
        <w:spacing w:line="360" w:lineRule="auto"/>
        <w:rPr>
          <w:color w:val="auto"/>
          <w:highlight w:val="none"/>
        </w:rPr>
      </w:pPr>
      <w:r>
        <w:rPr>
          <w:color w:val="auto"/>
          <w:highlight w:val="none"/>
        </w:rPr>
        <w:t xml:space="preserve">     10.2 分包人未履行前款各项义务，造成承包人损失的，分包人赔偿承包人有关损失。</w:t>
      </w:r>
    </w:p>
    <w:p>
      <w:pPr>
        <w:pStyle w:val="6"/>
        <w:bidi w:val="0"/>
      </w:pPr>
      <w:r>
        <w:t>11、总包合同解除</w:t>
      </w:r>
    </w:p>
    <w:p>
      <w:pPr>
        <w:spacing w:line="360" w:lineRule="auto"/>
        <w:rPr>
          <w:color w:val="auto"/>
          <w:highlight w:val="none"/>
        </w:rPr>
      </w:pPr>
      <w:r>
        <w:rPr>
          <w:color w:val="auto"/>
          <w:highlight w:val="none"/>
        </w:rPr>
        <w:t xml:space="preserve">    11.1 如在分包人没有全面履行分包合同义务之前，总包合同解除，则承包人应及时通知分包人解除分包合同，分包人接到通知后应尽快撤离现场。</w:t>
      </w:r>
    </w:p>
    <w:p>
      <w:pPr>
        <w:spacing w:line="360" w:lineRule="auto"/>
        <w:rPr>
          <w:color w:val="auto"/>
          <w:highlight w:val="none"/>
        </w:rPr>
      </w:pPr>
      <w:r>
        <w:rPr>
          <w:color w:val="auto"/>
          <w:highlight w:val="none"/>
        </w:rPr>
        <w:t xml:space="preserve">    11.2 因本合同第11.1款原因终止分包合同，分包人可以得到：已完工程价款、分包人员工的遣散费、二次搬运费等补偿。 如本合同第11.1款约定的总包合同终止是因为分包人的严重违约，则只能得到已完工程价款补偿。</w:t>
      </w:r>
    </w:p>
    <w:p>
      <w:pPr>
        <w:spacing w:line="360" w:lineRule="auto"/>
        <w:rPr>
          <w:color w:val="auto"/>
          <w:highlight w:val="none"/>
        </w:rPr>
      </w:pPr>
      <w:r>
        <w:rPr>
          <w:color w:val="auto"/>
          <w:highlight w:val="none"/>
        </w:rPr>
        <w:t xml:space="preserve">    11.3 在本合同第11.1款解除分包合同的情况下，分包人经承包人同意为分包工程已采购或已运至施工场地的材料设备，应全部移交给承包人，由承包人按本合同专用条款约定的价格支付给分包人。</w:t>
      </w:r>
    </w:p>
    <w:p>
      <w:pPr>
        <w:pStyle w:val="6"/>
        <w:bidi w:val="0"/>
      </w:pPr>
      <w:r>
        <w:t>12、转包与再分包</w:t>
      </w:r>
    </w:p>
    <w:p>
      <w:pPr>
        <w:spacing w:line="360" w:lineRule="auto"/>
        <w:ind w:firstLine="435"/>
        <w:rPr>
          <w:color w:val="auto"/>
          <w:highlight w:val="none"/>
        </w:rPr>
      </w:pPr>
      <w:r>
        <w:rPr>
          <w:bCs/>
          <w:color w:val="auto"/>
          <w:highlight w:val="none"/>
        </w:rPr>
        <w:t>12</w:t>
      </w:r>
      <w:r>
        <w:rPr>
          <w:color w:val="auto"/>
          <w:highlight w:val="none"/>
        </w:rPr>
        <w:t>.</w:t>
      </w:r>
      <w:r>
        <w:rPr>
          <w:bCs/>
          <w:color w:val="auto"/>
          <w:highlight w:val="none"/>
        </w:rPr>
        <w:t>1 除12</w:t>
      </w:r>
      <w:r>
        <w:rPr>
          <w:color w:val="auto"/>
          <w:highlight w:val="none"/>
        </w:rPr>
        <w:t>.2款规定的情况外，</w:t>
      </w:r>
      <w:r>
        <w:rPr>
          <w:bCs/>
          <w:color w:val="auto"/>
          <w:highlight w:val="none"/>
        </w:rPr>
        <w:t>分包人不得将其承包的分包工程转包给他人，也不得将其承包的分包工程的全部或部分再分包给他人。如分包人将其承包的分包工程转包或再分包，将</w:t>
      </w:r>
      <w:r>
        <w:rPr>
          <w:color w:val="auto"/>
          <w:highlight w:val="none"/>
        </w:rPr>
        <w:t>被视为违约，并承担违约责任。</w:t>
      </w:r>
    </w:p>
    <w:p>
      <w:pPr>
        <w:spacing w:line="360" w:lineRule="auto"/>
        <w:ind w:firstLine="400" w:firstLineChars="200"/>
        <w:rPr>
          <w:color w:val="auto"/>
          <w:highlight w:val="none"/>
        </w:rPr>
      </w:pPr>
      <w:r>
        <w:rPr>
          <w:bCs/>
          <w:color w:val="auto"/>
          <w:highlight w:val="none"/>
        </w:rPr>
        <w:t>12</w:t>
      </w:r>
      <w:r>
        <w:rPr>
          <w:color w:val="auto"/>
          <w:highlight w:val="none"/>
        </w:rPr>
        <w:t>.2 分包人经承包人同意可以将劳务作业再分包给具有相应劳务分包资质的劳务分包企业。</w:t>
      </w:r>
    </w:p>
    <w:p>
      <w:pPr>
        <w:spacing w:line="360" w:lineRule="auto"/>
        <w:ind w:firstLine="400" w:firstLineChars="200"/>
        <w:rPr>
          <w:bCs/>
          <w:color w:val="auto"/>
          <w:highlight w:val="none"/>
        </w:rPr>
      </w:pPr>
      <w:r>
        <w:rPr>
          <w:bCs/>
          <w:color w:val="auto"/>
          <w:highlight w:val="none"/>
        </w:rPr>
        <w:t>12</w:t>
      </w:r>
      <w:r>
        <w:rPr>
          <w:color w:val="auto"/>
          <w:highlight w:val="none"/>
        </w:rPr>
        <w:t>.3 分包人应对再分包的劳务作业的质量等相关事宜进行督促和检查，并承担相关连带责任。</w:t>
      </w:r>
    </w:p>
    <w:p>
      <w:pPr>
        <w:pStyle w:val="5"/>
        <w:bidi w:val="0"/>
      </w:pPr>
      <w:r>
        <w:t>三、工期</w:t>
      </w:r>
    </w:p>
    <w:p>
      <w:pPr>
        <w:pStyle w:val="6"/>
        <w:bidi w:val="0"/>
      </w:pPr>
      <w:r>
        <w:t>13、开工与延期开工</w:t>
      </w:r>
    </w:p>
    <w:p>
      <w:pPr>
        <w:spacing w:line="360" w:lineRule="auto"/>
        <w:rPr>
          <w:color w:val="auto"/>
          <w:highlight w:val="none"/>
        </w:rPr>
      </w:pPr>
      <w:r>
        <w:rPr>
          <w:color w:val="auto"/>
          <w:highlight w:val="none"/>
        </w:rPr>
        <w:t xml:space="preserve">    13.1 分包人应当按照本合同协议书约定的开工日期开工。分包人不能按时开工，应当不迟于本合同协议书约定的开工日期前5天，以书面形式向承包人提出延期开工的理由。承包人应当在接到延期开工申请后的48小时内以书面形式答复分包人。承包人在接到延期开工申请后48小时内不答复，视为同意分包人要求，工期相应顺延。承包人不同意延期要求或分包人未在规定时间内提出延期开工要求，工期不予顺延。</w:t>
      </w:r>
    </w:p>
    <w:p>
      <w:pPr>
        <w:spacing w:line="360" w:lineRule="auto"/>
        <w:rPr>
          <w:color w:val="auto"/>
          <w:highlight w:val="none"/>
        </w:rPr>
      </w:pPr>
      <w:r>
        <w:rPr>
          <w:color w:val="auto"/>
          <w:highlight w:val="none"/>
        </w:rPr>
        <w:t xml:space="preserve">    13.2 因承包人原因不能按照本合同协议书约定的开工日期开工，项目经理应以书面形式通知分包人，推迟开工日期。承包人赔偿分包人因延期开工造成的损失，并相应顺延工期。</w:t>
      </w:r>
    </w:p>
    <w:p>
      <w:pPr>
        <w:spacing w:line="360" w:lineRule="auto"/>
        <w:rPr>
          <w:color w:val="auto"/>
          <w:highlight w:val="none"/>
        </w:rPr>
      </w:pPr>
      <w:r>
        <w:rPr>
          <w:color w:val="auto"/>
          <w:highlight w:val="none"/>
        </w:rPr>
        <w:t xml:space="preserve">   14、工期延误</w:t>
      </w:r>
    </w:p>
    <w:p>
      <w:pPr>
        <w:spacing w:line="360" w:lineRule="auto"/>
        <w:rPr>
          <w:color w:val="auto"/>
          <w:highlight w:val="none"/>
        </w:rPr>
      </w:pPr>
      <w:r>
        <w:rPr>
          <w:color w:val="auto"/>
          <w:highlight w:val="none"/>
        </w:rPr>
        <w:t xml:space="preserve">    14.1 因下列原因之一造成分包工程工期延误，经项目经理确认，工期相应顺延：</w:t>
      </w:r>
    </w:p>
    <w:p>
      <w:pPr>
        <w:spacing w:line="360" w:lineRule="auto"/>
        <w:ind w:firstLine="420"/>
        <w:rPr>
          <w:color w:val="auto"/>
          <w:highlight w:val="none"/>
        </w:rPr>
      </w:pPr>
      <w:r>
        <w:rPr>
          <w:color w:val="auto"/>
          <w:highlight w:val="none"/>
        </w:rPr>
        <w:t>（1）承包人根据总包合同从工程师处获得与分包合同相关的竣工时间延长；</w:t>
      </w:r>
    </w:p>
    <w:p>
      <w:pPr>
        <w:spacing w:line="360" w:lineRule="auto"/>
        <w:ind w:firstLine="420"/>
        <w:rPr>
          <w:color w:val="auto"/>
          <w:highlight w:val="none"/>
        </w:rPr>
      </w:pPr>
      <w:r>
        <w:rPr>
          <w:color w:val="auto"/>
          <w:highlight w:val="none"/>
        </w:rPr>
        <w:t>（2）承包人未按本合同专用条款的约定提供图纸、开工条件、设备设施、施工场地；</w:t>
      </w:r>
    </w:p>
    <w:p>
      <w:pPr>
        <w:spacing w:line="360" w:lineRule="auto"/>
        <w:ind w:firstLine="420"/>
        <w:rPr>
          <w:color w:val="auto"/>
          <w:highlight w:val="none"/>
        </w:rPr>
      </w:pPr>
      <w:r>
        <w:rPr>
          <w:color w:val="auto"/>
          <w:highlight w:val="none"/>
        </w:rPr>
        <w:t>（3）承包人未按约定日期支付工程预付款、进度款，致使分包工程施工不能正常进行；</w:t>
      </w:r>
    </w:p>
    <w:p>
      <w:pPr>
        <w:spacing w:line="360" w:lineRule="auto"/>
        <w:ind w:firstLine="420"/>
        <w:rPr>
          <w:color w:val="auto"/>
          <w:highlight w:val="none"/>
        </w:rPr>
      </w:pPr>
      <w:r>
        <w:rPr>
          <w:color w:val="auto"/>
          <w:highlight w:val="none"/>
        </w:rPr>
        <w:t>（4）项目经理未按分包合同约定提供所需的指令、批准或所发出的指令错误，致使分包工程施工不能正常进行；</w:t>
      </w:r>
    </w:p>
    <w:p>
      <w:pPr>
        <w:spacing w:line="360" w:lineRule="auto"/>
        <w:ind w:firstLine="420"/>
        <w:rPr>
          <w:color w:val="auto"/>
          <w:highlight w:val="none"/>
        </w:rPr>
      </w:pPr>
      <w:r>
        <w:rPr>
          <w:color w:val="auto"/>
          <w:highlight w:val="none"/>
        </w:rPr>
        <w:t>（5）非分包人原因的分包工程范围内的工程变更及工程量增加；</w:t>
      </w:r>
    </w:p>
    <w:p>
      <w:pPr>
        <w:spacing w:line="360" w:lineRule="auto"/>
        <w:ind w:firstLine="420"/>
        <w:rPr>
          <w:color w:val="auto"/>
          <w:highlight w:val="none"/>
        </w:rPr>
      </w:pPr>
      <w:r>
        <w:rPr>
          <w:color w:val="auto"/>
          <w:highlight w:val="none"/>
        </w:rPr>
        <w:t>（6）不可抗力的原因；</w:t>
      </w:r>
    </w:p>
    <w:p>
      <w:pPr>
        <w:spacing w:line="360" w:lineRule="auto"/>
        <w:ind w:firstLine="420"/>
        <w:rPr>
          <w:color w:val="auto"/>
          <w:highlight w:val="none"/>
        </w:rPr>
      </w:pPr>
      <w:r>
        <w:rPr>
          <w:color w:val="auto"/>
          <w:highlight w:val="none"/>
        </w:rPr>
        <w:t>（7）本合同专用条款中约定的或项目经理同意工期顺延的其他情况。</w:t>
      </w:r>
    </w:p>
    <w:p>
      <w:pPr>
        <w:spacing w:line="360" w:lineRule="auto"/>
        <w:rPr>
          <w:color w:val="auto"/>
          <w:highlight w:val="none"/>
        </w:rPr>
      </w:pPr>
      <w:r>
        <w:rPr>
          <w:color w:val="auto"/>
          <w:highlight w:val="none"/>
        </w:rPr>
        <w:t xml:space="preserve">    14.2 分包人应在14.1款约定情况发生后14天内，就延误的工期以书面形式向承包人提出报告。承包人在收到报告后14天内予以确认，逾期不予确认也不提出修改意见，视为同意顺延工期。</w:t>
      </w:r>
    </w:p>
    <w:p>
      <w:pPr>
        <w:pStyle w:val="6"/>
        <w:bidi w:val="0"/>
      </w:pPr>
      <w:r>
        <w:t>15、暂停施工</w:t>
      </w:r>
    </w:p>
    <w:p>
      <w:pPr>
        <w:spacing w:line="360" w:lineRule="auto"/>
        <w:ind w:firstLine="420"/>
        <w:rPr>
          <w:color w:val="auto"/>
          <w:highlight w:val="none"/>
        </w:rPr>
      </w:pPr>
      <w:r>
        <w:rPr>
          <w:color w:val="auto"/>
          <w:highlight w:val="none"/>
        </w:rPr>
        <w:t>15.1 发包人或工程师认为确有必要暂停施工时，应以书面形式通过承包人向分包人发出暂停施工指令，并在提出要求后48小时内提出书面处理意见。分包人停工和复工程序以及暂停施工所发生的费用，按总包合同相应条款履行。</w:t>
      </w:r>
    </w:p>
    <w:p>
      <w:pPr>
        <w:pStyle w:val="6"/>
        <w:bidi w:val="0"/>
      </w:pPr>
      <w:r>
        <w:t>16、工程竣工</w:t>
      </w:r>
    </w:p>
    <w:p>
      <w:pPr>
        <w:spacing w:line="360" w:lineRule="auto"/>
        <w:ind w:firstLine="400" w:firstLineChars="200"/>
        <w:rPr>
          <w:color w:val="auto"/>
          <w:highlight w:val="none"/>
        </w:rPr>
      </w:pPr>
      <w:r>
        <w:rPr>
          <w:color w:val="auto"/>
          <w:highlight w:val="none"/>
        </w:rPr>
        <w:t>16.1 分包人应按照本合同协议书约定的竣工日期或承包人同意顺延的工期竣工。</w:t>
      </w:r>
    </w:p>
    <w:p>
      <w:pPr>
        <w:spacing w:line="360" w:lineRule="auto"/>
        <w:rPr>
          <w:color w:val="auto"/>
          <w:highlight w:val="none"/>
        </w:rPr>
      </w:pPr>
      <w:r>
        <w:rPr>
          <w:color w:val="auto"/>
          <w:highlight w:val="none"/>
        </w:rPr>
        <w:t xml:space="preserve">    16.2 因分包人原因不能按照本合同协议书约定的竣工日期或承包人同意顺延的工期竣工的，分包人承担违约责任。</w:t>
      </w:r>
    </w:p>
    <w:p>
      <w:pPr>
        <w:spacing w:line="360" w:lineRule="auto"/>
        <w:ind w:firstLine="420"/>
        <w:rPr>
          <w:color w:val="auto"/>
          <w:highlight w:val="none"/>
        </w:rPr>
      </w:pPr>
      <w:r>
        <w:rPr>
          <w:color w:val="auto"/>
          <w:highlight w:val="none"/>
        </w:rPr>
        <w:t>16.3 提前竣工程序按总包合同相应条款履行。</w:t>
      </w:r>
    </w:p>
    <w:p>
      <w:pPr>
        <w:pStyle w:val="5"/>
        <w:bidi w:val="0"/>
      </w:pPr>
      <w:r>
        <w:t>四、质量与安全</w:t>
      </w:r>
    </w:p>
    <w:p>
      <w:pPr>
        <w:pStyle w:val="6"/>
        <w:bidi w:val="0"/>
      </w:pPr>
      <w:r>
        <w:t>17、质量检查与验收</w:t>
      </w:r>
    </w:p>
    <w:p>
      <w:pPr>
        <w:spacing w:line="360" w:lineRule="auto"/>
        <w:ind w:firstLine="420"/>
        <w:rPr>
          <w:color w:val="auto"/>
          <w:highlight w:val="none"/>
        </w:rPr>
      </w:pPr>
      <w:r>
        <w:rPr>
          <w:color w:val="auto"/>
          <w:highlight w:val="none"/>
        </w:rPr>
        <w:t>17.1 分包工程质量应达到本合同协议书和本合同专用条款约定的工程质量标准，质量评定标准按照总包合同相应条款履行。因分包人原因工程质量达不到约定的质量标准，分包人应承担违约责任，违约金计算方法或额度在本合同专用条款内约定。</w:t>
      </w:r>
    </w:p>
    <w:p>
      <w:pPr>
        <w:spacing w:line="360" w:lineRule="auto"/>
        <w:ind w:firstLine="420"/>
        <w:rPr>
          <w:color w:val="auto"/>
          <w:highlight w:val="none"/>
        </w:rPr>
      </w:pPr>
      <w:r>
        <w:rPr>
          <w:color w:val="auto"/>
          <w:highlight w:val="none"/>
        </w:rPr>
        <w:t>17.2 双方对工程质量的争议，按照总包合同相应的条款履行。</w:t>
      </w:r>
    </w:p>
    <w:p>
      <w:pPr>
        <w:spacing w:line="360" w:lineRule="auto"/>
        <w:ind w:firstLine="400" w:firstLineChars="200"/>
        <w:rPr>
          <w:color w:val="auto"/>
          <w:highlight w:val="none"/>
        </w:rPr>
      </w:pPr>
      <w:r>
        <w:rPr>
          <w:color w:val="auto"/>
          <w:highlight w:val="none"/>
        </w:rPr>
        <w:t>17.3 分包工程的检查、验收及工程试车等，按照总包合同相应的条款履行。分包人应就分包工程向承包人承担总包合同约定的承包人应承担的义务，但并不免除承包人根据总包合同应承担的总包质量管理的责任。</w:t>
      </w:r>
    </w:p>
    <w:p>
      <w:pPr>
        <w:spacing w:line="360" w:lineRule="auto"/>
        <w:ind w:firstLine="400" w:firstLineChars="200"/>
        <w:rPr>
          <w:color w:val="auto"/>
          <w:highlight w:val="none"/>
        </w:rPr>
      </w:pPr>
      <w:r>
        <w:rPr>
          <w:color w:val="auto"/>
          <w:highlight w:val="none"/>
        </w:rPr>
        <w:t>17.4 分包人应允许并配合承包人或工程师进入分包人施工场地检查工程质量。</w:t>
      </w:r>
    </w:p>
    <w:p>
      <w:pPr>
        <w:pStyle w:val="6"/>
        <w:bidi w:val="0"/>
      </w:pPr>
      <w:r>
        <w:t>18、安全施工</w:t>
      </w:r>
    </w:p>
    <w:p>
      <w:pPr>
        <w:spacing w:line="360" w:lineRule="auto"/>
        <w:ind w:firstLine="420"/>
        <w:rPr>
          <w:color w:val="auto"/>
          <w:highlight w:val="none"/>
        </w:rPr>
      </w:pPr>
      <w:r>
        <w:rPr>
          <w:color w:val="auto"/>
          <w:highlight w:val="none"/>
        </w:rPr>
        <w:t>18.1 分包人应遵守工程建设安全生产有关管理规定，严格按照安全标准组织施工，承担由于自身安全措施不力造成事故的责任和因此发生的费用。</w:t>
      </w:r>
    </w:p>
    <w:p>
      <w:pPr>
        <w:spacing w:line="360" w:lineRule="auto"/>
        <w:ind w:firstLine="420"/>
        <w:rPr>
          <w:color w:val="auto"/>
          <w:highlight w:val="none"/>
        </w:rPr>
      </w:pPr>
      <w:r>
        <w:rPr>
          <w:color w:val="auto"/>
          <w:highlight w:val="none"/>
        </w:rPr>
        <w:t>18.2 在施工场地涉及危险地区或需要安全防护措施施工时，分包人应提出安全防护措施，经承包人批准后实施，发生的相应费用由承包人承担。</w:t>
      </w:r>
    </w:p>
    <w:p>
      <w:pPr>
        <w:spacing w:line="360" w:lineRule="auto"/>
        <w:ind w:firstLine="420"/>
        <w:rPr>
          <w:b/>
          <w:bCs/>
          <w:color w:val="auto"/>
          <w:highlight w:val="none"/>
        </w:rPr>
      </w:pPr>
      <w:r>
        <w:rPr>
          <w:color w:val="auto"/>
          <w:highlight w:val="none"/>
        </w:rPr>
        <w:t>18.3 发生安全事故，按照总包合同相应条款处理。</w:t>
      </w:r>
    </w:p>
    <w:p>
      <w:pPr>
        <w:pStyle w:val="5"/>
        <w:bidi w:val="0"/>
      </w:pPr>
      <w:r>
        <w:t>五、合同价款与支付</w:t>
      </w:r>
    </w:p>
    <w:p>
      <w:pPr>
        <w:pStyle w:val="6"/>
        <w:bidi w:val="0"/>
      </w:pPr>
      <w:r>
        <w:t>19、合同价款及调整</w:t>
      </w:r>
    </w:p>
    <w:p>
      <w:pPr>
        <w:spacing w:line="360" w:lineRule="auto"/>
        <w:rPr>
          <w:color w:val="auto"/>
          <w:highlight w:val="none"/>
        </w:rPr>
      </w:pPr>
      <w:r>
        <w:rPr>
          <w:color w:val="auto"/>
          <w:highlight w:val="none"/>
        </w:rPr>
        <w:t xml:space="preserve">    19.1 招标工程的合同价款由承包人与分包人依据中标通知书中的中标价格在本合同协议书内约定；非招标工程的合同价款由承包人与分包人依据工程报价书在本合同协议书内约定。</w:t>
      </w:r>
    </w:p>
    <w:p>
      <w:pPr>
        <w:spacing w:line="360" w:lineRule="auto"/>
        <w:rPr>
          <w:color w:val="auto"/>
          <w:highlight w:val="none"/>
        </w:rPr>
      </w:pPr>
      <w:r>
        <w:rPr>
          <w:color w:val="auto"/>
          <w:highlight w:val="none"/>
        </w:rPr>
        <w:t xml:space="preserve">    19.2分包工程合同价款在本合同协议书内约定后，任何一方不得擅自改变。下列三种确定合同价款的方式，双方可在本合同专用条款内约定采用其中一种（应与总包合同约定的方式一致）：</w:t>
      </w:r>
    </w:p>
    <w:p>
      <w:pPr>
        <w:spacing w:line="360" w:lineRule="auto"/>
        <w:rPr>
          <w:color w:val="auto"/>
          <w:highlight w:val="none"/>
        </w:rPr>
      </w:pPr>
      <w:r>
        <w:rPr>
          <w:color w:val="auto"/>
          <w:highlight w:val="none"/>
        </w:rPr>
        <w:t xml:space="preserve">    （1）固定价格。双方在本合同专用条款内约定合同价款包含的风险范围和风险费用的计算方法，在约定的风险范围内合同价款不再调整。风险范围以外的合同价款调整方法，应当在专用条款内约定。</w:t>
      </w:r>
    </w:p>
    <w:p>
      <w:pPr>
        <w:spacing w:line="360" w:lineRule="auto"/>
        <w:rPr>
          <w:color w:val="auto"/>
          <w:highlight w:val="none"/>
        </w:rPr>
      </w:pPr>
      <w:r>
        <w:rPr>
          <w:color w:val="auto"/>
          <w:highlight w:val="none"/>
        </w:rPr>
        <w:t xml:space="preserve">    （2）可调价格。合同价款可根据双方的约定而调整，双方在本合同专用条款内约定合同价款调整方法。</w:t>
      </w:r>
    </w:p>
    <w:p>
      <w:pPr>
        <w:spacing w:line="360" w:lineRule="auto"/>
        <w:ind w:firstLine="420"/>
        <w:rPr>
          <w:color w:val="auto"/>
          <w:highlight w:val="none"/>
        </w:rPr>
      </w:pPr>
      <w:r>
        <w:rPr>
          <w:color w:val="auto"/>
          <w:highlight w:val="none"/>
        </w:rPr>
        <w:t>（3）成本加酬金。合同价款包括成本和酬金两部分，双方在本合同专用条款内约定成本构成和酬金的计算方法。</w:t>
      </w:r>
    </w:p>
    <w:p>
      <w:pPr>
        <w:spacing w:line="360" w:lineRule="auto"/>
        <w:rPr>
          <w:color w:val="auto"/>
          <w:highlight w:val="none"/>
        </w:rPr>
      </w:pPr>
      <w:r>
        <w:rPr>
          <w:color w:val="auto"/>
          <w:highlight w:val="none"/>
        </w:rPr>
        <w:t xml:space="preserve">    19.3可调价格计价方式中合同价款的调整因素包括：</w:t>
      </w:r>
    </w:p>
    <w:p>
      <w:pPr>
        <w:spacing w:line="360" w:lineRule="auto"/>
        <w:rPr>
          <w:color w:val="auto"/>
          <w:highlight w:val="none"/>
        </w:rPr>
      </w:pPr>
      <w:r>
        <w:rPr>
          <w:color w:val="auto"/>
          <w:highlight w:val="none"/>
        </w:rPr>
        <w:t xml:space="preserve">    （1）法律、行政法规和国家有关政策变化影响合同价款；</w:t>
      </w:r>
    </w:p>
    <w:p>
      <w:pPr>
        <w:spacing w:line="360" w:lineRule="auto"/>
        <w:ind w:firstLine="435"/>
        <w:rPr>
          <w:color w:val="auto"/>
          <w:highlight w:val="none"/>
        </w:rPr>
      </w:pPr>
      <w:r>
        <w:rPr>
          <w:color w:val="auto"/>
          <w:highlight w:val="none"/>
        </w:rPr>
        <w:t>（2）工程造价管理部门公布的价格调整；</w:t>
      </w:r>
    </w:p>
    <w:p>
      <w:pPr>
        <w:spacing w:line="360" w:lineRule="auto"/>
        <w:ind w:firstLine="435"/>
        <w:rPr>
          <w:color w:val="auto"/>
          <w:highlight w:val="none"/>
        </w:rPr>
      </w:pPr>
      <w:r>
        <w:rPr>
          <w:color w:val="auto"/>
          <w:highlight w:val="none"/>
        </w:rPr>
        <w:t>（3）一周内非分包人原因停水、停电、停气造成停工累计超过8小时；</w:t>
      </w:r>
    </w:p>
    <w:p>
      <w:pPr>
        <w:spacing w:line="360" w:lineRule="auto"/>
        <w:ind w:firstLine="435"/>
        <w:rPr>
          <w:color w:val="auto"/>
          <w:highlight w:val="none"/>
        </w:rPr>
      </w:pPr>
      <w:r>
        <w:rPr>
          <w:color w:val="auto"/>
          <w:highlight w:val="none"/>
        </w:rPr>
        <w:t>（4）双方约定的其他因素。</w:t>
      </w:r>
    </w:p>
    <w:p>
      <w:pPr>
        <w:spacing w:line="360" w:lineRule="auto"/>
        <w:ind w:firstLine="435"/>
        <w:rPr>
          <w:color w:val="auto"/>
          <w:highlight w:val="none"/>
        </w:rPr>
      </w:pPr>
      <w:r>
        <w:rPr>
          <w:color w:val="auto"/>
          <w:highlight w:val="none"/>
        </w:rPr>
        <w:t>19.4 分包人应当在19.3款情况发生后10天内，将调整原因、金额以书面形式通知承包人，承包人确认调整金额后作为追加合同价款，与工程价款同期支付。承包人收到通知后10天内不予确认也不提出修改意见，视为已经同意该项调整。</w:t>
      </w:r>
    </w:p>
    <w:p>
      <w:pPr>
        <w:spacing w:line="360" w:lineRule="auto"/>
        <w:ind w:firstLine="400" w:firstLineChars="200"/>
        <w:rPr>
          <w:color w:val="auto"/>
          <w:highlight w:val="none"/>
        </w:rPr>
      </w:pPr>
      <w:r>
        <w:rPr>
          <w:color w:val="auto"/>
          <w:highlight w:val="none"/>
        </w:rPr>
        <w:t>19.5 分包合同价款与总包合同相应部分价款无任何连带关系。</w:t>
      </w:r>
    </w:p>
    <w:p>
      <w:pPr>
        <w:pStyle w:val="6"/>
        <w:bidi w:val="0"/>
      </w:pPr>
      <w:r>
        <w:t>20、工程量的确认</w:t>
      </w:r>
    </w:p>
    <w:p>
      <w:pPr>
        <w:spacing w:line="360" w:lineRule="auto"/>
        <w:rPr>
          <w:color w:val="auto"/>
          <w:highlight w:val="none"/>
        </w:rPr>
      </w:pPr>
      <w:r>
        <w:rPr>
          <w:color w:val="auto"/>
          <w:highlight w:val="none"/>
        </w:rPr>
        <w:t xml:space="preserve">    20.1分包人应按本合同专用条款约定的时间向承包人提交已完工程量报告，承包人接到报告后7天内自行按设计图纸计量或报经工程师计量。承包人在自行计量或由工程师计量前24小时应通知分包人，分包人为计量提供便利条件并派人参加。分包人收到通知后不参加计量，计量结果有效，作为工程价款支付的依据；承包人不按约定时间通知分包人，致使分包人未能参加计量，计量结果无效。</w:t>
      </w:r>
    </w:p>
    <w:p>
      <w:pPr>
        <w:spacing w:line="360" w:lineRule="auto"/>
        <w:rPr>
          <w:color w:val="auto"/>
          <w:highlight w:val="none"/>
        </w:rPr>
      </w:pPr>
      <w:r>
        <w:rPr>
          <w:color w:val="auto"/>
          <w:highlight w:val="none"/>
        </w:rPr>
        <w:t xml:space="preserve">    20.2 承包人在收到分包人报告后7天内未进行计量或因工程师的原因未计量的，从第8天起，分包人报告中开列的工程量即视为被确认，作为工程价款支付的依据。</w:t>
      </w:r>
    </w:p>
    <w:p>
      <w:pPr>
        <w:spacing w:line="360" w:lineRule="auto"/>
        <w:ind w:firstLine="435"/>
        <w:rPr>
          <w:color w:val="auto"/>
          <w:highlight w:val="none"/>
        </w:rPr>
      </w:pPr>
      <w:r>
        <w:rPr>
          <w:color w:val="auto"/>
          <w:highlight w:val="none"/>
        </w:rPr>
        <w:t>20.3 分包人未按本合同专用条款约定的时间向承包人提交已完工程量报告，或其所提交的报告不符合承包人要求且未做整改的，承包人不予计量。</w:t>
      </w:r>
    </w:p>
    <w:p>
      <w:pPr>
        <w:spacing w:line="360" w:lineRule="auto"/>
        <w:ind w:firstLine="435"/>
        <w:rPr>
          <w:color w:val="auto"/>
          <w:highlight w:val="none"/>
        </w:rPr>
      </w:pPr>
      <w:r>
        <w:rPr>
          <w:color w:val="auto"/>
          <w:highlight w:val="none"/>
        </w:rPr>
        <w:t>20.4 对分包人自行超出设计图纸范围和因分包人原因造成返工的工程量，承包人不予计量。</w:t>
      </w:r>
    </w:p>
    <w:p>
      <w:pPr>
        <w:spacing w:line="360" w:lineRule="auto"/>
        <w:rPr>
          <w:color w:val="auto"/>
          <w:highlight w:val="none"/>
        </w:rPr>
      </w:pPr>
      <w:r>
        <w:rPr>
          <w:b/>
          <w:color w:val="auto"/>
          <w:highlight w:val="none"/>
        </w:rPr>
        <w:t xml:space="preserve">    </w:t>
      </w:r>
      <w:r>
        <w:rPr>
          <w:color w:val="auto"/>
          <w:highlight w:val="none"/>
        </w:rPr>
        <w:t>21、合同价款的支付</w:t>
      </w:r>
    </w:p>
    <w:p>
      <w:pPr>
        <w:spacing w:line="360" w:lineRule="auto"/>
        <w:rPr>
          <w:color w:val="auto"/>
          <w:highlight w:val="none"/>
        </w:rPr>
      </w:pPr>
      <w:r>
        <w:rPr>
          <w:color w:val="auto"/>
          <w:highlight w:val="none"/>
        </w:rPr>
        <w:t xml:space="preserve">    21.1 实行工程预付款的，双方应在本合同专用条款内约定承包人向分包人预付工程款的时间和数额，开工后按约定的时间和比例逐次扣回。</w:t>
      </w:r>
    </w:p>
    <w:p>
      <w:pPr>
        <w:spacing w:line="360" w:lineRule="auto"/>
        <w:ind w:firstLine="435"/>
        <w:rPr>
          <w:color w:val="auto"/>
          <w:highlight w:val="none"/>
        </w:rPr>
      </w:pPr>
      <w:r>
        <w:rPr>
          <w:color w:val="auto"/>
          <w:highlight w:val="none"/>
        </w:rPr>
        <w:t>21.2 在确认计量结果后10天内，承包人应按专用条款约定的时间和方式，向分包人支付工程款（进度款）。按约定时间承包人应扣回的预付款，与工程款（进度款）同期结算。</w:t>
      </w:r>
    </w:p>
    <w:p>
      <w:pPr>
        <w:spacing w:line="360" w:lineRule="auto"/>
        <w:ind w:firstLine="435"/>
        <w:rPr>
          <w:color w:val="auto"/>
          <w:highlight w:val="none"/>
        </w:rPr>
      </w:pPr>
      <w:r>
        <w:rPr>
          <w:color w:val="auto"/>
          <w:highlight w:val="none"/>
        </w:rPr>
        <w:t>21.3分包合同约定的工程变更调整的合同价款、合同价款的调整、索赔的价款或费用以及其他约定的追加合同价款，应与工程进度款同期调整支付。</w:t>
      </w:r>
    </w:p>
    <w:p>
      <w:pPr>
        <w:spacing w:line="360" w:lineRule="auto"/>
        <w:ind w:firstLine="435"/>
        <w:rPr>
          <w:color w:val="auto"/>
          <w:highlight w:val="none"/>
        </w:rPr>
      </w:pPr>
      <w:r>
        <w:rPr>
          <w:color w:val="auto"/>
          <w:highlight w:val="none"/>
        </w:rPr>
        <w:t>21.4 承包人超过约定的支付时间不支付工程款（预付款、进度款），分包人可向承包人发出要求付款的通知。</w:t>
      </w:r>
    </w:p>
    <w:p>
      <w:pPr>
        <w:spacing w:line="360" w:lineRule="auto"/>
        <w:ind w:firstLine="435"/>
        <w:rPr>
          <w:color w:val="auto"/>
          <w:highlight w:val="none"/>
        </w:rPr>
      </w:pPr>
      <w:r>
        <w:rPr>
          <w:color w:val="auto"/>
          <w:highlight w:val="none"/>
        </w:rPr>
        <w:t>21.5承包人不按分包合同约定支付工程款（预付款、进度款），导致施工无法进行，分包人可停止施工，由承包人承担违约责任。</w:t>
      </w:r>
    </w:p>
    <w:p>
      <w:pPr>
        <w:pStyle w:val="5"/>
        <w:bidi w:val="0"/>
      </w:pPr>
      <w:r>
        <w:t>六、工程变更</w:t>
      </w:r>
    </w:p>
    <w:p>
      <w:pPr>
        <w:pStyle w:val="6"/>
        <w:bidi w:val="0"/>
      </w:pPr>
      <w:r>
        <w:t>22、工程变更</w:t>
      </w:r>
    </w:p>
    <w:p>
      <w:pPr>
        <w:spacing w:line="360" w:lineRule="auto"/>
        <w:rPr>
          <w:color w:val="auto"/>
          <w:highlight w:val="none"/>
        </w:rPr>
      </w:pPr>
      <w:r>
        <w:rPr>
          <w:b/>
          <w:bCs/>
          <w:color w:val="auto"/>
          <w:highlight w:val="none"/>
        </w:rPr>
        <w:t xml:space="preserve">   </w:t>
      </w:r>
      <w:r>
        <w:rPr>
          <w:color w:val="auto"/>
          <w:highlight w:val="none"/>
        </w:rPr>
        <w:t xml:space="preserve"> 22.1 分包人应根据以下指令，以更改、增补或省略的方式对分包工程进行变更：</w:t>
      </w:r>
    </w:p>
    <w:p>
      <w:pPr>
        <w:spacing w:line="360" w:lineRule="auto"/>
        <w:rPr>
          <w:color w:val="auto"/>
          <w:highlight w:val="none"/>
        </w:rPr>
      </w:pPr>
      <w:r>
        <w:rPr>
          <w:color w:val="auto"/>
          <w:highlight w:val="none"/>
        </w:rPr>
        <w:t xml:space="preserve">    （1）工程师根据总包合同作出的变更指令。该变更指令由工程师作出并经承包人确认后通知分包人；</w:t>
      </w:r>
    </w:p>
    <w:p>
      <w:pPr>
        <w:spacing w:line="360" w:lineRule="auto"/>
        <w:rPr>
          <w:color w:val="auto"/>
          <w:highlight w:val="none"/>
        </w:rPr>
      </w:pPr>
      <w:r>
        <w:rPr>
          <w:color w:val="auto"/>
          <w:highlight w:val="none"/>
        </w:rPr>
        <w:t xml:space="preserve">    （2）除上述（1）项以外的承包人作出的变更指令。</w:t>
      </w:r>
    </w:p>
    <w:p>
      <w:pPr>
        <w:spacing w:line="360" w:lineRule="auto"/>
        <w:rPr>
          <w:color w:val="auto"/>
          <w:highlight w:val="none"/>
        </w:rPr>
      </w:pPr>
      <w:r>
        <w:rPr>
          <w:color w:val="auto"/>
          <w:highlight w:val="none"/>
        </w:rPr>
        <w:t xml:space="preserve">    22.2 分包人不执行从发包人或工程师处直接收到的未经承包人确认的有关分包工程变更的指令。如分包人直接收到此类变更指令，应立即通知项目经理并向项目经理提供一份该直接指令的复印件。项目经理应在24小时内提出关于对该指令的处理意见。</w:t>
      </w:r>
    </w:p>
    <w:p>
      <w:pPr>
        <w:spacing w:line="360" w:lineRule="auto"/>
        <w:ind w:firstLine="400" w:firstLineChars="200"/>
        <w:rPr>
          <w:color w:val="auto"/>
          <w:highlight w:val="none"/>
        </w:rPr>
      </w:pPr>
      <w:r>
        <w:rPr>
          <w:color w:val="auto"/>
          <w:highlight w:val="none"/>
        </w:rPr>
        <w:t>22.3 分包工程变更价款的确定应按照总包合同的相应条款履行。分包人应在工程变更确定后11天内向承包人提出变更分包工程价款的报告，经承包人确认后调整合同价款。</w:t>
      </w:r>
    </w:p>
    <w:p>
      <w:pPr>
        <w:spacing w:line="360" w:lineRule="auto"/>
        <w:ind w:firstLine="400" w:firstLineChars="200"/>
        <w:rPr>
          <w:color w:val="auto"/>
          <w:highlight w:val="none"/>
        </w:rPr>
      </w:pPr>
      <w:r>
        <w:rPr>
          <w:color w:val="auto"/>
          <w:highlight w:val="none"/>
        </w:rPr>
        <w:t>22.4 分包人在双方确定变更后11天内不向承包人提出变更分包工程价款的报告，视为该项变更不涉及合同价款的变更。</w:t>
      </w:r>
    </w:p>
    <w:p>
      <w:pPr>
        <w:spacing w:line="360" w:lineRule="auto"/>
        <w:ind w:firstLine="400" w:firstLineChars="200"/>
        <w:rPr>
          <w:b/>
          <w:bCs/>
          <w:color w:val="auto"/>
          <w:highlight w:val="none"/>
        </w:rPr>
      </w:pPr>
      <w:r>
        <w:rPr>
          <w:color w:val="auto"/>
          <w:highlight w:val="none"/>
        </w:rPr>
        <w:t>22.5 承包人在收到变更分包工程价款报告之日起17天内予以确认，无正当理由逾期未予确认时，视为该报告已被确认。</w:t>
      </w:r>
    </w:p>
    <w:p>
      <w:pPr>
        <w:pStyle w:val="5"/>
        <w:bidi w:val="0"/>
      </w:pPr>
      <w:r>
        <w:t>七、竣工验收及结算</w:t>
      </w:r>
    </w:p>
    <w:p>
      <w:pPr>
        <w:pStyle w:val="6"/>
        <w:bidi w:val="0"/>
      </w:pPr>
      <w:r>
        <w:t>23、竣工验收</w:t>
      </w:r>
    </w:p>
    <w:p>
      <w:pPr>
        <w:spacing w:line="360" w:lineRule="auto"/>
        <w:ind w:firstLine="400" w:firstLineChars="200"/>
        <w:rPr>
          <w:color w:val="auto"/>
          <w:highlight w:val="none"/>
        </w:rPr>
      </w:pPr>
      <w:r>
        <w:rPr>
          <w:color w:val="auto"/>
          <w:highlight w:val="none"/>
        </w:rPr>
        <w:t>23.1 分包工程具备竣工验收条件的，分包人应向承包人提供完整的竣工资料及竣工验收报告。双方约定由分包人提供竣工图的，应在专用条款内约定提交日期和份数。</w:t>
      </w:r>
    </w:p>
    <w:p>
      <w:pPr>
        <w:spacing w:line="360" w:lineRule="auto"/>
        <w:ind w:firstLine="400" w:firstLineChars="200"/>
        <w:rPr>
          <w:color w:val="auto"/>
          <w:highlight w:val="none"/>
        </w:rPr>
      </w:pPr>
      <w:r>
        <w:rPr>
          <w:color w:val="auto"/>
          <w:highlight w:val="none"/>
        </w:rPr>
        <w:t>23.2 承包人应在收到分包人提供的竣工验收报告之日起3日内通知发包人进行验收，分包人应配合承包人进行验收。根据总包合同无需由发包人验收的部分，承包人应按照总包合同约定的验收程序自行验收。发包人未能按照总包合同及时组织验收的，承包人应按照总包合同规定的发包人验收的期限及程序自行组织验收，并视为分包工程竣工验收通过。</w:t>
      </w:r>
    </w:p>
    <w:p>
      <w:pPr>
        <w:spacing w:line="360" w:lineRule="auto"/>
        <w:ind w:firstLine="400" w:firstLineChars="200"/>
        <w:rPr>
          <w:color w:val="auto"/>
          <w:highlight w:val="none"/>
        </w:rPr>
      </w:pPr>
      <w:r>
        <w:rPr>
          <w:color w:val="auto"/>
          <w:highlight w:val="none"/>
        </w:rPr>
        <w:t>23.3分包工程竣工验收未能通过且属于分包人原因的，分包人负责修复相应缺陷并承担相应的质量责任。</w:t>
      </w:r>
    </w:p>
    <w:p>
      <w:pPr>
        <w:spacing w:line="360" w:lineRule="auto"/>
        <w:ind w:firstLine="420"/>
        <w:rPr>
          <w:color w:val="auto"/>
          <w:highlight w:val="none"/>
        </w:rPr>
      </w:pPr>
      <w:r>
        <w:rPr>
          <w:color w:val="auto"/>
          <w:highlight w:val="none"/>
        </w:rPr>
        <w:t>23.4 分包工程竣工日期为分包人提供竣工验收报告之日。需要修复的，为提供修复后竣工报告之日。</w:t>
      </w:r>
    </w:p>
    <w:p>
      <w:pPr>
        <w:pStyle w:val="6"/>
        <w:bidi w:val="0"/>
      </w:pPr>
      <w:r>
        <w:t>24、竣工结算及移交</w:t>
      </w:r>
    </w:p>
    <w:p>
      <w:pPr>
        <w:spacing w:line="360" w:lineRule="auto"/>
        <w:ind w:firstLine="435"/>
        <w:rPr>
          <w:color w:val="auto"/>
          <w:highlight w:val="none"/>
        </w:rPr>
      </w:pPr>
      <w:r>
        <w:rPr>
          <w:color w:val="auto"/>
          <w:highlight w:val="none"/>
        </w:rPr>
        <w:t>24.1 分包工程竣工验收报告经承包人认可后14天内，分包人向承包人递交分包工程竣工结算报告及完整的结算资料，双方按照本合同协议书约定的合同价款及本合同专用条款约定的合同价款调整内容，进行工程竣工结算。</w:t>
      </w:r>
    </w:p>
    <w:p>
      <w:pPr>
        <w:spacing w:line="360" w:lineRule="auto"/>
        <w:ind w:firstLine="435"/>
        <w:rPr>
          <w:color w:val="auto"/>
          <w:highlight w:val="none"/>
        </w:rPr>
      </w:pPr>
      <w:r>
        <w:rPr>
          <w:color w:val="auto"/>
          <w:highlight w:val="none"/>
        </w:rPr>
        <w:t>24.2 承包人收到分包人递交的分包工程竣工结算报告及结算资料后28天内进行核实，给予确认或者提出明确的修改意见。承包人确认竣工结算报告后7天内向分包人支付分包工程竣工结算价款。分包人收到竣工结算价款之日起7天内，将竣工工程交付承包人。</w:t>
      </w:r>
    </w:p>
    <w:p>
      <w:pPr>
        <w:spacing w:line="360" w:lineRule="auto"/>
        <w:ind w:firstLine="400" w:firstLineChars="200"/>
        <w:rPr>
          <w:color w:val="auto"/>
          <w:highlight w:val="none"/>
        </w:rPr>
      </w:pPr>
      <w:r>
        <w:rPr>
          <w:color w:val="auto"/>
          <w:highlight w:val="none"/>
        </w:rPr>
        <w:t>24.3 承包人收到分包工程竣工结算报告及结算资料后28天内无正当理由不支付工程竣工结算价款，从第29天起按分包人同期向银行贷款利率支付拖欠工程价款的利息，并承担违约责任。</w:t>
      </w:r>
    </w:p>
    <w:p>
      <w:pPr>
        <w:pStyle w:val="6"/>
        <w:bidi w:val="0"/>
      </w:pPr>
      <w:r>
        <w:t>25、质量保修</w:t>
      </w:r>
    </w:p>
    <w:p>
      <w:pPr>
        <w:spacing w:line="360" w:lineRule="auto"/>
        <w:rPr>
          <w:color w:val="auto"/>
          <w:highlight w:val="none"/>
        </w:rPr>
      </w:pPr>
      <w:r>
        <w:rPr>
          <w:color w:val="auto"/>
          <w:highlight w:val="none"/>
        </w:rPr>
        <w:t xml:space="preserve">    25.1 在包括分包工程的总包工程竣工交付使用后，分包人应按国家有关规定对分包工程出现的缺陷进行保修，具体保修责任按照分包人与承包人在工程竣工验收之前签订的质量保修书执行。</w:t>
      </w:r>
    </w:p>
    <w:p>
      <w:pPr>
        <w:pStyle w:val="5"/>
        <w:bidi w:val="0"/>
      </w:pPr>
      <w:r>
        <w:t>八、违约、索赔及争议</w:t>
      </w:r>
    </w:p>
    <w:p>
      <w:pPr>
        <w:pStyle w:val="6"/>
        <w:bidi w:val="0"/>
      </w:pPr>
      <w:r>
        <w:t>26、违约</w:t>
      </w:r>
    </w:p>
    <w:p>
      <w:pPr>
        <w:spacing w:line="360" w:lineRule="auto"/>
        <w:ind w:firstLine="435"/>
        <w:rPr>
          <w:color w:val="auto"/>
          <w:highlight w:val="none"/>
        </w:rPr>
      </w:pPr>
      <w:r>
        <w:rPr>
          <w:color w:val="auto"/>
          <w:highlight w:val="none"/>
        </w:rPr>
        <w:t>26.1当发生下列情况之一时，视为承包人违约：</w:t>
      </w:r>
    </w:p>
    <w:p>
      <w:pPr>
        <w:spacing w:line="360" w:lineRule="auto"/>
        <w:ind w:firstLine="400" w:firstLineChars="200"/>
        <w:rPr>
          <w:color w:val="auto"/>
          <w:highlight w:val="none"/>
        </w:rPr>
      </w:pPr>
      <w:r>
        <w:rPr>
          <w:color w:val="auto"/>
          <w:highlight w:val="none"/>
        </w:rPr>
        <w:t>（1）承包人不按分包合同的约定支付工程预付款、工程进度款，导致施工无法进行；</w:t>
      </w:r>
    </w:p>
    <w:p>
      <w:pPr>
        <w:spacing w:line="360" w:lineRule="auto"/>
        <w:ind w:firstLine="400" w:firstLineChars="200"/>
        <w:rPr>
          <w:color w:val="auto"/>
          <w:highlight w:val="none"/>
        </w:rPr>
      </w:pPr>
      <w:r>
        <w:rPr>
          <w:color w:val="auto"/>
          <w:highlight w:val="none"/>
        </w:rPr>
        <w:t>（2）承包人不按分包合同的约定支付工程竣工结算价款；</w:t>
      </w:r>
    </w:p>
    <w:p>
      <w:pPr>
        <w:spacing w:line="360" w:lineRule="auto"/>
        <w:ind w:left="435"/>
        <w:rPr>
          <w:color w:val="auto"/>
          <w:highlight w:val="none"/>
        </w:rPr>
      </w:pPr>
      <w:r>
        <w:rPr>
          <w:color w:val="auto"/>
          <w:highlight w:val="none"/>
        </w:rPr>
        <w:t>（3）承包人不履行分包合同义务或不按分包合同约定履行义务的其他情况。</w:t>
      </w:r>
    </w:p>
    <w:p>
      <w:pPr>
        <w:spacing w:line="360" w:lineRule="auto"/>
        <w:ind w:firstLine="400" w:firstLineChars="200"/>
        <w:rPr>
          <w:color w:val="auto"/>
          <w:highlight w:val="none"/>
        </w:rPr>
      </w:pPr>
      <w:r>
        <w:rPr>
          <w:color w:val="auto"/>
          <w:highlight w:val="none"/>
        </w:rPr>
        <w:t>承包人承担违约责任，赔偿因其违约给分包人造成的经济损失，顺延延误的工期。双方在本合同专用条款内约定承包人赔偿分包人损失的计算方法或承包人应当支付违约金的数额。</w:t>
      </w:r>
    </w:p>
    <w:p>
      <w:pPr>
        <w:spacing w:line="360" w:lineRule="auto"/>
        <w:ind w:firstLine="435"/>
        <w:rPr>
          <w:color w:val="auto"/>
          <w:highlight w:val="none"/>
        </w:rPr>
      </w:pPr>
      <w:r>
        <w:rPr>
          <w:color w:val="auto"/>
          <w:highlight w:val="none"/>
        </w:rPr>
        <w:t>26.2当发生下列情况之一时，视为分包人违约：</w:t>
      </w:r>
    </w:p>
    <w:p>
      <w:pPr>
        <w:spacing w:line="360" w:lineRule="auto"/>
        <w:ind w:left="435"/>
        <w:rPr>
          <w:color w:val="auto"/>
          <w:highlight w:val="none"/>
        </w:rPr>
      </w:pPr>
      <w:r>
        <w:rPr>
          <w:color w:val="auto"/>
          <w:highlight w:val="none"/>
        </w:rPr>
        <w:t>（1）如分包人与发包人或工程师发生直接工作联系；</w:t>
      </w:r>
    </w:p>
    <w:p>
      <w:pPr>
        <w:spacing w:line="360" w:lineRule="auto"/>
        <w:ind w:firstLine="435"/>
        <w:rPr>
          <w:color w:val="auto"/>
          <w:highlight w:val="none"/>
        </w:rPr>
      </w:pPr>
      <w:r>
        <w:rPr>
          <w:color w:val="auto"/>
          <w:highlight w:val="none"/>
        </w:rPr>
        <w:t>（2）</w:t>
      </w:r>
      <w:r>
        <w:rPr>
          <w:bCs/>
          <w:color w:val="auto"/>
          <w:highlight w:val="none"/>
        </w:rPr>
        <w:t>分包人将其承包的分包工程转包或再分包；</w:t>
      </w:r>
    </w:p>
    <w:p>
      <w:pPr>
        <w:spacing w:line="360" w:lineRule="auto"/>
        <w:ind w:firstLine="400" w:firstLineChars="200"/>
        <w:rPr>
          <w:color w:val="auto"/>
          <w:highlight w:val="none"/>
        </w:rPr>
      </w:pPr>
      <w:r>
        <w:rPr>
          <w:color w:val="auto"/>
          <w:highlight w:val="none"/>
        </w:rPr>
        <w:t>（3）因分包人原因不能按照本合同协议书约定的竣工日期或承包人同意顺延的工期竣工的；</w:t>
      </w:r>
    </w:p>
    <w:p>
      <w:pPr>
        <w:spacing w:line="360" w:lineRule="auto"/>
        <w:ind w:firstLine="420"/>
        <w:rPr>
          <w:color w:val="auto"/>
          <w:highlight w:val="none"/>
        </w:rPr>
      </w:pPr>
      <w:r>
        <w:rPr>
          <w:color w:val="auto"/>
          <w:highlight w:val="none"/>
        </w:rPr>
        <w:t>（4）因分包人原因工程质量达不到约定的质量标准；</w:t>
      </w:r>
    </w:p>
    <w:p>
      <w:pPr>
        <w:spacing w:line="360" w:lineRule="auto"/>
        <w:ind w:left="435"/>
        <w:rPr>
          <w:color w:val="auto"/>
          <w:highlight w:val="none"/>
        </w:rPr>
      </w:pPr>
      <w:r>
        <w:rPr>
          <w:color w:val="auto"/>
          <w:highlight w:val="none"/>
        </w:rPr>
        <w:t>（5）分包人不履行分包合同义务或不按分包合同约定履行义务的其他情况。</w:t>
      </w:r>
    </w:p>
    <w:p>
      <w:pPr>
        <w:spacing w:line="360" w:lineRule="auto"/>
        <w:ind w:firstLine="400" w:firstLineChars="200"/>
        <w:rPr>
          <w:color w:val="auto"/>
          <w:highlight w:val="none"/>
        </w:rPr>
      </w:pPr>
      <w:r>
        <w:rPr>
          <w:color w:val="auto"/>
          <w:highlight w:val="none"/>
        </w:rPr>
        <w:t>分包人承担违约责任，赔偿因其违约给承包人造成的经济损失。双方在本合同专用条款内约定分包人赔偿承包人损失的计算方法或分包人应当支付违约金的数额。</w:t>
      </w:r>
    </w:p>
    <w:p>
      <w:pPr>
        <w:spacing w:line="360" w:lineRule="auto"/>
        <w:ind w:firstLine="435"/>
        <w:rPr>
          <w:color w:val="auto"/>
          <w:highlight w:val="none"/>
        </w:rPr>
      </w:pPr>
      <w:r>
        <w:rPr>
          <w:color w:val="auto"/>
          <w:highlight w:val="none"/>
        </w:rPr>
        <w:t xml:space="preserve"> 26.3 分包人违反本合同可能产生的后果</w:t>
      </w:r>
    </w:p>
    <w:p>
      <w:pPr>
        <w:spacing w:line="360" w:lineRule="auto"/>
        <w:ind w:firstLine="435"/>
        <w:rPr>
          <w:b/>
          <w:color w:val="auto"/>
          <w:highlight w:val="none"/>
        </w:rPr>
      </w:pPr>
      <w:r>
        <w:rPr>
          <w:color w:val="auto"/>
          <w:highlight w:val="none"/>
        </w:rPr>
        <w:t>如分包人有违反分包合同的行为，分包人应保障承包人免于承担因此违约造成的工期延误、经济损失及根据总包合同承包人将负责的任何赔偿费，在此情况下，承包人可从本应支付分包人的任何价款中扣除此笔经济损失及赔偿费，并且不排除采用其它补救方法的可能。</w:t>
      </w:r>
    </w:p>
    <w:p>
      <w:pPr>
        <w:pStyle w:val="6"/>
        <w:bidi w:val="0"/>
      </w:pPr>
      <w:r>
        <w:t>27、索赔</w:t>
      </w:r>
    </w:p>
    <w:p>
      <w:pPr>
        <w:spacing w:line="360" w:lineRule="auto"/>
        <w:ind w:firstLine="435"/>
        <w:rPr>
          <w:color w:val="auto"/>
          <w:highlight w:val="none"/>
        </w:rPr>
      </w:pPr>
      <w:r>
        <w:rPr>
          <w:color w:val="auto"/>
          <w:highlight w:val="none"/>
        </w:rPr>
        <w:t>27.1 当一方向另一方提出索赔时，要有正当的索赔理由，且有索赔事件发生时的有效证据。</w:t>
      </w:r>
    </w:p>
    <w:p>
      <w:pPr>
        <w:spacing w:line="360" w:lineRule="auto"/>
        <w:ind w:firstLine="435"/>
        <w:rPr>
          <w:color w:val="auto"/>
          <w:highlight w:val="none"/>
        </w:rPr>
      </w:pPr>
      <w:r>
        <w:rPr>
          <w:color w:val="auto"/>
          <w:highlight w:val="none"/>
        </w:rPr>
        <w:t>27.2 承包人未能按分包合同的约定履行自己的各项义务或发生错误以及应由承包人承担责任的其他情况，造成工期延误和（或）分包人不能及时得到合同价款或分包人的其他经济损失，分包人可按总包合同约定的程序以书面形式向承包人索赔。</w:t>
      </w:r>
    </w:p>
    <w:p>
      <w:pPr>
        <w:spacing w:line="360" w:lineRule="auto"/>
        <w:ind w:firstLine="435"/>
        <w:rPr>
          <w:color w:val="auto"/>
          <w:highlight w:val="none"/>
        </w:rPr>
      </w:pPr>
      <w:r>
        <w:rPr>
          <w:color w:val="auto"/>
          <w:highlight w:val="none"/>
        </w:rPr>
        <w:t>27.3 在分包工程施工过程中，如分包人遇到不利外部条件等根据总包合同可以索赔的情况，分包人可按照总包合同约定的索赔程序通过承包人提出索赔要求。在承包人收到分包人索赔报告后21天内给予分包人明确的答复，或要求进一步补充索赔理由和证据。索赔成功后，承包人应将相应部分转交分包人。</w:t>
      </w:r>
    </w:p>
    <w:p>
      <w:pPr>
        <w:pStyle w:val="31"/>
        <w:rPr>
          <w:rFonts w:ascii="Times New Roman"/>
          <w:color w:val="auto"/>
          <w:highlight w:val="none"/>
        </w:rPr>
      </w:pPr>
      <w:r>
        <w:rPr>
          <w:rFonts w:ascii="Times New Roman"/>
          <w:color w:val="auto"/>
          <w:highlight w:val="none"/>
        </w:rPr>
        <w:t>分包人应按照总包合同的规定及时向承包人提交分包工程的索赔报告，以保证承包人可以及时向发包人进行索赔。承包人在35天内未能对分包人的索赔报告给予答复，视为分包人的索赔报告已经得到批准。</w:t>
      </w:r>
    </w:p>
    <w:p>
      <w:pPr>
        <w:spacing w:line="360" w:lineRule="auto"/>
        <w:ind w:firstLine="435"/>
        <w:rPr>
          <w:color w:val="auto"/>
          <w:highlight w:val="none"/>
        </w:rPr>
      </w:pPr>
      <w:r>
        <w:rPr>
          <w:color w:val="auto"/>
          <w:highlight w:val="none"/>
        </w:rPr>
        <w:t>27.4承包人根据总包合同的约定向工程师递交任何索赔意向通知或其它资料，要求分包人协助时，分包人应就分包工程方面的情况，以书面形式向承包人发出相关通知或其它资料以及保持并出示同期施工记录，以便承包人能遵守总包合同有关索赔的约定。</w:t>
      </w:r>
    </w:p>
    <w:p>
      <w:pPr>
        <w:spacing w:line="360" w:lineRule="auto"/>
        <w:ind w:firstLine="435"/>
        <w:rPr>
          <w:color w:val="auto"/>
          <w:highlight w:val="none"/>
        </w:rPr>
      </w:pPr>
      <w:r>
        <w:rPr>
          <w:color w:val="auto"/>
          <w:highlight w:val="none"/>
        </w:rPr>
        <w:t>分包人未予积极配合，使得承包人涉及到分包工程的索赔未获成功，则承包人可在按分包合同约定应支付给分包人的金额中扣除上述本应获得的索赔款项中适当比例的部分。</w:t>
      </w:r>
    </w:p>
    <w:p>
      <w:pPr>
        <w:pStyle w:val="6"/>
        <w:bidi w:val="0"/>
        <w:rPr>
          <w:color w:val="auto"/>
          <w:highlight w:val="none"/>
        </w:rPr>
      </w:pPr>
      <w:r>
        <w:rPr>
          <w:color w:val="auto"/>
          <w:highlight w:val="none"/>
        </w:rPr>
        <w:t>28、争议</w:t>
      </w:r>
    </w:p>
    <w:p>
      <w:pPr>
        <w:spacing w:line="360" w:lineRule="auto"/>
        <w:ind w:firstLine="420"/>
        <w:rPr>
          <w:color w:val="auto"/>
          <w:highlight w:val="none"/>
        </w:rPr>
      </w:pPr>
      <w:r>
        <w:rPr>
          <w:color w:val="auto"/>
          <w:highlight w:val="none"/>
        </w:rPr>
        <w:t>28.1承包人分包人在履行合同时发生争议，可以和解或者要求有关部门调解。当事人不愿和解、调解或者和解、调解不成的，双方可以在本合同专用条款内约定以下一种方式解决争议：</w:t>
      </w:r>
    </w:p>
    <w:p>
      <w:pPr>
        <w:spacing w:line="360" w:lineRule="auto"/>
        <w:rPr>
          <w:color w:val="auto"/>
          <w:highlight w:val="none"/>
        </w:rPr>
      </w:pPr>
      <w:r>
        <w:rPr>
          <w:color w:val="auto"/>
          <w:highlight w:val="none"/>
        </w:rPr>
        <w:t xml:space="preserve">    （1）双方达成仲裁协议，向约定的仲裁委员会申请仲裁；</w:t>
      </w:r>
    </w:p>
    <w:p>
      <w:pPr>
        <w:spacing w:line="360" w:lineRule="auto"/>
        <w:ind w:firstLine="420"/>
        <w:rPr>
          <w:color w:val="auto"/>
          <w:highlight w:val="none"/>
        </w:rPr>
      </w:pPr>
      <w:r>
        <w:rPr>
          <w:color w:val="auto"/>
          <w:highlight w:val="none"/>
        </w:rPr>
        <w:t>（2）向有管辖权的人民法院起诉。</w:t>
      </w:r>
    </w:p>
    <w:p>
      <w:pPr>
        <w:spacing w:line="360" w:lineRule="auto"/>
        <w:ind w:firstLine="420"/>
        <w:rPr>
          <w:color w:val="auto"/>
          <w:highlight w:val="none"/>
        </w:rPr>
      </w:pPr>
      <w:r>
        <w:rPr>
          <w:color w:val="auto"/>
          <w:highlight w:val="none"/>
        </w:rPr>
        <w:t>28.2 发生争议后，除非出现下列情况，双方应继续履行合同，保持分包工程施工连续，保护好已完工程：</w:t>
      </w:r>
    </w:p>
    <w:p>
      <w:pPr>
        <w:spacing w:line="360" w:lineRule="auto"/>
        <w:ind w:firstLine="400" w:firstLineChars="200"/>
        <w:rPr>
          <w:color w:val="auto"/>
          <w:highlight w:val="none"/>
        </w:rPr>
      </w:pPr>
      <w:r>
        <w:rPr>
          <w:color w:val="auto"/>
          <w:highlight w:val="none"/>
        </w:rPr>
        <w:t>（1）单方违约导致合同确已无法履行，双方协议停止施工；</w:t>
      </w:r>
    </w:p>
    <w:p>
      <w:pPr>
        <w:spacing w:line="360" w:lineRule="auto"/>
        <w:ind w:firstLine="435"/>
        <w:rPr>
          <w:color w:val="auto"/>
          <w:highlight w:val="none"/>
        </w:rPr>
      </w:pPr>
      <w:r>
        <w:rPr>
          <w:color w:val="auto"/>
          <w:highlight w:val="none"/>
        </w:rPr>
        <w:t>（2）调解要求停止施工，且为双方接受；</w:t>
      </w:r>
    </w:p>
    <w:p>
      <w:pPr>
        <w:spacing w:line="360" w:lineRule="auto"/>
        <w:ind w:firstLine="435"/>
        <w:rPr>
          <w:color w:val="auto"/>
          <w:highlight w:val="none"/>
        </w:rPr>
      </w:pPr>
      <w:r>
        <w:rPr>
          <w:color w:val="auto"/>
          <w:highlight w:val="none"/>
        </w:rPr>
        <w:t>（3）仲裁机构要求停止施工；</w:t>
      </w:r>
    </w:p>
    <w:p>
      <w:pPr>
        <w:spacing w:line="360" w:lineRule="auto"/>
        <w:ind w:firstLine="435"/>
        <w:rPr>
          <w:color w:val="auto"/>
          <w:highlight w:val="none"/>
        </w:rPr>
      </w:pPr>
      <w:r>
        <w:rPr>
          <w:color w:val="auto"/>
          <w:highlight w:val="none"/>
        </w:rPr>
        <w:t>（4）法院要求停止施工。</w:t>
      </w:r>
    </w:p>
    <w:p>
      <w:pPr>
        <w:pStyle w:val="5"/>
        <w:bidi w:val="0"/>
      </w:pPr>
      <w:r>
        <w:t>九、保障、保险及担保</w:t>
      </w:r>
    </w:p>
    <w:p>
      <w:pPr>
        <w:pStyle w:val="6"/>
        <w:bidi w:val="0"/>
        <w:rPr>
          <w:color w:val="auto"/>
          <w:highlight w:val="none"/>
        </w:rPr>
      </w:pPr>
      <w:r>
        <w:rPr>
          <w:color w:val="auto"/>
          <w:szCs w:val="22"/>
          <w:highlight w:val="none"/>
        </w:rPr>
        <w:t>29</w:t>
      </w:r>
      <w:r>
        <w:rPr>
          <w:color w:val="auto"/>
          <w:highlight w:val="none"/>
        </w:rPr>
        <w:t>、保障</w:t>
      </w:r>
    </w:p>
    <w:p>
      <w:pPr>
        <w:spacing w:line="360" w:lineRule="auto"/>
        <w:rPr>
          <w:color w:val="auto"/>
          <w:highlight w:val="none"/>
        </w:rPr>
      </w:pPr>
      <w:r>
        <w:rPr>
          <w:color w:val="auto"/>
          <w:highlight w:val="none"/>
        </w:rPr>
        <w:t xml:space="preserve">    29.1 除应由承包人承担的风险外，分包人应保障承包人免于承受在分包工程施工过程中及修补缺陷引起的下列损失、索赔及与此有关的索赔、诉讼、损害赔偿：</w:t>
      </w:r>
    </w:p>
    <w:p>
      <w:pPr>
        <w:spacing w:line="360" w:lineRule="auto"/>
        <w:rPr>
          <w:color w:val="auto"/>
          <w:highlight w:val="none"/>
        </w:rPr>
      </w:pPr>
      <w:r>
        <w:rPr>
          <w:color w:val="auto"/>
          <w:highlight w:val="none"/>
        </w:rPr>
        <w:t xml:space="preserve">    （1）、人员的伤亡；</w:t>
      </w:r>
    </w:p>
    <w:p>
      <w:pPr>
        <w:spacing w:line="360" w:lineRule="auto"/>
        <w:rPr>
          <w:color w:val="auto"/>
          <w:highlight w:val="none"/>
        </w:rPr>
      </w:pPr>
      <w:r>
        <w:rPr>
          <w:color w:val="auto"/>
          <w:highlight w:val="none"/>
        </w:rPr>
        <w:t xml:space="preserve">    （2）、分包工程以外的任何财产的损失或损害。</w:t>
      </w:r>
    </w:p>
    <w:p>
      <w:pPr>
        <w:spacing w:line="360" w:lineRule="auto"/>
        <w:rPr>
          <w:color w:val="auto"/>
          <w:highlight w:val="none"/>
        </w:rPr>
      </w:pPr>
      <w:r>
        <w:rPr>
          <w:color w:val="auto"/>
          <w:highlight w:val="none"/>
        </w:rPr>
        <w:t xml:space="preserve">    上列损失应由造成损失的责任方承担。</w:t>
      </w:r>
    </w:p>
    <w:p>
      <w:pPr>
        <w:spacing w:line="360" w:lineRule="auto"/>
        <w:rPr>
          <w:color w:val="auto"/>
          <w:highlight w:val="none"/>
        </w:rPr>
      </w:pPr>
      <w:r>
        <w:rPr>
          <w:color w:val="auto"/>
          <w:highlight w:val="none"/>
        </w:rPr>
        <w:t xml:space="preserve">    29.2 承包人应保障分包人免于承担与下列事宜有关的索赔、诉讼、损害赔偿费、诉讼费、指控费和其它开支：</w:t>
      </w:r>
    </w:p>
    <w:p>
      <w:pPr>
        <w:spacing w:line="360" w:lineRule="auto"/>
        <w:rPr>
          <w:color w:val="auto"/>
          <w:highlight w:val="none"/>
        </w:rPr>
      </w:pPr>
      <w:r>
        <w:rPr>
          <w:color w:val="auto"/>
          <w:highlight w:val="none"/>
        </w:rPr>
        <w:t xml:space="preserve">    （1）、按分包合同约定，实施和完成分包合同以及保修过程当中所导致的无法避免的对财产的损害；</w:t>
      </w:r>
    </w:p>
    <w:p>
      <w:pPr>
        <w:spacing w:line="360" w:lineRule="auto"/>
        <w:rPr>
          <w:color w:val="auto"/>
          <w:highlight w:val="none"/>
        </w:rPr>
      </w:pPr>
      <w:r>
        <w:rPr>
          <w:color w:val="auto"/>
          <w:highlight w:val="none"/>
        </w:rPr>
        <w:t xml:space="preserve">    （2）、由于发包人、承包人或其它分包商的行为或疏忽造成的人员伤亡或财产损失或损害，或与此相关的索赔、诉讼等。</w:t>
      </w:r>
    </w:p>
    <w:p>
      <w:pPr>
        <w:spacing w:line="360" w:lineRule="auto"/>
        <w:rPr>
          <w:color w:val="auto"/>
          <w:highlight w:val="none"/>
        </w:rPr>
      </w:pPr>
      <w:r>
        <w:rPr>
          <w:color w:val="auto"/>
          <w:highlight w:val="none"/>
        </w:rPr>
        <w:t xml:space="preserve">   上列损失应由造成损失的责任方承担。</w:t>
      </w:r>
    </w:p>
    <w:p>
      <w:pPr>
        <w:pStyle w:val="6"/>
        <w:bidi w:val="0"/>
        <w:rPr>
          <w:color w:val="auto"/>
          <w:highlight w:val="none"/>
        </w:rPr>
      </w:pPr>
      <w:r>
        <w:rPr>
          <w:color w:val="auto"/>
          <w:highlight w:val="none"/>
        </w:rPr>
        <w:t>30、保险</w:t>
      </w:r>
    </w:p>
    <w:p>
      <w:pPr>
        <w:spacing w:line="360" w:lineRule="auto"/>
        <w:rPr>
          <w:color w:val="auto"/>
          <w:highlight w:val="none"/>
        </w:rPr>
      </w:pPr>
      <w:r>
        <w:rPr>
          <w:color w:val="auto"/>
          <w:highlight w:val="none"/>
        </w:rPr>
        <w:t xml:space="preserve">    30.1 分包人应为运至施工场地内用于分包工程的材料和待安装设备办理保险。发包人或承包人已经办理的保险视为承包人办理的保险。</w:t>
      </w:r>
    </w:p>
    <w:p>
      <w:pPr>
        <w:spacing w:line="360" w:lineRule="auto"/>
        <w:rPr>
          <w:color w:val="auto"/>
          <w:highlight w:val="none"/>
        </w:rPr>
      </w:pPr>
      <w:r>
        <w:rPr>
          <w:color w:val="auto"/>
          <w:highlight w:val="none"/>
        </w:rPr>
        <w:t xml:space="preserve">    30.2 分包人必须为从事危险作业的职工办理意外伤害保险，并为施工场地内自有人员生命财产和施工机械设备办理保险，支付保险费用。</w:t>
      </w:r>
    </w:p>
    <w:p>
      <w:pPr>
        <w:spacing w:line="360" w:lineRule="auto"/>
        <w:ind w:firstLine="420"/>
        <w:rPr>
          <w:color w:val="auto"/>
          <w:highlight w:val="none"/>
        </w:rPr>
      </w:pPr>
      <w:r>
        <w:rPr>
          <w:color w:val="auto"/>
          <w:highlight w:val="none"/>
        </w:rPr>
        <w:t>30.3 保险事故发生时，承包人和分包人均有责任尽力采取必要的措施，防止或者减少损失。</w:t>
      </w:r>
    </w:p>
    <w:p>
      <w:pPr>
        <w:spacing w:line="360" w:lineRule="auto"/>
        <w:ind w:firstLine="420"/>
        <w:rPr>
          <w:color w:val="auto"/>
          <w:highlight w:val="none"/>
        </w:rPr>
      </w:pPr>
      <w:r>
        <w:rPr>
          <w:color w:val="auto"/>
          <w:highlight w:val="none"/>
        </w:rPr>
        <w:t>30.4 具体投保内容和相关责任，承包人分包人在本合同专用条款内约定。</w:t>
      </w:r>
    </w:p>
    <w:p>
      <w:pPr>
        <w:pStyle w:val="6"/>
        <w:bidi w:val="0"/>
        <w:rPr>
          <w:color w:val="auto"/>
          <w:highlight w:val="none"/>
        </w:rPr>
      </w:pPr>
      <w:r>
        <w:rPr>
          <w:color w:val="auto"/>
          <w:highlight w:val="none"/>
        </w:rPr>
        <w:t>31、担保</w:t>
      </w:r>
    </w:p>
    <w:p>
      <w:pPr>
        <w:spacing w:line="360" w:lineRule="auto"/>
        <w:rPr>
          <w:color w:val="auto"/>
          <w:highlight w:val="none"/>
        </w:rPr>
      </w:pPr>
      <w:r>
        <w:rPr>
          <w:color w:val="auto"/>
          <w:highlight w:val="none"/>
        </w:rPr>
        <w:t xml:space="preserve">    31.1如分包合同要求承包人向分包人提供支付担保时，承包人应与分包人协商担保方式和担保额度，在本合同专用条款内约定。</w:t>
      </w:r>
    </w:p>
    <w:p>
      <w:pPr>
        <w:spacing w:line="360" w:lineRule="auto"/>
        <w:ind w:firstLine="435"/>
        <w:rPr>
          <w:color w:val="auto"/>
          <w:highlight w:val="none"/>
        </w:rPr>
      </w:pPr>
      <w:r>
        <w:rPr>
          <w:color w:val="auto"/>
          <w:highlight w:val="none"/>
        </w:rPr>
        <w:t>31.2如分包合同要求分包人向承包人提供履约担保时，分包人应与承包人协商担保方式和担保额度，在本合同专用条款内约定。</w:t>
      </w:r>
    </w:p>
    <w:p>
      <w:pPr>
        <w:spacing w:line="360" w:lineRule="auto"/>
        <w:ind w:firstLine="400" w:firstLineChars="200"/>
        <w:rPr>
          <w:b/>
          <w:color w:val="auto"/>
          <w:highlight w:val="none"/>
        </w:rPr>
      </w:pPr>
      <w:r>
        <w:rPr>
          <w:color w:val="auto"/>
          <w:highlight w:val="none"/>
        </w:rPr>
        <w:t>31.3分包人提供的履约担保，不应超过总包合同中承包人向发包人提供的履约担保的额度。</w:t>
      </w:r>
    </w:p>
    <w:p>
      <w:pPr>
        <w:pStyle w:val="5"/>
        <w:bidi w:val="0"/>
      </w:pPr>
      <w:r>
        <w:t>十、其他</w:t>
      </w:r>
    </w:p>
    <w:p>
      <w:pPr>
        <w:pStyle w:val="6"/>
        <w:bidi w:val="0"/>
      </w:pPr>
      <w:r>
        <w:t>32、材料设备供应</w:t>
      </w:r>
    </w:p>
    <w:p>
      <w:pPr>
        <w:spacing w:line="360" w:lineRule="auto"/>
        <w:ind w:firstLine="435"/>
        <w:rPr>
          <w:color w:val="auto"/>
          <w:highlight w:val="none"/>
        </w:rPr>
      </w:pPr>
      <w:r>
        <w:rPr>
          <w:color w:val="auto"/>
          <w:highlight w:val="none"/>
        </w:rPr>
        <w:t>32.1有关材料设备供应的数量、程序及责任均按总包合同中发包人与承包人的有关约定履行。</w:t>
      </w:r>
    </w:p>
    <w:p>
      <w:pPr>
        <w:spacing w:line="360" w:lineRule="auto"/>
        <w:ind w:firstLine="435"/>
        <w:rPr>
          <w:color w:val="auto"/>
          <w:highlight w:val="none"/>
        </w:rPr>
      </w:pPr>
      <w:r>
        <w:rPr>
          <w:color w:val="auto"/>
          <w:highlight w:val="none"/>
        </w:rPr>
        <w:t>32.2总包合同约定就分包工程部分由发包人供应的材料设备，视为承包人供应的材料设备。</w:t>
      </w:r>
    </w:p>
    <w:p>
      <w:pPr>
        <w:spacing w:line="360" w:lineRule="auto"/>
        <w:ind w:firstLine="435"/>
        <w:rPr>
          <w:color w:val="auto"/>
          <w:highlight w:val="none"/>
        </w:rPr>
      </w:pPr>
      <w:r>
        <w:rPr>
          <w:color w:val="auto"/>
          <w:highlight w:val="none"/>
        </w:rPr>
        <w:t>32.3 除32.2款外的材料设备应由分包人按照本合同专用条款的约定采购，并提供产品合格证明，承包人不得指定生产厂或供应商。</w:t>
      </w:r>
    </w:p>
    <w:p>
      <w:pPr>
        <w:spacing w:line="360" w:lineRule="auto"/>
        <w:ind w:firstLine="402" w:firstLineChars="200"/>
        <w:rPr>
          <w:b/>
          <w:color w:val="auto"/>
          <w:highlight w:val="none"/>
        </w:rPr>
      </w:pPr>
    </w:p>
    <w:p>
      <w:pPr>
        <w:pStyle w:val="6"/>
        <w:bidi w:val="0"/>
        <w:rPr>
          <w:color w:val="auto"/>
          <w:highlight w:val="none"/>
        </w:rPr>
      </w:pPr>
      <w:r>
        <w:rPr>
          <w:color w:val="auto"/>
          <w:highlight w:val="none"/>
        </w:rPr>
        <w:t>33、文物</w:t>
      </w:r>
    </w:p>
    <w:p>
      <w:pPr>
        <w:spacing w:line="360" w:lineRule="auto"/>
        <w:rPr>
          <w:b/>
          <w:color w:val="auto"/>
          <w:highlight w:val="none"/>
        </w:rPr>
      </w:pPr>
      <w:r>
        <w:rPr>
          <w:b/>
          <w:color w:val="auto"/>
          <w:highlight w:val="none"/>
        </w:rPr>
        <w:t xml:space="preserve">    </w:t>
      </w:r>
      <w:r>
        <w:rPr>
          <w:color w:val="auto"/>
          <w:highlight w:val="none"/>
        </w:rPr>
        <w:t>33.1 承包人根据总包合同，应将涉及分包人施工场地以内需要保护的文物或古树名木通知分包人，分包人在施工中应认真保护。</w:t>
      </w:r>
    </w:p>
    <w:p>
      <w:pPr>
        <w:spacing w:line="360" w:lineRule="auto"/>
        <w:rPr>
          <w:b/>
          <w:color w:val="auto"/>
          <w:highlight w:val="none"/>
        </w:rPr>
      </w:pPr>
      <w:r>
        <w:rPr>
          <w:b/>
          <w:color w:val="auto"/>
          <w:highlight w:val="none"/>
        </w:rPr>
        <w:t xml:space="preserve">    </w:t>
      </w:r>
      <w:r>
        <w:rPr>
          <w:color w:val="auto"/>
          <w:highlight w:val="none"/>
        </w:rPr>
        <w:t>33.2 分包人在其施工场地内发现文物，应采取保护措施，并按照总包合同约定的时间和程序报告承包人。</w:t>
      </w:r>
    </w:p>
    <w:p>
      <w:pPr>
        <w:pStyle w:val="6"/>
        <w:bidi w:val="0"/>
        <w:rPr>
          <w:color w:val="auto"/>
          <w:highlight w:val="none"/>
        </w:rPr>
      </w:pPr>
      <w:r>
        <w:rPr>
          <w:color w:val="auto"/>
          <w:highlight w:val="none"/>
        </w:rPr>
        <w:t>34、不可抗力</w:t>
      </w:r>
    </w:p>
    <w:p>
      <w:pPr>
        <w:spacing w:line="360" w:lineRule="auto"/>
        <w:ind w:firstLine="400" w:firstLineChars="200"/>
        <w:rPr>
          <w:color w:val="auto"/>
          <w:highlight w:val="none"/>
        </w:rPr>
      </w:pPr>
      <w:r>
        <w:rPr>
          <w:color w:val="auto"/>
          <w:highlight w:val="none"/>
        </w:rPr>
        <w:t>34.1 不可抗力包括的范围以及事件处理执行通用条款。</w:t>
      </w:r>
    </w:p>
    <w:p>
      <w:pPr>
        <w:spacing w:line="360" w:lineRule="auto"/>
        <w:ind w:firstLine="400" w:firstLineChars="200"/>
        <w:rPr>
          <w:b/>
          <w:color w:val="auto"/>
          <w:highlight w:val="none"/>
        </w:rPr>
      </w:pPr>
      <w:r>
        <w:rPr>
          <w:color w:val="auto"/>
          <w:highlight w:val="none"/>
        </w:rPr>
        <w:t>34.2 不可抗力事件发生涉及分包人施工场地的，分包人应立即通知承包人，在力所能及的条件下，迅速采取措施，尽力减少损失。</w:t>
      </w:r>
    </w:p>
    <w:p>
      <w:pPr>
        <w:spacing w:line="360" w:lineRule="auto"/>
        <w:ind w:firstLine="400" w:firstLineChars="200"/>
        <w:rPr>
          <w:color w:val="auto"/>
          <w:highlight w:val="none"/>
        </w:rPr>
      </w:pPr>
      <w:r>
        <w:rPr>
          <w:color w:val="auto"/>
          <w:highlight w:val="none"/>
        </w:rPr>
        <w:t>34.3 分包人承担自身的人员和财产的损失。</w:t>
      </w:r>
    </w:p>
    <w:p>
      <w:pPr>
        <w:spacing w:line="360" w:lineRule="auto"/>
        <w:ind w:firstLine="400" w:firstLineChars="200"/>
        <w:rPr>
          <w:b/>
          <w:color w:val="auto"/>
          <w:highlight w:val="none"/>
        </w:rPr>
      </w:pPr>
      <w:r>
        <w:rPr>
          <w:color w:val="auto"/>
          <w:highlight w:val="none"/>
        </w:rPr>
        <w:t>34.4 因合同一方延迟履行合同后发生不可抗力的，不能免除延迟履行方的相应责任。</w:t>
      </w:r>
    </w:p>
    <w:p>
      <w:pPr>
        <w:pStyle w:val="6"/>
        <w:bidi w:val="0"/>
        <w:rPr>
          <w:color w:val="auto"/>
          <w:highlight w:val="none"/>
        </w:rPr>
      </w:pPr>
      <w:r>
        <w:rPr>
          <w:color w:val="auto"/>
          <w:highlight w:val="none"/>
        </w:rPr>
        <w:t>35、分包合同解除</w:t>
      </w:r>
    </w:p>
    <w:p>
      <w:pPr>
        <w:spacing w:line="360" w:lineRule="auto"/>
        <w:ind w:firstLine="400" w:firstLineChars="200"/>
        <w:rPr>
          <w:color w:val="auto"/>
          <w:highlight w:val="none"/>
        </w:rPr>
      </w:pPr>
      <w:r>
        <w:rPr>
          <w:color w:val="auto"/>
          <w:highlight w:val="none"/>
        </w:rPr>
        <w:t>35.1承包人和分包人协商一致，可以解除分包合同。</w:t>
      </w:r>
    </w:p>
    <w:p>
      <w:pPr>
        <w:spacing w:line="360" w:lineRule="auto"/>
        <w:ind w:firstLine="400" w:firstLineChars="200"/>
        <w:rPr>
          <w:color w:val="auto"/>
          <w:highlight w:val="none"/>
        </w:rPr>
      </w:pPr>
      <w:r>
        <w:rPr>
          <w:color w:val="auto"/>
          <w:highlight w:val="none"/>
        </w:rPr>
        <w:t>35.2 发生本合同通用条款21.5款情况，停止施工超过28天，承包人仍不支付工程款（预付款、进度款），分包人有权解除合同。</w:t>
      </w:r>
    </w:p>
    <w:p>
      <w:pPr>
        <w:spacing w:line="360" w:lineRule="auto"/>
        <w:ind w:firstLine="400" w:firstLineChars="200"/>
        <w:rPr>
          <w:color w:val="auto"/>
          <w:highlight w:val="none"/>
        </w:rPr>
      </w:pPr>
      <w:r>
        <w:rPr>
          <w:color w:val="auto"/>
          <w:highlight w:val="none"/>
        </w:rPr>
        <w:t>35.3 如分包人再分包或转包其承包的工程，承包人有权解除合同。因分包人原因中途终止合同或无力继续履行本合同，视给承包人造成的损失大小和已完工程量及实际意义，另行协商支付款项，同时分包人承担合同总价的10%违约金。</w:t>
      </w:r>
    </w:p>
    <w:p>
      <w:pPr>
        <w:spacing w:line="360" w:lineRule="auto"/>
        <w:ind w:firstLine="400" w:firstLineChars="200"/>
        <w:rPr>
          <w:color w:val="auto"/>
          <w:highlight w:val="none"/>
        </w:rPr>
      </w:pPr>
      <w:r>
        <w:rPr>
          <w:color w:val="auto"/>
          <w:highlight w:val="none"/>
        </w:rPr>
        <w:t>35.4有下列情形之一的，承包人分包人可以解除合同：</w:t>
      </w:r>
    </w:p>
    <w:p>
      <w:pPr>
        <w:spacing w:line="360" w:lineRule="auto"/>
        <w:ind w:firstLine="400" w:firstLineChars="200"/>
        <w:rPr>
          <w:color w:val="auto"/>
          <w:highlight w:val="none"/>
        </w:rPr>
      </w:pPr>
      <w:r>
        <w:rPr>
          <w:color w:val="auto"/>
          <w:highlight w:val="none"/>
        </w:rPr>
        <w:t>（1）因不可抗力导致合同无法履行；</w:t>
      </w:r>
    </w:p>
    <w:p>
      <w:pPr>
        <w:spacing w:line="360" w:lineRule="auto"/>
        <w:ind w:firstLine="400" w:firstLineChars="200"/>
        <w:rPr>
          <w:color w:val="auto"/>
          <w:highlight w:val="none"/>
        </w:rPr>
      </w:pPr>
      <w:r>
        <w:rPr>
          <w:color w:val="auto"/>
          <w:highlight w:val="none"/>
        </w:rPr>
        <w:t>（2）因一方违约（包括因发包人原因造成工程停建或缓建）导致合同无法履行。</w:t>
      </w:r>
    </w:p>
    <w:p>
      <w:pPr>
        <w:spacing w:line="360" w:lineRule="auto"/>
        <w:ind w:firstLine="400" w:firstLineChars="200"/>
        <w:rPr>
          <w:color w:val="auto"/>
          <w:highlight w:val="none"/>
        </w:rPr>
      </w:pPr>
      <w:r>
        <w:rPr>
          <w:color w:val="auto"/>
          <w:highlight w:val="none"/>
        </w:rPr>
        <w:t>35.5 分包合同解除程序以及善后处理均按总包合同相应条款履行。</w:t>
      </w:r>
    </w:p>
    <w:p>
      <w:pPr>
        <w:spacing w:line="360" w:lineRule="auto"/>
        <w:ind w:firstLine="400" w:firstLineChars="200"/>
        <w:rPr>
          <w:b/>
          <w:color w:val="auto"/>
          <w:highlight w:val="none"/>
        </w:rPr>
      </w:pPr>
      <w:r>
        <w:rPr>
          <w:color w:val="auto"/>
          <w:highlight w:val="none"/>
        </w:rPr>
        <w:t>35.6 分包合同解除后，不影响双方在合同中约定的结算条款的效力。</w:t>
      </w:r>
    </w:p>
    <w:p>
      <w:pPr>
        <w:pStyle w:val="6"/>
        <w:bidi w:val="0"/>
        <w:rPr>
          <w:color w:val="auto"/>
          <w:highlight w:val="none"/>
        </w:rPr>
      </w:pPr>
      <w:r>
        <w:rPr>
          <w:color w:val="auto"/>
          <w:highlight w:val="none"/>
        </w:rPr>
        <w:t>36、合同生效与终止</w:t>
      </w:r>
    </w:p>
    <w:p>
      <w:pPr>
        <w:spacing w:line="360" w:lineRule="auto"/>
        <w:rPr>
          <w:b/>
          <w:color w:val="auto"/>
          <w:highlight w:val="none"/>
        </w:rPr>
      </w:pPr>
      <w:r>
        <w:rPr>
          <w:b/>
          <w:color w:val="auto"/>
          <w:highlight w:val="none"/>
        </w:rPr>
        <w:t xml:space="preserve">    </w:t>
      </w:r>
      <w:r>
        <w:rPr>
          <w:color w:val="auto"/>
          <w:highlight w:val="none"/>
        </w:rPr>
        <w:t>36.1 承包人分包人在本合同协议书中约定合同生效方式。</w:t>
      </w:r>
    </w:p>
    <w:p>
      <w:pPr>
        <w:spacing w:line="360" w:lineRule="auto"/>
        <w:ind w:firstLine="420"/>
        <w:rPr>
          <w:color w:val="auto"/>
          <w:highlight w:val="none"/>
        </w:rPr>
      </w:pPr>
      <w:r>
        <w:rPr>
          <w:color w:val="auto"/>
          <w:highlight w:val="none"/>
        </w:rPr>
        <w:t>36.2 承包人分包人履行合同全部义务，竣工结算价款支付完毕，分包人向承包人交付竣工的分包工程后，本合同即告终止。</w:t>
      </w:r>
    </w:p>
    <w:p>
      <w:pPr>
        <w:spacing w:line="360" w:lineRule="auto"/>
        <w:ind w:firstLine="420"/>
        <w:rPr>
          <w:b/>
          <w:color w:val="auto"/>
          <w:highlight w:val="none"/>
        </w:rPr>
      </w:pPr>
      <w:r>
        <w:rPr>
          <w:color w:val="auto"/>
          <w:highlight w:val="none"/>
        </w:rPr>
        <w:t>36.3 分包合同的权利义务终止后，承包人分包人应遵循诚实信用原则，履行通知、协助、保密等义务。</w:t>
      </w:r>
    </w:p>
    <w:p>
      <w:pPr>
        <w:pStyle w:val="6"/>
        <w:bidi w:val="0"/>
        <w:rPr>
          <w:color w:val="auto"/>
          <w:highlight w:val="none"/>
        </w:rPr>
      </w:pPr>
      <w:r>
        <w:rPr>
          <w:color w:val="auto"/>
          <w:highlight w:val="none"/>
        </w:rPr>
        <w:t>37、合同份数</w:t>
      </w:r>
    </w:p>
    <w:p>
      <w:pPr>
        <w:spacing w:line="360" w:lineRule="auto"/>
        <w:ind w:firstLine="420"/>
        <w:rPr>
          <w:color w:val="auto"/>
          <w:highlight w:val="none"/>
        </w:rPr>
      </w:pPr>
      <w:r>
        <w:rPr>
          <w:color w:val="auto"/>
          <w:highlight w:val="none"/>
        </w:rPr>
        <w:t>37.1 本合同正本两份，具有同等效力，由承包人分包人分别保存一份。</w:t>
      </w:r>
    </w:p>
    <w:p>
      <w:pPr>
        <w:spacing w:line="360" w:lineRule="auto"/>
        <w:ind w:firstLine="420"/>
        <w:rPr>
          <w:color w:val="auto"/>
          <w:highlight w:val="none"/>
        </w:rPr>
      </w:pPr>
      <w:r>
        <w:rPr>
          <w:color w:val="auto"/>
          <w:highlight w:val="none"/>
        </w:rPr>
        <w:t>37.2 本合同副本份数，由双方根据需要在本合同专用条款内约定。</w:t>
      </w:r>
    </w:p>
    <w:p>
      <w:pPr>
        <w:pStyle w:val="6"/>
        <w:bidi w:val="0"/>
        <w:rPr>
          <w:color w:val="auto"/>
          <w:highlight w:val="none"/>
        </w:rPr>
      </w:pPr>
      <w:r>
        <w:rPr>
          <w:color w:val="auto"/>
          <w:highlight w:val="none"/>
        </w:rPr>
        <w:t>38、</w:t>
      </w:r>
      <w:r>
        <w:rPr>
          <w:bCs w:val="0"/>
          <w:color w:val="auto"/>
          <w:highlight w:val="none"/>
        </w:rPr>
        <w:t>补充条款</w:t>
      </w:r>
    </w:p>
    <w:p>
      <w:pPr>
        <w:spacing w:line="360" w:lineRule="auto"/>
        <w:ind w:firstLine="435"/>
        <w:rPr>
          <w:color w:val="auto"/>
          <w:highlight w:val="none"/>
        </w:rPr>
      </w:pPr>
      <w:r>
        <w:rPr>
          <w:color w:val="auto"/>
          <w:highlight w:val="none"/>
        </w:rPr>
        <w:t>双方根据有关法律、行政法规规定，结合工程实际，经协商一致后，可对本合同通用条款内容具体化、补充或修改，在本合同专用条款内约定。</w:t>
      </w:r>
    </w:p>
    <w:p>
      <w:pPr>
        <w:spacing w:line="480" w:lineRule="exact"/>
        <w:rPr>
          <w:color w:val="auto"/>
          <w:highlight w:val="none"/>
        </w:rPr>
      </w:pPr>
    </w:p>
    <w:p>
      <w:pPr>
        <w:pStyle w:val="3"/>
        <w:jc w:val="center"/>
        <w:rPr>
          <w:rFonts w:ascii="Times New Roman"/>
          <w:color w:val="auto"/>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4"/>
        <w:bidi w:val="0"/>
        <w:jc w:val="center"/>
      </w:pPr>
      <w:r>
        <w:t>第三部分</w:t>
      </w:r>
      <w:r>
        <w:tab/>
      </w:r>
      <w:r>
        <w:tab/>
      </w:r>
      <w:r>
        <w:t>专用条款</w:t>
      </w:r>
    </w:p>
    <w:p>
      <w:pPr>
        <w:pStyle w:val="5"/>
        <w:numPr>
          <w:ilvl w:val="0"/>
          <w:numId w:val="13"/>
        </w:numPr>
        <w:bidi w:val="0"/>
      </w:pPr>
      <w:r>
        <w:t>词语定义及合同文件</w:t>
      </w:r>
    </w:p>
    <w:p>
      <w:pPr>
        <w:pStyle w:val="6"/>
        <w:bidi w:val="0"/>
      </w:pPr>
      <w:r>
        <w:t>2、合同文件及解释顺序</w:t>
      </w:r>
    </w:p>
    <w:p>
      <w:pPr>
        <w:widowControl w:val="0"/>
        <w:spacing w:line="360" w:lineRule="auto"/>
        <w:ind w:firstLine="400" w:firstLineChars="200"/>
        <w:rPr>
          <w:color w:val="auto"/>
          <w:highlight w:val="none"/>
        </w:rPr>
      </w:pPr>
      <w:r>
        <w:rPr>
          <w:color w:val="auto"/>
          <w:highlight w:val="none"/>
        </w:rPr>
        <w:t>合同文件及解释顺序：</w:t>
      </w:r>
      <w:r>
        <w:rPr>
          <w:rFonts w:hint="eastAsia"/>
          <w:color w:val="auto"/>
          <w:highlight w:val="none"/>
          <w:u w:val="single"/>
        </w:rPr>
        <w:t>见第一部分合同协议书</w:t>
      </w:r>
      <w:r>
        <w:rPr>
          <w:color w:val="auto"/>
          <w:highlight w:val="none"/>
          <w:u w:val="single"/>
        </w:rPr>
        <w:t>。</w:t>
      </w:r>
    </w:p>
    <w:p>
      <w:pPr>
        <w:pStyle w:val="6"/>
        <w:bidi w:val="0"/>
        <w:rPr>
          <w:color w:val="auto"/>
          <w:highlight w:val="none"/>
        </w:rPr>
      </w:pPr>
      <w:r>
        <w:rPr>
          <w:color w:val="auto"/>
          <w:highlight w:val="none"/>
        </w:rPr>
        <w:t>3、语言文字和适用法律、行政法规及工程建设标准</w:t>
      </w:r>
    </w:p>
    <w:p>
      <w:pPr>
        <w:widowControl w:val="0"/>
        <w:spacing w:line="360" w:lineRule="auto"/>
        <w:rPr>
          <w:color w:val="auto"/>
          <w:highlight w:val="none"/>
        </w:rPr>
      </w:pPr>
      <w:r>
        <w:rPr>
          <w:color w:val="auto"/>
          <w:highlight w:val="none"/>
        </w:rPr>
        <w:t xml:space="preserve">    3.1 除总包合同文件规定的语言文字外，本合同还使用</w:t>
      </w:r>
      <w:r>
        <w:rPr>
          <w:color w:val="auto"/>
          <w:highlight w:val="none"/>
          <w:u w:val="single"/>
        </w:rPr>
        <w:t xml:space="preserve"> / </w:t>
      </w:r>
      <w:r>
        <w:rPr>
          <w:color w:val="auto"/>
          <w:highlight w:val="none"/>
        </w:rPr>
        <w:t>语言文字。</w:t>
      </w:r>
    </w:p>
    <w:p>
      <w:pPr>
        <w:widowControl w:val="0"/>
        <w:spacing w:line="360" w:lineRule="auto"/>
        <w:rPr>
          <w:color w:val="auto"/>
          <w:highlight w:val="none"/>
        </w:rPr>
      </w:pPr>
      <w:r>
        <w:rPr>
          <w:color w:val="auto"/>
          <w:highlight w:val="none"/>
        </w:rPr>
        <w:t xml:space="preserve">    3.2 本合同需要明示的法律、行政法规和规章：</w:t>
      </w:r>
      <w:r>
        <w:rPr>
          <w:color w:val="auto"/>
          <w:highlight w:val="none"/>
          <w:u w:val="single"/>
        </w:rPr>
        <w:t>《中华人民共和国民法典》、《中华人民共和国建筑法》、《中华人民共和国招标投标法》、《中华人民共和国安全生产法》、《建设工程质量管理条例》、《建设工程安全生产管理条例》，以及其他法律、法规 以及中煤集团相关规定</w:t>
      </w:r>
      <w:r>
        <w:rPr>
          <w:color w:val="auto"/>
          <w:highlight w:val="none"/>
        </w:rPr>
        <w:t>。</w:t>
      </w:r>
    </w:p>
    <w:p>
      <w:pPr>
        <w:widowControl w:val="0"/>
        <w:spacing w:line="460" w:lineRule="exact"/>
        <w:rPr>
          <w:color w:val="auto"/>
          <w:highlight w:val="none"/>
          <w:u w:val="single"/>
        </w:rPr>
      </w:pPr>
      <w:r>
        <w:rPr>
          <w:color w:val="auto"/>
          <w:highlight w:val="none"/>
        </w:rPr>
        <w:t xml:space="preserve">    3.3 本分包工程适用的工程建设标准：</w:t>
      </w:r>
      <w:r>
        <w:rPr>
          <w:rFonts w:hint="eastAsia"/>
          <w:color w:val="auto"/>
          <w:highlight w:val="none"/>
          <w:u w:val="single"/>
        </w:rPr>
        <w:t>详见</w:t>
      </w:r>
      <w:r>
        <w:rPr>
          <w:color w:val="auto"/>
          <w:highlight w:val="none"/>
          <w:u w:val="single"/>
        </w:rPr>
        <w:t>技术协议。</w:t>
      </w:r>
    </w:p>
    <w:p>
      <w:pPr>
        <w:widowControl w:val="0"/>
        <w:spacing w:line="360" w:lineRule="auto"/>
        <w:ind w:firstLine="435"/>
        <w:rPr>
          <w:color w:val="auto"/>
          <w:highlight w:val="none"/>
        </w:rPr>
      </w:pPr>
      <w:r>
        <w:rPr>
          <w:color w:val="auto"/>
          <w:highlight w:val="none"/>
        </w:rPr>
        <w:t>承包人提出施工技术要求的内容和时间：</w:t>
      </w:r>
      <w:r>
        <w:rPr>
          <w:rFonts w:hint="eastAsia"/>
          <w:color w:val="auto"/>
          <w:highlight w:val="none"/>
          <w:u w:val="single"/>
        </w:rPr>
        <w:t>开工前7天。</w:t>
      </w:r>
    </w:p>
    <w:p>
      <w:pPr>
        <w:widowControl w:val="0"/>
        <w:spacing w:line="360" w:lineRule="auto"/>
        <w:ind w:firstLine="435"/>
        <w:rPr>
          <w:color w:val="auto"/>
          <w:highlight w:val="none"/>
        </w:rPr>
      </w:pPr>
      <w:r>
        <w:rPr>
          <w:color w:val="auto"/>
          <w:highlight w:val="none"/>
        </w:rPr>
        <w:t>分包人提出相应的施工工艺的时间：</w:t>
      </w:r>
      <w:r>
        <w:rPr>
          <w:rFonts w:hint="eastAsia"/>
          <w:color w:val="auto"/>
          <w:highlight w:val="none"/>
          <w:u w:val="single"/>
        </w:rPr>
        <w:t>开工前</w:t>
      </w:r>
      <w:r>
        <w:rPr>
          <w:color w:val="auto"/>
          <w:highlight w:val="none"/>
          <w:u w:val="single"/>
        </w:rPr>
        <w:t>3</w:t>
      </w:r>
      <w:r>
        <w:rPr>
          <w:rFonts w:hint="eastAsia"/>
          <w:color w:val="auto"/>
          <w:highlight w:val="none"/>
          <w:u w:val="single"/>
        </w:rPr>
        <w:t>天。</w:t>
      </w:r>
    </w:p>
    <w:p>
      <w:pPr>
        <w:pStyle w:val="6"/>
        <w:bidi w:val="0"/>
        <w:rPr>
          <w:color w:val="auto"/>
          <w:highlight w:val="none"/>
        </w:rPr>
      </w:pPr>
      <w:r>
        <w:rPr>
          <w:color w:val="auto"/>
          <w:highlight w:val="none"/>
        </w:rPr>
        <w:t xml:space="preserve">4、图纸  </w:t>
      </w:r>
    </w:p>
    <w:p>
      <w:pPr>
        <w:spacing w:line="360" w:lineRule="auto"/>
        <w:ind w:firstLine="435"/>
        <w:rPr>
          <w:color w:val="auto"/>
          <w:highlight w:val="none"/>
        </w:rPr>
      </w:pPr>
      <w:r>
        <w:rPr>
          <w:color w:val="auto"/>
          <w:highlight w:val="none"/>
        </w:rPr>
        <w:t>4.1 承包人向分包人提供图纸的日期：</w:t>
      </w:r>
      <w:r>
        <w:rPr>
          <w:rFonts w:hint="eastAsia"/>
          <w:color w:val="auto"/>
          <w:highlight w:val="none"/>
          <w:u w:val="single"/>
        </w:rPr>
        <w:t>开项目开工前分包人向发包人申领。</w:t>
      </w:r>
    </w:p>
    <w:p>
      <w:pPr>
        <w:spacing w:line="360" w:lineRule="auto"/>
        <w:ind w:firstLine="420"/>
        <w:rPr>
          <w:color w:val="auto"/>
          <w:highlight w:val="none"/>
        </w:rPr>
      </w:pPr>
      <w:r>
        <w:rPr>
          <w:color w:val="auto"/>
          <w:highlight w:val="none"/>
        </w:rPr>
        <w:t>4.2 承包人委托分包人进行深化施工图设计的委托范围及费用承担：</w:t>
      </w:r>
      <w:r>
        <w:rPr>
          <w:color w:val="auto"/>
          <w:highlight w:val="none"/>
          <w:u w:val="single"/>
        </w:rPr>
        <w:t>无</w:t>
      </w:r>
      <w:r>
        <w:rPr>
          <w:color w:val="auto"/>
          <w:highlight w:val="none"/>
        </w:rPr>
        <w:t xml:space="preserve">。 </w:t>
      </w:r>
    </w:p>
    <w:p>
      <w:pPr>
        <w:spacing w:line="360" w:lineRule="auto"/>
        <w:ind w:firstLine="420"/>
        <w:rPr>
          <w:color w:val="auto"/>
          <w:highlight w:val="none"/>
          <w:u w:val="single"/>
        </w:rPr>
      </w:pPr>
      <w:r>
        <w:rPr>
          <w:color w:val="auto"/>
          <w:highlight w:val="none"/>
        </w:rPr>
        <w:t>4.3 复制、重新绘制、翻译、购买标准图纸的责任和费用承担：</w:t>
      </w:r>
      <w:r>
        <w:rPr>
          <w:rFonts w:hint="eastAsia"/>
          <w:color w:val="auto"/>
          <w:highlight w:val="none"/>
          <w:u w:val="single"/>
        </w:rPr>
        <w:t>严格按照承包人提供的图纸进行施工，未经承包人同意不得将图纸外传。标准图集由分包人自行准备</w:t>
      </w:r>
      <w:r>
        <w:rPr>
          <w:color w:val="auto"/>
          <w:highlight w:val="none"/>
        </w:rPr>
        <w:t>。</w:t>
      </w:r>
    </w:p>
    <w:p>
      <w:pPr>
        <w:spacing w:line="360" w:lineRule="auto"/>
        <w:ind w:firstLine="200" w:firstLineChars="100"/>
        <w:rPr>
          <w:color w:val="auto"/>
          <w:highlight w:val="none"/>
        </w:rPr>
      </w:pPr>
      <w:r>
        <w:rPr>
          <w:color w:val="auto"/>
          <w:highlight w:val="none"/>
        </w:rPr>
        <w:t xml:space="preserve">  4.4 关于使用国外图纸的要求及费用承担：</w:t>
      </w:r>
      <w:r>
        <w:rPr>
          <w:color w:val="auto"/>
          <w:highlight w:val="none"/>
          <w:u w:val="single"/>
        </w:rPr>
        <w:t>无。</w:t>
      </w:r>
    </w:p>
    <w:p>
      <w:pPr>
        <w:pStyle w:val="5"/>
        <w:bidi w:val="0"/>
      </w:pPr>
      <w:r>
        <w:t>二、双方一般权利和义务</w:t>
      </w:r>
    </w:p>
    <w:p>
      <w:pPr>
        <w:pStyle w:val="6"/>
        <w:bidi w:val="0"/>
      </w:pPr>
      <w:r>
        <w:t>7、项目经理</w:t>
      </w:r>
    </w:p>
    <w:p>
      <w:pPr>
        <w:bidi w:val="0"/>
        <w:rPr>
          <w:b w:val="0"/>
          <w:bCs w:val="0"/>
          <w:color w:val="auto"/>
          <w:sz w:val="20"/>
          <w:szCs w:val="20"/>
          <w:highlight w:val="none"/>
          <w:u w:val="single"/>
        </w:rPr>
      </w:pPr>
      <w:r>
        <w:rPr>
          <w:b w:val="0"/>
          <w:bCs w:val="0"/>
          <w:color w:val="auto"/>
          <w:sz w:val="20"/>
          <w:szCs w:val="20"/>
          <w:highlight w:val="none"/>
        </w:rPr>
        <w:t>姓名：</w:t>
      </w:r>
      <w:r>
        <w:rPr>
          <w:b w:val="0"/>
          <w:bCs w:val="0"/>
          <w:color w:val="auto"/>
          <w:sz w:val="20"/>
          <w:szCs w:val="20"/>
          <w:highlight w:val="none"/>
          <w:u w:val="single"/>
        </w:rPr>
        <w:t xml:space="preserve"> </w:t>
      </w:r>
      <w:r>
        <w:rPr>
          <w:b w:val="0"/>
          <w:bCs w:val="0"/>
          <w:color w:val="auto"/>
          <w:sz w:val="20"/>
          <w:szCs w:val="20"/>
          <w:highlight w:val="none"/>
        </w:rPr>
        <w:t xml:space="preserve">        职务 </w:t>
      </w:r>
      <w:r>
        <w:rPr>
          <w:b w:val="0"/>
          <w:bCs w:val="0"/>
          <w:color w:val="auto"/>
          <w:sz w:val="20"/>
          <w:szCs w:val="20"/>
          <w:highlight w:val="none"/>
          <w:u w:val="single"/>
        </w:rPr>
        <w:t xml:space="preserve">项目经理  </w:t>
      </w:r>
      <w:r>
        <w:rPr>
          <w:b w:val="0"/>
          <w:bCs w:val="0"/>
          <w:color w:val="auto"/>
          <w:sz w:val="20"/>
          <w:szCs w:val="20"/>
          <w:highlight w:val="none"/>
        </w:rPr>
        <w:t xml:space="preserve">       职业资格 </w:t>
      </w:r>
      <w:r>
        <w:rPr>
          <w:b w:val="0"/>
          <w:bCs w:val="0"/>
          <w:color w:val="auto"/>
          <w:sz w:val="20"/>
          <w:szCs w:val="20"/>
          <w:highlight w:val="none"/>
          <w:u w:val="single"/>
        </w:rPr>
        <w:t xml:space="preserve">        </w:t>
      </w:r>
    </w:p>
    <w:p>
      <w:pPr>
        <w:pStyle w:val="6"/>
        <w:bidi w:val="0"/>
      </w:pPr>
      <w:r>
        <w:t>8、分包项目经理</w:t>
      </w:r>
    </w:p>
    <w:p>
      <w:pPr>
        <w:spacing w:line="420" w:lineRule="exact"/>
        <w:ind w:firstLine="200" w:firstLineChars="100"/>
        <w:rPr>
          <w:b/>
          <w:bCs/>
          <w:color w:val="auto"/>
          <w:highlight w:val="none"/>
          <w:u w:val="single"/>
        </w:rPr>
      </w:pPr>
      <w:r>
        <w:rPr>
          <w:color w:val="auto"/>
          <w:highlight w:val="none"/>
        </w:rPr>
        <w:t xml:space="preserve">  姓名：    职务</w:t>
      </w:r>
      <w:r>
        <w:rPr>
          <w:color w:val="auto"/>
          <w:highlight w:val="none"/>
          <w:u w:val="single"/>
        </w:rPr>
        <w:t xml:space="preserve"> 项目经理</w:t>
      </w:r>
      <w:r>
        <w:rPr>
          <w:color w:val="auto"/>
          <w:highlight w:val="none"/>
        </w:rPr>
        <w:t xml:space="preserve">        职业资格 </w:t>
      </w:r>
      <w:r>
        <w:rPr>
          <w:color w:val="auto"/>
          <w:sz w:val="21"/>
          <w:highlight w:val="none"/>
          <w:u w:val="single"/>
        </w:rPr>
        <w:t xml:space="preserve">      </w:t>
      </w:r>
      <w:r>
        <w:rPr>
          <w:color w:val="auto"/>
          <w:highlight w:val="none"/>
        </w:rPr>
        <w:t xml:space="preserve">     </w:t>
      </w:r>
    </w:p>
    <w:p>
      <w:pPr>
        <w:spacing w:line="420" w:lineRule="exact"/>
        <w:ind w:firstLine="400" w:firstLineChars="200"/>
        <w:rPr>
          <w:color w:val="auto"/>
          <w:highlight w:val="none"/>
        </w:rPr>
      </w:pPr>
      <w:r>
        <w:rPr>
          <w:color w:val="auto"/>
          <w:highlight w:val="none"/>
        </w:rPr>
        <w:t>项目经理每月在施工现场的时间不得少于22天，且完全保证服从工程施工需要。未经承包人项目经理批准，擅自离开施工现场，</w:t>
      </w:r>
      <w:r>
        <w:rPr>
          <w:rFonts w:hint="eastAsia"/>
          <w:color w:val="auto"/>
          <w:highlight w:val="none"/>
        </w:rPr>
        <w:t>处以1万元罚款，分包人承担上述违约给承包人造成的一切损失</w:t>
      </w:r>
      <w:r>
        <w:rPr>
          <w:color w:val="auto"/>
          <w:highlight w:val="none"/>
        </w:rPr>
        <w:t>。</w:t>
      </w:r>
    </w:p>
    <w:p>
      <w:pPr>
        <w:spacing w:line="420" w:lineRule="exact"/>
        <w:ind w:firstLine="400" w:firstLineChars="200"/>
        <w:rPr>
          <w:color w:val="auto"/>
          <w:highlight w:val="none"/>
        </w:rPr>
      </w:pPr>
      <w:r>
        <w:rPr>
          <w:color w:val="auto"/>
          <w:highlight w:val="none"/>
        </w:rPr>
        <w:t>分包人擅自更换项目经理或无正当理由拒绝更换项目经理处以</w:t>
      </w:r>
      <w:r>
        <w:rPr>
          <w:rFonts w:hint="eastAsia"/>
          <w:color w:val="auto"/>
          <w:highlight w:val="none"/>
        </w:rPr>
        <w:t>1万元罚款，分包人承担上述违约给承包人造成的一切损失。</w:t>
      </w:r>
    </w:p>
    <w:p>
      <w:pPr>
        <w:spacing w:line="420" w:lineRule="exact"/>
        <w:ind w:firstLine="400" w:firstLineChars="200"/>
        <w:rPr>
          <w:color w:val="auto"/>
          <w:highlight w:val="none"/>
        </w:rPr>
      </w:pPr>
      <w:r>
        <w:rPr>
          <w:color w:val="auto"/>
          <w:highlight w:val="none"/>
        </w:rPr>
        <w:t>分包人</w:t>
      </w:r>
      <w:r>
        <w:rPr>
          <w:rFonts w:hint="eastAsia"/>
          <w:color w:val="auto"/>
          <w:highlight w:val="none"/>
        </w:rPr>
        <w:t>主要施工管理人员</w:t>
      </w:r>
      <w:r>
        <w:rPr>
          <w:color w:val="auto"/>
          <w:highlight w:val="none"/>
        </w:rPr>
        <w:t>无正当理由拒绝撤换或擅自更换或擅自离开施工现场处以</w:t>
      </w:r>
      <w:r>
        <w:rPr>
          <w:rFonts w:hint="eastAsia"/>
          <w:color w:val="auto"/>
          <w:highlight w:val="none"/>
        </w:rPr>
        <w:t>3万元罚款，分包人承担上述违约给承包人造成的一切损失。</w:t>
      </w:r>
    </w:p>
    <w:p>
      <w:pPr>
        <w:pStyle w:val="6"/>
        <w:bidi w:val="0"/>
      </w:pPr>
      <w:r>
        <w:t>9、承包人的工作</w:t>
      </w:r>
    </w:p>
    <w:p>
      <w:pPr>
        <w:spacing w:line="420" w:lineRule="exact"/>
        <w:ind w:firstLine="435"/>
        <w:rPr>
          <w:color w:val="auto"/>
          <w:highlight w:val="none"/>
        </w:rPr>
      </w:pPr>
      <w:r>
        <w:rPr>
          <w:color w:val="auto"/>
          <w:highlight w:val="none"/>
        </w:rPr>
        <w:t>9.1 承包人应完成下列工作：</w:t>
      </w:r>
    </w:p>
    <w:p>
      <w:pPr>
        <w:spacing w:line="420" w:lineRule="exact"/>
        <w:ind w:firstLine="435"/>
        <w:rPr>
          <w:color w:val="auto"/>
          <w:highlight w:val="none"/>
        </w:rPr>
      </w:pPr>
      <w:r>
        <w:rPr>
          <w:color w:val="auto"/>
          <w:highlight w:val="none"/>
        </w:rPr>
        <w:t>（1）向分包人提供施工场地和施工所需的证件、批件的名称和完成时间：</w:t>
      </w:r>
      <w:r>
        <w:rPr>
          <w:rFonts w:hint="eastAsia"/>
          <w:color w:val="auto"/>
          <w:highlight w:val="none"/>
          <w:u w:val="single"/>
        </w:rPr>
        <w:t>开工前3天</w:t>
      </w:r>
      <w:r>
        <w:rPr>
          <w:color w:val="auto"/>
          <w:highlight w:val="none"/>
          <w:u w:val="single"/>
        </w:rPr>
        <w:t>。</w:t>
      </w:r>
    </w:p>
    <w:p>
      <w:pPr>
        <w:spacing w:line="420" w:lineRule="exact"/>
        <w:ind w:firstLine="435"/>
        <w:rPr>
          <w:color w:val="auto"/>
          <w:highlight w:val="none"/>
          <w:u w:val="single"/>
        </w:rPr>
      </w:pPr>
      <w:r>
        <w:rPr>
          <w:color w:val="auto"/>
          <w:highlight w:val="none"/>
        </w:rPr>
        <w:t>（2）组织分包人参加会审图纸的时间：</w:t>
      </w:r>
      <w:r>
        <w:rPr>
          <w:rFonts w:hint="eastAsia"/>
          <w:color w:val="auto"/>
          <w:highlight w:val="none"/>
          <w:u w:val="single"/>
        </w:rPr>
        <w:t>开工前</w:t>
      </w:r>
      <w:r>
        <w:rPr>
          <w:color w:val="auto"/>
          <w:highlight w:val="none"/>
        </w:rPr>
        <w:t>；</w:t>
      </w:r>
    </w:p>
    <w:p>
      <w:pPr>
        <w:spacing w:line="420" w:lineRule="exact"/>
        <w:ind w:firstLine="814" w:firstLineChars="407"/>
        <w:rPr>
          <w:color w:val="auto"/>
          <w:highlight w:val="none"/>
        </w:rPr>
      </w:pPr>
      <w:r>
        <w:rPr>
          <w:color w:val="auto"/>
          <w:highlight w:val="none"/>
        </w:rPr>
        <w:t>向分包人进行设计图纸交底的时间：</w:t>
      </w:r>
      <w:r>
        <w:rPr>
          <w:rFonts w:hint="eastAsia"/>
          <w:color w:val="auto"/>
          <w:highlight w:val="none"/>
          <w:u w:val="single"/>
        </w:rPr>
        <w:t>开工前</w:t>
      </w:r>
      <w:r>
        <w:rPr>
          <w:color w:val="auto"/>
          <w:highlight w:val="none"/>
        </w:rPr>
        <w:t>。</w:t>
      </w:r>
    </w:p>
    <w:p>
      <w:pPr>
        <w:spacing w:line="420" w:lineRule="exact"/>
        <w:ind w:firstLine="435"/>
        <w:rPr>
          <w:color w:val="auto"/>
          <w:highlight w:val="none"/>
        </w:rPr>
      </w:pPr>
      <w:r>
        <w:rPr>
          <w:color w:val="auto"/>
          <w:highlight w:val="none"/>
        </w:rPr>
        <w:t>（3）承包人为本分包工程的实施提供的机械设备和（或）其他设施（如有时），及费用承担：</w:t>
      </w:r>
      <w:r>
        <w:rPr>
          <w:color w:val="auto"/>
          <w:highlight w:val="none"/>
          <w:u w:val="single"/>
        </w:rPr>
        <w:t>无。</w:t>
      </w:r>
    </w:p>
    <w:p>
      <w:pPr>
        <w:spacing w:line="420" w:lineRule="exact"/>
        <w:rPr>
          <w:color w:val="auto"/>
          <w:highlight w:val="none"/>
        </w:rPr>
      </w:pPr>
      <w:r>
        <w:rPr>
          <w:color w:val="auto"/>
          <w:highlight w:val="none"/>
        </w:rPr>
        <w:t xml:space="preserve">    （4）双方约定承包人应做的其它工作：</w:t>
      </w:r>
      <w:r>
        <w:rPr>
          <w:rFonts w:hint="eastAsia"/>
          <w:color w:val="auto"/>
          <w:highlight w:val="none"/>
          <w:u w:val="single"/>
        </w:rPr>
        <w:t>无</w:t>
      </w:r>
      <w:r>
        <w:rPr>
          <w:color w:val="auto"/>
          <w:highlight w:val="none"/>
          <w:u w:val="single"/>
        </w:rPr>
        <w:t>。</w:t>
      </w:r>
    </w:p>
    <w:p>
      <w:pPr>
        <w:pStyle w:val="6"/>
        <w:bidi w:val="0"/>
      </w:pPr>
      <w:r>
        <w:t>10、分包人的工作</w:t>
      </w:r>
    </w:p>
    <w:p>
      <w:pPr>
        <w:spacing w:line="420" w:lineRule="exact"/>
        <w:ind w:firstLine="435"/>
        <w:rPr>
          <w:color w:val="auto"/>
          <w:highlight w:val="none"/>
        </w:rPr>
      </w:pPr>
      <w:r>
        <w:rPr>
          <w:color w:val="auto"/>
          <w:highlight w:val="none"/>
        </w:rPr>
        <w:t>10.1 分包人应完成下列工作：</w:t>
      </w:r>
    </w:p>
    <w:p>
      <w:pPr>
        <w:spacing w:line="420" w:lineRule="exact"/>
        <w:ind w:firstLine="435"/>
        <w:rPr>
          <w:color w:val="auto"/>
          <w:highlight w:val="none"/>
        </w:rPr>
      </w:pPr>
      <w:r>
        <w:rPr>
          <w:color w:val="auto"/>
          <w:highlight w:val="none"/>
        </w:rPr>
        <w:t>（1）分包工程范围：。</w:t>
      </w:r>
    </w:p>
    <w:p>
      <w:pPr>
        <w:spacing w:line="420" w:lineRule="exact"/>
        <w:ind w:firstLine="435"/>
        <w:rPr>
          <w:color w:val="auto"/>
          <w:highlight w:val="none"/>
        </w:rPr>
      </w:pPr>
      <w:r>
        <w:rPr>
          <w:color w:val="auto"/>
          <w:highlight w:val="none"/>
        </w:rPr>
        <w:t>（2）需完成的设计内容和提交时间：</w:t>
      </w:r>
      <w:r>
        <w:rPr>
          <w:color w:val="auto"/>
          <w:highlight w:val="none"/>
          <w:u w:val="single"/>
        </w:rPr>
        <w:t>。</w:t>
      </w:r>
    </w:p>
    <w:p>
      <w:pPr>
        <w:spacing w:line="420" w:lineRule="exact"/>
        <w:ind w:firstLine="435"/>
        <w:rPr>
          <w:color w:val="auto"/>
          <w:highlight w:val="none"/>
        </w:rPr>
      </w:pPr>
      <w:r>
        <w:rPr>
          <w:color w:val="auto"/>
          <w:highlight w:val="none"/>
        </w:rPr>
        <w:t>（3）分包人应在收到图纸后</w:t>
      </w:r>
      <w:r>
        <w:rPr>
          <w:color w:val="auto"/>
          <w:highlight w:val="none"/>
          <w:u w:val="single"/>
        </w:rPr>
        <w:t xml:space="preserve">  5   </w:t>
      </w:r>
      <w:r>
        <w:rPr>
          <w:color w:val="auto"/>
          <w:highlight w:val="none"/>
        </w:rPr>
        <w:t>天内向项目经理提交分包工程总体进度计划和施工组织设计。</w:t>
      </w:r>
    </w:p>
    <w:p>
      <w:pPr>
        <w:spacing w:line="420" w:lineRule="exact"/>
        <w:ind w:firstLine="435"/>
        <w:rPr>
          <w:color w:val="auto"/>
          <w:highlight w:val="none"/>
        </w:rPr>
      </w:pPr>
      <w:r>
        <w:rPr>
          <w:color w:val="auto"/>
          <w:highlight w:val="none"/>
        </w:rPr>
        <w:t>分包人提交项目管理机构及施工现场管理人员安排报告的期限：</w:t>
      </w:r>
      <w:r>
        <w:rPr>
          <w:color w:val="auto"/>
          <w:highlight w:val="none"/>
          <w:u w:val="single"/>
        </w:rPr>
        <w:t>合同签订之日起</w:t>
      </w:r>
      <w:r>
        <w:rPr>
          <w:rFonts w:hint="eastAsia"/>
          <w:color w:val="auto"/>
          <w:highlight w:val="none"/>
          <w:u w:val="single"/>
        </w:rPr>
        <w:t>2天内</w:t>
      </w:r>
      <w:r>
        <w:rPr>
          <w:rFonts w:hint="eastAsia"/>
          <w:color w:val="auto"/>
          <w:highlight w:val="none"/>
        </w:rPr>
        <w:t>。</w:t>
      </w:r>
    </w:p>
    <w:p>
      <w:pPr>
        <w:spacing w:line="420" w:lineRule="exact"/>
        <w:ind w:firstLine="435"/>
        <w:rPr>
          <w:color w:val="auto"/>
          <w:highlight w:val="none"/>
        </w:rPr>
      </w:pPr>
      <w:r>
        <w:rPr>
          <w:color w:val="auto"/>
          <w:highlight w:val="none"/>
        </w:rPr>
        <w:t>分包人应当在合同履行期间，按照承包人要求的时间间隔和内容，及时提交工程的进度报告与进度图片，记录工程的每日进展或阶段进展。</w:t>
      </w:r>
    </w:p>
    <w:p>
      <w:pPr>
        <w:spacing w:line="420" w:lineRule="exact"/>
        <w:ind w:firstLine="435"/>
        <w:rPr>
          <w:color w:val="auto"/>
          <w:highlight w:val="none"/>
        </w:rPr>
      </w:pPr>
      <w:r>
        <w:rPr>
          <w:color w:val="auto"/>
          <w:highlight w:val="none"/>
        </w:rPr>
        <w:t>进度报告的格式和内容应当获承包人的同意，内容可包括：</w:t>
      </w:r>
    </w:p>
    <w:p>
      <w:pPr>
        <w:spacing w:line="420" w:lineRule="exact"/>
        <w:ind w:firstLine="400" w:firstLineChars="200"/>
        <w:rPr>
          <w:color w:val="auto"/>
          <w:highlight w:val="none"/>
        </w:rPr>
      </w:pPr>
      <w:r>
        <w:rPr>
          <w:color w:val="auto"/>
          <w:highlight w:val="none"/>
        </w:rPr>
        <w:t>每一阶段的工程进展情况的照片与详细说明；</w:t>
      </w:r>
    </w:p>
    <w:p>
      <w:pPr>
        <w:spacing w:line="420" w:lineRule="exact"/>
        <w:ind w:firstLine="800" w:firstLineChars="400"/>
        <w:rPr>
          <w:color w:val="auto"/>
          <w:highlight w:val="none"/>
        </w:rPr>
      </w:pPr>
      <w:r>
        <w:rPr>
          <w:color w:val="auto"/>
          <w:highlight w:val="none"/>
        </w:rPr>
        <w:t>反映工程进展情况的任何必要的图表；</w:t>
      </w:r>
    </w:p>
    <w:p>
      <w:pPr>
        <w:spacing w:line="420" w:lineRule="exact"/>
        <w:ind w:firstLine="800" w:firstLineChars="400"/>
        <w:rPr>
          <w:color w:val="auto"/>
          <w:highlight w:val="none"/>
        </w:rPr>
      </w:pPr>
      <w:r>
        <w:rPr>
          <w:color w:val="auto"/>
          <w:highlight w:val="none"/>
        </w:rPr>
        <w:t>主要材料运达的实际日期或期望日期等；</w:t>
      </w:r>
    </w:p>
    <w:p>
      <w:pPr>
        <w:spacing w:line="420" w:lineRule="exact"/>
        <w:ind w:firstLine="800" w:firstLineChars="400"/>
        <w:rPr>
          <w:color w:val="auto"/>
          <w:highlight w:val="none"/>
        </w:rPr>
      </w:pPr>
      <w:r>
        <w:rPr>
          <w:color w:val="auto"/>
          <w:highlight w:val="none"/>
        </w:rPr>
        <w:t>承包人在现场的人员及施工机械的记录；</w:t>
      </w:r>
    </w:p>
    <w:p>
      <w:pPr>
        <w:spacing w:line="420" w:lineRule="exact"/>
        <w:ind w:firstLine="800" w:firstLineChars="400"/>
        <w:rPr>
          <w:color w:val="auto"/>
          <w:highlight w:val="none"/>
        </w:rPr>
      </w:pPr>
      <w:r>
        <w:rPr>
          <w:color w:val="auto"/>
          <w:highlight w:val="none"/>
        </w:rPr>
        <w:t>必要的质量证明文件、材料的检验结果及证书；</w:t>
      </w:r>
    </w:p>
    <w:p>
      <w:pPr>
        <w:spacing w:line="420" w:lineRule="exact"/>
        <w:ind w:firstLine="800" w:firstLineChars="400"/>
        <w:rPr>
          <w:color w:val="auto"/>
          <w:highlight w:val="none"/>
        </w:rPr>
      </w:pPr>
      <w:r>
        <w:rPr>
          <w:color w:val="auto"/>
          <w:highlight w:val="none"/>
        </w:rPr>
        <w:t>安全统计，包括涉及环境和公共关系方面的任何事件或活动的详情；</w:t>
      </w:r>
    </w:p>
    <w:p>
      <w:pPr>
        <w:spacing w:line="420" w:lineRule="exact"/>
        <w:ind w:firstLine="600" w:firstLineChars="300"/>
        <w:rPr>
          <w:color w:val="auto"/>
          <w:highlight w:val="none"/>
        </w:rPr>
      </w:pPr>
      <w:r>
        <w:rPr>
          <w:color w:val="auto"/>
          <w:highlight w:val="none"/>
        </w:rPr>
        <w:t>实际进度与计划进度的对比，包括可能影响工程按照进度计划进行的任何因素的详情，以及为消除这些因素正在采取（或准备采取）的措施；</w:t>
      </w:r>
    </w:p>
    <w:p>
      <w:pPr>
        <w:spacing w:line="420" w:lineRule="exact"/>
        <w:ind w:firstLine="435"/>
        <w:rPr>
          <w:color w:val="auto"/>
          <w:highlight w:val="none"/>
        </w:rPr>
      </w:pPr>
      <w:r>
        <w:rPr>
          <w:color w:val="auto"/>
          <w:highlight w:val="none"/>
        </w:rPr>
        <w:t>分包人按要求向承包人提交年、季度、月度、周工程进度计划及相应的进度统计报表。</w:t>
      </w:r>
    </w:p>
    <w:p>
      <w:pPr>
        <w:spacing w:line="420" w:lineRule="exact"/>
        <w:ind w:firstLine="435"/>
        <w:rPr>
          <w:color w:val="auto"/>
          <w:highlight w:val="none"/>
        </w:rPr>
      </w:pPr>
      <w:r>
        <w:rPr>
          <w:color w:val="auto"/>
          <w:highlight w:val="none"/>
        </w:rPr>
        <w:t>（4）向承包人提交施工组织设计的时间：开工前。</w:t>
      </w:r>
    </w:p>
    <w:p>
      <w:pPr>
        <w:spacing w:line="420" w:lineRule="exact"/>
        <w:ind w:firstLine="435"/>
        <w:rPr>
          <w:color w:val="auto"/>
          <w:highlight w:val="none"/>
        </w:rPr>
      </w:pPr>
      <w:r>
        <w:rPr>
          <w:color w:val="auto"/>
          <w:highlight w:val="none"/>
        </w:rPr>
        <w:t>（5）已完工程成品保护的特殊要求及费用承担：从工程开工日起直到办完验收、移交手续为止，分包人应负责已完责任范围内工程的成品保护工作，保护期间发生损坏、丢失现象，分包人应自费予以修复、赔偿。</w:t>
      </w:r>
    </w:p>
    <w:p>
      <w:pPr>
        <w:spacing w:line="420" w:lineRule="exact"/>
        <w:ind w:firstLine="435"/>
        <w:rPr>
          <w:color w:val="auto"/>
          <w:highlight w:val="none"/>
        </w:rPr>
      </w:pPr>
      <w:r>
        <w:rPr>
          <w:color w:val="auto"/>
          <w:highlight w:val="none"/>
        </w:rPr>
        <w:t>（6）分包人应按国家有关治安管理规定向业主提供参与施工人员的花名册及身份证号码，并按国家有关规定向地方有关部门交纳相应的费用。</w:t>
      </w:r>
    </w:p>
    <w:p>
      <w:pPr>
        <w:spacing w:line="420" w:lineRule="exact"/>
        <w:ind w:firstLine="435"/>
        <w:rPr>
          <w:color w:val="auto"/>
          <w:highlight w:val="none"/>
        </w:rPr>
      </w:pPr>
      <w:r>
        <w:rPr>
          <w:color w:val="auto"/>
          <w:highlight w:val="none"/>
        </w:rPr>
        <w:t>（7）分包人所付工资标准及遵守的劳动条件应不低于其从事工作地区同类商业或工业现行标准和条件。在无当地固定标准可参照的情况下，分包人所付工资标准及遵守的劳动条件应不低于从事商业或工业的其他单位在与工程相似的环境下所付的一般工资标准及遵守的劳动条件。如当地政府有防止拖欠农民工工资政策时，分包人应无条件遵守。分包方应按时足额向其工作人员支付工资，否则，因此所引起的一切纠纷均由承包方负责解决并承担全部责任和费用。</w:t>
      </w:r>
    </w:p>
    <w:p>
      <w:pPr>
        <w:spacing w:line="420" w:lineRule="exact"/>
        <w:ind w:firstLine="435"/>
        <w:rPr>
          <w:color w:val="auto"/>
          <w:highlight w:val="none"/>
        </w:rPr>
      </w:pPr>
      <w:r>
        <w:rPr>
          <w:color w:val="auto"/>
          <w:highlight w:val="none"/>
        </w:rPr>
        <w:t>每月月底将农民工的发放工资单签字盖章后向承包人提供。</w:t>
      </w:r>
    </w:p>
    <w:p>
      <w:pPr>
        <w:spacing w:line="360" w:lineRule="auto"/>
        <w:ind w:firstLine="400" w:firstLineChars="200"/>
        <w:rPr>
          <w:color w:val="auto"/>
          <w:highlight w:val="none"/>
        </w:rPr>
      </w:pPr>
      <w:r>
        <w:rPr>
          <w:color w:val="auto"/>
          <w:highlight w:val="none"/>
        </w:rPr>
        <w:t>（8）分包人承担本工程施工区域内安全保卫、管理工作及非夜间施工照明工作，并制定相应制度及防范措施；遵守政府有关的管理规定，办理有关施工场地交通、环卫和施工噪音管理等手续。指派专门的安全人员负责工作范围内的安全工作。</w:t>
      </w:r>
    </w:p>
    <w:p>
      <w:pPr>
        <w:spacing w:line="360" w:lineRule="auto"/>
        <w:ind w:firstLine="400" w:firstLineChars="200"/>
        <w:rPr>
          <w:color w:val="auto"/>
          <w:highlight w:val="none"/>
        </w:rPr>
      </w:pPr>
      <w:r>
        <w:rPr>
          <w:color w:val="auto"/>
          <w:highlight w:val="none"/>
        </w:rPr>
        <w:t>分包人根据需要和承包人的要求，安装和围护所有灯光、护板、栅栏、警示信号和警卫，为公共安全提供保护和方便。</w:t>
      </w:r>
    </w:p>
    <w:p>
      <w:pPr>
        <w:spacing w:line="360" w:lineRule="auto"/>
        <w:ind w:firstLine="400" w:firstLineChars="200"/>
        <w:rPr>
          <w:color w:val="auto"/>
          <w:highlight w:val="none"/>
        </w:rPr>
      </w:pPr>
      <w:r>
        <w:rPr>
          <w:color w:val="auto"/>
          <w:highlight w:val="none"/>
        </w:rPr>
        <w:t>（9）分包人承担与工程有关的所有环境保护责任和费用，同时保障发包人不受任何组织、机构和个人就项目工程的环保所提出的索赔。</w:t>
      </w:r>
    </w:p>
    <w:p>
      <w:pPr>
        <w:spacing w:line="360" w:lineRule="auto"/>
        <w:ind w:firstLine="400" w:firstLineChars="200"/>
        <w:rPr>
          <w:color w:val="auto"/>
          <w:highlight w:val="none"/>
        </w:rPr>
      </w:pPr>
      <w:r>
        <w:rPr>
          <w:color w:val="auto"/>
          <w:highlight w:val="none"/>
        </w:rPr>
        <w:t>（10）做好施工场地周围地下管线和邻近建筑物、构筑物（含文物保护建筑）、古树名木的保护，并承担相应费用；保证施工场地清洁卫生，文明施工。</w:t>
      </w:r>
    </w:p>
    <w:p>
      <w:pPr>
        <w:spacing w:line="360" w:lineRule="auto"/>
        <w:ind w:firstLine="400" w:firstLineChars="200"/>
        <w:rPr>
          <w:color w:val="auto"/>
          <w:highlight w:val="none"/>
        </w:rPr>
      </w:pPr>
      <w:r>
        <w:rPr>
          <w:color w:val="auto"/>
          <w:highlight w:val="none"/>
        </w:rPr>
        <w:t>（11）从承包人指定的水电接口位置接入用水用电，并安装计量仪表，承担施工和调试期间的水电接入和使用费用。</w:t>
      </w:r>
    </w:p>
    <w:p>
      <w:pPr>
        <w:spacing w:line="360" w:lineRule="auto"/>
        <w:ind w:firstLine="400" w:firstLineChars="200"/>
        <w:rPr>
          <w:color w:val="auto"/>
          <w:highlight w:val="none"/>
        </w:rPr>
      </w:pPr>
      <w:r>
        <w:rPr>
          <w:color w:val="auto"/>
          <w:highlight w:val="none"/>
        </w:rPr>
        <w:t>（12）分包人应按国家或当地有关部门的规定办理注册登记手续，如因未能办理注册而导致工程不能正常施工，视为分包人责任拖期，产生的一切损失由分包人承担。</w:t>
      </w:r>
    </w:p>
    <w:p>
      <w:pPr>
        <w:spacing w:line="360" w:lineRule="auto"/>
        <w:ind w:firstLine="400" w:firstLineChars="200"/>
        <w:rPr>
          <w:color w:val="auto"/>
          <w:highlight w:val="none"/>
        </w:rPr>
      </w:pPr>
      <w:r>
        <w:rPr>
          <w:color w:val="auto"/>
          <w:highlight w:val="none"/>
        </w:rPr>
        <w:t>（13）协调矿群关系；办理相关手续。施工期间与其他单位相互配合，在需要相互协助时，提供方便。</w:t>
      </w:r>
    </w:p>
    <w:p>
      <w:pPr>
        <w:spacing w:line="360" w:lineRule="auto"/>
        <w:ind w:firstLine="400" w:firstLineChars="200"/>
        <w:rPr>
          <w:color w:val="auto"/>
          <w:highlight w:val="none"/>
        </w:rPr>
      </w:pPr>
      <w:r>
        <w:rPr>
          <w:color w:val="auto"/>
          <w:highlight w:val="none"/>
        </w:rPr>
        <w:t>（14）施工期间做好周边建、构筑物的沉降观测工作，确保建、构筑物的安全。</w:t>
      </w:r>
    </w:p>
    <w:p>
      <w:pPr>
        <w:pStyle w:val="5"/>
        <w:numPr>
          <w:ilvl w:val="0"/>
          <w:numId w:val="14"/>
        </w:numPr>
        <w:bidi w:val="0"/>
      </w:pPr>
      <w:r>
        <w:t>工期</w:t>
      </w:r>
    </w:p>
    <w:p>
      <w:pPr>
        <w:pStyle w:val="6"/>
        <w:bidi w:val="0"/>
      </w:pPr>
      <w:r>
        <w:t>14、工期延误</w:t>
      </w:r>
    </w:p>
    <w:p>
      <w:pPr>
        <w:spacing w:line="420" w:lineRule="exact"/>
        <w:ind w:firstLine="435"/>
        <w:rPr>
          <w:color w:val="auto"/>
          <w:highlight w:val="none"/>
        </w:rPr>
      </w:pPr>
      <w:r>
        <w:rPr>
          <w:color w:val="auto"/>
          <w:highlight w:val="none"/>
        </w:rPr>
        <w:t>14.1 双方约定工期顺延的其他情况：</w:t>
      </w:r>
      <w:r>
        <w:rPr>
          <w:rFonts w:hint="eastAsia"/>
          <w:color w:val="auto"/>
          <w:highlight w:val="none"/>
          <w:u w:val="single"/>
        </w:rPr>
        <w:t>见</w:t>
      </w:r>
      <w:r>
        <w:rPr>
          <w:color w:val="auto"/>
          <w:highlight w:val="none"/>
          <w:u w:val="single"/>
        </w:rPr>
        <w:t>分包人违约条款。</w:t>
      </w:r>
    </w:p>
    <w:p>
      <w:pPr>
        <w:pStyle w:val="5"/>
        <w:bidi w:val="0"/>
      </w:pPr>
      <w:r>
        <w:t>四、质量与安全</w:t>
      </w:r>
    </w:p>
    <w:p>
      <w:pPr>
        <w:pStyle w:val="6"/>
        <w:bidi w:val="0"/>
      </w:pPr>
      <w:r>
        <w:t>17、质量检查与验收</w:t>
      </w:r>
    </w:p>
    <w:p>
      <w:pPr>
        <w:spacing w:line="360" w:lineRule="auto"/>
        <w:ind w:firstLine="400" w:firstLineChars="200"/>
        <w:rPr>
          <w:color w:val="auto"/>
          <w:szCs w:val="21"/>
          <w:highlight w:val="none"/>
          <w:u w:val="single"/>
        </w:rPr>
      </w:pPr>
      <w:r>
        <w:rPr>
          <w:color w:val="auto"/>
          <w:highlight w:val="none"/>
        </w:rPr>
        <w:t>17.1 双方关于分包工程质量标准的约定：</w:t>
      </w:r>
      <w:r>
        <w:rPr>
          <w:color w:val="auto"/>
          <w:szCs w:val="21"/>
          <w:highlight w:val="none"/>
          <w:u w:val="single"/>
        </w:rPr>
        <w:t xml:space="preserve"> </w:t>
      </w:r>
      <w:r>
        <w:rPr>
          <w:rFonts w:hint="eastAsia"/>
          <w:color w:val="auto"/>
          <w:szCs w:val="21"/>
          <w:highlight w:val="none"/>
          <w:u w:val="single"/>
        </w:rPr>
        <w:t>合格</w:t>
      </w:r>
      <w:r>
        <w:rPr>
          <w:color w:val="auto"/>
          <w:szCs w:val="21"/>
          <w:highlight w:val="none"/>
          <w:u w:val="single"/>
        </w:rPr>
        <w:t xml:space="preserve"> 。</w:t>
      </w:r>
    </w:p>
    <w:p>
      <w:pPr>
        <w:spacing w:line="360" w:lineRule="auto"/>
        <w:ind w:firstLine="321" w:firstLineChars="100"/>
        <w:rPr>
          <w:color w:val="auto"/>
          <w:highlight w:val="none"/>
        </w:rPr>
      </w:pPr>
      <w:r>
        <w:rPr>
          <w:b/>
          <w:bCs/>
          <w:color w:val="auto"/>
          <w:sz w:val="32"/>
          <w:szCs w:val="32"/>
          <w:highlight w:val="none"/>
        </w:rPr>
        <w:t>18、安全</w:t>
      </w:r>
    </w:p>
    <w:p>
      <w:pPr>
        <w:spacing w:line="360" w:lineRule="auto"/>
        <w:ind w:firstLine="200" w:firstLineChars="100"/>
        <w:rPr>
          <w:color w:val="auto"/>
          <w:highlight w:val="none"/>
          <w:u w:val="single"/>
        </w:rPr>
      </w:pPr>
      <w:r>
        <w:rPr>
          <w:color w:val="auto"/>
          <w:highlight w:val="none"/>
        </w:rPr>
        <w:t>18.1关于分包工程安全的约定：</w:t>
      </w:r>
      <w:r>
        <w:rPr>
          <w:color w:val="auto"/>
          <w:highlight w:val="none"/>
          <w:u w:val="single"/>
        </w:rPr>
        <w:t>杜绝重伤级以上生产安全事故；杜绝重大机电设备事故；杜绝火灾事故；创建并保持中煤集团安全生产标准化一级项目部。</w:t>
      </w:r>
    </w:p>
    <w:p>
      <w:pPr>
        <w:spacing w:line="360" w:lineRule="auto"/>
        <w:ind w:firstLine="200" w:firstLineChars="100"/>
        <w:rPr>
          <w:color w:val="auto"/>
          <w:highlight w:val="none"/>
          <w:u w:val="single"/>
        </w:rPr>
      </w:pPr>
      <w:r>
        <w:rPr>
          <w:color w:val="auto"/>
          <w:highlight w:val="none"/>
          <w:u w:val="single"/>
        </w:rPr>
        <w:t>严格执行《中国中煤能源集团有限公司建筑安装施工安全生产标准化考核评分方法》，达到中煤集团安全生产标准化一级标准。</w:t>
      </w:r>
    </w:p>
    <w:p>
      <w:pPr>
        <w:spacing w:line="420" w:lineRule="exact"/>
        <w:rPr>
          <w:color w:val="auto"/>
          <w:highlight w:val="none"/>
        </w:rPr>
      </w:pPr>
      <w:r>
        <w:rPr>
          <w:color w:val="auto"/>
          <w:highlight w:val="none"/>
        </w:rPr>
        <w:t xml:space="preserve">   </w:t>
      </w:r>
    </w:p>
    <w:p>
      <w:pPr>
        <w:pStyle w:val="5"/>
        <w:bidi w:val="0"/>
      </w:pPr>
      <w:r>
        <w:t>五、合同价款与支付</w:t>
      </w:r>
    </w:p>
    <w:p>
      <w:pPr>
        <w:pStyle w:val="6"/>
        <w:bidi w:val="0"/>
      </w:pPr>
      <w:r>
        <w:t>19、合同价款及其调整</w:t>
      </w:r>
    </w:p>
    <w:p>
      <w:pPr>
        <w:tabs>
          <w:tab w:val="right" w:pos="8306"/>
        </w:tabs>
        <w:spacing w:line="420" w:lineRule="exact"/>
        <w:rPr>
          <w:color w:val="auto"/>
          <w:highlight w:val="none"/>
        </w:rPr>
      </w:pPr>
      <w:r>
        <w:rPr>
          <w:color w:val="auto"/>
          <w:highlight w:val="none"/>
        </w:rPr>
        <w:t xml:space="preserve">    19.</w:t>
      </w:r>
      <w:r>
        <w:rPr>
          <w:rFonts w:hint="eastAsia"/>
          <w:color w:val="auto"/>
          <w:highlight w:val="none"/>
          <w:lang w:val="en-US" w:eastAsia="zh-CN"/>
        </w:rPr>
        <w:t>1</w:t>
      </w:r>
      <w:r>
        <w:rPr>
          <w:color w:val="auto"/>
          <w:highlight w:val="none"/>
        </w:rPr>
        <w:t xml:space="preserve"> 本合同价款采用</w:t>
      </w:r>
      <w:r>
        <w:rPr>
          <w:color w:val="auto"/>
          <w:highlight w:val="none"/>
          <w:u w:val="single"/>
        </w:rPr>
        <w:t xml:space="preserve"> 固定总价 </w:t>
      </w:r>
      <w:r>
        <w:rPr>
          <w:color w:val="auto"/>
          <w:highlight w:val="none"/>
        </w:rPr>
        <w:t>方式确定。</w:t>
      </w:r>
      <w:r>
        <w:rPr>
          <w:color w:val="auto"/>
          <w:highlight w:val="none"/>
        </w:rPr>
        <w:tab/>
      </w:r>
    </w:p>
    <w:p>
      <w:pPr>
        <w:spacing w:line="420" w:lineRule="exact"/>
        <w:ind w:firstLine="400" w:firstLineChars="200"/>
        <w:rPr>
          <w:color w:val="auto"/>
          <w:highlight w:val="none"/>
          <w:u w:val="single"/>
        </w:rPr>
      </w:pPr>
      <w:r>
        <w:rPr>
          <w:color w:val="auto"/>
          <w:highlight w:val="none"/>
        </w:rPr>
        <w:t>合同价款包括的风险范围：</w:t>
      </w:r>
      <w:r>
        <w:rPr>
          <w:color w:val="auto"/>
          <w:highlight w:val="none"/>
          <w:u w:val="single"/>
        </w:rPr>
        <w:t>分包人承担工作范围内的全部风险和利益，包括并不限于承包范围内工作内容的增减、设计增项、更改、报价漏项、物价变化、工程付款、疫情影响、项目暂停等带来的风险和利益。</w:t>
      </w:r>
    </w:p>
    <w:p>
      <w:pPr>
        <w:spacing w:line="420" w:lineRule="exact"/>
        <w:ind w:firstLine="400" w:firstLineChars="200"/>
        <w:rPr>
          <w:color w:val="auto"/>
          <w:highlight w:val="none"/>
        </w:rPr>
      </w:pPr>
      <w:r>
        <w:rPr>
          <w:color w:val="auto"/>
          <w:highlight w:val="none"/>
        </w:rPr>
        <w:t>19.</w:t>
      </w:r>
      <w:r>
        <w:rPr>
          <w:rFonts w:hint="eastAsia"/>
          <w:color w:val="auto"/>
          <w:highlight w:val="none"/>
          <w:lang w:val="en-US" w:eastAsia="zh-CN"/>
        </w:rPr>
        <w:t>2</w:t>
      </w:r>
      <w:r>
        <w:rPr>
          <w:color w:val="auto"/>
          <w:highlight w:val="none"/>
        </w:rPr>
        <w:t xml:space="preserve"> 合同价格确定后，除以下情况外均不予调整：</w:t>
      </w:r>
      <w:r>
        <w:rPr>
          <w:color w:val="auto"/>
          <w:highlight w:val="none"/>
          <w:u w:val="single"/>
        </w:rPr>
        <w:t>无</w:t>
      </w:r>
      <w:r>
        <w:rPr>
          <w:color w:val="auto"/>
          <w:highlight w:val="none"/>
        </w:rPr>
        <w:t>。</w:t>
      </w:r>
    </w:p>
    <w:p>
      <w:pPr>
        <w:pStyle w:val="6"/>
        <w:bidi w:val="0"/>
      </w:pPr>
      <w:r>
        <w:t>20、工程量确认</w:t>
      </w:r>
    </w:p>
    <w:p>
      <w:pPr>
        <w:spacing w:line="420" w:lineRule="exact"/>
        <w:rPr>
          <w:color w:val="auto"/>
          <w:highlight w:val="none"/>
        </w:rPr>
      </w:pPr>
      <w:r>
        <w:rPr>
          <w:color w:val="auto"/>
          <w:highlight w:val="none"/>
        </w:rPr>
        <w:t xml:space="preserve">    20.1 分包人向承包人提交当月完成工程量报告的时间：</w:t>
      </w:r>
      <w:r>
        <w:rPr>
          <w:color w:val="auto"/>
          <w:highlight w:val="none"/>
          <w:u w:val="single"/>
        </w:rPr>
        <w:t>每月25日前。</w:t>
      </w:r>
    </w:p>
    <w:p>
      <w:pPr>
        <w:pStyle w:val="6"/>
        <w:bidi w:val="0"/>
      </w:pPr>
      <w:r>
        <w:t>21、合同价款的支付</w:t>
      </w:r>
    </w:p>
    <w:p>
      <w:pPr>
        <w:spacing w:after="120" w:line="360" w:lineRule="auto"/>
        <w:ind w:firstLine="400" w:firstLineChars="200"/>
        <w:rPr>
          <w:color w:val="auto"/>
          <w:highlight w:val="none"/>
        </w:rPr>
      </w:pPr>
      <w:r>
        <w:rPr>
          <w:bCs/>
          <w:color w:val="auto"/>
          <w:highlight w:val="none"/>
        </w:rPr>
        <w:t>21</w:t>
      </w:r>
      <w:r>
        <w:rPr>
          <w:color w:val="auto"/>
          <w:highlight w:val="none"/>
        </w:rPr>
        <w:t>.1 承包人向分包人预付工程款的时间和数额：</w:t>
      </w:r>
    </w:p>
    <w:p>
      <w:pPr>
        <w:spacing w:line="400" w:lineRule="exact"/>
        <w:ind w:firstLine="40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合同签订、施工人员及施工设备进场、具备开工条件后支付合同总价款20%的预付款，预付款优先在进度款中予以扣回（分两次扣回，每次扣回预付款的50%。）。</w:t>
      </w:r>
    </w:p>
    <w:p>
      <w:pPr>
        <w:spacing w:line="360" w:lineRule="auto"/>
        <w:ind w:firstLine="400" w:firstLineChars="200"/>
        <w:rPr>
          <w:color w:val="auto"/>
          <w:highlight w:val="none"/>
        </w:rPr>
      </w:pPr>
      <w:r>
        <w:rPr>
          <w:bCs/>
          <w:color w:val="auto"/>
          <w:highlight w:val="none"/>
        </w:rPr>
        <w:t>21</w:t>
      </w:r>
      <w:r>
        <w:rPr>
          <w:color w:val="auto"/>
          <w:highlight w:val="none"/>
        </w:rPr>
        <w:t>.2 承包人向分包人支付工程款（进度款）的时间和方式：</w:t>
      </w:r>
    </w:p>
    <w:p>
      <w:pPr>
        <w:spacing w:line="400" w:lineRule="exact"/>
        <w:ind w:firstLine="420" w:firstLineChars="200"/>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1</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按月支付进度款，进度款按承包人的工程进度（已完成并经发包人、监理验收合格的工程量）月报审批。发包人按审批后的工程进度款的85%支付；</w:t>
      </w:r>
    </w:p>
    <w:p>
      <w:pPr>
        <w:spacing w:line="400" w:lineRule="exact"/>
        <w:ind w:firstLine="420" w:firstLineChars="200"/>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2</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工程完工，工程价款支付至工程总价款的90%，待工程竣工验收合格，承包人提供竣工结算报告经审核后，发包人支付至工程结算总价款的97%；</w:t>
      </w:r>
    </w:p>
    <w:p>
      <w:pPr>
        <w:spacing w:line="400" w:lineRule="exact"/>
        <w:ind w:firstLine="420" w:firstLineChars="200"/>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3</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工程结算总价款的3%作为质量保证金，待工程竣工验收合格一年后，没有发现任何质量问题，一次性支付给承包人（不计利息）。</w:t>
      </w:r>
    </w:p>
    <w:p>
      <w:pPr>
        <w:spacing w:line="400" w:lineRule="exact"/>
        <w:ind w:firstLine="420" w:firstLineChars="200"/>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4</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发包人向承包人支付工程进度款之前，承包人按进度结算金额向发包人提供等额增值税专用发票（税率为9%，如遇国家税率调整，将按照合同不含税价格和国家调整后的适用税率执行）。</w:t>
      </w:r>
    </w:p>
    <w:p>
      <w:pPr>
        <w:spacing w:after="120" w:line="360" w:lineRule="auto"/>
        <w:ind w:firstLine="400" w:firstLineChars="200"/>
        <w:rPr>
          <w:color w:val="auto"/>
          <w:highlight w:val="none"/>
        </w:rPr>
      </w:pPr>
      <w:r>
        <w:rPr>
          <w:color w:val="auto"/>
          <w:highlight w:val="none"/>
        </w:rPr>
        <w:t>因分包人原因造成发包人对承包人的罚款，承包人将双倍处罚分包人，所罚款项在支付的进度款中直接扣除。</w:t>
      </w:r>
    </w:p>
    <w:p>
      <w:pPr>
        <w:spacing w:line="360" w:lineRule="auto"/>
        <w:ind w:firstLine="400" w:firstLineChars="200"/>
        <w:rPr>
          <w:b/>
          <w:color w:val="auto"/>
          <w:highlight w:val="none"/>
        </w:rPr>
      </w:pPr>
      <w:r>
        <w:rPr>
          <w:color w:val="auto"/>
          <w:highlight w:val="none"/>
        </w:rPr>
        <w:t>进度款的支付方式为：银行转账或银行承兑汇票。</w:t>
      </w:r>
    </w:p>
    <w:p>
      <w:pPr>
        <w:pStyle w:val="5"/>
        <w:bidi w:val="0"/>
      </w:pPr>
      <w:r>
        <w:t>七、竣工验收及结算</w:t>
      </w:r>
    </w:p>
    <w:p>
      <w:pPr>
        <w:pStyle w:val="6"/>
        <w:bidi w:val="0"/>
      </w:pPr>
      <w:r>
        <w:t>23、竣工验收</w:t>
      </w:r>
    </w:p>
    <w:p>
      <w:pPr>
        <w:spacing w:line="480" w:lineRule="exact"/>
        <w:ind w:firstLine="400" w:firstLineChars="200"/>
        <w:rPr>
          <w:color w:val="auto"/>
          <w:highlight w:val="none"/>
        </w:rPr>
      </w:pPr>
      <w:r>
        <w:rPr>
          <w:color w:val="auto"/>
          <w:highlight w:val="none"/>
        </w:rPr>
        <w:t>23.1分包人提供竣工</w:t>
      </w:r>
      <w:r>
        <w:rPr>
          <w:rFonts w:hint="eastAsia"/>
          <w:color w:val="auto"/>
          <w:highlight w:val="none"/>
        </w:rPr>
        <w:t>资料</w:t>
      </w:r>
      <w:r>
        <w:rPr>
          <w:color w:val="auto"/>
          <w:highlight w:val="none"/>
        </w:rPr>
        <w:t>的内容及日期：工程</w:t>
      </w:r>
      <w:r>
        <w:rPr>
          <w:color w:val="auto"/>
          <w:highlight w:val="none"/>
          <w:u w:val="single"/>
        </w:rPr>
        <w:t>竣工验收合格后1个月内向承包人提交完整书面竣工图及竣工图电子文档，费用分包人承担</w:t>
      </w:r>
      <w:r>
        <w:rPr>
          <w:color w:val="auto"/>
          <w:highlight w:val="none"/>
        </w:rPr>
        <w:t xml:space="preserve">。                                 </w:t>
      </w:r>
    </w:p>
    <w:p>
      <w:pPr>
        <w:spacing w:line="480" w:lineRule="exact"/>
        <w:ind w:firstLine="400" w:firstLineChars="200"/>
        <w:rPr>
          <w:b/>
          <w:color w:val="auto"/>
          <w:highlight w:val="none"/>
        </w:rPr>
      </w:pPr>
      <w:r>
        <w:rPr>
          <w:color w:val="auto"/>
          <w:highlight w:val="none"/>
        </w:rPr>
        <w:t>分包人提供竣工资料的份数：三正五副，共八套</w:t>
      </w:r>
      <w:r>
        <w:rPr>
          <w:rFonts w:hint="eastAsia"/>
          <w:color w:val="auto"/>
          <w:highlight w:val="none"/>
        </w:rPr>
        <w:t>。</w:t>
      </w:r>
    </w:p>
    <w:p>
      <w:pPr>
        <w:pStyle w:val="5"/>
        <w:bidi w:val="0"/>
      </w:pPr>
      <w:r>
        <w:t>八、违约、索赔及争议</w:t>
      </w:r>
    </w:p>
    <w:p>
      <w:pPr>
        <w:pStyle w:val="6"/>
        <w:bidi w:val="0"/>
      </w:pPr>
      <w:r>
        <w:t>26、违约</w:t>
      </w:r>
    </w:p>
    <w:p>
      <w:pPr>
        <w:ind w:firstLine="435"/>
        <w:rPr>
          <w:color w:val="auto"/>
          <w:highlight w:val="none"/>
        </w:rPr>
      </w:pPr>
      <w:r>
        <w:rPr>
          <w:bCs/>
          <w:color w:val="auto"/>
          <w:highlight w:val="none"/>
        </w:rPr>
        <w:t>26</w:t>
      </w:r>
      <w:r>
        <w:rPr>
          <w:color w:val="auto"/>
          <w:highlight w:val="none"/>
        </w:rPr>
        <w:t>.1 本合同关于承包人违约的具体责任：</w:t>
      </w:r>
    </w:p>
    <w:p>
      <w:pPr>
        <w:spacing w:line="360" w:lineRule="auto"/>
        <w:ind w:firstLine="400" w:firstLineChars="200"/>
        <w:rPr>
          <w:b/>
          <w:color w:val="auto"/>
          <w:highlight w:val="none"/>
        </w:rPr>
      </w:pPr>
      <w:r>
        <w:rPr>
          <w:color w:val="auto"/>
          <w:highlight w:val="none"/>
        </w:rPr>
        <w:t>（1）</w:t>
      </w:r>
      <w:r>
        <w:rPr>
          <w:color w:val="auto"/>
          <w:szCs w:val="21"/>
          <w:highlight w:val="none"/>
          <w:shd w:val="clear" w:color="auto" w:fill="FFFFFF"/>
        </w:rPr>
        <w:t>承包人不按分包合同约定支付工程款，导致施工无法进行，分包人可停止施工，由承包人承担违约责任。</w:t>
      </w:r>
    </w:p>
    <w:p>
      <w:pPr>
        <w:spacing w:line="360" w:lineRule="auto"/>
        <w:ind w:firstLine="400" w:firstLineChars="200"/>
        <w:rPr>
          <w:b/>
          <w:color w:val="auto"/>
          <w:highlight w:val="none"/>
        </w:rPr>
      </w:pPr>
      <w:r>
        <w:rPr>
          <w:color w:val="auto"/>
          <w:highlight w:val="none"/>
        </w:rPr>
        <w:t>（2）</w:t>
      </w:r>
      <w:r>
        <w:rPr>
          <w:color w:val="auto"/>
          <w:szCs w:val="21"/>
          <w:highlight w:val="none"/>
          <w:shd w:val="clear" w:color="auto" w:fill="FFFFFF"/>
        </w:rPr>
        <w:t>承包人收到分包工程竣工结算报告及结算资料后无正当理由不支付工程竣工结算价款，由承包人承担违约责任。</w:t>
      </w:r>
    </w:p>
    <w:p>
      <w:pPr>
        <w:spacing w:line="360" w:lineRule="auto"/>
        <w:rPr>
          <w:bCs/>
          <w:color w:val="auto"/>
          <w:highlight w:val="none"/>
        </w:rPr>
      </w:pPr>
      <w:r>
        <w:rPr>
          <w:b/>
          <w:color w:val="auto"/>
          <w:highlight w:val="none"/>
        </w:rPr>
        <w:t xml:space="preserve"> </w:t>
      </w:r>
      <w:r>
        <w:rPr>
          <w:bCs/>
          <w:color w:val="auto"/>
          <w:highlight w:val="none"/>
        </w:rPr>
        <w:t xml:space="preserve">   （3）双方约定的承包人的其他违约责任：</w:t>
      </w:r>
      <w:r>
        <w:rPr>
          <w:color w:val="auto"/>
          <w:highlight w:val="none"/>
          <w:u w:val="single"/>
        </w:rPr>
        <w:t>无。</w:t>
      </w:r>
    </w:p>
    <w:p>
      <w:pPr>
        <w:spacing w:line="360" w:lineRule="auto"/>
        <w:ind w:firstLine="435"/>
        <w:rPr>
          <w:color w:val="auto"/>
          <w:highlight w:val="none"/>
        </w:rPr>
      </w:pPr>
      <w:r>
        <w:rPr>
          <w:bCs/>
          <w:color w:val="auto"/>
          <w:highlight w:val="none"/>
        </w:rPr>
        <w:t>26</w:t>
      </w:r>
      <w:r>
        <w:rPr>
          <w:color w:val="auto"/>
          <w:highlight w:val="none"/>
        </w:rPr>
        <w:t>.2 本合同关于分包人违约的具体责任：</w:t>
      </w:r>
    </w:p>
    <w:p>
      <w:pPr>
        <w:spacing w:line="420" w:lineRule="exact"/>
        <w:ind w:firstLine="400" w:firstLineChars="200"/>
        <w:rPr>
          <w:b/>
          <w:color w:val="auto"/>
          <w:highlight w:val="none"/>
        </w:rPr>
      </w:pPr>
      <w:r>
        <w:rPr>
          <w:color w:val="auto"/>
          <w:highlight w:val="none"/>
        </w:rPr>
        <w:t>（1）</w:t>
      </w:r>
      <w:r>
        <w:rPr>
          <w:color w:val="auto"/>
          <w:szCs w:val="21"/>
          <w:highlight w:val="none"/>
          <w:shd w:val="clear" w:color="auto" w:fill="FFFFFF"/>
        </w:rPr>
        <w:t>分包人须服从承包人转发的发包人或工程师与分包工程有关的指令。未经承包人允许，分包人不得以任何理由与发包人或工程师发生直接工作联系，分包人不得直接致函发包人或工程师，也不得直接接受发包人或工程师的指令。如分包人与发包人或工程师发生直接工作联系，将被视为违约，并承担违约责任。</w:t>
      </w:r>
    </w:p>
    <w:p>
      <w:pPr>
        <w:spacing w:line="420" w:lineRule="exact"/>
        <w:ind w:firstLine="400" w:firstLineChars="200"/>
        <w:rPr>
          <w:color w:val="auto"/>
          <w:highlight w:val="none"/>
        </w:rPr>
      </w:pPr>
      <w:r>
        <w:rPr>
          <w:color w:val="auto"/>
          <w:highlight w:val="none"/>
        </w:rPr>
        <w:t>（2）分包人除经承包人同意的劳务作业再发包给具有相应劳务分包资质的单位外，</w:t>
      </w:r>
      <w:r>
        <w:rPr>
          <w:color w:val="auto"/>
          <w:szCs w:val="21"/>
          <w:highlight w:val="none"/>
          <w:shd w:val="clear" w:color="auto" w:fill="FFFFFF"/>
        </w:rPr>
        <w:t>不得将其承包的分包工程转包给他人，也不得将其承包的分包工程的全部或部分再分包给他人。如分包人将其承包的分包工程转包或再分包，将被视为违约，承担违约责任，分包人同意承担并支付承包人合同总价20%的惩罚性违约金。</w:t>
      </w:r>
    </w:p>
    <w:p>
      <w:pPr>
        <w:spacing w:line="420" w:lineRule="exact"/>
        <w:ind w:firstLine="400" w:firstLineChars="200"/>
        <w:rPr>
          <w:b/>
          <w:color w:val="auto"/>
          <w:highlight w:val="none"/>
        </w:rPr>
      </w:pPr>
      <w:r>
        <w:rPr>
          <w:color w:val="auto"/>
          <w:highlight w:val="none"/>
        </w:rPr>
        <w:t>（3）</w:t>
      </w:r>
      <w:r>
        <w:rPr>
          <w:color w:val="auto"/>
          <w:szCs w:val="21"/>
          <w:highlight w:val="none"/>
          <w:shd w:val="clear" w:color="auto" w:fill="FFFFFF"/>
        </w:rPr>
        <w:t>因分包人原因不能按照本合同协议书约定的竣工日期或承包人同意顺延的工期竣工的，分包人承担违约责任。</w:t>
      </w:r>
      <w:r>
        <w:rPr>
          <w:rFonts w:hint="eastAsia"/>
          <w:color w:val="auto"/>
          <w:szCs w:val="21"/>
          <w:highlight w:val="none"/>
          <w:shd w:val="clear" w:color="auto" w:fill="FFFFFF"/>
        </w:rPr>
        <w:t>工期延误按1</w:t>
      </w:r>
      <w:r>
        <w:rPr>
          <w:color w:val="auto"/>
          <w:szCs w:val="21"/>
          <w:highlight w:val="none"/>
          <w:shd w:val="clear" w:color="auto" w:fill="FFFFFF"/>
        </w:rPr>
        <w:t>0000元</w:t>
      </w:r>
      <w:r>
        <w:rPr>
          <w:rFonts w:hint="eastAsia"/>
          <w:color w:val="auto"/>
          <w:szCs w:val="21"/>
          <w:highlight w:val="none"/>
          <w:shd w:val="clear" w:color="auto" w:fill="FFFFFF"/>
        </w:rPr>
        <w:t>/天处罚分包人，总额不超过合同价款的1</w:t>
      </w:r>
      <w:r>
        <w:rPr>
          <w:color w:val="auto"/>
          <w:szCs w:val="21"/>
          <w:highlight w:val="none"/>
          <w:shd w:val="clear" w:color="auto" w:fill="FFFFFF"/>
        </w:rPr>
        <w:t>%</w:t>
      </w:r>
      <w:r>
        <w:rPr>
          <w:rFonts w:hint="eastAsia"/>
          <w:color w:val="auto"/>
          <w:szCs w:val="21"/>
          <w:highlight w:val="none"/>
          <w:shd w:val="clear" w:color="auto" w:fill="FFFFFF"/>
        </w:rPr>
        <w:t>。</w:t>
      </w:r>
    </w:p>
    <w:p>
      <w:pPr>
        <w:spacing w:line="420" w:lineRule="exact"/>
        <w:ind w:firstLine="420"/>
        <w:rPr>
          <w:color w:val="auto"/>
          <w:szCs w:val="22"/>
          <w:highlight w:val="none"/>
        </w:rPr>
      </w:pPr>
      <w:r>
        <w:rPr>
          <w:bCs/>
          <w:color w:val="auto"/>
          <w:highlight w:val="none"/>
        </w:rPr>
        <w:t>（4）</w:t>
      </w:r>
      <w:r>
        <w:rPr>
          <w:color w:val="auto"/>
          <w:szCs w:val="22"/>
          <w:highlight w:val="none"/>
        </w:rPr>
        <w:t>工程（单项工程及整体工程）质量达不到合格的，按规定修复，所需费用由分包人自行承担，并按不合格部分的1%支付赔偿金。赔偿基准为不合格部分单位工程造价。且工期不予顺延。</w:t>
      </w:r>
    </w:p>
    <w:p>
      <w:pPr>
        <w:spacing w:line="420" w:lineRule="exact"/>
        <w:ind w:firstLine="400" w:firstLineChars="200"/>
        <w:rPr>
          <w:color w:val="auto"/>
          <w:szCs w:val="22"/>
          <w:highlight w:val="none"/>
        </w:rPr>
      </w:pPr>
      <w:r>
        <w:rPr>
          <w:bCs/>
          <w:color w:val="auto"/>
          <w:highlight w:val="none"/>
        </w:rPr>
        <w:t>（5）</w:t>
      </w:r>
      <w:r>
        <w:rPr>
          <w:rFonts w:hint="eastAsia"/>
          <w:color w:val="auto"/>
          <w:szCs w:val="22"/>
          <w:highlight w:val="none"/>
        </w:rPr>
        <w:t>关于分包人违约解除合同的特别约定：在施工中分包人有下列情况视为其施工组织不力、管理不善，可能影响工期、施工质量，或存在有意损害承包人利益的，承包人有权单方解除合同。</w:t>
      </w:r>
    </w:p>
    <w:p>
      <w:pPr>
        <w:spacing w:line="420" w:lineRule="exact"/>
        <w:ind w:firstLine="400" w:firstLineChars="200"/>
        <w:rPr>
          <w:color w:val="auto"/>
          <w:szCs w:val="22"/>
          <w:highlight w:val="none"/>
        </w:rPr>
      </w:pPr>
      <w:r>
        <w:rPr>
          <w:color w:val="auto"/>
          <w:szCs w:val="22"/>
          <w:highlight w:val="none"/>
        </w:rPr>
        <w:t>发生一人及以上死亡安全生产事故的。</w:t>
      </w:r>
    </w:p>
    <w:p>
      <w:pPr>
        <w:spacing w:line="420" w:lineRule="exact"/>
        <w:ind w:firstLine="400" w:firstLineChars="200"/>
        <w:rPr>
          <w:color w:val="auto"/>
          <w:szCs w:val="22"/>
          <w:highlight w:val="none"/>
        </w:rPr>
      </w:pPr>
      <w:r>
        <w:rPr>
          <w:color w:val="auto"/>
          <w:szCs w:val="22"/>
          <w:highlight w:val="none"/>
        </w:rPr>
        <w:t>长时间没有解决具体技术问题或影响施工进度的其它问题的措施，致使进度缓慢或无进度。长时间以四十天、三个月、六个月为限，具体由承包人根据情况适用；</w:t>
      </w:r>
    </w:p>
    <w:p>
      <w:pPr>
        <w:spacing w:line="420" w:lineRule="exact"/>
        <w:ind w:firstLine="400" w:firstLineChars="200"/>
        <w:rPr>
          <w:color w:val="auto"/>
          <w:szCs w:val="22"/>
          <w:highlight w:val="none"/>
        </w:rPr>
      </w:pPr>
      <w:r>
        <w:rPr>
          <w:color w:val="auto"/>
          <w:szCs w:val="22"/>
          <w:highlight w:val="none"/>
        </w:rPr>
        <w:t>连续三次，或连续三个月没有达到承包人承诺的进度；</w:t>
      </w:r>
    </w:p>
    <w:p>
      <w:pPr>
        <w:spacing w:line="420" w:lineRule="exact"/>
        <w:ind w:firstLine="400" w:firstLineChars="200"/>
        <w:rPr>
          <w:color w:val="auto"/>
          <w:szCs w:val="22"/>
          <w:highlight w:val="none"/>
        </w:rPr>
      </w:pPr>
      <w:r>
        <w:rPr>
          <w:color w:val="auto"/>
          <w:szCs w:val="22"/>
          <w:highlight w:val="none"/>
        </w:rPr>
        <w:t>串通监理人员损害承包人利益；</w:t>
      </w:r>
    </w:p>
    <w:p>
      <w:pPr>
        <w:spacing w:line="420" w:lineRule="exact"/>
        <w:ind w:firstLine="400" w:firstLineChars="200"/>
        <w:rPr>
          <w:color w:val="auto"/>
          <w:szCs w:val="22"/>
          <w:highlight w:val="none"/>
        </w:rPr>
      </w:pPr>
      <w:r>
        <w:rPr>
          <w:color w:val="auto"/>
          <w:szCs w:val="22"/>
          <w:highlight w:val="none"/>
        </w:rPr>
        <w:t>施工存在严重缺陷，或违反工程师指令擅自违规操作、不按规定施工；</w:t>
      </w:r>
    </w:p>
    <w:p>
      <w:pPr>
        <w:spacing w:line="420" w:lineRule="exact"/>
        <w:ind w:firstLine="400" w:firstLineChars="200"/>
        <w:rPr>
          <w:color w:val="auto"/>
          <w:szCs w:val="22"/>
          <w:highlight w:val="none"/>
        </w:rPr>
      </w:pPr>
      <w:r>
        <w:rPr>
          <w:color w:val="auto"/>
          <w:szCs w:val="22"/>
          <w:highlight w:val="none"/>
        </w:rPr>
        <w:t>对监理、承包人代表指出的问题无正当理由不作改正；</w:t>
      </w:r>
    </w:p>
    <w:p>
      <w:pPr>
        <w:spacing w:line="420" w:lineRule="exact"/>
        <w:ind w:firstLine="400" w:firstLineChars="200"/>
        <w:rPr>
          <w:color w:val="auto"/>
          <w:szCs w:val="22"/>
          <w:highlight w:val="none"/>
        </w:rPr>
      </w:pPr>
      <w:r>
        <w:rPr>
          <w:color w:val="auto"/>
          <w:szCs w:val="22"/>
          <w:highlight w:val="none"/>
        </w:rPr>
        <w:t>违反规定将工程分包给他人，或将工程转包给他人，或借用他人资质承揽工程的；</w:t>
      </w:r>
    </w:p>
    <w:p>
      <w:pPr>
        <w:spacing w:line="420" w:lineRule="exact"/>
        <w:ind w:firstLine="400" w:firstLineChars="200"/>
        <w:rPr>
          <w:color w:val="auto"/>
          <w:szCs w:val="22"/>
          <w:highlight w:val="none"/>
        </w:rPr>
      </w:pPr>
      <w:r>
        <w:rPr>
          <w:color w:val="auto"/>
          <w:szCs w:val="22"/>
          <w:highlight w:val="none"/>
        </w:rPr>
        <w:t>施工人员不足或不符合规定，经要求改正而不按要求改正的；</w:t>
      </w:r>
    </w:p>
    <w:p>
      <w:pPr>
        <w:spacing w:line="420" w:lineRule="exact"/>
        <w:ind w:firstLine="400" w:firstLineChars="200"/>
        <w:rPr>
          <w:color w:val="auto"/>
          <w:szCs w:val="22"/>
          <w:highlight w:val="none"/>
        </w:rPr>
      </w:pPr>
      <w:r>
        <w:rPr>
          <w:color w:val="auto"/>
          <w:szCs w:val="22"/>
          <w:highlight w:val="none"/>
        </w:rPr>
        <w:t>因分包人原因导致两次以上停工的。</w:t>
      </w:r>
    </w:p>
    <w:p>
      <w:pPr>
        <w:spacing w:line="420" w:lineRule="exact"/>
        <w:ind w:firstLine="400" w:firstLineChars="200"/>
        <w:rPr>
          <w:color w:val="auto"/>
          <w:szCs w:val="22"/>
          <w:highlight w:val="none"/>
        </w:rPr>
      </w:pPr>
      <w:r>
        <w:rPr>
          <w:color w:val="auto"/>
          <w:szCs w:val="22"/>
          <w:highlight w:val="none"/>
        </w:rPr>
        <w:t>（5）索赔</w:t>
      </w:r>
    </w:p>
    <w:p>
      <w:pPr>
        <w:spacing w:line="420" w:lineRule="exact"/>
        <w:ind w:firstLine="600" w:firstLineChars="300"/>
        <w:rPr>
          <w:color w:val="auto"/>
          <w:szCs w:val="22"/>
          <w:highlight w:val="none"/>
        </w:rPr>
      </w:pPr>
      <w:r>
        <w:rPr>
          <w:color w:val="auto"/>
          <w:szCs w:val="22"/>
          <w:highlight w:val="none"/>
        </w:rPr>
        <w:t>如果分包人严重违反本合同规定的应尽义务，出现如下情况：承包人将索赔。</w:t>
      </w:r>
    </w:p>
    <w:p>
      <w:pPr>
        <w:spacing w:line="420" w:lineRule="exact"/>
        <w:ind w:firstLine="400" w:firstLineChars="200"/>
        <w:rPr>
          <w:color w:val="auto"/>
          <w:szCs w:val="22"/>
          <w:highlight w:val="none"/>
        </w:rPr>
      </w:pPr>
      <w:r>
        <w:rPr>
          <w:color w:val="auto"/>
          <w:szCs w:val="22"/>
          <w:highlight w:val="none"/>
        </w:rPr>
        <w:t>1）实际到施工现场的主要人员和用于本工程的主要施工机械与投标函严重不符；</w:t>
      </w:r>
    </w:p>
    <w:p>
      <w:pPr>
        <w:spacing w:line="420" w:lineRule="exact"/>
        <w:ind w:firstLine="400" w:firstLineChars="200"/>
        <w:rPr>
          <w:color w:val="auto"/>
          <w:szCs w:val="22"/>
          <w:highlight w:val="none"/>
        </w:rPr>
      </w:pPr>
      <w:r>
        <w:rPr>
          <w:color w:val="auto"/>
          <w:szCs w:val="22"/>
          <w:highlight w:val="none"/>
        </w:rPr>
        <w:t>2）工程进度与投标函中所报计划严重背离等；</w:t>
      </w:r>
    </w:p>
    <w:p>
      <w:pPr>
        <w:spacing w:line="420" w:lineRule="exact"/>
        <w:ind w:firstLine="400" w:firstLineChars="200"/>
        <w:rPr>
          <w:color w:val="auto"/>
          <w:szCs w:val="22"/>
          <w:highlight w:val="none"/>
        </w:rPr>
      </w:pPr>
      <w:r>
        <w:rPr>
          <w:color w:val="auto"/>
          <w:szCs w:val="22"/>
          <w:highlight w:val="none"/>
        </w:rPr>
        <w:t>3）分包人实际提供的施工组织机构、施工机具型号、主要施工人员的身份证、安全资格证、上岗证、特殊工种操作证等与投标文件相对应的部分及国家有关安全生产条例严重不符。</w:t>
      </w:r>
    </w:p>
    <w:p>
      <w:pPr>
        <w:spacing w:line="420" w:lineRule="exact"/>
        <w:ind w:firstLine="400" w:firstLineChars="200"/>
        <w:rPr>
          <w:color w:val="auto"/>
          <w:szCs w:val="22"/>
          <w:highlight w:val="none"/>
        </w:rPr>
      </w:pPr>
      <w:r>
        <w:rPr>
          <w:color w:val="auto"/>
          <w:szCs w:val="22"/>
          <w:highlight w:val="none"/>
        </w:rPr>
        <w:t>4）已经对工程造成严重损害，或继续进行施工将给本合同工程造成严重损害，承包人可另派人员进驻现场接管工程，并终止分包人在本合同项下的分包。除此之外，还将对分包人追溯由此造成的一切损失。承包人的上述行为，不能解除本协议规定的分包人任何义务和责任。</w:t>
      </w:r>
    </w:p>
    <w:p>
      <w:pPr>
        <w:spacing w:line="420" w:lineRule="exact"/>
        <w:ind w:firstLine="400" w:firstLineChars="200"/>
        <w:rPr>
          <w:color w:val="auto"/>
          <w:szCs w:val="22"/>
          <w:highlight w:val="none"/>
        </w:rPr>
      </w:pPr>
      <w:r>
        <w:rPr>
          <w:color w:val="auto"/>
          <w:szCs w:val="22"/>
          <w:highlight w:val="none"/>
        </w:rPr>
        <w:t>5）承包人提出索赔通知后30天内分包人未能予以答复，该索赔应视为已被分包人接受。若分包人未能在承包人提出索赔通知的30天内或承包人同意的更长一些的时间内，按承包人同意的上述任何一种方式处理索赔事宜，承包人将从未付合同价格或分包人提供的履约保证金中扣回索赔金额，同时保留进一步要求赔偿的权利。</w:t>
      </w:r>
    </w:p>
    <w:p>
      <w:pPr>
        <w:pStyle w:val="6"/>
        <w:bidi w:val="0"/>
      </w:pPr>
      <w:r>
        <w:t>28、争议</w:t>
      </w:r>
    </w:p>
    <w:p>
      <w:pPr>
        <w:spacing w:line="420" w:lineRule="exact"/>
        <w:ind w:firstLine="400" w:firstLineChars="200"/>
        <w:rPr>
          <w:color w:val="auto"/>
          <w:highlight w:val="none"/>
        </w:rPr>
      </w:pPr>
      <w:r>
        <w:rPr>
          <w:color w:val="auto"/>
          <w:highlight w:val="none"/>
        </w:rPr>
        <w:t>28.1 双方约定，在履行分包合同过程中发生争议，双方协商解决或者调解不成时，依法向</w:t>
      </w:r>
      <w:r>
        <w:rPr>
          <w:color w:val="auto"/>
          <w:highlight w:val="none"/>
          <w:u w:val="single"/>
        </w:rPr>
        <w:t>合同签订地</w:t>
      </w:r>
      <w:r>
        <w:rPr>
          <w:color w:val="auto"/>
          <w:highlight w:val="none"/>
        </w:rPr>
        <w:t>的人民法院提起诉讼。</w:t>
      </w:r>
    </w:p>
    <w:p>
      <w:pPr>
        <w:pStyle w:val="5"/>
        <w:bidi w:val="0"/>
      </w:pPr>
      <w:r>
        <w:t>九、保障、保险及担保</w:t>
      </w:r>
    </w:p>
    <w:p>
      <w:pPr>
        <w:pStyle w:val="6"/>
        <w:bidi w:val="0"/>
      </w:pPr>
      <w:r>
        <w:t>30、保险</w:t>
      </w:r>
    </w:p>
    <w:p>
      <w:pPr>
        <w:spacing w:line="360" w:lineRule="auto"/>
        <w:ind w:firstLine="400" w:firstLineChars="200"/>
        <w:rPr>
          <w:color w:val="auto"/>
          <w:szCs w:val="21"/>
          <w:highlight w:val="none"/>
        </w:rPr>
      </w:pPr>
      <w:r>
        <w:rPr>
          <w:color w:val="auto"/>
          <w:highlight w:val="none"/>
        </w:rPr>
        <w:t>30.1 分包人投保内容和责任：在合同履行期间，分包人应保持保险有效。</w:t>
      </w:r>
      <w:r>
        <w:rPr>
          <w:color w:val="auto"/>
          <w:szCs w:val="21"/>
          <w:highlight w:val="none"/>
        </w:rPr>
        <w:t>分包人应对以下各项进行投保（不限于）：</w:t>
      </w:r>
    </w:p>
    <w:p>
      <w:pPr>
        <w:spacing w:line="360" w:lineRule="auto"/>
        <w:ind w:firstLine="400" w:firstLineChars="200"/>
        <w:rPr>
          <w:color w:val="auto"/>
          <w:szCs w:val="21"/>
          <w:highlight w:val="none"/>
        </w:rPr>
      </w:pPr>
      <w:r>
        <w:rPr>
          <w:color w:val="auto"/>
          <w:szCs w:val="21"/>
          <w:highlight w:val="none"/>
        </w:rPr>
        <w:t>(1)对于提供的工程、设备、材料及分包人带入现场的设备和其他东西；</w:t>
      </w:r>
    </w:p>
    <w:p>
      <w:pPr>
        <w:spacing w:line="360" w:lineRule="auto"/>
        <w:ind w:firstLine="400" w:firstLineChars="200"/>
        <w:rPr>
          <w:color w:val="auto"/>
          <w:szCs w:val="21"/>
          <w:highlight w:val="none"/>
        </w:rPr>
      </w:pPr>
      <w:r>
        <w:rPr>
          <w:color w:val="auto"/>
          <w:szCs w:val="21"/>
          <w:highlight w:val="none"/>
        </w:rPr>
        <w:t>(2)货物运输；</w:t>
      </w:r>
    </w:p>
    <w:p>
      <w:pPr>
        <w:spacing w:line="360" w:lineRule="auto"/>
        <w:ind w:firstLine="400" w:firstLineChars="200"/>
        <w:rPr>
          <w:color w:val="auto"/>
          <w:szCs w:val="21"/>
          <w:highlight w:val="none"/>
        </w:rPr>
      </w:pPr>
      <w:r>
        <w:rPr>
          <w:color w:val="auto"/>
          <w:szCs w:val="21"/>
          <w:highlight w:val="none"/>
        </w:rPr>
        <w:t>(3)第三方责任： 包括在工程执行过程中发生的第三方所受人身伤亡(包括承包人、发包人人员)和财产损失损坏(包括承包人、发包人的财产)。</w:t>
      </w:r>
    </w:p>
    <w:p>
      <w:pPr>
        <w:spacing w:line="360" w:lineRule="auto"/>
        <w:ind w:firstLine="400" w:firstLineChars="200"/>
        <w:rPr>
          <w:color w:val="auto"/>
          <w:szCs w:val="21"/>
          <w:highlight w:val="none"/>
        </w:rPr>
      </w:pPr>
      <w:r>
        <w:rPr>
          <w:color w:val="auto"/>
          <w:szCs w:val="21"/>
          <w:highlight w:val="none"/>
        </w:rPr>
        <w:t>(4)车辆责任保险：包括工程执行过程中，分包人所使用的所有车辆(不管是否归其所有)。</w:t>
      </w:r>
    </w:p>
    <w:p>
      <w:pPr>
        <w:spacing w:line="360" w:lineRule="auto"/>
        <w:ind w:firstLine="435"/>
        <w:rPr>
          <w:color w:val="auto"/>
          <w:highlight w:val="none"/>
          <w:u w:val="single"/>
        </w:rPr>
      </w:pPr>
      <w:r>
        <w:rPr>
          <w:color w:val="auto"/>
          <w:szCs w:val="21"/>
          <w:highlight w:val="none"/>
        </w:rPr>
        <w:t>(5)其他由双方特别商定的保险。</w:t>
      </w:r>
    </w:p>
    <w:p>
      <w:pPr>
        <w:pStyle w:val="6"/>
        <w:bidi w:val="0"/>
      </w:pPr>
      <w:r>
        <w:t>31、担保</w:t>
      </w:r>
    </w:p>
    <w:p>
      <w:pPr>
        <w:spacing w:line="420" w:lineRule="exact"/>
        <w:ind w:firstLine="435"/>
        <w:rPr>
          <w:color w:val="auto"/>
          <w:highlight w:val="none"/>
        </w:rPr>
      </w:pPr>
      <w:r>
        <w:rPr>
          <w:color w:val="auto"/>
          <w:highlight w:val="none"/>
        </w:rPr>
        <w:t>31.1分包人向承包人提供履约担保，</w:t>
      </w:r>
      <w:r>
        <w:rPr>
          <w:bCs/>
          <w:color w:val="auto"/>
          <w:highlight w:val="none"/>
        </w:rPr>
        <w:t>担保方式：</w:t>
      </w:r>
      <w:r>
        <w:rPr>
          <w:rFonts w:hint="eastAsia"/>
          <w:bCs/>
          <w:color w:val="auto"/>
          <w:highlight w:val="none"/>
        </w:rPr>
        <w:t>无。</w:t>
      </w:r>
    </w:p>
    <w:p>
      <w:pPr>
        <w:pStyle w:val="5"/>
        <w:bidi w:val="0"/>
      </w:pPr>
      <w:r>
        <w:t>十、其他</w:t>
      </w:r>
    </w:p>
    <w:p>
      <w:pPr>
        <w:pStyle w:val="6"/>
        <w:bidi w:val="0"/>
      </w:pPr>
      <w:r>
        <w:t>32、材料设备供应</w:t>
      </w:r>
    </w:p>
    <w:p>
      <w:pPr>
        <w:ind w:firstLine="400" w:firstLineChars="200"/>
        <w:rPr>
          <w:color w:val="auto"/>
          <w:highlight w:val="none"/>
          <w:u w:val="single"/>
        </w:rPr>
      </w:pPr>
      <w:r>
        <w:rPr>
          <w:color w:val="auto"/>
          <w:highlight w:val="none"/>
        </w:rPr>
        <w:t>32.1 由分包人采购材料设备的约定：</w:t>
      </w:r>
      <w:r>
        <w:rPr>
          <w:color w:val="auto"/>
          <w:highlight w:val="none"/>
          <w:u w:val="single"/>
        </w:rPr>
        <w:t>分包人承担范围内所需材料均由分包人提供。</w:t>
      </w:r>
    </w:p>
    <w:p>
      <w:pPr>
        <w:pStyle w:val="6"/>
        <w:bidi w:val="0"/>
        <w:rPr>
          <w:color w:val="auto"/>
          <w:highlight w:val="none"/>
        </w:rPr>
      </w:pPr>
      <w:r>
        <w:rPr>
          <w:color w:val="auto"/>
          <w:highlight w:val="none"/>
        </w:rPr>
        <w:t>37、合同份数</w:t>
      </w:r>
    </w:p>
    <w:p>
      <w:pPr>
        <w:spacing w:line="420" w:lineRule="exact"/>
        <w:ind w:firstLine="400" w:firstLineChars="200"/>
        <w:rPr>
          <w:color w:val="auto"/>
          <w:highlight w:val="none"/>
        </w:rPr>
      </w:pPr>
      <w:r>
        <w:rPr>
          <w:color w:val="auto"/>
          <w:highlight w:val="none"/>
        </w:rPr>
        <w:t>37.1 双方约定本协议正本</w:t>
      </w:r>
      <w:r>
        <w:rPr>
          <w:color w:val="auto"/>
          <w:highlight w:val="none"/>
          <w:u w:val="single"/>
        </w:rPr>
        <w:t xml:space="preserve"> 贰 </w:t>
      </w:r>
      <w:r>
        <w:rPr>
          <w:color w:val="auto"/>
          <w:highlight w:val="none"/>
        </w:rPr>
        <w:t>份，双方各执</w:t>
      </w:r>
      <w:r>
        <w:rPr>
          <w:color w:val="auto"/>
          <w:highlight w:val="none"/>
          <w:u w:val="single"/>
        </w:rPr>
        <w:t>壹</w:t>
      </w:r>
      <w:r>
        <w:rPr>
          <w:color w:val="auto"/>
          <w:highlight w:val="none"/>
        </w:rPr>
        <w:t>份；副本</w:t>
      </w:r>
      <w:r>
        <w:rPr>
          <w:color w:val="auto"/>
          <w:highlight w:val="none"/>
          <w:u w:val="single"/>
        </w:rPr>
        <w:t xml:space="preserve"> 陆 </w:t>
      </w:r>
      <w:r>
        <w:rPr>
          <w:color w:val="auto"/>
          <w:highlight w:val="none"/>
        </w:rPr>
        <w:t>份，双方各执</w:t>
      </w:r>
      <w:r>
        <w:rPr>
          <w:color w:val="auto"/>
          <w:highlight w:val="none"/>
          <w:u w:val="single"/>
        </w:rPr>
        <w:t>叁</w:t>
      </w:r>
      <w:r>
        <w:rPr>
          <w:color w:val="auto"/>
          <w:highlight w:val="none"/>
        </w:rPr>
        <w:t>份。正本与副本具有同等的法律效力。</w:t>
      </w:r>
    </w:p>
    <w:p>
      <w:pPr>
        <w:pStyle w:val="6"/>
        <w:bidi w:val="0"/>
        <w:rPr>
          <w:color w:val="auto"/>
          <w:highlight w:val="none"/>
        </w:rPr>
      </w:pPr>
      <w:r>
        <w:rPr>
          <w:b w:val="0"/>
          <w:bCs w:val="0"/>
          <w:color w:val="auto"/>
          <w:highlight w:val="none"/>
        </w:rPr>
        <w:t>38、</w:t>
      </w:r>
      <w:r>
        <w:rPr>
          <w:color w:val="auto"/>
          <w:highlight w:val="none"/>
        </w:rPr>
        <w:t>补充条款：</w:t>
      </w:r>
    </w:p>
    <w:p>
      <w:pPr>
        <w:spacing w:line="420" w:lineRule="exact"/>
        <w:ind w:firstLine="400" w:firstLineChars="200"/>
        <w:rPr>
          <w:color w:val="auto"/>
          <w:highlight w:val="none"/>
        </w:rPr>
      </w:pPr>
      <w:r>
        <w:rPr>
          <w:color w:val="auto"/>
          <w:highlight w:val="none"/>
        </w:rPr>
        <w:t>38.1 未尽事宜，双方另行签订书面补充协议。书面补充协议是合同的组成部分，与本协议具有同等的法律效力。</w:t>
      </w:r>
    </w:p>
    <w:p>
      <w:pPr>
        <w:spacing w:line="420" w:lineRule="exact"/>
        <w:ind w:firstLine="400" w:firstLineChars="200"/>
        <w:rPr>
          <w:color w:val="auto"/>
          <w:szCs w:val="2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color w:val="auto"/>
          <w:szCs w:val="22"/>
          <w:highlight w:val="none"/>
        </w:rPr>
        <w:t>38.2 所附的附件是本协议的组成部分，与本协议法律效力相同。</w:t>
      </w:r>
      <w:r>
        <w:rPr>
          <w:color w:val="auto"/>
          <w:szCs w:val="22"/>
          <w:highlight w:val="none"/>
        </w:rPr>
        <w:tab/>
      </w:r>
    </w:p>
    <w:p>
      <w:pPr>
        <w:spacing w:line="420" w:lineRule="exact"/>
        <w:ind w:firstLine="600" w:firstLineChars="300"/>
        <w:rPr>
          <w:color w:val="auto"/>
          <w:szCs w:val="22"/>
          <w:highlight w:val="none"/>
        </w:rPr>
      </w:pPr>
      <w:r>
        <w:rPr>
          <w:color w:val="auto"/>
          <w:szCs w:val="22"/>
          <w:highlight w:val="none"/>
        </w:rPr>
        <w:t>附件</w:t>
      </w:r>
      <w:r>
        <w:rPr>
          <w:rFonts w:hint="eastAsia"/>
          <w:color w:val="auto"/>
          <w:szCs w:val="22"/>
          <w:highlight w:val="none"/>
        </w:rPr>
        <w:t>1</w:t>
      </w:r>
      <w:r>
        <w:rPr>
          <w:color w:val="auto"/>
          <w:szCs w:val="22"/>
          <w:highlight w:val="none"/>
        </w:rPr>
        <w:t>：《工程质量保修书》</w:t>
      </w:r>
      <w:r>
        <w:rPr>
          <w:rFonts w:hint="eastAsia"/>
          <w:color w:val="auto"/>
          <w:szCs w:val="22"/>
          <w:highlight w:val="none"/>
        </w:rPr>
        <w:t xml:space="preserve"> </w:t>
      </w:r>
      <w:r>
        <w:rPr>
          <w:color w:val="auto"/>
          <w:szCs w:val="22"/>
          <w:highlight w:val="none"/>
        </w:rPr>
        <w:t xml:space="preserve">             </w:t>
      </w:r>
    </w:p>
    <w:p>
      <w:pPr>
        <w:spacing w:line="420" w:lineRule="exact"/>
        <w:ind w:firstLine="600" w:firstLineChars="300"/>
        <w:rPr>
          <w:color w:val="auto"/>
          <w:szCs w:val="22"/>
          <w:highlight w:val="none"/>
        </w:rPr>
      </w:pPr>
      <w:r>
        <w:rPr>
          <w:color w:val="auto"/>
          <w:szCs w:val="22"/>
          <w:highlight w:val="none"/>
        </w:rPr>
        <w:t>附件2：《</w:t>
      </w:r>
      <w:r>
        <w:rPr>
          <w:rFonts w:hint="eastAsia"/>
          <w:color w:val="auto"/>
          <w:szCs w:val="22"/>
          <w:highlight w:val="none"/>
        </w:rPr>
        <w:t>廉洁互保协议</w:t>
      </w:r>
      <w:r>
        <w:rPr>
          <w:color w:val="auto"/>
          <w:szCs w:val="22"/>
          <w:highlight w:val="none"/>
        </w:rPr>
        <w:t>》</w:t>
      </w:r>
    </w:p>
    <w:p>
      <w:pPr>
        <w:spacing w:line="420" w:lineRule="exact"/>
        <w:ind w:firstLine="600" w:firstLineChars="300"/>
        <w:rPr>
          <w:color w:val="auto"/>
          <w:szCs w:val="22"/>
          <w:highlight w:val="none"/>
        </w:rPr>
      </w:pPr>
      <w:r>
        <w:rPr>
          <w:color w:val="auto"/>
          <w:szCs w:val="22"/>
          <w:highlight w:val="none"/>
        </w:rPr>
        <w:t>附件3：《</w:t>
      </w:r>
      <w:r>
        <w:rPr>
          <w:rFonts w:hint="eastAsia"/>
          <w:color w:val="auto"/>
          <w:szCs w:val="22"/>
          <w:highlight w:val="none"/>
        </w:rPr>
        <w:t>安全管理协议书</w:t>
      </w:r>
      <w:r>
        <w:rPr>
          <w:color w:val="auto"/>
          <w:szCs w:val="22"/>
          <w:highlight w:val="none"/>
        </w:rPr>
        <w:t>》</w:t>
      </w:r>
      <w:r>
        <w:rPr>
          <w:rFonts w:hint="eastAsia"/>
          <w:color w:val="auto"/>
          <w:szCs w:val="22"/>
          <w:highlight w:val="none"/>
        </w:rPr>
        <w:t xml:space="preserve"> </w:t>
      </w:r>
    </w:p>
    <w:p>
      <w:pPr>
        <w:spacing w:line="420" w:lineRule="exact"/>
        <w:ind w:firstLine="600" w:firstLineChars="300"/>
        <w:rPr>
          <w:color w:val="auto"/>
          <w:szCs w:val="22"/>
          <w:highlight w:val="none"/>
        </w:rPr>
      </w:pPr>
      <w:r>
        <w:rPr>
          <w:color w:val="auto"/>
          <w:szCs w:val="22"/>
          <w:highlight w:val="none"/>
        </w:rPr>
        <w:t>附件</w:t>
      </w:r>
      <w:r>
        <w:rPr>
          <w:rFonts w:hint="eastAsia"/>
          <w:color w:val="auto"/>
          <w:szCs w:val="22"/>
          <w:highlight w:val="none"/>
        </w:rPr>
        <w:t>4：《不拖欠工资承诺书》</w:t>
      </w:r>
      <w:r>
        <w:rPr>
          <w:color w:val="auto"/>
          <w:szCs w:val="22"/>
          <w:highlight w:val="none"/>
        </w:rPr>
        <w:t xml:space="preserve">    </w:t>
      </w:r>
    </w:p>
    <w:p>
      <w:pPr>
        <w:spacing w:line="420" w:lineRule="exact"/>
        <w:ind w:firstLine="600" w:firstLineChars="300"/>
        <w:rPr>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color w:val="auto"/>
          <w:szCs w:val="22"/>
          <w:highlight w:val="none"/>
        </w:rPr>
        <w:t>附件</w:t>
      </w:r>
      <w:r>
        <w:rPr>
          <w:rFonts w:hint="eastAsia"/>
          <w:color w:val="auto"/>
          <w:szCs w:val="22"/>
          <w:highlight w:val="none"/>
        </w:rPr>
        <w:t>5：《技术</w:t>
      </w:r>
      <w:r>
        <w:rPr>
          <w:rFonts w:hint="eastAsia"/>
          <w:color w:val="auto"/>
          <w:szCs w:val="22"/>
          <w:highlight w:val="none"/>
          <w:lang w:val="en-US" w:eastAsia="zh-CN"/>
        </w:rPr>
        <w:t>规格</w:t>
      </w:r>
      <w:r>
        <w:rPr>
          <w:rFonts w:hint="eastAsia"/>
          <w:color w:val="auto"/>
          <w:szCs w:val="22"/>
          <w:highlight w:val="none"/>
        </w:rPr>
        <w:t>书》</w:t>
      </w:r>
      <w:r>
        <w:rPr>
          <w:color w:val="auto"/>
          <w:szCs w:val="22"/>
          <w:highlight w:val="none"/>
        </w:rPr>
        <w:t xml:space="preserve">          </w:t>
      </w:r>
    </w:p>
    <w:p>
      <w:pPr>
        <w:pStyle w:val="8"/>
        <w:bidi w:val="0"/>
      </w:pPr>
      <w:r>
        <w:t>附</w:t>
      </w:r>
      <w:bookmarkStart w:id="63" w:name="_Toc296944564"/>
      <w:bookmarkStart w:id="64" w:name="_Toc267261692"/>
      <w:bookmarkStart w:id="65" w:name="_Toc296891265"/>
      <w:bookmarkStart w:id="66" w:name="_Toc296503225"/>
      <w:bookmarkStart w:id="67" w:name="_Toc296347224"/>
      <w:bookmarkStart w:id="68" w:name="_Toc296346726"/>
      <w:bookmarkStart w:id="69" w:name="_Toc296891053"/>
      <w:r>
        <w:t>件</w:t>
      </w:r>
      <w:r>
        <w:rPr>
          <w:rFonts w:hint="eastAsia"/>
        </w:rPr>
        <w:t>1</w:t>
      </w:r>
      <w:r>
        <w:t>：</w:t>
      </w:r>
    </w:p>
    <w:bookmarkEnd w:id="63"/>
    <w:bookmarkEnd w:id="64"/>
    <w:bookmarkEnd w:id="65"/>
    <w:bookmarkEnd w:id="66"/>
    <w:bookmarkEnd w:id="67"/>
    <w:bookmarkEnd w:id="68"/>
    <w:bookmarkEnd w:id="69"/>
    <w:p>
      <w:pPr>
        <w:bidi w:val="0"/>
        <w:jc w:val="center"/>
      </w:pPr>
      <w:r>
        <w:t>工程质量保修书</w:t>
      </w:r>
    </w:p>
    <w:p>
      <w:pPr>
        <w:spacing w:line="360" w:lineRule="auto"/>
        <w:ind w:firstLine="40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承包人（全称）：</w:t>
      </w:r>
      <w:r>
        <w:rPr>
          <w:rFonts w:asciiTheme="minorEastAsia" w:hAnsiTheme="minorEastAsia" w:eastAsiaTheme="minorEastAsia"/>
          <w:color w:val="auto"/>
          <w:highlight w:val="none"/>
          <w:u w:val="single"/>
        </w:rPr>
        <w:t xml:space="preserve">  </w:t>
      </w:r>
    </w:p>
    <w:p>
      <w:pPr>
        <w:spacing w:line="360" w:lineRule="auto"/>
        <w:ind w:firstLine="40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分包人（全称）： </w:t>
      </w:r>
    </w:p>
    <w:p>
      <w:pPr>
        <w:widowControl w:val="0"/>
        <w:spacing w:line="360" w:lineRule="auto"/>
        <w:ind w:firstLine="40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承包人和分包人根据《中华人民共和国建筑法》和《建设工程质量管理条例》，经协商一致就</w:t>
      </w:r>
      <w:r>
        <w:rPr>
          <w:rFonts w:hint="eastAsia" w:asciiTheme="minorEastAsia" w:hAnsiTheme="minorEastAsia" w:eastAsiaTheme="minorEastAsia"/>
          <w:color w:val="auto"/>
          <w:highlight w:val="none"/>
          <w:u w:val="single"/>
        </w:rPr>
        <w:t>X</w:t>
      </w:r>
      <w:r>
        <w:rPr>
          <w:rFonts w:asciiTheme="minorEastAsia" w:hAnsiTheme="minorEastAsia" w:eastAsiaTheme="minorEastAsia"/>
          <w:color w:val="auto"/>
          <w:highlight w:val="none"/>
          <w:u w:val="single"/>
        </w:rPr>
        <w:t>XX</w:t>
      </w:r>
      <w:r>
        <w:rPr>
          <w:rFonts w:hint="eastAsia" w:asciiTheme="minorEastAsia" w:hAnsiTheme="minorEastAsia" w:eastAsiaTheme="minorEastAsia"/>
          <w:color w:val="auto"/>
          <w:highlight w:val="none"/>
          <w:u w:val="single"/>
        </w:rPr>
        <w:t>工程分包合同</w:t>
      </w:r>
      <w:r>
        <w:rPr>
          <w:rFonts w:asciiTheme="minorEastAsia" w:hAnsiTheme="minorEastAsia" w:eastAsiaTheme="minorEastAsia"/>
          <w:color w:val="auto"/>
          <w:highlight w:val="none"/>
        </w:rPr>
        <w:t xml:space="preserve">签订工程质量保修书。   </w:t>
      </w:r>
    </w:p>
    <w:p>
      <w:pPr>
        <w:spacing w:line="360" w:lineRule="auto"/>
        <w:rPr>
          <w:rFonts w:asciiTheme="minorEastAsia" w:hAnsiTheme="minorEastAsia" w:eastAsiaTheme="minorEastAsia"/>
          <w:color w:val="auto"/>
          <w:highlight w:val="none"/>
        </w:rPr>
      </w:pPr>
      <w:r>
        <w:rPr>
          <w:rFonts w:asciiTheme="minorEastAsia" w:hAnsiTheme="minorEastAsia" w:eastAsiaTheme="minorEastAsia"/>
          <w:color w:val="auto"/>
          <w:highlight w:val="none"/>
        </w:rPr>
        <w:t>　　一、工程质量保修范围和内容</w:t>
      </w:r>
    </w:p>
    <w:p>
      <w:pPr>
        <w:spacing w:line="360" w:lineRule="auto"/>
        <w:rPr>
          <w:rFonts w:asciiTheme="minorEastAsia" w:hAnsiTheme="minorEastAsia" w:eastAsiaTheme="minorEastAsia"/>
          <w:color w:val="auto"/>
          <w:highlight w:val="none"/>
        </w:rPr>
      </w:pPr>
      <w:r>
        <w:rPr>
          <w:rFonts w:asciiTheme="minorEastAsia" w:hAnsiTheme="minorEastAsia" w:eastAsiaTheme="minorEastAsia"/>
          <w:color w:val="auto"/>
          <w:highlight w:val="none"/>
        </w:rPr>
        <w:t>　　分包人在质量保修期内，按照有关法律规定和合同约定，承担工程质量保修责任。</w:t>
      </w:r>
    </w:p>
    <w:p>
      <w:pPr>
        <w:spacing w:line="360" w:lineRule="auto"/>
        <w:rPr>
          <w:rFonts w:asciiTheme="minorEastAsia" w:hAnsiTheme="minorEastAsia" w:eastAsiaTheme="minorEastAsia"/>
          <w:color w:val="auto"/>
          <w:highlight w:val="none"/>
        </w:rPr>
      </w:pPr>
      <w:r>
        <w:rPr>
          <w:rFonts w:asciiTheme="minorEastAsia" w:hAnsiTheme="minorEastAsia" w:eastAsiaTheme="minorEastAsia"/>
          <w:color w:val="auto"/>
          <w:highlight w:val="none"/>
        </w:rPr>
        <w:t>　　质量保修范围为</w:t>
      </w:r>
      <w:r>
        <w:rPr>
          <w:rFonts w:asciiTheme="minorEastAsia" w:hAnsiTheme="minorEastAsia" w:eastAsiaTheme="minorEastAsia"/>
          <w:bCs/>
          <w:color w:val="auto"/>
          <w:highlight w:val="none"/>
          <w:u w:val="single"/>
        </w:rPr>
        <w:t>双方签订的</w:t>
      </w:r>
      <w:r>
        <w:rPr>
          <w:rFonts w:hint="eastAsia" w:asciiTheme="minorEastAsia" w:hAnsiTheme="minorEastAsia" w:eastAsiaTheme="minorEastAsia"/>
          <w:bCs/>
          <w:color w:val="auto"/>
          <w:highlight w:val="none"/>
          <w:u w:val="single"/>
        </w:rPr>
        <w:t>安装工程</w:t>
      </w:r>
      <w:r>
        <w:rPr>
          <w:rFonts w:asciiTheme="minorEastAsia" w:hAnsiTheme="minorEastAsia" w:eastAsiaTheme="minorEastAsia"/>
          <w:bCs/>
          <w:color w:val="auto"/>
          <w:highlight w:val="none"/>
          <w:u w:val="single"/>
        </w:rPr>
        <w:t xml:space="preserve">分包合同内的所有工程项目内容 </w:t>
      </w:r>
      <w:r>
        <w:rPr>
          <w:rFonts w:asciiTheme="minorEastAsia" w:hAnsiTheme="minorEastAsia" w:eastAsiaTheme="minorEastAsia"/>
          <w:color w:val="auto"/>
          <w:highlight w:val="none"/>
        </w:rPr>
        <w:t>。</w:t>
      </w:r>
    </w:p>
    <w:p>
      <w:pPr>
        <w:spacing w:line="360" w:lineRule="auto"/>
        <w:rPr>
          <w:rFonts w:asciiTheme="minorEastAsia" w:hAnsiTheme="minorEastAsia" w:eastAsiaTheme="minorEastAsia"/>
          <w:color w:val="auto"/>
          <w:highlight w:val="none"/>
        </w:rPr>
      </w:pPr>
      <w:r>
        <w:rPr>
          <w:rFonts w:asciiTheme="minorEastAsia" w:hAnsiTheme="minorEastAsia" w:eastAsiaTheme="minorEastAsia"/>
          <w:color w:val="auto"/>
          <w:highlight w:val="none"/>
        </w:rPr>
        <w:t>　　二、质量保修期</w:t>
      </w:r>
    </w:p>
    <w:p>
      <w:pPr>
        <w:spacing w:line="360" w:lineRule="auto"/>
        <w:ind w:firstLine="40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建筑及安装</w:t>
      </w:r>
      <w:r>
        <w:rPr>
          <w:rFonts w:asciiTheme="minorEastAsia" w:hAnsiTheme="minorEastAsia" w:eastAsiaTheme="minorEastAsia"/>
          <w:color w:val="auto"/>
          <w:highlight w:val="none"/>
        </w:rPr>
        <w:t>工程的质量保证期为从工程验收合格之日算起</w:t>
      </w:r>
      <w:r>
        <w:rPr>
          <w:rFonts w:asciiTheme="minorEastAsia" w:hAnsiTheme="minorEastAsia" w:eastAsiaTheme="minorEastAsia"/>
          <w:color w:val="auto"/>
          <w:highlight w:val="none"/>
          <w:u w:val="single"/>
        </w:rPr>
        <w:t xml:space="preserve"> 1  </w:t>
      </w:r>
      <w:r>
        <w:rPr>
          <w:rFonts w:asciiTheme="minorEastAsia" w:hAnsiTheme="minorEastAsia" w:eastAsiaTheme="minorEastAsia"/>
          <w:color w:val="auto"/>
          <w:highlight w:val="none"/>
        </w:rPr>
        <w:t>年，基础、主体工程为设计使用年限；</w:t>
      </w:r>
    </w:p>
    <w:p>
      <w:pPr>
        <w:spacing w:line="360" w:lineRule="auto"/>
        <w:ind w:firstLine="40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2．防水工程的质量保证期为从防水工程验收合格之日算起</w:t>
      </w:r>
      <w:r>
        <w:rPr>
          <w:rFonts w:asciiTheme="minorEastAsia" w:hAnsiTheme="minorEastAsia" w:eastAsiaTheme="minorEastAsia"/>
          <w:color w:val="auto"/>
          <w:highlight w:val="none"/>
          <w:u w:val="single"/>
        </w:rPr>
        <w:t xml:space="preserve">  5   </w:t>
      </w:r>
      <w:r>
        <w:rPr>
          <w:rFonts w:asciiTheme="minorEastAsia" w:hAnsiTheme="minorEastAsia" w:eastAsiaTheme="minorEastAsia"/>
          <w:color w:val="auto"/>
          <w:highlight w:val="none"/>
        </w:rPr>
        <w:t>年；</w:t>
      </w:r>
    </w:p>
    <w:p>
      <w:pPr>
        <w:spacing w:line="360" w:lineRule="auto"/>
        <w:ind w:firstLine="40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3．给排水工程的质量保证期为从工程验收合格之日算起 </w:t>
      </w:r>
      <w:r>
        <w:rPr>
          <w:rFonts w:asciiTheme="minorEastAsia" w:hAnsiTheme="minorEastAsia" w:eastAsiaTheme="minorEastAsia"/>
          <w:color w:val="auto"/>
          <w:highlight w:val="none"/>
          <w:u w:val="single"/>
        </w:rPr>
        <w:t xml:space="preserve">  2   </w:t>
      </w:r>
      <w:r>
        <w:rPr>
          <w:rFonts w:asciiTheme="minorEastAsia" w:hAnsiTheme="minorEastAsia" w:eastAsiaTheme="minorEastAsia"/>
          <w:color w:val="auto"/>
          <w:highlight w:val="none"/>
        </w:rPr>
        <w:t>年；</w:t>
      </w:r>
    </w:p>
    <w:p>
      <w:pPr>
        <w:spacing w:line="360" w:lineRule="auto"/>
        <w:ind w:firstLine="40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4．采暖工程的质量保证期为从工程验收合格之日算起</w:t>
      </w:r>
      <w:r>
        <w:rPr>
          <w:rFonts w:asciiTheme="minorEastAsia" w:hAnsiTheme="minorEastAsia" w:eastAsiaTheme="minorEastAsia"/>
          <w:color w:val="auto"/>
          <w:highlight w:val="none"/>
          <w:u w:val="single"/>
        </w:rPr>
        <w:t xml:space="preserve">   2   </w:t>
      </w:r>
      <w:r>
        <w:rPr>
          <w:rFonts w:asciiTheme="minorEastAsia" w:hAnsiTheme="minorEastAsia" w:eastAsiaTheme="minorEastAsia"/>
          <w:color w:val="auto"/>
          <w:highlight w:val="none"/>
        </w:rPr>
        <w:t>个采暖期；</w:t>
      </w:r>
    </w:p>
    <w:p>
      <w:pPr>
        <w:spacing w:line="360" w:lineRule="auto"/>
        <w:ind w:firstLine="40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5．装修工程的质量保证期为从工程验收合格之日算起 </w:t>
      </w:r>
      <w:r>
        <w:rPr>
          <w:rFonts w:asciiTheme="minorEastAsia" w:hAnsiTheme="minorEastAsia" w:eastAsiaTheme="minorEastAsia"/>
          <w:color w:val="auto"/>
          <w:highlight w:val="none"/>
          <w:u w:val="single"/>
        </w:rPr>
        <w:t xml:space="preserve">  2  </w:t>
      </w:r>
      <w:r>
        <w:rPr>
          <w:rFonts w:asciiTheme="minorEastAsia" w:hAnsiTheme="minorEastAsia" w:eastAsiaTheme="minorEastAsia"/>
          <w:color w:val="auto"/>
          <w:highlight w:val="none"/>
        </w:rPr>
        <w:t xml:space="preserve"> 年；</w:t>
      </w:r>
    </w:p>
    <w:p>
      <w:pPr>
        <w:spacing w:line="360" w:lineRule="auto"/>
        <w:ind w:firstLine="40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6．防腐工程的质量保证期为从工程验收合格之日算起 </w:t>
      </w:r>
      <w:r>
        <w:rPr>
          <w:rFonts w:asciiTheme="minorEastAsia" w:hAnsiTheme="minorEastAsia" w:eastAsiaTheme="minorEastAsia"/>
          <w:color w:val="auto"/>
          <w:highlight w:val="none"/>
          <w:u w:val="single"/>
        </w:rPr>
        <w:t xml:space="preserve">  3  </w:t>
      </w:r>
      <w:r>
        <w:rPr>
          <w:rFonts w:asciiTheme="minorEastAsia" w:hAnsiTheme="minorEastAsia" w:eastAsiaTheme="minorEastAsia"/>
          <w:color w:val="auto"/>
          <w:highlight w:val="none"/>
        </w:rPr>
        <w:t xml:space="preserve"> 年；</w:t>
      </w:r>
    </w:p>
    <w:p>
      <w:pPr>
        <w:spacing w:line="360" w:lineRule="auto"/>
        <w:ind w:firstLine="40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7．其他项目保修期限按照国家规定执行。</w:t>
      </w:r>
    </w:p>
    <w:p>
      <w:pPr>
        <w:spacing w:line="360" w:lineRule="auto"/>
        <w:rPr>
          <w:rFonts w:asciiTheme="minorEastAsia" w:hAnsiTheme="minorEastAsia" w:eastAsiaTheme="minorEastAsia"/>
          <w:color w:val="auto"/>
          <w:highlight w:val="none"/>
        </w:rPr>
      </w:pPr>
      <w:r>
        <w:rPr>
          <w:rFonts w:asciiTheme="minorEastAsia" w:hAnsiTheme="minorEastAsia" w:eastAsiaTheme="minorEastAsia"/>
          <w:color w:val="auto"/>
          <w:highlight w:val="none"/>
        </w:rPr>
        <w:t>三、缺陷责任期</w:t>
      </w:r>
    </w:p>
    <w:p>
      <w:pPr>
        <w:spacing w:line="360" w:lineRule="auto"/>
        <w:ind w:firstLine="40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工程缺陷责任期为</w:t>
      </w:r>
      <w:r>
        <w:rPr>
          <w:rFonts w:asciiTheme="minorEastAsia" w:hAnsiTheme="minorEastAsia" w:eastAsiaTheme="minorEastAsia"/>
          <w:color w:val="auto"/>
          <w:highlight w:val="none"/>
          <w:u w:val="single"/>
        </w:rPr>
        <w:t xml:space="preserve">  12个月  </w:t>
      </w:r>
      <w:r>
        <w:rPr>
          <w:rFonts w:asciiTheme="minorEastAsia" w:hAnsiTheme="minorEastAsia" w:eastAsiaTheme="minorEastAsia"/>
          <w:color w:val="auto"/>
          <w:highlight w:val="none"/>
        </w:rPr>
        <w:t>，缺陷责任期自工程通过竣工验收之日起计算。</w:t>
      </w:r>
    </w:p>
    <w:p>
      <w:pPr>
        <w:spacing w:line="360" w:lineRule="auto"/>
        <w:ind w:firstLine="40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缺陷责任期终止后，发包人应退还剩余的质量保证金。</w:t>
      </w:r>
    </w:p>
    <w:p>
      <w:pPr>
        <w:spacing w:line="360" w:lineRule="auto"/>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    四、质量保修责任</w:t>
      </w:r>
    </w:p>
    <w:p>
      <w:pPr>
        <w:spacing w:line="360" w:lineRule="auto"/>
        <w:ind w:left="100" w:leftChars="50" w:firstLine="409" w:firstLineChars="205"/>
        <w:rPr>
          <w:rFonts w:asciiTheme="minorEastAsia" w:hAnsiTheme="minorEastAsia" w:eastAsiaTheme="minorEastAsia"/>
          <w:color w:val="auto"/>
          <w:highlight w:val="none"/>
        </w:rPr>
      </w:pPr>
      <w:r>
        <w:rPr>
          <w:rFonts w:asciiTheme="minorEastAsia" w:hAnsiTheme="minorEastAsia" w:eastAsiaTheme="minorEastAsia"/>
          <w:color w:val="auto"/>
          <w:highlight w:val="none"/>
        </w:rPr>
        <w:t>1．属于保修范围、内容的项目，分包人应当在接到保修通知之日起3天内派人保修。分包人不在约定期限内派人保修的，承包人可以委托他人修理。</w:t>
      </w:r>
    </w:p>
    <w:p>
      <w:pPr>
        <w:spacing w:line="360" w:lineRule="auto"/>
        <w:ind w:left="100" w:leftChars="50" w:firstLine="409" w:firstLineChars="205"/>
        <w:rPr>
          <w:rFonts w:asciiTheme="minorEastAsia" w:hAnsiTheme="minorEastAsia" w:eastAsiaTheme="minorEastAsia"/>
          <w:color w:val="auto"/>
          <w:highlight w:val="none"/>
        </w:rPr>
      </w:pPr>
      <w:r>
        <w:rPr>
          <w:rFonts w:asciiTheme="minorEastAsia" w:hAnsiTheme="minorEastAsia" w:eastAsiaTheme="minorEastAsia"/>
          <w:color w:val="auto"/>
          <w:highlight w:val="none"/>
        </w:rPr>
        <w:t>2．发生紧急事故需抢修的，分包人在接到事故通知后，应当立即到达事故现场抢修。</w:t>
      </w:r>
    </w:p>
    <w:p>
      <w:pPr>
        <w:spacing w:line="360" w:lineRule="auto"/>
        <w:ind w:left="100" w:leftChars="50" w:firstLine="409" w:firstLineChars="205"/>
        <w:rPr>
          <w:rFonts w:asciiTheme="minorEastAsia" w:hAnsiTheme="minorEastAsia" w:eastAsiaTheme="minorEastAsia"/>
          <w:color w:val="auto"/>
          <w:highlight w:val="none"/>
        </w:rPr>
      </w:pPr>
      <w:r>
        <w:rPr>
          <w:rFonts w:asciiTheme="minorEastAsia" w:hAnsiTheme="minorEastAsia" w:eastAsiaTheme="minorEastAsia"/>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分包人实施保修。</w:t>
      </w:r>
    </w:p>
    <w:p>
      <w:pPr>
        <w:spacing w:line="360" w:lineRule="auto"/>
        <w:ind w:left="400" w:leftChars="200" w:firstLine="100" w:firstLineChars="50"/>
        <w:rPr>
          <w:rFonts w:asciiTheme="minorEastAsia" w:hAnsiTheme="minorEastAsia" w:eastAsiaTheme="minorEastAsia"/>
          <w:color w:val="auto"/>
          <w:highlight w:val="none"/>
        </w:rPr>
      </w:pPr>
      <w:r>
        <w:rPr>
          <w:rFonts w:asciiTheme="minorEastAsia" w:hAnsiTheme="minorEastAsia" w:eastAsiaTheme="minorEastAsia"/>
          <w:color w:val="auto"/>
          <w:highlight w:val="none"/>
        </w:rPr>
        <w:t>4．质量保修完成后，由发包人组织验收。</w:t>
      </w:r>
    </w:p>
    <w:p>
      <w:pPr>
        <w:spacing w:line="360" w:lineRule="auto"/>
        <w:rPr>
          <w:rFonts w:asciiTheme="minorEastAsia" w:hAnsiTheme="minorEastAsia" w:eastAsiaTheme="minorEastAsia"/>
          <w:color w:val="auto"/>
          <w:highlight w:val="none"/>
        </w:rPr>
      </w:pPr>
      <w:r>
        <w:rPr>
          <w:rFonts w:asciiTheme="minorEastAsia" w:hAnsiTheme="minorEastAsia" w:eastAsiaTheme="minorEastAsia"/>
          <w:color w:val="auto"/>
          <w:highlight w:val="none"/>
        </w:rPr>
        <w:t>　　五、保修费用</w:t>
      </w:r>
    </w:p>
    <w:p>
      <w:pPr>
        <w:spacing w:line="360" w:lineRule="auto"/>
        <w:rPr>
          <w:rFonts w:asciiTheme="minorEastAsia" w:hAnsiTheme="minorEastAsia" w:eastAsiaTheme="minorEastAsia"/>
          <w:color w:val="auto"/>
          <w:highlight w:val="none"/>
        </w:rPr>
      </w:pPr>
      <w:r>
        <w:rPr>
          <w:rFonts w:asciiTheme="minorEastAsia" w:hAnsiTheme="minorEastAsia" w:eastAsiaTheme="minorEastAsia"/>
          <w:color w:val="auto"/>
          <w:highlight w:val="none"/>
        </w:rPr>
        <w:t>　　保修费用由造成质量缺陷的责任方承担。</w:t>
      </w:r>
    </w:p>
    <w:p>
      <w:pPr>
        <w:spacing w:line="360" w:lineRule="auto"/>
        <w:rPr>
          <w:rFonts w:asciiTheme="minorEastAsia" w:hAnsiTheme="minorEastAsia" w:eastAsiaTheme="minorEastAsia"/>
          <w:color w:val="auto"/>
          <w:highlight w:val="none"/>
        </w:rPr>
      </w:pPr>
      <w:r>
        <w:rPr>
          <w:rFonts w:asciiTheme="minorEastAsia" w:hAnsiTheme="minorEastAsia" w:eastAsiaTheme="minorEastAsia"/>
          <w:b/>
          <w:color w:val="auto"/>
          <w:highlight w:val="none"/>
        </w:rPr>
        <w:t>六</w:t>
      </w:r>
      <w:r>
        <w:rPr>
          <w:rFonts w:asciiTheme="minorEastAsia" w:hAnsiTheme="minorEastAsia" w:eastAsiaTheme="minorEastAsia"/>
          <w:color w:val="auto"/>
          <w:highlight w:val="none"/>
        </w:rPr>
        <w:t>、双方约定的其他工程质量保修事项：</w:t>
      </w:r>
      <w:r>
        <w:rPr>
          <w:rFonts w:asciiTheme="minorEastAsia" w:hAnsiTheme="minorEastAsia" w:eastAsiaTheme="minorEastAsia"/>
          <w:color w:val="auto"/>
          <w:highlight w:val="none"/>
          <w:u w:val="single"/>
        </w:rPr>
        <w:t xml:space="preserve">   /  </w:t>
      </w:r>
      <w:r>
        <w:rPr>
          <w:rFonts w:asciiTheme="minorEastAsia" w:hAnsiTheme="minorEastAsia" w:eastAsiaTheme="minorEastAsia"/>
          <w:color w:val="auto"/>
          <w:highlight w:val="none"/>
        </w:rPr>
        <w:t>。</w:t>
      </w:r>
    </w:p>
    <w:p>
      <w:pPr>
        <w:spacing w:line="360" w:lineRule="auto"/>
        <w:ind w:firstLine="380" w:firstLineChars="190"/>
        <w:rPr>
          <w:rFonts w:asciiTheme="minorEastAsia" w:hAnsiTheme="minorEastAsia" w:eastAsiaTheme="minorEastAsia"/>
          <w:color w:val="auto"/>
          <w:highlight w:val="none"/>
        </w:rPr>
      </w:pPr>
      <w:r>
        <w:rPr>
          <w:rFonts w:asciiTheme="minorEastAsia" w:hAnsiTheme="minorEastAsia" w:eastAsiaTheme="minorEastAsia"/>
          <w:color w:val="auto"/>
          <w:highlight w:val="none"/>
        </w:rPr>
        <w:t>工程质量保修书由分包人、承包人在工程竣工验收前共同签署，作为施工合同附件，其有效期限至保修期满。</w:t>
      </w:r>
    </w:p>
    <w:p>
      <w:pPr>
        <w:spacing w:line="360" w:lineRule="auto"/>
        <w:rPr>
          <w:rFonts w:asciiTheme="minorEastAsia" w:hAnsiTheme="minorEastAsia" w:eastAsiaTheme="minorEastAsia"/>
          <w:color w:val="auto"/>
          <w:highlight w:val="none"/>
        </w:rPr>
      </w:pPr>
    </w:p>
    <w:p>
      <w:pPr>
        <w:spacing w:line="360" w:lineRule="auto"/>
        <w:rPr>
          <w:rFonts w:asciiTheme="minorEastAsia" w:hAnsiTheme="minorEastAsia" w:eastAsiaTheme="minorEastAsia"/>
          <w:color w:val="auto"/>
          <w:highlight w:val="none"/>
        </w:rPr>
      </w:pPr>
      <w:r>
        <w:rPr>
          <w:rFonts w:asciiTheme="minorEastAsia" w:hAnsiTheme="minorEastAsia" w:eastAsiaTheme="minorEastAsia"/>
          <w:color w:val="auto"/>
          <w:highlight w:val="none"/>
        </w:rPr>
        <w:t>承包人(盖章)：</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 xml:space="preserve">                分包人(盖章)：</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 xml:space="preserve">   </w:t>
      </w:r>
    </w:p>
    <w:p>
      <w:pPr>
        <w:spacing w:line="360" w:lineRule="auto"/>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                          </w:t>
      </w:r>
    </w:p>
    <w:p>
      <w:pPr>
        <w:spacing w:line="360" w:lineRule="auto"/>
        <w:rPr>
          <w:rFonts w:asciiTheme="minorEastAsia" w:hAnsiTheme="minorEastAsia" w:eastAsiaTheme="minorEastAsia"/>
          <w:color w:val="auto"/>
          <w:highlight w:val="none"/>
          <w:u w:val="single"/>
        </w:rPr>
      </w:pPr>
    </w:p>
    <w:p>
      <w:pPr>
        <w:spacing w:line="360" w:lineRule="auto"/>
        <w:rPr>
          <w:rFonts w:asciiTheme="minorEastAsia" w:hAnsiTheme="minorEastAsia" w:eastAsiaTheme="minorEastAsia"/>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heme="minorEastAsia" w:hAnsiTheme="minorEastAsia" w:eastAsiaTheme="minorEastAsia"/>
          <w:color w:val="auto"/>
          <w:highlight w:val="none"/>
        </w:rPr>
        <w:t>法定代表人或其委托代理人：              法定代表人或其委托代理人：</w:t>
      </w:r>
    </w:p>
    <w:p>
      <w:pPr>
        <w:pStyle w:val="8"/>
        <w:bidi w:val="0"/>
      </w:pPr>
      <w:r>
        <w:t>附件</w:t>
      </w:r>
      <w:r>
        <w:rPr>
          <w:rFonts w:hint="eastAsia"/>
        </w:rPr>
        <w:t>2</w:t>
      </w:r>
    </w:p>
    <w:p>
      <w:pPr>
        <w:widowControl w:val="0"/>
        <w:autoSpaceDE w:val="0"/>
        <w:autoSpaceDN w:val="0"/>
        <w:spacing w:before="49"/>
        <w:ind w:left="2455" w:right="2465"/>
        <w:jc w:val="center"/>
        <w:rPr>
          <w:rFonts w:ascii="宋体" w:hAnsi="宋体" w:cs="宋体"/>
          <w:color w:val="auto"/>
          <w:sz w:val="28"/>
          <w:szCs w:val="28"/>
          <w:highlight w:val="none"/>
        </w:rPr>
      </w:pPr>
      <w:r>
        <w:rPr>
          <w:rFonts w:ascii="宋体" w:hAnsi="宋体" w:cs="宋体"/>
          <w:color w:val="auto"/>
          <w:spacing w:val="-1"/>
          <w:sz w:val="28"/>
          <w:szCs w:val="28"/>
          <w:highlight w:val="none"/>
        </w:rPr>
        <w:t>供需双方廉洁互保协议</w:t>
      </w:r>
    </w:p>
    <w:p>
      <w:pPr>
        <w:widowControl w:val="0"/>
        <w:autoSpaceDE w:val="0"/>
        <w:autoSpaceDN w:val="0"/>
        <w:spacing w:before="120" w:line="276" w:lineRule="auto"/>
        <w:rPr>
          <w:rFonts w:cs="宋体" w:asciiTheme="minorEastAsia" w:hAnsiTheme="minorEastAsia" w:eastAsiaTheme="minorEastAsia"/>
          <w:color w:val="auto"/>
          <w:spacing w:val="-2"/>
          <w:highlight w:val="none"/>
        </w:rPr>
      </w:pPr>
      <w:r>
        <w:rPr>
          <w:rFonts w:cs="宋体" w:asciiTheme="minorEastAsia" w:hAnsiTheme="minorEastAsia" w:eastAsiaTheme="minorEastAsia"/>
          <w:color w:val="auto"/>
          <w:spacing w:val="-2"/>
          <w:highlight w:val="none"/>
        </w:rPr>
        <w:t xml:space="preserve">甲方（承包人）： </w:t>
      </w:r>
    </w:p>
    <w:p>
      <w:pPr>
        <w:widowControl w:val="0"/>
        <w:autoSpaceDE w:val="0"/>
        <w:autoSpaceDN w:val="0"/>
        <w:spacing w:before="248" w:line="276" w:lineRule="auto"/>
        <w:ind w:right="3389"/>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4"/>
          <w:highlight w:val="none"/>
        </w:rPr>
        <w:t>乙方（分包人）：</w:t>
      </w:r>
    </w:p>
    <w:p>
      <w:pPr>
        <w:widowControl w:val="0"/>
        <w:autoSpaceDE w:val="0"/>
        <w:autoSpaceDN w:val="0"/>
        <w:spacing w:before="1" w:line="386" w:lineRule="auto"/>
        <w:ind w:left="134" w:right="329" w:firstLine="565"/>
        <w:jc w:val="both"/>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7"/>
          <w:highlight w:val="none"/>
        </w:rPr>
        <w:t>为规范双方业务往来活动，建立诚实守信的商务合作关系，共</w:t>
      </w:r>
      <w:r>
        <w:rPr>
          <w:rFonts w:cs="宋体" w:asciiTheme="minorEastAsia" w:hAnsiTheme="minorEastAsia" w:eastAsiaTheme="minorEastAsia"/>
          <w:color w:val="auto"/>
          <w:spacing w:val="16"/>
          <w:highlight w:val="none"/>
        </w:rPr>
        <w:t>同维护双方合法权益，防止违法违纪现象发生，经友好协商，双方</w:t>
      </w:r>
      <w:r>
        <w:rPr>
          <w:rFonts w:cs="宋体" w:asciiTheme="minorEastAsia" w:hAnsiTheme="minorEastAsia" w:eastAsiaTheme="minorEastAsia"/>
          <w:color w:val="auto"/>
          <w:spacing w:val="-2"/>
          <w:highlight w:val="none"/>
        </w:rPr>
        <w:t>就业务往来中的廉洁事宜达成此互保协议。</w:t>
      </w:r>
    </w:p>
    <w:p>
      <w:pPr>
        <w:widowControl w:val="0"/>
        <w:autoSpaceDE w:val="0"/>
        <w:autoSpaceDN w:val="0"/>
        <w:spacing w:before="1"/>
        <w:ind w:left="689"/>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2"/>
          <w:highlight w:val="none"/>
        </w:rPr>
        <w:t>第一条</w:t>
      </w:r>
      <w:r>
        <w:rPr>
          <w:rFonts w:cs="宋体" w:asciiTheme="minorEastAsia" w:hAnsiTheme="minorEastAsia" w:eastAsiaTheme="minorEastAsia"/>
          <w:color w:val="auto"/>
          <w:spacing w:val="-3"/>
          <w:highlight w:val="none"/>
        </w:rPr>
        <w:t>甲乙双方共同的权利和义务</w:t>
      </w:r>
    </w:p>
    <w:p>
      <w:pPr>
        <w:widowControl w:val="0"/>
        <w:numPr>
          <w:ilvl w:val="0"/>
          <w:numId w:val="15"/>
        </w:numPr>
        <w:tabs>
          <w:tab w:val="left" w:pos="1429"/>
          <w:tab w:val="left" w:pos="1430"/>
        </w:tabs>
        <w:autoSpaceDE w:val="0"/>
        <w:autoSpaceDN w:val="0"/>
        <w:spacing w:line="360" w:lineRule="auto"/>
        <w:ind w:left="0" w:firstLine="588"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2"/>
          <w:highlight w:val="none"/>
        </w:rPr>
        <w:t>严格遵守国家有关法律法规，坚持诚实守信原则，恪守商业道德，规范商务人员廉洁从业行为。</w:t>
      </w:r>
    </w:p>
    <w:p>
      <w:pPr>
        <w:widowControl w:val="0"/>
        <w:numPr>
          <w:ilvl w:val="0"/>
          <w:numId w:val="15"/>
        </w:numPr>
        <w:tabs>
          <w:tab w:val="left" w:pos="905"/>
        </w:tabs>
        <w:autoSpaceDE w:val="0"/>
        <w:autoSpaceDN w:val="0"/>
        <w:spacing w:line="360" w:lineRule="auto"/>
        <w:ind w:left="0" w:firstLine="714"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9"/>
          <w:highlight w:val="none"/>
        </w:rPr>
        <w:t>双方业务活动坚持公开、公正、诚信、透明的原则（</w:t>
      </w:r>
      <w:r>
        <w:rPr>
          <w:rFonts w:cs="宋体" w:asciiTheme="minorEastAsia" w:hAnsiTheme="minorEastAsia" w:eastAsiaTheme="minorEastAsia"/>
          <w:color w:val="auto"/>
          <w:spacing w:val="9"/>
          <w:highlight w:val="none"/>
        </w:rPr>
        <w:t>商业秘</w:t>
      </w:r>
      <w:r>
        <w:rPr>
          <w:rFonts w:cs="宋体" w:asciiTheme="minorEastAsia" w:hAnsiTheme="minorEastAsia" w:eastAsiaTheme="minorEastAsia"/>
          <w:color w:val="auto"/>
          <w:highlight w:val="none"/>
        </w:rPr>
        <w:t>密和合同文件另有规定的除外），</w:t>
      </w:r>
      <w:r>
        <w:rPr>
          <w:rFonts w:cs="宋体" w:asciiTheme="minorEastAsia" w:hAnsiTheme="minorEastAsia" w:eastAsiaTheme="minorEastAsia"/>
          <w:color w:val="auto"/>
          <w:spacing w:val="-1"/>
          <w:highlight w:val="none"/>
        </w:rPr>
        <w:t>不得损害国家和对方利益。</w:t>
      </w:r>
    </w:p>
    <w:p>
      <w:pPr>
        <w:widowControl w:val="0"/>
        <w:numPr>
          <w:ilvl w:val="0"/>
          <w:numId w:val="15"/>
        </w:numPr>
        <w:tabs>
          <w:tab w:val="left" w:pos="905"/>
        </w:tabs>
        <w:autoSpaceDE w:val="0"/>
        <w:autoSpaceDN w:val="0"/>
        <w:spacing w:line="360" w:lineRule="auto"/>
        <w:ind w:left="0" w:firstLine="696" w:firstLineChars="300"/>
        <w:jc w:val="both"/>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6"/>
          <w:highlight w:val="none"/>
        </w:rPr>
        <w:t>发现对方工作人员在业务活动中有违反廉洁规定的行为，有及时要求对方纠正并向对方举报的权利和义务；涉嫌违法的，可以</w:t>
      </w:r>
      <w:r>
        <w:rPr>
          <w:rFonts w:cs="宋体" w:asciiTheme="minorEastAsia" w:hAnsiTheme="minorEastAsia" w:eastAsiaTheme="minorEastAsia"/>
          <w:color w:val="auto"/>
          <w:spacing w:val="-2"/>
          <w:highlight w:val="none"/>
        </w:rPr>
        <w:t>依法向有关部门举报。</w:t>
      </w:r>
    </w:p>
    <w:p>
      <w:pPr>
        <w:widowControl w:val="0"/>
        <w:numPr>
          <w:ilvl w:val="0"/>
          <w:numId w:val="15"/>
        </w:numPr>
        <w:tabs>
          <w:tab w:val="left" w:pos="905"/>
        </w:tabs>
        <w:autoSpaceDE w:val="0"/>
        <w:autoSpaceDN w:val="0"/>
        <w:spacing w:line="360" w:lineRule="auto"/>
        <w:ind w:left="0" w:firstLine="702"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7"/>
          <w:highlight w:val="none"/>
        </w:rPr>
        <w:t>对涉嫌不廉洁的商业行为进行调查时，双方有相互配合、提</w:t>
      </w:r>
      <w:r>
        <w:rPr>
          <w:rFonts w:cs="宋体" w:asciiTheme="minorEastAsia" w:hAnsiTheme="minorEastAsia" w:eastAsiaTheme="minorEastAsia"/>
          <w:color w:val="auto"/>
          <w:spacing w:val="-1"/>
          <w:highlight w:val="none"/>
        </w:rPr>
        <w:t>供证据、作证的义务。</w:t>
      </w:r>
    </w:p>
    <w:p>
      <w:pPr>
        <w:widowControl w:val="0"/>
        <w:numPr>
          <w:ilvl w:val="0"/>
          <w:numId w:val="15"/>
        </w:numPr>
        <w:tabs>
          <w:tab w:val="left" w:pos="905"/>
        </w:tabs>
        <w:autoSpaceDE w:val="0"/>
        <w:autoSpaceDN w:val="0"/>
        <w:spacing w:line="360" w:lineRule="auto"/>
        <w:ind w:left="0" w:firstLine="702"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7"/>
          <w:highlight w:val="none"/>
        </w:rPr>
        <w:t>未经对方同意，不向任何新闻媒体、第三人述及有关对方工</w:t>
      </w:r>
      <w:r>
        <w:rPr>
          <w:rFonts w:cs="宋体" w:asciiTheme="minorEastAsia" w:hAnsiTheme="minorEastAsia" w:eastAsiaTheme="minorEastAsia"/>
          <w:color w:val="auto"/>
          <w:spacing w:val="-2"/>
          <w:highlight w:val="none"/>
        </w:rPr>
        <w:t>作人员恪守商业道德方面的评价、信息。</w:t>
      </w:r>
    </w:p>
    <w:p>
      <w:pPr>
        <w:widowControl w:val="0"/>
        <w:numPr>
          <w:ilvl w:val="0"/>
          <w:numId w:val="15"/>
        </w:numPr>
        <w:tabs>
          <w:tab w:val="left" w:pos="905"/>
        </w:tabs>
        <w:autoSpaceDE w:val="0"/>
        <w:autoSpaceDN w:val="0"/>
        <w:spacing w:line="360" w:lineRule="auto"/>
        <w:ind w:left="0" w:firstLine="702"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7"/>
          <w:highlight w:val="none"/>
        </w:rPr>
        <w:t>双方应依法保护举报人员，不得以任何方式对举报人员进行</w:t>
      </w:r>
      <w:r>
        <w:rPr>
          <w:rFonts w:cs="宋体" w:asciiTheme="minorEastAsia" w:hAnsiTheme="minorEastAsia" w:eastAsiaTheme="minorEastAsia"/>
          <w:color w:val="auto"/>
          <w:spacing w:val="-2"/>
          <w:highlight w:val="none"/>
        </w:rPr>
        <w:t>打击报复。</w:t>
      </w:r>
    </w:p>
    <w:p>
      <w:pPr>
        <w:widowControl w:val="0"/>
        <w:autoSpaceDE w:val="0"/>
        <w:autoSpaceDN w:val="0"/>
        <w:spacing w:line="304" w:lineRule="exact"/>
        <w:ind w:left="689"/>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2"/>
          <w:highlight w:val="none"/>
        </w:rPr>
        <w:t>第二条</w:t>
      </w:r>
      <w:r>
        <w:rPr>
          <w:rFonts w:cs="宋体" w:asciiTheme="minorEastAsia" w:hAnsiTheme="minorEastAsia" w:eastAsiaTheme="minorEastAsia"/>
          <w:color w:val="auto"/>
          <w:spacing w:val="-4"/>
          <w:highlight w:val="none"/>
        </w:rPr>
        <w:t>甲方的廉洁责任</w:t>
      </w:r>
    </w:p>
    <w:p>
      <w:pPr>
        <w:widowControl w:val="0"/>
        <w:numPr>
          <w:ilvl w:val="0"/>
          <w:numId w:val="16"/>
        </w:numPr>
        <w:tabs>
          <w:tab w:val="left" w:pos="939"/>
        </w:tabs>
        <w:autoSpaceDE w:val="0"/>
        <w:autoSpaceDN w:val="0"/>
        <w:spacing w:before="221" w:line="393" w:lineRule="auto"/>
        <w:ind w:left="134" w:right="424" w:firstLine="575"/>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4"/>
          <w:highlight w:val="none"/>
        </w:rPr>
        <w:t>甲方工作人员不得以任何形式索要或接受乙方的礼金、礼品</w:t>
      </w:r>
      <w:r>
        <w:rPr>
          <w:rFonts w:cs="宋体" w:asciiTheme="minorEastAsia" w:hAnsiTheme="minorEastAsia" w:eastAsiaTheme="minorEastAsia"/>
          <w:color w:val="auto"/>
          <w:spacing w:val="-2"/>
          <w:highlight w:val="none"/>
        </w:rPr>
        <w:t>和有价证券，不得在乙方报销任何应由个人支付的各种费用。</w:t>
      </w:r>
    </w:p>
    <w:p>
      <w:pPr>
        <w:widowControl w:val="0"/>
        <w:numPr>
          <w:ilvl w:val="0"/>
          <w:numId w:val="16"/>
        </w:numPr>
        <w:tabs>
          <w:tab w:val="left" w:pos="945"/>
        </w:tabs>
        <w:autoSpaceDE w:val="0"/>
        <w:autoSpaceDN w:val="0"/>
        <w:spacing w:before="72" w:line="393" w:lineRule="auto"/>
        <w:ind w:left="145" w:right="344" w:firstLine="540"/>
        <w:jc w:val="both"/>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5"/>
          <w:highlight w:val="none"/>
        </w:rPr>
        <w:t>甲方工作人员不得私自参加乙方安排的宴请，不得私自接受乙方提供的通讯、交通工具和办公用品，不得向乙方泄露谈判中的</w:t>
      </w:r>
      <w:r>
        <w:rPr>
          <w:rFonts w:cs="宋体" w:asciiTheme="minorEastAsia" w:hAnsiTheme="minorEastAsia" w:eastAsiaTheme="minorEastAsia"/>
          <w:color w:val="auto"/>
          <w:spacing w:val="-2"/>
          <w:highlight w:val="none"/>
        </w:rPr>
        <w:t>商业秘密。</w:t>
      </w:r>
    </w:p>
    <w:p>
      <w:pPr>
        <w:widowControl w:val="0"/>
        <w:numPr>
          <w:ilvl w:val="0"/>
          <w:numId w:val="16"/>
        </w:numPr>
        <w:tabs>
          <w:tab w:val="left" w:pos="945"/>
        </w:tabs>
        <w:autoSpaceDE w:val="0"/>
        <w:autoSpaceDN w:val="0"/>
        <w:spacing w:line="360" w:lineRule="auto"/>
        <w:ind w:left="0" w:firstLine="594"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
          <w:highlight w:val="none"/>
        </w:rPr>
        <w:t>甲方工作人员不得要求或者接受乙方以住房装修、婚丧嫁娶、家属及其他亲属的工作安排、出国出境、旅游等为理由所提供的方</w:t>
      </w:r>
      <w:r>
        <w:rPr>
          <w:rFonts w:cs="宋体" w:asciiTheme="minorEastAsia" w:hAnsiTheme="minorEastAsia" w:eastAsiaTheme="minorEastAsia"/>
          <w:color w:val="auto"/>
          <w:spacing w:val="-5"/>
          <w:highlight w:val="none"/>
        </w:rPr>
        <w:t>便。</w:t>
      </w:r>
    </w:p>
    <w:p>
      <w:pPr>
        <w:widowControl w:val="0"/>
        <w:numPr>
          <w:ilvl w:val="0"/>
          <w:numId w:val="16"/>
        </w:numPr>
        <w:tabs>
          <w:tab w:val="left" w:pos="945"/>
        </w:tabs>
        <w:autoSpaceDE w:val="0"/>
        <w:autoSpaceDN w:val="0"/>
        <w:spacing w:line="360" w:lineRule="auto"/>
        <w:ind w:left="0" w:firstLine="594"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
          <w:highlight w:val="none"/>
        </w:rPr>
        <w:t>甲方工作人员不得以任何理由向乙方推荐物资供应单位、工程承包或劳务分包单位，合同另有约定除外。</w:t>
      </w:r>
    </w:p>
    <w:p>
      <w:pPr>
        <w:widowControl w:val="0"/>
        <w:autoSpaceDE w:val="0"/>
        <w:autoSpaceDN w:val="0"/>
        <w:spacing w:before="197"/>
        <w:ind w:left="69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2"/>
          <w:highlight w:val="none"/>
        </w:rPr>
        <w:t>第三条</w:t>
      </w:r>
      <w:r>
        <w:rPr>
          <w:rFonts w:cs="宋体" w:asciiTheme="minorEastAsia" w:hAnsiTheme="minorEastAsia" w:eastAsiaTheme="minorEastAsia"/>
          <w:color w:val="auto"/>
          <w:spacing w:val="-4"/>
          <w:highlight w:val="none"/>
        </w:rPr>
        <w:t>乙方的廉洁责任</w:t>
      </w:r>
    </w:p>
    <w:p>
      <w:pPr>
        <w:widowControl w:val="0"/>
        <w:numPr>
          <w:ilvl w:val="0"/>
          <w:numId w:val="17"/>
        </w:numPr>
        <w:tabs>
          <w:tab w:val="left" w:pos="940"/>
        </w:tabs>
        <w:autoSpaceDE w:val="0"/>
        <w:autoSpaceDN w:val="0"/>
        <w:spacing w:line="360" w:lineRule="auto"/>
        <w:ind w:left="0" w:right="200" w:rightChars="100" w:firstLine="588"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2"/>
          <w:highlight w:val="none"/>
        </w:rPr>
        <w:t>乙方及其工作人员不得为甲方工作人员提供回扣、礼金、有价证券、贵重物品和报销个人费用。</w:t>
      </w:r>
    </w:p>
    <w:p>
      <w:pPr>
        <w:widowControl w:val="0"/>
        <w:numPr>
          <w:ilvl w:val="0"/>
          <w:numId w:val="17"/>
        </w:numPr>
        <w:tabs>
          <w:tab w:val="left" w:pos="935"/>
        </w:tabs>
        <w:autoSpaceDE w:val="0"/>
        <w:autoSpaceDN w:val="0"/>
        <w:spacing w:line="360" w:lineRule="auto"/>
        <w:ind w:left="0" w:right="200" w:rightChars="100" w:firstLine="594"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
          <w:highlight w:val="none"/>
        </w:rPr>
        <w:t>乙方及其工作人员不得为甲方工作人员安排有可能影响公平、公正交易的宴请、健身、娱乐等活动。</w:t>
      </w:r>
    </w:p>
    <w:p>
      <w:pPr>
        <w:widowControl w:val="0"/>
        <w:numPr>
          <w:ilvl w:val="0"/>
          <w:numId w:val="17"/>
        </w:numPr>
        <w:tabs>
          <w:tab w:val="left" w:pos="940"/>
        </w:tabs>
        <w:autoSpaceDE w:val="0"/>
        <w:autoSpaceDN w:val="0"/>
        <w:spacing w:line="360" w:lineRule="auto"/>
        <w:ind w:left="0" w:right="200" w:rightChars="100" w:firstLine="588"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2"/>
          <w:highlight w:val="none"/>
        </w:rPr>
        <w:t>乙方及其工作人员不得为甲方工作人员投资入股、个人借款或买卖股票、债券等提供方便。</w:t>
      </w:r>
    </w:p>
    <w:p>
      <w:pPr>
        <w:widowControl w:val="0"/>
        <w:numPr>
          <w:ilvl w:val="0"/>
          <w:numId w:val="17"/>
        </w:numPr>
        <w:tabs>
          <w:tab w:val="left" w:pos="940"/>
        </w:tabs>
        <w:autoSpaceDE w:val="0"/>
        <w:autoSpaceDN w:val="0"/>
        <w:spacing w:line="360" w:lineRule="auto"/>
        <w:ind w:left="0" w:right="200" w:rightChars="100" w:firstLine="594"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
          <w:highlight w:val="none"/>
        </w:rPr>
        <w:t>乙方及其工作人员不得为甲方工作人员购买或装修住房、婚丧嫁娶、配偶子女上学或工作安排以及出国出境、旅游等提供方便。</w:t>
      </w:r>
    </w:p>
    <w:p>
      <w:pPr>
        <w:widowControl w:val="0"/>
        <w:numPr>
          <w:ilvl w:val="0"/>
          <w:numId w:val="17"/>
        </w:numPr>
        <w:tabs>
          <w:tab w:val="left" w:pos="940"/>
        </w:tabs>
        <w:autoSpaceDE w:val="0"/>
        <w:autoSpaceDN w:val="0"/>
        <w:spacing w:line="360" w:lineRule="auto"/>
        <w:ind w:left="0" w:right="200" w:rightChars="100" w:firstLine="588"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2"/>
          <w:highlight w:val="none"/>
        </w:rPr>
        <w:t>乙方及其工作人员不得为甲方工作人员在其相关企业挂名兼职、合伙经营、介绍承揽业务等提供方便。</w:t>
      </w:r>
    </w:p>
    <w:p>
      <w:pPr>
        <w:widowControl w:val="0"/>
        <w:numPr>
          <w:ilvl w:val="0"/>
          <w:numId w:val="17"/>
        </w:numPr>
        <w:tabs>
          <w:tab w:val="left" w:pos="935"/>
        </w:tabs>
        <w:autoSpaceDE w:val="0"/>
        <w:autoSpaceDN w:val="0"/>
        <w:spacing w:line="360" w:lineRule="auto"/>
        <w:ind w:left="0" w:right="200" w:rightChars="100" w:firstLine="594"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
          <w:highlight w:val="none"/>
        </w:rPr>
        <w:t>乙方及其工作人员不得利用非法手段向甲方工作人员打探有关涉及甲方的商业秘密、业务渠道等。</w:t>
      </w:r>
    </w:p>
    <w:p>
      <w:pPr>
        <w:widowControl w:val="0"/>
        <w:numPr>
          <w:ilvl w:val="0"/>
          <w:numId w:val="17"/>
        </w:numPr>
        <w:tabs>
          <w:tab w:val="left" w:pos="935"/>
        </w:tabs>
        <w:autoSpaceDE w:val="0"/>
        <w:autoSpaceDN w:val="0"/>
        <w:spacing w:line="360" w:lineRule="auto"/>
        <w:ind w:left="0" w:right="200" w:rightChars="100" w:firstLine="588"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2"/>
          <w:highlight w:val="none"/>
        </w:rPr>
        <w:t>乙方及其工作人员与甲方发生业务往来过程中，不得有弄虚作假、以次充好、虚结虚算等违反诚信原则的行为。</w:t>
      </w:r>
    </w:p>
    <w:p>
      <w:pPr>
        <w:widowControl w:val="0"/>
        <w:numPr>
          <w:ilvl w:val="0"/>
          <w:numId w:val="17"/>
        </w:numPr>
        <w:tabs>
          <w:tab w:val="left" w:pos="905"/>
        </w:tabs>
        <w:autoSpaceDE w:val="0"/>
        <w:autoSpaceDN w:val="0"/>
        <w:spacing w:line="360" w:lineRule="auto"/>
        <w:ind w:left="0" w:firstLine="600"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其它违反廉洁规定的行为</w:t>
      </w:r>
      <w:r>
        <w:rPr>
          <w:rFonts w:cs="宋体" w:asciiTheme="minorEastAsia" w:hAnsiTheme="minorEastAsia" w:eastAsiaTheme="minorEastAsia"/>
          <w:color w:val="auto"/>
          <w:spacing w:val="-10"/>
          <w:position w:val="-6"/>
          <w:highlight w:val="none"/>
        </w:rPr>
        <w:t>。</w:t>
      </w:r>
    </w:p>
    <w:p>
      <w:pPr>
        <w:widowControl w:val="0"/>
        <w:autoSpaceDE w:val="0"/>
        <w:autoSpaceDN w:val="0"/>
        <w:spacing w:line="360" w:lineRule="auto"/>
        <w:ind w:firstLine="600"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第四条</w:t>
      </w:r>
      <w:r>
        <w:rPr>
          <w:rFonts w:cs="宋体" w:asciiTheme="minorEastAsia" w:hAnsiTheme="minorEastAsia" w:eastAsiaTheme="minorEastAsia"/>
          <w:color w:val="auto"/>
          <w:spacing w:val="-10"/>
          <w:highlight w:val="none"/>
        </w:rPr>
        <w:t xml:space="preserve"> </w:t>
      </w:r>
      <w:r>
        <w:rPr>
          <w:rFonts w:cs="宋体" w:asciiTheme="minorEastAsia" w:hAnsiTheme="minorEastAsia" w:eastAsiaTheme="minorEastAsia"/>
          <w:color w:val="auto"/>
          <w:spacing w:val="-1"/>
          <w:highlight w:val="none"/>
        </w:rPr>
        <w:t>甲方工作人员有违反本协议行为的，甲方应按照管理</w:t>
      </w:r>
      <w:r>
        <w:rPr>
          <w:rFonts w:cs="宋体" w:asciiTheme="minorEastAsia" w:hAnsiTheme="minorEastAsia" w:eastAsiaTheme="minorEastAsia"/>
          <w:color w:val="auto"/>
          <w:spacing w:val="-2"/>
          <w:highlight w:val="none"/>
        </w:rPr>
        <w:t>权限，依据有关规定给予纪律处分、组织处理或经济处罚；涉嫌犯罪的，移交司法机关追究法律责任。</w:t>
      </w:r>
    </w:p>
    <w:p>
      <w:pPr>
        <w:widowControl w:val="0"/>
        <w:autoSpaceDE w:val="0"/>
        <w:autoSpaceDN w:val="0"/>
        <w:spacing w:line="360" w:lineRule="auto"/>
        <w:ind w:firstLine="600"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第五条</w:t>
      </w:r>
      <w:r>
        <w:rPr>
          <w:rFonts w:cs="宋体" w:asciiTheme="minorEastAsia" w:hAnsiTheme="minorEastAsia" w:eastAsiaTheme="minorEastAsia"/>
          <w:color w:val="auto"/>
          <w:spacing w:val="-10"/>
          <w:highlight w:val="none"/>
        </w:rPr>
        <w:t xml:space="preserve"> </w:t>
      </w:r>
      <w:r>
        <w:rPr>
          <w:rFonts w:cs="宋体" w:asciiTheme="minorEastAsia" w:hAnsiTheme="minorEastAsia" w:eastAsiaTheme="minorEastAsia"/>
          <w:color w:val="auto"/>
          <w:spacing w:val="-1"/>
          <w:highlight w:val="none"/>
        </w:rPr>
        <w:t>乙方及其工作人员有违反本协议行为的，甲方有权根据情节和所造成的影响采取以下相应措施：</w:t>
      </w:r>
    </w:p>
    <w:p>
      <w:pPr>
        <w:widowControl w:val="0"/>
        <w:numPr>
          <w:ilvl w:val="0"/>
          <w:numId w:val="18"/>
        </w:numPr>
        <w:tabs>
          <w:tab w:val="left" w:pos="910"/>
        </w:tabs>
        <w:autoSpaceDE w:val="0"/>
        <w:autoSpaceDN w:val="0"/>
        <w:spacing w:line="360" w:lineRule="auto"/>
        <w:ind w:left="0" w:firstLine="696"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6"/>
          <w:highlight w:val="none"/>
        </w:rPr>
        <w:t>情节轻微的，要求乙方对相关工作人员进行处分处理，并限</w:t>
      </w:r>
      <w:r>
        <w:rPr>
          <w:rFonts w:cs="宋体" w:asciiTheme="minorEastAsia" w:hAnsiTheme="minorEastAsia" w:eastAsiaTheme="minorEastAsia"/>
          <w:color w:val="auto"/>
          <w:spacing w:val="-4"/>
          <w:highlight w:val="none"/>
        </w:rPr>
        <w:t>期整改。</w:t>
      </w:r>
    </w:p>
    <w:p>
      <w:pPr>
        <w:widowControl w:val="0"/>
        <w:numPr>
          <w:ilvl w:val="0"/>
          <w:numId w:val="18"/>
        </w:numPr>
        <w:tabs>
          <w:tab w:val="left" w:pos="915"/>
        </w:tabs>
        <w:autoSpaceDE w:val="0"/>
        <w:autoSpaceDN w:val="0"/>
        <w:spacing w:line="360" w:lineRule="auto"/>
        <w:ind w:left="0" w:firstLine="696"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6"/>
          <w:highlight w:val="none"/>
        </w:rPr>
        <w:t>导致甲方工作人员受到纪律处分、组织处理或构成违法犯罪</w:t>
      </w:r>
    </w:p>
    <w:p>
      <w:pPr>
        <w:widowControl w:val="0"/>
        <w:autoSpaceDE w:val="0"/>
        <w:autoSpaceDN w:val="0"/>
        <w:spacing w:line="360" w:lineRule="auto"/>
        <w:ind w:firstLine="714"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9"/>
          <w:highlight w:val="none"/>
        </w:rPr>
        <w:t>的，扣罚乙方合同金额50%</w:t>
      </w:r>
      <w:r>
        <w:rPr>
          <w:rFonts w:cs="宋体" w:asciiTheme="minorEastAsia" w:hAnsiTheme="minorEastAsia" w:eastAsiaTheme="minorEastAsia"/>
          <w:color w:val="auto"/>
          <w:spacing w:val="16"/>
          <w:highlight w:val="none"/>
        </w:rPr>
        <w:t>的违约金，列入永久禁入中煤市场黑名</w:t>
      </w:r>
      <w:r>
        <w:rPr>
          <w:rFonts w:cs="宋体" w:asciiTheme="minorEastAsia" w:hAnsiTheme="minorEastAsia" w:eastAsiaTheme="minorEastAsia"/>
          <w:color w:val="auto"/>
          <w:spacing w:val="-5"/>
          <w:highlight w:val="none"/>
        </w:rPr>
        <w:t>单。</w:t>
      </w:r>
    </w:p>
    <w:p>
      <w:pPr>
        <w:widowControl w:val="0"/>
        <w:numPr>
          <w:ilvl w:val="0"/>
          <w:numId w:val="18"/>
        </w:numPr>
        <w:tabs>
          <w:tab w:val="left" w:pos="910"/>
        </w:tabs>
        <w:autoSpaceDE w:val="0"/>
        <w:autoSpaceDN w:val="0"/>
        <w:spacing w:line="360" w:lineRule="auto"/>
        <w:ind w:left="0" w:firstLine="594"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
          <w:highlight w:val="none"/>
        </w:rPr>
        <w:t>给甲方造成重大社会影响或重大经济损失的，甲方有权解除、</w:t>
      </w:r>
      <w:r>
        <w:rPr>
          <w:rFonts w:cs="宋体" w:asciiTheme="minorEastAsia" w:hAnsiTheme="minorEastAsia" w:eastAsiaTheme="minorEastAsia"/>
          <w:color w:val="auto"/>
          <w:spacing w:val="-2"/>
          <w:highlight w:val="none"/>
        </w:rPr>
        <w:t>终止双方尚未履行完毕的业务合同，暂停支付合同未结算款项，甲方遭受的损失由乙方负责赔偿，乙方因甲方解除合同产生的损失由乙方自行承担，列入永久禁入中煤市场黑名单。</w:t>
      </w:r>
    </w:p>
    <w:p>
      <w:pPr>
        <w:widowControl w:val="0"/>
        <w:autoSpaceDE w:val="0"/>
        <w:autoSpaceDN w:val="0"/>
        <w:spacing w:line="360" w:lineRule="auto"/>
        <w:ind w:firstLine="786" w:firstLineChars="300"/>
        <w:jc w:val="both"/>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31"/>
          <w:highlight w:val="none"/>
        </w:rPr>
        <w:t>第六</w:t>
      </w:r>
      <w:r>
        <w:rPr>
          <w:rFonts w:cs="宋体" w:asciiTheme="minorEastAsia" w:hAnsiTheme="minorEastAsia" w:eastAsiaTheme="minorEastAsia"/>
          <w:color w:val="auto"/>
          <w:spacing w:val="-17"/>
          <w:highlight w:val="none"/>
        </w:rPr>
        <w:t xml:space="preserve">条 </w:t>
      </w:r>
      <w:r>
        <w:rPr>
          <w:rFonts w:cs="宋体" w:asciiTheme="minorEastAsia" w:hAnsiTheme="minorEastAsia" w:eastAsiaTheme="minorEastAsia"/>
          <w:color w:val="auto"/>
          <w:spacing w:val="23"/>
          <w:highlight w:val="none"/>
        </w:rPr>
        <w:t>本协议作为双方签订的所有业务合同的组成部分， 与</w:t>
      </w:r>
      <w:r>
        <w:rPr>
          <w:rFonts w:cs="宋体" w:asciiTheme="minorEastAsia" w:hAnsiTheme="minorEastAsia" w:eastAsiaTheme="minorEastAsia"/>
          <w:color w:val="auto"/>
          <w:spacing w:val="-2"/>
          <w:highlight w:val="none"/>
        </w:rPr>
        <w:t>业务合同具有同等法律效力。</w:t>
      </w:r>
    </w:p>
    <w:p>
      <w:pPr>
        <w:widowControl w:val="0"/>
        <w:autoSpaceDE w:val="0"/>
        <w:autoSpaceDN w:val="0"/>
        <w:spacing w:line="360" w:lineRule="auto"/>
        <w:ind w:firstLine="792" w:firstLineChars="300"/>
        <w:jc w:val="both"/>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32"/>
          <w:highlight w:val="none"/>
        </w:rPr>
        <w:t>第七</w:t>
      </w:r>
      <w:r>
        <w:rPr>
          <w:rFonts w:cs="宋体" w:asciiTheme="minorEastAsia" w:hAnsiTheme="minorEastAsia" w:eastAsiaTheme="minorEastAsia"/>
          <w:color w:val="auto"/>
          <w:spacing w:val="-17"/>
          <w:highlight w:val="none"/>
        </w:rPr>
        <w:t xml:space="preserve">条 </w:t>
      </w:r>
      <w:r>
        <w:rPr>
          <w:rFonts w:cs="宋体" w:asciiTheme="minorEastAsia" w:hAnsiTheme="minorEastAsia" w:eastAsiaTheme="minorEastAsia"/>
          <w:color w:val="auto"/>
          <w:spacing w:val="23"/>
          <w:highlight w:val="none"/>
        </w:rPr>
        <w:t>本协议自双方签字盖章之日起生效， 有效期与合同履</w:t>
      </w:r>
      <w:r>
        <w:rPr>
          <w:rFonts w:cs="宋体" w:asciiTheme="minorEastAsia" w:hAnsiTheme="minorEastAsia" w:eastAsiaTheme="minorEastAsia"/>
          <w:color w:val="auto"/>
          <w:spacing w:val="-2"/>
          <w:highlight w:val="none"/>
        </w:rPr>
        <w:t>约期一致。</w:t>
      </w:r>
    </w:p>
    <w:p>
      <w:pPr>
        <w:widowControl w:val="0"/>
        <w:autoSpaceDE w:val="0"/>
        <w:autoSpaceDN w:val="0"/>
        <w:spacing w:before="12"/>
        <w:rPr>
          <w:rFonts w:cs="宋体" w:asciiTheme="minorEastAsia" w:hAnsiTheme="minorEastAsia" w:eastAsiaTheme="minorEastAsia"/>
          <w:color w:val="auto"/>
          <w:highlight w:val="none"/>
        </w:rPr>
      </w:pPr>
    </w:p>
    <w:p>
      <w:pPr>
        <w:widowControl w:val="0"/>
        <w:tabs>
          <w:tab w:val="left" w:pos="4420"/>
        </w:tabs>
        <w:autoSpaceDE w:val="0"/>
        <w:autoSpaceDN w:val="0"/>
        <w:spacing w:line="720" w:lineRule="auto"/>
        <w:ind w:firstLine="400" w:firstLineChars="200"/>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甲方：（盖章</w:t>
      </w:r>
      <w:r>
        <w:rPr>
          <w:rFonts w:cs="宋体" w:asciiTheme="minorEastAsia" w:hAnsiTheme="minorEastAsia" w:eastAsiaTheme="minorEastAsia"/>
          <w:color w:val="auto"/>
          <w:spacing w:val="-10"/>
          <w:highlight w:val="none"/>
        </w:rPr>
        <w:t>）</w:t>
      </w:r>
      <w:r>
        <w:rPr>
          <w:rFonts w:cs="宋体" w:asciiTheme="minorEastAsia" w:hAnsiTheme="minorEastAsia" w:eastAsiaTheme="minorEastAsia"/>
          <w:color w:val="auto"/>
          <w:highlight w:val="none"/>
        </w:rPr>
        <w:tab/>
      </w:r>
      <w:r>
        <w:rPr>
          <w:rFonts w:cs="宋体" w:asciiTheme="minorEastAsia" w:hAnsiTheme="minorEastAsia" w:eastAsiaTheme="minorEastAsia"/>
          <w:color w:val="auto"/>
          <w:highlight w:val="none"/>
        </w:rPr>
        <w:t>乙方：（盖章</w:t>
      </w:r>
      <w:r>
        <w:rPr>
          <w:rFonts w:cs="宋体" w:asciiTheme="minorEastAsia" w:hAnsiTheme="minorEastAsia" w:eastAsiaTheme="minorEastAsia"/>
          <w:color w:val="auto"/>
          <w:spacing w:val="-10"/>
          <w:highlight w:val="none"/>
        </w:rPr>
        <w:t>）</w:t>
      </w:r>
    </w:p>
    <w:p>
      <w:pPr>
        <w:spacing w:line="720" w:lineRule="auto"/>
        <w:ind w:firstLine="40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法定代表人或授奴代表:</w:t>
      </w:r>
      <w:r>
        <w:rPr>
          <w:rFonts w:hint="eastAsia" w:asciiTheme="minorEastAsia" w:hAnsiTheme="minorEastAsia" w:eastAsiaTheme="minorEastAsia"/>
          <w:color w:val="auto"/>
          <w:highlight w:val="none"/>
        </w:rPr>
        <w:t xml:space="preserve"> </w:t>
      </w:r>
      <w:r>
        <w:rPr>
          <w:rFonts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法定代表人或授奴代表:</w:t>
      </w:r>
    </w:p>
    <w:p>
      <w:pPr>
        <w:widowControl w:val="0"/>
        <w:autoSpaceDE w:val="0"/>
        <w:autoSpaceDN w:val="0"/>
        <w:rPr>
          <w:rFonts w:ascii="宋体" w:hAnsi="宋体" w:cs="宋体"/>
          <w:color w:val="auto"/>
          <w:szCs w:val="26"/>
          <w:highlight w:val="none"/>
        </w:rPr>
      </w:pPr>
      <w:r>
        <w:rPr>
          <w:rFonts w:ascii="宋体" w:hAnsi="宋体" w:cs="宋体"/>
          <w:color w:val="auto"/>
          <w:szCs w:val="26"/>
          <w:highlight w:val="none"/>
        </w:rPr>
        <w:t>签字盖章页，本页无正文。</w:t>
      </w:r>
    </w:p>
    <w:p>
      <w:pPr>
        <w:widowControl w:val="0"/>
        <w:autoSpaceDE w:val="0"/>
        <w:autoSpaceDN w:val="0"/>
        <w:rPr>
          <w:rFonts w:ascii="宋体" w:hAnsi="宋体" w:cs="宋体"/>
          <w:color w:val="auto"/>
          <w:szCs w:val="26"/>
          <w:highlight w:val="none"/>
        </w:rPr>
      </w:pPr>
    </w:p>
    <w:p>
      <w:pPr>
        <w:widowControl w:val="0"/>
        <w:autoSpaceDE w:val="0"/>
        <w:autoSpaceDN w:val="0"/>
        <w:rPr>
          <w:rFonts w:ascii="宋体" w:hAnsi="宋体" w:cs="宋体"/>
          <w:color w:val="auto"/>
          <w:szCs w:val="26"/>
          <w:highlight w:val="none"/>
        </w:rPr>
      </w:pPr>
    </w:p>
    <w:p>
      <w:pPr>
        <w:widowControl w:val="0"/>
        <w:tabs>
          <w:tab w:val="left" w:pos="1980"/>
        </w:tabs>
        <w:autoSpaceDE w:val="0"/>
        <w:autoSpaceDN w:val="0"/>
        <w:adjustRightInd w:val="0"/>
        <w:spacing w:line="400" w:lineRule="exact"/>
        <w:rPr>
          <w:rFonts w:ascii="宋体" w:hAnsi="宋体" w:cs="宋体"/>
          <w:color w:val="auto"/>
          <w:sz w:val="24"/>
          <w:szCs w:val="22"/>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8"/>
        <w:bidi w:val="0"/>
      </w:pPr>
      <w:r>
        <w:t>附件</w:t>
      </w:r>
      <w:r>
        <w:rPr>
          <w:rFonts w:hint="eastAsia"/>
        </w:rPr>
        <w:t>3</w:t>
      </w:r>
    </w:p>
    <w:p>
      <w:pPr>
        <w:widowControl w:val="0"/>
        <w:tabs>
          <w:tab w:val="left" w:pos="1980"/>
        </w:tabs>
        <w:autoSpaceDE w:val="0"/>
        <w:autoSpaceDN w:val="0"/>
        <w:adjustRightInd w:val="0"/>
        <w:spacing w:line="400" w:lineRule="exact"/>
        <w:ind w:firstLine="560" w:firstLineChars="200"/>
        <w:jc w:val="center"/>
        <w:rPr>
          <w:rFonts w:ascii="宋体" w:hAnsi="宋体" w:cs="宋体"/>
          <w:color w:val="auto"/>
          <w:sz w:val="28"/>
          <w:szCs w:val="22"/>
          <w:highlight w:val="none"/>
        </w:rPr>
      </w:pPr>
      <w:r>
        <w:rPr>
          <w:rFonts w:hint="eastAsia" w:ascii="宋体" w:hAnsi="宋体" w:cs="宋体"/>
          <w:color w:val="auto"/>
          <w:sz w:val="28"/>
          <w:szCs w:val="22"/>
          <w:highlight w:val="none"/>
        </w:rPr>
        <w:t>安全管理协议</w:t>
      </w:r>
    </w:p>
    <w:p>
      <w:pPr>
        <w:pStyle w:val="21"/>
        <w:kinsoku w:val="0"/>
        <w:overflowPunct w:val="0"/>
        <w:spacing w:line="360" w:lineRule="auto"/>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position w:val="4"/>
          <w:sz w:val="22"/>
          <w:szCs w:val="22"/>
          <w:highlight w:val="none"/>
        </w:rPr>
        <w:t>甲方（承包人</w:t>
      </w:r>
      <w:r>
        <w:rPr>
          <w:rFonts w:hint="eastAsia" w:asciiTheme="minorEastAsia" w:hAnsiTheme="minorEastAsia" w:eastAsiaTheme="minorEastAsia"/>
          <w:b w:val="0"/>
          <w:color w:val="auto"/>
          <w:position w:val="3"/>
          <w:sz w:val="22"/>
          <w:szCs w:val="22"/>
          <w:highlight w:val="none"/>
        </w:rPr>
        <w:t>）：</w:t>
      </w:r>
      <w:r>
        <w:rPr>
          <w:rFonts w:asciiTheme="minorEastAsia" w:hAnsiTheme="minorEastAsia" w:eastAsiaTheme="minorEastAsia"/>
          <w:b w:val="0"/>
          <w:color w:val="auto"/>
          <w:spacing w:val="-86"/>
          <w:position w:val="3"/>
          <w:sz w:val="22"/>
          <w:szCs w:val="22"/>
          <w:highlight w:val="none"/>
        </w:rPr>
        <w:t xml:space="preserve"> </w:t>
      </w:r>
      <w:r>
        <w:rPr>
          <w:rFonts w:hint="eastAsia" w:asciiTheme="minorEastAsia" w:hAnsiTheme="minorEastAsia" w:eastAsiaTheme="minorEastAsia"/>
          <w:b w:val="0"/>
          <w:color w:val="auto"/>
          <w:position w:val="2"/>
          <w:sz w:val="22"/>
          <w:szCs w:val="22"/>
          <w:highlight w:val="none"/>
        </w:rPr>
        <w:t>中煤天津设</w:t>
      </w:r>
      <w:r>
        <w:rPr>
          <w:rFonts w:hint="eastAsia" w:asciiTheme="minorEastAsia" w:hAnsiTheme="minorEastAsia" w:eastAsiaTheme="minorEastAsia"/>
          <w:b w:val="0"/>
          <w:color w:val="auto"/>
          <w:position w:val="1"/>
          <w:sz w:val="22"/>
          <w:szCs w:val="22"/>
          <w:highlight w:val="none"/>
        </w:rPr>
        <w:t>计工程</w:t>
      </w:r>
      <w:r>
        <w:rPr>
          <w:rFonts w:hint="eastAsia" w:asciiTheme="minorEastAsia" w:hAnsiTheme="minorEastAsia" w:eastAsiaTheme="minorEastAsia"/>
          <w:b w:val="0"/>
          <w:color w:val="auto"/>
          <w:sz w:val="22"/>
          <w:szCs w:val="22"/>
          <w:highlight w:val="none"/>
        </w:rPr>
        <w:t>有限责任公司</w:t>
      </w:r>
      <w:r>
        <w:rPr>
          <w:rFonts w:asciiTheme="minorEastAsia" w:hAnsiTheme="minorEastAsia" w:eastAsiaTheme="minorEastAsia"/>
          <w:b w:val="0"/>
          <w:color w:val="auto"/>
          <w:sz w:val="22"/>
          <w:szCs w:val="22"/>
          <w:highlight w:val="none"/>
        </w:rPr>
        <w:t xml:space="preserve"> </w:t>
      </w:r>
    </w:p>
    <w:p>
      <w:pPr>
        <w:pStyle w:val="21"/>
        <w:kinsoku w:val="0"/>
        <w:overflowPunct w:val="0"/>
        <w:spacing w:line="360" w:lineRule="auto"/>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position w:val="4"/>
          <w:sz w:val="22"/>
          <w:szCs w:val="22"/>
          <w:highlight w:val="none"/>
        </w:rPr>
        <w:t>地点：天津市</w:t>
      </w:r>
      <w:r>
        <w:rPr>
          <w:rFonts w:hint="eastAsia" w:asciiTheme="minorEastAsia" w:hAnsiTheme="minorEastAsia" w:eastAsiaTheme="minorEastAsia"/>
          <w:b w:val="0"/>
          <w:color w:val="auto"/>
          <w:position w:val="3"/>
          <w:sz w:val="22"/>
          <w:szCs w:val="22"/>
          <w:highlight w:val="none"/>
        </w:rPr>
        <w:t>红桥区大丰路</w:t>
      </w:r>
      <w:r>
        <w:rPr>
          <w:rFonts w:hint="eastAsia" w:asciiTheme="minorEastAsia" w:hAnsiTheme="minorEastAsia" w:eastAsiaTheme="minorEastAsia"/>
          <w:b w:val="0"/>
          <w:color w:val="auto"/>
          <w:position w:val="2"/>
          <w:sz w:val="22"/>
          <w:szCs w:val="22"/>
          <w:highlight w:val="none"/>
        </w:rPr>
        <w:t>（水</w:t>
      </w:r>
      <w:r>
        <w:rPr>
          <w:rFonts w:hint="eastAsia" w:asciiTheme="minorEastAsia" w:hAnsiTheme="minorEastAsia" w:eastAsiaTheme="minorEastAsia"/>
          <w:b w:val="0"/>
          <w:color w:val="auto"/>
          <w:position w:val="1"/>
          <w:sz w:val="22"/>
          <w:szCs w:val="22"/>
          <w:highlight w:val="none"/>
        </w:rPr>
        <w:t>游城）安</w:t>
      </w:r>
      <w:r>
        <w:rPr>
          <w:rFonts w:hint="eastAsia" w:asciiTheme="minorEastAsia" w:hAnsiTheme="minorEastAsia" w:eastAsiaTheme="minorEastAsia"/>
          <w:b w:val="0"/>
          <w:color w:val="auto"/>
          <w:sz w:val="22"/>
          <w:szCs w:val="22"/>
          <w:highlight w:val="none"/>
        </w:rPr>
        <w:t>顺大厦</w:t>
      </w:r>
      <w:r>
        <w:rPr>
          <w:rFonts w:cs="SimSun-ExtB" w:asciiTheme="minorEastAsia" w:hAnsiTheme="minorEastAsia" w:eastAsiaTheme="minorEastAsia"/>
          <w:b w:val="0"/>
          <w:color w:val="auto"/>
          <w:sz w:val="22"/>
          <w:szCs w:val="22"/>
          <w:highlight w:val="none"/>
        </w:rPr>
        <w:t>3</w:t>
      </w:r>
      <w:r>
        <w:rPr>
          <w:rFonts w:hint="eastAsia" w:asciiTheme="minorEastAsia" w:hAnsiTheme="minorEastAsia" w:eastAsiaTheme="minorEastAsia"/>
          <w:b w:val="0"/>
          <w:color w:val="auto"/>
          <w:sz w:val="22"/>
          <w:szCs w:val="22"/>
          <w:highlight w:val="none"/>
        </w:rPr>
        <w:t>楼</w:t>
      </w:r>
    </w:p>
    <w:p>
      <w:pPr>
        <w:pStyle w:val="21"/>
        <w:kinsoku w:val="0"/>
        <w:overflowPunct w:val="0"/>
        <w:spacing w:line="360" w:lineRule="auto"/>
        <w:rPr>
          <w:rFonts w:asciiTheme="minorEastAsia" w:hAnsiTheme="minorEastAsia" w:eastAsiaTheme="minorEastAsia"/>
          <w:b w:val="0"/>
          <w:color w:val="auto"/>
          <w:spacing w:val="-2"/>
          <w:sz w:val="22"/>
          <w:szCs w:val="22"/>
          <w:highlight w:val="none"/>
        </w:rPr>
      </w:pPr>
      <w:r>
        <w:rPr>
          <w:rFonts w:hint="eastAsia" w:asciiTheme="minorEastAsia" w:hAnsiTheme="minorEastAsia" w:eastAsiaTheme="minorEastAsia"/>
          <w:b w:val="0"/>
          <w:color w:val="auto"/>
          <w:spacing w:val="-2"/>
          <w:position w:val="1"/>
          <w:sz w:val="22"/>
          <w:szCs w:val="22"/>
          <w:highlight w:val="none"/>
        </w:rPr>
        <w:t>法定代表人：</w:t>
      </w:r>
    </w:p>
    <w:p>
      <w:pPr>
        <w:pStyle w:val="21"/>
        <w:kinsoku w:val="0"/>
        <w:overflowPunct w:val="0"/>
        <w:spacing w:line="360" w:lineRule="auto"/>
        <w:rPr>
          <w:rFonts w:asciiTheme="minorEastAsia" w:hAnsiTheme="minorEastAsia" w:eastAsiaTheme="minorEastAsia"/>
          <w:b w:val="0"/>
          <w:color w:val="auto"/>
          <w:position w:val="4"/>
          <w:sz w:val="22"/>
          <w:szCs w:val="22"/>
          <w:highlight w:val="none"/>
        </w:rPr>
      </w:pPr>
    </w:p>
    <w:p>
      <w:pPr>
        <w:pStyle w:val="21"/>
        <w:kinsoku w:val="0"/>
        <w:overflowPunct w:val="0"/>
        <w:spacing w:line="360" w:lineRule="auto"/>
        <w:rPr>
          <w:rFonts w:hint="eastAsia" w:asciiTheme="minorEastAsia" w:hAnsiTheme="minorEastAsia" w:eastAsiaTheme="minorEastAsia"/>
          <w:b w:val="0"/>
          <w:color w:val="auto"/>
          <w:position w:val="4"/>
          <w:sz w:val="22"/>
          <w:szCs w:val="22"/>
          <w:highlight w:val="none"/>
        </w:rPr>
      </w:pPr>
      <w:r>
        <w:rPr>
          <w:rFonts w:hint="eastAsia" w:asciiTheme="minorEastAsia" w:hAnsiTheme="minorEastAsia" w:eastAsiaTheme="minorEastAsia"/>
          <w:b w:val="0"/>
          <w:color w:val="auto"/>
          <w:position w:val="4"/>
          <w:sz w:val="22"/>
          <w:szCs w:val="22"/>
          <w:highlight w:val="none"/>
        </w:rPr>
        <w:t>乙方（分包人）：</w:t>
      </w:r>
    </w:p>
    <w:p>
      <w:pPr>
        <w:pStyle w:val="21"/>
        <w:kinsoku w:val="0"/>
        <w:overflowPunct w:val="0"/>
        <w:spacing w:line="360" w:lineRule="auto"/>
        <w:rPr>
          <w:rFonts w:hint="eastAsia" w:asciiTheme="minorEastAsia" w:hAnsiTheme="minorEastAsia" w:eastAsiaTheme="minorEastAsia"/>
          <w:b w:val="0"/>
          <w:color w:val="auto"/>
          <w:position w:val="4"/>
          <w:sz w:val="22"/>
          <w:szCs w:val="22"/>
          <w:highlight w:val="none"/>
        </w:rPr>
      </w:pPr>
      <w:r>
        <w:rPr>
          <w:rFonts w:hint="eastAsia" w:asciiTheme="minorEastAsia" w:hAnsiTheme="minorEastAsia" w:eastAsiaTheme="minorEastAsia"/>
          <w:b w:val="0"/>
          <w:color w:val="auto"/>
          <w:position w:val="4"/>
          <w:sz w:val="22"/>
          <w:szCs w:val="22"/>
          <w:highlight w:val="none"/>
        </w:rPr>
        <w:t xml:space="preserve">地址： </w:t>
      </w:r>
    </w:p>
    <w:p>
      <w:pPr>
        <w:pStyle w:val="21"/>
        <w:kinsoku w:val="0"/>
        <w:overflowPunct w:val="0"/>
        <w:spacing w:line="360" w:lineRule="auto"/>
        <w:rPr>
          <w:rFonts w:hint="eastAsia" w:asciiTheme="minorEastAsia" w:hAnsiTheme="minorEastAsia" w:eastAsiaTheme="minorEastAsia"/>
          <w:b w:val="0"/>
          <w:color w:val="auto"/>
          <w:position w:val="4"/>
          <w:sz w:val="22"/>
          <w:szCs w:val="22"/>
          <w:highlight w:val="none"/>
        </w:rPr>
      </w:pPr>
      <w:r>
        <w:rPr>
          <w:rFonts w:hint="eastAsia" w:asciiTheme="minorEastAsia" w:hAnsiTheme="minorEastAsia" w:eastAsiaTheme="minorEastAsia"/>
          <w:b w:val="0"/>
          <w:color w:val="auto"/>
          <w:position w:val="4"/>
          <w:sz w:val="22"/>
          <w:szCs w:val="22"/>
          <w:highlight w:val="none"/>
        </w:rPr>
        <w:t>法定代表人：</w:t>
      </w:r>
    </w:p>
    <w:p>
      <w:pPr>
        <w:pStyle w:val="21"/>
        <w:kinsoku w:val="0"/>
        <w:overflowPunct w:val="0"/>
        <w:spacing w:line="360" w:lineRule="auto"/>
        <w:rPr>
          <w:rFonts w:hint="eastAsia" w:asciiTheme="minorEastAsia" w:hAnsiTheme="minorEastAsia" w:eastAsiaTheme="minorEastAsia"/>
          <w:b w:val="0"/>
          <w:color w:val="auto"/>
          <w:position w:val="4"/>
          <w:sz w:val="22"/>
          <w:szCs w:val="22"/>
          <w:highlight w:val="none"/>
        </w:rPr>
      </w:pPr>
      <w:r>
        <w:rPr>
          <w:rFonts w:hint="eastAsia" w:asciiTheme="minorEastAsia" w:hAnsiTheme="minorEastAsia" w:eastAsiaTheme="minorEastAsia"/>
          <w:b w:val="0"/>
          <w:color w:val="auto"/>
          <w:position w:val="4"/>
          <w:sz w:val="22"/>
          <w:szCs w:val="22"/>
          <w:highlight w:val="none"/>
        </w:rPr>
        <w:t>电话：</w:t>
      </w:r>
    </w:p>
    <w:p>
      <w:pPr>
        <w:pStyle w:val="21"/>
        <w:kinsoku w:val="0"/>
        <w:overflowPunct w:val="0"/>
        <w:spacing w:line="360" w:lineRule="auto"/>
        <w:rPr>
          <w:rFonts w:hint="eastAsia" w:asciiTheme="minorEastAsia" w:hAnsiTheme="minorEastAsia" w:eastAsiaTheme="minorEastAsia"/>
          <w:b w:val="0"/>
          <w:color w:val="auto"/>
          <w:position w:val="4"/>
          <w:sz w:val="22"/>
          <w:szCs w:val="22"/>
          <w:highlight w:val="none"/>
        </w:rPr>
      </w:pPr>
      <w:r>
        <w:rPr>
          <w:rFonts w:hint="eastAsia" w:asciiTheme="minorEastAsia" w:hAnsiTheme="minorEastAsia" w:eastAsiaTheme="minorEastAsia"/>
          <w:b w:val="0"/>
          <w:color w:val="auto"/>
          <w:position w:val="4"/>
          <w:sz w:val="22"/>
          <w:szCs w:val="22"/>
          <w:highlight w:val="none"/>
        </w:rPr>
        <w:t>营业执照：</w:t>
      </w:r>
    </w:p>
    <w:p>
      <w:pPr>
        <w:pStyle w:val="21"/>
        <w:kinsoku w:val="0"/>
        <w:overflowPunct w:val="0"/>
        <w:spacing w:line="360" w:lineRule="auto"/>
        <w:rPr>
          <w:rFonts w:hint="eastAsia" w:asciiTheme="minorEastAsia" w:hAnsiTheme="minorEastAsia" w:eastAsiaTheme="minorEastAsia"/>
          <w:b w:val="0"/>
          <w:color w:val="auto"/>
          <w:position w:val="4"/>
          <w:sz w:val="22"/>
          <w:szCs w:val="22"/>
          <w:highlight w:val="none"/>
        </w:rPr>
      </w:pPr>
      <w:r>
        <w:rPr>
          <w:rFonts w:hint="eastAsia" w:asciiTheme="minorEastAsia" w:hAnsiTheme="minorEastAsia" w:eastAsiaTheme="minorEastAsia"/>
          <w:b w:val="0"/>
          <w:color w:val="auto"/>
          <w:position w:val="4"/>
          <w:sz w:val="22"/>
          <w:szCs w:val="22"/>
          <w:highlight w:val="none"/>
        </w:rPr>
        <w:t>企业等级：</w:t>
      </w:r>
    </w:p>
    <w:p>
      <w:pPr>
        <w:pStyle w:val="21"/>
        <w:kinsoku w:val="0"/>
        <w:overflowPunct w:val="0"/>
        <w:spacing w:line="360" w:lineRule="auto"/>
        <w:rPr>
          <w:rFonts w:hint="eastAsia" w:asciiTheme="minorEastAsia" w:hAnsiTheme="minorEastAsia" w:eastAsiaTheme="minorEastAsia"/>
          <w:b w:val="0"/>
          <w:color w:val="auto"/>
          <w:position w:val="4"/>
          <w:sz w:val="22"/>
          <w:szCs w:val="22"/>
          <w:highlight w:val="none"/>
        </w:rPr>
      </w:pPr>
      <w:r>
        <w:rPr>
          <w:rFonts w:hint="eastAsia" w:asciiTheme="minorEastAsia" w:hAnsiTheme="minorEastAsia" w:eastAsiaTheme="minorEastAsia"/>
          <w:b w:val="0"/>
          <w:color w:val="auto"/>
          <w:position w:val="4"/>
          <w:sz w:val="22"/>
          <w:szCs w:val="22"/>
          <w:highlight w:val="none"/>
        </w:rPr>
        <w:t>安全许可证号：</w:t>
      </w:r>
    </w:p>
    <w:p>
      <w:pPr>
        <w:pStyle w:val="21"/>
        <w:kinsoku w:val="0"/>
        <w:overflowPunct w:val="0"/>
        <w:spacing w:line="360" w:lineRule="auto"/>
        <w:rPr>
          <w:rFonts w:hint="eastAsia" w:asciiTheme="minorEastAsia" w:hAnsiTheme="minorEastAsia" w:eastAsiaTheme="minorEastAsia"/>
          <w:b w:val="0"/>
          <w:color w:val="auto"/>
          <w:position w:val="4"/>
          <w:sz w:val="22"/>
          <w:szCs w:val="22"/>
          <w:highlight w:val="none"/>
        </w:rPr>
      </w:pPr>
      <w:r>
        <w:rPr>
          <w:rFonts w:hint="eastAsia" w:asciiTheme="minorEastAsia" w:hAnsiTheme="minorEastAsia" w:eastAsiaTheme="minorEastAsia"/>
          <w:b w:val="0"/>
          <w:color w:val="auto"/>
          <w:position w:val="4"/>
          <w:sz w:val="22"/>
          <w:szCs w:val="22"/>
          <w:highlight w:val="none"/>
        </w:rPr>
        <w:t>安全管理机构名称：</w:t>
      </w:r>
    </w:p>
    <w:p>
      <w:pPr>
        <w:pStyle w:val="21"/>
        <w:kinsoku w:val="0"/>
        <w:overflowPunct w:val="0"/>
        <w:spacing w:line="360" w:lineRule="auto"/>
        <w:rPr>
          <w:rFonts w:hint="eastAsia" w:asciiTheme="minorEastAsia" w:hAnsiTheme="minorEastAsia" w:eastAsiaTheme="minorEastAsia"/>
          <w:b w:val="0"/>
          <w:color w:val="auto"/>
          <w:position w:val="4"/>
          <w:sz w:val="22"/>
          <w:szCs w:val="22"/>
          <w:highlight w:val="none"/>
        </w:rPr>
      </w:pPr>
      <w:r>
        <w:rPr>
          <w:rFonts w:hint="eastAsia" w:asciiTheme="minorEastAsia" w:hAnsiTheme="minorEastAsia" w:eastAsiaTheme="minorEastAsia"/>
          <w:b w:val="0"/>
          <w:color w:val="auto"/>
          <w:position w:val="4"/>
          <w:sz w:val="22"/>
          <w:szCs w:val="22"/>
          <w:highlight w:val="none"/>
        </w:rPr>
        <w:t>安全责任人：</w:t>
      </w:r>
    </w:p>
    <w:p>
      <w:pPr>
        <w:pStyle w:val="21"/>
        <w:kinsoku w:val="0"/>
        <w:overflowPunct w:val="0"/>
        <w:spacing w:line="360" w:lineRule="auto"/>
        <w:rPr>
          <w:rFonts w:hint="eastAsia" w:asciiTheme="minorEastAsia" w:hAnsiTheme="minorEastAsia" w:eastAsiaTheme="minorEastAsia"/>
          <w:b w:val="0"/>
          <w:color w:val="auto"/>
          <w:position w:val="4"/>
          <w:sz w:val="22"/>
          <w:szCs w:val="22"/>
          <w:highlight w:val="none"/>
        </w:rPr>
      </w:pPr>
      <w:r>
        <w:rPr>
          <w:rFonts w:hint="eastAsia" w:asciiTheme="minorEastAsia" w:hAnsiTheme="minorEastAsia" w:eastAsiaTheme="minorEastAsia"/>
          <w:b w:val="0"/>
          <w:color w:val="auto"/>
          <w:position w:val="4"/>
          <w:sz w:val="22"/>
          <w:szCs w:val="22"/>
          <w:highlight w:val="none"/>
        </w:rPr>
        <w:t>电话：</w:t>
      </w:r>
    </w:p>
    <w:p>
      <w:pPr>
        <w:bidi w:val="0"/>
      </w:pPr>
      <w:r>
        <w:rPr>
          <w:rFonts w:hint="eastAsia"/>
        </w:rPr>
        <w:t>工程项目名称：中煤华晋集团韩咀煤业有限公司瓦斯抽采工程项目</w:t>
      </w:r>
    </w:p>
    <w:p>
      <w:pPr>
        <w:pStyle w:val="21"/>
        <w:kinsoku w:val="0"/>
        <w:overflowPunct w:val="0"/>
        <w:spacing w:line="360" w:lineRule="auto"/>
        <w:rPr>
          <w:rFonts w:asciiTheme="minorEastAsia" w:hAnsiTheme="minorEastAsia" w:eastAsiaTheme="minorEastAsia"/>
          <w:b w:val="0"/>
          <w:color w:val="auto"/>
          <w:sz w:val="22"/>
          <w:szCs w:val="22"/>
          <w:highlight w:val="none"/>
        </w:rPr>
      </w:pPr>
    </w:p>
    <w:p>
      <w:pPr>
        <w:bidi w:val="0"/>
      </w:pPr>
      <w:r>
        <w:rPr>
          <w:rFonts w:hint="eastAsia"/>
        </w:rPr>
        <w:t>工程项目期限：施工合同期</w:t>
      </w:r>
    </w:p>
    <w:p>
      <w:pPr>
        <w:pStyle w:val="21"/>
        <w:kinsoku w:val="0"/>
        <w:overflowPunct w:val="0"/>
        <w:spacing w:line="360" w:lineRule="auto"/>
        <w:ind w:firstLine="559"/>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鉴于：</w:t>
      </w:r>
      <w:r>
        <w:rPr>
          <w:rFonts w:asciiTheme="minorEastAsia" w:hAnsiTheme="minorEastAsia" w:eastAsiaTheme="minorEastAsia"/>
          <w:b w:val="0"/>
          <w:color w:val="auto"/>
          <w:sz w:val="22"/>
          <w:szCs w:val="22"/>
          <w:highlight w:val="none"/>
        </w:rPr>
        <w:t>1</w:t>
      </w:r>
      <w:r>
        <w:rPr>
          <w:rFonts w:hint="eastAsia" w:asciiTheme="minorEastAsia" w:hAnsiTheme="minorEastAsia" w:eastAsiaTheme="minorEastAsia"/>
          <w:b w:val="0"/>
          <w:color w:val="auto"/>
          <w:sz w:val="22"/>
          <w:szCs w:val="22"/>
          <w:highlight w:val="none"/>
        </w:rPr>
        <w:t>、甲乙双方己经就甲方瓦斯抽采工程签订承包施工合同</w:t>
      </w:r>
      <w:r>
        <w:rPr>
          <w:rFonts w:asciiTheme="minorEastAsia" w:hAnsiTheme="minorEastAsia" w:eastAsiaTheme="minorEastAsia"/>
          <w:b w:val="0"/>
          <w:color w:val="auto"/>
          <w:sz w:val="22"/>
          <w:szCs w:val="22"/>
          <w:highlight w:val="none"/>
        </w:rPr>
        <w:t>,</w:t>
      </w:r>
      <w:r>
        <w:rPr>
          <w:rFonts w:hint="eastAsia" w:asciiTheme="minorEastAsia" w:hAnsiTheme="minorEastAsia" w:eastAsiaTheme="minorEastAsia"/>
          <w:b w:val="0"/>
          <w:color w:val="auto"/>
          <w:sz w:val="22"/>
          <w:szCs w:val="22"/>
          <w:highlight w:val="none"/>
        </w:rPr>
        <w:t>甲方总承包项目建设相关手续齐全完备，且乙方具有承建该项地面工程施工的企业资质等级，</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持有建设厅颁发的《企业法人营业执照》、安全生产监督管理局颁发的《安全生产许可证》以及税务机关颁发的《税务登记证》等相关证件。</w:t>
      </w:r>
    </w:p>
    <w:p>
      <w:pPr>
        <w:pStyle w:val="21"/>
        <w:kinsoku w:val="0"/>
        <w:overflowPunct w:val="0"/>
        <w:spacing w:line="360" w:lineRule="auto"/>
        <w:ind w:firstLine="550" w:firstLineChars="250"/>
        <w:rPr>
          <w:rFonts w:asciiTheme="minorEastAsia" w:hAnsiTheme="minorEastAsia" w:eastAsiaTheme="minorEastAsia"/>
          <w:b w:val="0"/>
          <w:color w:val="auto"/>
          <w:sz w:val="22"/>
          <w:szCs w:val="22"/>
          <w:highlight w:val="none"/>
        </w:rPr>
      </w:pPr>
      <w:r>
        <w:rPr>
          <w:rFonts w:asciiTheme="minorEastAsia" w:hAnsiTheme="minorEastAsia" w:eastAsiaTheme="minorEastAsia"/>
          <w:b w:val="0"/>
          <w:color w:val="auto"/>
          <w:sz w:val="22"/>
          <w:szCs w:val="22"/>
          <w:highlight w:val="none"/>
        </w:rPr>
        <mc:AlternateContent>
          <mc:Choice Requires="wps">
            <w:drawing>
              <wp:anchor distT="0" distB="0" distL="114300" distR="114300" simplePos="0" relativeHeight="251659264" behindDoc="1" locked="0" layoutInCell="0" allowOverlap="1">
                <wp:simplePos x="0" y="0"/>
                <wp:positionH relativeFrom="page">
                  <wp:posOffset>120650</wp:posOffset>
                </wp:positionH>
                <wp:positionV relativeFrom="page">
                  <wp:posOffset>937260</wp:posOffset>
                </wp:positionV>
                <wp:extent cx="7353300" cy="9550400"/>
                <wp:effectExtent l="0" t="0" r="0" b="0"/>
                <wp:wrapNone/>
                <wp:docPr id="35" name="矩形 35"/>
                <wp:cNvGraphicFramePr/>
                <a:graphic xmlns:a="http://schemas.openxmlformats.org/drawingml/2006/main">
                  <a:graphicData uri="http://schemas.microsoft.com/office/word/2010/wordprocessingShape">
                    <wps:wsp>
                      <wps:cNvSpPr>
                        <a:spLocks noChangeArrowheads="1"/>
                      </wps:cNvSpPr>
                      <wps:spPr bwMode="auto">
                        <a:xfrm>
                          <a:off x="0" y="0"/>
                          <a:ext cx="7353300" cy="9550400"/>
                        </a:xfrm>
                        <a:prstGeom prst="rect">
                          <a:avLst/>
                        </a:prstGeom>
                        <a:noFill/>
                        <a:ln>
                          <a:noFill/>
                        </a:ln>
                      </wps:spPr>
                      <wps:txbx>
                        <w:txbxContent>
                          <w:p>
                            <w:pPr>
                              <w:pStyle w:val="21"/>
                              <w:kinsoku w:val="0"/>
                              <w:overflowPunct w:val="0"/>
                              <w:spacing w:line="360" w:lineRule="auto"/>
                              <w:rPr>
                                <w:sz w:val="24"/>
                                <w:szCs w:val="24"/>
                              </w:rPr>
                            </w:pPr>
                          </w:p>
                          <w:p>
                            <w:pPr>
                              <w:pStyle w:val="21"/>
                              <w:kinsoku w:val="0"/>
                              <w:overflowPunct w:val="0"/>
                              <w:spacing w:line="360" w:lineRule="auto"/>
                              <w:rPr>
                                <w:sz w:val="24"/>
                                <w:szCs w:val="24"/>
                              </w:rPr>
                            </w:pP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9.5pt;margin-top:73.8pt;height:752pt;width:579pt;mso-position-horizontal-relative:page;mso-position-vertical-relative:page;z-index:-251657216;mso-width-relative:page;mso-height-relative:page;" filled="f" stroked="f" coordsize="21600,21600" o:allowincell="f" o:gfxdata="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0;4S3G2QAAAAwBAAAPAAAAAAAAAAEAIAAAACIAAABkcnMvZG93bnJldi54bWxQSwECFAAUAAAACACH&#10;TuJAzi7LjuoBAACtAwAADgAAAAAAAAABACAAAAAoAQAAZHJzL2Uyb0RvYy54bWxQSwUGAAAAAAYA&#10;BgBZAQAAhAUAAAAA&#10;">
                <v:fill on="f" focussize="0,0"/>
                <v:stroke on="f"/>
                <v:imagedata o:title=""/>
                <o:lock v:ext="edit" aspectratio="f"/>
                <v:textbox inset="0mm,0mm,0mm,0mm">
                  <w:txbxContent>
                    <w:p>
                      <w:pPr>
                        <w:pStyle w:val="21"/>
                        <w:kinsoku w:val="0"/>
                        <w:overflowPunct w:val="0"/>
                        <w:spacing w:line="360" w:lineRule="auto"/>
                        <w:rPr>
                          <w:sz w:val="24"/>
                          <w:szCs w:val="24"/>
                        </w:rPr>
                      </w:pPr>
                    </w:p>
                    <w:p>
                      <w:pPr>
                        <w:pStyle w:val="21"/>
                        <w:kinsoku w:val="0"/>
                        <w:overflowPunct w:val="0"/>
                        <w:spacing w:line="360" w:lineRule="auto"/>
                        <w:rPr>
                          <w:sz w:val="24"/>
                          <w:szCs w:val="24"/>
                        </w:rPr>
                      </w:pPr>
                    </w:p>
                  </w:txbxContent>
                </v:textbox>
              </v:rect>
            </w:pict>
          </mc:Fallback>
        </mc:AlternateContent>
      </w:r>
      <w:r>
        <w:rPr>
          <w:rFonts w:cs="SimSun-ExtB" w:asciiTheme="minorEastAsia" w:hAnsiTheme="minorEastAsia" w:eastAsiaTheme="minorEastAsia"/>
          <w:b w:val="0"/>
          <w:color w:val="auto"/>
          <w:sz w:val="22"/>
          <w:szCs w:val="22"/>
          <w:highlight w:val="none"/>
        </w:rPr>
        <w:t>2</w:t>
      </w:r>
      <w:r>
        <w:rPr>
          <w:rFonts w:hint="eastAsia" w:asciiTheme="minorEastAsia" w:hAnsiTheme="minorEastAsia" w:eastAsiaTheme="minorEastAsia"/>
          <w:b w:val="0"/>
          <w:color w:val="auto"/>
          <w:sz w:val="22"/>
          <w:szCs w:val="22"/>
          <w:highlight w:val="none"/>
        </w:rPr>
        <w:t>、为加强该工程施工期间的安全生产管理，明确甲、乙双方安全管理职责，根据中华人民共和国《安全生产法》、《矿山安全法》、《煤矿安全规程》、《关于进一步加强煤矿建设项目安全管理的通知》（发改能源</w:t>
      </w:r>
      <w:r>
        <w:rPr>
          <w:rFonts w:cs="SimSun-ExtB" w:asciiTheme="minorEastAsia" w:hAnsiTheme="minorEastAsia" w:eastAsiaTheme="minorEastAsia"/>
          <w:b w:val="0"/>
          <w:color w:val="auto"/>
          <w:sz w:val="22"/>
          <w:szCs w:val="22"/>
          <w:highlight w:val="none"/>
        </w:rPr>
        <w:t xml:space="preserve">[2010]709 </w:t>
      </w:r>
      <w:r>
        <w:rPr>
          <w:rFonts w:hint="eastAsia" w:asciiTheme="minorEastAsia" w:hAnsiTheme="minorEastAsia" w:eastAsiaTheme="minorEastAsia"/>
          <w:b w:val="0"/>
          <w:color w:val="auto"/>
          <w:sz w:val="22"/>
          <w:szCs w:val="22"/>
          <w:highlight w:val="none"/>
        </w:rPr>
        <w:t>号</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）、《煤矿建设安全规定》（晋煤办发【</w:t>
      </w:r>
      <w:r>
        <w:rPr>
          <w:rFonts w:asciiTheme="minorEastAsia" w:hAnsiTheme="minorEastAsia" w:eastAsiaTheme="minorEastAsia"/>
          <w:b w:val="0"/>
          <w:color w:val="auto"/>
          <w:sz w:val="22"/>
          <w:szCs w:val="22"/>
          <w:highlight w:val="none"/>
        </w:rPr>
        <w:t>2009</w:t>
      </w:r>
      <w:r>
        <w:rPr>
          <w:rFonts w:hint="eastAsia" w:asciiTheme="minorEastAsia" w:hAnsiTheme="minorEastAsia" w:eastAsiaTheme="minorEastAsia"/>
          <w:b w:val="0"/>
          <w:color w:val="auto"/>
          <w:sz w:val="22"/>
          <w:szCs w:val="22"/>
          <w:highlight w:val="none"/>
        </w:rPr>
        <w:t>】</w:t>
      </w:r>
      <w:r>
        <w:rPr>
          <w:rFonts w:asciiTheme="minorEastAsia" w:hAnsiTheme="minorEastAsia" w:eastAsiaTheme="minorEastAsia"/>
          <w:b w:val="0"/>
          <w:color w:val="auto"/>
          <w:sz w:val="22"/>
          <w:szCs w:val="22"/>
          <w:highlight w:val="none"/>
        </w:rPr>
        <w:t xml:space="preserve"> </w:t>
      </w:r>
      <w:r>
        <w:rPr>
          <w:rFonts w:cs="SimSun-ExtB" w:asciiTheme="minorEastAsia" w:hAnsiTheme="minorEastAsia" w:eastAsiaTheme="minorEastAsia"/>
          <w:b w:val="0"/>
          <w:color w:val="auto"/>
          <w:sz w:val="22"/>
          <w:szCs w:val="22"/>
          <w:highlight w:val="none"/>
        </w:rPr>
        <w:t xml:space="preserve">151 </w:t>
      </w:r>
      <w:r>
        <w:rPr>
          <w:rFonts w:hint="eastAsia" w:asciiTheme="minorEastAsia" w:hAnsiTheme="minorEastAsia" w:eastAsiaTheme="minorEastAsia"/>
          <w:b w:val="0"/>
          <w:color w:val="auto"/>
          <w:sz w:val="22"/>
          <w:szCs w:val="22"/>
          <w:highlight w:val="none"/>
        </w:rPr>
        <w:t>号》）</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及有关的法律法规、规程和标准要求，结合中煤华晋集团韩咀煤业有限公司有关安全管理制度、项目建设实际及施工单位情况，本着平等自愿原则，经甲、乙双方协商，达成如下协议，以资共同遵守，明确责任。</w:t>
      </w:r>
    </w:p>
    <w:p>
      <w:pPr>
        <w:pStyle w:val="21"/>
        <w:kinsoku w:val="0"/>
        <w:overflowPunct w:val="0"/>
        <w:spacing w:line="360" w:lineRule="auto"/>
        <w:jc w:val="center"/>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第一章</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甲方安全生产管理责任</w:t>
      </w:r>
    </w:p>
    <w:p>
      <w:pPr>
        <w:pStyle w:val="21"/>
        <w:kinsoku w:val="0"/>
        <w:overflowPunct w:val="0"/>
        <w:spacing w:line="360" w:lineRule="auto"/>
        <w:ind w:firstLine="601"/>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第一条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按照国家、省及上级有关安全管理要求，对中煤华晋集团韩咀煤业有限公司地面维修工程项目负安全监督管理职责，对该项目施工单位进行统一管理。建立健全安全生产保证体系，制定本单位安全生产规章制度，保证矿山安全生产投入的有限实施。安全生产规章制度包括安全办公会议制度、安全目标管理制度、安全投入保障制度、安全质量标准化管理制度、安全教育与培训制度、重大隐患排查与治理制度、矿井主要灾害预防制度、安全监督检查制度、安全技术审批备案制度、事故应急救援管理制度、事故统计和调查处理报告制度、安全操作管理制度、月度验收管理制度、安全奖罚制度等。</w:t>
      </w:r>
    </w:p>
    <w:p>
      <w:pPr>
        <w:pStyle w:val="21"/>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设立相应的安全管理机构，明确一名行政副职专管安全工作，配备必要的安全管理人员，负责安全管理和检查工作，安全负责人及安全管理人员必须具备相关专业、经验并经过安全资格培训，持证上岗，人员数量满足要求。对项目安全生产工作统一协调，统一监管，将乙方的安全生产纳入甲方的安全监督管理体系，制定的生产安全事故应急救援预案中必须有乙方施工安全的内容。</w:t>
      </w:r>
    </w:p>
    <w:p>
      <w:pPr>
        <w:pStyle w:val="21"/>
        <w:kinsoku w:val="0"/>
        <w:overflowPunct w:val="0"/>
        <w:spacing w:line="360" w:lineRule="auto"/>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第二条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有监督、检查乙方安全生产的权利和责任，及时将本单</w:t>
      </w:r>
    </w:p>
    <w:p>
      <w:pPr>
        <w:pStyle w:val="21"/>
        <w:kinsoku w:val="0"/>
        <w:overflowPunct w:val="0"/>
        <w:spacing w:line="360" w:lineRule="auto"/>
        <w:ind w:firstLine="11"/>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位及上级主管部门安全管理规定向乙方宣传贯彻，及时进行有关的安全技术交底。当乙方违反甲方及上级主管部门有关规定时，甲方有权按照上级主管部门有关安全管理规定对乙方进行处罚。</w:t>
      </w:r>
    </w:p>
    <w:p>
      <w:pPr>
        <w:pStyle w:val="21"/>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第三条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建立安全例会、安全检查、领导干部入井和值班制度，定期召开有乙方参加的安全工作会议，检查、落实和总结前一阶段的安全工作，安排部署下一阶段安全工作。</w:t>
      </w:r>
    </w:p>
    <w:p>
      <w:pPr>
        <w:pStyle w:val="21"/>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第四条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定期或不定期对乙方的施工现场进行全面的安全检查，安全检查包括制度建设、机构设置、管理人员配备培训、持证情况，特殊工种配备及持证情况、现场人员培训、安全文件学习、规程措施贯彻考核、劳动用工、意外伤害保险以及其他安全事项，发现安全隐患及时向乙方提出“五定”（定人员、定期限、定措施、定标准、定资金）整改要求，并落实整改情况；对乙方未按期完成整改要求的，甲方有权按照上级主管部门及甲方相关安全管理规定对乙方进行经济处罚，必要时停止其施工。</w:t>
      </w:r>
    </w:p>
    <w:p>
      <w:pPr>
        <w:pStyle w:val="21"/>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第五条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甲方应当同时督促各方专职安全管理人员对施工现场进行安全监督检查。发现安全事故隐患，应当迅速向各方负责人和安全生产管理机构报告；发现违章指挥、违章操作、违反劳动纪律的，应当立即制止，并严肃查处；发生生产安全事故，应当及时、如实向有关安全主管部门报告，并组织实施事故救险。</w:t>
      </w:r>
    </w:p>
    <w:p>
      <w:pPr>
        <w:pStyle w:val="21"/>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第六条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甲方在检查中对乙方发生的“三违”现象，除进行批评教育外有权按照上级部门及甲方安全管理规定对其进行经济处罚。</w:t>
      </w:r>
    </w:p>
    <w:p>
      <w:pPr>
        <w:pStyle w:val="21"/>
        <w:kinsoku w:val="0"/>
        <w:overflowPunct w:val="0"/>
        <w:spacing w:line="360" w:lineRule="auto"/>
        <w:ind w:firstLine="614"/>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第七条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甲方要严格落实安全生产应急管理责任，完善应急预案，按规定建立矿山救援队伍或与具备救援能力的救援队伍签订协议，配备必要的应急物资、装备和设施，定期组织演练，应急预案要包括乙方部分。发生生产安全事故或灾害事故时，甲方有义务及时通</w:t>
      </w:r>
      <w:r>
        <w:rPr>
          <w:rFonts w:asciiTheme="minorEastAsia" w:hAnsiTheme="minorEastAsia" w:eastAsiaTheme="minorEastAsia"/>
          <w:b w:val="0"/>
          <w:color w:val="auto"/>
          <w:sz w:val="22"/>
          <w:szCs w:val="22"/>
          <w:highlight w:val="none"/>
        </w:rPr>
        <mc:AlternateContent>
          <mc:Choice Requires="wps">
            <w:drawing>
              <wp:anchor distT="0" distB="0" distL="114300" distR="114300" simplePos="0" relativeHeight="251660288" behindDoc="1" locked="0" layoutInCell="0" allowOverlap="1">
                <wp:simplePos x="0" y="0"/>
                <wp:positionH relativeFrom="page">
                  <wp:posOffset>218440</wp:posOffset>
                </wp:positionH>
                <wp:positionV relativeFrom="page">
                  <wp:posOffset>949325</wp:posOffset>
                </wp:positionV>
                <wp:extent cx="7175500" cy="9436100"/>
                <wp:effectExtent l="0" t="0" r="0" b="0"/>
                <wp:wrapNone/>
                <wp:docPr id="34" name="矩形 34"/>
                <wp:cNvGraphicFramePr/>
                <a:graphic xmlns:a="http://schemas.openxmlformats.org/drawingml/2006/main">
                  <a:graphicData uri="http://schemas.microsoft.com/office/word/2010/wordprocessingShape">
                    <wps:wsp>
                      <wps:cNvSpPr>
                        <a:spLocks noChangeArrowheads="1"/>
                      </wps:cNvSpPr>
                      <wps:spPr bwMode="auto">
                        <a:xfrm>
                          <a:off x="0" y="0"/>
                          <a:ext cx="7175500" cy="9436100"/>
                        </a:xfrm>
                        <a:prstGeom prst="rect">
                          <a:avLst/>
                        </a:prstGeom>
                        <a:noFill/>
                        <a:ln>
                          <a:noFill/>
                        </a:ln>
                      </wps:spPr>
                      <wps:txbx>
                        <w:txbxContent>
                          <w:p>
                            <w:pPr>
                              <w:spacing w:line="14860" w:lineRule="atLeast"/>
                              <w:rPr>
                                <w:sz w:val="24"/>
                                <w:szCs w:val="24"/>
                              </w:rPr>
                            </w:pPr>
                          </w:p>
                          <w:p>
                            <w:pPr>
                              <w:rPr>
                                <w:sz w:val="24"/>
                                <w:szCs w:val="24"/>
                              </w:rPr>
                            </w:pP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17.2pt;margin-top:74.75pt;height:743pt;width:565pt;mso-position-horizontal-relative:page;mso-position-vertical-relative:page;z-index:-251656192;mso-width-relative:page;mso-height-relative:page;" filled="f" stroked="f" coordsize="21600,21600" o:allowincell="f" o:gfxdata="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aiKZ9sAAAAMAQAADwAAAAAAAAABACAAAAAiAAAAZHJzL2Rvd25yZXYueG1sUEsBAhQAFAAAAAgA&#10;h07iQFum+bDpAQAArQMAAA4AAAAAAAAAAQAgAAAAKgEAAGRycy9lMm9Eb2MueG1sUEsFBgAAAAAG&#10;AAYAWQEAAIUFAAAAAA==&#10;">
                <v:fill on="f" focussize="0,0"/>
                <v:stroke on="f"/>
                <v:imagedata o:title=""/>
                <o:lock v:ext="edit" aspectratio="f"/>
                <v:textbox inset="0mm,0mm,0mm,0mm">
                  <w:txbxContent>
                    <w:p>
                      <w:pPr>
                        <w:spacing w:line="14860" w:lineRule="atLeast"/>
                        <w:rPr>
                          <w:sz w:val="24"/>
                          <w:szCs w:val="24"/>
                        </w:rPr>
                      </w:pPr>
                    </w:p>
                    <w:p>
                      <w:pPr>
                        <w:rPr>
                          <w:sz w:val="24"/>
                          <w:szCs w:val="24"/>
                        </w:rPr>
                      </w:pPr>
                    </w:p>
                  </w:txbxContent>
                </v:textbox>
              </v:rect>
            </w:pict>
          </mc:Fallback>
        </mc:AlternateContent>
      </w:r>
      <w:r>
        <w:rPr>
          <w:rFonts w:hint="eastAsia" w:asciiTheme="minorEastAsia" w:hAnsiTheme="minorEastAsia" w:eastAsiaTheme="minorEastAsia"/>
          <w:b w:val="0"/>
          <w:color w:val="auto"/>
          <w:sz w:val="22"/>
          <w:szCs w:val="22"/>
          <w:highlight w:val="none"/>
        </w:rPr>
        <w:t>知事故可能波及的乙方施工范围内人员撤离。并及时向有关部门报告，采取积极有效措施协助或指导乙方进行安全救护。</w:t>
      </w:r>
    </w:p>
    <w:p>
      <w:pPr>
        <w:pStyle w:val="21"/>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第八条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甲方不得对乙方提出不符合安全生产法律、法规和强制性标准规定的要求。</w:t>
      </w:r>
    </w:p>
    <w:p>
      <w:pPr>
        <w:pStyle w:val="21"/>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第九条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甲方应当为乙方工伤人员提供救护、医疗便利。</w:t>
      </w:r>
    </w:p>
    <w:p>
      <w:pPr>
        <w:pStyle w:val="21"/>
        <w:kinsoku w:val="0"/>
        <w:overflowPunct w:val="0"/>
        <w:spacing w:line="360" w:lineRule="auto"/>
        <w:jc w:val="center"/>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第二章</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乙方安全生产管理责任</w:t>
      </w:r>
    </w:p>
    <w:p>
      <w:pPr>
        <w:pStyle w:val="21"/>
        <w:kinsoku w:val="0"/>
        <w:overflowPunct w:val="0"/>
        <w:spacing w:line="360" w:lineRule="auto"/>
        <w:ind w:firstLine="586"/>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第十条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乙方对所施工的工程安全工作负责，并接受甲方的统一监督管理，在施工中贯彻落实国家、地方政府相关法律法规和甲方的安全生产规章制度。</w:t>
      </w:r>
    </w:p>
    <w:p>
      <w:pPr>
        <w:pStyle w:val="21"/>
        <w:kinsoku w:val="0"/>
        <w:overflowPunct w:val="0"/>
        <w:spacing w:line="360" w:lineRule="auto"/>
        <w:ind w:firstLine="591"/>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第十一条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应当建立健全施工安全生产保证体系，建立安全规章制度和各工种操作规程，落实各项安全技术措施要求，严格施工现场安全管理，推行安全生产目标管理和施工现场安全质量标准化建设，保证安全生产条件所需费用的投入。安全生产规章制度包括安全生产责任制度、安全办公会议制度、安全技术例会制度、安全目标管理制度、安全投入保障制度、安全资金和物品管理制度、安全质量标准化管理制度、安全教育与培训制度、安全监督检查制度、安全奖罚制度、安全技术审批制度、安全技术交底制度、事故应急救援预案及管理制度、事故统计和调查处理报告制度、安全操作管理制度、调度通讯系统管理制度、安全设施（劳保）配备检查管理制度、振动、锅炉、压力容器管理制度、安全操作规程汇编等一系列关系到安全生产的制度，汇编成册备查，以上制度要随变化了的情况及时补充修订。</w:t>
      </w:r>
    </w:p>
    <w:p>
      <w:pPr>
        <w:pStyle w:val="21"/>
        <w:kinsoku w:val="0"/>
        <w:overflowPunct w:val="0"/>
        <w:spacing w:line="360" w:lineRule="auto"/>
        <w:ind w:firstLine="593"/>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第十二条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乙方项目负责人应当由取得相应执业资格的人员担任，并取得相应的安全管理资格证和上岗作业证。负责矿山工</w:t>
      </w:r>
    </w:p>
    <w:p>
      <w:pPr>
        <w:pStyle w:val="21"/>
        <w:kinsoku w:val="0"/>
        <w:overflowPunct w:val="0"/>
        <w:spacing w:line="360" w:lineRule="auto"/>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程项目的生产安全，负责建立落实安全管理体系、安全管理机构、安全生产规章制度和操作规程，配齐安全检查人员，确保安全生产投入的有效使用，协调平衡安全同其他业务的关系。并根据工程特点组织制定作业规程（安全施工措施），</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消除安全事故隐患，及时、如实报告生产安全情况。</w:t>
      </w:r>
    </w:p>
    <w:p>
      <w:pPr>
        <w:pStyle w:val="21"/>
        <w:kinsoku w:val="0"/>
        <w:overflowPunct w:val="0"/>
        <w:spacing w:line="360" w:lineRule="auto"/>
        <w:ind w:firstLine="615"/>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第十三条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设立相应的安全管理机构，明确一名行政副职专管安全工作，配备必要的安全管理人员，负责安全管理和检查工作。必须按照各自的组织机构设置情况，以正式文件或履行相关审批手续的形式正式发布各种安全生产规章制度，乙方要将上述各种安全生产规章制度专人管理，随时备查。</w:t>
      </w:r>
    </w:p>
    <w:p>
      <w:pPr>
        <w:pStyle w:val="21"/>
        <w:kinsoku w:val="0"/>
        <w:overflowPunct w:val="0"/>
        <w:spacing w:line="360" w:lineRule="auto"/>
        <w:ind w:firstLine="61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乙方应当为工程施工配备数量满足施工要求的专职安全员。专职安全员应当持证上岗，并按规定独立行使职权。所有安全管理人员证件等资料必须汇编成册备查。</w:t>
      </w:r>
    </w:p>
    <w:p>
      <w:pPr>
        <w:pStyle w:val="21"/>
        <w:kinsoku w:val="0"/>
        <w:overflowPunct w:val="0"/>
        <w:spacing w:line="360" w:lineRule="auto"/>
        <w:ind w:firstLine="660" w:firstLineChars="3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第十四条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乙方不得将所承包工程转包、违法分包。</w:t>
      </w:r>
    </w:p>
    <w:p>
      <w:pPr>
        <w:pStyle w:val="21"/>
        <w:kinsoku w:val="0"/>
        <w:overflowPunct w:val="0"/>
        <w:spacing w:line="360" w:lineRule="auto"/>
        <w:ind w:firstLine="629"/>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第十五条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应当落实劳动生产教育培训制度，加强对本单位所有人员的安全生产教育和培训，根据单位的实际建立安全培训机构，配备相应的师资。如实告知作业场所和工作岗位存在的危险因素、防范措施以及事故应急措施，保证从业人员熟悉并严格执行有关的安全生产规章制度和安全操作规程，掌握本岗位的安全操作技能，具备必要的安全防范知识。未经安全生产教育和培训合格人员，不得上岗作业。特种作业人员应当经国家规定的有关部门组织专门培训，经考核合格，取得上岗证书后，方可上岗作业，特种作业人员数量必须满足施工要求。培训内容包括安全技术理论知识、矿井灾害发生规律、预防措施和处置方法、安全生产的方针政策、法律法规和安全规章制度、工种岗位责任制、操作规程、井下自</w:t>
      </w:r>
    </w:p>
    <w:p>
      <w:pPr>
        <w:pStyle w:val="21"/>
        <w:kinsoku w:val="0"/>
        <w:overflowPunct w:val="0"/>
        <w:spacing w:line="360" w:lineRule="auto"/>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救、互救和创伤急救等基本知识。培训时间必须达到国家规定学时，所有培训资料包括培训、计划教案、培训签到表、试卷、成绩等都必须存档备查。</w:t>
      </w:r>
    </w:p>
    <w:p>
      <w:pPr>
        <w:pStyle w:val="21"/>
        <w:kinsoku w:val="0"/>
        <w:overflowPunct w:val="0"/>
        <w:spacing w:line="360" w:lineRule="auto"/>
        <w:ind w:firstLine="579"/>
        <w:rPr>
          <w:rFonts w:asciiTheme="minorEastAsia" w:hAnsiTheme="minorEastAsia" w:eastAsiaTheme="minorEastAsia"/>
          <w:b w:val="0"/>
          <w:color w:val="auto"/>
          <w:sz w:val="22"/>
          <w:szCs w:val="22"/>
          <w:highlight w:val="none"/>
        </w:rPr>
      </w:pPr>
      <w:r>
        <w:rPr>
          <w:rFonts w:asciiTheme="minorEastAsia" w:hAnsiTheme="minorEastAsia" w:eastAsiaTheme="minorEastAsia"/>
          <w:b w:val="0"/>
          <w:color w:val="auto"/>
          <w:sz w:val="22"/>
          <w:szCs w:val="22"/>
          <w:highlight w:val="none"/>
        </w:rPr>
        <mc:AlternateContent>
          <mc:Choice Requires="wps">
            <w:drawing>
              <wp:anchor distT="0" distB="0" distL="114300" distR="114300" simplePos="0" relativeHeight="251661312" behindDoc="1" locked="0" layoutInCell="0" allowOverlap="1">
                <wp:simplePos x="0" y="0"/>
                <wp:positionH relativeFrom="page">
                  <wp:posOffset>218440</wp:posOffset>
                </wp:positionH>
                <wp:positionV relativeFrom="page">
                  <wp:posOffset>949960</wp:posOffset>
                </wp:positionV>
                <wp:extent cx="7112000" cy="8966200"/>
                <wp:effectExtent l="0" t="0" r="0" b="0"/>
                <wp:wrapNone/>
                <wp:docPr id="33" name="矩形 33"/>
                <wp:cNvGraphicFramePr/>
                <a:graphic xmlns:a="http://schemas.openxmlformats.org/drawingml/2006/main">
                  <a:graphicData uri="http://schemas.microsoft.com/office/word/2010/wordprocessingShape">
                    <wps:wsp>
                      <wps:cNvSpPr>
                        <a:spLocks noChangeArrowheads="1"/>
                      </wps:cNvSpPr>
                      <wps:spPr bwMode="auto">
                        <a:xfrm>
                          <a:off x="0" y="0"/>
                          <a:ext cx="7112000" cy="8966200"/>
                        </a:xfrm>
                        <a:prstGeom prst="rect">
                          <a:avLst/>
                        </a:prstGeom>
                        <a:noFill/>
                        <a:ln>
                          <a:noFill/>
                        </a:ln>
                      </wps:spPr>
                      <wps:txbx>
                        <w:txbxContent>
                          <w:p>
                            <w:pPr>
                              <w:spacing w:line="14120" w:lineRule="atLeast"/>
                              <w:rPr>
                                <w:sz w:val="24"/>
                                <w:szCs w:val="24"/>
                              </w:rPr>
                            </w:pPr>
                          </w:p>
                          <w:p>
                            <w:pPr>
                              <w:rPr>
                                <w:sz w:val="24"/>
                                <w:szCs w:val="24"/>
                              </w:rPr>
                            </w:pP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17.2pt;margin-top:74.8pt;height:706pt;width:560pt;mso-position-horizontal-relative:page;mso-position-vertical-relative:page;z-index:-251655168;mso-width-relative:page;mso-height-relative:page;" filled="f" stroked="f" coordsize="21600,21600" o:allowincell="f" o:gfxdata="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I&#10;ytn+2wAAAAwBAAAPAAAAAAAAAAEAIAAAACIAAABkcnMvZG93bnJldi54bWxQSwECFAAUAAAACACH&#10;TuJA96f1K+gBAACtAwAADgAAAAAAAAABACAAAAAqAQAAZHJzL2Uyb0RvYy54bWxQSwUGAAAAAAYA&#10;BgBZAQAAhAUAAAAA&#10;">
                <v:fill on="f" focussize="0,0"/>
                <v:stroke on="f"/>
                <v:imagedata o:title=""/>
                <o:lock v:ext="edit" aspectratio="f"/>
                <v:textbox inset="0mm,0mm,0mm,0mm">
                  <w:txbxContent>
                    <w:p>
                      <w:pPr>
                        <w:spacing w:line="14120" w:lineRule="atLeast"/>
                        <w:rPr>
                          <w:sz w:val="24"/>
                          <w:szCs w:val="24"/>
                        </w:rPr>
                      </w:pPr>
                    </w:p>
                    <w:p>
                      <w:pPr>
                        <w:rPr>
                          <w:sz w:val="24"/>
                          <w:szCs w:val="24"/>
                        </w:rPr>
                      </w:pPr>
                    </w:p>
                  </w:txbxContent>
                </v:textbox>
              </v:rect>
            </w:pict>
          </mc:Fallback>
        </mc:AlternateContent>
      </w:r>
      <w:r>
        <w:rPr>
          <w:rFonts w:hint="eastAsia" w:asciiTheme="minorEastAsia" w:hAnsiTheme="minorEastAsia" w:eastAsiaTheme="minorEastAsia"/>
          <w:b w:val="0"/>
          <w:color w:val="auto"/>
          <w:sz w:val="22"/>
          <w:szCs w:val="22"/>
          <w:highlight w:val="none"/>
        </w:rPr>
        <w:t>第十六条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必须依法与从业人员签订有效的劳动用工合同，为从业人员参加施工现场意外伤害保险，为从业人员交纳保险费。意外伤害保险费由乙方支付。意外伤害保险期限自建设工程开工之日起至竣工验收移交合格止，用工合同签订、保险缴纳必须与人员变化同步。</w:t>
      </w:r>
    </w:p>
    <w:p>
      <w:pPr>
        <w:pStyle w:val="21"/>
        <w:kinsoku w:val="0"/>
        <w:overflowPunct w:val="0"/>
        <w:spacing w:line="360" w:lineRule="auto"/>
        <w:ind w:firstLine="582"/>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第十七条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应当按规定为作业人员提供符合安全生产和技术规范要求的施工机具和劳动防护用品，并告知其正确的使用方法。乙方在采用新工艺、新技术、新材料或者使用新设备时，必须了解、掌握其安全技术特性，采用有效的安全防护措施，并对从业人员进行专门的安全培训。</w:t>
      </w:r>
    </w:p>
    <w:p>
      <w:pPr>
        <w:pStyle w:val="21"/>
        <w:kinsoku w:val="0"/>
        <w:overflowPunct w:val="0"/>
        <w:spacing w:line="360" w:lineRule="auto"/>
        <w:ind w:firstLine="586"/>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第十八条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乙方在工程（包括单位、单项工程）开工前必须履行开工手续，并报附相关资料；编制的施工组织设计、作业规程和安全技术措施，须按相关手续履行审批签字手续，并报甲方相关部门审查备案后，方可实施。</w:t>
      </w:r>
    </w:p>
    <w:p>
      <w:pPr>
        <w:pStyle w:val="21"/>
        <w:kinsoku w:val="0"/>
        <w:overflowPunct w:val="0"/>
        <w:spacing w:line="360" w:lineRule="auto"/>
        <w:ind w:firstLine="586"/>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第十九条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乙方应在该项目工程开工前，进行安全技术现场交底，并在开工前由项目技术负责人按照安全技术交底制度，结合现场周围情况逐条对所有施工人员进行书面交底，被交底人员均应在交底记录上签名确认。</w:t>
      </w:r>
    </w:p>
    <w:p>
      <w:pPr>
        <w:pStyle w:val="21"/>
        <w:kinsoku w:val="0"/>
        <w:overflowPunct w:val="0"/>
        <w:spacing w:line="360" w:lineRule="auto"/>
        <w:ind w:firstLine="660" w:firstLineChars="3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第二十条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乙方应当根据不同施工阶段和环境变化，及时补充完善作业规程（安全技术措施），</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根据队伍调整、人员变化等及时重新进行安全技术交底和作业规程（安全技术措施）贯彻考核。在施工现场采取相应的安全防护措施。安全防护措施应当符合国</w:t>
      </w:r>
    </w:p>
    <w:p>
      <w:pPr>
        <w:pStyle w:val="21"/>
        <w:kinsoku w:val="0"/>
        <w:overflowPunct w:val="0"/>
        <w:spacing w:line="360" w:lineRule="auto"/>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家劳动安全、环境保护、卫生及消防标准。</w:t>
      </w:r>
    </w:p>
    <w:p>
      <w:pPr>
        <w:pStyle w:val="21"/>
        <w:kinsoku w:val="0"/>
        <w:overflowPunct w:val="0"/>
        <w:spacing w:line="360" w:lineRule="auto"/>
        <w:ind w:firstLine="660" w:firstLineChars="300"/>
        <w:rPr>
          <w:rFonts w:asciiTheme="minorEastAsia" w:hAnsiTheme="minorEastAsia" w:eastAsiaTheme="minorEastAsia"/>
          <w:b w:val="0"/>
          <w:color w:val="auto"/>
          <w:spacing w:val="-10"/>
          <w:position w:val="2"/>
          <w:sz w:val="22"/>
          <w:szCs w:val="22"/>
          <w:highlight w:val="none"/>
        </w:rPr>
      </w:pPr>
      <w:r>
        <w:rPr>
          <w:rFonts w:hint="eastAsia" w:asciiTheme="minorEastAsia" w:hAnsiTheme="minorEastAsia" w:eastAsiaTheme="minorEastAsia"/>
          <w:b w:val="0"/>
          <w:color w:val="auto"/>
          <w:sz w:val="22"/>
          <w:szCs w:val="22"/>
          <w:highlight w:val="none"/>
        </w:rPr>
        <w:t>第二十一条</w:t>
      </w:r>
      <w:r>
        <w:rPr>
          <w:rFonts w:asciiTheme="minorEastAsia" w:hAnsiTheme="minorEastAsia" w:eastAsiaTheme="minorEastAsia"/>
          <w:b w:val="0"/>
          <w:color w:val="auto"/>
          <w:spacing w:val="-12"/>
          <w:sz w:val="22"/>
          <w:szCs w:val="22"/>
          <w:highlight w:val="none"/>
        </w:rPr>
        <w:t xml:space="preserve"> </w:t>
      </w:r>
      <w:r>
        <w:rPr>
          <w:rFonts w:hint="eastAsia" w:asciiTheme="minorEastAsia" w:hAnsiTheme="minorEastAsia" w:eastAsiaTheme="minorEastAsia"/>
          <w:b w:val="0"/>
          <w:color w:val="auto"/>
          <w:position w:val="1"/>
          <w:sz w:val="22"/>
          <w:szCs w:val="22"/>
          <w:highlight w:val="none"/>
        </w:rPr>
        <w:t>乙方应当负责施工现场内的安全设施的</w:t>
      </w:r>
      <w:r>
        <w:rPr>
          <w:rFonts w:hint="eastAsia" w:asciiTheme="minorEastAsia" w:hAnsiTheme="minorEastAsia" w:eastAsiaTheme="minorEastAsia"/>
          <w:b w:val="0"/>
          <w:color w:val="auto"/>
          <w:position w:val="2"/>
          <w:sz w:val="22"/>
          <w:szCs w:val="22"/>
          <w:highlight w:val="none"/>
        </w:rPr>
        <w:t>建立、正</w:t>
      </w:r>
      <w:r>
        <w:rPr>
          <w:rFonts w:hint="eastAsia" w:asciiTheme="minorEastAsia" w:hAnsiTheme="minorEastAsia" w:eastAsiaTheme="minorEastAsia"/>
          <w:b w:val="0"/>
          <w:color w:val="auto"/>
          <w:spacing w:val="-10"/>
          <w:position w:val="2"/>
          <w:sz w:val="22"/>
          <w:szCs w:val="22"/>
          <w:highlight w:val="none"/>
        </w:rPr>
        <w:t>常</w:t>
      </w:r>
      <w:r>
        <w:rPr>
          <w:rFonts w:hint="eastAsia" w:asciiTheme="minorEastAsia" w:hAnsiTheme="minorEastAsia" w:eastAsiaTheme="minorEastAsia"/>
          <w:b w:val="0"/>
          <w:color w:val="auto"/>
          <w:spacing w:val="-4"/>
          <w:sz w:val="22"/>
          <w:szCs w:val="22"/>
          <w:highlight w:val="none"/>
        </w:rPr>
        <w:t>使用及检修维护工作</w:t>
      </w:r>
      <w:r>
        <w:rPr>
          <w:rFonts w:hint="eastAsia" w:asciiTheme="minorEastAsia" w:hAnsiTheme="minorEastAsia" w:eastAsiaTheme="minorEastAsia"/>
          <w:b w:val="0"/>
          <w:color w:val="auto"/>
          <w:spacing w:val="-66"/>
          <w:sz w:val="22"/>
          <w:szCs w:val="22"/>
          <w:highlight w:val="none"/>
        </w:rPr>
        <w:t>；</w:t>
      </w:r>
      <w:r>
        <w:rPr>
          <w:rFonts w:hint="eastAsia" w:asciiTheme="minorEastAsia" w:hAnsiTheme="minorEastAsia" w:eastAsiaTheme="minorEastAsia"/>
          <w:b w:val="0"/>
          <w:color w:val="auto"/>
          <w:spacing w:val="-4"/>
          <w:position w:val="1"/>
          <w:sz w:val="22"/>
          <w:szCs w:val="22"/>
          <w:highlight w:val="none"/>
        </w:rPr>
        <w:t>并应在有较大危险</w:t>
      </w:r>
      <w:r>
        <w:rPr>
          <w:rFonts w:hint="eastAsia" w:asciiTheme="minorEastAsia" w:hAnsiTheme="minorEastAsia" w:eastAsiaTheme="minorEastAsia"/>
          <w:b w:val="0"/>
          <w:color w:val="auto"/>
          <w:spacing w:val="-4"/>
          <w:position w:val="2"/>
          <w:sz w:val="22"/>
          <w:szCs w:val="22"/>
          <w:highlight w:val="none"/>
        </w:rPr>
        <w:t>因素的场所</w:t>
      </w:r>
      <w:r>
        <w:rPr>
          <w:rFonts w:hint="eastAsia" w:asciiTheme="minorEastAsia" w:hAnsiTheme="minorEastAsia" w:eastAsiaTheme="minorEastAsia"/>
          <w:b w:val="0"/>
          <w:color w:val="auto"/>
          <w:spacing w:val="-77"/>
          <w:position w:val="2"/>
          <w:sz w:val="22"/>
          <w:szCs w:val="22"/>
          <w:highlight w:val="none"/>
        </w:rPr>
        <w:t>、</w:t>
      </w:r>
      <w:r>
        <w:rPr>
          <w:rFonts w:hint="eastAsia" w:asciiTheme="minorEastAsia" w:hAnsiTheme="minorEastAsia" w:eastAsiaTheme="minorEastAsia"/>
          <w:b w:val="0"/>
          <w:color w:val="auto"/>
          <w:spacing w:val="-4"/>
          <w:position w:val="2"/>
          <w:sz w:val="22"/>
          <w:szCs w:val="22"/>
          <w:highlight w:val="none"/>
        </w:rPr>
        <w:t>设施</w:t>
      </w:r>
      <w:r>
        <w:rPr>
          <w:rFonts w:hint="eastAsia" w:asciiTheme="minorEastAsia" w:hAnsiTheme="minorEastAsia" w:eastAsiaTheme="minorEastAsia"/>
          <w:b w:val="0"/>
          <w:color w:val="auto"/>
          <w:spacing w:val="-71"/>
          <w:position w:val="2"/>
          <w:sz w:val="22"/>
          <w:szCs w:val="22"/>
          <w:highlight w:val="none"/>
        </w:rPr>
        <w:t>、</w:t>
      </w:r>
      <w:r>
        <w:rPr>
          <w:rFonts w:hint="eastAsia" w:asciiTheme="minorEastAsia" w:hAnsiTheme="minorEastAsia" w:eastAsiaTheme="minorEastAsia"/>
          <w:b w:val="0"/>
          <w:color w:val="auto"/>
          <w:spacing w:val="-4"/>
          <w:position w:val="3"/>
          <w:sz w:val="22"/>
          <w:szCs w:val="22"/>
          <w:highlight w:val="none"/>
        </w:rPr>
        <w:t>设备上</w:t>
      </w:r>
      <w:r>
        <w:rPr>
          <w:rFonts w:asciiTheme="minorEastAsia" w:hAnsiTheme="minorEastAsia" w:eastAsiaTheme="minorEastAsia"/>
          <w:b w:val="0"/>
          <w:color w:val="auto"/>
          <w:spacing w:val="-10"/>
          <w:position w:val="3"/>
          <w:sz w:val="22"/>
          <w:szCs w:val="22"/>
          <w:highlight w:val="none"/>
        </w:rPr>
        <w:t>,</w:t>
      </w:r>
      <w:r>
        <w:rPr>
          <w:rFonts w:hint="eastAsia" w:asciiTheme="minorEastAsia" w:hAnsiTheme="minorEastAsia" w:eastAsiaTheme="minorEastAsia"/>
          <w:b w:val="0"/>
          <w:color w:val="auto"/>
          <w:spacing w:val="-2"/>
          <w:position w:val="2"/>
          <w:sz w:val="22"/>
          <w:szCs w:val="22"/>
          <w:highlight w:val="none"/>
        </w:rPr>
        <w:t>设置明显的、符合</w:t>
      </w:r>
      <w:r>
        <w:rPr>
          <w:rFonts w:hint="eastAsia" w:asciiTheme="minorEastAsia" w:hAnsiTheme="minorEastAsia" w:eastAsiaTheme="minorEastAsia"/>
          <w:b w:val="0"/>
          <w:color w:val="auto"/>
          <w:spacing w:val="-2"/>
          <w:position w:val="1"/>
          <w:sz w:val="22"/>
          <w:szCs w:val="22"/>
          <w:highlight w:val="none"/>
        </w:rPr>
        <w:t>国家标准的安全警示</w:t>
      </w:r>
      <w:r>
        <w:rPr>
          <w:rFonts w:hint="eastAsia" w:asciiTheme="minorEastAsia" w:hAnsiTheme="minorEastAsia" w:eastAsiaTheme="minorEastAsia"/>
          <w:b w:val="0"/>
          <w:color w:val="auto"/>
          <w:spacing w:val="-2"/>
          <w:sz w:val="22"/>
          <w:szCs w:val="22"/>
          <w:highlight w:val="none"/>
        </w:rPr>
        <w:t>标志</w:t>
      </w:r>
      <w:r>
        <w:rPr>
          <w:rFonts w:hint="eastAsia" w:asciiTheme="minorEastAsia" w:hAnsiTheme="minorEastAsia" w:eastAsiaTheme="minorEastAsia"/>
          <w:b w:val="0"/>
          <w:color w:val="auto"/>
          <w:spacing w:val="-10"/>
          <w:sz w:val="22"/>
          <w:szCs w:val="22"/>
          <w:highlight w:val="none"/>
        </w:rPr>
        <w:t>。</w:t>
      </w:r>
    </w:p>
    <w:p>
      <w:pPr>
        <w:pStyle w:val="21"/>
        <w:kinsoku w:val="0"/>
        <w:overflowPunct w:val="0"/>
        <w:spacing w:line="360" w:lineRule="auto"/>
        <w:ind w:firstLine="660" w:firstLineChars="300"/>
        <w:rPr>
          <w:rFonts w:asciiTheme="minorEastAsia" w:hAnsiTheme="minorEastAsia" w:eastAsiaTheme="minorEastAsia"/>
          <w:b w:val="0"/>
          <w:color w:val="auto"/>
          <w:spacing w:val="-2"/>
          <w:sz w:val="22"/>
          <w:szCs w:val="22"/>
          <w:highlight w:val="none"/>
        </w:rPr>
      </w:pPr>
      <w:r>
        <w:rPr>
          <w:rFonts w:hint="eastAsia" w:asciiTheme="minorEastAsia" w:hAnsiTheme="minorEastAsia" w:eastAsiaTheme="minorEastAsia"/>
          <w:b w:val="0"/>
          <w:color w:val="auto"/>
          <w:position w:val="2"/>
          <w:sz w:val="22"/>
          <w:szCs w:val="22"/>
          <w:highlight w:val="none"/>
        </w:rPr>
        <w:t>第二</w:t>
      </w:r>
      <w:r>
        <w:rPr>
          <w:rFonts w:hint="eastAsia" w:asciiTheme="minorEastAsia" w:hAnsiTheme="minorEastAsia" w:eastAsiaTheme="minorEastAsia"/>
          <w:b w:val="0"/>
          <w:color w:val="auto"/>
          <w:position w:val="1"/>
          <w:sz w:val="22"/>
          <w:szCs w:val="22"/>
          <w:highlight w:val="none"/>
        </w:rPr>
        <w:t>十二条</w:t>
      </w:r>
      <w:r>
        <w:rPr>
          <w:rFonts w:asciiTheme="minorEastAsia" w:hAnsiTheme="minorEastAsia" w:eastAsiaTheme="minorEastAsia"/>
          <w:b w:val="0"/>
          <w:color w:val="auto"/>
          <w:position w:val="1"/>
          <w:sz w:val="22"/>
          <w:szCs w:val="22"/>
          <w:highlight w:val="none"/>
        </w:rPr>
        <w:t xml:space="preserve"> </w:t>
      </w:r>
      <w:r>
        <w:rPr>
          <w:rFonts w:hint="eastAsia" w:asciiTheme="minorEastAsia" w:hAnsiTheme="minorEastAsia" w:eastAsiaTheme="minorEastAsia"/>
          <w:b w:val="0"/>
          <w:color w:val="auto"/>
          <w:position w:val="2"/>
          <w:sz w:val="22"/>
          <w:szCs w:val="22"/>
          <w:highlight w:val="none"/>
        </w:rPr>
        <w:t>乙</w:t>
      </w:r>
      <w:r>
        <w:rPr>
          <w:rFonts w:hint="eastAsia" w:asciiTheme="minorEastAsia" w:hAnsiTheme="minorEastAsia" w:eastAsiaTheme="minorEastAsia"/>
          <w:b w:val="0"/>
          <w:color w:val="auto"/>
          <w:position w:val="1"/>
          <w:sz w:val="22"/>
          <w:szCs w:val="22"/>
          <w:highlight w:val="none"/>
        </w:rPr>
        <w:t>方应当遵守施</w:t>
      </w:r>
      <w:r>
        <w:rPr>
          <w:rFonts w:hint="eastAsia" w:asciiTheme="minorEastAsia" w:hAnsiTheme="minorEastAsia" w:eastAsiaTheme="minorEastAsia"/>
          <w:b w:val="0"/>
          <w:color w:val="auto"/>
          <w:sz w:val="22"/>
          <w:szCs w:val="22"/>
          <w:highlight w:val="none"/>
        </w:rPr>
        <w:t>工安全的技术标准、操作规程和制</w:t>
      </w:r>
      <w:r>
        <w:rPr>
          <w:rFonts w:hint="eastAsia" w:asciiTheme="minorEastAsia" w:hAnsiTheme="minorEastAsia" w:eastAsiaTheme="minorEastAsia"/>
          <w:b w:val="0"/>
          <w:color w:val="auto"/>
          <w:spacing w:val="-2"/>
          <w:sz w:val="22"/>
          <w:szCs w:val="22"/>
          <w:highlight w:val="none"/>
        </w:rPr>
        <w:t>度</w:t>
      </w:r>
      <w:r>
        <w:rPr>
          <w:rFonts w:hint="eastAsia" w:asciiTheme="minorEastAsia" w:hAnsiTheme="minorEastAsia" w:eastAsiaTheme="minorEastAsia"/>
          <w:b w:val="0"/>
          <w:color w:val="auto"/>
          <w:spacing w:val="-2"/>
          <w:position w:val="3"/>
          <w:sz w:val="22"/>
          <w:szCs w:val="22"/>
          <w:highlight w:val="none"/>
        </w:rPr>
        <w:t>，</w:t>
      </w:r>
      <w:r>
        <w:rPr>
          <w:rFonts w:hint="eastAsia" w:asciiTheme="minorEastAsia" w:hAnsiTheme="minorEastAsia" w:eastAsiaTheme="minorEastAsia"/>
          <w:b w:val="0"/>
          <w:color w:val="auto"/>
          <w:spacing w:val="-2"/>
          <w:position w:val="2"/>
          <w:sz w:val="22"/>
          <w:szCs w:val="22"/>
          <w:highlight w:val="none"/>
        </w:rPr>
        <w:t>不得违章指挥、</w:t>
      </w:r>
      <w:r>
        <w:rPr>
          <w:rFonts w:hint="eastAsia" w:asciiTheme="minorEastAsia" w:hAnsiTheme="minorEastAsia" w:eastAsiaTheme="minorEastAsia"/>
          <w:b w:val="0"/>
          <w:color w:val="auto"/>
          <w:spacing w:val="-2"/>
          <w:position w:val="1"/>
          <w:sz w:val="22"/>
          <w:szCs w:val="22"/>
          <w:highlight w:val="none"/>
        </w:rPr>
        <w:t>违章作业和违反劳动纪律。</w:t>
      </w:r>
      <w:r>
        <w:rPr>
          <w:rFonts w:hint="eastAsia" w:asciiTheme="minorEastAsia" w:hAnsiTheme="minorEastAsia" w:eastAsiaTheme="minorEastAsia"/>
          <w:b w:val="0"/>
          <w:color w:val="auto"/>
          <w:spacing w:val="-2"/>
          <w:sz w:val="22"/>
          <w:szCs w:val="22"/>
          <w:highlight w:val="none"/>
        </w:rPr>
        <w:t>发现违章指挥、违章</w:t>
      </w:r>
      <w:r>
        <w:rPr>
          <w:rFonts w:hint="eastAsia" w:asciiTheme="minorEastAsia" w:hAnsiTheme="minorEastAsia" w:eastAsiaTheme="minorEastAsia"/>
          <w:b w:val="0"/>
          <w:color w:val="auto"/>
          <w:spacing w:val="-2"/>
          <w:position w:val="2"/>
          <w:sz w:val="22"/>
          <w:szCs w:val="22"/>
          <w:highlight w:val="none"/>
        </w:rPr>
        <w:t>作业和违反劳动纪律的，</w:t>
      </w:r>
      <w:r>
        <w:rPr>
          <w:rFonts w:hint="eastAsia" w:asciiTheme="minorEastAsia" w:hAnsiTheme="minorEastAsia" w:eastAsiaTheme="minorEastAsia"/>
          <w:b w:val="0"/>
          <w:color w:val="auto"/>
          <w:spacing w:val="-2"/>
          <w:position w:val="1"/>
          <w:sz w:val="22"/>
          <w:szCs w:val="22"/>
          <w:highlight w:val="none"/>
        </w:rPr>
        <w:t>应当立即制止，并按照约</w:t>
      </w:r>
      <w:r>
        <w:rPr>
          <w:rFonts w:hint="eastAsia" w:asciiTheme="minorEastAsia" w:hAnsiTheme="minorEastAsia" w:eastAsiaTheme="minorEastAsia"/>
          <w:b w:val="0"/>
          <w:color w:val="auto"/>
          <w:spacing w:val="-2"/>
          <w:sz w:val="22"/>
          <w:szCs w:val="22"/>
          <w:highlight w:val="none"/>
        </w:rPr>
        <w:t>定予以处罚。</w:t>
      </w:r>
    </w:p>
    <w:p>
      <w:pPr>
        <w:pStyle w:val="21"/>
        <w:kinsoku w:val="0"/>
        <w:overflowPunct w:val="0"/>
        <w:spacing w:line="360" w:lineRule="auto"/>
        <w:ind w:firstLine="660" w:firstLineChars="3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第二十三条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乙方施工现场应当建立定期安全检查、隐患排查；专项检查、专项隐患排查；经常性安全检查；季节性、节假日安全检查；职工自检、不定期检查和安全日检等制度，并做好安全检查记录</w:t>
      </w:r>
      <w:r>
        <w:rPr>
          <w:rFonts w:asciiTheme="minorEastAsia" w:hAnsiTheme="minorEastAsia" w:eastAsiaTheme="minorEastAsia"/>
          <w:b w:val="0"/>
          <w:color w:val="auto"/>
          <w:sz w:val="22"/>
          <w:szCs w:val="22"/>
          <w:highlight w:val="none"/>
        </w:rPr>
        <w:t>,</w:t>
      </w:r>
      <w:r>
        <w:rPr>
          <w:rFonts w:hint="eastAsia" w:asciiTheme="minorEastAsia" w:hAnsiTheme="minorEastAsia" w:eastAsiaTheme="minorEastAsia"/>
          <w:b w:val="0"/>
          <w:color w:val="auto"/>
          <w:sz w:val="22"/>
          <w:szCs w:val="22"/>
          <w:highlight w:val="none"/>
        </w:rPr>
        <w:t>对存在的事故隐患必须按“五定”（定人员、定期限、定措施、定标准、定资金）及时整改，不能整改的要及时上报。并及时向甲方通报排查情况；对甲方或其他相关单位检查出的事故隐患，乙方必须按要求在规定时间内整改完毕。</w:t>
      </w:r>
    </w:p>
    <w:p>
      <w:pPr>
        <w:pStyle w:val="21"/>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对于施工通讯系统（包括内外线电话）、安全设施、机械设备、警示标志等，应当定期检查、维修和保养，并建立检查、维修和保养登记制度。</w:t>
      </w:r>
    </w:p>
    <w:p>
      <w:pPr>
        <w:pStyle w:val="21"/>
        <w:kinsoku w:val="0"/>
        <w:overflowPunct w:val="0"/>
        <w:spacing w:line="360" w:lineRule="auto"/>
        <w:ind w:firstLine="607"/>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第二十四条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要严格按照国家相关规定、规范、标准，定期对达到检测、校验期限的仪器、仪表和设备、容器送有资质的单位检测、校验，该淘汰的要坚决淘汰；严禁使用国家明令淘汰或限期淘汰以及严禁使用的仪器、仪表和设备、容器；要建立仪器、仪表和设备、容器管理制度和定期检测、校验台账，实行专人负责。</w:t>
      </w:r>
    </w:p>
    <w:p>
      <w:pPr>
        <w:pStyle w:val="21"/>
        <w:kinsoku w:val="0"/>
        <w:overflowPunct w:val="0"/>
        <w:spacing w:line="360" w:lineRule="auto"/>
        <w:ind w:firstLine="607"/>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第二十五条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乙方要针对施工场地周围存在山体滑坡、垮塌、泥石流，以及洪灾导致溃坝、溃堤、淤积危险河道等自然灾害威胁</w:t>
      </w:r>
    </w:p>
    <w:p>
      <w:pPr>
        <w:pStyle w:val="21"/>
        <w:kinsoku w:val="0"/>
        <w:overflowPunct w:val="0"/>
        <w:spacing w:line="360" w:lineRule="auto"/>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要制定落实防范治理措施，专人负责；制定落实风、雨、电、雪、冰冻、地震等可能造停电、停风、淹井事故的防范措施；可能威胁到在建矿井的废弃井口、涌水通道填堵封实；落实雨季“三防”（防洪、防排水、防雷电）、冬季“四防”（“防寒、防冻、防火、防中毒”）</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工作，</w:t>
      </w:r>
      <w:r>
        <w:rPr>
          <w:rFonts w:asciiTheme="minorEastAsia" w:hAnsiTheme="minorEastAsia" w:eastAsiaTheme="minorEastAsia"/>
          <w:b w:val="0"/>
          <w:color w:val="auto"/>
          <w:sz w:val="22"/>
          <w:szCs w:val="22"/>
          <w:highlight w:val="none"/>
        </w:rPr>
        <mc:AlternateContent>
          <mc:Choice Requires="wps">
            <w:drawing>
              <wp:anchor distT="0" distB="0" distL="114300" distR="114300" simplePos="0" relativeHeight="251662336" behindDoc="1" locked="0" layoutInCell="0" allowOverlap="1">
                <wp:simplePos x="0" y="0"/>
                <wp:positionH relativeFrom="page">
                  <wp:posOffset>88265</wp:posOffset>
                </wp:positionH>
                <wp:positionV relativeFrom="page">
                  <wp:posOffset>950595</wp:posOffset>
                </wp:positionV>
                <wp:extent cx="7251700" cy="8966200"/>
                <wp:effectExtent l="0" t="0" r="0" b="0"/>
                <wp:wrapNone/>
                <wp:docPr id="31" name="矩形 31"/>
                <wp:cNvGraphicFramePr/>
                <a:graphic xmlns:a="http://schemas.openxmlformats.org/drawingml/2006/main">
                  <a:graphicData uri="http://schemas.microsoft.com/office/word/2010/wordprocessingShape">
                    <wps:wsp>
                      <wps:cNvSpPr>
                        <a:spLocks noChangeArrowheads="1"/>
                      </wps:cNvSpPr>
                      <wps:spPr bwMode="auto">
                        <a:xfrm>
                          <a:off x="0" y="0"/>
                          <a:ext cx="7251700" cy="8966200"/>
                        </a:xfrm>
                        <a:prstGeom prst="rect">
                          <a:avLst/>
                        </a:prstGeom>
                        <a:noFill/>
                        <a:ln>
                          <a:noFill/>
                        </a:ln>
                      </wps:spPr>
                      <wps:txbx>
                        <w:txbxContent>
                          <w:p>
                            <w:pPr>
                              <w:rPr>
                                <w:sz w:val="24"/>
                                <w:szCs w:val="24"/>
                              </w:rPr>
                            </w:pP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6.95pt;margin-top:74.85pt;height:706pt;width:571pt;mso-position-horizontal-relative:page;mso-position-vertical-relative:page;z-index:-251654144;mso-width-relative:page;mso-height-relative:page;" filled="f" stroked="f" coordsize="21600,21600" o:allowincell="f" o:gfxdata="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z&#10;F5b12wAAAAwBAAAPAAAAAAAAAAEAIAAAACIAAABkcnMvZG93bnJldi54bWxQSwECFAAUAAAACACH&#10;TuJAUGa99OgBAACtAwAADgAAAAAAAAABACAAAAAqAQAAZHJzL2Uyb0RvYy54bWxQSwUGAAAAAAYA&#10;BgBZAQAAhAUAAAAA&#10;">
                <v:fill on="f" focussize="0,0"/>
                <v:stroke on="f"/>
                <v:imagedata o:title=""/>
                <o:lock v:ext="edit" aspectratio="f"/>
                <v:textbox inset="0mm,0mm,0mm,0mm">
                  <w:txbxContent>
                    <w:p>
                      <w:pPr>
                        <w:rPr>
                          <w:sz w:val="24"/>
                          <w:szCs w:val="24"/>
                        </w:rPr>
                      </w:pPr>
                    </w:p>
                  </w:txbxContent>
                </v:textbox>
              </v:rect>
            </w:pict>
          </mc:Fallback>
        </mc:AlternateContent>
      </w:r>
      <w:r>
        <w:rPr>
          <w:rFonts w:hint="eastAsia" w:asciiTheme="minorEastAsia" w:hAnsiTheme="minorEastAsia" w:eastAsiaTheme="minorEastAsia"/>
          <w:b w:val="0"/>
          <w:color w:val="auto"/>
          <w:sz w:val="22"/>
          <w:szCs w:val="22"/>
          <w:highlight w:val="none"/>
        </w:rPr>
        <w:t>要制定切实可行的措施。</w:t>
      </w:r>
    </w:p>
    <w:p>
      <w:pPr>
        <w:pStyle w:val="21"/>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第二十六条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乙方应当教育职工爱护矿山安全生产设施。损坏安全生产设施要及时恢复，乙方承担由此所造成的一切后果。</w:t>
      </w:r>
    </w:p>
    <w:p>
      <w:pPr>
        <w:pStyle w:val="21"/>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第二十七条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因乙方原因造成重大事故隐患或发生事故，致使甲方受到上级主管部门经济处罚或遭受其它损失的，由乙方承担。</w:t>
      </w:r>
    </w:p>
    <w:p>
      <w:pPr>
        <w:pStyle w:val="21"/>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第二十八条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发生灾害事故时，乙方应当及时向甲方通报，并认真执行甲方抢险、救灾命令，一切人员、材料、设备等均无条件服从甲方调度。</w:t>
      </w:r>
    </w:p>
    <w:p>
      <w:pPr>
        <w:pStyle w:val="21"/>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第二十九条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发生伤亡事故时，乙方应当及时、如实报告，不得迟报、瞒报、谎报；不得故意破坏事故现场，毁灭相关证据。</w:t>
      </w:r>
    </w:p>
    <w:p>
      <w:pPr>
        <w:pStyle w:val="21"/>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第三十条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发生生产安全事故后，乙方应当视具体情况采取必要措施，防止事故扩大，保护事故现场。需要移动现场物品时，应当做出标记和书面记录，妥善保管有关证物，并作好记录。</w:t>
      </w:r>
    </w:p>
    <w:p>
      <w:pPr>
        <w:pStyle w:val="21"/>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第三十一条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乙方与其它施工单位在施工区域内共同作业时须签订安全生产管理协议，明确各方的安全管理职责，并报甲方备案。</w:t>
      </w:r>
    </w:p>
    <w:p>
      <w:pPr>
        <w:pStyle w:val="21"/>
        <w:tabs>
          <w:tab w:val="left" w:pos="1333"/>
        </w:tabs>
        <w:kinsoku w:val="0"/>
        <w:overflowPunct w:val="0"/>
        <w:spacing w:line="360" w:lineRule="auto"/>
        <w:jc w:val="center"/>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第三章</w:t>
      </w:r>
      <w:r>
        <w:rPr>
          <w:rFonts w:asciiTheme="minorEastAsia" w:hAnsiTheme="minorEastAsia" w:eastAsiaTheme="minorEastAsia"/>
          <w:b w:val="0"/>
          <w:color w:val="auto"/>
          <w:sz w:val="22"/>
          <w:szCs w:val="22"/>
          <w:highlight w:val="none"/>
        </w:rPr>
        <w:tab/>
      </w:r>
      <w:r>
        <w:rPr>
          <w:rFonts w:hint="eastAsia" w:asciiTheme="minorEastAsia" w:hAnsiTheme="minorEastAsia" w:eastAsiaTheme="minorEastAsia"/>
          <w:b w:val="0"/>
          <w:color w:val="auto"/>
          <w:sz w:val="22"/>
          <w:szCs w:val="22"/>
          <w:highlight w:val="none"/>
        </w:rPr>
        <w:t>安全生产管理责任罚则</w:t>
      </w:r>
    </w:p>
    <w:p>
      <w:pPr>
        <w:pStyle w:val="21"/>
        <w:kinsoku w:val="0"/>
        <w:overflowPunct w:val="0"/>
        <w:spacing w:line="360" w:lineRule="auto"/>
        <w:ind w:firstLine="579"/>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第三十二条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甲方违反本协议第七条约定，发生灾害事故可能波及乙方施工范围时，没有及时通知乙方人员撤离，给乙方造成伤亡及事故损失，责任由甲方承担。</w:t>
      </w:r>
    </w:p>
    <w:p>
      <w:pPr>
        <w:pStyle w:val="21"/>
        <w:kinsoku w:val="0"/>
        <w:overflowPunct w:val="0"/>
        <w:spacing w:line="360" w:lineRule="auto"/>
        <w:ind w:firstLine="579"/>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第三十三条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甲方违反本协议第八条约定，在接到报告后，没有及时要求乙方停工并组织相关单位制定应急安全防范措施或提出修改设计并按程序重新报批的，对乙方造成责任、事故、灾害及其他损失的，应承担全部责任及损失。</w:t>
      </w:r>
    </w:p>
    <w:p>
      <w:pPr>
        <w:pStyle w:val="21"/>
        <w:kinsoku w:val="0"/>
        <w:overflowPunct w:val="0"/>
        <w:spacing w:line="360" w:lineRule="auto"/>
        <w:ind w:right="100" w:rightChars="50" w:firstLine="440" w:firstLineChars="200"/>
        <w:jc w:val="left"/>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第三十四条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甲方违反本协议第九条约定，对乙方提出不符合安全生产法律、法规和强制性标准规定的要求，乙方有权拒绝执行，如乙方在没有提出异议的情况下默认执行，由此造成经济、伤亡及事故损失，甲乙方按上级事故调查部门调查结果承担相应责任。</w:t>
      </w:r>
    </w:p>
    <w:p>
      <w:pPr>
        <w:pStyle w:val="21"/>
        <w:kinsoku w:val="0"/>
        <w:overflowPunct w:val="0"/>
        <w:spacing w:line="360" w:lineRule="auto"/>
        <w:ind w:right="100" w:rightChars="50"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第三十五条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项目负责人由没有取得相应执业资格的人员担任，没有取得相应的安全管理资格证和上岗作业证。没有尽到安全管理责任，乙方要在甲方规定限期内整改，由此造成的对甲、乙方的责任、事故、灾害及其他经济损失的，乙方应承担全部责任及损失。</w:t>
      </w:r>
    </w:p>
    <w:p>
      <w:pPr>
        <w:pStyle w:val="21"/>
        <w:kinsoku w:val="0"/>
        <w:overflowPunct w:val="0"/>
        <w:spacing w:line="360" w:lineRule="auto"/>
        <w:ind w:firstLine="660" w:firstLineChars="3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第三十六条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乙方没有落实劳动生产教育培训制度从业人员未经安全生产教育，特种作业人员未经考核合格，取得上岗证书</w:t>
      </w:r>
      <w:r>
        <w:rPr>
          <w:rFonts w:asciiTheme="minorEastAsia" w:hAnsiTheme="minorEastAsia" w:eastAsiaTheme="minorEastAsia"/>
          <w:b w:val="0"/>
          <w:color w:val="auto"/>
          <w:sz w:val="22"/>
          <w:szCs w:val="22"/>
          <w:highlight w:val="none"/>
        </w:rPr>
        <w:t>,</w:t>
      </w:r>
      <w:r>
        <w:rPr>
          <w:rFonts w:hint="eastAsia" w:asciiTheme="minorEastAsia" w:hAnsiTheme="minorEastAsia" w:eastAsiaTheme="minorEastAsia"/>
          <w:b w:val="0"/>
          <w:color w:val="auto"/>
          <w:sz w:val="22"/>
          <w:szCs w:val="22"/>
          <w:highlight w:val="none"/>
        </w:rPr>
        <w:t>特种作业人员数量不满足施工要求等。甲方除要求乙方限期按要求配齐外，并处罚款</w:t>
      </w:r>
      <w:r>
        <w:rPr>
          <w:rFonts w:asciiTheme="minorEastAsia" w:hAnsiTheme="minorEastAsia" w:eastAsiaTheme="minorEastAsia"/>
          <w:b w:val="0"/>
          <w:color w:val="auto"/>
          <w:sz w:val="22"/>
          <w:szCs w:val="22"/>
          <w:highlight w:val="none"/>
        </w:rPr>
        <w:t xml:space="preserve"> 1000-3000</w:t>
      </w:r>
      <w:r>
        <w:rPr>
          <w:rFonts w:hint="eastAsia" w:asciiTheme="minorEastAsia" w:hAnsiTheme="minorEastAsia" w:eastAsiaTheme="minorEastAsia"/>
          <w:b w:val="0"/>
          <w:color w:val="auto"/>
          <w:sz w:val="22"/>
          <w:szCs w:val="22"/>
          <w:highlight w:val="none"/>
        </w:rPr>
        <w:t>元，在施工中发生的一切责任、事故、灾害及其他经济损失的，乙方应承担全部责任。并赔偿由此对甲方造成的损失。</w:t>
      </w:r>
    </w:p>
    <w:p>
      <w:pPr>
        <w:pStyle w:val="21"/>
        <w:kinsoku w:val="0"/>
        <w:overflowPunct w:val="0"/>
        <w:spacing w:line="360" w:lineRule="auto"/>
        <w:ind w:firstLine="613"/>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第三十七条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乙方没有及时与从业人员签订劳动用合同，没有依法为从业人员参加现场意外伤害保险，为其从业人员交纳保险费的，甲方除要求乙方限期整改外，并视情节轻重处罚款</w:t>
      </w:r>
      <w:r>
        <w:rPr>
          <w:rFonts w:asciiTheme="minorEastAsia" w:hAnsiTheme="minorEastAsia" w:eastAsiaTheme="minorEastAsia"/>
          <w:b w:val="0"/>
          <w:color w:val="auto"/>
          <w:sz w:val="22"/>
          <w:szCs w:val="22"/>
          <w:highlight w:val="none"/>
        </w:rPr>
        <w:t xml:space="preserve"> 2000-5000 </w:t>
      </w:r>
      <w:r>
        <w:rPr>
          <w:rFonts w:hint="eastAsia" w:asciiTheme="minorEastAsia" w:hAnsiTheme="minorEastAsia" w:eastAsiaTheme="minorEastAsia"/>
          <w:b w:val="0"/>
          <w:color w:val="auto"/>
          <w:sz w:val="22"/>
          <w:szCs w:val="22"/>
          <w:highlight w:val="none"/>
        </w:rPr>
        <w:t>元，由此造成的一切损失及责任由乙方全部承担。</w:t>
      </w:r>
    </w:p>
    <w:p>
      <w:pPr>
        <w:pStyle w:val="21"/>
        <w:kinsoku w:val="0"/>
        <w:overflowPunct w:val="0"/>
        <w:spacing w:line="360" w:lineRule="auto"/>
        <w:ind w:firstLine="603"/>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第三十八条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发生灾害事故时，乙方没有及时向甲方通报，没有认真执行甲方抢险、救灾命令，人员、材料、设备等不服从甲方调度。造成的一切后果，全部由乙方承担。</w:t>
      </w:r>
    </w:p>
    <w:p>
      <w:pPr>
        <w:pStyle w:val="21"/>
        <w:tabs>
          <w:tab w:val="left" w:pos="4568"/>
        </w:tabs>
        <w:kinsoku w:val="0"/>
        <w:overflowPunct w:val="0"/>
        <w:spacing w:line="360" w:lineRule="auto"/>
        <w:ind w:firstLine="6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第三十九条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发生伤亡事故时，没有及时、如实报告，发生迟报、瞒报、谎报</w:t>
      </w:r>
      <w:r>
        <w:rPr>
          <w:rFonts w:asciiTheme="minorEastAsia" w:hAnsiTheme="minorEastAsia" w:eastAsiaTheme="minorEastAsia"/>
          <w:b w:val="0"/>
          <w:color w:val="auto"/>
          <w:sz w:val="22"/>
          <w:szCs w:val="22"/>
          <w:highlight w:val="none"/>
        </w:rPr>
        <w:t>;</w:t>
      </w:r>
      <w:r>
        <w:rPr>
          <w:rFonts w:hint="eastAsia" w:asciiTheme="minorEastAsia" w:hAnsiTheme="minorEastAsia" w:eastAsiaTheme="minorEastAsia"/>
          <w:b w:val="0"/>
          <w:color w:val="auto"/>
          <w:sz w:val="22"/>
          <w:szCs w:val="22"/>
          <w:highlight w:val="none"/>
        </w:rPr>
        <w:t>故意破坏事故现场，毁灭相关证据的。除处以</w:t>
      </w:r>
      <w:r>
        <w:rPr>
          <w:rFonts w:asciiTheme="minorEastAsia" w:hAnsiTheme="minorEastAsia" w:eastAsiaTheme="minorEastAsia"/>
          <w:b w:val="0"/>
          <w:color w:val="auto"/>
          <w:sz w:val="22"/>
          <w:szCs w:val="22"/>
          <w:highlight w:val="none"/>
        </w:rPr>
        <w:t>10000-30000</w:t>
      </w:r>
      <w:r>
        <w:rPr>
          <w:rFonts w:hint="eastAsia" w:asciiTheme="minorEastAsia" w:hAnsiTheme="minorEastAsia" w:eastAsiaTheme="minorEastAsia"/>
          <w:b w:val="0"/>
          <w:color w:val="auto"/>
          <w:sz w:val="22"/>
          <w:szCs w:val="22"/>
          <w:highlight w:val="none"/>
        </w:rPr>
        <w:t>元的罚款外。造成的一切后果，由乙方承担。</w:t>
      </w:r>
    </w:p>
    <w:p>
      <w:pPr>
        <w:pStyle w:val="21"/>
        <w:kinsoku w:val="0"/>
        <w:overflowPunct w:val="0"/>
        <w:spacing w:line="360" w:lineRule="auto"/>
        <w:ind w:firstLine="597"/>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第四十条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因乙方原因发生重大事故隐患或对甲方及上级查出的事故隐患没有按规定措施、期限整改的，必须按规定措施、期限予以整改，并处以</w:t>
      </w:r>
      <w:r>
        <w:rPr>
          <w:rFonts w:asciiTheme="minorEastAsia" w:hAnsiTheme="minorEastAsia" w:eastAsiaTheme="minorEastAsia"/>
          <w:b w:val="0"/>
          <w:color w:val="auto"/>
          <w:sz w:val="22"/>
          <w:szCs w:val="22"/>
          <w:highlight w:val="none"/>
        </w:rPr>
        <w:t>3000-5000</w:t>
      </w:r>
      <w:r>
        <w:rPr>
          <w:rFonts w:hint="eastAsia" w:asciiTheme="minorEastAsia" w:hAnsiTheme="minorEastAsia" w:eastAsiaTheme="minorEastAsia"/>
          <w:b w:val="0"/>
          <w:color w:val="auto"/>
          <w:sz w:val="22"/>
          <w:szCs w:val="22"/>
          <w:highlight w:val="none"/>
        </w:rPr>
        <w:t>元的罚款；如在规定期限内仍未整改，加</w:t>
      </w:r>
      <w:r>
        <w:rPr>
          <w:rFonts w:asciiTheme="minorEastAsia" w:hAnsiTheme="minorEastAsia" w:eastAsiaTheme="minorEastAsia"/>
          <w:b w:val="0"/>
          <w:color w:val="auto"/>
          <w:sz w:val="22"/>
          <w:szCs w:val="22"/>
          <w:highlight w:val="none"/>
        </w:rPr>
        <mc:AlternateContent>
          <mc:Choice Requires="wps">
            <w:drawing>
              <wp:anchor distT="0" distB="0" distL="114300" distR="114300" simplePos="0" relativeHeight="251663360" behindDoc="1" locked="0" layoutInCell="0" allowOverlap="1">
                <wp:simplePos x="0" y="0"/>
                <wp:positionH relativeFrom="page">
                  <wp:posOffset>88265</wp:posOffset>
                </wp:positionH>
                <wp:positionV relativeFrom="page">
                  <wp:posOffset>949960</wp:posOffset>
                </wp:positionV>
                <wp:extent cx="7251700" cy="8966200"/>
                <wp:effectExtent l="0" t="0" r="0" b="0"/>
                <wp:wrapNone/>
                <wp:docPr id="30" name="矩形 30"/>
                <wp:cNvGraphicFramePr/>
                <a:graphic xmlns:a="http://schemas.openxmlformats.org/drawingml/2006/main">
                  <a:graphicData uri="http://schemas.microsoft.com/office/word/2010/wordprocessingShape">
                    <wps:wsp>
                      <wps:cNvSpPr>
                        <a:spLocks noChangeArrowheads="1"/>
                      </wps:cNvSpPr>
                      <wps:spPr bwMode="auto">
                        <a:xfrm>
                          <a:off x="0" y="0"/>
                          <a:ext cx="7251700" cy="8966200"/>
                        </a:xfrm>
                        <a:prstGeom prst="rect">
                          <a:avLst/>
                        </a:prstGeom>
                        <a:noFill/>
                        <a:ln>
                          <a:noFill/>
                        </a:ln>
                      </wps:spPr>
                      <wps:txbx>
                        <w:txbxContent>
                          <w:p>
                            <w:pPr>
                              <w:spacing w:line="14120" w:lineRule="atLeast"/>
                              <w:rPr>
                                <w:sz w:val="24"/>
                                <w:szCs w:val="24"/>
                              </w:rPr>
                            </w:pPr>
                          </w:p>
                          <w:p>
                            <w:pPr>
                              <w:rPr>
                                <w:sz w:val="24"/>
                                <w:szCs w:val="24"/>
                              </w:rPr>
                            </w:pP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6.95pt;margin-top:74.8pt;height:706pt;width:571pt;mso-position-horizontal-relative:page;mso-position-vertical-relative:page;z-index:-251653120;mso-width-relative:page;mso-height-relative:page;" filled="f" stroked="f" coordsize="21600,21600" o:allowincell="f" o:gfxdata="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nP1s2gAAAAwBAAAPAAAAAAAAAAEAIAAAACIAAABkcnMvZG93bnJldi54bWxQSwECFAAUAAAACACH&#10;TuJAvCUfuOkBAACtAwAADgAAAAAAAAABACAAAAApAQAAZHJzL2Uyb0RvYy54bWxQSwUGAAAAAAYA&#10;BgBZAQAAhAUAAAAA&#10;">
                <v:fill on="f" focussize="0,0"/>
                <v:stroke on="f"/>
                <v:imagedata o:title=""/>
                <o:lock v:ext="edit" aspectratio="f"/>
                <v:textbox inset="0mm,0mm,0mm,0mm">
                  <w:txbxContent>
                    <w:p>
                      <w:pPr>
                        <w:spacing w:line="14120" w:lineRule="atLeast"/>
                        <w:rPr>
                          <w:sz w:val="24"/>
                          <w:szCs w:val="24"/>
                        </w:rPr>
                      </w:pPr>
                    </w:p>
                    <w:p>
                      <w:pPr>
                        <w:rPr>
                          <w:sz w:val="24"/>
                          <w:szCs w:val="24"/>
                        </w:rPr>
                      </w:pPr>
                    </w:p>
                  </w:txbxContent>
                </v:textbox>
              </v:rect>
            </w:pict>
          </mc:Fallback>
        </mc:AlternateContent>
      </w:r>
      <w:r>
        <w:rPr>
          <w:rFonts w:hint="eastAsia" w:asciiTheme="minorEastAsia" w:hAnsiTheme="minorEastAsia" w:eastAsiaTheme="minorEastAsia"/>
          <w:b w:val="0"/>
          <w:color w:val="auto"/>
          <w:sz w:val="22"/>
          <w:szCs w:val="22"/>
          <w:highlight w:val="none"/>
        </w:rPr>
        <w:t>倍处罚。</w:t>
      </w:r>
    </w:p>
    <w:p>
      <w:pPr>
        <w:pStyle w:val="21"/>
        <w:kinsoku w:val="0"/>
        <w:overflowPunct w:val="0"/>
        <w:spacing w:line="360" w:lineRule="auto"/>
        <w:ind w:firstLine="581"/>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第四十一条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乙方作业区域内若发生重大安全未遂事故时，根据情节轻重，甲方对其按</w:t>
      </w:r>
      <w:r>
        <w:rPr>
          <w:rFonts w:asciiTheme="minorEastAsia" w:hAnsiTheme="minorEastAsia" w:eastAsiaTheme="minorEastAsia"/>
          <w:b w:val="0"/>
          <w:color w:val="auto"/>
          <w:sz w:val="22"/>
          <w:szCs w:val="22"/>
          <w:highlight w:val="none"/>
        </w:rPr>
        <w:t xml:space="preserve"> 10000-30000</w:t>
      </w:r>
      <w:r>
        <w:rPr>
          <w:rFonts w:hint="eastAsia" w:asciiTheme="minorEastAsia" w:hAnsiTheme="minorEastAsia" w:eastAsiaTheme="minorEastAsia"/>
          <w:b w:val="0"/>
          <w:color w:val="auto"/>
          <w:sz w:val="22"/>
          <w:szCs w:val="22"/>
          <w:highlight w:val="none"/>
        </w:rPr>
        <w:t>元</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次进行处罚，情节严重或造成重大损失的，按照上级部门追查决定执行。</w:t>
      </w:r>
    </w:p>
    <w:p>
      <w:pPr>
        <w:pStyle w:val="21"/>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第四十二条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各类安全奖罚由甲方安全管理部门负责奖罚兑现，奖罚均在月度结算中扣除。</w:t>
      </w:r>
    </w:p>
    <w:p>
      <w:pPr>
        <w:pStyle w:val="21"/>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第四十三条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甲方对乙方安全管理绩效进行定期考核，对安全工作中做出突出成绩的有关人员进行奖励。</w:t>
      </w:r>
    </w:p>
    <w:p>
      <w:pPr>
        <w:pStyle w:val="21"/>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第四十四条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因乙方原因发生事故，甲方应积极协助救护，其医疗及相关处理费用由乙方承担；给甲方造成伤亡事故及损失，责任由乙方承担。</w:t>
      </w:r>
    </w:p>
    <w:p>
      <w:pPr>
        <w:pStyle w:val="21"/>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第四十五条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因不可抗力原因造成伤亡及事故损失，其费用按国家法律、法规的有关规定执行。</w:t>
      </w:r>
    </w:p>
    <w:p>
      <w:pPr>
        <w:pStyle w:val="21"/>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第四十六条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甲乙双方违反约定，触犯国家、省有关法律法规的，由有关部门按照有关法律法规的规定进行处罚。</w:t>
      </w:r>
    </w:p>
    <w:p>
      <w:pPr>
        <w:pStyle w:val="21"/>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第四十七条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根据中煤集团关于煤矿外委队伍安全管理指导意见（修订）文件规定，如乙方发生较大以上事故、年度内发生两起死亡责任事故的；安全质量标准化考核连续两月不达标的；队伍资质不符合、过期或失效的；挂靠、转包、违法分包的，甲方将按照规定予以清退并上报集团公司。</w:t>
      </w:r>
    </w:p>
    <w:p>
      <w:pPr>
        <w:bidi w:val="0"/>
      </w:pPr>
      <w:r>
        <w:rPr>
          <w:rFonts w:hint="eastAsia"/>
        </w:rPr>
        <w:t>第四章</w:t>
      </w:r>
      <w:r>
        <w:t xml:space="preserve">  </w:t>
      </w:r>
      <w:r>
        <w:rPr>
          <w:rFonts w:hint="eastAsia"/>
        </w:rPr>
        <w:t>一般规定</w:t>
      </w:r>
    </w:p>
    <w:p>
      <w:pPr>
        <w:pStyle w:val="21"/>
        <w:kinsoku w:val="0"/>
        <w:overflowPunct w:val="0"/>
        <w:spacing w:line="360" w:lineRule="auto"/>
        <w:ind w:firstLine="587"/>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第四十八条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本协议在执行中所发生的一切指令、通知、整改单等，都必须以书面文字为准（包括电子文件、传真、</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扫描件、邮件等），</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如确属情况特殊现场不能形成书面记录、指令、通知等，必须在</w:t>
      </w:r>
      <w:r>
        <w:rPr>
          <w:rFonts w:asciiTheme="minorEastAsia" w:hAnsiTheme="minorEastAsia" w:eastAsiaTheme="minorEastAsia"/>
          <w:b w:val="0"/>
          <w:color w:val="auto"/>
          <w:sz w:val="22"/>
          <w:szCs w:val="22"/>
          <w:highlight w:val="none"/>
        </w:rPr>
        <w:t xml:space="preserve"> 48 </w:t>
      </w:r>
      <w:r>
        <w:rPr>
          <w:rFonts w:hint="eastAsia" w:asciiTheme="minorEastAsia" w:hAnsiTheme="minorEastAsia" w:eastAsiaTheme="minorEastAsia"/>
          <w:b w:val="0"/>
          <w:color w:val="auto"/>
          <w:sz w:val="22"/>
          <w:szCs w:val="22"/>
          <w:highlight w:val="none"/>
        </w:rPr>
        <w:t>小时内补齐。</w:t>
      </w:r>
    </w:p>
    <w:p>
      <w:pPr>
        <w:pStyle w:val="21"/>
        <w:kinsoku w:val="0"/>
        <w:overflowPunct w:val="0"/>
        <w:spacing w:line="360" w:lineRule="auto"/>
        <w:ind w:firstLine="59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第四十九条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本协议执行中如发生争议，应甲乙双方协调解决；协调不成，任何一方均可向运城人民法院提起诉讼。</w:t>
      </w:r>
    </w:p>
    <w:p>
      <w:pPr>
        <w:pStyle w:val="21"/>
        <w:kinsoku w:val="0"/>
        <w:overflowPunct w:val="0"/>
        <w:spacing w:line="360" w:lineRule="auto"/>
        <w:ind w:firstLine="561"/>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第五十条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本协议在执行中如有未尽事宜，国家法律、法规有规定的，从其规定；国家法律、法规没有规定的，由甲乙双方共同协商签订补充协议，补充协议与本协议效力相同。双方对本协议内容均己充分知悉，理解；对于本协议涉及的相关内容甲方也已充分告知了乙方。</w:t>
      </w:r>
    </w:p>
    <w:p>
      <w:pPr>
        <w:pStyle w:val="21"/>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第五十一条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本协议壹式拾份，效力相同，甲方执伍份，乙方执伍份。</w:t>
      </w:r>
    </w:p>
    <w:p>
      <w:pPr>
        <w:pStyle w:val="21"/>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第五十二条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本协议由双方法定代表人或授权代表签字或盖章并</w:t>
      </w:r>
    </w:p>
    <w:p>
      <w:pPr>
        <w:pStyle w:val="21"/>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加盖合同专用章或公章之后生效。</w:t>
      </w:r>
    </w:p>
    <w:p>
      <w:pPr>
        <w:pStyle w:val="21"/>
        <w:kinsoku w:val="0"/>
        <w:overflowPunct w:val="0"/>
        <w:rPr>
          <w:color w:val="auto"/>
          <w:position w:val="1"/>
          <w:sz w:val="28"/>
          <w:szCs w:val="28"/>
          <w:highlight w:val="none"/>
        </w:rPr>
      </w:pPr>
    </w:p>
    <w:p>
      <w:pPr>
        <w:pStyle w:val="21"/>
        <w:kinsoku w:val="0"/>
        <w:overflowPunct w:val="0"/>
        <w:rPr>
          <w:b w:val="0"/>
          <w:color w:val="auto"/>
          <w:spacing w:val="-10"/>
          <w:sz w:val="24"/>
          <w:szCs w:val="28"/>
          <w:highlight w:val="none"/>
        </w:rPr>
      </w:pPr>
      <w:r>
        <w:rPr>
          <w:rFonts w:hint="eastAsia"/>
          <w:b w:val="0"/>
          <w:color w:val="auto"/>
          <w:position w:val="1"/>
          <w:sz w:val="24"/>
          <w:szCs w:val="28"/>
          <w:highlight w:val="none"/>
        </w:rPr>
        <w:t>甲方</w:t>
      </w:r>
      <w:r>
        <w:rPr>
          <w:rFonts w:hint="eastAsia"/>
          <w:b w:val="0"/>
          <w:color w:val="auto"/>
          <w:spacing w:val="-196"/>
          <w:w w:val="102"/>
          <w:position w:val="1"/>
          <w:sz w:val="24"/>
          <w:szCs w:val="28"/>
          <w:highlight w:val="none"/>
        </w:rPr>
        <w:t>：</w:t>
      </w:r>
      <w:r>
        <w:rPr>
          <w:rFonts w:hint="eastAsia"/>
          <w:b w:val="0"/>
          <w:color w:val="auto"/>
          <w:w w:val="98"/>
          <w:sz w:val="24"/>
          <w:szCs w:val="28"/>
          <w:highlight w:val="none"/>
        </w:rPr>
        <w:t>（</w:t>
      </w:r>
      <w:r>
        <w:rPr>
          <w:rFonts w:hint="eastAsia"/>
          <w:b w:val="0"/>
          <w:color w:val="auto"/>
          <w:sz w:val="24"/>
          <w:szCs w:val="28"/>
          <w:highlight w:val="none"/>
        </w:rPr>
        <w:t>盖章</w:t>
      </w:r>
      <w:r>
        <w:rPr>
          <w:rFonts w:hint="eastAsia"/>
          <w:b w:val="0"/>
          <w:color w:val="auto"/>
          <w:spacing w:val="-10"/>
          <w:sz w:val="24"/>
          <w:szCs w:val="28"/>
          <w:highlight w:val="none"/>
        </w:rPr>
        <w:t>）</w:t>
      </w:r>
      <w:r>
        <w:rPr>
          <w:b w:val="0"/>
          <w:color w:val="auto"/>
          <w:spacing w:val="-10"/>
          <w:sz w:val="24"/>
          <w:szCs w:val="28"/>
          <w:highlight w:val="none"/>
        </w:rPr>
        <w:t xml:space="preserve">                       </w:t>
      </w:r>
      <w:r>
        <w:rPr>
          <w:rFonts w:hint="eastAsia"/>
          <w:b w:val="0"/>
          <w:color w:val="auto"/>
          <w:spacing w:val="-10"/>
          <w:sz w:val="24"/>
          <w:szCs w:val="28"/>
          <w:highlight w:val="none"/>
          <w:lang w:val="en-US" w:eastAsia="zh-CN"/>
        </w:rPr>
        <w:t xml:space="preserve">                   </w:t>
      </w:r>
      <w:r>
        <w:rPr>
          <w:b w:val="0"/>
          <w:color w:val="auto"/>
          <w:spacing w:val="-10"/>
          <w:sz w:val="24"/>
          <w:szCs w:val="28"/>
          <w:highlight w:val="none"/>
        </w:rPr>
        <w:t xml:space="preserve">  </w:t>
      </w:r>
      <w:r>
        <w:rPr>
          <w:rFonts w:hint="eastAsia"/>
          <w:b w:val="0"/>
          <w:color w:val="auto"/>
          <w:spacing w:val="-10"/>
          <w:sz w:val="24"/>
          <w:szCs w:val="28"/>
          <w:highlight w:val="none"/>
        </w:rPr>
        <w:t>乙方：（盖章）</w:t>
      </w:r>
    </w:p>
    <w:p>
      <w:pPr>
        <w:pStyle w:val="21"/>
        <w:kinsoku w:val="0"/>
        <w:overflowPunct w:val="0"/>
        <w:rPr>
          <w:b w:val="0"/>
          <w:color w:val="auto"/>
          <w:spacing w:val="-10"/>
          <w:sz w:val="24"/>
          <w:szCs w:val="28"/>
          <w:highlight w:val="none"/>
        </w:rPr>
      </w:pPr>
      <w:r>
        <w:rPr>
          <w:rFonts w:hint="eastAsia"/>
          <w:b w:val="0"/>
          <w:color w:val="auto"/>
          <w:spacing w:val="-4"/>
          <w:position w:val="1"/>
          <w:sz w:val="24"/>
          <w:szCs w:val="28"/>
          <w:highlight w:val="none"/>
        </w:rPr>
        <w:t>法定</w:t>
      </w:r>
      <w:r>
        <w:rPr>
          <w:rFonts w:hint="eastAsia"/>
          <w:b w:val="0"/>
          <w:color w:val="auto"/>
          <w:spacing w:val="-4"/>
          <w:sz w:val="24"/>
          <w:szCs w:val="28"/>
          <w:highlight w:val="none"/>
        </w:rPr>
        <w:t>代表</w:t>
      </w:r>
      <w:r>
        <w:rPr>
          <w:rFonts w:hint="eastAsia"/>
          <w:b w:val="0"/>
          <w:color w:val="auto"/>
          <w:spacing w:val="-10"/>
          <w:sz w:val="24"/>
          <w:szCs w:val="28"/>
          <w:highlight w:val="none"/>
        </w:rPr>
        <w:t>人</w:t>
      </w:r>
      <w:r>
        <w:rPr>
          <w:b w:val="0"/>
          <w:color w:val="auto"/>
          <w:spacing w:val="-10"/>
          <w:sz w:val="24"/>
          <w:szCs w:val="28"/>
          <w:highlight w:val="none"/>
        </w:rPr>
        <w:t xml:space="preserve">                           </w:t>
      </w:r>
      <w:r>
        <w:rPr>
          <w:rFonts w:hint="eastAsia"/>
          <w:b w:val="0"/>
          <w:color w:val="auto"/>
          <w:spacing w:val="-10"/>
          <w:sz w:val="24"/>
          <w:szCs w:val="28"/>
          <w:highlight w:val="none"/>
          <w:lang w:val="en-US" w:eastAsia="zh-CN"/>
        </w:rPr>
        <w:t xml:space="preserve">                       </w:t>
      </w:r>
      <w:r>
        <w:rPr>
          <w:b w:val="0"/>
          <w:color w:val="auto"/>
          <w:spacing w:val="-10"/>
          <w:sz w:val="24"/>
          <w:szCs w:val="28"/>
          <w:highlight w:val="none"/>
        </w:rPr>
        <w:t xml:space="preserve"> </w:t>
      </w:r>
      <w:r>
        <w:rPr>
          <w:rFonts w:hint="eastAsia"/>
          <w:b w:val="0"/>
          <w:color w:val="auto"/>
          <w:spacing w:val="-10"/>
          <w:sz w:val="24"/>
          <w:szCs w:val="28"/>
          <w:highlight w:val="none"/>
        </w:rPr>
        <w:t>法定代表人</w:t>
      </w:r>
    </w:p>
    <w:p>
      <w:pPr>
        <w:pStyle w:val="21"/>
        <w:kinsoku w:val="0"/>
        <w:overflowPunct w:val="0"/>
        <w:spacing w:before="171"/>
        <w:rPr>
          <w:b w:val="0"/>
          <w:color w:val="auto"/>
          <w:sz w:val="24"/>
          <w:szCs w:val="28"/>
          <w:highlight w:val="none"/>
        </w:rPr>
      </w:pPr>
      <w:r>
        <w:rPr>
          <w:rFonts w:hint="eastAsia"/>
          <w:b w:val="0"/>
          <w:color w:val="auto"/>
          <w:position w:val="1"/>
          <w:sz w:val="24"/>
          <w:szCs w:val="28"/>
          <w:highlight w:val="none"/>
        </w:rPr>
        <w:t>或授权</w:t>
      </w:r>
      <w:r>
        <w:rPr>
          <w:rFonts w:hint="eastAsia"/>
          <w:b w:val="0"/>
          <w:color w:val="auto"/>
          <w:sz w:val="24"/>
          <w:szCs w:val="28"/>
          <w:highlight w:val="none"/>
        </w:rPr>
        <w:t>代表</w:t>
      </w:r>
      <w:r>
        <w:rPr>
          <w:b w:val="0"/>
          <w:color w:val="auto"/>
          <w:spacing w:val="-10"/>
          <w:sz w:val="24"/>
          <w:szCs w:val="28"/>
          <w:highlight w:val="none"/>
        </w:rPr>
        <w:t>:</w:t>
      </w:r>
      <w:r>
        <w:rPr>
          <w:b w:val="0"/>
          <w:color w:val="auto"/>
          <w:sz w:val="20"/>
          <w:highlight w:val="none"/>
        </w:rPr>
        <w:t xml:space="preserve">                           </w:t>
      </w:r>
      <w:r>
        <w:rPr>
          <w:rFonts w:hint="eastAsia"/>
          <w:b w:val="0"/>
          <w:color w:val="auto"/>
          <w:sz w:val="20"/>
          <w:highlight w:val="none"/>
          <w:lang w:val="en-US" w:eastAsia="zh-CN"/>
        </w:rPr>
        <w:t xml:space="preserve">                      </w:t>
      </w:r>
      <w:r>
        <w:rPr>
          <w:rFonts w:hint="eastAsia"/>
          <w:b w:val="0"/>
          <w:color w:val="auto"/>
          <w:spacing w:val="-10"/>
          <w:sz w:val="24"/>
          <w:szCs w:val="28"/>
          <w:highlight w:val="none"/>
        </w:rPr>
        <w:t>或授权代表</w:t>
      </w:r>
      <w:r>
        <w:rPr>
          <w:b w:val="0"/>
          <w:color w:val="auto"/>
          <w:spacing w:val="-10"/>
          <w:sz w:val="24"/>
          <w:szCs w:val="28"/>
          <w:highlight w:val="none"/>
        </w:rPr>
        <w:t xml:space="preserve">: </w:t>
      </w:r>
    </w:p>
    <w:p>
      <w:pPr>
        <w:widowControl w:val="0"/>
        <w:tabs>
          <w:tab w:val="left" w:pos="1980"/>
        </w:tabs>
        <w:autoSpaceDE w:val="0"/>
        <w:autoSpaceDN w:val="0"/>
        <w:adjustRightInd w:val="0"/>
        <w:spacing w:line="400" w:lineRule="exact"/>
        <w:ind w:firstLine="480" w:firstLineChars="200"/>
        <w:jc w:val="center"/>
        <w:rPr>
          <w:rFonts w:ascii="宋体" w:hAnsi="宋体" w:cs="宋体"/>
          <w:color w:val="auto"/>
          <w:sz w:val="24"/>
          <w:szCs w:val="22"/>
          <w:highlight w:val="none"/>
        </w:rPr>
      </w:pPr>
    </w:p>
    <w:p>
      <w:pPr>
        <w:pStyle w:val="179"/>
        <w:ind w:firstLine="0" w:firstLineChars="0"/>
        <w:outlineLvl w:val="1"/>
        <w:rPr>
          <w:rFonts w:asciiTheme="minorEastAsia" w:hAnsiTheme="minorEastAsia" w:eastAsiaTheme="minorEastAsia"/>
          <w:bCs/>
          <w:color w:val="auto"/>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8"/>
        <w:bidi w:val="0"/>
      </w:pPr>
      <w:r>
        <w:rPr>
          <w:rFonts w:hint="eastAsia"/>
        </w:rPr>
        <w:t>附件</w:t>
      </w:r>
      <w:r>
        <w:t>4</w:t>
      </w:r>
    </w:p>
    <w:p>
      <w:pPr>
        <w:spacing w:line="360" w:lineRule="auto"/>
        <w:ind w:firstLine="640" w:firstLineChars="200"/>
        <w:jc w:val="center"/>
        <w:rPr>
          <w:color w:val="auto"/>
          <w:sz w:val="32"/>
          <w:szCs w:val="32"/>
          <w:highlight w:val="none"/>
        </w:rPr>
      </w:pPr>
      <w:r>
        <w:rPr>
          <w:color w:val="auto"/>
          <w:sz w:val="32"/>
          <w:szCs w:val="32"/>
          <w:highlight w:val="none"/>
        </w:rPr>
        <w:t>不拖欠工资承诺书</w:t>
      </w:r>
    </w:p>
    <w:p>
      <w:pPr>
        <w:spacing w:line="360" w:lineRule="auto"/>
        <w:rPr>
          <w:color w:val="auto"/>
          <w:sz w:val="21"/>
          <w:szCs w:val="21"/>
          <w:highlight w:val="none"/>
        </w:rPr>
      </w:pPr>
      <w:r>
        <w:rPr>
          <w:color w:val="auto"/>
          <w:sz w:val="21"/>
          <w:szCs w:val="21"/>
          <w:highlight w:val="none"/>
        </w:rPr>
        <w:t>致：中煤天津设计工程有限责任公司</w:t>
      </w:r>
    </w:p>
    <w:p>
      <w:pPr>
        <w:spacing w:line="360" w:lineRule="auto"/>
        <w:ind w:firstLine="420" w:firstLineChars="200"/>
        <w:rPr>
          <w:color w:val="auto"/>
          <w:sz w:val="21"/>
          <w:szCs w:val="21"/>
          <w:highlight w:val="none"/>
        </w:rPr>
      </w:pPr>
      <w:r>
        <w:rPr>
          <w:color w:val="auto"/>
          <w:sz w:val="21"/>
          <w:szCs w:val="21"/>
          <w:highlight w:val="none"/>
        </w:rPr>
        <w:t>为保护农民工的合法权益，做到不拖欠农民工工资，我们郑重承诺，我单位分包的</w:t>
      </w:r>
      <w:r>
        <w:rPr>
          <w:rFonts w:hint="eastAsia"/>
          <w:color w:val="auto"/>
          <w:sz w:val="21"/>
          <w:szCs w:val="21"/>
          <w:highlight w:val="none"/>
          <w:u w:val="single"/>
        </w:rPr>
        <w:t>X</w:t>
      </w:r>
      <w:r>
        <w:rPr>
          <w:color w:val="auto"/>
          <w:sz w:val="21"/>
          <w:szCs w:val="21"/>
          <w:highlight w:val="none"/>
          <w:u w:val="single"/>
        </w:rPr>
        <w:t>XX</w:t>
      </w:r>
      <w:r>
        <w:rPr>
          <w:rFonts w:hint="eastAsia"/>
          <w:color w:val="auto"/>
          <w:sz w:val="21"/>
          <w:szCs w:val="21"/>
          <w:highlight w:val="none"/>
          <w:u w:val="single"/>
        </w:rPr>
        <w:t>工程分包合同</w:t>
      </w:r>
      <w:r>
        <w:rPr>
          <w:color w:val="auto"/>
          <w:sz w:val="21"/>
          <w:szCs w:val="21"/>
          <w:highlight w:val="none"/>
        </w:rPr>
        <w:t>项目，将保证做到：</w:t>
      </w:r>
    </w:p>
    <w:p>
      <w:pPr>
        <w:spacing w:line="360" w:lineRule="auto"/>
        <w:rPr>
          <w:color w:val="auto"/>
          <w:sz w:val="21"/>
          <w:szCs w:val="21"/>
          <w:highlight w:val="none"/>
        </w:rPr>
      </w:pPr>
      <w:r>
        <w:rPr>
          <w:color w:val="auto"/>
          <w:sz w:val="21"/>
          <w:szCs w:val="21"/>
          <w:highlight w:val="none"/>
        </w:rPr>
        <w:t xml:space="preserve">    1、按照《劳动法》规定雇佣和使用农民工，工资将直接发放给农民工本人，保证不发给“包工头”。</w:t>
      </w:r>
    </w:p>
    <w:p>
      <w:pPr>
        <w:spacing w:line="360" w:lineRule="auto"/>
        <w:ind w:firstLine="420" w:firstLineChars="200"/>
        <w:rPr>
          <w:color w:val="auto"/>
          <w:sz w:val="21"/>
          <w:szCs w:val="21"/>
          <w:highlight w:val="none"/>
        </w:rPr>
      </w:pPr>
      <w:r>
        <w:rPr>
          <w:color w:val="auto"/>
          <w:sz w:val="21"/>
          <w:szCs w:val="21"/>
          <w:highlight w:val="none"/>
        </w:rPr>
        <w:t>2、我单位将负责按照合同规定及时结付农民工工资。</w:t>
      </w:r>
    </w:p>
    <w:p>
      <w:pPr>
        <w:spacing w:line="360" w:lineRule="auto"/>
        <w:ind w:firstLine="420" w:firstLineChars="200"/>
        <w:rPr>
          <w:color w:val="auto"/>
          <w:sz w:val="21"/>
          <w:szCs w:val="21"/>
          <w:highlight w:val="none"/>
        </w:rPr>
      </w:pPr>
      <w:r>
        <w:rPr>
          <w:color w:val="auto"/>
          <w:sz w:val="21"/>
          <w:szCs w:val="21"/>
          <w:highlight w:val="none"/>
        </w:rPr>
        <w:t>3、如果发生违反规定不签订劳动合同，拖欠或克扣农民工工资行为，造成农民工上访，及其它突发事件或公共事件，我单位愿意接受劳动行政部门按照有关劳动保障法律规定给予处罚。</w:t>
      </w:r>
    </w:p>
    <w:p>
      <w:pPr>
        <w:spacing w:line="360" w:lineRule="auto"/>
        <w:rPr>
          <w:color w:val="auto"/>
          <w:sz w:val="21"/>
          <w:szCs w:val="21"/>
          <w:highlight w:val="none"/>
        </w:rPr>
      </w:pPr>
    </w:p>
    <w:p>
      <w:pPr>
        <w:spacing w:line="360" w:lineRule="auto"/>
        <w:rPr>
          <w:color w:val="auto"/>
          <w:sz w:val="21"/>
          <w:szCs w:val="21"/>
          <w:highlight w:val="none"/>
        </w:rPr>
      </w:pPr>
      <w:r>
        <w:rPr>
          <w:color w:val="auto"/>
          <w:sz w:val="21"/>
          <w:szCs w:val="21"/>
          <w:highlight w:val="none"/>
        </w:rPr>
        <w:t>分包人：</w:t>
      </w:r>
      <w:r>
        <w:rPr>
          <w:color w:val="auto"/>
          <w:sz w:val="21"/>
          <w:szCs w:val="22"/>
          <w:highlight w:val="none"/>
        </w:rPr>
        <w:t xml:space="preserve">    </w:t>
      </w:r>
      <w:r>
        <w:rPr>
          <w:color w:val="auto"/>
          <w:sz w:val="21"/>
          <w:szCs w:val="21"/>
          <w:highlight w:val="none"/>
        </w:rPr>
        <w:t>（章）</w:t>
      </w:r>
    </w:p>
    <w:p>
      <w:pPr>
        <w:spacing w:line="360" w:lineRule="auto"/>
        <w:rPr>
          <w:color w:val="auto"/>
          <w:sz w:val="21"/>
          <w:szCs w:val="21"/>
          <w:highlight w:val="none"/>
        </w:rPr>
      </w:pPr>
    </w:p>
    <w:p>
      <w:pPr>
        <w:spacing w:line="360" w:lineRule="auto"/>
        <w:rPr>
          <w:color w:val="auto"/>
          <w:sz w:val="21"/>
          <w:szCs w:val="21"/>
          <w:highlight w:val="none"/>
        </w:rPr>
      </w:pPr>
      <w:r>
        <w:rPr>
          <w:color w:val="auto"/>
          <w:sz w:val="21"/>
          <w:szCs w:val="21"/>
          <w:highlight w:val="none"/>
        </w:rPr>
        <w:t>法 定 代 表 人</w:t>
      </w:r>
    </w:p>
    <w:p>
      <w:pPr>
        <w:spacing w:line="360" w:lineRule="auto"/>
        <w:rPr>
          <w:color w:val="auto"/>
          <w:sz w:val="21"/>
          <w:szCs w:val="21"/>
          <w:highlight w:val="none"/>
        </w:rPr>
      </w:pPr>
      <w:r>
        <w:rPr>
          <w:color w:val="auto"/>
          <w:sz w:val="21"/>
          <w:szCs w:val="21"/>
          <w:highlight w:val="none"/>
        </w:rPr>
        <w:t>(或授权委托人)：</w:t>
      </w:r>
    </w:p>
    <w:p>
      <w:pPr>
        <w:spacing w:line="360" w:lineRule="auto"/>
        <w:rPr>
          <w:color w:val="auto"/>
          <w:sz w:val="21"/>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bidi w:val="0"/>
        <w:jc w:val="both"/>
        <w:rPr>
          <w:b/>
          <w:bCs/>
          <w:sz w:val="28"/>
          <w:szCs w:val="28"/>
        </w:rPr>
      </w:pPr>
      <w:r>
        <w:rPr>
          <w:rFonts w:hint="eastAsia"/>
          <w:b/>
          <w:bCs/>
          <w:sz w:val="28"/>
          <w:szCs w:val="28"/>
          <w:lang w:val="en-US" w:eastAsia="zh-CN"/>
        </w:rPr>
        <w:t>附件5    技术规格</w:t>
      </w:r>
      <w:r>
        <w:rPr>
          <w:b/>
          <w:bCs/>
          <w:sz w:val="28"/>
          <w:szCs w:val="28"/>
        </w:rPr>
        <w:t>书</w:t>
      </w:r>
    </w:p>
    <w:p>
      <w:pPr>
        <w:bidi w:val="0"/>
        <w:rPr>
          <w:rFonts w:hint="default"/>
          <w:lang w:val="en-US" w:eastAsia="zh-CN"/>
        </w:rPr>
      </w:pPr>
    </w:p>
    <w:p>
      <w:pPr>
        <w:spacing w:line="360" w:lineRule="auto"/>
        <w:jc w:val="center"/>
        <w:rPr>
          <w:rFonts w:asciiTheme="minorEastAsia" w:hAnsiTheme="minorEastAsia" w:eastAsiaTheme="minorEastAsia"/>
          <w:color w:val="auto"/>
          <w:sz w:val="28"/>
          <w:szCs w:val="28"/>
          <w:highlight w:val="none"/>
        </w:rPr>
      </w:pPr>
    </w:p>
    <w:p>
      <w:pPr>
        <w:pStyle w:val="3"/>
        <w:bidi w:val="0"/>
        <w:jc w:val="center"/>
        <w:rPr>
          <w:rFonts w:hint="default" w:ascii="Times New Roman" w:hAnsi="Times New Roman" w:cs="Times New Roman"/>
          <w:b/>
          <w:color w:val="auto"/>
          <w:kern w:val="2"/>
          <w:sz w:val="44"/>
          <w:szCs w:val="44"/>
          <w:highlight w:val="none"/>
        </w:rPr>
      </w:pPr>
      <w:r>
        <w:rPr>
          <w:rFonts w:hint="default" w:ascii="Times New Roman" w:hAnsi="Times New Roman" w:cs="Times New Roman"/>
          <w:b/>
          <w:color w:val="auto"/>
          <w:kern w:val="2"/>
          <w:sz w:val="44"/>
          <w:szCs w:val="44"/>
          <w:highlight w:val="none"/>
        </w:rPr>
        <w:t xml:space="preserve">第四章 </w:t>
      </w:r>
      <w:bookmarkEnd w:id="57"/>
      <w:bookmarkEnd w:id="58"/>
      <w:bookmarkEnd w:id="59"/>
      <w:bookmarkEnd w:id="60"/>
      <w:r>
        <w:rPr>
          <w:rFonts w:hint="default" w:ascii="Times New Roman" w:hAnsi="Times New Roman" w:cs="Times New Roman"/>
          <w:b/>
          <w:color w:val="auto"/>
          <w:kern w:val="2"/>
          <w:sz w:val="44"/>
          <w:szCs w:val="44"/>
          <w:highlight w:val="none"/>
        </w:rPr>
        <w:t>技术规格书</w:t>
      </w:r>
      <w:bookmarkEnd w:id="61"/>
      <w:bookmarkEnd w:id="62"/>
      <w:bookmarkStart w:id="70" w:name="_Toc157586098"/>
      <w:bookmarkEnd w:id="70"/>
      <w:bookmarkStart w:id="71" w:name="_Toc10122274"/>
      <w:bookmarkStart w:id="72" w:name="_Toc10184883"/>
      <w:bookmarkStart w:id="73" w:name="_Toc22166"/>
    </w:p>
    <w:p>
      <w:pPr>
        <w:pageBreakBefore w:val="0"/>
        <w:kinsoku/>
        <w:wordWrap/>
        <w:overflowPunct/>
        <w:topLinePunct w:val="0"/>
        <w:autoSpaceDE w:val="0"/>
        <w:autoSpaceDN w:val="0"/>
        <w:bidi w:val="0"/>
        <w:adjustRightInd w:val="0"/>
        <w:spacing w:line="480" w:lineRule="exact"/>
        <w:jc w:val="both"/>
        <w:rPr>
          <w:rFonts w:hint="default" w:ascii="Times New Roman" w:hAnsi="Times New Roman" w:cs="Times New Roman" w:eastAsiaTheme="minorEastAsia"/>
          <w:b/>
          <w:color w:val="auto"/>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643" w:firstLineChars="200"/>
        <w:jc w:val="center"/>
        <w:textAlignment w:val="auto"/>
        <w:rPr>
          <w:rFonts w:hint="default" w:ascii="Times New Roman" w:hAnsi="Times New Roman" w:cs="Times New Roman" w:eastAsiaTheme="minorEastAsia"/>
          <w:b/>
          <w:color w:val="auto"/>
          <w:sz w:val="32"/>
          <w:szCs w:val="32"/>
          <w:highlight w:val="none"/>
        </w:rPr>
      </w:pPr>
    </w:p>
    <w:p>
      <w:pPr>
        <w:adjustRightInd w:val="0"/>
        <w:snapToGrid w:val="0"/>
        <w:spacing w:before="240" w:beforeLines="100" w:line="360" w:lineRule="auto"/>
        <w:jc w:val="center"/>
        <w:rPr>
          <w:rStyle w:val="128"/>
          <w:rFonts w:hint="default" w:cs="Times New Roman"/>
          <w:b/>
          <w:bCs/>
          <w:color w:val="auto"/>
          <w:sz w:val="52"/>
          <w:szCs w:val="52"/>
          <w:highlight w:val="none"/>
          <w:lang w:val="en-US" w:eastAsia="zh-CN"/>
        </w:rPr>
      </w:pPr>
      <w:r>
        <w:rPr>
          <w:rStyle w:val="128"/>
          <w:rFonts w:hint="eastAsia" w:cs="Times New Roman"/>
          <w:b/>
          <w:bCs/>
          <w:color w:val="auto"/>
          <w:sz w:val="52"/>
          <w:szCs w:val="52"/>
          <w:highlight w:val="none"/>
          <w:lang w:eastAsia="zh-CN"/>
        </w:rPr>
        <w:t>中天合创能源有限责任公司葫芦素矿井煤矸石灌浆系统</w:t>
      </w:r>
      <w:r>
        <w:rPr>
          <w:rStyle w:val="128"/>
          <w:rFonts w:hint="eastAsia" w:cs="Times New Roman"/>
          <w:b/>
          <w:bCs/>
          <w:color w:val="auto"/>
          <w:sz w:val="52"/>
          <w:szCs w:val="52"/>
          <w:highlight w:val="none"/>
          <w:lang w:val="en-US" w:eastAsia="zh-CN"/>
        </w:rPr>
        <w:t>EPC总承包</w:t>
      </w:r>
    </w:p>
    <w:p>
      <w:pPr>
        <w:adjustRightInd w:val="0"/>
        <w:snapToGrid w:val="0"/>
        <w:spacing w:before="240" w:beforeLines="100" w:line="360" w:lineRule="auto"/>
        <w:jc w:val="center"/>
        <w:rPr>
          <w:rStyle w:val="128"/>
          <w:rFonts w:hint="eastAsia" w:cs="Times New Roman"/>
          <w:b/>
          <w:bCs/>
          <w:color w:val="auto"/>
          <w:sz w:val="52"/>
          <w:szCs w:val="52"/>
          <w:highlight w:val="none"/>
          <w:lang w:eastAsia="zh-CN"/>
        </w:rPr>
      </w:pPr>
      <w:r>
        <w:rPr>
          <w:rStyle w:val="128"/>
          <w:rFonts w:hint="eastAsia" w:cs="Times New Roman"/>
          <w:b/>
          <w:bCs/>
          <w:color w:val="auto"/>
          <w:sz w:val="52"/>
          <w:szCs w:val="52"/>
          <w:highlight w:val="none"/>
          <w:lang w:val="en-US" w:eastAsia="zh-CN"/>
        </w:rPr>
        <w:t>建安</w:t>
      </w:r>
      <w:r>
        <w:rPr>
          <w:rStyle w:val="128"/>
          <w:rFonts w:hint="eastAsia" w:cs="Times New Roman"/>
          <w:b/>
          <w:bCs/>
          <w:color w:val="auto"/>
          <w:sz w:val="52"/>
          <w:szCs w:val="52"/>
          <w:highlight w:val="none"/>
          <w:lang w:eastAsia="zh-CN"/>
        </w:rPr>
        <w:t>工程</w:t>
      </w:r>
    </w:p>
    <w:p>
      <w:pPr>
        <w:adjustRightInd w:val="0"/>
        <w:snapToGrid w:val="0"/>
        <w:spacing w:before="240" w:beforeLines="100" w:line="360" w:lineRule="auto"/>
        <w:jc w:val="center"/>
        <w:rPr>
          <w:rFonts w:hint="default" w:ascii="Times New Roman" w:hAnsi="Times New Roman" w:cs="Times New Roman" w:eastAsiaTheme="minorEastAsia"/>
          <w:color w:val="auto"/>
          <w:sz w:val="72"/>
          <w:szCs w:val="72"/>
          <w:highlight w:val="none"/>
        </w:rPr>
      </w:pPr>
      <w:r>
        <w:rPr>
          <w:rStyle w:val="128"/>
          <w:rFonts w:hint="eastAsia" w:cs="Times New Roman"/>
          <w:b/>
          <w:bCs/>
          <w:color w:val="auto"/>
          <w:sz w:val="72"/>
          <w:szCs w:val="72"/>
          <w:highlight w:val="none"/>
          <w:lang w:val="en-US" w:eastAsia="zh-CN"/>
        </w:rPr>
        <w:t>技术规格书</w:t>
      </w:r>
    </w:p>
    <w:p>
      <w:pPr>
        <w:pageBreakBefore w:val="0"/>
        <w:kinsoku/>
        <w:wordWrap/>
        <w:overflowPunct/>
        <w:topLinePunct w:val="0"/>
        <w:autoSpaceDE w:val="0"/>
        <w:autoSpaceDN w:val="0"/>
        <w:bidi w:val="0"/>
        <w:adjustRightInd w:val="0"/>
        <w:spacing w:line="480" w:lineRule="exact"/>
        <w:jc w:val="both"/>
        <w:rPr>
          <w:rFonts w:hint="default" w:ascii="Times New Roman" w:hAnsi="Times New Roman" w:cs="Times New Roman" w:eastAsiaTheme="minorEastAsia"/>
          <w:b/>
          <w:color w:val="auto"/>
          <w:sz w:val="24"/>
          <w:szCs w:val="24"/>
          <w:highlight w:val="none"/>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rPr>
      </w:pPr>
    </w:p>
    <w:p>
      <w:pPr>
        <w:keepNext w:val="0"/>
        <w:keepLines w:val="0"/>
        <w:pageBreakBefore w:val="0"/>
        <w:widowControl w:val="0"/>
        <w:kinsoku/>
        <w:wordWrap/>
        <w:overflowPunct/>
        <w:topLinePunct w:val="0"/>
        <w:autoSpaceDE w:val="0"/>
        <w:autoSpaceDN w:val="0"/>
        <w:bidi w:val="0"/>
        <w:adjustRightInd w:val="0"/>
        <w:snapToGrid/>
        <w:spacing w:line="580" w:lineRule="exact"/>
        <w:ind w:left="0" w:firstLine="1600" w:firstLineChars="500"/>
        <w:jc w:val="both"/>
        <w:textAlignment w:val="auto"/>
        <w:rPr>
          <w:rFonts w:hint="eastAsia" w:cs="Times New Roman" w:eastAsiaTheme="minorEastAsia"/>
          <w:b w:val="0"/>
          <w:bCs/>
          <w:color w:val="auto"/>
          <w:sz w:val="32"/>
          <w:szCs w:val="32"/>
          <w:highlight w:val="none"/>
          <w:lang w:val="en-US" w:eastAsia="zh-CN"/>
        </w:rPr>
      </w:pPr>
      <w:r>
        <w:rPr>
          <w:rFonts w:hint="default" w:ascii="Times New Roman" w:hAnsi="Times New Roman" w:cs="Times New Roman" w:eastAsiaTheme="minorEastAsia"/>
          <w:b w:val="0"/>
          <w:bCs/>
          <w:color w:val="auto"/>
          <w:sz w:val="32"/>
          <w:szCs w:val="32"/>
          <w:highlight w:val="none"/>
          <w:lang w:val="en-US" w:eastAsia="zh-CN"/>
        </w:rPr>
        <w:t>招标编号：</w:t>
      </w:r>
      <w:r>
        <w:rPr>
          <w:rFonts w:hint="default" w:ascii="Times New Roman" w:hAnsi="Times New Roman" w:cs="Times New Roman"/>
          <w:b w:val="0"/>
          <w:bCs/>
          <w:color w:val="auto"/>
          <w:sz w:val="32"/>
          <w:szCs w:val="32"/>
          <w:highlight w:val="none"/>
          <w:lang w:val="en-US" w:eastAsia="zh-CN"/>
        </w:rPr>
        <w:t xml:space="preserve"> </w:t>
      </w:r>
      <w:r>
        <w:rPr>
          <w:rFonts w:hint="eastAsia" w:cs="Times New Roman" w:eastAsiaTheme="minorEastAsia"/>
          <w:b w:val="0"/>
          <w:bCs/>
          <w:color w:val="auto"/>
          <w:sz w:val="32"/>
          <w:szCs w:val="32"/>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ind w:left="0" w:firstLine="1600" w:firstLineChars="500"/>
        <w:jc w:val="both"/>
        <w:textAlignment w:val="auto"/>
        <w:rPr>
          <w:rFonts w:hint="default" w:ascii="Times New Roman" w:hAnsi="Times New Roman" w:cs="Times New Roman" w:eastAsiaTheme="minorEastAsia"/>
          <w:b w:val="0"/>
          <w:bCs/>
          <w:color w:val="auto"/>
          <w:sz w:val="32"/>
          <w:szCs w:val="32"/>
          <w:highlight w:val="none"/>
          <w:lang w:val="en-US" w:eastAsia="zh-CN"/>
        </w:rPr>
      </w:pPr>
      <w:r>
        <w:rPr>
          <w:rFonts w:hint="default" w:ascii="Times New Roman" w:hAnsi="Times New Roman" w:cs="Times New Roman" w:eastAsiaTheme="minorEastAsia"/>
          <w:b w:val="0"/>
          <w:bCs/>
          <w:color w:val="auto"/>
          <w:sz w:val="32"/>
          <w:szCs w:val="32"/>
          <w:highlight w:val="none"/>
          <w:lang w:val="en-US" w:eastAsia="zh-CN"/>
        </w:rPr>
        <w:t>采 购 人： 中煤天津设计工程有限责任公司</w:t>
      </w:r>
    </w:p>
    <w:p>
      <w:pPr>
        <w:keepNext w:val="0"/>
        <w:keepLines w:val="0"/>
        <w:pageBreakBefore w:val="0"/>
        <w:widowControl w:val="0"/>
        <w:kinsoku/>
        <w:wordWrap/>
        <w:overflowPunct/>
        <w:topLinePunct w:val="0"/>
        <w:autoSpaceDE w:val="0"/>
        <w:autoSpaceDN w:val="0"/>
        <w:bidi w:val="0"/>
        <w:adjustRightInd w:val="0"/>
        <w:snapToGrid/>
        <w:spacing w:line="580" w:lineRule="exact"/>
        <w:ind w:left="0" w:firstLine="1600" w:firstLineChars="500"/>
        <w:jc w:val="both"/>
        <w:textAlignment w:val="auto"/>
        <w:rPr>
          <w:rFonts w:hint="default" w:ascii="Times New Roman" w:hAnsi="Times New Roman" w:cs="Times New Roman" w:eastAsiaTheme="minorEastAsia"/>
          <w:b w:val="0"/>
          <w:bCs/>
          <w:color w:val="auto"/>
          <w:sz w:val="32"/>
          <w:szCs w:val="32"/>
          <w:highlight w:val="none"/>
          <w:lang w:val="en-US" w:eastAsia="zh-CN"/>
        </w:rPr>
        <w:sectPr>
          <w:footerReference r:id="rId8" w:type="default"/>
          <w:pgSz w:w="11906" w:h="16838"/>
          <w:pgMar w:top="1417" w:right="1304" w:bottom="1134" w:left="1587" w:header="851" w:footer="992" w:gutter="0"/>
          <w:pgBorders>
            <w:top w:val="none" w:sz="0" w:space="0"/>
            <w:left w:val="none" w:sz="0" w:space="0"/>
            <w:bottom w:val="none" w:sz="0" w:space="0"/>
            <w:right w:val="none" w:sz="0" w:space="0"/>
          </w:pgBorders>
          <w:cols w:space="0" w:num="1"/>
          <w:rtlGutter w:val="0"/>
          <w:docGrid w:type="lines" w:linePitch="312" w:charSpace="0"/>
        </w:sectPr>
      </w:pPr>
      <w:r>
        <w:rPr>
          <w:rFonts w:hint="default" w:ascii="Times New Roman" w:hAnsi="Times New Roman" w:cs="Times New Roman"/>
          <w:b w:val="0"/>
          <w:bCs/>
          <w:color w:val="auto"/>
          <w:sz w:val="32"/>
          <w:szCs w:val="32"/>
          <w:highlight w:val="none"/>
          <w:lang w:val="en-US" w:eastAsia="zh-CN"/>
        </w:rPr>
        <w:t xml:space="preserve">日   </w:t>
      </w:r>
      <w:r>
        <w:rPr>
          <w:rFonts w:hint="eastAsia" w:cs="Times New Roman"/>
          <w:b w:val="0"/>
          <w:bCs/>
          <w:color w:val="auto"/>
          <w:sz w:val="32"/>
          <w:szCs w:val="32"/>
          <w:highlight w:val="none"/>
          <w:lang w:val="en-US" w:eastAsia="zh-CN"/>
        </w:rPr>
        <w:t xml:space="preserve">  </w:t>
      </w:r>
      <w:r>
        <w:rPr>
          <w:rFonts w:hint="default" w:ascii="Times New Roman" w:hAnsi="Times New Roman" w:cs="Times New Roman"/>
          <w:b w:val="0"/>
          <w:bCs/>
          <w:color w:val="auto"/>
          <w:sz w:val="32"/>
          <w:szCs w:val="32"/>
          <w:highlight w:val="none"/>
          <w:lang w:val="en-US" w:eastAsia="zh-CN"/>
        </w:rPr>
        <w:t xml:space="preserve"> 期：</w:t>
      </w:r>
      <w:r>
        <w:rPr>
          <w:rFonts w:hint="eastAsia" w:cs="Times New Roman"/>
          <w:b w:val="0"/>
          <w:bCs/>
          <w:color w:val="auto"/>
          <w:sz w:val="32"/>
          <w:szCs w:val="32"/>
          <w:highlight w:val="none"/>
          <w:lang w:val="en-US" w:eastAsia="zh-CN"/>
        </w:rPr>
        <w:t xml:space="preserve">   2024 </w:t>
      </w:r>
      <w:r>
        <w:rPr>
          <w:rFonts w:hint="default" w:ascii="Times New Roman" w:hAnsi="Times New Roman" w:cs="Times New Roman" w:eastAsiaTheme="minorEastAsia"/>
          <w:b w:val="0"/>
          <w:bCs/>
          <w:color w:val="auto"/>
          <w:sz w:val="32"/>
          <w:szCs w:val="32"/>
          <w:highlight w:val="none"/>
          <w:lang w:val="en-US" w:eastAsia="zh-CN"/>
        </w:rPr>
        <w:t>年</w:t>
      </w:r>
    </w:p>
    <w:p>
      <w:pPr>
        <w:pStyle w:val="4"/>
        <w:numPr>
          <w:ilvl w:val="0"/>
          <w:numId w:val="19"/>
        </w:numPr>
        <w:bidi w:val="0"/>
        <w:rPr>
          <w:rFonts w:hint="eastAsia"/>
          <w:lang w:val="en-US" w:eastAsia="zh-CN"/>
        </w:rPr>
      </w:pPr>
      <w:bookmarkStart w:id="74" w:name="_Toc29267_WPSOffice_Level1"/>
      <w:r>
        <w:rPr>
          <w:rFonts w:hint="eastAsia"/>
          <w:lang w:val="en-US" w:eastAsia="zh-CN"/>
        </w:rPr>
        <w:t>总则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0</w:t>
      </w:r>
      <w:r>
        <w:rPr>
          <w:rFonts w:hint="default" w:ascii="Times New Roman" w:hAnsi="Times New Roman" w:eastAsia="宋体" w:cs="Times New Roman"/>
          <w:b w:val="0"/>
          <w:bCs w:val="0"/>
          <w:color w:val="auto"/>
          <w:sz w:val="24"/>
          <w:szCs w:val="24"/>
          <w:highlight w:val="none"/>
          <w:lang w:val="en-US" w:eastAsia="zh-CN"/>
        </w:rPr>
        <w:t>.1本技术</w:t>
      </w:r>
      <w:r>
        <w:rPr>
          <w:rFonts w:hint="eastAsia" w:ascii="Times New Roman" w:hAnsi="Times New Roman" w:eastAsia="宋体" w:cs="Times New Roman"/>
          <w:b w:val="0"/>
          <w:bCs w:val="0"/>
          <w:color w:val="auto"/>
          <w:sz w:val="24"/>
          <w:szCs w:val="24"/>
          <w:highlight w:val="none"/>
          <w:lang w:val="en-US" w:eastAsia="zh-CN"/>
        </w:rPr>
        <w:t>要求</w:t>
      </w:r>
      <w:r>
        <w:rPr>
          <w:rFonts w:hint="default" w:ascii="Times New Roman" w:hAnsi="Times New Roman" w:eastAsia="宋体" w:cs="Times New Roman"/>
          <w:b w:val="0"/>
          <w:bCs w:val="0"/>
          <w:color w:val="auto"/>
          <w:sz w:val="24"/>
          <w:szCs w:val="24"/>
          <w:highlight w:val="none"/>
          <w:lang w:val="en-US" w:eastAsia="zh-CN"/>
        </w:rPr>
        <w:t>适用于</w:t>
      </w:r>
      <w:r>
        <w:rPr>
          <w:rFonts w:hint="eastAsia" w:ascii="宋体" w:hAnsi="宋体" w:eastAsia="宋体" w:cs="宋体"/>
          <w:b/>
          <w:bCs/>
          <w:color w:val="auto"/>
          <w:sz w:val="24"/>
          <w:szCs w:val="24"/>
          <w:highlight w:val="none"/>
          <w:u w:val="single"/>
        </w:rPr>
        <w:t>中天合创能源有限责任公司葫芦素矿井煤矸石灌浆系统EPC总承包</w:t>
      </w:r>
      <w:r>
        <w:rPr>
          <w:rFonts w:hint="default" w:ascii="Times New Roman" w:hAnsi="Times New Roman" w:eastAsia="宋体" w:cs="Times New Roman"/>
          <w:b w:val="0"/>
          <w:bCs w:val="0"/>
          <w:color w:val="auto"/>
          <w:sz w:val="24"/>
          <w:szCs w:val="24"/>
          <w:highlight w:val="none"/>
          <w:lang w:val="en-US" w:eastAsia="zh-CN"/>
        </w:rPr>
        <w:t>（以下简称本</w:t>
      </w:r>
      <w:r>
        <w:rPr>
          <w:rFonts w:hint="eastAsia" w:ascii="Times New Roman" w:hAnsi="Times New Roman" w:eastAsia="宋体" w:cs="Times New Roman"/>
          <w:b w:val="0"/>
          <w:bCs w:val="0"/>
          <w:color w:val="auto"/>
          <w:sz w:val="24"/>
          <w:szCs w:val="24"/>
          <w:highlight w:val="none"/>
          <w:lang w:val="en-US" w:eastAsia="zh-CN"/>
        </w:rPr>
        <w:t>项目</w:t>
      </w:r>
      <w:r>
        <w:rPr>
          <w:rFonts w:hint="default" w:ascii="Times New Roman" w:hAnsi="Times New Roman" w:eastAsia="宋体" w:cs="Times New Roman"/>
          <w:b w:val="0"/>
          <w:bCs w:val="0"/>
          <w:color w:val="auto"/>
          <w:sz w:val="24"/>
          <w:szCs w:val="24"/>
          <w:highlight w:val="none"/>
          <w:lang w:val="en-US" w:eastAsia="zh-CN"/>
        </w:rPr>
        <w:t>），提出</w:t>
      </w:r>
      <w:r>
        <w:rPr>
          <w:rFonts w:hint="eastAsia" w:cs="Times New Roman"/>
          <w:b/>
          <w:bCs/>
          <w:color w:val="auto"/>
          <w:sz w:val="24"/>
          <w:szCs w:val="24"/>
          <w:highlight w:val="none"/>
          <w:u w:val="single"/>
          <w:lang w:val="en-US" w:eastAsia="zh-CN"/>
        </w:rPr>
        <w:t>建安</w:t>
      </w:r>
      <w:r>
        <w:rPr>
          <w:rFonts w:hint="eastAsia" w:ascii="Times New Roman" w:hAnsi="Times New Roman" w:eastAsia="宋体" w:cs="Times New Roman"/>
          <w:b/>
          <w:bCs/>
          <w:color w:val="auto"/>
          <w:sz w:val="24"/>
          <w:szCs w:val="24"/>
          <w:highlight w:val="none"/>
          <w:u w:val="single"/>
          <w:lang w:val="en-US" w:eastAsia="zh-CN"/>
        </w:rPr>
        <w:t>工程分包</w:t>
      </w:r>
      <w:r>
        <w:rPr>
          <w:rFonts w:hint="default" w:ascii="Times New Roman" w:hAnsi="Times New Roman" w:eastAsia="宋体" w:cs="Times New Roman"/>
          <w:b w:val="0"/>
          <w:bCs w:val="0"/>
          <w:color w:val="auto"/>
          <w:sz w:val="24"/>
          <w:szCs w:val="24"/>
          <w:highlight w:val="none"/>
          <w:lang w:val="en-US" w:eastAsia="zh-CN"/>
        </w:rPr>
        <w:t>方面的技术要求</w:t>
      </w:r>
      <w:r>
        <w:rPr>
          <w:rFonts w:hint="default" w:ascii="Times New Roman" w:hAnsi="Times New Roman" w:eastAsia="宋体" w:cs="Times New Roman"/>
          <w:b/>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.2系统的完整性、先进性以及</w:t>
      </w:r>
      <w:r>
        <w:rPr>
          <w:rFonts w:hint="eastAsia" w:ascii="Times New Roman" w:hAnsi="Times New Roman" w:eastAsia="宋体" w:cs="Times New Roman"/>
          <w:color w:val="auto"/>
          <w:sz w:val="24"/>
          <w:szCs w:val="24"/>
          <w:highlight w:val="none"/>
          <w:lang w:val="en-US" w:eastAsia="zh-CN"/>
        </w:rPr>
        <w:t>设备</w:t>
      </w:r>
      <w:r>
        <w:rPr>
          <w:rFonts w:hint="default" w:ascii="Times New Roman" w:hAnsi="Times New Roman" w:eastAsia="宋体" w:cs="Times New Roman"/>
          <w:color w:val="auto"/>
          <w:sz w:val="24"/>
          <w:szCs w:val="24"/>
          <w:highlight w:val="none"/>
        </w:rPr>
        <w:t>材料采购</w:t>
      </w:r>
      <w:r>
        <w:rPr>
          <w:rFonts w:hint="eastAsia" w:ascii="Times New Roman" w:hAnsi="Times New Roman" w:eastAsia="宋体" w:cs="Times New Roman"/>
          <w:color w:val="auto"/>
          <w:sz w:val="24"/>
          <w:szCs w:val="24"/>
          <w:highlight w:val="none"/>
          <w:lang w:val="en-US" w:eastAsia="zh-CN"/>
        </w:rPr>
        <w:t>供货</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土建、试验、</w:t>
      </w:r>
      <w:r>
        <w:rPr>
          <w:rFonts w:hint="default" w:ascii="Times New Roman" w:hAnsi="Times New Roman" w:eastAsia="宋体" w:cs="Times New Roman"/>
          <w:color w:val="auto"/>
          <w:sz w:val="24"/>
          <w:szCs w:val="24"/>
          <w:highlight w:val="none"/>
          <w:lang w:val="en-US" w:eastAsia="zh-CN"/>
        </w:rPr>
        <w:t>验收等，若有漏项少算的费用一概不予追补。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.3本技术</w:t>
      </w:r>
      <w:r>
        <w:rPr>
          <w:rFonts w:hint="eastAsia" w:ascii="Times New Roman" w:hAnsi="Times New Roman" w:eastAsia="宋体" w:cs="Times New Roman"/>
          <w:color w:val="auto"/>
          <w:sz w:val="24"/>
          <w:szCs w:val="24"/>
          <w:highlight w:val="none"/>
          <w:lang w:val="en-US" w:eastAsia="zh-CN"/>
        </w:rPr>
        <w:t>要求</w:t>
      </w:r>
      <w:r>
        <w:rPr>
          <w:rFonts w:hint="default" w:ascii="Times New Roman" w:hAnsi="Times New Roman" w:eastAsia="宋体" w:cs="Times New Roman"/>
          <w:color w:val="auto"/>
          <w:sz w:val="24"/>
          <w:szCs w:val="24"/>
          <w:highlight w:val="none"/>
          <w:lang w:val="en-US" w:eastAsia="zh-CN"/>
        </w:rPr>
        <w:t>提出的是最低限度的技术要求，并未对一切技术要求作出详细规定，也未充分引述有关标准和规范的条文。投标人提供的采购、施工及其相应的服务应满足本技术规格书和有关标准要求，同时还应满足国家有关安全、消防、环保、劳动卫生等强制性标准。投标人应保证提供符合本招标文件和工业标准的优质产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.4投标人将按照招标人的统一要求在现场构建进度计划管理体系。投标人按照招标人提供的施工进度里程碑计划及施工一级进度计划的工期要求，按照招标人要求的格式编制并提供二、三级施工进度计划。</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.5投标人应采用安全可靠、成熟先进的技术，造价合理，便于运行维护。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投标人应以“本质安全”为目标，保证施工及生产安全措施齐全、可靠；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投标人应积极采用“五新”（新技术、新工艺、新流程、新装备、新材料）技术，使用节能产品；</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投标人应所有设备、设施</w:t>
      </w:r>
      <w:r>
        <w:rPr>
          <w:rFonts w:hint="default" w:ascii="Times New Roman" w:hAnsi="Times New Roman" w:cs="Times New Roman"/>
          <w:color w:val="auto"/>
          <w:sz w:val="24"/>
          <w:szCs w:val="24"/>
          <w:highlight w:val="none"/>
          <w:lang w:val="en-US" w:eastAsia="zh-CN"/>
        </w:rPr>
        <w:t>应</w:t>
      </w:r>
      <w:r>
        <w:rPr>
          <w:rFonts w:hint="default" w:ascii="Times New Roman" w:hAnsi="Times New Roman" w:eastAsia="宋体" w:cs="Times New Roman"/>
          <w:color w:val="auto"/>
          <w:sz w:val="24"/>
          <w:szCs w:val="24"/>
          <w:highlight w:val="none"/>
          <w:lang w:val="en-US" w:eastAsia="zh-CN"/>
        </w:rPr>
        <w:t>满足《防止电力生产事故的二十五项重点要求》、《防止电力建设工程施工安全事故三十项重点要求》及《工程建设强制性标准条文》反措、重大危险源等强制性规范和条文的要求。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本项目建筑工程所采用的建筑材料及其他附属材料等必须经过监理工程师和招标人的确认后方可投入使用。</w:t>
      </w:r>
    </w:p>
    <w:p>
      <w:pPr>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0"/>
        <w:rPr>
          <w:rFonts w:hint="default" w:ascii="Times New Roman" w:hAnsi="Times New Roman" w:eastAsia="宋体" w:cs="Times New Roman"/>
          <w:b/>
          <w:color w:val="auto"/>
          <w:sz w:val="24"/>
          <w:szCs w:val="24"/>
          <w:highlight w:val="none"/>
        </w:rPr>
        <w:sectPr>
          <w:headerReference r:id="rId9" w:type="default"/>
          <w:footerReference r:id="rId10" w:type="default"/>
          <w:pgSz w:w="11906" w:h="16838"/>
          <w:pgMar w:top="1418" w:right="1418" w:bottom="1418" w:left="1418" w:header="964"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4"/>
        <w:bidi w:val="0"/>
        <w:rPr>
          <w:rFonts w:hint="default"/>
        </w:rPr>
      </w:pPr>
      <w:r>
        <w:rPr>
          <w:rFonts w:hint="default"/>
        </w:rPr>
        <w:t>1．项目概况</w:t>
      </w:r>
      <w:bookmarkEnd w:id="74"/>
    </w:p>
    <w:p>
      <w:pPr>
        <w:pStyle w:val="5"/>
        <w:bidi w:val="0"/>
        <w:rPr>
          <w:rFonts w:hint="default"/>
        </w:rPr>
      </w:pPr>
      <w:bookmarkStart w:id="75" w:name="_Toc360713507"/>
      <w:bookmarkEnd w:id="75"/>
      <w:bookmarkStart w:id="76" w:name="_Toc27630"/>
      <w:bookmarkStart w:id="77" w:name="_Toc6474"/>
      <w:bookmarkStart w:id="78" w:name="_Toc9034"/>
      <w:bookmarkStart w:id="79" w:name="_Toc7236_WPSOffice_Level2"/>
      <w:r>
        <w:rPr>
          <w:rFonts w:hint="default"/>
        </w:rPr>
        <w:t>1.1项目名称</w:t>
      </w:r>
      <w:bookmarkEnd w:id="76"/>
      <w:bookmarkEnd w:id="77"/>
      <w:bookmarkEnd w:id="78"/>
      <w:bookmarkEnd w:id="79"/>
    </w:p>
    <w:p>
      <w:pPr>
        <w:pStyle w:val="47"/>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ascii="宋体" w:hAnsi="宋体" w:eastAsia="宋体" w:cs="宋体"/>
          <w:b/>
          <w:bCs/>
          <w:color w:val="auto"/>
          <w:sz w:val="24"/>
          <w:szCs w:val="24"/>
          <w:highlight w:val="none"/>
          <w:u w:val="none"/>
          <w:lang w:eastAsia="zh-CN"/>
        </w:rPr>
      </w:pPr>
      <w:bookmarkStart w:id="80" w:name="_Toc1220_WPSOffice_Level2"/>
      <w:r>
        <w:rPr>
          <w:rFonts w:hint="eastAsia" w:ascii="宋体" w:hAnsi="宋体" w:eastAsia="宋体" w:cs="宋体"/>
          <w:b/>
          <w:bCs/>
          <w:color w:val="auto"/>
          <w:sz w:val="24"/>
          <w:szCs w:val="24"/>
          <w:highlight w:val="none"/>
          <w:u w:val="none"/>
        </w:rPr>
        <w:t>中天合创能源有限责任公司葫芦素矿井煤矸石灌浆系统EPC总承包</w:t>
      </w:r>
      <w:r>
        <w:rPr>
          <w:rFonts w:hint="eastAsia" w:ascii="宋体" w:hAnsi="宋体" w:eastAsia="宋体" w:cs="宋体"/>
          <w:b/>
          <w:bCs/>
          <w:color w:val="auto"/>
          <w:sz w:val="24"/>
          <w:szCs w:val="24"/>
          <w:highlight w:val="none"/>
          <w:u w:val="none"/>
          <w:lang w:eastAsia="zh-CN"/>
        </w:rPr>
        <w:t>。</w:t>
      </w:r>
    </w:p>
    <w:p>
      <w:pPr>
        <w:pStyle w:val="40"/>
        <w:rPr>
          <w:rFonts w:hint="eastAsia"/>
          <w:lang w:eastAsia="zh-CN"/>
        </w:rPr>
      </w:pPr>
    </w:p>
    <w:p>
      <w:pPr>
        <w:pStyle w:val="47"/>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地理位置</w:t>
      </w:r>
      <w:bookmarkEnd w:id="80"/>
    </w:p>
    <w:p>
      <w:pPr>
        <w:pStyle w:val="47"/>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Times New Roman" w:hAnsi="Times New Roman" w:eastAsia="宋体" w:cs="Times New Roman"/>
          <w:color w:val="auto"/>
          <w:sz w:val="24"/>
          <w:szCs w:val="24"/>
          <w:highlight w:val="none"/>
          <w:u w:val="single"/>
          <w:lang w:val="en-US" w:eastAsia="zh-CN"/>
        </w:rPr>
      </w:pPr>
      <w:r>
        <w:rPr>
          <w:rFonts w:hint="default" w:ascii="Times New Roman" w:hAnsi="Times New Roman" w:eastAsia="宋体" w:cs="Times New Roman"/>
          <w:b w:val="0"/>
          <w:bCs/>
          <w:color w:val="auto"/>
          <w:sz w:val="24"/>
          <w:szCs w:val="24"/>
          <w:highlight w:val="none"/>
        </w:rPr>
        <w:t>本项目位于</w:t>
      </w:r>
      <w:r>
        <w:rPr>
          <w:rFonts w:ascii="Helvetica" w:hAnsi="Helvetica" w:eastAsia="Helvetica" w:cs="Helvetica"/>
          <w:i w:val="0"/>
          <w:caps w:val="0"/>
          <w:color w:val="000000"/>
          <w:spacing w:val="0"/>
          <w:sz w:val="24"/>
          <w:szCs w:val="24"/>
          <w:u w:val="single"/>
          <w:shd w:val="clear" w:fill="FFFFFF"/>
        </w:rPr>
        <w:t>内蒙古自治区鄂尔多斯市</w:t>
      </w:r>
      <w:r>
        <w:rPr>
          <w:rFonts w:hint="eastAsia" w:ascii="Helvetica" w:hAnsi="Helvetica" w:eastAsia="宋体" w:cs="Helvetica"/>
          <w:i w:val="0"/>
          <w:caps w:val="0"/>
          <w:color w:val="000000"/>
          <w:spacing w:val="0"/>
          <w:sz w:val="24"/>
          <w:szCs w:val="24"/>
          <w:u w:val="single"/>
          <w:shd w:val="clear" w:fill="FFFFFF"/>
          <w:lang w:eastAsia="zh-CN"/>
        </w:rPr>
        <w:t>。</w:t>
      </w:r>
    </w:p>
    <w:p>
      <w:pPr>
        <w:pStyle w:val="5"/>
        <w:bidi w:val="0"/>
        <w:rPr>
          <w:rFonts w:hint="default"/>
        </w:rPr>
      </w:pPr>
      <w:bookmarkStart w:id="81" w:name="_Toc31559"/>
      <w:bookmarkStart w:id="82" w:name="_Toc14833"/>
      <w:bookmarkStart w:id="83" w:name="_Toc5820"/>
      <w:bookmarkStart w:id="84" w:name="_Toc12663_WPSOffice_Level2"/>
      <w:r>
        <w:rPr>
          <w:rFonts w:hint="default"/>
        </w:rPr>
        <w:t>1.</w:t>
      </w:r>
      <w:r>
        <w:rPr>
          <w:rFonts w:hint="eastAsia"/>
          <w:lang w:val="en-US" w:eastAsia="zh-CN"/>
        </w:rPr>
        <w:t>2</w:t>
      </w:r>
      <w:r>
        <w:rPr>
          <w:rFonts w:hint="default"/>
        </w:rPr>
        <w:t>隶属关系</w:t>
      </w:r>
      <w:bookmarkEnd w:id="81"/>
      <w:bookmarkEnd w:id="82"/>
      <w:bookmarkEnd w:id="83"/>
      <w:bookmarkEnd w:id="84"/>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本项目隶属于</w:t>
      </w:r>
      <w:r>
        <w:rPr>
          <w:rFonts w:hint="eastAsia" w:ascii="宋体" w:hAnsi="宋体" w:eastAsia="宋体" w:cs="宋体"/>
          <w:b/>
          <w:bCs/>
          <w:color w:val="auto"/>
          <w:sz w:val="24"/>
          <w:szCs w:val="24"/>
          <w:highlight w:val="none"/>
          <w:u w:val="none"/>
        </w:rPr>
        <w:t>中天合创能源有限责任公司</w:t>
      </w:r>
      <w:r>
        <w:rPr>
          <w:rFonts w:hint="default" w:ascii="Times New Roman" w:hAnsi="Times New Roman" w:eastAsia="宋体" w:cs="Times New Roman"/>
          <w:color w:val="auto"/>
          <w:sz w:val="24"/>
          <w:szCs w:val="24"/>
          <w:highlight w:val="none"/>
        </w:rPr>
        <w:t>。</w:t>
      </w:r>
    </w:p>
    <w:p>
      <w:pPr>
        <w:pStyle w:val="5"/>
        <w:bidi w:val="0"/>
        <w:rPr>
          <w:rFonts w:hint="default"/>
        </w:rPr>
      </w:pPr>
      <w:bookmarkStart w:id="85" w:name="_Toc7651"/>
      <w:bookmarkStart w:id="86" w:name="_Toc26098"/>
      <w:bookmarkStart w:id="87" w:name="_Toc22458"/>
      <w:bookmarkStart w:id="88" w:name="_Toc27959_WPSOffice_Level2"/>
      <w:r>
        <w:rPr>
          <w:rFonts w:hint="default"/>
        </w:rPr>
        <w:t>1.</w:t>
      </w:r>
      <w:r>
        <w:rPr>
          <w:rFonts w:hint="eastAsia"/>
          <w:lang w:val="en-US" w:eastAsia="zh-CN"/>
        </w:rPr>
        <w:t>3</w:t>
      </w:r>
      <w:r>
        <w:rPr>
          <w:rFonts w:hint="default"/>
        </w:rPr>
        <w:t>地理概况</w:t>
      </w:r>
      <w:bookmarkEnd w:id="85"/>
      <w:bookmarkEnd w:id="86"/>
      <w:bookmarkEnd w:id="87"/>
      <w:bookmarkEnd w:id="88"/>
    </w:p>
    <w:p>
      <w:pPr>
        <w:pStyle w:val="47"/>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ascii="Helvetica" w:hAnsi="Helvetica" w:eastAsia="宋体" w:cs="Helvetica"/>
          <w:i w:val="0"/>
          <w:caps w:val="0"/>
          <w:color w:val="000000"/>
          <w:spacing w:val="0"/>
          <w:sz w:val="24"/>
          <w:szCs w:val="24"/>
          <w:u w:val="single"/>
          <w:shd w:val="clear" w:fill="FFFFFF"/>
          <w:lang w:eastAsia="zh-CN"/>
        </w:rPr>
      </w:pPr>
      <w:r>
        <w:rPr>
          <w:rFonts w:hint="default" w:ascii="Times New Roman" w:hAnsi="Times New Roman" w:eastAsia="宋体" w:cs="Times New Roman"/>
          <w:color w:val="auto"/>
          <w:sz w:val="24"/>
          <w:szCs w:val="24"/>
          <w:highlight w:val="none"/>
          <w:lang w:val="en-US" w:eastAsia="zh-CN"/>
        </w:rPr>
        <w:t>位置：</w:t>
      </w:r>
      <w:bookmarkStart w:id="89" w:name="_Toc6677"/>
      <w:bookmarkStart w:id="90" w:name="_Toc12309"/>
      <w:bookmarkStart w:id="91" w:name="_Toc22300_WPSOffice_Level1"/>
      <w:bookmarkStart w:id="92" w:name="_Toc2059"/>
      <w:r>
        <w:rPr>
          <w:rFonts w:hint="eastAsia" w:ascii="Times New Roman" w:hAnsi="Times New Roman" w:eastAsia="宋体" w:cs="Times New Roman"/>
          <w:color w:val="auto"/>
          <w:sz w:val="24"/>
          <w:szCs w:val="24"/>
          <w:highlight w:val="none"/>
          <w:u w:val="single"/>
          <w:lang w:val="en-US" w:eastAsia="zh-CN"/>
        </w:rPr>
        <w:t>内蒙古自治区鄂尔多斯市</w:t>
      </w:r>
      <w:r>
        <w:rPr>
          <w:rFonts w:ascii="Helvetica" w:hAnsi="Helvetica" w:eastAsia="Helvetica" w:cs="Helvetica"/>
          <w:i w:val="0"/>
          <w:caps w:val="0"/>
          <w:color w:val="000000"/>
          <w:spacing w:val="0"/>
          <w:sz w:val="24"/>
          <w:szCs w:val="24"/>
          <w:u w:val="single"/>
          <w:shd w:val="clear" w:fill="FFFFFF"/>
        </w:rPr>
        <w:t>乌审旗图克镇葫芦素村</w:t>
      </w:r>
      <w:r>
        <w:rPr>
          <w:rFonts w:hint="eastAsia" w:ascii="Helvetica" w:hAnsi="Helvetica" w:eastAsia="宋体" w:cs="Helvetica"/>
          <w:i w:val="0"/>
          <w:caps w:val="0"/>
          <w:color w:val="000000"/>
          <w:spacing w:val="0"/>
          <w:sz w:val="24"/>
          <w:szCs w:val="24"/>
          <w:u w:val="single"/>
          <w:shd w:val="clear" w:fill="FFFFFF"/>
          <w:lang w:eastAsia="zh-CN"/>
        </w:rPr>
        <w:t>。</w:t>
      </w:r>
    </w:p>
    <w:p>
      <w:pPr>
        <w:pStyle w:val="5"/>
        <w:bidi w:val="0"/>
        <w:rPr>
          <w:rFonts w:hint="default"/>
          <w:lang w:val="en-US" w:eastAsia="zh-CN"/>
        </w:rPr>
      </w:pPr>
      <w:r>
        <w:rPr>
          <w:rFonts w:hint="default"/>
        </w:rPr>
        <w:t>1.</w:t>
      </w:r>
      <w:r>
        <w:rPr>
          <w:rFonts w:hint="eastAsia"/>
          <w:lang w:val="en-US" w:eastAsia="zh-CN"/>
        </w:rPr>
        <w:t>4工程概况</w:t>
      </w:r>
    </w:p>
    <w:p>
      <w:pPr>
        <w:spacing w:line="440" w:lineRule="exact"/>
        <w:ind w:firstLine="342" w:firstLineChars="171"/>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根据《关于葫芦素煤矿2-1煤四盘区开采设计的批复》（中天合创煤司〔2020〕206号），为提高安全保障能力，葫芦素煤矿</w:t>
      </w:r>
      <w:r>
        <w:rPr>
          <w:rFonts w:hint="eastAsia" w:ascii="Times New Roman" w:hAnsi="Times New Roman" w:eastAsia="宋体" w:cs="Times New Roman"/>
          <w:color w:val="auto"/>
          <w:szCs w:val="21"/>
          <w:highlight w:val="none"/>
          <w:lang w:val="en-US" w:eastAsia="zh-CN"/>
        </w:rPr>
        <w:t>需要在西翼盘区</w:t>
      </w:r>
      <w:r>
        <w:rPr>
          <w:rFonts w:hint="default" w:ascii="Times New Roman" w:hAnsi="Times New Roman" w:eastAsia="宋体" w:cs="Times New Roman"/>
          <w:color w:val="auto"/>
          <w:szCs w:val="21"/>
          <w:highlight w:val="none"/>
          <w:lang w:val="en-US" w:eastAsia="zh-CN"/>
        </w:rPr>
        <w:t>增加灌浆站，规模为120m</w:t>
      </w:r>
      <w:r>
        <w:rPr>
          <w:rFonts w:hint="default" w:ascii="Times New Roman" w:hAnsi="Times New Roman" w:eastAsia="宋体" w:cs="Times New Roman"/>
          <w:color w:val="auto"/>
          <w:szCs w:val="21"/>
          <w:highlight w:val="none"/>
          <w:vertAlign w:val="superscript"/>
          <w:lang w:val="en-US" w:eastAsia="zh-CN"/>
        </w:rPr>
        <w:t>3</w:t>
      </w:r>
      <w:r>
        <w:rPr>
          <w:rFonts w:hint="default" w:ascii="Times New Roman" w:hAnsi="Times New Roman" w:eastAsia="宋体" w:cs="Times New Roman"/>
          <w:color w:val="auto"/>
          <w:szCs w:val="21"/>
          <w:highlight w:val="none"/>
          <w:lang w:val="en-US" w:eastAsia="zh-CN"/>
        </w:rPr>
        <w:t>/h，为充分利用已建成投用的煤矸石离层注浆充填系统优势，结合现场实际情况，计划采用离层注浆充填浆液进行灌浆防灭火。</w:t>
      </w:r>
    </w:p>
    <w:p>
      <w:pPr>
        <w:spacing w:line="440" w:lineRule="exact"/>
        <w:ind w:firstLine="342" w:firstLineChars="171"/>
        <w:rPr>
          <w:rFonts w:hint="eastAsia" w:ascii="Times New Roman" w:hAnsi="Times New Roman" w:eastAsia="宋体" w:cs="Times New Roman"/>
          <w:color w:val="auto"/>
          <w:szCs w:val="21"/>
          <w:highlight w:val="none"/>
          <w:lang w:val="en-GB" w:eastAsia="zh-CN"/>
        </w:rPr>
      </w:pPr>
      <w:r>
        <w:rPr>
          <w:rFonts w:hint="default" w:ascii="Times New Roman" w:hAnsi="Times New Roman" w:eastAsia="宋体" w:cs="Times New Roman"/>
          <w:color w:val="auto"/>
          <w:szCs w:val="21"/>
          <w:highlight w:val="none"/>
          <w:lang w:val="en-US" w:eastAsia="zh-CN"/>
        </w:rPr>
        <w:t>本次</w:t>
      </w:r>
      <w:r>
        <w:rPr>
          <w:rFonts w:hint="eastAsia" w:ascii="Times New Roman" w:hAnsi="Times New Roman" w:eastAsia="宋体" w:cs="Times New Roman"/>
          <w:color w:val="auto"/>
          <w:szCs w:val="21"/>
          <w:highlight w:val="none"/>
          <w:lang w:val="en-US" w:eastAsia="zh-CN"/>
        </w:rPr>
        <w:t>工程</w:t>
      </w:r>
      <w:r>
        <w:rPr>
          <w:rFonts w:hint="default" w:ascii="Times New Roman" w:hAnsi="Times New Roman" w:eastAsia="宋体" w:cs="Times New Roman"/>
          <w:color w:val="auto"/>
          <w:szCs w:val="21"/>
          <w:highlight w:val="none"/>
          <w:lang w:val="en-US" w:eastAsia="zh-CN"/>
        </w:rPr>
        <w:t>利用已建成投用的煤矸石离层注浆充填系统配合设计新增管路、新增地面至井下灌浆孔以及井下灌浆管路组成矿井灌浆防灭火系统。</w:t>
      </w:r>
      <w:r>
        <w:rPr>
          <w:rFonts w:hint="eastAsia" w:ascii="Times New Roman" w:hAnsi="Times New Roman" w:eastAsia="宋体" w:cs="Times New Roman"/>
          <w:color w:val="auto"/>
          <w:szCs w:val="21"/>
          <w:highlight w:val="none"/>
          <w:lang w:val="en-US" w:eastAsia="zh-CN"/>
        </w:rPr>
        <w:t>灌浆能力为</w:t>
      </w:r>
      <w:r>
        <w:rPr>
          <w:rFonts w:hint="default" w:ascii="Times New Roman" w:hAnsi="Times New Roman" w:eastAsia="宋体" w:cs="Times New Roman"/>
          <w:color w:val="auto"/>
          <w:szCs w:val="21"/>
          <w:highlight w:val="none"/>
          <w:lang w:val="en-US" w:eastAsia="zh-CN"/>
        </w:rPr>
        <w:t>120m</w:t>
      </w:r>
      <w:r>
        <w:rPr>
          <w:rFonts w:hint="default" w:ascii="Times New Roman" w:hAnsi="Times New Roman" w:eastAsia="宋体" w:cs="Times New Roman"/>
          <w:color w:val="auto"/>
          <w:szCs w:val="21"/>
          <w:highlight w:val="none"/>
          <w:vertAlign w:val="superscript"/>
          <w:lang w:val="en-US" w:eastAsia="zh-CN"/>
        </w:rPr>
        <w:t>3</w:t>
      </w:r>
      <w:r>
        <w:rPr>
          <w:rFonts w:hint="default" w:ascii="Times New Roman" w:hAnsi="Times New Roman" w:eastAsia="宋体" w:cs="Times New Roman"/>
          <w:color w:val="auto"/>
          <w:szCs w:val="21"/>
          <w:highlight w:val="none"/>
          <w:lang w:val="en-US" w:eastAsia="zh-CN"/>
        </w:rPr>
        <w:t>/h，现有离层注浆系统中矸石浆液制成之后从一级注浆站通过输浆管路输送至二级注浆站，本次设计从一二级注浆站之间的现有输浆管路距一级站约2.05km处新增地面输浆管路，并施工地面钻孔至井下四盘区大巷附近，与灌浆孔孔口连接，由灌浆孔孔底处向东西方向开凿巷道与四盘区主运大巷与回风大巷联通并向东铺设管路至回风大巷，灌浆浆液通过地面管路、灌浆孔，最后通过井下管路输送至井下需浆地点完成灌浆流程</w:t>
      </w:r>
      <w:r>
        <w:rPr>
          <w:rFonts w:hint="eastAsia" w:ascii="Times New Roman" w:hAnsi="Times New Roman" w:eastAsia="宋体" w:cs="Times New Roman"/>
          <w:color w:val="auto"/>
          <w:szCs w:val="21"/>
          <w:highlight w:val="none"/>
          <w:lang w:val="en-US" w:eastAsia="zh-CN"/>
        </w:rPr>
        <w:t>。</w:t>
      </w:r>
    </w:p>
    <w:p>
      <w:pPr>
        <w:bidi w:val="0"/>
        <w:rPr>
          <w:rFonts w:hint="default"/>
          <w:lang w:val="en-US" w:eastAsia="zh-CN"/>
        </w:rPr>
      </w:pPr>
    </w:p>
    <w:p>
      <w:pPr>
        <w:pStyle w:val="4"/>
        <w:bidi w:val="0"/>
        <w:rPr>
          <w:rFonts w:hint="eastAsia" w:eastAsia="宋体"/>
          <w:lang w:val="en-US" w:eastAsia="zh-CN"/>
        </w:rPr>
      </w:pPr>
      <w:r>
        <w:rPr>
          <w:rFonts w:hint="default"/>
        </w:rPr>
        <w:t>2．</w:t>
      </w:r>
      <w:r>
        <w:rPr>
          <w:rFonts w:hint="eastAsia"/>
          <w:lang w:val="en-US" w:eastAsia="zh-CN"/>
        </w:rPr>
        <w:t>分包</w:t>
      </w:r>
      <w:r>
        <w:rPr>
          <w:rFonts w:hint="default"/>
        </w:rPr>
        <w:t>范围</w:t>
      </w:r>
      <w:bookmarkEnd w:id="89"/>
      <w:bookmarkEnd w:id="90"/>
      <w:bookmarkEnd w:id="91"/>
      <w:bookmarkEnd w:id="92"/>
      <w:r>
        <w:rPr>
          <w:rFonts w:hint="eastAsia"/>
          <w:lang w:val="en-US" w:eastAsia="zh-CN"/>
        </w:rPr>
        <w:t>及内容</w:t>
      </w:r>
    </w:p>
    <w:p>
      <w:pPr>
        <w:pStyle w:val="5"/>
        <w:bidi w:val="0"/>
        <w:rPr>
          <w:rFonts w:hint="default"/>
        </w:rPr>
      </w:pPr>
      <w:bookmarkStart w:id="93" w:name="_Toc13967"/>
      <w:bookmarkStart w:id="94" w:name="_Toc7822"/>
      <w:bookmarkStart w:id="95" w:name="_Toc20302"/>
      <w:bookmarkStart w:id="96" w:name="_Toc23022_WPSOffice_Level2"/>
      <w:r>
        <w:rPr>
          <w:rFonts w:hint="default"/>
        </w:rPr>
        <w:t>2.1</w:t>
      </w:r>
      <w:r>
        <w:rPr>
          <w:rFonts w:hint="eastAsia"/>
          <w:lang w:val="en-US" w:eastAsia="zh-CN"/>
        </w:rPr>
        <w:t>分包</w:t>
      </w:r>
      <w:r>
        <w:rPr>
          <w:rFonts w:hint="default"/>
        </w:rPr>
        <w:t>范围</w:t>
      </w:r>
      <w:bookmarkEnd w:id="93"/>
      <w:bookmarkEnd w:id="94"/>
      <w:bookmarkEnd w:id="95"/>
      <w:bookmarkEnd w:id="96"/>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bookmarkStart w:id="97" w:name="_Toc18922"/>
      <w:bookmarkStart w:id="98" w:name="_Toc4730"/>
      <w:bookmarkStart w:id="99" w:name="_Toc31551"/>
      <w:bookmarkStart w:id="100" w:name="_Toc2086_WPSOffice_Level2"/>
      <w:r>
        <w:rPr>
          <w:rFonts w:hint="eastAsia" w:ascii="宋体" w:hAnsi="宋体" w:eastAsia="宋体" w:cs="宋体"/>
          <w:color w:val="auto"/>
          <w:sz w:val="21"/>
          <w:szCs w:val="21"/>
          <w:highlight w:val="none"/>
          <w:lang w:val="en-US" w:eastAsia="zh-CN"/>
        </w:rPr>
        <w:t>中天合创能源有限责任公司葫芦素矿井煤矸石灌浆系统招标技术文件招标范围包括地面设施全部设计、安装、工程施工、设备采购、竣工验收、调试及灌浆孔全部工程设计、施工、设备采购、竣工验收、调试工作。</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地面设施包括：太阳能无线摄像头、悬浮剂添加机、充填耐磨钢管、手动浆液阀、机械流量计、注浆管道支架、集装箱式活动房等。</w:t>
      </w:r>
    </w:p>
    <w:p>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cs="Times New Roman"/>
          <w:b/>
          <w:bCs/>
          <w:color w:val="FF0000"/>
          <w:sz w:val="24"/>
          <w:szCs w:val="24"/>
          <w:lang w:val="en-US" w:eastAsia="zh-CN"/>
        </w:rPr>
      </w:pPr>
      <w:r>
        <w:rPr>
          <w:rFonts w:hint="eastAsia"/>
          <w:b/>
          <w:bCs/>
          <w:color w:val="FF0000"/>
          <w:sz w:val="24"/>
          <w:szCs w:val="24"/>
          <w:lang w:val="en-US" w:eastAsia="zh-CN"/>
        </w:rPr>
        <w:t>注意：1、</w:t>
      </w:r>
      <w:r>
        <w:rPr>
          <w:rFonts w:hint="eastAsia" w:ascii="Times New Roman" w:hAnsi="Times New Roman" w:cs="Times New Roman"/>
          <w:b/>
          <w:bCs/>
          <w:color w:val="FF0000"/>
          <w:sz w:val="24"/>
          <w:szCs w:val="24"/>
          <w:lang w:val="en-US" w:eastAsia="zh-CN"/>
        </w:rPr>
        <w:t>太阳能无线摄像头、悬浮剂添加机、机械流量计，三个设备我公司采购，</w:t>
      </w:r>
      <w:r>
        <w:rPr>
          <w:rFonts w:hint="eastAsia" w:cs="Times New Roman"/>
          <w:b/>
          <w:bCs/>
          <w:color w:val="FF0000"/>
          <w:sz w:val="24"/>
          <w:szCs w:val="24"/>
          <w:lang w:val="en-US" w:eastAsia="zh-CN"/>
        </w:rPr>
        <w:t>乙方</w:t>
      </w:r>
      <w:r>
        <w:rPr>
          <w:rFonts w:hint="eastAsia" w:ascii="Times New Roman" w:hAnsi="Times New Roman" w:cs="Times New Roman"/>
          <w:b/>
          <w:bCs/>
          <w:color w:val="FF0000"/>
          <w:sz w:val="24"/>
          <w:szCs w:val="24"/>
          <w:lang w:val="en-US" w:eastAsia="zh-CN"/>
        </w:rPr>
        <w:t>建安单位负责安装。</w:t>
      </w:r>
    </w:p>
    <w:p>
      <w:pPr>
        <w:pageBreakBefore w:val="0"/>
        <w:widowControl w:val="0"/>
        <w:kinsoku/>
        <w:wordWrap/>
        <w:overflowPunct/>
        <w:topLinePunct w:val="0"/>
        <w:autoSpaceDE/>
        <w:autoSpaceDN/>
        <w:bidi w:val="0"/>
        <w:adjustRightInd/>
        <w:snapToGrid/>
        <w:spacing w:line="440" w:lineRule="exact"/>
        <w:ind w:firstLine="1205" w:firstLineChars="500"/>
        <w:textAlignment w:val="auto"/>
        <w:rPr>
          <w:rFonts w:hint="default" w:ascii="Times New Roman" w:hAnsi="Times New Roman" w:cs="Times New Roman"/>
          <w:b/>
          <w:bCs/>
          <w:color w:val="FF0000"/>
          <w:sz w:val="24"/>
          <w:szCs w:val="24"/>
          <w:lang w:val="en-US" w:eastAsia="zh-CN"/>
        </w:rPr>
      </w:pPr>
      <w:r>
        <w:rPr>
          <w:rFonts w:hint="eastAsia" w:ascii="Times New Roman" w:hAnsi="Times New Roman" w:cs="Times New Roman"/>
          <w:b/>
          <w:bCs/>
          <w:color w:val="FF0000"/>
          <w:sz w:val="24"/>
          <w:szCs w:val="24"/>
          <w:lang w:val="en-US" w:eastAsia="zh-CN"/>
        </w:rPr>
        <w:t>2、电动浆液阀（井下</w:t>
      </w:r>
      <w:r>
        <w:rPr>
          <w:rFonts w:hint="eastAsia" w:cs="Times New Roman"/>
          <w:b/>
          <w:bCs/>
          <w:color w:val="FF0000"/>
          <w:sz w:val="24"/>
          <w:szCs w:val="24"/>
          <w:lang w:val="en-US" w:eastAsia="zh-CN"/>
        </w:rPr>
        <w:t>用</w:t>
      </w:r>
      <w:r>
        <w:rPr>
          <w:rFonts w:hint="eastAsia" w:ascii="Times New Roman" w:hAnsi="Times New Roman" w:cs="Times New Roman"/>
          <w:b/>
          <w:bCs/>
          <w:color w:val="FF0000"/>
          <w:sz w:val="24"/>
          <w:szCs w:val="24"/>
          <w:lang w:val="en-US" w:eastAsia="zh-CN"/>
        </w:rPr>
        <w:t>）：设备我公司采购，建设单位（甲方）负责安装。</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灌浆孔包括：灌浆孔开凿、灌浆孔孔护壁管、外管及内管等。</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本项目包括地面设施设备购置、施工机械、人工、材料、措施费、管理费、利润、施工期间的各种风险、政策性调整、技术服务费、林草地手续、国土手续、协调费用等全部费用。上述全部内容在总承包范围内。</w:t>
      </w:r>
    </w:p>
    <w:p>
      <w:pPr>
        <w:pStyle w:val="5"/>
        <w:bidi w:val="0"/>
        <w:rPr>
          <w:rFonts w:hint="eastAsia"/>
          <w:lang w:val="en-US" w:eastAsia="zh-CN"/>
        </w:rPr>
      </w:pPr>
      <w:r>
        <w:rPr>
          <w:rFonts w:hint="eastAsia"/>
          <w:lang w:val="en-US" w:eastAsia="zh-CN"/>
        </w:rPr>
        <w:t>2.2其他要求</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1、采暖、供水在总包范围内，由乙方自行解决。</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2、甲方负责消防、环保、水保、安全、卫生、防雷接地等的检测验收工作，按地方及国家相关法律法规标准进行检测验收工作，乙方配合。</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3、调试的水、电、暖等接口位置由甲方提供，乙方负责接口所用材料、人工等费用。灌浆浆液费用由甲方负责。</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4、环保、水保、降水、土方外运、建筑垃圾清理及地方监管协调工作等由乙方负责，并承担相关费用。</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5、系统应满足国家相关法律法规、行业及国家标准、设计规范、安全规程等要求。</w:t>
      </w:r>
    </w:p>
    <w:p>
      <w:pPr>
        <w:pStyle w:val="5"/>
        <w:bidi w:val="0"/>
        <w:rPr>
          <w:rFonts w:hint="eastAsia"/>
          <w:lang w:val="en-US" w:eastAsia="zh-CN"/>
        </w:rPr>
      </w:pPr>
      <w:r>
        <w:rPr>
          <w:rFonts w:hint="eastAsia"/>
          <w:lang w:val="en-US" w:eastAsia="zh-CN"/>
        </w:rPr>
        <w:t>2.3工程质量要求</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1、设计：设计文件符合国家、行业、地方法律法规、标准规范及环保要求，设计文件满足项目进度的要求。</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2、采购</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（1）工程物资采购质量符合设计图纸及现行国家、行业有关标准规范要求，设备、材料入场合格率100%。</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（2）设备供应商确定后需书面告知甲方。</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3、工程质量符合国家、地方及行业现行规范及标准要求，建筑单位工程质量合格率100%，安装分部工程优良率达到单位工程的90%。</w:t>
      </w:r>
    </w:p>
    <w:bookmarkEnd w:id="97"/>
    <w:bookmarkEnd w:id="98"/>
    <w:bookmarkEnd w:id="99"/>
    <w:bookmarkEnd w:id="100"/>
    <w:p>
      <w:pPr>
        <w:pStyle w:val="4"/>
        <w:bidi w:val="0"/>
        <w:rPr>
          <w:rFonts w:hint="eastAsia"/>
          <w:lang w:val="en-US" w:eastAsia="zh-CN"/>
        </w:rPr>
      </w:pPr>
      <w:r>
        <w:rPr>
          <w:rFonts w:hint="eastAsia"/>
          <w:lang w:val="en-US" w:eastAsia="zh-CN"/>
        </w:rPr>
        <w:t>3、工程技术要求</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乙方必须根据上述有关规定要求编制施工组织设计和安全技术措施，经过煤矿组织会审后再进行施工。</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施工组织设计至少包含下列内容：工程概况、工程量、施工方案、劳动组织及施工工期、投入的主要施工设备、施工工艺及主要技术要求、施工安全技术措施、施工质量承诺等。</w:t>
      </w:r>
    </w:p>
    <w:p>
      <w:pPr>
        <w:pageBreakBefore w:val="0"/>
        <w:widowControl w:val="0"/>
        <w:numPr>
          <w:ilvl w:val="0"/>
          <w:numId w:val="2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地面设施</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1、充填耐磨钢管：D219×9mm耐磨钢管，材质为Q355B，埋地敷设，法兰或螺纹钢连接，热固型环氧树脂粉末高温固化防腐处理，100mm聚氨酯保温层保温，支墩支撑敷设，长度为20m。</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2、手动浆液阀4个、机械流量计1个：不锈钢材质、密封采用硬质合金，闸阀。</w:t>
      </w:r>
    </w:p>
    <w:p>
      <w:pPr>
        <w:topLinePunct/>
        <w:spacing w:line="500" w:lineRule="exact"/>
        <w:jc w:val="left"/>
        <w:rPr>
          <w:rFonts w:hint="eastAsia" w:ascii="宋体" w:eastAsia="宋体"/>
          <w:b/>
          <w:bCs/>
          <w:sz w:val="24"/>
          <w:lang w:eastAsia="zh-CN"/>
        </w:rPr>
      </w:pPr>
      <w:r>
        <w:rPr>
          <w:rFonts w:hint="eastAsia" w:ascii="宋体" w:hAnsi="宋体"/>
          <w:b/>
          <w:sz w:val="24"/>
          <w:lang w:val="en-US" w:eastAsia="zh-CN"/>
        </w:rPr>
        <w:t>手</w:t>
      </w:r>
      <w:r>
        <w:rPr>
          <w:rFonts w:hint="eastAsia" w:ascii="宋体" w:hAnsi="宋体"/>
          <w:b/>
          <w:sz w:val="24"/>
        </w:rPr>
        <w:t>动浆液阀</w:t>
      </w:r>
      <w:r>
        <w:rPr>
          <w:rFonts w:hint="eastAsia" w:ascii="宋体" w:hAnsi="宋体"/>
          <w:b/>
          <w:sz w:val="24"/>
          <w:lang w:eastAsia="zh-CN"/>
        </w:rPr>
        <w:t>（</w:t>
      </w:r>
      <w:r>
        <w:rPr>
          <w:rFonts w:hint="eastAsia" w:ascii="宋体" w:hAnsi="宋体"/>
          <w:b/>
          <w:color w:val="FF0000"/>
          <w:sz w:val="24"/>
          <w:lang w:val="en-US" w:eastAsia="zh-CN"/>
        </w:rPr>
        <w:t>C型半球阀</w:t>
      </w:r>
      <w:r>
        <w:rPr>
          <w:rFonts w:hint="eastAsia" w:ascii="宋体" w:hAnsi="宋体"/>
          <w:b/>
          <w:sz w:val="24"/>
          <w:lang w:eastAsia="zh-CN"/>
        </w:rPr>
        <w:t>）</w:t>
      </w:r>
    </w:p>
    <w:p>
      <w:pPr>
        <w:tabs>
          <w:tab w:val="left" w:pos="4200"/>
        </w:tabs>
        <w:topLinePunct/>
        <w:spacing w:line="500" w:lineRule="exact"/>
        <w:ind w:firstLine="482" w:firstLineChars="200"/>
        <w:jc w:val="left"/>
        <w:rPr>
          <w:rFonts w:hint="default" w:ascii="宋体" w:eastAsia="宋体"/>
          <w:b/>
          <w:bCs/>
          <w:sz w:val="24"/>
          <w:lang w:val="en-US" w:eastAsia="zh-CN"/>
        </w:rPr>
      </w:pPr>
      <w:r>
        <w:rPr>
          <w:rFonts w:hint="eastAsia" w:ascii="宋体" w:hAnsi="宋体"/>
          <w:b/>
          <w:bCs/>
          <w:sz w:val="24"/>
        </w:rPr>
        <w:t>公称直径</w:t>
      </w:r>
      <w:r>
        <w:rPr>
          <w:rFonts w:ascii="宋体"/>
          <w:b/>
          <w:bCs/>
          <w:sz w:val="24"/>
        </w:rPr>
        <w:tab/>
      </w:r>
      <w:r>
        <w:rPr>
          <w:rFonts w:hint="eastAsia" w:ascii="宋体" w:hAnsi="宋体"/>
          <w:b/>
          <w:bCs/>
          <w:sz w:val="24"/>
          <w:lang w:val="en-US" w:eastAsia="zh-CN"/>
        </w:rPr>
        <w:t>DN200</w:t>
      </w:r>
    </w:p>
    <w:p>
      <w:pPr>
        <w:tabs>
          <w:tab w:val="left" w:pos="4200"/>
        </w:tabs>
        <w:topLinePunct/>
        <w:spacing w:line="500" w:lineRule="exact"/>
        <w:ind w:firstLine="482" w:firstLineChars="200"/>
        <w:jc w:val="left"/>
        <w:rPr>
          <w:rFonts w:ascii="宋体"/>
          <w:b/>
          <w:bCs/>
          <w:sz w:val="24"/>
        </w:rPr>
      </w:pPr>
      <w:r>
        <w:rPr>
          <w:rFonts w:hint="eastAsia" w:ascii="宋体" w:hAnsi="宋体"/>
          <w:b/>
          <w:bCs/>
          <w:sz w:val="24"/>
        </w:rPr>
        <w:t>额定压力</w:t>
      </w:r>
      <w:r>
        <w:rPr>
          <w:rFonts w:ascii="宋体"/>
          <w:b/>
          <w:bCs/>
          <w:sz w:val="24"/>
        </w:rPr>
        <w:tab/>
      </w:r>
      <w:r>
        <w:rPr>
          <w:rFonts w:ascii="宋体" w:hAnsi="宋体"/>
          <w:b/>
          <w:bCs/>
          <w:sz w:val="24"/>
        </w:rPr>
        <w:t>PN63</w:t>
      </w:r>
    </w:p>
    <w:p>
      <w:pPr>
        <w:tabs>
          <w:tab w:val="left" w:pos="4200"/>
        </w:tabs>
        <w:topLinePunct/>
        <w:spacing w:line="500" w:lineRule="exact"/>
        <w:ind w:firstLine="482" w:firstLineChars="200"/>
        <w:jc w:val="left"/>
        <w:rPr>
          <w:rFonts w:ascii="宋体"/>
          <w:b/>
          <w:bCs/>
          <w:sz w:val="24"/>
        </w:rPr>
      </w:pPr>
      <w:r>
        <w:rPr>
          <w:rFonts w:hint="eastAsia" w:ascii="宋体" w:hAnsi="宋体"/>
          <w:b/>
          <w:bCs/>
          <w:sz w:val="24"/>
        </w:rPr>
        <w:t>连接方式</w:t>
      </w:r>
      <w:r>
        <w:rPr>
          <w:rFonts w:ascii="宋体"/>
          <w:b/>
          <w:bCs/>
          <w:sz w:val="24"/>
        </w:rPr>
        <w:tab/>
      </w:r>
      <w:r>
        <w:rPr>
          <w:rFonts w:hint="eastAsia" w:ascii="宋体" w:hAnsi="宋体"/>
          <w:b/>
          <w:bCs/>
          <w:sz w:val="24"/>
        </w:rPr>
        <w:t>法兰连接</w:t>
      </w:r>
    </w:p>
    <w:p>
      <w:pPr>
        <w:tabs>
          <w:tab w:val="left" w:pos="4200"/>
        </w:tabs>
        <w:topLinePunct/>
        <w:spacing w:line="500" w:lineRule="exact"/>
        <w:ind w:firstLine="482" w:firstLineChars="200"/>
        <w:jc w:val="left"/>
        <w:rPr>
          <w:rFonts w:hint="eastAsia" w:ascii="宋体" w:hAnsi="宋体"/>
          <w:b/>
          <w:bCs/>
          <w:sz w:val="24"/>
        </w:rPr>
      </w:pPr>
      <w:r>
        <w:rPr>
          <w:rFonts w:hint="eastAsia" w:ascii="宋体" w:hAnsi="宋体"/>
          <w:b/>
          <w:bCs/>
          <w:sz w:val="24"/>
        </w:rPr>
        <w:t>数</w:t>
      </w:r>
      <w:r>
        <w:rPr>
          <w:rFonts w:ascii="宋体" w:hAnsi="宋体"/>
          <w:b/>
          <w:bCs/>
          <w:sz w:val="24"/>
        </w:rPr>
        <w:t xml:space="preserve">    </w:t>
      </w:r>
      <w:r>
        <w:rPr>
          <w:rFonts w:hint="eastAsia" w:ascii="宋体" w:hAnsi="宋体"/>
          <w:b/>
          <w:bCs/>
          <w:sz w:val="24"/>
        </w:rPr>
        <w:t>量</w:t>
      </w:r>
      <w:r>
        <w:rPr>
          <w:rFonts w:ascii="宋体"/>
          <w:b/>
          <w:bCs/>
          <w:sz w:val="24"/>
        </w:rPr>
        <w:tab/>
      </w:r>
      <w:r>
        <w:rPr>
          <w:rFonts w:hint="eastAsia" w:ascii="宋体" w:hAnsi="宋体"/>
          <w:b/>
          <w:bCs/>
          <w:sz w:val="24"/>
          <w:lang w:val="en-US" w:eastAsia="zh-CN"/>
        </w:rPr>
        <w:t>4</w:t>
      </w:r>
      <w:r>
        <w:rPr>
          <w:rFonts w:hint="eastAsia" w:ascii="宋体" w:hAnsi="宋体"/>
          <w:b/>
          <w:bCs/>
          <w:sz w:val="24"/>
        </w:rPr>
        <w:t>个</w:t>
      </w:r>
    </w:p>
    <w:p>
      <w:pPr>
        <w:tabs>
          <w:tab w:val="left" w:pos="4200"/>
        </w:tabs>
        <w:topLinePunct/>
        <w:spacing w:line="500" w:lineRule="exact"/>
        <w:ind w:firstLine="482" w:firstLineChars="200"/>
        <w:jc w:val="left"/>
        <w:rPr>
          <w:rFonts w:hint="eastAsia" w:ascii="宋体" w:hAnsi="宋体" w:eastAsia="宋体"/>
          <w:b/>
          <w:bCs/>
          <w:color w:val="FF0000"/>
          <w:sz w:val="24"/>
          <w:lang w:val="en-US" w:eastAsia="zh-CN"/>
        </w:rPr>
      </w:pPr>
      <w:r>
        <w:rPr>
          <w:rFonts w:hint="eastAsia" w:ascii="宋体" w:hAnsi="宋体" w:eastAsia="宋体"/>
          <w:b/>
          <w:bCs/>
          <w:color w:val="FF0000"/>
          <w:sz w:val="24"/>
          <w:lang w:val="en-US" w:eastAsia="zh-CN"/>
        </w:rPr>
        <w:t>材    质                       304不锈钢</w:t>
      </w:r>
    </w:p>
    <w:p>
      <w:pPr>
        <w:tabs>
          <w:tab w:val="left" w:pos="4200"/>
        </w:tabs>
        <w:topLinePunct/>
        <w:spacing w:line="500" w:lineRule="exact"/>
        <w:ind w:firstLine="482" w:firstLineChars="200"/>
        <w:jc w:val="left"/>
      </w:pPr>
      <w:r>
        <w:rPr>
          <w:rFonts w:hint="eastAsia" w:ascii="宋体" w:hAnsi="宋体" w:eastAsia="宋体"/>
          <w:b/>
          <w:bCs/>
          <w:color w:val="FF0000"/>
          <w:sz w:val="24"/>
          <w:lang w:val="en-US" w:eastAsia="zh-CN"/>
        </w:rPr>
        <w:t>密 封 面                       硬质合金</w:t>
      </w:r>
    </w:p>
    <w:p>
      <w:pPr>
        <w:tabs>
          <w:tab w:val="left" w:pos="4200"/>
        </w:tabs>
        <w:topLinePunct/>
        <w:spacing w:line="500" w:lineRule="exact"/>
        <w:ind w:firstLine="482" w:firstLineChars="200"/>
        <w:jc w:val="left"/>
        <w:rPr>
          <w:rFonts w:hint="default" w:ascii="宋体" w:hAnsi="宋体" w:eastAsia="宋体"/>
          <w:b/>
          <w:bCs/>
          <w:color w:val="FF0000"/>
          <w:sz w:val="24"/>
          <w:szCs w:val="22"/>
          <w:lang w:val="en-US" w:eastAsia="zh-CN"/>
        </w:rPr>
      </w:pPr>
      <w:r>
        <w:rPr>
          <w:rFonts w:hint="eastAsia" w:ascii="宋体" w:hAnsi="宋体"/>
          <w:b/>
          <w:bCs/>
          <w:color w:val="FF0000"/>
          <w:sz w:val="24"/>
          <w:szCs w:val="22"/>
          <w:lang w:val="en-US" w:eastAsia="zh-CN"/>
        </w:rPr>
        <w:t>乙方</w:t>
      </w:r>
      <w:r>
        <w:rPr>
          <w:rFonts w:hint="eastAsia" w:ascii="宋体" w:hAnsi="宋体" w:eastAsia="宋体"/>
          <w:b/>
          <w:bCs/>
          <w:color w:val="FF0000"/>
          <w:sz w:val="24"/>
          <w:szCs w:val="22"/>
          <w:lang w:val="en-US" w:eastAsia="zh-CN"/>
        </w:rPr>
        <w:t>建安工程采购与实施：含配套法兰等。</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3、太阳能无线摄像头：配太阳能电池110W，65A，配内存卡，监控摄像，具备存储、无线传输功能。</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4、悬浮剂添加机：1台，添加能力：120kg/h；功率：4.0kW，额定电压：380V；额定频率：50Hz。</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5、电动浆液阀：1个，电动浆液阀为不锈钢材质、具备就地远程控制功能。</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6、集装箱式活动房1个，面积</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val="en-US" w:eastAsia="zh-CN"/>
        </w:rPr>
        <w:t>m</w:t>
      </w:r>
      <w:r>
        <w:rPr>
          <w:rFonts w:hint="eastAsia" w:ascii="宋体" w:hAnsi="宋体" w:eastAsia="宋体" w:cs="宋体"/>
          <w:color w:val="auto"/>
          <w:sz w:val="21"/>
          <w:szCs w:val="21"/>
          <w:highlight w:val="none"/>
          <w:vertAlign w:val="superscript"/>
          <w:lang w:val="en-US" w:eastAsia="zh-CN"/>
        </w:rPr>
        <w:t>2</w:t>
      </w:r>
      <w:r>
        <w:rPr>
          <w:rFonts w:hint="eastAsia" w:ascii="宋体" w:hAnsi="宋体" w:eastAsia="宋体" w:cs="宋体"/>
          <w:color w:val="auto"/>
          <w:sz w:val="21"/>
          <w:szCs w:val="21"/>
          <w:highlight w:val="none"/>
          <w:lang w:val="en-US" w:eastAsia="zh-CN"/>
        </w:rPr>
        <w:t>，用于保护管路阀门。</w:t>
      </w:r>
    </w:p>
    <w:p>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cs="Times New Roman"/>
          <w:b/>
          <w:bCs/>
          <w:color w:val="FF0000"/>
          <w:sz w:val="24"/>
          <w:szCs w:val="24"/>
          <w:lang w:val="en-US" w:eastAsia="zh-CN"/>
        </w:rPr>
      </w:pPr>
      <w:r>
        <w:rPr>
          <w:rFonts w:hint="eastAsia"/>
          <w:b/>
          <w:bCs/>
          <w:color w:val="FF0000"/>
          <w:sz w:val="24"/>
          <w:szCs w:val="24"/>
          <w:lang w:val="en-US" w:eastAsia="zh-CN"/>
        </w:rPr>
        <w:t>注意：1、</w:t>
      </w:r>
      <w:r>
        <w:rPr>
          <w:rFonts w:hint="eastAsia" w:ascii="Times New Roman" w:hAnsi="Times New Roman" w:cs="Times New Roman"/>
          <w:b/>
          <w:bCs/>
          <w:color w:val="FF0000"/>
          <w:sz w:val="24"/>
          <w:szCs w:val="24"/>
          <w:lang w:val="en-US" w:eastAsia="zh-CN"/>
        </w:rPr>
        <w:t>太阳能无线摄像头、悬浮剂添加机、机械流量计，三个设备我公司采购，</w:t>
      </w:r>
      <w:r>
        <w:rPr>
          <w:rFonts w:hint="eastAsia" w:cs="Times New Roman"/>
          <w:b/>
          <w:bCs/>
          <w:color w:val="FF0000"/>
          <w:sz w:val="24"/>
          <w:szCs w:val="24"/>
          <w:lang w:val="en-US" w:eastAsia="zh-CN"/>
        </w:rPr>
        <w:t>乙方</w:t>
      </w:r>
      <w:r>
        <w:rPr>
          <w:rFonts w:hint="eastAsia" w:ascii="Times New Roman" w:hAnsi="Times New Roman" w:cs="Times New Roman"/>
          <w:b/>
          <w:bCs/>
          <w:color w:val="FF0000"/>
          <w:sz w:val="24"/>
          <w:szCs w:val="24"/>
          <w:lang w:val="en-US" w:eastAsia="zh-CN"/>
        </w:rPr>
        <w:t>建安单位负责安装。</w:t>
      </w:r>
    </w:p>
    <w:p>
      <w:pPr>
        <w:pageBreakBefore w:val="0"/>
        <w:widowControl w:val="0"/>
        <w:kinsoku/>
        <w:wordWrap/>
        <w:overflowPunct/>
        <w:topLinePunct w:val="0"/>
        <w:autoSpaceDE/>
        <w:autoSpaceDN/>
        <w:bidi w:val="0"/>
        <w:adjustRightInd/>
        <w:snapToGrid/>
        <w:spacing w:line="440" w:lineRule="exact"/>
        <w:ind w:firstLine="1205" w:firstLineChars="500"/>
        <w:textAlignment w:val="auto"/>
        <w:rPr>
          <w:rFonts w:hint="default" w:ascii="Times New Roman" w:hAnsi="Times New Roman" w:cs="Times New Roman"/>
          <w:b/>
          <w:bCs/>
          <w:color w:val="FF0000"/>
          <w:sz w:val="24"/>
          <w:szCs w:val="24"/>
          <w:lang w:val="en-US" w:eastAsia="zh-CN"/>
        </w:rPr>
      </w:pPr>
      <w:r>
        <w:rPr>
          <w:rFonts w:hint="eastAsia" w:ascii="Times New Roman" w:hAnsi="Times New Roman" w:cs="Times New Roman"/>
          <w:b/>
          <w:bCs/>
          <w:color w:val="FF0000"/>
          <w:sz w:val="24"/>
          <w:szCs w:val="24"/>
          <w:lang w:val="en-US" w:eastAsia="zh-CN"/>
        </w:rPr>
        <w:t>2、电动浆液阀（井下</w:t>
      </w:r>
      <w:r>
        <w:rPr>
          <w:rFonts w:hint="eastAsia" w:cs="Times New Roman"/>
          <w:b/>
          <w:bCs/>
          <w:color w:val="FF0000"/>
          <w:sz w:val="24"/>
          <w:szCs w:val="24"/>
          <w:lang w:val="en-US" w:eastAsia="zh-CN"/>
        </w:rPr>
        <w:t>用</w:t>
      </w:r>
      <w:r>
        <w:rPr>
          <w:rFonts w:hint="eastAsia" w:ascii="Times New Roman" w:hAnsi="Times New Roman" w:cs="Times New Roman"/>
          <w:b/>
          <w:bCs/>
          <w:color w:val="FF0000"/>
          <w:sz w:val="24"/>
          <w:szCs w:val="24"/>
          <w:lang w:val="en-US" w:eastAsia="zh-CN"/>
        </w:rPr>
        <w:t>）：设备我公司采购，建设单位（甲方）负责安装。</w:t>
      </w:r>
    </w:p>
    <w:p>
      <w:pPr>
        <w:pStyle w:val="48"/>
        <w:numPr>
          <w:ilvl w:val="0"/>
          <w:numId w:val="0"/>
        </w:numPr>
        <w:ind w:leftChars="200"/>
        <w:rPr>
          <w:rFonts w:hint="eastAsia"/>
          <w:lang w:val="en-US" w:eastAsia="zh-CN"/>
        </w:rPr>
      </w:pP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上述所有乙方所采购安装的设施设备综合性能可高于上述要求，但不得低于上述要求。</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（二）灌浆孔施工要求</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灌浆孔初定孔深648m，按照甲方提供井下实际参数进行施工。二开结构。一开设计孔径Φ690mm，钻进工程量暂定70m，进入稳定基岩10m，下置Φ560×10mm螺旋钢管70m做护壁，防止孔壁垮塌、缩径、确保下步钻井施工安全。二开设计孔径Φ500mm，钻进工程量</w:t>
      </w:r>
      <w:r>
        <w:rPr>
          <w:rFonts w:hint="eastAsia" w:ascii="宋体" w:hAnsi="宋体" w:cs="宋体"/>
          <w:i w:val="0"/>
          <w:color w:val="auto"/>
          <w:kern w:val="0"/>
          <w:sz w:val="20"/>
          <w:szCs w:val="20"/>
          <w:u w:val="none"/>
          <w:lang w:val="en-US" w:eastAsia="zh-CN" w:bidi="ar"/>
        </w:rPr>
        <w:t>578</w:t>
      </w:r>
      <w:r>
        <w:rPr>
          <w:rFonts w:hint="eastAsia" w:ascii="宋体" w:hAnsi="宋体" w:eastAsia="宋体" w:cs="宋体"/>
          <w:color w:val="auto"/>
          <w:sz w:val="21"/>
          <w:szCs w:val="21"/>
          <w:highlight w:val="none"/>
          <w:lang w:val="en-US" w:eastAsia="zh-CN"/>
        </w:rPr>
        <w:t>m，按照甲方所提供实际参数下置Φ325×12mm无缝钢管做外管。下料孔孔口采用支撑架（材质为Q355-B）进行支撑，按照甲方所提供实际参数悬挂下入Φ159×12mm的Mn钢无缝钢管为内管。</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灌浆孔出口电动浆液阀由</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购买阀件，</w:t>
      </w:r>
      <w:r>
        <w:rPr>
          <w:rFonts w:hint="eastAsia" w:ascii="宋体" w:hAnsi="宋体" w:cs="宋体"/>
          <w:color w:val="auto"/>
          <w:sz w:val="21"/>
          <w:szCs w:val="21"/>
          <w:highlight w:val="none"/>
          <w:lang w:val="en-US" w:eastAsia="zh-CN"/>
        </w:rPr>
        <w:t>矿井建设方（用户）</w:t>
      </w:r>
      <w:r>
        <w:rPr>
          <w:rFonts w:hint="eastAsia" w:ascii="宋体" w:hAnsi="宋体" w:eastAsia="宋体" w:cs="宋体"/>
          <w:color w:val="auto"/>
          <w:sz w:val="21"/>
          <w:szCs w:val="21"/>
          <w:highlight w:val="none"/>
          <w:lang w:val="en-US" w:eastAsia="zh-CN"/>
        </w:rPr>
        <w:t>负责安装等施工：电动浆液阀为不锈钢材质、具备就地远程控制功能，耐压不小于10Mpa。</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1.灌浆孔按照永久使用施工，应满足以下规范要求：</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（1）《煤矿安全规程》（2022版）</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（2）《煤矿井巷工程质量验收规范》（GB50213-2010）</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（3）《煤矿井巷工程施工规范》（GB50511-2010）</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（4）《建设工程项目管理规范》（GB/T 50326-2017）</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（5）其他现行有关国家及行业规范、标准。</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以上规范若有新标准，则执行新标准；以上条目的标准不一致时，则执行最高标准。</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2.下料孔中心的坐标、孔口标高、孔底标高由甲方提供，孔深约648.00m，根据实际情况可做调整。</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3.根据《煤矿井巷工程质量验收规范》(GB50213-2010)，要求钻进终孔的偏斜率不大于0.8‰，成井偏斜率不大于0.6‰。</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4.表土段护壁管与孔壁间、外管与护壁管间、基岩段外管与孔壁间采用水泥浆填实，以保证其间牢固粘结，外管内外两侧不得有渗漏水。水泥型号为PO42.5型，水灰比0.6:1。 </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5.工程所涉及到的孔口、孔底支架钢构件需进行防腐处理，防腐采用长效防腐涂层体系进行防腐，具体防腐要求和方法按照《煤矿井筒装备防腐蚀技术规范》(MT/T5017-2011)执行。</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6.井字架各个构件焊接连接，套管连接的焊缝为角焊缝。</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7.外管焊接接口处焊接补强，焊接管路按要求进行探伤。</w:t>
      </w:r>
    </w:p>
    <w:p>
      <w:pPr>
        <w:pStyle w:val="4"/>
        <w:bidi w:val="0"/>
        <w:rPr>
          <w:rFonts w:hint="eastAsia"/>
          <w:lang w:val="en-US" w:eastAsia="zh-CN"/>
        </w:rPr>
      </w:pPr>
      <w:r>
        <w:rPr>
          <w:rFonts w:hint="eastAsia"/>
          <w:lang w:val="en-US" w:eastAsia="zh-CN"/>
        </w:rPr>
        <w:t>4、施工条件</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GB" w:eastAsia="zh-CN"/>
        </w:rPr>
      </w:pPr>
      <w:r>
        <w:rPr>
          <w:rFonts w:hint="eastAsia" w:ascii="宋体" w:hAnsi="宋体" w:eastAsia="宋体" w:cs="宋体"/>
          <w:color w:val="auto"/>
          <w:sz w:val="21"/>
          <w:szCs w:val="21"/>
          <w:highlight w:val="none"/>
          <w:lang w:val="en-GB" w:eastAsia="zh-CN"/>
        </w:rPr>
        <w:t>现场就近取电，电缆、开关等由乙方自备，淘汰设备严禁使用。</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GB" w:eastAsia="zh-CN"/>
        </w:rPr>
      </w:pPr>
      <w:r>
        <w:rPr>
          <w:rFonts w:hint="eastAsia" w:ascii="宋体" w:hAnsi="宋体" w:eastAsia="宋体" w:cs="宋体"/>
          <w:color w:val="auto"/>
          <w:sz w:val="21"/>
          <w:szCs w:val="21"/>
          <w:highlight w:val="none"/>
          <w:lang w:val="en-GB" w:eastAsia="zh-CN"/>
        </w:rPr>
        <w:t>所有钻探施工设备、配件、电缆、孔口装备、场排水泵、排水管、施工的一切劳动保护用品、备品、备件自备，生活及设施自理。</w:t>
      </w:r>
    </w:p>
    <w:p>
      <w:pPr>
        <w:pStyle w:val="4"/>
        <w:bidi w:val="0"/>
        <w:rPr>
          <w:rFonts w:hint="eastAsia"/>
          <w:lang w:val="en-US" w:eastAsia="zh-CN"/>
        </w:rPr>
      </w:pPr>
      <w:r>
        <w:rPr>
          <w:rFonts w:hint="eastAsia"/>
          <w:lang w:val="en-US" w:eastAsia="zh-CN"/>
        </w:rPr>
        <w:t>5、施工工期</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GB" w:eastAsia="zh-CN"/>
        </w:rPr>
      </w:pPr>
      <w:r>
        <w:rPr>
          <w:rFonts w:hint="eastAsia" w:ascii="宋体" w:hAnsi="宋体" w:eastAsia="宋体" w:cs="宋体"/>
          <w:color w:val="auto"/>
          <w:sz w:val="21"/>
          <w:szCs w:val="21"/>
          <w:highlight w:val="none"/>
          <w:lang w:val="en-GB" w:eastAsia="zh-CN"/>
        </w:rPr>
        <w:t>投标方接到中标通知书后，应及时到场进行施工前的准备工作，开工日期以甲方通知或</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GB" w:eastAsia="zh-CN"/>
        </w:rPr>
        <w:t>开工报告批准时间为准，建设工期为</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GB" w:eastAsia="zh-CN"/>
        </w:rPr>
        <w:t>个月。</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GB" w:eastAsia="zh-CN"/>
        </w:rPr>
      </w:pPr>
      <w:r>
        <w:rPr>
          <w:rFonts w:hint="eastAsia" w:ascii="宋体" w:hAnsi="宋体" w:eastAsia="宋体" w:cs="宋体"/>
          <w:color w:val="auto"/>
          <w:sz w:val="21"/>
          <w:szCs w:val="21"/>
          <w:highlight w:val="none"/>
          <w:lang w:val="en-GB" w:eastAsia="zh-CN"/>
        </w:rPr>
        <w:t>如在实际施工过程非投标方原因造成施工工期延长时，以签证为准对工期做相应调整。</w:t>
      </w:r>
    </w:p>
    <w:p>
      <w:pPr>
        <w:pStyle w:val="4"/>
        <w:bidi w:val="0"/>
        <w:rPr>
          <w:rFonts w:hint="eastAsia"/>
          <w:lang w:val="en-US" w:eastAsia="zh-CN"/>
        </w:rPr>
      </w:pPr>
      <w:r>
        <w:rPr>
          <w:rFonts w:hint="eastAsia"/>
          <w:lang w:val="en-US" w:eastAsia="zh-CN"/>
        </w:rPr>
        <w:t>6、工程施工组织、实施及验收</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1、为保证工程建设的顺利进行，甲方对工程进行监管。要求乙方在施工前必须向甲方提供施工图纸，以便实现有效监管。</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2、系统调试后，甲方分专业组成专家组，通过系统或单项测试，按合同约定的标准对全系统进行预验收。</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3、工程完成预验收后，乙方要派有关技术人员驻现场配合招甲方组织正常生产一个月后，由甲方会同有关部门进行工程总验收。</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4、乙方负责按照国家有关基本建设管理规范和甲方基本建设管理制度有关要求，完成项目整体移交验收的资料汇总和整理工作。主要内容有：</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①建设项目概况。</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②建设项目设计过程及设计概况。</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③建设项目实施过程及特点。</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④建设项目单位工程工程量完成及认证情况。</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⑤建设项目完成标准评述。</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⑥建设项目单位工程投标价和结算价格对比。</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⑦工程量统计表、设备统计表、投标预算与结算对比表、工程盘点表（样表可向招标人索取）。</w:t>
      </w:r>
    </w:p>
    <w:p>
      <w:pPr>
        <w:pStyle w:val="4"/>
        <w:bidi w:val="0"/>
        <w:rPr>
          <w:rFonts w:hint="eastAsia"/>
          <w:lang w:val="en-US" w:eastAsia="zh-CN"/>
        </w:rPr>
      </w:pPr>
      <w:r>
        <w:rPr>
          <w:rFonts w:hint="eastAsia"/>
          <w:lang w:val="en-US" w:eastAsia="zh-CN"/>
        </w:rPr>
        <w:t>7、项目款支付</w:t>
      </w:r>
    </w:p>
    <w:p>
      <w:pPr>
        <w:pStyle w:val="43"/>
        <w:spacing w:before="0" w:beforeAutospacing="0" w:after="0" w:afterAutospacing="0" w:line="480" w:lineRule="auto"/>
        <w:ind w:firstLine="480" w:firstLineChars="200"/>
        <w:rPr>
          <w:rFonts w:hint="default" w:ascii="Times New Roman" w:hAnsi="Times New Roman" w:cs="Times New Roman"/>
          <w:color w:val="auto"/>
          <w:highlight w:val="none"/>
        </w:rPr>
      </w:pPr>
      <w:r>
        <w:rPr>
          <w:rFonts w:hint="eastAsia" w:ascii="Times New Roman" w:cs="Times New Roman"/>
          <w:color w:val="auto"/>
          <w:highlight w:val="none"/>
          <w:lang w:eastAsia="zh-CN"/>
        </w:rPr>
        <w:t>（</w:t>
      </w:r>
      <w:r>
        <w:rPr>
          <w:rFonts w:hint="default" w:ascii="Times New Roman" w:hAnsi="Times New Roman" w:cs="Times New Roman"/>
          <w:color w:val="auto"/>
          <w:highlight w:val="none"/>
        </w:rPr>
        <w:t>1</w:t>
      </w:r>
      <w:r>
        <w:rPr>
          <w:rFonts w:hint="eastAsia" w:ascii="Times New Roman" w:cs="Times New Roman"/>
          <w:color w:val="auto"/>
          <w:highlight w:val="none"/>
          <w:lang w:eastAsia="zh-CN"/>
        </w:rPr>
        <w:t>）</w:t>
      </w:r>
      <w:r>
        <w:rPr>
          <w:rFonts w:hint="default" w:ascii="Times New Roman" w:hAnsi="Times New Roman" w:cs="Times New Roman"/>
          <w:color w:val="auto"/>
          <w:highlight w:val="none"/>
        </w:rPr>
        <w:t>按月支付进度款，进度款按承包人的工程进度（已完成并经发包人、监理验收合格的工程量）月报审批。发包人按审批后的工程进度款的85%支付；</w:t>
      </w:r>
    </w:p>
    <w:p>
      <w:pPr>
        <w:pStyle w:val="43"/>
        <w:spacing w:before="0" w:beforeAutospacing="0" w:after="0" w:afterAutospacing="0" w:line="480" w:lineRule="auto"/>
        <w:ind w:firstLine="480" w:firstLineChars="200"/>
        <w:rPr>
          <w:rFonts w:hint="default" w:ascii="Times New Roman" w:hAnsi="Times New Roman" w:cs="Times New Roman"/>
          <w:color w:val="auto"/>
          <w:highlight w:val="none"/>
        </w:rPr>
      </w:pPr>
      <w:r>
        <w:rPr>
          <w:rFonts w:hint="eastAsia" w:ascii="Times New Roman" w:cs="Times New Roman"/>
          <w:color w:val="auto"/>
          <w:highlight w:val="none"/>
          <w:lang w:eastAsia="zh-CN"/>
        </w:rPr>
        <w:t>（</w:t>
      </w:r>
      <w:r>
        <w:rPr>
          <w:rFonts w:hint="eastAsia" w:ascii="Times New Roman" w:cs="Times New Roman"/>
          <w:color w:val="auto"/>
          <w:highlight w:val="none"/>
          <w:lang w:val="en-US" w:eastAsia="zh-CN"/>
        </w:rPr>
        <w:t>2</w:t>
      </w:r>
      <w:r>
        <w:rPr>
          <w:rFonts w:hint="eastAsia" w:ascii="Times New Roman" w:cs="Times New Roman"/>
          <w:color w:val="auto"/>
          <w:highlight w:val="none"/>
          <w:lang w:eastAsia="zh-CN"/>
        </w:rPr>
        <w:t>）</w:t>
      </w:r>
      <w:r>
        <w:rPr>
          <w:rFonts w:hint="default" w:ascii="Times New Roman" w:hAnsi="Times New Roman" w:cs="Times New Roman"/>
          <w:color w:val="auto"/>
          <w:highlight w:val="none"/>
        </w:rPr>
        <w:t>工程完工，工程价款支付至工程总价款的90%，待工程竣工验收合格，承包人提供竣工结算报告经审核后，发包人支付至工程结算总价款的97%；</w:t>
      </w:r>
    </w:p>
    <w:p>
      <w:pPr>
        <w:pStyle w:val="43"/>
        <w:spacing w:before="0" w:beforeAutospacing="0" w:after="0" w:afterAutospacing="0" w:line="480" w:lineRule="auto"/>
        <w:ind w:firstLine="480" w:firstLineChars="200"/>
        <w:rPr>
          <w:rFonts w:hint="default" w:ascii="Times New Roman" w:hAnsi="Times New Roman" w:cs="Times New Roman"/>
          <w:color w:val="auto"/>
          <w:highlight w:val="none"/>
        </w:rPr>
      </w:pPr>
      <w:r>
        <w:rPr>
          <w:rFonts w:hint="eastAsia" w:ascii="Times New Roman" w:cs="Times New Roman"/>
          <w:color w:val="auto"/>
          <w:highlight w:val="none"/>
          <w:lang w:eastAsia="zh-CN"/>
        </w:rPr>
        <w:t>（</w:t>
      </w:r>
      <w:r>
        <w:rPr>
          <w:rFonts w:hint="eastAsia" w:ascii="Times New Roman" w:cs="Times New Roman"/>
          <w:color w:val="auto"/>
          <w:highlight w:val="none"/>
          <w:lang w:val="en-US" w:eastAsia="zh-CN"/>
        </w:rPr>
        <w:t>3</w:t>
      </w:r>
      <w:r>
        <w:rPr>
          <w:rFonts w:hint="eastAsia" w:ascii="Times New Roman" w:cs="Times New Roman"/>
          <w:color w:val="auto"/>
          <w:highlight w:val="none"/>
          <w:lang w:eastAsia="zh-CN"/>
        </w:rPr>
        <w:t>）</w:t>
      </w:r>
      <w:r>
        <w:rPr>
          <w:rFonts w:hint="default" w:ascii="Times New Roman" w:hAnsi="Times New Roman" w:cs="Times New Roman"/>
          <w:color w:val="auto"/>
          <w:highlight w:val="none"/>
        </w:rPr>
        <w:t>工程结算总价款的3%作为质量保证金，待工程竣工验收合格一年后，没有发现任何质量问题，一次性支付给承包人（不计利息）。</w:t>
      </w:r>
    </w:p>
    <w:p>
      <w:pPr>
        <w:pStyle w:val="43"/>
        <w:spacing w:before="0" w:beforeAutospacing="0" w:after="0" w:afterAutospacing="0" w:line="480" w:lineRule="auto"/>
        <w:ind w:firstLine="480" w:firstLineChars="200"/>
        <w:rPr>
          <w:rFonts w:hint="default"/>
        </w:rPr>
      </w:pPr>
      <w:r>
        <w:rPr>
          <w:rFonts w:hint="eastAsia" w:ascii="Times New Roman" w:cs="Times New Roman"/>
          <w:color w:val="auto"/>
          <w:highlight w:val="none"/>
          <w:lang w:eastAsia="zh-CN"/>
        </w:rPr>
        <w:t>（</w:t>
      </w:r>
      <w:r>
        <w:rPr>
          <w:rFonts w:hint="eastAsia" w:ascii="Times New Roman" w:cs="Times New Roman"/>
          <w:color w:val="auto"/>
          <w:highlight w:val="none"/>
          <w:lang w:val="en-US" w:eastAsia="zh-CN"/>
        </w:rPr>
        <w:t>4</w:t>
      </w:r>
      <w:r>
        <w:rPr>
          <w:rFonts w:hint="eastAsia" w:ascii="Times New Roman" w:cs="Times New Roman"/>
          <w:color w:val="auto"/>
          <w:highlight w:val="none"/>
          <w:lang w:eastAsia="zh-CN"/>
        </w:rPr>
        <w:t>）</w:t>
      </w:r>
      <w:r>
        <w:rPr>
          <w:rFonts w:hint="default" w:ascii="Times New Roman" w:hAnsi="Times New Roman" w:cs="Times New Roman"/>
          <w:color w:val="auto"/>
          <w:highlight w:val="none"/>
        </w:rPr>
        <w:t>发包人向承包人支付工程进度款之前，承包人按进度结算金额向发包人提供等额增值税专用发票（税率为9%，如遇国家税率调整，将按照合同不含税价格和国家调整后的适用税率执行）。</w:t>
      </w:r>
    </w:p>
    <w:p>
      <w:pPr>
        <w:bidi w:val="0"/>
        <w:ind w:firstLine="400" w:firstLineChars="200"/>
        <w:rPr>
          <w:rFonts w:hint="default"/>
        </w:rPr>
      </w:pPr>
      <w:r>
        <w:rPr>
          <w:rFonts w:hint="default" w:ascii="Times New Roman" w:hAnsi="Times New Roman" w:cs="Times New Roman"/>
          <w:color w:val="000000"/>
          <w:highlight w:val="none"/>
        </w:rPr>
        <w:br w:type="page"/>
      </w:r>
    </w:p>
    <w:p>
      <w:pPr>
        <w:pStyle w:val="4"/>
        <w:bidi w:val="0"/>
        <w:rPr>
          <w:rFonts w:hint="default"/>
        </w:rPr>
      </w:pPr>
      <w:r>
        <w:rPr>
          <w:rFonts w:hint="eastAsia"/>
          <w:lang w:val="en-US" w:eastAsia="zh-CN"/>
        </w:rPr>
        <w:t>8、其他要求</w:t>
      </w:r>
    </w:p>
    <w:p>
      <w:pPr>
        <w:pStyle w:val="47"/>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w:t>
      </w:r>
      <w:r>
        <w:rPr>
          <w:rFonts w:hint="eastAsia" w:ascii="Times New Roman" w:hAnsi="Times New Roman" w:eastAsia="宋体" w:cs="Times New Roman"/>
          <w:b w:val="0"/>
          <w:bCs/>
          <w:color w:val="auto"/>
          <w:sz w:val="24"/>
          <w:szCs w:val="24"/>
          <w:highlight w:val="none"/>
          <w:lang w:val="en-US" w:eastAsia="zh-CN"/>
        </w:rPr>
        <w:t>1</w:t>
      </w:r>
      <w:r>
        <w:rPr>
          <w:rFonts w:hint="default" w:ascii="Times New Roman" w:hAnsi="Times New Roman" w:eastAsia="宋体" w:cs="Times New Roman"/>
          <w:b w:val="0"/>
          <w:bCs/>
          <w:color w:val="auto"/>
          <w:sz w:val="24"/>
          <w:szCs w:val="24"/>
          <w:highlight w:val="none"/>
          <w:lang w:val="en-US" w:eastAsia="zh-CN"/>
        </w:rPr>
        <w:t>）分包范围内的各种管线和沟道，包括架空管线、直埋管线，与区域外沟道管架相接原则上由投标人负责对接，并应在设计分界线处标明位置、标高、管径或沟道断面尺寸、坡度、坡向管沟名称，引向何处等等。</w:t>
      </w:r>
    </w:p>
    <w:p>
      <w:pPr>
        <w:pStyle w:val="47"/>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default" w:ascii="Times New Roman" w:hAnsi="Times New Roman" w:eastAsia="宋体" w:cs="Times New Roman"/>
          <w:b w:val="0"/>
          <w:bCs/>
          <w:color w:val="auto"/>
          <w:sz w:val="24"/>
          <w:szCs w:val="24"/>
          <w:highlight w:val="none"/>
          <w:lang w:val="en-US" w:eastAsia="zh-CN"/>
        </w:rPr>
      </w:pPr>
      <w:r>
        <w:rPr>
          <w:rFonts w:hint="eastAsia" w:ascii="Times New Roman" w:hAnsi="Times New Roman" w:eastAsia="宋体" w:cs="Times New Roman"/>
          <w:b w:val="0"/>
          <w:bCs/>
          <w:color w:val="auto"/>
          <w:sz w:val="24"/>
          <w:szCs w:val="24"/>
          <w:highlight w:val="none"/>
          <w:lang w:val="en-US" w:eastAsia="zh-CN"/>
        </w:rPr>
        <w:t>（2）</w:t>
      </w:r>
      <w:r>
        <w:rPr>
          <w:rFonts w:hint="default" w:ascii="Times New Roman" w:hAnsi="Times New Roman" w:eastAsia="宋体" w:cs="Times New Roman"/>
          <w:b w:val="0"/>
          <w:bCs/>
          <w:color w:val="auto"/>
          <w:sz w:val="24"/>
          <w:szCs w:val="24"/>
          <w:highlight w:val="none"/>
          <w:lang w:val="en-US" w:eastAsia="zh-CN"/>
        </w:rPr>
        <w:t>投标人负责分包范围内涉及会务费、评审费、专家费等费用。</w:t>
      </w:r>
    </w:p>
    <w:p>
      <w:pPr>
        <w:pStyle w:val="47"/>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default" w:ascii="Times New Roman" w:hAnsi="Times New Roman" w:eastAsia="宋体" w:cs="Times New Roman"/>
          <w:b w:val="0"/>
          <w:bCs/>
          <w:color w:val="auto"/>
          <w:sz w:val="24"/>
          <w:szCs w:val="24"/>
          <w:highlight w:val="none"/>
          <w:lang w:val="en-US" w:eastAsia="zh-CN"/>
        </w:rPr>
      </w:pPr>
      <w:r>
        <w:rPr>
          <w:rFonts w:hint="eastAsia" w:ascii="Times New Roman" w:hAnsi="Times New Roman" w:eastAsia="宋体" w:cs="Times New Roman"/>
          <w:b w:val="0"/>
          <w:bCs/>
          <w:color w:val="auto"/>
          <w:sz w:val="24"/>
          <w:szCs w:val="24"/>
          <w:highlight w:val="none"/>
          <w:lang w:val="en-US" w:eastAsia="zh-CN"/>
        </w:rPr>
        <w:t>（3）</w:t>
      </w:r>
      <w:r>
        <w:rPr>
          <w:rFonts w:hint="default" w:ascii="Times New Roman" w:hAnsi="Times New Roman" w:eastAsia="宋体" w:cs="Times New Roman"/>
          <w:b w:val="0"/>
          <w:bCs/>
          <w:color w:val="auto"/>
          <w:sz w:val="24"/>
          <w:szCs w:val="24"/>
          <w:highlight w:val="none"/>
          <w:lang w:val="en-US" w:eastAsia="zh-CN"/>
        </w:rPr>
        <w:t>分包范围内所需的保险均由投标人负责投保，所需的费用已经包含在合同总价中。投标人负责投保险种包括但不限于：货物运输险、建安一切险及投标人的人员、施工机械保险等。</w:t>
      </w:r>
    </w:p>
    <w:p>
      <w:pPr>
        <w:pStyle w:val="47"/>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default" w:ascii="Times New Roman" w:hAnsi="Times New Roman" w:eastAsia="宋体" w:cs="Times New Roman"/>
          <w:b w:val="0"/>
          <w:bCs/>
          <w:color w:val="auto"/>
          <w:sz w:val="24"/>
          <w:szCs w:val="24"/>
          <w:highlight w:val="none"/>
          <w:lang w:val="en-US" w:eastAsia="zh-CN"/>
        </w:rPr>
      </w:pPr>
      <w:r>
        <w:rPr>
          <w:rFonts w:hint="eastAsia" w:ascii="Times New Roman" w:hAnsi="Times New Roman" w:eastAsia="宋体" w:cs="Times New Roman"/>
          <w:b w:val="0"/>
          <w:bCs/>
          <w:color w:val="auto"/>
          <w:sz w:val="24"/>
          <w:szCs w:val="24"/>
          <w:highlight w:val="none"/>
          <w:lang w:val="en-US" w:eastAsia="zh-CN"/>
        </w:rPr>
        <w:t>（4）</w:t>
      </w:r>
      <w:r>
        <w:rPr>
          <w:rFonts w:hint="default" w:ascii="Times New Roman" w:hAnsi="Times New Roman" w:eastAsia="宋体" w:cs="Times New Roman"/>
          <w:b w:val="0"/>
          <w:bCs/>
          <w:color w:val="auto"/>
          <w:sz w:val="24"/>
          <w:szCs w:val="24"/>
          <w:highlight w:val="none"/>
          <w:lang w:val="en-US" w:eastAsia="zh-CN"/>
        </w:rPr>
        <w:t>分包范围内相关的全部检验、检测、试验项目，除明确招标人负责的项目外，均由投标人负责。</w:t>
      </w:r>
    </w:p>
    <w:p>
      <w:pPr>
        <w:pStyle w:val="47"/>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default" w:ascii="Times New Roman" w:hAnsi="Times New Roman" w:eastAsia="宋体" w:cs="Times New Roman"/>
          <w:b w:val="0"/>
          <w:bCs/>
          <w:color w:val="auto"/>
          <w:sz w:val="24"/>
          <w:szCs w:val="24"/>
          <w:highlight w:val="none"/>
          <w:lang w:val="en-US" w:eastAsia="zh-CN"/>
        </w:rPr>
      </w:pPr>
      <w:r>
        <w:rPr>
          <w:rFonts w:hint="eastAsia" w:ascii="Times New Roman" w:hAnsi="Times New Roman" w:eastAsia="宋体" w:cs="Times New Roman"/>
          <w:b w:val="0"/>
          <w:bCs/>
          <w:color w:val="auto"/>
          <w:sz w:val="24"/>
          <w:szCs w:val="24"/>
          <w:highlight w:val="none"/>
          <w:lang w:val="en-US" w:eastAsia="zh-CN"/>
        </w:rPr>
        <w:t>（5）</w:t>
      </w:r>
      <w:r>
        <w:rPr>
          <w:rFonts w:hint="default" w:ascii="Times New Roman" w:hAnsi="Times New Roman" w:eastAsia="宋体" w:cs="Times New Roman"/>
          <w:b w:val="0"/>
          <w:bCs/>
          <w:color w:val="auto"/>
          <w:sz w:val="24"/>
          <w:szCs w:val="24"/>
          <w:highlight w:val="none"/>
          <w:lang w:val="en-US" w:eastAsia="zh-CN"/>
        </w:rPr>
        <w:t>投标人应保证提供的产品符合安全、健康、环保标准的要求，应能适应安装地高海拔、较低温环境条件。</w:t>
      </w:r>
    </w:p>
    <w:p>
      <w:pPr>
        <w:pStyle w:val="47"/>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default" w:ascii="Times New Roman" w:hAnsi="Times New Roman" w:eastAsia="宋体" w:cs="Times New Roman"/>
          <w:b w:val="0"/>
          <w:bCs/>
          <w:color w:val="auto"/>
          <w:sz w:val="24"/>
          <w:szCs w:val="24"/>
          <w:highlight w:val="none"/>
          <w:lang w:val="en-US" w:eastAsia="zh-CN"/>
        </w:rPr>
      </w:pPr>
      <w:r>
        <w:rPr>
          <w:rFonts w:hint="eastAsia" w:ascii="Times New Roman" w:hAnsi="Times New Roman" w:eastAsia="宋体" w:cs="Times New Roman"/>
          <w:b w:val="0"/>
          <w:bCs/>
          <w:color w:val="auto"/>
          <w:sz w:val="24"/>
          <w:szCs w:val="24"/>
          <w:highlight w:val="none"/>
          <w:lang w:val="en-US" w:eastAsia="zh-CN"/>
        </w:rPr>
        <w:t>（6）</w:t>
      </w:r>
      <w:r>
        <w:rPr>
          <w:rFonts w:hint="default" w:ascii="Times New Roman" w:hAnsi="Times New Roman" w:eastAsia="宋体" w:cs="Times New Roman"/>
          <w:b w:val="0"/>
          <w:bCs/>
          <w:color w:val="auto"/>
          <w:sz w:val="24"/>
          <w:szCs w:val="24"/>
          <w:highlight w:val="none"/>
          <w:lang w:val="en-US" w:eastAsia="zh-CN"/>
        </w:rPr>
        <w:t>投标人负责分包范围通过环保、消防、施工、运行、调试等验收。</w:t>
      </w:r>
    </w:p>
    <w:p>
      <w:pPr>
        <w:pStyle w:val="47"/>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default" w:ascii="Times New Roman" w:hAnsi="Times New Roman" w:eastAsia="宋体" w:cs="Times New Roman"/>
          <w:b w:val="0"/>
          <w:bCs/>
          <w:color w:val="auto"/>
          <w:sz w:val="24"/>
          <w:szCs w:val="24"/>
          <w:highlight w:val="none"/>
          <w:lang w:val="en-US" w:eastAsia="zh-CN"/>
        </w:rPr>
      </w:pPr>
      <w:r>
        <w:rPr>
          <w:rFonts w:hint="eastAsia" w:ascii="Times New Roman" w:hAnsi="Times New Roman" w:eastAsia="宋体" w:cs="Times New Roman"/>
          <w:b w:val="0"/>
          <w:bCs/>
          <w:color w:val="auto"/>
          <w:sz w:val="24"/>
          <w:szCs w:val="24"/>
          <w:highlight w:val="none"/>
          <w:lang w:val="en-US" w:eastAsia="zh-CN"/>
        </w:rPr>
        <w:t>（7）</w:t>
      </w:r>
      <w:r>
        <w:rPr>
          <w:rFonts w:hint="default" w:ascii="Times New Roman" w:hAnsi="Times New Roman" w:eastAsia="宋体" w:cs="Times New Roman"/>
          <w:b w:val="0"/>
          <w:bCs/>
          <w:color w:val="auto"/>
          <w:sz w:val="24"/>
          <w:szCs w:val="24"/>
          <w:highlight w:val="none"/>
          <w:lang w:val="en-US" w:eastAsia="zh-CN"/>
        </w:rPr>
        <w:t>投标人负责分包范围内的成品保护、安全、文明、环保等工程施工措施。</w:t>
      </w:r>
    </w:p>
    <w:p>
      <w:pPr>
        <w:pStyle w:val="47"/>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w:t>
      </w:r>
      <w:r>
        <w:rPr>
          <w:rFonts w:hint="eastAsia" w:ascii="Times New Roman" w:hAnsi="Times New Roman" w:eastAsia="宋体" w:cs="Times New Roman"/>
          <w:b w:val="0"/>
          <w:bCs/>
          <w:color w:val="auto"/>
          <w:sz w:val="24"/>
          <w:szCs w:val="24"/>
          <w:highlight w:val="none"/>
          <w:lang w:val="en-US" w:eastAsia="zh-CN"/>
        </w:rPr>
        <w:t>8</w:t>
      </w:r>
      <w:r>
        <w:rPr>
          <w:rFonts w:hint="default" w:ascii="Times New Roman" w:hAnsi="Times New Roman" w:eastAsia="宋体" w:cs="Times New Roman"/>
          <w:b w:val="0"/>
          <w:bCs/>
          <w:color w:val="auto"/>
          <w:sz w:val="24"/>
          <w:szCs w:val="24"/>
          <w:highlight w:val="none"/>
          <w:lang w:val="en-US" w:eastAsia="zh-CN"/>
        </w:rPr>
        <w:t>）投标人负责分包范围内建设过程中施工、试运（含调试、试验等）、办公、生活、安防所需的用水、排水、用电、通讯等统一管理、维护、保养、消缺、修试。</w:t>
      </w:r>
    </w:p>
    <w:p>
      <w:pPr>
        <w:pStyle w:val="47"/>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w:t>
      </w:r>
      <w:r>
        <w:rPr>
          <w:rFonts w:hint="eastAsia" w:ascii="Times New Roman" w:hAnsi="Times New Roman" w:eastAsia="宋体" w:cs="Times New Roman"/>
          <w:b w:val="0"/>
          <w:bCs/>
          <w:color w:val="auto"/>
          <w:sz w:val="24"/>
          <w:szCs w:val="24"/>
          <w:highlight w:val="none"/>
          <w:lang w:val="en-US" w:eastAsia="zh-CN"/>
        </w:rPr>
        <w:t>9</w:t>
      </w:r>
      <w:r>
        <w:rPr>
          <w:rFonts w:hint="default" w:ascii="Times New Roman" w:hAnsi="Times New Roman" w:eastAsia="宋体" w:cs="Times New Roman"/>
          <w:b w:val="0"/>
          <w:bCs/>
          <w:color w:val="auto"/>
          <w:sz w:val="24"/>
          <w:szCs w:val="24"/>
          <w:highlight w:val="none"/>
          <w:lang w:val="en-US" w:eastAsia="zh-CN"/>
        </w:rPr>
        <w:t>）投标人负责分包范围内建设期全部沉降观测，并向招标人、业主移交完整的持续观测报告。在观测过程中如发现超标应及时分析原因并采取措施予以处置。</w:t>
      </w:r>
    </w:p>
    <w:p>
      <w:pPr>
        <w:pStyle w:val="47"/>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w:t>
      </w:r>
      <w:r>
        <w:rPr>
          <w:rFonts w:hint="eastAsia" w:ascii="Times New Roman" w:hAnsi="Times New Roman" w:eastAsia="宋体" w:cs="Times New Roman"/>
          <w:b w:val="0"/>
          <w:bCs/>
          <w:color w:val="auto"/>
          <w:sz w:val="24"/>
          <w:szCs w:val="24"/>
          <w:highlight w:val="none"/>
          <w:lang w:val="en-US" w:eastAsia="zh-CN"/>
        </w:rPr>
        <w:t>10</w:t>
      </w:r>
      <w:r>
        <w:rPr>
          <w:rFonts w:hint="default" w:ascii="Times New Roman" w:hAnsi="Times New Roman" w:eastAsia="宋体" w:cs="Times New Roman"/>
          <w:b w:val="0"/>
          <w:bCs/>
          <w:color w:val="auto"/>
          <w:sz w:val="24"/>
          <w:szCs w:val="24"/>
          <w:highlight w:val="none"/>
          <w:lang w:val="en-US" w:eastAsia="zh-CN"/>
        </w:rPr>
        <w:t>）投标人承担分包范围内建设所需的生活、办公和施工场地租用费、购置费等。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b w:val="0"/>
          <w:bCs/>
          <w:color w:val="auto"/>
          <w:sz w:val="24"/>
          <w:szCs w:val="24"/>
          <w:highlight w:val="none"/>
          <w:lang w:val="en-US" w:eastAsia="zh-CN"/>
        </w:rPr>
      </w:pPr>
      <w:bookmarkStart w:id="101" w:name="_Toc14288_WPSOffice_Level2"/>
      <w:r>
        <w:rPr>
          <w:rFonts w:hint="eastAsia" w:ascii="Times New Roman" w:hAnsi="Times New Roman" w:eastAsia="宋体" w:cs="Times New Roman"/>
          <w:b w:val="0"/>
          <w:bCs/>
          <w:color w:val="auto"/>
          <w:sz w:val="24"/>
          <w:szCs w:val="24"/>
          <w:highlight w:val="none"/>
          <w:lang w:val="en-US" w:eastAsia="zh-CN"/>
        </w:rPr>
        <w:t>（11）</w:t>
      </w:r>
      <w:r>
        <w:rPr>
          <w:rFonts w:hint="default" w:ascii="Times New Roman" w:hAnsi="Times New Roman" w:eastAsia="宋体" w:cs="Times New Roman"/>
          <w:b w:val="0"/>
          <w:bCs/>
          <w:color w:val="auto"/>
          <w:sz w:val="24"/>
          <w:szCs w:val="24"/>
          <w:highlight w:val="none"/>
          <w:lang w:val="en-US" w:eastAsia="zh-CN"/>
        </w:rPr>
        <w:t>投标人在填报报价时，应考虑一定的风险系数并认真计算，不应遗留须在合同执行中再行议价和另外支付费用的项目。</w:t>
      </w:r>
    </w:p>
    <w:p>
      <w:pPr>
        <w:pStyle w:val="4"/>
        <w:bidi w:val="0"/>
        <w:rPr>
          <w:rFonts w:hint="default"/>
          <w:lang w:val="en-US" w:eastAsia="zh-CN"/>
        </w:rPr>
      </w:pPr>
      <w:r>
        <w:rPr>
          <w:rFonts w:hint="eastAsia"/>
          <w:lang w:val="en-US" w:eastAsia="zh-CN"/>
        </w:rPr>
        <w:t>9、</w:t>
      </w:r>
      <w:r>
        <w:rPr>
          <w:rFonts w:hint="default"/>
          <w:lang w:val="en-US" w:eastAsia="zh-CN"/>
        </w:rPr>
        <w:t>工程质量要求</w:t>
      </w:r>
      <w:bookmarkEnd w:id="101"/>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合格，符合国家、地方及行业现行规范及标准要求。</w:t>
      </w:r>
    </w:p>
    <w:p>
      <w:pPr>
        <w:pStyle w:val="4"/>
        <w:bidi w:val="0"/>
        <w:rPr>
          <w:rFonts w:hint="default"/>
          <w:lang w:val="en-US" w:eastAsia="zh-CN"/>
        </w:rPr>
      </w:pPr>
      <w:r>
        <w:rPr>
          <w:rFonts w:hint="eastAsia"/>
          <w:lang w:val="en-US" w:eastAsia="zh-CN"/>
        </w:rPr>
        <w:t>10、</w:t>
      </w:r>
      <w:r>
        <w:rPr>
          <w:rFonts w:hint="default"/>
          <w:lang w:val="en-US" w:eastAsia="zh-CN"/>
        </w:rPr>
        <w:t>其他说明</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.1在合同签定后，</w:t>
      </w:r>
      <w:r>
        <w:rPr>
          <w:rFonts w:hint="default" w:ascii="Times New Roman" w:hAnsi="Times New Roman" w:cs="Times New Roman"/>
          <w:color w:val="auto"/>
          <w:sz w:val="24"/>
          <w:szCs w:val="24"/>
          <w:highlight w:val="none"/>
          <w:lang w:val="en-US" w:eastAsia="zh-CN"/>
        </w:rPr>
        <w:t>招标人</w:t>
      </w:r>
      <w:r>
        <w:rPr>
          <w:rFonts w:hint="default" w:ascii="Times New Roman" w:hAnsi="Times New Roman" w:eastAsia="宋体" w:cs="Times New Roman"/>
          <w:color w:val="auto"/>
          <w:sz w:val="24"/>
          <w:szCs w:val="24"/>
          <w:highlight w:val="none"/>
          <w:lang w:val="en-US" w:eastAsia="zh-CN"/>
        </w:rPr>
        <w:t>有权因规范、标准、规程发生变化而提出补充要求，在设备投料生产之前，</w:t>
      </w:r>
      <w:r>
        <w:rPr>
          <w:rFonts w:hint="default" w:ascii="Times New Roman" w:hAnsi="Times New Roman" w:cs="Times New Roman"/>
          <w:color w:val="auto"/>
          <w:sz w:val="24"/>
          <w:szCs w:val="24"/>
          <w:highlight w:val="none"/>
          <w:lang w:val="en-US" w:eastAsia="zh-CN"/>
        </w:rPr>
        <w:t>投标人</w:t>
      </w:r>
      <w:r>
        <w:rPr>
          <w:rFonts w:hint="default" w:ascii="Times New Roman" w:hAnsi="Times New Roman" w:eastAsia="宋体" w:cs="Times New Roman"/>
          <w:color w:val="auto"/>
          <w:sz w:val="24"/>
          <w:szCs w:val="24"/>
          <w:highlight w:val="none"/>
          <w:lang w:val="en-US" w:eastAsia="zh-CN"/>
        </w:rPr>
        <w:t>应根据</w:t>
      </w:r>
      <w:r>
        <w:rPr>
          <w:rFonts w:hint="default" w:ascii="Times New Roman" w:hAnsi="Times New Roman" w:cs="Times New Roman"/>
          <w:color w:val="auto"/>
          <w:sz w:val="24"/>
          <w:szCs w:val="24"/>
          <w:highlight w:val="none"/>
          <w:lang w:val="en-US" w:eastAsia="zh-CN"/>
        </w:rPr>
        <w:t>招标人</w:t>
      </w:r>
      <w:r>
        <w:rPr>
          <w:rFonts w:hint="default" w:ascii="Times New Roman" w:hAnsi="Times New Roman" w:eastAsia="宋体" w:cs="Times New Roman"/>
          <w:color w:val="auto"/>
          <w:sz w:val="24"/>
          <w:szCs w:val="24"/>
          <w:highlight w:val="none"/>
          <w:lang w:val="en-US" w:eastAsia="zh-CN"/>
        </w:rPr>
        <w:t>要求在设计上予以修改，但价格不作调整。具体内容双方共同商定。双方共同签署的会议纪要、澄清文件、补充文件等也与合同文件有相同的法律效力。</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color w:val="auto"/>
          <w:sz w:val="24"/>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.2本技术</w:t>
      </w:r>
      <w:r>
        <w:rPr>
          <w:rFonts w:hint="eastAsia" w:ascii="Times New Roman" w:hAnsi="Times New Roman" w:eastAsia="宋体" w:cs="Times New Roman"/>
          <w:color w:val="auto"/>
          <w:sz w:val="24"/>
          <w:szCs w:val="24"/>
          <w:highlight w:val="none"/>
          <w:lang w:val="en-US" w:eastAsia="zh-CN"/>
        </w:rPr>
        <w:t>要求</w:t>
      </w:r>
      <w:r>
        <w:rPr>
          <w:rFonts w:hint="default" w:ascii="Times New Roman" w:hAnsi="Times New Roman" w:eastAsia="宋体" w:cs="Times New Roman"/>
          <w:color w:val="auto"/>
          <w:sz w:val="24"/>
          <w:szCs w:val="24"/>
          <w:highlight w:val="none"/>
          <w:lang w:val="en-US" w:eastAsia="zh-CN"/>
        </w:rPr>
        <w:t>所使用的标准如遇与投标人所执行的标准发生矛盾时，按较高标准执行或经招标人同意后才能执行。</w:t>
      </w:r>
    </w:p>
    <w:p>
      <w:pPr>
        <w:pStyle w:val="4"/>
        <w:bidi w:val="0"/>
        <w:rPr>
          <w:rFonts w:hint="eastAsia"/>
        </w:rPr>
      </w:pPr>
      <w:bookmarkStart w:id="102" w:name="_Toc14507_WPSOffice_Level1"/>
      <w:bookmarkStart w:id="103" w:name="_Toc2823"/>
      <w:bookmarkStart w:id="104" w:name="_Toc29873"/>
      <w:bookmarkStart w:id="105" w:name="_Toc10374"/>
      <w:r>
        <w:rPr>
          <w:rFonts w:hint="eastAsia"/>
          <w:lang w:val="en-US" w:eastAsia="zh-CN"/>
        </w:rPr>
        <w:t>11.</w:t>
      </w:r>
      <w:r>
        <w:rPr>
          <w:rFonts w:hint="eastAsia"/>
        </w:rPr>
        <w:t>通用要求</w:t>
      </w:r>
      <w:bookmarkEnd w:id="102"/>
      <w:bookmarkEnd w:id="103"/>
      <w:bookmarkEnd w:id="104"/>
      <w:bookmarkEnd w:id="105"/>
    </w:p>
    <w:p>
      <w:pPr>
        <w:pStyle w:val="47"/>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1、投标人</w:t>
      </w:r>
      <w:r>
        <w:rPr>
          <w:rFonts w:hint="eastAsia" w:ascii="宋体" w:hAnsi="宋体" w:eastAsia="宋体" w:cs="宋体"/>
          <w:color w:val="auto"/>
          <w:sz w:val="24"/>
          <w:szCs w:val="24"/>
          <w:highlight w:val="none"/>
        </w:rPr>
        <w:t>现场施工工作应与</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进行充分沟通后确定，以便更加符合现场实际。</w:t>
      </w:r>
    </w:p>
    <w:p>
      <w:pPr>
        <w:pStyle w:val="47"/>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2、投标人</w:t>
      </w:r>
      <w:r>
        <w:rPr>
          <w:rFonts w:hint="eastAsia" w:ascii="宋体" w:hAnsi="宋体" w:eastAsia="宋体" w:cs="宋体"/>
          <w:color w:val="auto"/>
          <w:sz w:val="24"/>
          <w:szCs w:val="24"/>
          <w:highlight w:val="none"/>
        </w:rPr>
        <w:t>在施工中，因设备需求、供水电需求等需要</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配合完成时，应按照</w:t>
      </w:r>
      <w:r>
        <w:rPr>
          <w:rFonts w:hint="eastAsia" w:ascii="宋体" w:hAnsi="宋体" w:eastAsia="宋体" w:cs="宋体"/>
          <w:color w:val="auto"/>
          <w:sz w:val="24"/>
          <w:szCs w:val="24"/>
          <w:highlight w:val="none"/>
          <w:lang w:val="en-US" w:eastAsia="zh-CN"/>
        </w:rPr>
        <w:t>招标人（或业主）</w:t>
      </w:r>
      <w:r>
        <w:rPr>
          <w:rFonts w:hint="eastAsia" w:ascii="宋体" w:hAnsi="宋体" w:eastAsia="宋体" w:cs="宋体"/>
          <w:color w:val="auto"/>
          <w:sz w:val="24"/>
          <w:szCs w:val="24"/>
          <w:highlight w:val="none"/>
        </w:rPr>
        <w:t>规定的价格（对外统一价格）支付费用。</w:t>
      </w:r>
    </w:p>
    <w:p>
      <w:pPr>
        <w:pStyle w:val="47"/>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3、投标人</w:t>
      </w:r>
      <w:r>
        <w:rPr>
          <w:rFonts w:hint="eastAsia" w:ascii="宋体" w:hAnsi="宋体" w:eastAsia="宋体" w:cs="宋体"/>
          <w:color w:val="auto"/>
          <w:sz w:val="24"/>
          <w:szCs w:val="24"/>
          <w:highlight w:val="none"/>
        </w:rPr>
        <w:t>应提供详细的售后服务措施和设备、管路质保期限。</w:t>
      </w:r>
    </w:p>
    <w:p>
      <w:pPr>
        <w:pStyle w:val="47"/>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4、投标人</w:t>
      </w:r>
      <w:r>
        <w:rPr>
          <w:rFonts w:hint="eastAsia" w:ascii="宋体" w:hAnsi="宋体" w:eastAsia="宋体" w:cs="宋体"/>
          <w:color w:val="auto"/>
          <w:sz w:val="24"/>
          <w:szCs w:val="24"/>
          <w:highlight w:val="none"/>
        </w:rPr>
        <w:t>应保证所提供的施工、设备符合国家有关环保、噪声、安全、消防、职业安全卫生等有关法律、法规、标准、规范要求，对国家有关部门在验收、检查中提出的不符合项要负责无条件整改完善，直至通过。</w:t>
      </w:r>
    </w:p>
    <w:p>
      <w:pPr>
        <w:pStyle w:val="40"/>
        <w:rPr>
          <w:rFonts w:hint="eastAsia" w:ascii="宋体" w:hAnsi="宋体" w:eastAsia="宋体" w:cs="宋体"/>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4"/>
        <w:bidi w:val="0"/>
        <w:rPr>
          <w:rFonts w:hint="eastAsia"/>
        </w:rPr>
      </w:pPr>
      <w:bookmarkStart w:id="106" w:name="_Toc13254"/>
      <w:bookmarkStart w:id="107" w:name="_Toc29112_WPSOffice_Level1"/>
      <w:bookmarkStart w:id="108" w:name="_Toc31238"/>
      <w:bookmarkStart w:id="109" w:name="_Toc698"/>
      <w:r>
        <w:rPr>
          <w:rFonts w:hint="eastAsia"/>
          <w:lang w:val="en-US" w:eastAsia="zh-CN"/>
        </w:rPr>
        <w:t>12.</w:t>
      </w:r>
      <w:r>
        <w:rPr>
          <w:rFonts w:hint="eastAsia"/>
        </w:rPr>
        <w:t>技术服务</w:t>
      </w:r>
      <w:bookmarkEnd w:id="106"/>
      <w:bookmarkEnd w:id="107"/>
      <w:bookmarkEnd w:id="108"/>
      <w:bookmarkEnd w:id="109"/>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在项目实施过程中需派遣足够的技术人员进行全面技术服务，投标文件中需提供详尽的技术服务计划、费用和措施。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技术资料有关要求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highlight w:val="none"/>
          <w:lang w:eastAsia="zh-CN"/>
        </w:rPr>
      </w:pPr>
      <w:bookmarkStart w:id="110" w:name="_Toc6753_WPSOffice_Level2"/>
      <w:bookmarkStart w:id="111" w:name="_Toc17174_WPSOffice_Level2"/>
      <w:bookmarkStart w:id="112" w:name="_Toc21257"/>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设备随机资料</w:t>
      </w:r>
      <w:bookmarkEnd w:id="110"/>
      <w:bookmarkEnd w:id="111"/>
      <w:bookmarkEnd w:id="112"/>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如适用</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在工程竣工前30天向</w:t>
      </w:r>
      <w:r>
        <w:rPr>
          <w:rFonts w:hint="eastAsia" w:ascii="宋体" w:hAnsi="宋体" w:cs="宋体"/>
          <w:color w:val="auto"/>
          <w:sz w:val="24"/>
          <w:szCs w:val="24"/>
          <w:highlight w:val="none"/>
          <w:lang w:val="en-US" w:eastAsia="zh-CN"/>
        </w:rPr>
        <w:t>招标人</w:t>
      </w:r>
      <w:r>
        <w:rPr>
          <w:rFonts w:hint="eastAsia" w:ascii="宋体" w:hAnsi="宋体" w:eastAsia="宋体" w:cs="宋体"/>
          <w:color w:val="auto"/>
          <w:sz w:val="24"/>
          <w:szCs w:val="24"/>
          <w:highlight w:val="none"/>
        </w:rPr>
        <w:t>提供4套完整的设备随机资料（书面版）和1套电子版。要求随机资料包括：设备备件手册、设备操作手册、设备零件明细、设备合格证或出厂检验报告。要求资料准确无误、专业性强、图表齐全、全面详细。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（1）设备备件手册：要求手册必须列出所有设备拆解到最小零件的图示，同时标明零件名称、规格型号、单位、数量、采购厂家（如果存在）。电气控制原理图必须全面清晰，所有元件表示清楚准确。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备操作手册：要求手册必须列出设备安装、调试、运行、检修、拆解等过程详细技术说明，所有配合尺寸安装间隙。必须清楚准确说明润滑部位、润滑周期、润滑油脂类型等详细内容。重要部位紧固螺栓要求力矩必须注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（3）设备零件明细：以电子文档的方式提供出所有零部件明细表，要求按照主机→大型部件→部件→零件的方式逐级按照零部件关系将所有部件。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（4）合格证：要求中标单位全面提供所有设备标准合格证。同时对于重要部件，如电动机、减速器等提供单独生产厂家合格证。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highlight w:val="none"/>
        </w:rPr>
      </w:pPr>
      <w:bookmarkStart w:id="113" w:name="_Toc16486_WPSOffice_Level2"/>
      <w:bookmarkStart w:id="114" w:name="_Toc24814"/>
      <w:bookmarkStart w:id="115" w:name="_Toc22574_WPSOffice_Level2"/>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工程图纸资料</w:t>
      </w:r>
      <w:bookmarkEnd w:id="113"/>
      <w:bookmarkEnd w:id="114"/>
      <w:bookmarkEnd w:id="115"/>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）工程竣工后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向业主方提供</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套竣工图及相关竣工资料。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在工程竣工前一周向</w:t>
      </w:r>
      <w:r>
        <w:rPr>
          <w:rFonts w:hint="eastAsia" w:ascii="宋体" w:hAnsi="宋体" w:cs="宋体"/>
          <w:color w:val="auto"/>
          <w:sz w:val="24"/>
          <w:szCs w:val="24"/>
          <w:highlight w:val="none"/>
          <w:lang w:val="en-US" w:eastAsia="zh-CN"/>
        </w:rPr>
        <w:t>招标人</w:t>
      </w:r>
      <w:r>
        <w:rPr>
          <w:rFonts w:hint="eastAsia" w:ascii="宋体" w:hAnsi="宋体" w:eastAsia="宋体" w:cs="宋体"/>
          <w:color w:val="auto"/>
          <w:sz w:val="24"/>
          <w:szCs w:val="24"/>
          <w:highlight w:val="none"/>
        </w:rPr>
        <w:t>提供2套完整的电子版工程设计竣工图。要求图纸包括：土建、设备布置、采暖通风、管路布置、给排水、非标加工、动力配电、控制系统、总平面布置、设备联系、控制关系等。</w:t>
      </w:r>
    </w:p>
    <w:p>
      <w:pPr>
        <w:pStyle w:val="4"/>
        <w:bidi w:val="0"/>
        <w:rPr>
          <w:rFonts w:hint="eastAsia"/>
        </w:rPr>
      </w:pPr>
      <w:bookmarkStart w:id="116" w:name="_Toc23559_WPSOffice_Level1"/>
      <w:bookmarkStart w:id="117" w:name="_Toc1308"/>
      <w:bookmarkStart w:id="118" w:name="_Toc1063"/>
      <w:bookmarkStart w:id="119" w:name="_Toc1742"/>
      <w:r>
        <w:rPr>
          <w:rFonts w:hint="eastAsia"/>
          <w:lang w:val="en-US" w:eastAsia="zh-CN"/>
        </w:rPr>
        <w:t>13.</w:t>
      </w:r>
      <w:r>
        <w:rPr>
          <w:rFonts w:hint="eastAsia"/>
        </w:rPr>
        <w:t>工程验收</w:t>
      </w:r>
      <w:bookmarkEnd w:id="116"/>
      <w:bookmarkEnd w:id="117"/>
      <w:bookmarkEnd w:id="118"/>
      <w:bookmarkEnd w:id="119"/>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为保证工程建设的顺利进行，发包方（业主）拟请有资质的工程监理公司和质量监督部门对该工程进行全过程监理和工程质量监督。本次招标不包含工程监理费用。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机电设备验收分为设备到货、设备安装过程和设备单机试运转几个阶段，由</w:t>
      </w:r>
      <w:r>
        <w:rPr>
          <w:rFonts w:hint="eastAsia" w:ascii="宋体" w:hAnsi="宋体" w:cs="宋体"/>
          <w:color w:val="auto"/>
          <w:sz w:val="24"/>
          <w:szCs w:val="24"/>
          <w:highlight w:val="none"/>
          <w:lang w:val="en-US" w:eastAsia="zh-CN"/>
        </w:rPr>
        <w:t>业主</w:t>
      </w:r>
      <w:r>
        <w:rPr>
          <w:rFonts w:hint="eastAsia" w:ascii="宋体" w:hAnsi="宋体" w:eastAsia="宋体" w:cs="宋体"/>
          <w:color w:val="auto"/>
          <w:sz w:val="24"/>
          <w:szCs w:val="24"/>
          <w:highlight w:val="none"/>
        </w:rPr>
        <w:t>组织监理公司和质量监督部门会同</w:t>
      </w:r>
      <w:r>
        <w:rPr>
          <w:rFonts w:hint="eastAsia" w:ascii="宋体" w:hAnsi="宋体" w:cs="宋体"/>
          <w:color w:val="auto"/>
          <w:sz w:val="24"/>
          <w:szCs w:val="24"/>
          <w:highlight w:val="none"/>
          <w:lang w:val="en-US" w:eastAsia="zh-CN"/>
        </w:rPr>
        <w:t>招标人、投标人</w:t>
      </w:r>
      <w:r>
        <w:rPr>
          <w:rFonts w:hint="eastAsia" w:ascii="宋体" w:hAnsi="宋体" w:eastAsia="宋体" w:cs="宋体"/>
          <w:color w:val="auto"/>
          <w:sz w:val="24"/>
          <w:szCs w:val="24"/>
          <w:highlight w:val="none"/>
        </w:rPr>
        <w:t>共同进行，验收标准执行国家和行业专业技术标准。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特种设备验收时，</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必须提供全套资料，包括但不限于：质量检验合格证、安装检验合格证，并负责办理使用登记证。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土建工程验收分为：基础部分、施工过程和单位工程竣工后，由发包方（业主）组织监理公司和质量监督部门会同</w:t>
      </w:r>
      <w:r>
        <w:rPr>
          <w:rFonts w:hint="eastAsia" w:ascii="宋体" w:hAnsi="宋体" w:cs="宋体"/>
          <w:color w:val="auto"/>
          <w:sz w:val="24"/>
          <w:szCs w:val="24"/>
          <w:highlight w:val="none"/>
          <w:lang w:val="en-US" w:eastAsia="zh-CN"/>
        </w:rPr>
        <w:t>招标人、投标人</w:t>
      </w:r>
      <w:r>
        <w:rPr>
          <w:rFonts w:hint="eastAsia" w:ascii="宋体" w:hAnsi="宋体" w:eastAsia="宋体" w:cs="宋体"/>
          <w:color w:val="auto"/>
          <w:sz w:val="24"/>
          <w:szCs w:val="24"/>
          <w:highlight w:val="none"/>
        </w:rPr>
        <w:t>共同进行，验收标准执行国家和行业专业技术标准。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日常施工工程质量把关由监理公司和质量监督部门负责，并由双方签字确认。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本项目调试后，发包方（业主）分专业组成专家组，通过系统或单项测试，按合同约定的标准对全系统进行预验收。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由发包方（业主）委托双方认可的具有相应资质的第三方科研单位进行</w:t>
      </w:r>
      <w:r>
        <w:rPr>
          <w:rFonts w:hint="eastAsia" w:ascii="宋体" w:hAnsi="宋体" w:eastAsia="宋体" w:cs="宋体"/>
          <w:color w:val="auto"/>
          <w:sz w:val="24"/>
          <w:szCs w:val="24"/>
          <w:highlight w:val="none"/>
          <w:lang w:val="en-US" w:eastAsia="zh-CN"/>
        </w:rPr>
        <w:t>系统性能</w:t>
      </w:r>
      <w:r>
        <w:rPr>
          <w:rFonts w:hint="eastAsia" w:ascii="宋体" w:hAnsi="宋体" w:eastAsia="宋体" w:cs="宋体"/>
          <w:color w:val="auto"/>
          <w:sz w:val="24"/>
          <w:szCs w:val="24"/>
          <w:highlight w:val="none"/>
        </w:rPr>
        <w:t>检测，有关检测费用由</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承担。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本项目完成预验收后，</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要派有关技术人员驻现场配合发包方（业主）</w:t>
      </w:r>
      <w:r>
        <w:rPr>
          <w:rFonts w:hint="eastAsia" w:ascii="宋体" w:hAnsi="宋体" w:cs="宋体"/>
          <w:color w:val="auto"/>
          <w:sz w:val="24"/>
          <w:szCs w:val="24"/>
          <w:highlight w:val="none"/>
          <w:lang w:val="en-US" w:eastAsia="zh-CN"/>
        </w:rPr>
        <w:t>和招标人</w:t>
      </w:r>
      <w:r>
        <w:rPr>
          <w:rFonts w:hint="eastAsia" w:ascii="宋体" w:hAnsi="宋体" w:eastAsia="宋体" w:cs="宋体"/>
          <w:color w:val="auto"/>
          <w:sz w:val="24"/>
          <w:szCs w:val="24"/>
          <w:highlight w:val="none"/>
        </w:rPr>
        <w:t>组织正常生产一个月后，由发包方（业主）会同有关部门进行该单项工程竣工的验收。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消防验收由发包方（业主）牵头，</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负责协同完成，待消防系统验收合格后由发包方（业主）接管。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负责按照国家有关基本建设管理规范和建设方基本建设管理制度有关要求，完成项目整体移交验收的资料汇总和整理工作。主要内容有：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（1）建设项目概况。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（2）建设项目设计过程及设计概况。</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如适用</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（3）建设项目实施过程及特点。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（4）建设项目单位工程工程量完成及认证情况。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（5）建设项目完成标准评述。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（6）建设项目单位工程投标价和结算价格对比。</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（7）工程量统计表、设备（清册）统计表、投标预算与结算对比表、工程盘点表。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color w:val="auto"/>
          <w:sz w:val="24"/>
          <w:szCs w:val="24"/>
          <w:highlight w:val="none"/>
        </w:rPr>
        <w:t>（8）竣工验收设备清册等</w:t>
      </w:r>
      <w:r>
        <w:rPr>
          <w:rFonts w:hint="eastAsia" w:ascii="宋体" w:hAnsi="宋体" w:eastAsia="宋体" w:cs="宋体"/>
          <w:color w:val="auto"/>
          <w:sz w:val="24"/>
          <w:szCs w:val="24"/>
          <w:highlight w:val="none"/>
          <w:lang w:eastAsia="zh-CN"/>
        </w:rPr>
        <w:t>。</w:t>
      </w:r>
    </w:p>
    <w:p>
      <w:pPr>
        <w:pStyle w:val="4"/>
        <w:bidi w:val="0"/>
        <w:rPr>
          <w:rFonts w:hint="default"/>
          <w:lang w:val="en-US"/>
        </w:rPr>
      </w:pPr>
      <w:r>
        <w:rPr>
          <w:rFonts w:hint="eastAsia"/>
          <w:lang w:val="en-US" w:eastAsia="zh-CN"/>
        </w:rPr>
        <w:t>14</w:t>
      </w:r>
      <w:r>
        <w:rPr>
          <w:rFonts w:hint="eastAsia"/>
        </w:rPr>
        <w:t>．</w:t>
      </w:r>
      <w:r>
        <w:rPr>
          <w:rFonts w:hint="default"/>
          <w:lang w:val="en-US" w:eastAsia="zh-CN"/>
        </w:rPr>
        <w:t>主要工程量</w:t>
      </w:r>
      <w:r>
        <w:rPr>
          <w:rFonts w:hint="eastAsia"/>
          <w:lang w:val="en-US" w:eastAsia="zh-CN"/>
        </w:rPr>
        <w:t>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主要工程量</w:t>
      </w:r>
      <w:r>
        <w:rPr>
          <w:rFonts w:hint="eastAsia" w:ascii="Times New Roman" w:hAnsi="Times New Roman" w:eastAsia="宋体" w:cs="Times New Roman"/>
          <w:b/>
          <w:bCs/>
          <w:color w:val="auto"/>
          <w:sz w:val="24"/>
          <w:szCs w:val="24"/>
          <w:highlight w:val="none"/>
          <w:lang w:val="en-US" w:eastAsia="zh-CN"/>
        </w:rPr>
        <w:t>表</w:t>
      </w:r>
      <w:r>
        <w:rPr>
          <w:rFonts w:hint="default" w:ascii="Times New Roman" w:hAnsi="Times New Roman" w:eastAsia="宋体" w:cs="Times New Roman"/>
          <w:b/>
          <w:bCs/>
          <w:color w:val="auto"/>
          <w:sz w:val="24"/>
          <w:szCs w:val="24"/>
          <w:highlight w:val="none"/>
          <w:lang w:val="en-US" w:eastAsia="zh-CN"/>
        </w:rPr>
        <w:t>中开列的工程量是招标时估算的工程量，不能作为投标人按合同履行其责任时所应当完成的实际工程量。具体技术特征及工程量以施工图为准。</w:t>
      </w:r>
    </w:p>
    <w:p>
      <w:pPr>
        <w:pStyle w:val="48"/>
        <w:ind w:left="0" w:leftChars="0" w:firstLine="0" w:firstLineChars="0"/>
        <w:jc w:val="center"/>
        <w:rPr>
          <w:rFonts w:hint="eastAsia"/>
          <w:color w:val="auto"/>
          <w:highlight w:val="none"/>
          <w:lang w:val="en-US" w:eastAsia="zh-CN"/>
        </w:rPr>
      </w:pPr>
      <w:r>
        <w:rPr>
          <w:rFonts w:hint="default" w:ascii="Times New Roman" w:hAnsi="Times New Roman" w:eastAsia="宋体" w:cs="Times New Roman"/>
          <w:b/>
          <w:bCs/>
          <w:color w:val="auto"/>
          <w:sz w:val="24"/>
          <w:szCs w:val="24"/>
          <w:highlight w:val="none"/>
          <w:lang w:val="en-US" w:eastAsia="zh-CN"/>
        </w:rPr>
        <w:t>主要工程量</w:t>
      </w:r>
      <w:r>
        <w:rPr>
          <w:rFonts w:hint="eastAsia" w:ascii="Times New Roman" w:hAnsi="Times New Roman" w:eastAsia="宋体" w:cs="Times New Roman"/>
          <w:b/>
          <w:bCs/>
          <w:color w:val="auto"/>
          <w:sz w:val="24"/>
          <w:szCs w:val="24"/>
          <w:highlight w:val="none"/>
          <w:lang w:val="en-US" w:eastAsia="zh-CN"/>
        </w:rPr>
        <w:t>表</w:t>
      </w:r>
    </w:p>
    <w:tbl>
      <w:tblPr>
        <w:tblStyle w:val="49"/>
        <w:tblW w:w="91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44"/>
        <w:gridCol w:w="1255"/>
        <w:gridCol w:w="2844"/>
        <w:gridCol w:w="545"/>
        <w:gridCol w:w="545"/>
        <w:gridCol w:w="779"/>
        <w:gridCol w:w="779"/>
        <w:gridCol w:w="1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9125" w:type="dxa"/>
            <w:gridSpan w:val="8"/>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葫芦素矿井煤矸石灌浆系统建安分包主要工程量表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单位：人民币元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项目名称 </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工作内容</w:t>
            </w: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w:t>
            </w: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c>
          <w:tcPr>
            <w:tcW w:w="18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建筑工程</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灌浆孔</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初定孔深648m，按照甲方提供井下实际参数进行施工。二开结构。</w:t>
            </w: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648</w:t>
            </w: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建安单位采购及实施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0"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255"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一开设计孔径Φ690mm，钻进工程量暂定70m，进入稳定基岩10m，下置Φ560×10mm螺旋钢管70m做护壁，防止孔壁垮塌、缩径、确保下步钻井施工安全。</w:t>
            </w: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建安单位采购及实施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二开设计孔径Φ500mm，钻进工程量</w:t>
            </w:r>
            <w:r>
              <w:rPr>
                <w:rFonts w:hint="eastAsia" w:ascii="宋体" w:hAnsi="宋体" w:cs="宋体"/>
                <w:i w:val="0"/>
                <w:color w:val="0000FF"/>
                <w:kern w:val="0"/>
                <w:sz w:val="20"/>
                <w:szCs w:val="20"/>
                <w:u w:val="none"/>
                <w:lang w:val="en-US" w:eastAsia="zh-CN" w:bidi="ar"/>
              </w:rPr>
              <w:t>578</w:t>
            </w:r>
            <w:r>
              <w:rPr>
                <w:rFonts w:hint="eastAsia" w:ascii="宋体" w:hAnsi="宋体" w:eastAsia="宋体" w:cs="宋体"/>
                <w:i w:val="0"/>
                <w:color w:val="FF0000"/>
                <w:kern w:val="0"/>
                <w:sz w:val="20"/>
                <w:szCs w:val="20"/>
                <w:u w:val="none"/>
                <w:lang w:val="en-US" w:eastAsia="zh-CN" w:bidi="ar"/>
              </w:rPr>
              <w:t>m，按照甲方所提供实际参数下置Φ325×12mm无缝钢管做外管。下料孔孔口采用支撑架（材质为Q355-B）进行支撑，按照甲方所提供实际参数悬挂下入Φ159×12mm的Mn钢无缝钢管为内管。</w:t>
            </w: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建安单位采购及实施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灌浆孔支撑钢材</w:t>
            </w:r>
          </w:p>
        </w:tc>
        <w:tc>
          <w:tcPr>
            <w:tcW w:w="28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灌浆孔上支撑架、下支撑架钢材</w:t>
            </w: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建安单位采购及实施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充填耐磨钢管</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D219×9mm 挖方</w:t>
            </w: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w:t>
            </w: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建安单位采购及实施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荷兰网 1.5m</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建安单位采购及实施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9"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集装箱式活动房</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FF0000"/>
                <w:kern w:val="0"/>
                <w:sz w:val="20"/>
                <w:szCs w:val="20"/>
                <w:u w:val="none"/>
                <w:lang w:val="en-US" w:eastAsia="zh-CN" w:bidi="ar"/>
              </w:rPr>
              <w:t>18</w:t>
            </w: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建安单位采购及实施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地面灌浆管线及注浆孔用地</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临时征地</w:t>
            </w: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建安单位采购及实施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1799"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建筑工程小计</w:t>
            </w:r>
          </w:p>
        </w:tc>
        <w:tc>
          <w:tcPr>
            <w:tcW w:w="5492"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安装工程</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太阳能无线摄像头</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配太阳能电池768wh</w:t>
            </w: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设备我公司采购，建安单位负责安装。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悬浮剂添加机</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添加能力：120kg/h；功率：4.0kW；额定电压：380V；额定频率：50Hz</w:t>
            </w: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设备我公司采购，建安单位负责安装。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充填耐磨钢管安装</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D219×9mm，埋地，法兰连接</w:t>
            </w: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建安单位采购及实施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热固型环氧树脂粉末高温固化防腐</w:t>
            </w: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处理，100mm聚氨酯保温层保温，</w:t>
            </w: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手动浆液阀</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C型半球阀，DN200-PN63，材质：304不锈钢，密封面：硬质合金    </w:t>
            </w: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包含</w:t>
            </w: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建安单位采购及实施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电动浆液阀</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DN150-PN160，不锈钢</w:t>
            </w: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设备我公司采购，建设单位（甲方）负责安装。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机械流量计</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DN200-PN63、0～</w:t>
            </w:r>
            <w:r>
              <w:rPr>
                <w:rFonts w:hint="eastAsia" w:ascii="宋体" w:hAnsi="宋体" w:cs="宋体"/>
                <w:i w:val="0"/>
                <w:color w:val="FF0000"/>
                <w:kern w:val="0"/>
                <w:sz w:val="20"/>
                <w:szCs w:val="20"/>
                <w:u w:val="none"/>
                <w:lang w:val="en-US" w:eastAsia="zh-CN" w:bidi="ar"/>
              </w:rPr>
              <w:t>2</w:t>
            </w:r>
            <w:r>
              <w:rPr>
                <w:rFonts w:hint="eastAsia" w:ascii="宋体" w:hAnsi="宋体" w:eastAsia="宋体" w:cs="宋体"/>
                <w:i w:val="0"/>
                <w:color w:val="FF0000"/>
                <w:kern w:val="0"/>
                <w:sz w:val="20"/>
                <w:szCs w:val="20"/>
                <w:u w:val="none"/>
                <w:lang w:val="en-US" w:eastAsia="zh-CN" w:bidi="ar"/>
              </w:rPr>
              <w:t>50m³/h</w:t>
            </w: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设备我公司采购，建安单位负责安装。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color w:val="auto"/>
          <w:sz w:val="24"/>
          <w:szCs w:val="24"/>
          <w:highlight w:val="none"/>
          <w:lang w:val="en-US" w:eastAsia="zh-CN"/>
        </w:rPr>
      </w:pPr>
    </w:p>
    <w:p>
      <w:pPr>
        <w:pStyle w:val="17"/>
        <w:tabs>
          <w:tab w:val="left" w:pos="9000"/>
          <w:tab w:val="right" w:pos="9360"/>
        </w:tabs>
        <w:rPr>
          <w:rFonts w:hint="default"/>
          <w:color w:val="auto"/>
          <w:highlight w:val="none"/>
          <w:lang w:val="en-US" w:eastAsia="zh-CN"/>
        </w:rPr>
      </w:pPr>
    </w:p>
    <w:p>
      <w:pPr>
        <w:pStyle w:val="64"/>
        <w:ind w:left="0" w:leftChars="0" w:firstLine="0" w:firstLineChars="0"/>
        <w:rPr>
          <w:rFonts w:hint="default" w:ascii="Times New Roman" w:hAnsi="Times New Roman" w:cs="Times New Roman" w:eastAsiaTheme="minorEastAsia"/>
          <w:color w:val="auto"/>
          <w:sz w:val="24"/>
          <w:szCs w:val="24"/>
          <w:highlight w:val="none"/>
          <w:lang w:val="en-US" w:eastAsia="zh-CN"/>
        </w:rPr>
      </w:pPr>
    </w:p>
    <w:p>
      <w:pPr>
        <w:pStyle w:val="64"/>
        <w:ind w:left="0" w:leftChars="0" w:firstLine="0" w:firstLineChars="0"/>
        <w:rPr>
          <w:rFonts w:hint="default" w:ascii="Times New Roman" w:hAnsi="Times New Roman" w:cs="Times New Roman" w:eastAsiaTheme="minorEastAsia"/>
          <w:color w:val="auto"/>
          <w:sz w:val="24"/>
          <w:szCs w:val="24"/>
          <w:highlight w:val="none"/>
          <w:lang w:val="en-US" w:eastAsia="zh-CN"/>
        </w:rPr>
      </w:pPr>
    </w:p>
    <w:p>
      <w:pPr>
        <w:rPr>
          <w:rFonts w:hint="default"/>
          <w:color w:val="auto"/>
          <w:highlight w:val="none"/>
        </w:rPr>
      </w:pPr>
      <w:r>
        <w:rPr>
          <w:rFonts w:hint="default"/>
          <w:color w:val="auto"/>
          <w:highlight w:val="none"/>
        </w:rPr>
        <w:br w:type="page"/>
      </w:r>
    </w:p>
    <w:p>
      <w:pPr>
        <w:pStyle w:val="27"/>
        <w:rPr>
          <w:rFonts w:hint="default"/>
          <w:color w:val="auto"/>
          <w:highlight w:val="none"/>
        </w:rPr>
      </w:pPr>
    </w:p>
    <w:p>
      <w:pPr>
        <w:pStyle w:val="3"/>
        <w:bidi w:val="0"/>
        <w:jc w:val="center"/>
        <w:rPr>
          <w:rFonts w:hint="default" w:ascii="Times New Roman" w:hAnsi="Times New Roman" w:cs="Times New Roman"/>
          <w:b/>
          <w:color w:val="auto"/>
          <w:kern w:val="2"/>
          <w:sz w:val="44"/>
          <w:szCs w:val="44"/>
          <w:highlight w:val="none"/>
        </w:rPr>
      </w:pPr>
      <w:r>
        <w:rPr>
          <w:rFonts w:hint="default" w:ascii="Times New Roman" w:hAnsi="Times New Roman" w:cs="Times New Roman"/>
          <w:b/>
          <w:color w:val="auto"/>
          <w:kern w:val="2"/>
          <w:sz w:val="44"/>
          <w:szCs w:val="44"/>
          <w:highlight w:val="none"/>
        </w:rPr>
        <w:t>第五章  采购响应文件格式</w:t>
      </w:r>
      <w:bookmarkEnd w:id="71"/>
      <w:bookmarkEnd w:id="72"/>
      <w:bookmarkEnd w:id="73"/>
    </w:p>
    <w:p>
      <w:pPr>
        <w:jc w:val="both"/>
        <w:rPr>
          <w:rFonts w:hint="default" w:ascii="Times New Roman" w:hAnsi="Times New Roman" w:cs="Times New Roman"/>
          <w:color w:val="auto"/>
          <w:sz w:val="36"/>
          <w:highlight w:val="none"/>
        </w:rPr>
      </w:pPr>
    </w:p>
    <w:p>
      <w:pPr>
        <w:jc w:val="both"/>
        <w:rPr>
          <w:rFonts w:hint="default" w:ascii="Times New Roman" w:hAnsi="Times New Roman" w:cs="Times New Roman"/>
          <w:color w:val="auto"/>
          <w:sz w:val="36"/>
          <w:highlight w:val="none"/>
        </w:rPr>
      </w:pPr>
    </w:p>
    <w:p>
      <w:pPr>
        <w:jc w:val="both"/>
        <w:rPr>
          <w:rFonts w:hint="default" w:ascii="Times New Roman" w:hAnsi="Times New Roman" w:cs="Times New Roman"/>
          <w:color w:val="auto"/>
          <w:sz w:val="36"/>
          <w:highlight w:val="none"/>
        </w:rPr>
      </w:pPr>
    </w:p>
    <w:p>
      <w:pPr>
        <w:jc w:val="both"/>
        <w:rPr>
          <w:rFonts w:hint="default" w:ascii="Times New Roman" w:hAnsi="Times New Roman" w:cs="Times New Roman"/>
          <w:color w:val="auto"/>
          <w:sz w:val="36"/>
          <w:highlight w:val="none"/>
        </w:rPr>
      </w:pPr>
    </w:p>
    <w:p>
      <w:pPr>
        <w:jc w:val="both"/>
        <w:rPr>
          <w:rFonts w:hint="default" w:ascii="Times New Roman" w:hAnsi="Times New Roman" w:cs="Times New Roman"/>
          <w:color w:val="auto"/>
          <w:sz w:val="36"/>
          <w:highlight w:val="none"/>
        </w:rPr>
      </w:pPr>
    </w:p>
    <w:p>
      <w:pPr>
        <w:widowControl w:val="0"/>
        <w:snapToGrid w:val="0"/>
        <w:jc w:val="center"/>
        <w:rPr>
          <w:rFonts w:hint="default" w:ascii="Times New Roman" w:hAnsi="Times New Roman" w:cs="Times New Roman"/>
          <w:color w:val="auto"/>
          <w:kern w:val="2"/>
          <w:sz w:val="110"/>
          <w:szCs w:val="24"/>
          <w:highlight w:val="none"/>
        </w:rPr>
      </w:pPr>
      <w:bookmarkStart w:id="120" w:name="_Toc22467_WPSOffice_Level1"/>
      <w:r>
        <w:rPr>
          <w:rFonts w:hint="default" w:ascii="Times New Roman" w:hAnsi="Times New Roman" w:cs="Times New Roman"/>
          <w:color w:val="auto"/>
          <w:kern w:val="2"/>
          <w:sz w:val="110"/>
          <w:szCs w:val="24"/>
          <w:highlight w:val="none"/>
        </w:rPr>
        <w:t>采购响应文件</w:t>
      </w:r>
      <w:bookmarkEnd w:id="120"/>
    </w:p>
    <w:p>
      <w:pPr>
        <w:jc w:val="center"/>
        <w:rPr>
          <w:rFonts w:hint="default" w:ascii="Times New Roman" w:hAnsi="Times New Roman" w:cs="Times New Roman"/>
          <w:color w:val="auto"/>
          <w:sz w:val="36"/>
          <w:szCs w:val="36"/>
          <w:highlight w:val="none"/>
        </w:rPr>
      </w:pPr>
      <w:bookmarkStart w:id="121" w:name="_Toc19430_WPSOffice_Level1"/>
      <w:r>
        <w:rPr>
          <w:rFonts w:hint="default" w:ascii="Times New Roman" w:hAnsi="Times New Roman" w:cs="Times New Roman"/>
          <w:color w:val="auto"/>
          <w:sz w:val="36"/>
          <w:szCs w:val="36"/>
          <w:highlight w:val="none"/>
        </w:rPr>
        <w:t>（封  面）</w:t>
      </w:r>
      <w:bookmarkEnd w:id="121"/>
    </w:p>
    <w:p>
      <w:pPr>
        <w:jc w:val="both"/>
        <w:rPr>
          <w:rFonts w:hint="default" w:ascii="Times New Roman" w:hAnsi="Times New Roman" w:cs="Times New Roman"/>
          <w:color w:val="auto"/>
          <w:sz w:val="36"/>
          <w:highlight w:val="none"/>
        </w:rPr>
      </w:pPr>
    </w:p>
    <w:p>
      <w:pPr>
        <w:jc w:val="both"/>
        <w:rPr>
          <w:rFonts w:hint="default" w:ascii="Times New Roman" w:hAnsi="Times New Roman" w:cs="Times New Roman"/>
          <w:color w:val="auto"/>
          <w:sz w:val="36"/>
          <w:highlight w:val="none"/>
        </w:rPr>
      </w:pPr>
    </w:p>
    <w:p>
      <w:pPr>
        <w:jc w:val="both"/>
        <w:rPr>
          <w:rFonts w:hint="default" w:ascii="Times New Roman" w:hAnsi="Times New Roman" w:cs="Times New Roman"/>
          <w:color w:val="auto"/>
          <w:sz w:val="36"/>
          <w:highlight w:val="none"/>
        </w:rPr>
      </w:pPr>
    </w:p>
    <w:p>
      <w:pPr>
        <w:jc w:val="both"/>
        <w:rPr>
          <w:rFonts w:hint="default" w:ascii="Times New Roman" w:hAnsi="Times New Roman" w:cs="Times New Roman"/>
          <w:color w:val="auto"/>
          <w:sz w:val="36"/>
          <w:highlight w:val="none"/>
        </w:rPr>
      </w:pPr>
    </w:p>
    <w:p>
      <w:pPr>
        <w:jc w:val="both"/>
        <w:rPr>
          <w:rFonts w:hint="default" w:ascii="Times New Roman" w:hAnsi="Times New Roman" w:cs="Times New Roman"/>
          <w:color w:val="auto"/>
          <w:sz w:val="36"/>
          <w:highlight w:val="none"/>
        </w:rPr>
      </w:pPr>
    </w:p>
    <w:p>
      <w:pPr>
        <w:jc w:val="both"/>
        <w:rPr>
          <w:rFonts w:hint="default" w:ascii="Times New Roman" w:hAnsi="Times New Roman" w:cs="Times New Roman"/>
          <w:color w:val="auto"/>
          <w:sz w:val="36"/>
          <w:highlight w:val="none"/>
        </w:rPr>
      </w:pPr>
    </w:p>
    <w:p>
      <w:pPr>
        <w:jc w:val="both"/>
        <w:rPr>
          <w:rFonts w:hint="default" w:ascii="Times New Roman" w:hAnsi="Times New Roman" w:cs="Times New Roman"/>
          <w:color w:val="auto"/>
          <w:sz w:val="36"/>
          <w:highlight w:val="none"/>
        </w:rPr>
      </w:pPr>
    </w:p>
    <w:p>
      <w:pPr>
        <w:jc w:val="both"/>
        <w:rPr>
          <w:rFonts w:hint="default" w:ascii="Times New Roman" w:hAnsi="Times New Roman" w:cs="Times New Roman"/>
          <w:color w:val="auto"/>
          <w:sz w:val="36"/>
          <w:highlight w:val="none"/>
        </w:rPr>
      </w:pPr>
    </w:p>
    <w:p>
      <w:pPr>
        <w:widowControl w:val="0"/>
        <w:tabs>
          <w:tab w:val="left" w:pos="4860"/>
        </w:tabs>
        <w:snapToGrid w:val="0"/>
        <w:spacing w:line="700" w:lineRule="exact"/>
        <w:ind w:left="2844" w:leftChars="672" w:hanging="1500" w:hangingChars="500"/>
        <w:jc w:val="both"/>
        <w:rPr>
          <w:rFonts w:hint="default" w:ascii="Times New Roman" w:hAnsi="Times New Roman" w:cs="Times New Roman"/>
          <w:bCs/>
          <w:color w:val="auto"/>
          <w:kern w:val="2"/>
          <w:sz w:val="30"/>
          <w:szCs w:val="30"/>
          <w:highlight w:val="none"/>
        </w:rPr>
      </w:pPr>
      <w:bookmarkStart w:id="122" w:name="_Toc15062_WPSOffice_Level1"/>
      <w:r>
        <w:rPr>
          <w:rFonts w:hint="default" w:ascii="Times New Roman" w:hAnsi="Times New Roman" w:cs="Times New Roman"/>
          <w:bCs/>
          <w:color w:val="auto"/>
          <w:kern w:val="2"/>
          <w:sz w:val="30"/>
          <w:szCs w:val="30"/>
          <w:highlight w:val="none"/>
        </w:rPr>
        <w:t>项目名称：</w:t>
      </w:r>
      <w:bookmarkEnd w:id="122"/>
    </w:p>
    <w:p>
      <w:pPr>
        <w:widowControl w:val="0"/>
        <w:tabs>
          <w:tab w:val="left" w:pos="4860"/>
        </w:tabs>
        <w:snapToGrid w:val="0"/>
        <w:spacing w:line="700" w:lineRule="exact"/>
        <w:ind w:left="2844" w:leftChars="672" w:hanging="1500" w:hangingChars="500"/>
        <w:jc w:val="both"/>
        <w:rPr>
          <w:rFonts w:hint="default" w:ascii="Times New Roman" w:hAnsi="Times New Roman" w:cs="Times New Roman"/>
          <w:bCs/>
          <w:color w:val="auto"/>
          <w:kern w:val="2"/>
          <w:sz w:val="30"/>
          <w:szCs w:val="30"/>
          <w:highlight w:val="none"/>
        </w:rPr>
      </w:pPr>
      <w:r>
        <w:rPr>
          <w:rFonts w:hint="default" w:ascii="Times New Roman" w:hAnsi="Times New Roman" w:cs="Times New Roman"/>
          <w:bCs/>
          <w:color w:val="auto"/>
          <w:kern w:val="2"/>
          <w:sz w:val="30"/>
          <w:szCs w:val="30"/>
          <w:highlight w:val="none"/>
        </w:rPr>
        <w:t>项目编号：</w:t>
      </w:r>
    </w:p>
    <w:p>
      <w:pPr>
        <w:widowControl w:val="0"/>
        <w:tabs>
          <w:tab w:val="left" w:pos="4860"/>
        </w:tabs>
        <w:snapToGrid w:val="0"/>
        <w:spacing w:line="700" w:lineRule="exact"/>
        <w:ind w:left="2844" w:leftChars="672" w:hanging="1500" w:hangingChars="500"/>
        <w:jc w:val="both"/>
        <w:rPr>
          <w:rFonts w:hint="default" w:ascii="Times New Roman" w:hAnsi="Times New Roman" w:cs="Times New Roman"/>
          <w:bCs/>
          <w:color w:val="auto"/>
          <w:kern w:val="2"/>
          <w:sz w:val="30"/>
          <w:szCs w:val="30"/>
          <w:highlight w:val="none"/>
        </w:rPr>
      </w:pPr>
      <w:bookmarkStart w:id="123" w:name="_Toc20974_WPSOffice_Level1"/>
      <w:r>
        <w:rPr>
          <w:rFonts w:hint="default" w:ascii="Times New Roman" w:hAnsi="Times New Roman" w:cs="Times New Roman"/>
          <w:bCs/>
          <w:color w:val="auto"/>
          <w:kern w:val="2"/>
          <w:sz w:val="30"/>
          <w:szCs w:val="30"/>
          <w:highlight w:val="none"/>
        </w:rPr>
        <w:t>供 应 商（盖章）：</w:t>
      </w:r>
      <w:bookmarkEnd w:id="123"/>
    </w:p>
    <w:p>
      <w:pPr>
        <w:widowControl w:val="0"/>
        <w:tabs>
          <w:tab w:val="left" w:pos="4860"/>
        </w:tabs>
        <w:snapToGrid w:val="0"/>
        <w:spacing w:line="700" w:lineRule="exact"/>
        <w:ind w:left="2844" w:leftChars="672" w:hanging="1500" w:hangingChars="500"/>
        <w:jc w:val="both"/>
        <w:rPr>
          <w:rFonts w:hint="default" w:ascii="Times New Roman" w:hAnsi="Times New Roman" w:cs="Times New Roman"/>
          <w:bCs/>
          <w:color w:val="auto"/>
          <w:kern w:val="2"/>
          <w:sz w:val="30"/>
          <w:szCs w:val="30"/>
          <w:highlight w:val="none"/>
        </w:rPr>
      </w:pPr>
      <w:bookmarkStart w:id="124" w:name="_Toc20260_WPSOffice_Level1"/>
      <w:r>
        <w:rPr>
          <w:rFonts w:hint="default" w:ascii="Times New Roman" w:hAnsi="Times New Roman" w:cs="Times New Roman"/>
          <w:bCs/>
          <w:color w:val="auto"/>
          <w:kern w:val="2"/>
          <w:sz w:val="30"/>
          <w:szCs w:val="30"/>
          <w:highlight w:val="none"/>
        </w:rPr>
        <w:t>法定代表人（盖章）：</w:t>
      </w:r>
      <w:bookmarkEnd w:id="124"/>
    </w:p>
    <w:p>
      <w:pPr>
        <w:widowControl w:val="0"/>
        <w:tabs>
          <w:tab w:val="left" w:pos="4860"/>
        </w:tabs>
        <w:snapToGrid w:val="0"/>
        <w:spacing w:line="700" w:lineRule="exact"/>
        <w:ind w:left="2844" w:leftChars="672" w:hanging="1500" w:hangingChars="500"/>
        <w:jc w:val="both"/>
        <w:rPr>
          <w:rFonts w:hint="default" w:ascii="Times New Roman" w:hAnsi="Times New Roman" w:cs="Times New Roman"/>
          <w:bCs/>
          <w:color w:val="auto"/>
          <w:kern w:val="2"/>
          <w:sz w:val="30"/>
          <w:szCs w:val="30"/>
          <w:highlight w:val="none"/>
        </w:rPr>
      </w:pPr>
      <w:bookmarkStart w:id="125" w:name="_Toc1396_WPSOffice_Level1"/>
      <w:r>
        <w:rPr>
          <w:rFonts w:hint="default" w:ascii="Times New Roman" w:hAnsi="Times New Roman" w:cs="Times New Roman"/>
          <w:bCs/>
          <w:color w:val="auto"/>
          <w:kern w:val="2"/>
          <w:sz w:val="30"/>
          <w:szCs w:val="30"/>
          <w:highlight w:val="none"/>
        </w:rPr>
        <w:t>日期：   年   月   日</w:t>
      </w:r>
      <w:bookmarkEnd w:id="125"/>
    </w:p>
    <w:p>
      <w:pPr>
        <w:pStyle w:val="4"/>
        <w:bidi w:val="0"/>
        <w:rPr>
          <w:rFonts w:hint="default" w:ascii="Times New Roman" w:hAnsi="Times New Roman" w:cs="Times New Roman"/>
          <w:b/>
          <w:color w:val="auto"/>
          <w:kern w:val="2"/>
          <w:sz w:val="32"/>
          <w:szCs w:val="32"/>
          <w:highlight w:val="none"/>
        </w:rPr>
      </w:pPr>
      <w:r>
        <w:rPr>
          <w:rFonts w:hint="default" w:ascii="Times New Roman" w:hAnsi="Times New Roman" w:cs="Times New Roman"/>
          <w:color w:val="auto"/>
          <w:sz w:val="36"/>
          <w:highlight w:val="none"/>
        </w:rPr>
        <w:br w:type="page"/>
      </w:r>
      <w:bookmarkStart w:id="126" w:name="_Toc14424_WPSOffice_Level1"/>
      <w:r>
        <w:rPr>
          <w:rFonts w:hint="default" w:ascii="Times New Roman" w:hAnsi="Times New Roman" w:cs="Times New Roman"/>
          <w:b/>
          <w:color w:val="auto"/>
          <w:kern w:val="2"/>
          <w:sz w:val="32"/>
          <w:szCs w:val="32"/>
          <w:highlight w:val="none"/>
        </w:rPr>
        <w:t>采购响应文件目录</w:t>
      </w:r>
      <w:bookmarkEnd w:id="126"/>
    </w:p>
    <w:p>
      <w:pPr>
        <w:pStyle w:val="5"/>
        <w:bidi w:val="0"/>
        <w:rPr>
          <w:rFonts w:hint="default"/>
        </w:rPr>
      </w:pPr>
      <w:r>
        <w:rPr>
          <w:rFonts w:hint="default"/>
        </w:rPr>
        <w:t>第一部分：采购响应文件商务部分</w:t>
      </w:r>
    </w:p>
    <w:p>
      <w:pPr>
        <w:pStyle w:val="43"/>
        <w:tabs>
          <w:tab w:val="left" w:pos="720"/>
        </w:tabs>
        <w:spacing w:before="0" w:beforeAutospacing="0" w:after="0" w:afterAutospacing="0" w:line="500" w:lineRule="exact"/>
        <w:ind w:left="-2" w:leftChars="-1" w:right="26"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1）洽谈报价函</w:t>
      </w:r>
    </w:p>
    <w:p>
      <w:pPr>
        <w:pStyle w:val="43"/>
        <w:tabs>
          <w:tab w:val="left" w:pos="720"/>
        </w:tabs>
        <w:spacing w:before="0" w:beforeAutospacing="0" w:after="0" w:afterAutospacing="0" w:line="500" w:lineRule="exact"/>
        <w:ind w:left="-2" w:leftChars="-1" w:right="26"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2）报价一览表</w:t>
      </w:r>
    </w:p>
    <w:p>
      <w:pPr>
        <w:pStyle w:val="43"/>
        <w:tabs>
          <w:tab w:val="left" w:pos="720"/>
        </w:tabs>
        <w:spacing w:before="0" w:beforeAutospacing="0" w:after="0" w:afterAutospacing="0" w:line="500" w:lineRule="exact"/>
        <w:ind w:left="-2" w:leftChars="-1" w:right="26"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3) 分项报价表</w:t>
      </w:r>
    </w:p>
    <w:p>
      <w:pPr>
        <w:pStyle w:val="43"/>
        <w:tabs>
          <w:tab w:val="left" w:pos="720"/>
        </w:tabs>
        <w:spacing w:before="0" w:beforeAutospacing="0" w:after="0" w:afterAutospacing="0" w:line="500" w:lineRule="exact"/>
        <w:ind w:left="-2" w:leftChars="-1" w:right="26"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4）供应商基本情况表</w:t>
      </w:r>
    </w:p>
    <w:p>
      <w:pPr>
        <w:pStyle w:val="43"/>
        <w:tabs>
          <w:tab w:val="left" w:pos="720"/>
        </w:tabs>
        <w:spacing w:before="0" w:beforeAutospacing="0" w:after="0" w:afterAutospacing="0" w:line="500" w:lineRule="exact"/>
        <w:ind w:left="-2" w:leftChars="-1" w:right="26"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5）法定代表人身份证明</w:t>
      </w:r>
      <w:r>
        <w:rPr>
          <w:rFonts w:hint="default" w:ascii="Times New Roman" w:hAnsi="Times New Roman" w:cs="Times New Roman"/>
          <w:bCs/>
          <w:color w:val="auto"/>
          <w:highlight w:val="none"/>
        </w:rPr>
        <w:tab/>
      </w:r>
    </w:p>
    <w:p>
      <w:pPr>
        <w:pStyle w:val="43"/>
        <w:tabs>
          <w:tab w:val="left" w:pos="720"/>
        </w:tabs>
        <w:spacing w:before="0" w:beforeAutospacing="0" w:after="0" w:afterAutospacing="0" w:line="500" w:lineRule="exact"/>
        <w:ind w:left="-2" w:leftChars="-1" w:right="26"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6）法人授权委托书</w:t>
      </w:r>
    </w:p>
    <w:p>
      <w:pPr>
        <w:pStyle w:val="43"/>
        <w:tabs>
          <w:tab w:val="left" w:pos="720"/>
        </w:tabs>
        <w:spacing w:before="0" w:beforeAutospacing="0" w:after="0" w:afterAutospacing="0" w:line="500" w:lineRule="exact"/>
        <w:ind w:left="-2" w:leftChars="-1" w:right="26"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7）供应商资格证明文件</w:t>
      </w:r>
    </w:p>
    <w:p>
      <w:pPr>
        <w:pStyle w:val="43"/>
        <w:tabs>
          <w:tab w:val="left" w:pos="720"/>
        </w:tabs>
        <w:spacing w:before="0" w:beforeAutospacing="0" w:after="0" w:afterAutospacing="0" w:line="500" w:lineRule="exact"/>
        <w:ind w:left="-2" w:leftChars="-1" w:right="26"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8）供应商资料真实性承诺书</w:t>
      </w:r>
    </w:p>
    <w:p>
      <w:pPr>
        <w:pStyle w:val="43"/>
        <w:tabs>
          <w:tab w:val="left" w:pos="720"/>
        </w:tabs>
        <w:spacing w:before="0" w:beforeAutospacing="0" w:after="0" w:afterAutospacing="0" w:line="500" w:lineRule="exact"/>
        <w:ind w:left="-2" w:leftChars="-1" w:right="26"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9)技术部分/商务部分差异表</w:t>
      </w:r>
    </w:p>
    <w:p>
      <w:pPr>
        <w:pStyle w:val="43"/>
        <w:tabs>
          <w:tab w:val="left" w:pos="720"/>
        </w:tabs>
        <w:spacing w:before="0" w:beforeAutospacing="0" w:after="0" w:afterAutospacing="0" w:line="500" w:lineRule="exact"/>
        <w:ind w:left="-2" w:leftChars="-1" w:right="26"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10)廉洁承诺书,供需双方廉洁互保协议</w:t>
      </w:r>
    </w:p>
    <w:p>
      <w:pPr>
        <w:pStyle w:val="43"/>
        <w:tabs>
          <w:tab w:val="left" w:pos="720"/>
        </w:tabs>
        <w:spacing w:before="0" w:beforeAutospacing="0" w:after="0" w:afterAutospacing="0" w:line="500" w:lineRule="exact"/>
        <w:ind w:left="-2" w:leftChars="-1" w:right="26"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1</w:t>
      </w:r>
      <w:r>
        <w:rPr>
          <w:rFonts w:hint="eastAsia" w:ascii="Times New Roman" w:cs="Times New Roman"/>
          <w:bCs/>
          <w:color w:val="auto"/>
          <w:highlight w:val="none"/>
          <w:lang w:val="en-US" w:eastAsia="zh-CN"/>
        </w:rPr>
        <w:t>1</w:t>
      </w:r>
      <w:r>
        <w:rPr>
          <w:rFonts w:hint="default" w:ascii="Times New Roman" w:hAnsi="Times New Roman" w:cs="Times New Roman"/>
          <w:bCs/>
          <w:color w:val="auto"/>
          <w:highlight w:val="none"/>
        </w:rPr>
        <w:t>）供应商认为有必要提供的声明及文件</w:t>
      </w:r>
    </w:p>
    <w:p>
      <w:pPr>
        <w:pStyle w:val="5"/>
        <w:bidi w:val="0"/>
        <w:rPr>
          <w:rFonts w:hint="default"/>
        </w:rPr>
      </w:pPr>
      <w:r>
        <w:rPr>
          <w:rFonts w:hint="default"/>
        </w:rPr>
        <w:t>第二部分：采购响应文件技术部分</w:t>
      </w:r>
    </w:p>
    <w:p>
      <w:pPr>
        <w:pStyle w:val="43"/>
        <w:tabs>
          <w:tab w:val="left" w:pos="720"/>
        </w:tabs>
        <w:spacing w:before="0" w:beforeAutospacing="0" w:after="0" w:afterAutospacing="0" w:line="500" w:lineRule="exact"/>
        <w:ind w:left="-2" w:leftChars="-1" w:right="26"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1)服务方案，包括详细的实施方案等。技术部分应满足或者高于技术规格书的要求。</w:t>
      </w:r>
    </w:p>
    <w:p>
      <w:pPr>
        <w:pStyle w:val="43"/>
        <w:tabs>
          <w:tab w:val="left" w:pos="720"/>
        </w:tabs>
        <w:spacing w:before="0" w:beforeAutospacing="0" w:after="0" w:afterAutospacing="0" w:line="500" w:lineRule="exact"/>
        <w:ind w:left="-2" w:leftChars="-1" w:right="26"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2)对采购人提出的协作和配合要求</w:t>
      </w:r>
    </w:p>
    <w:p>
      <w:pPr>
        <w:pStyle w:val="43"/>
        <w:tabs>
          <w:tab w:val="left" w:pos="720"/>
        </w:tabs>
        <w:spacing w:before="0" w:beforeAutospacing="0" w:after="0" w:afterAutospacing="0" w:line="500" w:lineRule="exact"/>
        <w:ind w:left="-2" w:leftChars="-1" w:right="26"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3）对服务内容和方式、人员设置等相关问题，做出明确的说明和承诺</w:t>
      </w:r>
    </w:p>
    <w:p>
      <w:pPr>
        <w:pStyle w:val="43"/>
        <w:tabs>
          <w:tab w:val="left" w:pos="720"/>
        </w:tabs>
        <w:spacing w:before="0" w:beforeAutospacing="0" w:after="0" w:afterAutospacing="0" w:line="500" w:lineRule="exact"/>
        <w:ind w:left="-2" w:leftChars="-1" w:right="26"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4)认为有必要说明的其它问题。</w:t>
      </w:r>
    </w:p>
    <w:p>
      <w:pPr>
        <w:widowControl w:val="0"/>
        <w:tabs>
          <w:tab w:val="left" w:pos="360"/>
          <w:tab w:val="left" w:pos="720"/>
          <w:tab w:val="left" w:pos="3060"/>
        </w:tabs>
        <w:spacing w:line="400" w:lineRule="exact"/>
        <w:outlineLvl w:val="1"/>
        <w:rPr>
          <w:rFonts w:hint="default" w:ascii="Times New Roman" w:hAnsi="Times New Roman" w:cs="Times New Roman"/>
          <w:b/>
          <w:color w:val="auto"/>
          <w:kern w:val="2"/>
          <w:sz w:val="28"/>
          <w:szCs w:val="28"/>
          <w:highlight w:val="none"/>
        </w:rPr>
      </w:pPr>
      <w:r>
        <w:rPr>
          <w:rFonts w:hint="default" w:ascii="Times New Roman" w:hAnsi="Times New Roman" w:cs="Times New Roman"/>
          <w:b/>
          <w:color w:val="auto"/>
          <w:sz w:val="24"/>
          <w:szCs w:val="24"/>
          <w:highlight w:val="none"/>
        </w:rPr>
        <w:br w:type="page"/>
      </w:r>
      <w:bookmarkStart w:id="127" w:name="_Toc31166"/>
      <w:bookmarkStart w:id="128" w:name="_Toc512354292"/>
      <w:bookmarkStart w:id="129" w:name="_Toc484699854"/>
      <w:bookmarkStart w:id="130" w:name="_Toc10184884"/>
      <w:bookmarkStart w:id="131" w:name="_Toc10122275"/>
      <w:bookmarkStart w:id="132" w:name="_Toc512354290"/>
      <w:bookmarkStart w:id="133" w:name="_Toc484699852"/>
      <w:bookmarkStart w:id="134" w:name="_Toc382509464"/>
      <w:r>
        <w:rPr>
          <w:rStyle w:val="65"/>
          <w:rFonts w:hint="default" w:ascii="Times New Roman" w:hAnsi="Times New Roman" w:cs="Times New Roman"/>
          <w:color w:val="auto"/>
          <w:highlight w:val="none"/>
        </w:rPr>
        <w:t>格式一                            洽谈报价函</w:t>
      </w:r>
      <w:bookmarkEnd w:id="127"/>
      <w:bookmarkEnd w:id="128"/>
      <w:bookmarkEnd w:id="129"/>
      <w:bookmarkEnd w:id="130"/>
      <w:bookmarkEnd w:id="131"/>
    </w:p>
    <w:p>
      <w:pPr>
        <w:spacing w:line="400" w:lineRule="exact"/>
        <w:jc w:val="both"/>
        <w:rPr>
          <w:rFonts w:hint="default" w:ascii="Times New Roman" w:hAnsi="Times New Roman" w:cs="Times New Roman"/>
          <w:color w:val="auto"/>
          <w:sz w:val="28"/>
          <w:szCs w:val="28"/>
          <w:highlight w:val="none"/>
        </w:rPr>
      </w:pPr>
    </w:p>
    <w:p>
      <w:pPr>
        <w:spacing w:line="360" w:lineRule="auto"/>
        <w:rPr>
          <w:rFonts w:hint="default" w:ascii="Times New Roman" w:hAnsi="Times New Roman" w:cs="Times New Roman"/>
          <w:b/>
          <w:color w:val="auto"/>
          <w:sz w:val="24"/>
          <w:szCs w:val="24"/>
          <w:highlight w:val="none"/>
          <w:u w:val="single"/>
        </w:rPr>
      </w:pPr>
      <w:r>
        <w:rPr>
          <w:rFonts w:hint="default" w:ascii="Times New Roman" w:hAnsi="Times New Roman" w:cs="Times New Roman"/>
          <w:color w:val="auto"/>
          <w:sz w:val="24"/>
          <w:szCs w:val="24"/>
          <w:highlight w:val="none"/>
          <w:u w:val="single"/>
          <w:lang w:val="zh-CN"/>
        </w:rPr>
        <w:t>（采购人全称）</w:t>
      </w:r>
      <w:r>
        <w:rPr>
          <w:rFonts w:hint="default" w:ascii="Times New Roman" w:hAnsi="Times New Roman" w:cs="Times New Roman"/>
          <w:color w:val="auto"/>
          <w:sz w:val="24"/>
          <w:szCs w:val="24"/>
          <w:highlight w:val="none"/>
          <w:u w:val="single"/>
        </w:rPr>
        <w:t>：</w:t>
      </w:r>
    </w:p>
    <w:p>
      <w:pPr>
        <w:spacing w:line="440" w:lineRule="exact"/>
        <w:ind w:firstLine="480" w:firstLineChars="20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根据已收到的采购文件，我公司经过研究采购文件之后，决定授权</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 xml:space="preserve">（法人代表或授权代理人），参加贵单位组织的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（项目名称）采购活动，并根据法定代表人身份证书（或法人授权委托书）赋予的权限参加整个采购工作的全过程。为此：</w:t>
      </w:r>
    </w:p>
    <w:p>
      <w:pPr>
        <w:spacing w:line="440" w:lineRule="exact"/>
        <w:ind w:firstLine="480" w:firstLineChars="20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1、提供供应商须知规定的全部采购响应文件，其中：响应文件正本一份 </w:t>
      </w:r>
    </w:p>
    <w:p>
      <w:pPr>
        <w:spacing w:line="440" w:lineRule="exact"/>
        <w:ind w:firstLine="480" w:firstLineChars="20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2、固定总价</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（含税报价），其中增值税税率</w:t>
      </w:r>
      <w:r>
        <w:rPr>
          <w:rFonts w:hint="default" w:ascii="Times New Roman" w:hAnsi="Times New Roman" w:cs="Times New Roman"/>
          <w:color w:val="auto"/>
          <w:sz w:val="24"/>
          <w:szCs w:val="24"/>
          <w:highlight w:val="none"/>
          <w:u w:val="single"/>
        </w:rPr>
        <w:t xml:space="preserve">为       </w:t>
      </w:r>
      <w:r>
        <w:rPr>
          <w:rFonts w:hint="default" w:ascii="Times New Roman" w:hAnsi="Times New Roman" w:cs="Times New Roman"/>
          <w:color w:val="auto"/>
          <w:sz w:val="24"/>
          <w:szCs w:val="24"/>
          <w:highlight w:val="none"/>
        </w:rPr>
        <w:t>。</w:t>
      </w:r>
    </w:p>
    <w:p>
      <w:pPr>
        <w:spacing w:line="440" w:lineRule="exact"/>
        <w:ind w:firstLine="480" w:firstLineChars="20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3、贵单位的采购文件、成交通知书和本响应文件构成约束双方的合同。</w:t>
      </w:r>
    </w:p>
    <w:p>
      <w:pPr>
        <w:spacing w:line="440" w:lineRule="exact"/>
        <w:ind w:firstLine="480" w:firstLineChars="20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4、本供应商已详细审查全部采购文件，包括修改文件以及全部参考资料和有关附件。我们完全理解并同意放弃对这方面有不明及误解的权利。</w:t>
      </w:r>
    </w:p>
    <w:p>
      <w:pPr>
        <w:spacing w:line="440" w:lineRule="exact"/>
        <w:ind w:firstLine="480" w:firstLineChars="20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5、如果在采购响应文件送达截止时间后，我们撤回报价，则采购响应保证金采购人不予返还。</w:t>
      </w:r>
    </w:p>
    <w:p>
      <w:pPr>
        <w:spacing w:line="440" w:lineRule="exact"/>
        <w:ind w:firstLine="480" w:firstLineChars="20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6、本供应商同意提供按照采购方可能要求的与本采购有关的一切数据或资料，完全理解采购方拒绝迟到的任何报价和最低报价不是被授予合同的唯一条件，并不要求对不成交原因做出解释。</w:t>
      </w:r>
    </w:p>
    <w:p>
      <w:pPr>
        <w:spacing w:line="400" w:lineRule="exact"/>
        <w:ind w:firstLine="480" w:firstLineChars="200"/>
        <w:jc w:val="both"/>
        <w:rPr>
          <w:rFonts w:hint="default" w:ascii="Times New Roman" w:hAnsi="Times New Roman" w:cs="Times New Roman"/>
          <w:color w:val="auto"/>
          <w:sz w:val="24"/>
          <w:szCs w:val="24"/>
          <w:highlight w:val="none"/>
        </w:rPr>
      </w:pPr>
    </w:p>
    <w:p>
      <w:pPr>
        <w:spacing w:line="400" w:lineRule="exact"/>
        <w:ind w:firstLine="480" w:firstLineChars="200"/>
        <w:jc w:val="both"/>
        <w:rPr>
          <w:rFonts w:hint="default" w:ascii="Times New Roman" w:hAnsi="Times New Roman" w:cs="Times New Roman"/>
          <w:color w:val="auto"/>
          <w:sz w:val="24"/>
          <w:szCs w:val="24"/>
          <w:highlight w:val="none"/>
        </w:rPr>
      </w:pPr>
    </w:p>
    <w:p>
      <w:pPr>
        <w:spacing w:line="400" w:lineRule="exact"/>
        <w:ind w:firstLine="480" w:firstLineChars="200"/>
        <w:jc w:val="both"/>
        <w:rPr>
          <w:rFonts w:hint="default" w:ascii="Times New Roman" w:hAnsi="Times New Roman" w:cs="Times New Roman"/>
          <w:color w:val="auto"/>
          <w:sz w:val="24"/>
          <w:szCs w:val="24"/>
          <w:highlight w:val="none"/>
        </w:rPr>
      </w:pPr>
    </w:p>
    <w:p>
      <w:pPr>
        <w:spacing w:line="400" w:lineRule="exact"/>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供应商（盖章）：                        法定代表人签字或印鉴：</w:t>
      </w:r>
    </w:p>
    <w:p>
      <w:pPr>
        <w:spacing w:line="400" w:lineRule="exact"/>
        <w:jc w:val="both"/>
        <w:rPr>
          <w:rFonts w:hint="default" w:ascii="Times New Roman" w:hAnsi="Times New Roman" w:cs="Times New Roman"/>
          <w:color w:val="auto"/>
          <w:sz w:val="24"/>
          <w:szCs w:val="24"/>
          <w:highlight w:val="none"/>
        </w:rPr>
      </w:pPr>
    </w:p>
    <w:p>
      <w:pPr>
        <w:spacing w:line="400" w:lineRule="exact"/>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w:t>
      </w:r>
    </w:p>
    <w:p>
      <w:pPr>
        <w:spacing w:line="400" w:lineRule="exact"/>
        <w:ind w:firstLine="6240" w:firstLineChars="260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日期：</w:t>
      </w:r>
    </w:p>
    <w:p>
      <w:pPr>
        <w:widowControl w:val="0"/>
        <w:spacing w:line="400" w:lineRule="exact"/>
        <w:ind w:left="306"/>
        <w:jc w:val="both"/>
        <w:rPr>
          <w:rFonts w:hint="default" w:ascii="Times New Roman" w:hAnsi="Times New Roman" w:cs="Times New Roman"/>
          <w:b/>
          <w:color w:val="auto"/>
          <w:sz w:val="24"/>
          <w:szCs w:val="24"/>
          <w:highlight w:val="none"/>
        </w:rPr>
      </w:pPr>
      <w:bookmarkStart w:id="135" w:name="_Toc286842570"/>
      <w:bookmarkStart w:id="136" w:name="_Toc267398559"/>
      <w:bookmarkStart w:id="137" w:name="_Toc234036500"/>
      <w:bookmarkStart w:id="138" w:name="_Toc69321507"/>
      <w:bookmarkStart w:id="139" w:name="_Toc267389606"/>
      <w:bookmarkStart w:id="140" w:name="_Toc267398988"/>
      <w:bookmarkStart w:id="141" w:name="_Toc235710542"/>
      <w:bookmarkStart w:id="142" w:name="_Toc267398721"/>
      <w:bookmarkStart w:id="143" w:name="_Toc237354726"/>
      <w:r>
        <w:rPr>
          <w:rFonts w:hint="default" w:ascii="Times New Roman" w:hAnsi="Times New Roman" w:cs="Times New Roman"/>
          <w:b/>
          <w:color w:val="auto"/>
          <w:sz w:val="24"/>
          <w:szCs w:val="24"/>
          <w:highlight w:val="none"/>
        </w:rPr>
        <w:br w:type="page"/>
      </w:r>
    </w:p>
    <w:p>
      <w:pPr>
        <w:pStyle w:val="4"/>
        <w:rPr>
          <w:rFonts w:hint="default" w:ascii="Times New Roman" w:hAnsi="Times New Roman" w:cs="Times New Roman"/>
          <w:color w:val="auto"/>
          <w:highlight w:val="none"/>
        </w:rPr>
      </w:pPr>
      <w:bookmarkStart w:id="144" w:name="_Toc26632"/>
      <w:bookmarkStart w:id="145" w:name="_Toc10122276"/>
      <w:bookmarkStart w:id="146" w:name="_Toc10184885"/>
      <w:bookmarkStart w:id="147" w:name="_Toc484699855"/>
      <w:bookmarkStart w:id="148" w:name="_Toc382509468"/>
      <w:bookmarkStart w:id="149" w:name="_Toc512354293"/>
      <w:r>
        <w:rPr>
          <w:rFonts w:hint="default" w:ascii="Times New Roman" w:hAnsi="Times New Roman" w:cs="Times New Roman"/>
          <w:color w:val="auto"/>
          <w:highlight w:val="none"/>
        </w:rPr>
        <w:t xml:space="preserve">格式二                            </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rFonts w:hint="default" w:ascii="Times New Roman" w:hAnsi="Times New Roman" w:cs="Times New Roman"/>
          <w:color w:val="auto"/>
          <w:highlight w:val="none"/>
        </w:rPr>
        <w:t>报价一览表</w:t>
      </w:r>
    </w:p>
    <w:p>
      <w:pPr>
        <w:widowControl w:val="0"/>
        <w:spacing w:line="400" w:lineRule="exact"/>
        <w:ind w:left="306"/>
        <w:jc w:val="both"/>
        <w:rPr>
          <w:rFonts w:hint="default" w:ascii="Times New Roman" w:hAnsi="Times New Roman" w:cs="Times New Roman"/>
          <w:b/>
          <w:bCs/>
          <w:color w:val="auto"/>
          <w:sz w:val="22"/>
          <w:szCs w:val="22"/>
          <w:highlight w:val="none"/>
        </w:rPr>
      </w:pPr>
      <w:r>
        <w:rPr>
          <w:rFonts w:hint="default" w:ascii="Times New Roman" w:hAnsi="Times New Roman" w:cs="Times New Roman"/>
          <w:b/>
          <w:bCs/>
          <w:color w:val="auto"/>
          <w:sz w:val="22"/>
          <w:szCs w:val="22"/>
          <w:highlight w:val="none"/>
        </w:rPr>
        <w:t>项目名称：                                        项目编号：</w:t>
      </w:r>
    </w:p>
    <w:tbl>
      <w:tblPr>
        <w:tblStyle w:val="49"/>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273"/>
        <w:gridCol w:w="4405"/>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trPr>
        <w:tc>
          <w:tcPr>
            <w:tcW w:w="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b/>
                <w:color w:val="auto"/>
                <w:szCs w:val="21"/>
                <w:highlight w:val="none"/>
              </w:rPr>
            </w:pPr>
            <w:bookmarkStart w:id="150" w:name="_Toc10184886"/>
            <w:bookmarkStart w:id="151" w:name="_Toc10122277"/>
            <w:bookmarkStart w:id="152" w:name="_Toc17685"/>
            <w:r>
              <w:rPr>
                <w:rFonts w:hint="default" w:ascii="Times New Roman" w:hAnsi="Times New Roman" w:cs="Times New Roman"/>
                <w:b/>
                <w:color w:val="auto"/>
                <w:szCs w:val="21"/>
                <w:highlight w:val="none"/>
              </w:rPr>
              <w:t>序号</w:t>
            </w:r>
          </w:p>
        </w:tc>
        <w:tc>
          <w:tcPr>
            <w:tcW w:w="2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分项</w:t>
            </w:r>
          </w:p>
        </w:tc>
        <w:tc>
          <w:tcPr>
            <w:tcW w:w="44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报价内容</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trPr>
        <w:tc>
          <w:tcPr>
            <w:tcW w:w="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2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货物名称</w:t>
            </w:r>
          </w:p>
        </w:tc>
        <w:tc>
          <w:tcPr>
            <w:tcW w:w="44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color w:val="auto"/>
                <w:szCs w:val="21"/>
                <w:highlight w:val="none"/>
              </w:rPr>
            </w:pP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trPr>
        <w:tc>
          <w:tcPr>
            <w:tcW w:w="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2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报价总价（小写）</w:t>
            </w:r>
          </w:p>
        </w:tc>
        <w:tc>
          <w:tcPr>
            <w:tcW w:w="44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trPr>
        <w:tc>
          <w:tcPr>
            <w:tcW w:w="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2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报价总价（大写）</w:t>
            </w:r>
          </w:p>
        </w:tc>
        <w:tc>
          <w:tcPr>
            <w:tcW w:w="44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人民币     万元整</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trPr>
        <w:tc>
          <w:tcPr>
            <w:tcW w:w="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p>
        </w:tc>
        <w:tc>
          <w:tcPr>
            <w:tcW w:w="2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交货期</w:t>
            </w:r>
          </w:p>
        </w:tc>
        <w:tc>
          <w:tcPr>
            <w:tcW w:w="44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color w:val="auto"/>
                <w:szCs w:val="21"/>
                <w:highlight w:val="none"/>
              </w:rPr>
            </w:pP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7" w:hRule="atLeast"/>
        </w:trPr>
        <w:tc>
          <w:tcPr>
            <w:tcW w:w="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2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报价声明</w:t>
            </w:r>
          </w:p>
        </w:tc>
        <w:tc>
          <w:tcPr>
            <w:tcW w:w="44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color w:val="auto"/>
                <w:szCs w:val="21"/>
                <w:highlight w:val="none"/>
              </w:rPr>
            </w:pPr>
          </w:p>
          <w:p>
            <w:pPr>
              <w:adjustRightInd w:val="0"/>
              <w:snapToGrid w:val="0"/>
              <w:spacing w:before="100" w:beforeAutospacing="1" w:after="100" w:afterAutospacing="1"/>
              <w:rPr>
                <w:rFonts w:hint="default" w:ascii="Times New Roman" w:hAnsi="Times New Roman" w:cs="Times New Roman"/>
                <w:color w:val="auto"/>
                <w:szCs w:val="21"/>
                <w:highlight w:val="none"/>
              </w:rPr>
            </w:pP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1" w:hRule="atLeast"/>
        </w:trPr>
        <w:tc>
          <w:tcPr>
            <w:tcW w:w="892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授权代表签字或印鉴：                      日期：   </w:t>
            </w:r>
            <w:r>
              <w:rPr>
                <w:rFonts w:hint="eastAsia" w:cs="Times New Roman"/>
                <w:color w:val="auto"/>
                <w:szCs w:val="21"/>
                <w:highlight w:val="none"/>
                <w:lang w:eastAsia="zh-CN"/>
              </w:rPr>
              <w:t>2024</w:t>
            </w:r>
            <w:r>
              <w:rPr>
                <w:rFonts w:hint="default" w:ascii="Times New Roman" w:hAnsi="Times New Roman" w:cs="Times New Roman"/>
                <w:color w:val="auto"/>
                <w:szCs w:val="21"/>
                <w:highlight w:val="none"/>
              </w:rPr>
              <w:t>年  月  日</w:t>
            </w:r>
          </w:p>
          <w:p>
            <w:pPr>
              <w:adjustRightInd w:val="0"/>
              <w:snapToGrid w:val="0"/>
              <w:spacing w:before="100" w:beforeAutospacing="1" w:after="100" w:afterAutospacing="1"/>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1" w:hRule="atLeast"/>
        </w:trPr>
        <w:tc>
          <w:tcPr>
            <w:tcW w:w="892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报价单位（盖章）：                 </w:t>
            </w:r>
          </w:p>
          <w:p>
            <w:pPr>
              <w:adjustRightInd w:val="0"/>
              <w:snapToGrid w:val="0"/>
              <w:spacing w:before="100" w:beforeAutospacing="1" w:after="100" w:afterAutospacing="1"/>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1" w:hRule="atLeast"/>
        </w:trPr>
        <w:tc>
          <w:tcPr>
            <w:tcW w:w="892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after="2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备注：</w:t>
            </w:r>
            <w:r>
              <w:rPr>
                <w:rFonts w:hint="default" w:ascii="Times New Roman" w:hAnsi="Times New Roman" w:cs="Times New Roman"/>
                <w:b/>
                <w:color w:val="auto"/>
                <w:szCs w:val="21"/>
                <w:highlight w:val="none"/>
                <w:lang w:val="en-US" w:eastAsia="zh-CN"/>
              </w:rPr>
              <w:t>1</w:t>
            </w:r>
            <w:r>
              <w:rPr>
                <w:rFonts w:hint="default" w:ascii="Times New Roman" w:hAnsi="Times New Roman" w:cs="Times New Roman"/>
                <w:b/>
                <w:color w:val="auto"/>
                <w:szCs w:val="21"/>
                <w:highlight w:val="none"/>
              </w:rPr>
              <w:t>.报价为</w:t>
            </w:r>
            <w:r>
              <w:rPr>
                <w:rFonts w:hint="default" w:ascii="Times New Roman" w:hAnsi="Times New Roman" w:cs="Times New Roman"/>
                <w:b/>
                <w:color w:val="auto"/>
                <w:szCs w:val="21"/>
                <w:highlight w:val="none"/>
                <w:u w:val="single"/>
              </w:rPr>
              <w:t>目的地交货含税价格</w:t>
            </w:r>
            <w:r>
              <w:rPr>
                <w:rFonts w:hint="default" w:ascii="Times New Roman" w:hAnsi="Times New Roman" w:cs="Times New Roman"/>
                <w:b/>
                <w:color w:val="auto"/>
                <w:szCs w:val="21"/>
                <w:highlight w:val="none"/>
              </w:rPr>
              <w:t>；</w:t>
            </w:r>
          </w:p>
          <w:p>
            <w:pPr>
              <w:adjustRightInd w:val="0"/>
              <w:snapToGrid w:val="0"/>
              <w:spacing w:before="20" w:after="20"/>
              <w:ind w:firstLine="602" w:firstLineChars="3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lang w:val="en-US" w:eastAsia="zh-CN"/>
              </w:rPr>
              <w:t>2</w:t>
            </w:r>
            <w:r>
              <w:rPr>
                <w:rFonts w:hint="default" w:ascii="Times New Roman" w:hAnsi="Times New Roman" w:cs="Times New Roman"/>
                <w:b/>
                <w:color w:val="auto"/>
                <w:szCs w:val="21"/>
                <w:highlight w:val="none"/>
              </w:rPr>
              <w:t>.此表手写无效，报价人须在电子版上妥善填写。</w:t>
            </w:r>
          </w:p>
          <w:p>
            <w:pPr>
              <w:adjustRightInd w:val="0"/>
              <w:snapToGrid w:val="0"/>
              <w:spacing w:before="20" w:after="20"/>
              <w:ind w:firstLine="720" w:firstLineChars="300"/>
              <w:rPr>
                <w:rFonts w:hint="default" w:ascii="Times New Roman" w:hAnsi="Times New Roman" w:cs="Times New Roman"/>
                <w:color w:val="auto"/>
                <w:sz w:val="24"/>
                <w:highlight w:val="none"/>
              </w:rPr>
            </w:pPr>
          </w:p>
        </w:tc>
      </w:tr>
    </w:tbl>
    <w:p>
      <w:pPr>
        <w:tabs>
          <w:tab w:val="center" w:pos="4535"/>
          <w:tab w:val="left" w:pos="5840"/>
        </w:tabs>
        <w:spacing w:line="360" w:lineRule="auto"/>
        <w:jc w:val="both"/>
        <w:rPr>
          <w:rStyle w:val="65"/>
          <w:rFonts w:hint="default" w:ascii="Times New Roman" w:hAnsi="Times New Roman" w:cs="Times New Roman"/>
          <w:color w:val="auto"/>
          <w:highlight w:val="none"/>
        </w:rPr>
      </w:pPr>
    </w:p>
    <w:p>
      <w:pPr>
        <w:tabs>
          <w:tab w:val="center" w:pos="4535"/>
          <w:tab w:val="left" w:pos="5840"/>
        </w:tabs>
        <w:spacing w:line="360" w:lineRule="auto"/>
        <w:jc w:val="both"/>
        <w:rPr>
          <w:rStyle w:val="65"/>
          <w:rFonts w:hint="default" w:ascii="Times New Roman" w:hAnsi="Times New Roman" w:cs="Times New Roman"/>
          <w:color w:val="auto"/>
          <w:highlight w:val="none"/>
        </w:rPr>
      </w:pPr>
    </w:p>
    <w:p>
      <w:pPr>
        <w:widowControl w:val="0"/>
        <w:spacing w:line="400" w:lineRule="exact"/>
        <w:ind w:left="306"/>
        <w:jc w:val="both"/>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br w:type="page"/>
      </w:r>
    </w:p>
    <w:p>
      <w:pPr>
        <w:tabs>
          <w:tab w:val="center" w:pos="4535"/>
          <w:tab w:val="left" w:pos="5840"/>
        </w:tabs>
        <w:spacing w:line="360" w:lineRule="auto"/>
        <w:ind w:firstLine="321" w:firstLineChars="100"/>
        <w:jc w:val="both"/>
        <w:outlineLvl w:val="1"/>
        <w:rPr>
          <w:rStyle w:val="65"/>
          <w:rFonts w:hint="default" w:ascii="Times New Roman" w:hAnsi="Times New Roman" w:cs="Times New Roman"/>
          <w:color w:val="auto"/>
          <w:highlight w:val="none"/>
        </w:rPr>
      </w:pPr>
      <w:r>
        <w:rPr>
          <w:rStyle w:val="65"/>
          <w:rFonts w:hint="default" w:ascii="Times New Roman" w:hAnsi="Times New Roman" w:cs="Times New Roman"/>
          <w:color w:val="auto"/>
          <w:highlight w:val="none"/>
        </w:rPr>
        <w:t xml:space="preserve">格式三                            分项报价表  （格式可自拟）                           </w:t>
      </w:r>
    </w:p>
    <w:p>
      <w:pP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 xml:space="preserve">报价人名称：            采购编号：                    </w:t>
      </w:r>
    </w:p>
    <w:p>
      <w:pPr>
        <w:spacing w:before="100" w:beforeAutospacing="1" w:after="100" w:afterAutospacing="1" w:line="360" w:lineRule="auto"/>
        <w:rPr>
          <w:rFonts w:hint="default" w:ascii="Times New Roman" w:hAnsi="Times New Roman" w:cs="Times New Roman"/>
          <w:color w:val="auto"/>
          <w:sz w:val="30"/>
          <w:highlight w:val="none"/>
        </w:rPr>
      </w:pPr>
      <w:r>
        <w:rPr>
          <w:rFonts w:hint="default" w:ascii="Times New Roman" w:hAnsi="Times New Roman" w:cs="Times New Roman"/>
          <w:color w:val="auto"/>
          <w:sz w:val="24"/>
          <w:highlight w:val="none"/>
        </w:rPr>
        <w:t>报价人盖章：</w:t>
      </w:r>
    </w:p>
    <w:tbl>
      <w:tblPr>
        <w:tblStyle w:val="49"/>
        <w:tblW w:w="11020" w:type="dxa"/>
        <w:tblInd w:w="-10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065"/>
        <w:gridCol w:w="1297"/>
        <w:gridCol w:w="1512"/>
        <w:gridCol w:w="1911"/>
        <w:gridCol w:w="1002"/>
        <w:gridCol w:w="1018"/>
        <w:gridCol w:w="1583"/>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tcBorders>
              <w:top w:val="single" w:color="auto" w:sz="4" w:space="0"/>
              <w:left w:val="single" w:color="auto" w:sz="4" w:space="0"/>
              <w:bottom w:val="single" w:color="auto" w:sz="4" w:space="0"/>
              <w:right w:val="single" w:color="auto" w:sz="8" w:space="0"/>
            </w:tcBorders>
            <w:vAlign w:val="center"/>
          </w:tcPr>
          <w:p>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序号</w:t>
            </w:r>
          </w:p>
        </w:tc>
        <w:tc>
          <w:tcPr>
            <w:tcW w:w="1065" w:type="dxa"/>
            <w:tcBorders>
              <w:top w:val="single" w:color="auto" w:sz="4" w:space="0"/>
              <w:left w:val="single" w:color="auto" w:sz="8" w:space="0"/>
              <w:bottom w:val="single" w:color="auto" w:sz="4" w:space="0"/>
              <w:right w:val="single" w:color="auto" w:sz="4" w:space="0"/>
            </w:tcBorders>
            <w:vAlign w:val="center"/>
          </w:tcPr>
          <w:p>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货物名称</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规格型号</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单位</w:t>
            </w: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数量</w:t>
            </w:r>
          </w:p>
        </w:tc>
        <w:tc>
          <w:tcPr>
            <w:tcW w:w="10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单价(元)</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总价(元)</w:t>
            </w:r>
          </w:p>
        </w:tc>
        <w:tc>
          <w:tcPr>
            <w:tcW w:w="158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制造厂（品牌）</w:t>
            </w: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tcBorders>
              <w:top w:val="single" w:color="auto" w:sz="4" w:space="0"/>
              <w:left w:val="single" w:color="auto" w:sz="4" w:space="0"/>
              <w:bottom w:val="single" w:color="auto" w:sz="4" w:space="0"/>
              <w:right w:val="single" w:color="auto" w:sz="8" w:space="0"/>
            </w:tcBorders>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1065" w:type="dxa"/>
            <w:tcBorders>
              <w:top w:val="single" w:color="auto" w:sz="4" w:space="0"/>
              <w:left w:val="single" w:color="auto" w:sz="8" w:space="0"/>
              <w:bottom w:val="single" w:color="auto" w:sz="4" w:space="0"/>
              <w:right w:val="single" w:color="auto" w:sz="4" w:space="0"/>
            </w:tcBorders>
          </w:tcPr>
          <w:p>
            <w:pPr>
              <w:rPr>
                <w:rFonts w:hint="default" w:ascii="Times New Roman" w:hAnsi="Times New Roman" w:cs="Times New Roman"/>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Cs w:val="21"/>
                <w:highlight w:val="none"/>
              </w:rPr>
            </w:pPr>
          </w:p>
        </w:tc>
        <w:tc>
          <w:tcPr>
            <w:tcW w:w="100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01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58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96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tcBorders>
              <w:top w:val="single" w:color="auto" w:sz="4" w:space="0"/>
              <w:left w:val="single" w:color="auto" w:sz="4" w:space="0"/>
              <w:bottom w:val="single" w:color="auto" w:sz="4" w:space="0"/>
              <w:right w:val="single" w:color="auto" w:sz="8" w:space="0"/>
            </w:tcBorders>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1065" w:type="dxa"/>
            <w:tcBorders>
              <w:top w:val="single" w:color="auto" w:sz="4" w:space="0"/>
              <w:left w:val="single" w:color="auto" w:sz="8" w:space="0"/>
              <w:bottom w:val="single" w:color="auto" w:sz="4" w:space="0"/>
              <w:right w:val="single" w:color="auto" w:sz="4" w:space="0"/>
            </w:tcBorders>
          </w:tcPr>
          <w:p>
            <w:pPr>
              <w:rPr>
                <w:rFonts w:hint="default" w:ascii="Times New Roman" w:hAnsi="Times New Roman" w:cs="Times New Roman"/>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91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00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01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58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96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tcBorders>
              <w:top w:val="single" w:color="auto" w:sz="4" w:space="0"/>
              <w:left w:val="single" w:color="auto" w:sz="4" w:space="0"/>
              <w:bottom w:val="single" w:color="auto" w:sz="4" w:space="0"/>
              <w:right w:val="single" w:color="auto" w:sz="8" w:space="0"/>
            </w:tcBorders>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1065" w:type="dxa"/>
            <w:tcBorders>
              <w:top w:val="single" w:color="auto" w:sz="4" w:space="0"/>
              <w:left w:val="single" w:color="auto" w:sz="8" w:space="0"/>
              <w:bottom w:val="single" w:color="auto" w:sz="4" w:space="0"/>
              <w:right w:val="single" w:color="auto" w:sz="4" w:space="0"/>
            </w:tcBorders>
          </w:tcPr>
          <w:p>
            <w:pPr>
              <w:rPr>
                <w:rFonts w:hint="default" w:ascii="Times New Roman" w:hAnsi="Times New Roman" w:cs="Times New Roman"/>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91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00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01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58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96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tcBorders>
              <w:top w:val="single" w:color="auto" w:sz="4" w:space="0"/>
              <w:left w:val="single" w:color="auto" w:sz="4" w:space="0"/>
              <w:bottom w:val="single" w:color="auto" w:sz="4" w:space="0"/>
              <w:right w:val="single" w:color="auto" w:sz="8" w:space="0"/>
            </w:tcBorders>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p>
        </w:tc>
        <w:tc>
          <w:tcPr>
            <w:tcW w:w="1065" w:type="dxa"/>
            <w:tcBorders>
              <w:top w:val="single" w:color="auto" w:sz="4" w:space="0"/>
              <w:left w:val="single" w:color="auto" w:sz="8" w:space="0"/>
              <w:bottom w:val="single" w:color="auto" w:sz="4" w:space="0"/>
              <w:right w:val="single" w:color="auto" w:sz="4" w:space="0"/>
            </w:tcBorders>
          </w:tcPr>
          <w:p>
            <w:pPr>
              <w:rPr>
                <w:rFonts w:hint="default" w:ascii="Times New Roman" w:hAnsi="Times New Roman" w:cs="Times New Roman"/>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91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00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01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58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96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tcBorders>
              <w:top w:val="single" w:color="auto" w:sz="4" w:space="0"/>
              <w:left w:val="single" w:color="auto" w:sz="4" w:space="0"/>
              <w:bottom w:val="single" w:color="auto" w:sz="4" w:space="0"/>
              <w:right w:val="single" w:color="auto" w:sz="8" w:space="0"/>
            </w:tcBorders>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065" w:type="dxa"/>
            <w:tcBorders>
              <w:top w:val="single" w:color="auto" w:sz="4" w:space="0"/>
              <w:left w:val="single" w:color="auto" w:sz="8" w:space="0"/>
              <w:bottom w:val="single" w:color="auto" w:sz="4" w:space="0"/>
              <w:right w:val="single" w:color="auto" w:sz="4" w:space="0"/>
            </w:tcBorders>
          </w:tcPr>
          <w:p>
            <w:pPr>
              <w:rPr>
                <w:rFonts w:hint="default" w:ascii="Times New Roman" w:hAnsi="Times New Roman" w:cs="Times New Roman"/>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91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00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01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58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96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gridSpan w:val="2"/>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总计</w:t>
            </w:r>
          </w:p>
        </w:tc>
        <w:tc>
          <w:tcPr>
            <w:tcW w:w="8323" w:type="dxa"/>
            <w:gridSpan w:val="6"/>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96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gridSpan w:val="2"/>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税率</w:t>
            </w:r>
            <w:r>
              <w:rPr>
                <w:rFonts w:hint="default" w:ascii="Times New Roman" w:hAnsi="Times New Roman" w:cs="Times New Roman"/>
                <w:color w:val="auto"/>
                <w:szCs w:val="21"/>
                <w:highlight w:val="none"/>
              </w:rPr>
              <w:t>（</w:t>
            </w:r>
            <w:r>
              <w:rPr>
                <w:rFonts w:hint="default" w:ascii="Times New Roman" w:hAnsi="Times New Roman" w:cs="Times New Roman"/>
                <w:b/>
                <w:color w:val="auto"/>
                <w:szCs w:val="21"/>
                <w:highlight w:val="none"/>
                <w:u w:val="single"/>
              </w:rPr>
              <w:t>计入总价</w:t>
            </w:r>
            <w:r>
              <w:rPr>
                <w:rFonts w:hint="default" w:ascii="Times New Roman" w:hAnsi="Times New Roman" w:cs="Times New Roman"/>
                <w:color w:val="auto"/>
                <w:szCs w:val="21"/>
                <w:highlight w:val="none"/>
              </w:rPr>
              <w:t>）</w:t>
            </w:r>
          </w:p>
        </w:tc>
        <w:tc>
          <w:tcPr>
            <w:tcW w:w="8323" w:type="dxa"/>
            <w:gridSpan w:val="6"/>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r>
              <w:rPr>
                <w:rFonts w:hint="eastAsia" w:cs="Times New Roman"/>
                <w:color w:val="auto"/>
                <w:sz w:val="24"/>
                <w:highlight w:val="none"/>
                <w:lang w:val="en-US" w:eastAsia="zh-CN"/>
              </w:rPr>
              <w:t>9</w:t>
            </w:r>
            <w:r>
              <w:rPr>
                <w:rFonts w:hint="default" w:ascii="Times New Roman" w:hAnsi="Times New Roman" w:cs="Times New Roman"/>
                <w:color w:val="auto"/>
                <w:sz w:val="24"/>
                <w:highlight w:val="none"/>
              </w:rPr>
              <w:t>%</w:t>
            </w:r>
          </w:p>
        </w:tc>
        <w:tc>
          <w:tcPr>
            <w:tcW w:w="96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r>
    </w:tbl>
    <w:p>
      <w:pPr>
        <w:tabs>
          <w:tab w:val="center" w:pos="4535"/>
          <w:tab w:val="left" w:pos="5840"/>
        </w:tabs>
        <w:spacing w:line="360" w:lineRule="auto"/>
        <w:jc w:val="both"/>
        <w:rPr>
          <w:rStyle w:val="65"/>
          <w:rFonts w:hint="default" w:ascii="Times New Roman" w:hAnsi="Times New Roman" w:cs="Times New Roman"/>
          <w:color w:val="auto"/>
          <w:highlight w:val="none"/>
        </w:rPr>
      </w:pPr>
    </w:p>
    <w:p>
      <w:pPr>
        <w:spacing w:before="100" w:beforeAutospacing="1" w:after="100" w:afterAutospacing="1" w:line="360" w:lineRule="auto"/>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t>授权代表签字或印鉴：                      日期：   202</w:t>
      </w:r>
      <w:r>
        <w:rPr>
          <w:rFonts w:hint="eastAsia" w:cs="Times New Roman"/>
          <w:color w:val="auto"/>
          <w:sz w:val="24"/>
          <w:szCs w:val="22"/>
          <w:highlight w:val="none"/>
          <w:lang w:val="en-US" w:eastAsia="zh-CN"/>
        </w:rPr>
        <w:t xml:space="preserve">4 </w:t>
      </w:r>
      <w:r>
        <w:rPr>
          <w:rFonts w:hint="default" w:ascii="Times New Roman" w:hAnsi="Times New Roman" w:cs="Times New Roman"/>
          <w:color w:val="auto"/>
          <w:sz w:val="24"/>
          <w:szCs w:val="22"/>
          <w:highlight w:val="none"/>
        </w:rPr>
        <w:t>年</w:t>
      </w:r>
      <w:r>
        <w:rPr>
          <w:rFonts w:hint="eastAsia" w:cs="Times New Roman"/>
          <w:color w:val="auto"/>
          <w:sz w:val="24"/>
          <w:szCs w:val="22"/>
          <w:highlight w:val="none"/>
          <w:lang w:val="en-US" w:eastAsia="zh-CN"/>
        </w:rPr>
        <w:t xml:space="preserve">  </w:t>
      </w:r>
      <w:r>
        <w:rPr>
          <w:rFonts w:hint="default" w:ascii="Times New Roman" w:hAnsi="Times New Roman" w:cs="Times New Roman"/>
          <w:color w:val="auto"/>
          <w:sz w:val="24"/>
          <w:szCs w:val="22"/>
          <w:highlight w:val="none"/>
        </w:rPr>
        <w:t xml:space="preserve">  月 </w:t>
      </w:r>
      <w:r>
        <w:rPr>
          <w:rFonts w:hint="eastAsia" w:cs="Times New Roman"/>
          <w:color w:val="auto"/>
          <w:sz w:val="24"/>
          <w:szCs w:val="22"/>
          <w:highlight w:val="none"/>
          <w:lang w:val="en-US" w:eastAsia="zh-CN"/>
        </w:rPr>
        <w:t xml:space="preserve">  </w:t>
      </w:r>
      <w:r>
        <w:rPr>
          <w:rFonts w:hint="default" w:ascii="Times New Roman" w:hAnsi="Times New Roman" w:cs="Times New Roman"/>
          <w:color w:val="auto"/>
          <w:sz w:val="24"/>
          <w:szCs w:val="22"/>
          <w:highlight w:val="none"/>
        </w:rPr>
        <w:t xml:space="preserve"> 日</w:t>
      </w:r>
    </w:p>
    <w:p>
      <w:pPr>
        <w:pStyle w:val="17"/>
        <w:rPr>
          <w:rStyle w:val="65"/>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tabs>
          <w:tab w:val="center" w:pos="4535"/>
          <w:tab w:val="left" w:pos="5840"/>
        </w:tabs>
        <w:spacing w:line="360" w:lineRule="auto"/>
        <w:jc w:val="both"/>
        <w:rPr>
          <w:rStyle w:val="65"/>
          <w:rFonts w:hint="default" w:ascii="Times New Roman" w:hAnsi="Times New Roman" w:cs="Times New Roman"/>
          <w:color w:val="auto"/>
          <w:highlight w:val="none"/>
        </w:rPr>
      </w:pPr>
    </w:p>
    <w:p>
      <w:pPr>
        <w:pStyle w:val="7"/>
        <w:rPr>
          <w:rStyle w:val="65"/>
          <w:rFonts w:hint="default" w:ascii="Times New Roman" w:hAnsi="Times New Roman" w:cs="Times New Roman"/>
          <w:color w:val="auto"/>
          <w:highlight w:val="none"/>
        </w:rPr>
      </w:pPr>
    </w:p>
    <w:p>
      <w:pPr>
        <w:pStyle w:val="7"/>
        <w:rPr>
          <w:rStyle w:val="65"/>
          <w:rFonts w:hint="default" w:ascii="Times New Roman" w:hAnsi="Times New Roman" w:cs="Times New Roman"/>
          <w:color w:val="auto"/>
          <w:highlight w:val="none"/>
        </w:rPr>
      </w:pPr>
    </w:p>
    <w:p>
      <w:pPr>
        <w:pStyle w:val="7"/>
        <w:rPr>
          <w:rStyle w:val="65"/>
          <w:rFonts w:hint="default" w:ascii="Times New Roman" w:hAnsi="Times New Roman" w:cs="Times New Roman"/>
          <w:color w:val="auto"/>
          <w:highlight w:val="none"/>
        </w:rPr>
      </w:pPr>
    </w:p>
    <w:p>
      <w:pPr>
        <w:pStyle w:val="7"/>
        <w:rPr>
          <w:rStyle w:val="65"/>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7"/>
        <w:rPr>
          <w:rStyle w:val="65"/>
          <w:rFonts w:hint="default" w:ascii="Times New Roman" w:hAnsi="Times New Roman" w:cs="Times New Roman"/>
          <w:color w:val="auto"/>
          <w:highlight w:val="none"/>
        </w:rPr>
      </w:pPr>
    </w:p>
    <w:p>
      <w:pPr>
        <w:pStyle w:val="7"/>
        <w:rPr>
          <w:rStyle w:val="65"/>
          <w:rFonts w:hint="default" w:ascii="Times New Roman" w:hAnsi="Times New Roman" w:cs="Times New Roman"/>
          <w:color w:val="auto"/>
          <w:highlight w:val="none"/>
        </w:rPr>
      </w:pPr>
    </w:p>
    <w:p>
      <w:pPr>
        <w:pStyle w:val="7"/>
        <w:rPr>
          <w:rStyle w:val="65"/>
          <w:rFonts w:hint="default" w:ascii="Times New Roman" w:hAnsi="Times New Roman" w:cs="Times New Roman"/>
          <w:color w:val="auto"/>
          <w:highlight w:val="none"/>
        </w:rPr>
      </w:pPr>
    </w:p>
    <w:p>
      <w:pPr>
        <w:pStyle w:val="7"/>
        <w:rPr>
          <w:rStyle w:val="65"/>
          <w:rFonts w:hint="default" w:ascii="Times New Roman" w:hAnsi="Times New Roman" w:cs="Times New Roman"/>
          <w:color w:val="auto"/>
          <w:highlight w:val="none"/>
        </w:rPr>
      </w:pPr>
    </w:p>
    <w:p>
      <w:pPr>
        <w:pStyle w:val="7"/>
        <w:rPr>
          <w:rStyle w:val="65"/>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7"/>
        <w:rPr>
          <w:rStyle w:val="65"/>
          <w:rFonts w:hint="default" w:ascii="Times New Roman" w:hAnsi="Times New Roman" w:cs="Times New Roman"/>
          <w:color w:val="auto"/>
          <w:highlight w:val="none"/>
        </w:rPr>
      </w:pPr>
    </w:p>
    <w:bookmarkEnd w:id="150"/>
    <w:bookmarkEnd w:id="151"/>
    <w:bookmarkEnd w:id="152"/>
    <w:p>
      <w:pPr>
        <w:bidi w:val="0"/>
        <w:rPr>
          <w:rStyle w:val="65"/>
          <w:rFonts w:hint="default" w:ascii="Times New Roman" w:hAnsi="Times New Roman" w:cs="Times New Roman"/>
          <w:color w:val="auto"/>
          <w:highlight w:val="none"/>
        </w:rPr>
      </w:pPr>
      <w:bookmarkStart w:id="153" w:name="_Toc26786"/>
      <w:bookmarkStart w:id="154" w:name="_Toc10122278"/>
      <w:bookmarkStart w:id="155" w:name="_Toc10184887"/>
    </w:p>
    <w:p>
      <w:pPr>
        <w:rPr>
          <w:rFonts w:hint="default" w:ascii="Times New Roman" w:hAnsi="Times New Roman" w:cs="Times New Roman"/>
          <w:color w:val="auto"/>
          <w:sz w:val="21"/>
          <w:szCs w:val="22"/>
          <w:highlight w:val="none"/>
        </w:rPr>
      </w:pPr>
    </w:p>
    <w:p>
      <w:pPr>
        <w:pStyle w:val="7"/>
        <w:rPr>
          <w:rStyle w:val="65"/>
          <w:rFonts w:hint="default" w:ascii="Times New Roman" w:hAnsi="Times New Roman" w:cs="Times New Roman"/>
          <w:color w:val="auto"/>
          <w:highlight w:val="none"/>
        </w:rPr>
      </w:pPr>
    </w:p>
    <w:p>
      <w:pPr>
        <w:pStyle w:val="7"/>
        <w:rPr>
          <w:rStyle w:val="65"/>
          <w:rFonts w:hint="default" w:ascii="Times New Roman" w:hAnsi="Times New Roman" w:cs="Times New Roman"/>
          <w:color w:val="auto"/>
          <w:highlight w:val="none"/>
        </w:rPr>
      </w:pPr>
    </w:p>
    <w:p>
      <w:pPr>
        <w:pStyle w:val="7"/>
        <w:rPr>
          <w:rStyle w:val="65"/>
          <w:rFonts w:hint="default" w:ascii="Times New Roman" w:hAnsi="Times New Roman" w:cs="Times New Roman"/>
          <w:color w:val="auto"/>
          <w:highlight w:val="none"/>
        </w:rPr>
      </w:pPr>
    </w:p>
    <w:p>
      <w:pPr>
        <w:pStyle w:val="7"/>
        <w:rPr>
          <w:rStyle w:val="65"/>
          <w:rFonts w:hint="default" w:ascii="Times New Roman" w:hAnsi="Times New Roman" w:cs="Times New Roman"/>
          <w:color w:val="auto"/>
          <w:highlight w:val="none"/>
        </w:rPr>
      </w:pPr>
    </w:p>
    <w:p>
      <w:pPr>
        <w:pStyle w:val="7"/>
        <w:rPr>
          <w:rStyle w:val="65"/>
          <w:rFonts w:hint="default" w:ascii="Times New Roman" w:hAnsi="Times New Roman" w:cs="Times New Roman"/>
          <w:color w:val="auto"/>
          <w:highlight w:val="none"/>
        </w:rPr>
      </w:pPr>
    </w:p>
    <w:p>
      <w:pPr>
        <w:bidi w:val="0"/>
        <w:rPr>
          <w:rStyle w:val="65"/>
          <w:rFonts w:hint="default" w:ascii="Times New Roman" w:hAnsi="Times New Roman" w:cs="Times New Roman"/>
          <w:color w:val="auto"/>
          <w:highlight w:val="none"/>
        </w:rPr>
      </w:pPr>
    </w:p>
    <w:p>
      <w:pPr>
        <w:tabs>
          <w:tab w:val="center" w:pos="4535"/>
          <w:tab w:val="left" w:pos="5840"/>
        </w:tabs>
        <w:spacing w:line="360" w:lineRule="auto"/>
        <w:jc w:val="both"/>
        <w:outlineLvl w:val="1"/>
        <w:rPr>
          <w:rFonts w:hint="default" w:ascii="Times New Roman" w:hAnsi="Times New Roman" w:cs="Times New Roman"/>
          <w:b/>
          <w:bCs/>
          <w:color w:val="auto"/>
          <w:sz w:val="30"/>
          <w:szCs w:val="30"/>
          <w:highlight w:val="none"/>
        </w:rPr>
      </w:pPr>
      <w:r>
        <w:rPr>
          <w:rStyle w:val="65"/>
          <w:rFonts w:hint="default" w:ascii="Times New Roman" w:hAnsi="Times New Roman" w:cs="Times New Roman"/>
          <w:color w:val="auto"/>
          <w:highlight w:val="none"/>
        </w:rPr>
        <w:t>格式四                            供应商基本情况表</w:t>
      </w:r>
    </w:p>
    <w:tbl>
      <w:tblPr>
        <w:tblStyle w:val="49"/>
        <w:tblW w:w="9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0"/>
        <w:gridCol w:w="413"/>
        <w:gridCol w:w="847"/>
        <w:gridCol w:w="264"/>
        <w:gridCol w:w="276"/>
        <w:gridCol w:w="456"/>
        <w:gridCol w:w="444"/>
        <w:gridCol w:w="203"/>
        <w:gridCol w:w="207"/>
        <w:gridCol w:w="1210"/>
        <w:gridCol w:w="216"/>
        <w:gridCol w:w="317"/>
        <w:gridCol w:w="727"/>
        <w:gridCol w:w="36"/>
        <w:gridCol w:w="641"/>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8" w:type="dxa"/>
            <w:gridSpan w:val="2"/>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单位全称</w:t>
            </w:r>
          </w:p>
        </w:tc>
        <w:tc>
          <w:tcPr>
            <w:tcW w:w="7596" w:type="dxa"/>
            <w:gridSpan w:val="15"/>
            <w:vAlign w:val="center"/>
          </w:tcPr>
          <w:p>
            <w:pPr>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8" w:type="dxa"/>
            <w:gridSpan w:val="2"/>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营业执</w:t>
            </w:r>
          </w:p>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照号码</w:t>
            </w:r>
          </w:p>
        </w:tc>
        <w:tc>
          <w:tcPr>
            <w:tcW w:w="1800" w:type="dxa"/>
            <w:gridSpan w:val="4"/>
            <w:vAlign w:val="center"/>
          </w:tcPr>
          <w:p>
            <w:pPr>
              <w:jc w:val="center"/>
              <w:rPr>
                <w:rFonts w:hint="default" w:ascii="Times New Roman" w:hAnsi="Times New Roman" w:cs="Times New Roman"/>
                <w:color w:val="auto"/>
                <w:sz w:val="24"/>
                <w:highlight w:val="none"/>
              </w:rPr>
            </w:pPr>
          </w:p>
        </w:tc>
        <w:tc>
          <w:tcPr>
            <w:tcW w:w="1103" w:type="dxa"/>
            <w:gridSpan w:val="3"/>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税务登</w:t>
            </w:r>
          </w:p>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记号码</w:t>
            </w:r>
          </w:p>
        </w:tc>
        <w:tc>
          <w:tcPr>
            <w:tcW w:w="1633" w:type="dxa"/>
            <w:gridSpan w:val="3"/>
            <w:vAlign w:val="center"/>
          </w:tcPr>
          <w:p>
            <w:pPr>
              <w:jc w:val="center"/>
              <w:rPr>
                <w:rFonts w:hint="default" w:ascii="Times New Roman" w:hAnsi="Times New Roman" w:cs="Times New Roman"/>
                <w:color w:val="auto"/>
                <w:sz w:val="24"/>
                <w:highlight w:val="none"/>
              </w:rPr>
            </w:pPr>
          </w:p>
        </w:tc>
        <w:tc>
          <w:tcPr>
            <w:tcW w:w="1080" w:type="dxa"/>
            <w:gridSpan w:val="3"/>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单位法</w:t>
            </w:r>
          </w:p>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人代码</w:t>
            </w:r>
          </w:p>
        </w:tc>
        <w:tc>
          <w:tcPr>
            <w:tcW w:w="1980" w:type="dxa"/>
            <w:gridSpan w:val="2"/>
            <w:vAlign w:val="center"/>
          </w:tcPr>
          <w:p>
            <w:pPr>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8" w:type="dxa"/>
            <w:gridSpan w:val="2"/>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p>
        </w:tc>
        <w:tc>
          <w:tcPr>
            <w:tcW w:w="4536" w:type="dxa"/>
            <w:gridSpan w:val="10"/>
            <w:vAlign w:val="center"/>
          </w:tcPr>
          <w:p>
            <w:pPr>
              <w:jc w:val="center"/>
              <w:rPr>
                <w:rFonts w:hint="default" w:ascii="Times New Roman" w:hAnsi="Times New Roman" w:cs="Times New Roman"/>
                <w:color w:val="auto"/>
                <w:sz w:val="24"/>
                <w:highlight w:val="none"/>
              </w:rPr>
            </w:pPr>
          </w:p>
        </w:tc>
        <w:tc>
          <w:tcPr>
            <w:tcW w:w="1080" w:type="dxa"/>
            <w:gridSpan w:val="3"/>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邮编</w:t>
            </w:r>
          </w:p>
        </w:tc>
        <w:tc>
          <w:tcPr>
            <w:tcW w:w="1980" w:type="dxa"/>
            <w:gridSpan w:val="2"/>
            <w:vAlign w:val="center"/>
          </w:tcPr>
          <w:p>
            <w:pPr>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8" w:type="dxa"/>
            <w:gridSpan w:val="2"/>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p>
        </w:tc>
        <w:tc>
          <w:tcPr>
            <w:tcW w:w="2256" w:type="dxa"/>
            <w:gridSpan w:val="5"/>
            <w:vAlign w:val="center"/>
          </w:tcPr>
          <w:p>
            <w:pPr>
              <w:jc w:val="center"/>
              <w:rPr>
                <w:rFonts w:hint="default" w:ascii="Times New Roman" w:hAnsi="Times New Roman" w:cs="Times New Roman"/>
                <w:color w:val="auto"/>
                <w:sz w:val="24"/>
                <w:highlight w:val="none"/>
              </w:rPr>
            </w:pPr>
          </w:p>
        </w:tc>
        <w:tc>
          <w:tcPr>
            <w:tcW w:w="2280" w:type="dxa"/>
            <w:gridSpan w:val="5"/>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传真</w:t>
            </w:r>
          </w:p>
        </w:tc>
        <w:tc>
          <w:tcPr>
            <w:tcW w:w="3060" w:type="dxa"/>
            <w:gridSpan w:val="5"/>
            <w:vAlign w:val="center"/>
          </w:tcPr>
          <w:p>
            <w:pPr>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8" w:type="dxa"/>
            <w:gridSpan w:val="2"/>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p>
        </w:tc>
        <w:tc>
          <w:tcPr>
            <w:tcW w:w="2256" w:type="dxa"/>
            <w:gridSpan w:val="5"/>
            <w:vAlign w:val="center"/>
          </w:tcPr>
          <w:p>
            <w:pPr>
              <w:jc w:val="center"/>
              <w:rPr>
                <w:rFonts w:hint="default" w:ascii="Times New Roman" w:hAnsi="Times New Roman" w:cs="Times New Roman"/>
                <w:color w:val="auto"/>
                <w:sz w:val="24"/>
                <w:highlight w:val="none"/>
              </w:rPr>
            </w:pPr>
          </w:p>
        </w:tc>
        <w:tc>
          <w:tcPr>
            <w:tcW w:w="2280" w:type="dxa"/>
            <w:gridSpan w:val="5"/>
            <w:vAlign w:val="center"/>
          </w:tcPr>
          <w:p>
            <w:pPr>
              <w:ind w:firstLine="720" w:firstLineChars="30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建筑面积</w:t>
            </w:r>
          </w:p>
        </w:tc>
        <w:tc>
          <w:tcPr>
            <w:tcW w:w="3060" w:type="dxa"/>
            <w:gridSpan w:val="5"/>
            <w:vAlign w:val="center"/>
          </w:tcPr>
          <w:p>
            <w:pPr>
              <w:ind w:firstLine="1680" w:firstLineChars="70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trPr>
        <w:tc>
          <w:tcPr>
            <w:tcW w:w="1728" w:type="dxa"/>
            <w:gridSpan w:val="2"/>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注册资本</w:t>
            </w:r>
          </w:p>
        </w:tc>
        <w:tc>
          <w:tcPr>
            <w:tcW w:w="7596" w:type="dxa"/>
            <w:gridSpan w:val="15"/>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rPr>
        <w:tc>
          <w:tcPr>
            <w:tcW w:w="1728" w:type="dxa"/>
            <w:gridSpan w:val="2"/>
            <w:vMerge w:val="restart"/>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经营范围</w:t>
            </w:r>
          </w:p>
        </w:tc>
        <w:tc>
          <w:tcPr>
            <w:tcW w:w="1260" w:type="dxa"/>
            <w:gridSpan w:val="2"/>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主  营</w:t>
            </w:r>
          </w:p>
        </w:tc>
        <w:tc>
          <w:tcPr>
            <w:tcW w:w="6336" w:type="dxa"/>
            <w:gridSpan w:val="13"/>
            <w:vAlign w:val="center"/>
          </w:tcPr>
          <w:p>
            <w:pPr>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7" w:hRule="atLeast"/>
        </w:trPr>
        <w:tc>
          <w:tcPr>
            <w:tcW w:w="1728" w:type="dxa"/>
            <w:gridSpan w:val="2"/>
            <w:vMerge w:val="continue"/>
            <w:vAlign w:val="center"/>
          </w:tcPr>
          <w:p>
            <w:pPr>
              <w:rPr>
                <w:rFonts w:hint="default" w:ascii="Times New Roman" w:hAnsi="Times New Roman" w:cs="Times New Roman"/>
                <w:color w:val="auto"/>
                <w:highlight w:val="none"/>
              </w:rPr>
            </w:pPr>
          </w:p>
        </w:tc>
        <w:tc>
          <w:tcPr>
            <w:tcW w:w="1260" w:type="dxa"/>
            <w:gridSpan w:val="2"/>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兼  营</w:t>
            </w:r>
          </w:p>
        </w:tc>
        <w:tc>
          <w:tcPr>
            <w:tcW w:w="6336" w:type="dxa"/>
            <w:gridSpan w:val="13"/>
            <w:vAlign w:val="center"/>
          </w:tcPr>
          <w:p>
            <w:pPr>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8" w:type="dxa"/>
            <w:gridSpan w:val="2"/>
            <w:vMerge w:val="restart"/>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单位员工结构</w:t>
            </w:r>
          </w:p>
        </w:tc>
        <w:tc>
          <w:tcPr>
            <w:tcW w:w="1260" w:type="dxa"/>
            <w:gridSpan w:val="2"/>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员工</w:t>
            </w:r>
          </w:p>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总数</w:t>
            </w:r>
          </w:p>
        </w:tc>
        <w:tc>
          <w:tcPr>
            <w:tcW w:w="1440" w:type="dxa"/>
            <w:gridSpan w:val="4"/>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高级技</w:t>
            </w:r>
          </w:p>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术人员</w:t>
            </w:r>
          </w:p>
        </w:tc>
        <w:tc>
          <w:tcPr>
            <w:tcW w:w="1620" w:type="dxa"/>
            <w:gridSpan w:val="3"/>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中级技</w:t>
            </w:r>
          </w:p>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术人员</w:t>
            </w:r>
          </w:p>
        </w:tc>
        <w:tc>
          <w:tcPr>
            <w:tcW w:w="1260" w:type="dxa"/>
            <w:gridSpan w:val="3"/>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初级技</w:t>
            </w:r>
          </w:p>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术人员</w:t>
            </w:r>
          </w:p>
        </w:tc>
        <w:tc>
          <w:tcPr>
            <w:tcW w:w="2016" w:type="dxa"/>
            <w:gridSpan w:val="3"/>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行政管</w:t>
            </w:r>
          </w:p>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trPr>
        <w:tc>
          <w:tcPr>
            <w:tcW w:w="1728" w:type="dxa"/>
            <w:gridSpan w:val="2"/>
            <w:vMerge w:val="continue"/>
            <w:vAlign w:val="center"/>
          </w:tcPr>
          <w:p>
            <w:pPr>
              <w:rPr>
                <w:rFonts w:hint="default" w:ascii="Times New Roman" w:hAnsi="Times New Roman" w:cs="Times New Roman"/>
                <w:color w:val="auto"/>
                <w:highlight w:val="none"/>
              </w:rPr>
            </w:pPr>
          </w:p>
        </w:tc>
        <w:tc>
          <w:tcPr>
            <w:tcW w:w="1260" w:type="dxa"/>
            <w:gridSpan w:val="2"/>
            <w:vAlign w:val="center"/>
          </w:tcPr>
          <w:p>
            <w:pPr>
              <w:jc w:val="center"/>
              <w:rPr>
                <w:rFonts w:hint="default" w:ascii="Times New Roman" w:hAnsi="Times New Roman" w:cs="Times New Roman"/>
                <w:color w:val="auto"/>
                <w:sz w:val="24"/>
                <w:highlight w:val="none"/>
              </w:rPr>
            </w:pPr>
          </w:p>
        </w:tc>
        <w:tc>
          <w:tcPr>
            <w:tcW w:w="1440" w:type="dxa"/>
            <w:gridSpan w:val="4"/>
            <w:vAlign w:val="center"/>
          </w:tcPr>
          <w:p>
            <w:pPr>
              <w:jc w:val="center"/>
              <w:rPr>
                <w:rFonts w:hint="default" w:ascii="Times New Roman" w:hAnsi="Times New Roman" w:cs="Times New Roman"/>
                <w:color w:val="auto"/>
                <w:sz w:val="24"/>
                <w:highlight w:val="none"/>
              </w:rPr>
            </w:pPr>
          </w:p>
        </w:tc>
        <w:tc>
          <w:tcPr>
            <w:tcW w:w="1620" w:type="dxa"/>
            <w:gridSpan w:val="3"/>
            <w:vAlign w:val="center"/>
          </w:tcPr>
          <w:p>
            <w:pPr>
              <w:jc w:val="center"/>
              <w:rPr>
                <w:rFonts w:hint="default" w:ascii="Times New Roman" w:hAnsi="Times New Roman" w:cs="Times New Roman"/>
                <w:color w:val="auto"/>
                <w:sz w:val="24"/>
                <w:highlight w:val="none"/>
              </w:rPr>
            </w:pPr>
          </w:p>
        </w:tc>
        <w:tc>
          <w:tcPr>
            <w:tcW w:w="1260" w:type="dxa"/>
            <w:gridSpan w:val="3"/>
            <w:vAlign w:val="center"/>
          </w:tcPr>
          <w:p>
            <w:pPr>
              <w:jc w:val="center"/>
              <w:rPr>
                <w:rFonts w:hint="default" w:ascii="Times New Roman" w:hAnsi="Times New Roman" w:cs="Times New Roman"/>
                <w:color w:val="auto"/>
                <w:sz w:val="24"/>
                <w:highlight w:val="none"/>
              </w:rPr>
            </w:pPr>
          </w:p>
        </w:tc>
        <w:tc>
          <w:tcPr>
            <w:tcW w:w="2016" w:type="dxa"/>
            <w:gridSpan w:val="3"/>
            <w:vAlign w:val="center"/>
          </w:tcPr>
          <w:p>
            <w:pPr>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trPr>
        <w:tc>
          <w:tcPr>
            <w:tcW w:w="9324" w:type="dxa"/>
            <w:gridSpan w:val="17"/>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生产销售状况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trPr>
        <w:tc>
          <w:tcPr>
            <w:tcW w:w="3252" w:type="dxa"/>
            <w:gridSpan w:val="5"/>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20</w:t>
            </w:r>
            <w:r>
              <w:rPr>
                <w:rFonts w:hint="eastAsia" w:cs="Times New Roman"/>
                <w:color w:val="auto"/>
                <w:sz w:val="24"/>
                <w:highlight w:val="none"/>
                <w:lang w:val="en-US" w:eastAsia="zh-CN"/>
              </w:rPr>
              <w:t>20</w:t>
            </w:r>
            <w:r>
              <w:rPr>
                <w:rFonts w:hint="default" w:ascii="Times New Roman" w:hAnsi="Times New Roman" w:cs="Times New Roman"/>
                <w:color w:val="auto"/>
                <w:sz w:val="24"/>
                <w:highlight w:val="none"/>
              </w:rPr>
              <w:t>年</w:t>
            </w:r>
          </w:p>
        </w:tc>
        <w:tc>
          <w:tcPr>
            <w:tcW w:w="3329" w:type="dxa"/>
            <w:gridSpan w:val="8"/>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20</w:t>
            </w:r>
            <w:r>
              <w:rPr>
                <w:rFonts w:hint="eastAsia" w:cs="Times New Roman"/>
                <w:color w:val="auto"/>
                <w:sz w:val="24"/>
                <w:highlight w:val="none"/>
                <w:lang w:val="en-US" w:eastAsia="zh-CN"/>
              </w:rPr>
              <w:t>21</w:t>
            </w:r>
            <w:r>
              <w:rPr>
                <w:rFonts w:hint="default" w:ascii="Times New Roman" w:hAnsi="Times New Roman" w:cs="Times New Roman"/>
                <w:color w:val="auto"/>
                <w:sz w:val="24"/>
                <w:highlight w:val="none"/>
              </w:rPr>
              <w:t>年</w:t>
            </w:r>
          </w:p>
        </w:tc>
        <w:tc>
          <w:tcPr>
            <w:tcW w:w="2743" w:type="dxa"/>
            <w:gridSpan w:val="4"/>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202</w:t>
            </w:r>
            <w:r>
              <w:rPr>
                <w:rFonts w:hint="eastAsia" w:cs="Times New Roman"/>
                <w:color w:val="auto"/>
                <w:sz w:val="24"/>
                <w:highlight w:val="none"/>
                <w:lang w:val="en-US" w:eastAsia="zh-CN"/>
              </w:rPr>
              <w:t>2</w:t>
            </w:r>
            <w:r>
              <w:rPr>
                <w:rFonts w:hint="default" w:ascii="Times New Roman" w:hAnsi="Times New Roman" w:cs="Times New Roman"/>
                <w:color w:val="auto"/>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38" w:type="dxa"/>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年产量</w:t>
            </w:r>
          </w:p>
        </w:tc>
        <w:tc>
          <w:tcPr>
            <w:tcW w:w="1614" w:type="dxa"/>
            <w:gridSpan w:val="4"/>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年销售额</w:t>
            </w:r>
          </w:p>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（万元）</w:t>
            </w:r>
          </w:p>
        </w:tc>
        <w:tc>
          <w:tcPr>
            <w:tcW w:w="1586" w:type="dxa"/>
            <w:gridSpan w:val="5"/>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年产量</w:t>
            </w:r>
          </w:p>
        </w:tc>
        <w:tc>
          <w:tcPr>
            <w:tcW w:w="1743" w:type="dxa"/>
            <w:gridSpan w:val="3"/>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年销售额</w:t>
            </w:r>
          </w:p>
          <w:p>
            <w:pP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（万元）</w:t>
            </w:r>
          </w:p>
        </w:tc>
        <w:tc>
          <w:tcPr>
            <w:tcW w:w="1404" w:type="dxa"/>
            <w:gridSpan w:val="3"/>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年产量</w:t>
            </w:r>
          </w:p>
        </w:tc>
        <w:tc>
          <w:tcPr>
            <w:tcW w:w="1339" w:type="dxa"/>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年销售额</w:t>
            </w:r>
          </w:p>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638" w:type="dxa"/>
            <w:vAlign w:val="center"/>
          </w:tcPr>
          <w:p>
            <w:pPr>
              <w:jc w:val="center"/>
              <w:rPr>
                <w:rFonts w:hint="default" w:ascii="Times New Roman" w:hAnsi="Times New Roman" w:cs="Times New Roman"/>
                <w:color w:val="auto"/>
                <w:sz w:val="24"/>
                <w:highlight w:val="none"/>
              </w:rPr>
            </w:pPr>
          </w:p>
        </w:tc>
        <w:tc>
          <w:tcPr>
            <w:tcW w:w="1614" w:type="dxa"/>
            <w:gridSpan w:val="4"/>
            <w:vAlign w:val="center"/>
          </w:tcPr>
          <w:p>
            <w:pPr>
              <w:jc w:val="center"/>
              <w:rPr>
                <w:rFonts w:hint="default" w:ascii="Times New Roman" w:hAnsi="Times New Roman" w:cs="Times New Roman"/>
                <w:color w:val="auto"/>
                <w:sz w:val="24"/>
                <w:highlight w:val="none"/>
              </w:rPr>
            </w:pPr>
          </w:p>
        </w:tc>
        <w:tc>
          <w:tcPr>
            <w:tcW w:w="1586" w:type="dxa"/>
            <w:gridSpan w:val="5"/>
            <w:vAlign w:val="center"/>
          </w:tcPr>
          <w:p>
            <w:pPr>
              <w:jc w:val="center"/>
              <w:rPr>
                <w:rFonts w:hint="default" w:ascii="Times New Roman" w:hAnsi="Times New Roman" w:cs="Times New Roman"/>
                <w:color w:val="auto"/>
                <w:sz w:val="24"/>
                <w:highlight w:val="none"/>
              </w:rPr>
            </w:pPr>
          </w:p>
        </w:tc>
        <w:tc>
          <w:tcPr>
            <w:tcW w:w="1743" w:type="dxa"/>
            <w:gridSpan w:val="3"/>
            <w:vAlign w:val="center"/>
          </w:tcPr>
          <w:p>
            <w:pPr>
              <w:jc w:val="center"/>
              <w:rPr>
                <w:rFonts w:hint="default" w:ascii="Times New Roman" w:hAnsi="Times New Roman" w:cs="Times New Roman"/>
                <w:color w:val="auto"/>
                <w:sz w:val="24"/>
                <w:highlight w:val="none"/>
              </w:rPr>
            </w:pPr>
          </w:p>
        </w:tc>
        <w:tc>
          <w:tcPr>
            <w:tcW w:w="1404" w:type="dxa"/>
            <w:gridSpan w:val="3"/>
            <w:vAlign w:val="center"/>
          </w:tcPr>
          <w:p>
            <w:pPr>
              <w:jc w:val="center"/>
              <w:rPr>
                <w:rFonts w:hint="default" w:ascii="Times New Roman" w:hAnsi="Times New Roman" w:cs="Times New Roman"/>
                <w:color w:val="auto"/>
                <w:sz w:val="24"/>
                <w:highlight w:val="none"/>
              </w:rPr>
            </w:pPr>
          </w:p>
        </w:tc>
        <w:tc>
          <w:tcPr>
            <w:tcW w:w="1339" w:type="dxa"/>
            <w:vAlign w:val="center"/>
          </w:tcPr>
          <w:p>
            <w:pPr>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2141" w:type="dxa"/>
            <w:gridSpan w:val="3"/>
            <w:vMerge w:val="restart"/>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主要原材料、配件进货渠道（可另附纸）</w:t>
            </w:r>
          </w:p>
        </w:tc>
        <w:tc>
          <w:tcPr>
            <w:tcW w:w="2697" w:type="dxa"/>
            <w:gridSpan w:val="7"/>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原材料、配件名称</w:t>
            </w:r>
          </w:p>
        </w:tc>
        <w:tc>
          <w:tcPr>
            <w:tcW w:w="4486" w:type="dxa"/>
            <w:gridSpan w:val="7"/>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生产厂名称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trPr>
        <w:tc>
          <w:tcPr>
            <w:tcW w:w="2141" w:type="dxa"/>
            <w:gridSpan w:val="3"/>
            <w:vMerge w:val="continue"/>
            <w:vAlign w:val="center"/>
          </w:tcPr>
          <w:p>
            <w:pPr>
              <w:rPr>
                <w:rFonts w:hint="default" w:ascii="Times New Roman" w:hAnsi="Times New Roman" w:cs="Times New Roman"/>
                <w:color w:val="auto"/>
                <w:highlight w:val="none"/>
              </w:rPr>
            </w:pPr>
          </w:p>
        </w:tc>
        <w:tc>
          <w:tcPr>
            <w:tcW w:w="2697" w:type="dxa"/>
            <w:gridSpan w:val="7"/>
            <w:vAlign w:val="center"/>
          </w:tcPr>
          <w:p>
            <w:pPr>
              <w:jc w:val="center"/>
              <w:rPr>
                <w:rFonts w:hint="default" w:ascii="Times New Roman" w:hAnsi="Times New Roman" w:cs="Times New Roman"/>
                <w:color w:val="auto"/>
                <w:sz w:val="24"/>
                <w:highlight w:val="none"/>
              </w:rPr>
            </w:pPr>
          </w:p>
        </w:tc>
        <w:tc>
          <w:tcPr>
            <w:tcW w:w="4486" w:type="dxa"/>
            <w:gridSpan w:val="7"/>
            <w:vAlign w:val="center"/>
          </w:tcPr>
          <w:p>
            <w:pPr>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trPr>
        <w:tc>
          <w:tcPr>
            <w:tcW w:w="2141" w:type="dxa"/>
            <w:gridSpan w:val="3"/>
            <w:vMerge w:val="continue"/>
            <w:vAlign w:val="center"/>
          </w:tcPr>
          <w:p>
            <w:pPr>
              <w:rPr>
                <w:rFonts w:hint="default" w:ascii="Times New Roman" w:hAnsi="Times New Roman" w:cs="Times New Roman"/>
                <w:color w:val="auto"/>
                <w:highlight w:val="none"/>
              </w:rPr>
            </w:pPr>
          </w:p>
        </w:tc>
        <w:tc>
          <w:tcPr>
            <w:tcW w:w="2697" w:type="dxa"/>
            <w:gridSpan w:val="7"/>
            <w:vAlign w:val="center"/>
          </w:tcPr>
          <w:p>
            <w:pPr>
              <w:jc w:val="center"/>
              <w:rPr>
                <w:rFonts w:hint="default" w:ascii="Times New Roman" w:hAnsi="Times New Roman" w:cs="Times New Roman"/>
                <w:color w:val="auto"/>
                <w:sz w:val="24"/>
                <w:highlight w:val="none"/>
              </w:rPr>
            </w:pPr>
          </w:p>
        </w:tc>
        <w:tc>
          <w:tcPr>
            <w:tcW w:w="4486" w:type="dxa"/>
            <w:gridSpan w:val="7"/>
            <w:vAlign w:val="center"/>
          </w:tcPr>
          <w:p>
            <w:pPr>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trPr>
        <w:tc>
          <w:tcPr>
            <w:tcW w:w="2141" w:type="dxa"/>
            <w:gridSpan w:val="3"/>
            <w:vMerge w:val="continue"/>
            <w:vAlign w:val="center"/>
          </w:tcPr>
          <w:p>
            <w:pPr>
              <w:rPr>
                <w:rFonts w:hint="default" w:ascii="Times New Roman" w:hAnsi="Times New Roman" w:cs="Times New Roman"/>
                <w:color w:val="auto"/>
                <w:highlight w:val="none"/>
              </w:rPr>
            </w:pPr>
          </w:p>
        </w:tc>
        <w:tc>
          <w:tcPr>
            <w:tcW w:w="2697" w:type="dxa"/>
            <w:gridSpan w:val="7"/>
            <w:vAlign w:val="center"/>
          </w:tcPr>
          <w:p>
            <w:pPr>
              <w:jc w:val="center"/>
              <w:rPr>
                <w:rFonts w:hint="default" w:ascii="Times New Roman" w:hAnsi="Times New Roman" w:cs="Times New Roman"/>
                <w:color w:val="auto"/>
                <w:sz w:val="24"/>
                <w:highlight w:val="none"/>
              </w:rPr>
            </w:pPr>
          </w:p>
        </w:tc>
        <w:tc>
          <w:tcPr>
            <w:tcW w:w="4486" w:type="dxa"/>
            <w:gridSpan w:val="7"/>
            <w:vAlign w:val="center"/>
          </w:tcPr>
          <w:p>
            <w:pPr>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324" w:type="dxa"/>
            <w:gridSpan w:val="17"/>
          </w:tcPr>
          <w:p>
            <w:pPr>
              <w:rPr>
                <w:rFonts w:hint="default" w:ascii="Times New Roman" w:hAnsi="Times New Roman" w:cs="Times New Roman"/>
                <w:color w:val="auto"/>
                <w:sz w:val="24"/>
                <w:highlight w:val="none"/>
              </w:rPr>
            </w:pP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法定代表人（签字或印鉴）：</w:t>
            </w:r>
          </w:p>
          <w:p>
            <w:pPr>
              <w:rPr>
                <w:rFonts w:hint="default" w:ascii="Times New Roman" w:hAnsi="Times New Roman" w:cs="Times New Roman"/>
                <w:color w:val="auto"/>
                <w:sz w:val="24"/>
                <w:highlight w:val="none"/>
              </w:rPr>
            </w:pP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单位（公章）：</w:t>
            </w:r>
          </w:p>
          <w:p>
            <w:pPr>
              <w:ind w:firstLine="5520" w:firstLineChars="2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年 </w:t>
            </w:r>
            <w:r>
              <w:rPr>
                <w:rFonts w:hint="eastAsia" w:cs="Times New Roman"/>
                <w:color w:val="auto"/>
                <w:sz w:val="24"/>
                <w:highlight w:val="none"/>
                <w:lang w:val="en-US" w:eastAsia="zh-CN"/>
              </w:rPr>
              <w:t xml:space="preserve"> </w:t>
            </w:r>
            <w:r>
              <w:rPr>
                <w:rFonts w:hint="default" w:ascii="Times New Roman" w:hAnsi="Times New Roman" w:cs="Times New Roman"/>
                <w:color w:val="auto"/>
                <w:sz w:val="24"/>
                <w:highlight w:val="none"/>
              </w:rPr>
              <w:t xml:space="preserve">   月   </w:t>
            </w:r>
            <w:r>
              <w:rPr>
                <w:rFonts w:hint="eastAsia" w:cs="Times New Roman"/>
                <w:color w:val="auto"/>
                <w:sz w:val="24"/>
                <w:highlight w:val="none"/>
                <w:lang w:val="en-US" w:eastAsia="zh-CN"/>
              </w:rPr>
              <w:t xml:space="preserve">   </w:t>
            </w:r>
            <w:r>
              <w:rPr>
                <w:rFonts w:hint="default" w:ascii="Times New Roman" w:hAnsi="Times New Roman" w:cs="Times New Roman"/>
                <w:color w:val="auto"/>
                <w:sz w:val="24"/>
                <w:highlight w:val="none"/>
              </w:rPr>
              <w:t>日</w:t>
            </w:r>
          </w:p>
        </w:tc>
      </w:tr>
    </w:tbl>
    <w:p>
      <w:pPr>
        <w:widowControl w:val="0"/>
        <w:spacing w:line="400" w:lineRule="exact"/>
        <w:jc w:val="both"/>
        <w:rPr>
          <w:rFonts w:hint="default" w:ascii="Times New Roman" w:hAnsi="Times New Roman" w:cs="Times New Roman"/>
          <w:color w:val="auto"/>
          <w:sz w:val="24"/>
          <w:highlight w:val="none"/>
        </w:rPr>
      </w:pPr>
      <w:r>
        <w:rPr>
          <w:rFonts w:hint="default" w:ascii="Times New Roman" w:hAnsi="Times New Roman" w:cs="Times New Roman"/>
          <w:b/>
          <w:color w:val="auto"/>
          <w:sz w:val="24"/>
          <w:szCs w:val="24"/>
          <w:highlight w:val="none"/>
        </w:rPr>
        <w:br w:type="page"/>
      </w:r>
    </w:p>
    <w:p>
      <w:pPr>
        <w:pStyle w:val="4"/>
        <w:rPr>
          <w:rFonts w:hint="default" w:ascii="Times New Roman" w:hAnsi="Times New Roman" w:cs="Times New Roman"/>
          <w:color w:val="auto"/>
          <w:highlight w:val="none"/>
        </w:rPr>
      </w:pPr>
      <w:r>
        <w:rPr>
          <w:rFonts w:hint="default" w:ascii="Times New Roman" w:hAnsi="Times New Roman" w:cs="Times New Roman"/>
          <w:color w:val="auto"/>
          <w:highlight w:val="none"/>
        </w:rPr>
        <w:t>格式五                            法定代表人身份证明书</w:t>
      </w:r>
      <w:bookmarkEnd w:id="132"/>
      <w:bookmarkEnd w:id="133"/>
      <w:bookmarkEnd w:id="134"/>
      <w:bookmarkEnd w:id="153"/>
      <w:bookmarkEnd w:id="154"/>
      <w:bookmarkEnd w:id="155"/>
    </w:p>
    <w:p>
      <w:pPr>
        <w:rPr>
          <w:rFonts w:hint="default" w:ascii="Times New Roman" w:hAnsi="Times New Roman" w:cs="Times New Roman"/>
          <w:b/>
          <w:color w:val="auto"/>
          <w:sz w:val="32"/>
          <w:szCs w:val="32"/>
          <w:highlight w:val="none"/>
        </w:rPr>
      </w:pPr>
    </w:p>
    <w:p>
      <w:pPr>
        <w:autoSpaceDE w:val="0"/>
        <w:autoSpaceDN w:val="0"/>
        <w:adjustRightInd w:val="0"/>
        <w:spacing w:line="480" w:lineRule="auto"/>
        <w:ind w:firstLine="612"/>
        <w:rPr>
          <w:rFonts w:hint="default" w:ascii="Times New Roman" w:hAnsi="Times New Roman" w:cs="Times New Roman"/>
          <w:color w:val="auto"/>
          <w:sz w:val="28"/>
          <w:szCs w:val="28"/>
          <w:highlight w:val="none"/>
        </w:rPr>
      </w:pPr>
    </w:p>
    <w:p>
      <w:pPr>
        <w:autoSpaceDE w:val="0"/>
        <w:autoSpaceDN w:val="0"/>
        <w:adjustRightInd w:val="0"/>
        <w:spacing w:line="480" w:lineRule="auto"/>
        <w:ind w:firstLine="612"/>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单位名称：</w:t>
      </w:r>
      <w:r>
        <w:rPr>
          <w:rFonts w:hint="default" w:ascii="Times New Roman" w:hAnsi="Times New Roman" w:cs="Times New Roman"/>
          <w:color w:val="auto"/>
          <w:sz w:val="24"/>
          <w:szCs w:val="24"/>
          <w:highlight w:val="none"/>
          <w:u w:val="single"/>
          <w:lang w:val="zh-CN"/>
        </w:rPr>
        <w:tab/>
      </w:r>
      <w:r>
        <w:rPr>
          <w:rFonts w:hint="default" w:ascii="Times New Roman" w:hAnsi="Times New Roman" w:cs="Times New Roman"/>
          <w:color w:val="auto"/>
          <w:sz w:val="24"/>
          <w:szCs w:val="24"/>
          <w:highlight w:val="none"/>
          <w:u w:val="single"/>
          <w:lang w:val="zh-CN"/>
        </w:rPr>
        <w:tab/>
      </w:r>
    </w:p>
    <w:p>
      <w:pPr>
        <w:autoSpaceDE w:val="0"/>
        <w:autoSpaceDN w:val="0"/>
        <w:adjustRightInd w:val="0"/>
        <w:spacing w:line="480" w:lineRule="auto"/>
        <w:ind w:firstLine="610"/>
        <w:rPr>
          <w:rFonts w:hint="default" w:ascii="Times New Roman" w:hAnsi="Times New Roman" w:cs="Times New Roman"/>
          <w:color w:val="auto"/>
          <w:sz w:val="24"/>
          <w:szCs w:val="24"/>
          <w:highlight w:val="none"/>
          <w:u w:val="single"/>
          <w:lang w:val="zh-CN"/>
        </w:rPr>
      </w:pPr>
      <w:r>
        <w:rPr>
          <w:rFonts w:hint="default" w:ascii="Times New Roman" w:hAnsi="Times New Roman" w:cs="Times New Roman"/>
          <w:color w:val="auto"/>
          <w:sz w:val="24"/>
          <w:szCs w:val="24"/>
          <w:highlight w:val="none"/>
          <w:lang w:val="zh-CN"/>
        </w:rPr>
        <w:t>单位性质：</w:t>
      </w:r>
      <w:r>
        <w:rPr>
          <w:rFonts w:hint="default" w:ascii="Times New Roman" w:hAnsi="Times New Roman" w:cs="Times New Roman"/>
          <w:color w:val="auto"/>
          <w:sz w:val="24"/>
          <w:szCs w:val="24"/>
          <w:highlight w:val="none"/>
          <w:u w:val="single"/>
          <w:lang w:val="zh-CN"/>
        </w:rPr>
        <w:tab/>
      </w:r>
      <w:r>
        <w:rPr>
          <w:rFonts w:hint="default" w:ascii="Times New Roman" w:hAnsi="Times New Roman" w:cs="Times New Roman"/>
          <w:color w:val="auto"/>
          <w:sz w:val="24"/>
          <w:szCs w:val="24"/>
          <w:highlight w:val="none"/>
          <w:u w:val="single"/>
          <w:lang w:val="zh-CN"/>
        </w:rPr>
        <w:tab/>
      </w:r>
      <w:r>
        <w:rPr>
          <w:rFonts w:hint="default" w:ascii="Times New Roman" w:hAnsi="Times New Roman" w:cs="Times New Roman"/>
          <w:color w:val="auto"/>
          <w:sz w:val="24"/>
          <w:szCs w:val="24"/>
          <w:highlight w:val="none"/>
          <w:u w:val="single"/>
          <w:lang w:val="zh-CN"/>
        </w:rPr>
        <w:tab/>
      </w:r>
      <w:r>
        <w:rPr>
          <w:rFonts w:hint="default" w:ascii="Times New Roman" w:hAnsi="Times New Roman" w:cs="Times New Roman"/>
          <w:color w:val="auto"/>
          <w:sz w:val="24"/>
          <w:szCs w:val="24"/>
          <w:highlight w:val="none"/>
          <w:u w:val="single"/>
          <w:lang w:val="zh-CN"/>
        </w:rPr>
        <w:tab/>
      </w:r>
      <w:r>
        <w:rPr>
          <w:rFonts w:hint="default" w:ascii="Times New Roman" w:hAnsi="Times New Roman" w:cs="Times New Roman"/>
          <w:color w:val="auto"/>
          <w:sz w:val="24"/>
          <w:szCs w:val="24"/>
          <w:highlight w:val="none"/>
          <w:u w:val="single"/>
          <w:lang w:val="zh-CN"/>
        </w:rPr>
        <w:tab/>
      </w:r>
    </w:p>
    <w:p>
      <w:pPr>
        <w:autoSpaceDE w:val="0"/>
        <w:autoSpaceDN w:val="0"/>
        <w:adjustRightInd w:val="0"/>
        <w:spacing w:line="480" w:lineRule="auto"/>
        <w:ind w:firstLine="610"/>
        <w:rPr>
          <w:rFonts w:hint="default" w:ascii="Times New Roman" w:hAnsi="Times New Roman" w:cs="Times New Roman"/>
          <w:color w:val="auto"/>
          <w:sz w:val="24"/>
          <w:szCs w:val="24"/>
          <w:highlight w:val="none"/>
          <w:u w:val="single"/>
          <w:lang w:val="zh-CN"/>
        </w:rPr>
      </w:pPr>
      <w:r>
        <w:rPr>
          <w:rFonts w:hint="default" w:ascii="Times New Roman" w:hAnsi="Times New Roman" w:cs="Times New Roman"/>
          <w:color w:val="auto"/>
          <w:sz w:val="24"/>
          <w:szCs w:val="24"/>
          <w:highlight w:val="none"/>
          <w:lang w:val="zh-CN"/>
        </w:rPr>
        <w:t>地址：</w:t>
      </w:r>
      <w:r>
        <w:rPr>
          <w:rFonts w:hint="default" w:ascii="Times New Roman" w:hAnsi="Times New Roman" w:cs="Times New Roman"/>
          <w:color w:val="auto"/>
          <w:sz w:val="24"/>
          <w:szCs w:val="24"/>
          <w:highlight w:val="none"/>
          <w:u w:val="single"/>
          <w:lang w:val="zh-CN"/>
        </w:rPr>
        <w:tab/>
      </w:r>
      <w:r>
        <w:rPr>
          <w:rFonts w:hint="default" w:ascii="Times New Roman" w:hAnsi="Times New Roman" w:cs="Times New Roman"/>
          <w:color w:val="auto"/>
          <w:sz w:val="24"/>
          <w:szCs w:val="24"/>
          <w:highlight w:val="none"/>
          <w:u w:val="single"/>
          <w:lang w:val="zh-CN"/>
        </w:rPr>
        <w:tab/>
      </w:r>
      <w:r>
        <w:rPr>
          <w:rFonts w:hint="default" w:ascii="Times New Roman" w:hAnsi="Times New Roman" w:cs="Times New Roman"/>
          <w:color w:val="auto"/>
          <w:sz w:val="24"/>
          <w:szCs w:val="24"/>
          <w:highlight w:val="none"/>
          <w:u w:val="single"/>
          <w:lang w:val="zh-CN"/>
        </w:rPr>
        <w:tab/>
      </w:r>
    </w:p>
    <w:p>
      <w:pPr>
        <w:autoSpaceDE w:val="0"/>
        <w:autoSpaceDN w:val="0"/>
        <w:adjustRightInd w:val="0"/>
        <w:spacing w:line="480" w:lineRule="auto"/>
        <w:ind w:firstLine="610"/>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成立时间：</w:t>
      </w:r>
      <w:r>
        <w:rPr>
          <w:rFonts w:hint="default" w:ascii="Times New Roman" w:hAnsi="Times New Roman" w:cs="Times New Roman"/>
          <w:color w:val="auto"/>
          <w:sz w:val="24"/>
          <w:szCs w:val="24"/>
          <w:highlight w:val="none"/>
          <w:u w:val="single"/>
          <w:lang w:val="zh-CN"/>
        </w:rPr>
        <w:t xml:space="preserve">          年          月           日</w:t>
      </w:r>
    </w:p>
    <w:p>
      <w:pPr>
        <w:autoSpaceDE w:val="0"/>
        <w:autoSpaceDN w:val="0"/>
        <w:adjustRightInd w:val="0"/>
        <w:spacing w:line="480" w:lineRule="auto"/>
        <w:ind w:firstLine="610"/>
        <w:rPr>
          <w:rFonts w:hint="default" w:ascii="Times New Roman" w:hAnsi="Times New Roman" w:cs="Times New Roman"/>
          <w:color w:val="auto"/>
          <w:sz w:val="24"/>
          <w:szCs w:val="24"/>
          <w:highlight w:val="none"/>
          <w:u w:val="single"/>
          <w:lang w:val="zh-CN"/>
        </w:rPr>
      </w:pPr>
      <w:r>
        <w:rPr>
          <w:rFonts w:hint="default" w:ascii="Times New Roman" w:hAnsi="Times New Roman" w:cs="Times New Roman"/>
          <w:color w:val="auto"/>
          <w:sz w:val="24"/>
          <w:szCs w:val="24"/>
          <w:highlight w:val="none"/>
          <w:lang w:val="zh-CN"/>
        </w:rPr>
        <w:t>经营期限：</w:t>
      </w:r>
      <w:r>
        <w:rPr>
          <w:rFonts w:hint="default" w:ascii="Times New Roman" w:hAnsi="Times New Roman" w:cs="Times New Roman"/>
          <w:color w:val="auto"/>
          <w:sz w:val="24"/>
          <w:szCs w:val="24"/>
          <w:highlight w:val="none"/>
          <w:u w:val="single"/>
          <w:lang w:val="zh-CN"/>
        </w:rPr>
        <w:tab/>
      </w:r>
      <w:r>
        <w:rPr>
          <w:rFonts w:hint="default" w:ascii="Times New Roman" w:hAnsi="Times New Roman" w:cs="Times New Roman"/>
          <w:color w:val="auto"/>
          <w:sz w:val="24"/>
          <w:szCs w:val="24"/>
          <w:highlight w:val="none"/>
          <w:u w:val="single"/>
          <w:lang w:val="zh-CN"/>
        </w:rPr>
        <w:tab/>
      </w:r>
    </w:p>
    <w:p>
      <w:pPr>
        <w:autoSpaceDE w:val="0"/>
        <w:autoSpaceDN w:val="0"/>
        <w:adjustRightInd w:val="0"/>
        <w:spacing w:line="480" w:lineRule="auto"/>
        <w:ind w:firstLine="610"/>
        <w:rPr>
          <w:rFonts w:hint="default" w:ascii="Times New Roman" w:hAnsi="Times New Roman" w:cs="Times New Roman"/>
          <w:color w:val="auto"/>
          <w:sz w:val="24"/>
          <w:szCs w:val="24"/>
          <w:highlight w:val="none"/>
          <w:u w:val="single"/>
          <w:lang w:val="zh-CN"/>
        </w:rPr>
      </w:pPr>
      <w:r>
        <w:rPr>
          <w:rFonts w:hint="default" w:ascii="Times New Roman" w:hAnsi="Times New Roman" w:cs="Times New Roman"/>
          <w:color w:val="auto"/>
          <w:sz w:val="24"/>
          <w:szCs w:val="24"/>
          <w:highlight w:val="none"/>
          <w:lang w:val="zh-CN"/>
        </w:rPr>
        <w:t>姓名：</w:t>
      </w:r>
      <w:r>
        <w:rPr>
          <w:rFonts w:hint="default" w:ascii="Times New Roman" w:hAnsi="Times New Roman" w:cs="Times New Roman"/>
          <w:color w:val="auto"/>
          <w:sz w:val="24"/>
          <w:szCs w:val="24"/>
          <w:highlight w:val="none"/>
          <w:u w:val="single"/>
          <w:lang w:val="zh-CN"/>
        </w:rPr>
        <w:t xml:space="preserve">     </w:t>
      </w:r>
      <w:r>
        <w:rPr>
          <w:rFonts w:hint="default" w:ascii="Times New Roman" w:hAnsi="Times New Roman" w:cs="Times New Roman"/>
          <w:color w:val="auto"/>
          <w:sz w:val="24"/>
          <w:szCs w:val="24"/>
          <w:highlight w:val="none"/>
          <w:lang w:val="zh-CN"/>
        </w:rPr>
        <w:t>性别：年龄：职务：</w:t>
      </w:r>
      <w:r>
        <w:rPr>
          <w:rFonts w:hint="default" w:ascii="Times New Roman" w:hAnsi="Times New Roman" w:cs="Times New Roman"/>
          <w:color w:val="auto"/>
          <w:sz w:val="24"/>
          <w:szCs w:val="24"/>
          <w:highlight w:val="none"/>
          <w:u w:val="single"/>
          <w:lang w:val="zh-CN"/>
        </w:rPr>
        <w:tab/>
      </w:r>
    </w:p>
    <w:p>
      <w:pPr>
        <w:autoSpaceDE w:val="0"/>
        <w:autoSpaceDN w:val="0"/>
        <w:adjustRightInd w:val="0"/>
        <w:spacing w:line="480" w:lineRule="auto"/>
        <w:ind w:firstLine="610"/>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系我单位法定代表人。</w:t>
      </w:r>
    </w:p>
    <w:p>
      <w:pPr>
        <w:autoSpaceDE w:val="0"/>
        <w:autoSpaceDN w:val="0"/>
        <w:adjustRightInd w:val="0"/>
        <w:spacing w:line="480" w:lineRule="auto"/>
        <w:ind w:firstLine="610"/>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特此证明。</w:t>
      </w:r>
      <w:bookmarkStart w:id="202" w:name="_GoBack"/>
      <w:bookmarkEnd w:id="202"/>
    </w:p>
    <w:p>
      <w:pPr>
        <w:tabs>
          <w:tab w:val="left" w:pos="720"/>
          <w:tab w:val="left" w:pos="900"/>
        </w:tabs>
        <w:autoSpaceDE w:val="0"/>
        <w:autoSpaceDN w:val="0"/>
        <w:adjustRightInd w:val="0"/>
        <w:spacing w:line="360" w:lineRule="auto"/>
        <w:ind w:firstLine="600"/>
        <w:rPr>
          <w:rFonts w:hint="default" w:ascii="Times New Roman" w:hAnsi="Times New Roman" w:cs="Times New Roman"/>
          <w:color w:val="auto"/>
          <w:sz w:val="24"/>
          <w:szCs w:val="24"/>
          <w:highlight w:val="none"/>
          <w:lang w:val="zh-CN"/>
        </w:rPr>
      </w:pPr>
    </w:p>
    <w:p>
      <w:pPr>
        <w:tabs>
          <w:tab w:val="left" w:pos="720"/>
          <w:tab w:val="left" w:pos="900"/>
        </w:tabs>
        <w:autoSpaceDE w:val="0"/>
        <w:autoSpaceDN w:val="0"/>
        <w:adjustRightInd w:val="0"/>
        <w:spacing w:line="360" w:lineRule="auto"/>
        <w:ind w:firstLine="600"/>
        <w:rPr>
          <w:rFonts w:hint="default" w:ascii="Times New Roman" w:hAnsi="Times New Roman" w:cs="Times New Roman"/>
          <w:color w:val="auto"/>
          <w:sz w:val="24"/>
          <w:szCs w:val="24"/>
          <w:highlight w:val="none"/>
          <w:u w:val="single"/>
          <w:lang w:val="zh-CN"/>
        </w:rPr>
      </w:pPr>
      <w:r>
        <w:rPr>
          <w:rFonts w:hint="default" w:ascii="Times New Roman" w:hAnsi="Times New Roman" w:cs="Times New Roman"/>
          <w:color w:val="auto"/>
          <w:sz w:val="24"/>
          <w:szCs w:val="24"/>
          <w:highlight w:val="none"/>
          <w:lang w:val="zh-CN"/>
        </w:rPr>
        <w:t>单位名称（盖章）：</w:t>
      </w:r>
    </w:p>
    <w:p>
      <w:pPr>
        <w:tabs>
          <w:tab w:val="left" w:pos="720"/>
          <w:tab w:val="left" w:pos="900"/>
        </w:tabs>
        <w:autoSpaceDE w:val="0"/>
        <w:autoSpaceDN w:val="0"/>
        <w:adjustRightInd w:val="0"/>
        <w:spacing w:line="360" w:lineRule="auto"/>
        <w:ind w:firstLine="480" w:firstLineChars="200"/>
        <w:rPr>
          <w:rFonts w:hint="default" w:ascii="Times New Roman" w:hAnsi="Times New Roman" w:cs="Times New Roman"/>
          <w:color w:val="auto"/>
          <w:sz w:val="24"/>
          <w:szCs w:val="24"/>
          <w:highlight w:val="none"/>
          <w:lang w:val="zh-CN"/>
        </w:rPr>
      </w:pPr>
    </w:p>
    <w:p>
      <w:pPr>
        <w:tabs>
          <w:tab w:val="left" w:pos="720"/>
          <w:tab w:val="left" w:pos="900"/>
        </w:tabs>
        <w:autoSpaceDE w:val="0"/>
        <w:autoSpaceDN w:val="0"/>
        <w:adjustRightInd w:val="0"/>
        <w:spacing w:line="360" w:lineRule="auto"/>
        <w:ind w:firstLine="720" w:firstLineChars="300"/>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日期：     年     月    日</w:t>
      </w:r>
    </w:p>
    <w:p>
      <w:pPr>
        <w:pStyle w:val="78"/>
        <w:ind w:left="360" w:firstLine="0" w:firstLineChars="0"/>
        <w:jc w:val="center"/>
        <w:rPr>
          <w:rFonts w:hint="default" w:ascii="Times New Roman" w:hAnsi="Times New Roman" w:cs="Times New Roman"/>
          <w:color w:val="auto"/>
          <w:sz w:val="24"/>
          <w:szCs w:val="24"/>
          <w:highlight w:val="none"/>
        </w:rPr>
      </w:pPr>
    </w:p>
    <w:p>
      <w:pPr>
        <w:pStyle w:val="78"/>
        <w:ind w:left="360" w:firstLine="0" w:firstLineChars="0"/>
        <w:jc w:val="center"/>
        <w:rPr>
          <w:rFonts w:hint="default" w:ascii="Times New Roman" w:hAnsi="Times New Roman" w:cs="Times New Roman"/>
          <w:color w:val="auto"/>
          <w:sz w:val="24"/>
          <w:szCs w:val="24"/>
          <w:highlight w:val="none"/>
        </w:rPr>
      </w:pPr>
      <w:bookmarkStart w:id="156" w:name="_Toc11162_WPSOffice_Level2"/>
      <w:r>
        <w:rPr>
          <w:rFonts w:hint="default" w:ascii="Times New Roman" w:hAnsi="Times New Roman" w:cs="Times New Roman"/>
          <w:color w:val="auto"/>
          <w:sz w:val="24"/>
          <w:szCs w:val="24"/>
          <w:highlight w:val="none"/>
        </w:rPr>
        <w:t>附法定代表人身份证</w:t>
      </w:r>
      <w:bookmarkEnd w:id="156"/>
      <w:r>
        <w:rPr>
          <w:rFonts w:hint="default" w:ascii="Times New Roman" w:hAnsi="Times New Roman" w:cs="Times New Roman"/>
          <w:color w:val="auto"/>
          <w:sz w:val="24"/>
          <w:szCs w:val="24"/>
          <w:highlight w:val="none"/>
        </w:rPr>
        <w:t>复印件</w:t>
      </w:r>
    </w:p>
    <w:p>
      <w:pPr>
        <w:pStyle w:val="78"/>
        <w:ind w:left="360" w:firstLine="0" w:firstLineChars="0"/>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4"/>
          <w:szCs w:val="24"/>
          <w:highlight w:val="none"/>
        </w:rPr>
        <w:br w:type="page"/>
      </w:r>
    </w:p>
    <w:p>
      <w:pPr>
        <w:pStyle w:val="4"/>
        <w:rPr>
          <w:rFonts w:hint="default" w:ascii="Times New Roman" w:hAnsi="Times New Roman" w:cs="Times New Roman"/>
          <w:color w:val="auto"/>
          <w:sz w:val="24"/>
          <w:szCs w:val="24"/>
          <w:highlight w:val="none"/>
        </w:rPr>
      </w:pPr>
      <w:bookmarkStart w:id="157" w:name="_Toc30354"/>
      <w:bookmarkStart w:id="158" w:name="_Toc484699853"/>
      <w:bookmarkStart w:id="159" w:name="_Toc512354291"/>
      <w:bookmarkStart w:id="160" w:name="_Toc382509465"/>
      <w:bookmarkStart w:id="161" w:name="_Toc10122279"/>
      <w:bookmarkStart w:id="162" w:name="_Toc10184888"/>
      <w:r>
        <w:rPr>
          <w:rFonts w:hint="default" w:ascii="Times New Roman" w:hAnsi="Times New Roman" w:cs="Times New Roman"/>
          <w:color w:val="auto"/>
          <w:highlight w:val="none"/>
        </w:rPr>
        <w:t xml:space="preserve">格式六                </w:t>
      </w:r>
      <w:bookmarkStart w:id="163" w:name="_Toc12139"/>
      <w:r>
        <w:rPr>
          <w:rFonts w:hint="default" w:ascii="Times New Roman" w:hAnsi="Times New Roman" w:cs="Times New Roman"/>
          <w:color w:val="auto"/>
          <w:highlight w:val="none"/>
        </w:rPr>
        <w:t xml:space="preserve">           法人单位授权书及法人授权委托</w:t>
      </w:r>
      <w:bookmarkEnd w:id="157"/>
      <w:bookmarkEnd w:id="158"/>
      <w:bookmarkEnd w:id="159"/>
      <w:bookmarkEnd w:id="160"/>
      <w:bookmarkEnd w:id="163"/>
      <w:r>
        <w:rPr>
          <w:rFonts w:hint="default" w:ascii="Times New Roman" w:hAnsi="Times New Roman" w:cs="Times New Roman"/>
          <w:color w:val="auto"/>
          <w:highlight w:val="none"/>
        </w:rPr>
        <w:t>书</w:t>
      </w:r>
      <w:bookmarkEnd w:id="161"/>
      <w:bookmarkEnd w:id="162"/>
    </w:p>
    <w:p>
      <w:pPr>
        <w:spacing w:line="360" w:lineRule="auto"/>
        <w:rPr>
          <w:rFonts w:hint="default" w:ascii="Times New Roman" w:hAnsi="Times New Roman" w:cs="Times New Roman"/>
          <w:b/>
          <w:color w:val="auto"/>
          <w:sz w:val="24"/>
          <w:szCs w:val="24"/>
          <w:highlight w:val="none"/>
          <w:u w:val="single"/>
        </w:rPr>
      </w:pPr>
      <w:r>
        <w:rPr>
          <w:rFonts w:hint="default" w:ascii="Times New Roman" w:hAnsi="Times New Roman" w:cs="Times New Roman"/>
          <w:color w:val="auto"/>
          <w:sz w:val="24"/>
          <w:szCs w:val="24"/>
          <w:highlight w:val="none"/>
          <w:u w:val="single"/>
          <w:lang w:val="zh-CN"/>
        </w:rPr>
        <w:t>（采购人全称）</w:t>
      </w:r>
      <w:r>
        <w:rPr>
          <w:rFonts w:hint="default" w:ascii="Times New Roman" w:hAnsi="Times New Roman" w:cs="Times New Roman"/>
          <w:color w:val="auto"/>
          <w:sz w:val="24"/>
          <w:szCs w:val="24"/>
          <w:highlight w:val="none"/>
          <w:u w:val="single"/>
        </w:rPr>
        <w:t>：</w:t>
      </w:r>
    </w:p>
    <w:p>
      <w:pPr>
        <w:spacing w:line="360" w:lineRule="auto"/>
        <w:ind w:firstLine="480" w:firstLineChars="200"/>
        <w:jc w:val="both"/>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u w:val="single"/>
          <w:lang w:val="zh-CN"/>
        </w:rPr>
        <w:t>（法定代表人姓名）</w:t>
      </w:r>
      <w:r>
        <w:rPr>
          <w:rFonts w:hint="default" w:ascii="Times New Roman" w:hAnsi="Times New Roman" w:cs="Times New Roman"/>
          <w:color w:val="auto"/>
          <w:sz w:val="24"/>
          <w:szCs w:val="24"/>
          <w:highlight w:val="none"/>
          <w:lang w:val="zh-CN"/>
        </w:rPr>
        <w:t>系注册于</w:t>
      </w:r>
      <w:r>
        <w:rPr>
          <w:rFonts w:hint="default" w:ascii="Times New Roman" w:hAnsi="Times New Roman" w:cs="Times New Roman"/>
          <w:color w:val="auto"/>
          <w:sz w:val="24"/>
          <w:szCs w:val="24"/>
          <w:highlight w:val="none"/>
          <w:u w:val="single"/>
          <w:lang w:val="zh-CN"/>
        </w:rPr>
        <w:t xml:space="preserve">        （公司地址）     </w:t>
      </w:r>
      <w:r>
        <w:rPr>
          <w:rFonts w:hint="default" w:ascii="Times New Roman" w:hAnsi="Times New Roman" w:cs="Times New Roman"/>
          <w:color w:val="auto"/>
          <w:sz w:val="24"/>
          <w:szCs w:val="24"/>
          <w:highlight w:val="none"/>
          <w:lang w:val="zh-CN"/>
        </w:rPr>
        <w:t xml:space="preserve">的  </w:t>
      </w:r>
      <w:r>
        <w:rPr>
          <w:rFonts w:hint="default" w:ascii="Times New Roman" w:hAnsi="Times New Roman" w:cs="Times New Roman"/>
          <w:color w:val="auto"/>
          <w:sz w:val="24"/>
          <w:szCs w:val="24"/>
          <w:highlight w:val="none"/>
          <w:u w:val="single"/>
          <w:lang w:val="zh-CN"/>
        </w:rPr>
        <w:t>（公司名称）</w:t>
      </w:r>
      <w:r>
        <w:rPr>
          <w:rFonts w:hint="default" w:ascii="Times New Roman" w:hAnsi="Times New Roman" w:cs="Times New Roman"/>
          <w:color w:val="auto"/>
          <w:sz w:val="24"/>
          <w:szCs w:val="24"/>
          <w:highlight w:val="none"/>
          <w:lang w:val="zh-CN"/>
        </w:rPr>
        <w:t>的法定代表人，现代表公司授权</w:t>
      </w:r>
      <w:r>
        <w:rPr>
          <w:rFonts w:hint="default" w:ascii="Times New Roman" w:hAnsi="Times New Roman" w:cs="Times New Roman"/>
          <w:color w:val="auto"/>
          <w:sz w:val="24"/>
          <w:szCs w:val="24"/>
          <w:highlight w:val="none"/>
          <w:u w:val="single"/>
          <w:lang w:val="zh-CN"/>
        </w:rPr>
        <w:t xml:space="preserve">                        （被授权人姓名，身份证号码）</w:t>
      </w:r>
      <w:r>
        <w:rPr>
          <w:rFonts w:hint="default" w:ascii="Times New Roman" w:hAnsi="Times New Roman" w:cs="Times New Roman"/>
          <w:color w:val="auto"/>
          <w:sz w:val="24"/>
          <w:szCs w:val="24"/>
          <w:highlight w:val="none"/>
          <w:lang w:val="zh-CN"/>
        </w:rPr>
        <w:t>为我公司合法代理人，代表本公司参加</w:t>
      </w:r>
      <w:r>
        <w:rPr>
          <w:rFonts w:hint="default" w:ascii="Times New Roman" w:hAnsi="Times New Roman" w:cs="Times New Roman"/>
          <w:color w:val="auto"/>
          <w:sz w:val="24"/>
          <w:szCs w:val="24"/>
          <w:highlight w:val="none"/>
          <w:u w:val="single"/>
          <w:lang w:val="zh-CN"/>
        </w:rPr>
        <w:t>（项目名称）</w:t>
      </w:r>
      <w:r>
        <w:rPr>
          <w:rFonts w:hint="default" w:ascii="Times New Roman" w:hAnsi="Times New Roman" w:cs="Times New Roman"/>
          <w:color w:val="auto"/>
          <w:sz w:val="24"/>
          <w:szCs w:val="24"/>
          <w:highlight w:val="none"/>
          <w:lang w:val="zh-CN"/>
        </w:rPr>
        <w:t>报价、谈判、签约、履约等具体工作，并签署全部有关的文件、协议及合同。</w:t>
      </w:r>
    </w:p>
    <w:p>
      <w:pPr>
        <w:autoSpaceDE w:val="0"/>
        <w:autoSpaceDN w:val="0"/>
        <w:adjustRightInd w:val="0"/>
        <w:spacing w:line="360" w:lineRule="auto"/>
        <w:ind w:firstLine="480" w:firstLineChars="200"/>
        <w:jc w:val="both"/>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我公司对被授权人的签名负全部责任。</w:t>
      </w:r>
    </w:p>
    <w:p>
      <w:pPr>
        <w:autoSpaceDE w:val="0"/>
        <w:autoSpaceDN w:val="0"/>
        <w:adjustRightInd w:val="0"/>
        <w:spacing w:line="360" w:lineRule="auto"/>
        <w:ind w:firstLine="480" w:firstLineChars="200"/>
        <w:jc w:val="both"/>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本授权书于年月日签字生效，被授权人签署的所有文件不因授权的撤销而失效。</w:t>
      </w:r>
    </w:p>
    <w:p>
      <w:pPr>
        <w:autoSpaceDE w:val="0"/>
        <w:autoSpaceDN w:val="0"/>
        <w:adjustRightInd w:val="0"/>
        <w:spacing w:line="360" w:lineRule="auto"/>
        <w:ind w:firstLine="480" w:firstLineChars="200"/>
        <w:rPr>
          <w:rFonts w:hint="default" w:ascii="Times New Roman" w:hAnsi="Times New Roman" w:cs="Times New Roman"/>
          <w:color w:val="auto"/>
          <w:sz w:val="24"/>
          <w:szCs w:val="24"/>
          <w:highlight w:val="none"/>
          <w:lang w:val="zh-CN"/>
        </w:rPr>
      </w:pPr>
    </w:p>
    <w:p>
      <w:pPr>
        <w:spacing w:line="360" w:lineRule="auto"/>
        <w:ind w:firstLine="484" w:firstLineChars="20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公司名称（公章）：</w:t>
      </w:r>
    </w:p>
    <w:p>
      <w:pPr>
        <w:autoSpaceDE w:val="0"/>
        <w:autoSpaceDN w:val="0"/>
        <w:adjustRightInd w:val="0"/>
        <w:spacing w:line="360" w:lineRule="auto"/>
        <w:ind w:firstLine="484" w:firstLineChars="202"/>
        <w:rPr>
          <w:rFonts w:hint="default" w:ascii="Times New Roman" w:hAnsi="Times New Roman" w:cs="Times New Roman"/>
          <w:color w:val="auto"/>
          <w:sz w:val="24"/>
          <w:szCs w:val="24"/>
          <w:highlight w:val="none"/>
          <w:u w:val="single"/>
          <w:lang w:val="zh-CN"/>
        </w:rPr>
      </w:pPr>
      <w:r>
        <w:rPr>
          <w:rFonts w:hint="default" w:ascii="Times New Roman" w:hAnsi="Times New Roman" w:cs="Times New Roman"/>
          <w:color w:val="auto"/>
          <w:sz w:val="24"/>
          <w:szCs w:val="24"/>
          <w:highlight w:val="none"/>
          <w:lang w:val="zh-CN"/>
        </w:rPr>
        <w:t>授权人（签字</w:t>
      </w:r>
      <w:r>
        <w:rPr>
          <w:rFonts w:hint="default" w:ascii="Times New Roman" w:hAnsi="Times New Roman" w:cs="Times New Roman"/>
          <w:color w:val="auto"/>
          <w:sz w:val="24"/>
          <w:szCs w:val="24"/>
          <w:highlight w:val="none"/>
        </w:rPr>
        <w:t>或印鉴</w:t>
      </w:r>
      <w:r>
        <w:rPr>
          <w:rFonts w:hint="default" w:ascii="Times New Roman" w:hAnsi="Times New Roman" w:cs="Times New Roman"/>
          <w:color w:val="auto"/>
          <w:sz w:val="24"/>
          <w:szCs w:val="24"/>
          <w:highlight w:val="none"/>
          <w:lang w:val="zh-CN"/>
        </w:rPr>
        <w:t>）：</w:t>
      </w:r>
    </w:p>
    <w:p>
      <w:pPr>
        <w:spacing w:line="360" w:lineRule="auto"/>
        <w:ind w:firstLine="484" w:firstLineChars="202"/>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授权代表</w:t>
      </w:r>
      <w:r>
        <w:rPr>
          <w:rFonts w:hint="default" w:ascii="Times New Roman" w:hAnsi="Times New Roman" w:cs="Times New Roman"/>
          <w:color w:val="auto"/>
          <w:sz w:val="24"/>
          <w:szCs w:val="24"/>
          <w:highlight w:val="none"/>
          <w:lang w:val="zh-CN"/>
        </w:rPr>
        <w:t>（签字</w:t>
      </w:r>
      <w:r>
        <w:rPr>
          <w:rFonts w:hint="default" w:ascii="Times New Roman" w:hAnsi="Times New Roman" w:cs="Times New Roman"/>
          <w:color w:val="auto"/>
          <w:sz w:val="24"/>
          <w:szCs w:val="24"/>
          <w:highlight w:val="none"/>
        </w:rPr>
        <w:t>或印鉴</w:t>
      </w:r>
      <w:r>
        <w:rPr>
          <w:rFonts w:hint="default" w:ascii="Times New Roman" w:hAnsi="Times New Roman" w:cs="Times New Roman"/>
          <w:color w:val="auto"/>
          <w:sz w:val="24"/>
          <w:szCs w:val="24"/>
          <w:highlight w:val="none"/>
          <w:lang w:val="zh-CN"/>
        </w:rPr>
        <w:t>）：</w:t>
      </w:r>
    </w:p>
    <w:p>
      <w:pPr>
        <w:spacing w:line="360" w:lineRule="auto"/>
        <w:ind w:firstLine="484" w:firstLineChars="20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日    期：    年    月    日</w:t>
      </w:r>
    </w:p>
    <w:p>
      <w:pPr>
        <w:tabs>
          <w:tab w:val="left" w:pos="720"/>
          <w:tab w:val="left" w:pos="900"/>
        </w:tabs>
        <w:autoSpaceDE w:val="0"/>
        <w:autoSpaceDN w:val="0"/>
        <w:adjustRightInd w:val="0"/>
        <w:spacing w:line="360" w:lineRule="auto"/>
        <w:rPr>
          <w:rFonts w:hint="default" w:ascii="Times New Roman" w:hAnsi="Times New Roman" w:cs="Times New Roman"/>
          <w:color w:val="auto"/>
          <w:sz w:val="24"/>
          <w:szCs w:val="24"/>
          <w:highlight w:val="none"/>
          <w:lang w:val="zh-CN"/>
        </w:rPr>
      </w:pPr>
    </w:p>
    <w:p>
      <w:pPr>
        <w:tabs>
          <w:tab w:val="left" w:pos="720"/>
          <w:tab w:val="left" w:pos="900"/>
        </w:tabs>
        <w:autoSpaceDE w:val="0"/>
        <w:autoSpaceDN w:val="0"/>
        <w:adjustRightInd w:val="0"/>
        <w:spacing w:line="360" w:lineRule="auto"/>
        <w:ind w:firstLine="482" w:firstLineChars="200"/>
        <w:jc w:val="both"/>
        <w:rPr>
          <w:rFonts w:hint="default" w:ascii="Times New Roman" w:hAnsi="Times New Roman" w:eastAsia="宋体" w:cs="Times New Roman"/>
          <w:b/>
          <w:bCs/>
          <w:color w:val="auto"/>
          <w:sz w:val="24"/>
          <w:szCs w:val="24"/>
          <w:highlight w:val="none"/>
          <w:lang w:val="en-US" w:eastAsia="zh-CN"/>
        </w:rPr>
      </w:pPr>
      <w:bookmarkStart w:id="164" w:name="_Toc32416_WPSOffice_Level2"/>
      <w:r>
        <w:rPr>
          <w:rFonts w:hint="default" w:ascii="Times New Roman" w:hAnsi="Times New Roman" w:cs="Times New Roman"/>
          <w:b/>
          <w:bCs/>
          <w:color w:val="auto"/>
          <w:sz w:val="24"/>
          <w:szCs w:val="24"/>
          <w:highlight w:val="none"/>
          <w:lang w:val="zh-CN"/>
        </w:rPr>
        <w:t>附</w:t>
      </w:r>
      <w:r>
        <w:rPr>
          <w:rFonts w:hint="default" w:ascii="Times New Roman" w:hAnsi="Times New Roman" w:cs="Times New Roman"/>
          <w:b/>
          <w:bCs/>
          <w:color w:val="auto"/>
          <w:sz w:val="24"/>
          <w:szCs w:val="24"/>
          <w:highlight w:val="none"/>
        </w:rPr>
        <w:t>授权代表</w:t>
      </w:r>
      <w:r>
        <w:rPr>
          <w:rFonts w:hint="default" w:ascii="Times New Roman" w:hAnsi="Times New Roman" w:cs="Times New Roman"/>
          <w:b/>
          <w:bCs/>
          <w:color w:val="auto"/>
          <w:sz w:val="24"/>
          <w:szCs w:val="24"/>
          <w:highlight w:val="none"/>
          <w:lang w:val="zh-CN"/>
        </w:rPr>
        <w:t>姓名</w:t>
      </w:r>
      <w:r>
        <w:rPr>
          <w:rFonts w:hint="eastAsia" w:cs="Times New Roman"/>
          <w:b/>
          <w:bCs/>
          <w:color w:val="auto"/>
          <w:sz w:val="24"/>
          <w:szCs w:val="24"/>
          <w:highlight w:val="none"/>
          <w:lang w:val="zh-CN"/>
        </w:rPr>
        <w:t>、</w:t>
      </w:r>
      <w:r>
        <w:rPr>
          <w:rFonts w:hint="default" w:ascii="Times New Roman" w:hAnsi="Times New Roman" w:cs="Times New Roman"/>
          <w:b/>
          <w:bCs/>
          <w:color w:val="auto"/>
          <w:sz w:val="24"/>
          <w:szCs w:val="24"/>
          <w:highlight w:val="none"/>
          <w:lang w:val="zh-CN"/>
        </w:rPr>
        <w:t>身份证</w:t>
      </w:r>
      <w:bookmarkEnd w:id="164"/>
      <w:r>
        <w:rPr>
          <w:rFonts w:hint="default" w:ascii="Times New Roman" w:hAnsi="Times New Roman" w:cs="Times New Roman"/>
          <w:b/>
          <w:bCs/>
          <w:color w:val="auto"/>
          <w:sz w:val="24"/>
          <w:szCs w:val="24"/>
          <w:highlight w:val="none"/>
        </w:rPr>
        <w:t>复印件</w:t>
      </w:r>
      <w:r>
        <w:rPr>
          <w:rFonts w:hint="eastAsia" w:cs="Times New Roman"/>
          <w:b/>
          <w:bCs/>
          <w:color w:val="auto"/>
          <w:sz w:val="24"/>
          <w:szCs w:val="24"/>
          <w:highlight w:val="none"/>
          <w:lang w:eastAsia="zh-CN"/>
        </w:rPr>
        <w:t>、</w:t>
      </w:r>
      <w:r>
        <w:rPr>
          <w:rFonts w:hint="eastAsia" w:cs="Times New Roman"/>
          <w:b/>
          <w:bCs/>
          <w:color w:val="auto"/>
          <w:sz w:val="24"/>
          <w:szCs w:val="24"/>
          <w:highlight w:val="none"/>
          <w:lang w:val="en-US" w:eastAsia="zh-CN"/>
        </w:rPr>
        <w:t>联系方式</w:t>
      </w:r>
    </w:p>
    <w:p>
      <w:pPr>
        <w:tabs>
          <w:tab w:val="left" w:pos="720"/>
          <w:tab w:val="left" w:pos="900"/>
        </w:tabs>
        <w:autoSpaceDE w:val="0"/>
        <w:autoSpaceDN w:val="0"/>
        <w:adjustRightInd w:val="0"/>
        <w:spacing w:line="360" w:lineRule="auto"/>
        <w:ind w:firstLine="482" w:firstLineChars="200"/>
        <w:rPr>
          <w:rFonts w:ascii="宋体" w:cs="宋体"/>
          <w:b/>
          <w:bCs/>
          <w:color w:val="auto"/>
          <w:sz w:val="24"/>
          <w:szCs w:val="24"/>
          <w:highlight w:val="none"/>
          <w:lang w:val="zh-CN"/>
        </w:rPr>
      </w:pPr>
      <w:r>
        <w:rPr>
          <w:rFonts w:hint="eastAsia" w:ascii="宋体" w:cs="宋体"/>
          <w:b/>
          <w:bCs/>
          <w:color w:val="auto"/>
          <w:sz w:val="24"/>
          <w:szCs w:val="24"/>
          <w:highlight w:val="none"/>
          <w:lang w:val="zh-CN"/>
        </w:rPr>
        <w:t>附</w:t>
      </w:r>
      <w:r>
        <w:rPr>
          <w:rFonts w:hint="eastAsia" w:ascii="宋体" w:hAnsi="Times New Roman" w:cs="Times New Roman"/>
          <w:b/>
          <w:bCs/>
          <w:color w:val="auto"/>
          <w:kern w:val="0"/>
          <w:sz w:val="24"/>
          <w:szCs w:val="24"/>
          <w:highlight w:val="none"/>
        </w:rPr>
        <w:t>供</w:t>
      </w:r>
      <w:r>
        <w:rPr>
          <w:rFonts w:hint="eastAsia" w:ascii="宋体"/>
          <w:b/>
          <w:bCs/>
          <w:color w:val="auto"/>
          <w:kern w:val="0"/>
          <w:sz w:val="24"/>
          <w:szCs w:val="24"/>
          <w:highlight w:val="none"/>
        </w:rPr>
        <w:t>应商法人授权代表需提供本人在供应商单位近半年社保证明文</w:t>
      </w:r>
      <w:r>
        <w:rPr>
          <w:rFonts w:hint="eastAsia" w:hAnsi="宋体" w:cs="宋体"/>
          <w:b/>
          <w:bCs/>
          <w:color w:val="auto"/>
          <w:highlight w:val="none"/>
        </w:rPr>
        <w:t>件</w:t>
      </w:r>
    </w:p>
    <w:p>
      <w:pPr>
        <w:tabs>
          <w:tab w:val="left" w:pos="720"/>
          <w:tab w:val="left" w:pos="900"/>
        </w:tabs>
        <w:autoSpaceDE w:val="0"/>
        <w:autoSpaceDN w:val="0"/>
        <w:adjustRightInd w:val="0"/>
        <w:spacing w:line="360" w:lineRule="auto"/>
        <w:ind w:firstLine="480" w:firstLineChars="200"/>
        <w:rPr>
          <w:rFonts w:hint="default" w:ascii="Times New Roman" w:hAnsi="Times New Roman" w:cs="Times New Roman"/>
          <w:color w:val="auto"/>
          <w:sz w:val="24"/>
          <w:szCs w:val="24"/>
          <w:highlight w:val="none"/>
          <w:lang w:val="zh-CN"/>
        </w:rPr>
      </w:pPr>
    </w:p>
    <w:p>
      <w:pPr>
        <w:widowControl w:val="0"/>
        <w:tabs>
          <w:tab w:val="left" w:pos="360"/>
          <w:tab w:val="left" w:pos="720"/>
          <w:tab w:val="left" w:pos="3060"/>
        </w:tabs>
        <w:spacing w:line="400" w:lineRule="exact"/>
        <w:jc w:val="both"/>
        <w:rPr>
          <w:rFonts w:hint="default" w:ascii="Times New Roman" w:hAnsi="Times New Roman" w:cs="Times New Roman"/>
          <w:b/>
          <w:color w:val="auto"/>
          <w:kern w:val="2"/>
          <w:sz w:val="24"/>
          <w:szCs w:val="24"/>
          <w:highlight w:val="none"/>
        </w:rPr>
      </w:pPr>
      <w:r>
        <w:rPr>
          <w:rFonts w:hint="default" w:ascii="Times New Roman" w:hAnsi="Times New Roman" w:cs="Times New Roman"/>
          <w:b/>
          <w:color w:val="auto"/>
          <w:kern w:val="2"/>
          <w:sz w:val="24"/>
          <w:szCs w:val="24"/>
          <w:highlight w:val="none"/>
        </w:rPr>
        <w:br w:type="page"/>
      </w:r>
      <w:bookmarkStart w:id="165" w:name="_Toc382509467"/>
    </w:p>
    <w:bookmarkEnd w:id="165"/>
    <w:p>
      <w:pPr>
        <w:pStyle w:val="4"/>
        <w:rPr>
          <w:rFonts w:hint="default" w:ascii="Times New Roman" w:hAnsi="Times New Roman" w:cs="Times New Roman"/>
          <w:color w:val="auto"/>
          <w:sz w:val="24"/>
          <w:szCs w:val="24"/>
          <w:highlight w:val="none"/>
        </w:rPr>
      </w:pPr>
      <w:bookmarkStart w:id="166" w:name="_Toc512354294"/>
      <w:bookmarkStart w:id="167" w:name="_Toc484699856"/>
      <w:bookmarkStart w:id="168" w:name="_Toc382509469"/>
      <w:bookmarkStart w:id="169" w:name="_Toc10471"/>
      <w:bookmarkStart w:id="170" w:name="_Toc10184889"/>
      <w:bookmarkStart w:id="171" w:name="_Toc10122280"/>
      <w:r>
        <w:rPr>
          <w:rFonts w:hint="default" w:ascii="Times New Roman" w:hAnsi="Times New Roman" w:cs="Times New Roman"/>
          <w:color w:val="auto"/>
          <w:highlight w:val="none"/>
        </w:rPr>
        <w:t xml:space="preserve">格式七                           </w:t>
      </w:r>
      <w:bookmarkEnd w:id="166"/>
      <w:bookmarkEnd w:id="167"/>
      <w:bookmarkEnd w:id="168"/>
      <w:r>
        <w:rPr>
          <w:rFonts w:hint="default" w:ascii="Times New Roman" w:hAnsi="Times New Roman" w:cs="Times New Roman"/>
          <w:color w:val="auto"/>
          <w:highlight w:val="none"/>
        </w:rPr>
        <w:t>供应商资格证明文件</w:t>
      </w:r>
      <w:bookmarkEnd w:id="169"/>
      <w:bookmarkEnd w:id="170"/>
      <w:bookmarkEnd w:id="171"/>
    </w:p>
    <w:p>
      <w:pPr>
        <w:pStyle w:val="43"/>
        <w:spacing w:before="0" w:beforeAutospacing="0" w:after="0" w:afterAutospacing="0" w:line="480" w:lineRule="auto"/>
        <w:ind w:firstLine="480" w:firstLineChars="200"/>
        <w:rPr>
          <w:rFonts w:hint="default" w:ascii="Times New Roman" w:hAnsi="Times New Roman" w:cs="Times New Roman"/>
          <w:color w:val="auto"/>
          <w:highlight w:val="none"/>
        </w:rPr>
      </w:pPr>
      <w:bookmarkStart w:id="172" w:name="_Toc27559"/>
      <w:bookmarkStart w:id="173" w:name="_Toc484699860"/>
      <w:bookmarkStart w:id="174" w:name="_Toc10184890"/>
      <w:bookmarkStart w:id="175" w:name="_Toc10122281"/>
      <w:bookmarkStart w:id="176" w:name="_Toc512354298"/>
      <w:r>
        <w:rPr>
          <w:rFonts w:hint="default" w:ascii="Times New Roman" w:hAnsi="Times New Roman" w:cs="Times New Roman"/>
          <w:color w:val="auto"/>
          <w:highlight w:val="none"/>
        </w:rPr>
        <w:t>（1）报价人必须是合格的独立法人企业，且具有履行合同能力的增值税一般纳税人。</w:t>
      </w:r>
    </w:p>
    <w:p>
      <w:pPr>
        <w:pStyle w:val="43"/>
        <w:spacing w:before="0" w:beforeAutospacing="0" w:after="0" w:afterAutospacing="0" w:line="48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（2）报价人应具有良好的信誉，并具备履行合同所需的财务和技术能力，财务状况须提供近三年</w:t>
      </w:r>
      <w:r>
        <w:rPr>
          <w:rFonts w:hint="eastAsia" w:ascii="Times New Roman" w:cs="Times New Roman"/>
          <w:color w:val="auto"/>
          <w:highlight w:val="none"/>
          <w:lang w:eastAsia="zh-CN"/>
        </w:rPr>
        <w:t>（</w:t>
      </w:r>
      <w:r>
        <w:rPr>
          <w:rFonts w:hint="eastAsia" w:ascii="Times New Roman" w:cs="Times New Roman"/>
          <w:color w:val="auto"/>
          <w:highlight w:val="none"/>
          <w:lang w:val="en-US" w:eastAsia="zh-CN"/>
        </w:rPr>
        <w:t>2020-2022</w:t>
      </w:r>
      <w:r>
        <w:rPr>
          <w:rFonts w:hint="eastAsia" w:ascii="Times New Roman" w:cs="Times New Roman"/>
          <w:color w:val="auto"/>
          <w:highlight w:val="none"/>
          <w:lang w:eastAsia="zh-CN"/>
        </w:rPr>
        <w:t>）</w:t>
      </w:r>
      <w:r>
        <w:rPr>
          <w:rFonts w:hint="eastAsia" w:ascii="Times New Roman" w:cs="Times New Roman"/>
          <w:color w:val="auto"/>
          <w:highlight w:val="none"/>
          <w:lang w:val="en-US" w:eastAsia="zh-CN"/>
        </w:rPr>
        <w:t>或公司成来以来</w:t>
      </w:r>
      <w:r>
        <w:rPr>
          <w:rFonts w:hint="default" w:ascii="Times New Roman" w:hAnsi="Times New Roman" w:cs="Times New Roman"/>
          <w:color w:val="auto"/>
          <w:highlight w:val="none"/>
        </w:rPr>
        <w:t>的财务报表。</w:t>
      </w:r>
    </w:p>
    <w:p>
      <w:pPr>
        <w:pStyle w:val="43"/>
        <w:spacing w:before="0" w:beforeAutospacing="0" w:after="0" w:afterAutospacing="0" w:line="48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（3）供应商需具备建筑工程施工总承包二级及以上资质，并具备安全生产许可证。</w:t>
      </w:r>
    </w:p>
    <w:p>
      <w:pPr>
        <w:pStyle w:val="43"/>
        <w:spacing w:before="0" w:beforeAutospacing="0" w:after="0" w:afterAutospacing="0" w:line="480" w:lineRule="auto"/>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（4）报价人拟投入的项目经理须具备一级注册建造师执业资格，且在本项目合同期内不得兼职其他项目</w:t>
      </w:r>
      <w:r>
        <w:rPr>
          <w:rFonts w:hint="eastAsia" w:ascii="Times New Roman" w:cs="Times New Roman"/>
          <w:color w:val="auto"/>
          <w:highlight w:val="none"/>
          <w:lang w:eastAsia="zh-CN"/>
        </w:rPr>
        <w:t>，</w:t>
      </w:r>
      <w:r>
        <w:rPr>
          <w:rFonts w:hint="eastAsia" w:ascii="Times New Roman" w:cs="Times New Roman"/>
          <w:color w:val="auto"/>
          <w:highlight w:val="none"/>
          <w:lang w:val="en-US" w:eastAsia="zh-CN"/>
        </w:rPr>
        <w:t>项目经理需提供在供应商单位社保证明文件。</w:t>
      </w:r>
    </w:p>
    <w:p>
      <w:pPr>
        <w:pStyle w:val="43"/>
        <w:spacing w:before="0" w:beforeAutospacing="0" w:after="0" w:afterAutospacing="0" w:line="48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（5）报价人近五年内</w:t>
      </w:r>
      <w:r>
        <w:rPr>
          <w:rFonts w:hint="eastAsia" w:ascii="Times New Roman" w:cs="Times New Roman"/>
          <w:color w:val="auto"/>
          <w:highlight w:val="none"/>
          <w:lang w:eastAsia="zh-CN"/>
        </w:rPr>
        <w:t>（</w:t>
      </w:r>
      <w:r>
        <w:rPr>
          <w:rFonts w:hint="eastAsia" w:ascii="Times New Roman" w:cs="Times New Roman"/>
          <w:color w:val="auto"/>
          <w:highlight w:val="none"/>
          <w:lang w:val="en-US" w:eastAsia="zh-CN"/>
        </w:rPr>
        <w:t>2017-2022年</w:t>
      </w:r>
      <w:r>
        <w:rPr>
          <w:rFonts w:hint="eastAsia" w:ascii="Times New Roman" w:cs="Times New Roman"/>
          <w:color w:val="auto"/>
          <w:highlight w:val="none"/>
          <w:lang w:eastAsia="zh-CN"/>
        </w:rPr>
        <w:t>）</w:t>
      </w:r>
      <w:r>
        <w:rPr>
          <w:rFonts w:hint="default" w:ascii="Times New Roman" w:hAnsi="Times New Roman" w:cs="Times New Roman"/>
          <w:color w:val="auto"/>
          <w:highlight w:val="none"/>
        </w:rPr>
        <w:t>须具</w:t>
      </w:r>
      <w:r>
        <w:rPr>
          <w:rFonts w:hint="eastAsia" w:ascii="Times New Roman" w:cs="Times New Roman"/>
          <w:color w:val="auto"/>
          <w:highlight w:val="none"/>
          <w:lang w:val="en-US" w:eastAsia="zh-CN"/>
        </w:rPr>
        <w:t>相关类型</w:t>
      </w:r>
      <w:r>
        <w:rPr>
          <w:rFonts w:hint="default" w:ascii="Times New Roman" w:hAnsi="Times New Roman" w:cs="Times New Roman"/>
          <w:color w:val="auto"/>
          <w:highlight w:val="none"/>
        </w:rPr>
        <w:t>业绩。（需提供报价人单位的业绩合同</w:t>
      </w:r>
      <w:r>
        <w:rPr>
          <w:rFonts w:hint="eastAsia" w:ascii="Times New Roman" w:cs="Times New Roman"/>
          <w:color w:val="auto"/>
          <w:highlight w:val="none"/>
          <w:lang w:val="en-US" w:eastAsia="zh-CN"/>
        </w:rPr>
        <w:t>及相关</w:t>
      </w:r>
      <w:r>
        <w:rPr>
          <w:rFonts w:hint="default" w:ascii="Times New Roman" w:hAnsi="Times New Roman" w:cs="Times New Roman"/>
          <w:color w:val="auto"/>
          <w:highlight w:val="none"/>
        </w:rPr>
        <w:t>证明文件）</w:t>
      </w:r>
    </w:p>
    <w:p>
      <w:pPr>
        <w:pStyle w:val="43"/>
        <w:spacing w:before="0" w:beforeAutospacing="0" w:after="0" w:afterAutospacing="0" w:line="48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（6）报价人及报价人所报产品须具有满足本项目的国家强制许可资质。</w:t>
      </w:r>
    </w:p>
    <w:p>
      <w:pPr>
        <w:pStyle w:val="43"/>
        <w:spacing w:before="0" w:beforeAutospacing="0" w:after="0" w:afterAutospacing="0" w:line="480" w:lineRule="auto"/>
        <w:ind w:firstLine="480" w:firstLineChars="200"/>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（7）具有以下情形的不得参与本次采购活动： 在“信用中国”网站（www.creditchina.gov.cn）等渠道列入失信被执行人（需附截图）</w:t>
      </w:r>
      <w:r>
        <w:rPr>
          <w:rFonts w:hint="eastAsia" w:ascii="Times New Roman" w:cs="Times New Roman"/>
          <w:color w:val="auto"/>
          <w:highlight w:val="none"/>
          <w:lang w:eastAsia="zh-CN"/>
        </w:rPr>
        <w:t>。</w:t>
      </w:r>
    </w:p>
    <w:p>
      <w:pPr>
        <w:pStyle w:val="4"/>
        <w:rPr>
          <w:rFonts w:hint="default" w:ascii="Times New Roman" w:hAnsi="Times New Roman" w:cs="Times New Roman"/>
          <w:color w:val="auto"/>
          <w:highlight w:val="none"/>
        </w:rPr>
      </w:pPr>
      <w:r>
        <w:rPr>
          <w:rFonts w:hint="default" w:ascii="Times New Roman" w:hAnsi="Times New Roman" w:cs="Times New Roman"/>
          <w:color w:val="auto"/>
          <w:kern w:val="2"/>
          <w:sz w:val="24"/>
          <w:szCs w:val="24"/>
          <w:highlight w:val="none"/>
        </w:rPr>
        <w:br w:type="page"/>
      </w:r>
      <w:r>
        <w:rPr>
          <w:rFonts w:hint="default" w:ascii="Times New Roman" w:hAnsi="Times New Roman" w:cs="Times New Roman"/>
          <w:color w:val="auto"/>
          <w:highlight w:val="none"/>
        </w:rPr>
        <w:t>格式八                           供应商资料真实性承诺书</w:t>
      </w:r>
      <w:bookmarkEnd w:id="172"/>
      <w:bookmarkEnd w:id="173"/>
      <w:bookmarkEnd w:id="174"/>
      <w:bookmarkEnd w:id="175"/>
      <w:bookmarkEnd w:id="176"/>
    </w:p>
    <w:p>
      <w:pPr>
        <w:pStyle w:val="43"/>
        <w:shd w:val="clear" w:color="auto" w:fill="FFFFFF"/>
        <w:spacing w:before="0" w:beforeAutospacing="0" w:after="0" w:afterAutospacing="0" w:line="560" w:lineRule="exact"/>
        <w:textAlignment w:val="baseline"/>
        <w:rPr>
          <w:rFonts w:hint="default" w:ascii="Times New Roman" w:hAnsi="Times New Roman" w:cs="Times New Roman"/>
          <w:color w:val="auto"/>
          <w:highlight w:val="none"/>
        </w:rPr>
      </w:pPr>
    </w:p>
    <w:p>
      <w:pPr>
        <w:spacing w:line="360" w:lineRule="auto"/>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u w:val="single"/>
        </w:rPr>
        <w:t>（采购人全称）：</w:t>
      </w:r>
    </w:p>
    <w:p>
      <w:pPr>
        <w:pStyle w:val="43"/>
        <w:shd w:val="clear" w:color="auto" w:fill="FFFFFF"/>
        <w:spacing w:before="0" w:beforeAutospacing="0" w:after="0" w:afterAutospacing="0" w:line="560" w:lineRule="exact"/>
        <w:ind w:firstLine="480" w:firstLineChars="200"/>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我单位</w:t>
      </w:r>
      <w:r>
        <w:rPr>
          <w:rFonts w:hint="default" w:ascii="Times New Roman" w:hAnsi="Times New Roman" w:cs="Times New Roman"/>
          <w:color w:val="auto"/>
          <w:highlight w:val="none"/>
          <w:u w:val="single"/>
        </w:rPr>
        <w:t xml:space="preserve">   （单位全称）   </w:t>
      </w:r>
      <w:r>
        <w:rPr>
          <w:rFonts w:hint="default" w:ascii="Times New Roman" w:hAnsi="Times New Roman" w:cs="Times New Roman"/>
          <w:color w:val="auto"/>
          <w:highlight w:val="none"/>
        </w:rPr>
        <w:t>郑重承诺：</w:t>
      </w:r>
    </w:p>
    <w:p>
      <w:pPr>
        <w:pStyle w:val="43"/>
        <w:shd w:val="clear" w:color="auto" w:fill="FFFFFF"/>
        <w:spacing w:before="0" w:beforeAutospacing="0" w:after="0" w:afterAutospacing="0" w:line="560" w:lineRule="exact"/>
        <w:ind w:firstLine="480" w:firstLineChars="200"/>
        <w:jc w:val="both"/>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在项目采购中，提交的所有资料都是真实的、有效的。如有虚假、无效的资料，本单位愿意承担被取消报价、</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"http://www.lawtime.cn/info/zhaobiaotoubiao/zhongbiao/" </w:instrText>
      </w:r>
      <w:r>
        <w:rPr>
          <w:rFonts w:hint="default" w:ascii="Times New Roman" w:hAnsi="Times New Roman" w:cs="Times New Roman"/>
          <w:color w:val="auto"/>
          <w:highlight w:val="none"/>
        </w:rPr>
        <w:fldChar w:fldCharType="separate"/>
      </w:r>
      <w:r>
        <w:rPr>
          <w:rStyle w:val="57"/>
          <w:rFonts w:hint="default" w:ascii="Times New Roman" w:hAnsi="Times New Roman" w:cs="Times New Roman"/>
          <w:color w:val="auto"/>
          <w:highlight w:val="none"/>
        </w:rPr>
        <w:t>成交</w:t>
      </w:r>
      <w:r>
        <w:rPr>
          <w:rStyle w:val="57"/>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资格等一切</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"http://www.lawtime.cn/info/zhian/cfcxjueding/" </w:instrText>
      </w:r>
      <w:r>
        <w:rPr>
          <w:rFonts w:hint="default" w:ascii="Times New Roman" w:hAnsi="Times New Roman" w:cs="Times New Roman"/>
          <w:color w:val="auto"/>
          <w:highlight w:val="none"/>
        </w:rPr>
        <w:fldChar w:fldCharType="separate"/>
      </w:r>
      <w:r>
        <w:rPr>
          <w:rStyle w:val="57"/>
          <w:rFonts w:hint="default" w:ascii="Times New Roman" w:hAnsi="Times New Roman" w:cs="Times New Roman"/>
          <w:color w:val="auto"/>
          <w:highlight w:val="none"/>
        </w:rPr>
        <w:t>后果</w:t>
      </w:r>
      <w:r>
        <w:rPr>
          <w:rStyle w:val="57"/>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w:t>
      </w:r>
    </w:p>
    <w:p>
      <w:pPr>
        <w:pStyle w:val="43"/>
        <w:shd w:val="clear" w:color="auto" w:fill="FFFFFF"/>
        <w:spacing w:before="340" w:beforeAutospacing="0" w:after="340" w:afterAutospacing="0" w:line="380" w:lineRule="atLeast"/>
        <w:ind w:firstLine="4250" w:firstLineChars="1771"/>
        <w:textAlignment w:val="baseline"/>
        <w:rPr>
          <w:rFonts w:hint="default" w:ascii="Times New Roman" w:hAnsi="Times New Roman" w:cs="Times New Roman"/>
          <w:color w:val="auto"/>
          <w:highlight w:val="none"/>
        </w:rPr>
      </w:pPr>
    </w:p>
    <w:p>
      <w:pPr>
        <w:pStyle w:val="43"/>
        <w:shd w:val="clear" w:color="auto" w:fill="FFFFFF"/>
        <w:spacing w:before="340" w:beforeAutospacing="0" w:after="340" w:afterAutospacing="0" w:line="380" w:lineRule="atLeast"/>
        <w:ind w:firstLine="4250" w:firstLineChars="1771"/>
        <w:textAlignment w:val="baseline"/>
        <w:rPr>
          <w:rFonts w:hint="default" w:ascii="Times New Roman" w:hAnsi="Times New Roman" w:cs="Times New Roman"/>
          <w:color w:val="auto"/>
          <w:highlight w:val="none"/>
        </w:rPr>
      </w:pPr>
    </w:p>
    <w:p>
      <w:pPr>
        <w:pStyle w:val="43"/>
        <w:shd w:val="clear" w:color="auto" w:fill="FFFFFF"/>
        <w:spacing w:before="340" w:beforeAutospacing="0" w:after="340" w:afterAutospacing="0" w:line="380" w:lineRule="atLeast"/>
        <w:ind w:firstLine="4250" w:firstLineChars="1771"/>
        <w:textAlignment w:val="baseline"/>
        <w:rPr>
          <w:rFonts w:hint="default" w:ascii="Times New Roman" w:hAnsi="Times New Roman" w:cs="Times New Roman"/>
          <w:color w:val="auto"/>
          <w:highlight w:val="none"/>
        </w:rPr>
      </w:pPr>
    </w:p>
    <w:p>
      <w:pPr>
        <w:pStyle w:val="43"/>
        <w:shd w:val="clear" w:color="auto" w:fill="FFFFFF"/>
        <w:spacing w:before="340" w:beforeAutospacing="0" w:after="340" w:afterAutospacing="0" w:line="380" w:lineRule="atLeast"/>
        <w:ind w:firstLine="3967" w:firstLineChars="1653"/>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供应商： (全称)(盖章)</w:t>
      </w:r>
    </w:p>
    <w:p>
      <w:pPr>
        <w:pStyle w:val="43"/>
        <w:shd w:val="clear" w:color="auto" w:fill="FFFFFF"/>
        <w:spacing w:before="240" w:beforeAutospacing="0" w:after="240" w:afterAutospacing="0" w:line="500" w:lineRule="atLeast"/>
        <w:ind w:firstLine="3967" w:firstLineChars="1653"/>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法定代表人或授权代表： (签字或</w:t>
      </w:r>
      <w:r>
        <w:rPr>
          <w:rFonts w:hint="default" w:ascii="Times New Roman" w:hAnsi="Times New Roman" w:cs="Times New Roman"/>
          <w:color w:val="auto"/>
          <w:szCs w:val="21"/>
          <w:highlight w:val="none"/>
        </w:rPr>
        <w:t>印鉴</w:t>
      </w:r>
      <w:r>
        <w:rPr>
          <w:rFonts w:hint="default" w:ascii="Times New Roman" w:hAnsi="Times New Roman" w:cs="Times New Roman"/>
          <w:color w:val="auto"/>
          <w:highlight w:val="none"/>
        </w:rPr>
        <w:t>)</w:t>
      </w:r>
    </w:p>
    <w:p>
      <w:pPr>
        <w:pStyle w:val="43"/>
        <w:shd w:val="clear" w:color="auto" w:fill="FFFFFF"/>
        <w:spacing w:before="340" w:beforeAutospacing="0" w:after="340" w:afterAutospacing="0" w:line="500" w:lineRule="atLeast"/>
        <w:ind w:firstLine="3967" w:firstLineChars="1653"/>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日 期：</w:t>
      </w:r>
      <w:r>
        <w:rPr>
          <w:rFonts w:hint="eastAsia" w:ascii="Times New Roman" w:cs="Times New Roman"/>
          <w:color w:val="auto"/>
          <w:highlight w:val="none"/>
          <w:lang w:val="en-US" w:eastAsia="zh-CN"/>
        </w:rPr>
        <w:t xml:space="preserve">      </w:t>
      </w:r>
      <w:r>
        <w:rPr>
          <w:rFonts w:hint="default" w:ascii="Times New Roman" w:hAnsi="Times New Roman" w:cs="Times New Roman"/>
          <w:color w:val="auto"/>
          <w:highlight w:val="none"/>
        </w:rPr>
        <w:t xml:space="preserve"> 年</w:t>
      </w:r>
      <w:r>
        <w:rPr>
          <w:rFonts w:hint="eastAsia" w:ascii="Times New Roman" w:cs="Times New Roman"/>
          <w:color w:val="auto"/>
          <w:highlight w:val="none"/>
          <w:lang w:val="en-US" w:eastAsia="zh-CN"/>
        </w:rPr>
        <w:t xml:space="preserve">    </w:t>
      </w:r>
      <w:r>
        <w:rPr>
          <w:rFonts w:hint="default" w:ascii="Times New Roman" w:hAnsi="Times New Roman" w:cs="Times New Roman"/>
          <w:color w:val="auto"/>
          <w:highlight w:val="none"/>
        </w:rPr>
        <w:t xml:space="preserve"> 月 </w:t>
      </w:r>
      <w:r>
        <w:rPr>
          <w:rFonts w:hint="eastAsia" w:ascii="Times New Roman" w:cs="Times New Roman"/>
          <w:color w:val="auto"/>
          <w:highlight w:val="none"/>
          <w:lang w:val="en-US" w:eastAsia="zh-CN"/>
        </w:rPr>
        <w:t xml:space="preserve">    </w:t>
      </w:r>
      <w:r>
        <w:rPr>
          <w:rFonts w:hint="default" w:ascii="Times New Roman" w:hAnsi="Times New Roman" w:cs="Times New Roman"/>
          <w:color w:val="auto"/>
          <w:highlight w:val="none"/>
        </w:rPr>
        <w:t>日</w:t>
      </w:r>
    </w:p>
    <w:p>
      <w:pPr>
        <w:widowControl w:val="0"/>
        <w:spacing w:line="400" w:lineRule="exact"/>
        <w:ind w:left="306"/>
        <w:jc w:val="both"/>
        <w:rPr>
          <w:rFonts w:hint="default" w:ascii="Times New Roman" w:hAnsi="Times New Roman" w:cs="Times New Roman"/>
          <w:b/>
          <w:color w:val="auto"/>
          <w:sz w:val="24"/>
          <w:szCs w:val="24"/>
          <w:highlight w:val="none"/>
        </w:rPr>
      </w:pPr>
      <w:r>
        <w:rPr>
          <w:rFonts w:hint="default" w:ascii="Times New Roman" w:hAnsi="Times New Roman" w:cs="Times New Roman"/>
          <w:color w:val="auto"/>
          <w:highlight w:val="none"/>
        </w:rPr>
        <w:br w:type="page"/>
      </w:r>
    </w:p>
    <w:p>
      <w:pPr>
        <w:widowControl w:val="0"/>
        <w:tabs>
          <w:tab w:val="left" w:pos="360"/>
          <w:tab w:val="left" w:pos="720"/>
          <w:tab w:val="left" w:pos="3060"/>
        </w:tabs>
        <w:spacing w:line="400" w:lineRule="exact"/>
        <w:outlineLvl w:val="1"/>
        <w:rPr>
          <w:rFonts w:hint="default" w:ascii="Times New Roman" w:hAnsi="Times New Roman" w:cs="Times New Roman"/>
          <w:b/>
          <w:color w:val="auto"/>
          <w:kern w:val="2"/>
          <w:sz w:val="28"/>
          <w:szCs w:val="28"/>
          <w:highlight w:val="none"/>
        </w:rPr>
      </w:pPr>
      <w:bookmarkStart w:id="177" w:name="_Toc10122283"/>
      <w:bookmarkStart w:id="178" w:name="_Toc10184892"/>
      <w:bookmarkStart w:id="179" w:name="_Toc512354297"/>
      <w:bookmarkStart w:id="180" w:name="_Toc484699859"/>
      <w:bookmarkStart w:id="181" w:name="_Toc21204"/>
      <w:bookmarkStart w:id="182" w:name="_Toc382509472"/>
      <w:r>
        <w:rPr>
          <w:rStyle w:val="65"/>
          <w:rFonts w:hint="default" w:ascii="Times New Roman" w:hAnsi="Times New Roman" w:cs="Times New Roman"/>
          <w:color w:val="auto"/>
          <w:highlight w:val="none"/>
        </w:rPr>
        <w:t>格式九                           技术部分/商务部分差异表</w:t>
      </w:r>
      <w:bookmarkEnd w:id="177"/>
      <w:bookmarkEnd w:id="178"/>
      <w:bookmarkEnd w:id="179"/>
      <w:bookmarkEnd w:id="180"/>
      <w:bookmarkEnd w:id="181"/>
      <w:bookmarkEnd w:id="182"/>
    </w:p>
    <w:p>
      <w:pPr>
        <w:spacing w:line="300" w:lineRule="auto"/>
        <w:rPr>
          <w:rFonts w:hint="default" w:ascii="Times New Roman" w:hAnsi="Times New Roman" w:cs="Times New Roman"/>
          <w:b/>
          <w:color w:val="auto"/>
          <w:sz w:val="24"/>
          <w:szCs w:val="24"/>
          <w:highlight w:val="none"/>
        </w:rPr>
      </w:pPr>
    </w:p>
    <w:p>
      <w:pPr>
        <w:spacing w:line="300" w:lineRule="auto"/>
        <w:rPr>
          <w:rFonts w:hint="default" w:ascii="Times New Roman" w:hAnsi="Times New Roman" w:cs="Times New Roman"/>
          <w:b/>
          <w:color w:val="auto"/>
          <w:sz w:val="24"/>
          <w:szCs w:val="24"/>
          <w:highlight w:val="none"/>
        </w:rPr>
      </w:pPr>
    </w:p>
    <w:p>
      <w:pPr>
        <w:spacing w:line="300" w:lineRule="auto"/>
        <w:rPr>
          <w:rFonts w:hint="default" w:ascii="Times New Roman" w:hAnsi="Times New Roman" w:cs="Times New Roman"/>
          <w:b/>
          <w:color w:val="auto"/>
          <w:sz w:val="24"/>
          <w:szCs w:val="24"/>
          <w:highlight w:val="none"/>
        </w:rPr>
      </w:pPr>
    </w:p>
    <w:tbl>
      <w:tblPr>
        <w:tblStyle w:val="49"/>
        <w:tblW w:w="8896"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84" w:type="dxa"/>
          <w:left w:w="84" w:type="dxa"/>
          <w:bottom w:w="84" w:type="dxa"/>
          <w:right w:w="84" w:type="dxa"/>
        </w:tblCellMar>
      </w:tblPr>
      <w:tblGrid>
        <w:gridCol w:w="630"/>
        <w:gridCol w:w="866"/>
        <w:gridCol w:w="2847"/>
        <w:gridCol w:w="1420"/>
        <w:gridCol w:w="313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84" w:type="dxa"/>
            <w:left w:w="84" w:type="dxa"/>
            <w:bottom w:w="84" w:type="dxa"/>
            <w:right w:w="84" w:type="dxa"/>
          </w:tblCellMar>
        </w:tblPrEx>
        <w:trPr>
          <w:cantSplit/>
          <w:trHeight w:val="146" w:hRule="atLeast"/>
          <w:jc w:val="center"/>
        </w:trPr>
        <w:tc>
          <w:tcPr>
            <w:tcW w:w="630" w:type="dxa"/>
            <w:vMerge w:val="restart"/>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序号</w:t>
            </w:r>
          </w:p>
        </w:tc>
        <w:tc>
          <w:tcPr>
            <w:tcW w:w="3713" w:type="dxa"/>
            <w:gridSpan w:val="2"/>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采购文件</w:t>
            </w:r>
          </w:p>
        </w:tc>
        <w:tc>
          <w:tcPr>
            <w:tcW w:w="4553" w:type="dxa"/>
            <w:gridSpan w:val="2"/>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响应文件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84" w:type="dxa"/>
            <w:left w:w="84" w:type="dxa"/>
            <w:bottom w:w="84" w:type="dxa"/>
            <w:right w:w="84" w:type="dxa"/>
          </w:tblCellMar>
        </w:tblPrEx>
        <w:trPr>
          <w:cantSplit/>
          <w:trHeight w:val="146" w:hRule="atLeast"/>
          <w:jc w:val="center"/>
        </w:trPr>
        <w:tc>
          <w:tcPr>
            <w:tcW w:w="630" w:type="dxa"/>
            <w:vMerge w:val="continue"/>
            <w:vAlign w:val="center"/>
          </w:tcPr>
          <w:p>
            <w:pPr>
              <w:rPr>
                <w:rFonts w:hint="default" w:ascii="Times New Roman" w:hAnsi="Times New Roman" w:cs="Times New Roman"/>
                <w:color w:val="auto"/>
                <w:highlight w:val="none"/>
              </w:rPr>
            </w:pPr>
          </w:p>
        </w:tc>
        <w:tc>
          <w:tcPr>
            <w:tcW w:w="866"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条目</w:t>
            </w:r>
          </w:p>
        </w:tc>
        <w:tc>
          <w:tcPr>
            <w:tcW w:w="2847"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简要内容</w:t>
            </w:r>
          </w:p>
        </w:tc>
        <w:tc>
          <w:tcPr>
            <w:tcW w:w="142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条目</w:t>
            </w:r>
          </w:p>
        </w:tc>
        <w:tc>
          <w:tcPr>
            <w:tcW w:w="3133"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简要内容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84" w:type="dxa"/>
            <w:left w:w="84" w:type="dxa"/>
            <w:bottom w:w="84" w:type="dxa"/>
            <w:right w:w="84" w:type="dxa"/>
          </w:tblCellMar>
        </w:tblPrEx>
        <w:trPr>
          <w:trHeight w:val="446" w:hRule="atLeast"/>
          <w:jc w:val="center"/>
        </w:trPr>
        <w:tc>
          <w:tcPr>
            <w:tcW w:w="630" w:type="dxa"/>
            <w:vAlign w:val="center"/>
          </w:tcPr>
          <w:p>
            <w:pPr>
              <w:rPr>
                <w:rFonts w:hint="default" w:ascii="Times New Roman" w:hAnsi="Times New Roman" w:cs="Times New Roman"/>
                <w:color w:val="auto"/>
                <w:szCs w:val="19"/>
                <w:highlight w:val="none"/>
              </w:rPr>
            </w:pPr>
          </w:p>
        </w:tc>
        <w:tc>
          <w:tcPr>
            <w:tcW w:w="866" w:type="dxa"/>
            <w:vAlign w:val="center"/>
          </w:tcPr>
          <w:p>
            <w:pPr>
              <w:rPr>
                <w:rFonts w:hint="default" w:ascii="Times New Roman" w:hAnsi="Times New Roman" w:cs="Times New Roman"/>
                <w:color w:val="auto"/>
                <w:szCs w:val="19"/>
                <w:highlight w:val="none"/>
              </w:rPr>
            </w:pPr>
          </w:p>
        </w:tc>
        <w:tc>
          <w:tcPr>
            <w:tcW w:w="2847" w:type="dxa"/>
            <w:vAlign w:val="center"/>
          </w:tcPr>
          <w:p>
            <w:pPr>
              <w:jc w:val="center"/>
              <w:rPr>
                <w:rFonts w:hint="default" w:ascii="Times New Roman" w:hAnsi="Times New Roman" w:cs="Times New Roman"/>
                <w:color w:val="auto"/>
                <w:sz w:val="24"/>
                <w:highlight w:val="none"/>
              </w:rPr>
            </w:pPr>
          </w:p>
        </w:tc>
        <w:tc>
          <w:tcPr>
            <w:tcW w:w="1420" w:type="dxa"/>
            <w:vAlign w:val="center"/>
          </w:tcPr>
          <w:p>
            <w:pPr>
              <w:jc w:val="center"/>
              <w:rPr>
                <w:rFonts w:hint="default" w:ascii="Times New Roman" w:hAnsi="Times New Roman" w:cs="Times New Roman"/>
                <w:color w:val="auto"/>
                <w:sz w:val="24"/>
                <w:highlight w:val="none"/>
              </w:rPr>
            </w:pPr>
          </w:p>
        </w:tc>
        <w:tc>
          <w:tcPr>
            <w:tcW w:w="3133" w:type="dxa"/>
            <w:vAlign w:val="center"/>
          </w:tcPr>
          <w:p>
            <w:pPr>
              <w:jc w:val="center"/>
              <w:rPr>
                <w:rFonts w:hint="default" w:ascii="Times New Roman" w:hAnsi="Times New Roman" w:cs="Times New Roman"/>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84" w:type="dxa"/>
            <w:left w:w="84" w:type="dxa"/>
            <w:bottom w:w="84" w:type="dxa"/>
            <w:right w:w="84" w:type="dxa"/>
          </w:tblCellMar>
        </w:tblPrEx>
        <w:trPr>
          <w:trHeight w:val="446" w:hRule="atLeast"/>
          <w:jc w:val="center"/>
        </w:trPr>
        <w:tc>
          <w:tcPr>
            <w:tcW w:w="630" w:type="dxa"/>
            <w:vAlign w:val="center"/>
          </w:tcPr>
          <w:p>
            <w:pPr>
              <w:rPr>
                <w:rFonts w:hint="default" w:ascii="Times New Roman" w:hAnsi="Times New Roman" w:cs="Times New Roman"/>
                <w:color w:val="auto"/>
                <w:szCs w:val="19"/>
                <w:highlight w:val="none"/>
              </w:rPr>
            </w:pPr>
          </w:p>
        </w:tc>
        <w:tc>
          <w:tcPr>
            <w:tcW w:w="866" w:type="dxa"/>
            <w:vAlign w:val="center"/>
          </w:tcPr>
          <w:p>
            <w:pPr>
              <w:rPr>
                <w:rFonts w:hint="default" w:ascii="Times New Roman" w:hAnsi="Times New Roman" w:cs="Times New Roman"/>
                <w:color w:val="auto"/>
                <w:szCs w:val="19"/>
                <w:highlight w:val="none"/>
              </w:rPr>
            </w:pPr>
          </w:p>
        </w:tc>
        <w:tc>
          <w:tcPr>
            <w:tcW w:w="2847" w:type="dxa"/>
            <w:vAlign w:val="center"/>
          </w:tcPr>
          <w:p>
            <w:pPr>
              <w:rPr>
                <w:rFonts w:hint="default" w:ascii="Times New Roman" w:hAnsi="Times New Roman" w:cs="Times New Roman"/>
                <w:color w:val="auto"/>
                <w:szCs w:val="19"/>
                <w:highlight w:val="none"/>
              </w:rPr>
            </w:pPr>
          </w:p>
        </w:tc>
        <w:tc>
          <w:tcPr>
            <w:tcW w:w="1420" w:type="dxa"/>
            <w:vAlign w:val="center"/>
          </w:tcPr>
          <w:p>
            <w:pPr>
              <w:rPr>
                <w:rFonts w:hint="default" w:ascii="Times New Roman" w:hAnsi="Times New Roman" w:cs="Times New Roman"/>
                <w:color w:val="auto"/>
                <w:szCs w:val="19"/>
                <w:highlight w:val="none"/>
              </w:rPr>
            </w:pPr>
          </w:p>
        </w:tc>
        <w:tc>
          <w:tcPr>
            <w:tcW w:w="3133" w:type="dxa"/>
            <w:vAlign w:val="center"/>
          </w:tcPr>
          <w:p>
            <w:pPr>
              <w:rPr>
                <w:rFonts w:hint="default" w:ascii="Times New Roman" w:hAnsi="Times New Roman" w:cs="Times New Roman"/>
                <w:color w:val="auto"/>
                <w:szCs w:val="19"/>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84" w:type="dxa"/>
            <w:left w:w="84" w:type="dxa"/>
            <w:bottom w:w="84" w:type="dxa"/>
            <w:right w:w="84" w:type="dxa"/>
          </w:tblCellMar>
        </w:tblPrEx>
        <w:trPr>
          <w:trHeight w:val="446" w:hRule="atLeast"/>
          <w:jc w:val="center"/>
        </w:trPr>
        <w:tc>
          <w:tcPr>
            <w:tcW w:w="630" w:type="dxa"/>
            <w:vAlign w:val="center"/>
          </w:tcPr>
          <w:p>
            <w:pPr>
              <w:rPr>
                <w:rFonts w:hint="default" w:ascii="Times New Roman" w:hAnsi="Times New Roman" w:cs="Times New Roman"/>
                <w:color w:val="auto"/>
                <w:szCs w:val="19"/>
                <w:highlight w:val="none"/>
              </w:rPr>
            </w:pPr>
          </w:p>
        </w:tc>
        <w:tc>
          <w:tcPr>
            <w:tcW w:w="866" w:type="dxa"/>
            <w:vAlign w:val="center"/>
          </w:tcPr>
          <w:p>
            <w:pPr>
              <w:rPr>
                <w:rFonts w:hint="default" w:ascii="Times New Roman" w:hAnsi="Times New Roman" w:cs="Times New Roman"/>
                <w:color w:val="auto"/>
                <w:szCs w:val="19"/>
                <w:highlight w:val="none"/>
              </w:rPr>
            </w:pPr>
          </w:p>
        </w:tc>
        <w:tc>
          <w:tcPr>
            <w:tcW w:w="2847" w:type="dxa"/>
            <w:vAlign w:val="center"/>
          </w:tcPr>
          <w:p>
            <w:pPr>
              <w:rPr>
                <w:rFonts w:hint="default" w:ascii="Times New Roman" w:hAnsi="Times New Roman" w:cs="Times New Roman"/>
                <w:color w:val="auto"/>
                <w:szCs w:val="19"/>
                <w:highlight w:val="none"/>
              </w:rPr>
            </w:pPr>
          </w:p>
        </w:tc>
        <w:tc>
          <w:tcPr>
            <w:tcW w:w="1420" w:type="dxa"/>
            <w:vAlign w:val="center"/>
          </w:tcPr>
          <w:p>
            <w:pPr>
              <w:rPr>
                <w:rFonts w:hint="default" w:ascii="Times New Roman" w:hAnsi="Times New Roman" w:cs="Times New Roman"/>
                <w:color w:val="auto"/>
                <w:szCs w:val="19"/>
                <w:highlight w:val="none"/>
              </w:rPr>
            </w:pPr>
          </w:p>
        </w:tc>
        <w:tc>
          <w:tcPr>
            <w:tcW w:w="3133" w:type="dxa"/>
            <w:vAlign w:val="center"/>
          </w:tcPr>
          <w:p>
            <w:pPr>
              <w:rPr>
                <w:rFonts w:hint="default" w:ascii="Times New Roman" w:hAnsi="Times New Roman" w:cs="Times New Roman"/>
                <w:color w:val="auto"/>
                <w:szCs w:val="19"/>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84" w:type="dxa"/>
            <w:left w:w="84" w:type="dxa"/>
            <w:bottom w:w="84" w:type="dxa"/>
            <w:right w:w="84" w:type="dxa"/>
          </w:tblCellMar>
        </w:tblPrEx>
        <w:trPr>
          <w:trHeight w:val="446" w:hRule="atLeast"/>
          <w:jc w:val="center"/>
        </w:trPr>
        <w:tc>
          <w:tcPr>
            <w:tcW w:w="630" w:type="dxa"/>
            <w:vAlign w:val="center"/>
          </w:tcPr>
          <w:p>
            <w:pPr>
              <w:rPr>
                <w:rFonts w:hint="default" w:ascii="Times New Roman" w:hAnsi="Times New Roman" w:cs="Times New Roman"/>
                <w:color w:val="auto"/>
                <w:szCs w:val="19"/>
                <w:highlight w:val="none"/>
              </w:rPr>
            </w:pPr>
          </w:p>
        </w:tc>
        <w:tc>
          <w:tcPr>
            <w:tcW w:w="866" w:type="dxa"/>
            <w:vAlign w:val="center"/>
          </w:tcPr>
          <w:p>
            <w:pPr>
              <w:rPr>
                <w:rFonts w:hint="default" w:ascii="Times New Roman" w:hAnsi="Times New Roman" w:cs="Times New Roman"/>
                <w:color w:val="auto"/>
                <w:szCs w:val="19"/>
                <w:highlight w:val="none"/>
              </w:rPr>
            </w:pPr>
          </w:p>
        </w:tc>
        <w:tc>
          <w:tcPr>
            <w:tcW w:w="2847" w:type="dxa"/>
            <w:vAlign w:val="center"/>
          </w:tcPr>
          <w:p>
            <w:pPr>
              <w:rPr>
                <w:rFonts w:hint="default" w:ascii="Times New Roman" w:hAnsi="Times New Roman" w:cs="Times New Roman"/>
                <w:color w:val="auto"/>
                <w:szCs w:val="19"/>
                <w:highlight w:val="none"/>
              </w:rPr>
            </w:pPr>
          </w:p>
        </w:tc>
        <w:tc>
          <w:tcPr>
            <w:tcW w:w="1420" w:type="dxa"/>
            <w:vAlign w:val="center"/>
          </w:tcPr>
          <w:p>
            <w:pPr>
              <w:rPr>
                <w:rFonts w:hint="default" w:ascii="Times New Roman" w:hAnsi="Times New Roman" w:cs="Times New Roman"/>
                <w:color w:val="auto"/>
                <w:szCs w:val="19"/>
                <w:highlight w:val="none"/>
              </w:rPr>
            </w:pPr>
          </w:p>
        </w:tc>
        <w:tc>
          <w:tcPr>
            <w:tcW w:w="3133" w:type="dxa"/>
            <w:vAlign w:val="center"/>
          </w:tcPr>
          <w:p>
            <w:pPr>
              <w:rPr>
                <w:rFonts w:hint="default" w:ascii="Times New Roman" w:hAnsi="Times New Roman" w:cs="Times New Roman"/>
                <w:color w:val="auto"/>
                <w:szCs w:val="19"/>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84" w:type="dxa"/>
            <w:left w:w="84" w:type="dxa"/>
            <w:bottom w:w="84" w:type="dxa"/>
            <w:right w:w="84" w:type="dxa"/>
          </w:tblCellMar>
        </w:tblPrEx>
        <w:trPr>
          <w:trHeight w:val="446" w:hRule="atLeast"/>
          <w:jc w:val="center"/>
        </w:trPr>
        <w:tc>
          <w:tcPr>
            <w:tcW w:w="630" w:type="dxa"/>
            <w:vAlign w:val="center"/>
          </w:tcPr>
          <w:p>
            <w:pPr>
              <w:rPr>
                <w:rFonts w:hint="default" w:ascii="Times New Roman" w:hAnsi="Times New Roman" w:cs="Times New Roman"/>
                <w:color w:val="auto"/>
                <w:szCs w:val="19"/>
                <w:highlight w:val="none"/>
              </w:rPr>
            </w:pPr>
          </w:p>
        </w:tc>
        <w:tc>
          <w:tcPr>
            <w:tcW w:w="866" w:type="dxa"/>
            <w:vAlign w:val="center"/>
          </w:tcPr>
          <w:p>
            <w:pPr>
              <w:rPr>
                <w:rFonts w:hint="default" w:ascii="Times New Roman" w:hAnsi="Times New Roman" w:cs="Times New Roman"/>
                <w:color w:val="auto"/>
                <w:szCs w:val="19"/>
                <w:highlight w:val="none"/>
              </w:rPr>
            </w:pPr>
          </w:p>
        </w:tc>
        <w:tc>
          <w:tcPr>
            <w:tcW w:w="2847" w:type="dxa"/>
            <w:vAlign w:val="center"/>
          </w:tcPr>
          <w:p>
            <w:pPr>
              <w:rPr>
                <w:rFonts w:hint="default" w:ascii="Times New Roman" w:hAnsi="Times New Roman" w:cs="Times New Roman"/>
                <w:color w:val="auto"/>
                <w:szCs w:val="19"/>
                <w:highlight w:val="none"/>
              </w:rPr>
            </w:pPr>
          </w:p>
        </w:tc>
        <w:tc>
          <w:tcPr>
            <w:tcW w:w="1420" w:type="dxa"/>
            <w:vAlign w:val="center"/>
          </w:tcPr>
          <w:p>
            <w:pPr>
              <w:rPr>
                <w:rFonts w:hint="default" w:ascii="Times New Roman" w:hAnsi="Times New Roman" w:cs="Times New Roman"/>
                <w:color w:val="auto"/>
                <w:szCs w:val="19"/>
                <w:highlight w:val="none"/>
              </w:rPr>
            </w:pPr>
          </w:p>
        </w:tc>
        <w:tc>
          <w:tcPr>
            <w:tcW w:w="3133" w:type="dxa"/>
            <w:vAlign w:val="center"/>
          </w:tcPr>
          <w:p>
            <w:pPr>
              <w:rPr>
                <w:rFonts w:hint="default" w:ascii="Times New Roman" w:hAnsi="Times New Roman" w:cs="Times New Roman"/>
                <w:color w:val="auto"/>
                <w:szCs w:val="19"/>
                <w:highlight w:val="none"/>
              </w:rPr>
            </w:pPr>
          </w:p>
        </w:tc>
      </w:tr>
    </w:tbl>
    <w:p>
      <w:pPr>
        <w:spacing w:before="100" w:beforeAutospacing="1" w:after="100" w:afterAutospacing="1" w:line="360" w:lineRule="auto"/>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t xml:space="preserve">授权代表签字或印鉴：                      日期：   </w:t>
      </w:r>
      <w:r>
        <w:rPr>
          <w:rFonts w:hint="eastAsia" w:cs="Times New Roman"/>
          <w:color w:val="auto"/>
          <w:sz w:val="24"/>
          <w:szCs w:val="22"/>
          <w:highlight w:val="none"/>
          <w:lang w:eastAsia="zh-CN"/>
        </w:rPr>
        <w:t>2024</w:t>
      </w:r>
      <w:r>
        <w:rPr>
          <w:rFonts w:hint="default" w:ascii="Times New Roman" w:hAnsi="Times New Roman" w:cs="Times New Roman"/>
          <w:color w:val="auto"/>
          <w:sz w:val="24"/>
          <w:szCs w:val="22"/>
          <w:highlight w:val="none"/>
        </w:rPr>
        <w:t>年</w:t>
      </w:r>
      <w:r>
        <w:rPr>
          <w:rFonts w:hint="eastAsia" w:cs="Times New Roman"/>
          <w:color w:val="auto"/>
          <w:sz w:val="24"/>
          <w:szCs w:val="22"/>
          <w:highlight w:val="none"/>
          <w:lang w:val="en-US" w:eastAsia="zh-CN"/>
        </w:rPr>
        <w:t xml:space="preserve">  </w:t>
      </w:r>
      <w:r>
        <w:rPr>
          <w:rFonts w:hint="default" w:ascii="Times New Roman" w:hAnsi="Times New Roman" w:cs="Times New Roman"/>
          <w:color w:val="auto"/>
          <w:sz w:val="24"/>
          <w:szCs w:val="22"/>
          <w:highlight w:val="none"/>
        </w:rPr>
        <w:t xml:space="preserve">  月 </w:t>
      </w:r>
      <w:r>
        <w:rPr>
          <w:rFonts w:hint="eastAsia" w:cs="Times New Roman"/>
          <w:color w:val="auto"/>
          <w:sz w:val="24"/>
          <w:szCs w:val="22"/>
          <w:highlight w:val="none"/>
          <w:lang w:val="en-US" w:eastAsia="zh-CN"/>
        </w:rPr>
        <w:t xml:space="preserve">  </w:t>
      </w:r>
      <w:r>
        <w:rPr>
          <w:rFonts w:hint="default" w:ascii="Times New Roman" w:hAnsi="Times New Roman" w:cs="Times New Roman"/>
          <w:color w:val="auto"/>
          <w:sz w:val="24"/>
          <w:szCs w:val="22"/>
          <w:highlight w:val="none"/>
        </w:rPr>
        <w:t xml:space="preserve"> 日</w:t>
      </w:r>
    </w:p>
    <w:p>
      <w:pPr>
        <w:pStyle w:val="78"/>
        <w:ind w:firstLine="420" w:firstLineChars="0"/>
        <w:rPr>
          <w:rFonts w:hint="default" w:ascii="Times New Roman" w:hAnsi="Times New Roman" w:cs="Times New Roman"/>
          <w:b/>
          <w:color w:val="auto"/>
          <w:szCs w:val="21"/>
          <w:highlight w:val="none"/>
        </w:rPr>
      </w:pPr>
    </w:p>
    <w:p>
      <w:pPr>
        <w:pStyle w:val="78"/>
        <w:ind w:firstLine="420" w:firstLineChars="0"/>
        <w:rPr>
          <w:rFonts w:hint="default" w:ascii="Times New Roman" w:hAnsi="Times New Roman" w:cs="Times New Roman"/>
          <w:b/>
          <w:color w:val="auto"/>
          <w:sz w:val="28"/>
          <w:szCs w:val="28"/>
          <w:highlight w:val="none"/>
        </w:rPr>
      </w:pPr>
    </w:p>
    <w:p>
      <w:pPr>
        <w:pStyle w:val="45"/>
        <w:jc w:val="center"/>
        <w:outlineLvl w:val="9"/>
        <w:rPr>
          <w:rFonts w:hint="default" w:ascii="Times New Roman" w:hAnsi="Times New Roman" w:cs="Times New Roman"/>
          <w:color w:val="auto"/>
          <w:kern w:val="2"/>
          <w:highlight w:val="none"/>
        </w:rPr>
      </w:pPr>
    </w:p>
    <w:p>
      <w:pPr>
        <w:widowControl w:val="0"/>
        <w:tabs>
          <w:tab w:val="left" w:pos="360"/>
          <w:tab w:val="left" w:pos="720"/>
          <w:tab w:val="left" w:pos="3060"/>
        </w:tabs>
        <w:spacing w:line="400" w:lineRule="exact"/>
        <w:outlineLvl w:val="1"/>
        <w:rPr>
          <w:rFonts w:hint="default" w:ascii="Times New Roman" w:hAnsi="Times New Roman" w:cs="Times New Roman"/>
          <w:b/>
          <w:color w:val="auto"/>
          <w:kern w:val="2"/>
          <w:sz w:val="28"/>
          <w:szCs w:val="28"/>
          <w:highlight w:val="none"/>
        </w:rPr>
      </w:pPr>
      <w:r>
        <w:rPr>
          <w:rFonts w:hint="default" w:ascii="Times New Roman" w:hAnsi="Times New Roman" w:cs="Times New Roman"/>
          <w:b/>
          <w:color w:val="auto"/>
          <w:sz w:val="32"/>
          <w:szCs w:val="32"/>
          <w:highlight w:val="none"/>
        </w:rPr>
        <w:br w:type="page"/>
      </w:r>
      <w:bookmarkStart w:id="183" w:name="_Toc376793585"/>
      <w:bookmarkStart w:id="184" w:name="_Toc381027005"/>
      <w:bookmarkStart w:id="185" w:name="_Toc10122284"/>
      <w:bookmarkStart w:id="186" w:name="_Toc376793720"/>
      <w:bookmarkStart w:id="187" w:name="_Toc10184893"/>
      <w:bookmarkStart w:id="188" w:name="_Toc512354299"/>
      <w:bookmarkStart w:id="189" w:name="_Toc376793566"/>
      <w:bookmarkStart w:id="190" w:name="_Toc10461"/>
      <w:r>
        <w:rPr>
          <w:rStyle w:val="65"/>
          <w:rFonts w:hint="default" w:ascii="Times New Roman" w:hAnsi="Times New Roman" w:cs="Times New Roman"/>
          <w:color w:val="auto"/>
          <w:highlight w:val="none"/>
        </w:rPr>
        <w:t xml:space="preserve">格式十                       </w:t>
      </w:r>
      <w:r>
        <w:rPr>
          <w:rStyle w:val="65"/>
          <w:rFonts w:hint="eastAsia" w:cs="Times New Roman"/>
          <w:color w:val="auto"/>
          <w:highlight w:val="none"/>
          <w:lang w:val="en-US"/>
        </w:rPr>
        <w:t xml:space="preserve">    </w:t>
      </w:r>
      <w:r>
        <w:rPr>
          <w:rStyle w:val="65"/>
          <w:rFonts w:hint="default" w:ascii="Times New Roman" w:hAnsi="Times New Roman" w:cs="Times New Roman"/>
          <w:color w:val="auto"/>
          <w:highlight w:val="none"/>
        </w:rPr>
        <w:t>廉洁承诺书</w:t>
      </w:r>
      <w:bookmarkEnd w:id="183"/>
      <w:bookmarkEnd w:id="184"/>
      <w:bookmarkEnd w:id="185"/>
      <w:bookmarkEnd w:id="186"/>
      <w:bookmarkEnd w:id="187"/>
      <w:bookmarkEnd w:id="188"/>
      <w:bookmarkEnd w:id="189"/>
      <w:bookmarkEnd w:id="190"/>
    </w:p>
    <w:p>
      <w:pPr>
        <w:widowControl w:val="0"/>
        <w:tabs>
          <w:tab w:val="left" w:pos="1080"/>
          <w:tab w:val="left" w:pos="1980"/>
          <w:tab w:val="left" w:pos="2160"/>
          <w:tab w:val="left" w:pos="2340"/>
          <w:tab w:val="left" w:pos="2520"/>
          <w:tab w:val="left" w:pos="2700"/>
          <w:tab w:val="left" w:pos="3240"/>
        </w:tabs>
        <w:spacing w:line="400" w:lineRule="exact"/>
        <w:jc w:val="both"/>
        <w:rPr>
          <w:rFonts w:hint="default" w:ascii="Times New Roman" w:hAnsi="Times New Roman" w:cs="Times New Roman"/>
          <w:b/>
          <w:color w:val="auto"/>
          <w:kern w:val="2"/>
          <w:sz w:val="32"/>
          <w:szCs w:val="32"/>
          <w:highlight w:val="none"/>
        </w:rPr>
      </w:pP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为维护公平竞争的市场秩序，我方自愿在参与贵方组织的商业往来活动中，加强有关人员廉洁从业管理，恪守商业道德，从源头预防和遏制违法、违规、违纪行为发生，特作以下承诺：</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一、严格遵守国家有关法律法规，坚持诚实守信原则，恪守商业道德，规范商务人员廉洁从业行为。</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二、不伙同他人串标、围标或非法排挤竞争对手，不在商业活动中提供虚假资料，损害贵方合法权益。</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三、不为贵方工作人员提供回扣、礼金、有价证券、贵重物品和报销个人费用。</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四、不为贵方工作人员安排有可能影响公平、公正交易的宴请、健身、娱乐等活动。</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五、不为贵方工作人员投资入股、个人借款或买卖股票、债券等提供方便。</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六、不为贵方工作人员购买或装修住房、婚丧嫁娶、配偶子女上学或工作安排以及出国出境、旅游等提供方便。</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七、不违反规定为贵方工作人员在我方相关企业挂名兼职、合伙经营、介绍承揽业务等提供方便。</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八、不利用非法手段向贵方工作人员打探有关涉及贵方的商业秘密、业务渠道等。</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九、贵方对涉嫌不廉洁的商业行为进行调查时，我方有配合提供证据、作证的义务。</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十、未经贵方同意，我方不向任何新闻媒体、第三人述及有关贵方工作人员恪守商业道德方面的评价、信息。</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spacing w:line="400" w:lineRule="exact"/>
        <w:ind w:firstLine="480" w:firstLineChars="200"/>
        <w:rPr>
          <w:rFonts w:hint="default" w:ascii="Times New Roman" w:hAnsi="Times New Roman" w:cs="Times New Roman"/>
          <w:color w:val="auto"/>
          <w:sz w:val="24"/>
          <w:szCs w:val="24"/>
          <w:highlight w:val="none"/>
        </w:rPr>
      </w:pPr>
    </w:p>
    <w:p>
      <w:pPr>
        <w:spacing w:line="400" w:lineRule="exact"/>
        <w:ind w:firstLine="480" w:firstLineChars="200"/>
        <w:jc w:val="center"/>
        <w:rPr>
          <w:rFonts w:hint="default" w:ascii="Times New Roman" w:hAnsi="Times New Roman" w:cs="Times New Roman"/>
          <w:color w:val="auto"/>
          <w:sz w:val="24"/>
          <w:szCs w:val="24"/>
          <w:highlight w:val="none"/>
        </w:rPr>
      </w:pPr>
      <w:bookmarkStart w:id="191" w:name="_Toc1811_WPSOffice_Level2"/>
      <w:r>
        <w:rPr>
          <w:rFonts w:hint="default" w:ascii="Times New Roman" w:hAnsi="Times New Roman" w:cs="Times New Roman"/>
          <w:color w:val="auto"/>
          <w:sz w:val="24"/>
          <w:szCs w:val="24"/>
          <w:highlight w:val="none"/>
        </w:rPr>
        <w:t>承诺方：（盖章）</w:t>
      </w:r>
      <w:bookmarkEnd w:id="191"/>
    </w:p>
    <w:p>
      <w:pPr>
        <w:spacing w:line="400" w:lineRule="exact"/>
        <w:ind w:firstLine="480" w:firstLineChars="200"/>
        <w:jc w:val="center"/>
        <w:rPr>
          <w:rFonts w:hint="default" w:ascii="Times New Roman" w:hAnsi="Times New Roman" w:cs="Times New Roman"/>
          <w:color w:val="auto"/>
          <w:sz w:val="24"/>
          <w:szCs w:val="24"/>
          <w:highlight w:val="none"/>
        </w:rPr>
      </w:pPr>
      <w:bookmarkStart w:id="192" w:name="_Toc20412_WPSOffice_Level2"/>
      <w:r>
        <w:rPr>
          <w:rFonts w:hint="default" w:ascii="Times New Roman" w:hAnsi="Times New Roman" w:cs="Times New Roman"/>
          <w:color w:val="auto"/>
          <w:sz w:val="24"/>
          <w:szCs w:val="24"/>
          <w:highlight w:val="none"/>
        </w:rPr>
        <w:t>法定代表人：（签字）</w:t>
      </w:r>
      <w:bookmarkEnd w:id="192"/>
    </w:p>
    <w:p>
      <w:pPr>
        <w:spacing w:line="400" w:lineRule="exact"/>
        <w:ind w:firstLine="480" w:firstLineChars="200"/>
        <w:jc w:val="center"/>
        <w:rPr>
          <w:rFonts w:hint="default" w:ascii="Times New Roman" w:hAnsi="Times New Roman" w:cs="Times New Roman"/>
          <w:color w:val="auto"/>
          <w:sz w:val="24"/>
          <w:szCs w:val="24"/>
          <w:highlight w:val="none"/>
        </w:rPr>
      </w:pPr>
      <w:bookmarkStart w:id="193" w:name="_Toc1925_WPSOffice_Level2"/>
      <w:r>
        <w:rPr>
          <w:rFonts w:hint="default" w:ascii="Times New Roman" w:hAnsi="Times New Roman" w:cs="Times New Roman"/>
          <w:color w:val="auto"/>
          <w:sz w:val="24"/>
          <w:szCs w:val="24"/>
          <w:highlight w:val="none"/>
        </w:rPr>
        <w:t>日  期：</w:t>
      </w:r>
      <w:r>
        <w:rPr>
          <w:rFonts w:hint="eastAsia"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年</w:t>
      </w:r>
      <w:r>
        <w:rPr>
          <w:rFonts w:hint="eastAsia"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月</w:t>
      </w:r>
      <w:r>
        <w:rPr>
          <w:rFonts w:hint="eastAsia"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日</w:t>
      </w:r>
      <w:bookmarkEnd w:id="193"/>
    </w:p>
    <w:p>
      <w:pPr>
        <w:widowControl w:val="0"/>
        <w:spacing w:line="360" w:lineRule="auto"/>
        <w:ind w:right="480"/>
        <w:rPr>
          <w:rFonts w:hint="default" w:ascii="Times New Roman" w:hAnsi="Times New Roman" w:cs="Times New Roman"/>
          <w:b/>
          <w:bCs/>
          <w:color w:val="auto"/>
          <w:sz w:val="24"/>
          <w:szCs w:val="24"/>
          <w:highlight w:val="none"/>
        </w:rPr>
      </w:pPr>
      <w:r>
        <w:rPr>
          <w:rFonts w:hint="default" w:ascii="Times New Roman" w:hAnsi="Times New Roman" w:cs="Times New Roman"/>
          <w:bCs/>
          <w:color w:val="auto"/>
          <w:sz w:val="24"/>
          <w:szCs w:val="24"/>
          <w:highlight w:val="none"/>
        </w:rPr>
        <w:t>▲</w:t>
      </w:r>
      <w:r>
        <w:rPr>
          <w:rFonts w:hint="default" w:ascii="Times New Roman" w:hAnsi="Times New Roman" w:cs="Times New Roman"/>
          <w:b/>
          <w:bCs/>
          <w:color w:val="auto"/>
          <w:sz w:val="24"/>
          <w:szCs w:val="24"/>
          <w:highlight w:val="none"/>
        </w:rPr>
        <w:t>要求由法定代表人签字、加盖单位公章后，附在采购响应文件中。</w:t>
      </w:r>
    </w:p>
    <w:p>
      <w:pPr>
        <w:widowControl w:val="0"/>
        <w:tabs>
          <w:tab w:val="left" w:pos="360"/>
          <w:tab w:val="left" w:pos="720"/>
          <w:tab w:val="left" w:pos="3060"/>
        </w:tabs>
        <w:spacing w:line="400" w:lineRule="exact"/>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spacing w:line="400" w:lineRule="exact"/>
        <w:ind w:firstLine="562" w:firstLineChars="200"/>
        <w:jc w:val="center"/>
        <w:rPr>
          <w:rFonts w:hint="default" w:ascii="Times New Roman" w:hAnsi="Times New Roman" w:cs="Times New Roman"/>
          <w:color w:val="auto"/>
          <w:sz w:val="24"/>
          <w:szCs w:val="24"/>
          <w:highlight w:val="none"/>
        </w:rPr>
      </w:pPr>
      <w:bookmarkStart w:id="194" w:name="_Toc32743"/>
      <w:bookmarkStart w:id="195" w:name="_Toc10122285"/>
      <w:bookmarkStart w:id="196" w:name="_Toc10184894"/>
      <w:bookmarkStart w:id="197" w:name="_Toc32552"/>
      <w:bookmarkStart w:id="198" w:name="_Toc209"/>
      <w:bookmarkStart w:id="199" w:name="_Toc512354300"/>
      <w:r>
        <w:rPr>
          <w:rFonts w:hint="default" w:ascii="Times New Roman" w:hAnsi="Times New Roman" w:cs="Times New Roman"/>
          <w:b/>
          <w:color w:val="auto"/>
          <w:kern w:val="2"/>
          <w:sz w:val="28"/>
          <w:szCs w:val="28"/>
          <w:highlight w:val="none"/>
        </w:rPr>
        <w:t>供需双方廉洁互保协议</w:t>
      </w:r>
      <w:bookmarkEnd w:id="194"/>
      <w:bookmarkEnd w:id="195"/>
      <w:bookmarkEnd w:id="196"/>
      <w:bookmarkEnd w:id="197"/>
      <w:bookmarkEnd w:id="198"/>
      <w:bookmarkEnd w:id="199"/>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买方：（以下简称甲方）</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卖方：（以下简称乙方）</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为规范双方业务往来活动，建立诚实守信的商务合作关系，共同维护双方合法权益，防止违法违纪现象发生，经友好协商，双方就业务往来中的廉洁事宜达成此互保协议。</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第一条甲乙双方共同的权利和义务</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1.严格遵守国家有关法律法规，坚持诚实守信原则，恪守商业道德，规范商务人员廉洁从业行为。</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2.双方业务活动坚持公开、公正、诚信、透明的原则（商业秘密和合同文件另有规定的除外），不得损害国家和对方利益。</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3.发现对方工作人员在业务活动中有违反廉洁规定的行为，有及时要求对方纠正并向对方举报的权利和义务；涉嫌违法的，可以依法向有关部门举报。</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4.对涉嫌不廉洁的商业行为进行调查时，双方有相互配合、提供证据、作证的义务。</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5.未经对方同意，不向任何新闻媒体、第三人述及有关对方工作人员恪守商业道德方面的评价、信息。</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6.双方应依法保护举报人员，不得以任何方式对举报人员进行打击报复。</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第二条甲方的廉洁责任</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1.甲方工作人员不得以任何形式索要或接受乙方的礼金、礼品和有价证券，不得在乙方报销任何应由个人支付的各种费用。</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2.甲方工作人员不得私自参加乙方安排的宴请，不得私自接受乙方提供的通讯、交通工具和办公用品，不得向乙方泄露谈判中的商业秘密。</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3.甲方工作人员不得要求或者接受乙方以住房装修、婚丧嫁娶、家属及其他亲属的工作安排、出国出境、旅游等为理由所提供的方便。</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4.甲方工作人员不得以任何理由向乙方推荐物资供应单位、工程承包或劳务分包单位，合同另有约定除外。</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第三条乙方的廉洁责任</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1.乙方及其工作人员不得为甲方工作人员提供回扣、礼金、有价证券、贵重物品和报销个人费用。</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2.乙方及其工作人员不得为甲方工作人员安排有可能影响公平、公正交易的宴请、健身、娱乐等活动。</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3.乙方及其工作人员不得为甲方工作人员投资入股、个人借款或买卖股票、债券等提供方便。</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4.乙方及其工作人员不得为甲方工作人员购买或装修住房、婚丧嫁娶、配偶子女上学或工作安排以及出国出境、旅游等提供方便。</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5.乙方及其工作人员不得为甲方工作人员在其相关企业挂名兼职、合伙经营、介绍承揽业务等提供方便。</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6.乙方及其工作人员不得利用非法手段向甲方工作人员打探有关涉及甲方的商业秘密、业务渠道等。</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7.乙方及其工作人员与甲方发生业务往来过程中，不得有弄虚作假、以次充好、虚结虚算等违反诚信原则的行为。</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8.其它违反廉洁规定的行为。</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第四条甲方工作人员有违反本协议行为的，甲方应按照管理权限，依据有关规定给予纪律处分、组织处理或经济处罚；涉嫌犯罪的，移交司法机关追究法律责任。</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第五条乙方及其工作人员有违反本协议行为的，甲方有权根据情节和所造成的影响采取以下相应措施：</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1.情节轻微的，要求乙方对相关工作人员进行处分处理，并限期整改。</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2.导致甲方工作人员受到纪律处分、组织处理或构成违法犯罪的，扣罚乙方合同金额50%的违约金，列入永久禁入中煤市场黑名单。</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给甲方造成重大社会影响或重大经济损失的，甲方有权解除、终止双方尚未履行完毕的业务合同，暂停支付合同未结算款项，甲方遭受的损失由乙方负责赔偿，乙方因甲方解除合同产生的损失由乙方自行承担，列入永久禁入中煤市场黑名单。</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第六条本协议作为双方签订的所有业务合同的组成部分，与业务合同具有同等法律效力。</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第七条本协议自双方签字盖章之日起生效，有效期与合同履约期一致。</w:t>
      </w:r>
    </w:p>
    <w:p>
      <w:pPr>
        <w:spacing w:line="400" w:lineRule="exact"/>
        <w:ind w:firstLine="480" w:firstLineChars="200"/>
        <w:rPr>
          <w:rFonts w:hint="default" w:ascii="Times New Roman" w:hAnsi="Times New Roman" w:cs="Times New Roman"/>
          <w:color w:val="auto"/>
          <w:sz w:val="24"/>
          <w:szCs w:val="24"/>
          <w:highlight w:val="none"/>
        </w:rPr>
      </w:pP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甲方：（盖章）                         乙方：（盖章）</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法定代表人：（签字）                   法定代表人：（签字）</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授权代表：（签字）                     授权代表：（签字）</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地址：                                 地址：</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电话：                                 电话：</w:t>
      </w:r>
    </w:p>
    <w:p>
      <w:pPr>
        <w:spacing w:line="400" w:lineRule="exact"/>
        <w:ind w:firstLine="960" w:firstLineChars="4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年</w:t>
      </w:r>
      <w:r>
        <w:rPr>
          <w:rFonts w:hint="eastAsia"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月</w:t>
      </w:r>
      <w:r>
        <w:rPr>
          <w:rFonts w:hint="eastAsia"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日                                 年</w:t>
      </w:r>
      <w:r>
        <w:rPr>
          <w:rFonts w:hint="eastAsia"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月</w:t>
      </w:r>
      <w:r>
        <w:rPr>
          <w:rFonts w:hint="eastAsia"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日</w:t>
      </w: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widowControl w:val="0"/>
        <w:tabs>
          <w:tab w:val="left" w:pos="360"/>
          <w:tab w:val="left" w:pos="720"/>
          <w:tab w:val="left" w:pos="3060"/>
        </w:tabs>
        <w:spacing w:line="500" w:lineRule="exact"/>
        <w:ind w:left="600" w:leftChars="300" w:firstLine="300" w:firstLineChars="150"/>
        <w:rPr>
          <w:rFonts w:hint="default" w:ascii="Times New Roman" w:hAnsi="Times New Roman" w:cs="Times New Roman"/>
          <w:b/>
          <w:color w:val="auto"/>
          <w:kern w:val="2"/>
          <w:sz w:val="24"/>
          <w:szCs w:val="24"/>
          <w:highlight w:val="none"/>
        </w:rPr>
      </w:pPr>
      <w:r>
        <w:rPr>
          <w:rFonts w:hint="default" w:ascii="Times New Roman" w:hAnsi="Times New Roman" w:cs="Times New Roman"/>
          <w:color w:val="auto"/>
          <w:highlight w:val="none"/>
        </w:rPr>
        <w:br w:type="page"/>
      </w:r>
    </w:p>
    <w:p>
      <w:pPr>
        <w:pStyle w:val="21"/>
        <w:rPr>
          <w:rFonts w:hint="default" w:ascii="Times New Roman" w:hAnsi="Times New Roman" w:cs="Times New Roman"/>
          <w:color w:val="auto"/>
          <w:highlight w:val="none"/>
        </w:rPr>
      </w:pPr>
    </w:p>
    <w:p>
      <w:pPr>
        <w:pStyle w:val="4"/>
        <w:rPr>
          <w:rFonts w:hint="default" w:ascii="Times New Roman" w:hAnsi="Times New Roman" w:cs="Times New Roman"/>
          <w:color w:val="auto"/>
          <w:highlight w:val="none"/>
        </w:rPr>
      </w:pPr>
      <w:bookmarkStart w:id="200" w:name="_Toc10122287"/>
      <w:bookmarkStart w:id="201" w:name="_Toc10184896"/>
      <w:r>
        <w:rPr>
          <w:rFonts w:hint="default" w:ascii="Times New Roman" w:hAnsi="Times New Roman" w:cs="Times New Roman"/>
          <w:color w:val="auto"/>
          <w:highlight w:val="none"/>
        </w:rPr>
        <w:t>格式十</w:t>
      </w:r>
      <w:r>
        <w:rPr>
          <w:rFonts w:hint="eastAsia" w:ascii="Times New Roman" w:hAnsi="Times New Roman" w:cs="Times New Roman"/>
          <w:color w:val="auto"/>
          <w:highlight w:val="none"/>
          <w:lang w:val="en-US" w:eastAsia="zh-CN"/>
        </w:rPr>
        <w:t>一</w:t>
      </w:r>
      <w:r>
        <w:rPr>
          <w:rFonts w:hint="default" w:ascii="Times New Roman" w:hAnsi="Times New Roman" w:cs="Times New Roman"/>
          <w:color w:val="auto"/>
          <w:highlight w:val="none"/>
        </w:rPr>
        <w:t xml:space="preserve">                       其他证明材料</w:t>
      </w:r>
      <w:bookmarkEnd w:id="200"/>
      <w:bookmarkEnd w:id="201"/>
    </w:p>
    <w:p>
      <w:pPr>
        <w:widowControl w:val="0"/>
        <w:tabs>
          <w:tab w:val="left" w:pos="1080"/>
          <w:tab w:val="left" w:pos="1980"/>
          <w:tab w:val="left" w:pos="2160"/>
          <w:tab w:val="left" w:pos="2340"/>
          <w:tab w:val="left" w:pos="2520"/>
          <w:tab w:val="left" w:pos="2700"/>
          <w:tab w:val="left" w:pos="3240"/>
        </w:tabs>
        <w:spacing w:line="400" w:lineRule="exact"/>
        <w:jc w:val="both"/>
        <w:rPr>
          <w:rFonts w:hint="default" w:ascii="Times New Roman" w:hAnsi="Times New Roman" w:cs="Times New Roman"/>
          <w:b/>
          <w:color w:val="auto"/>
          <w:kern w:val="2"/>
          <w:sz w:val="28"/>
          <w:szCs w:val="28"/>
          <w:highlight w:val="none"/>
        </w:rPr>
      </w:pPr>
    </w:p>
    <w:p>
      <w:pPr>
        <w:pStyle w:val="24"/>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widowControl w:val="0"/>
        <w:spacing w:line="500" w:lineRule="exact"/>
        <w:jc w:val="both"/>
        <w:rPr>
          <w:rFonts w:hint="default" w:ascii="Times New Roman" w:hAnsi="Times New Roman" w:cs="Times New Roman"/>
          <w:b/>
          <w:bCs/>
          <w:color w:val="auto"/>
          <w:kern w:val="2"/>
          <w:sz w:val="32"/>
          <w:szCs w:val="32"/>
          <w:highlight w:val="none"/>
        </w:rPr>
      </w:pPr>
      <w:r>
        <w:rPr>
          <w:rFonts w:hint="default" w:ascii="Times New Roman" w:hAnsi="Times New Roman" w:cs="Times New Roman"/>
          <w:b/>
          <w:bCs/>
          <w:color w:val="auto"/>
          <w:kern w:val="2"/>
          <w:sz w:val="32"/>
          <w:szCs w:val="32"/>
          <w:highlight w:val="none"/>
        </w:rPr>
        <w:t>第二部分：采购响应文件技术部分</w:t>
      </w:r>
    </w:p>
    <w:p>
      <w:pPr>
        <w:widowControl w:val="0"/>
        <w:tabs>
          <w:tab w:val="left" w:pos="1080"/>
          <w:tab w:val="left" w:pos="1980"/>
          <w:tab w:val="left" w:pos="2160"/>
          <w:tab w:val="left" w:pos="2340"/>
          <w:tab w:val="left" w:pos="2520"/>
          <w:tab w:val="left" w:pos="2700"/>
          <w:tab w:val="left" w:pos="3240"/>
        </w:tabs>
        <w:spacing w:line="400" w:lineRule="exact"/>
        <w:jc w:val="both"/>
        <w:rPr>
          <w:rFonts w:hint="default" w:ascii="Times New Roman" w:hAnsi="Times New Roman" w:cs="Times New Roman"/>
          <w:b/>
          <w:color w:val="auto"/>
          <w:kern w:val="2"/>
          <w:sz w:val="28"/>
          <w:szCs w:val="28"/>
          <w:highlight w:val="none"/>
        </w:rPr>
      </w:pPr>
    </w:p>
    <w:sectPr>
      <w:headerReference r:id="rId11" w:type="default"/>
      <w:footerReference r:id="rId12" w:type="default"/>
      <w:pgSz w:w="11907" w:h="16840"/>
      <w:pgMar w:top="1418" w:right="1275" w:bottom="1418" w:left="1531" w:header="1021" w:footer="907" w:gutter="0"/>
      <w:pgBorders>
        <w:top w:val="none" w:sz="0" w:space="0"/>
        <w:left w:val="none" w:sz="0" w:space="0"/>
        <w:bottom w:val="none" w:sz="0" w:space="0"/>
        <w:right w:val="none" w:sz="0" w:space="0"/>
      </w:pgBorders>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方正大黑简体">
    <w:altName w:val="黑体"/>
    <w:panose1 w:val="00000000000000000000"/>
    <w:charset w:val="86"/>
    <w:family w:val="auto"/>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Plotter">
    <w:altName w:val="Courier New"/>
    <w:panose1 w:val="00000000000000000000"/>
    <w:charset w:val="00"/>
    <w:family w:val="modern"/>
    <w:pitch w:val="default"/>
    <w:sig w:usb0="00000000" w:usb1="00000000" w:usb2="00000000" w:usb3="00000000" w:csb0="00000001" w:csb1="00000000"/>
  </w:font>
  <w:font w:name="SimSun-ExtB">
    <w:panose1 w:val="02010609060101010101"/>
    <w:charset w:val="86"/>
    <w:family w:val="modern"/>
    <w:pitch w:val="default"/>
    <w:sig w:usb0="00000001" w:usb1="02000000" w:usb2="00000000"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150" cy="131445"/>
              <wp:effectExtent l="0" t="0" r="0" b="0"/>
              <wp:wrapNone/>
              <wp:docPr id="2" name="矩形 1"/>
              <wp:cNvGraphicFramePr/>
              <a:graphic xmlns:a="http://schemas.openxmlformats.org/drawingml/2006/main">
                <a:graphicData uri="http://schemas.microsoft.com/office/word/2010/wordprocessingShape">
                  <wps:wsp>
                    <wps:cNvSpPr/>
                    <wps:spPr>
                      <a:xfrm>
                        <a:off x="0" y="0"/>
                        <a:ext cx="57149" cy="131557"/>
                      </a:xfrm>
                      <a:prstGeom prst="rect">
                        <a:avLst/>
                      </a:prstGeom>
                      <a:noFill/>
                      <a:ln w="9525" cap="flat" cmpd="sng">
                        <a:noFill/>
                        <a:prstDash val="solid"/>
                        <a:miter/>
                      </a:ln>
                      <a:effectLst/>
                    </wps:spPr>
                    <wps:txbx>
                      <w:txbxContent>
                        <w:p>
                          <w:pPr>
                            <w:pStyle w:val="33"/>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1">
                      <a:spAutoFit/>
                    </wps:bodyPr>
                  </wps:wsp>
                </a:graphicData>
              </a:graphic>
            </wp:anchor>
          </w:drawing>
        </mc:Choice>
        <mc:Fallback>
          <w:pict>
            <v:rect id="矩形 1" o:spid="_x0000_s1026" o:spt="1" style="position:absolute;left:0pt;margin-top:0pt;height:10.35pt;width:4.5pt;mso-position-horizontal:center;mso-position-horizontal-relative:margin;mso-wrap-style:none;z-index:251660288;mso-width-relative:page;mso-height-relative:page;" filled="f" stroked="f" coordsize="21600,21600" o:gfxdata="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QNszjQAAAAAgEA&#10;AA8AAAAAAAAAAQAgAAAAIgAAAGRycy9kb3ducmV2LnhtbFBLAQIUABQAAAAIAIdO4kA4lbSF6QEA&#10;ALADAAAOAAAAAAAAAAEAIAAAAB8BAABkcnMvZTJvRG9jLnhtbFBLBQYAAAAABgAGAFkBAAB6BQAA&#10;AAA=&#10;">
              <v:fill on="f" focussize="0,0"/>
              <v:stroke on="f" joinstyle="miter"/>
              <v:imagedata o:title=""/>
              <o:lock v:ext="edit" aspectratio="f"/>
              <v:textbox inset="0mm,0mm,0mm,0mm" style="mso-fit-shape-to-text:t;">
                <w:txbxContent>
                  <w:p>
                    <w:pPr>
                      <w:pStyle w:val="33"/>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44</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Fonts w:hint="eastAsi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C46AC1"/>
    <w:multiLevelType w:val="singleLevel"/>
    <w:tmpl w:val="CBC46AC1"/>
    <w:lvl w:ilvl="0" w:tentative="0">
      <w:start w:val="1"/>
      <w:numFmt w:val="decimal"/>
      <w:pStyle w:val="28"/>
      <w:lvlText w:val="%1."/>
      <w:lvlJc w:val="left"/>
      <w:pPr>
        <w:tabs>
          <w:tab w:val="left" w:pos="2040"/>
        </w:tabs>
        <w:ind w:left="2040" w:hanging="360"/>
      </w:pPr>
    </w:lvl>
  </w:abstractNum>
  <w:abstractNum w:abstractNumId="1">
    <w:nsid w:val="00000011"/>
    <w:multiLevelType w:val="multilevel"/>
    <w:tmpl w:val="00000011"/>
    <w:lvl w:ilvl="0" w:tentative="0">
      <w:start w:val="1"/>
      <w:numFmt w:val="decimal"/>
      <w:pStyle w:val="6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27854E6"/>
    <w:multiLevelType w:val="multilevel"/>
    <w:tmpl w:val="027854E6"/>
    <w:lvl w:ilvl="0" w:tentative="0">
      <w:start w:val="1"/>
      <w:numFmt w:val="decimal"/>
      <w:lvlText w:val="%1."/>
      <w:lvlJc w:val="left"/>
      <w:pPr>
        <w:ind w:left="135" w:hanging="229"/>
      </w:pPr>
      <w:rPr>
        <w:rFonts w:hint="default" w:ascii="Times New Roman" w:hAnsi="Times New Roman" w:eastAsia="Times New Roman" w:cs="Times New Roman"/>
        <w:b w:val="0"/>
        <w:bCs w:val="0"/>
        <w:i w:val="0"/>
        <w:iCs w:val="0"/>
        <w:spacing w:val="17"/>
        <w:w w:val="100"/>
        <w:sz w:val="24"/>
        <w:szCs w:val="24"/>
        <w:lang w:val="en-US" w:eastAsia="zh-CN" w:bidi="ar-SA"/>
      </w:rPr>
    </w:lvl>
    <w:lvl w:ilvl="1" w:tentative="0">
      <w:start w:val="0"/>
      <w:numFmt w:val="bullet"/>
      <w:lvlText w:val="•"/>
      <w:lvlJc w:val="left"/>
      <w:pPr>
        <w:ind w:left="980" w:hanging="229"/>
      </w:pPr>
      <w:rPr>
        <w:rFonts w:hint="default"/>
        <w:lang w:val="en-US" w:eastAsia="zh-CN" w:bidi="ar-SA"/>
      </w:rPr>
    </w:lvl>
    <w:lvl w:ilvl="2" w:tentative="0">
      <w:start w:val="0"/>
      <w:numFmt w:val="bullet"/>
      <w:lvlText w:val="•"/>
      <w:lvlJc w:val="left"/>
      <w:pPr>
        <w:ind w:left="1821" w:hanging="229"/>
      </w:pPr>
      <w:rPr>
        <w:rFonts w:hint="default"/>
        <w:lang w:val="en-US" w:eastAsia="zh-CN" w:bidi="ar-SA"/>
      </w:rPr>
    </w:lvl>
    <w:lvl w:ilvl="3" w:tentative="0">
      <w:start w:val="0"/>
      <w:numFmt w:val="bullet"/>
      <w:lvlText w:val="•"/>
      <w:lvlJc w:val="left"/>
      <w:pPr>
        <w:ind w:left="2661" w:hanging="229"/>
      </w:pPr>
      <w:rPr>
        <w:rFonts w:hint="default"/>
        <w:lang w:val="en-US" w:eastAsia="zh-CN" w:bidi="ar-SA"/>
      </w:rPr>
    </w:lvl>
    <w:lvl w:ilvl="4" w:tentative="0">
      <w:start w:val="0"/>
      <w:numFmt w:val="bullet"/>
      <w:lvlText w:val="•"/>
      <w:lvlJc w:val="left"/>
      <w:pPr>
        <w:ind w:left="3502" w:hanging="229"/>
      </w:pPr>
      <w:rPr>
        <w:rFonts w:hint="default"/>
        <w:lang w:val="en-US" w:eastAsia="zh-CN" w:bidi="ar-SA"/>
      </w:rPr>
    </w:lvl>
    <w:lvl w:ilvl="5" w:tentative="0">
      <w:start w:val="0"/>
      <w:numFmt w:val="bullet"/>
      <w:lvlText w:val="•"/>
      <w:lvlJc w:val="left"/>
      <w:pPr>
        <w:ind w:left="4342" w:hanging="229"/>
      </w:pPr>
      <w:rPr>
        <w:rFonts w:hint="default"/>
        <w:lang w:val="en-US" w:eastAsia="zh-CN" w:bidi="ar-SA"/>
      </w:rPr>
    </w:lvl>
    <w:lvl w:ilvl="6" w:tentative="0">
      <w:start w:val="0"/>
      <w:numFmt w:val="bullet"/>
      <w:lvlText w:val="•"/>
      <w:lvlJc w:val="left"/>
      <w:pPr>
        <w:ind w:left="5183" w:hanging="229"/>
      </w:pPr>
      <w:rPr>
        <w:rFonts w:hint="default"/>
        <w:lang w:val="en-US" w:eastAsia="zh-CN" w:bidi="ar-SA"/>
      </w:rPr>
    </w:lvl>
    <w:lvl w:ilvl="7" w:tentative="0">
      <w:start w:val="0"/>
      <w:numFmt w:val="bullet"/>
      <w:lvlText w:val="•"/>
      <w:lvlJc w:val="left"/>
      <w:pPr>
        <w:ind w:left="6023" w:hanging="229"/>
      </w:pPr>
      <w:rPr>
        <w:rFonts w:hint="default"/>
        <w:lang w:val="en-US" w:eastAsia="zh-CN" w:bidi="ar-SA"/>
      </w:rPr>
    </w:lvl>
    <w:lvl w:ilvl="8" w:tentative="0">
      <w:start w:val="0"/>
      <w:numFmt w:val="bullet"/>
      <w:lvlText w:val="•"/>
      <w:lvlJc w:val="left"/>
      <w:pPr>
        <w:ind w:left="6864" w:hanging="229"/>
      </w:pPr>
      <w:rPr>
        <w:rFonts w:hint="default"/>
        <w:lang w:val="en-US" w:eastAsia="zh-CN" w:bidi="ar-SA"/>
      </w:rPr>
    </w:lvl>
  </w:abstractNum>
  <w:abstractNum w:abstractNumId="3">
    <w:nsid w:val="06E2B002"/>
    <w:multiLevelType w:val="singleLevel"/>
    <w:tmpl w:val="06E2B002"/>
    <w:lvl w:ilvl="0" w:tentative="0">
      <w:start w:val="5"/>
      <w:numFmt w:val="chineseCounting"/>
      <w:suff w:val="nothing"/>
      <w:lvlText w:val="%1、"/>
      <w:lvlJc w:val="left"/>
      <w:rPr>
        <w:rFonts w:hint="eastAsia"/>
      </w:rPr>
    </w:lvl>
  </w:abstractNum>
  <w:abstractNum w:abstractNumId="4">
    <w:nsid w:val="07BE3797"/>
    <w:multiLevelType w:val="multilevel"/>
    <w:tmpl w:val="07BE3797"/>
    <w:lvl w:ilvl="0" w:tentative="0">
      <w:start w:val="1"/>
      <w:numFmt w:val="decimal"/>
      <w:lvlText w:val="%1)"/>
      <w:lvlJc w:val="left"/>
      <w:pPr>
        <w:ind w:left="1555" w:hanging="420"/>
      </w:pPr>
    </w:lvl>
    <w:lvl w:ilvl="1" w:tentative="0">
      <w:start w:val="1"/>
      <w:numFmt w:val="lowerLetter"/>
      <w:lvlText w:val="%2)"/>
      <w:lvlJc w:val="left"/>
      <w:pPr>
        <w:ind w:left="1975" w:hanging="420"/>
      </w:pPr>
    </w:lvl>
    <w:lvl w:ilvl="2" w:tentative="0">
      <w:start w:val="1"/>
      <w:numFmt w:val="lowerRoman"/>
      <w:lvlText w:val="%3."/>
      <w:lvlJc w:val="right"/>
      <w:pPr>
        <w:ind w:left="2395" w:hanging="420"/>
      </w:pPr>
    </w:lvl>
    <w:lvl w:ilvl="3" w:tentative="0">
      <w:start w:val="1"/>
      <w:numFmt w:val="decimal"/>
      <w:lvlText w:val="%4."/>
      <w:lvlJc w:val="left"/>
      <w:pPr>
        <w:ind w:left="2815" w:hanging="420"/>
      </w:pPr>
    </w:lvl>
    <w:lvl w:ilvl="4" w:tentative="0">
      <w:start w:val="1"/>
      <w:numFmt w:val="lowerLetter"/>
      <w:lvlText w:val="%5)"/>
      <w:lvlJc w:val="left"/>
      <w:pPr>
        <w:ind w:left="3235" w:hanging="420"/>
      </w:pPr>
    </w:lvl>
    <w:lvl w:ilvl="5" w:tentative="0">
      <w:start w:val="1"/>
      <w:numFmt w:val="lowerRoman"/>
      <w:lvlText w:val="%6."/>
      <w:lvlJc w:val="right"/>
      <w:pPr>
        <w:ind w:left="3655" w:hanging="420"/>
      </w:pPr>
    </w:lvl>
    <w:lvl w:ilvl="6" w:tentative="0">
      <w:start w:val="1"/>
      <w:numFmt w:val="decimal"/>
      <w:lvlText w:val="%7."/>
      <w:lvlJc w:val="left"/>
      <w:pPr>
        <w:ind w:left="4075" w:hanging="420"/>
      </w:pPr>
    </w:lvl>
    <w:lvl w:ilvl="7" w:tentative="0">
      <w:start w:val="1"/>
      <w:numFmt w:val="lowerLetter"/>
      <w:lvlText w:val="%8)"/>
      <w:lvlJc w:val="left"/>
      <w:pPr>
        <w:ind w:left="4495" w:hanging="420"/>
      </w:pPr>
    </w:lvl>
    <w:lvl w:ilvl="8" w:tentative="0">
      <w:start w:val="1"/>
      <w:numFmt w:val="lowerRoman"/>
      <w:lvlText w:val="%9."/>
      <w:lvlJc w:val="right"/>
      <w:pPr>
        <w:ind w:left="4915" w:hanging="420"/>
      </w:pPr>
    </w:lvl>
  </w:abstractNum>
  <w:abstractNum w:abstractNumId="5">
    <w:nsid w:val="15C8EFC3"/>
    <w:multiLevelType w:val="singleLevel"/>
    <w:tmpl w:val="15C8EFC3"/>
    <w:lvl w:ilvl="0" w:tentative="0">
      <w:start w:val="1"/>
      <w:numFmt w:val="decimal"/>
      <w:suff w:val="nothing"/>
      <w:lvlText w:val="%1、"/>
      <w:lvlJc w:val="left"/>
    </w:lvl>
  </w:abstractNum>
  <w:abstractNum w:abstractNumId="6">
    <w:nsid w:val="2295587B"/>
    <w:multiLevelType w:val="multilevel"/>
    <w:tmpl w:val="2295587B"/>
    <w:lvl w:ilvl="0" w:tentative="0">
      <w:start w:val="1"/>
      <w:numFmt w:val="decimal"/>
      <w:lvlText w:val="%1"/>
      <w:lvlJc w:val="left"/>
      <w:pPr>
        <w:ind w:left="0" w:firstLine="0"/>
      </w:pPr>
    </w:lvl>
    <w:lvl w:ilvl="1" w:tentative="0">
      <w:start w:val="1"/>
      <w:numFmt w:val="decimal"/>
      <w:lvlText w:val="%2."/>
      <w:lvlJc w:val="left"/>
      <w:pPr>
        <w:ind w:left="0" w:firstLine="0"/>
      </w:pPr>
      <w:rPr>
        <w:b/>
      </w:rPr>
    </w:lvl>
    <w:lvl w:ilvl="2" w:tentative="0">
      <w:start w:val="1"/>
      <w:numFmt w:val="decimal"/>
      <w:pStyle w:val="173"/>
      <w:lvlText w:val="%2.%3"/>
      <w:lvlJc w:val="left"/>
      <w:pPr>
        <w:ind w:left="-426" w:firstLine="426"/>
      </w:pPr>
      <w:rPr>
        <w:rFonts w:hint="eastAsia" w:ascii="Times New Roman" w:hAnsi="Times New Roman" w:eastAsia="宋体"/>
        <w:b/>
        <w:i w:val="0"/>
        <w:sz w:val="24"/>
        <w:szCs w:val="24"/>
      </w:rPr>
    </w:lvl>
    <w:lvl w:ilvl="3" w:tentative="0">
      <w:start w:val="1"/>
      <w:numFmt w:val="decimal"/>
      <w:lvlText w:val="%2.%3.%4"/>
      <w:lvlJc w:val="left"/>
      <w:pPr>
        <w:ind w:left="210" w:firstLine="0"/>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7">
    <w:nsid w:val="2F608549"/>
    <w:multiLevelType w:val="singleLevel"/>
    <w:tmpl w:val="2F608549"/>
    <w:lvl w:ilvl="0" w:tentative="0">
      <w:start w:val="0"/>
      <w:numFmt w:val="decimal"/>
      <w:suff w:val="nothing"/>
      <w:lvlText w:val="%1．"/>
      <w:lvlJc w:val="left"/>
    </w:lvl>
  </w:abstractNum>
  <w:abstractNum w:abstractNumId="8">
    <w:nsid w:val="360B02E5"/>
    <w:multiLevelType w:val="multilevel"/>
    <w:tmpl w:val="360B02E5"/>
    <w:lvl w:ilvl="0" w:tentative="0">
      <w:start w:val="1"/>
      <w:numFmt w:val="decimal"/>
      <w:lvlText w:val="%1."/>
      <w:lvlJc w:val="left"/>
      <w:pPr>
        <w:ind w:left="130" w:hanging="225"/>
      </w:pPr>
      <w:rPr>
        <w:rFonts w:hint="default" w:ascii="Times New Roman" w:hAnsi="Times New Roman" w:eastAsia="Times New Roman" w:cs="Times New Roman"/>
        <w:b w:val="0"/>
        <w:bCs w:val="0"/>
        <w:i w:val="0"/>
        <w:iCs w:val="0"/>
        <w:w w:val="100"/>
        <w:sz w:val="26"/>
        <w:szCs w:val="26"/>
        <w:lang w:val="en-US" w:eastAsia="zh-CN" w:bidi="ar-SA"/>
      </w:rPr>
    </w:lvl>
    <w:lvl w:ilvl="1" w:tentative="0">
      <w:start w:val="0"/>
      <w:numFmt w:val="bullet"/>
      <w:lvlText w:val="•"/>
      <w:lvlJc w:val="left"/>
      <w:pPr>
        <w:ind w:left="980" w:hanging="225"/>
      </w:pPr>
      <w:rPr>
        <w:rFonts w:hint="default"/>
        <w:lang w:val="en-US" w:eastAsia="zh-CN" w:bidi="ar-SA"/>
      </w:rPr>
    </w:lvl>
    <w:lvl w:ilvl="2" w:tentative="0">
      <w:start w:val="0"/>
      <w:numFmt w:val="bullet"/>
      <w:lvlText w:val="•"/>
      <w:lvlJc w:val="left"/>
      <w:pPr>
        <w:ind w:left="1821" w:hanging="225"/>
      </w:pPr>
      <w:rPr>
        <w:rFonts w:hint="default"/>
        <w:lang w:val="en-US" w:eastAsia="zh-CN" w:bidi="ar-SA"/>
      </w:rPr>
    </w:lvl>
    <w:lvl w:ilvl="3" w:tentative="0">
      <w:start w:val="0"/>
      <w:numFmt w:val="bullet"/>
      <w:lvlText w:val="•"/>
      <w:lvlJc w:val="left"/>
      <w:pPr>
        <w:ind w:left="2661" w:hanging="225"/>
      </w:pPr>
      <w:rPr>
        <w:rFonts w:hint="default"/>
        <w:lang w:val="en-US" w:eastAsia="zh-CN" w:bidi="ar-SA"/>
      </w:rPr>
    </w:lvl>
    <w:lvl w:ilvl="4" w:tentative="0">
      <w:start w:val="0"/>
      <w:numFmt w:val="bullet"/>
      <w:lvlText w:val="•"/>
      <w:lvlJc w:val="left"/>
      <w:pPr>
        <w:ind w:left="3502" w:hanging="225"/>
      </w:pPr>
      <w:rPr>
        <w:rFonts w:hint="default"/>
        <w:lang w:val="en-US" w:eastAsia="zh-CN" w:bidi="ar-SA"/>
      </w:rPr>
    </w:lvl>
    <w:lvl w:ilvl="5" w:tentative="0">
      <w:start w:val="0"/>
      <w:numFmt w:val="bullet"/>
      <w:lvlText w:val="•"/>
      <w:lvlJc w:val="left"/>
      <w:pPr>
        <w:ind w:left="4342" w:hanging="225"/>
      </w:pPr>
      <w:rPr>
        <w:rFonts w:hint="default"/>
        <w:lang w:val="en-US" w:eastAsia="zh-CN" w:bidi="ar-SA"/>
      </w:rPr>
    </w:lvl>
    <w:lvl w:ilvl="6" w:tentative="0">
      <w:start w:val="0"/>
      <w:numFmt w:val="bullet"/>
      <w:lvlText w:val="•"/>
      <w:lvlJc w:val="left"/>
      <w:pPr>
        <w:ind w:left="5183" w:hanging="225"/>
      </w:pPr>
      <w:rPr>
        <w:rFonts w:hint="default"/>
        <w:lang w:val="en-US" w:eastAsia="zh-CN" w:bidi="ar-SA"/>
      </w:rPr>
    </w:lvl>
    <w:lvl w:ilvl="7" w:tentative="0">
      <w:start w:val="0"/>
      <w:numFmt w:val="bullet"/>
      <w:lvlText w:val="•"/>
      <w:lvlJc w:val="left"/>
      <w:pPr>
        <w:ind w:left="6023" w:hanging="225"/>
      </w:pPr>
      <w:rPr>
        <w:rFonts w:hint="default"/>
        <w:lang w:val="en-US" w:eastAsia="zh-CN" w:bidi="ar-SA"/>
      </w:rPr>
    </w:lvl>
    <w:lvl w:ilvl="8" w:tentative="0">
      <w:start w:val="0"/>
      <w:numFmt w:val="bullet"/>
      <w:lvlText w:val="•"/>
      <w:lvlJc w:val="left"/>
      <w:pPr>
        <w:ind w:left="6864" w:hanging="225"/>
      </w:pPr>
      <w:rPr>
        <w:rFonts w:hint="default"/>
        <w:lang w:val="en-US" w:eastAsia="zh-CN" w:bidi="ar-SA"/>
      </w:rPr>
    </w:lvl>
  </w:abstractNum>
  <w:abstractNum w:abstractNumId="9">
    <w:nsid w:val="372A067B"/>
    <w:multiLevelType w:val="multilevel"/>
    <w:tmpl w:val="372A067B"/>
    <w:lvl w:ilvl="0" w:tentative="0">
      <w:start w:val="1"/>
      <w:numFmt w:val="decimal"/>
      <w:lvlText w:val="%1)"/>
      <w:lvlJc w:val="left"/>
      <w:pPr>
        <w:ind w:left="1258" w:hanging="420"/>
      </w:pPr>
    </w:lvl>
    <w:lvl w:ilvl="1" w:tentative="0">
      <w:start w:val="1"/>
      <w:numFmt w:val="decimal"/>
      <w:lvlText w:val="（%2）"/>
      <w:lvlJc w:val="left"/>
      <w:pPr>
        <w:ind w:left="1978" w:hanging="720"/>
      </w:pPr>
      <w:rPr>
        <w:rFonts w:cs="Times New Roman"/>
      </w:rPr>
    </w:lvl>
    <w:lvl w:ilvl="2" w:tentative="0">
      <w:start w:val="1"/>
      <w:numFmt w:val="lowerRoman"/>
      <w:lvlText w:val="%3."/>
      <w:lvlJc w:val="right"/>
      <w:pPr>
        <w:ind w:left="2098" w:hanging="420"/>
      </w:pPr>
    </w:lvl>
    <w:lvl w:ilvl="3" w:tentative="0">
      <w:start w:val="1"/>
      <w:numFmt w:val="decimal"/>
      <w:lvlText w:val="%4."/>
      <w:lvlJc w:val="left"/>
      <w:pPr>
        <w:ind w:left="2518" w:hanging="420"/>
      </w:pPr>
    </w:lvl>
    <w:lvl w:ilvl="4" w:tentative="0">
      <w:start w:val="1"/>
      <w:numFmt w:val="lowerLetter"/>
      <w:lvlText w:val="%5)"/>
      <w:lvlJc w:val="left"/>
      <w:pPr>
        <w:ind w:left="2938" w:hanging="420"/>
      </w:pPr>
    </w:lvl>
    <w:lvl w:ilvl="5" w:tentative="0">
      <w:start w:val="1"/>
      <w:numFmt w:val="lowerRoman"/>
      <w:lvlText w:val="%6."/>
      <w:lvlJc w:val="right"/>
      <w:pPr>
        <w:ind w:left="3358" w:hanging="420"/>
      </w:pPr>
    </w:lvl>
    <w:lvl w:ilvl="6" w:tentative="0">
      <w:start w:val="1"/>
      <w:numFmt w:val="decimal"/>
      <w:lvlText w:val="%7."/>
      <w:lvlJc w:val="left"/>
      <w:pPr>
        <w:ind w:left="3778" w:hanging="420"/>
      </w:pPr>
    </w:lvl>
    <w:lvl w:ilvl="7" w:tentative="0">
      <w:start w:val="1"/>
      <w:numFmt w:val="lowerLetter"/>
      <w:lvlText w:val="%8)"/>
      <w:lvlJc w:val="left"/>
      <w:pPr>
        <w:ind w:left="4198" w:hanging="420"/>
      </w:pPr>
    </w:lvl>
    <w:lvl w:ilvl="8" w:tentative="0">
      <w:start w:val="1"/>
      <w:numFmt w:val="lowerRoman"/>
      <w:lvlText w:val="%9."/>
      <w:lvlJc w:val="right"/>
      <w:pPr>
        <w:ind w:left="4618" w:hanging="420"/>
      </w:pPr>
    </w:lvl>
  </w:abstractNum>
  <w:abstractNum w:abstractNumId="10">
    <w:nsid w:val="38682DF7"/>
    <w:multiLevelType w:val="multilevel"/>
    <w:tmpl w:val="38682DF7"/>
    <w:lvl w:ilvl="0" w:tentative="0">
      <w:start w:val="1"/>
      <w:numFmt w:val="decimal"/>
      <w:lvlText w:val="%1."/>
      <w:lvlJc w:val="left"/>
      <w:pPr>
        <w:ind w:left="140" w:hanging="200"/>
      </w:pPr>
      <w:rPr>
        <w:rFonts w:hint="default" w:ascii="Times New Roman" w:hAnsi="Times New Roman" w:eastAsia="Times New Roman" w:cs="Times New Roman"/>
        <w:b w:val="0"/>
        <w:bCs w:val="0"/>
        <w:i w:val="0"/>
        <w:iCs w:val="0"/>
        <w:w w:val="100"/>
        <w:sz w:val="24"/>
        <w:szCs w:val="24"/>
        <w:lang w:val="en-US" w:eastAsia="zh-CN" w:bidi="ar-SA"/>
      </w:rPr>
    </w:lvl>
    <w:lvl w:ilvl="1" w:tentative="0">
      <w:start w:val="0"/>
      <w:numFmt w:val="bullet"/>
      <w:lvlText w:val="•"/>
      <w:lvlJc w:val="left"/>
      <w:pPr>
        <w:ind w:left="980" w:hanging="200"/>
      </w:pPr>
      <w:rPr>
        <w:rFonts w:hint="default"/>
        <w:lang w:val="en-US" w:eastAsia="zh-CN" w:bidi="ar-SA"/>
      </w:rPr>
    </w:lvl>
    <w:lvl w:ilvl="2" w:tentative="0">
      <w:start w:val="0"/>
      <w:numFmt w:val="bullet"/>
      <w:lvlText w:val="•"/>
      <w:lvlJc w:val="left"/>
      <w:pPr>
        <w:ind w:left="1821" w:hanging="200"/>
      </w:pPr>
      <w:rPr>
        <w:rFonts w:hint="default"/>
        <w:lang w:val="en-US" w:eastAsia="zh-CN" w:bidi="ar-SA"/>
      </w:rPr>
    </w:lvl>
    <w:lvl w:ilvl="3" w:tentative="0">
      <w:start w:val="0"/>
      <w:numFmt w:val="bullet"/>
      <w:lvlText w:val="•"/>
      <w:lvlJc w:val="left"/>
      <w:pPr>
        <w:ind w:left="2661" w:hanging="200"/>
      </w:pPr>
      <w:rPr>
        <w:rFonts w:hint="default"/>
        <w:lang w:val="en-US" w:eastAsia="zh-CN" w:bidi="ar-SA"/>
      </w:rPr>
    </w:lvl>
    <w:lvl w:ilvl="4" w:tentative="0">
      <w:start w:val="0"/>
      <w:numFmt w:val="bullet"/>
      <w:lvlText w:val="•"/>
      <w:lvlJc w:val="left"/>
      <w:pPr>
        <w:ind w:left="3502" w:hanging="200"/>
      </w:pPr>
      <w:rPr>
        <w:rFonts w:hint="default"/>
        <w:lang w:val="en-US" w:eastAsia="zh-CN" w:bidi="ar-SA"/>
      </w:rPr>
    </w:lvl>
    <w:lvl w:ilvl="5" w:tentative="0">
      <w:start w:val="0"/>
      <w:numFmt w:val="bullet"/>
      <w:lvlText w:val="•"/>
      <w:lvlJc w:val="left"/>
      <w:pPr>
        <w:ind w:left="4342" w:hanging="200"/>
      </w:pPr>
      <w:rPr>
        <w:rFonts w:hint="default"/>
        <w:lang w:val="en-US" w:eastAsia="zh-CN" w:bidi="ar-SA"/>
      </w:rPr>
    </w:lvl>
    <w:lvl w:ilvl="6" w:tentative="0">
      <w:start w:val="0"/>
      <w:numFmt w:val="bullet"/>
      <w:lvlText w:val="•"/>
      <w:lvlJc w:val="left"/>
      <w:pPr>
        <w:ind w:left="5183" w:hanging="200"/>
      </w:pPr>
      <w:rPr>
        <w:rFonts w:hint="default"/>
        <w:lang w:val="en-US" w:eastAsia="zh-CN" w:bidi="ar-SA"/>
      </w:rPr>
    </w:lvl>
    <w:lvl w:ilvl="7" w:tentative="0">
      <w:start w:val="0"/>
      <w:numFmt w:val="bullet"/>
      <w:lvlText w:val="•"/>
      <w:lvlJc w:val="left"/>
      <w:pPr>
        <w:ind w:left="6023" w:hanging="200"/>
      </w:pPr>
      <w:rPr>
        <w:rFonts w:hint="default"/>
        <w:lang w:val="en-US" w:eastAsia="zh-CN" w:bidi="ar-SA"/>
      </w:rPr>
    </w:lvl>
    <w:lvl w:ilvl="8" w:tentative="0">
      <w:start w:val="0"/>
      <w:numFmt w:val="bullet"/>
      <w:lvlText w:val="•"/>
      <w:lvlJc w:val="left"/>
      <w:pPr>
        <w:ind w:left="6864" w:hanging="200"/>
      </w:pPr>
      <w:rPr>
        <w:rFonts w:hint="default"/>
        <w:lang w:val="en-US" w:eastAsia="zh-CN" w:bidi="ar-SA"/>
      </w:rPr>
    </w:lvl>
  </w:abstractNum>
  <w:abstractNum w:abstractNumId="11">
    <w:nsid w:val="3B465D2B"/>
    <w:multiLevelType w:val="singleLevel"/>
    <w:tmpl w:val="3B465D2B"/>
    <w:lvl w:ilvl="0" w:tentative="0">
      <w:start w:val="1"/>
      <w:numFmt w:val="chineseCounting"/>
      <w:suff w:val="nothing"/>
      <w:lvlText w:val="（%1）"/>
      <w:lvlJc w:val="left"/>
      <w:rPr>
        <w:rFonts w:hint="eastAsia"/>
      </w:rPr>
    </w:lvl>
  </w:abstractNum>
  <w:abstractNum w:abstractNumId="12">
    <w:nsid w:val="3DDB2E79"/>
    <w:multiLevelType w:val="multilevel"/>
    <w:tmpl w:val="3DDB2E79"/>
    <w:lvl w:ilvl="0" w:tentative="0">
      <w:start w:val="1"/>
      <w:numFmt w:val="japaneseCounting"/>
      <w:lvlText w:val="%1、"/>
      <w:lvlJc w:val="left"/>
      <w:pPr>
        <w:tabs>
          <w:tab w:val="left" w:pos="645"/>
        </w:tabs>
        <w:ind w:left="645" w:hanging="64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19064D5"/>
    <w:multiLevelType w:val="multilevel"/>
    <w:tmpl w:val="419064D5"/>
    <w:lvl w:ilvl="0" w:tentative="0">
      <w:start w:val="3"/>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7A54C7E"/>
    <w:multiLevelType w:val="multilevel"/>
    <w:tmpl w:val="47A54C7E"/>
    <w:lvl w:ilvl="0" w:tentative="0">
      <w:start w:val="1"/>
      <w:numFmt w:val="decimal"/>
      <w:lvlText w:val="%1)"/>
      <w:lvlJc w:val="left"/>
      <w:pPr>
        <w:ind w:left="420" w:hanging="420"/>
      </w:pPr>
    </w:lvl>
    <w:lvl w:ilvl="1" w:tentative="0">
      <w:start w:val="1"/>
      <w:numFmt w:val="decimal"/>
      <w:lvlText w:val="%2)"/>
      <w:lvlJc w:val="left"/>
      <w:pPr>
        <w:ind w:left="155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B496847"/>
    <w:multiLevelType w:val="multilevel"/>
    <w:tmpl w:val="4B496847"/>
    <w:lvl w:ilvl="0" w:tentative="0">
      <w:start w:val="1"/>
      <w:numFmt w:val="decimal"/>
      <w:lvlText w:val="%1."/>
      <w:lvlJc w:val="left"/>
      <w:pPr>
        <w:ind w:left="135" w:hanging="720"/>
      </w:pPr>
      <w:rPr>
        <w:rFonts w:hint="default" w:ascii="Times New Roman" w:hAnsi="Times New Roman" w:eastAsia="Times New Roman" w:cs="Times New Roman"/>
        <w:b w:val="0"/>
        <w:bCs w:val="0"/>
        <w:i w:val="0"/>
        <w:iCs w:val="0"/>
        <w:w w:val="100"/>
        <w:sz w:val="26"/>
        <w:szCs w:val="26"/>
        <w:lang w:val="en-US" w:eastAsia="zh-CN" w:bidi="ar-SA"/>
      </w:rPr>
    </w:lvl>
    <w:lvl w:ilvl="1" w:tentative="0">
      <w:start w:val="0"/>
      <w:numFmt w:val="bullet"/>
      <w:lvlText w:val="•"/>
      <w:lvlJc w:val="left"/>
      <w:pPr>
        <w:ind w:left="980" w:hanging="720"/>
      </w:pPr>
      <w:rPr>
        <w:rFonts w:hint="default"/>
        <w:lang w:val="en-US" w:eastAsia="zh-CN" w:bidi="ar-SA"/>
      </w:rPr>
    </w:lvl>
    <w:lvl w:ilvl="2" w:tentative="0">
      <w:start w:val="0"/>
      <w:numFmt w:val="bullet"/>
      <w:lvlText w:val="•"/>
      <w:lvlJc w:val="left"/>
      <w:pPr>
        <w:ind w:left="1821" w:hanging="720"/>
      </w:pPr>
      <w:rPr>
        <w:rFonts w:hint="default"/>
        <w:lang w:val="en-US" w:eastAsia="zh-CN" w:bidi="ar-SA"/>
      </w:rPr>
    </w:lvl>
    <w:lvl w:ilvl="3" w:tentative="0">
      <w:start w:val="0"/>
      <w:numFmt w:val="bullet"/>
      <w:lvlText w:val="•"/>
      <w:lvlJc w:val="left"/>
      <w:pPr>
        <w:ind w:left="2661" w:hanging="720"/>
      </w:pPr>
      <w:rPr>
        <w:rFonts w:hint="default"/>
        <w:lang w:val="en-US" w:eastAsia="zh-CN" w:bidi="ar-SA"/>
      </w:rPr>
    </w:lvl>
    <w:lvl w:ilvl="4" w:tentative="0">
      <w:start w:val="0"/>
      <w:numFmt w:val="bullet"/>
      <w:lvlText w:val="•"/>
      <w:lvlJc w:val="left"/>
      <w:pPr>
        <w:ind w:left="3502" w:hanging="720"/>
      </w:pPr>
      <w:rPr>
        <w:rFonts w:hint="default"/>
        <w:lang w:val="en-US" w:eastAsia="zh-CN" w:bidi="ar-SA"/>
      </w:rPr>
    </w:lvl>
    <w:lvl w:ilvl="5" w:tentative="0">
      <w:start w:val="0"/>
      <w:numFmt w:val="bullet"/>
      <w:lvlText w:val="•"/>
      <w:lvlJc w:val="left"/>
      <w:pPr>
        <w:ind w:left="4342" w:hanging="720"/>
      </w:pPr>
      <w:rPr>
        <w:rFonts w:hint="default"/>
        <w:lang w:val="en-US" w:eastAsia="zh-CN" w:bidi="ar-SA"/>
      </w:rPr>
    </w:lvl>
    <w:lvl w:ilvl="6" w:tentative="0">
      <w:start w:val="0"/>
      <w:numFmt w:val="bullet"/>
      <w:lvlText w:val="•"/>
      <w:lvlJc w:val="left"/>
      <w:pPr>
        <w:ind w:left="5183" w:hanging="720"/>
      </w:pPr>
      <w:rPr>
        <w:rFonts w:hint="default"/>
        <w:lang w:val="en-US" w:eastAsia="zh-CN" w:bidi="ar-SA"/>
      </w:rPr>
    </w:lvl>
    <w:lvl w:ilvl="7" w:tentative="0">
      <w:start w:val="0"/>
      <w:numFmt w:val="bullet"/>
      <w:lvlText w:val="•"/>
      <w:lvlJc w:val="left"/>
      <w:pPr>
        <w:ind w:left="6023" w:hanging="720"/>
      </w:pPr>
      <w:rPr>
        <w:rFonts w:hint="default"/>
        <w:lang w:val="en-US" w:eastAsia="zh-CN" w:bidi="ar-SA"/>
      </w:rPr>
    </w:lvl>
    <w:lvl w:ilvl="8" w:tentative="0">
      <w:start w:val="0"/>
      <w:numFmt w:val="bullet"/>
      <w:lvlText w:val="•"/>
      <w:lvlJc w:val="left"/>
      <w:pPr>
        <w:ind w:left="6864" w:hanging="720"/>
      </w:pPr>
      <w:rPr>
        <w:rFonts w:hint="default"/>
        <w:lang w:val="en-US" w:eastAsia="zh-CN" w:bidi="ar-SA"/>
      </w:rPr>
    </w:lvl>
  </w:abstractNum>
  <w:abstractNum w:abstractNumId="16">
    <w:nsid w:val="59276817"/>
    <w:multiLevelType w:val="multilevel"/>
    <w:tmpl w:val="59276817"/>
    <w:lvl w:ilvl="0" w:tentative="0">
      <w:start w:val="1"/>
      <w:numFmt w:val="decimal"/>
      <w:lvlText w:val="%1)"/>
      <w:lvlJc w:val="left"/>
      <w:pPr>
        <w:ind w:left="899" w:hanging="420"/>
      </w:pPr>
    </w:lvl>
    <w:lvl w:ilvl="1" w:tentative="0">
      <w:start w:val="1"/>
      <w:numFmt w:val="decimal"/>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abstractNum w:abstractNumId="17">
    <w:nsid w:val="774601A9"/>
    <w:multiLevelType w:val="multilevel"/>
    <w:tmpl w:val="774601A9"/>
    <w:lvl w:ilvl="0" w:tentative="0">
      <w:start w:val="1"/>
      <w:numFmt w:val="decimal"/>
      <w:suff w:val="space"/>
      <w:lvlText w:val="（%1）"/>
      <w:lvlJc w:val="left"/>
      <w:pPr>
        <w:ind w:left="0" w:firstLine="56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7A2424F"/>
    <w:multiLevelType w:val="multilevel"/>
    <w:tmpl w:val="77A2424F"/>
    <w:lvl w:ilvl="0" w:tentative="0">
      <w:start w:val="1"/>
      <w:numFmt w:val="decimal"/>
      <w:lvlText w:val="%1)"/>
      <w:lvlJc w:val="left"/>
      <w:pPr>
        <w:ind w:left="1258" w:hanging="420"/>
      </w:pPr>
    </w:lvl>
    <w:lvl w:ilvl="1" w:tentative="0">
      <w:start w:val="1"/>
      <w:numFmt w:val="decimal"/>
      <w:lvlText w:val="（%2）"/>
      <w:lvlJc w:val="left"/>
      <w:pPr>
        <w:ind w:left="1978" w:hanging="720"/>
      </w:pPr>
      <w:rPr>
        <w:rFonts w:cs="Times New Roman"/>
      </w:rPr>
    </w:lvl>
    <w:lvl w:ilvl="2" w:tentative="0">
      <w:start w:val="1"/>
      <w:numFmt w:val="lowerRoman"/>
      <w:lvlText w:val="%3."/>
      <w:lvlJc w:val="right"/>
      <w:pPr>
        <w:ind w:left="2098" w:hanging="420"/>
      </w:pPr>
    </w:lvl>
    <w:lvl w:ilvl="3" w:tentative="0">
      <w:start w:val="1"/>
      <w:numFmt w:val="decimal"/>
      <w:lvlText w:val="%4."/>
      <w:lvlJc w:val="left"/>
      <w:pPr>
        <w:ind w:left="2518" w:hanging="420"/>
      </w:pPr>
    </w:lvl>
    <w:lvl w:ilvl="4" w:tentative="0">
      <w:start w:val="1"/>
      <w:numFmt w:val="lowerLetter"/>
      <w:lvlText w:val="%5)"/>
      <w:lvlJc w:val="left"/>
      <w:pPr>
        <w:ind w:left="2938" w:hanging="420"/>
      </w:pPr>
    </w:lvl>
    <w:lvl w:ilvl="5" w:tentative="0">
      <w:start w:val="1"/>
      <w:numFmt w:val="lowerRoman"/>
      <w:lvlText w:val="%6."/>
      <w:lvlJc w:val="right"/>
      <w:pPr>
        <w:ind w:left="3358" w:hanging="420"/>
      </w:pPr>
    </w:lvl>
    <w:lvl w:ilvl="6" w:tentative="0">
      <w:start w:val="1"/>
      <w:numFmt w:val="decimal"/>
      <w:lvlText w:val="%7."/>
      <w:lvlJc w:val="left"/>
      <w:pPr>
        <w:ind w:left="3778" w:hanging="420"/>
      </w:pPr>
    </w:lvl>
    <w:lvl w:ilvl="7" w:tentative="0">
      <w:start w:val="1"/>
      <w:numFmt w:val="lowerLetter"/>
      <w:lvlText w:val="%8)"/>
      <w:lvlJc w:val="left"/>
      <w:pPr>
        <w:ind w:left="4198" w:hanging="420"/>
      </w:pPr>
    </w:lvl>
    <w:lvl w:ilvl="8" w:tentative="0">
      <w:start w:val="1"/>
      <w:numFmt w:val="lowerRoman"/>
      <w:lvlText w:val="%9."/>
      <w:lvlJc w:val="right"/>
      <w:pPr>
        <w:ind w:left="4618" w:hanging="420"/>
      </w:pPr>
    </w:lvl>
  </w:abstractNum>
  <w:num w:numId="1">
    <w:abstractNumId w:val="0"/>
  </w:num>
  <w:num w:numId="2">
    <w:abstractNumId w:val="1"/>
  </w:num>
  <w:num w:numId="3">
    <w:abstractNumId w:val="6"/>
  </w:num>
  <w:num w:numId="4">
    <w:abstractNumId w:val="5"/>
  </w:num>
  <w:num w:numId="5">
    <w:abstractNumId w:val="6"/>
    <w:lvlOverride w:ilvl="3">
      <w:startOverride w:val="1"/>
    </w:lvlOverride>
  </w:num>
  <w:num w:numId="6">
    <w:abstractNumId w:val="18"/>
    <w:lvlOverride w:ilvl="0">
      <w:startOverride w:val="1"/>
    </w:lvlOverride>
  </w:num>
  <w:num w:numId="7">
    <w:abstractNumId w:val="9"/>
    <w:lvlOverride w:ilvl="0">
      <w:startOverride w:val="1"/>
    </w:lvlOverride>
  </w:num>
  <w:num w:numId="8">
    <w:abstractNumId w:val="16"/>
    <w:lvlOverride w:ilvl="1">
      <w:startOverride w:val="1"/>
    </w:lvlOverride>
  </w:num>
  <w:num w:numId="9">
    <w:abstractNumId w:val="14"/>
    <w:lvlOverride w:ilvl="1">
      <w:startOverride w:val="1"/>
    </w:lvlOverride>
  </w:num>
  <w:num w:numId="10">
    <w:abstractNumId w:val="4"/>
    <w:lvlOverride w:ilvl="0">
      <w:startOverride w:val="1"/>
    </w:lvlOverride>
  </w:num>
  <w:num w:numId="11">
    <w:abstractNumId w:val="3"/>
  </w:num>
  <w:num w:numId="12">
    <w:abstractNumId w:val="17"/>
  </w:num>
  <w:num w:numId="13">
    <w:abstractNumId w:val="12"/>
  </w:num>
  <w:num w:numId="14">
    <w:abstractNumId w:val="13"/>
  </w:num>
  <w:num w:numId="15">
    <w:abstractNumId w:val="15"/>
  </w:num>
  <w:num w:numId="16">
    <w:abstractNumId w:val="2"/>
  </w:num>
  <w:num w:numId="17">
    <w:abstractNumId w:val="8"/>
  </w:num>
  <w:num w:numId="18">
    <w:abstractNumId w:val="10"/>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dit="readOnly" w:enforcement="0"/>
  <w:defaultTabStop w:val="720"/>
  <w:drawingGridHorizontalSpacing w:val="100"/>
  <w:drawingGridVerticalSpacing w:val="271"/>
  <w:displayHorizontalDrawingGridEvery w:val="1"/>
  <w:displayVerticalDrawingGridEvery w:val="1"/>
  <w:noPunctuationKerning w:val="1"/>
  <w:characterSpacingControl w:val="doNotCompress"/>
  <w:hdrShapeDefaults>
    <o:shapelayout v:ext="edit">
      <o:idmap v:ext="edit" data="1"/>
    </o:shapelayout>
  </w:hdrShapeDefaults>
  <w:compat>
    <w:spaceForUL/>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ZmRlMDg3Y2FkNjI4YWY3ODgwOTA0OTdiNmU2OGIifQ=="/>
  </w:docVars>
  <w:rsids>
    <w:rsidRoot w:val="000656C7"/>
    <w:rsid w:val="000656C7"/>
    <w:rsid w:val="00160112"/>
    <w:rsid w:val="00233771"/>
    <w:rsid w:val="004B3CF3"/>
    <w:rsid w:val="00691550"/>
    <w:rsid w:val="0069523E"/>
    <w:rsid w:val="008E2C42"/>
    <w:rsid w:val="008E3B92"/>
    <w:rsid w:val="009B4980"/>
    <w:rsid w:val="00AB4FF6"/>
    <w:rsid w:val="00AF1FD6"/>
    <w:rsid w:val="00BA5934"/>
    <w:rsid w:val="00BF27F5"/>
    <w:rsid w:val="00CC4458"/>
    <w:rsid w:val="00DA555A"/>
    <w:rsid w:val="00EF0805"/>
    <w:rsid w:val="00FB508C"/>
    <w:rsid w:val="017C1BBD"/>
    <w:rsid w:val="01977A7F"/>
    <w:rsid w:val="01AE6017"/>
    <w:rsid w:val="01B0306C"/>
    <w:rsid w:val="01B61386"/>
    <w:rsid w:val="01DF1E93"/>
    <w:rsid w:val="026A4322"/>
    <w:rsid w:val="028E67CC"/>
    <w:rsid w:val="034A2A19"/>
    <w:rsid w:val="03CA233E"/>
    <w:rsid w:val="03D90B54"/>
    <w:rsid w:val="03E3074B"/>
    <w:rsid w:val="04000899"/>
    <w:rsid w:val="04171EA0"/>
    <w:rsid w:val="04272560"/>
    <w:rsid w:val="042D61AA"/>
    <w:rsid w:val="04B25EF5"/>
    <w:rsid w:val="04C70C3A"/>
    <w:rsid w:val="04E23BDB"/>
    <w:rsid w:val="04F237A3"/>
    <w:rsid w:val="05316FBB"/>
    <w:rsid w:val="054B2952"/>
    <w:rsid w:val="05640CCC"/>
    <w:rsid w:val="05686138"/>
    <w:rsid w:val="05757284"/>
    <w:rsid w:val="05785AF3"/>
    <w:rsid w:val="057F3EE1"/>
    <w:rsid w:val="05B16B2D"/>
    <w:rsid w:val="05DD56C6"/>
    <w:rsid w:val="062C1F95"/>
    <w:rsid w:val="0677382A"/>
    <w:rsid w:val="06BB7366"/>
    <w:rsid w:val="06EF2A30"/>
    <w:rsid w:val="06FE35D3"/>
    <w:rsid w:val="072C2BD3"/>
    <w:rsid w:val="07593D1C"/>
    <w:rsid w:val="07B97F0F"/>
    <w:rsid w:val="07C53F72"/>
    <w:rsid w:val="07D42FBA"/>
    <w:rsid w:val="07EF52C3"/>
    <w:rsid w:val="080729D7"/>
    <w:rsid w:val="082F322E"/>
    <w:rsid w:val="08B4553A"/>
    <w:rsid w:val="08F20539"/>
    <w:rsid w:val="08F8188D"/>
    <w:rsid w:val="09375562"/>
    <w:rsid w:val="09432A65"/>
    <w:rsid w:val="09591EF4"/>
    <w:rsid w:val="09724954"/>
    <w:rsid w:val="099E3F20"/>
    <w:rsid w:val="0A3131ED"/>
    <w:rsid w:val="0A710837"/>
    <w:rsid w:val="0ACD7131"/>
    <w:rsid w:val="0AE34729"/>
    <w:rsid w:val="0AFC130C"/>
    <w:rsid w:val="0BF42085"/>
    <w:rsid w:val="0C1E4153"/>
    <w:rsid w:val="0C2242F5"/>
    <w:rsid w:val="0C3C082B"/>
    <w:rsid w:val="0C6D5657"/>
    <w:rsid w:val="0C774878"/>
    <w:rsid w:val="0C8F2A95"/>
    <w:rsid w:val="0C963C02"/>
    <w:rsid w:val="0CB82F0F"/>
    <w:rsid w:val="0CC32F8D"/>
    <w:rsid w:val="0CD45A9E"/>
    <w:rsid w:val="0D1718E9"/>
    <w:rsid w:val="0D427B32"/>
    <w:rsid w:val="0DB932F1"/>
    <w:rsid w:val="0DD07783"/>
    <w:rsid w:val="0E8019E3"/>
    <w:rsid w:val="0E8259CB"/>
    <w:rsid w:val="0E987E21"/>
    <w:rsid w:val="0EE46D8C"/>
    <w:rsid w:val="0EF46D40"/>
    <w:rsid w:val="0EFA738A"/>
    <w:rsid w:val="0F041519"/>
    <w:rsid w:val="0F8217B3"/>
    <w:rsid w:val="0F9750E5"/>
    <w:rsid w:val="0FB30BFB"/>
    <w:rsid w:val="0FED660D"/>
    <w:rsid w:val="10462548"/>
    <w:rsid w:val="106F0231"/>
    <w:rsid w:val="10775C25"/>
    <w:rsid w:val="109A336E"/>
    <w:rsid w:val="10C10908"/>
    <w:rsid w:val="10E00F95"/>
    <w:rsid w:val="10FC78A1"/>
    <w:rsid w:val="115D5441"/>
    <w:rsid w:val="118D32D3"/>
    <w:rsid w:val="11CD7C3E"/>
    <w:rsid w:val="12AB219E"/>
    <w:rsid w:val="12C7758E"/>
    <w:rsid w:val="136E02DC"/>
    <w:rsid w:val="1378390A"/>
    <w:rsid w:val="1393618A"/>
    <w:rsid w:val="13C2034C"/>
    <w:rsid w:val="13D22CDF"/>
    <w:rsid w:val="140A1637"/>
    <w:rsid w:val="141D199A"/>
    <w:rsid w:val="14390210"/>
    <w:rsid w:val="14677EEE"/>
    <w:rsid w:val="14812C7D"/>
    <w:rsid w:val="14A50F86"/>
    <w:rsid w:val="14CE68F0"/>
    <w:rsid w:val="152D7221"/>
    <w:rsid w:val="154468DF"/>
    <w:rsid w:val="1551414D"/>
    <w:rsid w:val="15545D6F"/>
    <w:rsid w:val="1566628E"/>
    <w:rsid w:val="15D25811"/>
    <w:rsid w:val="15F31123"/>
    <w:rsid w:val="15F7295D"/>
    <w:rsid w:val="15F8011F"/>
    <w:rsid w:val="15FA431C"/>
    <w:rsid w:val="15FB75BA"/>
    <w:rsid w:val="162D791D"/>
    <w:rsid w:val="16634658"/>
    <w:rsid w:val="166F749A"/>
    <w:rsid w:val="16CA2368"/>
    <w:rsid w:val="171D6307"/>
    <w:rsid w:val="173C6004"/>
    <w:rsid w:val="17465D7B"/>
    <w:rsid w:val="17912078"/>
    <w:rsid w:val="17C946A7"/>
    <w:rsid w:val="17D22915"/>
    <w:rsid w:val="18095112"/>
    <w:rsid w:val="185C58BA"/>
    <w:rsid w:val="18682772"/>
    <w:rsid w:val="18686C66"/>
    <w:rsid w:val="18930BB5"/>
    <w:rsid w:val="189F1BE3"/>
    <w:rsid w:val="18C44F21"/>
    <w:rsid w:val="18E222C5"/>
    <w:rsid w:val="1917264E"/>
    <w:rsid w:val="19225D47"/>
    <w:rsid w:val="195E03ED"/>
    <w:rsid w:val="1968527C"/>
    <w:rsid w:val="198C15EA"/>
    <w:rsid w:val="19CB08A4"/>
    <w:rsid w:val="1A0C32C4"/>
    <w:rsid w:val="1A4E20E6"/>
    <w:rsid w:val="1A776856"/>
    <w:rsid w:val="1A8E694B"/>
    <w:rsid w:val="1AAD3FA2"/>
    <w:rsid w:val="1AAF559D"/>
    <w:rsid w:val="1AD60B67"/>
    <w:rsid w:val="1AEA235C"/>
    <w:rsid w:val="1B4F4A78"/>
    <w:rsid w:val="1B643BB0"/>
    <w:rsid w:val="1B8B480A"/>
    <w:rsid w:val="1BC1349B"/>
    <w:rsid w:val="1BD154F2"/>
    <w:rsid w:val="1BD16F82"/>
    <w:rsid w:val="1C466E46"/>
    <w:rsid w:val="1C7B302D"/>
    <w:rsid w:val="1CDE3D87"/>
    <w:rsid w:val="1D170E5D"/>
    <w:rsid w:val="1D6A2573"/>
    <w:rsid w:val="1D7928A7"/>
    <w:rsid w:val="1D947D5B"/>
    <w:rsid w:val="1DAA1CBF"/>
    <w:rsid w:val="1DCC3CD4"/>
    <w:rsid w:val="1DCC7158"/>
    <w:rsid w:val="1E3C1592"/>
    <w:rsid w:val="1E457B81"/>
    <w:rsid w:val="1EA74B86"/>
    <w:rsid w:val="1EB362B9"/>
    <w:rsid w:val="1F0A5FA0"/>
    <w:rsid w:val="200A2E06"/>
    <w:rsid w:val="200B7A32"/>
    <w:rsid w:val="205B329C"/>
    <w:rsid w:val="20803CBA"/>
    <w:rsid w:val="210D5A8E"/>
    <w:rsid w:val="211128E7"/>
    <w:rsid w:val="218A46C0"/>
    <w:rsid w:val="21956F0A"/>
    <w:rsid w:val="21996DD2"/>
    <w:rsid w:val="21B7142C"/>
    <w:rsid w:val="21B77856"/>
    <w:rsid w:val="21F3562B"/>
    <w:rsid w:val="221D35AA"/>
    <w:rsid w:val="22392907"/>
    <w:rsid w:val="22490FE4"/>
    <w:rsid w:val="22A8426A"/>
    <w:rsid w:val="22DE49FA"/>
    <w:rsid w:val="23116D70"/>
    <w:rsid w:val="23605376"/>
    <w:rsid w:val="237D778F"/>
    <w:rsid w:val="23934527"/>
    <w:rsid w:val="23D70CF1"/>
    <w:rsid w:val="2424041C"/>
    <w:rsid w:val="24465709"/>
    <w:rsid w:val="24625310"/>
    <w:rsid w:val="24A403DD"/>
    <w:rsid w:val="24B2600B"/>
    <w:rsid w:val="24B86734"/>
    <w:rsid w:val="24BA519E"/>
    <w:rsid w:val="24D074CE"/>
    <w:rsid w:val="24F046F9"/>
    <w:rsid w:val="25010383"/>
    <w:rsid w:val="250D017B"/>
    <w:rsid w:val="2523427D"/>
    <w:rsid w:val="253A50CF"/>
    <w:rsid w:val="25822771"/>
    <w:rsid w:val="25910411"/>
    <w:rsid w:val="259C1D1A"/>
    <w:rsid w:val="25B34965"/>
    <w:rsid w:val="25C24156"/>
    <w:rsid w:val="25E726D9"/>
    <w:rsid w:val="26067196"/>
    <w:rsid w:val="26100D52"/>
    <w:rsid w:val="26252EDF"/>
    <w:rsid w:val="26267E0D"/>
    <w:rsid w:val="26843AD9"/>
    <w:rsid w:val="26C65AAA"/>
    <w:rsid w:val="27290461"/>
    <w:rsid w:val="27413D21"/>
    <w:rsid w:val="27524284"/>
    <w:rsid w:val="275A0F27"/>
    <w:rsid w:val="278F1442"/>
    <w:rsid w:val="27DE4B30"/>
    <w:rsid w:val="292F4E93"/>
    <w:rsid w:val="293E0518"/>
    <w:rsid w:val="29486497"/>
    <w:rsid w:val="2998799A"/>
    <w:rsid w:val="29F1050F"/>
    <w:rsid w:val="29FE12AF"/>
    <w:rsid w:val="2A0310EA"/>
    <w:rsid w:val="2A5D64C0"/>
    <w:rsid w:val="2A942545"/>
    <w:rsid w:val="2AAD64BF"/>
    <w:rsid w:val="2AB15611"/>
    <w:rsid w:val="2ADC4C67"/>
    <w:rsid w:val="2B076B0E"/>
    <w:rsid w:val="2B7B5B3F"/>
    <w:rsid w:val="2B7C1517"/>
    <w:rsid w:val="2BB71EC2"/>
    <w:rsid w:val="2BB959C0"/>
    <w:rsid w:val="2BF37E64"/>
    <w:rsid w:val="2C084B84"/>
    <w:rsid w:val="2C1E3307"/>
    <w:rsid w:val="2C44612B"/>
    <w:rsid w:val="2C8F6204"/>
    <w:rsid w:val="2C9D7964"/>
    <w:rsid w:val="2CB00759"/>
    <w:rsid w:val="2CF4769B"/>
    <w:rsid w:val="2D1032D4"/>
    <w:rsid w:val="2D28658A"/>
    <w:rsid w:val="2D456457"/>
    <w:rsid w:val="2D9F3C58"/>
    <w:rsid w:val="2DF84FA9"/>
    <w:rsid w:val="2E0518FD"/>
    <w:rsid w:val="2E297901"/>
    <w:rsid w:val="2E36027B"/>
    <w:rsid w:val="2E8959E5"/>
    <w:rsid w:val="2ECB3EFD"/>
    <w:rsid w:val="2EEB7C5D"/>
    <w:rsid w:val="2F15013F"/>
    <w:rsid w:val="2F633D66"/>
    <w:rsid w:val="2FC37951"/>
    <w:rsid w:val="2FF214AA"/>
    <w:rsid w:val="2FF43089"/>
    <w:rsid w:val="304B6125"/>
    <w:rsid w:val="30D52765"/>
    <w:rsid w:val="310529FA"/>
    <w:rsid w:val="310D6708"/>
    <w:rsid w:val="31416E03"/>
    <w:rsid w:val="31516DF8"/>
    <w:rsid w:val="316B6CD3"/>
    <w:rsid w:val="31966FF6"/>
    <w:rsid w:val="31A612D6"/>
    <w:rsid w:val="31A7441D"/>
    <w:rsid w:val="31BB6D08"/>
    <w:rsid w:val="31C755E0"/>
    <w:rsid w:val="31D506AE"/>
    <w:rsid w:val="31F8468B"/>
    <w:rsid w:val="32335526"/>
    <w:rsid w:val="328952D1"/>
    <w:rsid w:val="32B91AE0"/>
    <w:rsid w:val="331F2BFC"/>
    <w:rsid w:val="33533E0C"/>
    <w:rsid w:val="340C12B1"/>
    <w:rsid w:val="340F767B"/>
    <w:rsid w:val="346A63B5"/>
    <w:rsid w:val="348A433A"/>
    <w:rsid w:val="34A45A92"/>
    <w:rsid w:val="34D039DC"/>
    <w:rsid w:val="34F321F6"/>
    <w:rsid w:val="34F64C93"/>
    <w:rsid w:val="350F2456"/>
    <w:rsid w:val="353C344F"/>
    <w:rsid w:val="356C6BC4"/>
    <w:rsid w:val="3596451F"/>
    <w:rsid w:val="359B7F5D"/>
    <w:rsid w:val="35CD04BD"/>
    <w:rsid w:val="369373CC"/>
    <w:rsid w:val="369A1286"/>
    <w:rsid w:val="36A95170"/>
    <w:rsid w:val="36B76777"/>
    <w:rsid w:val="371F7454"/>
    <w:rsid w:val="37F0329D"/>
    <w:rsid w:val="38300DD4"/>
    <w:rsid w:val="38473B77"/>
    <w:rsid w:val="38774232"/>
    <w:rsid w:val="38B86BAD"/>
    <w:rsid w:val="38E64B9A"/>
    <w:rsid w:val="38FA1BEF"/>
    <w:rsid w:val="393C1D5F"/>
    <w:rsid w:val="397D4C19"/>
    <w:rsid w:val="39D404CE"/>
    <w:rsid w:val="39E1590C"/>
    <w:rsid w:val="39E72FFE"/>
    <w:rsid w:val="3A1E6540"/>
    <w:rsid w:val="3A4A5EEB"/>
    <w:rsid w:val="3A517A9C"/>
    <w:rsid w:val="3A7B116F"/>
    <w:rsid w:val="3A9240F7"/>
    <w:rsid w:val="3B2F4D62"/>
    <w:rsid w:val="3B3B78E7"/>
    <w:rsid w:val="3B3F440E"/>
    <w:rsid w:val="3B48680D"/>
    <w:rsid w:val="3B4872C2"/>
    <w:rsid w:val="3B5977F6"/>
    <w:rsid w:val="3B597C08"/>
    <w:rsid w:val="3B874433"/>
    <w:rsid w:val="3B874564"/>
    <w:rsid w:val="3B912E25"/>
    <w:rsid w:val="3BF2123F"/>
    <w:rsid w:val="3C222D8B"/>
    <w:rsid w:val="3C2B7448"/>
    <w:rsid w:val="3C437143"/>
    <w:rsid w:val="3CB00F10"/>
    <w:rsid w:val="3CB45AE0"/>
    <w:rsid w:val="3CE22492"/>
    <w:rsid w:val="3D100E29"/>
    <w:rsid w:val="3D31144A"/>
    <w:rsid w:val="3D6076EB"/>
    <w:rsid w:val="3D6D3EDF"/>
    <w:rsid w:val="3D6E6C9A"/>
    <w:rsid w:val="3D8E56DE"/>
    <w:rsid w:val="3DC02CE6"/>
    <w:rsid w:val="3DF80E8D"/>
    <w:rsid w:val="3E9944DC"/>
    <w:rsid w:val="3EB36B04"/>
    <w:rsid w:val="3ED71417"/>
    <w:rsid w:val="3F663C97"/>
    <w:rsid w:val="3FB4435E"/>
    <w:rsid w:val="3FCE1422"/>
    <w:rsid w:val="3FD76D2D"/>
    <w:rsid w:val="3FE4347F"/>
    <w:rsid w:val="3FEC4E01"/>
    <w:rsid w:val="401A2555"/>
    <w:rsid w:val="40263A81"/>
    <w:rsid w:val="40351EDE"/>
    <w:rsid w:val="404E37EC"/>
    <w:rsid w:val="40C573F8"/>
    <w:rsid w:val="40CE6FDE"/>
    <w:rsid w:val="40D553B3"/>
    <w:rsid w:val="40DC7213"/>
    <w:rsid w:val="417D0413"/>
    <w:rsid w:val="42192EF7"/>
    <w:rsid w:val="427E60EF"/>
    <w:rsid w:val="429C0DC4"/>
    <w:rsid w:val="42C203DF"/>
    <w:rsid w:val="42FD536C"/>
    <w:rsid w:val="430077BB"/>
    <w:rsid w:val="43010022"/>
    <w:rsid w:val="431B6A38"/>
    <w:rsid w:val="43613001"/>
    <w:rsid w:val="43737B1E"/>
    <w:rsid w:val="439773A1"/>
    <w:rsid w:val="43F576F1"/>
    <w:rsid w:val="44185F99"/>
    <w:rsid w:val="444D55F9"/>
    <w:rsid w:val="44533863"/>
    <w:rsid w:val="44632E55"/>
    <w:rsid w:val="44855AE9"/>
    <w:rsid w:val="44911BAD"/>
    <w:rsid w:val="44A537D4"/>
    <w:rsid w:val="45010AE4"/>
    <w:rsid w:val="45185A1F"/>
    <w:rsid w:val="45457C86"/>
    <w:rsid w:val="454C41BB"/>
    <w:rsid w:val="45AB376A"/>
    <w:rsid w:val="461D5DAA"/>
    <w:rsid w:val="46233184"/>
    <w:rsid w:val="468C52CF"/>
    <w:rsid w:val="469046E8"/>
    <w:rsid w:val="47377130"/>
    <w:rsid w:val="473A3923"/>
    <w:rsid w:val="47801086"/>
    <w:rsid w:val="4798607D"/>
    <w:rsid w:val="47A50319"/>
    <w:rsid w:val="47B26C32"/>
    <w:rsid w:val="47C95134"/>
    <w:rsid w:val="47DB6A30"/>
    <w:rsid w:val="48003186"/>
    <w:rsid w:val="480C0255"/>
    <w:rsid w:val="4819722E"/>
    <w:rsid w:val="48E74BAF"/>
    <w:rsid w:val="48F87203"/>
    <w:rsid w:val="492A4134"/>
    <w:rsid w:val="494015D1"/>
    <w:rsid w:val="49426706"/>
    <w:rsid w:val="49581E5A"/>
    <w:rsid w:val="498339E3"/>
    <w:rsid w:val="49861604"/>
    <w:rsid w:val="4A2C0CF1"/>
    <w:rsid w:val="4A51311A"/>
    <w:rsid w:val="4A5729E9"/>
    <w:rsid w:val="4AB53740"/>
    <w:rsid w:val="4ADC7DC2"/>
    <w:rsid w:val="4B014CD4"/>
    <w:rsid w:val="4B415A95"/>
    <w:rsid w:val="4B4853F8"/>
    <w:rsid w:val="4B8638B4"/>
    <w:rsid w:val="4B9B71DE"/>
    <w:rsid w:val="4B9F339D"/>
    <w:rsid w:val="4BD83CE9"/>
    <w:rsid w:val="4BD950A7"/>
    <w:rsid w:val="4BED2AD9"/>
    <w:rsid w:val="4BF900F0"/>
    <w:rsid w:val="4C0C0625"/>
    <w:rsid w:val="4C56619C"/>
    <w:rsid w:val="4C9518ED"/>
    <w:rsid w:val="4CDA7838"/>
    <w:rsid w:val="4CDC2F1E"/>
    <w:rsid w:val="4D860284"/>
    <w:rsid w:val="4D877018"/>
    <w:rsid w:val="4D93222B"/>
    <w:rsid w:val="4DA00084"/>
    <w:rsid w:val="4DE03978"/>
    <w:rsid w:val="4E206D87"/>
    <w:rsid w:val="4E353987"/>
    <w:rsid w:val="4E7E02BF"/>
    <w:rsid w:val="4EB4458B"/>
    <w:rsid w:val="4EC43A0E"/>
    <w:rsid w:val="4EE319B6"/>
    <w:rsid w:val="4F5452ED"/>
    <w:rsid w:val="4FBB7360"/>
    <w:rsid w:val="4FCD7FDD"/>
    <w:rsid w:val="50050479"/>
    <w:rsid w:val="50171560"/>
    <w:rsid w:val="501848E2"/>
    <w:rsid w:val="50736A37"/>
    <w:rsid w:val="50D3271B"/>
    <w:rsid w:val="51034713"/>
    <w:rsid w:val="51471AF0"/>
    <w:rsid w:val="51687EA0"/>
    <w:rsid w:val="51836D7B"/>
    <w:rsid w:val="51B40862"/>
    <w:rsid w:val="51D83EA5"/>
    <w:rsid w:val="51DC57EE"/>
    <w:rsid w:val="51E4094F"/>
    <w:rsid w:val="51E86F4B"/>
    <w:rsid w:val="51FD5006"/>
    <w:rsid w:val="52075A8D"/>
    <w:rsid w:val="5209178D"/>
    <w:rsid w:val="522369BC"/>
    <w:rsid w:val="523547DB"/>
    <w:rsid w:val="52473D1D"/>
    <w:rsid w:val="52843C9E"/>
    <w:rsid w:val="52C41FA9"/>
    <w:rsid w:val="52CB46B8"/>
    <w:rsid w:val="53506854"/>
    <w:rsid w:val="536F4EB5"/>
    <w:rsid w:val="53787653"/>
    <w:rsid w:val="53920D1A"/>
    <w:rsid w:val="53BD692C"/>
    <w:rsid w:val="53D66B33"/>
    <w:rsid w:val="53DC6054"/>
    <w:rsid w:val="53E97303"/>
    <w:rsid w:val="5430237F"/>
    <w:rsid w:val="54705ED0"/>
    <w:rsid w:val="54A16ECF"/>
    <w:rsid w:val="554B1BFA"/>
    <w:rsid w:val="55524980"/>
    <w:rsid w:val="5556113E"/>
    <w:rsid w:val="55924B91"/>
    <w:rsid w:val="55E669D5"/>
    <w:rsid w:val="566B7360"/>
    <w:rsid w:val="567D7AB9"/>
    <w:rsid w:val="568606C4"/>
    <w:rsid w:val="56913B21"/>
    <w:rsid w:val="56B70F76"/>
    <w:rsid w:val="56F26206"/>
    <w:rsid w:val="56F56192"/>
    <w:rsid w:val="57A536BF"/>
    <w:rsid w:val="57A817E1"/>
    <w:rsid w:val="57AB60AD"/>
    <w:rsid w:val="5844617D"/>
    <w:rsid w:val="586C613F"/>
    <w:rsid w:val="587404E9"/>
    <w:rsid w:val="59286A20"/>
    <w:rsid w:val="593762DE"/>
    <w:rsid w:val="599B0E9A"/>
    <w:rsid w:val="59A72AB3"/>
    <w:rsid w:val="59CA18F7"/>
    <w:rsid w:val="59E6237F"/>
    <w:rsid w:val="5A083AAC"/>
    <w:rsid w:val="5A0E24E4"/>
    <w:rsid w:val="5A2E2CDE"/>
    <w:rsid w:val="5A340B0D"/>
    <w:rsid w:val="5A691891"/>
    <w:rsid w:val="5AAA708E"/>
    <w:rsid w:val="5ACB7A99"/>
    <w:rsid w:val="5AFF1545"/>
    <w:rsid w:val="5B4C151A"/>
    <w:rsid w:val="5B607DBD"/>
    <w:rsid w:val="5BB5269B"/>
    <w:rsid w:val="5C1E562C"/>
    <w:rsid w:val="5C396D60"/>
    <w:rsid w:val="5C4E4CAF"/>
    <w:rsid w:val="5C85146E"/>
    <w:rsid w:val="5CB31CE4"/>
    <w:rsid w:val="5CB54C16"/>
    <w:rsid w:val="5CE1691B"/>
    <w:rsid w:val="5CE76D35"/>
    <w:rsid w:val="5D1877F1"/>
    <w:rsid w:val="5D1C300C"/>
    <w:rsid w:val="5D1F197B"/>
    <w:rsid w:val="5D671C68"/>
    <w:rsid w:val="5D6B7055"/>
    <w:rsid w:val="5D872FE5"/>
    <w:rsid w:val="5D8A7FE9"/>
    <w:rsid w:val="5DD27A66"/>
    <w:rsid w:val="5DD37839"/>
    <w:rsid w:val="5DD6329B"/>
    <w:rsid w:val="5E307ADD"/>
    <w:rsid w:val="5EEB04E3"/>
    <w:rsid w:val="5F2112E7"/>
    <w:rsid w:val="5F2F62C5"/>
    <w:rsid w:val="5F412F33"/>
    <w:rsid w:val="5F657915"/>
    <w:rsid w:val="5FEB2462"/>
    <w:rsid w:val="5FEE4A25"/>
    <w:rsid w:val="6036652E"/>
    <w:rsid w:val="61115A81"/>
    <w:rsid w:val="61203C74"/>
    <w:rsid w:val="612C6483"/>
    <w:rsid w:val="6177685E"/>
    <w:rsid w:val="61B20A1A"/>
    <w:rsid w:val="61E26605"/>
    <w:rsid w:val="62043692"/>
    <w:rsid w:val="62073D3F"/>
    <w:rsid w:val="621E0693"/>
    <w:rsid w:val="62742810"/>
    <w:rsid w:val="628404C7"/>
    <w:rsid w:val="62924ABF"/>
    <w:rsid w:val="62F4251F"/>
    <w:rsid w:val="62F5664F"/>
    <w:rsid w:val="62FB4A67"/>
    <w:rsid w:val="630A625B"/>
    <w:rsid w:val="631042C4"/>
    <w:rsid w:val="636149B3"/>
    <w:rsid w:val="63841A86"/>
    <w:rsid w:val="63BC00B9"/>
    <w:rsid w:val="63C113E2"/>
    <w:rsid w:val="63C76B44"/>
    <w:rsid w:val="63D15561"/>
    <w:rsid w:val="64046DFA"/>
    <w:rsid w:val="640B7A80"/>
    <w:rsid w:val="642B496E"/>
    <w:rsid w:val="644B75B7"/>
    <w:rsid w:val="64795169"/>
    <w:rsid w:val="649F0DD4"/>
    <w:rsid w:val="64FA58E9"/>
    <w:rsid w:val="65196159"/>
    <w:rsid w:val="6568110C"/>
    <w:rsid w:val="657836A3"/>
    <w:rsid w:val="658D2E9C"/>
    <w:rsid w:val="65946EBD"/>
    <w:rsid w:val="6598460B"/>
    <w:rsid w:val="65D92565"/>
    <w:rsid w:val="66526620"/>
    <w:rsid w:val="666C6E5E"/>
    <w:rsid w:val="66BF26E9"/>
    <w:rsid w:val="66C80F4E"/>
    <w:rsid w:val="66EC1B6A"/>
    <w:rsid w:val="66F20B62"/>
    <w:rsid w:val="67002BB9"/>
    <w:rsid w:val="671D0F01"/>
    <w:rsid w:val="67901BEA"/>
    <w:rsid w:val="67D006B8"/>
    <w:rsid w:val="67D37144"/>
    <w:rsid w:val="681C0937"/>
    <w:rsid w:val="683E3590"/>
    <w:rsid w:val="68931903"/>
    <w:rsid w:val="689B7C4F"/>
    <w:rsid w:val="689F2BCA"/>
    <w:rsid w:val="68B65076"/>
    <w:rsid w:val="68C92C78"/>
    <w:rsid w:val="690A341E"/>
    <w:rsid w:val="69230539"/>
    <w:rsid w:val="69315870"/>
    <w:rsid w:val="69320E19"/>
    <w:rsid w:val="69545289"/>
    <w:rsid w:val="6968059C"/>
    <w:rsid w:val="69A662D1"/>
    <w:rsid w:val="69B83C2A"/>
    <w:rsid w:val="69F925DF"/>
    <w:rsid w:val="6AA72F5C"/>
    <w:rsid w:val="6ABA65C3"/>
    <w:rsid w:val="6AC43A82"/>
    <w:rsid w:val="6AE21D43"/>
    <w:rsid w:val="6B187C11"/>
    <w:rsid w:val="6B1A113D"/>
    <w:rsid w:val="6B1D1292"/>
    <w:rsid w:val="6BA676D3"/>
    <w:rsid w:val="6BAB29E1"/>
    <w:rsid w:val="6BD05262"/>
    <w:rsid w:val="6BF956E0"/>
    <w:rsid w:val="6C5073DF"/>
    <w:rsid w:val="6CB203E5"/>
    <w:rsid w:val="6D003938"/>
    <w:rsid w:val="6D0903CC"/>
    <w:rsid w:val="6D937B5B"/>
    <w:rsid w:val="6DB63B2A"/>
    <w:rsid w:val="6DBA5C6B"/>
    <w:rsid w:val="6DBA7C50"/>
    <w:rsid w:val="6DC17D90"/>
    <w:rsid w:val="6DD06F95"/>
    <w:rsid w:val="6DFD798C"/>
    <w:rsid w:val="6E0632CB"/>
    <w:rsid w:val="6E163C50"/>
    <w:rsid w:val="6E5C2037"/>
    <w:rsid w:val="6E697C90"/>
    <w:rsid w:val="6E6D3EA0"/>
    <w:rsid w:val="6E991E11"/>
    <w:rsid w:val="6E9F7FCA"/>
    <w:rsid w:val="6EEF44C0"/>
    <w:rsid w:val="6EF06C9C"/>
    <w:rsid w:val="6F0178C0"/>
    <w:rsid w:val="6F253B14"/>
    <w:rsid w:val="6F3C7024"/>
    <w:rsid w:val="6F5E3A5E"/>
    <w:rsid w:val="6F791441"/>
    <w:rsid w:val="6F7C02C4"/>
    <w:rsid w:val="6F855BCC"/>
    <w:rsid w:val="6FB32F11"/>
    <w:rsid w:val="6FC0148C"/>
    <w:rsid w:val="6FCF099E"/>
    <w:rsid w:val="6FDF07C2"/>
    <w:rsid w:val="6FF16F1E"/>
    <w:rsid w:val="70002A4B"/>
    <w:rsid w:val="702A6812"/>
    <w:rsid w:val="705E4AC7"/>
    <w:rsid w:val="71210AED"/>
    <w:rsid w:val="715435A1"/>
    <w:rsid w:val="718D080F"/>
    <w:rsid w:val="718E63F7"/>
    <w:rsid w:val="71B03EB2"/>
    <w:rsid w:val="72254C01"/>
    <w:rsid w:val="7275241E"/>
    <w:rsid w:val="72A005D2"/>
    <w:rsid w:val="72C86434"/>
    <w:rsid w:val="72D96D3E"/>
    <w:rsid w:val="72E97369"/>
    <w:rsid w:val="73235F4F"/>
    <w:rsid w:val="73856713"/>
    <w:rsid w:val="73BD7FBA"/>
    <w:rsid w:val="74704C22"/>
    <w:rsid w:val="74B7675E"/>
    <w:rsid w:val="750E0CC8"/>
    <w:rsid w:val="755736CC"/>
    <w:rsid w:val="75606812"/>
    <w:rsid w:val="75C0732A"/>
    <w:rsid w:val="75CE0A00"/>
    <w:rsid w:val="762F2022"/>
    <w:rsid w:val="763720E2"/>
    <w:rsid w:val="76905BC0"/>
    <w:rsid w:val="76BD1996"/>
    <w:rsid w:val="76D65F05"/>
    <w:rsid w:val="7734085C"/>
    <w:rsid w:val="779074AE"/>
    <w:rsid w:val="779B6206"/>
    <w:rsid w:val="77B71084"/>
    <w:rsid w:val="77E0539B"/>
    <w:rsid w:val="77F05D07"/>
    <w:rsid w:val="77F644DB"/>
    <w:rsid w:val="78F67BE4"/>
    <w:rsid w:val="793E29C7"/>
    <w:rsid w:val="796027FE"/>
    <w:rsid w:val="79863623"/>
    <w:rsid w:val="79A7513B"/>
    <w:rsid w:val="79A91F2D"/>
    <w:rsid w:val="79AB7992"/>
    <w:rsid w:val="79DE41B1"/>
    <w:rsid w:val="79F642C3"/>
    <w:rsid w:val="7A32365C"/>
    <w:rsid w:val="7A4D47FB"/>
    <w:rsid w:val="7A594A34"/>
    <w:rsid w:val="7A5B39F2"/>
    <w:rsid w:val="7A5E0D40"/>
    <w:rsid w:val="7A7B10A5"/>
    <w:rsid w:val="7A827938"/>
    <w:rsid w:val="7A8B7A69"/>
    <w:rsid w:val="7AE615E2"/>
    <w:rsid w:val="7AE6470C"/>
    <w:rsid w:val="7B0E644C"/>
    <w:rsid w:val="7B387D3A"/>
    <w:rsid w:val="7B390640"/>
    <w:rsid w:val="7B3B5632"/>
    <w:rsid w:val="7B8926F3"/>
    <w:rsid w:val="7BB05A5D"/>
    <w:rsid w:val="7BB1420A"/>
    <w:rsid w:val="7BC260B5"/>
    <w:rsid w:val="7C1942AB"/>
    <w:rsid w:val="7C1969AA"/>
    <w:rsid w:val="7C1E5A18"/>
    <w:rsid w:val="7C50132B"/>
    <w:rsid w:val="7D2C0620"/>
    <w:rsid w:val="7D301FEC"/>
    <w:rsid w:val="7D590EF3"/>
    <w:rsid w:val="7D6C579B"/>
    <w:rsid w:val="7D6D2555"/>
    <w:rsid w:val="7D85009F"/>
    <w:rsid w:val="7D892263"/>
    <w:rsid w:val="7DBE1C53"/>
    <w:rsid w:val="7DE67B3E"/>
    <w:rsid w:val="7DEE13B1"/>
    <w:rsid w:val="7E6B7FDD"/>
    <w:rsid w:val="7E730A33"/>
    <w:rsid w:val="7E8B203A"/>
    <w:rsid w:val="7EB96465"/>
    <w:rsid w:val="7EC508BA"/>
    <w:rsid w:val="7F0367E6"/>
    <w:rsid w:val="7F1433F1"/>
    <w:rsid w:val="7F440DFC"/>
    <w:rsid w:val="7F490CDE"/>
    <w:rsid w:val="7FD84619"/>
    <w:rsid w:val="7FF02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qFormat/>
    <w:uiPriority w:val="0"/>
    <w:pPr>
      <w:keepNext/>
      <w:widowControl w:val="0"/>
      <w:autoSpaceDE w:val="0"/>
      <w:autoSpaceDN w:val="0"/>
      <w:adjustRightInd w:val="0"/>
      <w:spacing w:line="440" w:lineRule="exact"/>
      <w:outlineLvl w:val="0"/>
    </w:pPr>
    <w:rPr>
      <w:rFonts w:ascii="宋体"/>
      <w:b/>
      <w:sz w:val="28"/>
    </w:rPr>
  </w:style>
  <w:style w:type="paragraph" w:styleId="4">
    <w:name w:val="heading 2"/>
    <w:basedOn w:val="1"/>
    <w:next w:val="1"/>
    <w:link w:val="65"/>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162"/>
    <w:qFormat/>
    <w:uiPriority w:val="0"/>
    <w:pPr>
      <w:keepNext/>
      <w:keepLines/>
      <w:spacing w:before="260" w:after="260" w:line="415" w:lineRule="auto"/>
      <w:outlineLvl w:val="2"/>
    </w:pPr>
    <w:rPr>
      <w:b/>
      <w:bCs/>
      <w:sz w:val="32"/>
      <w:szCs w:val="32"/>
    </w:rPr>
  </w:style>
  <w:style w:type="paragraph" w:styleId="6">
    <w:name w:val="heading 4"/>
    <w:basedOn w:val="1"/>
    <w:next w:val="7"/>
    <w:qFormat/>
    <w:uiPriority w:val="0"/>
    <w:pPr>
      <w:keepNext/>
      <w:keepLines/>
      <w:widowControl w:val="0"/>
      <w:spacing w:before="120" w:after="120" w:line="480" w:lineRule="exact"/>
      <w:outlineLvl w:val="3"/>
    </w:pPr>
    <w:rPr>
      <w:rFonts w:eastAsia="仿宋_GB2312"/>
      <w:kern w:val="2"/>
      <w:sz w:val="24"/>
    </w:rPr>
  </w:style>
  <w:style w:type="paragraph" w:styleId="8">
    <w:name w:val="heading 5"/>
    <w:basedOn w:val="1"/>
    <w:next w:val="1"/>
    <w:qFormat/>
    <w:uiPriority w:val="0"/>
    <w:pPr>
      <w:keepNext/>
      <w:keepLines/>
      <w:spacing w:before="280" w:after="290" w:line="377" w:lineRule="auto"/>
      <w:outlineLvl w:val="4"/>
    </w:pPr>
    <w:rPr>
      <w:b/>
      <w:bCs/>
      <w:sz w:val="28"/>
      <w:szCs w:val="28"/>
    </w:rPr>
  </w:style>
  <w:style w:type="paragraph" w:styleId="9">
    <w:name w:val="heading 6"/>
    <w:basedOn w:val="1"/>
    <w:next w:val="1"/>
    <w:link w:val="152"/>
    <w:qFormat/>
    <w:uiPriority w:val="0"/>
    <w:pPr>
      <w:keepNext/>
      <w:keepLines/>
      <w:widowControl w:val="0"/>
      <w:numPr>
        <w:ilvl w:val="5"/>
        <w:numId w:val="1"/>
      </w:numPr>
      <w:tabs>
        <w:tab w:val="left" w:pos="2040"/>
      </w:tabs>
      <w:adjustRightInd w:val="0"/>
      <w:spacing w:before="240" w:after="64" w:line="320" w:lineRule="atLeast"/>
      <w:textAlignment w:val="baseline"/>
      <w:outlineLvl w:val="5"/>
    </w:pPr>
    <w:rPr>
      <w:rFonts w:ascii="Arial" w:hAnsi="Arial" w:eastAsia="黑体"/>
      <w:spacing w:val="20"/>
      <w:sz w:val="24"/>
    </w:rPr>
  </w:style>
  <w:style w:type="paragraph" w:styleId="10">
    <w:name w:val="heading 7"/>
    <w:basedOn w:val="1"/>
    <w:next w:val="1"/>
    <w:link w:val="153"/>
    <w:qFormat/>
    <w:uiPriority w:val="0"/>
    <w:pPr>
      <w:keepNext/>
      <w:keepLines/>
      <w:widowControl w:val="0"/>
      <w:numPr>
        <w:ilvl w:val="6"/>
        <w:numId w:val="1"/>
      </w:numPr>
      <w:tabs>
        <w:tab w:val="left" w:pos="2040"/>
      </w:tabs>
      <w:adjustRightInd w:val="0"/>
      <w:spacing w:before="240" w:after="64" w:line="320" w:lineRule="atLeast"/>
      <w:textAlignment w:val="baseline"/>
      <w:outlineLvl w:val="6"/>
    </w:pPr>
    <w:rPr>
      <w:spacing w:val="20"/>
      <w:sz w:val="24"/>
    </w:rPr>
  </w:style>
  <w:style w:type="paragraph" w:styleId="11">
    <w:name w:val="heading 8"/>
    <w:basedOn w:val="1"/>
    <w:next w:val="1"/>
    <w:link w:val="154"/>
    <w:qFormat/>
    <w:uiPriority w:val="0"/>
    <w:pPr>
      <w:keepNext/>
      <w:keepLines/>
      <w:widowControl w:val="0"/>
      <w:numPr>
        <w:ilvl w:val="7"/>
        <w:numId w:val="1"/>
      </w:numPr>
      <w:tabs>
        <w:tab w:val="left" w:pos="2040"/>
      </w:tabs>
      <w:adjustRightInd w:val="0"/>
      <w:spacing w:before="240" w:after="64" w:line="320" w:lineRule="atLeast"/>
      <w:textAlignment w:val="baseline"/>
      <w:outlineLvl w:val="7"/>
    </w:pPr>
    <w:rPr>
      <w:rFonts w:ascii="Arial" w:hAnsi="Arial" w:eastAsia="黑体"/>
      <w:spacing w:val="20"/>
      <w:sz w:val="24"/>
    </w:rPr>
  </w:style>
  <w:style w:type="paragraph" w:styleId="12">
    <w:name w:val="heading 9"/>
    <w:basedOn w:val="1"/>
    <w:next w:val="1"/>
    <w:link w:val="155"/>
    <w:qFormat/>
    <w:uiPriority w:val="0"/>
    <w:pPr>
      <w:keepNext/>
      <w:keepLines/>
      <w:widowControl w:val="0"/>
      <w:numPr>
        <w:ilvl w:val="8"/>
        <w:numId w:val="1"/>
      </w:numPr>
      <w:tabs>
        <w:tab w:val="left" w:pos="2040"/>
      </w:tabs>
      <w:adjustRightInd w:val="0"/>
      <w:spacing w:before="240" w:after="64" w:line="320" w:lineRule="atLeast"/>
      <w:textAlignment w:val="baseline"/>
      <w:outlineLvl w:val="8"/>
    </w:pPr>
    <w:rPr>
      <w:rFonts w:ascii="Arial" w:hAnsi="Arial" w:eastAsia="黑体"/>
      <w:spacing w:val="20"/>
      <w:sz w:val="24"/>
    </w:rPr>
  </w:style>
  <w:style w:type="character" w:default="1" w:styleId="51">
    <w:name w:val="Default Paragraph Font"/>
    <w:link w:val="52"/>
    <w:semiHidden/>
    <w:unhideWhenUsed/>
    <w:qFormat/>
    <w:uiPriority w:val="1"/>
    <w:rPr>
      <w:rFonts w:ascii="宋体" w:hAnsi="宋体" w:cs="宋体"/>
      <w:kern w:val="2"/>
      <w:sz w:val="24"/>
      <w:szCs w:val="24"/>
    </w:rPr>
  </w:style>
  <w:style w:type="table" w:default="1" w:styleId="49">
    <w:name w:val="Normal Table"/>
    <w:semiHidden/>
    <w:unhideWhenUsed/>
    <w:qFormat/>
    <w:uiPriority w:val="99"/>
    <w:tblPr>
      <w:tblLayout w:type="fixed"/>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Indent"/>
    <w:basedOn w:val="1"/>
    <w:next w:val="1"/>
    <w:qFormat/>
    <w:uiPriority w:val="0"/>
    <w:pPr>
      <w:widowControl w:val="0"/>
      <w:ind w:firstLine="420"/>
      <w:jc w:val="both"/>
    </w:pPr>
    <w:rPr>
      <w:kern w:val="2"/>
      <w:sz w:val="21"/>
      <w:szCs w:val="24"/>
    </w:rPr>
  </w:style>
  <w:style w:type="paragraph" w:styleId="13">
    <w:name w:val="toc 7"/>
    <w:basedOn w:val="1"/>
    <w:next w:val="1"/>
    <w:qFormat/>
    <w:uiPriority w:val="0"/>
    <w:pPr>
      <w:ind w:left="1200"/>
    </w:pPr>
    <w:rPr>
      <w:rFonts w:ascii="Calibri" w:hAnsi="Calibri" w:cs="Calibri"/>
      <w:sz w:val="18"/>
      <w:szCs w:val="18"/>
    </w:rPr>
  </w:style>
  <w:style w:type="paragraph" w:styleId="14">
    <w:name w:val="table of authorities"/>
    <w:basedOn w:val="1"/>
    <w:next w:val="1"/>
    <w:semiHidden/>
    <w:unhideWhenUsed/>
    <w:qFormat/>
    <w:uiPriority w:val="99"/>
    <w:pPr>
      <w:ind w:left="420" w:leftChars="200"/>
    </w:pPr>
  </w:style>
  <w:style w:type="paragraph" w:styleId="15">
    <w:name w:val="index 8"/>
    <w:basedOn w:val="1"/>
    <w:next w:val="1"/>
    <w:qFormat/>
    <w:uiPriority w:val="0"/>
    <w:pPr>
      <w:ind w:left="1400" w:leftChars="1400"/>
    </w:pPr>
    <w:rPr>
      <w:b/>
      <w:bCs/>
      <w:color w:val="FF0000"/>
    </w:rPr>
  </w:style>
  <w:style w:type="paragraph" w:styleId="16">
    <w:name w:val="Document Map"/>
    <w:basedOn w:val="1"/>
    <w:qFormat/>
    <w:uiPriority w:val="0"/>
    <w:pPr>
      <w:widowControl w:val="0"/>
      <w:adjustRightInd w:val="0"/>
      <w:spacing w:line="360" w:lineRule="atLeast"/>
      <w:textAlignment w:val="baseline"/>
    </w:pPr>
    <w:rPr>
      <w:rFonts w:ascii="微软雅黑" w:hAnsi="微软雅黑"/>
      <w:sz w:val="18"/>
      <w:szCs w:val="18"/>
    </w:rPr>
  </w:style>
  <w:style w:type="paragraph" w:styleId="17">
    <w:name w:val="toa heading"/>
    <w:basedOn w:val="1"/>
    <w:next w:val="1"/>
    <w:qFormat/>
    <w:uiPriority w:val="0"/>
    <w:pPr>
      <w:spacing w:before="120"/>
    </w:pPr>
    <w:rPr>
      <w:rFonts w:ascii="Arial" w:hAnsi="Arial"/>
      <w:sz w:val="24"/>
    </w:rPr>
  </w:style>
  <w:style w:type="paragraph" w:styleId="18">
    <w:name w:val="annotation text"/>
    <w:basedOn w:val="1"/>
    <w:link w:val="157"/>
    <w:qFormat/>
    <w:uiPriority w:val="0"/>
    <w:pPr>
      <w:widowControl w:val="0"/>
    </w:pPr>
    <w:rPr>
      <w:kern w:val="2"/>
      <w:sz w:val="21"/>
      <w:szCs w:val="24"/>
    </w:rPr>
  </w:style>
  <w:style w:type="paragraph" w:styleId="19">
    <w:name w:val="index 6"/>
    <w:basedOn w:val="1"/>
    <w:next w:val="1"/>
    <w:qFormat/>
    <w:uiPriority w:val="0"/>
    <w:pPr>
      <w:widowControl w:val="0"/>
      <w:spacing w:line="480" w:lineRule="exact"/>
      <w:ind w:left="2100"/>
    </w:pPr>
    <w:rPr>
      <w:rFonts w:eastAsia="仿宋_GB2312"/>
      <w:kern w:val="2"/>
      <w:sz w:val="28"/>
    </w:rPr>
  </w:style>
  <w:style w:type="paragraph" w:styleId="20">
    <w:name w:val="Body Text 3"/>
    <w:basedOn w:val="1"/>
    <w:qFormat/>
    <w:uiPriority w:val="0"/>
    <w:pPr>
      <w:spacing w:after="120"/>
    </w:pPr>
    <w:rPr>
      <w:sz w:val="16"/>
      <w:szCs w:val="16"/>
    </w:rPr>
  </w:style>
  <w:style w:type="paragraph" w:styleId="21">
    <w:name w:val="Body Text"/>
    <w:basedOn w:val="1"/>
    <w:next w:val="22"/>
    <w:qFormat/>
    <w:uiPriority w:val="0"/>
    <w:pPr>
      <w:widowControl w:val="0"/>
      <w:autoSpaceDE w:val="0"/>
      <w:autoSpaceDN w:val="0"/>
      <w:adjustRightInd w:val="0"/>
      <w:jc w:val="both"/>
    </w:pPr>
    <w:rPr>
      <w:b/>
      <w:sz w:val="21"/>
    </w:rPr>
  </w:style>
  <w:style w:type="paragraph" w:styleId="22">
    <w:name w:val="toc 2"/>
    <w:basedOn w:val="1"/>
    <w:next w:val="1"/>
    <w:qFormat/>
    <w:uiPriority w:val="0"/>
    <w:pPr>
      <w:widowControl w:val="0"/>
      <w:tabs>
        <w:tab w:val="right" w:leader="dot" w:pos="8931"/>
      </w:tabs>
      <w:spacing w:line="360" w:lineRule="auto"/>
      <w:ind w:left="278"/>
    </w:pPr>
    <w:rPr>
      <w:b/>
      <w:bCs/>
      <w:smallCaps/>
      <w:kern w:val="2"/>
      <w:sz w:val="24"/>
      <w:szCs w:val="24"/>
    </w:rPr>
  </w:style>
  <w:style w:type="paragraph" w:styleId="23">
    <w:name w:val="Body Text Indent"/>
    <w:basedOn w:val="1"/>
    <w:next w:val="7"/>
    <w:qFormat/>
    <w:uiPriority w:val="0"/>
    <w:pPr>
      <w:widowControl w:val="0"/>
      <w:adjustRightInd w:val="0"/>
      <w:spacing w:after="120" w:line="360" w:lineRule="atLeast"/>
      <w:ind w:left="200" w:leftChars="200"/>
      <w:textAlignment w:val="baseline"/>
    </w:pPr>
    <w:rPr>
      <w:sz w:val="24"/>
    </w:rPr>
  </w:style>
  <w:style w:type="paragraph" w:styleId="24">
    <w:name w:val="Block Text"/>
    <w:basedOn w:val="1"/>
    <w:next w:val="2"/>
    <w:qFormat/>
    <w:uiPriority w:val="0"/>
    <w:pPr>
      <w:adjustRightInd w:val="0"/>
      <w:spacing w:line="360" w:lineRule="auto"/>
      <w:ind w:left="1560" w:right="1466" w:hanging="240"/>
      <w:textAlignment w:val="baseline"/>
    </w:pPr>
    <w:rPr>
      <w:color w:val="000000"/>
      <w:sz w:val="24"/>
    </w:rPr>
  </w:style>
  <w:style w:type="paragraph" w:styleId="25">
    <w:name w:val="toc 5"/>
    <w:basedOn w:val="1"/>
    <w:next w:val="1"/>
    <w:qFormat/>
    <w:uiPriority w:val="0"/>
    <w:pPr>
      <w:ind w:left="800"/>
    </w:pPr>
    <w:rPr>
      <w:rFonts w:ascii="Calibri" w:hAnsi="Calibri" w:cs="Calibri"/>
      <w:sz w:val="18"/>
      <w:szCs w:val="18"/>
    </w:rPr>
  </w:style>
  <w:style w:type="paragraph" w:styleId="26">
    <w:name w:val="toc 3"/>
    <w:basedOn w:val="1"/>
    <w:next w:val="1"/>
    <w:qFormat/>
    <w:uiPriority w:val="0"/>
    <w:pPr>
      <w:ind w:left="400"/>
    </w:pPr>
    <w:rPr>
      <w:rFonts w:ascii="Calibri" w:hAnsi="Calibri" w:cs="Calibri"/>
      <w:i/>
      <w:iCs/>
    </w:rPr>
  </w:style>
  <w:style w:type="paragraph" w:styleId="27">
    <w:name w:val="Plain Text"/>
    <w:basedOn w:val="1"/>
    <w:next w:val="28"/>
    <w:link w:val="159"/>
    <w:qFormat/>
    <w:uiPriority w:val="0"/>
    <w:pPr>
      <w:widowControl w:val="0"/>
      <w:jc w:val="both"/>
    </w:pPr>
    <w:rPr>
      <w:rFonts w:ascii="宋体"/>
      <w:kern w:val="2"/>
      <w:sz w:val="21"/>
    </w:rPr>
  </w:style>
  <w:style w:type="paragraph" w:styleId="28">
    <w:name w:val="List Number 5"/>
    <w:basedOn w:val="1"/>
    <w:qFormat/>
    <w:uiPriority w:val="0"/>
    <w:pPr>
      <w:numPr>
        <w:ilvl w:val="0"/>
        <w:numId w:val="1"/>
      </w:numPr>
    </w:pPr>
  </w:style>
  <w:style w:type="paragraph" w:styleId="29">
    <w:name w:val="toc 8"/>
    <w:basedOn w:val="1"/>
    <w:next w:val="1"/>
    <w:qFormat/>
    <w:uiPriority w:val="0"/>
    <w:pPr>
      <w:ind w:left="1400"/>
    </w:pPr>
    <w:rPr>
      <w:rFonts w:ascii="Calibri" w:hAnsi="Calibri" w:cs="Calibri"/>
      <w:sz w:val="18"/>
      <w:szCs w:val="18"/>
    </w:rPr>
  </w:style>
  <w:style w:type="paragraph" w:styleId="30">
    <w:name w:val="Date"/>
    <w:basedOn w:val="1"/>
    <w:next w:val="1"/>
    <w:link w:val="161"/>
    <w:qFormat/>
    <w:uiPriority w:val="0"/>
    <w:pPr>
      <w:widowControl w:val="0"/>
      <w:ind w:left="100"/>
      <w:jc w:val="both"/>
    </w:pPr>
    <w:rPr>
      <w:kern w:val="2"/>
      <w:sz w:val="21"/>
    </w:rPr>
  </w:style>
  <w:style w:type="paragraph" w:styleId="31">
    <w:name w:val="Body Text Indent 2"/>
    <w:basedOn w:val="1"/>
    <w:qFormat/>
    <w:uiPriority w:val="0"/>
    <w:pPr>
      <w:widowControl w:val="0"/>
      <w:spacing w:line="360" w:lineRule="auto"/>
      <w:ind w:firstLine="482"/>
      <w:jc w:val="both"/>
    </w:pPr>
    <w:rPr>
      <w:rFonts w:ascii="仿宋_GB2312" w:eastAsia="仿宋_GB2312"/>
      <w:sz w:val="24"/>
    </w:rPr>
  </w:style>
  <w:style w:type="paragraph" w:styleId="32">
    <w:name w:val="Balloon Text"/>
    <w:basedOn w:val="1"/>
    <w:link w:val="160"/>
    <w:qFormat/>
    <w:uiPriority w:val="0"/>
    <w:rPr>
      <w:sz w:val="18"/>
      <w:szCs w:val="18"/>
    </w:rPr>
  </w:style>
  <w:style w:type="paragraph" w:styleId="33">
    <w:name w:val="footer"/>
    <w:basedOn w:val="1"/>
    <w:next w:val="1"/>
    <w:link w:val="156"/>
    <w:qFormat/>
    <w:uiPriority w:val="99"/>
    <w:pPr>
      <w:tabs>
        <w:tab w:val="center" w:pos="4153"/>
        <w:tab w:val="right" w:pos="8306"/>
      </w:tabs>
      <w:snapToGrid w:val="0"/>
    </w:pPr>
    <w:rPr>
      <w:sz w:val="18"/>
      <w:szCs w:val="18"/>
    </w:rPr>
  </w:style>
  <w:style w:type="paragraph" w:styleId="34">
    <w:name w:val="toc 1"/>
    <w:basedOn w:val="1"/>
    <w:next w:val="1"/>
    <w:qFormat/>
    <w:uiPriority w:val="39"/>
    <w:pPr>
      <w:widowControl w:val="0"/>
      <w:tabs>
        <w:tab w:val="right" w:leader="dot" w:pos="8931"/>
      </w:tabs>
      <w:spacing w:before="120" w:after="120"/>
    </w:pPr>
    <w:rPr>
      <w:rFonts w:eastAsia="黑体"/>
      <w:b/>
      <w:bCs/>
      <w:caps/>
      <w:kern w:val="2"/>
      <w:sz w:val="24"/>
      <w:szCs w:val="24"/>
    </w:rPr>
  </w:style>
  <w:style w:type="paragraph" w:styleId="35">
    <w:name w:val="toc 4"/>
    <w:basedOn w:val="1"/>
    <w:next w:val="1"/>
    <w:qFormat/>
    <w:uiPriority w:val="0"/>
    <w:pPr>
      <w:ind w:left="600"/>
    </w:pPr>
    <w:rPr>
      <w:rFonts w:ascii="Calibri" w:hAnsi="Calibri" w:cs="Calibri"/>
      <w:sz w:val="18"/>
      <w:szCs w:val="18"/>
    </w:rPr>
  </w:style>
  <w:style w:type="paragraph" w:styleId="36">
    <w:name w:val="Subtitle"/>
    <w:basedOn w:val="1"/>
    <w:next w:val="1"/>
    <w:qFormat/>
    <w:uiPriority w:val="0"/>
    <w:pPr>
      <w:widowControl w:val="0"/>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ind w:left="420" w:hanging="420"/>
    </w:pPr>
    <w:rPr>
      <w:sz w:val="28"/>
    </w:rPr>
  </w:style>
  <w:style w:type="paragraph" w:styleId="38">
    <w:name w:val="toc 6"/>
    <w:basedOn w:val="1"/>
    <w:next w:val="1"/>
    <w:qFormat/>
    <w:uiPriority w:val="0"/>
    <w:pPr>
      <w:ind w:left="1000"/>
    </w:pPr>
    <w:rPr>
      <w:rFonts w:ascii="Calibri" w:hAnsi="Calibri" w:cs="Calibri"/>
      <w:sz w:val="18"/>
      <w:szCs w:val="18"/>
    </w:rPr>
  </w:style>
  <w:style w:type="paragraph" w:styleId="39">
    <w:name w:val="Body Text Indent 3"/>
    <w:basedOn w:val="1"/>
    <w:qFormat/>
    <w:uiPriority w:val="0"/>
    <w:pPr>
      <w:widowControl w:val="0"/>
      <w:ind w:firstLine="200" w:firstLineChars="200"/>
      <w:jc w:val="both"/>
    </w:pPr>
    <w:rPr>
      <w:rFonts w:ascii="宋体"/>
      <w:spacing w:val="20"/>
      <w:kern w:val="2"/>
      <w:sz w:val="28"/>
      <w:szCs w:val="24"/>
    </w:rPr>
  </w:style>
  <w:style w:type="paragraph" w:styleId="40">
    <w:name w:val="table of figures"/>
    <w:basedOn w:val="1"/>
    <w:next w:val="1"/>
    <w:qFormat/>
    <w:uiPriority w:val="0"/>
    <w:pPr>
      <w:ind w:hanging="200"/>
    </w:pPr>
    <w:rPr>
      <w:rFonts w:hAnsi="宋体" w:cs="宋体"/>
      <w:kern w:val="0"/>
      <w:szCs w:val="20"/>
    </w:rPr>
  </w:style>
  <w:style w:type="paragraph" w:styleId="41">
    <w:name w:val="toc 9"/>
    <w:basedOn w:val="1"/>
    <w:next w:val="1"/>
    <w:qFormat/>
    <w:uiPriority w:val="0"/>
    <w:pPr>
      <w:ind w:left="1600"/>
    </w:pPr>
    <w:rPr>
      <w:rFonts w:ascii="Calibri" w:hAnsi="Calibri" w:cs="Calibri"/>
      <w:sz w:val="18"/>
      <w:szCs w:val="18"/>
    </w:rPr>
  </w:style>
  <w:style w:type="paragraph" w:styleId="4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sz w:val="24"/>
      <w:szCs w:val="24"/>
    </w:rPr>
  </w:style>
  <w:style w:type="paragraph" w:styleId="43">
    <w:name w:val="Normal (Web)"/>
    <w:basedOn w:val="1"/>
    <w:qFormat/>
    <w:uiPriority w:val="0"/>
    <w:pPr>
      <w:spacing w:before="100" w:beforeAutospacing="1" w:after="100" w:afterAutospacing="1"/>
    </w:pPr>
    <w:rPr>
      <w:rFonts w:ascii="宋体"/>
      <w:sz w:val="24"/>
      <w:szCs w:val="24"/>
    </w:rPr>
  </w:style>
  <w:style w:type="paragraph" w:styleId="44">
    <w:name w:val="index 1"/>
    <w:basedOn w:val="1"/>
    <w:next w:val="1"/>
    <w:qFormat/>
    <w:uiPriority w:val="0"/>
    <w:pPr>
      <w:widowControl w:val="0"/>
      <w:adjustRightInd w:val="0"/>
      <w:spacing w:line="400" w:lineRule="atLeast"/>
      <w:jc w:val="center"/>
      <w:textAlignment w:val="baseline"/>
    </w:pPr>
    <w:rPr>
      <w:rFonts w:ascii="宋体"/>
      <w:color w:val="FF0000"/>
      <w:sz w:val="24"/>
    </w:rPr>
  </w:style>
  <w:style w:type="paragraph" w:styleId="45">
    <w:name w:val="Title"/>
    <w:basedOn w:val="1"/>
    <w:next w:val="1"/>
    <w:qFormat/>
    <w:uiPriority w:val="0"/>
    <w:pPr>
      <w:spacing w:before="240" w:after="60" w:line="440" w:lineRule="exact"/>
      <w:outlineLvl w:val="0"/>
    </w:pPr>
    <w:rPr>
      <w:rFonts w:ascii="Cambria" w:hAnsi="Cambria"/>
      <w:b/>
      <w:bCs/>
      <w:sz w:val="32"/>
      <w:szCs w:val="32"/>
    </w:rPr>
  </w:style>
  <w:style w:type="paragraph" w:styleId="46">
    <w:name w:val="annotation subject"/>
    <w:basedOn w:val="18"/>
    <w:next w:val="18"/>
    <w:link w:val="163"/>
    <w:qFormat/>
    <w:uiPriority w:val="0"/>
    <w:pPr>
      <w:widowControl/>
    </w:pPr>
    <w:rPr>
      <w:b/>
      <w:bCs/>
    </w:rPr>
  </w:style>
  <w:style w:type="paragraph" w:styleId="47">
    <w:name w:val="Body Text First Indent"/>
    <w:basedOn w:val="21"/>
    <w:next w:val="40"/>
    <w:qFormat/>
    <w:uiPriority w:val="0"/>
    <w:pPr>
      <w:adjustRightInd/>
      <w:spacing w:after="120" w:line="240" w:lineRule="auto"/>
      <w:ind w:firstLine="420"/>
      <w:jc w:val="both"/>
    </w:pPr>
    <w:rPr>
      <w:rFonts w:ascii="楷体_GB2312" w:hAnsi="Calibri" w:eastAsia="楷体_GB2312" w:cs="Times New Roman"/>
      <w:kern w:val="2"/>
      <w:sz w:val="21"/>
    </w:rPr>
  </w:style>
  <w:style w:type="paragraph" w:styleId="48">
    <w:name w:val="Body Text First Indent 2"/>
    <w:basedOn w:val="23"/>
    <w:next w:val="27"/>
    <w:qFormat/>
    <w:uiPriority w:val="0"/>
    <w:pPr>
      <w:tabs>
        <w:tab w:val="left" w:pos="1440"/>
      </w:tabs>
      <w:ind w:firstLine="560"/>
    </w:p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2">
    <w:name w:val=" Char Char Char2 Char Char Char Char"/>
    <w:basedOn w:val="1"/>
    <w:link w:val="51"/>
    <w:qFormat/>
    <w:uiPriority w:val="0"/>
    <w:pPr>
      <w:widowControl w:val="0"/>
      <w:spacing w:line="360" w:lineRule="auto"/>
      <w:ind w:firstLine="200" w:firstLineChars="200"/>
      <w:jc w:val="both"/>
    </w:pPr>
    <w:rPr>
      <w:rFonts w:ascii="宋体" w:hAnsi="宋体" w:cs="宋体"/>
      <w:kern w:val="2"/>
      <w:sz w:val="24"/>
      <w:szCs w:val="24"/>
    </w:rPr>
  </w:style>
  <w:style w:type="character" w:styleId="53">
    <w:name w:val="Strong"/>
    <w:basedOn w:val="51"/>
    <w:qFormat/>
    <w:uiPriority w:val="0"/>
    <w:rPr>
      <w:b/>
    </w:rPr>
  </w:style>
  <w:style w:type="character" w:styleId="54">
    <w:name w:val="page number"/>
    <w:basedOn w:val="51"/>
    <w:qFormat/>
    <w:uiPriority w:val="0"/>
  </w:style>
  <w:style w:type="character" w:styleId="55">
    <w:name w:val="FollowedHyperlink"/>
    <w:basedOn w:val="51"/>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00"/>
      <w:u w:val="none"/>
    </w:rPr>
  </w:style>
  <w:style w:type="character" w:styleId="58">
    <w:name w:val="annotation reference"/>
    <w:qFormat/>
    <w:uiPriority w:val="0"/>
    <w:rPr>
      <w:sz w:val="21"/>
      <w:szCs w:val="21"/>
    </w:rPr>
  </w:style>
  <w:style w:type="paragraph" w:customStyle="1" w:styleId="59">
    <w:name w:val="标书正文"/>
    <w:basedOn w:val="1"/>
    <w:qFormat/>
    <w:uiPriority w:val="0"/>
    <w:pPr>
      <w:spacing w:line="440" w:lineRule="exact"/>
      <w:ind w:firstLine="200" w:firstLineChars="200"/>
    </w:pPr>
    <w:rPr>
      <w:rFonts w:ascii="Arial" w:hAnsi="Arial"/>
      <w:color w:val="000000"/>
      <w:kern w:val="24"/>
      <w:sz w:val="24"/>
    </w:rPr>
  </w:style>
  <w:style w:type="paragraph" w:customStyle="1" w:styleId="60">
    <w:name w:val="Char Char Char2 Char Char Char Char"/>
    <w:basedOn w:val="1"/>
    <w:qFormat/>
    <w:uiPriority w:val="0"/>
    <w:pPr>
      <w:spacing w:line="360" w:lineRule="auto"/>
      <w:ind w:firstLine="200" w:firstLineChars="200"/>
    </w:pPr>
    <w:rPr>
      <w:rFonts w:ascii="宋体" w:hAnsi="宋体" w:cs="宋体"/>
      <w:sz w:val="24"/>
    </w:rPr>
  </w:style>
  <w:style w:type="paragraph" w:customStyle="1" w:styleId="61">
    <w:name w:val="默认段落字体 Para Char"/>
    <w:basedOn w:val="1"/>
    <w:qFormat/>
    <w:uiPriority w:val="0"/>
    <w:pPr>
      <w:widowControl w:val="0"/>
      <w:spacing w:line="360" w:lineRule="auto"/>
      <w:ind w:firstLine="200" w:firstLineChars="200"/>
      <w:jc w:val="both"/>
    </w:pPr>
    <w:rPr>
      <w:rFonts w:ascii="宋体" w:cs="宋体"/>
      <w:kern w:val="2"/>
      <w:sz w:val="24"/>
      <w:szCs w:val="24"/>
    </w:rPr>
  </w:style>
  <w:style w:type="paragraph" w:customStyle="1" w:styleId="62">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63">
    <w:name w:val="Body Text First Indent1"/>
    <w:basedOn w:val="21"/>
    <w:qFormat/>
    <w:uiPriority w:val="0"/>
    <w:pPr>
      <w:numPr>
        <w:ilvl w:val="0"/>
        <w:numId w:val="2"/>
      </w:numPr>
      <w:tabs>
        <w:tab w:val="left" w:pos="425"/>
        <w:tab w:val="clear" w:pos="420"/>
      </w:tabs>
      <w:ind w:firstLine="880"/>
    </w:pPr>
  </w:style>
  <w:style w:type="paragraph" w:customStyle="1" w:styleId="64">
    <w:name w:val="NormalIndent"/>
    <w:basedOn w:val="1"/>
    <w:qFormat/>
    <w:uiPriority w:val="0"/>
    <w:pPr>
      <w:ind w:firstLine="420"/>
      <w:textAlignment w:val="baseline"/>
    </w:pPr>
    <w:rPr>
      <w:sz w:val="21"/>
      <w:szCs w:val="24"/>
    </w:rPr>
  </w:style>
  <w:style w:type="character" w:customStyle="1" w:styleId="65">
    <w:name w:val="标题 2 字符"/>
    <w:basedOn w:val="51"/>
    <w:link w:val="4"/>
    <w:qFormat/>
    <w:uiPriority w:val="0"/>
    <w:rPr>
      <w:rFonts w:ascii="Cambria" w:hAnsi="Cambria" w:eastAsia="宋体" w:cs="Times New Roman"/>
      <w:b/>
      <w:bCs/>
      <w:sz w:val="32"/>
      <w:szCs w:val="32"/>
      <w:lang w:val="en-US" w:eastAsia="zh-CN" w:bidi="ar-SA"/>
    </w:rPr>
  </w:style>
  <w:style w:type="character" w:customStyle="1" w:styleId="66">
    <w:name w:val="标题 2 Char2"/>
    <w:qFormat/>
    <w:uiPriority w:val="0"/>
    <w:rPr>
      <w:rFonts w:ascii="Arial" w:hAnsi="Arial" w:eastAsia="黑体"/>
      <w:b/>
      <w:bCs/>
      <w:kern w:val="2"/>
      <w:sz w:val="32"/>
      <w:szCs w:val="32"/>
    </w:rPr>
  </w:style>
  <w:style w:type="paragraph" w:customStyle="1" w:styleId="67">
    <w:name w:val="我的正文"/>
    <w:basedOn w:val="1"/>
    <w:qFormat/>
    <w:uiPriority w:val="0"/>
    <w:pPr>
      <w:widowControl w:val="0"/>
      <w:spacing w:line="460" w:lineRule="exact"/>
      <w:ind w:firstLine="200" w:firstLineChars="200"/>
    </w:pPr>
    <w:rPr>
      <w:rFonts w:eastAsia="仿宋_GB2312"/>
      <w:bCs/>
      <w:color w:val="0000CC"/>
      <w:kern w:val="2"/>
      <w:sz w:val="28"/>
      <w:szCs w:val="24"/>
    </w:rPr>
  </w:style>
  <w:style w:type="character" w:customStyle="1" w:styleId="68">
    <w:name w:val="访问过的超链接1"/>
    <w:qFormat/>
    <w:uiPriority w:val="0"/>
    <w:rPr>
      <w:color w:val="800080"/>
      <w:u w:val="single"/>
    </w:rPr>
  </w:style>
  <w:style w:type="character" w:customStyle="1" w:styleId="69">
    <w:name w:val="文档结构图 Char1"/>
    <w:qFormat/>
    <w:uiPriority w:val="0"/>
    <w:rPr>
      <w:rFonts w:ascii="宋体"/>
      <w:sz w:val="18"/>
      <w:szCs w:val="18"/>
    </w:rPr>
  </w:style>
  <w:style w:type="paragraph" w:customStyle="1" w:styleId="70">
    <w:name w:val="正文文本 (2)"/>
    <w:basedOn w:val="1"/>
    <w:qFormat/>
    <w:uiPriority w:val="0"/>
    <w:pPr>
      <w:widowControl w:val="0"/>
      <w:shd w:val="clear" w:color="auto" w:fill="FFFFFF"/>
      <w:spacing w:line="456" w:lineRule="exact"/>
    </w:pPr>
    <w:rPr>
      <w:rFonts w:ascii="MingLiU" w:hAnsi="MingLiU" w:eastAsia="MingLiU"/>
      <w:sz w:val="22"/>
    </w:rPr>
  </w:style>
  <w:style w:type="paragraph" w:customStyle="1" w:styleId="71">
    <w:name w:val="样式 ymn正文 + 首行缩进:  2 字符"/>
    <w:basedOn w:val="1"/>
    <w:qFormat/>
    <w:uiPriority w:val="0"/>
    <w:pPr>
      <w:widowControl w:val="0"/>
      <w:adjustRightInd w:val="0"/>
      <w:snapToGrid w:val="0"/>
      <w:spacing w:line="360" w:lineRule="auto"/>
      <w:ind w:firstLine="200" w:firstLineChars="200"/>
      <w:jc w:val="both"/>
    </w:pPr>
    <w:rPr>
      <w:sz w:val="24"/>
    </w:rPr>
  </w:style>
  <w:style w:type="character" w:customStyle="1" w:styleId="72">
    <w:name w:val="正文文本缩进 Char1"/>
    <w:basedOn w:val="51"/>
    <w:qFormat/>
    <w:uiPriority w:val="0"/>
  </w:style>
  <w:style w:type="character" w:customStyle="1" w:styleId="73">
    <w:name w:val="正文文本缩进 2 Char"/>
    <w:qFormat/>
    <w:uiPriority w:val="0"/>
    <w:rPr>
      <w:rFonts w:ascii="仿宋_GB2312" w:eastAsia="仿宋_GB2312"/>
      <w:sz w:val="24"/>
    </w:rPr>
  </w:style>
  <w:style w:type="paragraph" w:customStyle="1" w:styleId="74">
    <w:name w:val="条文首行缩进"/>
    <w:basedOn w:val="7"/>
    <w:qFormat/>
    <w:uiPriority w:val="0"/>
    <w:pPr>
      <w:ind w:firstLine="200" w:firstLineChars="200"/>
    </w:pPr>
    <w:rPr>
      <w:rFonts w:ascii="Arial" w:hAnsi="Arial"/>
      <w:kern w:val="0"/>
      <w:sz w:val="24"/>
      <w:szCs w:val="20"/>
    </w:rPr>
  </w:style>
  <w:style w:type="paragraph" w:styleId="75">
    <w:name w:val="No Spacing"/>
    <w:qFormat/>
    <w:uiPriority w:val="0"/>
    <w:rPr>
      <w:rFonts w:ascii="Calibri" w:hAnsi="Calibri" w:eastAsia="宋体" w:cs="Times New Roman"/>
      <w:sz w:val="22"/>
      <w:szCs w:val="22"/>
      <w:lang w:val="en-US" w:eastAsia="zh-CN" w:bidi="ar-SA"/>
    </w:rPr>
  </w:style>
  <w:style w:type="character" w:customStyle="1" w:styleId="76">
    <w:name w:val="批注文字 Char1"/>
    <w:qFormat/>
    <w:uiPriority w:val="0"/>
    <w:rPr>
      <w:rFonts w:ascii="Times New Roman" w:hAnsi="Times New Roman" w:eastAsia="宋体" w:cs="Times New Roman"/>
      <w:kern w:val="0"/>
      <w:sz w:val="24"/>
      <w:szCs w:val="20"/>
    </w:rPr>
  </w:style>
  <w:style w:type="character" w:customStyle="1" w:styleId="77">
    <w:name w:val="正文文本缩进 3 Char"/>
    <w:qFormat/>
    <w:uiPriority w:val="0"/>
    <w:rPr>
      <w:rFonts w:ascii="宋体"/>
      <w:spacing w:val="20"/>
      <w:kern w:val="2"/>
      <w:sz w:val="28"/>
      <w:szCs w:val="24"/>
    </w:rPr>
  </w:style>
  <w:style w:type="paragraph" w:styleId="78">
    <w:name w:val="List Paragraph"/>
    <w:basedOn w:val="1"/>
    <w:qFormat/>
    <w:uiPriority w:val="0"/>
    <w:pPr>
      <w:widowControl w:val="0"/>
      <w:ind w:firstLine="200" w:firstLineChars="200"/>
      <w:jc w:val="both"/>
    </w:pPr>
    <w:rPr>
      <w:rFonts w:ascii="Calibri" w:hAnsi="Calibri"/>
      <w:kern w:val="2"/>
      <w:sz w:val="21"/>
      <w:szCs w:val="22"/>
    </w:rPr>
  </w:style>
  <w:style w:type="paragraph" w:customStyle="1" w:styleId="79">
    <w:name w:val="xl2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sz w:val="18"/>
      <w:szCs w:val="18"/>
    </w:rPr>
  </w:style>
  <w:style w:type="paragraph" w:customStyle="1" w:styleId="80">
    <w:name w:val="xl208"/>
    <w:basedOn w:val="1"/>
    <w:qFormat/>
    <w:uiPriority w:val="0"/>
    <w:pPr>
      <w:spacing w:before="100" w:beforeAutospacing="1" w:after="100" w:afterAutospacing="1"/>
    </w:pPr>
    <w:rPr>
      <w:rFonts w:ascii="宋体" w:cs="宋体"/>
      <w:color w:val="000000"/>
      <w:sz w:val="18"/>
      <w:szCs w:val="18"/>
    </w:rPr>
  </w:style>
  <w:style w:type="paragraph" w:customStyle="1" w:styleId="81">
    <w:name w:val="xl2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sz w:val="18"/>
      <w:szCs w:val="18"/>
    </w:rPr>
  </w:style>
  <w:style w:type="paragraph" w:customStyle="1" w:styleId="82">
    <w:name w:val="列出段落1"/>
    <w:basedOn w:val="1"/>
    <w:qFormat/>
    <w:uiPriority w:val="0"/>
    <w:pPr>
      <w:widowControl w:val="0"/>
      <w:ind w:firstLine="200" w:firstLineChars="200"/>
      <w:jc w:val="both"/>
    </w:pPr>
    <w:rPr>
      <w:kern w:val="2"/>
      <w:sz w:val="21"/>
      <w:szCs w:val="24"/>
    </w:rPr>
  </w:style>
  <w:style w:type="paragraph" w:customStyle="1" w:styleId="83">
    <w:name w:val="xl2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sz w:val="18"/>
      <w:szCs w:val="18"/>
    </w:rPr>
  </w:style>
  <w:style w:type="paragraph" w:customStyle="1" w:styleId="84">
    <w:name w:val="TOC 标题1"/>
    <w:basedOn w:val="3"/>
    <w:next w:val="1"/>
    <w:qFormat/>
    <w:uiPriority w:val="0"/>
    <w:pPr>
      <w:keepLines/>
      <w:widowControl/>
      <w:autoSpaceDE/>
      <w:autoSpaceDN/>
      <w:adjustRightInd/>
      <w:spacing w:before="480" w:line="276" w:lineRule="auto"/>
      <w:outlineLvl w:val="9"/>
    </w:pPr>
    <w:rPr>
      <w:rFonts w:ascii="Cambria" w:hAnsi="Cambria"/>
      <w:bCs/>
      <w:color w:val="365F91"/>
      <w:szCs w:val="28"/>
    </w:rPr>
  </w:style>
  <w:style w:type="paragraph" w:customStyle="1" w:styleId="85">
    <w:name w:val="自定义页脚1"/>
    <w:basedOn w:val="33"/>
    <w:qFormat/>
    <w:uiPriority w:val="0"/>
    <w:pPr>
      <w:widowControl w:val="0"/>
      <w:pBdr>
        <w:top w:val="single" w:color="auto" w:sz="2" w:space="1"/>
      </w:pBdr>
      <w:jc w:val="center"/>
    </w:pPr>
    <w:rPr>
      <w:rFonts w:ascii="隶书" w:eastAsia="隶书"/>
      <w:kern w:val="2"/>
      <w:sz w:val="21"/>
      <w:szCs w:val="21"/>
    </w:rPr>
  </w:style>
  <w:style w:type="paragraph" w:customStyle="1" w:styleId="86">
    <w:name w:val="样式1"/>
    <w:basedOn w:val="33"/>
    <w:qFormat/>
    <w:uiPriority w:val="0"/>
    <w:pPr>
      <w:tabs>
        <w:tab w:val="left" w:pos="1680"/>
        <w:tab w:val="clear" w:pos="4153"/>
        <w:tab w:val="clear" w:pos="8306"/>
      </w:tabs>
      <w:spacing w:line="480" w:lineRule="exact"/>
      <w:ind w:left="280"/>
    </w:pPr>
    <w:rPr>
      <w:rFonts w:eastAsia="仿宋_GB2312"/>
      <w:szCs w:val="20"/>
    </w:rPr>
  </w:style>
  <w:style w:type="paragraph" w:customStyle="1" w:styleId="87">
    <w:name w:val="xl211"/>
    <w:basedOn w:val="1"/>
    <w:qFormat/>
    <w:uiPriority w:val="0"/>
    <w:pPr>
      <w:spacing w:before="100" w:beforeAutospacing="1" w:after="100" w:afterAutospacing="1"/>
    </w:pPr>
    <w:rPr>
      <w:rFonts w:ascii="宋体" w:cs="宋体"/>
      <w:color w:val="000000"/>
      <w:sz w:val="18"/>
      <w:szCs w:val="18"/>
    </w:rPr>
  </w:style>
  <w:style w:type="paragraph" w:customStyle="1" w:styleId="88">
    <w:name w:val="BT1"/>
    <w:basedOn w:val="1"/>
    <w:qFormat/>
    <w:uiPriority w:val="0"/>
    <w:pPr>
      <w:widowControl w:val="0"/>
      <w:spacing w:before="50" w:beforeLines="50" w:after="50" w:afterLines="50"/>
    </w:pPr>
    <w:rPr>
      <w:rFonts w:ascii="宋体" w:hAnsi="宋体" w:eastAsia="黑体"/>
      <w:b/>
      <w:kern w:val="2"/>
      <w:sz w:val="28"/>
      <w:szCs w:val="24"/>
    </w:rPr>
  </w:style>
  <w:style w:type="paragraph" w:customStyle="1" w:styleId="89">
    <w:name w:val="xl209"/>
    <w:basedOn w:val="1"/>
    <w:qFormat/>
    <w:uiPriority w:val="0"/>
    <w:pPr>
      <w:spacing w:before="100" w:beforeAutospacing="1" w:after="100" w:afterAutospacing="1"/>
    </w:pPr>
    <w:rPr>
      <w:rFonts w:ascii="宋体" w:cs="宋体"/>
      <w:sz w:val="18"/>
      <w:szCs w:val="18"/>
    </w:rPr>
  </w:style>
  <w:style w:type="paragraph" w:customStyle="1" w:styleId="90">
    <w:name w:val="Char Char Char1 Char Char Char Char Char Char Char"/>
    <w:basedOn w:val="1"/>
    <w:next w:val="1"/>
    <w:qFormat/>
    <w:uiPriority w:val="0"/>
    <w:pPr>
      <w:widowControl w:val="0"/>
      <w:spacing w:line="360" w:lineRule="auto"/>
      <w:ind w:firstLine="200" w:firstLineChars="200"/>
      <w:jc w:val="both"/>
    </w:pPr>
    <w:rPr>
      <w:rFonts w:ascii="宋体" w:cs="宋体"/>
      <w:kern w:val="2"/>
      <w:sz w:val="24"/>
      <w:szCs w:val="24"/>
    </w:rPr>
  </w:style>
  <w:style w:type="paragraph" w:customStyle="1" w:styleId="91">
    <w:name w:val="样式 标题 5 + 黑体 非加粗 首行缩进:  2.24 字符"/>
    <w:qFormat/>
    <w:uiPriority w:val="0"/>
    <w:pPr>
      <w:ind w:firstLine="224" w:firstLineChars="224"/>
    </w:pPr>
    <w:rPr>
      <w:rFonts w:ascii="黑体" w:hAnsi="Times New Roman" w:eastAsia="黑体" w:cs="宋体"/>
      <w:sz w:val="28"/>
      <w:lang w:val="en-US" w:eastAsia="zh-CN" w:bidi="ar-SA"/>
    </w:rPr>
  </w:style>
  <w:style w:type="paragraph" w:customStyle="1" w:styleId="92">
    <w:name w:val="Char Char Char1 Char Char Char Char Char Char Char11"/>
    <w:basedOn w:val="1"/>
    <w:next w:val="1"/>
    <w:qFormat/>
    <w:uiPriority w:val="0"/>
    <w:pPr>
      <w:widowControl w:val="0"/>
      <w:spacing w:line="360" w:lineRule="auto"/>
      <w:ind w:firstLine="200" w:firstLineChars="200"/>
      <w:jc w:val="both"/>
    </w:pPr>
    <w:rPr>
      <w:rFonts w:ascii="宋体" w:cs="宋体"/>
      <w:kern w:val="2"/>
      <w:sz w:val="24"/>
      <w:szCs w:val="24"/>
    </w:rPr>
  </w:style>
  <w:style w:type="paragraph" w:customStyle="1" w:styleId="93">
    <w:name w:val="xl2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sz w:val="18"/>
      <w:szCs w:val="18"/>
    </w:rPr>
  </w:style>
  <w:style w:type="paragraph" w:customStyle="1" w:styleId="94">
    <w:name w:val="样式3"/>
    <w:basedOn w:val="1"/>
    <w:qFormat/>
    <w:uiPriority w:val="0"/>
    <w:pPr>
      <w:widowControl w:val="0"/>
      <w:spacing w:line="500" w:lineRule="exact"/>
      <w:ind w:firstLine="200" w:firstLineChars="200"/>
      <w:jc w:val="center"/>
      <w:outlineLvl w:val="1"/>
    </w:pPr>
    <w:rPr>
      <w:rFonts w:ascii="Arial" w:hAnsi="Arial" w:eastAsia="方正大黑简体" w:cs="Arial"/>
      <w:bCs/>
      <w:kern w:val="2"/>
      <w:sz w:val="32"/>
      <w:szCs w:val="32"/>
    </w:rPr>
  </w:style>
  <w:style w:type="paragraph" w:customStyle="1" w:styleId="95">
    <w:name w:val="xl2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sz w:val="18"/>
      <w:szCs w:val="18"/>
    </w:rPr>
  </w:style>
  <w:style w:type="paragraph" w:customStyle="1" w:styleId="96">
    <w:name w:val="font1"/>
    <w:basedOn w:val="1"/>
    <w:qFormat/>
    <w:uiPriority w:val="0"/>
    <w:pPr>
      <w:spacing w:before="100" w:beforeAutospacing="1" w:after="100" w:afterAutospacing="1"/>
    </w:pPr>
    <w:rPr>
      <w:rFonts w:ascii="宋体" w:cs="宋体"/>
      <w:color w:val="000000"/>
      <w:sz w:val="22"/>
      <w:szCs w:val="22"/>
    </w:rPr>
  </w:style>
  <w:style w:type="paragraph" w:customStyle="1" w:styleId="97">
    <w:name w:val="样式 标题 1 + 黑体 三号 居中 段前: 7.8 磅 段后: 7.8 磅 行距: 固定值 24 磅"/>
    <w:qFormat/>
    <w:uiPriority w:val="0"/>
    <w:pPr>
      <w:spacing w:before="156" w:after="156" w:line="480" w:lineRule="exact"/>
      <w:jc w:val="center"/>
    </w:pPr>
    <w:rPr>
      <w:rFonts w:ascii="黑体" w:hAnsi="Times New Roman" w:eastAsia="黑体" w:cs="宋体"/>
      <w:b/>
      <w:bCs/>
      <w:sz w:val="32"/>
      <w:lang w:val="en-US" w:eastAsia="zh-CN" w:bidi="ar-SA"/>
    </w:rPr>
  </w:style>
  <w:style w:type="paragraph" w:customStyle="1" w:styleId="98">
    <w:name w:val="xl2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sz w:val="18"/>
      <w:szCs w:val="18"/>
    </w:rPr>
  </w:style>
  <w:style w:type="paragraph" w:customStyle="1" w:styleId="99">
    <w:name w:val="xl22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cs="宋体"/>
      <w:color w:val="000000"/>
      <w:sz w:val="18"/>
      <w:szCs w:val="18"/>
    </w:rPr>
  </w:style>
  <w:style w:type="paragraph" w:customStyle="1" w:styleId="100">
    <w:name w:val="xl2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sz w:val="18"/>
      <w:szCs w:val="18"/>
    </w:rPr>
  </w:style>
  <w:style w:type="paragraph" w:customStyle="1" w:styleId="101">
    <w:name w:val="xl210"/>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cs="宋体"/>
      <w:color w:val="000000"/>
      <w:sz w:val="18"/>
      <w:szCs w:val="18"/>
    </w:rPr>
  </w:style>
  <w:style w:type="paragraph" w:customStyle="1" w:styleId="102">
    <w:name w:val="p15"/>
    <w:basedOn w:val="1"/>
    <w:qFormat/>
    <w:uiPriority w:val="0"/>
    <w:pPr>
      <w:spacing w:line="440" w:lineRule="atLeast"/>
      <w:ind w:firstLine="420"/>
    </w:pPr>
    <w:rPr>
      <w:rFonts w:ascii="宋体" w:cs="宋体"/>
      <w:sz w:val="24"/>
      <w:szCs w:val="24"/>
    </w:rPr>
  </w:style>
  <w:style w:type="paragraph" w:customStyle="1" w:styleId="103">
    <w:name w:val="Char Char Char2 Char Char Char Char1"/>
    <w:basedOn w:val="1"/>
    <w:qFormat/>
    <w:uiPriority w:val="0"/>
    <w:pPr>
      <w:widowControl w:val="0"/>
      <w:spacing w:line="360" w:lineRule="auto"/>
      <w:ind w:firstLine="200" w:firstLineChars="200"/>
      <w:jc w:val="both"/>
    </w:pPr>
    <w:rPr>
      <w:rFonts w:ascii="宋体" w:cs="宋体"/>
      <w:kern w:val="2"/>
      <w:sz w:val="24"/>
      <w:szCs w:val="24"/>
    </w:rPr>
  </w:style>
  <w:style w:type="paragraph" w:customStyle="1" w:styleId="104">
    <w:name w:val="xl2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color w:val="000000"/>
      <w:sz w:val="18"/>
      <w:szCs w:val="18"/>
    </w:rPr>
  </w:style>
  <w:style w:type="paragraph" w:customStyle="1" w:styleId="105">
    <w:name w:val="xl21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cs="宋体"/>
      <w:sz w:val="18"/>
      <w:szCs w:val="18"/>
    </w:rPr>
  </w:style>
  <w:style w:type="paragraph" w:customStyle="1" w:styleId="106">
    <w:name w:val="正文页眉"/>
    <w:basedOn w:val="2"/>
    <w:qFormat/>
    <w:uiPriority w:val="0"/>
    <w:pPr>
      <w:widowControl w:val="0"/>
      <w:pBdr>
        <w:bottom w:val="thinThickSmallGap" w:color="auto" w:sz="12" w:space="1"/>
      </w:pBdr>
      <w:jc w:val="both"/>
    </w:pPr>
    <w:rPr>
      <w:rFonts w:ascii="宋体"/>
      <w:iCs/>
      <w:kern w:val="2"/>
      <w:sz w:val="21"/>
      <w:szCs w:val="21"/>
    </w:rPr>
  </w:style>
  <w:style w:type="paragraph" w:customStyle="1" w:styleId="107">
    <w:name w:val="xl2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sz w:val="18"/>
      <w:szCs w:val="18"/>
    </w:rPr>
  </w:style>
  <w:style w:type="paragraph" w:customStyle="1" w:styleId="108">
    <w:name w:val="p0"/>
    <w:basedOn w:val="1"/>
    <w:qFormat/>
    <w:uiPriority w:val="0"/>
    <w:pPr>
      <w:jc w:val="both"/>
    </w:pPr>
    <w:rPr>
      <w:sz w:val="21"/>
      <w:szCs w:val="21"/>
    </w:rPr>
  </w:style>
  <w:style w:type="paragraph" w:customStyle="1" w:styleId="109">
    <w:name w:val="xl2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cs="宋体"/>
      <w:color w:val="000000"/>
      <w:sz w:val="18"/>
      <w:szCs w:val="18"/>
    </w:rPr>
  </w:style>
  <w:style w:type="paragraph" w:customStyle="1" w:styleId="110">
    <w:name w:val="正文1"/>
    <w:basedOn w:val="1"/>
    <w:qFormat/>
    <w:uiPriority w:val="0"/>
    <w:pPr>
      <w:widowControl w:val="0"/>
      <w:adjustRightInd w:val="0"/>
      <w:spacing w:line="360" w:lineRule="atLeast"/>
    </w:pPr>
    <w:rPr>
      <w:rFonts w:ascii="宋体"/>
      <w:sz w:val="24"/>
    </w:rPr>
  </w:style>
  <w:style w:type="paragraph" w:customStyle="1" w:styleId="111">
    <w:name w:val="标题1"/>
    <w:basedOn w:val="3"/>
    <w:qFormat/>
    <w:uiPriority w:val="0"/>
    <w:pPr>
      <w:keepLines/>
      <w:autoSpaceDE/>
      <w:autoSpaceDN/>
      <w:adjustRightInd/>
      <w:spacing w:line="240" w:lineRule="auto"/>
      <w:jc w:val="both"/>
    </w:pPr>
    <w:rPr>
      <w:rFonts w:ascii="Times New Roman"/>
      <w:bCs/>
      <w:kern w:val="24"/>
      <w:sz w:val="24"/>
      <w:szCs w:val="44"/>
    </w:rPr>
  </w:style>
  <w:style w:type="paragraph" w:customStyle="1" w:styleId="112">
    <w:name w:val="font5"/>
    <w:basedOn w:val="1"/>
    <w:qFormat/>
    <w:uiPriority w:val="0"/>
    <w:pPr>
      <w:spacing w:before="100" w:beforeAutospacing="1" w:after="100" w:afterAutospacing="1"/>
    </w:pPr>
    <w:rPr>
      <w:rFonts w:ascii="宋体" w:cs="宋体"/>
      <w:sz w:val="18"/>
      <w:szCs w:val="18"/>
    </w:rPr>
  </w:style>
  <w:style w:type="paragraph" w:customStyle="1" w:styleId="113">
    <w:name w:val="font6"/>
    <w:basedOn w:val="1"/>
    <w:qFormat/>
    <w:uiPriority w:val="0"/>
    <w:pPr>
      <w:spacing w:before="100" w:beforeAutospacing="1" w:after="100" w:afterAutospacing="1"/>
    </w:pPr>
    <w:rPr>
      <w:rFonts w:ascii="宋体" w:cs="宋体"/>
      <w:sz w:val="18"/>
      <w:szCs w:val="18"/>
    </w:rPr>
  </w:style>
  <w:style w:type="paragraph" w:customStyle="1" w:styleId="114">
    <w:name w:val="xl2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color w:val="000000"/>
      <w:sz w:val="18"/>
      <w:szCs w:val="18"/>
    </w:rPr>
  </w:style>
  <w:style w:type="paragraph" w:customStyle="1" w:styleId="115">
    <w:name w:val="列出段落2"/>
    <w:basedOn w:val="1"/>
    <w:qFormat/>
    <w:uiPriority w:val="0"/>
    <w:pPr>
      <w:widowControl w:val="0"/>
      <w:ind w:firstLine="200" w:firstLineChars="200"/>
      <w:jc w:val="both"/>
    </w:pPr>
    <w:rPr>
      <w:rFonts w:ascii="Calibri" w:hAnsi="Calibri"/>
      <w:kern w:val="2"/>
      <w:sz w:val="21"/>
      <w:szCs w:val="22"/>
    </w:rPr>
  </w:style>
  <w:style w:type="paragraph" w:customStyle="1" w:styleId="116">
    <w:name w:val="正文页脚"/>
    <w:basedOn w:val="33"/>
    <w:qFormat/>
    <w:uiPriority w:val="0"/>
    <w:pPr>
      <w:pBdr>
        <w:top w:val="single" w:color="auto" w:sz="6" w:space="1"/>
      </w:pBdr>
    </w:pPr>
    <w:rPr>
      <w:rFonts w:ascii="隶书" w:eastAsia="隶书"/>
      <w:sz w:val="21"/>
      <w:szCs w:val="21"/>
    </w:rPr>
  </w:style>
  <w:style w:type="paragraph" w:customStyle="1" w:styleId="117">
    <w:name w:val="reader-word-layer"/>
    <w:basedOn w:val="1"/>
    <w:qFormat/>
    <w:uiPriority w:val="0"/>
    <w:pPr>
      <w:spacing w:before="100" w:beforeAutospacing="1" w:after="100" w:afterAutospacing="1"/>
    </w:pPr>
    <w:rPr>
      <w:rFonts w:ascii="宋体" w:cs="宋体"/>
      <w:sz w:val="24"/>
      <w:szCs w:val="24"/>
    </w:rPr>
  </w:style>
  <w:style w:type="paragraph" w:customStyle="1" w:styleId="118">
    <w:name w:val="样式 标题 5 + 黑体 非加粗"/>
    <w:qFormat/>
    <w:uiPriority w:val="0"/>
    <w:rPr>
      <w:rFonts w:ascii="黑体" w:hAnsi="Times New Roman" w:eastAsia="黑体" w:cs="Times New Roman"/>
      <w:sz w:val="28"/>
      <w:szCs w:val="28"/>
      <w:lang w:val="en-US" w:eastAsia="zh-CN" w:bidi="ar-SA"/>
    </w:rPr>
  </w:style>
  <w:style w:type="paragraph" w:customStyle="1" w:styleId="119">
    <w:name w:val="样式 标题 2 + 小四 段后: 0 磅 首行缩进:  2 字符"/>
    <w:qFormat/>
    <w:uiPriority w:val="0"/>
    <w:pPr>
      <w:ind w:firstLine="200" w:firstLineChars="200"/>
    </w:pPr>
    <w:rPr>
      <w:rFonts w:ascii="Cambria" w:hAnsi="Cambria" w:eastAsia="宋体" w:cs="宋体"/>
      <w:b/>
      <w:bCs/>
      <w:sz w:val="24"/>
      <w:lang w:val="en-US" w:eastAsia="zh-CN" w:bidi="ar-SA"/>
    </w:rPr>
  </w:style>
  <w:style w:type="paragraph" w:customStyle="1" w:styleId="120">
    <w:name w:val="TOC 标题11"/>
    <w:basedOn w:val="3"/>
    <w:next w:val="1"/>
    <w:qFormat/>
    <w:uiPriority w:val="0"/>
    <w:pPr>
      <w:keepLines/>
      <w:widowControl/>
      <w:autoSpaceDE/>
      <w:autoSpaceDN/>
      <w:adjustRightInd/>
      <w:spacing w:before="480" w:line="276" w:lineRule="auto"/>
      <w:jc w:val="center"/>
      <w:outlineLvl w:val="9"/>
    </w:pPr>
    <w:rPr>
      <w:rFonts w:ascii="Cambria" w:hAnsi="Cambria"/>
      <w:bCs/>
      <w:color w:val="365F91"/>
      <w:sz w:val="32"/>
      <w:szCs w:val="28"/>
    </w:rPr>
  </w:style>
  <w:style w:type="paragraph" w:customStyle="1" w:styleId="121">
    <w:name w:val="Char Char Char1 Char Char Char Char Char Char Char1"/>
    <w:basedOn w:val="1"/>
    <w:next w:val="1"/>
    <w:qFormat/>
    <w:uiPriority w:val="0"/>
    <w:pPr>
      <w:widowControl w:val="0"/>
      <w:spacing w:line="360" w:lineRule="auto"/>
      <w:ind w:firstLine="200" w:firstLineChars="200"/>
      <w:jc w:val="both"/>
    </w:pPr>
    <w:rPr>
      <w:rFonts w:ascii="宋体" w:cs="宋体"/>
      <w:kern w:val="2"/>
      <w:sz w:val="24"/>
      <w:szCs w:val="24"/>
    </w:rPr>
  </w:style>
  <w:style w:type="paragraph" w:customStyle="1" w:styleId="122">
    <w:name w:val="WPSOffice手动目录 1"/>
    <w:qFormat/>
    <w:uiPriority w:val="0"/>
    <w:rPr>
      <w:rFonts w:ascii="Times New Roman" w:hAnsi="Times New Roman" w:eastAsia="宋体" w:cs="Times New Roman"/>
      <w:lang w:val="en-US" w:eastAsia="zh-CN" w:bidi="ar-SA"/>
    </w:rPr>
  </w:style>
  <w:style w:type="paragraph" w:customStyle="1" w:styleId="12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24">
    <w:name w:val="font11"/>
    <w:basedOn w:val="51"/>
    <w:qFormat/>
    <w:uiPriority w:val="0"/>
    <w:rPr>
      <w:rFonts w:ascii="Times New Roman" w:hAnsi="Times New Roman" w:cs="Times New Roman"/>
      <w:b/>
      <w:color w:val="000000"/>
      <w:sz w:val="21"/>
      <w:szCs w:val="21"/>
      <w:u w:val="none"/>
    </w:rPr>
  </w:style>
  <w:style w:type="character" w:customStyle="1" w:styleId="125">
    <w:name w:val="font61"/>
    <w:basedOn w:val="51"/>
    <w:qFormat/>
    <w:uiPriority w:val="0"/>
    <w:rPr>
      <w:rFonts w:ascii="宋体" w:eastAsia="宋体" w:cs="宋体"/>
      <w:b/>
      <w:color w:val="000000"/>
      <w:sz w:val="21"/>
      <w:szCs w:val="21"/>
      <w:u w:val="none"/>
    </w:rPr>
  </w:style>
  <w:style w:type="character" w:customStyle="1" w:styleId="126">
    <w:name w:val="font51"/>
    <w:basedOn w:val="51"/>
    <w:qFormat/>
    <w:uiPriority w:val="0"/>
    <w:rPr>
      <w:rFonts w:ascii="宋体" w:eastAsia="宋体" w:cs="宋体"/>
      <w:color w:val="000000"/>
      <w:sz w:val="21"/>
      <w:szCs w:val="21"/>
      <w:u w:val="none"/>
    </w:rPr>
  </w:style>
  <w:style w:type="character" w:customStyle="1" w:styleId="127">
    <w:name w:val="font31"/>
    <w:basedOn w:val="51"/>
    <w:qFormat/>
    <w:uiPriority w:val="0"/>
    <w:rPr>
      <w:rFonts w:ascii="Times New Roman" w:hAnsi="Times New Roman" w:cs="Times New Roman"/>
      <w:color w:val="000000"/>
      <w:sz w:val="21"/>
      <w:szCs w:val="21"/>
      <w:u w:val="none"/>
    </w:rPr>
  </w:style>
  <w:style w:type="character" w:customStyle="1" w:styleId="128">
    <w:name w:val="NormalCharacter"/>
    <w:qFormat/>
    <w:uiPriority w:val="0"/>
  </w:style>
  <w:style w:type="paragraph" w:customStyle="1" w:styleId="129">
    <w:name w:val="表"/>
    <w:basedOn w:val="1"/>
    <w:qFormat/>
    <w:uiPriority w:val="0"/>
    <w:rPr>
      <w:rFonts w:ascii="Arial" w:hAnsi="Arial" w:cs="Arial"/>
      <w:sz w:val="21"/>
      <w:szCs w:val="21"/>
    </w:rPr>
  </w:style>
  <w:style w:type="paragraph" w:customStyle="1" w:styleId="130">
    <w:name w:val="章节小1级标题"/>
    <w:qFormat/>
    <w:uiPriority w:val="0"/>
    <w:pPr>
      <w:spacing w:line="360" w:lineRule="auto"/>
      <w:outlineLvl w:val="1"/>
    </w:pPr>
    <w:rPr>
      <w:rFonts w:ascii="宋体" w:hAnsi="Times New Roman" w:eastAsia="宋体" w:cs="Times New Roman"/>
      <w:b/>
      <w:kern w:val="2"/>
      <w:sz w:val="24"/>
      <w:lang w:val="en-US" w:eastAsia="zh-CN" w:bidi="ar-SA"/>
    </w:rPr>
  </w:style>
  <w:style w:type="paragraph" w:customStyle="1" w:styleId="131">
    <w:name w:val="Char Char Char1 Char Char Char Char Char Char Char2"/>
    <w:basedOn w:val="1"/>
    <w:next w:val="1"/>
    <w:qFormat/>
    <w:uiPriority w:val="0"/>
    <w:pPr>
      <w:spacing w:line="360" w:lineRule="auto"/>
      <w:ind w:firstLine="200" w:firstLineChars="200"/>
      <w:jc w:val="both"/>
    </w:pPr>
    <w:rPr>
      <w:rFonts w:ascii="宋体" w:hAnsi="宋体" w:cs="宋体"/>
      <w:sz w:val="24"/>
      <w:szCs w:val="24"/>
    </w:rPr>
  </w:style>
  <w:style w:type="paragraph" w:customStyle="1" w:styleId="132">
    <w:name w:val="纯文本1"/>
    <w:basedOn w:val="1"/>
    <w:qFormat/>
    <w:uiPriority w:val="0"/>
    <w:rPr>
      <w:rFonts w:ascii="宋体" w:hAnsi="Courier New"/>
      <w:szCs w:val="24"/>
    </w:rPr>
  </w:style>
  <w:style w:type="paragraph" w:customStyle="1" w:styleId="133">
    <w:name w:val="表格文字"/>
    <w:basedOn w:val="20"/>
    <w:qFormat/>
    <w:uiPriority w:val="0"/>
    <w:pPr>
      <w:autoSpaceDE w:val="0"/>
      <w:autoSpaceDN w:val="0"/>
      <w:adjustRightInd w:val="0"/>
      <w:spacing w:before="78" w:beforeLines="25" w:after="78" w:afterLines="25"/>
      <w:jc w:val="center"/>
    </w:pPr>
    <w:rPr>
      <w:rFonts w:ascii="宋体" w:hAnsi="宋体"/>
      <w:sz w:val="22"/>
      <w:szCs w:val="22"/>
    </w:rPr>
  </w:style>
  <w:style w:type="paragraph" w:customStyle="1" w:styleId="134">
    <w:name w:val="规定正文"/>
    <w:basedOn w:val="1"/>
    <w:qFormat/>
    <w:uiPriority w:val="0"/>
    <w:pPr>
      <w:topLinePunct/>
      <w:spacing w:beforeLines="50" w:line="360" w:lineRule="auto"/>
      <w:ind w:firstLine="200" w:firstLineChars="200"/>
    </w:pPr>
    <w:rPr>
      <w:rFonts w:hAnsi="宋体" w:cs="宋体"/>
      <w:bCs/>
      <w:sz w:val="24"/>
      <w:szCs w:val="21"/>
      <w:lang w:val="zh-CN" w:eastAsia="en-US" w:bidi="en-US"/>
    </w:rPr>
  </w:style>
  <w:style w:type="paragraph" w:customStyle="1" w:styleId="135">
    <w:name w:val="规定表格"/>
    <w:basedOn w:val="1"/>
    <w:qFormat/>
    <w:uiPriority w:val="0"/>
    <w:pPr>
      <w:topLinePunct/>
      <w:spacing w:beforeLines="50" w:afterLines="50"/>
      <w:ind w:firstLine="480" w:firstLineChars="200"/>
      <w:jc w:val="center"/>
    </w:pPr>
    <w:rPr>
      <w:rFonts w:hAnsi="宋体" w:cs="宋体"/>
      <w:bCs/>
      <w:sz w:val="24"/>
      <w:szCs w:val="21"/>
      <w:lang w:val="zh-CN" w:eastAsia="en-US" w:bidi="en-US"/>
    </w:rPr>
  </w:style>
  <w:style w:type="paragraph" w:customStyle="1" w:styleId="136">
    <w:name w:val="规定表格中"/>
    <w:basedOn w:val="134"/>
    <w:qFormat/>
    <w:uiPriority w:val="0"/>
    <w:pPr>
      <w:spacing w:beforeLines="0" w:line="240" w:lineRule="auto"/>
      <w:ind w:firstLine="0" w:firstLineChars="0"/>
    </w:pPr>
    <w:rPr>
      <w:sz w:val="20"/>
    </w:rPr>
  </w:style>
  <w:style w:type="character" w:customStyle="1" w:styleId="137">
    <w:name w:val="font01"/>
    <w:qFormat/>
    <w:uiPriority w:val="0"/>
    <w:rPr>
      <w:rFonts w:hint="eastAsia" w:ascii="宋体" w:hAnsi="宋体" w:eastAsia="宋体" w:cs="宋体"/>
      <w:b/>
      <w:color w:val="000000"/>
      <w:sz w:val="20"/>
      <w:szCs w:val="20"/>
      <w:u w:val="none"/>
    </w:rPr>
  </w:style>
  <w:style w:type="character" w:customStyle="1" w:styleId="138">
    <w:name w:val="font41"/>
    <w:qFormat/>
    <w:uiPriority w:val="0"/>
    <w:rPr>
      <w:rFonts w:hint="default" w:ascii="Arial" w:hAnsi="Arial" w:cs="Arial"/>
      <w:b/>
      <w:color w:val="000000"/>
      <w:sz w:val="20"/>
      <w:szCs w:val="20"/>
      <w:u w:val="none"/>
    </w:rPr>
  </w:style>
  <w:style w:type="paragraph" w:customStyle="1" w:styleId="139">
    <w:name w:val="正文（首行缩进两字） Char Char"/>
    <w:basedOn w:val="1"/>
    <w:qFormat/>
    <w:uiPriority w:val="0"/>
    <w:pPr>
      <w:spacing w:line="300" w:lineRule="auto"/>
      <w:ind w:firstLine="480" w:firstLineChars="200"/>
    </w:pPr>
    <w:rPr>
      <w:sz w:val="24"/>
      <w:szCs w:val="24"/>
    </w:rPr>
  </w:style>
  <w:style w:type="paragraph" w:customStyle="1" w:styleId="140">
    <w:name w:val="正式文本"/>
    <w:qFormat/>
    <w:uiPriority w:val="0"/>
    <w:pPr>
      <w:suppressAutoHyphens/>
      <w:autoSpaceDN w:val="0"/>
      <w:spacing w:line="540" w:lineRule="exact"/>
      <w:textAlignment w:val="baseline"/>
    </w:pPr>
    <w:rPr>
      <w:rFonts w:ascii="宋体" w:hAnsi="宋体" w:eastAsia="宋体" w:cs="宋体"/>
      <w:kern w:val="3"/>
      <w:sz w:val="28"/>
      <w:szCs w:val="24"/>
      <w:lang w:val="en-US" w:eastAsia="zh-CN" w:bidi="hi-IN"/>
    </w:rPr>
  </w:style>
  <w:style w:type="character" w:customStyle="1" w:styleId="141">
    <w:name w:val="lawsitemtext"/>
    <w:qFormat/>
    <w:uiPriority w:val="0"/>
  </w:style>
  <w:style w:type="paragraph" w:customStyle="1" w:styleId="142">
    <w:name w:val="HH正文"/>
    <w:basedOn w:val="39"/>
    <w:qFormat/>
    <w:uiPriority w:val="0"/>
    <w:pPr>
      <w:spacing w:line="500" w:lineRule="exact"/>
    </w:pPr>
    <w:rPr>
      <w:rFonts w:hAnsi="隶书"/>
      <w:sz w:val="24"/>
    </w:rPr>
  </w:style>
  <w:style w:type="paragraph" w:customStyle="1" w:styleId="143">
    <w:name w:val="正文文本3"/>
    <w:basedOn w:val="1"/>
    <w:qFormat/>
    <w:uiPriority w:val="0"/>
    <w:pPr>
      <w:shd w:val="clear" w:color="auto" w:fill="FFFFFF"/>
      <w:spacing w:line="0" w:lineRule="atLeast"/>
      <w:ind w:hanging="640"/>
    </w:pPr>
    <w:rPr>
      <w:rFonts w:ascii="黑体" w:hAnsi="黑体" w:eastAsia="黑体"/>
      <w:sz w:val="23"/>
      <w:szCs w:val="23"/>
    </w:rPr>
  </w:style>
  <w:style w:type="character" w:customStyle="1" w:styleId="144">
    <w:name w:val="Body text + Palatino Linotype"/>
    <w:qFormat/>
    <w:uiPriority w:val="0"/>
    <w:rPr>
      <w:rFonts w:ascii="Palatino Linotype" w:hAnsi="Palatino Linotype" w:eastAsia="Palatino Linotype" w:cs="Palatino Linotype"/>
      <w:spacing w:val="0"/>
      <w:sz w:val="22"/>
      <w:szCs w:val="22"/>
    </w:rPr>
  </w:style>
  <w:style w:type="paragraph" w:customStyle="1" w:styleId="145">
    <w:name w:val="天津院正文"/>
    <w:basedOn w:val="1"/>
    <w:qFormat/>
    <w:uiPriority w:val="0"/>
    <w:pPr>
      <w:adjustRightInd w:val="0"/>
      <w:snapToGrid w:val="0"/>
      <w:spacing w:line="500" w:lineRule="exact"/>
      <w:ind w:firstLine="480" w:firstLineChars="200"/>
    </w:pPr>
    <w:rPr>
      <w:bCs/>
      <w:color w:val="0000FF"/>
      <w:sz w:val="24"/>
    </w:rPr>
  </w:style>
  <w:style w:type="paragraph" w:customStyle="1" w:styleId="146">
    <w:name w:val="表格样式"/>
    <w:basedOn w:val="1"/>
    <w:next w:val="1"/>
    <w:qFormat/>
    <w:uiPriority w:val="0"/>
    <w:pPr>
      <w:jc w:val="center"/>
    </w:pPr>
    <w:rPr>
      <w:rFonts w:cs="Arial"/>
      <w:bCs/>
      <w:sz w:val="21"/>
      <w:szCs w:val="24"/>
    </w:rPr>
  </w:style>
  <w:style w:type="paragraph" w:customStyle="1" w:styleId="147">
    <w:name w:val="Table Paragraph"/>
    <w:qFormat/>
    <w:uiPriority w:val="1"/>
    <w:pPr>
      <w:widowControl w:val="0"/>
      <w:jc w:val="both"/>
    </w:pPr>
    <w:rPr>
      <w:rFonts w:ascii="宋体" w:hAnsi="宋体" w:eastAsia="宋体" w:cs="宋体"/>
      <w:kern w:val="2"/>
      <w:sz w:val="21"/>
      <w:szCs w:val="24"/>
      <w:lang w:val="zh-CN" w:eastAsia="zh-CN" w:bidi="zh-CN"/>
    </w:rPr>
  </w:style>
  <w:style w:type="paragraph" w:customStyle="1" w:styleId="148">
    <w:name w:val="xl43"/>
    <w:basedOn w:val="1"/>
    <w:qFormat/>
    <w:uiPriority w:val="0"/>
    <w:pPr>
      <w:spacing w:before="100" w:beforeAutospacing="1" w:after="100" w:afterAutospacing="1"/>
      <w:jc w:val="center"/>
      <w:textAlignment w:val="center"/>
    </w:pPr>
    <w:rPr>
      <w:rFonts w:hint="eastAsia" w:ascii="黑体" w:hAnsi="宋体" w:eastAsia="黑体"/>
      <w:b/>
      <w:bCs/>
      <w:sz w:val="44"/>
      <w:szCs w:val="44"/>
    </w:rPr>
  </w:style>
  <w:style w:type="paragraph" w:customStyle="1" w:styleId="149">
    <w:name w:val="表头 Char"/>
    <w:basedOn w:val="1"/>
    <w:qFormat/>
    <w:uiPriority w:val="99"/>
    <w:pPr>
      <w:tabs>
        <w:tab w:val="left" w:pos="4660"/>
      </w:tabs>
      <w:adjustRightInd w:val="0"/>
      <w:snapToGrid w:val="0"/>
      <w:spacing w:before="261" w:beforeLines="50"/>
      <w:jc w:val="center"/>
    </w:pPr>
    <w:rPr>
      <w:rFonts w:ascii="Arial Narrow" w:hAnsi="Arial Narrow" w:cs="宋体"/>
      <w:b/>
      <w:sz w:val="24"/>
    </w:rPr>
  </w:style>
  <w:style w:type="paragraph" w:customStyle="1" w:styleId="150">
    <w:name w:val="自定义页眉1"/>
    <w:basedOn w:val="1"/>
    <w:qFormat/>
    <w:uiPriority w:val="0"/>
    <w:pPr>
      <w:pBdr>
        <w:bottom w:val="thinThickSmallGap" w:color="auto" w:sz="12" w:space="1"/>
      </w:pBdr>
    </w:pPr>
  </w:style>
  <w:style w:type="character" w:customStyle="1" w:styleId="151">
    <w:name w:val="fontstyle11"/>
    <w:basedOn w:val="51"/>
    <w:qFormat/>
    <w:uiPriority w:val="0"/>
    <w:rPr>
      <w:rFonts w:hint="default" w:ascii="Times New Roman" w:hAnsi="Times New Roman" w:cs="Times New Roman"/>
      <w:color w:val="0000FF"/>
      <w:sz w:val="22"/>
      <w:szCs w:val="22"/>
    </w:rPr>
  </w:style>
  <w:style w:type="character" w:customStyle="1" w:styleId="152">
    <w:name w:val="标题 6 字符"/>
    <w:basedOn w:val="51"/>
    <w:link w:val="9"/>
    <w:qFormat/>
    <w:uiPriority w:val="0"/>
    <w:rPr>
      <w:rFonts w:ascii="Arial" w:hAnsi="Arial" w:eastAsia="黑体"/>
      <w:spacing w:val="20"/>
      <w:sz w:val="24"/>
    </w:rPr>
  </w:style>
  <w:style w:type="character" w:customStyle="1" w:styleId="153">
    <w:name w:val="标题 7 字符"/>
    <w:basedOn w:val="51"/>
    <w:link w:val="10"/>
    <w:qFormat/>
    <w:uiPriority w:val="0"/>
    <w:rPr>
      <w:spacing w:val="20"/>
      <w:sz w:val="24"/>
    </w:rPr>
  </w:style>
  <w:style w:type="character" w:customStyle="1" w:styleId="154">
    <w:name w:val="标题 8 字符"/>
    <w:basedOn w:val="51"/>
    <w:link w:val="11"/>
    <w:qFormat/>
    <w:uiPriority w:val="0"/>
    <w:rPr>
      <w:rFonts w:ascii="Arial" w:hAnsi="Arial" w:eastAsia="黑体"/>
      <w:spacing w:val="20"/>
      <w:sz w:val="24"/>
    </w:rPr>
  </w:style>
  <w:style w:type="character" w:customStyle="1" w:styleId="155">
    <w:name w:val="标题 9 字符"/>
    <w:basedOn w:val="51"/>
    <w:link w:val="12"/>
    <w:qFormat/>
    <w:uiPriority w:val="0"/>
    <w:rPr>
      <w:rFonts w:ascii="Arial" w:hAnsi="Arial" w:eastAsia="黑体"/>
      <w:spacing w:val="20"/>
      <w:sz w:val="24"/>
    </w:rPr>
  </w:style>
  <w:style w:type="character" w:customStyle="1" w:styleId="156">
    <w:name w:val="页脚 字符"/>
    <w:link w:val="33"/>
    <w:qFormat/>
    <w:uiPriority w:val="99"/>
    <w:rPr>
      <w:sz w:val="18"/>
      <w:szCs w:val="18"/>
    </w:rPr>
  </w:style>
  <w:style w:type="character" w:customStyle="1" w:styleId="157">
    <w:name w:val="批注文字 字符"/>
    <w:link w:val="18"/>
    <w:qFormat/>
    <w:uiPriority w:val="0"/>
    <w:rPr>
      <w:kern w:val="2"/>
      <w:sz w:val="21"/>
      <w:szCs w:val="24"/>
    </w:rPr>
  </w:style>
  <w:style w:type="character" w:customStyle="1" w:styleId="158">
    <w:name w:val="普通文字 Char1"/>
    <w:qFormat/>
    <w:uiPriority w:val="0"/>
    <w:rPr>
      <w:rFonts w:ascii="宋体" w:hAnsi="Courier New" w:eastAsia="宋体" w:cs="Plotter"/>
      <w:kern w:val="2"/>
      <w:sz w:val="21"/>
      <w:lang w:val="en-US" w:eastAsia="zh-CN" w:bidi="ar-SA"/>
    </w:rPr>
  </w:style>
  <w:style w:type="character" w:customStyle="1" w:styleId="159">
    <w:name w:val="纯文本 字符"/>
    <w:link w:val="27"/>
    <w:qFormat/>
    <w:uiPriority w:val="0"/>
    <w:rPr>
      <w:rFonts w:ascii="宋体"/>
      <w:kern w:val="2"/>
      <w:sz w:val="21"/>
    </w:rPr>
  </w:style>
  <w:style w:type="character" w:customStyle="1" w:styleId="160">
    <w:name w:val="批注框文本 字符"/>
    <w:link w:val="32"/>
    <w:qFormat/>
    <w:uiPriority w:val="0"/>
    <w:rPr>
      <w:sz w:val="18"/>
      <w:szCs w:val="18"/>
    </w:rPr>
  </w:style>
  <w:style w:type="character" w:customStyle="1" w:styleId="161">
    <w:name w:val="日期 字符"/>
    <w:link w:val="30"/>
    <w:qFormat/>
    <w:uiPriority w:val="0"/>
    <w:rPr>
      <w:kern w:val="2"/>
      <w:sz w:val="21"/>
    </w:rPr>
  </w:style>
  <w:style w:type="character" w:customStyle="1" w:styleId="162">
    <w:name w:val="标题 3 字符"/>
    <w:link w:val="5"/>
    <w:qFormat/>
    <w:uiPriority w:val="0"/>
    <w:rPr>
      <w:b/>
      <w:bCs/>
      <w:sz w:val="32"/>
      <w:szCs w:val="32"/>
    </w:rPr>
  </w:style>
  <w:style w:type="character" w:customStyle="1" w:styleId="163">
    <w:name w:val="批注主题 字符"/>
    <w:link w:val="46"/>
    <w:qFormat/>
    <w:uiPriority w:val="0"/>
    <w:rPr>
      <w:b/>
      <w:bCs/>
      <w:kern w:val="2"/>
      <w:sz w:val="21"/>
      <w:szCs w:val="24"/>
    </w:rPr>
  </w:style>
  <w:style w:type="character" w:customStyle="1" w:styleId="164">
    <w:name w:val="说明书 Char"/>
    <w:link w:val="165"/>
    <w:qFormat/>
    <w:uiPriority w:val="0"/>
    <w:rPr>
      <w:rFonts w:ascii="宋体" w:hAnsi="宋体"/>
      <w:kern w:val="2"/>
      <w:sz w:val="24"/>
      <w:szCs w:val="24"/>
    </w:rPr>
  </w:style>
  <w:style w:type="paragraph" w:customStyle="1" w:styleId="165">
    <w:name w:val="说明书"/>
    <w:basedOn w:val="1"/>
    <w:link w:val="164"/>
    <w:qFormat/>
    <w:uiPriority w:val="0"/>
    <w:pPr>
      <w:widowControl w:val="0"/>
      <w:spacing w:line="500" w:lineRule="exact"/>
      <w:ind w:firstLine="200" w:firstLineChars="200"/>
    </w:pPr>
    <w:rPr>
      <w:rFonts w:ascii="宋体" w:hAnsi="宋体"/>
      <w:kern w:val="2"/>
      <w:sz w:val="24"/>
      <w:szCs w:val="24"/>
    </w:rPr>
  </w:style>
  <w:style w:type="paragraph" w:customStyle="1" w:styleId="166">
    <w:name w:val="TOC Heading"/>
    <w:basedOn w:val="3"/>
    <w:next w:val="1"/>
    <w:qFormat/>
    <w:uiPriority w:val="39"/>
    <w:pPr>
      <w:keepLines/>
      <w:widowControl/>
      <w:autoSpaceDE/>
      <w:autoSpaceDN/>
      <w:adjustRightInd/>
      <w:spacing w:before="480" w:line="276" w:lineRule="auto"/>
      <w:outlineLvl w:val="9"/>
    </w:pPr>
    <w:rPr>
      <w:rFonts w:ascii="Cambria" w:hAnsi="Cambria"/>
      <w:bCs/>
      <w:color w:val="365F91"/>
      <w:szCs w:val="28"/>
    </w:rPr>
  </w:style>
  <w:style w:type="paragraph" w:customStyle="1" w:styleId="167">
    <w:name w:val="Normal"/>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68">
    <w:name w:val="黑标题"/>
    <w:basedOn w:val="1"/>
    <w:qFormat/>
    <w:uiPriority w:val="0"/>
    <w:pPr>
      <w:widowControl w:val="0"/>
      <w:spacing w:line="500" w:lineRule="exact"/>
      <w:ind w:firstLine="200" w:firstLineChars="200"/>
    </w:pPr>
    <w:rPr>
      <w:rFonts w:eastAsia="黑体"/>
      <w:b/>
      <w:bCs/>
      <w:kern w:val="2"/>
      <w:sz w:val="24"/>
      <w:szCs w:val="24"/>
    </w:rPr>
  </w:style>
  <w:style w:type="paragraph" w:customStyle="1" w:styleId="169">
    <w:name w:val="正文文字缩进"/>
    <w:basedOn w:val="1"/>
    <w:qFormat/>
    <w:uiPriority w:val="0"/>
    <w:pPr>
      <w:spacing w:line="5391" w:lineRule="atLeast"/>
      <w:ind w:firstLine="481"/>
      <w:jc w:val="both"/>
      <w:textAlignment w:val="baseline"/>
    </w:pPr>
    <w:rPr>
      <w:rFonts w:ascii="宋体"/>
      <w:color w:val="000000"/>
      <w:sz w:val="24"/>
      <w:u w:color="000000"/>
    </w:rPr>
  </w:style>
  <w:style w:type="paragraph" w:customStyle="1" w:styleId="170">
    <w:name w:val="hdy"/>
    <w:basedOn w:val="1"/>
    <w:qFormat/>
    <w:uiPriority w:val="0"/>
    <w:pPr>
      <w:adjustRightInd w:val="0"/>
      <w:snapToGrid w:val="0"/>
      <w:spacing w:line="500" w:lineRule="exact"/>
      <w:ind w:firstLine="200" w:firstLineChars="200"/>
    </w:pPr>
    <w:rPr>
      <w:bCs/>
      <w:color w:val="0000FF"/>
      <w:sz w:val="24"/>
      <w:szCs w:val="24"/>
    </w:rPr>
  </w:style>
  <w:style w:type="character" w:customStyle="1" w:styleId="171">
    <w:name w:val="font71"/>
    <w:basedOn w:val="51"/>
    <w:qFormat/>
    <w:uiPriority w:val="0"/>
    <w:rPr>
      <w:rFonts w:hint="eastAsia" w:ascii="宋体" w:hAnsi="宋体" w:eastAsia="宋体" w:cs="宋体"/>
      <w:color w:val="000000"/>
      <w:sz w:val="20"/>
      <w:szCs w:val="20"/>
      <w:u w:val="none"/>
    </w:rPr>
  </w:style>
  <w:style w:type="character" w:customStyle="1" w:styleId="172">
    <w:name w:val="font21"/>
    <w:basedOn w:val="51"/>
    <w:qFormat/>
    <w:uiPriority w:val="0"/>
    <w:rPr>
      <w:rFonts w:hint="default" w:ascii="Times New Roman" w:hAnsi="Times New Roman" w:cs="Times New Roman"/>
      <w:color w:val="000000"/>
      <w:sz w:val="20"/>
      <w:szCs w:val="20"/>
      <w:u w:val="none"/>
    </w:rPr>
  </w:style>
  <w:style w:type="paragraph" w:customStyle="1" w:styleId="173">
    <w:name w:val="标题3"/>
    <w:basedOn w:val="5"/>
    <w:qFormat/>
    <w:uiPriority w:val="0"/>
    <w:pPr>
      <w:keepNext w:val="0"/>
      <w:numPr>
        <w:ilvl w:val="2"/>
        <w:numId w:val="3"/>
      </w:numPr>
      <w:tabs>
        <w:tab w:val="left" w:pos="360"/>
        <w:tab w:val="left" w:pos="840"/>
      </w:tabs>
      <w:topLinePunct/>
      <w:adjustRightInd w:val="0"/>
      <w:snapToGrid w:val="0"/>
      <w:spacing w:before="0" w:beforeLines="0" w:after="0" w:afterLines="0" w:line="360" w:lineRule="auto"/>
      <w:ind w:left="567" w:right="100" w:rightChars="100" w:firstLine="0"/>
      <w:jc w:val="left"/>
      <w:outlineLvl w:val="9"/>
    </w:pPr>
    <w:rPr>
      <w:rFonts w:ascii="宋体" w:hAnsi="宋体" w:eastAsia="宋体" w:cs="Times New Roman"/>
      <w:b w:val="0"/>
      <w:bCs w:val="0"/>
      <w:spacing w:val="2"/>
      <w:kern w:val="0"/>
      <w:sz w:val="24"/>
      <w:szCs w:val="24"/>
    </w:rPr>
  </w:style>
  <w:style w:type="paragraph" w:customStyle="1" w:styleId="174">
    <w:name w:val="表头"/>
    <w:basedOn w:val="1"/>
    <w:qFormat/>
    <w:uiPriority w:val="0"/>
    <w:pPr>
      <w:spacing w:line="240" w:lineRule="auto"/>
      <w:ind w:left="0" w:leftChars="0" w:firstLine="0" w:firstLineChars="0"/>
      <w:jc w:val="left"/>
    </w:pPr>
    <w:rPr>
      <w:b/>
      <w:szCs w:val="24"/>
    </w:rPr>
  </w:style>
  <w:style w:type="paragraph" w:customStyle="1" w:styleId="175">
    <w:name w:val="表格正文"/>
    <w:basedOn w:val="1"/>
    <w:qFormat/>
    <w:uiPriority w:val="0"/>
    <w:pPr>
      <w:adjustRightInd w:val="0"/>
      <w:spacing w:line="240" w:lineRule="auto"/>
      <w:ind w:firstLine="0" w:firstLineChars="0"/>
      <w:jc w:val="center"/>
      <w:textAlignment w:val="baseline"/>
    </w:pPr>
    <w:rPr>
      <w:kern w:val="0"/>
      <w:sz w:val="21"/>
    </w:rPr>
  </w:style>
  <w:style w:type="paragraph" w:customStyle="1" w:styleId="176">
    <w:name w:val="样式 宋体 四号 行距: 固定值 25 磅"/>
    <w:basedOn w:val="1"/>
    <w:qFormat/>
    <w:uiPriority w:val="0"/>
    <w:pPr>
      <w:spacing w:line="500" w:lineRule="exact"/>
      <w:ind w:firstLine="560" w:firstLineChars="200"/>
    </w:pPr>
    <w:rPr>
      <w:rFonts w:ascii="宋体" w:hAnsi="宋体" w:cs="宋体"/>
    </w:rPr>
  </w:style>
  <w:style w:type="paragraph" w:customStyle="1" w:styleId="177">
    <w:name w:val="正文zsh"/>
    <w:qFormat/>
    <w:uiPriority w:val="0"/>
    <w:pPr>
      <w:widowControl w:val="0"/>
      <w:spacing w:line="500" w:lineRule="exact"/>
      <w:ind w:firstLine="480" w:firstLineChars="200"/>
      <w:jc w:val="both"/>
    </w:pPr>
    <w:rPr>
      <w:rFonts w:ascii="宋体" w:hAnsi="Courier New" w:eastAsia="宋体" w:cs="Times New Roman"/>
      <w:color w:val="0000FF"/>
      <w:kern w:val="0"/>
      <w:sz w:val="24"/>
      <w:szCs w:val="30"/>
      <w:lang w:val="en-US" w:eastAsia="zh-CN" w:bidi="ar-SA"/>
    </w:rPr>
  </w:style>
  <w:style w:type="paragraph" w:customStyle="1" w:styleId="178">
    <w:name w:val="123正文"/>
    <w:basedOn w:val="1"/>
    <w:qFormat/>
    <w:uiPriority w:val="0"/>
    <w:rPr>
      <w:bCs/>
      <w:lang w:val="zh-CN" w:eastAsia="zh-CN"/>
    </w:rPr>
  </w:style>
  <w:style w:type="paragraph" w:customStyle="1" w:styleId="179">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130</Pages>
  <Words>61281</Words>
  <Characters>66941</Characters>
  <Lines>285</Lines>
  <Paragraphs>80</Paragraphs>
  <TotalTime>26</TotalTime>
  <ScaleCrop>false</ScaleCrop>
  <LinksUpToDate>false</LinksUpToDate>
  <CharactersWithSpaces>70336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2018-07-17T09:43:00Z</dcterms:created>
  <dc:creator>微软（中国）有限公司</dc:creator>
  <cp:lastModifiedBy>admin</cp:lastModifiedBy>
  <cp:lastPrinted>2021-06-18T00:54:00Z</cp:lastPrinted>
  <dcterms:modified xsi:type="dcterms:W3CDTF">2024-09-04T01:22:27Z</dcterms:modified>
  <dc:title>政府采购招标文件</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734CB8B5DB1640279CAF28BA7868EAF2</vt:lpwstr>
  </property>
</Properties>
</file>