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0"/>
          <w:szCs w:val="30"/>
          <w:lang w:eastAsia="zh-CN"/>
        </w:rPr>
      </w:pPr>
    </w:p>
    <w:p>
      <w:pPr>
        <w:rPr>
          <w:rFonts w:hint="eastAsia"/>
          <w:sz w:val="30"/>
          <w:szCs w:val="30"/>
          <w:lang w:eastAsia="zh-CN"/>
        </w:rPr>
      </w:pPr>
    </w:p>
    <w:p>
      <w:pPr>
        <w:jc w:val="center"/>
        <w:rPr>
          <w:rFonts w:hint="eastAsia"/>
          <w:sz w:val="36"/>
          <w:szCs w:val="36"/>
          <w:lang w:eastAsia="zh-CN"/>
        </w:rPr>
      </w:pPr>
      <w:r>
        <w:rPr>
          <w:rFonts w:hint="eastAsia" w:ascii="Times New Roman" w:hAnsi="Times New Roman" w:eastAsia="方正仿宋简体" w:cs="Times New Roman"/>
          <w:b w:val="0"/>
          <w:bCs w:val="0"/>
          <w:kern w:val="2"/>
          <w:sz w:val="36"/>
          <w:szCs w:val="36"/>
          <w:lang w:val="zh-CN" w:eastAsia="zh-CN" w:bidi="ar-SA"/>
        </w:rPr>
        <w:t>张煤机转型发展公司齿轮箱塔上维修服务项目</w:t>
      </w:r>
    </w:p>
    <w:p>
      <w:pPr>
        <w:rPr>
          <w:rFonts w:hint="eastAsia"/>
          <w:sz w:val="36"/>
          <w:szCs w:val="36"/>
          <w:lang w:eastAsia="zh-CN"/>
        </w:rPr>
      </w:pPr>
    </w:p>
    <w:p>
      <w:pPr>
        <w:rPr>
          <w:rFonts w:hint="eastAsia"/>
          <w:sz w:val="30"/>
          <w:szCs w:val="30"/>
          <w:lang w:eastAsia="zh-CN"/>
        </w:rPr>
      </w:pPr>
    </w:p>
    <w:p>
      <w:pPr>
        <w:rPr>
          <w:rFonts w:hint="eastAsia"/>
          <w:sz w:val="30"/>
          <w:szCs w:val="30"/>
          <w:lang w:eastAsia="zh-CN"/>
        </w:rPr>
      </w:pPr>
    </w:p>
    <w:p>
      <w:pPr>
        <w:rPr>
          <w:rFonts w:hint="eastAsia"/>
          <w:sz w:val="30"/>
          <w:szCs w:val="30"/>
          <w:lang w:eastAsia="zh-CN"/>
        </w:rPr>
      </w:pPr>
    </w:p>
    <w:p>
      <w:pPr>
        <w:ind w:firstLine="3000" w:firstLineChars="1000"/>
        <w:rPr>
          <w:rFonts w:hint="eastAsia"/>
          <w:sz w:val="30"/>
          <w:szCs w:val="30"/>
          <w:lang w:eastAsia="zh-CN"/>
        </w:rPr>
      </w:pPr>
      <w:r>
        <w:rPr>
          <w:rFonts w:hint="eastAsia"/>
          <w:sz w:val="30"/>
          <w:szCs w:val="30"/>
          <w:lang w:eastAsia="zh-CN"/>
        </w:rPr>
        <w:t>技术要求文件</w:t>
      </w:r>
    </w:p>
    <w:p>
      <w:pPr>
        <w:ind w:firstLine="3000" w:firstLineChars="1000"/>
        <w:rPr>
          <w:rFonts w:hint="eastAsia"/>
          <w:sz w:val="30"/>
          <w:szCs w:val="30"/>
          <w:lang w:eastAsia="zh-CN"/>
        </w:rPr>
      </w:pPr>
    </w:p>
    <w:p>
      <w:pPr>
        <w:ind w:firstLine="3000" w:firstLineChars="1000"/>
        <w:rPr>
          <w:rFonts w:hint="eastAsia"/>
          <w:sz w:val="30"/>
          <w:szCs w:val="30"/>
          <w:lang w:eastAsia="zh-CN"/>
        </w:rPr>
      </w:pPr>
    </w:p>
    <w:p>
      <w:pPr>
        <w:ind w:firstLine="3000" w:firstLineChars="1000"/>
        <w:rPr>
          <w:rFonts w:hint="eastAsia"/>
          <w:sz w:val="30"/>
          <w:szCs w:val="30"/>
          <w:lang w:eastAsia="zh-CN"/>
        </w:rPr>
      </w:pPr>
    </w:p>
    <w:p>
      <w:pPr>
        <w:ind w:firstLine="3000" w:firstLineChars="1000"/>
        <w:rPr>
          <w:rFonts w:hint="eastAsia"/>
          <w:sz w:val="30"/>
          <w:szCs w:val="30"/>
          <w:lang w:eastAsia="zh-CN"/>
        </w:rPr>
      </w:pPr>
    </w:p>
    <w:p>
      <w:pPr>
        <w:ind w:firstLine="3000" w:firstLineChars="1000"/>
        <w:rPr>
          <w:rFonts w:hint="eastAsia"/>
          <w:sz w:val="30"/>
          <w:szCs w:val="30"/>
          <w:lang w:eastAsia="zh-CN"/>
        </w:rPr>
      </w:pPr>
    </w:p>
    <w:p>
      <w:pPr>
        <w:ind w:firstLine="3000" w:firstLineChars="1000"/>
        <w:rPr>
          <w:rFonts w:hint="eastAsia"/>
          <w:sz w:val="30"/>
          <w:szCs w:val="30"/>
          <w:lang w:eastAsia="zh-CN"/>
        </w:rPr>
      </w:pPr>
    </w:p>
    <w:p>
      <w:pPr>
        <w:ind w:firstLine="3000" w:firstLineChars="1000"/>
        <w:rPr>
          <w:rFonts w:hint="eastAsia"/>
          <w:sz w:val="30"/>
          <w:szCs w:val="30"/>
          <w:lang w:eastAsia="zh-CN"/>
        </w:rPr>
      </w:pPr>
    </w:p>
    <w:p>
      <w:pPr>
        <w:ind w:firstLine="1800" w:firstLineChars="600"/>
        <w:rPr>
          <w:rFonts w:hint="eastAsia"/>
          <w:sz w:val="30"/>
          <w:szCs w:val="30"/>
          <w:lang w:eastAsia="zh-CN"/>
        </w:rPr>
      </w:pPr>
      <w:r>
        <w:rPr>
          <w:rFonts w:hint="eastAsia"/>
          <w:sz w:val="30"/>
          <w:szCs w:val="30"/>
          <w:lang w:eastAsia="zh-CN"/>
        </w:rPr>
        <w:t>中煤张家口煤矿机械有限责任公司</w:t>
      </w:r>
    </w:p>
    <w:p>
      <w:pPr>
        <w:ind w:firstLine="1800" w:firstLineChars="600"/>
        <w:rPr>
          <w:rFonts w:hint="eastAsia"/>
          <w:sz w:val="30"/>
          <w:szCs w:val="30"/>
          <w:lang w:val="en-US" w:eastAsia="zh-CN"/>
        </w:rPr>
      </w:pPr>
      <w:r>
        <w:rPr>
          <w:rFonts w:hint="eastAsia"/>
          <w:sz w:val="30"/>
          <w:szCs w:val="30"/>
          <w:lang w:val="en-US" w:eastAsia="zh-CN"/>
        </w:rPr>
        <w:t xml:space="preserve">         2024年7月</w:t>
      </w:r>
    </w:p>
    <w:p>
      <w:pPr>
        <w:ind w:firstLine="1800" w:firstLineChars="600"/>
        <w:rPr>
          <w:rFonts w:hint="eastAsia"/>
          <w:sz w:val="30"/>
          <w:szCs w:val="30"/>
          <w:lang w:val="en-US" w:eastAsia="zh-CN"/>
        </w:rPr>
        <w:sectPr>
          <w:pgSz w:w="11906" w:h="16838"/>
          <w:pgMar w:top="1440" w:right="1800" w:bottom="1440" w:left="1800" w:header="851" w:footer="992" w:gutter="0"/>
          <w:cols w:space="425" w:num="1"/>
          <w:docGrid w:type="lines" w:linePitch="312" w:charSpace="0"/>
        </w:sectPr>
      </w:pPr>
    </w:p>
    <w:p>
      <w:pPr>
        <w:tabs>
          <w:tab w:val="left" w:pos="1800"/>
        </w:tabs>
        <w:spacing w:line="340" w:lineRule="exact"/>
        <w:rPr>
          <w:rFonts w:hint="default"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一、项目概况</w:t>
      </w:r>
    </w:p>
    <w:p>
      <w:pPr>
        <w:spacing w:line="360" w:lineRule="auto"/>
        <w:ind w:firstLine="420"/>
        <w:rPr>
          <w:rFonts w:hint="eastAsia" w:ascii="宋体" w:hAnsi="宋体" w:cstheme="minorBidi"/>
          <w:color w:val="auto"/>
          <w:kern w:val="2"/>
          <w:sz w:val="24"/>
          <w:szCs w:val="22"/>
          <w:lang w:val="en-US" w:eastAsia="zh-CN" w:bidi="ar-SA"/>
        </w:rPr>
      </w:pPr>
      <w:r>
        <w:rPr>
          <w:rFonts w:hint="default" w:ascii="宋体" w:hAnsi="宋体" w:cstheme="minorBidi"/>
          <w:color w:val="auto"/>
          <w:kern w:val="2"/>
          <w:sz w:val="24"/>
          <w:szCs w:val="22"/>
          <w:lang w:val="en-US" w:eastAsia="zh-CN" w:bidi="ar-SA"/>
        </w:rPr>
        <w:t>1、</w:t>
      </w:r>
      <w:r>
        <w:rPr>
          <w:rFonts w:hint="eastAsia" w:ascii="宋体" w:hAnsi="宋体" w:cstheme="minorBidi"/>
          <w:color w:val="auto"/>
          <w:kern w:val="2"/>
          <w:sz w:val="24"/>
          <w:szCs w:val="22"/>
          <w:lang w:val="en-US" w:eastAsia="zh-CN" w:bidi="ar-SA"/>
        </w:rPr>
        <w:t>项目概况与采购范围：</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1.1本次采购的齿轮箱塔上维修服务用于中煤张煤机风电维修齿轮箱业务。</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r>
        <w:rPr>
          <w:rFonts w:hint="default" w:ascii="宋体" w:hAnsi="宋体" w:cstheme="minorBidi"/>
          <w:color w:val="auto"/>
          <w:kern w:val="2"/>
          <w:sz w:val="24"/>
          <w:szCs w:val="22"/>
          <w:lang w:val="en-US" w:eastAsia="zh-CN" w:bidi="ar-SA"/>
        </w:rPr>
        <w:t>2</w:t>
      </w:r>
      <w:r>
        <w:rPr>
          <w:rFonts w:hint="eastAsia" w:ascii="宋体" w:hAnsi="宋体" w:cstheme="minorBidi"/>
          <w:color w:val="auto"/>
          <w:kern w:val="2"/>
          <w:sz w:val="24"/>
          <w:szCs w:val="22"/>
          <w:lang w:val="en-US" w:eastAsia="zh-CN" w:bidi="ar-SA"/>
        </w:rPr>
        <w:t>、资金来源：企业自筹</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r>
        <w:rPr>
          <w:rFonts w:hint="default" w:ascii="宋体" w:hAnsi="宋体" w:cstheme="minorBidi"/>
          <w:color w:val="auto"/>
          <w:kern w:val="2"/>
          <w:sz w:val="24"/>
          <w:szCs w:val="22"/>
          <w:lang w:val="en-US" w:eastAsia="zh-CN" w:bidi="ar-SA"/>
        </w:rPr>
        <w:t>3</w:t>
      </w:r>
      <w:r>
        <w:rPr>
          <w:rFonts w:hint="eastAsia" w:ascii="宋体" w:hAnsi="宋体" w:cstheme="minorBidi"/>
          <w:color w:val="auto"/>
          <w:kern w:val="2"/>
          <w:sz w:val="24"/>
          <w:szCs w:val="22"/>
          <w:lang w:val="en-US" w:eastAsia="zh-CN" w:bidi="ar-SA"/>
        </w:rPr>
        <w:t>、工期：</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（1）本项目生效日期以中标人签订合同后第2天开始计算。竣工日期以业主验收通过的日期为准。</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r>
        <w:rPr>
          <w:rFonts w:hint="default" w:ascii="宋体" w:hAnsi="宋体" w:cstheme="minorBidi"/>
          <w:color w:val="auto"/>
          <w:kern w:val="2"/>
          <w:sz w:val="24"/>
          <w:szCs w:val="22"/>
          <w:lang w:val="en-US" w:eastAsia="zh-CN" w:bidi="ar-SA"/>
        </w:rPr>
        <w:t>4</w:t>
      </w:r>
      <w:r>
        <w:rPr>
          <w:rFonts w:hint="eastAsia" w:ascii="宋体" w:hAnsi="宋体" w:cstheme="minorBidi"/>
          <w:color w:val="auto"/>
          <w:kern w:val="2"/>
          <w:sz w:val="24"/>
          <w:szCs w:val="22"/>
          <w:lang w:val="en-US" w:eastAsia="zh-CN" w:bidi="ar-SA"/>
        </w:rPr>
        <w:t>、交货地点：需方指定地点。</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资质要求</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2.1报价供应商应在中华人民共和国注册并具有独立法人资格，需提供营业执照、税务登记证、组织机构代码或三证合一的营业执照，且年检正常。</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2.2投标人需具有2021年至今不少于1台同类齿轮箱塔上维修、内窥镜检查业绩。（提供合同扫描件，如合同中无法体现同类齿轮箱塔上维修、内窥镜检查，在提供合同的同时提供相应的用户证明或技术协议等证明材料，未提供视业绩无效）</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3、采购方式：公开询价。</w:t>
      </w:r>
    </w:p>
    <w:p>
      <w:pPr>
        <w:tabs>
          <w:tab w:val="left" w:pos="1800"/>
        </w:tabs>
        <w:spacing w:line="340" w:lineRule="exact"/>
        <w:rPr>
          <w:rFonts w:hint="eastAsia"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二、项目内容、规模、技术参数及性能要求：</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2.1、供货范围及数量：</w:t>
      </w:r>
    </w:p>
    <w:tbl>
      <w:tblPr>
        <w:tblStyle w:val="4"/>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2"/>
        <w:gridCol w:w="2125"/>
        <w:gridCol w:w="2825"/>
        <w:gridCol w:w="818"/>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892" w:type="dxa"/>
            <w:vAlign w:val="center"/>
          </w:tcPr>
          <w:p>
            <w:pPr>
              <w:spacing w:line="360" w:lineRule="auto"/>
              <w:ind w:firstLine="420"/>
              <w:jc w:val="center"/>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项目</w:t>
            </w:r>
          </w:p>
        </w:tc>
        <w:tc>
          <w:tcPr>
            <w:tcW w:w="2125"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齿轮箱型号</w:t>
            </w:r>
          </w:p>
        </w:tc>
        <w:tc>
          <w:tcPr>
            <w:tcW w:w="2825"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内容</w:t>
            </w:r>
          </w:p>
        </w:tc>
        <w:tc>
          <w:tcPr>
            <w:tcW w:w="818" w:type="dxa"/>
            <w:vAlign w:val="center"/>
          </w:tcPr>
          <w:p>
            <w:pPr>
              <w:spacing w:line="360" w:lineRule="auto"/>
              <w:jc w:val="center"/>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数量</w:t>
            </w:r>
          </w:p>
        </w:tc>
        <w:tc>
          <w:tcPr>
            <w:tcW w:w="890"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892" w:type="dxa"/>
            <w:vAlign w:val="center"/>
          </w:tcPr>
          <w:p>
            <w:pPr>
              <w:spacing w:line="360" w:lineRule="auto"/>
              <w:jc w:val="both"/>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南高齿/重齿/三一齿轮箱</w:t>
            </w:r>
          </w:p>
        </w:tc>
        <w:tc>
          <w:tcPr>
            <w:tcW w:w="2125"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FD2250/FL2000*/SYZ15A</w:t>
            </w:r>
          </w:p>
        </w:tc>
        <w:tc>
          <w:tcPr>
            <w:tcW w:w="2825"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齿轮箱内窥镜检查</w:t>
            </w:r>
          </w:p>
        </w:tc>
        <w:tc>
          <w:tcPr>
            <w:tcW w:w="818"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16</w:t>
            </w:r>
          </w:p>
        </w:tc>
        <w:tc>
          <w:tcPr>
            <w:tcW w:w="890" w:type="dxa"/>
            <w:vAlign w:val="center"/>
          </w:tcPr>
          <w:p>
            <w:pPr>
              <w:spacing w:line="360" w:lineRule="auto"/>
              <w:jc w:val="center"/>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92"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南高齿齿轮箱</w:t>
            </w:r>
          </w:p>
        </w:tc>
        <w:tc>
          <w:tcPr>
            <w:tcW w:w="2125" w:type="dxa"/>
            <w:vAlign w:val="center"/>
          </w:tcPr>
          <w:p>
            <w:pPr>
              <w:keepNext w:val="0"/>
              <w:keepLines w:val="0"/>
              <w:widowControl/>
              <w:suppressLineNumbers w:val="0"/>
              <w:jc w:val="center"/>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FA2250B</w:t>
            </w:r>
          </w:p>
        </w:tc>
        <w:tc>
          <w:tcPr>
            <w:tcW w:w="2825"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喷油板更换</w:t>
            </w:r>
          </w:p>
        </w:tc>
        <w:tc>
          <w:tcPr>
            <w:tcW w:w="818"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17</w:t>
            </w:r>
          </w:p>
        </w:tc>
        <w:tc>
          <w:tcPr>
            <w:tcW w:w="890" w:type="dxa"/>
            <w:vAlign w:val="center"/>
          </w:tcPr>
          <w:p>
            <w:pPr>
              <w:spacing w:line="360" w:lineRule="auto"/>
              <w:jc w:val="center"/>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892" w:type="dxa"/>
            <w:vAlign w:val="center"/>
          </w:tcPr>
          <w:p>
            <w:pPr>
              <w:spacing w:line="360" w:lineRule="auto"/>
              <w:jc w:val="center"/>
              <w:rPr>
                <w:rFonts w:hint="eastAsia" w:ascii="宋体" w:hAnsi="宋体" w:eastAsia="仿宋_GB2312"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重齿齿轮箱</w:t>
            </w:r>
          </w:p>
        </w:tc>
        <w:tc>
          <w:tcPr>
            <w:tcW w:w="2125" w:type="dxa"/>
            <w:vAlign w:val="center"/>
          </w:tcPr>
          <w:p>
            <w:pPr>
              <w:spacing w:line="360" w:lineRule="auto"/>
              <w:jc w:val="center"/>
              <w:rPr>
                <w:rFonts w:hint="eastAsia" w:ascii="宋体" w:hAnsi="宋体" w:eastAsia="仿宋_GB2312"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FL1500</w:t>
            </w:r>
          </w:p>
        </w:tc>
        <w:tc>
          <w:tcPr>
            <w:tcW w:w="2825" w:type="dxa"/>
            <w:vAlign w:val="center"/>
          </w:tcPr>
          <w:p>
            <w:pPr>
              <w:spacing w:line="360" w:lineRule="auto"/>
              <w:jc w:val="center"/>
              <w:rPr>
                <w:rFonts w:hint="eastAsia" w:ascii="宋体" w:hAnsi="宋体" w:eastAsia="仿宋_GB2312"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更换中高速轴系</w:t>
            </w:r>
          </w:p>
        </w:tc>
        <w:tc>
          <w:tcPr>
            <w:tcW w:w="818" w:type="dxa"/>
            <w:vAlign w:val="center"/>
          </w:tcPr>
          <w:p>
            <w:pPr>
              <w:spacing w:line="360" w:lineRule="auto"/>
              <w:jc w:val="center"/>
              <w:rPr>
                <w:rFonts w:hint="eastAsia" w:ascii="宋体" w:hAnsi="宋体" w:eastAsia="仿宋_GB2312"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w:t>
            </w:r>
          </w:p>
        </w:tc>
        <w:tc>
          <w:tcPr>
            <w:tcW w:w="890" w:type="dxa"/>
            <w:vAlign w:val="center"/>
          </w:tcPr>
          <w:p>
            <w:pPr>
              <w:spacing w:line="360" w:lineRule="auto"/>
              <w:jc w:val="center"/>
              <w:rPr>
                <w:rFonts w:hint="eastAsia" w:ascii="宋体" w:hAnsi="宋体" w:eastAsia="仿宋_GB2312"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台</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供货范围及报价要求：齿轮箱喷油板更换、内窥镜检查、技术支持、培训等服务，按照实际工程量结算。</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方正仿宋简体" w:cs="Times New Roman"/>
          <w:color w:val="000000"/>
          <w:sz w:val="24"/>
          <w:szCs w:val="24"/>
        </w:rPr>
      </w:pPr>
      <w:r>
        <w:rPr>
          <w:rFonts w:hint="eastAsia" w:ascii="宋体" w:hAnsi="宋体" w:cstheme="minorBidi"/>
          <w:color w:val="auto"/>
          <w:kern w:val="2"/>
          <w:sz w:val="24"/>
          <w:szCs w:val="22"/>
          <w:lang w:val="en-US" w:eastAsia="zh-CN" w:bidi="ar-SA"/>
        </w:rPr>
        <w:t>3、</w:t>
      </w:r>
      <w:r>
        <w:rPr>
          <w:rFonts w:hint="eastAsia" w:ascii="Times New Roman" w:hAnsi="Times New Roman" w:eastAsia="方正仿宋简体" w:cs="Times New Roman"/>
          <w:color w:val="000000"/>
          <w:sz w:val="24"/>
          <w:szCs w:val="24"/>
        </w:rPr>
        <w:t>安装调试及技术培训：</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乙方保证所提供的服务必须为最优质的，所提供的设备及其配件必须经正规渠道采购或生产的全新、先进、成熟、完整、安全可靠的并不低于原型产品相关技术标准要求。</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乙方提供详细的检修服务和备品备件报价清单。对于备品备件的安装、调试等工序不应收取任何费用。</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default"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乙方对服务范围内的设备费、工具费、运输费、保险费、税费、服务费、检测试验费、技术培训费、技术等级改造费、质保费、咨询费等项目进行分别报价，但都计入总价。</w:t>
      </w:r>
    </w:p>
    <w:p>
      <w:pPr>
        <w:keepNext w:val="0"/>
        <w:keepLines w:val="0"/>
        <w:pageBreakBefore w:val="0"/>
        <w:numPr>
          <w:ilvl w:val="0"/>
          <w:numId w:val="1"/>
        </w:numPr>
        <w:kinsoku/>
        <w:wordWrap/>
        <w:overflowPunct/>
        <w:topLinePunct w:val="0"/>
        <w:autoSpaceDE/>
        <w:autoSpaceDN/>
        <w:bidi w:val="0"/>
        <w:adjustRightInd/>
        <w:snapToGrid/>
        <w:spacing w:line="360" w:lineRule="auto"/>
        <w:ind w:firstLine="420"/>
        <w:textAlignment w:val="auto"/>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质量保证期：</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4.1喷油板更换业务：缺陷责任期为 2 年，自现场验收合格日期起计算。甲乙双方按照合同要求对齿轮箱整体进行的连续安全无故障 240 小时运行试验，甲乙双方按照合同要求进行验收，并且双方签署现场验收报告即视为通过现场验收。</w:t>
      </w:r>
    </w:p>
    <w:p>
      <w:pPr>
        <w:numPr>
          <w:ilvl w:val="0"/>
          <w:numId w:val="0"/>
        </w:numPr>
        <w:spacing w:line="360" w:lineRule="auto"/>
        <w:ind w:firstLine="480" w:firstLineChars="20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4.2更换中高速轴系：保修期为正常运转24小时后或交付满2天起（以后到时间为准）12个月；</w:t>
      </w:r>
    </w:p>
    <w:p>
      <w:pPr>
        <w:keepNext w:val="0"/>
        <w:keepLines w:val="0"/>
        <w:pageBreakBefore w:val="0"/>
        <w:numPr>
          <w:ilvl w:val="0"/>
          <w:numId w:val="2"/>
        </w:numPr>
        <w:kinsoku/>
        <w:wordWrap/>
        <w:overflowPunct/>
        <w:topLinePunct w:val="0"/>
        <w:autoSpaceDE/>
        <w:autoSpaceDN/>
        <w:bidi w:val="0"/>
        <w:adjustRightInd/>
        <w:snapToGrid/>
        <w:spacing w:line="360" w:lineRule="auto"/>
        <w:ind w:firstLine="420"/>
        <w:textAlignment w:val="auto"/>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付款方式</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w:t>
      </w:r>
      <w:r>
        <w:rPr>
          <w:rFonts w:hint="default" w:ascii="宋体" w:hAnsi="宋体" w:cstheme="minorBidi"/>
          <w:color w:val="auto"/>
          <w:kern w:val="2"/>
          <w:sz w:val="24"/>
          <w:szCs w:val="22"/>
          <w:lang w:val="en-US" w:eastAsia="zh-CN" w:bidi="ar-SA"/>
        </w:rPr>
        <w:t>1</w:t>
      </w:r>
      <w:r>
        <w:rPr>
          <w:rFonts w:hint="eastAsia" w:ascii="宋体" w:hAnsi="宋体" w:cstheme="minorBidi"/>
          <w:color w:val="auto"/>
          <w:kern w:val="2"/>
          <w:sz w:val="24"/>
          <w:szCs w:val="22"/>
          <w:lang w:val="en-US" w:eastAsia="zh-CN" w:bidi="ar-SA"/>
        </w:rPr>
        <w:t>）以人民币付款（不承诺使用现金方式结款）。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方正仿宋简体" w:cs="Times New Roman"/>
          <w:b/>
          <w:color w:val="000000"/>
          <w:sz w:val="24"/>
          <w:szCs w:val="24"/>
          <w:highlight w:val="yellow"/>
          <w:lang w:val="en-US" w:eastAsia="zh-CN"/>
        </w:rPr>
      </w:pPr>
      <w:r>
        <w:rPr>
          <w:rFonts w:hint="eastAsia" w:ascii="宋体" w:hAnsi="宋体" w:cstheme="minorBidi"/>
          <w:color w:val="auto"/>
          <w:kern w:val="2"/>
          <w:sz w:val="24"/>
          <w:szCs w:val="22"/>
          <w:lang w:val="en-US" w:eastAsia="zh-CN" w:bidi="ar-SA"/>
        </w:rPr>
        <w:t>（</w:t>
      </w:r>
      <w:r>
        <w:rPr>
          <w:rFonts w:hint="default" w:ascii="宋体" w:hAnsi="宋体" w:cstheme="minorBidi"/>
          <w:color w:val="auto"/>
          <w:kern w:val="2"/>
          <w:sz w:val="24"/>
          <w:szCs w:val="22"/>
          <w:lang w:val="en-US" w:eastAsia="zh-CN" w:bidi="ar-SA"/>
        </w:rPr>
        <w:t>2</w:t>
      </w:r>
      <w:r>
        <w:rPr>
          <w:rFonts w:hint="eastAsia" w:ascii="宋体" w:hAnsi="宋体" w:cstheme="minorBidi"/>
          <w:color w:val="auto"/>
          <w:kern w:val="2"/>
          <w:sz w:val="24"/>
          <w:szCs w:val="22"/>
          <w:lang w:val="en-US" w:eastAsia="zh-CN" w:bidi="ar-SA"/>
        </w:rPr>
        <w:t>）本项目无预付款，全部项目完工验收合格后，成交人开具合同款项对应的增值税发票（税率</w:t>
      </w:r>
      <w:r>
        <w:rPr>
          <w:rFonts w:hint="default" w:ascii="宋体" w:hAnsi="宋体" w:cstheme="minorBidi"/>
          <w:color w:val="auto"/>
          <w:kern w:val="2"/>
          <w:sz w:val="24"/>
          <w:szCs w:val="22"/>
          <w:lang w:val="en-US" w:eastAsia="zh-CN" w:bidi="ar-SA"/>
        </w:rPr>
        <w:t>13%</w:t>
      </w:r>
      <w:r>
        <w:rPr>
          <w:rFonts w:hint="eastAsia" w:ascii="宋体" w:hAnsi="宋体" w:cstheme="minorBidi"/>
          <w:color w:val="auto"/>
          <w:kern w:val="2"/>
          <w:sz w:val="24"/>
          <w:szCs w:val="22"/>
          <w:lang w:val="en-US" w:eastAsia="zh-CN" w:bidi="ar-SA"/>
        </w:rPr>
        <w:t>），采购人支付成交人发票金额</w:t>
      </w:r>
      <w:r>
        <w:rPr>
          <w:rFonts w:hint="default" w:ascii="宋体" w:hAnsi="宋体" w:cstheme="minorBidi"/>
          <w:color w:val="auto"/>
          <w:kern w:val="2"/>
          <w:sz w:val="24"/>
          <w:szCs w:val="22"/>
          <w:lang w:val="en-US" w:eastAsia="zh-CN" w:bidi="ar-SA"/>
        </w:rPr>
        <w:t>90%</w:t>
      </w:r>
      <w:r>
        <w:rPr>
          <w:rFonts w:hint="eastAsia" w:ascii="宋体" w:hAnsi="宋体" w:cstheme="minorBidi"/>
          <w:color w:val="auto"/>
          <w:kern w:val="2"/>
          <w:sz w:val="24"/>
          <w:szCs w:val="22"/>
          <w:lang w:val="en-US" w:eastAsia="zh-CN" w:bidi="ar-SA"/>
        </w:rPr>
        <w:t>货款。剩余</w:t>
      </w:r>
      <w:r>
        <w:rPr>
          <w:rFonts w:hint="default" w:ascii="宋体" w:hAnsi="宋体" w:cstheme="minorBidi"/>
          <w:color w:val="auto"/>
          <w:kern w:val="2"/>
          <w:sz w:val="24"/>
          <w:szCs w:val="22"/>
          <w:lang w:val="en-US" w:eastAsia="zh-CN" w:bidi="ar-SA"/>
        </w:rPr>
        <w:t>10%</w:t>
      </w:r>
      <w:r>
        <w:rPr>
          <w:rFonts w:hint="eastAsia" w:ascii="宋体" w:hAnsi="宋体" w:cstheme="minorBidi"/>
          <w:color w:val="auto"/>
          <w:kern w:val="2"/>
          <w:sz w:val="24"/>
          <w:szCs w:val="22"/>
          <w:lang w:val="en-US" w:eastAsia="zh-CN" w:bidi="ar-SA"/>
        </w:rPr>
        <w:t>作为质量保证金，在验收质保期满无质量问题，采购人向成交人支付该笔订单的质量保证金。</w:t>
      </w:r>
    </w:p>
    <w:p>
      <w:pPr>
        <w:keepNext w:val="0"/>
        <w:keepLines w:val="0"/>
        <w:pageBreakBefore w:val="0"/>
        <w:tabs>
          <w:tab w:val="left" w:pos="1800"/>
        </w:tabs>
        <w:kinsoku/>
        <w:wordWrap/>
        <w:overflowPunct/>
        <w:topLinePunct w:val="0"/>
        <w:autoSpaceDE/>
        <w:autoSpaceDN/>
        <w:bidi w:val="0"/>
        <w:adjustRightInd/>
        <w:snapToGrid/>
        <w:spacing w:line="360" w:lineRule="auto"/>
        <w:textAlignment w:val="auto"/>
        <w:rPr>
          <w:rFonts w:hint="eastAsia" w:ascii="Times New Roman" w:hAnsi="Times New Roman" w:eastAsia="方正仿宋简体" w:cs="Times New Roman"/>
          <w:b/>
          <w:color w:val="000000"/>
          <w:sz w:val="24"/>
          <w:szCs w:val="24"/>
          <w:lang w:val="en-US" w:eastAsia="zh-CN"/>
        </w:rPr>
      </w:pPr>
      <w:r>
        <w:rPr>
          <w:rFonts w:hint="eastAsia" w:ascii="Times New Roman" w:hAnsi="Times New Roman" w:eastAsia="方正仿宋简体" w:cs="Times New Roman"/>
          <w:b/>
          <w:color w:val="000000"/>
          <w:sz w:val="24"/>
          <w:szCs w:val="24"/>
          <w:lang w:val="en-US" w:eastAsia="zh-CN"/>
        </w:rPr>
        <w:t>四、验收标准</w:t>
      </w:r>
      <w:r>
        <w:rPr>
          <w:rFonts w:hint="eastAsia" w:eastAsia="方正仿宋简体" w:cs="Times New Roman"/>
          <w:b/>
          <w:color w:val="000000"/>
          <w:sz w:val="24"/>
          <w:szCs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1、验收标准：</w:t>
      </w:r>
    </w:p>
    <w:p>
      <w:pPr>
        <w:keepNext w:val="0"/>
        <w:keepLines w:val="0"/>
        <w:pageBreakBefore w:val="0"/>
        <w:kinsoku/>
        <w:wordWrap/>
        <w:overflowPunct/>
        <w:topLinePunct w:val="0"/>
        <w:autoSpaceDE/>
        <w:autoSpaceDN/>
        <w:bidi w:val="0"/>
        <w:adjustRightInd/>
        <w:snapToGrid/>
        <w:spacing w:line="360" w:lineRule="auto"/>
        <w:ind w:firstLine="420"/>
        <w:textAlignment w:val="auto"/>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（1）各项性能指标、参数达到设备供货要求所列内容。</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（2）所有的技术资料提供完整。</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应遵循的主要标准包括但不限于以下最新版本：</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FD002-2007  风电场工程等级划分及设计安全标准（试行）</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GB/T18451.1-2002</w:t>
      </w:r>
      <w:r>
        <w:rPr>
          <w:rFonts w:hint="eastAsia" w:ascii="宋体" w:hAnsi="宋体" w:cstheme="minorBidi"/>
          <w:color w:val="auto"/>
          <w:kern w:val="2"/>
          <w:sz w:val="24"/>
          <w:szCs w:val="22"/>
          <w:lang w:val="en-US" w:eastAsia="zh-CN" w:bidi="ar-SA"/>
        </w:rPr>
        <w:tab/>
      </w:r>
      <w:r>
        <w:rPr>
          <w:rFonts w:hint="eastAsia" w:ascii="宋体" w:hAnsi="宋体" w:cstheme="minorBidi"/>
          <w:color w:val="auto"/>
          <w:kern w:val="2"/>
          <w:sz w:val="24"/>
          <w:szCs w:val="22"/>
          <w:lang w:val="en-US" w:eastAsia="zh-CN" w:bidi="ar-SA"/>
        </w:rPr>
        <w:t>风力发电机组设计要求</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EN750  机械设备的安全性危险评估的原则</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EN150204-1  机器电气安全标准</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GBT19073-2018 风力发电机组.齿轮箱设计要求</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CCSC/PCS02029 中国船级社质量认证公司产品技</w:t>
      </w:r>
      <w:bookmarkStart w:id="0" w:name="_GoBack"/>
      <w:bookmarkEnd w:id="0"/>
      <w:r>
        <w:rPr>
          <w:rFonts w:hint="eastAsia" w:ascii="宋体" w:hAnsi="宋体" w:cstheme="minorBidi"/>
          <w:color w:val="auto"/>
          <w:kern w:val="2"/>
          <w:sz w:val="24"/>
          <w:szCs w:val="22"/>
          <w:lang w:val="en-US" w:eastAsia="zh-CN" w:bidi="ar-SA"/>
        </w:rPr>
        <w:t>术规范 风力发电机组主齿轮箱检修技术规范</w:t>
      </w:r>
    </w:p>
    <w:p>
      <w:pPr>
        <w:spacing w:line="360" w:lineRule="auto"/>
        <w:ind w:firstLine="420"/>
        <w:rPr>
          <w:rFonts w:hint="eastAsia" w:ascii="宋体" w:hAnsi="宋体" w:cstheme="minorBidi"/>
          <w:color w:val="auto"/>
          <w:kern w:val="2"/>
          <w:sz w:val="24"/>
          <w:szCs w:val="22"/>
          <w:lang w:val="en-US" w:eastAsia="zh-CN" w:bidi="ar-SA"/>
        </w:rPr>
      </w:pPr>
      <w:r>
        <w:rPr>
          <w:rFonts w:hint="eastAsia" w:ascii="宋体" w:hAnsi="宋体" w:cstheme="minorBidi"/>
          <w:color w:val="auto"/>
          <w:kern w:val="2"/>
          <w:sz w:val="24"/>
          <w:szCs w:val="22"/>
          <w:lang w:val="en-US" w:eastAsia="zh-CN" w:bidi="ar-SA"/>
        </w:rPr>
        <w:t>2、验收方法：</w:t>
      </w:r>
    </w:p>
    <w:p>
      <w:pPr>
        <w:spacing w:line="360" w:lineRule="auto"/>
        <w:ind w:firstLine="480" w:firstLineChars="200"/>
        <w:rPr>
          <w:rFonts w:ascii="宋体" w:hAnsi="宋体"/>
          <w:sz w:val="24"/>
        </w:rPr>
      </w:pPr>
      <w:r>
        <w:rPr>
          <w:rFonts w:hint="eastAsia" w:ascii="宋体" w:hAnsi="宋体"/>
          <w:sz w:val="24"/>
        </w:rPr>
        <w:t>初步验收：齿轮箱</w:t>
      </w:r>
      <w:r>
        <w:rPr>
          <w:rFonts w:hint="eastAsia" w:ascii="宋体" w:hAnsi="宋体"/>
          <w:sz w:val="24"/>
          <w:lang w:val="en-US" w:eastAsia="zh-CN"/>
        </w:rPr>
        <w:t>维修完成</w:t>
      </w:r>
      <w:r>
        <w:rPr>
          <w:rFonts w:hint="eastAsia" w:ascii="宋体" w:hAnsi="宋体"/>
          <w:sz w:val="24"/>
        </w:rPr>
        <w:t>经风电场检查无误后，由风电场代表签收，并对标的物进行初步检验，初步检验是验收标的物的外观、规格、数量、型号等是否与本合同相符。如果发现交付的齿轮箱</w:t>
      </w:r>
      <w:r>
        <w:rPr>
          <w:rFonts w:hint="eastAsia" w:ascii="宋体" w:hAnsi="宋体"/>
          <w:sz w:val="24"/>
          <w:lang w:val="en-US" w:eastAsia="zh-CN"/>
        </w:rPr>
        <w:t>维修内容</w:t>
      </w:r>
      <w:r>
        <w:rPr>
          <w:rFonts w:hint="eastAsia" w:ascii="宋体" w:hAnsi="宋体"/>
          <w:sz w:val="24"/>
        </w:rPr>
        <w:t>有短少、缺陷或其他与合同规定不符合的情形，乙方应在3天内予以</w:t>
      </w:r>
      <w:r>
        <w:rPr>
          <w:rFonts w:hint="eastAsia" w:ascii="宋体" w:hAnsi="宋体"/>
          <w:sz w:val="24"/>
          <w:lang w:val="en-US" w:eastAsia="zh-CN"/>
        </w:rPr>
        <w:t>维修</w:t>
      </w:r>
      <w:r>
        <w:rPr>
          <w:rFonts w:hint="eastAsia" w:ascii="宋体" w:hAnsi="宋体"/>
          <w:sz w:val="24"/>
        </w:rPr>
        <w:t>，并且承担由此产生的全部费用。</w:t>
      </w:r>
    </w:p>
    <w:p>
      <w:pPr>
        <w:spacing w:line="360" w:lineRule="auto"/>
        <w:ind w:firstLine="480" w:firstLineChars="200"/>
        <w:rPr>
          <w:rFonts w:ascii="宋体" w:hAnsi="宋体"/>
          <w:sz w:val="24"/>
        </w:rPr>
      </w:pPr>
      <w:r>
        <w:rPr>
          <w:rFonts w:hint="eastAsia" w:ascii="宋体" w:hAnsi="宋体"/>
          <w:sz w:val="24"/>
        </w:rPr>
        <w:t xml:space="preserve"> 性能验收：齿轮箱</w:t>
      </w:r>
      <w:r>
        <w:rPr>
          <w:rFonts w:hint="eastAsia" w:ascii="宋体" w:hAnsi="宋体"/>
          <w:sz w:val="24"/>
          <w:lang w:val="en-US" w:eastAsia="zh-CN"/>
        </w:rPr>
        <w:t>维修</w:t>
      </w:r>
      <w:r>
        <w:rPr>
          <w:rFonts w:hint="eastAsia" w:ascii="宋体" w:hAnsi="宋体"/>
          <w:sz w:val="24"/>
        </w:rPr>
        <w:t>后连续、无故障、稳定运行240小时后，风电场对合同设备功能及配置、备品备件及工具、维护保养维修服务、技术资料、技术维修服务和合同约定的相关要求等进行的验收。验收通过后，双方签署验收证书。如果合同设备验收阶段未达到合同约定的要求，乙方应立即对合同设备进行修理或更换，修理或更换完成后，合同设备重新进行验收考核，并且乙方承担由此产生的全部费用。</w:t>
      </w:r>
    </w:p>
    <w:p>
      <w:pPr>
        <w:spacing w:line="360" w:lineRule="auto"/>
        <w:ind w:firstLine="480" w:firstLineChars="200"/>
        <w:rPr>
          <w:rFonts w:hint="eastAsia"/>
          <w:lang w:eastAsia="zh-CN"/>
        </w:rPr>
      </w:pPr>
      <w:r>
        <w:rPr>
          <w:rFonts w:hint="eastAsia" w:ascii="宋体" w:hAnsi="宋体"/>
          <w:sz w:val="24"/>
        </w:rPr>
        <w:t>出质保验收：齿轮箱按合同约定的质保时间届满，如在质保期间未发生任何问题，风电场对合同设备及技术维修服务执行情况组织进行的验收。出质保验收通过后，使用方签署该台齿轮箱的出质保验收证书。如果维修后齿轮箱出质保阶段未达到合同约定的要求，乙方应立即进行修理或更换，修理或更换完成后，合同设备重</w:t>
      </w:r>
      <w:r>
        <w:rPr>
          <w:rFonts w:hint="eastAsia" w:ascii="宋体" w:hAnsi="宋体" w:cs="Times New Roman"/>
          <w:sz w:val="24"/>
        </w:rPr>
        <w:t>新进行出质保考核。</w:t>
      </w:r>
    </w:p>
    <w:p>
      <w:pPr>
        <w:spacing w:line="360" w:lineRule="auto"/>
        <w:ind w:firstLine="480" w:firstLineChars="200"/>
        <w:rPr>
          <w:rFonts w:ascii="宋体" w:hAnsi="宋体"/>
          <w:sz w:val="24"/>
        </w:rPr>
      </w:pPr>
      <w:r>
        <w:rPr>
          <w:rFonts w:hint="eastAsia" w:ascii="宋体" w:hAnsi="宋体"/>
          <w:sz w:val="24"/>
        </w:rPr>
        <w:t>验收标准包括最新国家、行业有关标准、规范、导则和反事故措施等。验收所需提供的技术资料包括但不限于拆解报告、维修方案、维修报告、检测报告、材料试验报告、出厂试验报告等。</w:t>
      </w:r>
    </w:p>
    <w:p>
      <w:pPr>
        <w:spacing w:line="360" w:lineRule="auto"/>
        <w:ind w:firstLine="480" w:firstLineChars="200"/>
        <w:rPr>
          <w:rFonts w:ascii="宋体" w:hAnsi="宋体"/>
          <w:sz w:val="24"/>
        </w:rPr>
      </w:pPr>
      <w:r>
        <w:rPr>
          <w:rFonts w:hint="eastAsia" w:ascii="宋体" w:hAnsi="宋体"/>
          <w:sz w:val="24"/>
        </w:rPr>
        <w:t>对检验验收过程中发现的不合格内容，乙方应负责纠正和再次检验，并承担所有费用，以及按照本合同约定承担有关的延误违约责任。</w:t>
      </w:r>
    </w:p>
    <w:p>
      <w:pPr>
        <w:spacing w:line="360" w:lineRule="auto"/>
        <w:ind w:firstLine="480" w:firstLineChars="200"/>
        <w:rPr>
          <w:rFonts w:hint="eastAsia" w:ascii="宋体" w:hAnsi="宋体" w:cstheme="minorBidi"/>
          <w:color w:val="auto"/>
          <w:kern w:val="2"/>
          <w:sz w:val="24"/>
          <w:szCs w:val="22"/>
          <w:lang w:val="en-US" w:eastAsia="zh-CN" w:bidi="ar-SA"/>
        </w:rPr>
      </w:pPr>
      <w:r>
        <w:rPr>
          <w:rFonts w:ascii="宋体" w:hAnsi="宋体"/>
          <w:sz w:val="24"/>
        </w:rPr>
        <w:t>甲方对合同设备所做的任何检验验收以及认可接收，不代表乙方对合同设备所承担的安全、质量、技术等责任和义务的任何免除。</w:t>
      </w:r>
    </w:p>
    <w:p>
      <w:pPr>
        <w:numPr>
          <w:ilvl w:val="0"/>
          <w:numId w:val="0"/>
        </w:numPr>
        <w:adjustRightInd w:val="0"/>
        <w:snapToGrid w:val="0"/>
        <w:spacing w:line="340" w:lineRule="exact"/>
        <w:rPr>
          <w:rFonts w:hint="eastAsia" w:ascii="Times New Roman" w:hAnsi="Times New Roman" w:eastAsia="方正仿宋简体" w:cs="Times New Roman"/>
          <w:b/>
          <w:color w:val="000000"/>
          <w:sz w:val="24"/>
          <w:szCs w:val="24"/>
          <w:highlight w:val="yellow"/>
        </w:rPr>
      </w:pPr>
      <w:r>
        <w:rPr>
          <w:rFonts w:hint="eastAsia" w:eastAsia="方正仿宋简体" w:cs="Times New Roman"/>
          <w:b/>
          <w:color w:val="000000"/>
          <w:sz w:val="24"/>
          <w:szCs w:val="24"/>
          <w:highlight w:val="none"/>
          <w:lang w:eastAsia="zh-CN"/>
        </w:rPr>
        <w:t>五、</w:t>
      </w:r>
      <w:r>
        <w:rPr>
          <w:rFonts w:hint="eastAsia" w:ascii="Times New Roman" w:hAnsi="Times New Roman" w:eastAsia="方正仿宋简体" w:cs="Times New Roman"/>
          <w:b/>
          <w:color w:val="000000"/>
          <w:sz w:val="24"/>
          <w:szCs w:val="24"/>
          <w:highlight w:val="none"/>
        </w:rPr>
        <w:t xml:space="preserve">投标文件格式要求 </w:t>
      </w:r>
    </w:p>
    <w:p>
      <w:pPr>
        <w:spacing w:line="360" w:lineRule="auto"/>
        <w:ind w:firstLine="480" w:firstLineChars="200"/>
        <w:rPr>
          <w:rFonts w:ascii="Calibri" w:hAnsi="Calibri" w:eastAsia="方正仿宋简体"/>
          <w:color w:val="000000"/>
          <w:sz w:val="24"/>
          <w:szCs w:val="24"/>
          <w:highlight w:val="yellow"/>
        </w:rPr>
      </w:pPr>
      <w:r>
        <w:rPr>
          <w:rFonts w:hint="eastAsia" w:ascii="宋体" w:hAnsi="宋体"/>
          <w:sz w:val="24"/>
        </w:rPr>
        <w:t>报价供应商应按照技术要求文件中“供货范围及数量”制作电子版标书附件上传系统及报价，无需投递纸质版报价文件，未上传电子版标书附件视为无效报价。</w:t>
      </w:r>
    </w:p>
    <w:p>
      <w:pPr>
        <w:numPr>
          <w:ilvl w:val="0"/>
          <w:numId w:val="0"/>
        </w:numPr>
        <w:adjustRightInd w:val="0"/>
        <w:snapToGrid w:val="0"/>
        <w:spacing w:line="340" w:lineRule="exact"/>
        <w:rPr>
          <w:rFonts w:eastAsia="方正仿宋简体"/>
          <w:b/>
          <w:color w:val="000000"/>
          <w:kern w:val="0"/>
          <w:sz w:val="24"/>
          <w:szCs w:val="24"/>
        </w:rPr>
      </w:pPr>
      <w:r>
        <w:rPr>
          <w:rFonts w:hint="eastAsia" w:eastAsia="方正仿宋简体" w:cs="Times New Roman"/>
          <w:b/>
          <w:bCs/>
          <w:color w:val="000000"/>
          <w:sz w:val="24"/>
          <w:szCs w:val="24"/>
          <w:lang w:eastAsia="zh-CN"/>
        </w:rPr>
        <w:t>六、</w:t>
      </w:r>
      <w:r>
        <w:rPr>
          <w:rFonts w:hint="eastAsia" w:ascii="Times New Roman" w:hAnsi="Times New Roman" w:eastAsia="方正仿宋简体" w:cs="Times New Roman"/>
          <w:b/>
          <w:bCs/>
          <w:color w:val="000000"/>
          <w:sz w:val="24"/>
          <w:szCs w:val="24"/>
        </w:rPr>
        <w:t>技术资料</w:t>
      </w:r>
      <w:r>
        <w:rPr>
          <w:rFonts w:hint="eastAsia" w:ascii="Times New Roman" w:hAnsi="Times New Roman" w:eastAsia="方正仿宋简体" w:cs="Times New Roman"/>
          <w:b/>
          <w:color w:val="000000"/>
          <w:kern w:val="0"/>
          <w:sz w:val="24"/>
          <w:szCs w:val="24"/>
        </w:rPr>
        <w:t>要求</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齿轮箱塔上内窥镜检查：需出具内窥镜检查报告，并通过业主合格验收，包括齿轮箱可检查部件的具体情况及整体结论。</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乙方应以快件寄送的方式或直接送达的方式提交技术资料。将技术资料送达甲方签收的时间为技术资料的交付时间，此时有关技术资料的交付风险由乙方转移至甲方。</w:t>
      </w:r>
    </w:p>
    <w:p>
      <w:pPr>
        <w:spacing w:line="360" w:lineRule="auto"/>
        <w:ind w:firstLine="480" w:firstLineChars="200"/>
        <w:rPr>
          <w:rFonts w:hint="default" w:ascii="宋体" w:hAnsi="宋体"/>
          <w:sz w:val="24"/>
          <w:lang w:val="en-US" w:eastAsia="zh-CN"/>
        </w:rPr>
      </w:pPr>
      <w:r>
        <w:rPr>
          <w:rFonts w:hint="eastAsia" w:ascii="宋体" w:hAnsi="宋体"/>
          <w:sz w:val="24"/>
          <w:lang w:val="en-US" w:eastAsia="zh-CN"/>
        </w:rPr>
        <w:t>乙方应确保其提交的技术资料正确、完整、清晰，并能满足合同设备的安装、运行、验收试验、日常保养、检修和维护的要求。如果乙方提供的技术文件不完整，乙方应在收到甲方关于资料不完整通知后的9天内进行必要的修正，并且免费向甲方重新提交正确、完整、清晰的文件。如果乙方提交的技术文件有遗漏和错误，乙方应向甲方补偿由此而引起的增加的工程费用和施工费用，若给甲方造成损失，乙方需进行赔偿。</w:t>
      </w:r>
    </w:p>
    <w:p>
      <w:pPr>
        <w:spacing w:line="360" w:lineRule="auto"/>
        <w:ind w:firstLine="480" w:firstLineChars="200"/>
        <w:rPr>
          <w:rFonts w:hint="eastAsia" w:ascii="宋体" w:hAnsi="宋体"/>
          <w:sz w:val="24"/>
        </w:rPr>
      </w:pPr>
      <w:r>
        <w:rPr>
          <w:rFonts w:hint="eastAsia" w:ascii="宋体" w:hAnsi="宋体"/>
          <w:sz w:val="24"/>
          <w:lang w:val="en-US" w:eastAsia="zh-CN"/>
        </w:rPr>
        <w:t>技术资料及有关资料的费用包括在合同采购价格中，不再单独支付。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B0963"/>
    <w:multiLevelType w:val="singleLevel"/>
    <w:tmpl w:val="F89B0963"/>
    <w:lvl w:ilvl="0" w:tentative="0">
      <w:start w:val="3"/>
      <w:numFmt w:val="chineseCounting"/>
      <w:suff w:val="nothing"/>
      <w:lvlText w:val="%1、"/>
      <w:lvlJc w:val="left"/>
      <w:rPr>
        <w:rFonts w:hint="eastAsia"/>
      </w:rPr>
    </w:lvl>
  </w:abstractNum>
  <w:abstractNum w:abstractNumId="1">
    <w:nsid w:val="57DE1B30"/>
    <w:multiLevelType w:val="singleLevel"/>
    <w:tmpl w:val="57DE1B30"/>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jNDFlYjg2MjRmMGVlMGM2Zjc4NDc2NmFlNjM2ZjQifQ=="/>
  </w:docVars>
  <w:rsids>
    <w:rsidRoot w:val="00000000"/>
    <w:rsid w:val="0FB45099"/>
    <w:rsid w:val="2F696832"/>
    <w:rsid w:val="62F97BF4"/>
    <w:rsid w:val="75F4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line="240" w:lineRule="auto"/>
    </w:pPr>
    <w:rPr>
      <w:rFonts w:asciiTheme="minorHAnsi" w:hAnsiTheme="minorHAnsi" w:eastAsiaTheme="minorEastAsia" w:cstheme="minorBidi"/>
      <w:sz w:val="24"/>
      <w:szCs w:val="2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2262</Words>
  <Characters>2390</Characters>
  <Lines>0</Lines>
  <Paragraphs>0</Paragraphs>
  <TotalTime>2</TotalTime>
  <ScaleCrop>false</ScaleCrop>
  <LinksUpToDate>false</LinksUpToDate>
  <CharactersWithSpaces>2415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2024-07-03T07:19:00Z</dcterms:created>
  <dc:creator>Administrator</dc:creator>
  <cp:lastModifiedBy>王晓飞</cp:lastModifiedBy>
  <dcterms:modified xsi:type="dcterms:W3CDTF">2024-07-05T02:06:48Z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F39EC506E35D4BFE933B7C0EEA487972_12</vt:lpwstr>
  </property>
</Properties>
</file>