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440" w:lineRule="exact"/>
        <w:jc w:val="center"/>
        <w:rPr>
          <w:rFonts w:hint="eastAsia" w:ascii="方正仿宋简体" w:hAnsi="方正仿宋简体" w:eastAsia="方正仿宋简体" w:cs="方正仿宋简体"/>
          <w:b/>
          <w:sz w:val="30"/>
          <w:szCs w:val="30"/>
        </w:rPr>
      </w:pPr>
    </w:p>
    <w:p>
      <w:pPr>
        <w:jc w:val="center"/>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葫芦素煤矿主井栈桥减速机一次性采购</w:t>
      </w: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采购文件</w:t>
      </w: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pStyle w:val="4"/>
        <w:rPr>
          <w:rFonts w:hint="eastAsia"/>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ind w:firstLine="1687" w:firstLineChars="600"/>
        <w:jc w:val="both"/>
        <w:rPr>
          <w:rFonts w:hint="default" w:ascii="方正仿宋简体" w:hAnsi="方正仿宋简体" w:eastAsia="方正仿宋简体" w:cs="方正仿宋简体"/>
          <w:b/>
          <w:bCs/>
          <w:sz w:val="28"/>
          <w:szCs w:val="28"/>
          <w:u w:val="none"/>
          <w:lang w:val="en-US" w:eastAsia="zh-CN"/>
        </w:rPr>
      </w:pPr>
      <w:r>
        <w:rPr>
          <w:rFonts w:hint="eastAsia" w:ascii="方正仿宋简体" w:hAnsi="方正仿宋简体" w:eastAsia="方正仿宋简体" w:cs="方正仿宋简体"/>
          <w:b/>
          <w:bCs/>
          <w:sz w:val="28"/>
          <w:szCs w:val="28"/>
          <w:u w:val="none"/>
          <w:lang w:val="en-US" w:eastAsia="zh-CN"/>
        </w:rPr>
        <w:t>采购人：</w:t>
      </w:r>
      <w:r>
        <w:rPr>
          <w:rFonts w:hint="eastAsia" w:ascii="方正仿宋简体" w:hAnsi="方正仿宋简体" w:eastAsia="方正仿宋简体" w:cs="方正仿宋简体"/>
          <w:b/>
          <w:bCs/>
          <w:sz w:val="28"/>
          <w:szCs w:val="28"/>
          <w:u w:val="single"/>
          <w:lang w:val="en-US" w:eastAsia="zh-CN"/>
        </w:rPr>
        <w:t>中天合创能源有限责任公司</w:t>
      </w:r>
    </w:p>
    <w:p>
      <w:pPr>
        <w:jc w:val="center"/>
        <w:rPr>
          <w:rFonts w:hint="default" w:ascii="方正仿宋简体" w:hAnsi="方正仿宋简体" w:eastAsia="方正仿宋简体" w:cs="方正仿宋简体"/>
          <w:b/>
          <w:bCs/>
          <w:sz w:val="28"/>
          <w:szCs w:val="28"/>
          <w:u w:val="single"/>
          <w:lang w:val="en-US" w:eastAsia="zh-CN"/>
        </w:rPr>
      </w:pPr>
      <w:r>
        <w:rPr>
          <w:rFonts w:hint="eastAsia" w:ascii="方正仿宋简体" w:hAnsi="方正仿宋简体" w:eastAsia="方正仿宋简体" w:cs="方正仿宋简体"/>
          <w:b/>
          <w:bCs/>
          <w:sz w:val="28"/>
          <w:szCs w:val="28"/>
          <w:u w:val="none"/>
          <w:lang w:val="en-US" w:eastAsia="zh-CN"/>
        </w:rPr>
        <w:t xml:space="preserve"> </w:t>
      </w:r>
      <w:r>
        <w:rPr>
          <w:rFonts w:hint="eastAsia" w:ascii="方正仿宋简体" w:hAnsi="方正仿宋简体" w:eastAsia="方正仿宋简体" w:cs="方正仿宋简体"/>
          <w:b/>
          <w:bCs/>
          <w:sz w:val="28"/>
          <w:szCs w:val="28"/>
          <w:u w:val="single"/>
          <w:lang w:val="en-US" w:eastAsia="zh-CN"/>
        </w:rPr>
        <w:t>2024</w:t>
      </w:r>
      <w:r>
        <w:rPr>
          <w:rFonts w:hint="eastAsia" w:ascii="方正仿宋简体" w:hAnsi="方正仿宋简体" w:eastAsia="方正仿宋简体" w:cs="方正仿宋简体"/>
          <w:b/>
          <w:bCs/>
          <w:sz w:val="28"/>
          <w:szCs w:val="28"/>
          <w:u w:val="none"/>
          <w:lang w:val="en-US" w:eastAsia="zh-CN"/>
        </w:rPr>
        <w:t>年</w:t>
      </w:r>
      <w:r>
        <w:rPr>
          <w:rFonts w:hint="eastAsia" w:ascii="方正仿宋简体" w:hAnsi="方正仿宋简体" w:eastAsia="方正仿宋简体" w:cs="方正仿宋简体"/>
          <w:b/>
          <w:bCs/>
          <w:sz w:val="28"/>
          <w:szCs w:val="28"/>
          <w:u w:val="single"/>
          <w:lang w:val="en-US" w:eastAsia="zh-CN"/>
        </w:rPr>
        <w:t>4</w:t>
      </w:r>
      <w:r>
        <w:rPr>
          <w:rFonts w:hint="eastAsia" w:ascii="方正仿宋简体" w:hAnsi="方正仿宋简体" w:eastAsia="方正仿宋简体" w:cs="方正仿宋简体"/>
          <w:b/>
          <w:bCs/>
          <w:sz w:val="28"/>
          <w:szCs w:val="28"/>
          <w:u w:val="none"/>
          <w:lang w:val="en-US" w:eastAsia="zh-CN"/>
        </w:rPr>
        <w:t>月</w:t>
      </w:r>
    </w:p>
    <w:p>
      <w:pPr>
        <w:pStyle w:val="14"/>
        <w:spacing w:line="440" w:lineRule="exact"/>
        <w:jc w:val="center"/>
        <w:rPr>
          <w:rFonts w:hint="eastAsia" w:ascii="方正仿宋简体" w:hAnsi="方正仿宋简体" w:eastAsia="方正仿宋简体" w:cs="方正仿宋简体"/>
          <w:b/>
          <w:sz w:val="30"/>
          <w:szCs w:val="30"/>
          <w:lang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目</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录</w:t>
      </w:r>
    </w:p>
    <w:p>
      <w:pPr>
        <w:pStyle w:val="14"/>
        <w:pageBreakBefore w:val="0"/>
        <w:numPr>
          <w:ilvl w:val="0"/>
          <w:numId w:val="0"/>
        </w:numPr>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第一章 采购邀请文件</w:t>
      </w:r>
    </w:p>
    <w:p>
      <w:pPr>
        <w:pStyle w:val="14"/>
        <w:pageBreakBefore w:val="0"/>
        <w:kinsoku/>
        <w:wordWrap/>
        <w:overflowPunct/>
        <w:topLinePunct w:val="0"/>
        <w:autoSpaceDE/>
        <w:autoSpaceDN/>
        <w:bidi w:val="0"/>
        <w:adjustRightInd/>
        <w:spacing w:line="440" w:lineRule="exact"/>
        <w:ind w:firstLine="602" w:firstLineChars="200"/>
        <w:jc w:val="both"/>
        <w:textAlignment w:val="auto"/>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eastAsia="zh-CN"/>
        </w:rPr>
        <w:t>第二章</w:t>
      </w:r>
      <w:r>
        <w:rPr>
          <w:rFonts w:hint="eastAsia" w:ascii="方正仿宋简体" w:hAnsi="方正仿宋简体" w:eastAsia="方正仿宋简体" w:cs="方正仿宋简体"/>
          <w:b/>
          <w:sz w:val="30"/>
          <w:szCs w:val="30"/>
          <w:lang w:val="en-US" w:eastAsia="zh-CN"/>
        </w:rPr>
        <w:t xml:space="preserve"> 潜在供应商须知</w:t>
      </w:r>
    </w:p>
    <w:p>
      <w:pPr>
        <w:pStyle w:val="14"/>
        <w:pageBreakBefore w:val="0"/>
        <w:kinsoku/>
        <w:wordWrap/>
        <w:overflowPunct/>
        <w:topLinePunct w:val="0"/>
        <w:autoSpaceDE/>
        <w:autoSpaceDN/>
        <w:bidi w:val="0"/>
        <w:adjustRightInd/>
        <w:spacing w:line="440" w:lineRule="exact"/>
        <w:ind w:firstLine="602"/>
        <w:jc w:val="both"/>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第三章 评审办法</w:t>
      </w:r>
    </w:p>
    <w:p>
      <w:pPr>
        <w:pStyle w:val="14"/>
        <w:pageBreakBefore w:val="0"/>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第四章 技术要求</w:t>
      </w:r>
    </w:p>
    <w:p>
      <w:pPr>
        <w:pStyle w:val="14"/>
        <w:pageBreakBefore w:val="0"/>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第五章 响应文件相关格式</w:t>
      </w:r>
    </w:p>
    <w:p>
      <w:pPr>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第一章</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采购</w:t>
      </w:r>
      <w:r>
        <w:rPr>
          <w:rFonts w:hint="eastAsia" w:ascii="方正仿宋简体" w:hAnsi="方正仿宋简体" w:eastAsia="方正仿宋简体" w:cs="方正仿宋简体"/>
          <w:b/>
          <w:sz w:val="30"/>
          <w:szCs w:val="30"/>
        </w:rPr>
        <w:t>邀请</w:t>
      </w:r>
      <w:r>
        <w:rPr>
          <w:rFonts w:hint="eastAsia" w:ascii="方正仿宋简体" w:hAnsi="方正仿宋简体" w:eastAsia="方正仿宋简体" w:cs="方正仿宋简体"/>
          <w:b/>
          <w:sz w:val="30"/>
          <w:szCs w:val="30"/>
          <w:lang w:eastAsia="zh-CN"/>
        </w:rPr>
        <w:t>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中天合创能源有限责任公司就“</w:t>
      </w:r>
      <w:r>
        <w:rPr>
          <w:rFonts w:hint="eastAsia" w:ascii="方正仿宋简体" w:hAnsi="方正仿宋简体" w:eastAsia="方正仿宋简体" w:cs="方正仿宋简体"/>
          <w:bCs/>
          <w:sz w:val="24"/>
          <w:szCs w:val="24"/>
          <w:u w:val="single"/>
          <w:lang w:val="en-US" w:eastAsia="zh-CN"/>
        </w:rPr>
        <w:t>中天合创能源有限责任公司葫芦素煤矿主井栈桥减速机一次性采购</w:t>
      </w:r>
      <w:r>
        <w:rPr>
          <w:rFonts w:hint="eastAsia" w:ascii="方正仿宋简体" w:hAnsi="方正仿宋简体" w:eastAsia="方正仿宋简体" w:cs="方正仿宋简体"/>
          <w:bCs/>
          <w:sz w:val="24"/>
          <w:szCs w:val="24"/>
          <w:lang w:val="en-US" w:eastAsia="zh-CN"/>
        </w:rPr>
        <w:t>”项目进行</w:t>
      </w:r>
      <w:r>
        <w:rPr>
          <w:rFonts w:hint="eastAsia" w:ascii="方正仿宋简体" w:hAnsi="方正仿宋简体" w:eastAsia="方正仿宋简体" w:cs="方正仿宋简体"/>
          <w:bCs/>
          <w:sz w:val="24"/>
          <w:szCs w:val="24"/>
          <w:u w:val="single"/>
          <w:lang w:val="en-US" w:eastAsia="zh-CN"/>
        </w:rPr>
        <w:t>公开询比</w:t>
      </w:r>
      <w:r>
        <w:rPr>
          <w:rFonts w:hint="eastAsia" w:ascii="方正仿宋简体" w:hAnsi="方正仿宋简体" w:eastAsia="方正仿宋简体" w:cs="方正仿宋简体"/>
          <w:bCs/>
          <w:sz w:val="24"/>
          <w:szCs w:val="24"/>
          <w:lang w:val="en-US" w:eastAsia="zh-CN"/>
        </w:rPr>
        <w:t>采购，现邀请合格供应商参与报价，参与报价供应商应严格按照我公司采购流程执行，严格遵守《中国中煤能源集团有限公司供应商廉洁合规管理办法》要求，具体如下：</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一、采购范围</w:t>
      </w:r>
    </w:p>
    <w:tbl>
      <w:tblPr>
        <w:tblStyle w:val="10"/>
        <w:tblW w:w="9699" w:type="dxa"/>
        <w:jc w:val="center"/>
        <w:tblInd w:w="-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851"/>
        <w:gridCol w:w="1701"/>
        <w:gridCol w:w="709"/>
        <w:gridCol w:w="708"/>
        <w:gridCol w:w="851"/>
        <w:gridCol w:w="850"/>
        <w:gridCol w:w="913"/>
        <w:gridCol w:w="1215"/>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 w:type="dxa"/>
            <w:vAlign w:val="center"/>
          </w:tcPr>
          <w:p>
            <w:pPr>
              <w:snapToGrid w:val="0"/>
              <w:spacing w:line="520" w:lineRule="exact"/>
              <w:jc w:val="center"/>
              <w:rPr>
                <w:rFonts w:hint="eastAsia" w:ascii="仿宋" w:hAnsi="仿宋" w:eastAsia="仿宋" w:cs="仿宋"/>
                <w:szCs w:val="21"/>
              </w:rPr>
            </w:pPr>
            <w:r>
              <w:rPr>
                <w:rFonts w:hint="eastAsia" w:ascii="仿宋" w:hAnsi="仿宋" w:eastAsia="仿宋" w:cs="仿宋"/>
                <w:szCs w:val="21"/>
              </w:rPr>
              <w:t>序号</w:t>
            </w:r>
          </w:p>
        </w:tc>
        <w:tc>
          <w:tcPr>
            <w:tcW w:w="851" w:type="dxa"/>
            <w:vAlign w:val="center"/>
          </w:tcPr>
          <w:p>
            <w:pPr>
              <w:snapToGrid w:val="0"/>
              <w:spacing w:line="520" w:lineRule="exact"/>
              <w:jc w:val="center"/>
              <w:rPr>
                <w:rFonts w:hint="eastAsia" w:ascii="仿宋" w:hAnsi="仿宋" w:eastAsia="仿宋" w:cs="仿宋"/>
                <w:szCs w:val="21"/>
              </w:rPr>
            </w:pPr>
            <w:r>
              <w:rPr>
                <w:rFonts w:hint="eastAsia" w:ascii="仿宋" w:hAnsi="仿宋" w:eastAsia="仿宋" w:cs="仿宋"/>
                <w:szCs w:val="21"/>
              </w:rPr>
              <w:t>设备</w:t>
            </w:r>
          </w:p>
          <w:p>
            <w:pPr>
              <w:snapToGrid w:val="0"/>
              <w:spacing w:line="520" w:lineRule="exact"/>
              <w:jc w:val="center"/>
              <w:rPr>
                <w:rFonts w:hint="eastAsia" w:ascii="仿宋" w:hAnsi="仿宋" w:eastAsia="仿宋" w:cs="仿宋"/>
                <w:szCs w:val="21"/>
              </w:rPr>
            </w:pPr>
            <w:r>
              <w:rPr>
                <w:rFonts w:hint="eastAsia" w:ascii="仿宋" w:hAnsi="仿宋" w:eastAsia="仿宋" w:cs="仿宋"/>
                <w:szCs w:val="21"/>
              </w:rPr>
              <w:t>名称</w:t>
            </w:r>
          </w:p>
        </w:tc>
        <w:tc>
          <w:tcPr>
            <w:tcW w:w="1701" w:type="dxa"/>
            <w:vAlign w:val="center"/>
          </w:tcPr>
          <w:p>
            <w:pPr>
              <w:snapToGrid w:val="0"/>
              <w:spacing w:line="520" w:lineRule="exact"/>
              <w:jc w:val="center"/>
              <w:rPr>
                <w:rFonts w:hint="eastAsia" w:ascii="仿宋" w:hAnsi="仿宋" w:eastAsia="仿宋" w:cs="仿宋"/>
                <w:szCs w:val="21"/>
              </w:rPr>
            </w:pPr>
            <w:r>
              <w:rPr>
                <w:rFonts w:hint="eastAsia" w:ascii="仿宋" w:hAnsi="仿宋" w:eastAsia="仿宋" w:cs="仿宋"/>
                <w:szCs w:val="21"/>
              </w:rPr>
              <w:t>设备型号与规格</w:t>
            </w:r>
          </w:p>
        </w:tc>
        <w:tc>
          <w:tcPr>
            <w:tcW w:w="709" w:type="dxa"/>
            <w:vAlign w:val="center"/>
          </w:tcPr>
          <w:p>
            <w:pPr>
              <w:snapToGrid w:val="0"/>
              <w:spacing w:line="520" w:lineRule="exact"/>
              <w:jc w:val="center"/>
              <w:rPr>
                <w:rFonts w:hint="eastAsia" w:ascii="仿宋" w:hAnsi="仿宋" w:eastAsia="仿宋" w:cs="仿宋"/>
                <w:szCs w:val="21"/>
              </w:rPr>
            </w:pPr>
            <w:r>
              <w:rPr>
                <w:rFonts w:hint="eastAsia" w:ascii="仿宋" w:hAnsi="仿宋" w:eastAsia="仿宋" w:cs="仿宋"/>
                <w:szCs w:val="21"/>
              </w:rPr>
              <w:t>单位</w:t>
            </w:r>
          </w:p>
        </w:tc>
        <w:tc>
          <w:tcPr>
            <w:tcW w:w="708" w:type="dxa"/>
            <w:vAlign w:val="center"/>
          </w:tcPr>
          <w:p>
            <w:pPr>
              <w:snapToGrid w:val="0"/>
              <w:spacing w:line="520" w:lineRule="exact"/>
              <w:jc w:val="center"/>
              <w:rPr>
                <w:rFonts w:hint="eastAsia" w:ascii="仿宋" w:hAnsi="仿宋" w:eastAsia="仿宋" w:cs="仿宋"/>
                <w:szCs w:val="21"/>
              </w:rPr>
            </w:pPr>
            <w:r>
              <w:rPr>
                <w:rFonts w:hint="eastAsia" w:ascii="仿宋" w:hAnsi="仿宋" w:eastAsia="仿宋" w:cs="仿宋"/>
                <w:szCs w:val="21"/>
              </w:rPr>
              <w:t>数量</w:t>
            </w:r>
          </w:p>
        </w:tc>
        <w:tc>
          <w:tcPr>
            <w:tcW w:w="851" w:type="dxa"/>
            <w:vAlign w:val="center"/>
          </w:tcPr>
          <w:p>
            <w:pPr>
              <w:snapToGrid w:val="0"/>
              <w:spacing w:line="520" w:lineRule="exact"/>
              <w:jc w:val="center"/>
              <w:rPr>
                <w:rFonts w:hint="eastAsia" w:ascii="仿宋" w:hAnsi="仿宋" w:eastAsia="仿宋" w:cs="仿宋"/>
                <w:szCs w:val="21"/>
              </w:rPr>
            </w:pPr>
            <w:r>
              <w:rPr>
                <w:rFonts w:hint="eastAsia" w:ascii="仿宋" w:hAnsi="仿宋" w:eastAsia="仿宋" w:cs="仿宋"/>
                <w:szCs w:val="21"/>
              </w:rPr>
              <w:t>含税单价/元</w:t>
            </w:r>
          </w:p>
        </w:tc>
        <w:tc>
          <w:tcPr>
            <w:tcW w:w="850" w:type="dxa"/>
            <w:vAlign w:val="center"/>
          </w:tcPr>
          <w:p>
            <w:pPr>
              <w:snapToGrid w:val="0"/>
              <w:spacing w:line="520" w:lineRule="exact"/>
              <w:jc w:val="center"/>
              <w:rPr>
                <w:rFonts w:hint="eastAsia" w:ascii="仿宋" w:hAnsi="仿宋" w:eastAsia="仿宋" w:cs="仿宋"/>
                <w:szCs w:val="21"/>
              </w:rPr>
            </w:pPr>
            <w:r>
              <w:rPr>
                <w:rFonts w:hint="eastAsia" w:ascii="仿宋" w:hAnsi="仿宋" w:eastAsia="仿宋" w:cs="仿宋"/>
                <w:szCs w:val="21"/>
              </w:rPr>
              <w:t>含税总价/元</w:t>
            </w:r>
          </w:p>
        </w:tc>
        <w:tc>
          <w:tcPr>
            <w:tcW w:w="913" w:type="dxa"/>
            <w:vAlign w:val="center"/>
          </w:tcPr>
          <w:p>
            <w:pPr>
              <w:snapToGrid w:val="0"/>
              <w:spacing w:line="520" w:lineRule="exact"/>
              <w:jc w:val="center"/>
              <w:rPr>
                <w:rFonts w:hint="eastAsia" w:ascii="仿宋" w:hAnsi="仿宋" w:eastAsia="仿宋" w:cs="仿宋"/>
                <w:szCs w:val="21"/>
              </w:rPr>
            </w:pPr>
            <w:r>
              <w:rPr>
                <w:rFonts w:hint="eastAsia" w:ascii="仿宋" w:hAnsi="仿宋" w:eastAsia="仿宋" w:cs="仿宋"/>
                <w:szCs w:val="21"/>
              </w:rPr>
              <w:t>生产商/品牌</w:t>
            </w:r>
          </w:p>
        </w:tc>
        <w:tc>
          <w:tcPr>
            <w:tcW w:w="1215" w:type="dxa"/>
            <w:vAlign w:val="center"/>
          </w:tcPr>
          <w:p>
            <w:pPr>
              <w:snapToGrid w:val="0"/>
              <w:spacing w:line="520" w:lineRule="exact"/>
              <w:jc w:val="center"/>
              <w:rPr>
                <w:rFonts w:hint="eastAsia" w:ascii="仿宋" w:hAnsi="仿宋" w:eastAsia="仿宋" w:cs="仿宋"/>
                <w:szCs w:val="21"/>
              </w:rPr>
            </w:pPr>
            <w:r>
              <w:rPr>
                <w:rFonts w:hint="eastAsia" w:ascii="仿宋" w:hAnsi="仿宋" w:eastAsia="仿宋" w:cs="仿宋"/>
                <w:szCs w:val="21"/>
              </w:rPr>
              <w:t>使用地点及位置</w:t>
            </w:r>
          </w:p>
        </w:tc>
        <w:tc>
          <w:tcPr>
            <w:tcW w:w="1204" w:type="dxa"/>
            <w:vAlign w:val="center"/>
          </w:tcPr>
          <w:p>
            <w:pPr>
              <w:snapToGrid w:val="0"/>
              <w:spacing w:line="520" w:lineRule="exact"/>
              <w:jc w:val="center"/>
              <w:rPr>
                <w:rFonts w:hint="eastAsia"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 w:type="dxa"/>
            <w:vAlign w:val="center"/>
          </w:tcPr>
          <w:p>
            <w:pPr>
              <w:snapToGrid w:val="0"/>
              <w:spacing w:line="520" w:lineRule="exact"/>
              <w:jc w:val="center"/>
              <w:rPr>
                <w:rFonts w:hint="eastAsia" w:ascii="仿宋" w:hAnsi="仿宋" w:eastAsia="仿宋" w:cs="仿宋"/>
                <w:szCs w:val="21"/>
              </w:rPr>
            </w:pPr>
            <w:r>
              <w:rPr>
                <w:rFonts w:hint="eastAsia" w:ascii="仿宋" w:hAnsi="仿宋" w:eastAsia="仿宋" w:cs="仿宋"/>
                <w:szCs w:val="21"/>
              </w:rPr>
              <w:t>1</w:t>
            </w:r>
          </w:p>
        </w:tc>
        <w:tc>
          <w:tcPr>
            <w:tcW w:w="851" w:type="dxa"/>
            <w:vAlign w:val="center"/>
          </w:tcPr>
          <w:p>
            <w:pPr>
              <w:snapToGrid w:val="0"/>
              <w:spacing w:line="520" w:lineRule="exact"/>
              <w:jc w:val="center"/>
              <w:rPr>
                <w:rFonts w:hint="eastAsia" w:ascii="仿宋" w:hAnsi="仿宋" w:eastAsia="仿宋" w:cs="仿宋"/>
                <w:color w:val="000000"/>
                <w:szCs w:val="21"/>
              </w:rPr>
            </w:pPr>
            <w:r>
              <w:rPr>
                <w:rFonts w:hint="eastAsia" w:ascii="仿宋" w:hAnsi="仿宋" w:eastAsia="仿宋" w:cs="仿宋"/>
                <w:color w:val="000000"/>
                <w:szCs w:val="21"/>
              </w:rPr>
              <w:t>减速机</w:t>
            </w:r>
          </w:p>
        </w:tc>
        <w:tc>
          <w:tcPr>
            <w:tcW w:w="1701" w:type="dxa"/>
            <w:vAlign w:val="center"/>
          </w:tcPr>
          <w:p>
            <w:pPr>
              <w:snapToGrid w:val="0"/>
              <w:spacing w:line="520" w:lineRule="exact"/>
              <w:jc w:val="center"/>
              <w:rPr>
                <w:rFonts w:hint="eastAsia" w:ascii="仿宋" w:hAnsi="仿宋" w:eastAsia="仿宋" w:cs="仿宋"/>
                <w:color w:val="000000"/>
                <w:szCs w:val="21"/>
              </w:rPr>
            </w:pPr>
            <w:r>
              <w:rPr>
                <w:rFonts w:hint="eastAsia" w:ascii="仿宋" w:hAnsi="仿宋" w:eastAsia="仿宋" w:cs="仿宋"/>
                <w:color w:val="000000"/>
                <w:szCs w:val="21"/>
              </w:rPr>
              <w:t>参考型号：NSH140F-25BⅡ</w:t>
            </w:r>
          </w:p>
        </w:tc>
        <w:tc>
          <w:tcPr>
            <w:tcW w:w="709" w:type="dxa"/>
            <w:vAlign w:val="center"/>
          </w:tcPr>
          <w:p>
            <w:pPr>
              <w:snapToGrid w:val="0"/>
              <w:spacing w:line="520" w:lineRule="exact"/>
              <w:jc w:val="center"/>
              <w:rPr>
                <w:rFonts w:hint="eastAsia" w:ascii="仿宋" w:hAnsi="仿宋" w:eastAsia="仿宋" w:cs="仿宋"/>
                <w:szCs w:val="21"/>
              </w:rPr>
            </w:pPr>
            <w:r>
              <w:rPr>
                <w:rFonts w:hint="eastAsia" w:ascii="仿宋" w:hAnsi="仿宋" w:eastAsia="仿宋" w:cs="仿宋"/>
                <w:szCs w:val="21"/>
              </w:rPr>
              <w:t>台</w:t>
            </w:r>
          </w:p>
        </w:tc>
        <w:tc>
          <w:tcPr>
            <w:tcW w:w="708" w:type="dxa"/>
            <w:vAlign w:val="center"/>
          </w:tcPr>
          <w:p>
            <w:pPr>
              <w:snapToGrid w:val="0"/>
              <w:spacing w:line="520" w:lineRule="exact"/>
              <w:jc w:val="center"/>
              <w:rPr>
                <w:rFonts w:hint="eastAsia" w:ascii="仿宋" w:hAnsi="仿宋" w:eastAsia="仿宋" w:cs="仿宋"/>
                <w:szCs w:val="21"/>
              </w:rPr>
            </w:pPr>
            <w:r>
              <w:rPr>
                <w:rFonts w:hint="eastAsia" w:ascii="仿宋" w:hAnsi="仿宋" w:eastAsia="仿宋" w:cs="仿宋"/>
                <w:szCs w:val="21"/>
              </w:rPr>
              <w:t>1</w:t>
            </w:r>
          </w:p>
        </w:tc>
        <w:tc>
          <w:tcPr>
            <w:tcW w:w="851" w:type="dxa"/>
            <w:vAlign w:val="center"/>
          </w:tcPr>
          <w:p>
            <w:pPr>
              <w:snapToGrid w:val="0"/>
              <w:spacing w:line="520" w:lineRule="exact"/>
              <w:jc w:val="center"/>
              <w:rPr>
                <w:rFonts w:hint="eastAsia" w:ascii="仿宋" w:hAnsi="仿宋" w:eastAsia="仿宋" w:cs="仿宋"/>
                <w:szCs w:val="21"/>
              </w:rPr>
            </w:pPr>
          </w:p>
        </w:tc>
        <w:tc>
          <w:tcPr>
            <w:tcW w:w="850" w:type="dxa"/>
            <w:vAlign w:val="center"/>
          </w:tcPr>
          <w:p>
            <w:pPr>
              <w:snapToGrid w:val="0"/>
              <w:spacing w:line="520" w:lineRule="exact"/>
              <w:jc w:val="center"/>
              <w:rPr>
                <w:rFonts w:hint="eastAsia" w:ascii="仿宋" w:hAnsi="仿宋" w:eastAsia="仿宋" w:cs="仿宋"/>
                <w:szCs w:val="21"/>
              </w:rPr>
            </w:pPr>
          </w:p>
        </w:tc>
        <w:tc>
          <w:tcPr>
            <w:tcW w:w="913" w:type="dxa"/>
            <w:vAlign w:val="center"/>
          </w:tcPr>
          <w:p>
            <w:pPr>
              <w:snapToGrid w:val="0"/>
              <w:spacing w:line="520" w:lineRule="exact"/>
              <w:jc w:val="center"/>
              <w:rPr>
                <w:rFonts w:hint="eastAsia" w:ascii="仿宋" w:hAnsi="仿宋" w:eastAsia="仿宋" w:cs="仿宋"/>
                <w:szCs w:val="21"/>
              </w:rPr>
            </w:pPr>
          </w:p>
        </w:tc>
        <w:tc>
          <w:tcPr>
            <w:tcW w:w="1215" w:type="dxa"/>
            <w:vAlign w:val="center"/>
          </w:tcPr>
          <w:p>
            <w:pPr>
              <w:snapToGrid w:val="0"/>
              <w:spacing w:line="520" w:lineRule="exact"/>
              <w:jc w:val="center"/>
              <w:rPr>
                <w:rFonts w:hint="eastAsia" w:ascii="仿宋" w:hAnsi="仿宋" w:eastAsia="仿宋" w:cs="仿宋"/>
                <w:szCs w:val="21"/>
              </w:rPr>
            </w:pPr>
            <w:r>
              <w:rPr>
                <w:rFonts w:hint="eastAsia" w:ascii="仿宋" w:hAnsi="仿宋" w:eastAsia="仿宋" w:cs="仿宋"/>
                <w:szCs w:val="21"/>
              </w:rPr>
              <w:t>主井栈桥带式输送机</w:t>
            </w:r>
          </w:p>
        </w:tc>
        <w:tc>
          <w:tcPr>
            <w:tcW w:w="1204" w:type="dxa"/>
            <w:vAlign w:val="center"/>
          </w:tcPr>
          <w:p>
            <w:pPr>
              <w:snapToGrid w:val="0"/>
              <w:spacing w:line="520" w:lineRule="exact"/>
              <w:jc w:val="left"/>
              <w:rPr>
                <w:rFonts w:hint="eastAsia" w:ascii="仿宋" w:hAnsi="仿宋" w:eastAsia="仿宋" w:cs="仿宋"/>
                <w:szCs w:val="21"/>
              </w:rPr>
            </w:pPr>
            <w:r>
              <w:rPr>
                <w:rFonts w:hint="eastAsia" w:ascii="仿宋" w:hAnsi="仿宋" w:eastAsia="仿宋" w:cs="仿宋"/>
                <w:szCs w:val="21"/>
              </w:rPr>
              <w:t>需粘贴煤安标志及设备铭牌</w:t>
            </w:r>
          </w:p>
        </w:tc>
      </w:tr>
    </w:tbl>
    <w:p>
      <w:pPr>
        <w:autoSpaceDE w:val="0"/>
        <w:autoSpaceDN w:val="0"/>
        <w:spacing w:line="560" w:lineRule="exact"/>
        <w:rPr>
          <w:rFonts w:hint="eastAsia" w:ascii="宋体" w:hAnsi="宋体"/>
          <w:b/>
          <w:sz w:val="30"/>
          <w:szCs w:val="30"/>
        </w:rPr>
      </w:pPr>
      <w:r>
        <w:rPr>
          <w:rFonts w:hint="eastAsia"/>
          <w:b/>
        </w:rPr>
        <w:t>注：1、</w:t>
      </w:r>
      <w:r>
        <w:rPr>
          <w:rFonts w:hint="eastAsia"/>
          <w:b/>
          <w:lang w:eastAsia="zh-CN"/>
        </w:rPr>
        <w:t>成交供应商</w:t>
      </w:r>
      <w:r>
        <w:rPr>
          <w:rFonts w:hint="eastAsia"/>
          <w:b/>
        </w:rPr>
        <w:t>供货前，需到使用现场确认在用减速机主要参数、安装尺寸、连接方式等信息，以保证所供减速机能与现有设备完全适配。</w:t>
      </w:r>
      <w:r>
        <w:rPr>
          <w:rFonts w:hint="eastAsia"/>
          <w:b/>
          <w:lang w:eastAsia="zh-CN"/>
        </w:rPr>
        <w:t>成交供应商</w:t>
      </w:r>
      <w:r>
        <w:rPr>
          <w:rFonts w:hint="eastAsia"/>
          <w:b/>
        </w:rPr>
        <w:t>未进行现场测量确认造成所供设备无法正常使用的由</w:t>
      </w:r>
      <w:r>
        <w:rPr>
          <w:rFonts w:hint="eastAsia"/>
          <w:b/>
          <w:lang w:eastAsia="zh-CN"/>
        </w:rPr>
        <w:t>成交供应商</w:t>
      </w:r>
      <w:r>
        <w:rPr>
          <w:rFonts w:hint="eastAsia"/>
          <w:b/>
        </w:rPr>
        <w:t>更换，期间产生的一切费用由</w:t>
      </w:r>
      <w:r>
        <w:rPr>
          <w:rFonts w:hint="eastAsia"/>
          <w:b/>
          <w:lang w:eastAsia="zh-CN"/>
        </w:rPr>
        <w:t>成交供应商</w:t>
      </w:r>
      <w:r>
        <w:rPr>
          <w:rFonts w:hint="eastAsia"/>
          <w:b/>
        </w:rPr>
        <w:t>承担。</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textAlignment w:val="auto"/>
        <w:outlineLvl w:val="9"/>
        <w:rPr>
          <w:rFonts w:hint="eastAsia"/>
          <w:b/>
        </w:rPr>
      </w:pPr>
      <w:r>
        <w:rPr>
          <w:rFonts w:hint="eastAsia"/>
          <w:b/>
        </w:rPr>
        <w:t>设备到货时间要求：根据合同约定。型号仅供参考。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二、供应商资格要求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1.要求供应商为独立法人资格的生产商或代理商（代理商需提供授权证明）；</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 参与报价单位在报名时须上传企业有效资质证件（营业执照、煤安证等）；</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3.供应商不得处于责令停产停业、暂扣或者吊销执照、暂扣或者吊销许可证、吊销资质证书状态，供应商不得处于进入清算程序或被宣告破产或其他丧失履约能力的情形；</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4.资格审核：本次采购采用资格后审，潜在供应商报名通过并获取到采购文件，不代表已经通过资格审查；</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5.本次采购不接受联合体。</w:t>
      </w:r>
    </w:p>
    <w:p>
      <w:pPr>
        <w:numPr>
          <w:ilvl w:val="0"/>
          <w:numId w:val="0"/>
        </w:numPr>
        <w:spacing w:line="560" w:lineRule="exact"/>
        <w:ind w:firstLine="482" w:firstLineChars="200"/>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lang w:val="en-US" w:eastAsia="zh-CN"/>
        </w:rPr>
        <w:t>三、</w:t>
      </w:r>
      <w:r>
        <w:rPr>
          <w:rFonts w:hint="eastAsia" w:ascii="方正仿宋简体" w:hAnsi="方正仿宋简体" w:eastAsia="方正仿宋简体" w:cs="方正仿宋简体"/>
          <w:b/>
          <w:sz w:val="24"/>
          <w:szCs w:val="24"/>
        </w:rPr>
        <w:t>交货地点、方式、交货时间、交货联系人</w:t>
      </w:r>
    </w:p>
    <w:p>
      <w:pPr>
        <w:spacing w:line="560" w:lineRule="exact"/>
        <w:ind w:firstLine="482"/>
        <w:rPr>
          <w:rFonts w:hint="eastAsia"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1.交货地点：中天合创能源有限责任公司葫芦素煤矿指定地点；</w:t>
      </w:r>
    </w:p>
    <w:p>
      <w:pPr>
        <w:spacing w:line="560" w:lineRule="exact"/>
        <w:ind w:firstLine="482"/>
        <w:rPr>
          <w:rFonts w:hint="eastAsia"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2.交货方式：货物在交货地点交付前发生的损毁、盗取、丢失等风险责任由供应商自行承担；严格按照仓库管理要求交付；</w:t>
      </w:r>
    </w:p>
    <w:p>
      <w:pPr>
        <w:spacing w:line="560" w:lineRule="exact"/>
        <w:ind w:firstLine="482"/>
        <w:rPr>
          <w:rFonts w:hint="eastAsia"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3.交货时间：合同签订后60日内送到甲方指定地点；</w:t>
      </w:r>
    </w:p>
    <w:p>
      <w:pPr>
        <w:spacing w:line="560" w:lineRule="exact"/>
        <w:ind w:firstLine="482"/>
        <w:rPr>
          <w:rFonts w:hint="eastAsia"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4.交货联系人：</w:t>
      </w:r>
    </w:p>
    <w:p>
      <w:pPr>
        <w:spacing w:line="560" w:lineRule="exact"/>
        <w:ind w:firstLine="482"/>
        <w:rPr>
          <w:rFonts w:hint="eastAsia"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葫芦素煤矿物资站站长（李站长15149423866）。</w:t>
      </w:r>
    </w:p>
    <w:p>
      <w:pPr>
        <w:numPr>
          <w:ilvl w:val="0"/>
          <w:numId w:val="0"/>
        </w:numPr>
        <w:spacing w:line="560" w:lineRule="exact"/>
        <w:ind w:firstLine="482" w:firstLineChars="200"/>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lang w:val="en-US" w:eastAsia="zh-CN"/>
        </w:rPr>
        <w:t>四、</w:t>
      </w:r>
      <w:r>
        <w:rPr>
          <w:rFonts w:hint="eastAsia" w:ascii="方正仿宋简体" w:hAnsi="方正仿宋简体" w:eastAsia="方正仿宋简体" w:cs="方正仿宋简体"/>
          <w:b/>
          <w:sz w:val="24"/>
          <w:szCs w:val="24"/>
        </w:rPr>
        <w:t>运输、装卸费用</w:t>
      </w:r>
    </w:p>
    <w:p>
      <w:pPr>
        <w:spacing w:line="560" w:lineRule="exact"/>
        <w:ind w:firstLine="480"/>
        <w:rPr>
          <w:rFonts w:hint="eastAsia"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供应商报价需含运输费、技术服务费、13%全额增值税及货到现场所需费用，卸车费用由采购方承担。</w:t>
      </w:r>
    </w:p>
    <w:p>
      <w:pPr>
        <w:numPr>
          <w:ilvl w:val="0"/>
          <w:numId w:val="0"/>
        </w:numPr>
        <w:spacing w:line="560" w:lineRule="exact"/>
        <w:ind w:firstLine="482" w:firstLineChars="200"/>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lang w:val="en-US" w:eastAsia="zh-CN"/>
        </w:rPr>
        <w:t>五、</w:t>
      </w:r>
      <w:r>
        <w:rPr>
          <w:rFonts w:hint="eastAsia" w:ascii="方正仿宋简体" w:hAnsi="方正仿宋简体" w:eastAsia="方正仿宋简体" w:cs="方正仿宋简体"/>
          <w:b/>
          <w:sz w:val="24"/>
          <w:szCs w:val="24"/>
        </w:rPr>
        <w:t>验收标准、办法、时间</w:t>
      </w:r>
    </w:p>
    <w:p>
      <w:pPr>
        <w:spacing w:line="560" w:lineRule="exact"/>
        <w:ind w:firstLine="480"/>
        <w:rPr>
          <w:rFonts w:hint="eastAsia"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在货物抵达交货地点后，甲、乙双方共同进行验收，即严格按照合同约定对货物外观、数量等进行验收。验收不合格的，乙方应负责调换货物或重新安装调试，由此产生的费用由乙方承担，交货期限不予顺延；导致逾期交货的，乙方应按照本合同的约定承担相应违约责任。</w:t>
      </w:r>
    </w:p>
    <w:p>
      <w:pPr>
        <w:numPr>
          <w:ilvl w:val="0"/>
          <w:numId w:val="0"/>
        </w:numPr>
        <w:spacing w:line="560" w:lineRule="exact"/>
        <w:ind w:firstLine="482" w:firstLineChars="200"/>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lang w:val="en-US" w:eastAsia="zh-CN"/>
        </w:rPr>
        <w:t>六、</w:t>
      </w:r>
      <w:r>
        <w:rPr>
          <w:rFonts w:hint="eastAsia" w:ascii="方正仿宋简体" w:hAnsi="方正仿宋简体" w:eastAsia="方正仿宋简体" w:cs="方正仿宋简体"/>
          <w:b/>
          <w:sz w:val="24"/>
          <w:szCs w:val="24"/>
        </w:rPr>
        <w:t>付款方式</w:t>
      </w:r>
    </w:p>
    <w:p>
      <w:pPr>
        <w:spacing w:line="560" w:lineRule="exact"/>
        <w:ind w:firstLine="480"/>
        <w:rPr>
          <w:rFonts w:hint="eastAsia"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1.乙方将货物全部运达甲方指定交货地点，且经甲方验收合格后，乙方开具全额增值税（税率为13%）专用发票，甲方支付合同总金额90%的到货款。</w:t>
      </w:r>
    </w:p>
    <w:p>
      <w:pPr>
        <w:spacing w:line="560" w:lineRule="exact"/>
        <w:ind w:firstLine="480"/>
        <w:rPr>
          <w:rFonts w:hint="eastAsia"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2.货款的10%留作质保金（质保期为设备到货验收合格满18个月或设备正常投入使用后1年，以先到期限为准），待质保期届满，经确认无质量问题后，一次性予以支付，不计利息。</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七、商务要求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响应文件对采购文件的全部偏差，均应在响应文件的商务和技术偏差表中列明，响应文件偏差表中未列明的内容，将视为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2.供应商对响应文件的澄清、说明和补正应由供应商的法定代表人（单位负责人）或其授权的代理人签字并加盖公章。</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评审小组经过对供应商的报价进行比较或基于专业经验认为某一供应商的报价过低，可能对其履约造成影响时，应当要求该供应商做出书面说明并提供相应的证明材料，供应商不能合理说明或者不能提供相应证明材料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4.最终报价有算术错误或其他错误的，评审小组按照以下原则进行修正，并要求供应商对修正后的价格进行书面澄清确认，供应商拒不澄清确认的，其响应文件将被视为无效。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lang w:val="en-US" w:eastAsia="zh-CN"/>
        </w:rPr>
        <w:t>（2）总价金额与单价金额不一致的，以单价金额为准，但单价金额小数点有明显错误</w:t>
      </w:r>
      <w:r>
        <w:rPr>
          <w:rFonts w:hint="eastAsia" w:ascii="方正仿宋简体" w:hAnsi="方正仿宋简体" w:eastAsia="方正仿宋简体" w:cs="方正仿宋简体"/>
          <w:bCs/>
          <w:sz w:val="24"/>
          <w:szCs w:val="24"/>
          <w:highlight w:val="none"/>
          <w:lang w:val="en-US" w:eastAsia="zh-CN"/>
        </w:rPr>
        <w:t>的除外；</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highlight w:val="none"/>
          <w:lang w:val="en-US" w:eastAsia="zh-CN"/>
        </w:rPr>
        <w:t>（3）报价表合计报价与分项报价的合计不一致的，以各分项报价的合计累计数为准。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lang w:val="en-US" w:eastAsia="zh-CN"/>
        </w:rPr>
      </w:pPr>
      <w:r>
        <w:rPr>
          <w:rFonts w:hint="eastAsia" w:ascii="方正仿宋简体" w:hAnsi="方正仿宋简体" w:eastAsia="方正仿宋简体" w:cs="方正仿宋简体"/>
          <w:bCs/>
          <w:sz w:val="24"/>
          <w:szCs w:val="24"/>
          <w:highlight w:val="none"/>
          <w:lang w:val="en-US" w:eastAsia="zh-CN"/>
        </w:rPr>
        <w:t>响应报价的算术错误修正不改变评审依据的响应总报价。当修正后的总报价高于原响应报价时，视</w:t>
      </w:r>
      <w:r>
        <w:rPr>
          <w:rFonts w:hint="eastAsia" w:ascii="方正仿宋简体" w:hAnsi="方正仿宋简体" w:eastAsia="方正仿宋简体" w:cs="方正仿宋简体"/>
          <w:bCs/>
          <w:sz w:val="24"/>
          <w:szCs w:val="24"/>
          <w:lang w:val="en-US" w:eastAsia="zh-CN"/>
        </w:rPr>
        <w:t>同供应商响应报价错误产生少漏计费用，签订合同时由供应商承担，如评审小组认为供应商无法承受少漏计费用，可以将报价作为异常低价处理；当修正后的总报价低于原报价时，签订合同时以修正后的报价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5.供应商间存在恶意竞标、串标、围标现象的，成交供应商不履行合同程序的，严格按照中煤集团公司供应商管理办法规定执行。</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6.采购日期及采购方式见公告，若截止报价揭示日期不够3家，不满足揭示条件的，进行延期报名，延期报名期限与公示期一致。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7.严格执行技术要求中的有关规范、规程要求，若技术文件中未说明的事项，执行中国最新版国家标准（GB）、行业标准或在国际范围内被接受的具有不低于中国国家标准的标准。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highlight w:val="yellow"/>
          <w:lang w:val="en-US" w:eastAsia="zh-CN"/>
        </w:rPr>
      </w:pPr>
      <w:r>
        <w:rPr>
          <w:rFonts w:hint="eastAsia" w:ascii="方正仿宋简体" w:hAnsi="方正仿宋简体" w:eastAsia="方正仿宋简体" w:cs="方正仿宋简体"/>
          <w:bCs/>
          <w:sz w:val="24"/>
          <w:szCs w:val="24"/>
          <w:lang w:val="en-US" w:eastAsia="zh-CN"/>
        </w:rPr>
        <w:t>8.如采购技术文件中物资规格型号、技术参数等涉及某些厂家仅供参考，但所提供产品的使用功效、性能应等同于或优于采购文件提供的参考型号。</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八、符合性和实质性评审时的否决性条款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在发现下列情况之一的，其参与评审资格将被否决：</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1.没有按照采购文件格式要求提供的响应文件，致使评审小组人员无法评审的。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2.不满足采购文件中供应商资格要求中规定的内容，资格证明文件未提供或不符合要求的。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3.供应商的响应函或法定代表人身份证明或法定代表人授权委托书不符合要求的。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4.响应文件中要求签字和盖章的内容无签字或未加盖公章或签字人无法定代表人有效授权书的。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5.交货期不满足采购文件要求，致使采购项目无法按原计划实现的。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6.供应商在同一份响应文件中，对同一货物报有两个或多个报价的。</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7.未按照响应文件格式提交供应商廉洁承诺书。</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8.分项报价中有错误、缺项、混乱等情况致使评审人员无法评审的。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9.供应商提交的响应文件附有采购方不能接受的条件的。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10.以他人名义提交响应文件或者以其他弄虚作假方式参与提交响应文件的。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11.响应文件符合采购文件中规定废除其资格的其他商务条款。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12.有任一加*项要求不满足的。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13.响应文件的内容无法实现采购项目的基本功能或基本目的。</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lang w:val="en-US" w:eastAsia="zh-CN"/>
        </w:rPr>
        <w:t>14.</w:t>
      </w:r>
      <w:r>
        <w:rPr>
          <w:rFonts w:hint="eastAsia" w:ascii="方正仿宋简体" w:hAnsi="方正仿宋简体" w:eastAsia="方正仿宋简体" w:cs="方正仿宋简体"/>
          <w:bCs/>
          <w:sz w:val="24"/>
          <w:szCs w:val="24"/>
          <w:highlight w:val="none"/>
          <w:lang w:val="en-US" w:eastAsia="zh-CN"/>
        </w:rPr>
        <w:t>响应文件符合采购文件中规定否决性的其他技术条款。</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highlight w:val="none"/>
          <w:lang w:val="en-US" w:eastAsia="zh-CN"/>
        </w:rPr>
      </w:pPr>
      <w:r>
        <w:rPr>
          <w:rFonts w:hint="eastAsia" w:ascii="方正仿宋简体" w:hAnsi="方正仿宋简体" w:eastAsia="方正仿宋简体" w:cs="方正仿宋简体"/>
          <w:bCs/>
          <w:sz w:val="24"/>
          <w:szCs w:val="24"/>
          <w:highlight w:val="none"/>
          <w:lang w:val="en-US" w:eastAsia="zh-CN"/>
        </w:rPr>
        <w:t>15.</w:t>
      </w:r>
      <w:r>
        <w:rPr>
          <w:rFonts w:hint="eastAsia" w:ascii="方正仿宋简体" w:hAnsi="方正仿宋简体" w:eastAsia="方正仿宋简体" w:cs="方正仿宋简体"/>
          <w:b w:val="0"/>
          <w:bCs/>
          <w:sz w:val="24"/>
          <w:szCs w:val="24"/>
          <w:highlight w:val="none"/>
          <w:lang w:val="en-US" w:eastAsia="zh-CN"/>
        </w:rPr>
        <w:t>供应商须报出所供产品的品牌或制造商名称。</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16.在采购相关活动中受到过行政处罚，行政处罚还在有效期内没结束的供应商不得参与报价。</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九、违约责任</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kern w:val="0"/>
          <w:sz w:val="24"/>
          <w:szCs w:val="24"/>
          <w:highlight w:val="none"/>
          <w:lang w:val="en-US" w:eastAsia="zh-CN" w:bidi="ar-SA"/>
        </w:rPr>
      </w:pPr>
      <w:r>
        <w:rPr>
          <w:rFonts w:hint="eastAsia" w:ascii="方正仿宋简体" w:hAnsi="方正仿宋简体" w:eastAsia="方正仿宋简体" w:cs="方正仿宋简体"/>
          <w:color w:val="auto"/>
          <w:sz w:val="24"/>
          <w:szCs w:val="24"/>
          <w:highlight w:val="none"/>
          <w:lang w:val="en-US" w:eastAsia="zh-CN"/>
        </w:rPr>
        <w:t>1</w:t>
      </w:r>
      <w:r>
        <w:rPr>
          <w:rFonts w:hint="eastAsia" w:ascii="方正仿宋简体" w:hAnsi="方正仿宋简体" w:eastAsia="方正仿宋简体" w:cs="方正仿宋简体"/>
          <w:color w:val="auto"/>
          <w:kern w:val="0"/>
          <w:sz w:val="24"/>
          <w:szCs w:val="24"/>
          <w:highlight w:val="none"/>
          <w:lang w:val="en-US" w:eastAsia="zh-CN" w:bidi="ar-SA"/>
        </w:rPr>
        <w:t>.乙方逾期交付货物的，逾期违约金单日按逾期货物总价的0.5%计算，累计最高为逾期货物总价的15%；乙方向甲方支付违约金后，仍须履行合同向甲方交付货物。如乙方逾期30日仍未交齐货物，甲方选择继续履行合同的，逾期违约金单日按逾期货物总价的1%计算，累计至交付货物或甲方终止合同之日止；甲方选择终止合同的，合同终止后，乙方应另向甲方支付合同总价5%的违约金。</w:t>
      </w:r>
    </w:p>
    <w:p>
      <w:pPr>
        <w:pStyle w:val="7"/>
        <w:keepNext w:val="0"/>
        <w:keepLines w:val="0"/>
        <w:pageBreakBefore w:val="0"/>
        <w:widowControl w:val="0"/>
        <w:kinsoku/>
        <w:wordWrap/>
        <w:overflowPunct/>
        <w:topLinePunct w:val="0"/>
        <w:autoSpaceDE/>
        <w:autoSpaceDN/>
        <w:bidi w:val="0"/>
        <w:adjustRightInd w:val="0"/>
        <w:snapToGrid w:val="0"/>
        <w:spacing w:line="440" w:lineRule="exact"/>
        <w:ind w:left="0" w:leftChars="0" w:firstLine="480" w:firstLineChars="200"/>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color w:val="auto"/>
          <w:kern w:val="2"/>
          <w:sz w:val="24"/>
          <w:szCs w:val="24"/>
          <w:highlight w:val="none"/>
          <w:lang w:val="en-US" w:eastAsia="zh-CN" w:bidi="ar-SA"/>
        </w:rPr>
        <w:t>2</w:t>
      </w:r>
      <w:r>
        <w:rPr>
          <w:rFonts w:hint="eastAsia" w:ascii="方正仿宋简体" w:hAnsi="方正仿宋简体" w:eastAsia="方正仿宋简体" w:cs="方正仿宋简体"/>
          <w:color w:val="auto"/>
          <w:kern w:val="0"/>
          <w:sz w:val="24"/>
          <w:szCs w:val="24"/>
          <w:highlight w:val="none"/>
          <w:lang w:val="en-US" w:eastAsia="zh-CN" w:bidi="ar-SA"/>
        </w:rPr>
        <w:t>.乙方交付的货物不符合合同约定的，甲方有权要求更换货物，乙方应在甲方提出之日起15天内完成货物更换，乙方15天内完成整改的，甲方不予计取违约金；乙方超过15天未整改完成或者整改后的仍不符合合同约定，乙方单日向甲方支付不合格货物总价0.5%的违约金，同时甲方有权终止合同。合同终止后，乙方除应向甲方返还不合格货物的已付款项外，需另向甲方支付合同总价的</w:t>
      </w:r>
      <w:r>
        <w:rPr>
          <w:rFonts w:hint="eastAsia" w:ascii="方正仿宋简体" w:hAnsi="方正仿宋简体" w:eastAsia="方正仿宋简体" w:cs="方正仿宋简体"/>
          <w:color w:val="auto"/>
          <w:sz w:val="24"/>
          <w:szCs w:val="24"/>
          <w:highlight w:val="none"/>
        </w:rPr>
        <w:t>5%</w:t>
      </w:r>
      <w:r>
        <w:rPr>
          <w:rFonts w:hint="eastAsia" w:ascii="方正仿宋简体" w:hAnsi="方正仿宋简体" w:eastAsia="方正仿宋简体" w:cs="方正仿宋简体"/>
          <w:color w:val="auto"/>
          <w:sz w:val="24"/>
          <w:szCs w:val="24"/>
          <w:highlight w:val="none"/>
          <w:lang w:val="en-US" w:eastAsia="zh-CN"/>
        </w:rPr>
        <w:t>的</w:t>
      </w:r>
      <w:r>
        <w:rPr>
          <w:rFonts w:hint="eastAsia" w:ascii="方正仿宋简体" w:hAnsi="方正仿宋简体" w:eastAsia="方正仿宋简体" w:cs="方正仿宋简体"/>
          <w:color w:val="auto"/>
          <w:sz w:val="24"/>
          <w:szCs w:val="24"/>
          <w:highlight w:val="none"/>
        </w:rPr>
        <w:t>违约金</w:t>
      </w:r>
      <w:r>
        <w:rPr>
          <w:rFonts w:hint="eastAsia" w:ascii="方正仿宋简体" w:hAnsi="方正仿宋简体" w:eastAsia="方正仿宋简体" w:cs="方正仿宋简体"/>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kern w:val="0"/>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3</w:t>
      </w:r>
      <w:r>
        <w:rPr>
          <w:rFonts w:hint="eastAsia" w:ascii="方正仿宋简体" w:hAnsi="方正仿宋简体" w:eastAsia="方正仿宋简体" w:cs="方正仿宋简体"/>
          <w:color w:val="auto"/>
          <w:kern w:val="0"/>
          <w:sz w:val="24"/>
          <w:szCs w:val="24"/>
          <w:highlight w:val="none"/>
          <w:lang w:val="en-US" w:eastAsia="zh-CN"/>
        </w:rPr>
        <w:t>.因乙方产品质量问题给甲方造成的一切经济损失由乙方承担。</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4</w:t>
      </w:r>
      <w:r>
        <w:rPr>
          <w:rFonts w:hint="eastAsia" w:ascii="方正仿宋简体" w:hAnsi="方正仿宋简体" w:eastAsia="方正仿宋简体" w:cs="方正仿宋简体"/>
          <w:color w:val="auto"/>
          <w:kern w:val="0"/>
          <w:sz w:val="24"/>
          <w:szCs w:val="24"/>
          <w:highlight w:val="none"/>
        </w:rPr>
        <w:t>.</w:t>
      </w:r>
      <w:r>
        <w:rPr>
          <w:rFonts w:hint="eastAsia" w:ascii="方正仿宋简体" w:hAnsi="方正仿宋简体" w:eastAsia="方正仿宋简体" w:cs="方正仿宋简体"/>
          <w:color w:val="auto"/>
          <w:sz w:val="24"/>
          <w:szCs w:val="24"/>
          <w:highlight w:val="none"/>
        </w:rPr>
        <w:t>如果乙方的违约行为给甲方造成的损失超过</w:t>
      </w:r>
      <w:r>
        <w:rPr>
          <w:rFonts w:hint="eastAsia" w:ascii="方正仿宋简体" w:hAnsi="方正仿宋简体" w:eastAsia="方正仿宋简体" w:cs="方正仿宋简体"/>
          <w:color w:val="auto"/>
          <w:sz w:val="24"/>
          <w:szCs w:val="24"/>
          <w:highlight w:val="none"/>
          <w:lang w:val="en-US" w:eastAsia="zh-CN"/>
        </w:rPr>
        <w:t>合同</w:t>
      </w:r>
      <w:r>
        <w:rPr>
          <w:rFonts w:hint="eastAsia" w:ascii="方正仿宋简体" w:hAnsi="方正仿宋简体" w:eastAsia="方正仿宋简体" w:cs="方正仿宋简体"/>
          <w:color w:val="auto"/>
          <w:sz w:val="24"/>
          <w:szCs w:val="24"/>
          <w:highlight w:val="none"/>
        </w:rPr>
        <w:t>约定违约金的，</w:t>
      </w:r>
      <w:r>
        <w:rPr>
          <w:rFonts w:hint="eastAsia" w:ascii="方正仿宋简体" w:hAnsi="方正仿宋简体" w:eastAsia="方正仿宋简体" w:cs="方正仿宋简体"/>
          <w:color w:val="auto"/>
          <w:sz w:val="24"/>
          <w:szCs w:val="24"/>
          <w:highlight w:val="none"/>
          <w:lang w:val="en-US" w:eastAsia="zh-CN"/>
        </w:rPr>
        <w:t>甲方有权向乙方追偿，赔偿金额以甲方实际损失为准。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kern w:val="0"/>
          <w:sz w:val="24"/>
          <w:szCs w:val="24"/>
          <w:highlight w:val="none"/>
          <w:lang w:val="en-US" w:eastAsia="zh-CN"/>
        </w:rPr>
      </w:pPr>
      <w:r>
        <w:rPr>
          <w:rFonts w:hint="eastAsia" w:ascii="方正仿宋简体" w:hAnsi="方正仿宋简体" w:eastAsia="方正仿宋简体" w:cs="方正仿宋简体"/>
          <w:color w:val="auto"/>
          <w:kern w:val="0"/>
          <w:sz w:val="24"/>
          <w:szCs w:val="24"/>
          <w:highlight w:val="none"/>
          <w:lang w:val="en-US" w:eastAsia="zh-CN"/>
        </w:rPr>
        <w:t>5.如甲方认为乙方逾期交货未对甲方造成损失的，甲方可不予或减轻计取违约金。</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kern w:val="0"/>
          <w:sz w:val="24"/>
          <w:szCs w:val="24"/>
          <w:highlight w:val="none"/>
          <w:lang w:val="en-US" w:eastAsia="zh-CN"/>
        </w:rPr>
      </w:pPr>
      <w:r>
        <w:rPr>
          <w:rFonts w:hint="eastAsia" w:ascii="方正仿宋简体" w:hAnsi="方正仿宋简体" w:eastAsia="方正仿宋简体" w:cs="方正仿宋简体"/>
          <w:color w:val="auto"/>
          <w:kern w:val="0"/>
          <w:sz w:val="24"/>
          <w:szCs w:val="24"/>
          <w:highlight w:val="none"/>
          <w:lang w:val="en-US" w:eastAsia="zh-CN"/>
        </w:rPr>
        <w:t>6.不可抗力</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kern w:val="0"/>
          <w:sz w:val="24"/>
          <w:szCs w:val="24"/>
          <w:highlight w:val="none"/>
          <w:lang w:val="en-US" w:eastAsia="zh-CN"/>
        </w:rPr>
      </w:pPr>
      <w:r>
        <w:rPr>
          <w:rFonts w:hint="eastAsia" w:ascii="方正仿宋简体" w:hAnsi="方正仿宋简体" w:eastAsia="方正仿宋简体" w:cs="方正仿宋简体"/>
          <w:color w:val="auto"/>
          <w:kern w:val="0"/>
          <w:sz w:val="24"/>
          <w:szCs w:val="24"/>
          <w:highlight w:val="none"/>
          <w:lang w:val="en-US" w:eastAsia="zh-CN"/>
        </w:rPr>
        <w:t>6.1不可抗力，是指合同订立时不能预见、不能避免并不能克服的客观情况。包括自然灾害、如台风、地震、洪水、冰雹；政府行为，如征收、征用；社会异常事件，如罢工、骚乱。</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6.2本合同任何一方由于不可抗力不能履行全部或部分本合同义务的，根据不可抗力的影响，免除全部或部分违约责任，但应在条件允许下采取一切必要措施以减少因不可抗力造成的损失。任何一方在违约行为之后发生不可抗力情形的，不免除该方违约责任。</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6.3遇有不可抗力的一方，应于不可抗力事件发生之日起15日内将不可抗力事件以书面形式通知另一方并提交相关证明文件。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6.4发生不可抗力的一方在不可抗力影响消除后应当继续履行本合同。</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6.5发生不可抗力事件导致本合同无法继续履行、不能实现本合同目的的，本合同任何一方均可解除本合同。对于本合同已经履行的部分，本合同双方应协商谋求合理公正的解决，并应尽所有合理的努力以减少该等不可抗力事件对履行本合同所造成的不良后果。</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方正仿宋简体" w:hAnsi="方正仿宋简体" w:eastAsia="方正仿宋简体" w:cs="方正仿宋简体"/>
          <w:b/>
          <w:bCs/>
          <w:sz w:val="24"/>
          <w:szCs w:val="24"/>
          <w:highlight w:val="none"/>
        </w:rPr>
      </w:pPr>
      <w:r>
        <w:rPr>
          <w:rFonts w:hint="eastAsia" w:ascii="方正仿宋简体" w:hAnsi="方正仿宋简体" w:eastAsia="方正仿宋简体" w:cs="方正仿宋简体"/>
          <w:b/>
          <w:bCs/>
          <w:color w:val="auto"/>
          <w:sz w:val="24"/>
          <w:szCs w:val="24"/>
          <w:highlight w:val="none"/>
          <w:lang w:val="en-US" w:eastAsia="zh-CN"/>
        </w:rPr>
        <w:t>7</w:t>
      </w:r>
      <w:r>
        <w:rPr>
          <w:rFonts w:hint="eastAsia" w:ascii="方正仿宋简体" w:hAnsi="方正仿宋简体" w:eastAsia="方正仿宋简体" w:cs="方正仿宋简体"/>
          <w:b/>
          <w:bCs/>
          <w:color w:val="auto"/>
          <w:kern w:val="0"/>
          <w:sz w:val="24"/>
          <w:szCs w:val="24"/>
          <w:highlight w:val="none"/>
          <w:lang w:val="en-US" w:eastAsia="zh-CN"/>
        </w:rPr>
        <w:t>.</w:t>
      </w:r>
      <w:r>
        <w:rPr>
          <w:rFonts w:hint="eastAsia" w:ascii="方正仿宋简体" w:hAnsi="方正仿宋简体" w:eastAsia="方正仿宋简体" w:cs="方正仿宋简体"/>
          <w:b/>
          <w:bCs/>
          <w:color w:val="auto"/>
          <w:kern w:val="0"/>
          <w:sz w:val="24"/>
          <w:szCs w:val="24"/>
          <w:highlight w:val="none"/>
        </w:rPr>
        <w:t>乙方已知晓并严格遵</w:t>
      </w:r>
      <w:r>
        <w:rPr>
          <w:rFonts w:hint="eastAsia" w:ascii="方正仿宋简体" w:hAnsi="方正仿宋简体" w:eastAsia="方正仿宋简体" w:cs="方正仿宋简体"/>
          <w:b/>
          <w:bCs/>
          <w:sz w:val="24"/>
          <w:szCs w:val="24"/>
          <w:highlight w:val="none"/>
        </w:rPr>
        <w:t>守、执行甲方制定的相关规章制度，如乙方及乙方人员违反</w:t>
      </w:r>
      <w:r>
        <w:rPr>
          <w:rFonts w:hint="eastAsia" w:ascii="方正仿宋简体" w:hAnsi="方正仿宋简体" w:eastAsia="方正仿宋简体" w:cs="方正仿宋简体"/>
          <w:b/>
          <w:bCs/>
          <w:sz w:val="24"/>
          <w:szCs w:val="24"/>
          <w:highlight w:val="none"/>
          <w:lang w:eastAsia="zh-CN"/>
        </w:rPr>
        <w:t>甲方</w:t>
      </w:r>
      <w:r>
        <w:rPr>
          <w:rFonts w:hint="eastAsia" w:ascii="方正仿宋简体" w:hAnsi="方正仿宋简体" w:eastAsia="方正仿宋简体" w:cs="方正仿宋简体"/>
          <w:b/>
          <w:bCs/>
          <w:sz w:val="24"/>
          <w:szCs w:val="24"/>
          <w:highlight w:val="none"/>
        </w:rPr>
        <w:t>相关规章制度，视为乙方违约。甲方有权按照相关规章制度，对乙方进行罚款或以其他方式追究违约责任，在双方结算时甲方有权直接从</w:t>
      </w:r>
      <w:r>
        <w:rPr>
          <w:rFonts w:hint="eastAsia" w:ascii="方正仿宋简体" w:hAnsi="方正仿宋简体" w:eastAsia="方正仿宋简体" w:cs="方正仿宋简体"/>
          <w:b/>
          <w:bCs/>
          <w:sz w:val="24"/>
          <w:szCs w:val="24"/>
          <w:highlight w:val="none"/>
          <w:lang w:val="en-US" w:eastAsia="zh-CN"/>
        </w:rPr>
        <w:t>本</w:t>
      </w:r>
      <w:r>
        <w:rPr>
          <w:rFonts w:hint="eastAsia" w:ascii="方正仿宋简体" w:hAnsi="方正仿宋简体" w:eastAsia="方正仿宋简体" w:cs="方正仿宋简体"/>
          <w:b/>
          <w:bCs/>
          <w:sz w:val="24"/>
          <w:szCs w:val="24"/>
          <w:highlight w:val="none"/>
        </w:rPr>
        <w:t>合同结算款中扣除乙方应支付的罚款或违约金。</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lang w:val="en-US" w:eastAsia="zh-CN"/>
        </w:rPr>
      </w:pPr>
      <w:r>
        <w:rPr>
          <w:rFonts w:hint="eastAsia" w:ascii="方正仿宋简体" w:hAnsi="方正仿宋简体" w:eastAsia="方正仿宋简体" w:cs="方正仿宋简体"/>
          <w:color w:val="auto"/>
          <w:sz w:val="24"/>
          <w:szCs w:val="24"/>
          <w:highlight w:val="none"/>
        </w:rPr>
        <w:t>以上违约金或经济损失的赔偿款，甲方有权从</w:t>
      </w:r>
      <w:r>
        <w:rPr>
          <w:rFonts w:hint="eastAsia" w:ascii="方正仿宋简体" w:hAnsi="方正仿宋简体" w:eastAsia="方正仿宋简体" w:cs="方正仿宋简体"/>
          <w:color w:val="auto"/>
          <w:sz w:val="24"/>
          <w:szCs w:val="24"/>
          <w:highlight w:val="none"/>
          <w:lang w:val="en-US" w:eastAsia="zh-CN"/>
        </w:rPr>
        <w:t>本合同</w:t>
      </w:r>
      <w:r>
        <w:rPr>
          <w:rFonts w:hint="eastAsia" w:ascii="方正仿宋简体" w:hAnsi="方正仿宋简体" w:eastAsia="方正仿宋简体" w:cs="方正仿宋简体"/>
          <w:color w:val="auto"/>
          <w:sz w:val="24"/>
          <w:szCs w:val="24"/>
          <w:highlight w:val="none"/>
        </w:rPr>
        <w:t>乙方任意一笔货款中直接扣除，不足部分由乙方另行支付。上述权利的行使不影响甲方根据本合同要求乙方继续履行合同。</w:t>
      </w:r>
      <w:r>
        <w:rPr>
          <w:rFonts w:hint="eastAsia" w:ascii="方正仿宋简体" w:hAnsi="方正仿宋简体" w:eastAsia="方正仿宋简体" w:cs="方正仿宋简体"/>
          <w:sz w:val="24"/>
          <w:szCs w:val="24"/>
        </w:rPr>
        <w:t>合同解除或终止后，本合同中关于违约赔偿的条款对甲乙双方仍然具有约束力。</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十、项目负责人员及联系方式</w:t>
      </w:r>
    </w:p>
    <w:p>
      <w:pPr>
        <w:pStyle w:val="2"/>
        <w:pageBreakBefore w:val="0"/>
        <w:numPr>
          <w:ilvl w:val="0"/>
          <w:numId w:val="0"/>
        </w:numPr>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采购人：中天合创能源有限责任公司</w:t>
      </w:r>
    </w:p>
    <w:p>
      <w:pPr>
        <w:pStyle w:val="2"/>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w:t>
      </w:r>
    </w:p>
    <w:p>
      <w:pPr>
        <w:pStyle w:val="2"/>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采购代理：北京康迪建设监理咨询有限公司</w:t>
      </w:r>
    </w:p>
    <w:p>
      <w:pPr>
        <w:pStyle w:val="2"/>
        <w:pageBreakBefore w:val="0"/>
        <w:kinsoku/>
        <w:wordWrap/>
        <w:overflowPunct/>
        <w:topLinePunct w:val="0"/>
        <w:autoSpaceDE/>
        <w:autoSpaceDN/>
        <w:bidi w:val="0"/>
        <w:adjustRightInd/>
        <w:spacing w:line="440" w:lineRule="exact"/>
        <w:ind w:firstLine="480" w:firstLineChars="200"/>
        <w:textAlignment w:val="auto"/>
        <w:rPr>
          <w:rFonts w:hint="default"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鄂尔多斯市康巴什新区乌兰木伦街西3号430室</w:t>
      </w:r>
    </w:p>
    <w:p>
      <w:pPr>
        <w:pStyle w:val="2"/>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项目经理：李工</w:t>
      </w:r>
    </w:p>
    <w:p>
      <w:pPr>
        <w:pStyle w:val="2"/>
        <w:pageBreakBefore w:val="0"/>
        <w:kinsoku/>
        <w:wordWrap/>
        <w:overflowPunct/>
        <w:topLinePunct w:val="0"/>
        <w:autoSpaceDE/>
        <w:autoSpaceDN/>
        <w:bidi w:val="0"/>
        <w:adjustRightInd/>
        <w:spacing w:line="440" w:lineRule="exact"/>
        <w:ind w:firstLine="480" w:firstLineChars="200"/>
        <w:textAlignment w:val="auto"/>
        <w:rPr>
          <w:rFonts w:hint="default"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联系电话：0477-5106673 /18842628650</w:t>
      </w:r>
    </w:p>
    <w:p>
      <w:pPr>
        <w:pStyle w:val="2"/>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sz w:val="24"/>
          <w:szCs w:val="24"/>
          <w:u w:val="none"/>
          <w:lang w:val="en-US" w:eastAsia="zh-CN"/>
        </w:rPr>
      </w:pPr>
      <w:r>
        <w:rPr>
          <w:rFonts w:hint="eastAsia" w:ascii="方正仿宋简体" w:hAnsi="方正仿宋简体" w:eastAsia="方正仿宋简体" w:cs="方正仿宋简体"/>
          <w:b w:val="0"/>
          <w:bCs/>
          <w:sz w:val="24"/>
          <w:szCs w:val="24"/>
          <w:u w:val="none"/>
          <w:lang w:val="en-US" w:eastAsia="zh-CN"/>
        </w:rPr>
        <w:t>邮箱：</w:t>
      </w:r>
      <w:r>
        <w:rPr>
          <w:rFonts w:hint="eastAsia" w:ascii="方正仿宋简体" w:hAnsi="方正仿宋简体" w:eastAsia="方正仿宋简体" w:cs="方正仿宋简体"/>
          <w:b w:val="0"/>
          <w:bCs/>
          <w:sz w:val="24"/>
          <w:szCs w:val="24"/>
          <w:u w:val="none"/>
          <w:lang w:val="en-US" w:eastAsia="zh-CN"/>
        </w:rPr>
        <w:fldChar w:fldCharType="begin"/>
      </w:r>
      <w:r>
        <w:rPr>
          <w:rFonts w:hint="eastAsia" w:ascii="方正仿宋简体" w:hAnsi="方正仿宋简体" w:eastAsia="方正仿宋简体" w:cs="方正仿宋简体"/>
          <w:b w:val="0"/>
          <w:bCs/>
          <w:sz w:val="24"/>
          <w:szCs w:val="24"/>
          <w:u w:val="none"/>
          <w:lang w:val="en-US" w:eastAsia="zh-CN"/>
        </w:rPr>
        <w:instrText xml:space="preserve"> HYPERLINK "mailto:kdzbdl@vip.126.com" </w:instrText>
      </w:r>
      <w:r>
        <w:rPr>
          <w:rFonts w:hint="eastAsia" w:ascii="方正仿宋简体" w:hAnsi="方正仿宋简体" w:eastAsia="方正仿宋简体" w:cs="方正仿宋简体"/>
          <w:b w:val="0"/>
          <w:bCs/>
          <w:sz w:val="24"/>
          <w:szCs w:val="24"/>
          <w:u w:val="none"/>
          <w:lang w:val="en-US" w:eastAsia="zh-CN"/>
        </w:rPr>
        <w:fldChar w:fldCharType="separate"/>
      </w:r>
      <w:r>
        <w:rPr>
          <w:rFonts w:hint="eastAsia" w:ascii="方正仿宋简体" w:hAnsi="方正仿宋简体" w:eastAsia="方正仿宋简体" w:cs="方正仿宋简体"/>
          <w:b w:val="0"/>
          <w:bCs/>
          <w:sz w:val="24"/>
          <w:szCs w:val="24"/>
          <w:u w:val="none"/>
          <w:lang w:val="en-US" w:eastAsia="zh-CN"/>
        </w:rPr>
        <w:t>kdzbdl@vip.126.com</w:t>
      </w:r>
      <w:r>
        <w:rPr>
          <w:rFonts w:hint="eastAsia" w:ascii="方正仿宋简体" w:hAnsi="方正仿宋简体" w:eastAsia="方正仿宋简体" w:cs="方正仿宋简体"/>
          <w:b w:val="0"/>
          <w:bCs/>
          <w:sz w:val="24"/>
          <w:szCs w:val="24"/>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val="0"/>
          <w:bCs w:val="0"/>
          <w:color w:val="auto"/>
          <w:sz w:val="24"/>
          <w:szCs w:val="24"/>
          <w:u w:val="none"/>
          <w:lang w:val="en-US" w:eastAsia="zh-CN"/>
        </w:rPr>
      </w:pPr>
      <w:r>
        <w:rPr>
          <w:rFonts w:hint="eastAsia" w:ascii="方正仿宋简体" w:hAnsi="方正仿宋简体" w:eastAsia="方正仿宋简体" w:cs="方正仿宋简体"/>
          <w:b w:val="0"/>
          <w:bCs w:val="0"/>
          <w:color w:val="auto"/>
          <w:sz w:val="24"/>
          <w:szCs w:val="24"/>
          <w:u w:val="none"/>
        </w:rPr>
        <w:t>举报电话：</w:t>
      </w:r>
      <w:r>
        <w:rPr>
          <w:rFonts w:hint="eastAsia" w:ascii="方正仿宋简体" w:hAnsi="方正仿宋简体" w:eastAsia="方正仿宋简体" w:cs="方正仿宋简体"/>
          <w:b w:val="0"/>
          <w:bCs w:val="0"/>
          <w:color w:val="auto"/>
          <w:sz w:val="24"/>
          <w:szCs w:val="24"/>
          <w:u w:val="none"/>
          <w:lang w:val="en-US" w:eastAsia="zh-CN"/>
        </w:rPr>
        <w:t>010-57953531（工作日：8：30-17:00）</w:t>
      </w: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br w:type="page"/>
      </w: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sz w:val="30"/>
          <w:szCs w:val="30"/>
          <w:lang w:eastAsia="zh-CN"/>
        </w:rPr>
        <w:t>第二章</w:t>
      </w:r>
      <w:r>
        <w:rPr>
          <w:rFonts w:hint="eastAsia" w:ascii="方正仿宋简体" w:hAnsi="方正仿宋简体" w:eastAsia="方正仿宋简体" w:cs="方正仿宋简体"/>
          <w:b/>
          <w:sz w:val="30"/>
          <w:szCs w:val="30"/>
          <w:lang w:val="en-US" w:eastAsia="zh-CN"/>
        </w:rPr>
        <w:t xml:space="preserve"> 潜在供应商须知</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2" w:firstLineChars="200"/>
        <w:jc w:val="left"/>
        <w:textAlignment w:val="auto"/>
        <w:rPr>
          <w:rFonts w:hint="default"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一、注意事项：</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1.</w:t>
      </w:r>
      <w:r>
        <w:rPr>
          <w:rFonts w:hint="eastAsia" w:ascii="方正仿宋简体" w:hAnsi="方正仿宋简体" w:eastAsia="方正仿宋简体" w:cs="方正仿宋简体"/>
          <w:bCs/>
          <w:sz w:val="24"/>
          <w:szCs w:val="24"/>
          <w:highlight w:val="none"/>
          <w:u w:val="none"/>
          <w:lang w:val="en-US" w:eastAsia="zh-CN"/>
        </w:rPr>
        <w:t>潜在供应商报名时须在“中煤易购采购一体化平台（http://ego.chinacoal.com/）上免费注册成为会员，注册成功后登录进行报名。</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2.发布公告的媒介</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本采购邀请文件在中国招标投标公共服务平台、中国招标与采购网、中煤招标与采购网、中煤易购采购一体化平台进行发布。</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3.潜在供应商在报名时，严格按照供应商资格要求提交报名资料供审核，在报名审核通过后提交正式响应文件。</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4.严格按照采购邀请文件及响应文件模板要求提交正式响应文件，响应文件必须为</w:t>
      </w:r>
      <w:r>
        <w:rPr>
          <w:rFonts w:hint="eastAsia" w:ascii="方正仿宋简体" w:hAnsi="方正仿宋简体" w:eastAsia="方正仿宋简体" w:cs="方正仿宋简体"/>
          <w:b/>
          <w:bCs w:val="0"/>
          <w:kern w:val="2"/>
          <w:sz w:val="24"/>
          <w:szCs w:val="24"/>
          <w:highlight w:val="none"/>
          <w:u w:val="none"/>
          <w:lang w:val="en-US" w:eastAsia="zh-CN" w:bidi="ar-SA"/>
        </w:rPr>
        <w:t>加盖公章并扫描的PDF文件</w:t>
      </w:r>
      <w:r>
        <w:rPr>
          <w:rFonts w:hint="eastAsia" w:ascii="方正仿宋简体" w:hAnsi="方正仿宋简体" w:eastAsia="方正仿宋简体" w:cs="方正仿宋简体"/>
          <w:b w:val="0"/>
          <w:bCs/>
          <w:kern w:val="2"/>
          <w:sz w:val="24"/>
          <w:szCs w:val="24"/>
          <w:highlight w:val="none"/>
          <w:u w:val="none"/>
          <w:lang w:val="en-US" w:eastAsia="zh-CN" w:bidi="ar-SA"/>
        </w:rPr>
        <w:t>形式，商务或技术部分是否有偏离需在偏离表内予以明确。</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5.供应商报名审核、响应文件编制、澄清等内容咨询项目负责人。</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6.供应商应仔细阅读和检查采购文件的全部内容，如发现缺页或内容不全，应及时向采购人提出，以便补齐，如有疑问应以书面形式提出，采购人予以澄清。</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left="0" w:leftChars="0"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lang w:val="en-US" w:eastAsia="zh-CN" w:bidi="ar-SA"/>
        </w:rPr>
      </w:pPr>
      <w:r>
        <w:rPr>
          <w:rFonts w:hint="eastAsia" w:ascii="方正仿宋简体" w:hAnsi="方正仿宋简体" w:eastAsia="方正仿宋简体" w:cs="方正仿宋简体"/>
          <w:b/>
          <w:bCs w:val="0"/>
          <w:kern w:val="2"/>
          <w:sz w:val="24"/>
          <w:szCs w:val="24"/>
          <w:highlight w:val="none"/>
          <w:lang w:val="en-US" w:eastAsia="zh-CN" w:bidi="ar-SA"/>
        </w:rPr>
        <w:t>二、供应商报名及采购文件获取</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1.采购文件售价：400元/标段，售后不退。</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2.供应商报名时间：2024年4月26日 9:00:00至2024年5月7日 11:00:00。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3.供应商报价时间：2024年4月26日 9:00:00至2024年5月7日 11:00:00。</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4.潜在供应商在报名时，严格按照供应商资格要求提交报名资料供审核，在报名审</w:t>
      </w:r>
      <w:r>
        <w:rPr>
          <w:rFonts w:hint="eastAsia" w:ascii="方正仿宋简体" w:hAnsi="方正仿宋简体" w:eastAsia="方正仿宋简体" w:cs="方正仿宋简体"/>
          <w:b w:val="0"/>
          <w:bCs/>
          <w:kern w:val="2"/>
          <w:sz w:val="24"/>
          <w:szCs w:val="24"/>
          <w:highlight w:val="none"/>
          <w:u w:val="none"/>
          <w:lang w:val="en-US" w:eastAsia="zh-CN" w:bidi="ar-SA"/>
        </w:rPr>
        <w:t xml:space="preserve">核通过后方可下载采购文件。 </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left="0" w:leftChars="0" w:firstLine="482" w:firstLineChars="200"/>
        <w:jc w:val="left"/>
        <w:textAlignment w:val="auto"/>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三、响应文件提交</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bCs w:val="0"/>
          <w:color w:val="FF0000"/>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严格按照采购文件及响应文件模板要求提交正式响应文件</w:t>
      </w:r>
      <w:r>
        <w:rPr>
          <w:rFonts w:hint="eastAsia" w:ascii="方正仿宋简体" w:hAnsi="方正仿宋简体" w:eastAsia="方正仿宋简体" w:cs="方正仿宋简体"/>
          <w:b w:val="0"/>
          <w:bCs/>
          <w:color w:val="auto"/>
          <w:kern w:val="2"/>
          <w:sz w:val="24"/>
          <w:szCs w:val="24"/>
          <w:highlight w:val="none"/>
          <w:u w:val="none"/>
          <w:lang w:val="en-US" w:eastAsia="zh-CN" w:bidi="ar-SA"/>
        </w:rPr>
        <w:t>，</w:t>
      </w:r>
      <w:r>
        <w:rPr>
          <w:rFonts w:hint="eastAsia" w:ascii="方正仿宋简体" w:hAnsi="方正仿宋简体" w:eastAsia="方正仿宋简体" w:cs="方正仿宋简体"/>
          <w:b/>
          <w:bCs w:val="0"/>
          <w:color w:val="FF0000"/>
          <w:kern w:val="2"/>
          <w:sz w:val="24"/>
          <w:szCs w:val="24"/>
          <w:highlight w:val="none"/>
          <w:u w:val="none"/>
          <w:lang w:val="en-US" w:eastAsia="zh-CN" w:bidi="ar-SA"/>
        </w:rPr>
        <w:t>响应文件应为加盖公章的PDF文件形式</w:t>
      </w:r>
      <w:r>
        <w:rPr>
          <w:rFonts w:hint="eastAsia" w:ascii="方正仿宋简体" w:hAnsi="方正仿宋简体" w:eastAsia="方正仿宋简体" w:cs="方正仿宋简体"/>
          <w:b/>
          <w:bCs w:val="0"/>
          <w:color w:val="FF0000"/>
          <w:kern w:val="2"/>
          <w:sz w:val="24"/>
          <w:szCs w:val="24"/>
          <w:highlight w:val="none"/>
          <w:lang w:val="en-US" w:eastAsia="zh-CN" w:bidi="ar-SA"/>
        </w:rPr>
        <w:t>，报价供应商应从附件上传响应文件。未提交响应文件的将被否决，未按模板要求提交的响应文件也将被否决。</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四、报价揭示：</w:t>
      </w:r>
    </w:p>
    <w:p>
      <w:pPr>
        <w:keepNext w:val="0"/>
        <w:keepLines w:val="0"/>
        <w:pageBreakBefore w:val="0"/>
        <w:widowControl/>
        <w:numPr>
          <w:ilvl w:val="0"/>
          <w:numId w:val="0"/>
        </w:numPr>
        <w:suppressLineNumbers w:val="0"/>
        <w:kinsoku/>
        <w:wordWrap/>
        <w:overflowPunct/>
        <w:topLinePunct w:val="0"/>
        <w:autoSpaceDE/>
        <w:autoSpaceDN/>
        <w:bidi w:val="0"/>
        <w:adjustRightInd/>
        <w:spacing w:before="75" w:beforeAutospacing="0" w:after="75" w:afterAutospacing="0" w:line="440" w:lineRule="exact"/>
        <w:ind w:right="0" w:firstLine="480" w:firstLineChars="200"/>
        <w:jc w:val="left"/>
        <w:textAlignment w:val="auto"/>
        <w:rPr>
          <w:rFonts w:hint="default"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定于2024年5月7</w:t>
      </w:r>
      <w:bookmarkStart w:id="26" w:name="_GoBack"/>
      <w:bookmarkEnd w:id="26"/>
      <w:r>
        <w:rPr>
          <w:rFonts w:hint="eastAsia" w:ascii="方正仿宋简体" w:hAnsi="方正仿宋简体" w:eastAsia="方正仿宋简体" w:cs="方正仿宋简体"/>
          <w:b w:val="0"/>
          <w:bCs/>
          <w:kern w:val="2"/>
          <w:sz w:val="24"/>
          <w:szCs w:val="24"/>
          <w:highlight w:val="none"/>
          <w:lang w:val="en-US" w:eastAsia="zh-CN" w:bidi="ar-SA"/>
        </w:rPr>
        <w:t>日上午11：10在</w:t>
      </w:r>
      <w:r>
        <w:rPr>
          <w:rFonts w:hint="eastAsia" w:ascii="方正仿宋简体" w:hAnsi="方正仿宋简体" w:eastAsia="方正仿宋简体" w:cs="方正仿宋简体"/>
          <w:b w:val="0"/>
          <w:bCs/>
          <w:kern w:val="2"/>
          <w:sz w:val="24"/>
          <w:szCs w:val="24"/>
          <w:highlight w:val="none"/>
          <w:u w:val="none"/>
          <w:lang w:val="en-US" w:eastAsia="zh-CN" w:bidi="ar-SA"/>
        </w:rPr>
        <w:t>中煤易购采购一体化平台进行报价揭示</w:t>
      </w:r>
      <w:r>
        <w:rPr>
          <w:rFonts w:hint="eastAsia" w:ascii="方正仿宋简体" w:hAnsi="方正仿宋简体" w:eastAsia="方正仿宋简体" w:cs="方正仿宋简体"/>
          <w:b w:val="0"/>
          <w:bCs/>
          <w:kern w:val="2"/>
          <w:sz w:val="24"/>
          <w:szCs w:val="24"/>
          <w:highlight w:val="none"/>
          <w:lang w:val="en-US" w:eastAsia="zh-CN" w:bidi="ar-SA"/>
        </w:rPr>
        <w:t>。</w:t>
      </w:r>
    </w:p>
    <w:p>
      <w:pPr>
        <w:pageBreakBefore w:val="0"/>
        <w:widowControl/>
        <w:numPr>
          <w:ilvl w:val="0"/>
          <w:numId w:val="0"/>
        </w:numPr>
        <w:kinsoku/>
        <w:wordWrap/>
        <w:overflowPunct/>
        <w:topLinePunct w:val="0"/>
        <w:autoSpaceDE/>
        <w:autoSpaceDN/>
        <w:bidi w:val="0"/>
        <w:adjustRightInd/>
        <w:spacing w:line="440" w:lineRule="exact"/>
        <w:ind w:firstLine="482" w:firstLineChars="200"/>
        <w:jc w:val="left"/>
        <w:textAlignment w:val="auto"/>
        <w:outlineLvl w:val="9"/>
        <w:rPr>
          <w:rFonts w:hint="eastAsia" w:ascii="方正仿宋简体" w:hAnsi="方正仿宋简体" w:eastAsia="方正仿宋简体" w:cs="方正仿宋简体"/>
          <w:b/>
          <w:bCs w:val="0"/>
          <w:sz w:val="24"/>
          <w:szCs w:val="24"/>
          <w:highlight w:val="none"/>
          <w:u w:val="none"/>
          <w:lang w:val="en-US" w:eastAsia="zh-CN"/>
        </w:rPr>
      </w:pPr>
      <w:r>
        <w:rPr>
          <w:rFonts w:hint="eastAsia" w:ascii="方正仿宋简体" w:hAnsi="方正仿宋简体" w:eastAsia="方正仿宋简体" w:cs="方正仿宋简体"/>
          <w:b/>
          <w:bCs w:val="0"/>
          <w:sz w:val="24"/>
          <w:szCs w:val="24"/>
          <w:highlight w:val="none"/>
          <w:u w:val="none"/>
          <w:lang w:val="en-US" w:eastAsia="zh-CN"/>
        </w:rPr>
        <w:t xml:space="preserve">五、采购文件的购买及报价保证金的缴纳 </w:t>
      </w:r>
    </w:p>
    <w:p>
      <w:pPr>
        <w:pageBreakBefore w:val="0"/>
        <w:numPr>
          <w:ilvl w:val="0"/>
          <w:numId w:val="0"/>
        </w:numPr>
        <w:kinsoku/>
        <w:wordWrap/>
        <w:overflowPunct/>
        <w:topLinePunct w:val="0"/>
        <w:autoSpaceDE/>
        <w:autoSpaceDN/>
        <w:bidi w:val="0"/>
        <w:adjustRightInd/>
        <w:spacing w:line="440" w:lineRule="exact"/>
        <w:ind w:leftChars="0" w:firstLine="482" w:firstLineChars="200"/>
        <w:textAlignment w:val="auto"/>
        <w:outlineLvl w:val="9"/>
        <w:rPr>
          <w:rFonts w:hint="eastAsia" w:ascii="方正仿宋简体" w:hAnsi="方正仿宋简体" w:eastAsia="方正仿宋简体" w:cs="方正仿宋简体"/>
          <w:b/>
          <w:bCs/>
          <w:color w:val="FF0000"/>
          <w:kern w:val="2"/>
          <w:sz w:val="24"/>
          <w:szCs w:val="24"/>
          <w:highlight w:val="none"/>
          <w:lang w:val="en-US" w:eastAsia="zh-CN" w:bidi="ar-SA"/>
        </w:rPr>
      </w:pPr>
      <w:r>
        <w:rPr>
          <w:rFonts w:hint="eastAsia" w:ascii="方正仿宋简体" w:hAnsi="方正仿宋简体" w:eastAsia="方正仿宋简体" w:cs="方正仿宋简体"/>
          <w:b/>
          <w:bCs/>
          <w:color w:val="FF0000"/>
          <w:kern w:val="2"/>
          <w:sz w:val="24"/>
          <w:szCs w:val="24"/>
          <w:highlight w:val="none"/>
          <w:lang w:val="en-US" w:eastAsia="zh-CN" w:bidi="ar-SA"/>
        </w:rPr>
        <w:t>1.参与本项目的供应商必须将采购文件费用（400元）转账凭证与报价保证金（6000元）转账凭证附在响应文件中，未附转账凭证的将被否决。</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2.在递交响应文件的同时应提交报价保证金共计</w:t>
      </w:r>
      <w:r>
        <w:rPr>
          <w:rFonts w:hint="eastAsia" w:ascii="方正仿宋简体" w:hAnsi="方正仿宋简体" w:eastAsia="方正仿宋简体" w:cs="方正仿宋简体"/>
          <w:b/>
          <w:bCs/>
          <w:kern w:val="2"/>
          <w:sz w:val="24"/>
          <w:szCs w:val="24"/>
          <w:highlight w:val="none"/>
          <w:lang w:val="en-US" w:eastAsia="zh-CN" w:bidi="ar-SA"/>
        </w:rPr>
        <w:t>6000元整</w:t>
      </w:r>
      <w:r>
        <w:rPr>
          <w:rFonts w:hint="eastAsia" w:ascii="方正仿宋简体" w:hAnsi="方正仿宋简体" w:eastAsia="方正仿宋简体" w:cs="方正仿宋简体"/>
          <w:b w:val="0"/>
          <w:kern w:val="2"/>
          <w:sz w:val="24"/>
          <w:szCs w:val="24"/>
          <w:highlight w:val="none"/>
          <w:lang w:val="en-US" w:eastAsia="zh-CN" w:bidi="ar-SA"/>
        </w:rPr>
        <w:t>作为其响应的一部分。报价保证金以银行电汇的形式递交，</w:t>
      </w:r>
      <w:r>
        <w:rPr>
          <w:rFonts w:hint="eastAsia" w:ascii="方正仿宋简体" w:hAnsi="方正仿宋简体" w:eastAsia="方正仿宋简体" w:cs="方正仿宋简体"/>
          <w:b w:val="0"/>
          <w:bCs w:val="0"/>
          <w:kern w:val="2"/>
          <w:sz w:val="24"/>
          <w:szCs w:val="24"/>
          <w:highlight w:val="none"/>
          <w:lang w:val="en-US" w:eastAsia="zh-CN" w:bidi="ar-SA"/>
        </w:rPr>
        <w:t>退款时不计银行利息</w:t>
      </w:r>
      <w:r>
        <w:rPr>
          <w:rFonts w:hint="eastAsia" w:ascii="方正仿宋简体" w:hAnsi="方正仿宋简体" w:eastAsia="方正仿宋简体" w:cs="方正仿宋简体"/>
          <w:b w:val="0"/>
          <w:kern w:val="2"/>
          <w:sz w:val="24"/>
          <w:szCs w:val="24"/>
          <w:highlight w:val="none"/>
          <w:lang w:val="en-US" w:eastAsia="zh-CN" w:bidi="ar-SA"/>
        </w:rPr>
        <w:t>。未提交报价保证金的供应商将被否决。</w:t>
      </w:r>
      <w:r>
        <w:rPr>
          <w:rFonts w:hint="eastAsia" w:ascii="方正仿宋简体" w:hAnsi="方正仿宋简体" w:eastAsia="方正仿宋简体" w:cs="方正仿宋简体"/>
          <w:b/>
          <w:bCs/>
          <w:kern w:val="2"/>
          <w:sz w:val="24"/>
          <w:szCs w:val="24"/>
          <w:highlight w:val="none"/>
          <w:lang w:val="en-US" w:eastAsia="zh-CN" w:bidi="ar-SA"/>
        </w:rPr>
        <w:t>（采购文件费用转账凭证须备注：项目名称，公司信息）</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3.发票的领取：</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项目结束后供应商可登录电子税务局：查找电子发票：点击【我要办税】-【税务数字账户】-【发票查询统计】-【全量发票查询】，选择相应的查询条件，点击【查询】，根据查询条件展示查询结果。</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发票业务咨询电话：010-57953507</w:t>
      </w:r>
    </w:p>
    <w:p>
      <w:pPr>
        <w:numPr>
          <w:ilvl w:val="0"/>
          <w:numId w:val="0"/>
        </w:numPr>
        <w:spacing w:line="400" w:lineRule="exact"/>
        <w:ind w:leftChars="0"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4.报价保证金以北京康迪建设监理咨询有限公司为受益人，采用有效的电汇形式</w:t>
      </w:r>
      <w:r>
        <w:rPr>
          <w:rFonts w:hint="eastAsia" w:ascii="方正仿宋简体" w:hAnsi="方正仿宋简体" w:eastAsia="方正仿宋简体" w:cs="方正仿宋简体"/>
          <w:b w:val="0"/>
          <w:bCs w:val="0"/>
          <w:kern w:val="2"/>
          <w:sz w:val="24"/>
          <w:szCs w:val="24"/>
          <w:highlight w:val="none"/>
          <w:lang w:val="en-US" w:eastAsia="zh-CN" w:bidi="ar-SA"/>
        </w:rPr>
        <w:t>，从供应商对公账户转出</w:t>
      </w:r>
      <w:r>
        <w:rPr>
          <w:rFonts w:hint="eastAsia" w:ascii="方正仿宋简体" w:hAnsi="方正仿宋简体" w:eastAsia="方正仿宋简体" w:cs="方正仿宋简体"/>
          <w:b w:val="0"/>
          <w:kern w:val="2"/>
          <w:sz w:val="24"/>
          <w:szCs w:val="24"/>
          <w:highlight w:val="none"/>
          <w:lang w:val="en-US" w:eastAsia="zh-CN" w:bidi="ar-SA"/>
        </w:rPr>
        <w:t>，以报价截止日期前到达指定账户为准。</w:t>
      </w:r>
    </w:p>
    <w:p>
      <w:pPr>
        <w:numPr>
          <w:ilvl w:val="0"/>
          <w:numId w:val="0"/>
        </w:numPr>
        <w:spacing w:line="400" w:lineRule="exact"/>
        <w:ind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5.采购文件费用及报价保证金汇入行及帐号如下：</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 xml:space="preserve">账户名称：北京康迪建设监理咨询有限公司  </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银行地址：北京市昌平区</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开户银行：工商银行北京天通苑支行</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银行帐号：0200 2927 1910 0003 388</w:t>
      </w:r>
    </w:p>
    <w:p>
      <w:pPr>
        <w:numPr>
          <w:ilvl w:val="0"/>
          <w:numId w:val="0"/>
        </w:numPr>
        <w:spacing w:line="400" w:lineRule="exact"/>
        <w:ind w:leftChars="0"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6.采购人确定成交供应商后及时向未成交的供应商退还报价保证金。</w:t>
      </w:r>
    </w:p>
    <w:p>
      <w:pPr>
        <w:numPr>
          <w:ilvl w:val="0"/>
          <w:numId w:val="0"/>
        </w:numPr>
        <w:spacing w:line="400" w:lineRule="exact"/>
        <w:ind w:leftChars="0"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7.下列任何情况发生时,报价保证金将被不予退回:</w:t>
      </w:r>
    </w:p>
    <w:p>
      <w:pPr>
        <w:numPr>
          <w:ilvl w:val="0"/>
          <w:numId w:val="0"/>
        </w:numPr>
        <w:spacing w:line="400" w:lineRule="exact"/>
        <w:ind w:firstLine="480" w:firstLineChars="200"/>
        <w:outlineLvl w:val="9"/>
        <w:rPr>
          <w:rFonts w:hint="eastAsia"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（1）一是报价截止后至成交供应商确定前，参与报价供应商不得修改或者撤销其响应文件;</w:t>
      </w:r>
    </w:p>
    <w:p>
      <w:pPr>
        <w:numPr>
          <w:ilvl w:val="0"/>
          <w:numId w:val="0"/>
        </w:numPr>
        <w:spacing w:line="400" w:lineRule="exact"/>
        <w:ind w:firstLine="480" w:firstLineChars="200"/>
        <w:outlineLvl w:val="9"/>
        <w:rPr>
          <w:rFonts w:hint="default" w:ascii="方正仿宋简体" w:hAnsi="方正仿宋简体" w:eastAsia="方正仿宋简体" w:cs="方正仿宋简体"/>
          <w:b w:val="0"/>
          <w:bCs w:val="0"/>
          <w:kern w:val="2"/>
          <w:sz w:val="24"/>
          <w:szCs w:val="24"/>
          <w:highlight w:val="yellow"/>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（2）成交供应商在规定期限内未能按规定签订合同。</w:t>
      </w:r>
    </w:p>
    <w:p>
      <w:pPr>
        <w:pStyle w:val="8"/>
        <w:pageBreakBefore w:val="0"/>
        <w:kinsoku/>
        <w:wordWrap/>
        <w:overflowPunct/>
        <w:topLinePunct w:val="0"/>
        <w:autoSpaceDE/>
        <w:autoSpaceDN/>
        <w:bidi w:val="0"/>
        <w:adjustRightInd/>
        <w:spacing w:line="440" w:lineRule="exact"/>
        <w:ind w:firstLine="482" w:firstLineChars="200"/>
        <w:textAlignment w:val="auto"/>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六、成交服务费收取</w:t>
      </w:r>
    </w:p>
    <w:p>
      <w:pPr>
        <w:pStyle w:val="8"/>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成交单位在收到成交通知书后将成交服务费支付给代理机构，成交服务费将从成交供应商提交的报价保证金中进行扣除，剩余部分保证金应及时退还成交供应商。</w:t>
      </w:r>
      <w:r>
        <w:rPr>
          <w:rFonts w:hint="eastAsia" w:ascii="方正仿宋简体" w:hAnsi="方正仿宋简体" w:eastAsia="方正仿宋简体" w:cs="方正仿宋简体"/>
          <w:b w:val="0"/>
          <w:bCs w:val="0"/>
          <w:sz w:val="24"/>
          <w:szCs w:val="24"/>
          <w:highlight w:val="none"/>
        </w:rPr>
        <w:t>收费标准</w:t>
      </w:r>
      <w:r>
        <w:rPr>
          <w:rFonts w:hint="eastAsia" w:ascii="方正仿宋简体" w:hAnsi="方正仿宋简体" w:eastAsia="方正仿宋简体" w:cs="方正仿宋简体"/>
          <w:b w:val="0"/>
          <w:bCs w:val="0"/>
          <w:sz w:val="24"/>
          <w:szCs w:val="24"/>
          <w:highlight w:val="none"/>
          <w:lang w:val="en-US" w:eastAsia="zh-CN"/>
        </w:rPr>
        <w:t>按照</w:t>
      </w:r>
      <w:r>
        <w:rPr>
          <w:rFonts w:hint="eastAsia" w:ascii="方正仿宋简体" w:hAnsi="方正仿宋简体" w:eastAsia="方正仿宋简体" w:cs="方正仿宋简体"/>
          <w:b w:val="0"/>
          <w:bCs w:val="0"/>
          <w:sz w:val="24"/>
          <w:szCs w:val="24"/>
          <w:highlight w:val="none"/>
        </w:rPr>
        <w:t>附表中规定。</w:t>
      </w:r>
    </w:p>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收费标准附表</w:t>
      </w:r>
    </w:p>
    <w:tbl>
      <w:tblPr>
        <w:tblStyle w:val="10"/>
        <w:tblW w:w="868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0"/>
        <w:gridCol w:w="2065"/>
        <w:gridCol w:w="2065"/>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2490" w:type="dxa"/>
            <w:tcBorders>
              <w:tl2br w:val="single" w:color="auto" w:sz="4" w:space="0"/>
            </w:tcBorders>
            <w:noWrap w:val="0"/>
            <w:vAlign w:val="top"/>
          </w:tcPr>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 xml:space="preserve">     </w:t>
            </w:r>
            <w:r>
              <w:rPr>
                <w:rFonts w:hint="eastAsia" w:ascii="方正仿宋简体" w:hAnsi="方正仿宋简体" w:eastAsia="方正仿宋简体" w:cs="方正仿宋简体"/>
                <w:b w:val="0"/>
                <w:bCs w:val="0"/>
                <w:sz w:val="24"/>
                <w:szCs w:val="24"/>
                <w:highlight w:val="none"/>
                <w:lang w:val="en-US" w:eastAsia="zh-CN"/>
              </w:rPr>
              <w:t xml:space="preserve">     </w:t>
            </w:r>
            <w:r>
              <w:rPr>
                <w:rFonts w:hint="eastAsia" w:ascii="方正仿宋简体" w:hAnsi="方正仿宋简体" w:eastAsia="方正仿宋简体" w:cs="方正仿宋简体"/>
                <w:b w:val="0"/>
                <w:bCs w:val="0"/>
                <w:sz w:val="24"/>
                <w:szCs w:val="24"/>
                <w:highlight w:val="none"/>
              </w:rPr>
              <w:t>服务类型</w:t>
            </w:r>
          </w:p>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金额（万元）</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货物</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服务</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工程</w:t>
            </w:r>
            <w:r>
              <w:rPr>
                <w:rFonts w:hint="eastAsia" w:ascii="方正仿宋简体" w:hAnsi="方正仿宋简体" w:eastAsia="方正仿宋简体" w:cs="方正仿宋简体"/>
                <w:b w:val="0"/>
                <w:bCs w:val="0"/>
                <w:sz w:val="24"/>
                <w:szCs w:val="24"/>
                <w:highlight w:val="none"/>
                <w:lang w:val="en-US" w:eastAsia="zh-CN"/>
              </w:rPr>
              <w:t>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100以下</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0.9</w:t>
            </w:r>
            <w:r>
              <w:rPr>
                <w:rFonts w:hint="eastAsia" w:ascii="方正仿宋简体" w:hAnsi="方正仿宋简体" w:eastAsia="方正仿宋简体" w:cs="方正仿宋简体"/>
                <w:b w:val="0"/>
                <w:bCs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100-500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1.1%</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0.45%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5000-10000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0.1%</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10000-100000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r>
    </w:tbl>
    <w:p>
      <w:pPr>
        <w:numPr>
          <w:ilvl w:val="0"/>
          <w:numId w:val="0"/>
        </w:numPr>
        <w:snapToGrid w:val="0"/>
        <w:spacing w:before="50" w:line="400" w:lineRule="exact"/>
        <w:ind w:firstLine="482" w:firstLineChars="200"/>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注：1、成交金额不足20万时固定收取3000元服务费。</w:t>
      </w:r>
    </w:p>
    <w:p>
      <w:pPr>
        <w:numPr>
          <w:ilvl w:val="0"/>
          <w:numId w:val="0"/>
        </w:numPr>
        <w:snapToGrid w:val="0"/>
        <w:spacing w:before="50" w:line="400" w:lineRule="exact"/>
        <w:ind w:firstLine="482" w:firstLineChars="200"/>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2、长协类项目按照项目概算收取。</w:t>
      </w:r>
    </w:p>
    <w:p>
      <w:pPr>
        <w:numPr>
          <w:ilvl w:val="0"/>
          <w:numId w:val="0"/>
        </w:numPr>
        <w:snapToGrid w:val="0"/>
        <w:spacing w:before="50" w:line="400" w:lineRule="exact"/>
        <w:ind w:firstLine="482" w:firstLineChars="200"/>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3、成交金额超过200万元按照26000元收取。</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lang w:val="en-US" w:eastAsia="zh-CN"/>
        </w:rPr>
        <w:t>计算方法如下：</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代理服务收费按差额定率累进法计算。例如：某服务</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代理业务</w:t>
      </w: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金额为4800万元，计算</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 xml:space="preserve">代理服务收费额如下： </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100万元×1.5%=1.5万元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（500-100）万元×0.8%=3.2万元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（1000-500）×0.45%=2.25万元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（4800-1000）×0.25%=9.5万元</w:t>
      </w:r>
    </w:p>
    <w:p>
      <w:pPr>
        <w:pStyle w:val="2"/>
        <w:pageBreakBefore w:val="0"/>
        <w:numPr>
          <w:ilvl w:val="0"/>
          <w:numId w:val="0"/>
        </w:numPr>
        <w:kinsoku/>
        <w:wordWrap/>
        <w:overflowPunct/>
        <w:topLinePunct w:val="0"/>
        <w:autoSpaceDE/>
        <w:autoSpaceDN/>
        <w:bidi w:val="0"/>
        <w:adjustRightInd/>
        <w:spacing w:line="440" w:lineRule="exact"/>
        <w:ind w:left="420" w:leftChars="0"/>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合计收费=1.5+3.2+2.25+9.5=16.45（万元）</w:t>
      </w: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4"/>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第三章 评审办法</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val="0"/>
          <w:bCs/>
          <w:kern w:val="2"/>
          <w:sz w:val="24"/>
          <w:szCs w:val="24"/>
          <w:highlight w:val="none"/>
          <w:u w:val="none"/>
          <w:lang w:val="en-US" w:eastAsia="zh-CN" w:bidi="ar-SA"/>
        </w:rPr>
        <w:t>本次评审采用最低价法，评审小组对满足采购文件实质性要求的响应文件，确定供应商响应报价的评审价格并进行比较，并按照评审价格由低到高的顺序推荐候选成交供应商。</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第四章 技术要求</w:t>
      </w:r>
    </w:p>
    <w:p>
      <w:pPr>
        <w:tabs>
          <w:tab w:val="left" w:pos="945"/>
          <w:tab w:val="left" w:pos="1834"/>
        </w:tabs>
        <w:spacing w:beforeLines="20" w:afterLines="20" w:line="520" w:lineRule="exact"/>
        <w:jc w:val="center"/>
        <w:outlineLvl w:val="0"/>
        <w:rPr>
          <w:rFonts w:hint="eastAsia" w:ascii="仿宋" w:hAnsi="仿宋" w:eastAsia="仿宋" w:cs="仿宋"/>
          <w:b/>
          <w:sz w:val="24"/>
          <w:szCs w:val="24"/>
        </w:rPr>
      </w:pPr>
      <w:bookmarkStart w:id="0" w:name="_Toc8380"/>
      <w:r>
        <w:rPr>
          <w:rFonts w:hint="eastAsia" w:ascii="仿宋" w:hAnsi="仿宋" w:eastAsia="仿宋" w:cs="仿宋"/>
          <w:b/>
          <w:sz w:val="24"/>
          <w:szCs w:val="24"/>
        </w:rPr>
        <w:t>第一节 供货范围</w:t>
      </w:r>
      <w:bookmarkEnd w:id="0"/>
    </w:p>
    <w:p>
      <w:pPr>
        <w:spacing w:line="520" w:lineRule="exact"/>
        <w:jc w:val="left"/>
        <w:outlineLvl w:val="1"/>
        <w:rPr>
          <w:rFonts w:hint="eastAsia" w:ascii="仿宋" w:hAnsi="仿宋" w:eastAsia="仿宋" w:cs="仿宋"/>
          <w:color w:val="000000"/>
          <w:sz w:val="24"/>
          <w:szCs w:val="24"/>
        </w:rPr>
      </w:pPr>
      <w:r>
        <w:rPr>
          <w:rFonts w:hint="eastAsia" w:ascii="仿宋" w:hAnsi="仿宋" w:eastAsia="仿宋" w:cs="仿宋"/>
          <w:color w:val="000000"/>
          <w:sz w:val="24"/>
          <w:szCs w:val="24"/>
        </w:rPr>
        <w:t>1.1 设备需求一览表</w:t>
      </w:r>
    </w:p>
    <w:tbl>
      <w:tblPr>
        <w:tblStyle w:val="10"/>
        <w:tblW w:w="87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192"/>
        <w:gridCol w:w="2479"/>
        <w:gridCol w:w="581"/>
        <w:gridCol w:w="483"/>
        <w:gridCol w:w="2127"/>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7" w:type="dxa"/>
            <w:vAlign w:val="center"/>
          </w:tcPr>
          <w:p>
            <w:pPr>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1192" w:type="dxa"/>
            <w:vAlign w:val="center"/>
          </w:tcPr>
          <w:p>
            <w:pPr>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设备名称</w:t>
            </w:r>
          </w:p>
        </w:tc>
        <w:tc>
          <w:tcPr>
            <w:tcW w:w="2479" w:type="dxa"/>
            <w:vAlign w:val="center"/>
          </w:tcPr>
          <w:p>
            <w:pPr>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设备型号与规格</w:t>
            </w:r>
          </w:p>
        </w:tc>
        <w:tc>
          <w:tcPr>
            <w:tcW w:w="581" w:type="dxa"/>
            <w:vAlign w:val="center"/>
          </w:tcPr>
          <w:p>
            <w:pPr>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单位</w:t>
            </w:r>
          </w:p>
        </w:tc>
        <w:tc>
          <w:tcPr>
            <w:tcW w:w="483" w:type="dxa"/>
            <w:vAlign w:val="center"/>
          </w:tcPr>
          <w:p>
            <w:pPr>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数量</w:t>
            </w:r>
          </w:p>
        </w:tc>
        <w:tc>
          <w:tcPr>
            <w:tcW w:w="2127" w:type="dxa"/>
            <w:vAlign w:val="center"/>
          </w:tcPr>
          <w:p>
            <w:pPr>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使用地点及位置</w:t>
            </w:r>
          </w:p>
        </w:tc>
        <w:tc>
          <w:tcPr>
            <w:tcW w:w="1204" w:type="dxa"/>
            <w:vAlign w:val="center"/>
          </w:tcPr>
          <w:p>
            <w:pPr>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7" w:type="dxa"/>
            <w:vAlign w:val="center"/>
          </w:tcPr>
          <w:p>
            <w:pPr>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192" w:type="dxa"/>
            <w:vAlign w:val="center"/>
          </w:tcPr>
          <w:p>
            <w:pPr>
              <w:snapToGrid w:val="0"/>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减速机</w:t>
            </w:r>
          </w:p>
        </w:tc>
        <w:tc>
          <w:tcPr>
            <w:tcW w:w="2479" w:type="dxa"/>
            <w:vAlign w:val="center"/>
          </w:tcPr>
          <w:p>
            <w:pPr>
              <w:snapToGrid w:val="0"/>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参考型号：NSH140F-25BⅡ</w:t>
            </w:r>
          </w:p>
        </w:tc>
        <w:tc>
          <w:tcPr>
            <w:tcW w:w="581" w:type="dxa"/>
            <w:vAlign w:val="center"/>
          </w:tcPr>
          <w:p>
            <w:pPr>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台</w:t>
            </w:r>
          </w:p>
        </w:tc>
        <w:tc>
          <w:tcPr>
            <w:tcW w:w="483" w:type="dxa"/>
            <w:vAlign w:val="center"/>
          </w:tcPr>
          <w:p>
            <w:pPr>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2127" w:type="dxa"/>
            <w:vAlign w:val="center"/>
          </w:tcPr>
          <w:p>
            <w:pPr>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主井栈桥带式输送机</w:t>
            </w:r>
          </w:p>
        </w:tc>
        <w:tc>
          <w:tcPr>
            <w:tcW w:w="1204" w:type="dxa"/>
            <w:vAlign w:val="center"/>
          </w:tcPr>
          <w:p>
            <w:pPr>
              <w:snapToGrid w:val="0"/>
              <w:spacing w:line="520" w:lineRule="exact"/>
              <w:jc w:val="left"/>
              <w:rPr>
                <w:rFonts w:hint="eastAsia" w:ascii="仿宋" w:hAnsi="仿宋" w:eastAsia="仿宋" w:cs="仿宋"/>
                <w:sz w:val="24"/>
                <w:szCs w:val="24"/>
              </w:rPr>
            </w:pPr>
            <w:r>
              <w:rPr>
                <w:rFonts w:hint="eastAsia" w:ascii="仿宋" w:hAnsi="仿宋" w:eastAsia="仿宋" w:cs="仿宋"/>
                <w:sz w:val="24"/>
                <w:szCs w:val="24"/>
              </w:rPr>
              <w:t>需粘贴煤安标志及设备铭牌</w:t>
            </w:r>
          </w:p>
        </w:tc>
      </w:tr>
    </w:tbl>
    <w:p>
      <w:pPr>
        <w:autoSpaceDE w:val="0"/>
        <w:autoSpaceDN w:val="0"/>
        <w:spacing w:line="520" w:lineRule="exact"/>
        <w:rPr>
          <w:rFonts w:hint="eastAsia" w:ascii="宋体" w:hAnsi="宋体"/>
          <w:b/>
          <w:sz w:val="24"/>
          <w:szCs w:val="24"/>
        </w:rPr>
      </w:pPr>
      <w:r>
        <w:rPr>
          <w:rFonts w:hint="eastAsia" w:ascii="仿宋" w:hAnsi="仿宋" w:eastAsia="仿宋" w:cs="仿宋"/>
          <w:b/>
          <w:bCs/>
          <w:sz w:val="24"/>
          <w:szCs w:val="24"/>
          <w:lang w:val="zh-CN"/>
        </w:rPr>
        <w:t xml:space="preserve">备注: </w:t>
      </w:r>
      <w:r>
        <w:rPr>
          <w:rFonts w:hint="eastAsia" w:ascii="仿宋" w:hAnsi="仿宋" w:eastAsia="仿宋" w:cs="仿宋"/>
          <w:b/>
          <w:bCs/>
          <w:sz w:val="24"/>
          <w:szCs w:val="24"/>
          <w:lang w:eastAsia="zh-CN"/>
        </w:rPr>
        <w:t>成交供应商</w:t>
      </w:r>
      <w:r>
        <w:rPr>
          <w:rFonts w:hint="eastAsia" w:ascii="仿宋" w:hAnsi="仿宋" w:eastAsia="仿宋" w:cs="仿宋"/>
          <w:b/>
          <w:bCs/>
          <w:sz w:val="24"/>
          <w:szCs w:val="24"/>
          <w:lang w:val="zh-CN"/>
        </w:rPr>
        <w:t>供货前，需</w:t>
      </w:r>
      <w:r>
        <w:rPr>
          <w:rFonts w:hint="eastAsia" w:ascii="仿宋" w:hAnsi="仿宋" w:eastAsia="仿宋" w:cs="仿宋"/>
          <w:b/>
          <w:bCs/>
          <w:sz w:val="24"/>
          <w:szCs w:val="24"/>
        </w:rPr>
        <w:t>到使用</w:t>
      </w:r>
      <w:r>
        <w:rPr>
          <w:rFonts w:hint="eastAsia" w:ascii="仿宋" w:hAnsi="仿宋" w:eastAsia="仿宋" w:cs="仿宋"/>
          <w:b/>
          <w:bCs/>
          <w:sz w:val="24"/>
          <w:szCs w:val="24"/>
          <w:lang w:val="zh-CN"/>
        </w:rPr>
        <w:t>现场</w:t>
      </w:r>
      <w:r>
        <w:rPr>
          <w:rFonts w:hint="eastAsia" w:ascii="仿宋" w:hAnsi="仿宋" w:eastAsia="仿宋" w:cs="仿宋"/>
          <w:b/>
          <w:bCs/>
          <w:sz w:val="24"/>
          <w:szCs w:val="24"/>
        </w:rPr>
        <w:t>确认在用减速机主要参数、安装尺寸、连接方式等信息，以保证所供减速机能与</w:t>
      </w:r>
      <w:r>
        <w:rPr>
          <w:rFonts w:hint="eastAsia" w:ascii="仿宋" w:hAnsi="仿宋" w:eastAsia="仿宋" w:cs="仿宋"/>
          <w:b/>
          <w:bCs/>
          <w:sz w:val="24"/>
          <w:szCs w:val="24"/>
          <w:lang w:val="zh-CN"/>
        </w:rPr>
        <w:t>现有设备</w:t>
      </w:r>
      <w:r>
        <w:rPr>
          <w:rFonts w:hint="eastAsia" w:ascii="仿宋" w:hAnsi="仿宋" w:eastAsia="仿宋" w:cs="仿宋"/>
          <w:b/>
          <w:bCs/>
          <w:sz w:val="24"/>
          <w:szCs w:val="24"/>
        </w:rPr>
        <w:t>完全适配</w:t>
      </w:r>
      <w:r>
        <w:rPr>
          <w:rFonts w:hint="eastAsia" w:ascii="仿宋" w:hAnsi="仿宋" w:eastAsia="仿宋" w:cs="仿宋"/>
          <w:b/>
          <w:bCs/>
          <w:sz w:val="24"/>
          <w:szCs w:val="24"/>
          <w:lang w:val="zh-CN"/>
        </w:rPr>
        <w:t>。</w:t>
      </w:r>
      <w:r>
        <w:rPr>
          <w:rFonts w:hint="eastAsia" w:ascii="仿宋" w:hAnsi="仿宋" w:eastAsia="仿宋" w:cs="仿宋"/>
          <w:b/>
          <w:bCs/>
          <w:sz w:val="24"/>
          <w:szCs w:val="24"/>
          <w:lang w:eastAsia="zh-CN"/>
        </w:rPr>
        <w:t>成交供应商</w:t>
      </w:r>
      <w:r>
        <w:rPr>
          <w:rFonts w:hint="eastAsia" w:ascii="仿宋" w:hAnsi="仿宋" w:eastAsia="仿宋" w:cs="仿宋"/>
          <w:b/>
          <w:bCs/>
          <w:sz w:val="24"/>
          <w:szCs w:val="24"/>
        </w:rPr>
        <w:t>未进行现场测量确认造成所供设备无法正常使用的由</w:t>
      </w:r>
      <w:r>
        <w:rPr>
          <w:rFonts w:hint="eastAsia" w:ascii="仿宋" w:hAnsi="仿宋" w:eastAsia="仿宋" w:cs="仿宋"/>
          <w:b/>
          <w:bCs/>
          <w:sz w:val="24"/>
          <w:szCs w:val="24"/>
          <w:lang w:eastAsia="zh-CN"/>
        </w:rPr>
        <w:t>成交供应商</w:t>
      </w:r>
      <w:r>
        <w:rPr>
          <w:rFonts w:hint="eastAsia" w:ascii="仿宋" w:hAnsi="仿宋" w:eastAsia="仿宋" w:cs="仿宋"/>
          <w:b/>
          <w:bCs/>
          <w:sz w:val="24"/>
          <w:szCs w:val="24"/>
        </w:rPr>
        <w:t>更换，期间产生的一切费用由</w:t>
      </w:r>
      <w:r>
        <w:rPr>
          <w:rFonts w:hint="eastAsia" w:ascii="仿宋" w:hAnsi="仿宋" w:eastAsia="仿宋" w:cs="仿宋"/>
          <w:b/>
          <w:bCs/>
          <w:sz w:val="24"/>
          <w:szCs w:val="24"/>
          <w:lang w:eastAsia="zh-CN"/>
        </w:rPr>
        <w:t>成交供应商</w:t>
      </w:r>
      <w:r>
        <w:rPr>
          <w:rFonts w:hint="eastAsia" w:ascii="仿宋" w:hAnsi="仿宋" w:eastAsia="仿宋" w:cs="仿宋"/>
          <w:b/>
          <w:bCs/>
          <w:sz w:val="24"/>
          <w:szCs w:val="24"/>
        </w:rPr>
        <w:t>承担。</w:t>
      </w:r>
    </w:p>
    <w:p>
      <w:pPr>
        <w:tabs>
          <w:tab w:val="left" w:pos="945"/>
          <w:tab w:val="left" w:pos="1834"/>
        </w:tabs>
        <w:spacing w:beforeLines="20" w:afterLines="20" w:line="520" w:lineRule="exact"/>
        <w:jc w:val="center"/>
        <w:outlineLvl w:val="0"/>
        <w:rPr>
          <w:rFonts w:hint="eastAsia" w:ascii="仿宋" w:hAnsi="仿宋" w:eastAsia="仿宋" w:cs="仿宋"/>
          <w:b/>
          <w:sz w:val="24"/>
          <w:szCs w:val="24"/>
        </w:rPr>
      </w:pPr>
      <w:bookmarkStart w:id="1" w:name="_Toc390"/>
      <w:r>
        <w:rPr>
          <w:rFonts w:hint="eastAsia" w:ascii="仿宋" w:hAnsi="仿宋" w:eastAsia="仿宋" w:cs="仿宋"/>
          <w:b/>
          <w:sz w:val="24"/>
          <w:szCs w:val="24"/>
        </w:rPr>
        <w:t>第二节 使用条件</w:t>
      </w:r>
      <w:bookmarkEnd w:id="1"/>
    </w:p>
    <w:p>
      <w:pPr>
        <w:spacing w:line="520" w:lineRule="exact"/>
        <w:jc w:val="left"/>
        <w:outlineLvl w:val="1"/>
        <w:rPr>
          <w:rFonts w:hint="eastAsia" w:ascii="仿宋" w:hAnsi="仿宋" w:eastAsia="仿宋" w:cs="仿宋"/>
          <w:color w:val="000000"/>
          <w:sz w:val="24"/>
          <w:szCs w:val="24"/>
        </w:rPr>
      </w:pPr>
      <w:r>
        <w:rPr>
          <w:rFonts w:hint="eastAsia" w:ascii="仿宋" w:hAnsi="仿宋" w:eastAsia="仿宋" w:cs="仿宋"/>
          <w:color w:val="000000"/>
          <w:sz w:val="24"/>
          <w:szCs w:val="24"/>
        </w:rPr>
        <w:t>2.1 环境条件</w:t>
      </w:r>
    </w:p>
    <w:p>
      <w:pPr>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葫芦素煤矿井井田位于东胜煤田呼吉尔特矿区，地处内蒙古自治区鄂尔多斯市境内，行政划属乌审旗，工业场地位于乌审旗图克镇境内。</w:t>
      </w:r>
    </w:p>
    <w:p>
      <w:pPr>
        <w:spacing w:line="5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矿井为瓦斯矿井，煤尘有爆炸危险，煤有自燃倾向；环境温度：-35℃~+40℃。</w:t>
      </w:r>
    </w:p>
    <w:p>
      <w:pPr>
        <w:spacing w:line="5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井下相对空气湿度90%。</w:t>
      </w:r>
    </w:p>
    <w:p>
      <w:pPr>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海拔高度1600m</w:t>
      </w:r>
    </w:p>
    <w:p>
      <w:pPr>
        <w:spacing w:line="5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2.2 使用地点：中天合创葫芦素煤矿主井栈桥。</w:t>
      </w:r>
    </w:p>
    <w:p>
      <w:pPr>
        <w:tabs>
          <w:tab w:val="left" w:pos="945"/>
          <w:tab w:val="left" w:pos="1834"/>
        </w:tabs>
        <w:spacing w:beforeLines="20" w:afterLines="20" w:line="520" w:lineRule="exact"/>
        <w:jc w:val="center"/>
        <w:outlineLvl w:val="0"/>
        <w:rPr>
          <w:rFonts w:hint="eastAsia" w:ascii="仿宋" w:hAnsi="仿宋" w:eastAsia="仿宋" w:cs="仿宋"/>
          <w:b/>
          <w:sz w:val="24"/>
          <w:szCs w:val="24"/>
        </w:rPr>
      </w:pPr>
      <w:bookmarkStart w:id="2" w:name="_Toc24247"/>
      <w:r>
        <w:rPr>
          <w:rFonts w:hint="eastAsia" w:ascii="仿宋" w:hAnsi="仿宋" w:eastAsia="仿宋" w:cs="仿宋"/>
          <w:b/>
          <w:sz w:val="24"/>
          <w:szCs w:val="24"/>
        </w:rPr>
        <w:t>第三节 标准和规定</w:t>
      </w:r>
      <w:bookmarkEnd w:id="2"/>
    </w:p>
    <w:p>
      <w:pPr>
        <w:tabs>
          <w:tab w:val="left" w:pos="945"/>
          <w:tab w:val="left" w:pos="1834"/>
        </w:tabs>
        <w:spacing w:beforeLines="20" w:afterLines="20" w:line="520" w:lineRule="exact"/>
        <w:rPr>
          <w:rFonts w:hint="eastAsia" w:ascii="仿宋" w:hAnsi="仿宋" w:eastAsia="仿宋" w:cs="仿宋"/>
          <w:color w:val="000000"/>
          <w:sz w:val="24"/>
          <w:szCs w:val="24"/>
        </w:rPr>
      </w:pPr>
      <w:r>
        <w:rPr>
          <w:rFonts w:hint="eastAsia" w:ascii="仿宋" w:hAnsi="仿宋" w:eastAsia="仿宋" w:cs="仿宋"/>
          <w:color w:val="000000"/>
          <w:sz w:val="24"/>
          <w:szCs w:val="24"/>
        </w:rPr>
        <w:t>3.1 应遵循的国家标准和规范</w:t>
      </w:r>
    </w:p>
    <w:p>
      <w:pPr>
        <w:spacing w:line="520" w:lineRule="exact"/>
        <w:ind w:firstLine="42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1）JB/T 9002-2016 《减速机通用技术条件》 </w:t>
      </w:r>
    </w:p>
    <w:p>
      <w:pPr>
        <w:spacing w:line="520" w:lineRule="exact"/>
        <w:ind w:firstLine="420"/>
        <w:jc w:val="left"/>
        <w:rPr>
          <w:rFonts w:hint="eastAsia" w:ascii="仿宋" w:hAnsi="仿宋" w:eastAsia="仿宋" w:cs="仿宋"/>
          <w:color w:val="000000"/>
          <w:sz w:val="24"/>
          <w:szCs w:val="24"/>
        </w:rPr>
      </w:pPr>
      <w:r>
        <w:rPr>
          <w:rFonts w:hint="eastAsia" w:ascii="仿宋" w:hAnsi="仿宋" w:eastAsia="仿宋" w:cs="仿宋"/>
          <w:color w:val="000000"/>
          <w:sz w:val="24"/>
          <w:szCs w:val="24"/>
        </w:rPr>
        <w:t>2）GB3836.1爆炸性气体环境用电气设备  第1部分：通用要求</w:t>
      </w:r>
    </w:p>
    <w:p>
      <w:pPr>
        <w:spacing w:line="520" w:lineRule="exact"/>
        <w:ind w:firstLine="42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3）GB 3836.2 爆炸性气体环境用电气设备  第2部分：隔爆型“d”  </w:t>
      </w:r>
    </w:p>
    <w:p>
      <w:pPr>
        <w:spacing w:line="520" w:lineRule="exact"/>
        <w:ind w:firstLine="420"/>
        <w:jc w:val="left"/>
        <w:rPr>
          <w:rFonts w:hint="eastAsia" w:ascii="仿宋" w:hAnsi="仿宋" w:eastAsia="仿宋" w:cs="仿宋"/>
          <w:color w:val="000000"/>
          <w:sz w:val="24"/>
          <w:szCs w:val="24"/>
        </w:rPr>
      </w:pPr>
      <w:r>
        <w:rPr>
          <w:rFonts w:hint="eastAsia" w:ascii="仿宋" w:hAnsi="仿宋" w:eastAsia="仿宋" w:cs="仿宋"/>
          <w:color w:val="000000"/>
          <w:sz w:val="24"/>
          <w:szCs w:val="24"/>
        </w:rPr>
        <w:t>4）GB 3836.3 爆炸性气体环境用电气设备  第3部分：增安型“e”</w:t>
      </w:r>
    </w:p>
    <w:p>
      <w:pPr>
        <w:spacing w:line="520" w:lineRule="exact"/>
        <w:ind w:firstLine="420"/>
        <w:jc w:val="left"/>
        <w:rPr>
          <w:rFonts w:hint="eastAsia" w:ascii="仿宋" w:hAnsi="仿宋" w:eastAsia="仿宋" w:cs="仿宋"/>
          <w:color w:val="000000"/>
          <w:sz w:val="24"/>
          <w:szCs w:val="24"/>
        </w:rPr>
      </w:pPr>
      <w:r>
        <w:rPr>
          <w:rFonts w:hint="eastAsia" w:ascii="仿宋" w:hAnsi="仿宋" w:eastAsia="仿宋" w:cs="仿宋"/>
          <w:color w:val="000000"/>
          <w:sz w:val="24"/>
          <w:szCs w:val="24"/>
        </w:rPr>
        <w:t>5）GB/T 4942.1-2001旋转电机外壳防护分类</w:t>
      </w:r>
    </w:p>
    <w:p>
      <w:pPr>
        <w:spacing w:line="520" w:lineRule="exact"/>
        <w:ind w:firstLine="420"/>
        <w:jc w:val="left"/>
        <w:rPr>
          <w:rFonts w:hint="eastAsia" w:ascii="仿宋" w:hAnsi="仿宋" w:eastAsia="仿宋" w:cs="仿宋"/>
          <w:color w:val="000000"/>
          <w:sz w:val="24"/>
          <w:szCs w:val="24"/>
        </w:rPr>
      </w:pPr>
      <w:r>
        <w:rPr>
          <w:rFonts w:hint="eastAsia" w:ascii="仿宋" w:hAnsi="仿宋" w:eastAsia="仿宋" w:cs="仿宋"/>
          <w:color w:val="000000"/>
          <w:sz w:val="24"/>
          <w:szCs w:val="24"/>
        </w:rPr>
        <w:t>6）GB/T 6388 运输包装收发货标志</w:t>
      </w:r>
    </w:p>
    <w:p>
      <w:pPr>
        <w:spacing w:line="520" w:lineRule="exact"/>
        <w:ind w:firstLine="420"/>
        <w:jc w:val="left"/>
        <w:rPr>
          <w:rFonts w:hint="eastAsia" w:ascii="仿宋" w:hAnsi="仿宋" w:eastAsia="仿宋" w:cs="仿宋"/>
          <w:color w:val="000000"/>
          <w:sz w:val="24"/>
          <w:szCs w:val="24"/>
        </w:rPr>
      </w:pPr>
      <w:r>
        <w:rPr>
          <w:rFonts w:hint="eastAsia" w:ascii="仿宋" w:hAnsi="仿宋" w:eastAsia="仿宋" w:cs="仿宋"/>
          <w:color w:val="000000"/>
          <w:sz w:val="24"/>
          <w:szCs w:val="24"/>
        </w:rPr>
        <w:t>7）GB 9969.1 工业产品使用说明书总则</w:t>
      </w:r>
    </w:p>
    <w:p>
      <w:pPr>
        <w:spacing w:line="520" w:lineRule="exact"/>
        <w:ind w:firstLine="420"/>
        <w:jc w:val="left"/>
        <w:rPr>
          <w:rFonts w:hint="eastAsia" w:ascii="仿宋" w:hAnsi="仿宋" w:eastAsia="仿宋" w:cs="仿宋"/>
          <w:color w:val="000000"/>
          <w:sz w:val="24"/>
          <w:szCs w:val="24"/>
        </w:rPr>
      </w:pPr>
      <w:r>
        <w:rPr>
          <w:rFonts w:hint="eastAsia" w:ascii="仿宋" w:hAnsi="仿宋" w:eastAsia="仿宋" w:cs="仿宋"/>
          <w:color w:val="000000"/>
          <w:sz w:val="24"/>
          <w:szCs w:val="24"/>
        </w:rPr>
        <w:t>8）GB/T 13306标牌</w:t>
      </w:r>
    </w:p>
    <w:p>
      <w:pPr>
        <w:spacing w:line="5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3.2 设备的设计与制造要求采用国际公制单位，个别部件采用英制单位应列出清单。</w:t>
      </w:r>
    </w:p>
    <w:p>
      <w:pPr>
        <w:spacing w:line="5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3.3 防爆电气设备应按中国国家防爆标准或其它中国防爆检验部门认可的标准制造。</w:t>
      </w:r>
    </w:p>
    <w:p>
      <w:pPr>
        <w:spacing w:line="5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3.4 设备应取得中国国家煤矿安全标志证书和“MA”标识牌。</w:t>
      </w:r>
    </w:p>
    <w:p>
      <w:pPr>
        <w:spacing w:line="5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3.5 上述标准均应为</w:t>
      </w:r>
      <w:r>
        <w:rPr>
          <w:rFonts w:hint="eastAsia" w:ascii="仿宋" w:hAnsi="仿宋" w:eastAsia="仿宋" w:cs="仿宋"/>
          <w:color w:val="000000"/>
          <w:sz w:val="24"/>
          <w:szCs w:val="24"/>
          <w:lang w:val="en-US" w:eastAsia="zh-CN"/>
        </w:rPr>
        <w:t>报价</w:t>
      </w:r>
      <w:r>
        <w:rPr>
          <w:rFonts w:hint="eastAsia" w:ascii="仿宋" w:hAnsi="仿宋" w:eastAsia="仿宋" w:cs="仿宋"/>
          <w:color w:val="000000"/>
          <w:sz w:val="24"/>
          <w:szCs w:val="24"/>
        </w:rPr>
        <w:t>截止日时的最新有效版。</w:t>
      </w:r>
    </w:p>
    <w:p>
      <w:pPr>
        <w:tabs>
          <w:tab w:val="left" w:pos="945"/>
          <w:tab w:val="left" w:pos="1834"/>
        </w:tabs>
        <w:spacing w:beforeLines="20" w:afterLines="20" w:line="520" w:lineRule="exact"/>
        <w:jc w:val="center"/>
        <w:outlineLvl w:val="0"/>
        <w:rPr>
          <w:rFonts w:hint="eastAsia" w:ascii="仿宋" w:hAnsi="仿宋" w:eastAsia="仿宋" w:cs="仿宋"/>
          <w:b/>
          <w:sz w:val="24"/>
          <w:szCs w:val="24"/>
        </w:rPr>
      </w:pPr>
      <w:bookmarkStart w:id="3" w:name="_Toc13540"/>
      <w:r>
        <w:rPr>
          <w:rFonts w:hint="eastAsia" w:ascii="仿宋" w:hAnsi="仿宋" w:eastAsia="仿宋" w:cs="仿宋"/>
          <w:b/>
          <w:sz w:val="24"/>
          <w:szCs w:val="24"/>
        </w:rPr>
        <w:t>第四节 技术规格和要求</w:t>
      </w:r>
      <w:bookmarkEnd w:id="3"/>
    </w:p>
    <w:p>
      <w:pPr>
        <w:spacing w:line="5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4.1减速机主要技术参数及要求 </w:t>
      </w:r>
    </w:p>
    <w:tbl>
      <w:tblPr>
        <w:tblStyle w:val="10"/>
        <w:tblW w:w="8505" w:type="dxa"/>
        <w:jc w:val="center"/>
        <w:tblInd w:w="0" w:type="dxa"/>
        <w:tblLayout w:type="fixed"/>
        <w:tblCellMar>
          <w:top w:w="0" w:type="dxa"/>
          <w:left w:w="108" w:type="dxa"/>
          <w:bottom w:w="0" w:type="dxa"/>
          <w:right w:w="108" w:type="dxa"/>
        </w:tblCellMar>
      </w:tblPr>
      <w:tblGrid>
        <w:gridCol w:w="2166"/>
        <w:gridCol w:w="2062"/>
        <w:gridCol w:w="1528"/>
        <w:gridCol w:w="2749"/>
      </w:tblGrid>
      <w:tr>
        <w:tblPrEx>
          <w:tblLayout w:type="fixed"/>
          <w:tblCellMar>
            <w:top w:w="0" w:type="dxa"/>
            <w:left w:w="108" w:type="dxa"/>
            <w:bottom w:w="0" w:type="dxa"/>
            <w:right w:w="108" w:type="dxa"/>
          </w:tblCellMar>
        </w:tblPrEx>
        <w:trPr>
          <w:trHeight w:val="1265" w:hRule="atLeast"/>
          <w:jc w:val="center"/>
        </w:trPr>
        <w:tc>
          <w:tcPr>
            <w:tcW w:w="4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驱动机功率：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驱动机转速：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工作机轴功率：  </w:t>
            </w:r>
            <w:r>
              <w:rPr>
                <w:rStyle w:val="16"/>
                <w:rFonts w:ascii="仿宋" w:hAnsi="仿宋" w:eastAsia="仿宋" w:cs="仿宋"/>
                <w:sz w:val="24"/>
                <w:szCs w:val="24"/>
              </w:rPr>
              <w:br w:type="textWrapping"/>
            </w:r>
            <w:r>
              <w:rPr>
                <w:rStyle w:val="16"/>
                <w:rFonts w:ascii="仿宋" w:hAnsi="仿宋" w:eastAsia="仿宋" w:cs="仿宋"/>
                <w:sz w:val="24"/>
                <w:szCs w:val="24"/>
              </w:rPr>
              <w:t xml:space="preserve">工作机转速 ：   </w:t>
            </w:r>
          </w:p>
        </w:tc>
        <w:tc>
          <w:tcPr>
            <w:tcW w:w="42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P</w:t>
            </w:r>
            <w:r>
              <w:rPr>
                <w:rFonts w:hint="eastAsia" w:ascii="仿宋" w:hAnsi="仿宋" w:eastAsia="仿宋" w:cs="仿宋"/>
                <w:color w:val="000000"/>
                <w:kern w:val="0"/>
                <w:sz w:val="24"/>
                <w:szCs w:val="24"/>
                <w:vertAlign w:val="subscript"/>
              </w:rPr>
              <w:t>m</w:t>
            </w:r>
            <w:r>
              <w:rPr>
                <w:rFonts w:hint="eastAsia" w:ascii="仿宋" w:hAnsi="仿宋" w:eastAsia="仿宋" w:cs="仿宋"/>
                <w:color w:val="000000"/>
                <w:kern w:val="0"/>
                <w:sz w:val="24"/>
                <w:szCs w:val="24"/>
              </w:rPr>
              <w:t>=</w:t>
            </w:r>
            <w:r>
              <w:rPr>
                <w:rStyle w:val="17"/>
                <w:rFonts w:hint="eastAsia" w:ascii="仿宋" w:hAnsi="仿宋" w:eastAsia="仿宋" w:cs="仿宋"/>
                <w:sz w:val="24"/>
                <w:szCs w:val="24"/>
              </w:rPr>
              <w:t>450kw</w:t>
            </w:r>
            <w:r>
              <w:rPr>
                <w:rStyle w:val="17"/>
                <w:rFonts w:hint="eastAsia" w:ascii="仿宋" w:hAnsi="仿宋" w:eastAsia="仿宋" w:cs="仿宋"/>
                <w:sz w:val="24"/>
                <w:szCs w:val="24"/>
              </w:rPr>
              <w:br w:type="textWrapping"/>
            </w:r>
            <w:r>
              <w:rPr>
                <w:rFonts w:hint="eastAsia" w:ascii="仿宋" w:hAnsi="仿宋" w:eastAsia="仿宋" w:cs="仿宋"/>
                <w:color w:val="000000"/>
                <w:kern w:val="0"/>
                <w:sz w:val="24"/>
                <w:szCs w:val="24"/>
              </w:rPr>
              <w:t>n</w:t>
            </w:r>
            <w:r>
              <w:rPr>
                <w:rFonts w:hint="eastAsia" w:ascii="仿宋" w:hAnsi="仿宋" w:eastAsia="仿宋" w:cs="仿宋"/>
                <w:color w:val="000000"/>
                <w:kern w:val="0"/>
                <w:sz w:val="24"/>
                <w:szCs w:val="24"/>
                <w:vertAlign w:val="subscript"/>
              </w:rPr>
              <w:t>1</w:t>
            </w:r>
            <w:r>
              <w:rPr>
                <w:rFonts w:hint="eastAsia" w:ascii="仿宋" w:hAnsi="仿宋" w:eastAsia="仿宋" w:cs="仿宋"/>
                <w:color w:val="000000"/>
                <w:kern w:val="0"/>
                <w:sz w:val="24"/>
                <w:szCs w:val="24"/>
              </w:rPr>
              <w:t>=</w:t>
            </w:r>
            <w:r>
              <w:rPr>
                <w:rStyle w:val="17"/>
                <w:rFonts w:hint="eastAsia" w:ascii="仿宋" w:hAnsi="仿宋" w:eastAsia="仿宋" w:cs="仿宋"/>
                <w:sz w:val="24"/>
                <w:szCs w:val="24"/>
              </w:rPr>
              <w:t>1500rpm</w:t>
            </w:r>
            <w:r>
              <w:rPr>
                <w:rStyle w:val="17"/>
                <w:rFonts w:hint="eastAsia" w:ascii="仿宋" w:hAnsi="仿宋" w:eastAsia="仿宋" w:cs="仿宋"/>
                <w:sz w:val="24"/>
                <w:szCs w:val="24"/>
              </w:rPr>
              <w:br w:type="textWrapping"/>
            </w:r>
            <w:r>
              <w:rPr>
                <w:rFonts w:hint="eastAsia" w:ascii="仿宋" w:hAnsi="仿宋" w:eastAsia="仿宋" w:cs="仿宋"/>
                <w:color w:val="000000"/>
                <w:kern w:val="0"/>
                <w:sz w:val="24"/>
                <w:szCs w:val="24"/>
              </w:rPr>
              <w:t>P</w:t>
            </w:r>
            <w:r>
              <w:rPr>
                <w:rFonts w:hint="eastAsia" w:ascii="仿宋" w:hAnsi="仿宋" w:eastAsia="仿宋" w:cs="仿宋"/>
                <w:color w:val="000000"/>
                <w:kern w:val="0"/>
                <w:sz w:val="24"/>
                <w:szCs w:val="24"/>
                <w:vertAlign w:val="subscript"/>
              </w:rPr>
              <w:t>2</w:t>
            </w:r>
            <w:r>
              <w:rPr>
                <w:rStyle w:val="16"/>
                <w:rFonts w:ascii="仿宋" w:hAnsi="仿宋" w:eastAsia="仿宋" w:cs="仿宋"/>
                <w:sz w:val="24"/>
                <w:szCs w:val="24"/>
              </w:rPr>
              <w:t>=</w:t>
            </w:r>
            <w:r>
              <w:rPr>
                <w:rStyle w:val="17"/>
                <w:rFonts w:hint="eastAsia" w:ascii="仿宋" w:hAnsi="仿宋" w:eastAsia="仿宋" w:cs="仿宋"/>
                <w:sz w:val="24"/>
                <w:szCs w:val="24"/>
              </w:rPr>
              <w:t>320kw</w:t>
            </w:r>
            <w:r>
              <w:rPr>
                <w:rStyle w:val="17"/>
                <w:rFonts w:hint="eastAsia" w:ascii="仿宋" w:hAnsi="仿宋" w:eastAsia="仿宋" w:cs="仿宋"/>
                <w:sz w:val="24"/>
                <w:szCs w:val="24"/>
              </w:rPr>
              <w:br w:type="textWrapping"/>
            </w:r>
            <w:r>
              <w:rPr>
                <w:rStyle w:val="16"/>
                <w:rFonts w:ascii="仿宋" w:hAnsi="仿宋" w:eastAsia="仿宋" w:cs="仿宋"/>
                <w:sz w:val="24"/>
                <w:szCs w:val="24"/>
              </w:rPr>
              <w:t>n</w:t>
            </w:r>
            <w:r>
              <w:rPr>
                <w:rStyle w:val="16"/>
                <w:rFonts w:ascii="仿宋" w:hAnsi="仿宋" w:eastAsia="仿宋" w:cs="仿宋"/>
                <w:sz w:val="24"/>
                <w:szCs w:val="24"/>
                <w:vertAlign w:val="subscript"/>
              </w:rPr>
              <w:t>2</w:t>
            </w:r>
            <w:r>
              <w:rPr>
                <w:rStyle w:val="16"/>
                <w:rFonts w:ascii="仿宋" w:hAnsi="仿宋" w:eastAsia="仿宋" w:cs="仿宋"/>
                <w:sz w:val="24"/>
                <w:szCs w:val="24"/>
              </w:rPr>
              <w:t>=</w:t>
            </w:r>
            <w:r>
              <w:rPr>
                <w:rStyle w:val="17"/>
                <w:rFonts w:hint="eastAsia" w:ascii="仿宋" w:hAnsi="仿宋" w:eastAsia="仿宋" w:cs="仿宋"/>
                <w:sz w:val="24"/>
                <w:szCs w:val="24"/>
              </w:rPr>
              <w:t>60rpm</w:t>
            </w:r>
          </w:p>
        </w:tc>
      </w:tr>
      <w:tr>
        <w:tblPrEx>
          <w:tblLayout w:type="fixed"/>
          <w:tblCellMar>
            <w:top w:w="0" w:type="dxa"/>
            <w:left w:w="108" w:type="dxa"/>
            <w:bottom w:w="0" w:type="dxa"/>
            <w:right w:w="108" w:type="dxa"/>
          </w:tblCellMar>
        </w:tblPrEx>
        <w:trPr>
          <w:trHeight w:val="320" w:hRule="atLeast"/>
          <w:jc w:val="center"/>
        </w:trPr>
        <w:tc>
          <w:tcPr>
            <w:tcW w:w="4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8"/>
                <w:rFonts w:hint="eastAsia" w:ascii="仿宋" w:hAnsi="仿宋" w:eastAsia="仿宋" w:cs="仿宋"/>
                <w:sz w:val="24"/>
                <w:szCs w:val="24"/>
              </w:rPr>
              <w:t>减速机；</w:t>
            </w:r>
          </w:p>
        </w:tc>
        <w:tc>
          <w:tcPr>
            <w:tcW w:w="4277" w:type="dxa"/>
            <w:gridSpan w:val="2"/>
            <w:tcBorders>
              <w:top w:val="single" w:color="000000" w:sz="4" w:space="0"/>
              <w:left w:val="single" w:color="000000" w:sz="4" w:space="0"/>
              <w:bottom w:val="single" w:color="000000" w:sz="4" w:space="0"/>
              <w:right w:val="single" w:color="000000" w:sz="4" w:space="0"/>
            </w:tcBorders>
          </w:tcPr>
          <w:p>
            <w:pPr>
              <w:spacing w:line="520" w:lineRule="exact"/>
              <w:jc w:val="left"/>
              <w:rPr>
                <w:rFonts w:hint="eastAsia" w:ascii="仿宋" w:hAnsi="仿宋" w:eastAsia="仿宋" w:cs="仿宋"/>
                <w:color w:val="000000"/>
                <w:sz w:val="24"/>
                <w:szCs w:val="24"/>
              </w:rPr>
            </w:pPr>
          </w:p>
        </w:tc>
      </w:tr>
      <w:tr>
        <w:tblPrEx>
          <w:tblLayout w:type="fixed"/>
          <w:tblCellMar>
            <w:top w:w="0" w:type="dxa"/>
            <w:left w:w="108" w:type="dxa"/>
            <w:bottom w:w="0" w:type="dxa"/>
            <w:right w:w="108" w:type="dxa"/>
          </w:tblCellMar>
        </w:tblPrEx>
        <w:trPr>
          <w:trHeight w:val="860" w:hRule="atLeast"/>
          <w:jc w:val="center"/>
        </w:trPr>
        <w:tc>
          <w:tcPr>
            <w:tcW w:w="4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 xml:space="preserve"> 设计方案       技术参数：</w:t>
            </w:r>
          </w:p>
        </w:tc>
        <w:tc>
          <w:tcPr>
            <w:tcW w:w="42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见方案图</w:t>
            </w:r>
          </w:p>
        </w:tc>
      </w:tr>
      <w:tr>
        <w:tblPrEx>
          <w:tblLayout w:type="fixed"/>
          <w:tblCellMar>
            <w:top w:w="0" w:type="dxa"/>
            <w:left w:w="108" w:type="dxa"/>
            <w:bottom w:w="0" w:type="dxa"/>
            <w:right w:w="108" w:type="dxa"/>
          </w:tblCellMar>
        </w:tblPrEx>
        <w:trPr>
          <w:trHeight w:val="1350" w:hRule="atLeast"/>
          <w:jc w:val="center"/>
        </w:trPr>
        <w:tc>
          <w:tcPr>
            <w:tcW w:w="4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设计形式(Ⅱ型一台):</w:t>
            </w:r>
          </w:p>
        </w:tc>
        <w:tc>
          <w:tcPr>
            <w:tcW w:w="1528" w:type="dxa"/>
            <w:tcBorders>
              <w:top w:val="single" w:color="000000" w:sz="4" w:space="0"/>
              <w:left w:val="single" w:color="000000" w:sz="4" w:space="0"/>
              <w:bottom w:val="single" w:color="000000" w:sz="4" w:space="0"/>
              <w:right w:val="nil"/>
            </w:tcBorders>
            <w:vAlign w:val="center"/>
          </w:tcPr>
          <w:p>
            <w:pPr>
              <w:widowControl/>
              <w:spacing w:line="520" w:lineRule="exact"/>
              <w:jc w:val="center"/>
              <w:textAlignment w:val="top"/>
              <w:rPr>
                <w:rFonts w:hint="eastAsia" w:ascii="仿宋" w:hAnsi="仿宋" w:eastAsia="仿宋" w:cs="仿宋"/>
                <w:color w:val="000000"/>
                <w:sz w:val="24"/>
                <w:szCs w:val="24"/>
              </w:rPr>
            </w:pPr>
            <w:r>
              <w:rPr>
                <w:rStyle w:val="17"/>
                <w:rFonts w:hint="eastAsia" w:ascii="仿宋" w:hAnsi="仿宋" w:eastAsia="仿宋" w:cs="仿宋"/>
                <w:sz w:val="24"/>
                <w:szCs w:val="24"/>
              </w:rPr>
              <w:t>正反转</w:t>
            </w:r>
          </w:p>
        </w:tc>
        <w:tc>
          <w:tcPr>
            <w:tcW w:w="2749" w:type="dxa"/>
            <w:tcBorders>
              <w:top w:val="single" w:color="000000" w:sz="4" w:space="0"/>
              <w:left w:val="nil"/>
              <w:bottom w:val="single" w:color="000000" w:sz="4" w:space="0"/>
              <w:right w:val="single" w:color="000000" w:sz="4" w:space="0"/>
            </w:tcBorders>
          </w:tcPr>
          <w:p>
            <w:pPr>
              <w:widowControl/>
              <w:spacing w:line="520" w:lineRule="exact"/>
              <w:jc w:val="lef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rPr>
              <w:drawing>
                <wp:anchor distT="0" distB="0" distL="114300" distR="114300" simplePos="0" relativeHeight="251667456" behindDoc="0" locked="0" layoutInCell="1" allowOverlap="1">
                  <wp:simplePos x="0" y="0"/>
                  <wp:positionH relativeFrom="column">
                    <wp:posOffset>263525</wp:posOffset>
                  </wp:positionH>
                  <wp:positionV relativeFrom="paragraph">
                    <wp:posOffset>51435</wp:posOffset>
                  </wp:positionV>
                  <wp:extent cx="737235" cy="762000"/>
                  <wp:effectExtent l="19050" t="0" r="5715" b="0"/>
                  <wp:wrapNone/>
                  <wp:docPr id="5" name="image1"/>
                  <wp:cNvGraphicFramePr/>
                  <a:graphic xmlns:a="http://schemas.openxmlformats.org/drawingml/2006/main">
                    <a:graphicData uri="http://schemas.openxmlformats.org/drawingml/2006/picture">
                      <pic:pic xmlns:pic="http://schemas.openxmlformats.org/drawingml/2006/picture">
                        <pic:nvPicPr>
                          <pic:cNvPr id="5" name="image1"/>
                          <pic:cNvPicPr>
                            <a:picLocks noChangeArrowheads="1"/>
                          </pic:cNvPicPr>
                        </pic:nvPicPr>
                        <pic:blipFill>
                          <a:blip r:embed="rId6" cstate="print"/>
                          <a:srcRect/>
                          <a:stretch>
                            <a:fillRect/>
                          </a:stretch>
                        </pic:blipFill>
                        <pic:spPr>
                          <a:xfrm>
                            <a:off x="0" y="0"/>
                            <a:ext cx="737235" cy="762000"/>
                          </a:xfrm>
                          <a:prstGeom prst="rect">
                            <a:avLst/>
                          </a:prstGeom>
                          <a:noFill/>
                          <a:ln w="9525" cmpd="sng">
                            <a:noFill/>
                            <a:miter lim="800000"/>
                            <a:headEnd/>
                            <a:tailEnd/>
                          </a:ln>
                        </pic:spPr>
                      </pic:pic>
                    </a:graphicData>
                  </a:graphic>
                </wp:anchor>
              </w:drawing>
            </w:r>
          </w:p>
        </w:tc>
      </w:tr>
      <w:tr>
        <w:tblPrEx>
          <w:tblLayout w:type="fixed"/>
          <w:tblCellMar>
            <w:top w:w="0" w:type="dxa"/>
            <w:left w:w="108" w:type="dxa"/>
            <w:bottom w:w="0" w:type="dxa"/>
            <w:right w:w="108" w:type="dxa"/>
          </w:tblCellMar>
        </w:tblPrEx>
        <w:trPr>
          <w:trHeight w:val="480" w:hRule="atLeast"/>
          <w:jc w:val="center"/>
        </w:trPr>
        <w:tc>
          <w:tcPr>
            <w:tcW w:w="4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 xml:space="preserve">速比：   </w:t>
            </w:r>
          </w:p>
        </w:tc>
        <w:tc>
          <w:tcPr>
            <w:tcW w:w="42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IN =</w:t>
            </w:r>
            <w:r>
              <w:rPr>
                <w:rFonts w:hint="eastAsia" w:ascii="仿宋" w:hAnsi="仿宋" w:eastAsia="仿宋" w:cs="仿宋"/>
                <w:color w:val="000000"/>
                <w:kern w:val="0"/>
                <w:sz w:val="24"/>
                <w:szCs w:val="24"/>
              </w:rPr>
              <w:t>25</w:t>
            </w:r>
          </w:p>
        </w:tc>
      </w:tr>
      <w:tr>
        <w:tblPrEx>
          <w:tblLayout w:type="fixed"/>
          <w:tblCellMar>
            <w:top w:w="0" w:type="dxa"/>
            <w:left w:w="108" w:type="dxa"/>
            <w:bottom w:w="0" w:type="dxa"/>
            <w:right w:w="108" w:type="dxa"/>
          </w:tblCellMar>
        </w:tblPrEx>
        <w:trPr>
          <w:trHeight w:val="480" w:hRule="atLeast"/>
          <w:jc w:val="center"/>
        </w:trPr>
        <w:tc>
          <w:tcPr>
            <w:tcW w:w="4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服务系数：</w:t>
            </w:r>
          </w:p>
        </w:tc>
        <w:tc>
          <w:tcPr>
            <w:tcW w:w="4277"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520" w:lineRule="exact"/>
              <w:jc w:val="left"/>
              <w:textAlignment w:val="bottom"/>
              <w:rPr>
                <w:rFonts w:hint="eastAsia" w:ascii="仿宋" w:hAnsi="仿宋" w:eastAsia="仿宋" w:cs="仿宋"/>
                <w:color w:val="000000"/>
                <w:sz w:val="24"/>
                <w:szCs w:val="24"/>
              </w:rPr>
            </w:pPr>
            <w:r>
              <w:rPr>
                <w:rStyle w:val="17"/>
                <w:rFonts w:hint="eastAsia" w:ascii="仿宋" w:hAnsi="仿宋" w:eastAsia="仿宋" w:cs="仿宋"/>
                <w:sz w:val="24"/>
                <w:szCs w:val="24"/>
              </w:rPr>
              <w:t>≥1.8</w:t>
            </w:r>
          </w:p>
        </w:tc>
      </w:tr>
      <w:tr>
        <w:tblPrEx>
          <w:tblLayout w:type="fixed"/>
          <w:tblCellMar>
            <w:top w:w="0" w:type="dxa"/>
            <w:left w:w="108" w:type="dxa"/>
            <w:bottom w:w="0" w:type="dxa"/>
            <w:right w:w="108" w:type="dxa"/>
          </w:tblCellMar>
        </w:tblPrEx>
        <w:trPr>
          <w:trHeight w:val="480" w:hRule="atLeast"/>
          <w:jc w:val="center"/>
        </w:trPr>
        <w:tc>
          <w:tcPr>
            <w:tcW w:w="4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型号</w:t>
            </w:r>
          </w:p>
        </w:tc>
        <w:tc>
          <w:tcPr>
            <w:tcW w:w="42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8"/>
                <w:rFonts w:hint="eastAsia" w:ascii="仿宋" w:hAnsi="仿宋" w:eastAsia="仿宋" w:cs="仿宋"/>
                <w:sz w:val="24"/>
                <w:szCs w:val="24"/>
              </w:rPr>
              <w:t>NSH140F-25BⅡ(BT11885B)</w:t>
            </w:r>
          </w:p>
        </w:tc>
      </w:tr>
      <w:tr>
        <w:tblPrEx>
          <w:tblLayout w:type="fixed"/>
          <w:tblCellMar>
            <w:top w:w="0" w:type="dxa"/>
            <w:left w:w="108" w:type="dxa"/>
            <w:bottom w:w="0" w:type="dxa"/>
            <w:right w:w="108" w:type="dxa"/>
          </w:tblCellMar>
        </w:tblPrEx>
        <w:trPr>
          <w:trHeight w:val="480" w:hRule="atLeast"/>
          <w:jc w:val="center"/>
        </w:trPr>
        <w:tc>
          <w:tcPr>
            <w:tcW w:w="21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输入、输出轴型式：</w:t>
            </w:r>
          </w:p>
        </w:tc>
        <w:tc>
          <w:tcPr>
            <w:tcW w:w="206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输入轴</w:t>
            </w:r>
          </w:p>
        </w:tc>
        <w:tc>
          <w:tcPr>
            <w:tcW w:w="42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实心轴带平键，直径φ85m6</w:t>
            </w:r>
          </w:p>
        </w:tc>
      </w:tr>
      <w:tr>
        <w:tblPrEx>
          <w:tblLayout w:type="fixed"/>
          <w:tblCellMar>
            <w:top w:w="0" w:type="dxa"/>
            <w:left w:w="108" w:type="dxa"/>
            <w:bottom w:w="0" w:type="dxa"/>
            <w:right w:w="108" w:type="dxa"/>
          </w:tblCellMar>
        </w:tblPrEx>
        <w:trPr>
          <w:trHeight w:val="480" w:hRule="atLeast"/>
          <w:jc w:val="center"/>
        </w:trPr>
        <w:tc>
          <w:tcPr>
            <w:tcW w:w="2166" w:type="dxa"/>
            <w:vMerge w:val="continue"/>
            <w:tcBorders>
              <w:top w:val="single" w:color="000000" w:sz="4" w:space="0"/>
              <w:left w:val="single" w:color="000000" w:sz="4" w:space="0"/>
              <w:bottom w:val="single" w:color="000000" w:sz="4" w:space="0"/>
              <w:right w:val="single" w:color="000000" w:sz="4" w:space="0"/>
            </w:tcBorders>
            <w:vAlign w:val="center"/>
          </w:tcPr>
          <w:p>
            <w:pPr>
              <w:spacing w:line="520" w:lineRule="exact"/>
              <w:jc w:val="left"/>
              <w:rPr>
                <w:rFonts w:hint="eastAsia" w:ascii="仿宋" w:hAnsi="仿宋" w:eastAsia="仿宋" w:cs="仿宋"/>
                <w:color w:val="000000"/>
                <w:sz w:val="24"/>
                <w:szCs w:val="24"/>
              </w:rPr>
            </w:pPr>
          </w:p>
        </w:tc>
        <w:tc>
          <w:tcPr>
            <w:tcW w:w="206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输出轴</w:t>
            </w:r>
          </w:p>
        </w:tc>
        <w:tc>
          <w:tcPr>
            <w:tcW w:w="42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sz w:val="24"/>
                <w:szCs w:val="24"/>
              </w:rPr>
            </w:pPr>
            <w:r>
              <w:rPr>
                <w:rStyle w:val="17"/>
                <w:rFonts w:hint="eastAsia" w:ascii="仿宋" w:hAnsi="仿宋" w:eastAsia="仿宋" w:cs="仿宋"/>
                <w:sz w:val="24"/>
                <w:szCs w:val="24"/>
              </w:rPr>
              <w:t>实心轴带平键，直径φ210n6</w:t>
            </w:r>
          </w:p>
        </w:tc>
      </w:tr>
      <w:tr>
        <w:tblPrEx>
          <w:tblLayout w:type="fixed"/>
          <w:tblCellMar>
            <w:top w:w="0" w:type="dxa"/>
            <w:left w:w="108" w:type="dxa"/>
            <w:bottom w:w="0" w:type="dxa"/>
            <w:right w:w="108" w:type="dxa"/>
          </w:tblCellMar>
        </w:tblPrEx>
        <w:trPr>
          <w:trHeight w:val="480" w:hRule="atLeast"/>
          <w:jc w:val="center"/>
        </w:trPr>
        <w:tc>
          <w:tcPr>
            <w:tcW w:w="4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冷却方式：</w:t>
            </w:r>
          </w:p>
        </w:tc>
        <w:tc>
          <w:tcPr>
            <w:tcW w:w="42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强制冷却</w:t>
            </w:r>
          </w:p>
        </w:tc>
      </w:tr>
      <w:tr>
        <w:tblPrEx>
          <w:tblLayout w:type="fixed"/>
          <w:tblCellMar>
            <w:top w:w="0" w:type="dxa"/>
            <w:left w:w="108" w:type="dxa"/>
            <w:bottom w:w="0" w:type="dxa"/>
            <w:right w:w="108" w:type="dxa"/>
          </w:tblCellMar>
        </w:tblPrEx>
        <w:trPr>
          <w:trHeight w:val="480" w:hRule="atLeast"/>
          <w:jc w:val="center"/>
        </w:trPr>
        <w:tc>
          <w:tcPr>
            <w:tcW w:w="4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逆止器:</w:t>
            </w:r>
          </w:p>
        </w:tc>
        <w:tc>
          <w:tcPr>
            <w:tcW w:w="42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无逆止器</w:t>
            </w:r>
          </w:p>
        </w:tc>
      </w:tr>
      <w:tr>
        <w:tblPrEx>
          <w:tblLayout w:type="fixed"/>
          <w:tblCellMar>
            <w:top w:w="0" w:type="dxa"/>
            <w:left w:w="108" w:type="dxa"/>
            <w:bottom w:w="0" w:type="dxa"/>
            <w:right w:w="108" w:type="dxa"/>
          </w:tblCellMar>
        </w:tblPrEx>
        <w:trPr>
          <w:trHeight w:val="480" w:hRule="atLeast"/>
          <w:jc w:val="center"/>
        </w:trPr>
        <w:tc>
          <w:tcPr>
            <w:tcW w:w="4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润滑方式</w:t>
            </w:r>
          </w:p>
        </w:tc>
        <w:tc>
          <w:tcPr>
            <w:tcW w:w="42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自润滑</w:t>
            </w:r>
          </w:p>
        </w:tc>
      </w:tr>
      <w:tr>
        <w:tblPrEx>
          <w:tblLayout w:type="fixed"/>
          <w:tblCellMar>
            <w:top w:w="0" w:type="dxa"/>
            <w:left w:w="108" w:type="dxa"/>
            <w:bottom w:w="0" w:type="dxa"/>
            <w:right w:w="108" w:type="dxa"/>
          </w:tblCellMar>
        </w:tblPrEx>
        <w:trPr>
          <w:trHeight w:val="480" w:hRule="atLeast"/>
          <w:jc w:val="center"/>
        </w:trPr>
        <w:tc>
          <w:tcPr>
            <w:tcW w:w="4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轴承</w:t>
            </w:r>
          </w:p>
        </w:tc>
        <w:tc>
          <w:tcPr>
            <w:tcW w:w="42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SKF或FAG</w:t>
            </w:r>
          </w:p>
        </w:tc>
      </w:tr>
      <w:tr>
        <w:tblPrEx>
          <w:tblLayout w:type="fixed"/>
          <w:tblCellMar>
            <w:top w:w="0" w:type="dxa"/>
            <w:left w:w="108" w:type="dxa"/>
            <w:bottom w:w="0" w:type="dxa"/>
            <w:right w:w="108" w:type="dxa"/>
          </w:tblCellMar>
        </w:tblPrEx>
        <w:trPr>
          <w:trHeight w:val="480" w:hRule="atLeast"/>
          <w:jc w:val="center"/>
        </w:trPr>
        <w:tc>
          <w:tcPr>
            <w:tcW w:w="4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其他附件</w:t>
            </w:r>
          </w:p>
        </w:tc>
        <w:tc>
          <w:tcPr>
            <w:tcW w:w="42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hint="eastAsia" w:ascii="仿宋" w:hAnsi="仿宋" w:eastAsia="仿宋" w:cs="仿宋"/>
                <w:color w:val="000000"/>
                <w:sz w:val="24"/>
                <w:szCs w:val="24"/>
              </w:rPr>
            </w:pPr>
            <w:r>
              <w:rPr>
                <w:rStyle w:val="17"/>
                <w:rFonts w:hint="eastAsia" w:ascii="仿宋" w:hAnsi="仿宋" w:eastAsia="仿宋" w:cs="仿宋"/>
                <w:sz w:val="24"/>
                <w:szCs w:val="24"/>
              </w:rPr>
              <w:t>预留油温传感器安装孔M16X1和振动传感器安装孔M10X1.5深15</w:t>
            </w:r>
          </w:p>
        </w:tc>
      </w:tr>
      <w:tr>
        <w:tblPrEx>
          <w:tblLayout w:type="fixed"/>
          <w:tblCellMar>
            <w:top w:w="0" w:type="dxa"/>
            <w:left w:w="108" w:type="dxa"/>
            <w:bottom w:w="0" w:type="dxa"/>
            <w:right w:w="108" w:type="dxa"/>
          </w:tblCellMar>
        </w:tblPrEx>
        <w:trPr>
          <w:trHeight w:val="480" w:hRule="atLeast"/>
          <w:jc w:val="center"/>
        </w:trPr>
        <w:tc>
          <w:tcPr>
            <w:tcW w:w="4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Style w:val="17"/>
                <w:rFonts w:ascii="仿宋" w:hAnsi="仿宋" w:eastAsia="仿宋" w:cs="仿宋"/>
                <w:sz w:val="24"/>
                <w:szCs w:val="24"/>
              </w:rPr>
            </w:pPr>
            <w:bookmarkStart w:id="4" w:name="_Toc18475"/>
            <w:r>
              <w:rPr>
                <w:rStyle w:val="17"/>
                <w:rFonts w:hint="eastAsia" w:ascii="仿宋" w:hAnsi="仿宋" w:eastAsia="仿宋" w:cs="仿宋"/>
                <w:sz w:val="24"/>
                <w:szCs w:val="24"/>
              </w:rPr>
              <w:t>其他要求</w:t>
            </w:r>
          </w:p>
        </w:tc>
        <w:tc>
          <w:tcPr>
            <w:tcW w:w="42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Style w:val="17"/>
                <w:rFonts w:ascii="仿宋" w:hAnsi="仿宋" w:eastAsia="仿宋" w:cs="仿宋"/>
                <w:sz w:val="24"/>
                <w:szCs w:val="24"/>
              </w:rPr>
            </w:pPr>
            <w:r>
              <w:rPr>
                <w:rStyle w:val="17"/>
                <w:rFonts w:hint="eastAsia" w:ascii="仿宋" w:hAnsi="仿宋" w:eastAsia="仿宋" w:cs="仿宋"/>
                <w:sz w:val="24"/>
                <w:szCs w:val="24"/>
              </w:rPr>
              <w:t>减速机输入轴、输出轴轴向必需能实现180°自由翻转（调整轴向后减速机性能不改变）以满足栈桥101、102带式输送机正常运转。</w:t>
            </w:r>
          </w:p>
        </w:tc>
      </w:tr>
    </w:tbl>
    <w:p>
      <w:pPr>
        <w:tabs>
          <w:tab w:val="left" w:pos="945"/>
          <w:tab w:val="left" w:pos="1834"/>
        </w:tabs>
        <w:spacing w:beforeLines="20" w:afterLines="20" w:line="520" w:lineRule="exact"/>
        <w:outlineLvl w:val="1"/>
        <w:rPr>
          <w:rFonts w:hint="eastAsia" w:ascii="仿宋" w:hAnsi="仿宋" w:eastAsia="仿宋" w:cs="仿宋"/>
          <w:color w:val="000000"/>
          <w:sz w:val="24"/>
          <w:szCs w:val="24"/>
        </w:rPr>
      </w:pPr>
      <w:r>
        <w:rPr>
          <w:rFonts w:hint="eastAsia" w:ascii="仿宋" w:hAnsi="仿宋" w:eastAsia="仿宋" w:cs="仿宋"/>
          <w:color w:val="000000"/>
          <w:sz w:val="24"/>
          <w:szCs w:val="24"/>
        </w:rPr>
        <w:t>4.2总体要求</w:t>
      </w:r>
      <w:bookmarkEnd w:id="4"/>
    </w:p>
    <w:p>
      <w:pPr>
        <w:tabs>
          <w:tab w:val="left" w:pos="945"/>
          <w:tab w:val="left" w:pos="1834"/>
        </w:tabs>
        <w:spacing w:beforeLines="20" w:afterLines="20" w:line="520" w:lineRule="exact"/>
        <w:ind w:firstLine="360" w:firstLineChars="150"/>
        <w:rPr>
          <w:rFonts w:ascii="仿宋" w:hAnsi="仿宋" w:eastAsia="仿宋" w:cs="仿宋"/>
          <w:color w:val="000000"/>
          <w:sz w:val="24"/>
          <w:szCs w:val="24"/>
        </w:rPr>
      </w:pPr>
      <w:r>
        <w:rPr>
          <w:rFonts w:hint="eastAsia" w:ascii="仿宋" w:hAnsi="仿宋" w:eastAsia="仿宋" w:cs="仿宋"/>
          <w:color w:val="000000"/>
          <w:sz w:val="24"/>
          <w:szCs w:val="24"/>
        </w:rPr>
        <w:t>1）所供减速机必需与在用带式输送机、液力耦合器等设备完全匹配</w:t>
      </w:r>
    </w:p>
    <w:p>
      <w:pPr>
        <w:tabs>
          <w:tab w:val="left" w:pos="945"/>
          <w:tab w:val="left" w:pos="1834"/>
        </w:tabs>
        <w:spacing w:beforeLines="20" w:afterLines="20" w:line="520" w:lineRule="exact"/>
        <w:ind w:firstLine="42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2）栈桥带式输送机本体型号：DTII(A)B1400×204m  15.1 ° </w:t>
      </w:r>
    </w:p>
    <w:p>
      <w:pPr>
        <w:tabs>
          <w:tab w:val="left" w:pos="945"/>
          <w:tab w:val="left" w:pos="1834"/>
        </w:tabs>
        <w:spacing w:beforeLines="20" w:afterLines="20" w:line="520" w:lineRule="exact"/>
        <w:ind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3）液力耦合器：意大利传斯罗伊27CCKDM             </w:t>
      </w:r>
    </w:p>
    <w:p>
      <w:pPr>
        <w:tabs>
          <w:tab w:val="left" w:pos="945"/>
          <w:tab w:val="left" w:pos="1834"/>
        </w:tabs>
        <w:spacing w:beforeLines="20" w:afterLines="20" w:line="520" w:lineRule="exact"/>
        <w:ind w:firstLine="420"/>
        <w:rPr>
          <w:rFonts w:hint="eastAsia" w:ascii="仿宋" w:hAnsi="仿宋" w:eastAsia="仿宋" w:cs="仿宋"/>
          <w:color w:val="000000"/>
          <w:sz w:val="24"/>
          <w:szCs w:val="24"/>
        </w:rPr>
      </w:pPr>
      <w:r>
        <w:rPr>
          <w:rFonts w:hint="eastAsia" w:ascii="仿宋" w:hAnsi="仿宋" w:eastAsia="仿宋" w:cs="仿宋"/>
          <w:color w:val="000000"/>
          <w:sz w:val="24"/>
          <w:szCs w:val="24"/>
        </w:rPr>
        <w:t>4）栈桥带式输送机额定速度：3.15m/s</w:t>
      </w:r>
    </w:p>
    <w:p>
      <w:pPr>
        <w:tabs>
          <w:tab w:val="left" w:pos="945"/>
          <w:tab w:val="left" w:pos="1834"/>
        </w:tabs>
        <w:spacing w:beforeLines="20" w:afterLines="20" w:line="520" w:lineRule="exact"/>
        <w:ind w:firstLine="420"/>
        <w:rPr>
          <w:rFonts w:hint="eastAsia" w:ascii="仿宋" w:hAnsi="仿宋" w:eastAsia="仿宋" w:cs="仿宋"/>
          <w:color w:val="000000"/>
          <w:sz w:val="24"/>
          <w:szCs w:val="24"/>
        </w:rPr>
      </w:pPr>
      <w:r>
        <w:rPr>
          <w:rFonts w:hint="eastAsia" w:ascii="仿宋" w:hAnsi="仿宋" w:eastAsia="仿宋" w:cs="仿宋"/>
          <w:color w:val="000000"/>
          <w:sz w:val="24"/>
          <w:szCs w:val="24"/>
        </w:rPr>
        <w:t>5）最大运输量：1600t/h</w:t>
      </w:r>
    </w:p>
    <w:p>
      <w:pPr>
        <w:tabs>
          <w:tab w:val="left" w:pos="945"/>
          <w:tab w:val="left" w:pos="1834"/>
        </w:tabs>
        <w:spacing w:beforeLines="20" w:afterLines="20" w:line="520" w:lineRule="exact"/>
        <w:jc w:val="center"/>
        <w:outlineLvl w:val="0"/>
        <w:rPr>
          <w:rFonts w:hint="eastAsia" w:ascii="仿宋" w:hAnsi="仿宋" w:eastAsia="仿宋" w:cs="仿宋"/>
          <w:b/>
          <w:sz w:val="24"/>
          <w:szCs w:val="24"/>
        </w:rPr>
      </w:pPr>
      <w:bookmarkStart w:id="5" w:name="_Toc25552"/>
      <w:bookmarkStart w:id="6" w:name="_Toc480672628"/>
      <w:r>
        <w:rPr>
          <w:rFonts w:hint="eastAsia" w:ascii="仿宋" w:hAnsi="仿宋" w:eastAsia="仿宋" w:cs="仿宋"/>
          <w:b/>
          <w:sz w:val="24"/>
          <w:szCs w:val="24"/>
        </w:rPr>
        <w:t>第五节 图纸和技术资料</w:t>
      </w:r>
      <w:bookmarkEnd w:id="5"/>
      <w:bookmarkEnd w:id="6"/>
    </w:p>
    <w:p>
      <w:pPr>
        <w:spacing w:line="5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5.1合同签订后</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在设备加工前应将设备最终图纸及安装调试等相关资料提供给</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w:t>
      </w:r>
    </w:p>
    <w:p>
      <w:pPr>
        <w:spacing w:line="5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5.2随机技术资料</w:t>
      </w:r>
    </w:p>
    <w:p>
      <w:pPr>
        <w:spacing w:line="520" w:lineRule="exact"/>
        <w:ind w:firstLine="360" w:firstLineChars="150"/>
        <w:jc w:val="left"/>
        <w:rPr>
          <w:rFonts w:hint="eastAsia" w:ascii="仿宋" w:hAnsi="仿宋" w:eastAsia="仿宋" w:cs="仿宋"/>
          <w:color w:val="000000"/>
          <w:sz w:val="24"/>
          <w:szCs w:val="24"/>
        </w:rPr>
      </w:pPr>
      <w:r>
        <w:rPr>
          <w:rFonts w:hint="eastAsia" w:ascii="仿宋" w:hAnsi="仿宋" w:eastAsia="仿宋" w:cs="仿宋"/>
          <w:color w:val="000000"/>
          <w:sz w:val="24"/>
          <w:szCs w:val="24"/>
        </w:rPr>
        <w:t>1）设备出厂测试合格证。</w:t>
      </w:r>
    </w:p>
    <w:p>
      <w:pPr>
        <w:spacing w:line="520" w:lineRule="exact"/>
        <w:ind w:firstLine="360" w:firstLineChars="150"/>
        <w:jc w:val="left"/>
        <w:rPr>
          <w:rFonts w:hint="eastAsia" w:ascii="仿宋" w:hAnsi="仿宋" w:eastAsia="仿宋" w:cs="仿宋"/>
          <w:color w:val="000000"/>
          <w:sz w:val="24"/>
          <w:szCs w:val="24"/>
        </w:rPr>
      </w:pPr>
      <w:r>
        <w:rPr>
          <w:rFonts w:hint="eastAsia" w:ascii="仿宋" w:hAnsi="仿宋" w:eastAsia="仿宋" w:cs="仿宋"/>
          <w:color w:val="000000"/>
          <w:sz w:val="24"/>
          <w:szCs w:val="24"/>
        </w:rPr>
        <w:t>2）煤安证。</w:t>
      </w:r>
    </w:p>
    <w:p>
      <w:pPr>
        <w:spacing w:line="520" w:lineRule="exact"/>
        <w:ind w:firstLine="360" w:firstLineChars="150"/>
        <w:jc w:val="left"/>
        <w:rPr>
          <w:rFonts w:hint="eastAsia" w:ascii="仿宋" w:hAnsi="仿宋" w:eastAsia="仿宋" w:cs="仿宋"/>
          <w:color w:val="000000"/>
          <w:sz w:val="24"/>
          <w:szCs w:val="24"/>
        </w:rPr>
      </w:pPr>
      <w:r>
        <w:rPr>
          <w:rFonts w:hint="eastAsia" w:ascii="仿宋" w:hAnsi="仿宋" w:eastAsia="仿宋" w:cs="仿宋"/>
          <w:color w:val="000000"/>
          <w:sz w:val="24"/>
          <w:szCs w:val="24"/>
        </w:rPr>
        <w:t>3）减速机外形图及相关技术参数。</w:t>
      </w:r>
    </w:p>
    <w:p>
      <w:pPr>
        <w:spacing w:line="520" w:lineRule="exact"/>
        <w:ind w:firstLine="360" w:firstLineChars="150"/>
        <w:jc w:val="left"/>
        <w:rPr>
          <w:rFonts w:hint="eastAsia" w:ascii="仿宋" w:hAnsi="仿宋" w:eastAsia="仿宋" w:cs="仿宋"/>
          <w:color w:val="000000"/>
          <w:sz w:val="24"/>
          <w:szCs w:val="24"/>
        </w:rPr>
      </w:pPr>
      <w:r>
        <w:rPr>
          <w:rFonts w:hint="eastAsia" w:ascii="仿宋" w:hAnsi="仿宋" w:eastAsia="仿宋" w:cs="仿宋"/>
          <w:color w:val="000000"/>
          <w:sz w:val="24"/>
          <w:szCs w:val="24"/>
        </w:rPr>
        <w:t>4）设备的安装使用及维护说明书。</w:t>
      </w:r>
    </w:p>
    <w:p>
      <w:pPr>
        <w:spacing w:line="5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5.3其他</w:t>
      </w:r>
    </w:p>
    <w:p>
      <w:pPr>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应向</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提供一套电子版的安全维护手册、使用说明书及其他图纸、技术资料，应为CAD、Word等通用格式。所有技术资料、图纸以书面和电子格式的方式提供，且必须提供中文版，数量三套。</w:t>
      </w:r>
    </w:p>
    <w:p>
      <w:pPr>
        <w:tabs>
          <w:tab w:val="left" w:pos="945"/>
          <w:tab w:val="left" w:pos="1834"/>
        </w:tabs>
        <w:spacing w:beforeLines="20" w:afterLines="20" w:line="520" w:lineRule="exact"/>
        <w:jc w:val="center"/>
        <w:outlineLvl w:val="0"/>
        <w:rPr>
          <w:rFonts w:hint="eastAsia" w:ascii="宋体" w:hAnsi="宋体"/>
          <w:b/>
          <w:sz w:val="24"/>
          <w:szCs w:val="24"/>
        </w:rPr>
      </w:pPr>
      <w:bookmarkStart w:id="7" w:name="_Toc480672629"/>
      <w:bookmarkStart w:id="8" w:name="_Toc387139176"/>
      <w:bookmarkStart w:id="9" w:name="_Toc14634"/>
      <w:bookmarkStart w:id="10" w:name="_Toc4769"/>
      <w:bookmarkStart w:id="11" w:name="_Toc29936"/>
      <w:r>
        <w:rPr>
          <w:rFonts w:hint="eastAsia" w:ascii="仿宋" w:hAnsi="仿宋" w:eastAsia="仿宋" w:cs="仿宋"/>
          <w:b/>
          <w:sz w:val="24"/>
          <w:szCs w:val="24"/>
        </w:rPr>
        <w:t>第六节 包装、运输</w:t>
      </w:r>
      <w:bookmarkEnd w:id="7"/>
      <w:bookmarkEnd w:id="8"/>
      <w:r>
        <w:rPr>
          <w:rFonts w:hint="eastAsia" w:ascii="仿宋" w:hAnsi="仿宋" w:eastAsia="仿宋" w:cs="仿宋"/>
          <w:b/>
          <w:sz w:val="24"/>
          <w:szCs w:val="24"/>
        </w:rPr>
        <w:t>要求</w:t>
      </w:r>
      <w:bookmarkEnd w:id="9"/>
      <w:bookmarkEnd w:id="10"/>
      <w:bookmarkEnd w:id="11"/>
    </w:p>
    <w:p>
      <w:pPr>
        <w:spacing w:line="520" w:lineRule="exact"/>
        <w:jc w:val="left"/>
        <w:outlineLvl w:val="1"/>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6.1 </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所提供的部件应按照国家标准包装的技术条件可靠包装。对需要特别保护的部件、配件及安装材料等要特别处理，以满足长途运输、吊装和装卸的需要。并应保证部件各组成元件在运输过程中不致遭到损坏、变形、丢失和受潮。出厂产品应附有产品合格证明书（包括出厂试验数据）和装箱单。</w:t>
      </w:r>
    </w:p>
    <w:p>
      <w:pPr>
        <w:tabs>
          <w:tab w:val="left" w:pos="945"/>
          <w:tab w:val="left" w:pos="1834"/>
        </w:tabs>
        <w:spacing w:beforeLines="20" w:afterLines="20" w:line="520" w:lineRule="exact"/>
        <w:jc w:val="left"/>
        <w:outlineLvl w:val="0"/>
        <w:rPr>
          <w:rFonts w:hint="eastAsia" w:ascii="仿宋" w:hAnsi="仿宋" w:eastAsia="仿宋" w:cs="仿宋"/>
          <w:color w:val="000000"/>
          <w:sz w:val="24"/>
          <w:szCs w:val="24"/>
        </w:rPr>
      </w:pPr>
      <w:bookmarkStart w:id="12" w:name="_Toc9116"/>
      <w:bookmarkStart w:id="13" w:name="_Toc29050"/>
      <w:bookmarkStart w:id="14" w:name="_Toc27779"/>
      <w:r>
        <w:rPr>
          <w:rFonts w:hint="eastAsia" w:ascii="仿宋" w:hAnsi="仿宋" w:eastAsia="仿宋" w:cs="仿宋"/>
          <w:color w:val="000000"/>
          <w:sz w:val="24"/>
          <w:szCs w:val="24"/>
        </w:rPr>
        <w:t xml:space="preserve">6.2 </w:t>
      </w:r>
      <w:bookmarkStart w:id="15" w:name="_Toc480672630"/>
      <w:r>
        <w:rPr>
          <w:rFonts w:hint="eastAsia" w:ascii="仿宋" w:hAnsi="仿宋" w:eastAsia="仿宋" w:cs="仿宋"/>
          <w:color w:val="000000"/>
          <w:sz w:val="24"/>
          <w:szCs w:val="24"/>
        </w:rPr>
        <w:t>为了便于装卸和搬运，应在包装箱上标出“重心”“起吊点”的位置，还应在箱上标出“小心”、“向上”、“防潮”、“易碎”等国际通用标志。</w:t>
      </w:r>
      <w:bookmarkEnd w:id="12"/>
      <w:bookmarkEnd w:id="13"/>
      <w:bookmarkEnd w:id="14"/>
    </w:p>
    <w:p>
      <w:pPr>
        <w:tabs>
          <w:tab w:val="left" w:pos="945"/>
          <w:tab w:val="left" w:pos="1834"/>
        </w:tabs>
        <w:spacing w:beforeLines="20" w:afterLines="20" w:line="520" w:lineRule="exact"/>
        <w:jc w:val="left"/>
        <w:outlineLvl w:val="0"/>
        <w:rPr>
          <w:rFonts w:hint="eastAsia" w:ascii="仿宋" w:hAnsi="仿宋" w:eastAsia="仿宋" w:cs="仿宋"/>
          <w:color w:val="000000"/>
          <w:sz w:val="24"/>
          <w:szCs w:val="24"/>
        </w:rPr>
      </w:pPr>
      <w:bookmarkStart w:id="16" w:name="_Toc26581"/>
      <w:bookmarkStart w:id="17" w:name="_Toc19328"/>
      <w:bookmarkStart w:id="18" w:name="_Toc26187"/>
      <w:r>
        <w:rPr>
          <w:rFonts w:hint="eastAsia" w:ascii="仿宋" w:hAnsi="仿宋" w:eastAsia="仿宋" w:cs="仿宋"/>
          <w:color w:val="000000"/>
          <w:sz w:val="24"/>
          <w:szCs w:val="24"/>
        </w:rPr>
        <w:t xml:space="preserve">6.3 </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提供的产品包装为采用盒或箱等合适包装，适合于叉车或行车吊装，保证产品在运输、搬运、存储中完好，若</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交货时包装不完整、产品损坏，</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需免费更换，包装有明显的产品型号标志，</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选择合适的运输方式，将货物完好的送到</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指定卸货地点。</w:t>
      </w:r>
      <w:bookmarkEnd w:id="16"/>
      <w:bookmarkEnd w:id="17"/>
      <w:bookmarkEnd w:id="18"/>
    </w:p>
    <w:p>
      <w:pPr>
        <w:tabs>
          <w:tab w:val="left" w:pos="945"/>
          <w:tab w:val="left" w:pos="1834"/>
        </w:tabs>
        <w:spacing w:beforeLines="20" w:afterLines="20" w:line="520" w:lineRule="exact"/>
        <w:jc w:val="center"/>
        <w:outlineLvl w:val="0"/>
        <w:rPr>
          <w:rFonts w:hint="eastAsia" w:ascii="仿宋" w:hAnsi="仿宋" w:eastAsia="仿宋" w:cs="仿宋"/>
          <w:b/>
          <w:sz w:val="24"/>
          <w:szCs w:val="24"/>
        </w:rPr>
      </w:pPr>
      <w:bookmarkStart w:id="19" w:name="_Toc1887"/>
      <w:bookmarkStart w:id="20" w:name="_Toc1692"/>
      <w:bookmarkStart w:id="21" w:name="_Toc32636"/>
      <w:r>
        <w:rPr>
          <w:rFonts w:hint="eastAsia" w:ascii="仿宋" w:hAnsi="仿宋" w:eastAsia="仿宋" w:cs="仿宋"/>
          <w:b/>
          <w:sz w:val="24"/>
          <w:szCs w:val="24"/>
        </w:rPr>
        <w:t xml:space="preserve">第七节 </w:t>
      </w:r>
      <w:bookmarkEnd w:id="15"/>
      <w:r>
        <w:rPr>
          <w:rFonts w:hint="eastAsia" w:ascii="仿宋" w:hAnsi="仿宋" w:eastAsia="仿宋" w:cs="仿宋"/>
          <w:b/>
          <w:sz w:val="24"/>
          <w:szCs w:val="24"/>
        </w:rPr>
        <w:t>技术服务要求</w:t>
      </w:r>
      <w:bookmarkEnd w:id="19"/>
      <w:bookmarkEnd w:id="20"/>
      <w:bookmarkEnd w:id="21"/>
    </w:p>
    <w:p>
      <w:pPr>
        <w:pStyle w:val="2"/>
        <w:snapToGrid w:val="0"/>
        <w:spacing w:line="520" w:lineRule="exact"/>
        <w:rPr>
          <w:rFonts w:hint="eastAsia" w:ascii="仿宋" w:hAnsi="仿宋" w:eastAsia="仿宋" w:cs="仿宋"/>
          <w:color w:val="000000"/>
          <w:sz w:val="24"/>
          <w:szCs w:val="24"/>
        </w:rPr>
      </w:pPr>
      <w:r>
        <w:rPr>
          <w:rFonts w:hint="eastAsia" w:eastAsia="方正仿宋简体"/>
          <w:bCs/>
          <w:sz w:val="24"/>
          <w:szCs w:val="24"/>
        </w:rPr>
        <w:t xml:space="preserve">7.1 </w:t>
      </w:r>
      <w:r>
        <w:rPr>
          <w:rFonts w:hint="eastAsia" w:eastAsia="方正仿宋简体"/>
          <w:bCs/>
          <w:sz w:val="24"/>
          <w:szCs w:val="24"/>
          <w:lang w:eastAsia="zh-CN"/>
        </w:rPr>
        <w:t>成交供应商</w:t>
      </w:r>
      <w:r>
        <w:rPr>
          <w:rFonts w:hint="eastAsia" w:eastAsia="方正仿宋简体"/>
          <w:bCs/>
          <w:sz w:val="24"/>
          <w:szCs w:val="24"/>
        </w:rPr>
        <w:t>应专门指派专业技术人员和商务服务人员，就本项目所涉</w:t>
      </w:r>
      <w:r>
        <w:rPr>
          <w:rFonts w:hint="eastAsia" w:ascii="仿宋" w:hAnsi="仿宋" w:eastAsia="仿宋" w:cs="仿宋"/>
          <w:color w:val="000000"/>
          <w:sz w:val="24"/>
          <w:szCs w:val="24"/>
        </w:rPr>
        <w:t>及的产品提供相应的技术支持；</w:t>
      </w:r>
    </w:p>
    <w:p>
      <w:pPr>
        <w:pStyle w:val="2"/>
        <w:snapToGrid w:val="0"/>
        <w:spacing w:line="520" w:lineRule="exact"/>
        <w:rPr>
          <w:rFonts w:hint="eastAsia" w:eastAsia="方正仿宋简体"/>
          <w:bCs/>
          <w:sz w:val="24"/>
          <w:szCs w:val="24"/>
        </w:rPr>
      </w:pPr>
      <w:r>
        <w:rPr>
          <w:rFonts w:hint="eastAsia" w:eastAsia="方正仿宋简体"/>
          <w:bCs/>
          <w:sz w:val="24"/>
          <w:szCs w:val="24"/>
        </w:rPr>
        <w:t>7.2</w:t>
      </w:r>
      <w:r>
        <w:rPr>
          <w:rFonts w:hint="eastAsia" w:eastAsia="方正仿宋简体"/>
          <w:bCs/>
          <w:sz w:val="24"/>
          <w:szCs w:val="24"/>
          <w:lang w:eastAsia="zh-CN"/>
        </w:rPr>
        <w:t>采购方</w:t>
      </w:r>
      <w:r>
        <w:rPr>
          <w:rFonts w:hint="eastAsia" w:eastAsia="方正仿宋简体"/>
          <w:bCs/>
          <w:sz w:val="24"/>
          <w:szCs w:val="24"/>
        </w:rPr>
        <w:t>在使用产品过程中，如需无偿使用</w:t>
      </w:r>
      <w:r>
        <w:rPr>
          <w:rFonts w:hint="eastAsia" w:eastAsia="方正仿宋简体"/>
          <w:bCs/>
          <w:sz w:val="24"/>
          <w:szCs w:val="24"/>
          <w:lang w:eastAsia="zh-CN"/>
        </w:rPr>
        <w:t>成交供应商</w:t>
      </w:r>
      <w:r>
        <w:rPr>
          <w:rFonts w:hint="eastAsia" w:eastAsia="方正仿宋简体"/>
          <w:bCs/>
          <w:sz w:val="24"/>
          <w:szCs w:val="24"/>
        </w:rPr>
        <w:t>专业工具或专业技术人员，或出现质量问题，</w:t>
      </w:r>
      <w:r>
        <w:rPr>
          <w:rFonts w:hint="eastAsia" w:eastAsia="方正仿宋简体"/>
          <w:bCs/>
          <w:sz w:val="24"/>
          <w:szCs w:val="24"/>
          <w:lang w:eastAsia="zh-CN"/>
        </w:rPr>
        <w:t>成交供应商</w:t>
      </w:r>
      <w:r>
        <w:rPr>
          <w:rFonts w:hint="eastAsia" w:eastAsia="方正仿宋简体"/>
          <w:bCs/>
          <w:sz w:val="24"/>
          <w:szCs w:val="24"/>
        </w:rPr>
        <w:t>应在收到</w:t>
      </w:r>
      <w:r>
        <w:rPr>
          <w:rFonts w:hint="eastAsia" w:eastAsia="方正仿宋简体"/>
          <w:bCs/>
          <w:sz w:val="24"/>
          <w:szCs w:val="24"/>
          <w:lang w:eastAsia="zh-CN"/>
        </w:rPr>
        <w:t>采购方</w:t>
      </w:r>
      <w:r>
        <w:rPr>
          <w:rFonts w:hint="eastAsia" w:eastAsia="方正仿宋简体"/>
          <w:bCs/>
          <w:sz w:val="24"/>
          <w:szCs w:val="24"/>
        </w:rPr>
        <w:t>通知后12小时给予响应，如需</w:t>
      </w:r>
      <w:r>
        <w:rPr>
          <w:rFonts w:hint="eastAsia" w:eastAsia="方正仿宋简体"/>
          <w:bCs/>
          <w:sz w:val="24"/>
          <w:szCs w:val="24"/>
          <w:lang w:eastAsia="zh-CN"/>
        </w:rPr>
        <w:t>成交供应商</w:t>
      </w:r>
      <w:r>
        <w:rPr>
          <w:rFonts w:hint="eastAsia" w:eastAsia="方正仿宋简体"/>
          <w:bCs/>
          <w:sz w:val="24"/>
          <w:szCs w:val="24"/>
        </w:rPr>
        <w:t>技术人员现场指导使用，</w:t>
      </w:r>
      <w:r>
        <w:rPr>
          <w:rFonts w:hint="eastAsia" w:eastAsia="方正仿宋简体"/>
          <w:bCs/>
          <w:sz w:val="24"/>
          <w:szCs w:val="24"/>
          <w:lang w:eastAsia="zh-CN"/>
        </w:rPr>
        <w:t>成交供应商</w:t>
      </w:r>
      <w:r>
        <w:rPr>
          <w:rFonts w:hint="eastAsia" w:eastAsia="方正仿宋简体"/>
          <w:bCs/>
          <w:sz w:val="24"/>
          <w:szCs w:val="24"/>
        </w:rPr>
        <w:t>应派熟练的技术人员24小时内赶到现场。</w:t>
      </w:r>
    </w:p>
    <w:p>
      <w:pPr>
        <w:pStyle w:val="2"/>
        <w:snapToGrid w:val="0"/>
        <w:spacing w:line="520" w:lineRule="exact"/>
        <w:rPr>
          <w:rFonts w:hint="eastAsia" w:eastAsia="方正仿宋简体"/>
          <w:bCs/>
          <w:sz w:val="24"/>
          <w:szCs w:val="24"/>
        </w:rPr>
      </w:pPr>
      <w:r>
        <w:rPr>
          <w:rFonts w:hint="eastAsia" w:eastAsia="方正仿宋简体"/>
          <w:bCs/>
          <w:sz w:val="24"/>
          <w:szCs w:val="24"/>
        </w:rPr>
        <w:t>7.3</w:t>
      </w:r>
      <w:r>
        <w:rPr>
          <w:rFonts w:hint="eastAsia" w:eastAsia="方正仿宋简体"/>
          <w:bCs/>
          <w:sz w:val="24"/>
          <w:szCs w:val="24"/>
          <w:lang w:eastAsia="zh-CN"/>
        </w:rPr>
        <w:t>成交供应商</w:t>
      </w:r>
      <w:r>
        <w:rPr>
          <w:rFonts w:hint="eastAsia" w:eastAsia="方正仿宋简体"/>
          <w:bCs/>
          <w:sz w:val="24"/>
          <w:szCs w:val="24"/>
        </w:rPr>
        <w:t>根据</w:t>
      </w:r>
      <w:r>
        <w:rPr>
          <w:rFonts w:hint="eastAsia" w:eastAsia="方正仿宋简体"/>
          <w:bCs/>
          <w:sz w:val="24"/>
          <w:szCs w:val="24"/>
          <w:lang w:eastAsia="zh-CN"/>
        </w:rPr>
        <w:t>采购方</w:t>
      </w:r>
      <w:r>
        <w:rPr>
          <w:rFonts w:hint="eastAsia" w:eastAsia="方正仿宋简体"/>
          <w:bCs/>
          <w:sz w:val="24"/>
          <w:szCs w:val="24"/>
        </w:rPr>
        <w:t>现场需要，对</w:t>
      </w:r>
      <w:r>
        <w:rPr>
          <w:rFonts w:hint="eastAsia" w:eastAsia="方正仿宋简体"/>
          <w:bCs/>
          <w:sz w:val="24"/>
          <w:szCs w:val="24"/>
          <w:lang w:eastAsia="zh-CN"/>
        </w:rPr>
        <w:t>采购方</w:t>
      </w:r>
      <w:r>
        <w:rPr>
          <w:rFonts w:hint="eastAsia" w:eastAsia="方正仿宋简体"/>
          <w:bCs/>
          <w:sz w:val="24"/>
          <w:szCs w:val="24"/>
        </w:rPr>
        <w:t>的人员进行技术培训，培训时间、方式及内容双方协商确定。</w:t>
      </w:r>
    </w:p>
    <w:p>
      <w:pPr>
        <w:pStyle w:val="2"/>
        <w:snapToGrid w:val="0"/>
        <w:spacing w:line="520" w:lineRule="exact"/>
        <w:rPr>
          <w:rFonts w:hint="eastAsia" w:eastAsia="方正仿宋简体"/>
          <w:bCs/>
          <w:sz w:val="24"/>
          <w:szCs w:val="24"/>
        </w:rPr>
      </w:pPr>
      <w:r>
        <w:rPr>
          <w:rFonts w:hint="eastAsia" w:eastAsia="方正仿宋简体"/>
          <w:bCs/>
          <w:sz w:val="24"/>
          <w:szCs w:val="24"/>
        </w:rPr>
        <w:t>7.4以上服务不再产生任何费用。</w:t>
      </w:r>
    </w:p>
    <w:p>
      <w:pPr>
        <w:tabs>
          <w:tab w:val="left" w:pos="945"/>
          <w:tab w:val="left" w:pos="1834"/>
        </w:tabs>
        <w:spacing w:beforeLines="20" w:afterLines="20" w:line="520" w:lineRule="exact"/>
        <w:jc w:val="center"/>
        <w:outlineLvl w:val="0"/>
        <w:rPr>
          <w:rFonts w:hint="eastAsia" w:ascii="宋体" w:hAnsi="宋体"/>
          <w:b/>
          <w:sz w:val="24"/>
          <w:szCs w:val="24"/>
        </w:rPr>
      </w:pPr>
      <w:bookmarkStart w:id="22" w:name="_Toc480672631"/>
      <w:bookmarkStart w:id="23" w:name="_Toc31887"/>
      <w:bookmarkStart w:id="24" w:name="_Toc12059"/>
      <w:bookmarkStart w:id="25" w:name="_Toc12047"/>
      <w:r>
        <w:rPr>
          <w:rFonts w:hint="eastAsia" w:ascii="仿宋" w:hAnsi="仿宋" w:eastAsia="仿宋" w:cs="仿宋"/>
          <w:b/>
          <w:sz w:val="24"/>
          <w:szCs w:val="24"/>
        </w:rPr>
        <w:t>第八节 质量保证及售后服务</w:t>
      </w:r>
      <w:bookmarkEnd w:id="22"/>
      <w:bookmarkEnd w:id="23"/>
      <w:bookmarkEnd w:id="24"/>
      <w:bookmarkEnd w:id="25"/>
    </w:p>
    <w:p>
      <w:pPr>
        <w:pStyle w:val="2"/>
        <w:snapToGrid w:val="0"/>
        <w:spacing w:line="520" w:lineRule="exact"/>
        <w:rPr>
          <w:rFonts w:hint="eastAsia" w:eastAsia="方正仿宋简体"/>
          <w:bCs/>
          <w:sz w:val="24"/>
          <w:szCs w:val="24"/>
        </w:rPr>
      </w:pPr>
      <w:r>
        <w:rPr>
          <w:rFonts w:hint="eastAsia" w:eastAsia="方正仿宋简体"/>
          <w:bCs/>
          <w:sz w:val="24"/>
          <w:szCs w:val="24"/>
        </w:rPr>
        <w:t xml:space="preserve">8.1 </w:t>
      </w:r>
      <w:r>
        <w:rPr>
          <w:rFonts w:hint="eastAsia" w:eastAsia="方正仿宋简体"/>
          <w:bCs/>
          <w:sz w:val="24"/>
          <w:szCs w:val="24"/>
          <w:lang w:eastAsia="zh-CN"/>
        </w:rPr>
        <w:t>成交供应商</w:t>
      </w:r>
      <w:r>
        <w:rPr>
          <w:rFonts w:hint="eastAsia" w:eastAsia="方正仿宋简体"/>
          <w:bCs/>
          <w:sz w:val="24"/>
          <w:szCs w:val="24"/>
        </w:rPr>
        <w:t>提供给</w:t>
      </w:r>
      <w:r>
        <w:rPr>
          <w:rFonts w:hint="eastAsia" w:eastAsia="方正仿宋简体"/>
          <w:bCs/>
          <w:sz w:val="24"/>
          <w:szCs w:val="24"/>
          <w:lang w:eastAsia="zh-CN"/>
        </w:rPr>
        <w:t>采购方</w:t>
      </w:r>
      <w:r>
        <w:rPr>
          <w:rFonts w:hint="eastAsia" w:eastAsia="方正仿宋简体"/>
          <w:bCs/>
          <w:sz w:val="24"/>
          <w:szCs w:val="24"/>
        </w:rPr>
        <w:t>的全套设备保证是全新的、成熟的、完整和安全可靠的设备。</w:t>
      </w:r>
    </w:p>
    <w:p>
      <w:pPr>
        <w:pStyle w:val="2"/>
        <w:snapToGrid w:val="0"/>
        <w:spacing w:line="520" w:lineRule="exact"/>
        <w:rPr>
          <w:rFonts w:hint="eastAsia" w:eastAsia="方正仿宋简体"/>
          <w:bCs/>
          <w:sz w:val="24"/>
          <w:szCs w:val="24"/>
        </w:rPr>
      </w:pPr>
      <w:r>
        <w:rPr>
          <w:rFonts w:hint="eastAsia" w:eastAsia="方正仿宋简体"/>
          <w:bCs/>
          <w:sz w:val="24"/>
          <w:szCs w:val="24"/>
        </w:rPr>
        <w:t>8.2质保期为设备到货验收合格满18个月或设备正常投入使用后1年，以先到期限为准。</w:t>
      </w:r>
    </w:p>
    <w:p>
      <w:pPr>
        <w:pStyle w:val="2"/>
        <w:snapToGrid w:val="0"/>
        <w:spacing w:line="520" w:lineRule="exact"/>
        <w:rPr>
          <w:rFonts w:hint="eastAsia" w:eastAsia="方正仿宋简体"/>
          <w:bCs/>
          <w:sz w:val="24"/>
          <w:szCs w:val="24"/>
        </w:rPr>
      </w:pPr>
      <w:r>
        <w:rPr>
          <w:rFonts w:hint="eastAsia" w:eastAsia="方正仿宋简体"/>
          <w:bCs/>
          <w:sz w:val="24"/>
          <w:szCs w:val="24"/>
        </w:rPr>
        <w:t>8.3质保期内，</w:t>
      </w:r>
      <w:r>
        <w:rPr>
          <w:rFonts w:hint="eastAsia" w:eastAsia="方正仿宋简体"/>
          <w:bCs/>
          <w:sz w:val="24"/>
          <w:szCs w:val="24"/>
          <w:lang w:eastAsia="zh-CN"/>
        </w:rPr>
        <w:t>成交供应商</w:t>
      </w:r>
      <w:r>
        <w:rPr>
          <w:rFonts w:hint="eastAsia" w:eastAsia="方正仿宋简体"/>
          <w:bCs/>
          <w:sz w:val="24"/>
          <w:szCs w:val="24"/>
        </w:rPr>
        <w:t>对货物质量施行“三包”，提供免费更换或维修，由此产生的费用由</w:t>
      </w:r>
      <w:r>
        <w:rPr>
          <w:rFonts w:hint="eastAsia" w:eastAsia="方正仿宋简体"/>
          <w:bCs/>
          <w:sz w:val="24"/>
          <w:szCs w:val="24"/>
          <w:lang w:eastAsia="zh-CN"/>
        </w:rPr>
        <w:t>成交供应商</w:t>
      </w:r>
      <w:r>
        <w:rPr>
          <w:rFonts w:hint="eastAsia" w:eastAsia="方正仿宋简体"/>
          <w:bCs/>
          <w:sz w:val="24"/>
          <w:szCs w:val="24"/>
        </w:rPr>
        <w:t>承担；若</w:t>
      </w:r>
      <w:r>
        <w:rPr>
          <w:rFonts w:hint="eastAsia" w:eastAsia="方正仿宋简体"/>
          <w:bCs/>
          <w:sz w:val="24"/>
          <w:szCs w:val="24"/>
          <w:lang w:eastAsia="zh-CN"/>
        </w:rPr>
        <w:t>成交供应商</w:t>
      </w:r>
      <w:r>
        <w:rPr>
          <w:rFonts w:hint="eastAsia" w:eastAsia="方正仿宋简体"/>
          <w:bCs/>
          <w:sz w:val="24"/>
          <w:szCs w:val="24"/>
        </w:rPr>
        <w:t>产品出现质量问题或</w:t>
      </w:r>
      <w:r>
        <w:rPr>
          <w:rFonts w:hint="eastAsia" w:eastAsia="方正仿宋简体"/>
          <w:bCs/>
          <w:sz w:val="24"/>
          <w:szCs w:val="24"/>
          <w:lang w:eastAsia="zh-CN"/>
        </w:rPr>
        <w:t>采购方</w:t>
      </w:r>
      <w:r>
        <w:rPr>
          <w:rFonts w:hint="eastAsia" w:eastAsia="方正仿宋简体"/>
          <w:bCs/>
          <w:sz w:val="24"/>
          <w:szCs w:val="24"/>
        </w:rPr>
        <w:t>需技术咨询时，</w:t>
      </w:r>
      <w:r>
        <w:rPr>
          <w:rFonts w:hint="eastAsia" w:eastAsia="方正仿宋简体"/>
          <w:bCs/>
          <w:sz w:val="24"/>
          <w:szCs w:val="24"/>
          <w:lang w:eastAsia="zh-CN"/>
        </w:rPr>
        <w:t>成交供应商</w:t>
      </w:r>
      <w:r>
        <w:rPr>
          <w:rFonts w:hint="eastAsia" w:eastAsia="方正仿宋简体"/>
          <w:bCs/>
          <w:sz w:val="24"/>
          <w:szCs w:val="24"/>
        </w:rPr>
        <w:t>需在24小时内赶到现场提供售后服务。更换后合格产品的质保期自换货之日起重新计算。质保期外，</w:t>
      </w:r>
      <w:r>
        <w:rPr>
          <w:rFonts w:hint="eastAsia" w:eastAsia="方正仿宋简体"/>
          <w:bCs/>
          <w:sz w:val="24"/>
          <w:szCs w:val="24"/>
          <w:lang w:eastAsia="zh-CN"/>
        </w:rPr>
        <w:t>成交供应商</w:t>
      </w:r>
      <w:r>
        <w:rPr>
          <w:rFonts w:hint="eastAsia" w:eastAsia="方正仿宋简体"/>
          <w:bCs/>
          <w:sz w:val="24"/>
          <w:szCs w:val="24"/>
        </w:rPr>
        <w:t>提供售后服务根据实际情况另行协商。</w:t>
      </w:r>
    </w:p>
    <w:p>
      <w:pPr>
        <w:pStyle w:val="2"/>
        <w:snapToGrid w:val="0"/>
        <w:spacing w:line="520" w:lineRule="exact"/>
        <w:rPr>
          <w:rFonts w:hint="eastAsia" w:eastAsia="方正仿宋简体"/>
          <w:bCs/>
          <w:sz w:val="24"/>
          <w:szCs w:val="24"/>
        </w:rPr>
      </w:pPr>
      <w:r>
        <w:rPr>
          <w:rFonts w:hint="eastAsia" w:eastAsia="方正仿宋简体"/>
          <w:bCs/>
          <w:sz w:val="24"/>
          <w:szCs w:val="24"/>
        </w:rPr>
        <w:t>8.4</w:t>
      </w:r>
      <w:r>
        <w:rPr>
          <w:rFonts w:hint="eastAsia" w:eastAsia="方正仿宋简体"/>
          <w:bCs/>
          <w:sz w:val="24"/>
          <w:szCs w:val="24"/>
          <w:lang w:eastAsia="zh-CN"/>
        </w:rPr>
        <w:t>成交供应商</w:t>
      </w:r>
      <w:r>
        <w:rPr>
          <w:rFonts w:hint="eastAsia" w:eastAsia="方正仿宋简体"/>
          <w:bCs/>
          <w:sz w:val="24"/>
          <w:szCs w:val="24"/>
        </w:rPr>
        <w:t>应在报价中说明质保期满后如何在技术上继续给</w:t>
      </w:r>
      <w:r>
        <w:rPr>
          <w:rFonts w:hint="eastAsia" w:eastAsia="方正仿宋简体"/>
          <w:bCs/>
          <w:sz w:val="24"/>
          <w:szCs w:val="24"/>
          <w:lang w:eastAsia="zh-CN"/>
        </w:rPr>
        <w:t>采购方</w:t>
      </w:r>
      <w:r>
        <w:rPr>
          <w:rFonts w:hint="eastAsia" w:eastAsia="方正仿宋简体"/>
          <w:bCs/>
          <w:sz w:val="24"/>
          <w:szCs w:val="24"/>
        </w:rPr>
        <w:t>以支持。如：是否可定期派人到</w:t>
      </w:r>
      <w:r>
        <w:rPr>
          <w:rFonts w:hint="eastAsia" w:eastAsia="方正仿宋简体"/>
          <w:bCs/>
          <w:sz w:val="24"/>
          <w:szCs w:val="24"/>
          <w:lang w:eastAsia="zh-CN"/>
        </w:rPr>
        <w:t>采购方</w:t>
      </w:r>
      <w:r>
        <w:rPr>
          <w:rFonts w:hint="eastAsia" w:eastAsia="方正仿宋简体"/>
          <w:bCs/>
          <w:sz w:val="24"/>
          <w:szCs w:val="24"/>
        </w:rPr>
        <w:t>现场对设备作全面检查，根据检查结果向</w:t>
      </w:r>
      <w:r>
        <w:rPr>
          <w:rFonts w:hint="eastAsia" w:eastAsia="方正仿宋简体"/>
          <w:bCs/>
          <w:sz w:val="24"/>
          <w:szCs w:val="24"/>
          <w:lang w:eastAsia="zh-CN"/>
        </w:rPr>
        <w:t>采购方</w:t>
      </w:r>
      <w:r>
        <w:rPr>
          <w:rFonts w:hint="eastAsia" w:eastAsia="方正仿宋简体"/>
          <w:bCs/>
          <w:sz w:val="24"/>
          <w:szCs w:val="24"/>
        </w:rPr>
        <w:t>提出维修建议。</w:t>
      </w: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sz w:val="30"/>
          <w:szCs w:val="30"/>
          <w:lang w:val="en-US" w:eastAsia="zh-CN"/>
        </w:rPr>
        <w:t>第五章 响应文件相关格式</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 xml:space="preserve">                （项目名称）</w:t>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2"/>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响应文件</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2"/>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ind w:firstLine="1506" w:firstLineChars="500"/>
        <w:jc w:val="both"/>
        <w:textAlignment w:val="auto"/>
        <w:rPr>
          <w:rFonts w:hint="default"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供应商：</w:t>
      </w:r>
      <w:r>
        <w:rPr>
          <w:rFonts w:hint="eastAsia" w:ascii="方正仿宋简体" w:hAnsi="方正仿宋简体" w:eastAsia="方正仿宋简体" w:cs="方正仿宋简体"/>
          <w:b/>
          <w:bCs/>
          <w:sz w:val="30"/>
          <w:szCs w:val="30"/>
          <w:u w:val="single"/>
          <w:lang w:val="en-US" w:eastAsia="zh-CN"/>
        </w:rPr>
        <w:t xml:space="preserve"> （供应商签章位置）    </w:t>
      </w:r>
      <w:r>
        <w:rPr>
          <w:rFonts w:hint="eastAsia" w:ascii="方正仿宋简体" w:hAnsi="方正仿宋简体" w:eastAsia="方正仿宋简体" w:cs="方正仿宋简体"/>
          <w:b/>
          <w:bCs/>
          <w:sz w:val="30"/>
          <w:szCs w:val="30"/>
          <w:u w:val="none"/>
          <w:lang w:val="en-US" w:eastAsia="zh-CN"/>
        </w:rPr>
        <w:t>（盖单位章）</w:t>
      </w: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none"/>
          <w:lang w:val="en-US" w:eastAsia="zh-CN"/>
        </w:rPr>
        <w:t xml:space="preserve">  </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年</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月</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日</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br w:type="page"/>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1.响应函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2.法定代表人身份证明和法定代表人授权委托书（适用于有委托代理人的情况）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7.其他（如有）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一、响 应 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1.我方已仔细研究了</w:t>
      </w:r>
      <w:r>
        <w:rPr>
          <w:rFonts w:hint="eastAsia" w:ascii="方正仿宋简体" w:hAnsi="方正仿宋简体" w:eastAsia="方正仿宋简体" w:cs="方正仿宋简体"/>
          <w:bCs/>
          <w:sz w:val="24"/>
          <w:szCs w:val="24"/>
          <w:u w:val="single"/>
          <w:lang w:val="en-US" w:eastAsia="zh-CN"/>
        </w:rPr>
        <w:t xml:space="preserve">    （项目名称）</w:t>
      </w:r>
      <w:r>
        <w:rPr>
          <w:rFonts w:hint="eastAsia" w:ascii="方正仿宋简体" w:hAnsi="方正仿宋简体" w:eastAsia="方正仿宋简体" w:cs="方正仿宋简体"/>
          <w:bCs/>
          <w:sz w:val="24"/>
          <w:szCs w:val="24"/>
          <w:u w:val="none"/>
          <w:lang w:val="en-US" w:eastAsia="zh-CN"/>
        </w:rPr>
        <w:t>采购文件的全部内容，愿意以含税价人民币（大写）</w:t>
      </w:r>
      <w:r>
        <w:rPr>
          <w:rFonts w:hint="eastAsia" w:ascii="方正仿宋简体" w:hAnsi="方正仿宋简体" w:eastAsia="方正仿宋简体" w:cs="方正仿宋简体"/>
          <w:bCs/>
          <w:sz w:val="24"/>
          <w:szCs w:val="24"/>
          <w:u w:val="single"/>
          <w:lang w:val="en-US" w:eastAsia="zh-CN"/>
        </w:rPr>
        <w:t xml:space="preserve">        （</w:t>
      </w:r>
      <w:r>
        <w:rPr>
          <w:rFonts w:hint="eastAsia" w:ascii="微软雅黑" w:hAnsi="微软雅黑" w:eastAsia="微软雅黑" w:cs="微软雅黑"/>
          <w:bCs/>
          <w:sz w:val="24"/>
          <w:szCs w:val="24"/>
          <w:u w:val="single"/>
          <w:lang w:val="en-US" w:eastAsia="zh-CN"/>
        </w:rPr>
        <w:t>¥</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的报价（其中：</w:t>
      </w:r>
      <w:r>
        <w:rPr>
          <w:rFonts w:hint="eastAsia" w:ascii="方正仿宋简体" w:hAnsi="方正仿宋简体" w:eastAsia="方正仿宋简体" w:cs="方正仿宋简体"/>
          <w:bCs/>
          <w:sz w:val="24"/>
          <w:szCs w:val="24"/>
          <w:highlight w:val="none"/>
          <w:u w:val="none"/>
          <w:lang w:val="en-US" w:eastAsia="zh-CN"/>
        </w:rPr>
        <w:t>税率为：</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方正仿宋简体" w:hAnsi="方正仿宋简体" w:eastAsia="方正仿宋简体" w:cs="方正仿宋简体"/>
          <w:bCs/>
          <w:sz w:val="24"/>
          <w:szCs w:val="24"/>
          <w:highlight w:val="none"/>
          <w:u w:val="none"/>
          <w:lang w:val="en-US" w:eastAsia="zh-CN"/>
        </w:rPr>
        <w:t>）</w:t>
      </w:r>
      <w:r>
        <w:rPr>
          <w:rFonts w:hint="eastAsia" w:ascii="方正仿宋简体" w:hAnsi="方正仿宋简体" w:eastAsia="方正仿宋简体" w:cs="方正仿宋简体"/>
          <w:bCs/>
          <w:sz w:val="24"/>
          <w:szCs w:val="24"/>
          <w:u w:val="none"/>
          <w:lang w:val="en-US" w:eastAsia="zh-CN"/>
        </w:rPr>
        <w:t>提供本项目货物，并按合同约定履行义务。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2.我方的响应文件包括下列内容：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（1）响应函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none"/>
          <w:lang w:val="en-US" w:eastAsia="zh-CN"/>
        </w:rPr>
        <w:t>（2）</w:t>
      </w:r>
      <w:r>
        <w:rPr>
          <w:rFonts w:hint="eastAsia" w:ascii="方正仿宋简体" w:hAnsi="方正仿宋简体" w:eastAsia="方正仿宋简体" w:cs="方正仿宋简体"/>
          <w:bCs/>
          <w:sz w:val="24"/>
          <w:szCs w:val="24"/>
          <w:lang w:val="en-US" w:eastAsia="zh-CN"/>
        </w:rPr>
        <w:t>法定代表人身份证明和法定代表人授权委托书（如有）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响应文件的上述组成部分如存在内容不一致的，以响应函为准。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3.我方承诺除商务偏差表列出的偏差外，我方响应采购文件的全部要求。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4.如我方成交，我方承诺：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（1）在规定的期限内与你方签订合同；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（2）在签订合同时不向你方提出附加条件；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（3）在合同约定的期限内完成合同规定的全部义务。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5.我方在此申明，所递交的响应文件及有关资料内容完整、真实和准确，且不存在供应商资格要求条件中不得存在的情形。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法定代表人（单位负责人）或其授权的代理人：</w:t>
      </w:r>
      <w:r>
        <w:rPr>
          <w:rFonts w:hint="eastAsia" w:ascii="方正仿宋简体" w:hAnsi="方正仿宋简体" w:eastAsia="方正仿宋简体" w:cs="方正仿宋简体"/>
          <w:bCs/>
          <w:sz w:val="24"/>
          <w:szCs w:val="24"/>
          <w:u w:val="single"/>
          <w:lang w:val="en-US" w:eastAsia="zh-CN"/>
        </w:rPr>
        <w:t xml:space="preserve">  （签字）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地址：</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u w:val="single"/>
          <w:lang w:val="en-US" w:eastAsia="zh-CN"/>
        </w:rPr>
      </w:pPr>
      <w:r>
        <w:rPr>
          <w:rFonts w:hint="eastAsia" w:ascii="方正仿宋简体" w:hAnsi="方正仿宋简体" w:eastAsia="方正仿宋简体" w:cs="方正仿宋简体"/>
          <w:bCs/>
          <w:sz w:val="24"/>
          <w:szCs w:val="24"/>
          <w:lang w:val="en-US" w:eastAsia="zh-CN"/>
        </w:rPr>
        <w:t>电话：</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电子邮箱：</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r>
        <w:rPr>
          <w:rFonts w:hint="eastAsia" w:ascii="方正仿宋简体" w:hAnsi="方正仿宋简体" w:eastAsia="方正仿宋简体" w:cs="方正仿宋简体"/>
          <w:b w:val="0"/>
          <w:bCs/>
          <w:sz w:val="24"/>
          <w:szCs w:val="24"/>
          <w:lang w:val="en-US" w:eastAsia="zh-CN"/>
        </w:rPr>
        <w:t xml:space="preserve"> </w:t>
      </w:r>
      <w:r>
        <w:rPr>
          <w:rFonts w:hint="eastAsia" w:ascii="方正仿宋简体" w:hAnsi="方正仿宋简体" w:eastAsia="方正仿宋简体" w:cs="方正仿宋简体"/>
          <w:b w:val="0"/>
          <w:bCs/>
          <w:sz w:val="24"/>
          <w:szCs w:val="24"/>
          <w:u w:val="single"/>
          <w:lang w:val="en-US" w:eastAsia="zh-CN"/>
        </w:rPr>
        <w:t xml:space="preserve">      </w:t>
      </w:r>
      <w:r>
        <w:rPr>
          <w:rFonts w:hint="eastAsia" w:ascii="方正仿宋简体" w:hAnsi="方正仿宋简体" w:eastAsia="方正仿宋简体" w:cs="方正仿宋简体"/>
          <w:b w:val="0"/>
          <w:bCs/>
          <w:sz w:val="24"/>
          <w:szCs w:val="24"/>
          <w:lang w:val="en-US" w:eastAsia="zh-CN"/>
        </w:rPr>
        <w:t>年</w:t>
      </w:r>
      <w:r>
        <w:rPr>
          <w:rFonts w:hint="eastAsia" w:ascii="方正仿宋简体" w:hAnsi="方正仿宋简体" w:eastAsia="方正仿宋简体" w:cs="方正仿宋简体"/>
          <w:b w:val="0"/>
          <w:bCs/>
          <w:sz w:val="24"/>
          <w:szCs w:val="24"/>
          <w:u w:val="single"/>
          <w:lang w:val="en-US" w:eastAsia="zh-CN"/>
        </w:rPr>
        <w:t xml:space="preserve">     </w:t>
      </w:r>
      <w:r>
        <w:rPr>
          <w:rFonts w:hint="eastAsia" w:ascii="方正仿宋简体" w:hAnsi="方正仿宋简体" w:eastAsia="方正仿宋简体" w:cs="方正仿宋简体"/>
          <w:b w:val="0"/>
          <w:bCs/>
          <w:sz w:val="24"/>
          <w:szCs w:val="24"/>
          <w:lang w:val="en-US" w:eastAsia="zh-CN"/>
        </w:rPr>
        <w:t>月</w:t>
      </w:r>
      <w:r>
        <w:rPr>
          <w:rFonts w:hint="eastAsia" w:ascii="方正仿宋简体" w:hAnsi="方正仿宋简体" w:eastAsia="方正仿宋简体" w:cs="方正仿宋简体"/>
          <w:b w:val="0"/>
          <w:bCs/>
          <w:sz w:val="24"/>
          <w:szCs w:val="24"/>
          <w:u w:val="single"/>
          <w:lang w:val="en-US" w:eastAsia="zh-CN"/>
        </w:rPr>
        <w:t xml:space="preserve">     </w:t>
      </w:r>
      <w:r>
        <w:rPr>
          <w:rFonts w:hint="eastAsia" w:ascii="方正仿宋简体" w:hAnsi="方正仿宋简体" w:eastAsia="方正仿宋简体" w:cs="方正仿宋简体"/>
          <w:b w:val="0"/>
          <w:bCs/>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二、法定代表人身份证明和法定代表人授权委托书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val="0"/>
          <w:sz w:val="24"/>
          <w:szCs w:val="24"/>
          <w:lang w:val="en-US" w:eastAsia="zh-CN"/>
        </w:rPr>
        <w:t>（一）法定代表人身份证明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姓名：</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性别：</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年龄：</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职务：_____ 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特此证明。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附法定代表人的身份证复印件：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193675</wp:posOffset>
            </wp:positionV>
            <wp:extent cx="4918710" cy="1730375"/>
            <wp:effectExtent l="0" t="0" r="53340" b="41275"/>
            <wp:wrapThrough wrapText="bothSides">
              <wp:wrapPolygon>
                <wp:start x="0" y="0"/>
                <wp:lineTo x="0" y="21402"/>
                <wp:lineTo x="21500" y="21402"/>
                <wp:lineTo x="21500" y="0"/>
                <wp:lineTo x="0" y="0"/>
              </wp:wrapPolygon>
            </wp:wrapThrough>
            <wp:docPr id="1" name="图片 5"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ce2e92fbb36602c3e48f4cec8022240"/>
                    <pic:cNvPicPr>
                      <a:picLocks noChangeAspect="1"/>
                    </pic:cNvPicPr>
                  </pic:nvPicPr>
                  <pic:blipFill>
                    <a:blip r:embed="rId7"/>
                    <a:srcRect r="1843" b="49220"/>
                    <a:stretch>
                      <a:fillRect/>
                    </a:stretch>
                  </pic:blipFill>
                  <pic:spPr>
                    <a:xfrm>
                      <a:off x="0" y="0"/>
                      <a:ext cx="4918710" cy="173037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3840" w:firstLineChars="1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（二）法定代表人授权委托书（适用于有委托代理人的情况）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本人</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的法定代表人（单位负责人），现委托</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为我方代理人。代理人根据授权，以我方名义签署、澄清确认、递交、撤回、修改</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采购项目响应文件、签订合同和处理有关事宜，其法律后果由我方承担。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委托期间：自本委托书签署之日起至</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之日止。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代理人无转委托权。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1312" behindDoc="1" locked="0" layoutInCell="1" allowOverlap="1">
            <wp:simplePos x="0" y="0"/>
            <wp:positionH relativeFrom="column">
              <wp:posOffset>101600</wp:posOffset>
            </wp:positionH>
            <wp:positionV relativeFrom="paragraph">
              <wp:posOffset>662940</wp:posOffset>
            </wp:positionV>
            <wp:extent cx="4973320" cy="3382645"/>
            <wp:effectExtent l="0" t="0" r="55880" b="46355"/>
            <wp:wrapThrough wrapText="bothSides">
              <wp:wrapPolygon>
                <wp:start x="0" y="0"/>
                <wp:lineTo x="0" y="21531"/>
                <wp:lineTo x="21512" y="21531"/>
                <wp:lineTo x="21512" y="0"/>
                <wp:lineTo x="0" y="0"/>
              </wp:wrapPolygon>
            </wp:wrapThrough>
            <wp:docPr id="2" name="图片 3"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e2e92fbb36602c3e48f4cec8022240"/>
                    <pic:cNvPicPr>
                      <a:picLocks noChangeAspect="1"/>
                    </pic:cNvPicPr>
                  </pic:nvPicPr>
                  <pic:blipFill>
                    <a:blip r:embed="rId7"/>
                    <a:stretch>
                      <a:fillRect/>
                    </a:stretch>
                  </pic:blipFill>
                  <pic:spPr>
                    <a:xfrm>
                      <a:off x="0" y="0"/>
                      <a:ext cx="4973320" cy="3382645"/>
                    </a:xfrm>
                    <a:prstGeom prst="rect">
                      <a:avLst/>
                    </a:prstGeom>
                    <a:noFill/>
                    <a:ln>
                      <a:noFill/>
                    </a:ln>
                  </pic:spPr>
                </pic:pic>
              </a:graphicData>
            </a:graphic>
          </wp:anchor>
        </w:drawing>
      </w:r>
      <w:r>
        <w:rPr>
          <w:rFonts w:hint="eastAsia" w:ascii="方正仿宋简体" w:hAnsi="方正仿宋简体" w:eastAsia="方正仿宋简体" w:cs="方正仿宋简体"/>
          <w:b/>
          <w:bCs w:val="0"/>
          <w:sz w:val="24"/>
          <w:szCs w:val="24"/>
          <w:lang w:val="en-US" w:eastAsia="zh-CN"/>
        </w:rPr>
        <w:t>附法定代表人的身份证复印件和委托代理人身份证复印件，并按照以下形式复印：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法定代表人（单位负责人）：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委托代理人：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电话号码：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080" w:firstLineChars="1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Cs/>
          <w:sz w:val="24"/>
          <w:szCs w:val="24"/>
          <w:u w:val="singl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三、商务偏差表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技术偏差表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注：响应文件与采购文件的要求有不同时（含正偏离和负偏离），应逐条列在偏差表中，否则将认为供应商完全响应采购文件的全部要求，</w:t>
      </w:r>
      <w:r>
        <w:rPr>
          <w:rFonts w:hint="eastAsia" w:ascii="方正仿宋简体" w:hAnsi="方正仿宋简体" w:eastAsia="方正仿宋简体" w:cs="方正仿宋简体"/>
          <w:b/>
          <w:bCs w:val="0"/>
          <w:sz w:val="24"/>
          <w:szCs w:val="24"/>
          <w:lang w:val="en-US" w:eastAsia="zh-CN"/>
        </w:rPr>
        <w:t>若无偏离可填写无。</w:t>
      </w: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四、报价表</w:t>
      </w:r>
    </w:p>
    <w:tbl>
      <w:tblPr>
        <w:tblStyle w:val="11"/>
        <w:tblW w:w="9709"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3510"/>
        <w:gridCol w:w="915"/>
        <w:gridCol w:w="780"/>
        <w:gridCol w:w="1260"/>
        <w:gridCol w:w="1089"/>
        <w:gridCol w:w="873"/>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序号</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物资名称及规格型号</w:t>
            </w: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单位</w:t>
            </w: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val="en-US" w:eastAsia="zh-CN"/>
              </w:rPr>
              <w:t>虚拟</w:t>
            </w:r>
            <w:r>
              <w:rPr>
                <w:rFonts w:hint="eastAsia" w:ascii="方正仿宋简体" w:hAnsi="方正仿宋简体" w:eastAsia="方正仿宋简体" w:cs="方正仿宋简体"/>
                <w:b/>
                <w:bCs/>
                <w:sz w:val="21"/>
                <w:szCs w:val="21"/>
                <w:vertAlign w:val="baseline"/>
                <w:lang w:eastAsia="zh-CN"/>
              </w:rPr>
              <w:t>数量</w:t>
            </w: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val="en-US" w:eastAsia="zh-CN"/>
              </w:rPr>
              <w:t>含税</w:t>
            </w:r>
            <w:r>
              <w:rPr>
                <w:rFonts w:hint="eastAsia" w:ascii="方正仿宋简体" w:hAnsi="方正仿宋简体" w:eastAsia="方正仿宋简体" w:cs="方正仿宋简体"/>
                <w:b/>
                <w:bCs/>
                <w:sz w:val="21"/>
                <w:szCs w:val="21"/>
                <w:vertAlign w:val="baseline"/>
                <w:lang w:eastAsia="zh-CN"/>
              </w:rPr>
              <w:t>单价（元）</w:t>
            </w: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kern w:val="2"/>
                <w:sz w:val="21"/>
                <w:szCs w:val="21"/>
                <w:vertAlign w:val="baseline"/>
                <w:lang w:val="en-US" w:eastAsia="zh-CN" w:bidi="ar-SA"/>
              </w:rPr>
            </w:pPr>
            <w:r>
              <w:rPr>
                <w:rFonts w:hint="eastAsia" w:ascii="方正仿宋简体" w:hAnsi="方正仿宋简体" w:eastAsia="方正仿宋简体" w:cs="方正仿宋简体"/>
                <w:b/>
                <w:bCs/>
                <w:sz w:val="21"/>
                <w:szCs w:val="21"/>
                <w:vertAlign w:val="baseline"/>
                <w:lang w:val="en-US" w:eastAsia="zh-CN"/>
              </w:rPr>
              <w:t>含税</w:t>
            </w:r>
            <w:r>
              <w:rPr>
                <w:rFonts w:hint="eastAsia" w:ascii="方正仿宋简体" w:hAnsi="方正仿宋简体" w:eastAsia="方正仿宋简体" w:cs="方正仿宋简体"/>
                <w:b/>
                <w:bCs/>
                <w:sz w:val="21"/>
                <w:szCs w:val="21"/>
                <w:vertAlign w:val="baseline"/>
                <w:lang w:eastAsia="zh-CN"/>
              </w:rPr>
              <w:t>总价（元）</w:t>
            </w: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品牌或生产商</w:t>
            </w: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3</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4</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30" w:type="dxa"/>
            <w:gridSpan w:val="3"/>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合计</w:t>
            </w:r>
          </w:p>
        </w:tc>
        <w:tc>
          <w:tcPr>
            <w:tcW w:w="4779" w:type="dxa"/>
            <w:gridSpan w:val="5"/>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r>
              <w:rPr>
                <w:rFonts w:hint="eastAsia" w:ascii="方正仿宋简体" w:hAnsi="方正仿宋简体" w:eastAsia="方正仿宋简体" w:cs="方正仿宋简体"/>
                <w:b/>
                <w:bCs w:val="0"/>
                <w:sz w:val="21"/>
                <w:szCs w:val="21"/>
                <w:u w:val="none"/>
                <w:lang w:val="en-US" w:eastAsia="zh-CN"/>
              </w:rPr>
              <w:t>含税价人民币（大写）</w:t>
            </w:r>
            <w:r>
              <w:rPr>
                <w:rFonts w:hint="eastAsia" w:ascii="方正仿宋简体" w:hAnsi="方正仿宋简体" w:eastAsia="方正仿宋简体" w:cs="方正仿宋简体"/>
                <w:b/>
                <w:bCs w:val="0"/>
                <w:sz w:val="21"/>
                <w:szCs w:val="21"/>
                <w:u w:val="single"/>
                <w:lang w:val="en-US" w:eastAsia="zh-CN"/>
              </w:rPr>
              <w:t xml:space="preserve">        （¥      ）</w:t>
            </w:r>
          </w:p>
        </w:tc>
      </w:tr>
    </w:tbl>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24"/>
          <w:szCs w:val="24"/>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采购文件及报价保证金</w:t>
      </w:r>
    </w:p>
    <w:p>
      <w:pPr>
        <w:pStyle w:val="2"/>
        <w:pageBreakBefore w:val="0"/>
        <w:numPr>
          <w:ilvl w:val="0"/>
          <w:numId w:val="0"/>
        </w:numPr>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Cs/>
          <w:kern w:val="2"/>
          <w:sz w:val="24"/>
          <w:szCs w:val="24"/>
          <w:lang w:val="en-US" w:eastAsia="zh-CN" w:bidi="ar-SA"/>
        </w:rPr>
      </w:pPr>
      <w:r>
        <w:rPr>
          <w:rFonts w:hint="eastAsia" w:ascii="方正仿宋简体" w:hAnsi="方正仿宋简体" w:eastAsia="方正仿宋简体" w:cs="方正仿宋简体"/>
          <w:bCs/>
          <w:kern w:val="2"/>
          <w:sz w:val="24"/>
          <w:szCs w:val="24"/>
          <w:lang w:val="en-US" w:eastAsia="zh-CN" w:bidi="ar-SA"/>
        </w:rPr>
        <w:t>供应商应在此提供采购文件购买费及保证金汇款底单的复印件。未按要求提供转账凭证将视为没有实质性响应采购要求，报价将被否决。</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Cs/>
          <w:kern w:val="2"/>
          <w:sz w:val="24"/>
          <w:szCs w:val="24"/>
          <w:lang w:val="en-US" w:eastAsia="zh-CN" w:bidi="ar-SA"/>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8"/>
        <w:pageBreakBefore w:val="0"/>
        <w:numPr>
          <w:ilvl w:val="0"/>
          <w:numId w:val="2"/>
        </w:numPr>
        <w:kinsoku/>
        <w:wordWrap/>
        <w:overflowPunct/>
        <w:topLinePunct w:val="0"/>
        <w:autoSpaceDE/>
        <w:autoSpaceDN/>
        <w:bidi w:val="0"/>
        <w:adjustRightInd/>
        <w:spacing w:line="440" w:lineRule="exact"/>
        <w:ind w:left="0" w:leftChars="0" w:firstLine="0" w:firstLineChars="0"/>
        <w:jc w:val="center"/>
        <w:textAlignment w:val="auto"/>
        <w:rPr>
          <w:rFonts w:hint="eastAsia" w:ascii="方正仿宋简体" w:hAnsi="方正仿宋简体" w:eastAsia="方正仿宋简体" w:cs="方正仿宋简体"/>
          <w:b/>
          <w:bCs w:val="0"/>
          <w:kern w:val="2"/>
          <w:sz w:val="24"/>
          <w:szCs w:val="24"/>
          <w:lang w:val="en-US" w:eastAsia="zh-CN" w:bidi="ar-SA"/>
        </w:rPr>
      </w:pPr>
      <w:r>
        <w:rPr>
          <w:rFonts w:hint="eastAsia" w:ascii="方正仿宋简体" w:hAnsi="方正仿宋简体" w:eastAsia="方正仿宋简体" w:cs="方正仿宋简体"/>
          <w:b/>
          <w:bCs w:val="0"/>
          <w:kern w:val="2"/>
          <w:sz w:val="24"/>
          <w:szCs w:val="24"/>
          <w:lang w:val="en-US" w:eastAsia="zh-CN" w:bidi="ar-SA"/>
        </w:rPr>
        <w:t>服务费承诺书</w:t>
      </w:r>
    </w:p>
    <w:p>
      <w:pPr>
        <w:pStyle w:val="8"/>
        <w:pageBreakBefore w:val="0"/>
        <w:numPr>
          <w:ilvl w:val="0"/>
          <w:numId w:val="0"/>
        </w:numPr>
        <w:kinsoku/>
        <w:wordWrap/>
        <w:overflowPunct/>
        <w:topLinePunct w:val="0"/>
        <w:autoSpaceDE/>
        <w:autoSpaceDN/>
        <w:bidi w:val="0"/>
        <w:adjustRightInd/>
        <w:spacing w:line="440" w:lineRule="exact"/>
        <w:ind w:leftChars="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致：</w:t>
      </w:r>
      <w:r>
        <w:rPr>
          <w:rFonts w:hint="eastAsia" w:ascii="方正仿宋简体" w:hAnsi="方正仿宋简体" w:eastAsia="方正仿宋简体" w:cs="方正仿宋简体"/>
          <w:bCs/>
          <w:kern w:val="2"/>
          <w:sz w:val="24"/>
          <w:szCs w:val="24"/>
          <w:lang w:val="en-US" w:eastAsia="zh-CN" w:bidi="ar-SA"/>
        </w:rPr>
        <w:t>北京康迪建设监理咨询有限公司</w:t>
      </w:r>
      <w:r>
        <w:rPr>
          <w:rFonts w:hint="default" w:ascii="方正仿宋简体" w:hAnsi="方正仿宋简体" w:eastAsia="方正仿宋简体" w:cs="方正仿宋简体"/>
          <w:bCs/>
          <w:kern w:val="2"/>
          <w:sz w:val="24"/>
          <w:szCs w:val="24"/>
          <w:lang w:val="en-US" w:eastAsia="zh-CN" w:bidi="ar-SA"/>
        </w:rPr>
        <w:t>：</w:t>
      </w:r>
    </w:p>
    <w:p>
      <w:pPr>
        <w:pStyle w:val="8"/>
        <w:pageBreakBefore w:val="0"/>
        <w:numPr>
          <w:ilvl w:val="0"/>
          <w:numId w:val="0"/>
        </w:numPr>
        <w:kinsoku/>
        <w:wordWrap/>
        <w:overflowPunct/>
        <w:topLinePunct w:val="0"/>
        <w:autoSpaceDE/>
        <w:autoSpaceDN/>
        <w:bidi w:val="0"/>
        <w:adjustRightInd/>
        <w:spacing w:line="440" w:lineRule="exact"/>
        <w:ind w:firstLine="480" w:firstLineChars="20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我们在贵公司组织的</w:t>
      </w:r>
      <w:r>
        <w:rPr>
          <w:rFonts w:hint="eastAsia" w:ascii="方正仿宋简体" w:hAnsi="方正仿宋简体" w:eastAsia="方正仿宋简体" w:cs="方正仿宋简体"/>
          <w:bCs/>
          <w:kern w:val="2"/>
          <w:sz w:val="24"/>
          <w:szCs w:val="24"/>
          <w:u w:val="single"/>
          <w:lang w:val="en-US" w:eastAsia="zh-CN" w:bidi="ar-SA"/>
        </w:rPr>
        <w:t xml:space="preserve">                 </w:t>
      </w:r>
      <w:r>
        <w:rPr>
          <w:rFonts w:hint="default" w:ascii="方正仿宋简体" w:hAnsi="方正仿宋简体" w:eastAsia="方正仿宋简体" w:cs="方正仿宋简体"/>
          <w:bCs/>
          <w:kern w:val="2"/>
          <w:sz w:val="24"/>
          <w:szCs w:val="24"/>
          <w:lang w:val="en-US" w:eastAsia="zh-CN" w:bidi="ar-SA"/>
        </w:rPr>
        <w:t>项目中若获成交，我们承诺，保证在领取成交通知书的同时按</w:t>
      </w:r>
      <w:r>
        <w:rPr>
          <w:rFonts w:hint="eastAsia" w:ascii="方正仿宋简体" w:hAnsi="方正仿宋简体" w:eastAsia="方正仿宋简体" w:cs="方正仿宋简体"/>
          <w:bCs/>
          <w:kern w:val="2"/>
          <w:sz w:val="24"/>
          <w:szCs w:val="24"/>
          <w:lang w:val="en-US" w:eastAsia="zh-CN" w:bidi="ar-SA"/>
        </w:rPr>
        <w:t>采购文件</w:t>
      </w:r>
      <w:r>
        <w:rPr>
          <w:rFonts w:hint="default" w:ascii="方正仿宋简体" w:hAnsi="方正仿宋简体" w:eastAsia="方正仿宋简体" w:cs="方正仿宋简体"/>
          <w:bCs/>
          <w:kern w:val="2"/>
          <w:sz w:val="24"/>
          <w:szCs w:val="24"/>
          <w:lang w:val="en-US" w:eastAsia="zh-CN" w:bidi="ar-SA"/>
        </w:rPr>
        <w:t>有关规定，以贵公司认可的方式向贵公司支付服务费。</w:t>
      </w:r>
    </w:p>
    <w:p>
      <w:pPr>
        <w:pStyle w:val="8"/>
        <w:pageBreakBefore w:val="0"/>
        <w:numPr>
          <w:ilvl w:val="0"/>
          <w:numId w:val="0"/>
        </w:numPr>
        <w:kinsoku/>
        <w:wordWrap/>
        <w:overflowPunct/>
        <w:topLinePunct w:val="0"/>
        <w:autoSpaceDE/>
        <w:autoSpaceDN/>
        <w:bidi w:val="0"/>
        <w:adjustRightInd/>
        <w:spacing w:line="440" w:lineRule="exact"/>
        <w:ind w:firstLine="720" w:firstLineChars="30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特此承诺。</w:t>
      </w:r>
    </w:p>
    <w:p>
      <w:pPr>
        <w:pStyle w:val="8"/>
        <w:pageBreakBefore w:val="0"/>
        <w:numPr>
          <w:ilvl w:val="0"/>
          <w:numId w:val="0"/>
        </w:numPr>
        <w:kinsoku/>
        <w:wordWrap/>
        <w:overflowPunct/>
        <w:topLinePunct w:val="0"/>
        <w:autoSpaceDE/>
        <w:autoSpaceDN/>
        <w:bidi w:val="0"/>
        <w:adjustRightInd/>
        <w:spacing w:line="440" w:lineRule="exact"/>
        <w:jc w:val="both"/>
        <w:textAlignment w:val="auto"/>
        <w:rPr>
          <w:rFonts w:hint="default" w:ascii="宋体" w:eastAsia="宋体" w:cs="宋体"/>
          <w:b w:val="0"/>
          <w:bCs/>
          <w:kern w:val="0"/>
          <w:sz w:val="24"/>
          <w:szCs w:val="24"/>
          <w:u w:val="none"/>
          <w:lang w:val="en-US" w:eastAsia="zh-CN" w:bidi="ar-SA"/>
        </w:rPr>
      </w:pPr>
    </w:p>
    <w:p>
      <w:pPr>
        <w:pStyle w:val="7"/>
        <w:pageBreakBefore w:val="0"/>
        <w:kinsoku/>
        <w:wordWrap/>
        <w:overflowPunct/>
        <w:topLinePunct w:val="0"/>
        <w:autoSpaceDE/>
        <w:autoSpaceDN/>
        <w:bidi w:val="0"/>
        <w:adjustRightInd/>
        <w:spacing w:line="440" w:lineRule="exact"/>
        <w:ind w:left="0" w:leftChars="0" w:firstLine="5520" w:firstLineChars="2300"/>
        <w:textAlignment w:val="auto"/>
        <w:rPr>
          <w:rFonts w:hint="eastAsia"/>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五、资格审查资料</w:t>
      </w:r>
    </w:p>
    <w:p>
      <w:pPr>
        <w:spacing w:line="440" w:lineRule="exact"/>
        <w:ind w:firstLine="480" w:firstLineChars="200"/>
        <w:rPr>
          <w:rFonts w:ascii="方正仿宋简体" w:hAnsi="方正仿宋简体" w:eastAsia="方正仿宋简体" w:cs="方正仿宋简体"/>
          <w:bCs/>
          <w:sz w:val="24"/>
        </w:rPr>
      </w:pPr>
      <w:r>
        <w:rPr>
          <w:rFonts w:hint="eastAsia" w:ascii="方正仿宋简体" w:hAnsi="方正仿宋简体" w:eastAsia="方正仿宋简体" w:cs="方正仿宋简体"/>
          <w:bCs/>
          <w:sz w:val="24"/>
        </w:rPr>
        <w:t>1.基本情况：要求供应商提供资质证照、证书复印件及相关采购要求的证明材料，以证明供应商具有承担本项目要求的资质。</w:t>
      </w:r>
    </w:p>
    <w:p>
      <w:pPr>
        <w:spacing w:line="440" w:lineRule="exact"/>
        <w:ind w:firstLine="480" w:firstLineChars="200"/>
        <w:rPr>
          <w:rFonts w:ascii="方正仿宋简体" w:hAnsi="方正仿宋简体" w:eastAsia="方正仿宋简体" w:cs="方正仿宋简体"/>
          <w:bCs/>
          <w:sz w:val="24"/>
        </w:rPr>
      </w:pPr>
      <w:r>
        <w:rPr>
          <w:rFonts w:hint="eastAsia" w:ascii="方正仿宋简体" w:hAnsi="方正仿宋简体" w:eastAsia="方正仿宋简体" w:cs="方正仿宋简体"/>
          <w:bCs/>
          <w:sz w:val="24"/>
        </w:rPr>
        <w:t>（1）要求供应商为独立法人资格的生产商或代理商（代理商需提供授权证明）；</w:t>
      </w:r>
    </w:p>
    <w:p>
      <w:pPr>
        <w:spacing w:line="440" w:lineRule="exact"/>
        <w:ind w:firstLine="480" w:firstLineChars="200"/>
        <w:rPr>
          <w:rFonts w:ascii="方正仿宋简体" w:hAnsi="方正仿宋简体" w:eastAsia="方正仿宋简体" w:cs="方正仿宋简体"/>
          <w:bCs/>
          <w:sz w:val="24"/>
        </w:rPr>
      </w:pPr>
      <w:r>
        <w:rPr>
          <w:rFonts w:hint="eastAsia" w:ascii="方正仿宋简体" w:hAnsi="方正仿宋简体" w:eastAsia="方正仿宋简体" w:cs="方正仿宋简体"/>
          <w:bCs/>
          <w:sz w:val="24"/>
        </w:rPr>
        <w:t>（2）参与报价单位在报名时必须上传企业有效资质证件（营业执照、煤安证等）；</w:t>
      </w:r>
    </w:p>
    <w:p>
      <w:pPr>
        <w:spacing w:line="440" w:lineRule="exact"/>
        <w:ind w:firstLine="480" w:firstLineChars="200"/>
        <w:rPr>
          <w:rFonts w:ascii="方正仿宋简体" w:hAnsi="方正仿宋简体" w:eastAsia="方正仿宋简体" w:cs="方正仿宋简体"/>
          <w:bCs/>
          <w:sz w:val="24"/>
        </w:rPr>
      </w:pPr>
      <w:r>
        <w:rPr>
          <w:rFonts w:hint="eastAsia" w:ascii="方正仿宋简体" w:hAnsi="方正仿宋简体" w:eastAsia="方正仿宋简体" w:cs="方正仿宋简体"/>
          <w:bCs/>
          <w:sz w:val="24"/>
        </w:rPr>
        <w:t>（3）供应商不得处于责令停产停业、暂扣或者吊销执照、暂扣或者吊销许可证、吊销资质证书状态，供应商不得处于进入清算程序或被宣告破产或其他丧失履约能力的情形；</w:t>
      </w:r>
    </w:p>
    <w:p>
      <w:pPr>
        <w:spacing w:line="440" w:lineRule="exact"/>
        <w:ind w:firstLine="480" w:firstLineChars="200"/>
        <w:rPr>
          <w:rFonts w:ascii="方正仿宋简体" w:hAnsi="方正仿宋简体" w:eastAsia="方正仿宋简体" w:cs="方正仿宋简体"/>
          <w:bCs/>
          <w:sz w:val="24"/>
        </w:rPr>
      </w:pPr>
      <w:r>
        <w:rPr>
          <w:rFonts w:hint="eastAsia" w:ascii="方正仿宋简体" w:hAnsi="方正仿宋简体" w:eastAsia="方正仿宋简体" w:cs="方正仿宋简体"/>
          <w:bCs/>
          <w:sz w:val="24"/>
        </w:rPr>
        <w:t>（4）资格审核：本次采购采用资格后审，潜在供应商报名通过并获取到采购文件，不代表已经通过资格审查；</w:t>
      </w:r>
    </w:p>
    <w:p>
      <w:pPr>
        <w:spacing w:line="440" w:lineRule="exact"/>
        <w:ind w:firstLine="480" w:firstLineChars="200"/>
        <w:rPr>
          <w:rFonts w:ascii="方正仿宋简体" w:hAnsi="方正仿宋简体" w:eastAsia="方正仿宋简体" w:cs="方正仿宋简体"/>
          <w:bCs/>
          <w:sz w:val="24"/>
        </w:rPr>
      </w:pPr>
      <w:r>
        <w:rPr>
          <w:rFonts w:hint="eastAsia" w:ascii="方正仿宋简体" w:hAnsi="方正仿宋简体" w:eastAsia="方正仿宋简体" w:cs="方正仿宋简体"/>
          <w:bCs/>
          <w:sz w:val="24"/>
        </w:rPr>
        <w:t>（5）本次采购不接受联合体。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2.财务要求证明材料（如有可提供）：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如有，请提供以下两种财务会计报表中的一种作为财务证明材料：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（1）请提供近三年经会计事务所或审计机构审计的近年财务会计报表复印件，包括资产负债表、现金流量表、利润表；供应商成立日期少于该规定年份的，可根据实际情况提供。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（2）供应商应提供近三年财务会计报表复印件，包括资产负债表、利润表；供应商成立日期少于该规定年份的，可根据实际情况提供。</w:t>
      </w:r>
    </w:p>
    <w:p>
      <w:pPr>
        <w:spacing w:line="440" w:lineRule="exact"/>
        <w:ind w:firstLine="480" w:firstLineChars="200"/>
        <w:rPr>
          <w:rFonts w:ascii="方正仿宋简体" w:hAnsi="方正仿宋简体" w:eastAsia="方正仿宋简体" w:cs="方正仿宋简体"/>
          <w:bCs/>
          <w:sz w:val="24"/>
        </w:rPr>
      </w:pPr>
      <w:r>
        <w:rPr>
          <w:rFonts w:hint="eastAsia" w:ascii="方正仿宋简体" w:hAnsi="方正仿宋简体" w:eastAsia="方正仿宋简体" w:cs="方正仿宋简体"/>
          <w:bCs/>
          <w:sz w:val="24"/>
        </w:rPr>
        <w:t>3.业绩：提供近年（相同或相似）产品的销售业绩。</w:t>
      </w:r>
    </w:p>
    <w:p>
      <w:pPr>
        <w:spacing w:line="440" w:lineRule="exact"/>
        <w:ind w:firstLine="480" w:firstLineChars="200"/>
        <w:rPr>
          <w:rFonts w:ascii="方正仿宋简体" w:hAnsi="方正仿宋简体" w:eastAsia="方正仿宋简体" w:cs="方正仿宋简体"/>
          <w:bCs/>
          <w:sz w:val="24"/>
        </w:rPr>
      </w:pPr>
      <w:r>
        <w:rPr>
          <w:rFonts w:hint="eastAsia" w:ascii="方正仿宋简体" w:hAnsi="方正仿宋简体" w:eastAsia="方正仿宋简体" w:cs="方正仿宋简体"/>
          <w:bCs/>
          <w:sz w:val="24"/>
        </w:rPr>
        <w:t>业绩证明材料包括：合同、采购订单、中标通知书、成交通知书、业主证明、验收证明或其他证明材料；提供以上类别中任一项证明材料即可。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24"/>
          <w:szCs w:val="24"/>
          <w:lang w:val="en-US" w:eastAsia="zh-CN"/>
        </w:rPr>
        <w:t>4.其他要求的证明材料（提供信用中国截图等）。</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
          <w:bCs w:val="0"/>
          <w:sz w:val="30"/>
          <w:szCs w:val="30"/>
          <w:lang w:val="en-US" w:eastAsia="zh-CN"/>
        </w:rPr>
        <w:t>六、技术响应文件或方案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供应商根据自身产品特点，可进行货物质量标准或技术性能指标的详细描述。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七、其它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如有，可列出相关售后服务等内容。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default" w:ascii="方正仿宋简体" w:hAnsi="方正仿宋简体" w:eastAsia="方正仿宋简体" w:cs="方正仿宋简体"/>
          <w:bCs/>
          <w:sz w:val="30"/>
          <w:szCs w:val="30"/>
          <w:lang w:val="en-US" w:eastAsia="zh-CN"/>
        </w:rPr>
      </w:pPr>
      <w:r>
        <w:rPr>
          <w:rFonts w:hint="default" w:ascii="方正仿宋简体" w:hAnsi="方正仿宋简体" w:eastAsia="方正仿宋简体" w:cs="方正仿宋简体"/>
          <w:bCs/>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3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bCs w:val="0"/>
          <w:sz w:val="30"/>
          <w:szCs w:val="30"/>
          <w:lang w:val="en-US" w:eastAsia="zh-CN"/>
        </w:rPr>
        <w:t>八、</w:t>
      </w:r>
      <w:r>
        <w:rPr>
          <w:rFonts w:hint="eastAsia" w:ascii="方正仿宋简体" w:hAnsi="方正仿宋简体" w:eastAsia="方正仿宋简体" w:cs="方正仿宋简体"/>
          <w:b/>
          <w:sz w:val="30"/>
          <w:szCs w:val="30"/>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b w:val="0"/>
          <w:sz w:val="28"/>
          <w:szCs w:val="28"/>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严格遵守国家有关法律法规，坚持诚实守信原则，恪守商业道德，规范商务人员廉洁从业行为。</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不伙同他人串标、围标或非法排挤竞争对手，不在商业活动中提供虚假资料，损害贵方合法权益。</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不为贵方工作人员提供回扣、礼金、有价证券、贵重物品和报销个人费用。</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不为贵方工作人员安排有可能影响公平、公正交易的宴请、健身、娱乐等活动。</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不为贵方工作人员投资入股、个人借款或买卖股票、债券等提供方便。</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不为贵方工作人员购买或装修住房、婚丧嫁娶、配偶子女上学或工作安排以及出国出境、旅游等提供方便。</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不违反规定为贵方工作人员在我方相关企业挂名兼职、合伙经营、介绍承揽业务等提供方便。</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不利用非法手段向贵方工作人员打探有关涉及贵方的商业秘密、业务渠道等。</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贵方对涉嫌不廉洁的商业行为进行调查时，我方有配合提供证据、作证的义务。</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未经贵方同意，我方不向任何新闻媒体、第三人述及有关贵方工作人员恪守商业道德方面的评价、信息。</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仿宋" w:hAnsi="仿宋" w:eastAsia="仿宋" w:cs="仿宋"/>
          <w:sz w:val="24"/>
          <w:szCs w:val="24"/>
          <w:lang w:val="en-US" w:eastAsia="zh-CN"/>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 xml:space="preserve">     承诺方：（盖章）</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授权代表：（签字）</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地址：</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jc w:val="right"/>
        <w:textAlignment w:val="auto"/>
        <w:outlineLvl w:val="9"/>
        <w:rPr>
          <w:rFonts w:hint="default" w:ascii="方正仿宋简体" w:hAnsi="方正仿宋简体" w:eastAsia="方正仿宋简体" w:cs="方正仿宋简体"/>
          <w:bCs/>
          <w:sz w:val="30"/>
          <w:szCs w:val="30"/>
          <w:lang w:val="en-US" w:eastAsia="zh-CN"/>
        </w:rPr>
      </w:pPr>
      <w:r>
        <w:rPr>
          <w:rFonts w:hint="eastAsia" w:ascii="仿宋" w:hAnsi="仿宋" w:eastAsia="仿宋" w:cs="仿宋"/>
          <w:sz w:val="24"/>
          <w:szCs w:val="24"/>
          <w:lang w:val="en-US" w:eastAsia="zh-CN"/>
        </w:rPr>
        <w:t xml:space="preserve">                             年    月    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8A05C"/>
    <w:multiLevelType w:val="singleLevel"/>
    <w:tmpl w:val="3AD8A05C"/>
    <w:lvl w:ilvl="0" w:tentative="0">
      <w:start w:val="1"/>
      <w:numFmt w:val="chineseCounting"/>
      <w:suff w:val="nothing"/>
      <w:lvlText w:val="（%1）"/>
      <w:lvlJc w:val="left"/>
      <w:rPr>
        <w:rFonts w:hint="eastAsia"/>
      </w:rPr>
    </w:lvl>
  </w:abstractNum>
  <w:abstractNum w:abstractNumId="1">
    <w:nsid w:val="59A60885"/>
    <w:multiLevelType w:val="singleLevel"/>
    <w:tmpl w:val="59A60885"/>
    <w:lvl w:ilvl="0" w:tentative="0">
      <w:start w:val="1"/>
      <w:numFmt w:val="chineseCounting"/>
      <w:suff w:val="nothing"/>
      <w:lvlText w:val="%1、"/>
      <w:lvlJc w:val="left"/>
    </w:lvl>
  </w:abstractNum>
  <w:abstractNum w:abstractNumId="2">
    <w:nsid w:val="7E4F2C7F"/>
    <w:multiLevelType w:val="singleLevel"/>
    <w:tmpl w:val="7E4F2C7F"/>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22E9"/>
    <w:rsid w:val="00450886"/>
    <w:rsid w:val="005356ED"/>
    <w:rsid w:val="00692270"/>
    <w:rsid w:val="007946BB"/>
    <w:rsid w:val="007E5BE2"/>
    <w:rsid w:val="00B500EF"/>
    <w:rsid w:val="00DE61B7"/>
    <w:rsid w:val="00E34201"/>
    <w:rsid w:val="016A6463"/>
    <w:rsid w:val="0178045B"/>
    <w:rsid w:val="017C6E7D"/>
    <w:rsid w:val="017F7601"/>
    <w:rsid w:val="01C106FA"/>
    <w:rsid w:val="02012EBF"/>
    <w:rsid w:val="021A1D9D"/>
    <w:rsid w:val="021F7405"/>
    <w:rsid w:val="022E4516"/>
    <w:rsid w:val="025702F9"/>
    <w:rsid w:val="02620193"/>
    <w:rsid w:val="02726898"/>
    <w:rsid w:val="02874B27"/>
    <w:rsid w:val="02877619"/>
    <w:rsid w:val="02C2423F"/>
    <w:rsid w:val="03394EB3"/>
    <w:rsid w:val="03785109"/>
    <w:rsid w:val="039C7F72"/>
    <w:rsid w:val="039D7B38"/>
    <w:rsid w:val="03B7227C"/>
    <w:rsid w:val="03DC17A5"/>
    <w:rsid w:val="03EA2521"/>
    <w:rsid w:val="04250221"/>
    <w:rsid w:val="043320D4"/>
    <w:rsid w:val="044B66AB"/>
    <w:rsid w:val="045301F6"/>
    <w:rsid w:val="04557214"/>
    <w:rsid w:val="04893EF5"/>
    <w:rsid w:val="048D244F"/>
    <w:rsid w:val="04AE266D"/>
    <w:rsid w:val="04BA37B2"/>
    <w:rsid w:val="04C64426"/>
    <w:rsid w:val="04D2398B"/>
    <w:rsid w:val="04FC69B9"/>
    <w:rsid w:val="050D6DC0"/>
    <w:rsid w:val="05406D40"/>
    <w:rsid w:val="05641865"/>
    <w:rsid w:val="0579308A"/>
    <w:rsid w:val="057B45E9"/>
    <w:rsid w:val="05802C94"/>
    <w:rsid w:val="058C5FF3"/>
    <w:rsid w:val="0590075A"/>
    <w:rsid w:val="05F81FEE"/>
    <w:rsid w:val="06284AE5"/>
    <w:rsid w:val="063520FF"/>
    <w:rsid w:val="0669275A"/>
    <w:rsid w:val="06773CDD"/>
    <w:rsid w:val="06891A6A"/>
    <w:rsid w:val="06935222"/>
    <w:rsid w:val="06B56FD7"/>
    <w:rsid w:val="06EE1A08"/>
    <w:rsid w:val="06F164A9"/>
    <w:rsid w:val="07126DB2"/>
    <w:rsid w:val="071527AB"/>
    <w:rsid w:val="073F4256"/>
    <w:rsid w:val="07594F32"/>
    <w:rsid w:val="079E4E67"/>
    <w:rsid w:val="07A706F2"/>
    <w:rsid w:val="07BE4CC2"/>
    <w:rsid w:val="07C60792"/>
    <w:rsid w:val="07D45258"/>
    <w:rsid w:val="07E6440D"/>
    <w:rsid w:val="0824686E"/>
    <w:rsid w:val="085459A1"/>
    <w:rsid w:val="086232EC"/>
    <w:rsid w:val="08766BA9"/>
    <w:rsid w:val="08896532"/>
    <w:rsid w:val="089228E7"/>
    <w:rsid w:val="08AF7FB3"/>
    <w:rsid w:val="08CA3F58"/>
    <w:rsid w:val="090324B4"/>
    <w:rsid w:val="091B007C"/>
    <w:rsid w:val="092E03F6"/>
    <w:rsid w:val="092E204C"/>
    <w:rsid w:val="092F0DEC"/>
    <w:rsid w:val="09343D87"/>
    <w:rsid w:val="093A7AFC"/>
    <w:rsid w:val="094A49F7"/>
    <w:rsid w:val="09765A19"/>
    <w:rsid w:val="097C0160"/>
    <w:rsid w:val="097E4F81"/>
    <w:rsid w:val="09C168B3"/>
    <w:rsid w:val="09C343E2"/>
    <w:rsid w:val="09D60A41"/>
    <w:rsid w:val="0A3F5CE4"/>
    <w:rsid w:val="0A4B756C"/>
    <w:rsid w:val="0A863E02"/>
    <w:rsid w:val="0AA47227"/>
    <w:rsid w:val="0AAD49D7"/>
    <w:rsid w:val="0AC326D5"/>
    <w:rsid w:val="0ADD61B5"/>
    <w:rsid w:val="0AE34D01"/>
    <w:rsid w:val="0AF618DB"/>
    <w:rsid w:val="0B214BAD"/>
    <w:rsid w:val="0B301E0B"/>
    <w:rsid w:val="0B485983"/>
    <w:rsid w:val="0B69666D"/>
    <w:rsid w:val="0B8E65F9"/>
    <w:rsid w:val="0B9818E7"/>
    <w:rsid w:val="0B996651"/>
    <w:rsid w:val="0BD52772"/>
    <w:rsid w:val="0C082D50"/>
    <w:rsid w:val="0C184199"/>
    <w:rsid w:val="0C1B083E"/>
    <w:rsid w:val="0C3F4282"/>
    <w:rsid w:val="0C545FAA"/>
    <w:rsid w:val="0C5B11F2"/>
    <w:rsid w:val="0C711A1D"/>
    <w:rsid w:val="0C9740C4"/>
    <w:rsid w:val="0C980FD4"/>
    <w:rsid w:val="0CAD1056"/>
    <w:rsid w:val="0CE37E0B"/>
    <w:rsid w:val="0CF632E1"/>
    <w:rsid w:val="0D2953A4"/>
    <w:rsid w:val="0D38494A"/>
    <w:rsid w:val="0D4B1F00"/>
    <w:rsid w:val="0D5A5439"/>
    <w:rsid w:val="0D66030B"/>
    <w:rsid w:val="0D8D33E1"/>
    <w:rsid w:val="0DA80CBC"/>
    <w:rsid w:val="0DC02C0F"/>
    <w:rsid w:val="0DDD1264"/>
    <w:rsid w:val="0DF76096"/>
    <w:rsid w:val="0E051A47"/>
    <w:rsid w:val="0E0D7823"/>
    <w:rsid w:val="0E350B87"/>
    <w:rsid w:val="0E3A4C8C"/>
    <w:rsid w:val="0E8D089C"/>
    <w:rsid w:val="0EC24F03"/>
    <w:rsid w:val="0EEC4464"/>
    <w:rsid w:val="0EF63980"/>
    <w:rsid w:val="0F270766"/>
    <w:rsid w:val="0F330CB5"/>
    <w:rsid w:val="0F425460"/>
    <w:rsid w:val="0F5B6AD6"/>
    <w:rsid w:val="0F6665A5"/>
    <w:rsid w:val="0F6D16B3"/>
    <w:rsid w:val="0FAE2931"/>
    <w:rsid w:val="0FB1308C"/>
    <w:rsid w:val="0FBF36C7"/>
    <w:rsid w:val="0FE47927"/>
    <w:rsid w:val="0FE763B9"/>
    <w:rsid w:val="10166C17"/>
    <w:rsid w:val="101B3D5C"/>
    <w:rsid w:val="101C33CD"/>
    <w:rsid w:val="103A56ED"/>
    <w:rsid w:val="10670E30"/>
    <w:rsid w:val="10812CF6"/>
    <w:rsid w:val="10A87B1C"/>
    <w:rsid w:val="10F153AF"/>
    <w:rsid w:val="11902A8A"/>
    <w:rsid w:val="11E62496"/>
    <w:rsid w:val="11EB634E"/>
    <w:rsid w:val="12152F8F"/>
    <w:rsid w:val="121A1A7E"/>
    <w:rsid w:val="12267850"/>
    <w:rsid w:val="122B23C1"/>
    <w:rsid w:val="123A0739"/>
    <w:rsid w:val="12626AC0"/>
    <w:rsid w:val="12886454"/>
    <w:rsid w:val="12930598"/>
    <w:rsid w:val="12A6593A"/>
    <w:rsid w:val="12DA45B2"/>
    <w:rsid w:val="12E46165"/>
    <w:rsid w:val="12F74FB6"/>
    <w:rsid w:val="12FB4CDD"/>
    <w:rsid w:val="132F0646"/>
    <w:rsid w:val="137A1BBA"/>
    <w:rsid w:val="13A91010"/>
    <w:rsid w:val="142A63B4"/>
    <w:rsid w:val="142F4E0F"/>
    <w:rsid w:val="142F733A"/>
    <w:rsid w:val="143569F2"/>
    <w:rsid w:val="143C7084"/>
    <w:rsid w:val="14794620"/>
    <w:rsid w:val="14C47A67"/>
    <w:rsid w:val="14F60745"/>
    <w:rsid w:val="15112E59"/>
    <w:rsid w:val="15221E5D"/>
    <w:rsid w:val="152A0018"/>
    <w:rsid w:val="152E6A9F"/>
    <w:rsid w:val="15321418"/>
    <w:rsid w:val="153655DC"/>
    <w:rsid w:val="154C4BA6"/>
    <w:rsid w:val="156E7E84"/>
    <w:rsid w:val="15811B2A"/>
    <w:rsid w:val="15816512"/>
    <w:rsid w:val="158B677D"/>
    <w:rsid w:val="158F3258"/>
    <w:rsid w:val="15A9281A"/>
    <w:rsid w:val="15C302FC"/>
    <w:rsid w:val="15C30517"/>
    <w:rsid w:val="15D344B3"/>
    <w:rsid w:val="15F02599"/>
    <w:rsid w:val="15F073B4"/>
    <w:rsid w:val="161A2712"/>
    <w:rsid w:val="16392099"/>
    <w:rsid w:val="164904CF"/>
    <w:rsid w:val="165A131A"/>
    <w:rsid w:val="165F76D0"/>
    <w:rsid w:val="16701199"/>
    <w:rsid w:val="169C4E45"/>
    <w:rsid w:val="16B53388"/>
    <w:rsid w:val="16CF456B"/>
    <w:rsid w:val="16D27B9F"/>
    <w:rsid w:val="17157490"/>
    <w:rsid w:val="175A148B"/>
    <w:rsid w:val="176F0D42"/>
    <w:rsid w:val="17B329B7"/>
    <w:rsid w:val="17EE1F85"/>
    <w:rsid w:val="17F65EF5"/>
    <w:rsid w:val="18263DAD"/>
    <w:rsid w:val="18475760"/>
    <w:rsid w:val="184F663A"/>
    <w:rsid w:val="18604D3E"/>
    <w:rsid w:val="18E340A3"/>
    <w:rsid w:val="18EB5633"/>
    <w:rsid w:val="1921212E"/>
    <w:rsid w:val="193E429E"/>
    <w:rsid w:val="194044B2"/>
    <w:rsid w:val="194318A8"/>
    <w:rsid w:val="19572C16"/>
    <w:rsid w:val="19675D90"/>
    <w:rsid w:val="197D7CC4"/>
    <w:rsid w:val="19A97FC3"/>
    <w:rsid w:val="19C96970"/>
    <w:rsid w:val="19E520AE"/>
    <w:rsid w:val="1A023DF9"/>
    <w:rsid w:val="1A076384"/>
    <w:rsid w:val="1A0E5F9F"/>
    <w:rsid w:val="1A541670"/>
    <w:rsid w:val="1A677CD4"/>
    <w:rsid w:val="1A7B72E4"/>
    <w:rsid w:val="1A986CE6"/>
    <w:rsid w:val="1AB33569"/>
    <w:rsid w:val="1AC226F8"/>
    <w:rsid w:val="1AE22EDB"/>
    <w:rsid w:val="1AE232A1"/>
    <w:rsid w:val="1AE4725A"/>
    <w:rsid w:val="1AFC1EFD"/>
    <w:rsid w:val="1AFF47DC"/>
    <w:rsid w:val="1B0C68D1"/>
    <w:rsid w:val="1B145A91"/>
    <w:rsid w:val="1B25387C"/>
    <w:rsid w:val="1B295880"/>
    <w:rsid w:val="1B2D5A8C"/>
    <w:rsid w:val="1B411120"/>
    <w:rsid w:val="1B471FEA"/>
    <w:rsid w:val="1B5B160C"/>
    <w:rsid w:val="1B660FFA"/>
    <w:rsid w:val="1BDA59EA"/>
    <w:rsid w:val="1BED0AD9"/>
    <w:rsid w:val="1C261318"/>
    <w:rsid w:val="1C3D736A"/>
    <w:rsid w:val="1C4E2EF7"/>
    <w:rsid w:val="1C4E77C9"/>
    <w:rsid w:val="1C6B63AA"/>
    <w:rsid w:val="1C8F6DB4"/>
    <w:rsid w:val="1CBA7BFF"/>
    <w:rsid w:val="1CBE7383"/>
    <w:rsid w:val="1CC70B3E"/>
    <w:rsid w:val="1CFA2BC7"/>
    <w:rsid w:val="1D1658B1"/>
    <w:rsid w:val="1D7C2F6E"/>
    <w:rsid w:val="1D8A18DD"/>
    <w:rsid w:val="1D9751A0"/>
    <w:rsid w:val="1DAA6DA6"/>
    <w:rsid w:val="1DBC59FD"/>
    <w:rsid w:val="1DBF5FA0"/>
    <w:rsid w:val="1DCA26EE"/>
    <w:rsid w:val="1DDC7606"/>
    <w:rsid w:val="1E005FD9"/>
    <w:rsid w:val="1E400038"/>
    <w:rsid w:val="1E400D77"/>
    <w:rsid w:val="1EB907CD"/>
    <w:rsid w:val="1EE90A15"/>
    <w:rsid w:val="1EEE1213"/>
    <w:rsid w:val="1F110E6C"/>
    <w:rsid w:val="1F1E44B4"/>
    <w:rsid w:val="1F22210D"/>
    <w:rsid w:val="1F296C74"/>
    <w:rsid w:val="1F4B21ED"/>
    <w:rsid w:val="1F4B48CD"/>
    <w:rsid w:val="1F6649B6"/>
    <w:rsid w:val="1F740A24"/>
    <w:rsid w:val="1F932F24"/>
    <w:rsid w:val="200A0289"/>
    <w:rsid w:val="20542266"/>
    <w:rsid w:val="20727886"/>
    <w:rsid w:val="20973AD3"/>
    <w:rsid w:val="20B673E3"/>
    <w:rsid w:val="20C1581B"/>
    <w:rsid w:val="20E34258"/>
    <w:rsid w:val="20E557AB"/>
    <w:rsid w:val="21063BC3"/>
    <w:rsid w:val="21080694"/>
    <w:rsid w:val="210D48D6"/>
    <w:rsid w:val="21B47163"/>
    <w:rsid w:val="21BF52ED"/>
    <w:rsid w:val="21C43AEC"/>
    <w:rsid w:val="21CE73DB"/>
    <w:rsid w:val="21E90AC3"/>
    <w:rsid w:val="22033109"/>
    <w:rsid w:val="222C508E"/>
    <w:rsid w:val="223009AC"/>
    <w:rsid w:val="22384E29"/>
    <w:rsid w:val="224009BF"/>
    <w:rsid w:val="225165E9"/>
    <w:rsid w:val="226633ED"/>
    <w:rsid w:val="226667CB"/>
    <w:rsid w:val="22944973"/>
    <w:rsid w:val="229D6DB5"/>
    <w:rsid w:val="22A0715E"/>
    <w:rsid w:val="22CF3681"/>
    <w:rsid w:val="22D136E3"/>
    <w:rsid w:val="22D722C7"/>
    <w:rsid w:val="22E668EE"/>
    <w:rsid w:val="22E747CB"/>
    <w:rsid w:val="22EC2329"/>
    <w:rsid w:val="22EF6EC7"/>
    <w:rsid w:val="231A3023"/>
    <w:rsid w:val="231F4EA3"/>
    <w:rsid w:val="232D7CCB"/>
    <w:rsid w:val="2377139A"/>
    <w:rsid w:val="23884092"/>
    <w:rsid w:val="238D2FCF"/>
    <w:rsid w:val="239B78C3"/>
    <w:rsid w:val="23BB4276"/>
    <w:rsid w:val="23F51080"/>
    <w:rsid w:val="240D2F69"/>
    <w:rsid w:val="241F6CB5"/>
    <w:rsid w:val="242E1C3A"/>
    <w:rsid w:val="24497B56"/>
    <w:rsid w:val="24526476"/>
    <w:rsid w:val="24955721"/>
    <w:rsid w:val="24C56748"/>
    <w:rsid w:val="24C66D83"/>
    <w:rsid w:val="24E57E1D"/>
    <w:rsid w:val="24E763E6"/>
    <w:rsid w:val="24EE1393"/>
    <w:rsid w:val="24FA70DE"/>
    <w:rsid w:val="24FC300B"/>
    <w:rsid w:val="251315B0"/>
    <w:rsid w:val="252A3E61"/>
    <w:rsid w:val="25405E96"/>
    <w:rsid w:val="254D0EF5"/>
    <w:rsid w:val="256F2882"/>
    <w:rsid w:val="257B5558"/>
    <w:rsid w:val="25AF4C11"/>
    <w:rsid w:val="25B87E4B"/>
    <w:rsid w:val="25C603D0"/>
    <w:rsid w:val="25D0124F"/>
    <w:rsid w:val="25D84E05"/>
    <w:rsid w:val="25DE5837"/>
    <w:rsid w:val="25E54769"/>
    <w:rsid w:val="260E06F8"/>
    <w:rsid w:val="263A2D61"/>
    <w:rsid w:val="266C0E8E"/>
    <w:rsid w:val="269347EB"/>
    <w:rsid w:val="26940B78"/>
    <w:rsid w:val="26B05F11"/>
    <w:rsid w:val="26EC62E8"/>
    <w:rsid w:val="26F55785"/>
    <w:rsid w:val="26F61189"/>
    <w:rsid w:val="26FB0A50"/>
    <w:rsid w:val="271351E9"/>
    <w:rsid w:val="272532BC"/>
    <w:rsid w:val="27296D59"/>
    <w:rsid w:val="274723AC"/>
    <w:rsid w:val="276E1E56"/>
    <w:rsid w:val="27800365"/>
    <w:rsid w:val="27A3690F"/>
    <w:rsid w:val="27C21F0D"/>
    <w:rsid w:val="27CA1BB9"/>
    <w:rsid w:val="27E50CAE"/>
    <w:rsid w:val="27F7363F"/>
    <w:rsid w:val="27FD1C77"/>
    <w:rsid w:val="286E2824"/>
    <w:rsid w:val="287F5179"/>
    <w:rsid w:val="289D1F8F"/>
    <w:rsid w:val="28EF509C"/>
    <w:rsid w:val="28F060F6"/>
    <w:rsid w:val="28FB21A5"/>
    <w:rsid w:val="29072DD1"/>
    <w:rsid w:val="29396ADA"/>
    <w:rsid w:val="295743FD"/>
    <w:rsid w:val="295D1A64"/>
    <w:rsid w:val="29686EFC"/>
    <w:rsid w:val="297567E9"/>
    <w:rsid w:val="29862FF5"/>
    <w:rsid w:val="299F6884"/>
    <w:rsid w:val="29C260D2"/>
    <w:rsid w:val="29D6490E"/>
    <w:rsid w:val="2A4B5932"/>
    <w:rsid w:val="2A4C044A"/>
    <w:rsid w:val="2A6858F2"/>
    <w:rsid w:val="2AA866AE"/>
    <w:rsid w:val="2AC00911"/>
    <w:rsid w:val="2AC207FA"/>
    <w:rsid w:val="2AF01878"/>
    <w:rsid w:val="2B327027"/>
    <w:rsid w:val="2B624E70"/>
    <w:rsid w:val="2B8B0973"/>
    <w:rsid w:val="2BAC3175"/>
    <w:rsid w:val="2BB80B12"/>
    <w:rsid w:val="2C1B1812"/>
    <w:rsid w:val="2C1B34B6"/>
    <w:rsid w:val="2C235415"/>
    <w:rsid w:val="2C36051E"/>
    <w:rsid w:val="2C3D5681"/>
    <w:rsid w:val="2C4A0997"/>
    <w:rsid w:val="2C737954"/>
    <w:rsid w:val="2CF359F5"/>
    <w:rsid w:val="2D0A4D24"/>
    <w:rsid w:val="2D1129F2"/>
    <w:rsid w:val="2D227C9D"/>
    <w:rsid w:val="2D230D65"/>
    <w:rsid w:val="2D280071"/>
    <w:rsid w:val="2D355E3C"/>
    <w:rsid w:val="2D38704F"/>
    <w:rsid w:val="2D3B20C7"/>
    <w:rsid w:val="2D5E653B"/>
    <w:rsid w:val="2D6867BA"/>
    <w:rsid w:val="2D6A5505"/>
    <w:rsid w:val="2D9B51F0"/>
    <w:rsid w:val="2DA56AA4"/>
    <w:rsid w:val="2DB07008"/>
    <w:rsid w:val="2DB155E4"/>
    <w:rsid w:val="2E2A3694"/>
    <w:rsid w:val="2E4F754F"/>
    <w:rsid w:val="2E615B9B"/>
    <w:rsid w:val="2E6873F8"/>
    <w:rsid w:val="2E6B7B69"/>
    <w:rsid w:val="2E81634A"/>
    <w:rsid w:val="2E8D60C2"/>
    <w:rsid w:val="2E961EE6"/>
    <w:rsid w:val="2E976B9A"/>
    <w:rsid w:val="2EA00E92"/>
    <w:rsid w:val="2EA13A01"/>
    <w:rsid w:val="2EA72D35"/>
    <w:rsid w:val="2F3648E9"/>
    <w:rsid w:val="2F503401"/>
    <w:rsid w:val="2F6E4716"/>
    <w:rsid w:val="2F840C50"/>
    <w:rsid w:val="300704C8"/>
    <w:rsid w:val="304A3F64"/>
    <w:rsid w:val="306F6EAA"/>
    <w:rsid w:val="307A2A94"/>
    <w:rsid w:val="30AC3BA7"/>
    <w:rsid w:val="30AD5CB7"/>
    <w:rsid w:val="30AF5292"/>
    <w:rsid w:val="30B654E5"/>
    <w:rsid w:val="30CF5CF8"/>
    <w:rsid w:val="30E20088"/>
    <w:rsid w:val="31205A55"/>
    <w:rsid w:val="31571F67"/>
    <w:rsid w:val="31573259"/>
    <w:rsid w:val="315D7DBA"/>
    <w:rsid w:val="316C3BB3"/>
    <w:rsid w:val="31830E41"/>
    <w:rsid w:val="31843C1D"/>
    <w:rsid w:val="31921AE5"/>
    <w:rsid w:val="319E755E"/>
    <w:rsid w:val="31B24D38"/>
    <w:rsid w:val="31CC74F9"/>
    <w:rsid w:val="322F04A4"/>
    <w:rsid w:val="323E5253"/>
    <w:rsid w:val="32466D92"/>
    <w:rsid w:val="325D030E"/>
    <w:rsid w:val="329644EB"/>
    <w:rsid w:val="32AB7C16"/>
    <w:rsid w:val="32B06451"/>
    <w:rsid w:val="32B32C97"/>
    <w:rsid w:val="32B9503C"/>
    <w:rsid w:val="32E4647F"/>
    <w:rsid w:val="32EE431D"/>
    <w:rsid w:val="32EF11DF"/>
    <w:rsid w:val="33205ECF"/>
    <w:rsid w:val="33456620"/>
    <w:rsid w:val="33463EAF"/>
    <w:rsid w:val="33536733"/>
    <w:rsid w:val="3364361C"/>
    <w:rsid w:val="339F40FD"/>
    <w:rsid w:val="34111CEC"/>
    <w:rsid w:val="345614B9"/>
    <w:rsid w:val="345B1D43"/>
    <w:rsid w:val="34F00932"/>
    <w:rsid w:val="351C1015"/>
    <w:rsid w:val="35270C14"/>
    <w:rsid w:val="35325ADB"/>
    <w:rsid w:val="35552F81"/>
    <w:rsid w:val="3585351C"/>
    <w:rsid w:val="35BE276A"/>
    <w:rsid w:val="35C12298"/>
    <w:rsid w:val="35CD1307"/>
    <w:rsid w:val="35DD0ACE"/>
    <w:rsid w:val="35DD69AE"/>
    <w:rsid w:val="35E54922"/>
    <w:rsid w:val="35EB3208"/>
    <w:rsid w:val="36022FA7"/>
    <w:rsid w:val="360E4774"/>
    <w:rsid w:val="36133CC9"/>
    <w:rsid w:val="361A4FBD"/>
    <w:rsid w:val="362717B5"/>
    <w:rsid w:val="3641705A"/>
    <w:rsid w:val="364207DA"/>
    <w:rsid w:val="367B2D2A"/>
    <w:rsid w:val="367D0E27"/>
    <w:rsid w:val="36920F61"/>
    <w:rsid w:val="369C5ACC"/>
    <w:rsid w:val="36B85B13"/>
    <w:rsid w:val="36C0205D"/>
    <w:rsid w:val="36C36220"/>
    <w:rsid w:val="36C63C26"/>
    <w:rsid w:val="36E82996"/>
    <w:rsid w:val="36F47ABA"/>
    <w:rsid w:val="370C47F4"/>
    <w:rsid w:val="370F629F"/>
    <w:rsid w:val="373A5BC6"/>
    <w:rsid w:val="37593D72"/>
    <w:rsid w:val="375D724F"/>
    <w:rsid w:val="377E5709"/>
    <w:rsid w:val="37CE510E"/>
    <w:rsid w:val="37D07E60"/>
    <w:rsid w:val="37D20EF1"/>
    <w:rsid w:val="37F05781"/>
    <w:rsid w:val="37FF0CB9"/>
    <w:rsid w:val="38097535"/>
    <w:rsid w:val="383C708F"/>
    <w:rsid w:val="387B59FB"/>
    <w:rsid w:val="38937CDE"/>
    <w:rsid w:val="389E0249"/>
    <w:rsid w:val="38B7416C"/>
    <w:rsid w:val="38D44B0E"/>
    <w:rsid w:val="38D9698A"/>
    <w:rsid w:val="38F60882"/>
    <w:rsid w:val="3947779E"/>
    <w:rsid w:val="3971380E"/>
    <w:rsid w:val="39802CD6"/>
    <w:rsid w:val="3985224C"/>
    <w:rsid w:val="3998684C"/>
    <w:rsid w:val="399B34CA"/>
    <w:rsid w:val="399B7F1E"/>
    <w:rsid w:val="39BF3EF2"/>
    <w:rsid w:val="39D5161C"/>
    <w:rsid w:val="39F12364"/>
    <w:rsid w:val="39FD1CA8"/>
    <w:rsid w:val="3A0A4263"/>
    <w:rsid w:val="3A5C17F4"/>
    <w:rsid w:val="3A634A8A"/>
    <w:rsid w:val="3A920FFF"/>
    <w:rsid w:val="3AAE2BC6"/>
    <w:rsid w:val="3AB83448"/>
    <w:rsid w:val="3AC23790"/>
    <w:rsid w:val="3AF15CE7"/>
    <w:rsid w:val="3B056631"/>
    <w:rsid w:val="3B06289E"/>
    <w:rsid w:val="3B0D20AF"/>
    <w:rsid w:val="3B145042"/>
    <w:rsid w:val="3B1644EF"/>
    <w:rsid w:val="3B3E6627"/>
    <w:rsid w:val="3B5B3C3B"/>
    <w:rsid w:val="3B6A241B"/>
    <w:rsid w:val="3B810E89"/>
    <w:rsid w:val="3BAA5B1F"/>
    <w:rsid w:val="3BB35385"/>
    <w:rsid w:val="3BCA433E"/>
    <w:rsid w:val="3BE966F0"/>
    <w:rsid w:val="3C090BBF"/>
    <w:rsid w:val="3C446E1D"/>
    <w:rsid w:val="3C52512F"/>
    <w:rsid w:val="3C593C68"/>
    <w:rsid w:val="3C5A43F8"/>
    <w:rsid w:val="3C6158A4"/>
    <w:rsid w:val="3CAC24D0"/>
    <w:rsid w:val="3CCF3BB7"/>
    <w:rsid w:val="3CD91944"/>
    <w:rsid w:val="3D09479A"/>
    <w:rsid w:val="3D350A37"/>
    <w:rsid w:val="3D3C35E7"/>
    <w:rsid w:val="3D4A0E69"/>
    <w:rsid w:val="3D591F1F"/>
    <w:rsid w:val="3D6030C2"/>
    <w:rsid w:val="3D6123FA"/>
    <w:rsid w:val="3D8363C7"/>
    <w:rsid w:val="3D8F7750"/>
    <w:rsid w:val="3D9C3026"/>
    <w:rsid w:val="3DBC470C"/>
    <w:rsid w:val="3DC21713"/>
    <w:rsid w:val="3DE36F22"/>
    <w:rsid w:val="3E1A165B"/>
    <w:rsid w:val="3E316954"/>
    <w:rsid w:val="3E4B6A74"/>
    <w:rsid w:val="3E7020E2"/>
    <w:rsid w:val="3E855B12"/>
    <w:rsid w:val="3E9967DD"/>
    <w:rsid w:val="3E9A2B74"/>
    <w:rsid w:val="3EB919E8"/>
    <w:rsid w:val="3EBF66A5"/>
    <w:rsid w:val="3ED3093A"/>
    <w:rsid w:val="3F030121"/>
    <w:rsid w:val="3F293348"/>
    <w:rsid w:val="3F340649"/>
    <w:rsid w:val="3F402F28"/>
    <w:rsid w:val="3F485EA2"/>
    <w:rsid w:val="3F751710"/>
    <w:rsid w:val="3F7734BC"/>
    <w:rsid w:val="3F795AF0"/>
    <w:rsid w:val="3F7C0BED"/>
    <w:rsid w:val="3F9F2837"/>
    <w:rsid w:val="3FA13AED"/>
    <w:rsid w:val="3FC678FF"/>
    <w:rsid w:val="3FDA61A0"/>
    <w:rsid w:val="3FF77766"/>
    <w:rsid w:val="40062DCA"/>
    <w:rsid w:val="401A1D87"/>
    <w:rsid w:val="403C4E53"/>
    <w:rsid w:val="406D4A04"/>
    <w:rsid w:val="40941D92"/>
    <w:rsid w:val="40AA727B"/>
    <w:rsid w:val="40B43827"/>
    <w:rsid w:val="40C5315C"/>
    <w:rsid w:val="40CF7981"/>
    <w:rsid w:val="410C196F"/>
    <w:rsid w:val="411E5D46"/>
    <w:rsid w:val="411F519D"/>
    <w:rsid w:val="41201006"/>
    <w:rsid w:val="41303463"/>
    <w:rsid w:val="41355D2C"/>
    <w:rsid w:val="41446D51"/>
    <w:rsid w:val="41556CA4"/>
    <w:rsid w:val="4164322D"/>
    <w:rsid w:val="41846272"/>
    <w:rsid w:val="41863F9B"/>
    <w:rsid w:val="41874A60"/>
    <w:rsid w:val="41A109A7"/>
    <w:rsid w:val="41AD7448"/>
    <w:rsid w:val="41E06087"/>
    <w:rsid w:val="41E26551"/>
    <w:rsid w:val="4201080A"/>
    <w:rsid w:val="421502BE"/>
    <w:rsid w:val="425D7A8C"/>
    <w:rsid w:val="42726014"/>
    <w:rsid w:val="427E1035"/>
    <w:rsid w:val="42D244F5"/>
    <w:rsid w:val="42E022D8"/>
    <w:rsid w:val="42ED34F9"/>
    <w:rsid w:val="42FC670A"/>
    <w:rsid w:val="434E0F6B"/>
    <w:rsid w:val="435529A0"/>
    <w:rsid w:val="43560423"/>
    <w:rsid w:val="43595BD4"/>
    <w:rsid w:val="43A1229D"/>
    <w:rsid w:val="43A3278E"/>
    <w:rsid w:val="43D17C21"/>
    <w:rsid w:val="44015853"/>
    <w:rsid w:val="441E6B1A"/>
    <w:rsid w:val="44296DC0"/>
    <w:rsid w:val="443E1D5A"/>
    <w:rsid w:val="444770B8"/>
    <w:rsid w:val="447E12AF"/>
    <w:rsid w:val="45144FC4"/>
    <w:rsid w:val="451829E2"/>
    <w:rsid w:val="453C49EC"/>
    <w:rsid w:val="45554CDD"/>
    <w:rsid w:val="455A7B13"/>
    <w:rsid w:val="456F61CC"/>
    <w:rsid w:val="45723C69"/>
    <w:rsid w:val="457D4F62"/>
    <w:rsid w:val="45D33175"/>
    <w:rsid w:val="45E835BF"/>
    <w:rsid w:val="460D6F47"/>
    <w:rsid w:val="46712183"/>
    <w:rsid w:val="46B90BD3"/>
    <w:rsid w:val="46CD21F8"/>
    <w:rsid w:val="46E4216D"/>
    <w:rsid w:val="472F5F91"/>
    <w:rsid w:val="47311C9C"/>
    <w:rsid w:val="474335F2"/>
    <w:rsid w:val="475A32FF"/>
    <w:rsid w:val="478B131F"/>
    <w:rsid w:val="47987FC7"/>
    <w:rsid w:val="47A0687C"/>
    <w:rsid w:val="47AB1125"/>
    <w:rsid w:val="47E21DC5"/>
    <w:rsid w:val="481414B1"/>
    <w:rsid w:val="48354B8F"/>
    <w:rsid w:val="48492074"/>
    <w:rsid w:val="4876582E"/>
    <w:rsid w:val="48B74AF4"/>
    <w:rsid w:val="48FF2278"/>
    <w:rsid w:val="490766EA"/>
    <w:rsid w:val="49253BF2"/>
    <w:rsid w:val="49262DB0"/>
    <w:rsid w:val="4932385F"/>
    <w:rsid w:val="493871E0"/>
    <w:rsid w:val="49896C58"/>
    <w:rsid w:val="49C1272D"/>
    <w:rsid w:val="49E87FE5"/>
    <w:rsid w:val="49F91AA9"/>
    <w:rsid w:val="4A2D7F2D"/>
    <w:rsid w:val="4A484FA8"/>
    <w:rsid w:val="4A5E775B"/>
    <w:rsid w:val="4A665789"/>
    <w:rsid w:val="4A706C00"/>
    <w:rsid w:val="4A7416F6"/>
    <w:rsid w:val="4A842440"/>
    <w:rsid w:val="4A89664D"/>
    <w:rsid w:val="4A9F61BC"/>
    <w:rsid w:val="4AD55FE3"/>
    <w:rsid w:val="4ADC32D7"/>
    <w:rsid w:val="4AEA4AAF"/>
    <w:rsid w:val="4AEF5C37"/>
    <w:rsid w:val="4AF73E6A"/>
    <w:rsid w:val="4AFF0893"/>
    <w:rsid w:val="4B5E0F27"/>
    <w:rsid w:val="4B6C77A2"/>
    <w:rsid w:val="4B955A06"/>
    <w:rsid w:val="4B973BFC"/>
    <w:rsid w:val="4BFB7E04"/>
    <w:rsid w:val="4BFF1B95"/>
    <w:rsid w:val="4C0117B8"/>
    <w:rsid w:val="4C0D73EE"/>
    <w:rsid w:val="4C241B2C"/>
    <w:rsid w:val="4C75472C"/>
    <w:rsid w:val="4C9170DB"/>
    <w:rsid w:val="4C954119"/>
    <w:rsid w:val="4CA767E0"/>
    <w:rsid w:val="4CAF7775"/>
    <w:rsid w:val="4CB3789A"/>
    <w:rsid w:val="4CF85840"/>
    <w:rsid w:val="4D111FCA"/>
    <w:rsid w:val="4D1A0424"/>
    <w:rsid w:val="4D310AF0"/>
    <w:rsid w:val="4D3B3FEE"/>
    <w:rsid w:val="4D450B93"/>
    <w:rsid w:val="4D4565F8"/>
    <w:rsid w:val="4D581A10"/>
    <w:rsid w:val="4DD454D1"/>
    <w:rsid w:val="4E267A5B"/>
    <w:rsid w:val="4E45697B"/>
    <w:rsid w:val="4E5B3A5B"/>
    <w:rsid w:val="4E745B1F"/>
    <w:rsid w:val="4E806A8D"/>
    <w:rsid w:val="4E9206BA"/>
    <w:rsid w:val="4EA115CA"/>
    <w:rsid w:val="4EF10C22"/>
    <w:rsid w:val="4EF80E76"/>
    <w:rsid w:val="4F2759B3"/>
    <w:rsid w:val="4F43134C"/>
    <w:rsid w:val="4F5F67F1"/>
    <w:rsid w:val="4F633D82"/>
    <w:rsid w:val="4F7072EC"/>
    <w:rsid w:val="4F7B49CD"/>
    <w:rsid w:val="4F7B6846"/>
    <w:rsid w:val="4FA73663"/>
    <w:rsid w:val="4FA96047"/>
    <w:rsid w:val="4FE36D80"/>
    <w:rsid w:val="4FEE0DFE"/>
    <w:rsid w:val="50030594"/>
    <w:rsid w:val="50487CA5"/>
    <w:rsid w:val="50777EEC"/>
    <w:rsid w:val="50B272C7"/>
    <w:rsid w:val="50B728D2"/>
    <w:rsid w:val="50B82E88"/>
    <w:rsid w:val="50D12C9C"/>
    <w:rsid w:val="50DE6980"/>
    <w:rsid w:val="50F97B7F"/>
    <w:rsid w:val="511D663C"/>
    <w:rsid w:val="51563A7F"/>
    <w:rsid w:val="519D4385"/>
    <w:rsid w:val="51BD06C4"/>
    <w:rsid w:val="51FC71EF"/>
    <w:rsid w:val="520A7F1F"/>
    <w:rsid w:val="52810CA8"/>
    <w:rsid w:val="528B2246"/>
    <w:rsid w:val="528C4161"/>
    <w:rsid w:val="52B600A4"/>
    <w:rsid w:val="52DD6CD3"/>
    <w:rsid w:val="52E31D12"/>
    <w:rsid w:val="52F251B2"/>
    <w:rsid w:val="52F800ED"/>
    <w:rsid w:val="53130B28"/>
    <w:rsid w:val="531839A2"/>
    <w:rsid w:val="5322312A"/>
    <w:rsid w:val="533C1422"/>
    <w:rsid w:val="533E0150"/>
    <w:rsid w:val="53826222"/>
    <w:rsid w:val="53AC0F68"/>
    <w:rsid w:val="53B265E8"/>
    <w:rsid w:val="53B6581A"/>
    <w:rsid w:val="53D13077"/>
    <w:rsid w:val="53D3776A"/>
    <w:rsid w:val="53DF21E6"/>
    <w:rsid w:val="53F618EB"/>
    <w:rsid w:val="53F77ABD"/>
    <w:rsid w:val="53FC6AF0"/>
    <w:rsid w:val="54146F87"/>
    <w:rsid w:val="543D790E"/>
    <w:rsid w:val="544660AE"/>
    <w:rsid w:val="544E5CAC"/>
    <w:rsid w:val="54596730"/>
    <w:rsid w:val="54652481"/>
    <w:rsid w:val="54792DEC"/>
    <w:rsid w:val="548D21E9"/>
    <w:rsid w:val="54CD1572"/>
    <w:rsid w:val="54E23C12"/>
    <w:rsid w:val="54EE7745"/>
    <w:rsid w:val="54F254F9"/>
    <w:rsid w:val="54F975CB"/>
    <w:rsid w:val="54FE3BCD"/>
    <w:rsid w:val="553700F3"/>
    <w:rsid w:val="554977AB"/>
    <w:rsid w:val="556E6392"/>
    <w:rsid w:val="55805638"/>
    <w:rsid w:val="558D3BEF"/>
    <w:rsid w:val="55901FBF"/>
    <w:rsid w:val="55CD12A5"/>
    <w:rsid w:val="55DA42EC"/>
    <w:rsid w:val="55E8642D"/>
    <w:rsid w:val="561429C4"/>
    <w:rsid w:val="561D1936"/>
    <w:rsid w:val="564856A6"/>
    <w:rsid w:val="564D1E85"/>
    <w:rsid w:val="56531966"/>
    <w:rsid w:val="565B5E47"/>
    <w:rsid w:val="565C1500"/>
    <w:rsid w:val="56643D09"/>
    <w:rsid w:val="56930792"/>
    <w:rsid w:val="569F0C0F"/>
    <w:rsid w:val="56CD227A"/>
    <w:rsid w:val="56E27525"/>
    <w:rsid w:val="57155138"/>
    <w:rsid w:val="57281D9C"/>
    <w:rsid w:val="572C0246"/>
    <w:rsid w:val="57594FC6"/>
    <w:rsid w:val="575A5CF0"/>
    <w:rsid w:val="575B6763"/>
    <w:rsid w:val="57B303A3"/>
    <w:rsid w:val="57D25ECD"/>
    <w:rsid w:val="57E9283C"/>
    <w:rsid w:val="580B08A5"/>
    <w:rsid w:val="58361688"/>
    <w:rsid w:val="586E7FDF"/>
    <w:rsid w:val="587249E7"/>
    <w:rsid w:val="58944D23"/>
    <w:rsid w:val="589A2E73"/>
    <w:rsid w:val="589C7A9D"/>
    <w:rsid w:val="58A643C8"/>
    <w:rsid w:val="58B23BEB"/>
    <w:rsid w:val="58B974A0"/>
    <w:rsid w:val="58C73650"/>
    <w:rsid w:val="58CE5507"/>
    <w:rsid w:val="58D66231"/>
    <w:rsid w:val="58F4719D"/>
    <w:rsid w:val="590219A9"/>
    <w:rsid w:val="5910067A"/>
    <w:rsid w:val="592B4FB1"/>
    <w:rsid w:val="59470B33"/>
    <w:rsid w:val="594C3AC1"/>
    <w:rsid w:val="596A5F8F"/>
    <w:rsid w:val="59727E80"/>
    <w:rsid w:val="599F28FD"/>
    <w:rsid w:val="59E41A84"/>
    <w:rsid w:val="5A067A47"/>
    <w:rsid w:val="5A0D37DE"/>
    <w:rsid w:val="5A3F7C38"/>
    <w:rsid w:val="5A860444"/>
    <w:rsid w:val="5A9B3E81"/>
    <w:rsid w:val="5AB16C31"/>
    <w:rsid w:val="5AB27793"/>
    <w:rsid w:val="5AC663CB"/>
    <w:rsid w:val="5AEE32E6"/>
    <w:rsid w:val="5B231FF4"/>
    <w:rsid w:val="5B450BE7"/>
    <w:rsid w:val="5B5F65E6"/>
    <w:rsid w:val="5B7F5777"/>
    <w:rsid w:val="5B8B5E06"/>
    <w:rsid w:val="5BAC781E"/>
    <w:rsid w:val="5BB96664"/>
    <w:rsid w:val="5BC76675"/>
    <w:rsid w:val="5BDC65C3"/>
    <w:rsid w:val="5BDE19C3"/>
    <w:rsid w:val="5BF14020"/>
    <w:rsid w:val="5C286E01"/>
    <w:rsid w:val="5C2B21AD"/>
    <w:rsid w:val="5C396B22"/>
    <w:rsid w:val="5C4505E5"/>
    <w:rsid w:val="5C4E3260"/>
    <w:rsid w:val="5CF40956"/>
    <w:rsid w:val="5D1C5AEF"/>
    <w:rsid w:val="5D1F5532"/>
    <w:rsid w:val="5D485BEA"/>
    <w:rsid w:val="5D4D6168"/>
    <w:rsid w:val="5D6331D9"/>
    <w:rsid w:val="5DFC47CB"/>
    <w:rsid w:val="5E0C22FB"/>
    <w:rsid w:val="5E244CC1"/>
    <w:rsid w:val="5E507F6B"/>
    <w:rsid w:val="5E673379"/>
    <w:rsid w:val="5E687DA4"/>
    <w:rsid w:val="5E79092E"/>
    <w:rsid w:val="5E850C93"/>
    <w:rsid w:val="5EB377F5"/>
    <w:rsid w:val="5EC03952"/>
    <w:rsid w:val="5EE40514"/>
    <w:rsid w:val="5EE47A37"/>
    <w:rsid w:val="5F04415A"/>
    <w:rsid w:val="5F067C2A"/>
    <w:rsid w:val="5F0C09DA"/>
    <w:rsid w:val="5F1978CA"/>
    <w:rsid w:val="5F2002C9"/>
    <w:rsid w:val="5F215903"/>
    <w:rsid w:val="5F311D7C"/>
    <w:rsid w:val="5F381A32"/>
    <w:rsid w:val="5F75730C"/>
    <w:rsid w:val="5F880D19"/>
    <w:rsid w:val="5F995BC4"/>
    <w:rsid w:val="5F9F3DDE"/>
    <w:rsid w:val="5FC36300"/>
    <w:rsid w:val="5FD44804"/>
    <w:rsid w:val="5FEE1A27"/>
    <w:rsid w:val="60014CAC"/>
    <w:rsid w:val="60257F56"/>
    <w:rsid w:val="60370EFC"/>
    <w:rsid w:val="603B4F43"/>
    <w:rsid w:val="60634D52"/>
    <w:rsid w:val="60710A59"/>
    <w:rsid w:val="60855743"/>
    <w:rsid w:val="60A0135C"/>
    <w:rsid w:val="60AA7927"/>
    <w:rsid w:val="60C506EC"/>
    <w:rsid w:val="60C51BA0"/>
    <w:rsid w:val="60D93ED9"/>
    <w:rsid w:val="60DC63D1"/>
    <w:rsid w:val="60E417DD"/>
    <w:rsid w:val="611E6B38"/>
    <w:rsid w:val="613B2CE7"/>
    <w:rsid w:val="61501C21"/>
    <w:rsid w:val="61544DA9"/>
    <w:rsid w:val="61600EB8"/>
    <w:rsid w:val="616131B6"/>
    <w:rsid w:val="61661C0E"/>
    <w:rsid w:val="617210A3"/>
    <w:rsid w:val="61752669"/>
    <w:rsid w:val="61780BEF"/>
    <w:rsid w:val="617F7C04"/>
    <w:rsid w:val="61897F29"/>
    <w:rsid w:val="61920363"/>
    <w:rsid w:val="619433BF"/>
    <w:rsid w:val="61972A9E"/>
    <w:rsid w:val="61DB4C28"/>
    <w:rsid w:val="61DB58CA"/>
    <w:rsid w:val="61E16EBF"/>
    <w:rsid w:val="61EB6D3B"/>
    <w:rsid w:val="62376C25"/>
    <w:rsid w:val="6240424E"/>
    <w:rsid w:val="62562896"/>
    <w:rsid w:val="626837CC"/>
    <w:rsid w:val="6287718D"/>
    <w:rsid w:val="628A3257"/>
    <w:rsid w:val="628D4321"/>
    <w:rsid w:val="62BF228F"/>
    <w:rsid w:val="62C60B30"/>
    <w:rsid w:val="62D93AF0"/>
    <w:rsid w:val="6303269A"/>
    <w:rsid w:val="630B6E66"/>
    <w:rsid w:val="63125445"/>
    <w:rsid w:val="63161283"/>
    <w:rsid w:val="63251878"/>
    <w:rsid w:val="632B7271"/>
    <w:rsid w:val="633E0632"/>
    <w:rsid w:val="63645A61"/>
    <w:rsid w:val="63770159"/>
    <w:rsid w:val="638742FC"/>
    <w:rsid w:val="63970CEB"/>
    <w:rsid w:val="63BD26EF"/>
    <w:rsid w:val="63C66B54"/>
    <w:rsid w:val="640D6773"/>
    <w:rsid w:val="64216B3E"/>
    <w:rsid w:val="642878F5"/>
    <w:rsid w:val="64C249D3"/>
    <w:rsid w:val="650E6538"/>
    <w:rsid w:val="651219F8"/>
    <w:rsid w:val="652633E0"/>
    <w:rsid w:val="652A436F"/>
    <w:rsid w:val="654741BF"/>
    <w:rsid w:val="65480E51"/>
    <w:rsid w:val="656F203B"/>
    <w:rsid w:val="65706604"/>
    <w:rsid w:val="657F0910"/>
    <w:rsid w:val="65814E31"/>
    <w:rsid w:val="65912FF5"/>
    <w:rsid w:val="659D7630"/>
    <w:rsid w:val="65A62C37"/>
    <w:rsid w:val="65B323C5"/>
    <w:rsid w:val="65C01CA8"/>
    <w:rsid w:val="65E9360D"/>
    <w:rsid w:val="65ED2315"/>
    <w:rsid w:val="66335E06"/>
    <w:rsid w:val="665C2EAC"/>
    <w:rsid w:val="666E4AD9"/>
    <w:rsid w:val="6674047F"/>
    <w:rsid w:val="6682486F"/>
    <w:rsid w:val="669A7095"/>
    <w:rsid w:val="66A31ADA"/>
    <w:rsid w:val="66A95C31"/>
    <w:rsid w:val="66AD290B"/>
    <w:rsid w:val="66C93C0E"/>
    <w:rsid w:val="66FD14C3"/>
    <w:rsid w:val="67001FF9"/>
    <w:rsid w:val="67057D0F"/>
    <w:rsid w:val="67097DDB"/>
    <w:rsid w:val="672D63D3"/>
    <w:rsid w:val="673F400F"/>
    <w:rsid w:val="673F7A07"/>
    <w:rsid w:val="67461271"/>
    <w:rsid w:val="676D434F"/>
    <w:rsid w:val="67745E7A"/>
    <w:rsid w:val="678C51D8"/>
    <w:rsid w:val="67B3644A"/>
    <w:rsid w:val="67CB7BCD"/>
    <w:rsid w:val="67D14620"/>
    <w:rsid w:val="67D94BCB"/>
    <w:rsid w:val="68066F57"/>
    <w:rsid w:val="68285B0D"/>
    <w:rsid w:val="683804E2"/>
    <w:rsid w:val="68394457"/>
    <w:rsid w:val="684612CE"/>
    <w:rsid w:val="68500FC4"/>
    <w:rsid w:val="685A0EEC"/>
    <w:rsid w:val="689C2126"/>
    <w:rsid w:val="68A70442"/>
    <w:rsid w:val="68AC37A5"/>
    <w:rsid w:val="68B8372A"/>
    <w:rsid w:val="68C325C7"/>
    <w:rsid w:val="68E65DC7"/>
    <w:rsid w:val="68EA648D"/>
    <w:rsid w:val="68F23295"/>
    <w:rsid w:val="69187319"/>
    <w:rsid w:val="69254DDE"/>
    <w:rsid w:val="692E63C5"/>
    <w:rsid w:val="69320EA6"/>
    <w:rsid w:val="697107B3"/>
    <w:rsid w:val="69737DF9"/>
    <w:rsid w:val="697A10F3"/>
    <w:rsid w:val="697A6D97"/>
    <w:rsid w:val="69D810EC"/>
    <w:rsid w:val="69DF6848"/>
    <w:rsid w:val="69FE1833"/>
    <w:rsid w:val="69FE6B12"/>
    <w:rsid w:val="6A460B14"/>
    <w:rsid w:val="6A4A5616"/>
    <w:rsid w:val="6A4E5255"/>
    <w:rsid w:val="6A89435D"/>
    <w:rsid w:val="6A8D1C1B"/>
    <w:rsid w:val="6AB40320"/>
    <w:rsid w:val="6AB54C5A"/>
    <w:rsid w:val="6ACB2C71"/>
    <w:rsid w:val="6AD53371"/>
    <w:rsid w:val="6AFA7337"/>
    <w:rsid w:val="6B1D7CEB"/>
    <w:rsid w:val="6B4D5406"/>
    <w:rsid w:val="6B50461A"/>
    <w:rsid w:val="6B564544"/>
    <w:rsid w:val="6B834D36"/>
    <w:rsid w:val="6BA80FAF"/>
    <w:rsid w:val="6BAF6C95"/>
    <w:rsid w:val="6BC41B4E"/>
    <w:rsid w:val="6BC50A85"/>
    <w:rsid w:val="6BCD3509"/>
    <w:rsid w:val="6BF4489A"/>
    <w:rsid w:val="6C0525B0"/>
    <w:rsid w:val="6C0B3641"/>
    <w:rsid w:val="6C133E58"/>
    <w:rsid w:val="6C214FF0"/>
    <w:rsid w:val="6C3B6CA2"/>
    <w:rsid w:val="6C3E6A99"/>
    <w:rsid w:val="6C434353"/>
    <w:rsid w:val="6C440346"/>
    <w:rsid w:val="6C53192C"/>
    <w:rsid w:val="6C554611"/>
    <w:rsid w:val="6C6447E9"/>
    <w:rsid w:val="6C677FE9"/>
    <w:rsid w:val="6C957F99"/>
    <w:rsid w:val="6CA125AA"/>
    <w:rsid w:val="6CA272FD"/>
    <w:rsid w:val="6CA465EB"/>
    <w:rsid w:val="6CB56076"/>
    <w:rsid w:val="6CB75918"/>
    <w:rsid w:val="6CB83DBF"/>
    <w:rsid w:val="6D0C5A14"/>
    <w:rsid w:val="6D607753"/>
    <w:rsid w:val="6D821B4D"/>
    <w:rsid w:val="6DCF16F3"/>
    <w:rsid w:val="6DDA39EB"/>
    <w:rsid w:val="6DE93EA5"/>
    <w:rsid w:val="6DF960D4"/>
    <w:rsid w:val="6E12266E"/>
    <w:rsid w:val="6E2D13E0"/>
    <w:rsid w:val="6E39677A"/>
    <w:rsid w:val="6E3C79AA"/>
    <w:rsid w:val="6E4E2795"/>
    <w:rsid w:val="6E693FA2"/>
    <w:rsid w:val="6E8D471E"/>
    <w:rsid w:val="6EAA1898"/>
    <w:rsid w:val="6EAE410A"/>
    <w:rsid w:val="6EBD02A6"/>
    <w:rsid w:val="6EDA0DF8"/>
    <w:rsid w:val="6EDF6229"/>
    <w:rsid w:val="6EF7293D"/>
    <w:rsid w:val="6EFB698F"/>
    <w:rsid w:val="6F1B4538"/>
    <w:rsid w:val="6F2E775C"/>
    <w:rsid w:val="6F5716B3"/>
    <w:rsid w:val="6F581402"/>
    <w:rsid w:val="6F5B35C6"/>
    <w:rsid w:val="6F603092"/>
    <w:rsid w:val="6F971A71"/>
    <w:rsid w:val="6FCF31D1"/>
    <w:rsid w:val="702343DA"/>
    <w:rsid w:val="70526D8F"/>
    <w:rsid w:val="70745ED7"/>
    <w:rsid w:val="70995C19"/>
    <w:rsid w:val="70A46B2D"/>
    <w:rsid w:val="70AC7B92"/>
    <w:rsid w:val="70AF0E60"/>
    <w:rsid w:val="70E13D84"/>
    <w:rsid w:val="70EC3DBC"/>
    <w:rsid w:val="70FD7CD0"/>
    <w:rsid w:val="71751439"/>
    <w:rsid w:val="71776F79"/>
    <w:rsid w:val="717A5555"/>
    <w:rsid w:val="71883676"/>
    <w:rsid w:val="719C683D"/>
    <w:rsid w:val="71B702A2"/>
    <w:rsid w:val="71C15E6B"/>
    <w:rsid w:val="71CB3181"/>
    <w:rsid w:val="71E94733"/>
    <w:rsid w:val="71EE16E8"/>
    <w:rsid w:val="71F84EC8"/>
    <w:rsid w:val="71F922C0"/>
    <w:rsid w:val="720A3887"/>
    <w:rsid w:val="720F446E"/>
    <w:rsid w:val="722F7521"/>
    <w:rsid w:val="724F2113"/>
    <w:rsid w:val="726B32A2"/>
    <w:rsid w:val="72800C4F"/>
    <w:rsid w:val="72AF5315"/>
    <w:rsid w:val="72D37F84"/>
    <w:rsid w:val="72DB16C1"/>
    <w:rsid w:val="730C0DD1"/>
    <w:rsid w:val="73871694"/>
    <w:rsid w:val="739B38F2"/>
    <w:rsid w:val="73BC3EE3"/>
    <w:rsid w:val="73C07115"/>
    <w:rsid w:val="740069FC"/>
    <w:rsid w:val="74056531"/>
    <w:rsid w:val="74237D69"/>
    <w:rsid w:val="744125CB"/>
    <w:rsid w:val="74863B45"/>
    <w:rsid w:val="7490349F"/>
    <w:rsid w:val="74A13118"/>
    <w:rsid w:val="74A91D21"/>
    <w:rsid w:val="74B077F6"/>
    <w:rsid w:val="74D11C67"/>
    <w:rsid w:val="74D37FA9"/>
    <w:rsid w:val="74ED0262"/>
    <w:rsid w:val="75674787"/>
    <w:rsid w:val="757B2610"/>
    <w:rsid w:val="75D97893"/>
    <w:rsid w:val="75DC449C"/>
    <w:rsid w:val="75EA4AE8"/>
    <w:rsid w:val="75F778EF"/>
    <w:rsid w:val="75F933AE"/>
    <w:rsid w:val="762E36B3"/>
    <w:rsid w:val="765C7562"/>
    <w:rsid w:val="767145B6"/>
    <w:rsid w:val="767E572A"/>
    <w:rsid w:val="769D49E7"/>
    <w:rsid w:val="76DA1D75"/>
    <w:rsid w:val="773866FE"/>
    <w:rsid w:val="77403858"/>
    <w:rsid w:val="77403B93"/>
    <w:rsid w:val="774A1073"/>
    <w:rsid w:val="778954C7"/>
    <w:rsid w:val="77C44D45"/>
    <w:rsid w:val="77DF3F87"/>
    <w:rsid w:val="77E75A2E"/>
    <w:rsid w:val="77F36579"/>
    <w:rsid w:val="78254122"/>
    <w:rsid w:val="78495C02"/>
    <w:rsid w:val="78785C96"/>
    <w:rsid w:val="787E1EC5"/>
    <w:rsid w:val="789D1CD2"/>
    <w:rsid w:val="78F046A9"/>
    <w:rsid w:val="790348F9"/>
    <w:rsid w:val="791A7D67"/>
    <w:rsid w:val="793C1D0E"/>
    <w:rsid w:val="79473C66"/>
    <w:rsid w:val="7950187D"/>
    <w:rsid w:val="79530AEB"/>
    <w:rsid w:val="79672A2A"/>
    <w:rsid w:val="7976312E"/>
    <w:rsid w:val="79A8143C"/>
    <w:rsid w:val="79AF0CE0"/>
    <w:rsid w:val="79DC33AE"/>
    <w:rsid w:val="7A0E5017"/>
    <w:rsid w:val="7A2904CA"/>
    <w:rsid w:val="7A4337A5"/>
    <w:rsid w:val="7A533773"/>
    <w:rsid w:val="7A586A6F"/>
    <w:rsid w:val="7A6F4662"/>
    <w:rsid w:val="7A741202"/>
    <w:rsid w:val="7A7461FC"/>
    <w:rsid w:val="7A9F7E01"/>
    <w:rsid w:val="7AA03893"/>
    <w:rsid w:val="7AAC08C3"/>
    <w:rsid w:val="7AC86E05"/>
    <w:rsid w:val="7B063E88"/>
    <w:rsid w:val="7B2A5C62"/>
    <w:rsid w:val="7B4A49B3"/>
    <w:rsid w:val="7B5A1F4D"/>
    <w:rsid w:val="7B6C13AE"/>
    <w:rsid w:val="7B6C4213"/>
    <w:rsid w:val="7B71211A"/>
    <w:rsid w:val="7B73124E"/>
    <w:rsid w:val="7B810D05"/>
    <w:rsid w:val="7B837844"/>
    <w:rsid w:val="7B9504C1"/>
    <w:rsid w:val="7BAD5F69"/>
    <w:rsid w:val="7BAE0A31"/>
    <w:rsid w:val="7BD636DA"/>
    <w:rsid w:val="7BF80E77"/>
    <w:rsid w:val="7BFA0614"/>
    <w:rsid w:val="7BFF194C"/>
    <w:rsid w:val="7C0145A0"/>
    <w:rsid w:val="7C181F6C"/>
    <w:rsid w:val="7C276B9D"/>
    <w:rsid w:val="7C363C60"/>
    <w:rsid w:val="7C3D3CA5"/>
    <w:rsid w:val="7C3F770A"/>
    <w:rsid w:val="7C705B15"/>
    <w:rsid w:val="7C8C5CE0"/>
    <w:rsid w:val="7C992C23"/>
    <w:rsid w:val="7C9B3097"/>
    <w:rsid w:val="7CA20F34"/>
    <w:rsid w:val="7CAB6E76"/>
    <w:rsid w:val="7CB400F8"/>
    <w:rsid w:val="7CC55261"/>
    <w:rsid w:val="7CC721AF"/>
    <w:rsid w:val="7CE860D5"/>
    <w:rsid w:val="7D11121B"/>
    <w:rsid w:val="7D20600D"/>
    <w:rsid w:val="7D39738D"/>
    <w:rsid w:val="7D3F31B9"/>
    <w:rsid w:val="7D7B7E40"/>
    <w:rsid w:val="7D8151C2"/>
    <w:rsid w:val="7DCB4B07"/>
    <w:rsid w:val="7DDC02D1"/>
    <w:rsid w:val="7DE61596"/>
    <w:rsid w:val="7DF82D9C"/>
    <w:rsid w:val="7E362BAE"/>
    <w:rsid w:val="7E454EA8"/>
    <w:rsid w:val="7E8B1C83"/>
    <w:rsid w:val="7E960221"/>
    <w:rsid w:val="7ECB34D7"/>
    <w:rsid w:val="7EDE4909"/>
    <w:rsid w:val="7EEC1826"/>
    <w:rsid w:val="7F2C5855"/>
    <w:rsid w:val="7F316E32"/>
    <w:rsid w:val="7F4B5CC4"/>
    <w:rsid w:val="7F675DDD"/>
    <w:rsid w:val="7F6A0A1F"/>
    <w:rsid w:val="7FA935E4"/>
    <w:rsid w:val="7FCE35B1"/>
    <w:rsid w:val="7FEE1CA3"/>
    <w:rsid w:val="7FF63C3C"/>
    <w:rsid w:val="7FFD6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sz w:val="24"/>
    </w:rPr>
  </w:style>
  <w:style w:type="paragraph" w:customStyle="1" w:styleId="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toa heading"/>
    <w:basedOn w:val="1"/>
    <w:next w:val="1"/>
    <w:unhideWhenUsed/>
    <w:qFormat/>
    <w:uiPriority w:val="99"/>
    <w:pPr>
      <w:spacing w:before="120" w:after="100" w:afterAutospacing="1"/>
      <w:outlineLvl w:val="0"/>
    </w:pPr>
    <w:rPr>
      <w:rFonts w:ascii="宋体" w:hAnsi="Calibri" w:cs="宋体"/>
      <w:bCs/>
      <w:kern w:val="0"/>
      <w:sz w:val="28"/>
      <w:szCs w:val="28"/>
    </w:rPr>
  </w:style>
  <w:style w:type="paragraph" w:styleId="5">
    <w:name w:val="footer"/>
    <w:basedOn w:val="1"/>
    <w:next w:val="2"/>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semiHidden/>
    <w:qFormat/>
    <w:uiPriority w:val="99"/>
    <w:pPr>
      <w:ind w:left="420" w:leftChars="200"/>
    </w:pPr>
  </w:style>
  <w:style w:type="paragraph" w:styleId="8">
    <w:name w:val="Body Text 2"/>
    <w:basedOn w:val="1"/>
    <w:qFormat/>
    <w:uiPriority w:val="99"/>
    <w:rPr>
      <w:rFonts w:ascii="仿宋_GB2312" w:hAnsi="宋体" w:eastAsia="仿宋_GB2312" w:cs="仿宋_GB2312"/>
      <w:sz w:val="28"/>
      <w:szCs w:val="28"/>
    </w:rPr>
  </w:style>
  <w:style w:type="paragraph" w:styleId="9">
    <w:name w:val="Normal (Web)"/>
    <w:basedOn w:val="1"/>
    <w:qFormat/>
    <w:uiPriority w:val="99"/>
    <w:rPr>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FollowedHyperlink"/>
    <w:basedOn w:val="12"/>
    <w:qFormat/>
    <w:uiPriority w:val="0"/>
    <w:rPr>
      <w:color w:val="4455AA"/>
      <w:u w:val="none"/>
    </w:rPr>
  </w:style>
  <w:style w:type="paragraph" w:customStyle="1" w:styleId="14">
    <w:name w:val="heading 3"/>
    <w:basedOn w:val="1"/>
    <w:next w:val="1"/>
    <w:qFormat/>
    <w:uiPriority w:val="0"/>
    <w:pPr>
      <w:keepNext/>
      <w:keepLines/>
      <w:spacing w:before="260" w:after="260" w:line="415" w:lineRule="auto"/>
      <w:outlineLvl w:val="2"/>
    </w:pPr>
    <w:rPr>
      <w:rFonts w:hint="eastAsia"/>
      <w:sz w:val="30"/>
      <w:szCs w:val="20"/>
    </w:rPr>
  </w:style>
  <w:style w:type="paragraph" w:styleId="15">
    <w:name w:val="List Paragraph"/>
    <w:basedOn w:val="1"/>
    <w:qFormat/>
    <w:uiPriority w:val="1"/>
    <w:pPr>
      <w:spacing w:before="3"/>
      <w:ind w:left="255" w:right="272" w:firstLine="600"/>
    </w:pPr>
    <w:rPr>
      <w:rFonts w:ascii="宋体" w:hAnsi="宋体" w:eastAsia="宋体" w:cs="宋体"/>
      <w:lang w:val="en-US" w:eastAsia="zh-CN" w:bidi="ar-SA"/>
    </w:rPr>
  </w:style>
  <w:style w:type="character" w:customStyle="1" w:styleId="16">
    <w:name w:val="font11"/>
    <w:basedOn w:val="12"/>
    <w:qFormat/>
    <w:uiPriority w:val="0"/>
    <w:rPr>
      <w:rFonts w:hint="eastAsia" w:ascii="宋体" w:hAnsi="宋体" w:eastAsia="宋体" w:cs="宋体"/>
      <w:color w:val="000000"/>
      <w:sz w:val="22"/>
      <w:szCs w:val="22"/>
      <w:u w:val="none"/>
    </w:rPr>
  </w:style>
  <w:style w:type="character" w:customStyle="1" w:styleId="17">
    <w:name w:val="font41"/>
    <w:basedOn w:val="12"/>
    <w:qFormat/>
    <w:uiPriority w:val="0"/>
    <w:rPr>
      <w:rFonts w:ascii="宋体" w:hAnsi="宋体" w:eastAsia="宋体" w:cs="宋体"/>
      <w:color w:val="000000"/>
      <w:sz w:val="20"/>
      <w:szCs w:val="20"/>
      <w:u w:val="none"/>
    </w:rPr>
  </w:style>
  <w:style w:type="character" w:customStyle="1" w:styleId="18">
    <w:name w:val="font51"/>
    <w:basedOn w:val="12"/>
    <w:qFormat/>
    <w:uiPriority w:val="0"/>
    <w:rPr>
      <w:rFonts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cp:lastModifiedBy>
  <dcterms:modified xsi:type="dcterms:W3CDTF">2024-04-26T09:30:59Z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3BCE44E50DA34A4E85C7560BA94660A7</vt:lpwstr>
  </property>
</Properties>
</file>