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jc w:val="center"/>
        <w:rPr>
          <w:rFonts w:ascii="黑体" w:hAnsi="黑体" w:eastAsia="黑体" w:cs="黑体"/>
          <w:b w:val="0"/>
          <w:bCs w:val="0"/>
          <w:sz w:val="48"/>
          <w:szCs w:val="48"/>
        </w:rPr>
      </w:pPr>
      <w:r>
        <w:rPr>
          <w:rFonts w:hint="eastAsia" w:ascii="黑体" w:hAnsi="黑体" w:eastAsia="黑体" w:cs="黑体"/>
          <w:sz w:val="48"/>
          <w:szCs w:val="48"/>
        </w:rPr>
        <w:t>白芦</w:t>
      </w:r>
      <w:r>
        <w:rPr>
          <w:rFonts w:hint="eastAsia" w:ascii="黑体" w:hAnsi="黑体" w:eastAsia="黑体" w:cs="黑体"/>
          <w:b w:val="0"/>
          <w:bCs w:val="0"/>
          <w:sz w:val="48"/>
          <w:szCs w:val="48"/>
        </w:rPr>
        <w:t>煤业职业健康体检</w:t>
      </w:r>
    </w:p>
    <w:p>
      <w:pPr>
        <w:pStyle w:val="19"/>
        <w:jc w:val="center"/>
        <w:rPr>
          <w:rFonts w:ascii="黑体" w:hAnsi="黑体" w:eastAsia="黑体" w:cs="黑体"/>
          <w:sz w:val="48"/>
          <w:szCs w:val="48"/>
          <w:highlight w:val="yellow"/>
        </w:rPr>
      </w:pPr>
    </w:p>
    <w:p>
      <w:pPr>
        <w:pStyle w:val="19"/>
        <w:jc w:val="center"/>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16"/>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XJ202404HYGC090</w:t>
      </w:r>
    </w:p>
    <w:p>
      <w:pPr>
        <w:autoSpaceDE w:val="0"/>
        <w:autoSpaceDN w:val="0"/>
        <w:adjustRightInd w:val="0"/>
        <w:spacing w:line="240" w:lineRule="atLeast"/>
        <w:ind w:left="259" w:firstLine="1536" w:firstLineChars="480"/>
        <w:rPr>
          <w:rFonts w:ascii="宋体" w:hAnsi="宋体" w:cs="宋体"/>
          <w:b w:val="0"/>
          <w:bCs w:val="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sz w:val="32"/>
          <w:szCs w:val="32"/>
        </w:rPr>
        <w:t>人：中煤华昱公司白芦煤业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highlight w:val="yellow"/>
        </w:rPr>
      </w:pPr>
      <w:r>
        <w:rPr>
          <w:rFonts w:hint="eastAsia" w:ascii="宋体" w:hAnsi="宋体" w:cs="宋体"/>
          <w:b w:val="0"/>
          <w:bCs w:val="0"/>
          <w:highlight w:val="yellow"/>
        </w:rPr>
        <w:t>二零二</w:t>
      </w:r>
      <w:r>
        <w:rPr>
          <w:rFonts w:hint="eastAsia" w:ascii="宋体" w:hAnsi="宋体" w:cs="宋体"/>
          <w:b w:val="0"/>
          <w:bCs w:val="0"/>
          <w:highlight w:val="yellow"/>
          <w:lang w:val="en-US" w:eastAsia="zh-CN"/>
        </w:rPr>
        <w:t>四</w:t>
      </w:r>
      <w:r>
        <w:rPr>
          <w:rFonts w:hint="eastAsia" w:ascii="宋体" w:hAnsi="宋体" w:cs="宋体"/>
          <w:b w:val="0"/>
          <w:bCs w:val="0"/>
          <w:highlight w:val="yellow"/>
        </w:rPr>
        <w:t>年</w:t>
      </w:r>
      <w:r>
        <w:rPr>
          <w:rFonts w:hint="eastAsia" w:ascii="宋体" w:hAnsi="宋体" w:cs="宋体"/>
          <w:b w:val="0"/>
          <w:bCs w:val="0"/>
          <w:highlight w:val="yellow"/>
          <w:lang w:val="en-US" w:eastAsia="zh-CN"/>
        </w:rPr>
        <w:t>四</w:t>
      </w:r>
      <w:r>
        <w:rPr>
          <w:rFonts w:hint="eastAsia" w:ascii="宋体" w:hAnsi="宋体" w:cs="宋体"/>
          <w:b w:val="0"/>
          <w:bCs w:val="0"/>
          <w:highlight w:val="yellow"/>
        </w:rPr>
        <w:t>月</w:t>
      </w:r>
    </w:p>
    <w:p>
      <w:pPr>
        <w:rPr>
          <w:rFonts w:ascii="仿宋_GB2312" w:eastAsia="仿宋_GB2312"/>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6"/>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6"/>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widowControl/>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ascii="宋体" w:hAnsi="宋体" w:cs="宋体"/>
          <w:b w:val="0"/>
          <w:bCs w:val="0"/>
          <w:sz w:val="24"/>
          <w:szCs w:val="24"/>
          <w:lang w:eastAsia="zh-CN"/>
        </w:rPr>
        <w:t>中煤集团山西华昱能源有限公司白芦煤业</w:t>
      </w:r>
      <w:r>
        <w:rPr>
          <w:rFonts w:hint="eastAsia" w:ascii="宋体" w:hAnsi="宋体" w:cs="宋体"/>
          <w:b w:val="0"/>
          <w:bCs w:val="0"/>
          <w:sz w:val="24"/>
          <w:szCs w:val="24"/>
        </w:rPr>
        <w:t>职业健康体检</w:t>
      </w:r>
    </w:p>
    <w:p>
      <w:pPr>
        <w:spacing w:line="240" w:lineRule="auto"/>
        <w:ind w:firstLine="480" w:firstLineChars="200"/>
        <w:rPr>
          <w:rFonts w:ascii="宋体" w:hAnsi="宋体" w:cs="宋体"/>
          <w:b w:val="0"/>
          <w:bCs w:val="0"/>
          <w:sz w:val="24"/>
          <w:szCs w:val="24"/>
        </w:rPr>
      </w:pPr>
      <w:r>
        <w:rPr>
          <w:rFonts w:hint="eastAsia" w:ascii="宋体" w:hAnsi="宋体" w:cs="宋体"/>
          <w:b w:val="0"/>
          <w:bCs w:val="0"/>
          <w:sz w:val="24"/>
          <w:szCs w:val="24"/>
        </w:rPr>
        <w:t>询价方式:公开询比</w:t>
      </w:r>
    </w:p>
    <w:p>
      <w:pPr>
        <w:pStyle w:val="16"/>
        <w:rPr>
          <w:rFonts w:ascii="宋体" w:hAnsi="宋体" w:cs="宋体"/>
          <w:b w:val="0"/>
          <w:bCs w:val="0"/>
          <w:sz w:val="24"/>
          <w:szCs w:val="24"/>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 xml:space="preserve">发布公告日期: </w:t>
      </w:r>
      <w:r>
        <w:rPr>
          <w:rFonts w:hint="eastAsia" w:ascii="宋体" w:hAnsi="宋体" w:cs="宋体"/>
          <w:b w:val="0"/>
          <w:bCs w:val="0"/>
          <w:sz w:val="24"/>
          <w:szCs w:val="24"/>
          <w:lang w:val="en-US" w:eastAsia="zh-CN"/>
        </w:rPr>
        <w:t>2024年4月2日</w:t>
      </w:r>
    </w:p>
    <w:p>
      <w:pPr>
        <w:spacing w:line="360" w:lineRule="auto"/>
        <w:ind w:firstLine="480" w:firstLineChars="200"/>
        <w:rPr>
          <w:rFonts w:hint="default" w:ascii="宋体" w:hAnsi="宋体" w:cs="宋体"/>
          <w:b w:val="0"/>
          <w:bCs w:val="0"/>
          <w:sz w:val="24"/>
          <w:szCs w:val="24"/>
          <w:lang w:val="en-US"/>
        </w:rPr>
      </w:pPr>
      <w:r>
        <w:rPr>
          <w:rFonts w:hint="eastAsia" w:ascii="宋体" w:hAnsi="宋体" w:cs="宋体"/>
          <w:b w:val="0"/>
          <w:bCs w:val="0"/>
          <w:sz w:val="24"/>
          <w:szCs w:val="24"/>
        </w:rPr>
        <w:t>报名截止日期：</w:t>
      </w:r>
      <w:r>
        <w:rPr>
          <w:rFonts w:hint="eastAsia" w:ascii="宋体" w:hAnsi="宋体" w:cs="宋体"/>
          <w:b w:val="0"/>
          <w:bCs w:val="0"/>
          <w:sz w:val="24"/>
          <w:szCs w:val="24"/>
          <w:lang w:val="en-US" w:eastAsia="zh-CN"/>
        </w:rPr>
        <w:t>2024年4月9日07:40</w:t>
      </w:r>
      <w:bookmarkStart w:id="1" w:name="_GoBack"/>
      <w:bookmarkEnd w:id="1"/>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w:t>
      </w:r>
      <w:r>
        <w:rPr>
          <w:rFonts w:hint="eastAsia" w:ascii="宋体" w:hAnsi="宋体" w:cs="宋体"/>
          <w:b w:val="0"/>
          <w:bCs w:val="0"/>
          <w:sz w:val="24"/>
          <w:szCs w:val="24"/>
          <w:lang w:val="en-US" w:eastAsia="zh-CN"/>
        </w:rPr>
        <w:t>2024年4月9日07:50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w:t>
      </w:r>
      <w:r>
        <w:rPr>
          <w:rFonts w:hint="eastAsia" w:ascii="宋体" w:hAnsi="宋体" w:cs="宋体"/>
          <w:b w:val="0"/>
          <w:bCs w:val="0"/>
          <w:sz w:val="24"/>
          <w:szCs w:val="24"/>
          <w:lang w:val="en-US" w:eastAsia="zh-CN"/>
        </w:rPr>
        <w:t>2024年4月9日08:00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1.项目概况：根据国家《作业场所职业病危害防治法》相关规定，白芦煤业需对</w:t>
      </w:r>
      <w:r>
        <w:rPr>
          <w:rFonts w:hint="eastAsia" w:ascii="宋体" w:hAnsi="宋体" w:cs="宋体"/>
          <w:b w:val="0"/>
          <w:bCs w:val="0"/>
          <w:sz w:val="24"/>
          <w:szCs w:val="24"/>
          <w:lang w:val="en-US" w:eastAsia="zh-CN"/>
        </w:rPr>
        <w:t>男职工362人，女职工30人，</w:t>
      </w:r>
      <w:r>
        <w:rPr>
          <w:rFonts w:hint="eastAsia" w:ascii="宋体" w:hAnsi="宋体" w:cs="宋体"/>
          <w:b w:val="0"/>
          <w:bCs w:val="0"/>
          <w:sz w:val="24"/>
          <w:szCs w:val="24"/>
        </w:rPr>
        <w:t>进行 2024 年职业健康体检。</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3.工期（服务期）：自合同签订后3个月内完成该项目</w:t>
      </w:r>
    </w:p>
    <w:p>
      <w:pPr>
        <w:pStyle w:val="40"/>
        <w:widowControl/>
        <w:spacing w:line="525" w:lineRule="atLeast"/>
        <w:ind w:firstLine="480"/>
        <w:rPr>
          <w:rFonts w:ascii="宋体" w:hAnsi="宋体" w:cs="宋体"/>
        </w:rPr>
      </w:pPr>
      <w:r>
        <w:rPr>
          <w:rFonts w:hint="eastAsia" w:ascii="宋体" w:hAnsi="宋体" w:cs="宋体"/>
        </w:rPr>
        <w:t>4.服务地点：山西朔州平鲁区白芦煤业有限公司。</w:t>
      </w:r>
    </w:p>
    <w:p>
      <w:pPr>
        <w:spacing w:line="360" w:lineRule="auto"/>
        <w:rPr>
          <w:rFonts w:ascii="宋体" w:hAnsi="宋体" w:cs="宋体"/>
          <w:b w:val="0"/>
          <w:bCs w:val="0"/>
          <w:sz w:val="24"/>
          <w:szCs w:val="24"/>
        </w:rPr>
      </w:pPr>
    </w:p>
    <w:p>
      <w:pPr>
        <w:numPr>
          <w:ilvl w:val="0"/>
          <w:numId w:val="6"/>
        </w:num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报价方式: 固定总价（不含税）</w:t>
      </w:r>
    </w:p>
    <w:p>
      <w:pPr>
        <w:pStyle w:val="40"/>
        <w:widowControl/>
        <w:spacing w:line="525" w:lineRule="atLeast"/>
        <w:ind w:firstLine="480"/>
        <w:rPr>
          <w:rFonts w:ascii="宋体" w:hAnsi="宋体" w:cs="宋体"/>
        </w:rPr>
      </w:pPr>
      <w:r>
        <w:rPr>
          <w:rFonts w:hint="eastAsia" w:ascii="宋体" w:hAnsi="宋体" w:cs="宋体"/>
        </w:rPr>
        <w:t>6.报价要求：报价金额包含人工等一切费用的</w:t>
      </w:r>
      <w:r>
        <w:rPr>
          <w:rFonts w:hint="eastAsia" w:ascii="宋体" w:hAnsi="宋体" w:cs="宋体"/>
          <w:b w:val="0"/>
          <w:bCs w:val="0"/>
          <w:sz w:val="24"/>
          <w:szCs w:val="24"/>
        </w:rPr>
        <w:t>固定总价（不含税）</w:t>
      </w:r>
      <w:r>
        <w:rPr>
          <w:rFonts w:hint="eastAsia" w:ascii="宋体" w:hAnsi="宋体" w:cs="宋体"/>
        </w:rPr>
        <w:t>。</w:t>
      </w:r>
    </w:p>
    <w:p>
      <w:pPr>
        <w:pStyle w:val="40"/>
        <w:widowControl/>
        <w:spacing w:line="525" w:lineRule="atLeast"/>
        <w:ind w:firstLine="480"/>
        <w:rPr>
          <w:rFonts w:ascii="宋体" w:hAnsi="宋体" w:cs="宋体"/>
        </w:rPr>
      </w:pPr>
      <w:r>
        <w:rPr>
          <w:rFonts w:hint="eastAsia" w:ascii="宋体" w:hAnsi="宋体" w:cs="宋体"/>
        </w:rPr>
        <w:t>7.付款方式：执行山西朔州平鲁区白芦煤业有限公司相关制度流程。</w:t>
      </w:r>
    </w:p>
    <w:p>
      <w:pPr>
        <w:spacing w:line="360" w:lineRule="auto"/>
        <w:ind w:firstLine="480" w:firstLineChars="200"/>
        <w:rPr>
          <w:rFonts w:ascii="宋体" w:hAnsi="宋体" w:cs="宋体"/>
          <w:b w:val="0"/>
          <w:bCs w:val="0"/>
          <w:sz w:val="24"/>
          <w:szCs w:val="24"/>
        </w:rPr>
      </w:pP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8.报价人在提交报价文件时需附《供应商廉洁承诺书》。</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二、资质要求：</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1.报价人必须是中华人民共和国境内注册的独立法人资格；</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经营状况良好，具有良好的资信和信用（以“信用中国”网站（www.creditchina.gov.cn）网站查询为准,没有处于失信黑名单），没有处于被责令停业、财产被接管、冻结、破产状态；投标资格未被暂停或取消。(请投标人自行查询相关网站，并将查询情况截图附投标文件内。)</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3.报价人须提供2021年12月至今3例同类合同（提供合同关键页）</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4.本项目不接受联合体报价；</w:t>
      </w:r>
    </w:p>
    <w:p>
      <w:pPr>
        <w:spacing w:beforeAutospacing="0" w:afterAutospacing="0" w:line="360" w:lineRule="auto"/>
        <w:ind w:firstLine="480" w:firstLineChars="200"/>
      </w:pPr>
      <w:r>
        <w:rPr>
          <w:rFonts w:hint="eastAsia" w:ascii="宋体" w:hAnsi="宋体" w:cs="宋体"/>
          <w:b w:val="0"/>
          <w:bCs w:val="0"/>
          <w:sz w:val="24"/>
          <w:szCs w:val="24"/>
        </w:rPr>
        <w:t>5.报价人必须具有行政部门颁发的职业健康体检的备案相关资格证书：（营业执照，医疗机构职业许可证，开户许可证，山西省职业健康检查机构备案回执。）</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联系人：杨人杰   18635991923 (联系人联系电话)</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地址：山西朔州平鲁区茂华白芦煤业有限公司</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电子信箱：920363987@qq.com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本次询价内容依据以下评审原则</w:t>
      </w:r>
      <w:r>
        <w:rPr>
          <w:rFonts w:hint="eastAsia" w:ascii="宋体"/>
          <w:b w:val="0"/>
          <w:bCs w:val="0"/>
          <w:sz w:val="24"/>
          <w:szCs w:val="24"/>
        </w:rPr>
        <w:t>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16"/>
        <w:rPr>
          <w:rFonts w:hint="default"/>
          <w:lang w:val="en-US"/>
        </w:rPr>
      </w:pPr>
      <w:r>
        <w:rPr>
          <w:rFonts w:hint="eastAsia" w:ascii="宋体" w:hAnsi="宋体" w:eastAsia="宋体" w:cs="宋体"/>
          <w:b w:val="0"/>
          <w:bCs w:val="0"/>
          <w:kern w:val="2"/>
          <w:sz w:val="24"/>
          <w:szCs w:val="24"/>
          <w:lang w:val="en-US" w:eastAsia="zh-CN" w:bidi="ar-SA"/>
        </w:rPr>
        <w:t>1、乙方</w:t>
      </w:r>
      <w:r>
        <w:rPr>
          <w:rFonts w:hint="eastAsia" w:ascii="宋体" w:hAnsi="宋体" w:cs="宋体"/>
          <w:b w:val="0"/>
          <w:bCs w:val="0"/>
          <w:kern w:val="2"/>
          <w:sz w:val="24"/>
          <w:szCs w:val="24"/>
          <w:lang w:val="en-US" w:eastAsia="zh-CN" w:bidi="ar-SA"/>
        </w:rPr>
        <w:t>必须到矿为职工进行职业健康体检，如有不适合到矿体检的项目，项目必须标注清楚。由甲方双方协商解决。</w:t>
      </w:r>
    </w:p>
    <w:p>
      <w:pPr>
        <w:keepNext/>
        <w:keepLines/>
        <w:pageBreakBefore/>
        <w:numPr>
          <w:ilvl w:val="0"/>
          <w:numId w:val="7"/>
        </w:numPr>
        <w:spacing w:after="240" w:line="240" w:lineRule="atLeast"/>
        <w:jc w:val="center"/>
        <w:outlineLvl w:val="0"/>
        <w:rPr>
          <w:rFonts w:hint="eastAsia" w:ascii="黑体" w:hAnsi="黑体" w:eastAsia="黑体"/>
          <w:b w:val="0"/>
          <w:bCs w:val="0"/>
          <w:smallCaps/>
          <w:spacing w:val="14"/>
          <w:kern w:val="20"/>
        </w:rPr>
      </w:pPr>
      <w:r>
        <w:rPr>
          <w:rFonts w:hint="eastAsia" w:ascii="黑体" w:hAnsi="黑体" w:eastAsia="黑体"/>
          <w:b w:val="0"/>
          <w:bCs w:val="0"/>
          <w:smallCaps/>
          <w:spacing w:val="14"/>
          <w:kern w:val="20"/>
        </w:rPr>
        <w:t>技术规格和要求</w:t>
      </w:r>
    </w:p>
    <w:tbl>
      <w:tblPr>
        <w:tblStyle w:val="45"/>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767"/>
        <w:gridCol w:w="1421"/>
        <w:gridCol w:w="1068"/>
        <w:gridCol w:w="6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003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2024年白芦煤业职业健康体检项目（女）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42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00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营养早餐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内科</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心率、心律、心脏杂音、心界、肺、呼吸音、啰音、叩诊、腹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部触诊、肠鸣音、肝脏、脾脏、双肾、颅神经、生理反射、运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动功能、深浅感觉病理反射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外科</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皮肤黄疸、紫绀、色素沉着、脱色、脱毛、皮疹、浮肿、皮下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临</w:t>
            </w:r>
          </w:p>
        </w:tc>
        <w:tc>
          <w:tcPr>
            <w:tcW w:w="1421"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结节、头颅、颈部、甲状腺、乳腺、脊柱、浅表淋巴结、肛门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床</w:t>
            </w:r>
          </w:p>
        </w:tc>
        <w:tc>
          <w:tcPr>
            <w:tcW w:w="1421"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（含皮肤科）</w:t>
            </w:r>
          </w:p>
        </w:tc>
        <w:tc>
          <w:tcPr>
            <w:tcW w:w="706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、直肠、前列腺、泌尿生殖器、四肢关节、腹股沟、足背动脉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1421"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眼科</w:t>
            </w:r>
          </w:p>
        </w:tc>
        <w:tc>
          <w:tcPr>
            <w:tcW w:w="706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视力、辨色、眼睑、结膜、泪器、角膜、虹膜、晶状体、玻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查</w:t>
            </w:r>
          </w:p>
        </w:tc>
        <w:tc>
          <w:tcPr>
            <w:tcW w:w="1421" w:type="dxa"/>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璃体、瞳孔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耳鼻喉科</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听力、外耳道、鼓膜、鼻中隔、鼻窦、鼻腔、扁桃体、咽喉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、嗅觉</w:t>
            </w:r>
          </w:p>
        </w:tc>
        <w:tc>
          <w:tcPr>
            <w:tcW w:w="600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口腔科</w:t>
            </w:r>
          </w:p>
        </w:tc>
        <w:tc>
          <w:tcPr>
            <w:tcW w:w="706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唇颊、齿、齿龈、牙周、舌腭、腮腺、颌下腺、颞下颌关节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白细胞（WBC）、红细胞（RBC）、血红蛋白（HGB）、红细胞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压积（HCT）、红细胞平均体积（MCV）、红细胞平均血红蛋白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含量（MCH）、红细胞平均血红蛋白浓度（MCHC）、血小板计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血常规</w:t>
            </w: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数（PLT）、淋巴细胞百分比（LYM%）、中间细胞百分比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（LYM#）、中性粒细胞百分比（GRA%）、淋巴细胞绝对值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（LYM#）、中间细胞绝对值（MOD#）、中性粒细胞绝对值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（GRA#）、红细胞分布宽度（RDW）、血小板压积（PCT）、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血小板平均体积（MPV）、血小板体积分布宽度（PDW）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w:t>
            </w:r>
          </w:p>
        </w:tc>
        <w:tc>
          <w:tcPr>
            <w:tcW w:w="1421"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尿常规</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酸碱度（PH）、亚硝酸盐（NIT）、尿糖（GLU）、潜血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w:t>
            </w:r>
          </w:p>
        </w:tc>
        <w:tc>
          <w:tcPr>
            <w:tcW w:w="1421"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（BLD）、尿蛋白（PRO）、胆红素（BIL）、尿胆原（URO）、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1421"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酮体（KET）、尿比重（SG）、白细胞（LEU）、维生素（VC）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w:t>
            </w:r>
          </w:p>
        </w:tc>
        <w:tc>
          <w:tcPr>
            <w:tcW w:w="1421"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肝功能</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谷丙转氨酶（ALT）、谷草转氨酶（AST）、谷丙/谷草、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血脂四项</w:t>
            </w:r>
          </w:p>
        </w:tc>
        <w:tc>
          <w:tcPr>
            <w:tcW w:w="70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总胆固醇（Tch）、甘油三酯（TG）、高密度脂蛋白（HDL）、低密度脂蛋白（LDL）、动脉硬化指数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血糖</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空腹血糖（GLU）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w:t>
            </w:r>
          </w:p>
        </w:tc>
        <w:tc>
          <w:tcPr>
            <w:tcW w:w="706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同型半胱氨酸（HCY)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医学影像</w:t>
            </w:r>
          </w:p>
        </w:tc>
        <w:tc>
          <w:tcPr>
            <w:tcW w:w="14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胸部DR</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心、肺、膈、肋角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功能检查</w:t>
            </w:r>
          </w:p>
        </w:tc>
        <w:tc>
          <w:tcPr>
            <w:tcW w:w="14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心电图</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记录心脏活动的电位改变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甲状腺彩超</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甲状腺形态、结构、血流改变及周围淋巴结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颈部血管彩超</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颈总动脉、颈内动脉、椎动脉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肺功能</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肺通气功能测定  FVC  FEV1  FEV1/FVC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电测听</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听阈测定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女性专项</w:t>
            </w: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乳腺彩超</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乳腺形态、结构、血流改变及周围淋巴结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盆腔彩超</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膀胱、输尿管、子宫附件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妇科检查</w:t>
            </w:r>
          </w:p>
        </w:tc>
        <w:tc>
          <w:tcPr>
            <w:tcW w:w="7068"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外阴、尿道口、阴道、子宫、附件、宫颈、后穹窿、白带常规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TCT</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宫颈液基细胞学检查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HPV</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巨细胞病毒抗体测定、人乳头瘤病毒核酸测定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检后服务</w:t>
            </w: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汇总分析</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对各项检查结果汇总分析，专家给予综合评估和诊断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首席终检</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核定签发健康检查结果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体检单价</w:t>
            </w:r>
          </w:p>
        </w:tc>
        <w:tc>
          <w:tcPr>
            <w:tcW w:w="848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合计(万元) </w:t>
            </w:r>
          </w:p>
        </w:tc>
        <w:tc>
          <w:tcPr>
            <w:tcW w:w="84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tabs>
          <w:tab w:val="left" w:pos="0"/>
          <w:tab w:val="decimal" w:pos="6240"/>
          <w:tab w:val="right" w:leader="dot" w:pos="10800"/>
        </w:tabs>
        <w:autoSpaceDE w:val="0"/>
        <w:autoSpaceDN w:val="0"/>
        <w:adjustRightInd w:val="0"/>
        <w:spacing w:line="360" w:lineRule="auto"/>
        <w:ind w:right="-82"/>
        <w:outlineLvl w:val="2"/>
        <w:rPr>
          <w:rFonts w:ascii="黑体" w:eastAsia="黑体"/>
          <w:color w:val="000000" w:themeColor="text1"/>
          <w:sz w:val="28"/>
          <w:szCs w:val="28"/>
          <w14:textFill>
            <w14:solidFill>
              <w14:schemeClr w14:val="tx1"/>
            </w14:solidFill>
          </w14:textFill>
        </w:rPr>
      </w:pPr>
    </w:p>
    <w:p>
      <w:pPr>
        <w:pStyle w:val="16"/>
        <w:rPr>
          <w:rFonts w:ascii="黑体" w:eastAsia="黑体"/>
          <w:color w:val="000000" w:themeColor="text1"/>
          <w:sz w:val="28"/>
          <w:szCs w:val="28"/>
          <w14:textFill>
            <w14:solidFill>
              <w14:schemeClr w14:val="tx1"/>
            </w14:solidFill>
          </w14:textFill>
        </w:rPr>
      </w:pPr>
    </w:p>
    <w:p>
      <w:pPr>
        <w:rPr>
          <w:rFonts w:ascii="黑体" w:eastAsia="黑体"/>
          <w:color w:val="000000" w:themeColor="text1"/>
          <w:sz w:val="28"/>
          <w:szCs w:val="28"/>
          <w14:textFill>
            <w14:solidFill>
              <w14:schemeClr w14:val="tx1"/>
            </w14:solidFill>
          </w14:textFill>
        </w:rPr>
      </w:pPr>
    </w:p>
    <w:p>
      <w:pPr>
        <w:pStyle w:val="16"/>
        <w:rPr>
          <w:rFonts w:ascii="黑体" w:eastAsia="黑体"/>
          <w:color w:val="000000" w:themeColor="text1"/>
          <w:sz w:val="28"/>
          <w:szCs w:val="28"/>
          <w14:textFill>
            <w14:solidFill>
              <w14:schemeClr w14:val="tx1"/>
            </w14:solidFill>
          </w14:textFill>
        </w:rPr>
      </w:pPr>
    </w:p>
    <w:p>
      <w:pPr>
        <w:rPr>
          <w:rFonts w:ascii="黑体" w:eastAsia="黑体"/>
          <w:color w:val="000000" w:themeColor="text1"/>
          <w:sz w:val="28"/>
          <w:szCs w:val="28"/>
          <w14:textFill>
            <w14:solidFill>
              <w14:schemeClr w14:val="tx1"/>
            </w14:solidFill>
          </w14:textFill>
        </w:rPr>
      </w:pPr>
    </w:p>
    <w:tbl>
      <w:tblPr>
        <w:tblStyle w:val="45"/>
        <w:tblW w:w="91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684"/>
        <w:gridCol w:w="2469"/>
        <w:gridCol w:w="1404"/>
        <w:gridCol w:w="3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19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2024年白芦煤业职业健康体检项目（男）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469"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194" w:type="dxa"/>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营养早餐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内科</w:t>
            </w:r>
          </w:p>
        </w:tc>
        <w:tc>
          <w:tcPr>
            <w:tcW w:w="5358"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心率、心律、心脏杂音、心界、肺、呼吸音、啰音、叩诊、腹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部触诊、肠鸣音、肝脏、脾脏、双肾、颅神经、生理反射、运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动功能、深浅感觉病理反射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外科</w:t>
            </w:r>
          </w:p>
        </w:tc>
        <w:tc>
          <w:tcPr>
            <w:tcW w:w="5358"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皮肤黄疸、紫绀、色素沉着、脱色、脱毛、皮疹、浮肿、皮下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临</w:t>
            </w:r>
          </w:p>
        </w:tc>
        <w:tc>
          <w:tcPr>
            <w:tcW w:w="2469"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结节、头颅、颈部、甲状腺、乳腺、脊柱、浅表淋巴结、肛门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床</w:t>
            </w:r>
          </w:p>
        </w:tc>
        <w:tc>
          <w:tcPr>
            <w:tcW w:w="2469"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（含皮肤科）</w:t>
            </w:r>
          </w:p>
        </w:tc>
        <w:tc>
          <w:tcPr>
            <w:tcW w:w="5358"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、直肠、前列腺、泌尿生殖器、四肢关节、腹股沟、足背动脉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2469"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眼科</w:t>
            </w:r>
          </w:p>
        </w:tc>
        <w:tc>
          <w:tcPr>
            <w:tcW w:w="5358" w:type="dxa"/>
            <w:gridSpan w:val="2"/>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视力、辨色、眼睑、结膜、泪器、角膜、虹膜、晶状体、玻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查</w:t>
            </w:r>
          </w:p>
        </w:tc>
        <w:tc>
          <w:tcPr>
            <w:tcW w:w="2469" w:type="dxa"/>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璃体、瞳孔、眼底、裂隙灯检查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耳鼻喉科</w:t>
            </w:r>
          </w:p>
        </w:tc>
        <w:tc>
          <w:tcPr>
            <w:tcW w:w="5358"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听力、外耳道、鼓膜、鼻中隔、鼻窦、鼻腔、扁桃体、咽喉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04"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、嗅觉</w:t>
            </w:r>
          </w:p>
        </w:tc>
        <w:tc>
          <w:tcPr>
            <w:tcW w:w="3954"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口腔科</w:t>
            </w:r>
          </w:p>
        </w:tc>
        <w:tc>
          <w:tcPr>
            <w:tcW w:w="5358" w:type="dxa"/>
            <w:gridSpan w:val="2"/>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唇颊、齿、齿龈、牙周、舌腭、腮腺、颌下腺、颞下颌关节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白细胞（WBC）、红细胞（RBC）、血红蛋白（HGB）、红细胞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压积（HCT）、红细胞平均体积（MCV）、红细胞平均血红蛋白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含量（MCH）、红细胞平均血红蛋白浓度（MCHC）、血小板计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血常规</w:t>
            </w: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数（PLT）、淋巴细胞百分比（LYM%）、中间细胞百分比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（LYM#）、中性粒细胞百分比（GRA%）、淋巴细胞绝对值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（LYM#）、中间细胞绝对值（MOD#）、中性粒细胞绝对值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（GRA#）、红细胞分布宽度（RDW）、血小板压积（PCT）、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血小板平均体积（MPV）、血小板体积分布宽度（PDW）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w:t>
            </w:r>
          </w:p>
        </w:tc>
        <w:tc>
          <w:tcPr>
            <w:tcW w:w="2469"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尿常规</w:t>
            </w:r>
          </w:p>
        </w:tc>
        <w:tc>
          <w:tcPr>
            <w:tcW w:w="535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酸碱度（PH）、亚硝酸盐（NIT）、尿糖（GLU）、潜血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w:t>
            </w:r>
          </w:p>
        </w:tc>
        <w:tc>
          <w:tcPr>
            <w:tcW w:w="246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（BLD）、尿蛋白（PRO）、胆红素（BIL）、尿胆原（URO）、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246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酮体（KET）、尿比重（SG）、白细胞（LEU）、维生素（VC）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w:t>
            </w:r>
          </w:p>
        </w:tc>
        <w:tc>
          <w:tcPr>
            <w:tcW w:w="2469"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肝功能</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谷丙转氨酶（ALT）、谷草转氨酶（AST）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肾功三项</w:t>
            </w:r>
          </w:p>
        </w:tc>
        <w:tc>
          <w:tcPr>
            <w:tcW w:w="535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尿素氮（BUN）、肌酐（Cr）、尿酸（UA）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血糖</w:t>
            </w:r>
          </w:p>
        </w:tc>
        <w:tc>
          <w:tcPr>
            <w:tcW w:w="5358"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空腹血糖（GLU）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血脂四项</w:t>
            </w:r>
          </w:p>
        </w:tc>
        <w:tc>
          <w:tcPr>
            <w:tcW w:w="535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总胆固醇（Tch）、甘油三酯（TG）、高密度脂蛋白（HDL）、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低密度脂蛋白（LDL）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同型半胱氨酸（HCY)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医学影像</w:t>
            </w:r>
          </w:p>
        </w:tc>
        <w:tc>
          <w:tcPr>
            <w:tcW w:w="246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胸部DR </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胸片正位片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泌尿系彩超</w:t>
            </w:r>
          </w:p>
        </w:tc>
        <w:tc>
          <w:tcPr>
            <w:tcW w:w="5358" w:type="dxa"/>
            <w:gridSpan w:val="2"/>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膀胱、输尿管、前列腺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甲状腺彩超</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甲状腺形态、结构、血流改变及周围淋巴结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颈动脉彩超</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颈动脉、颈静脉、椎动脉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功能检查</w:t>
            </w:r>
          </w:p>
        </w:tc>
        <w:tc>
          <w:tcPr>
            <w:tcW w:w="246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心电图</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记录心脏活动的电位改变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肺功能</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肺通气功能测定  FVC  FEV1  FEV1/FVC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电测听</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听阈测定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检后服务</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汇总分析</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对各项检查结果汇总分析，专家给予综合评估和诊断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首席终检</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核定签发健康检查结果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3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体检单价</w:t>
            </w:r>
          </w:p>
        </w:tc>
        <w:tc>
          <w:tcPr>
            <w:tcW w:w="782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合计(万元) </w:t>
            </w:r>
          </w:p>
        </w:tc>
        <w:tc>
          <w:tcPr>
            <w:tcW w:w="78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16"/>
      </w:pPr>
    </w:p>
    <w:p>
      <w:pPr>
        <w:pStyle w:val="213"/>
        <w:numPr>
          <w:ilvl w:val="0"/>
          <w:numId w:val="7"/>
        </w:numPr>
        <w:spacing w:line="360" w:lineRule="auto"/>
        <w:outlineLvl w:val="1"/>
        <w:rPr>
          <w:rFonts w:ascii="黑体" w:eastAsia="黑体"/>
          <w:color w:val="000000" w:themeColor="text1"/>
          <w:sz w:val="28"/>
          <w:szCs w:val="28"/>
          <w14:textFill>
            <w14:solidFill>
              <w14:schemeClr w14:val="tx1"/>
            </w14:solidFill>
          </w14:textFill>
        </w:rPr>
        <w:sectPr>
          <w:pgSz w:w="11907" w:h="16839"/>
          <w:pgMar w:top="1418" w:right="1418" w:bottom="1418" w:left="1418" w:header="765" w:footer="1020" w:gutter="0"/>
          <w:cols w:space="720" w:num="1"/>
          <w:docGrid w:linePitch="286" w:charSpace="0"/>
        </w:sectPr>
      </w:pPr>
    </w:p>
    <w:p>
      <w:pPr>
        <w:pStyle w:val="16"/>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9"/>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9"/>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9"/>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9"/>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9"/>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6"/>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9"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10"/>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11"/>
        </w:numPr>
        <w:tabs>
          <w:tab w:val="left" w:pos="1435"/>
        </w:tabs>
        <w:jc w:val="center"/>
        <w:rPr>
          <w:rFonts w:ascii="Arial" w:hAnsi="Arial"/>
        </w:rPr>
      </w:pPr>
      <w:r>
        <w:rPr>
          <w:rFonts w:hint="eastAsia" w:ascii="Arial" w:hAnsi="Arial"/>
        </w:rPr>
        <w:t>资质证明材料</w:t>
      </w:r>
    </w:p>
    <w:p>
      <w:pPr>
        <w:pStyle w:val="16"/>
        <w:rPr>
          <w:rFonts w:ascii="宋体" w:hAnsi="宋体" w:cs="宋体"/>
          <w:sz w:val="32"/>
          <w:szCs w:val="32"/>
        </w:rPr>
      </w:pPr>
    </w:p>
    <w:p/>
    <w:p>
      <w:pPr>
        <w:pStyle w:val="16"/>
      </w:pPr>
      <w:r>
        <w:rPr>
          <w:rFonts w:hint="eastAsia"/>
        </w:rPr>
        <w:t xml:space="preserve">                      六、服务方案</w:t>
      </w:r>
    </w:p>
    <w:p>
      <w:pPr>
        <w:pStyle w:val="16"/>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p>
    <w:p>
      <w:pPr>
        <w:widowControl/>
        <w:jc w:val="left"/>
        <w:rPr>
          <w:rFonts w:ascii="宋体" w:hAnsi="宋体" w:cs="宋体"/>
          <w:b w:val="0"/>
          <w:sz w:val="24"/>
          <w:szCs w:val="24"/>
        </w:rPr>
      </w:pPr>
      <w:r>
        <w:rPr>
          <w:rFonts w:hint="eastAsia" w:ascii="宋体" w:hAnsi="宋体" w:cs="宋体"/>
          <w:b w:val="0"/>
          <w:sz w:val="24"/>
          <w:szCs w:val="24"/>
        </w:rPr>
        <w:t>为维护公平竞争的市场秩序，我方自愿在参与贵方组织的商业往来活动中，加强</w:t>
      </w:r>
    </w:p>
    <w:p>
      <w:pPr>
        <w:widowControl/>
        <w:jc w:val="left"/>
        <w:rPr>
          <w:rFonts w:ascii="宋体" w:hAnsi="宋体" w:cs="宋体"/>
          <w:b w:val="0"/>
          <w:sz w:val="24"/>
          <w:szCs w:val="24"/>
        </w:rPr>
      </w:pPr>
      <w:r>
        <w:rPr>
          <w:rFonts w:hint="eastAsia" w:ascii="宋体" w:hAnsi="宋体" w:cs="宋体"/>
          <w:b w:val="0"/>
          <w:sz w:val="24"/>
          <w:szCs w:val="24"/>
        </w:rPr>
        <w:t>有关人员廉清从业管理，恪守商业道德，从源头预防和遏制违法、违规，违纪行为发生，特作以下承诺：</w:t>
      </w:r>
    </w:p>
    <w:p>
      <w:pPr>
        <w:widowControl/>
        <w:jc w:val="left"/>
        <w:rPr>
          <w:rFonts w:ascii="宋体" w:hAnsi="宋体" w:cs="宋体"/>
          <w:b w:val="0"/>
          <w:sz w:val="24"/>
          <w:szCs w:val="24"/>
        </w:rPr>
      </w:pPr>
      <w:r>
        <w:rPr>
          <w:rFonts w:hint="eastAsia" w:ascii="宋体" w:hAnsi="宋体" w:cs="宋体"/>
          <w:b w:val="0"/>
          <w:sz w:val="24"/>
          <w:szCs w:val="24"/>
        </w:rPr>
        <w:t>一、严格遵守国家有关法律法规，坚持诚实守信原则，恪守商业道德，规范商务人员廉洁从业行为。</w:t>
      </w:r>
    </w:p>
    <w:p>
      <w:pPr>
        <w:widowControl/>
        <w:jc w:val="left"/>
        <w:rPr>
          <w:rFonts w:ascii="宋体" w:hAnsi="宋体" w:cs="宋体"/>
          <w:b w:val="0"/>
          <w:sz w:val="24"/>
          <w:szCs w:val="24"/>
        </w:rPr>
      </w:pPr>
      <w:r>
        <w:rPr>
          <w:rFonts w:hint="eastAsia" w:ascii="宋体" w:hAnsi="宋体" w:cs="宋体"/>
          <w:b w:val="0"/>
          <w:sz w:val="24"/>
          <w:szCs w:val="24"/>
        </w:rPr>
        <w:t>二、不伙同他人串标、围标或非法排挤竞争对手，不在商业活动中提供虚假资料，损害贵方合法权益。</w:t>
      </w:r>
    </w:p>
    <w:p>
      <w:pPr>
        <w:widowControl/>
        <w:jc w:val="left"/>
        <w:rPr>
          <w:rFonts w:ascii="宋体" w:hAnsi="宋体" w:cs="宋体"/>
          <w:b w:val="0"/>
          <w:sz w:val="24"/>
          <w:szCs w:val="24"/>
        </w:rPr>
      </w:pPr>
      <w:r>
        <w:rPr>
          <w:rFonts w:hint="eastAsia" w:ascii="宋体" w:hAnsi="宋体" w:cs="宋体"/>
          <w:b w:val="0"/>
          <w:sz w:val="24"/>
          <w:szCs w:val="24"/>
        </w:rPr>
        <w:t>三、不为贵方工作人员提供回扣、礼金、有价证券、贵重物品和报销个人费用。</w:t>
      </w:r>
    </w:p>
    <w:p>
      <w:pPr>
        <w:widowControl/>
        <w:jc w:val="left"/>
        <w:rPr>
          <w:rFonts w:ascii="宋体" w:hAnsi="宋体" w:cs="宋体"/>
          <w:b w:val="0"/>
          <w:sz w:val="24"/>
          <w:szCs w:val="24"/>
        </w:rPr>
      </w:pPr>
      <w:r>
        <w:rPr>
          <w:rFonts w:hint="eastAsia" w:ascii="宋体" w:hAnsi="宋体" w:cs="宋体"/>
          <w:b w:val="0"/>
          <w:sz w:val="24"/>
          <w:szCs w:val="24"/>
        </w:rPr>
        <w:t>四、不为贵方工作人员安排有可能影响公平、公正交易的宴请、健身、娱乐等活动。</w:t>
      </w:r>
    </w:p>
    <w:p>
      <w:pPr>
        <w:widowControl/>
        <w:jc w:val="left"/>
        <w:rPr>
          <w:rFonts w:ascii="宋体" w:hAnsi="宋体" w:cs="宋体"/>
          <w:b w:val="0"/>
          <w:sz w:val="24"/>
          <w:szCs w:val="24"/>
        </w:rPr>
      </w:pPr>
      <w:r>
        <w:rPr>
          <w:rFonts w:hint="eastAsia" w:ascii="宋体" w:hAnsi="宋体" w:cs="宋体"/>
          <w:b w:val="0"/>
          <w:sz w:val="24"/>
          <w:szCs w:val="24"/>
        </w:rPr>
        <w:t>五、不为贵方工作人员投资入股、个人借款或买卖股票、债券等提供方便。</w:t>
      </w:r>
    </w:p>
    <w:p>
      <w:pPr>
        <w:widowControl/>
        <w:jc w:val="left"/>
        <w:rPr>
          <w:rFonts w:ascii="宋体" w:hAnsi="宋体" w:cs="宋体"/>
          <w:b w:val="0"/>
          <w:sz w:val="24"/>
          <w:szCs w:val="24"/>
        </w:rPr>
      </w:pPr>
      <w:r>
        <w:rPr>
          <w:rFonts w:hint="eastAsia" w:ascii="宋体" w:hAnsi="宋体" w:cs="宋体"/>
          <w:b w:val="0"/>
          <w:sz w:val="24"/>
          <w:szCs w:val="24"/>
        </w:rPr>
        <w:t>六、不为贵方工作人员购买或装修住房、婚丧嫁娶、配偶子女上学或工作安排以及出国出境、旅游等提供方便。</w:t>
      </w:r>
    </w:p>
    <w:p>
      <w:pPr>
        <w:widowControl/>
        <w:jc w:val="left"/>
        <w:rPr>
          <w:rFonts w:ascii="宋体" w:hAnsi="宋体" w:cs="宋体"/>
          <w:b w:val="0"/>
          <w:sz w:val="24"/>
          <w:szCs w:val="24"/>
        </w:rPr>
      </w:pPr>
      <w:r>
        <w:rPr>
          <w:rFonts w:hint="eastAsia" w:ascii="宋体" w:hAnsi="宋体" w:cs="宋体"/>
          <w:b w:val="0"/>
          <w:sz w:val="24"/>
          <w:szCs w:val="24"/>
        </w:rPr>
        <w:t>七、不违反规定为贵方工作人员在我方相关企业挂名兼职、合伙经营、介绍承揽业务等提供方便，</w:t>
      </w:r>
    </w:p>
    <w:p>
      <w:pPr>
        <w:widowControl/>
        <w:jc w:val="left"/>
        <w:rPr>
          <w:rFonts w:ascii="宋体" w:hAnsi="宋体" w:cs="宋体"/>
          <w:b w:val="0"/>
          <w:sz w:val="24"/>
          <w:szCs w:val="24"/>
        </w:rPr>
      </w:pPr>
      <w:r>
        <w:rPr>
          <w:rFonts w:hint="eastAsia" w:ascii="宋体" w:hAnsi="宋体" w:cs="宋体"/>
          <w:b w:val="0"/>
          <w:sz w:val="24"/>
          <w:szCs w:val="24"/>
        </w:rPr>
        <w:t>八、不利用非法手段向贵方工作人员打探有关涉及贵方的商业秘密、业务渠道等。</w:t>
      </w:r>
    </w:p>
    <w:p>
      <w:pPr>
        <w:widowControl/>
        <w:jc w:val="left"/>
        <w:rPr>
          <w:rFonts w:ascii="宋体" w:hAnsi="宋体" w:cs="宋体"/>
          <w:b w:val="0"/>
          <w:sz w:val="24"/>
          <w:szCs w:val="24"/>
        </w:rPr>
      </w:pPr>
      <w:r>
        <w:rPr>
          <w:rFonts w:hint="eastAsia" w:ascii="宋体" w:hAnsi="宋体" w:cs="宋体"/>
          <w:b w:val="0"/>
          <w:sz w:val="24"/>
          <w:szCs w:val="24"/>
        </w:rPr>
        <w:t>九、贵方对涉嫌不廉洁的商业行为进行调查时，我方有配合提供证据、作证的义务。</w:t>
      </w:r>
    </w:p>
    <w:p>
      <w:pPr>
        <w:widowControl/>
        <w:jc w:val="left"/>
        <w:rPr>
          <w:rFonts w:ascii="宋体" w:hAnsi="宋体" w:cs="宋体"/>
          <w:b w:val="0"/>
          <w:sz w:val="24"/>
          <w:szCs w:val="24"/>
        </w:rPr>
      </w:pPr>
      <w:r>
        <w:rPr>
          <w:rFonts w:hint="eastAsia" w:ascii="宋体" w:hAnsi="宋体" w:cs="宋体"/>
          <w:b w:val="0"/>
          <w:sz w:val="24"/>
          <w:szCs w:val="24"/>
        </w:rPr>
        <w:t>十、未经贵方同意，我方不向任何新闻媒体、第三人述及有关贵方工作人员恪守商业道德方面的评价、信息。</w:t>
      </w:r>
    </w:p>
    <w:p>
      <w:pPr>
        <w:widowControl/>
        <w:jc w:val="left"/>
        <w:rPr>
          <w:rFonts w:ascii="宋体" w:hAnsi="宋体" w:cs="宋体"/>
          <w:b w:val="0"/>
          <w:sz w:val="24"/>
          <w:szCs w:val="24"/>
        </w:rPr>
      </w:pP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16"/>
      </w:pP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8</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12</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17</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23</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52F6A"/>
    <w:multiLevelType w:val="singleLevel"/>
    <w:tmpl w:val="D4352F6A"/>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abstractNum w:abstractNumId="9">
    <w:nsid w:val="79B38CAB"/>
    <w:multiLevelType w:val="singleLevel"/>
    <w:tmpl w:val="79B38CAB"/>
    <w:lvl w:ilvl="0" w:tentative="0">
      <w:start w:val="5"/>
      <w:numFmt w:val="decimal"/>
      <w:lvlText w:val="%1."/>
      <w:lvlJc w:val="left"/>
      <w:pPr>
        <w:tabs>
          <w:tab w:val="left" w:pos="312"/>
        </w:tabs>
      </w:pPr>
    </w:lvl>
  </w:abstractNum>
  <w:num w:numId="1">
    <w:abstractNumId w:val="5"/>
  </w:num>
  <w:num w:numId="2">
    <w:abstractNumId w:val="3"/>
  </w:num>
  <w:num w:numId="3">
    <w:abstractNumId w:val="2"/>
  </w:num>
  <w:num w:numId="4">
    <w:abstractNumId w:val="4"/>
  </w:num>
  <w:num w:numId="5">
    <w:abstractNumId w:val="7"/>
  </w:num>
  <w:num w:numId="6">
    <w:abstractNumId w:val="9"/>
  </w:num>
  <w:num w:numId="7">
    <w:abstractNumId w:val="0"/>
  </w:num>
  <w:num w:numId="8">
    <w:abstractNumId w:val="1"/>
  </w:num>
  <w:num w:numId="9">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WQ4NjIyZDJmNTAxOTBjNjAxODA0ZDU1MDRjMzkifQ=="/>
  </w:docVars>
  <w:rsids>
    <w:rsidRoot w:val="00430FC7"/>
    <w:rsid w:val="00001597"/>
    <w:rsid w:val="000015B4"/>
    <w:rsid w:val="00001CBE"/>
    <w:rsid w:val="000028E8"/>
    <w:rsid w:val="0000311D"/>
    <w:rsid w:val="00003C03"/>
    <w:rsid w:val="00004BE5"/>
    <w:rsid w:val="00004F43"/>
    <w:rsid w:val="00005550"/>
    <w:rsid w:val="00005FFA"/>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27A91"/>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57D3"/>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43E"/>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27E1C"/>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3586"/>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6B76"/>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361A"/>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1482"/>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466D"/>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057174"/>
    <w:rsid w:val="02276F88"/>
    <w:rsid w:val="02954528"/>
    <w:rsid w:val="030C630A"/>
    <w:rsid w:val="031C6E32"/>
    <w:rsid w:val="0348259E"/>
    <w:rsid w:val="04377DA6"/>
    <w:rsid w:val="044955CA"/>
    <w:rsid w:val="061C36BA"/>
    <w:rsid w:val="06384F7A"/>
    <w:rsid w:val="079D70D0"/>
    <w:rsid w:val="08A8480D"/>
    <w:rsid w:val="09352049"/>
    <w:rsid w:val="0A79472F"/>
    <w:rsid w:val="0A912D3C"/>
    <w:rsid w:val="0BB91287"/>
    <w:rsid w:val="0BF508B4"/>
    <w:rsid w:val="0C215F5C"/>
    <w:rsid w:val="0C297F82"/>
    <w:rsid w:val="0C540FAF"/>
    <w:rsid w:val="0CBF3D62"/>
    <w:rsid w:val="0D0A3707"/>
    <w:rsid w:val="0E1C7C42"/>
    <w:rsid w:val="0EB30D0D"/>
    <w:rsid w:val="0F2A5C91"/>
    <w:rsid w:val="0F604FE4"/>
    <w:rsid w:val="0F77472F"/>
    <w:rsid w:val="0FA03417"/>
    <w:rsid w:val="0FFE2944"/>
    <w:rsid w:val="10C43A84"/>
    <w:rsid w:val="10F27FB9"/>
    <w:rsid w:val="11026497"/>
    <w:rsid w:val="115D0FA0"/>
    <w:rsid w:val="119C2B16"/>
    <w:rsid w:val="130D5D28"/>
    <w:rsid w:val="13D27127"/>
    <w:rsid w:val="13D60078"/>
    <w:rsid w:val="145A4263"/>
    <w:rsid w:val="1477734B"/>
    <w:rsid w:val="14AE38DE"/>
    <w:rsid w:val="15542020"/>
    <w:rsid w:val="168606BF"/>
    <w:rsid w:val="169964AB"/>
    <w:rsid w:val="179B3F36"/>
    <w:rsid w:val="17D71BD3"/>
    <w:rsid w:val="184F2E7A"/>
    <w:rsid w:val="18E42747"/>
    <w:rsid w:val="1925379B"/>
    <w:rsid w:val="19AF44FD"/>
    <w:rsid w:val="1A63698E"/>
    <w:rsid w:val="1AA90C35"/>
    <w:rsid w:val="1B635DC8"/>
    <w:rsid w:val="1B972AF7"/>
    <w:rsid w:val="1B9D5DA0"/>
    <w:rsid w:val="1BA3188A"/>
    <w:rsid w:val="1C6A6063"/>
    <w:rsid w:val="1C844F99"/>
    <w:rsid w:val="1CD8267C"/>
    <w:rsid w:val="1D4F01B5"/>
    <w:rsid w:val="1D937AF7"/>
    <w:rsid w:val="1D944498"/>
    <w:rsid w:val="1D9D040F"/>
    <w:rsid w:val="1E0C16EA"/>
    <w:rsid w:val="1E165F1B"/>
    <w:rsid w:val="1F360E25"/>
    <w:rsid w:val="21232666"/>
    <w:rsid w:val="21505AF6"/>
    <w:rsid w:val="23390D4D"/>
    <w:rsid w:val="25653DDF"/>
    <w:rsid w:val="273109BD"/>
    <w:rsid w:val="27341C73"/>
    <w:rsid w:val="27F02089"/>
    <w:rsid w:val="280E7427"/>
    <w:rsid w:val="286A598B"/>
    <w:rsid w:val="2878694B"/>
    <w:rsid w:val="288202F1"/>
    <w:rsid w:val="28835C82"/>
    <w:rsid w:val="2885643D"/>
    <w:rsid w:val="28CD12D4"/>
    <w:rsid w:val="28D11479"/>
    <w:rsid w:val="29F1156B"/>
    <w:rsid w:val="2A9767DF"/>
    <w:rsid w:val="2AC06F9C"/>
    <w:rsid w:val="2B01007D"/>
    <w:rsid w:val="2B2576D7"/>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9716BA"/>
    <w:rsid w:val="32D26775"/>
    <w:rsid w:val="334C6D3F"/>
    <w:rsid w:val="33573CB3"/>
    <w:rsid w:val="33843E73"/>
    <w:rsid w:val="34126E2C"/>
    <w:rsid w:val="35731F31"/>
    <w:rsid w:val="359E4EC6"/>
    <w:rsid w:val="35D84E48"/>
    <w:rsid w:val="36BA11E5"/>
    <w:rsid w:val="36D735B3"/>
    <w:rsid w:val="36F00B02"/>
    <w:rsid w:val="3873614E"/>
    <w:rsid w:val="39101B67"/>
    <w:rsid w:val="393744E7"/>
    <w:rsid w:val="393B2471"/>
    <w:rsid w:val="39B5256A"/>
    <w:rsid w:val="39E552F4"/>
    <w:rsid w:val="39EC559C"/>
    <w:rsid w:val="39F04960"/>
    <w:rsid w:val="3A0F496A"/>
    <w:rsid w:val="3A4074C6"/>
    <w:rsid w:val="3A873BF5"/>
    <w:rsid w:val="3B33738C"/>
    <w:rsid w:val="3B79050B"/>
    <w:rsid w:val="3BC04130"/>
    <w:rsid w:val="3C5D21E6"/>
    <w:rsid w:val="3CA60B04"/>
    <w:rsid w:val="3CEC6D03"/>
    <w:rsid w:val="3D206487"/>
    <w:rsid w:val="3DC04D35"/>
    <w:rsid w:val="3DFA2056"/>
    <w:rsid w:val="3E4E000C"/>
    <w:rsid w:val="3EAF3106"/>
    <w:rsid w:val="3F6B02A7"/>
    <w:rsid w:val="3FB47B86"/>
    <w:rsid w:val="3FFE67F3"/>
    <w:rsid w:val="40072003"/>
    <w:rsid w:val="40617FCF"/>
    <w:rsid w:val="40E26CD8"/>
    <w:rsid w:val="411F243C"/>
    <w:rsid w:val="412F1C06"/>
    <w:rsid w:val="42744B04"/>
    <w:rsid w:val="42BA317D"/>
    <w:rsid w:val="43544604"/>
    <w:rsid w:val="43DE3337"/>
    <w:rsid w:val="44143533"/>
    <w:rsid w:val="445106B7"/>
    <w:rsid w:val="446379AC"/>
    <w:rsid w:val="44746BA8"/>
    <w:rsid w:val="44DE4F77"/>
    <w:rsid w:val="45570670"/>
    <w:rsid w:val="4567371B"/>
    <w:rsid w:val="45AB55EF"/>
    <w:rsid w:val="45E321EB"/>
    <w:rsid w:val="464016F5"/>
    <w:rsid w:val="465F362C"/>
    <w:rsid w:val="46B83B2F"/>
    <w:rsid w:val="46CD09A6"/>
    <w:rsid w:val="47B42F7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528AF"/>
    <w:rsid w:val="54EA3C55"/>
    <w:rsid w:val="55630A4E"/>
    <w:rsid w:val="557737BB"/>
    <w:rsid w:val="562C37FD"/>
    <w:rsid w:val="56366F6D"/>
    <w:rsid w:val="565C396B"/>
    <w:rsid w:val="5730611D"/>
    <w:rsid w:val="59111EFF"/>
    <w:rsid w:val="593C1BF8"/>
    <w:rsid w:val="5A955591"/>
    <w:rsid w:val="5AA9404F"/>
    <w:rsid w:val="5B117071"/>
    <w:rsid w:val="5B260D65"/>
    <w:rsid w:val="5B407C18"/>
    <w:rsid w:val="5B620E84"/>
    <w:rsid w:val="5C411365"/>
    <w:rsid w:val="5D153410"/>
    <w:rsid w:val="5D5B577D"/>
    <w:rsid w:val="5DD6583E"/>
    <w:rsid w:val="5DF5739A"/>
    <w:rsid w:val="5EBB05F2"/>
    <w:rsid w:val="5F170D3A"/>
    <w:rsid w:val="5FB312DF"/>
    <w:rsid w:val="60421C7F"/>
    <w:rsid w:val="60870A2D"/>
    <w:rsid w:val="60893EE2"/>
    <w:rsid w:val="60EF445E"/>
    <w:rsid w:val="61E54805"/>
    <w:rsid w:val="62D12EB5"/>
    <w:rsid w:val="62D93E68"/>
    <w:rsid w:val="62FF5D54"/>
    <w:rsid w:val="63710868"/>
    <w:rsid w:val="63AC2F92"/>
    <w:rsid w:val="644D0C37"/>
    <w:rsid w:val="644D4967"/>
    <w:rsid w:val="64C50123"/>
    <w:rsid w:val="65244228"/>
    <w:rsid w:val="65843D37"/>
    <w:rsid w:val="65F85CC4"/>
    <w:rsid w:val="67431B96"/>
    <w:rsid w:val="67C972BA"/>
    <w:rsid w:val="68767A8D"/>
    <w:rsid w:val="68942C39"/>
    <w:rsid w:val="68F4010F"/>
    <w:rsid w:val="692E0A4B"/>
    <w:rsid w:val="69B5367B"/>
    <w:rsid w:val="69CE664B"/>
    <w:rsid w:val="6A4D6295"/>
    <w:rsid w:val="6AA36C78"/>
    <w:rsid w:val="6ADD1BAA"/>
    <w:rsid w:val="6AEC25EF"/>
    <w:rsid w:val="6B4C26F3"/>
    <w:rsid w:val="6C195ECD"/>
    <w:rsid w:val="6C2D3162"/>
    <w:rsid w:val="6DEA3D34"/>
    <w:rsid w:val="6E041063"/>
    <w:rsid w:val="6F1F43E9"/>
    <w:rsid w:val="6F3921DE"/>
    <w:rsid w:val="6F78727E"/>
    <w:rsid w:val="6F873050"/>
    <w:rsid w:val="6FAA5C3A"/>
    <w:rsid w:val="6FD10D4C"/>
    <w:rsid w:val="7003702D"/>
    <w:rsid w:val="700A103B"/>
    <w:rsid w:val="70572E9C"/>
    <w:rsid w:val="719F5306"/>
    <w:rsid w:val="71E70650"/>
    <w:rsid w:val="720F0EDE"/>
    <w:rsid w:val="72A92AFC"/>
    <w:rsid w:val="72AA5F3A"/>
    <w:rsid w:val="72B10F39"/>
    <w:rsid w:val="72BC6E4B"/>
    <w:rsid w:val="73137F9A"/>
    <w:rsid w:val="73BD08B4"/>
    <w:rsid w:val="74826C48"/>
    <w:rsid w:val="74F710CB"/>
    <w:rsid w:val="750E0A19"/>
    <w:rsid w:val="757C1CC4"/>
    <w:rsid w:val="75B51DBC"/>
    <w:rsid w:val="76ED6DFD"/>
    <w:rsid w:val="773C0385"/>
    <w:rsid w:val="78100551"/>
    <w:rsid w:val="78877AD1"/>
    <w:rsid w:val="78CB2D10"/>
    <w:rsid w:val="793F533F"/>
    <w:rsid w:val="79E32E37"/>
    <w:rsid w:val="7A380A89"/>
    <w:rsid w:val="7ABE1DA4"/>
    <w:rsid w:val="7AC86BCE"/>
    <w:rsid w:val="7B2C12FD"/>
    <w:rsid w:val="7B416699"/>
    <w:rsid w:val="7BE32DA5"/>
    <w:rsid w:val="7C6330D4"/>
    <w:rsid w:val="7C757935"/>
    <w:rsid w:val="7CCF21B9"/>
    <w:rsid w:val="7CE77CAA"/>
    <w:rsid w:val="7D027725"/>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0"/>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next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首行缩进 Char"/>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qFormat/>
    <w:locked/>
    <w:uiPriority w:val="0"/>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216">
    <w:name w:val="font41"/>
    <w:basedOn w:val="48"/>
    <w:qFormat/>
    <w:uiPriority w:val="0"/>
    <w:rPr>
      <w:rFonts w:ascii="Batang" w:hAnsi="Batang" w:eastAsia="Batang" w:cs="Batang"/>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168A5-3B98-477C-89D9-1D39376592D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23</Pages>
  <Words>983</Words>
  <Characters>5607</Characters>
  <Lines>46</Lines>
  <Paragraphs>13</Paragraphs>
  <TotalTime>3</TotalTime>
  <ScaleCrop>false</ScaleCrop>
  <LinksUpToDate>false</LinksUpToDate>
  <CharactersWithSpaces>6577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2024-04-02T01:52:12Z</dcterms:modified>
  <dc:title>中煤招标</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3189CCE813BD4F338273DCFE9B5A79DB_13</vt:lpwstr>
  </property>
</Properties>
</file>