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40" w:lineRule="atLeast"/>
        <w:rPr>
          <w:rFonts w:hint="eastAsia" w:ascii="仿宋_GB2312" w:eastAsia="仿宋_GB2312"/>
          <w:sz w:val="32"/>
          <w:szCs w:val="32"/>
          <w:highlight w:val="red"/>
          <w:lang w:eastAsia="zh-CN"/>
        </w:rPr>
      </w:pPr>
    </w:p>
    <w:p>
      <w:pPr>
        <w:pStyle w:val="19"/>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jc w:val="center"/>
        <w:rPr>
          <w:rFonts w:hint="eastAsia" w:ascii="黑体" w:hAnsi="黑体" w:eastAsia="黑体" w:cs="黑体"/>
          <w:b w:val="0"/>
          <w:bCs w:val="0"/>
          <w:kern w:val="2"/>
          <w:sz w:val="48"/>
          <w:szCs w:val="48"/>
          <w:highlight w:val="none"/>
          <w:lang w:val="en-US" w:eastAsia="zh-CN" w:bidi="ar-SA"/>
        </w:rPr>
      </w:pPr>
      <w:r>
        <w:rPr>
          <w:rFonts w:hint="eastAsia" w:ascii="黑体" w:hAnsi="黑体" w:eastAsia="黑体" w:cs="黑体"/>
          <w:b w:val="0"/>
          <w:bCs w:val="0"/>
          <w:kern w:val="2"/>
          <w:sz w:val="48"/>
          <w:szCs w:val="48"/>
          <w:highlight w:val="none"/>
          <w:lang w:val="en-US" w:eastAsia="zh-CN" w:bidi="ar-SA"/>
        </w:rPr>
        <w:t>智能售饭系统售后维护服务采购项目</w:t>
      </w:r>
    </w:p>
    <w:p>
      <w:pPr>
        <w:jc w:val="center"/>
        <w:rPr>
          <w:rFonts w:ascii="黑体" w:hAnsi="黑体" w:eastAsia="黑体" w:cs="黑体"/>
          <w:sz w:val="48"/>
          <w:szCs w:val="48"/>
          <w:highlight w:val="none"/>
        </w:rPr>
      </w:pPr>
      <w:bookmarkStart w:id="1" w:name="_GoBack"/>
      <w:bookmarkEnd w:id="1"/>
      <w:r>
        <w:rPr>
          <w:rFonts w:hint="eastAsia" w:ascii="黑体" w:hAnsi="黑体" w:eastAsia="黑体" w:cs="黑体"/>
          <w:b w:val="0"/>
          <w:bCs w:val="0"/>
          <w:kern w:val="2"/>
          <w:sz w:val="48"/>
          <w:szCs w:val="48"/>
          <w:highlight w:val="none"/>
          <w:lang w:val="en-US" w:eastAsia="zh-CN" w:bidi="ar-SA"/>
        </w:rPr>
        <w:t>（二次）</w:t>
      </w: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16"/>
        <w:rPr>
          <w:highlight w:val="none"/>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XJ202403HYGC053</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red"/>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color w:val="000000"/>
          <w:sz w:val="32"/>
          <w:szCs w:val="32"/>
          <w:highlight w:val="none"/>
          <w:lang w:val="en-US" w:eastAsia="zh-CN"/>
        </w:rPr>
        <w:t>:中煤华昱公司后勤服务分公司</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eastAsia="zh-CN"/>
        </w:rPr>
        <w:t>四</w:t>
      </w:r>
      <w:r>
        <w:rPr>
          <w:rFonts w:hint="eastAsia" w:ascii="宋体" w:hAnsi="宋体" w:cs="宋体"/>
          <w:b w:val="0"/>
          <w:bCs w:val="0"/>
          <w:highlight w:val="none"/>
        </w:rPr>
        <w:t>年</w:t>
      </w:r>
      <w:r>
        <w:rPr>
          <w:rFonts w:hint="eastAsia" w:ascii="宋体" w:hAnsi="宋体" w:cs="宋体"/>
          <w:b w:val="0"/>
          <w:bCs w:val="0"/>
          <w:highlight w:val="none"/>
          <w:lang w:eastAsia="zh-CN"/>
        </w:rPr>
        <w:t>三</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16"/>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16"/>
        <w:rPr>
          <w:rFonts w:ascii="宋体" w:hAnsi="宋体" w:eastAsia="黑体" w:cs="宋体"/>
          <w:b w:val="0"/>
          <w:bCs w:val="0"/>
          <w:sz w:val="32"/>
          <w:szCs w:val="32"/>
          <w:highlight w:val="none"/>
        </w:rPr>
      </w:pPr>
    </w:p>
    <w:p>
      <w:pPr>
        <w:rPr>
          <w:highlight w:val="none"/>
        </w:rPr>
      </w:pPr>
    </w:p>
    <w:p>
      <w:pPr>
        <w:pStyle w:val="19"/>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pStyle w:val="19"/>
        <w:ind w:firstLine="480" w:firstLineChars="200"/>
        <w:jc w:val="both"/>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项目名称:</w:t>
      </w:r>
      <w:r>
        <w:rPr>
          <w:rFonts w:hint="eastAsia" w:ascii="宋体" w:hAnsi="宋体" w:cs="宋体"/>
          <w:b w:val="0"/>
          <w:bCs w:val="0"/>
          <w:sz w:val="24"/>
          <w:szCs w:val="24"/>
          <w:highlight w:val="none"/>
          <w:lang w:val="en-US" w:eastAsia="zh-CN"/>
        </w:rPr>
        <w:t>中煤集团山西华昱能源有限公司智能售饭系统售后维护服务采购项目</w:t>
      </w:r>
    </w:p>
    <w:p>
      <w:pPr>
        <w:spacing w:line="360" w:lineRule="auto"/>
        <w:ind w:firstLine="480" w:firstLineChars="200"/>
        <w:rPr>
          <w:rFonts w:hint="eastAsia"/>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pStyle w:val="16"/>
        <w:rPr>
          <w:rFonts w:hint="default" w:eastAsia="宋体"/>
          <w:lang w:val="en-US" w:eastAsia="zh-CN"/>
        </w:rPr>
      </w:pPr>
      <w:r>
        <w:rPr>
          <w:rFonts w:hint="eastAsia" w:ascii="宋体" w:hAnsi="宋体" w:cs="宋体"/>
          <w:b w:val="0"/>
          <w:bCs w:val="0"/>
          <w:sz w:val="24"/>
          <w:szCs w:val="24"/>
          <w:highlight w:val="none"/>
          <w:lang w:val="en-US" w:eastAsia="zh-CN"/>
        </w:rPr>
        <w:t xml:space="preserve">    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2024年3月28日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报名截止日期：2024年4月4日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报价截止时间：2024年4月7日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报价揭价时间：2024年4月7日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华昱公司各职工食堂智能售饭系统运维服务，分别包括园区食堂、五家沟煤业食堂、南阳坡煤业食堂、元宝湾煤业食堂、水泉煤业食堂、白芦煤业食堂、国兴煤业食堂、国强煤业食堂、设备维修分公司食堂等共9个食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3.工期（服务期）：3年</w:t>
      </w:r>
    </w:p>
    <w:p>
      <w:pPr>
        <w:spacing w:line="360" w:lineRule="auto"/>
        <w:ind w:firstLine="480" w:firstLineChars="200"/>
        <w:rPr>
          <w:rFonts w:hint="default"/>
          <w:lang w:val="en-US" w:eastAsia="zh-CN"/>
        </w:rPr>
      </w:pPr>
      <w:r>
        <w:rPr>
          <w:rFonts w:hint="eastAsia" w:ascii="宋体" w:hAnsi="宋体" w:cs="宋体"/>
          <w:b w:val="0"/>
          <w:bCs w:val="0"/>
          <w:sz w:val="24"/>
          <w:szCs w:val="24"/>
          <w:highlight w:val="none"/>
          <w:lang w:val="en-US" w:eastAsia="zh-CN"/>
        </w:rPr>
        <w:t>4.服务地点：华昱工业园区及各矿区食堂</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5.报价方式</w:t>
      </w:r>
      <w:r>
        <w:rPr>
          <w:rFonts w:hint="eastAsia" w:ascii="宋体" w:hAnsi="宋体" w:cs="宋体"/>
          <w:b w:val="0"/>
          <w:bCs w:val="0"/>
          <w:sz w:val="24"/>
          <w:szCs w:val="24"/>
          <w:highlight w:val="none"/>
          <w:lang w:val="en-US" w:eastAsia="zh-CN"/>
        </w:rPr>
        <w:t>:固定总价**万元（不含税）</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6.报价要求：根据项目的实际情况进行总价（</w:t>
      </w:r>
      <w:r>
        <w:rPr>
          <w:rFonts w:hint="eastAsia" w:ascii="宋体" w:hAnsi="宋体" w:cs="宋体"/>
          <w:b w:val="0"/>
          <w:bCs w:val="0"/>
          <w:sz w:val="24"/>
          <w:szCs w:val="24"/>
          <w:highlight w:val="none"/>
          <w:lang w:val="en-US" w:eastAsia="zh-CN"/>
        </w:rPr>
        <w:t>不</w:t>
      </w:r>
      <w:r>
        <w:rPr>
          <w:rFonts w:hint="eastAsia" w:ascii="宋体" w:hAnsi="宋体" w:eastAsia="宋体" w:cs="宋体"/>
          <w:b w:val="0"/>
          <w:bCs w:val="0"/>
          <w:sz w:val="24"/>
          <w:szCs w:val="24"/>
          <w:highlight w:val="none"/>
          <w:lang w:val="en-US" w:eastAsia="zh-CN"/>
        </w:rPr>
        <w:t>含税）</w:t>
      </w:r>
      <w:r>
        <w:rPr>
          <w:rFonts w:hint="eastAsia" w:ascii="宋体" w:hAnsi="宋体" w:cs="宋体"/>
          <w:b w:val="0"/>
          <w:bCs w:val="0"/>
          <w:sz w:val="24"/>
          <w:szCs w:val="24"/>
          <w:highlight w:val="none"/>
          <w:lang w:val="en-US" w:eastAsia="zh-CN"/>
        </w:rPr>
        <w:t>报价</w:t>
      </w:r>
      <w:r>
        <w:rPr>
          <w:rFonts w:hint="eastAsia" w:ascii="宋体" w:hAnsi="宋体" w:eastAsia="宋体" w:cs="宋体"/>
          <w:b w:val="0"/>
          <w:bCs w:val="0"/>
          <w:sz w:val="24"/>
          <w:szCs w:val="24"/>
          <w:highlight w:val="none"/>
          <w:lang w:val="en-US" w:eastAsia="zh-CN"/>
        </w:rPr>
        <w:t>，</w:t>
      </w:r>
      <w:r>
        <w:rPr>
          <w:rFonts w:hint="eastAsia" w:ascii="宋体" w:hAnsi="宋体" w:cs="宋体"/>
          <w:b w:val="0"/>
          <w:bCs w:val="0"/>
          <w:sz w:val="24"/>
          <w:szCs w:val="24"/>
          <w:highlight w:val="none"/>
          <w:lang w:val="en-US" w:eastAsia="zh-CN"/>
        </w:rPr>
        <w:t>总价等于分项报价*9，</w:t>
      </w:r>
      <w:r>
        <w:rPr>
          <w:rFonts w:hint="eastAsia" w:ascii="宋体" w:hAnsi="宋体" w:eastAsia="宋体" w:cs="宋体"/>
          <w:b w:val="0"/>
          <w:bCs w:val="0"/>
          <w:sz w:val="24"/>
          <w:szCs w:val="24"/>
          <w:highlight w:val="none"/>
          <w:lang w:val="en-US" w:eastAsia="zh-CN"/>
        </w:rPr>
        <w:t>付款方式执行中煤集团山西华昱能源有限公司相关制度流程。</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7.付款方式：</w:t>
      </w:r>
      <w:r>
        <w:rPr>
          <w:rFonts w:hint="eastAsia" w:ascii="宋体" w:hAnsi="宋体" w:cs="宋体"/>
          <w:b w:val="0"/>
          <w:bCs w:val="0"/>
          <w:sz w:val="24"/>
          <w:szCs w:val="24"/>
          <w:highlight w:val="none"/>
          <w:lang w:val="en-US" w:eastAsia="zh-CN"/>
        </w:rPr>
        <w:t>成交人须与各单位分别单独签订合同，</w:t>
      </w:r>
      <w:r>
        <w:rPr>
          <w:rFonts w:hint="eastAsia" w:ascii="宋体" w:hAnsi="宋体" w:eastAsia="宋体" w:cs="宋体"/>
          <w:b w:val="0"/>
          <w:bCs w:val="0"/>
          <w:sz w:val="24"/>
          <w:szCs w:val="24"/>
          <w:highlight w:val="none"/>
          <w:lang w:val="en-US" w:eastAsia="zh-CN"/>
        </w:rPr>
        <w:t>合同期三年</w:t>
      </w:r>
      <w:r>
        <w:rPr>
          <w:rFonts w:hint="eastAsia" w:ascii="宋体" w:hAnsi="宋体" w:cs="宋体"/>
          <w:b w:val="0"/>
          <w:bCs w:val="0"/>
          <w:sz w:val="24"/>
          <w:szCs w:val="24"/>
          <w:highlight w:val="none"/>
          <w:lang w:val="en-US" w:eastAsia="zh-CN"/>
        </w:rPr>
        <w:t>，合同一年一签，</w:t>
      </w:r>
      <w:r>
        <w:rPr>
          <w:rFonts w:hint="eastAsia" w:ascii="宋体" w:hAnsi="宋体" w:eastAsia="宋体" w:cs="宋体"/>
          <w:b w:val="0"/>
          <w:bCs w:val="0"/>
          <w:sz w:val="24"/>
          <w:szCs w:val="24"/>
          <w:highlight w:val="none"/>
          <w:lang w:val="en-US" w:eastAsia="zh-CN"/>
        </w:rPr>
        <w:t>签订合同并开具全额增值税专用发票后</w:t>
      </w:r>
      <w:r>
        <w:rPr>
          <w:rFonts w:hint="eastAsia" w:ascii="宋体" w:hAnsi="宋体" w:cs="宋体"/>
          <w:b w:val="0"/>
          <w:bCs w:val="0"/>
          <w:sz w:val="24"/>
          <w:szCs w:val="24"/>
          <w:highlight w:val="none"/>
          <w:lang w:val="en-US" w:eastAsia="zh-CN"/>
        </w:rPr>
        <w:t>，各需求单位支付对应合同款。</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8.验收标准：完成职工食堂智能售饭系统后台服务器、WEB管理页面、前台智能POS的日常运维工作</w:t>
      </w:r>
      <w:r>
        <w:rPr>
          <w:rFonts w:hint="eastAsia" w:ascii="宋体" w:hAnsi="宋体" w:cs="宋体"/>
          <w:b w:val="0"/>
          <w:bCs w:val="0"/>
          <w:sz w:val="24"/>
          <w:szCs w:val="24"/>
          <w:highlight w:val="none"/>
          <w:lang w:val="en-US" w:eastAsia="zh-CN"/>
        </w:rPr>
        <w:t>（硬件故障除外）等工作项目，</w:t>
      </w:r>
      <w:r>
        <w:rPr>
          <w:rFonts w:hint="eastAsia" w:ascii="宋体" w:hAnsi="宋体" w:eastAsia="宋体" w:cs="宋体"/>
          <w:b w:val="0"/>
          <w:bCs w:val="0"/>
          <w:sz w:val="24"/>
          <w:szCs w:val="24"/>
          <w:highlight w:val="none"/>
          <w:lang w:val="en-US" w:eastAsia="zh-CN"/>
        </w:rPr>
        <w:t>确保</w:t>
      </w:r>
      <w:r>
        <w:rPr>
          <w:rFonts w:hint="eastAsia" w:ascii="宋体" w:hAnsi="宋体" w:cs="宋体"/>
          <w:b w:val="0"/>
          <w:bCs w:val="0"/>
          <w:sz w:val="24"/>
          <w:szCs w:val="24"/>
          <w:highlight w:val="none"/>
          <w:lang w:val="en-US" w:eastAsia="zh-CN"/>
        </w:rPr>
        <w:t>系统</w:t>
      </w:r>
      <w:r>
        <w:rPr>
          <w:rFonts w:hint="eastAsia" w:ascii="宋体" w:hAnsi="宋体" w:eastAsia="宋体" w:cs="宋体"/>
          <w:b w:val="0"/>
          <w:bCs w:val="0"/>
          <w:sz w:val="24"/>
          <w:szCs w:val="24"/>
          <w:highlight w:val="none"/>
          <w:lang w:val="en-US" w:eastAsia="zh-CN"/>
        </w:rPr>
        <w:t>正常使用。</w:t>
      </w:r>
    </w:p>
    <w:p>
      <w:pPr>
        <w:spacing w:line="360" w:lineRule="auto"/>
        <w:ind w:firstLine="480" w:firstLineChars="200"/>
        <w:rPr>
          <w:rFonts w:hint="eastAsia" w:ascii="宋体" w:hAnsi="宋体" w:cs="宋体"/>
          <w:b w:val="0"/>
          <w:bCs w:val="0"/>
          <w:sz w:val="24"/>
          <w:szCs w:val="24"/>
          <w:highlight w:val="red"/>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1.报价人应具有中华人民共和国境内注册的独立法人资格。</w:t>
      </w:r>
    </w:p>
    <w:p>
      <w:pPr>
        <w:spacing w:line="360" w:lineRule="auto"/>
        <w:ind w:firstLine="480" w:firstLineChars="200"/>
        <w:rPr>
          <w:rFonts w:hint="default"/>
          <w:lang w:val="en-US" w:eastAsia="zh-CN"/>
        </w:rPr>
      </w:pPr>
      <w:r>
        <w:rPr>
          <w:rFonts w:hint="eastAsia" w:ascii="宋体" w:hAnsi="宋体" w:cs="宋体"/>
          <w:b w:val="0"/>
          <w:bCs w:val="0"/>
          <w:sz w:val="24"/>
          <w:szCs w:val="24"/>
          <w:highlight w:val="none"/>
          <w:lang w:val="en-US" w:eastAsia="zh-CN"/>
        </w:rPr>
        <w:t>2.报价人须提供近2年（2022年至今）至少3例同类项目业绩（提供合同关键页）</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default" w:ascii="宋体" w:hAnsi="宋体" w:eastAsia="宋体" w:cs="宋体"/>
          <w:b w:val="0"/>
          <w:bCs w:val="0"/>
          <w:sz w:val="24"/>
          <w:szCs w:val="24"/>
          <w:highlight w:val="red"/>
          <w:lang w:val="en-US"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default" w:ascii="宋体" w:hAnsi="宋体" w:cs="宋体"/>
          <w:i w:val="0"/>
          <w:caps w:val="0"/>
          <w:color w:val="333333"/>
          <w:spacing w:val="0"/>
          <w:sz w:val="24"/>
          <w:szCs w:val="24"/>
          <w:highlight w:val="none"/>
          <w:shd w:val="clear" w:color="auto" w:fill="FFFFFF"/>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姜建国  15235074313</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朔州市山阴县北周庄镇（大运路西）</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电子信箱：</w:t>
      </w:r>
      <w:r>
        <w:rPr>
          <w:rFonts w:hint="eastAsia" w:ascii="宋体" w:hAnsi="宋体" w:cs="宋体"/>
          <w:b w:val="0"/>
          <w:bCs w:val="0"/>
          <w:sz w:val="24"/>
          <w:szCs w:val="24"/>
          <w:highlight w:val="none"/>
          <w:lang w:val="en-US" w:eastAsia="zh-CN"/>
        </w:rPr>
        <w:t>993421157@qq.com</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hint="eastAsia" w:ascii="宋体" w:hAnsi="宋体" w:cs="宋体"/>
          <w:b w:val="0"/>
          <w:bCs w:val="0"/>
          <w:color w:val="000000"/>
          <w:sz w:val="24"/>
          <w:szCs w:val="24"/>
          <w:highlight w:val="none"/>
        </w:rPr>
      </w:pPr>
      <w:r>
        <w:rPr>
          <w:rFonts w:ascii="宋体" w:hAnsi="宋体" w:cs="宋体"/>
          <w:b w:val="0"/>
          <w:bCs w:val="0"/>
          <w:sz w:val="24"/>
          <w:szCs w:val="24"/>
          <w:highlight w:val="none"/>
        </w:rPr>
        <w:t>(1)</w:t>
      </w:r>
      <w:r>
        <w:rPr>
          <w:rFonts w:hint="eastAsia" w:ascii="宋体" w:hAnsi="宋体" w:cs="宋体"/>
          <w:b w:val="0"/>
          <w:bCs w:val="0"/>
          <w:color w:val="000000"/>
          <w:sz w:val="24"/>
          <w:szCs w:val="24"/>
          <w:highlight w:val="none"/>
        </w:rPr>
        <w:t>报价为</w:t>
      </w:r>
      <w:r>
        <w:rPr>
          <w:rFonts w:hint="eastAsia" w:ascii="宋体" w:hAnsi="宋体" w:cs="宋体"/>
          <w:b w:val="0"/>
          <w:bCs w:val="0"/>
          <w:color w:val="000000"/>
          <w:sz w:val="24"/>
          <w:szCs w:val="24"/>
          <w:highlight w:val="none"/>
          <w:lang w:eastAsia="zh-CN"/>
        </w:rPr>
        <w:t>不</w:t>
      </w:r>
      <w:r>
        <w:rPr>
          <w:rFonts w:hint="eastAsia" w:ascii="宋体" w:hAnsi="宋体" w:cs="宋体"/>
          <w:b w:val="0"/>
          <w:bCs w:val="0"/>
          <w:color w:val="000000"/>
          <w:sz w:val="24"/>
          <w:szCs w:val="24"/>
          <w:highlight w:val="none"/>
        </w:rPr>
        <w:t>含税价。</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w:t>
      </w:r>
    </w:p>
    <w:p>
      <w:pPr>
        <w:pStyle w:val="20"/>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19"/>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hAnsi="宋体" w:eastAsia="宋体" w:cs="宋体"/>
          <w:b w:val="0"/>
          <w:bCs w:val="0"/>
          <w:sz w:val="24"/>
          <w:szCs w:val="24"/>
          <w:highlight w:val="red"/>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、不满足询价文件中“*”号条款要求的报价书经评审小组集体讨论并签字确认后将不被推荐成交。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16"/>
        <w:rPr>
          <w:rFonts w:hint="default"/>
          <w:lang w:val="en-US" w:eastAsia="zh-CN"/>
        </w:rPr>
      </w:pPr>
      <w:r>
        <w:rPr>
          <w:rFonts w:hint="eastAsia"/>
          <w:lang w:val="en-US" w:eastAsia="zh-CN"/>
        </w:rPr>
        <w:t xml:space="preserve">             </w:t>
      </w:r>
    </w:p>
    <w:p>
      <w:pPr>
        <w:rPr>
          <w:rFonts w:hint="eastAsia" w:ascii="黑体" w:hAnsi="黑体" w:eastAsia="黑体" w:cs="黑体"/>
          <w:b w:val="0"/>
          <w:bCs w:val="0"/>
          <w:smallCaps/>
          <w:spacing w:val="14"/>
          <w:kern w:val="20"/>
          <w:highlight w:val="none"/>
          <w:lang w:eastAsia="zh-CN"/>
        </w:rPr>
      </w:pPr>
      <w:r>
        <w:rPr>
          <w:rFonts w:hint="eastAsia" w:ascii="宋体" w:hAnsi="宋体" w:eastAsia="宋体" w:cs="宋体"/>
          <w:b w:val="0"/>
          <w:bCs w:val="0"/>
          <w:sz w:val="24"/>
          <w:szCs w:val="24"/>
          <w:highlight w:val="none"/>
          <w:lang w:val="en-US" w:eastAsia="zh-CN"/>
        </w:rPr>
        <w:t>付款方式：</w:t>
      </w:r>
      <w:r>
        <w:rPr>
          <w:rFonts w:hint="eastAsia" w:ascii="宋体" w:hAnsi="宋体" w:cs="宋体"/>
          <w:b w:val="0"/>
          <w:bCs w:val="0"/>
          <w:sz w:val="24"/>
          <w:szCs w:val="24"/>
          <w:highlight w:val="none"/>
          <w:lang w:val="en-US" w:eastAsia="zh-CN"/>
        </w:rPr>
        <w:t>成交人须与各单位分别单独签订合同，</w:t>
      </w:r>
      <w:r>
        <w:rPr>
          <w:rFonts w:hint="eastAsia" w:ascii="宋体" w:hAnsi="宋体" w:eastAsia="宋体" w:cs="宋体"/>
          <w:b w:val="0"/>
          <w:bCs w:val="0"/>
          <w:sz w:val="24"/>
          <w:szCs w:val="24"/>
          <w:highlight w:val="none"/>
          <w:lang w:val="en-US" w:eastAsia="zh-CN"/>
        </w:rPr>
        <w:t>合同期三年</w:t>
      </w:r>
      <w:r>
        <w:rPr>
          <w:rFonts w:hint="eastAsia" w:ascii="宋体" w:hAnsi="宋体" w:cs="宋体"/>
          <w:b w:val="0"/>
          <w:bCs w:val="0"/>
          <w:sz w:val="24"/>
          <w:szCs w:val="24"/>
          <w:highlight w:val="none"/>
          <w:lang w:val="en-US" w:eastAsia="zh-CN"/>
        </w:rPr>
        <w:t>，合同一年一签，</w:t>
      </w:r>
      <w:r>
        <w:rPr>
          <w:rFonts w:hint="eastAsia" w:ascii="宋体" w:hAnsi="宋体" w:eastAsia="宋体" w:cs="宋体"/>
          <w:b w:val="0"/>
          <w:bCs w:val="0"/>
          <w:sz w:val="24"/>
          <w:szCs w:val="24"/>
          <w:highlight w:val="none"/>
          <w:lang w:val="en-US" w:eastAsia="zh-CN"/>
        </w:rPr>
        <w:t>签订合同并开具全额增值税专用发票后</w:t>
      </w:r>
      <w:r>
        <w:rPr>
          <w:rFonts w:hint="eastAsia" w:ascii="宋体" w:hAnsi="宋体" w:cs="宋体"/>
          <w:b w:val="0"/>
          <w:bCs w:val="0"/>
          <w:sz w:val="24"/>
          <w:szCs w:val="24"/>
          <w:highlight w:val="none"/>
          <w:lang w:val="en-US" w:eastAsia="zh-CN"/>
        </w:rPr>
        <w:t>，各需求单位支付对应合同款。</w:t>
      </w:r>
    </w:p>
    <w:p>
      <w:pPr>
        <w:pStyle w:val="16"/>
      </w:pPr>
    </w:p>
    <w:p>
      <w:pPr>
        <w:pStyle w:val="16"/>
      </w:pPr>
    </w:p>
    <w:p>
      <w:pPr>
        <w:pStyle w:val="16"/>
      </w:pPr>
    </w:p>
    <w:p>
      <w:pPr>
        <w:keepNext/>
        <w:keepLines/>
        <w:pageBreakBefore/>
        <w:numPr>
          <w:ilvl w:val="0"/>
          <w:numId w:val="0"/>
        </w:numPr>
        <w:spacing w:after="240" w:line="240" w:lineRule="atLeast"/>
        <w:ind w:leftChars="0"/>
        <w:jc w:val="center"/>
        <w:outlineLvl w:val="0"/>
        <w:rPr>
          <w:rFonts w:hint="eastAsia" w:ascii="黑体" w:hAnsi="黑体" w:eastAsia="黑体"/>
          <w:b w:val="0"/>
          <w:bCs w:val="0"/>
          <w:smallCaps/>
          <w:spacing w:val="14"/>
          <w:kern w:val="20"/>
          <w:highlight w:val="yellow"/>
          <w:lang w:eastAsia="zh-CN"/>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tbl>
      <w:tblPr>
        <w:tblStyle w:val="45"/>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0"/>
        <w:gridCol w:w="1047"/>
        <w:gridCol w:w="6399"/>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897" w:type="dxa"/>
            <w:gridSpan w:val="2"/>
            <w:noWrap w:val="0"/>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sz w:val="24"/>
                <w:szCs w:val="24"/>
                <w:lang w:val="en-US" w:eastAsia="zh-CN" w:bidi="ar"/>
              </w:rPr>
              <w:t>维护</w:t>
            </w:r>
            <w:r>
              <w:rPr>
                <w:rFonts w:hint="eastAsia" w:ascii="宋体" w:hAnsi="宋体" w:cs="宋体"/>
                <w:b/>
                <w:color w:val="000000"/>
                <w:sz w:val="24"/>
                <w:szCs w:val="24"/>
                <w:lang w:bidi="ar"/>
              </w:rPr>
              <w:t>项目</w:t>
            </w:r>
          </w:p>
        </w:tc>
        <w:tc>
          <w:tcPr>
            <w:tcW w:w="6399" w:type="dxa"/>
            <w:noWrap w:val="0"/>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sz w:val="24"/>
                <w:szCs w:val="24"/>
                <w:lang w:val="en-US" w:eastAsia="zh-CN" w:bidi="ar"/>
              </w:rPr>
              <w:t>运维</w:t>
            </w:r>
            <w:r>
              <w:rPr>
                <w:rFonts w:hint="eastAsia" w:ascii="宋体" w:hAnsi="宋体" w:cs="宋体"/>
                <w:b/>
                <w:color w:val="000000"/>
                <w:sz w:val="24"/>
                <w:szCs w:val="24"/>
                <w:lang w:bidi="ar"/>
              </w:rPr>
              <w:t>内容</w:t>
            </w:r>
          </w:p>
        </w:tc>
        <w:tc>
          <w:tcPr>
            <w:tcW w:w="881" w:type="dxa"/>
            <w:noWrap w:val="0"/>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sz w:val="24"/>
                <w:szCs w:val="24"/>
                <w:lang w:val="en-US" w:eastAsia="zh-CN" w:bidi="ar"/>
              </w:rPr>
              <w:t>运维</w:t>
            </w:r>
            <w:r>
              <w:rPr>
                <w:rFonts w:hint="eastAsia" w:ascii="宋体" w:hAnsi="宋体" w:cs="宋体"/>
                <w:b/>
                <w:color w:val="000000"/>
                <w:sz w:val="24"/>
                <w:szCs w:val="24"/>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850" w:type="dxa"/>
            <w:noWrap w:val="0"/>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sz w:val="24"/>
                <w:szCs w:val="24"/>
                <w:lang w:bidi="ar"/>
              </w:rPr>
              <w:t>基础支撑平台</w:t>
            </w:r>
          </w:p>
        </w:tc>
        <w:tc>
          <w:tcPr>
            <w:tcW w:w="1047" w:type="dxa"/>
            <w:noWrap w:val="0"/>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基础支撑平台</w:t>
            </w:r>
          </w:p>
        </w:tc>
        <w:tc>
          <w:tcPr>
            <w:tcW w:w="6399" w:type="dxa"/>
            <w:noWrap w:val="0"/>
            <w:tcMar>
              <w:top w:w="15" w:type="dxa"/>
              <w:left w:w="15" w:type="dxa"/>
              <w:right w:w="15" w:type="dxa"/>
            </w:tcMar>
            <w:vAlign w:val="center"/>
          </w:tcPr>
          <w:p>
            <w:pPr>
              <w:widowControl/>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bidi="ar"/>
              </w:rPr>
              <w:t>银商金融云服务器、银商智慧园区云平台、小U零售云平台</w:t>
            </w:r>
          </w:p>
        </w:tc>
        <w:tc>
          <w:tcPr>
            <w:tcW w:w="881" w:type="dxa"/>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0" w:hRule="atLeast"/>
          <w:jc w:val="center"/>
        </w:trPr>
        <w:tc>
          <w:tcPr>
            <w:tcW w:w="850" w:type="dxa"/>
            <w:noWrap w:val="0"/>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sz w:val="24"/>
                <w:szCs w:val="24"/>
                <w:lang w:bidi="ar"/>
              </w:rPr>
              <w:t>虚拟</w:t>
            </w:r>
            <w:r>
              <w:rPr>
                <w:rFonts w:hint="eastAsia" w:ascii="宋体" w:hAnsi="宋体" w:cs="宋体"/>
                <w:b/>
                <w:color w:val="000000"/>
                <w:sz w:val="24"/>
                <w:szCs w:val="24"/>
                <w:lang w:val="en-US" w:eastAsia="zh-CN" w:bidi="ar"/>
              </w:rPr>
              <w:t>就餐卡</w:t>
            </w:r>
          </w:p>
        </w:tc>
        <w:tc>
          <w:tcPr>
            <w:tcW w:w="1047" w:type="dxa"/>
            <w:noWrap w:val="0"/>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移动综合事务受理</w:t>
            </w:r>
          </w:p>
        </w:tc>
        <w:tc>
          <w:tcPr>
            <w:tcW w:w="6399" w:type="dxa"/>
            <w:noWrap w:val="0"/>
            <w:tcMar>
              <w:top w:w="15" w:type="dxa"/>
              <w:left w:w="15" w:type="dxa"/>
              <w:right w:w="15" w:type="dxa"/>
            </w:tcMar>
            <w:vAlign w:val="center"/>
          </w:tcPr>
          <w:p>
            <w:pPr>
              <w:widowControl/>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bidi="ar"/>
              </w:rPr>
              <w:t>微信公众号（</w:t>
            </w:r>
            <w:r>
              <w:rPr>
                <w:rFonts w:hint="eastAsia" w:ascii="宋体" w:hAnsi="宋体" w:cs="宋体"/>
                <w:color w:val="000000"/>
                <w:sz w:val="22"/>
                <w:szCs w:val="22"/>
                <w:lang w:bidi="ar"/>
              </w:rPr>
              <w:t>一卡通帐户管理、消费明细查询、线上</w:t>
            </w:r>
            <w:r>
              <w:rPr>
                <w:rFonts w:hint="eastAsia" w:ascii="宋体" w:hAnsi="宋体" w:cs="宋体"/>
                <w:color w:val="000000"/>
                <w:sz w:val="22"/>
                <w:szCs w:val="22"/>
                <w:lang w:val="en-US" w:eastAsia="zh-CN" w:bidi="ar"/>
              </w:rPr>
              <w:t>充值</w:t>
            </w:r>
            <w:r>
              <w:rPr>
                <w:rFonts w:hint="eastAsia" w:ascii="宋体" w:hAnsi="宋体" w:cs="宋体"/>
                <w:color w:val="000000"/>
                <w:sz w:val="22"/>
                <w:szCs w:val="22"/>
                <w:lang w:bidi="ar"/>
              </w:rPr>
              <w:t>等应用</w:t>
            </w:r>
            <w:r>
              <w:rPr>
                <w:rFonts w:hint="eastAsia" w:ascii="宋体" w:hAnsi="宋体" w:cs="宋体"/>
                <w:color w:val="000000"/>
                <w:sz w:val="22"/>
                <w:szCs w:val="22"/>
                <w:lang w:eastAsia="zh-CN" w:bidi="ar"/>
              </w:rPr>
              <w:t>）</w:t>
            </w:r>
          </w:p>
        </w:tc>
        <w:tc>
          <w:tcPr>
            <w:tcW w:w="881" w:type="dxa"/>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850" w:type="dxa"/>
            <w:vMerge w:val="restart"/>
            <w:noWrap w:val="0"/>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sz w:val="24"/>
                <w:szCs w:val="24"/>
                <w:lang w:bidi="ar"/>
              </w:rPr>
              <w:t>智能消费终端</w:t>
            </w:r>
          </w:p>
        </w:tc>
        <w:tc>
          <w:tcPr>
            <w:tcW w:w="1047" w:type="dxa"/>
            <w:noWrap w:val="0"/>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挂式三合一（刷脸+挥卡+扫码）</w:t>
            </w:r>
          </w:p>
        </w:tc>
        <w:tc>
          <w:tcPr>
            <w:tcW w:w="6399" w:type="dxa"/>
            <w:noWrap w:val="0"/>
            <w:tcMar>
              <w:top w:w="15" w:type="dxa"/>
              <w:left w:w="15" w:type="dxa"/>
              <w:right w:w="15" w:type="dxa"/>
            </w:tcMar>
            <w:vAlign w:val="center"/>
          </w:tcPr>
          <w:p>
            <w:pPr>
              <w:widowControl/>
              <w:textAlignment w:val="center"/>
              <w:rPr>
                <w:rFonts w:ascii="宋体" w:hAnsi="宋体" w:cs="宋体"/>
                <w:sz w:val="22"/>
                <w:szCs w:val="22"/>
              </w:rPr>
            </w:pPr>
            <w:r>
              <w:rPr>
                <w:rFonts w:hint="eastAsia" w:ascii="宋体" w:hAnsi="宋体" w:cs="宋体"/>
                <w:sz w:val="22"/>
                <w:szCs w:val="22"/>
              </w:rPr>
              <w:t>操作系统：Android 7.1</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CPU：RK3288，Cortex-A17四核，主频1.8GHz</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内存：DDR3：2GB</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存储器：NandFlash：16GB</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主屏：5英寸，LED背光</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按键：19键实体防水防尘机械式键盘</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副屏：7英寸，LED背光，电容触摸屏，支持多点触控</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以太网：1*RJ45，支持TCP/IP标准有线网络通讯，10M/100M自适应</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WIFI：支持IEEE 802.11b/g/n</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蓝牙：支持蓝牙</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电源适配器：12VDC电源适配器</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扬声器：大音量喇叭6W</w:t>
            </w:r>
            <w:r>
              <w:rPr>
                <w:rFonts w:hint="eastAsia" w:ascii="宋体" w:hAnsi="宋体" w:cs="宋体"/>
                <w:sz w:val="22"/>
                <w:szCs w:val="22"/>
              </w:rPr>
              <w:tab/>
            </w:r>
            <w:r>
              <w:rPr>
                <w:rFonts w:hint="eastAsia" w:ascii="宋体" w:hAnsi="宋体" w:cs="宋体"/>
                <w:sz w:val="22"/>
                <w:szCs w:val="22"/>
              </w:rPr>
              <w:t>大音量喇叭3W*2</w:t>
            </w:r>
          </w:p>
          <w:p>
            <w:pPr>
              <w:widowControl/>
              <w:textAlignment w:val="center"/>
              <w:rPr>
                <w:rFonts w:ascii="宋体" w:hAnsi="宋体" w:cs="宋体"/>
                <w:sz w:val="22"/>
                <w:szCs w:val="22"/>
              </w:rPr>
            </w:pPr>
            <w:r>
              <w:rPr>
                <w:rFonts w:hint="eastAsia" w:ascii="宋体" w:hAnsi="宋体" w:cs="宋体"/>
                <w:sz w:val="22"/>
                <w:szCs w:val="22"/>
              </w:rPr>
              <w:t>系统软件开发：Android SDK</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应用程序环境</w:t>
            </w:r>
            <w:r>
              <w:rPr>
                <w:rFonts w:hint="eastAsia" w:ascii="宋体" w:hAnsi="宋体" w:cs="宋体"/>
                <w:sz w:val="22"/>
                <w:szCs w:val="22"/>
              </w:rPr>
              <w:tab/>
            </w:r>
            <w:r>
              <w:rPr>
                <w:rFonts w:hint="eastAsia" w:ascii="宋体" w:hAnsi="宋体" w:cs="宋体"/>
                <w:sz w:val="22"/>
                <w:szCs w:val="22"/>
              </w:rPr>
              <w:t>支持Java语言</w:t>
            </w:r>
          </w:p>
          <w:p>
            <w:pPr>
              <w:widowControl/>
              <w:textAlignment w:val="center"/>
              <w:rPr>
                <w:rFonts w:ascii="宋体" w:hAnsi="宋体" w:cs="宋体"/>
                <w:sz w:val="22"/>
                <w:szCs w:val="22"/>
              </w:rPr>
            </w:pPr>
            <w:r>
              <w:rPr>
                <w:rFonts w:hint="eastAsia" w:ascii="宋体" w:hAnsi="宋体" w:cs="宋体"/>
                <w:sz w:val="22"/>
                <w:szCs w:val="22"/>
              </w:rPr>
              <w:t>非接触式读卡模块（NFC读卡）：13.56MHz高频读卡模块，支持ISO/IEC 14443A、ISO/IEC14443B，FeliCa，Mifare 1K/4K，NFC Forum tag， ISO/IEC 15693/ICODE, NFCIP-1, NFCIP-2协议</w:t>
            </w:r>
          </w:p>
          <w:p>
            <w:pPr>
              <w:widowControl/>
              <w:textAlignment w:val="center"/>
              <w:rPr>
                <w:rFonts w:ascii="宋体" w:hAnsi="宋体" w:cs="宋体"/>
                <w:sz w:val="22"/>
                <w:szCs w:val="22"/>
              </w:rPr>
            </w:pPr>
            <w:r>
              <w:rPr>
                <w:rFonts w:hint="eastAsia" w:ascii="宋体" w:hAnsi="宋体" w:cs="宋体"/>
                <w:sz w:val="22"/>
                <w:szCs w:val="22"/>
              </w:rPr>
              <w:t>二维扫描：支持主流一维/二维条码扫描，支持扫码支付</w:t>
            </w:r>
          </w:p>
        </w:tc>
        <w:tc>
          <w:tcPr>
            <w:tcW w:w="881" w:type="dxa"/>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ascii="宋体" w:hAnsi="宋体" w:cs="宋体"/>
                <w:color w:val="000000"/>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850" w:type="dxa"/>
            <w:vMerge w:val="continue"/>
            <w:noWrap w:val="0"/>
            <w:tcMar>
              <w:top w:w="15" w:type="dxa"/>
              <w:left w:w="15" w:type="dxa"/>
              <w:right w:w="15" w:type="dxa"/>
            </w:tcMar>
            <w:vAlign w:val="center"/>
          </w:tcPr>
          <w:p>
            <w:pPr>
              <w:widowControl/>
              <w:jc w:val="center"/>
              <w:textAlignment w:val="center"/>
              <w:rPr>
                <w:rFonts w:ascii="宋体" w:hAnsi="宋体" w:cs="宋体"/>
                <w:b/>
                <w:color w:val="000000"/>
                <w:sz w:val="24"/>
                <w:szCs w:val="24"/>
              </w:rPr>
            </w:pPr>
          </w:p>
        </w:tc>
        <w:tc>
          <w:tcPr>
            <w:tcW w:w="1047" w:type="dxa"/>
            <w:noWrap w:val="0"/>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AI识别餐台</w:t>
            </w:r>
          </w:p>
        </w:tc>
        <w:tc>
          <w:tcPr>
            <w:tcW w:w="6399" w:type="dxa"/>
            <w:noWrap w:val="0"/>
            <w:tcMar>
              <w:top w:w="15" w:type="dxa"/>
              <w:left w:w="15" w:type="dxa"/>
              <w:right w:w="15" w:type="dxa"/>
            </w:tcMar>
            <w:vAlign w:val="center"/>
          </w:tcPr>
          <w:p>
            <w:pPr>
              <w:widowControl/>
              <w:textAlignment w:val="center"/>
              <w:rPr>
                <w:rFonts w:hint="eastAsia" w:ascii="宋体" w:hAnsi="宋体" w:cs="宋体"/>
                <w:color w:val="000000"/>
                <w:sz w:val="22"/>
                <w:szCs w:val="22"/>
              </w:rPr>
            </w:pPr>
            <w:r>
              <w:rPr>
                <w:rFonts w:hint="eastAsia" w:ascii="宋体" w:hAnsi="宋体" w:cs="宋体"/>
                <w:color w:val="000000"/>
                <w:sz w:val="22"/>
                <w:szCs w:val="22"/>
              </w:rPr>
              <w:t>1.客户端：安卓7.1</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2. CPU: RK3399 A72 六核（双核Cortex-A72 + 四核Cortex-A53架构） 2.0GHz + GPU Mali-T860 MP4；MIPI/eDP/HDMI2.0接口，支持4096x2160显示输出；内置PCI-e接口，支持基于PCI-e的高速Wi-Fi和存储扩展； EMMC5.1 HS400；</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3. 内存&amp;硬盘：4G+32G</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4. 显示屏：15.6寸</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5. 工艺：冷板喷涂外壳，钢化玻璃台面</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6. IC卡（支持ISO14443 TPEA/B、支持Mifare标准）,二维码扫码</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7. 人脸识别摄像头像素：200万</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8. 菜品/餐盘摄像头像素：800万</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9. 可选配热敏打印或者激光打印。</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10. 喇叭：3W4Ω</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11. 尺寸：506*552*781</w:t>
            </w:r>
          </w:p>
          <w:p>
            <w:pPr>
              <w:widowControl/>
              <w:textAlignment w:val="center"/>
              <w:rPr>
                <w:rFonts w:ascii="宋体" w:hAnsi="宋体" w:cs="宋体"/>
                <w:color w:val="000000"/>
                <w:sz w:val="22"/>
                <w:szCs w:val="22"/>
              </w:rPr>
            </w:pPr>
            <w:r>
              <w:rPr>
                <w:rFonts w:hint="eastAsia" w:ascii="宋体" w:hAnsi="宋体" w:cs="宋体"/>
                <w:color w:val="000000"/>
                <w:sz w:val="22"/>
                <w:szCs w:val="22"/>
              </w:rPr>
              <w:t>12.网络：RJ45，WIFI，蓝牙</w:t>
            </w:r>
          </w:p>
        </w:tc>
        <w:tc>
          <w:tcPr>
            <w:tcW w:w="881" w:type="dxa"/>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0" w:hRule="atLeast"/>
          <w:jc w:val="center"/>
        </w:trPr>
        <w:tc>
          <w:tcPr>
            <w:tcW w:w="850" w:type="dxa"/>
            <w:vMerge w:val="continue"/>
            <w:noWrap w:val="0"/>
            <w:tcMar>
              <w:top w:w="15" w:type="dxa"/>
              <w:left w:w="15" w:type="dxa"/>
              <w:right w:w="15" w:type="dxa"/>
            </w:tcMar>
            <w:vAlign w:val="center"/>
          </w:tcPr>
          <w:p>
            <w:pPr>
              <w:jc w:val="center"/>
              <w:rPr>
                <w:rFonts w:ascii="宋体" w:hAnsi="宋体" w:cs="宋体"/>
                <w:b/>
                <w:color w:val="000000"/>
                <w:sz w:val="24"/>
                <w:szCs w:val="24"/>
              </w:rPr>
            </w:pPr>
          </w:p>
        </w:tc>
        <w:tc>
          <w:tcPr>
            <w:tcW w:w="1047" w:type="dxa"/>
            <w:noWrap w:val="0"/>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单屏收银机</w:t>
            </w:r>
          </w:p>
        </w:tc>
        <w:tc>
          <w:tcPr>
            <w:tcW w:w="6399" w:type="dxa"/>
            <w:noWrap w:val="0"/>
            <w:tcMar>
              <w:top w:w="15" w:type="dxa"/>
              <w:left w:w="15" w:type="dxa"/>
              <w:right w:w="15" w:type="dxa"/>
            </w:tcMar>
            <w:vAlign w:val="center"/>
          </w:tcPr>
          <w:p>
            <w:pPr>
              <w:widowControl/>
              <w:textAlignment w:val="center"/>
              <w:rPr>
                <w:rFonts w:hint="eastAsia" w:ascii="宋体" w:hAnsi="宋体" w:cs="宋体"/>
                <w:color w:val="000000"/>
                <w:sz w:val="22"/>
                <w:szCs w:val="22"/>
              </w:rPr>
            </w:pPr>
            <w:r>
              <w:rPr>
                <w:rFonts w:hint="eastAsia" w:ascii="宋体" w:hAnsi="宋体" w:cs="宋体"/>
                <w:color w:val="000000"/>
                <w:sz w:val="22"/>
                <w:szCs w:val="22"/>
              </w:rPr>
              <w:t xml:space="preserve">1、处理器： ARM 8核Cortex-A53 CPU，主频2.0GHz </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 xml:space="preserve">2、操作系统： Android 7.1定制系统 </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 xml:space="preserve">3、存储器： 2GB RAM +16GB ROM，支持Micro SD扩展，可达64GB </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 xml:space="preserve">4、主显示屏： 15.6英寸，分辨率1920*1080 </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 xml:space="preserve">5、主显触摸屏： 电容式触摸屏，支持10点触控 </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 xml:space="preserve">6、客显示屏：1920*1080 8位数码管 </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7、打印机：支持宽度为80mm，外径为80mm的纸卷内詈高速热敏打印机，打印谏度大于200豪米/秒，带自动切纸</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 xml:space="preserve">8、摄像头： 500万像素，自动对焦，支持一维/二维条码扫描阅读 </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 xml:space="preserve">9、物理接口 ：1个Micro USB，4个USB A，2个RS232，1个RJ45以太网口，1个钱箱口 </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1</w:t>
            </w:r>
            <w:r>
              <w:rPr>
                <w:rFonts w:ascii="宋体" w:hAnsi="宋体" w:cs="宋体"/>
                <w:color w:val="000000"/>
                <w:sz w:val="22"/>
                <w:szCs w:val="22"/>
              </w:rPr>
              <w:t>0</w:t>
            </w:r>
            <w:r>
              <w:rPr>
                <w:rFonts w:hint="eastAsia" w:ascii="宋体" w:hAnsi="宋体" w:cs="宋体"/>
                <w:color w:val="000000"/>
                <w:sz w:val="22"/>
                <w:szCs w:val="22"/>
              </w:rPr>
              <w:t xml:space="preserve">、通讯方式 ：100M以太网通信;Wi-Fi通讯，2.4G/5G双频段;蓝牙通讯，BT4.2/LB </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1</w:t>
            </w:r>
            <w:r>
              <w:rPr>
                <w:rFonts w:ascii="宋体" w:hAnsi="宋体" w:cs="宋体"/>
                <w:color w:val="000000"/>
                <w:sz w:val="22"/>
                <w:szCs w:val="22"/>
              </w:rPr>
              <w:t>1</w:t>
            </w:r>
            <w:r>
              <w:rPr>
                <w:rFonts w:hint="eastAsia" w:ascii="宋体" w:hAnsi="宋体" w:cs="宋体"/>
                <w:color w:val="000000"/>
                <w:sz w:val="22"/>
                <w:szCs w:val="22"/>
              </w:rPr>
              <w:t xml:space="preserve">、语音 ：内詈10瓦大功率高保真全频咧叭，支持双声道音频播放 </w:t>
            </w:r>
          </w:p>
          <w:p>
            <w:pPr>
              <w:widowControl/>
              <w:textAlignment w:val="center"/>
              <w:rPr>
                <w:rFonts w:ascii="宋体" w:hAnsi="宋体" w:cs="宋体"/>
                <w:color w:val="000000"/>
                <w:sz w:val="22"/>
                <w:szCs w:val="22"/>
              </w:rPr>
            </w:pPr>
            <w:r>
              <w:rPr>
                <w:rFonts w:ascii="宋体" w:hAnsi="宋体" w:cs="宋体"/>
                <w:color w:val="000000"/>
                <w:sz w:val="22"/>
                <w:szCs w:val="22"/>
              </w:rPr>
              <w:t>12</w:t>
            </w:r>
            <w:r>
              <w:rPr>
                <w:rFonts w:hint="eastAsia" w:ascii="宋体" w:hAnsi="宋体" w:cs="宋体"/>
                <w:color w:val="000000"/>
                <w:sz w:val="22"/>
                <w:szCs w:val="22"/>
              </w:rPr>
              <w:t>、电源：兼容DELL/HP笔记本电源适配器输入:100V~240VAC/50~60Hz/1.5A，输出:19.0V~20V DC/3.25A</w:t>
            </w:r>
          </w:p>
        </w:tc>
        <w:tc>
          <w:tcPr>
            <w:tcW w:w="881" w:type="dxa"/>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1</w:t>
            </w:r>
            <w:r>
              <w:rPr>
                <w:rFonts w:ascii="宋体" w:hAnsi="宋体" w:cs="宋体"/>
                <w:color w:val="000000"/>
                <w:sz w:val="24"/>
                <w:szCs w:val="24"/>
              </w:rPr>
              <w:t>0</w:t>
            </w:r>
          </w:p>
        </w:tc>
      </w:tr>
    </w:tbl>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19"/>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16"/>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eastAsia"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中煤华昱公司后勤服务分公司</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rPr>
        <w:t>总价（</w:t>
      </w:r>
      <w:r>
        <w:rPr>
          <w:rFonts w:hint="eastAsia" w:ascii="宋体" w:hAnsi="宋体" w:cs="宋体"/>
          <w:sz w:val="28"/>
          <w:szCs w:val="28"/>
          <w:highlight w:val="none"/>
          <w:lang w:eastAsia="zh-CN"/>
        </w:rPr>
        <w:t>不含</w:t>
      </w:r>
      <w:r>
        <w:rPr>
          <w:rFonts w:hint="eastAsia" w:ascii="宋体" w:hAnsi="宋体" w:cs="宋体"/>
          <w:sz w:val="28"/>
          <w:szCs w:val="28"/>
          <w:highlight w:val="none"/>
        </w:rPr>
        <w:t>税价格</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大写：</w:t>
      </w:r>
      <w:r>
        <w:rPr>
          <w:rFonts w:ascii="宋体" w:hAnsi="宋体" w:cs="宋体"/>
          <w:sz w:val="28"/>
          <w:szCs w:val="28"/>
          <w:highlight w:val="none"/>
          <w:u w:val="single"/>
        </w:rPr>
        <w:t xml:space="preserve">                  </w:t>
      </w:r>
      <w:r>
        <w:rPr>
          <w:rFonts w:hint="eastAsia" w:ascii="宋体" w:hAnsi="宋体" w:cs="宋体"/>
          <w:sz w:val="28"/>
          <w:szCs w:val="28"/>
          <w:highlight w:val="none"/>
          <w:u w:val="single"/>
        </w:rPr>
        <w:t>元整，税率    %</w:t>
      </w:r>
      <w:r>
        <w:rPr>
          <w:rFonts w:ascii="宋体" w:hAnsi="宋体" w:cs="宋体"/>
          <w:sz w:val="28"/>
          <w:szCs w:val="28"/>
          <w:highlight w:val="none"/>
        </w:rPr>
        <w:t>)</w:t>
      </w:r>
      <w:r>
        <w:rPr>
          <w:rFonts w:hint="eastAsia" w:ascii="宋体" w:hAnsi="宋体" w:cs="宋体"/>
          <w:sz w:val="28"/>
          <w:szCs w:val="28"/>
          <w:highlight w:val="none"/>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19"/>
        <w:rPr>
          <w:highlight w:val="none"/>
        </w:rPr>
      </w:pPr>
    </w:p>
    <w:p>
      <w:pPr>
        <w:pStyle w:val="19"/>
        <w:rPr>
          <w:highlight w:val="none"/>
        </w:rPr>
      </w:pPr>
    </w:p>
    <w:p>
      <w:pPr>
        <w:pStyle w:val="19"/>
        <w:rPr>
          <w:highlight w:val="none"/>
        </w:rPr>
      </w:pPr>
    </w:p>
    <w:p>
      <w:pPr>
        <w:numPr>
          <w:ilvl w:val="0"/>
          <w:numId w:val="8"/>
        </w:numPr>
        <w:spacing w:line="360" w:lineRule="auto"/>
        <w:jc w:val="center"/>
        <w:rPr>
          <w:rFonts w:hint="eastAsia" w:eastAsia="宋体"/>
          <w:highlight w:val="none"/>
          <w:lang w:eastAsia="zh-CN"/>
        </w:rPr>
      </w:pPr>
      <w:r>
        <w:rPr>
          <w:rFonts w:hint="eastAsia" w:ascii="宋体" w:hAnsi="宋体" w:cs="宋体"/>
          <w:b w:val="0"/>
          <w:bCs w:val="0"/>
          <w:highlight w:val="none"/>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eastAsia="zh-CN"/>
              </w:rPr>
              <w:t>不</w:t>
            </w: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3"/>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none"/>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园区食堂</w:t>
            </w:r>
          </w:p>
        </w:tc>
        <w:tc>
          <w:tcPr>
            <w:tcW w:w="1624" w:type="dxa"/>
            <w:noWrap w:val="0"/>
            <w:vAlign w:val="top"/>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五家沟煤业食堂</w:t>
            </w:r>
          </w:p>
        </w:tc>
        <w:tc>
          <w:tcPr>
            <w:tcW w:w="1624" w:type="dxa"/>
            <w:noWrap w:val="0"/>
            <w:vAlign w:val="top"/>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南阳坡煤业食堂</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元宝湾煤业食堂</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水泉煤业食堂</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6</w:t>
            </w:r>
          </w:p>
        </w:tc>
        <w:tc>
          <w:tcPr>
            <w:tcW w:w="3061" w:type="dxa"/>
            <w:noWrap w:val="0"/>
            <w:vAlign w:val="top"/>
          </w:tcPr>
          <w:p>
            <w:pPr>
              <w:spacing w:line="420" w:lineRule="exact"/>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白芦煤业食堂</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7</w:t>
            </w:r>
          </w:p>
        </w:tc>
        <w:tc>
          <w:tcPr>
            <w:tcW w:w="3061" w:type="dxa"/>
            <w:noWrap w:val="0"/>
            <w:vAlign w:val="top"/>
          </w:tcPr>
          <w:p>
            <w:pPr>
              <w:spacing w:line="420" w:lineRule="exact"/>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国兴煤业食堂</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8</w:t>
            </w:r>
          </w:p>
        </w:tc>
        <w:tc>
          <w:tcPr>
            <w:tcW w:w="3061" w:type="dxa"/>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lang w:eastAsia="zh-CN"/>
              </w:rPr>
              <w:t>国强煤业食堂</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9</w:t>
            </w:r>
          </w:p>
        </w:tc>
        <w:tc>
          <w:tcPr>
            <w:tcW w:w="3061" w:type="dxa"/>
            <w:noWrap w:val="0"/>
            <w:vAlign w:val="top"/>
          </w:tcPr>
          <w:p>
            <w:pPr>
              <w:spacing w:line="420" w:lineRule="exact"/>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设备维修分公司食堂</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hint="eastAsia" w:ascii="宋体" w:hAnsi="宋体"/>
                <w:color w:val="000000"/>
                <w:sz w:val="24"/>
                <w:szCs w:val="24"/>
                <w:highlight w:val="none"/>
              </w:rPr>
            </w:pP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注：各分项报价需一致，各服务单位执行统一价格。</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3"/>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19"/>
        <w:rPr>
          <w:highlight w:val="none"/>
        </w:rPr>
      </w:pPr>
      <w:r>
        <w:rPr>
          <w:highlight w:val="none"/>
        </w:rPr>
        <w:br w:type="page"/>
      </w:r>
    </w:p>
    <w:p>
      <w:pPr>
        <w:pStyle w:val="19"/>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16"/>
        <w:rPr>
          <w:rFonts w:hint="eastAsia" w:ascii="宋体" w:hAnsi="宋体" w:cs="宋体"/>
          <w:sz w:val="32"/>
          <w:szCs w:val="32"/>
          <w:highlight w:val="none"/>
        </w:rPr>
      </w:pPr>
    </w:p>
    <w:p>
      <w:pPr>
        <w:rPr>
          <w:rFonts w:hint="eastAsia"/>
          <w:highlight w:val="none"/>
        </w:rPr>
      </w:pPr>
    </w:p>
    <w:p>
      <w:pPr>
        <w:pStyle w:val="16"/>
        <w:rPr>
          <w:rFonts w:hint="default" w:eastAsia="宋体"/>
          <w:highlight w:val="none"/>
          <w:lang w:val="en-US" w:eastAsia="zh-CN"/>
        </w:rPr>
      </w:pPr>
      <w:r>
        <w:rPr>
          <w:rFonts w:hint="eastAsia"/>
          <w:highlight w:val="none"/>
          <w:lang w:val="en-US" w:eastAsia="zh-CN"/>
        </w:rPr>
        <w:t xml:space="preserve">                      六、服务方案</w:t>
      </w:r>
    </w:p>
    <w:p>
      <w:pPr>
        <w:pStyle w:val="16"/>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1"/>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19"/>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19"/>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19"/>
        <w:spacing w:line="360" w:lineRule="auto"/>
        <w:ind w:firstLine="602"/>
        <w:jc w:val="left"/>
        <w:rPr>
          <w:rFonts w:ascii="宋体" w:hAnsi="宋体" w:cs="宋体"/>
          <w:bCs/>
          <w:sz w:val="30"/>
          <w:szCs w:val="30"/>
          <w:highlight w:val="none"/>
        </w:rPr>
      </w:pPr>
    </w:p>
    <w:p>
      <w:pPr>
        <w:pStyle w:val="19"/>
        <w:spacing w:line="360" w:lineRule="auto"/>
        <w:ind w:firstLine="602"/>
        <w:jc w:val="left"/>
        <w:rPr>
          <w:rFonts w:ascii="宋体" w:hAnsi="宋体" w:cs="宋体"/>
          <w:bCs/>
          <w:sz w:val="30"/>
          <w:szCs w:val="30"/>
          <w:highlight w:val="none"/>
        </w:rPr>
      </w:pPr>
    </w:p>
    <w:p>
      <w:pPr>
        <w:pStyle w:val="19"/>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19"/>
        <w:spacing w:line="360" w:lineRule="auto"/>
        <w:jc w:val="left"/>
        <w:rPr>
          <w:rFonts w:ascii="宋体" w:hAnsi="宋体" w:cs="宋体"/>
          <w:bCs/>
          <w:sz w:val="30"/>
          <w:szCs w:val="30"/>
          <w:highlight w:val="none"/>
        </w:rPr>
      </w:pP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19"/>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19"/>
        <w:rPr>
          <w:rFonts w:hint="eastAsia"/>
          <w:highlight w:val="none"/>
          <w:lang w:val="en-US" w:eastAsia="zh-CN"/>
        </w:rPr>
      </w:pPr>
    </w:p>
    <w:p>
      <w:pPr>
        <w:pStyle w:val="19"/>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17F279B"/>
    <w:rsid w:val="02276F88"/>
    <w:rsid w:val="02954528"/>
    <w:rsid w:val="030C630A"/>
    <w:rsid w:val="031C6E32"/>
    <w:rsid w:val="0348259E"/>
    <w:rsid w:val="04377DA6"/>
    <w:rsid w:val="044955CA"/>
    <w:rsid w:val="04CE5B4E"/>
    <w:rsid w:val="061C36BA"/>
    <w:rsid w:val="08A8480D"/>
    <w:rsid w:val="09352049"/>
    <w:rsid w:val="0A912D3C"/>
    <w:rsid w:val="0B440B42"/>
    <w:rsid w:val="0B6F5196"/>
    <w:rsid w:val="0BF508B4"/>
    <w:rsid w:val="0C215F5C"/>
    <w:rsid w:val="0C297F82"/>
    <w:rsid w:val="0C540FAF"/>
    <w:rsid w:val="0CBF3D62"/>
    <w:rsid w:val="0EB30D0D"/>
    <w:rsid w:val="0F0B492C"/>
    <w:rsid w:val="0F604FE4"/>
    <w:rsid w:val="0F77472F"/>
    <w:rsid w:val="0FA03417"/>
    <w:rsid w:val="0FFE2944"/>
    <w:rsid w:val="10F27FB9"/>
    <w:rsid w:val="11026497"/>
    <w:rsid w:val="115D0FA0"/>
    <w:rsid w:val="119C2B16"/>
    <w:rsid w:val="130D5D28"/>
    <w:rsid w:val="13D27127"/>
    <w:rsid w:val="13D60078"/>
    <w:rsid w:val="145A4263"/>
    <w:rsid w:val="1477734B"/>
    <w:rsid w:val="14AE38DE"/>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1232666"/>
    <w:rsid w:val="21505AF6"/>
    <w:rsid w:val="21577330"/>
    <w:rsid w:val="25653DDF"/>
    <w:rsid w:val="273109BD"/>
    <w:rsid w:val="27341C73"/>
    <w:rsid w:val="27F02089"/>
    <w:rsid w:val="280E7427"/>
    <w:rsid w:val="2878694B"/>
    <w:rsid w:val="288202F1"/>
    <w:rsid w:val="28835C82"/>
    <w:rsid w:val="2885643D"/>
    <w:rsid w:val="29F1156B"/>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11E5CBB"/>
    <w:rsid w:val="313C2459"/>
    <w:rsid w:val="315F0A56"/>
    <w:rsid w:val="3174715E"/>
    <w:rsid w:val="321260A3"/>
    <w:rsid w:val="327F64D7"/>
    <w:rsid w:val="3283369C"/>
    <w:rsid w:val="32890F14"/>
    <w:rsid w:val="32D26775"/>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67127E"/>
    <w:rsid w:val="3F6B02A7"/>
    <w:rsid w:val="3FB47B86"/>
    <w:rsid w:val="3FFE67F3"/>
    <w:rsid w:val="40072003"/>
    <w:rsid w:val="40617FCF"/>
    <w:rsid w:val="40E26CD8"/>
    <w:rsid w:val="412F1C06"/>
    <w:rsid w:val="42744B04"/>
    <w:rsid w:val="42BA317D"/>
    <w:rsid w:val="436874BB"/>
    <w:rsid w:val="44143533"/>
    <w:rsid w:val="445106B7"/>
    <w:rsid w:val="446379AC"/>
    <w:rsid w:val="44746BA8"/>
    <w:rsid w:val="44DE4F77"/>
    <w:rsid w:val="45570670"/>
    <w:rsid w:val="45AB55EF"/>
    <w:rsid w:val="464016F5"/>
    <w:rsid w:val="465F362C"/>
    <w:rsid w:val="46B83B2F"/>
    <w:rsid w:val="46CD09A6"/>
    <w:rsid w:val="47B542AE"/>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BD68FC"/>
    <w:rsid w:val="4FED650B"/>
    <w:rsid w:val="501830EF"/>
    <w:rsid w:val="503838B2"/>
    <w:rsid w:val="505F601F"/>
    <w:rsid w:val="50890607"/>
    <w:rsid w:val="511B3417"/>
    <w:rsid w:val="511D2CEB"/>
    <w:rsid w:val="51AC651C"/>
    <w:rsid w:val="521D425C"/>
    <w:rsid w:val="522A0567"/>
    <w:rsid w:val="529C7A2E"/>
    <w:rsid w:val="52FA264F"/>
    <w:rsid w:val="542B3EFB"/>
    <w:rsid w:val="546B0A00"/>
    <w:rsid w:val="547D678D"/>
    <w:rsid w:val="54954804"/>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C6949DC"/>
    <w:rsid w:val="5D5B577D"/>
    <w:rsid w:val="5DD6583E"/>
    <w:rsid w:val="5DF5739A"/>
    <w:rsid w:val="5E5B0E86"/>
    <w:rsid w:val="5EBB05F2"/>
    <w:rsid w:val="5F170D3A"/>
    <w:rsid w:val="5FB312DF"/>
    <w:rsid w:val="60421C7F"/>
    <w:rsid w:val="60870A2D"/>
    <w:rsid w:val="60893EE2"/>
    <w:rsid w:val="60EF445E"/>
    <w:rsid w:val="62D93E68"/>
    <w:rsid w:val="62FF5D54"/>
    <w:rsid w:val="63710868"/>
    <w:rsid w:val="63AC2F92"/>
    <w:rsid w:val="644D0C37"/>
    <w:rsid w:val="64C50123"/>
    <w:rsid w:val="65244228"/>
    <w:rsid w:val="65843D37"/>
    <w:rsid w:val="65F85CC4"/>
    <w:rsid w:val="67431B96"/>
    <w:rsid w:val="67483EDC"/>
    <w:rsid w:val="67C972BA"/>
    <w:rsid w:val="68767A8D"/>
    <w:rsid w:val="68F4010F"/>
    <w:rsid w:val="692E0A4B"/>
    <w:rsid w:val="69B5367B"/>
    <w:rsid w:val="69CE664B"/>
    <w:rsid w:val="69FA4662"/>
    <w:rsid w:val="6A4D6295"/>
    <w:rsid w:val="6AA36C78"/>
    <w:rsid w:val="6ADD1BAA"/>
    <w:rsid w:val="6AEC25EF"/>
    <w:rsid w:val="6B4C26F3"/>
    <w:rsid w:val="6C195ECD"/>
    <w:rsid w:val="6C2D3162"/>
    <w:rsid w:val="6DEA3D34"/>
    <w:rsid w:val="6E041063"/>
    <w:rsid w:val="6F3921DE"/>
    <w:rsid w:val="6F78727E"/>
    <w:rsid w:val="6F873050"/>
    <w:rsid w:val="6FAA5C3A"/>
    <w:rsid w:val="6FD10D4C"/>
    <w:rsid w:val="7003702D"/>
    <w:rsid w:val="700A103B"/>
    <w:rsid w:val="70572E9C"/>
    <w:rsid w:val="719F5306"/>
    <w:rsid w:val="720F0EDE"/>
    <w:rsid w:val="72A92AFC"/>
    <w:rsid w:val="72AA5F3A"/>
    <w:rsid w:val="72B10F39"/>
    <w:rsid w:val="73137F9A"/>
    <w:rsid w:val="73BD08B4"/>
    <w:rsid w:val="74826C48"/>
    <w:rsid w:val="74F710CB"/>
    <w:rsid w:val="750E0A19"/>
    <w:rsid w:val="757C1CC4"/>
    <w:rsid w:val="75B51DBC"/>
    <w:rsid w:val="76ED6DFD"/>
    <w:rsid w:val="773C0385"/>
    <w:rsid w:val="78100551"/>
    <w:rsid w:val="78877AD1"/>
    <w:rsid w:val="793F533F"/>
    <w:rsid w:val="795C7A9E"/>
    <w:rsid w:val="7A380A89"/>
    <w:rsid w:val="7ABE1DA4"/>
    <w:rsid w:val="7AC86BCE"/>
    <w:rsid w:val="7B2C12FD"/>
    <w:rsid w:val="7B416699"/>
    <w:rsid w:val="7BE32DA5"/>
    <w:rsid w:val="7C6330D4"/>
    <w:rsid w:val="7C757935"/>
    <w:rsid w:val="7CCF21B9"/>
    <w:rsid w:val="7CE77CAA"/>
    <w:rsid w:val="7D1B3DFC"/>
    <w:rsid w:val="7D8C7D97"/>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2">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3">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4">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5">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6">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7">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8">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9">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0">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99"/>
    <w:pPr>
      <w:ind w:left="100" w:leftChars="400" w:hanging="200" w:hangingChars="200"/>
    </w:pPr>
    <w:rPr>
      <w:b w:val="0"/>
      <w:bCs w:val="0"/>
      <w:sz w:val="21"/>
      <w:szCs w:val="21"/>
    </w:rPr>
  </w:style>
  <w:style w:type="paragraph" w:styleId="12">
    <w:name w:val="toc 7"/>
    <w:basedOn w:val="1"/>
    <w:next w:val="1"/>
    <w:link w:val="212"/>
    <w:semiHidden/>
    <w:qFormat/>
    <w:uiPriority w:val="99"/>
    <w:pPr>
      <w:ind w:left="1260" w:firstLine="200" w:firstLineChars="200"/>
      <w:jc w:val="left"/>
    </w:pPr>
    <w:rPr>
      <w:b w:val="0"/>
      <w:bCs w:val="0"/>
      <w:sz w:val="18"/>
      <w:szCs w:val="18"/>
    </w:rPr>
  </w:style>
  <w:style w:type="paragraph" w:styleId="13">
    <w:name w:val="Normal Indent"/>
    <w:basedOn w:val="1"/>
    <w:qFormat/>
    <w:uiPriority w:val="99"/>
    <w:pPr>
      <w:ind w:firstLine="420"/>
    </w:pPr>
    <w:rPr>
      <w:b w:val="0"/>
      <w:bCs w:val="0"/>
      <w:sz w:val="21"/>
      <w:szCs w:val="21"/>
    </w:rPr>
  </w:style>
  <w:style w:type="paragraph" w:styleId="14">
    <w:name w:val="caption"/>
    <w:basedOn w:val="1"/>
    <w:next w:val="1"/>
    <w:qFormat/>
    <w:uiPriority w:val="99"/>
    <w:rPr>
      <w:rFonts w:ascii="Arial" w:hAnsi="Arial" w:eastAsia="黑体" w:cs="Arial"/>
      <w:b w:val="0"/>
      <w:bCs w:val="0"/>
      <w:sz w:val="20"/>
      <w:szCs w:val="20"/>
    </w:rPr>
  </w:style>
  <w:style w:type="paragraph" w:styleId="15">
    <w:name w:val="Document Map"/>
    <w:basedOn w:val="1"/>
    <w:link w:val="69"/>
    <w:semiHidden/>
    <w:qFormat/>
    <w:uiPriority w:val="99"/>
    <w:pPr>
      <w:shd w:val="clear" w:color="auto" w:fill="000080"/>
    </w:pPr>
  </w:style>
  <w:style w:type="paragraph" w:styleId="16">
    <w:name w:val="toa heading"/>
    <w:basedOn w:val="1"/>
    <w:next w:val="1"/>
    <w:qFormat/>
    <w:locked/>
    <w:uiPriority w:val="0"/>
    <w:rPr>
      <w:rFonts w:ascii="Arial" w:hAnsi="Arial"/>
    </w:r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99"/>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2"/>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3"/>
    <w:qFormat/>
    <w:locked/>
    <w:uiPriority w:val="99"/>
    <w:rPr>
      <w:rFonts w:eastAsia="仿宋_GB2312" w:cs="Times New Roman"/>
      <w:b/>
      <w:bCs/>
      <w:sz w:val="30"/>
      <w:szCs w:val="30"/>
      <w:lang w:val="en-US" w:eastAsia="zh-CN"/>
    </w:rPr>
  </w:style>
  <w:style w:type="character" w:customStyle="1" w:styleId="57">
    <w:name w:val="标题 3 Char"/>
    <w:basedOn w:val="48"/>
    <w:link w:val="4"/>
    <w:semiHidden/>
    <w:qFormat/>
    <w:locked/>
    <w:uiPriority w:val="99"/>
    <w:rPr>
      <w:rFonts w:cs="Times New Roman"/>
      <w:b/>
      <w:bCs/>
      <w:sz w:val="32"/>
      <w:szCs w:val="32"/>
    </w:rPr>
  </w:style>
  <w:style w:type="character" w:customStyle="1" w:styleId="58">
    <w:name w:val="标题 4 Char"/>
    <w:basedOn w:val="48"/>
    <w:link w:val="5"/>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6"/>
    <w:qFormat/>
    <w:locked/>
    <w:uiPriority w:val="99"/>
    <w:rPr>
      <w:rFonts w:eastAsia="宋体" w:cs="Times New Roman"/>
      <w:b/>
      <w:bCs/>
      <w:kern w:val="2"/>
      <w:sz w:val="28"/>
      <w:szCs w:val="28"/>
      <w:lang w:val="en-US" w:eastAsia="zh-CN"/>
    </w:rPr>
  </w:style>
  <w:style w:type="character" w:customStyle="1" w:styleId="60">
    <w:name w:val="标题 6 Char"/>
    <w:basedOn w:val="48"/>
    <w:link w:val="7"/>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8"/>
    <w:qFormat/>
    <w:locked/>
    <w:uiPriority w:val="99"/>
    <w:rPr>
      <w:rFonts w:eastAsia="宋体" w:cs="Times New Roman"/>
      <w:b/>
      <w:bCs/>
      <w:kern w:val="2"/>
      <w:sz w:val="24"/>
      <w:szCs w:val="24"/>
      <w:lang w:val="en-US" w:eastAsia="zh-CN"/>
    </w:rPr>
  </w:style>
  <w:style w:type="character" w:customStyle="1" w:styleId="62">
    <w:name w:val="标题 8 Char"/>
    <w:basedOn w:val="48"/>
    <w:link w:val="9"/>
    <w:qFormat/>
    <w:locked/>
    <w:uiPriority w:val="99"/>
    <w:rPr>
      <w:rFonts w:ascii="Arial" w:hAnsi="Arial" w:eastAsia="黑体" w:cs="Arial"/>
      <w:kern w:val="2"/>
      <w:sz w:val="24"/>
      <w:szCs w:val="24"/>
      <w:lang w:val="en-US" w:eastAsia="zh-CN"/>
    </w:rPr>
  </w:style>
  <w:style w:type="character" w:customStyle="1" w:styleId="63">
    <w:name w:val="标题 9 Char"/>
    <w:basedOn w:val="48"/>
    <w:link w:val="10"/>
    <w:qFormat/>
    <w:locked/>
    <w:uiPriority w:val="99"/>
    <w:rPr>
      <w:rFonts w:ascii="Arial" w:hAnsi="Arial" w:eastAsia="黑体" w:cs="Arial"/>
      <w:kern w:val="2"/>
      <w:sz w:val="21"/>
      <w:szCs w:val="21"/>
      <w:lang w:val="en-US" w:eastAsia="zh-CN"/>
    </w:rPr>
  </w:style>
  <w:style w:type="character" w:customStyle="1" w:styleId="64">
    <w:name w:val="正文文本 Char"/>
    <w:basedOn w:val="48"/>
    <w:link w:val="19"/>
    <w:qFormat/>
    <w:locked/>
    <w:uiPriority w:val="99"/>
    <w:rPr>
      <w:rFonts w:cs="Times New Roman"/>
      <w:kern w:val="2"/>
      <w:sz w:val="21"/>
      <w:szCs w:val="21"/>
    </w:rPr>
  </w:style>
  <w:style w:type="character" w:customStyle="1" w:styleId="65">
    <w:name w:val="批注文字 Char"/>
    <w:basedOn w:val="48"/>
    <w:link w:val="17"/>
    <w:qFormat/>
    <w:locked/>
    <w:uiPriority w:val="99"/>
    <w:rPr>
      <w:rFonts w:eastAsia="宋体" w:cs="Times New Roman"/>
      <w:sz w:val="24"/>
      <w:szCs w:val="24"/>
      <w:lang w:val="en-US" w:eastAsia="zh-CN"/>
    </w:rPr>
  </w:style>
  <w:style w:type="character" w:customStyle="1" w:styleId="66">
    <w:name w:val="Comment Subject Char"/>
    <w:basedOn w:val="65"/>
    <w:link w:val="42"/>
    <w:semiHidden/>
    <w:qFormat/>
    <w:locked/>
    <w:uiPriority w:val="99"/>
    <w:rPr>
      <w:b/>
      <w:bCs/>
      <w:sz w:val="30"/>
      <w:szCs w:val="30"/>
    </w:rPr>
  </w:style>
  <w:style w:type="character" w:customStyle="1" w:styleId="67">
    <w:name w:val="正文首行缩进 Char"/>
    <w:basedOn w:val="68"/>
    <w:link w:val="43"/>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5"/>
    <w:qFormat/>
    <w:locked/>
    <w:uiPriority w:val="99"/>
    <w:rPr>
      <w:rFonts w:eastAsia="宋体" w:cs="Times New Roman"/>
      <w:b/>
      <w:bCs/>
      <w:kern w:val="2"/>
      <w:sz w:val="30"/>
      <w:szCs w:val="30"/>
      <w:lang w:val="en-US" w:eastAsia="zh-CN"/>
    </w:rPr>
  </w:style>
  <w:style w:type="character" w:customStyle="1" w:styleId="70">
    <w:name w:val="正文文本 3 Char"/>
    <w:basedOn w:val="48"/>
    <w:link w:val="18"/>
    <w:semiHidden/>
    <w:qFormat/>
    <w:locked/>
    <w:uiPriority w:val="99"/>
    <w:rPr>
      <w:rFonts w:cs="Times New Roman"/>
      <w:b/>
      <w:bCs/>
      <w:sz w:val="16"/>
      <w:szCs w:val="16"/>
    </w:rPr>
  </w:style>
  <w:style w:type="character" w:customStyle="1" w:styleId="71">
    <w:name w:val="正文文本缩进 Char"/>
    <w:basedOn w:val="48"/>
    <w:link w:val="20"/>
    <w:semiHidden/>
    <w:qFormat/>
    <w:locked/>
    <w:uiPriority w:val="99"/>
    <w:rPr>
      <w:rFonts w:cs="Times New Roman"/>
      <w:b/>
      <w:bCs/>
      <w:sz w:val="30"/>
      <w:szCs w:val="30"/>
    </w:rPr>
  </w:style>
  <w:style w:type="character" w:customStyle="1" w:styleId="72">
    <w:name w:val="纯文本 Char"/>
    <w:basedOn w:val="48"/>
    <w:link w:val="24"/>
    <w:semiHidden/>
    <w:qFormat/>
    <w:locked/>
    <w:uiPriority w:val="99"/>
    <w:rPr>
      <w:rFonts w:ascii="宋体" w:hAnsi="Courier New" w:cs="Courier New"/>
      <w:b/>
      <w:bCs/>
      <w:sz w:val="21"/>
      <w:szCs w:val="21"/>
    </w:rPr>
  </w:style>
  <w:style w:type="character" w:customStyle="1" w:styleId="73">
    <w:name w:val="日期 Char"/>
    <w:basedOn w:val="48"/>
    <w:link w:val="26"/>
    <w:semiHidden/>
    <w:qFormat/>
    <w:locked/>
    <w:uiPriority w:val="99"/>
    <w:rPr>
      <w:rFonts w:cs="Times New Roman"/>
      <w:b/>
      <w:bCs/>
      <w:sz w:val="30"/>
      <w:szCs w:val="30"/>
    </w:rPr>
  </w:style>
  <w:style w:type="character" w:customStyle="1" w:styleId="74">
    <w:name w:val="正文文本缩进 2 Char"/>
    <w:basedOn w:val="48"/>
    <w:link w:val="27"/>
    <w:semiHidden/>
    <w:qFormat/>
    <w:locked/>
    <w:uiPriority w:val="99"/>
    <w:rPr>
      <w:rFonts w:cs="Times New Roman"/>
      <w:b/>
      <w:bCs/>
      <w:sz w:val="30"/>
      <w:szCs w:val="30"/>
    </w:rPr>
  </w:style>
  <w:style w:type="character" w:customStyle="1" w:styleId="75">
    <w:name w:val="批注框文本 Char"/>
    <w:basedOn w:val="48"/>
    <w:link w:val="28"/>
    <w:semiHidden/>
    <w:qFormat/>
    <w:locked/>
    <w:uiPriority w:val="99"/>
    <w:rPr>
      <w:rFonts w:cs="Times New Roman"/>
      <w:b/>
      <w:bCs/>
      <w:sz w:val="2"/>
    </w:rPr>
  </w:style>
  <w:style w:type="character" w:customStyle="1" w:styleId="76">
    <w:name w:val="页脚 Char"/>
    <w:basedOn w:val="48"/>
    <w:link w:val="29"/>
    <w:qFormat/>
    <w:locked/>
    <w:uiPriority w:val="99"/>
    <w:rPr>
      <w:rFonts w:ascii="仿宋_GB2312" w:eastAsia="仿宋_GB2312" w:cs="仿宋_GB2312"/>
      <w:sz w:val="18"/>
      <w:szCs w:val="18"/>
    </w:rPr>
  </w:style>
  <w:style w:type="character" w:customStyle="1" w:styleId="77">
    <w:name w:val="页眉 Char"/>
    <w:basedOn w:val="48"/>
    <w:link w:val="30"/>
    <w:qFormat/>
    <w:locked/>
    <w:uiPriority w:val="99"/>
    <w:rPr>
      <w:rFonts w:ascii="仿宋_GB2312" w:eastAsia="仿宋_GB2312" w:cs="仿宋_GB2312"/>
      <w:sz w:val="18"/>
      <w:szCs w:val="18"/>
    </w:rPr>
  </w:style>
  <w:style w:type="character" w:customStyle="1" w:styleId="78">
    <w:name w:val="正文文本缩进 3 Char"/>
    <w:basedOn w:val="48"/>
    <w:link w:val="35"/>
    <w:semiHidden/>
    <w:qFormat/>
    <w:locked/>
    <w:uiPriority w:val="99"/>
    <w:rPr>
      <w:rFonts w:cs="Times New Roman"/>
      <w:b/>
      <w:bCs/>
      <w:sz w:val="16"/>
      <w:szCs w:val="16"/>
    </w:rPr>
  </w:style>
  <w:style w:type="character" w:customStyle="1" w:styleId="79">
    <w:name w:val="正文文本 2 Char"/>
    <w:basedOn w:val="48"/>
    <w:link w:val="38"/>
    <w:semiHidden/>
    <w:qFormat/>
    <w:locked/>
    <w:uiPriority w:val="99"/>
    <w:rPr>
      <w:rFonts w:cs="Times New Roman"/>
      <w:b/>
      <w:bCs/>
      <w:sz w:val="30"/>
      <w:szCs w:val="30"/>
    </w:rPr>
  </w:style>
  <w:style w:type="character" w:customStyle="1" w:styleId="80">
    <w:name w:val="HTML 预设格式 Char"/>
    <w:basedOn w:val="48"/>
    <w:link w:val="39"/>
    <w:qFormat/>
    <w:locked/>
    <w:uiPriority w:val="99"/>
    <w:rPr>
      <w:rFonts w:ascii="宋体" w:eastAsia="宋体" w:cs="宋体"/>
      <w:sz w:val="24"/>
      <w:szCs w:val="24"/>
    </w:rPr>
  </w:style>
  <w:style w:type="character" w:customStyle="1" w:styleId="81">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2"/>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locked/>
    <w:uiPriority w:val="99"/>
    <w:rPr>
      <w:b/>
      <w:bCs/>
      <w:kern w:val="2"/>
      <w:sz w:val="21"/>
      <w:szCs w:val="21"/>
    </w:rPr>
  </w:style>
  <w:style w:type="paragraph" w:customStyle="1" w:styleId="166">
    <w:name w:val="标题1－前"/>
    <w:basedOn w:val="2"/>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3"/>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2"/>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4"/>
    <w:next w:val="4"/>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2"/>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2"/>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4"/>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2"/>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4"/>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23</Pages>
  <Words>1198</Words>
  <Characters>6834</Characters>
  <Lines>56</Lines>
  <Paragraphs>16</Paragraphs>
  <TotalTime>2</TotalTime>
  <ScaleCrop>false</ScaleCrop>
  <LinksUpToDate>false</LinksUpToDate>
  <CharactersWithSpaces>8016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2024-03-13T02:12:00Z</cp:lastPrinted>
  <dcterms:modified xsi:type="dcterms:W3CDTF">2024-03-29T03:42:35Z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2EF4FFA0FEB24B4883A52B086F0ADABC</vt:lpwstr>
  </property>
</Properties>
</file>