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4"/>
          <w:szCs w:val="44"/>
          <w:highlight w:val="none"/>
          <w:lang w:val="en-US" w:eastAsia="zh-CN"/>
        </w:rPr>
        <w:t>元宝湾煤业《矿山环境治理恢复和土地复垦年度方案（2024年）》编制项目</w:t>
      </w:r>
    </w:p>
    <w:p>
      <w:pPr>
        <w:pStyle w:val="19"/>
        <w:jc w:val="center"/>
        <w:rPr>
          <w:rFonts w:ascii="黑体" w:hAnsi="黑体" w:eastAsia="黑体" w:cs="黑体"/>
          <w:sz w:val="48"/>
          <w:szCs w:val="48"/>
          <w:highlight w:val="none"/>
        </w:rPr>
      </w:pPr>
    </w:p>
    <w:p>
      <w:pPr>
        <w:pStyle w:val="19"/>
        <w:rPr>
          <w:rFonts w:ascii="黑体" w:hAnsi="黑体" w:eastAsia="黑体" w:cs="黑体"/>
          <w:sz w:val="48"/>
          <w:szCs w:val="48"/>
          <w:highlight w:val="none"/>
        </w:rPr>
      </w:pPr>
      <w:bookmarkStart w:id="1" w:name="_GoBack"/>
      <w:bookmarkEnd w:id="1"/>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ind w:left="259" w:leftChars="0" w:firstLine="940" w:firstLineChars="294"/>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XJ202403HYGC083</w:t>
      </w:r>
    </w:p>
    <w:p>
      <w:pPr>
        <w:autoSpaceDE w:val="0"/>
        <w:autoSpaceDN w:val="0"/>
        <w:adjustRightInd w:val="0"/>
        <w:spacing w:line="240" w:lineRule="atLeast"/>
        <w:ind w:left="259" w:leftChars="0" w:firstLine="940" w:firstLineChars="294"/>
        <w:rPr>
          <w:rFonts w:hint="eastAsia" w:ascii="宋体" w:eastAsia="宋体"/>
          <w:b w:val="0"/>
          <w:bCs w:val="0"/>
          <w:color w:val="FF0000"/>
          <w:sz w:val="28"/>
          <w:szCs w:val="28"/>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28"/>
          <w:szCs w:val="28"/>
          <w:highlight w:val="none"/>
          <w:lang w:eastAsia="zh-CN"/>
        </w:rPr>
        <w:t>山西朔州山阴金海洋</w:t>
      </w:r>
      <w:r>
        <w:rPr>
          <w:rFonts w:hint="eastAsia" w:ascii="宋体" w:hAnsi="宋体" w:cs="宋体"/>
          <w:b w:val="0"/>
          <w:bCs w:val="0"/>
          <w:sz w:val="28"/>
          <w:szCs w:val="28"/>
          <w:highlight w:val="none"/>
          <w:lang w:val="en-US" w:eastAsia="zh-CN"/>
        </w:rPr>
        <w:t>元宝湾</w:t>
      </w:r>
      <w:r>
        <w:rPr>
          <w:rFonts w:hint="eastAsia" w:ascii="宋体" w:hAnsi="宋体" w:cs="宋体"/>
          <w:b w:val="0"/>
          <w:bCs w:val="0"/>
          <w:sz w:val="28"/>
          <w:szCs w:val="28"/>
          <w:highlight w:val="none"/>
          <w:lang w:eastAsia="zh-CN"/>
        </w:rPr>
        <w:t>煤业有限公司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sz w:val="22"/>
          <w:szCs w:val="28"/>
          <w:highlight w:val="none"/>
        </w:rPr>
      </w:pPr>
      <w:r>
        <w:rPr>
          <w:rFonts w:hint="eastAsia" w:ascii="宋体" w:hAnsi="宋体" w:cs="宋体"/>
          <w:b w:val="0"/>
          <w:bCs w:val="0"/>
          <w:sz w:val="28"/>
          <w:szCs w:val="28"/>
          <w:highlight w:val="none"/>
        </w:rPr>
        <w:t>二</w:t>
      </w:r>
      <w:r>
        <w:rPr>
          <w:rFonts w:hint="eastAsia" w:ascii="宋体" w:hAnsi="宋体" w:cs="宋体"/>
          <w:b w:val="0"/>
          <w:bCs w:val="0"/>
          <w:sz w:val="28"/>
          <w:szCs w:val="28"/>
          <w:highlight w:val="none"/>
          <w:lang w:eastAsia="zh-CN"/>
        </w:rPr>
        <w:t>〇</w:t>
      </w:r>
      <w:r>
        <w:rPr>
          <w:rFonts w:hint="eastAsia" w:ascii="宋体" w:hAnsi="宋体" w:cs="宋体"/>
          <w:b w:val="0"/>
          <w:bCs w:val="0"/>
          <w:sz w:val="28"/>
          <w:szCs w:val="28"/>
          <w:highlight w:val="none"/>
        </w:rPr>
        <w:t>二</w:t>
      </w:r>
      <w:r>
        <w:rPr>
          <w:rFonts w:hint="eastAsia" w:ascii="宋体" w:hAnsi="宋体" w:cs="宋体"/>
          <w:b w:val="0"/>
          <w:bCs w:val="0"/>
          <w:sz w:val="28"/>
          <w:szCs w:val="28"/>
          <w:highlight w:val="none"/>
          <w:lang w:val="en-US" w:eastAsia="zh-CN"/>
        </w:rPr>
        <w:t>四</w:t>
      </w:r>
      <w:r>
        <w:rPr>
          <w:rFonts w:hint="eastAsia" w:ascii="宋体" w:hAnsi="宋体" w:cs="宋体"/>
          <w:b w:val="0"/>
          <w:bCs w:val="0"/>
          <w:sz w:val="28"/>
          <w:szCs w:val="28"/>
          <w:highlight w:val="none"/>
        </w:rPr>
        <w:t>年</w:t>
      </w:r>
      <w:r>
        <w:rPr>
          <w:rFonts w:hint="eastAsia" w:ascii="宋体" w:hAnsi="宋体" w:cs="宋体"/>
          <w:b w:val="0"/>
          <w:bCs w:val="0"/>
          <w:sz w:val="28"/>
          <w:szCs w:val="28"/>
          <w:highlight w:val="none"/>
          <w:lang w:val="en-US" w:eastAsia="zh-CN"/>
        </w:rPr>
        <w:t>三</w:t>
      </w:r>
      <w:r>
        <w:rPr>
          <w:rFonts w:hint="eastAsia" w:ascii="宋体" w:hAnsi="宋体" w:cs="宋体"/>
          <w:b w:val="0"/>
          <w:bCs w:val="0"/>
          <w:sz w:val="28"/>
          <w:szCs w:val="28"/>
          <w:highlight w:val="none"/>
        </w:rPr>
        <w:t>月</w:t>
      </w:r>
    </w:p>
    <w:p>
      <w:pPr>
        <w:rPr>
          <w:rFonts w:ascii="仿宋_GB2312" w:eastAsia="仿宋_GB2312"/>
          <w:highlight w:val="none"/>
        </w:rPr>
        <w:sectPr>
          <w:footerReference r:id="rId4" w:type="default"/>
          <w:headerReference r:id="rId3" w:type="even"/>
          <w:footerReference r:id="rId5" w:type="even"/>
          <w:pgSz w:w="11907" w:h="16840"/>
          <w:pgMar w:top="1814" w:right="1588" w:bottom="1814" w:left="1701" w:header="851" w:footer="1644" w:gutter="0"/>
          <w:cols w:space="720" w:num="1"/>
          <w:titlePg/>
        </w:sect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中煤华昱公司元宝湾煤业委托第三方编制《矿山环境治理恢复和土地复垦年度方案（2024年）》项目</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2024年3月28日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报名截止日期：2024年4月4日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报价截止时间：2024年4月4日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报价揭价时间：2024年4月4日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1.项目概况：根据《山西省自然资源厅关于进一步加强矿山环境保护与土地复垦工作的通知》（晋自然资函[2021]581号）及《XX矿山环境治理恢复和土地复垦年度方案（  年）编制提纲（试行）》的具体规定，元宝湾煤业需编制《山西朔州山阴金海洋元宝湾煤业有限公司矿山环境治理恢复和土地复垦年度方案（2024年）》（以下简称：方案），由山阴县自然资源局组织专家审查后予以报备，报备后的方案作为工程验收的依据，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3.工期（服务期）：自确定办理单位合同签订之日后，30天内完成《方案》的编制，根据山阴县自然资源局安排，通过其组织的专家评审并取得相关评审意见。</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4.服务地点：山西朔州山阴金海洋元宝湾煤业有限公司。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5.报价方式为固定总价**万元（含税,税率6%）。</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1.报价人须具有中华人民共和国境内注册的独立法人。</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2.报价人须提供近三年（2020年12月至今，以合同签订时间为准）不低于三项类似报告完成业绩（提供合同关键页）。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3.报价人须具有良好的银行资信（提供开标前6个月内银行开具的资信证明）。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4.与中煤集团山西华昱能源有限公司不存在未解决的各类纠纷（附承诺函，格式自拟）。</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马晋园  13934987374</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山西朔州山阴金海洋元宝湾煤业有限公司</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(5) </w:t>
      </w:r>
      <w:r>
        <w:rPr>
          <w:rFonts w:hint="eastAsia" w:ascii="宋体" w:hAnsi="宋体" w:cs="宋体"/>
          <w:b w:val="0"/>
          <w:bCs w:val="0"/>
          <w:color w:val="000000"/>
          <w:sz w:val="24"/>
          <w:szCs w:val="24"/>
          <w:highlight w:val="none"/>
        </w:rPr>
        <w:t>其它需要说明的事项。</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2. </w:t>
      </w:r>
      <w:r>
        <w:rPr>
          <w:rFonts w:hint="eastAsia" w:ascii="宋体" w:hAnsi="宋体" w:cs="宋体"/>
          <w:b w:val="0"/>
          <w:bCs w:val="0"/>
          <w:color w:val="000000"/>
          <w:sz w:val="24"/>
          <w:szCs w:val="24"/>
          <w:highlight w:val="none"/>
        </w:rPr>
        <w:t>报价要求</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(1)</w:t>
      </w:r>
      <w:r>
        <w:rPr>
          <w:rFonts w:hint="eastAsia" w:ascii="宋体" w:hAnsi="宋体" w:cs="宋体"/>
          <w:b w:val="0"/>
          <w:bCs w:val="0"/>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(3)</w:t>
      </w:r>
      <w:r>
        <w:rPr>
          <w:rFonts w:hint="eastAsia" w:ascii="宋体" w:hAnsi="宋体" w:cs="宋体"/>
          <w:b w:val="0"/>
          <w:bCs w:val="0"/>
          <w:color w:val="000000"/>
          <w:sz w:val="24"/>
          <w:szCs w:val="24"/>
          <w:highlight w:val="none"/>
        </w:rPr>
        <w:t>在填报报价时，要列明价格的各组成部分。</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3. </w:t>
      </w:r>
      <w:r>
        <w:rPr>
          <w:rFonts w:hint="eastAsia" w:ascii="宋体" w:hAnsi="宋体" w:cs="宋体"/>
          <w:b w:val="0"/>
          <w:bCs w:val="0"/>
          <w:color w:val="00000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报价截止后，将审查报价书是否完整、有无计算上的错误，文件签署是否合格，报价书是否大体编排有序。如计算和累加算术错误，修正错误的原则如下：</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A. 如果以数字表示的金额和用文字表示的金额不一致时，应以文字表述的金额为准；</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B. 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2"/>
      </w:pPr>
    </w:p>
    <w:p>
      <w:pPr>
        <w:pStyle w:val="2"/>
      </w:pPr>
    </w:p>
    <w:p>
      <w:pPr>
        <w:pStyle w:val="2"/>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报价</w:t>
      </w:r>
      <w:r>
        <w:rPr>
          <w:rFonts w:hint="eastAsia" w:ascii="宋体" w:hAnsi="宋体" w:cs="宋体"/>
          <w:b w:val="0"/>
          <w:bCs w:val="0"/>
          <w:sz w:val="24"/>
          <w:szCs w:val="24"/>
          <w:highlight w:val="none"/>
        </w:rPr>
        <w:t>人严格贯彻执行国家的有关法律、法规、质量标准</w:t>
      </w:r>
      <w:r>
        <w:rPr>
          <w:rFonts w:hint="eastAsia" w:ascii="宋体" w:hAnsi="宋体" w:cs="宋体"/>
          <w:b w:val="0"/>
          <w:bCs w:val="0"/>
          <w:sz w:val="24"/>
          <w:szCs w:val="24"/>
          <w:highlight w:val="none"/>
          <w:lang w:eastAsia="zh-CN"/>
        </w:rPr>
        <w:t>，提交</w:t>
      </w:r>
      <w:r>
        <w:rPr>
          <w:rFonts w:hint="eastAsia" w:ascii="宋体" w:hAnsi="宋体" w:cs="宋体"/>
          <w:b w:val="0"/>
          <w:bCs w:val="0"/>
          <w:sz w:val="24"/>
          <w:szCs w:val="24"/>
          <w:highlight w:val="none"/>
          <w:lang w:val="en-US" w:eastAsia="zh-CN"/>
        </w:rPr>
        <w:t>《方案》</w:t>
      </w:r>
      <w:r>
        <w:rPr>
          <w:rFonts w:hint="eastAsia" w:ascii="宋体" w:hAnsi="宋体" w:cs="宋体"/>
          <w:b w:val="0"/>
          <w:bCs w:val="0"/>
          <w:sz w:val="24"/>
          <w:szCs w:val="24"/>
          <w:highlight w:val="none"/>
          <w:lang w:eastAsia="zh-CN"/>
        </w:rPr>
        <w:t>，保证数据真实、有效，</w:t>
      </w:r>
      <w:r>
        <w:rPr>
          <w:rFonts w:hint="eastAsia" w:ascii="宋体" w:hAnsi="宋体" w:cs="宋体"/>
          <w:b w:val="0"/>
          <w:bCs w:val="0"/>
          <w:sz w:val="24"/>
          <w:szCs w:val="24"/>
          <w:highlight w:val="none"/>
          <w:lang w:val="en-US" w:eastAsia="zh-CN"/>
        </w:rPr>
        <w:t>具体要求如下：</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1.负责对采掘现状调查和预测分析，《方案》中需明确2024年度矿山环境治理恢复和土地复垦工程，列出治理工程内容、主要措施、工程量、工程进度安排。</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2.负责对现有环境设备运行维护，对废气、废水、噪声、环境质量现状进行监测。</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3.负责山阴县自然资源局组织的对《方案》的评审、备案工作，取得评审意见书，并承担评审期间的评审费等费用。</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sz w:val="24"/>
          <w:szCs w:val="24"/>
          <w:highlight w:val="none"/>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headerReference r:id="rId7" w:type="first"/>
          <w:footerReference r:id="rId9" w:type="first"/>
          <w:headerReference r:id="rId6" w:type="default"/>
          <w:footerReference r:id="rId8"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Fonts w:cs="仿宋_GB2312"/>
      </w:rPr>
      <w:fldChar w:fldCharType="begin"/>
    </w:r>
    <w:r>
      <w:rPr>
        <w:rStyle w:val="50"/>
        <w:rFonts w:cs="仿宋_GB2312"/>
      </w:rPr>
      <w:instrText xml:space="preserve"> PAGE </w:instrText>
    </w:r>
    <w:r>
      <w:rPr>
        <w:rFonts w:cs="仿宋_GB2312"/>
      </w:rPr>
      <w:fldChar w:fldCharType="separate"/>
    </w:r>
    <w:r>
      <w:rPr>
        <w:rStyle w:val="50"/>
        <w:rFonts w:cs="仿宋_GB2312"/>
      </w:rPr>
      <w:t>2</w:t>
    </w:r>
    <w:r>
      <w:rPr>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NDlkNWE5NzY4MzMyNTA4NDI4MjU5N2RjMzU1Y2Y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772070"/>
    <w:rsid w:val="13D27127"/>
    <w:rsid w:val="13D60078"/>
    <w:rsid w:val="145A4263"/>
    <w:rsid w:val="1477734B"/>
    <w:rsid w:val="148A0302"/>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0F9032F"/>
    <w:rsid w:val="21232666"/>
    <w:rsid w:val="21505AF6"/>
    <w:rsid w:val="21950F90"/>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2E47C0"/>
    <w:rsid w:val="313C2459"/>
    <w:rsid w:val="31CC14EB"/>
    <w:rsid w:val="321260A3"/>
    <w:rsid w:val="327F64D7"/>
    <w:rsid w:val="3283369C"/>
    <w:rsid w:val="32890F14"/>
    <w:rsid w:val="32D26775"/>
    <w:rsid w:val="334C6D3F"/>
    <w:rsid w:val="33573CB3"/>
    <w:rsid w:val="33843E73"/>
    <w:rsid w:val="34126E2C"/>
    <w:rsid w:val="354C50A8"/>
    <w:rsid w:val="35731F31"/>
    <w:rsid w:val="35D84E48"/>
    <w:rsid w:val="36BA11E5"/>
    <w:rsid w:val="36D735B3"/>
    <w:rsid w:val="387408DF"/>
    <w:rsid w:val="39101B67"/>
    <w:rsid w:val="393744E7"/>
    <w:rsid w:val="393B2471"/>
    <w:rsid w:val="39B5256A"/>
    <w:rsid w:val="39E552F4"/>
    <w:rsid w:val="39F04960"/>
    <w:rsid w:val="3A0F496A"/>
    <w:rsid w:val="3A4074C6"/>
    <w:rsid w:val="3A873BF5"/>
    <w:rsid w:val="3AC9030B"/>
    <w:rsid w:val="3B33738C"/>
    <w:rsid w:val="3BC04130"/>
    <w:rsid w:val="3C5D21E6"/>
    <w:rsid w:val="3CEC6D03"/>
    <w:rsid w:val="3D206487"/>
    <w:rsid w:val="3D9D571F"/>
    <w:rsid w:val="3DC04D35"/>
    <w:rsid w:val="3DFA2056"/>
    <w:rsid w:val="3E4E000C"/>
    <w:rsid w:val="3EAF3106"/>
    <w:rsid w:val="3F6B02A7"/>
    <w:rsid w:val="3FB47B86"/>
    <w:rsid w:val="3FFE67F3"/>
    <w:rsid w:val="40072003"/>
    <w:rsid w:val="40617FCF"/>
    <w:rsid w:val="40816690"/>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3EE040E"/>
    <w:rsid w:val="542B3EFB"/>
    <w:rsid w:val="546B0A00"/>
    <w:rsid w:val="54954804"/>
    <w:rsid w:val="549660CB"/>
    <w:rsid w:val="54EA3C55"/>
    <w:rsid w:val="55630A4E"/>
    <w:rsid w:val="557737BB"/>
    <w:rsid w:val="562C37FD"/>
    <w:rsid w:val="56366F6D"/>
    <w:rsid w:val="565C396B"/>
    <w:rsid w:val="56A41691"/>
    <w:rsid w:val="59111EFF"/>
    <w:rsid w:val="593B655B"/>
    <w:rsid w:val="593C1BF8"/>
    <w:rsid w:val="5A955591"/>
    <w:rsid w:val="5AA9404F"/>
    <w:rsid w:val="5B117071"/>
    <w:rsid w:val="5B260D65"/>
    <w:rsid w:val="5B407C18"/>
    <w:rsid w:val="5B620E84"/>
    <w:rsid w:val="5C411365"/>
    <w:rsid w:val="5D5B577D"/>
    <w:rsid w:val="5D8542E6"/>
    <w:rsid w:val="5DD6583E"/>
    <w:rsid w:val="5DF5739A"/>
    <w:rsid w:val="5E6D403E"/>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B4C26F3"/>
    <w:rsid w:val="6C195ECD"/>
    <w:rsid w:val="6C2D3162"/>
    <w:rsid w:val="6DEA3D34"/>
    <w:rsid w:val="6E041063"/>
    <w:rsid w:val="6EB702E7"/>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945180"/>
    <w:rsid w:val="76ED6DFD"/>
    <w:rsid w:val="773C0385"/>
    <w:rsid w:val="78100551"/>
    <w:rsid w:val="78877AD1"/>
    <w:rsid w:val="78C66409"/>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next w:val="20"/>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2</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2024-02-05T09:45:00Z</cp:lastPrinted>
  <dcterms:modified xsi:type="dcterms:W3CDTF">2024-03-27T11:38:37Z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17F561AF511B4A55876EFFBB830FA65E_13</vt:lpwstr>
  </property>
</Properties>
</file>