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1044" w:firstLineChars="200"/>
        <w:jc w:val="center"/>
        <w:rPr>
          <w:rStyle w:val="28"/>
          <w:rFonts w:ascii="宋体"/>
          <w:b/>
          <w:bCs/>
          <w:color w:val="auto"/>
          <w:sz w:val="52"/>
          <w:szCs w:val="52"/>
          <w:highlight w:val="none"/>
        </w:rPr>
      </w:pPr>
    </w:p>
    <w:p>
      <w:pPr>
        <w:pStyle w:val="19"/>
        <w:rPr>
          <w:rStyle w:val="28"/>
          <w:rFonts w:ascii="宋体"/>
          <w:b/>
          <w:bCs/>
          <w:color w:val="auto"/>
          <w:sz w:val="52"/>
          <w:szCs w:val="52"/>
          <w:highlight w:val="none"/>
        </w:rPr>
      </w:pPr>
    </w:p>
    <w:p>
      <w:pPr>
        <w:rPr>
          <w:color w:val="auto"/>
          <w:highlight w:val="none"/>
        </w:rPr>
      </w:pPr>
    </w:p>
    <w:p>
      <w:pPr>
        <w:pStyle w:val="2"/>
        <w:jc w:val="center"/>
        <w:rPr>
          <w:rStyle w:val="28"/>
          <w:rFonts w:ascii="宋体"/>
          <w:color w:val="auto"/>
          <w:szCs w:val="21"/>
          <w:highlight w:val="none"/>
        </w:rPr>
      </w:pPr>
      <w:r>
        <w:rPr>
          <w:rStyle w:val="28"/>
          <w:rFonts w:hint="eastAsia" w:ascii="宋体" w:cs="Times New Roman"/>
          <w:b/>
          <w:bCs/>
          <w:color w:val="auto"/>
          <w:sz w:val="44"/>
          <w:szCs w:val="44"/>
          <w:highlight w:val="none"/>
          <w:lang w:val="en-US" w:eastAsia="zh-CN"/>
        </w:rPr>
        <w:t>国投大厦办公区家具购置项目</w:t>
      </w:r>
    </w:p>
    <w:p>
      <w:pPr>
        <w:pStyle w:val="2"/>
        <w:rPr>
          <w:rStyle w:val="28"/>
          <w:rFonts w:ascii="宋体"/>
          <w:color w:val="auto"/>
          <w:szCs w:val="21"/>
          <w:highlight w:val="none"/>
        </w:rPr>
      </w:pPr>
    </w:p>
    <w:p>
      <w:pPr>
        <w:pStyle w:val="2"/>
        <w:rPr>
          <w:rStyle w:val="28"/>
          <w:rFonts w:ascii="宋体"/>
          <w:color w:val="auto"/>
          <w:szCs w:val="21"/>
          <w:highlight w:val="none"/>
        </w:rPr>
      </w:pPr>
    </w:p>
    <w:p>
      <w:pPr>
        <w:pStyle w:val="2"/>
        <w:rPr>
          <w:rStyle w:val="28"/>
          <w:rFonts w:ascii="宋体"/>
          <w:color w:val="auto"/>
          <w:szCs w:val="21"/>
          <w:highlight w:val="none"/>
        </w:rPr>
      </w:pPr>
    </w:p>
    <w:p>
      <w:pPr>
        <w:pStyle w:val="2"/>
        <w:rPr>
          <w:rStyle w:val="28"/>
          <w:rFonts w:ascii="宋体"/>
          <w:color w:val="auto"/>
          <w:szCs w:val="21"/>
          <w:highlight w:val="none"/>
        </w:rPr>
      </w:pPr>
    </w:p>
    <w:p>
      <w:pPr>
        <w:pStyle w:val="2"/>
        <w:rPr>
          <w:rStyle w:val="28"/>
          <w:rFonts w:ascii="宋体"/>
          <w:color w:val="auto"/>
          <w:szCs w:val="21"/>
          <w:highlight w:val="none"/>
        </w:rPr>
      </w:pPr>
    </w:p>
    <w:p>
      <w:pPr>
        <w:pStyle w:val="2"/>
        <w:rPr>
          <w:rStyle w:val="28"/>
          <w:rFonts w:ascii="宋体"/>
          <w:color w:val="auto"/>
          <w:szCs w:val="21"/>
          <w:highlight w:val="none"/>
        </w:rPr>
      </w:pPr>
    </w:p>
    <w:p>
      <w:pPr>
        <w:pStyle w:val="2"/>
        <w:rPr>
          <w:rStyle w:val="28"/>
          <w:rFonts w:ascii="宋体"/>
          <w:color w:val="auto"/>
          <w:szCs w:val="21"/>
          <w:highlight w:val="none"/>
        </w:rPr>
      </w:pPr>
    </w:p>
    <w:p>
      <w:pPr>
        <w:rPr>
          <w:rStyle w:val="28"/>
          <w:rFonts w:ascii="宋体"/>
          <w:color w:val="auto"/>
          <w:szCs w:val="21"/>
          <w:highlight w:val="none"/>
        </w:rPr>
      </w:pPr>
    </w:p>
    <w:p>
      <w:pPr>
        <w:pStyle w:val="27"/>
        <w:rPr>
          <w:rStyle w:val="28"/>
          <w:rFonts w:ascii="宋体"/>
          <w:color w:val="auto"/>
          <w:szCs w:val="21"/>
          <w:highlight w:val="none"/>
        </w:rPr>
      </w:pPr>
    </w:p>
    <w:p>
      <w:pPr>
        <w:pStyle w:val="27"/>
        <w:rPr>
          <w:rStyle w:val="28"/>
          <w:rFonts w:ascii="宋体"/>
          <w:color w:val="auto"/>
          <w:szCs w:val="21"/>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
        <w:ind w:left="0" w:leftChars="0" w:firstLine="0" w:firstLineChars="0"/>
        <w:rPr>
          <w:rStyle w:val="28"/>
          <w:rFonts w:ascii="宋体"/>
          <w:color w:val="auto"/>
          <w:szCs w:val="21"/>
          <w:highlight w:val="none"/>
        </w:rPr>
      </w:pPr>
    </w:p>
    <w:p>
      <w:pPr>
        <w:adjustRightInd w:val="0"/>
        <w:snapToGrid w:val="0"/>
        <w:ind w:firstLine="640" w:firstLineChars="200"/>
        <w:jc w:val="center"/>
        <w:rPr>
          <w:rFonts w:ascii="宋体"/>
          <w:color w:val="auto"/>
          <w:sz w:val="32"/>
          <w:szCs w:val="32"/>
          <w:highlight w:val="none"/>
        </w:rPr>
      </w:pPr>
    </w:p>
    <w:p>
      <w:pPr>
        <w:adjustRightInd w:val="0"/>
        <w:snapToGrid w:val="0"/>
        <w:spacing w:line="360" w:lineRule="auto"/>
        <w:ind w:firstLine="1280" w:firstLineChars="400"/>
        <w:rPr>
          <w:rFonts w:hint="eastAsia" w:ascii="宋体"/>
          <w:color w:val="auto"/>
          <w:sz w:val="32"/>
          <w:szCs w:val="32"/>
          <w:highlight w:val="none"/>
        </w:rPr>
      </w:pPr>
      <w:r>
        <w:rPr>
          <w:rFonts w:hint="eastAsia" w:ascii="宋体"/>
          <w:color w:val="auto"/>
          <w:sz w:val="32"/>
          <w:szCs w:val="32"/>
          <w:highlight w:val="none"/>
        </w:rPr>
        <w:t>采购项目编号：XJ2024095599</w:t>
      </w:r>
    </w:p>
    <w:p>
      <w:pPr>
        <w:adjustRightInd w:val="0"/>
        <w:snapToGrid w:val="0"/>
        <w:spacing w:line="360" w:lineRule="auto"/>
        <w:ind w:firstLine="1280" w:firstLineChars="400"/>
        <w:rPr>
          <w:rFonts w:ascii="宋体"/>
          <w:color w:val="auto"/>
          <w:sz w:val="32"/>
          <w:szCs w:val="32"/>
          <w:highlight w:val="none"/>
        </w:rPr>
      </w:pPr>
      <w:r>
        <w:rPr>
          <w:rFonts w:hint="eastAsia" w:ascii="宋体"/>
          <w:color w:val="auto"/>
          <w:sz w:val="32"/>
          <w:szCs w:val="32"/>
          <w:highlight w:val="none"/>
        </w:rPr>
        <w:t>采购人：中煤天津设计工程有限责任公司</w:t>
      </w:r>
    </w:p>
    <w:p>
      <w:pPr>
        <w:adjustRightInd w:val="0"/>
        <w:snapToGrid w:val="0"/>
        <w:ind w:firstLine="643" w:firstLineChars="200"/>
        <w:jc w:val="center"/>
        <w:rPr>
          <w:rFonts w:ascii="宋体"/>
          <w:b/>
          <w:color w:val="auto"/>
          <w:sz w:val="32"/>
          <w:szCs w:val="32"/>
          <w:highlight w:val="none"/>
        </w:rPr>
      </w:pPr>
    </w:p>
    <w:p>
      <w:pPr>
        <w:pStyle w:val="2"/>
        <w:rPr>
          <w:rFonts w:ascii="宋体"/>
          <w:b/>
          <w:color w:val="auto"/>
          <w:sz w:val="32"/>
          <w:szCs w:val="32"/>
          <w:highlight w:val="none"/>
        </w:rPr>
      </w:pPr>
    </w:p>
    <w:p>
      <w:pPr>
        <w:pStyle w:val="27"/>
        <w:rPr>
          <w:color w:val="auto"/>
          <w:highlight w:val="none"/>
        </w:rPr>
      </w:pPr>
    </w:p>
    <w:p>
      <w:pPr>
        <w:pStyle w:val="27"/>
        <w:ind w:left="0" w:leftChars="0" w:firstLine="0" w:firstLineChars="0"/>
        <w:rPr>
          <w:rFonts w:ascii="宋体"/>
          <w:b/>
          <w:color w:val="auto"/>
          <w:sz w:val="32"/>
          <w:szCs w:val="32"/>
          <w:highlight w:val="none"/>
        </w:rPr>
      </w:pPr>
    </w:p>
    <w:p>
      <w:pPr>
        <w:pStyle w:val="8"/>
        <w:spacing w:line="360" w:lineRule="auto"/>
        <w:jc w:val="center"/>
        <w:rPr>
          <w:rFonts w:hint="eastAsia" w:ascii="宋体"/>
          <w:color w:val="auto"/>
          <w:sz w:val="32"/>
          <w:szCs w:val="32"/>
          <w:highlight w:val="none"/>
        </w:rPr>
      </w:pPr>
      <w:r>
        <w:rPr>
          <w:rFonts w:ascii="宋体"/>
          <w:color w:val="auto"/>
          <w:sz w:val="32"/>
          <w:szCs w:val="32"/>
          <w:highlight w:val="none"/>
        </w:rPr>
        <w:t>202</w:t>
      </w:r>
      <w:r>
        <w:rPr>
          <w:rFonts w:hint="eastAsia" w:ascii="宋体"/>
          <w:color w:val="auto"/>
          <w:sz w:val="32"/>
          <w:szCs w:val="32"/>
          <w:highlight w:val="none"/>
          <w:lang w:val="en-US" w:eastAsia="zh-CN"/>
        </w:rPr>
        <w:t>4</w:t>
      </w:r>
      <w:r>
        <w:rPr>
          <w:rFonts w:hint="eastAsia" w:ascii="宋体"/>
          <w:color w:val="auto"/>
          <w:sz w:val="32"/>
          <w:szCs w:val="32"/>
          <w:highlight w:val="none"/>
        </w:rPr>
        <w:t>年</w:t>
      </w:r>
      <w:r>
        <w:rPr>
          <w:rFonts w:hint="eastAsia" w:ascii="宋体"/>
          <w:color w:val="auto"/>
          <w:sz w:val="32"/>
          <w:szCs w:val="32"/>
          <w:highlight w:val="none"/>
          <w:lang w:val="en-US" w:eastAsia="zh-CN"/>
        </w:rPr>
        <w:t>9</w:t>
      </w:r>
      <w:r>
        <w:rPr>
          <w:rFonts w:hint="eastAsia" w:ascii="宋体"/>
          <w:color w:val="auto"/>
          <w:sz w:val="32"/>
          <w:szCs w:val="32"/>
          <w:highlight w:val="none"/>
        </w:rPr>
        <w:t>月</w:t>
      </w:r>
    </w:p>
    <w:p>
      <w:pPr>
        <w:rPr>
          <w:rFonts w:hint="eastAsia" w:ascii="宋体"/>
          <w:color w:val="auto"/>
          <w:sz w:val="32"/>
          <w:szCs w:val="32"/>
          <w:highlight w:val="none"/>
        </w:rPr>
      </w:pPr>
      <w:r>
        <w:rPr>
          <w:rFonts w:hint="eastAsia" w:ascii="宋体"/>
          <w:color w:val="auto"/>
          <w:sz w:val="32"/>
          <w:szCs w:val="32"/>
          <w:highlight w:val="none"/>
        </w:rPr>
        <w:br w:type="page"/>
      </w:r>
    </w:p>
    <w:p>
      <w:pPr>
        <w:keepNext w:val="0"/>
        <w:keepLines w:val="0"/>
        <w:pageBreakBefore w:val="0"/>
        <w:widowControl/>
        <w:tabs>
          <w:tab w:val="right" w:leader="dot" w:pos="8931"/>
        </w:tabs>
        <w:kinsoku/>
        <w:wordWrap/>
        <w:overflowPunct/>
        <w:topLinePunct w:val="0"/>
        <w:autoSpaceDE/>
        <w:autoSpaceDN/>
        <w:bidi w:val="0"/>
        <w:adjustRightInd/>
        <w:snapToGrid/>
        <w:ind w:firstLine="100" w:firstLineChars="50"/>
        <w:jc w:val="both"/>
        <w:textAlignment w:val="auto"/>
        <w:outlineLvl w:val="0"/>
        <w:rPr>
          <w:rFonts w:ascii="宋体"/>
          <w:color w:val="auto"/>
          <w:highlight w:val="none"/>
        </w:rPr>
      </w:pPr>
      <w:bookmarkStart w:id="0" w:name="_Toc4336"/>
      <w:bookmarkStart w:id="1" w:name="_Toc376793572"/>
      <w:bookmarkStart w:id="2" w:name="_Toc376164237"/>
      <w:bookmarkStart w:id="3" w:name="_Toc376793553"/>
      <w:bookmarkStart w:id="4" w:name="_Toc382509453"/>
      <w:bookmarkStart w:id="5" w:name="_Toc199065441"/>
      <w:bookmarkStart w:id="6" w:name="_Toc199040648"/>
      <w:bookmarkStart w:id="7" w:name="_Toc376793708"/>
      <w:bookmarkStart w:id="8" w:name="_Toc199062850"/>
    </w:p>
    <w:p>
      <w:pPr>
        <w:pStyle w:val="16"/>
        <w:rPr>
          <w:rFonts w:hint="eastAsia" w:ascii="Calibri" w:hAnsi="Calibri" w:eastAsia="黑体" w:cs="Arial"/>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"_Toc10184872" </w:instrText>
      </w:r>
      <w:r>
        <w:rPr>
          <w:color w:val="auto"/>
          <w:highlight w:val="none"/>
        </w:rPr>
        <w:fldChar w:fldCharType="separate"/>
      </w:r>
      <w:r>
        <w:rPr>
          <w:rFonts w:hint="eastAsia" w:ascii="宋体" w:hAnsi="宋体"/>
          <w:color w:val="auto"/>
          <w:highlight w:val="none"/>
        </w:rPr>
        <w:t>第一章采购</w:t>
      </w:r>
      <w:r>
        <w:rPr>
          <w:rFonts w:hint="eastAsia" w:ascii="宋体" w:hAnsi="宋体"/>
          <w:color w:val="auto"/>
          <w:highlight w:val="none"/>
          <w:lang w:eastAsia="zh-CN"/>
        </w:rPr>
        <w:t>公</w:t>
      </w:r>
      <w:r>
        <w:rPr>
          <w:rFonts w:hint="eastAsia" w:ascii="宋体" w:hAnsi="宋体"/>
          <w:color w:val="auto"/>
          <w:highlight w:val="none"/>
        </w:rPr>
        <w:fldChar w:fldCharType="end"/>
      </w:r>
      <w:r>
        <w:rPr>
          <w:rFonts w:hint="eastAsia" w:ascii="宋体" w:hAnsi="宋体"/>
          <w:color w:val="auto"/>
          <w:highlight w:val="none"/>
          <w:lang w:eastAsia="zh-CN"/>
        </w:rPr>
        <w:t>告</w:t>
      </w:r>
    </w:p>
    <w:p>
      <w:pPr>
        <w:pStyle w:val="16"/>
        <w:rPr>
          <w:color w:val="auto"/>
          <w:highlight w:val="none"/>
        </w:rPr>
      </w:pPr>
    </w:p>
    <w:p>
      <w:pPr>
        <w:pStyle w:val="16"/>
        <w:rPr>
          <w:rFonts w:ascii="Calibri" w:hAnsi="Calibri" w:eastAsia="宋体" w:cs="Arial"/>
          <w:b w:val="0"/>
          <w:bCs w:val="0"/>
          <w:caps w:val="0"/>
          <w:color w:val="auto"/>
          <w:sz w:val="21"/>
          <w:szCs w:val="22"/>
          <w:highlight w:val="none"/>
        </w:rPr>
      </w:pPr>
      <w:r>
        <w:rPr>
          <w:color w:val="auto"/>
          <w:highlight w:val="none"/>
        </w:rPr>
        <w:fldChar w:fldCharType="begin"/>
      </w:r>
      <w:r>
        <w:rPr>
          <w:color w:val="auto"/>
          <w:highlight w:val="none"/>
        </w:rPr>
        <w:instrText xml:space="preserve"> HYPERLINK \l "_Toc10184873" </w:instrText>
      </w:r>
      <w:r>
        <w:rPr>
          <w:color w:val="auto"/>
          <w:highlight w:val="none"/>
        </w:rPr>
        <w:fldChar w:fldCharType="separate"/>
      </w:r>
      <w:r>
        <w:rPr>
          <w:rFonts w:hint="eastAsia" w:ascii="宋体" w:hAnsi="宋体"/>
          <w:color w:val="auto"/>
          <w:highlight w:val="none"/>
        </w:rPr>
        <w:t>第二章供应商须知及前附表</w:t>
      </w:r>
      <w:r>
        <w:rPr>
          <w:rFonts w:hint="eastAsia" w:ascii="宋体" w:hAnsi="宋体"/>
          <w:color w:val="auto"/>
          <w:highlight w:val="none"/>
        </w:rPr>
        <w:fldChar w:fldCharType="end"/>
      </w:r>
    </w:p>
    <w:p>
      <w:pPr>
        <w:pStyle w:val="16"/>
        <w:rPr>
          <w:color w:val="auto"/>
          <w:highlight w:val="none"/>
        </w:rPr>
      </w:pPr>
    </w:p>
    <w:p>
      <w:pPr>
        <w:pStyle w:val="16"/>
        <w:rPr>
          <w:rFonts w:ascii="Calibri" w:hAnsi="Calibri" w:eastAsia="宋体" w:cs="Arial"/>
          <w:b w:val="0"/>
          <w:bCs w:val="0"/>
          <w:caps w:val="0"/>
          <w:color w:val="auto"/>
          <w:sz w:val="21"/>
          <w:szCs w:val="22"/>
          <w:highlight w:val="none"/>
        </w:rPr>
      </w:pPr>
      <w:r>
        <w:rPr>
          <w:color w:val="auto"/>
          <w:highlight w:val="none"/>
        </w:rPr>
        <w:fldChar w:fldCharType="begin"/>
      </w:r>
      <w:r>
        <w:rPr>
          <w:color w:val="auto"/>
          <w:highlight w:val="none"/>
        </w:rPr>
        <w:instrText xml:space="preserve"> HYPERLINK \l "_Toc10184881" </w:instrText>
      </w:r>
      <w:r>
        <w:rPr>
          <w:color w:val="auto"/>
          <w:highlight w:val="none"/>
        </w:rPr>
        <w:fldChar w:fldCharType="separate"/>
      </w:r>
      <w:r>
        <w:rPr>
          <w:rFonts w:hint="eastAsia" w:ascii="宋体" w:hAnsi="宋体"/>
          <w:color w:val="auto"/>
          <w:highlight w:val="none"/>
        </w:rPr>
        <w:t>第三章合同主要条款</w:t>
      </w:r>
      <w:r>
        <w:rPr>
          <w:rFonts w:hint="eastAsia" w:ascii="宋体" w:hAnsi="宋体"/>
          <w:color w:val="auto"/>
          <w:highlight w:val="none"/>
        </w:rPr>
        <w:fldChar w:fldCharType="end"/>
      </w:r>
    </w:p>
    <w:p>
      <w:pPr>
        <w:pStyle w:val="16"/>
        <w:rPr>
          <w:color w:val="auto"/>
          <w:highlight w:val="none"/>
        </w:rPr>
      </w:pPr>
    </w:p>
    <w:p>
      <w:pPr>
        <w:pStyle w:val="16"/>
        <w:rPr>
          <w:rFonts w:hint="eastAsia" w:ascii="宋体" w:hAnsi="宋体"/>
          <w:color w:val="auto"/>
          <w:highlight w:val="none"/>
        </w:rPr>
      </w:pPr>
      <w:r>
        <w:rPr>
          <w:color w:val="auto"/>
          <w:highlight w:val="none"/>
        </w:rPr>
        <w:fldChar w:fldCharType="begin"/>
      </w:r>
      <w:r>
        <w:rPr>
          <w:color w:val="auto"/>
          <w:highlight w:val="none"/>
        </w:rPr>
        <w:instrText xml:space="preserve"> HYPERLINK \l "_Toc10184882" </w:instrText>
      </w:r>
      <w:r>
        <w:rPr>
          <w:color w:val="auto"/>
          <w:highlight w:val="none"/>
        </w:rPr>
        <w:fldChar w:fldCharType="separate"/>
      </w:r>
      <w:r>
        <w:rPr>
          <w:rFonts w:hint="eastAsia" w:ascii="宋体" w:hAnsi="宋体"/>
          <w:color w:val="auto"/>
          <w:highlight w:val="none"/>
        </w:rPr>
        <w:t>第四章技术规格书</w:t>
      </w:r>
      <w:r>
        <w:rPr>
          <w:rFonts w:hint="eastAsia" w:ascii="宋体" w:hAnsi="宋体"/>
          <w:color w:val="auto"/>
          <w:highlight w:val="none"/>
        </w:rPr>
        <w:fldChar w:fldCharType="end"/>
      </w:r>
    </w:p>
    <w:p>
      <w:pPr>
        <w:rPr>
          <w:rFonts w:hint="eastAsia"/>
          <w:color w:val="auto"/>
          <w:highlight w:val="none"/>
        </w:rPr>
      </w:pPr>
    </w:p>
    <w:p>
      <w:pPr>
        <w:pStyle w:val="16"/>
        <w:rPr>
          <w:rFonts w:hint="eastAsia" w:ascii="宋体" w:hAnsi="宋体"/>
          <w:color w:val="auto"/>
          <w:highlight w:val="none"/>
          <w:lang w:val="en-US" w:eastAsia="zh-CN"/>
        </w:rPr>
      </w:pPr>
      <w:r>
        <w:rPr>
          <w:rFonts w:hint="eastAsia" w:ascii="宋体" w:hAnsi="宋体"/>
          <w:color w:val="auto"/>
          <w:highlight w:val="none"/>
          <w:lang w:val="en-US" w:eastAsia="zh-CN"/>
        </w:rPr>
        <w:t>第五章采购响应文件格式</w:t>
      </w:r>
    </w:p>
    <w:p>
      <w:pPr>
        <w:pStyle w:val="16"/>
        <w:rPr>
          <w:rFonts w:hint="eastAsia" w:ascii="宋体" w:hAnsi="宋体"/>
          <w:color w:val="auto"/>
          <w:highlight w:val="none"/>
        </w:rPr>
        <w:sectPr>
          <w:footerReference r:id="rId4" w:type="first"/>
          <w:footerReference r:id="rId3" w:type="default"/>
          <w:pgSz w:w="11907" w:h="16840"/>
          <w:pgMar w:top="1418" w:right="1275" w:bottom="1418" w:left="1531" w:header="1021" w:footer="907"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tabs>
          <w:tab w:val="right" w:leader="dot" w:pos="8931"/>
        </w:tabs>
        <w:kinsoku/>
        <w:wordWrap/>
        <w:overflowPunct/>
        <w:topLinePunct w:val="0"/>
        <w:autoSpaceDE/>
        <w:autoSpaceDN/>
        <w:bidi w:val="0"/>
        <w:adjustRightInd/>
        <w:snapToGrid/>
        <w:ind w:firstLine="161" w:firstLineChars="50"/>
        <w:jc w:val="center"/>
        <w:textAlignment w:val="auto"/>
        <w:outlineLvl w:val="0"/>
        <w:rPr>
          <w:rFonts w:hint="eastAsia" w:ascii="宋体" w:eastAsia="宋体"/>
          <w:b/>
          <w:color w:val="auto"/>
          <w:kern w:val="2"/>
          <w:sz w:val="32"/>
          <w:szCs w:val="32"/>
          <w:highlight w:val="none"/>
          <w:lang w:eastAsia="zh-CN"/>
        </w:rPr>
      </w:pPr>
      <w:bookmarkStart w:id="9" w:name="_Toc31954"/>
      <w:r>
        <w:rPr>
          <w:rFonts w:hint="eastAsia" w:ascii="宋体"/>
          <w:b/>
          <w:color w:val="auto"/>
          <w:kern w:val="2"/>
          <w:sz w:val="32"/>
          <w:szCs w:val="32"/>
          <w:highlight w:val="none"/>
        </w:rPr>
        <w:t>第一</w:t>
      </w:r>
      <w:r>
        <w:rPr>
          <w:rFonts w:ascii="宋体"/>
          <w:b/>
          <w:color w:val="auto"/>
          <w:kern w:val="2"/>
          <w:sz w:val="32"/>
          <w:szCs w:val="32"/>
          <w:highlight w:val="none"/>
        </w:rPr>
        <w:t>章</w:t>
      </w:r>
      <w:bookmarkEnd w:id="0"/>
      <w:r>
        <w:rPr>
          <w:rFonts w:hint="eastAsia" w:ascii="宋体"/>
          <w:b/>
          <w:color w:val="auto"/>
          <w:kern w:val="2"/>
          <w:sz w:val="32"/>
          <w:szCs w:val="32"/>
          <w:highlight w:val="none"/>
        </w:rPr>
        <w:t>采购</w:t>
      </w:r>
      <w:r>
        <w:rPr>
          <w:rFonts w:hint="eastAsia" w:ascii="宋体"/>
          <w:b/>
          <w:color w:val="auto"/>
          <w:kern w:val="2"/>
          <w:sz w:val="32"/>
          <w:szCs w:val="32"/>
          <w:highlight w:val="none"/>
          <w:lang w:eastAsia="zh-CN"/>
        </w:rPr>
        <w:t>公告</w:t>
      </w:r>
      <w:bookmarkEnd w:id="9"/>
    </w:p>
    <w:p>
      <w:pPr>
        <w:pStyle w:val="17"/>
        <w:keepNext w:val="0"/>
        <w:keepLines w:val="0"/>
        <w:pageBreakBefore w:val="0"/>
        <w:kinsoku/>
        <w:overflowPunct/>
        <w:topLinePunct w:val="0"/>
        <w:autoSpaceDE/>
        <w:autoSpaceDN/>
        <w:bidi w:val="0"/>
        <w:adjustRightInd/>
        <w:snapToGrid/>
        <w:spacing w:before="0" w:beforeAutospacing="0" w:after="0" w:afterAutospacing="0" w:line="520" w:lineRule="exact"/>
        <w:textAlignment w:val="auto"/>
        <w:rPr>
          <w:rFonts w:hint="eastAsia" w:hAnsi="宋体"/>
          <w:color w:val="auto"/>
          <w:sz w:val="24"/>
          <w:szCs w:val="24"/>
          <w:highlight w:val="none"/>
        </w:rPr>
      </w:pPr>
      <w:r>
        <w:rPr>
          <w:rFonts w:hint="eastAsia" w:ascii="Arial" w:hAnsi="Arial" w:cs="Arial"/>
          <w:color w:val="auto"/>
          <w:sz w:val="24"/>
          <w:szCs w:val="24"/>
          <w:highlight w:val="none"/>
        </w:rPr>
        <w:t>项目编号：XJ2024095599</w:t>
      </w:r>
    </w:p>
    <w:p>
      <w:pPr>
        <w:pStyle w:val="17"/>
        <w:keepNext w:val="0"/>
        <w:keepLines w:val="0"/>
        <w:pageBreakBefore w:val="0"/>
        <w:kinsoku/>
        <w:overflowPunct/>
        <w:topLinePunct w:val="0"/>
        <w:autoSpaceDE/>
        <w:autoSpaceDN/>
        <w:bidi w:val="0"/>
        <w:adjustRightInd/>
        <w:snapToGrid/>
        <w:spacing w:before="0" w:beforeAutospacing="0" w:after="0" w:afterAutospacing="0" w:line="520" w:lineRule="exact"/>
        <w:textAlignment w:val="auto"/>
        <w:rPr>
          <w:rFonts w:hint="default" w:ascii="Arial" w:hAnsi="Arial" w:eastAsia="宋体" w:cs="Arial"/>
          <w:color w:val="auto"/>
          <w:sz w:val="24"/>
          <w:szCs w:val="24"/>
          <w:highlight w:val="none"/>
          <w:shd w:val="clear"/>
          <w:lang w:val="en-US" w:eastAsia="zh-CN"/>
        </w:rPr>
      </w:pPr>
      <w:r>
        <w:rPr>
          <w:rFonts w:hint="eastAsia" w:ascii="Arial" w:hAnsi="Arial" w:cs="Arial"/>
          <w:color w:val="auto"/>
          <w:sz w:val="24"/>
          <w:szCs w:val="24"/>
          <w:highlight w:val="none"/>
        </w:rPr>
        <w:t>类别：</w:t>
      </w:r>
      <w:r>
        <w:rPr>
          <w:rFonts w:hint="eastAsia" w:ascii="Arial" w:hAnsi="Arial" w:cs="Arial"/>
          <w:color w:val="auto"/>
          <w:sz w:val="24"/>
          <w:szCs w:val="24"/>
          <w:highlight w:val="none"/>
          <w:shd w:val="clear"/>
          <w:lang w:val="en-US" w:eastAsia="zh-CN"/>
        </w:rPr>
        <w:t>公开竞谈</w:t>
      </w:r>
    </w:p>
    <w:p>
      <w:pPr>
        <w:pStyle w:val="2"/>
        <w:keepNext w:val="0"/>
        <w:keepLines w:val="0"/>
        <w:pageBreakBefore w:val="0"/>
        <w:kinsoku/>
        <w:overflowPunct/>
        <w:topLinePunct w:val="0"/>
        <w:autoSpaceDE/>
        <w:autoSpaceDN/>
        <w:bidi w:val="0"/>
        <w:adjustRightInd/>
        <w:snapToGrid/>
        <w:spacing w:beforeAutospacing="0" w:afterAutospacing="0" w:line="520" w:lineRule="exact"/>
        <w:ind w:firstLine="0"/>
        <w:textAlignment w:val="auto"/>
        <w:rPr>
          <w:rFonts w:hint="eastAsia" w:ascii="Arial" w:hAnsi="Arial" w:cs="Arial"/>
          <w:color w:val="auto"/>
          <w:kern w:val="0"/>
          <w:sz w:val="24"/>
          <w:szCs w:val="24"/>
          <w:highlight w:val="none"/>
        </w:rPr>
      </w:pPr>
      <w:r>
        <w:rPr>
          <w:rFonts w:hint="eastAsia" w:ascii="Arial" w:hAnsi="Arial" w:cs="Arial"/>
          <w:color w:val="auto"/>
          <w:kern w:val="0"/>
          <w:sz w:val="24"/>
          <w:szCs w:val="24"/>
          <w:highlight w:val="none"/>
        </w:rPr>
        <w:t>谈判时</w:t>
      </w:r>
      <w:bookmarkStart w:id="229" w:name="_GoBack"/>
      <w:r>
        <w:rPr>
          <w:rFonts w:hint="eastAsia" w:ascii="Arial" w:hAnsi="Arial" w:cs="Arial"/>
          <w:color w:val="auto"/>
          <w:kern w:val="0"/>
          <w:sz w:val="24"/>
          <w:szCs w:val="24"/>
          <w:highlight w:val="none"/>
        </w:rPr>
        <w:t>间：2024-0</w:t>
      </w:r>
      <w:r>
        <w:rPr>
          <w:rFonts w:hint="eastAsia" w:ascii="Arial" w:hAnsi="Arial" w:cs="Arial"/>
          <w:color w:val="auto"/>
          <w:kern w:val="0"/>
          <w:sz w:val="24"/>
          <w:szCs w:val="24"/>
          <w:highlight w:val="none"/>
          <w:lang w:val="en-US" w:eastAsia="zh-CN"/>
        </w:rPr>
        <w:t>9</w:t>
      </w:r>
      <w:r>
        <w:rPr>
          <w:rFonts w:hint="eastAsia" w:ascii="Arial" w:hAnsi="Arial" w:cs="Arial"/>
          <w:color w:val="auto"/>
          <w:kern w:val="0"/>
          <w:sz w:val="24"/>
          <w:szCs w:val="24"/>
          <w:highlight w:val="none"/>
        </w:rPr>
        <w:t>-</w:t>
      </w:r>
      <w:r>
        <w:rPr>
          <w:rFonts w:hint="eastAsia" w:ascii="Arial" w:hAnsi="Arial" w:cs="Arial"/>
          <w:color w:val="auto"/>
          <w:kern w:val="0"/>
          <w:sz w:val="24"/>
          <w:szCs w:val="24"/>
          <w:highlight w:val="none"/>
          <w:lang w:val="en-US" w:eastAsia="zh-CN"/>
        </w:rPr>
        <w:t xml:space="preserve">26  </w:t>
      </w:r>
      <w:r>
        <w:rPr>
          <w:rFonts w:hint="eastAsia" w:ascii="Arial" w:hAnsi="Arial" w:cs="Arial"/>
          <w:color w:val="auto"/>
          <w:kern w:val="0"/>
          <w:sz w:val="24"/>
          <w:szCs w:val="24"/>
          <w:highlight w:val="none"/>
        </w:rPr>
        <w:t>09:00:00</w:t>
      </w:r>
      <w:bookmarkEnd w:id="229"/>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ascii="宋体" w:hAnsi="宋体" w:eastAsia="宋体" w:cs="宋体"/>
          <w:color w:val="auto"/>
          <w:sz w:val="24"/>
          <w:szCs w:val="24"/>
          <w:highlight w:val="none"/>
        </w:rPr>
      </w:pPr>
      <w:r>
        <w:rPr>
          <w:rFonts w:ascii="宋体" w:hAnsi="宋体" w:eastAsia="宋体" w:cs="宋体"/>
          <w:b w:val="0"/>
          <w:color w:val="auto"/>
          <w:sz w:val="24"/>
          <w:szCs w:val="24"/>
          <w:highlight w:val="none"/>
        </w:rPr>
        <w:t>根据相关法律法规，遵循公开、公平、公正和诚实信用的原则，现对</w:t>
      </w:r>
      <w:r>
        <w:rPr>
          <w:rFonts w:hint="eastAsia" w:ascii="宋体" w:hAnsi="宋体" w:eastAsia="宋体" w:cs="宋体"/>
          <w:b w:val="0"/>
          <w:color w:val="auto"/>
          <w:sz w:val="24"/>
          <w:szCs w:val="24"/>
          <w:highlight w:val="none"/>
        </w:rPr>
        <w:t>国投大厦办公区家具购置项目</w:t>
      </w:r>
      <w:r>
        <w:rPr>
          <w:rFonts w:hint="eastAsia" w:ascii="宋体" w:hAnsi="宋体" w:eastAsia="宋体" w:cs="宋体"/>
          <w:b w:val="0"/>
          <w:color w:val="auto"/>
          <w:sz w:val="24"/>
          <w:szCs w:val="24"/>
          <w:highlight w:val="none"/>
          <w:lang w:eastAsia="zh-CN"/>
        </w:rPr>
        <w:t>进行公开</w:t>
      </w:r>
      <w:r>
        <w:rPr>
          <w:rFonts w:hint="eastAsia" w:hAnsi="宋体" w:cs="宋体"/>
          <w:b w:val="0"/>
          <w:color w:val="auto"/>
          <w:sz w:val="24"/>
          <w:szCs w:val="24"/>
          <w:highlight w:val="none"/>
          <w:lang w:val="en-US" w:eastAsia="zh-CN"/>
        </w:rPr>
        <w:t>竞谈采购</w:t>
      </w:r>
      <w:r>
        <w:rPr>
          <w:rFonts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现邀请合格的</w:t>
      </w:r>
      <w:r>
        <w:rPr>
          <w:rFonts w:hint="eastAsia" w:hAnsi="宋体" w:cs="宋体"/>
          <w:b w:val="0"/>
          <w:color w:val="auto"/>
          <w:sz w:val="24"/>
          <w:szCs w:val="24"/>
          <w:highlight w:val="none"/>
          <w:lang w:val="en-US" w:eastAsia="zh-CN"/>
        </w:rPr>
        <w:t>潜在</w:t>
      </w:r>
      <w:r>
        <w:rPr>
          <w:rFonts w:hint="eastAsia" w:hAnsi="宋体" w:cs="宋体"/>
          <w:b w:val="0"/>
          <w:color w:val="auto"/>
          <w:sz w:val="24"/>
          <w:szCs w:val="24"/>
          <w:highlight w:val="none"/>
          <w:lang w:eastAsia="zh-CN"/>
        </w:rPr>
        <w:t>供应商</w:t>
      </w:r>
      <w:r>
        <w:rPr>
          <w:rFonts w:ascii="宋体" w:hAnsi="宋体" w:eastAsia="宋体" w:cs="宋体"/>
          <w:b w:val="0"/>
          <w:color w:val="auto"/>
          <w:sz w:val="24"/>
          <w:szCs w:val="24"/>
          <w:highlight w:val="none"/>
        </w:rPr>
        <w:t>参加。</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left"/>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1、采购范围</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本工程范围主要包括</w:t>
      </w:r>
      <w:r>
        <w:rPr>
          <w:rFonts w:hint="eastAsia"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工位、班台、办公椅、文件柜、沙发、会议桌椅等产品，详见附件《国投大厦办公区家具需求单》，具体位置见平面布置图。采购范围包括但不限于办公家具的深化设计、材料的选型、制造、采购、卸货、贮置、安装调试（包括配合强弱电相关设备的接压线安装）、验收、培训、保洁、保养、质保期服务、与货物有关的运输和保险及其他伴随服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left"/>
        <w:textAlignment w:val="auto"/>
        <w:rPr>
          <w:rFonts w:ascii="宋体" w:hAnsi="宋体" w:eastAsia="宋体" w:cs="宋体"/>
          <w:color w:val="auto"/>
          <w:sz w:val="24"/>
          <w:szCs w:val="24"/>
          <w:highlight w:val="none"/>
        </w:rPr>
      </w:pPr>
      <w:r>
        <w:rPr>
          <w:rStyle w:val="24"/>
          <w:rFonts w:ascii="宋体" w:hAnsi="宋体" w:eastAsia="宋体" w:cs="宋体"/>
          <w:b/>
          <w:color w:val="auto"/>
          <w:sz w:val="24"/>
          <w:szCs w:val="24"/>
          <w:highlight w:val="none"/>
        </w:rPr>
        <w:t>2、质量标准</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按技术规格书内标准</w:t>
      </w:r>
      <w:r>
        <w:rPr>
          <w:rFonts w:ascii="宋体" w:hAnsi="宋体" w:eastAsia="宋体" w:cs="宋体"/>
          <w:b w:val="0"/>
          <w:color w:val="auto"/>
          <w:sz w:val="24"/>
          <w:szCs w:val="24"/>
          <w:highlight w:val="none"/>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left"/>
        <w:textAlignment w:val="auto"/>
        <w:rPr>
          <w:rFonts w:hint="eastAsia" w:ascii="宋体" w:hAnsi="Times New Roman" w:eastAsia="宋体" w:cs="Times New Roman"/>
          <w:color w:val="auto"/>
          <w:sz w:val="24"/>
          <w:szCs w:val="24"/>
          <w:highlight w:val="none"/>
          <w:lang w:val="en-US" w:eastAsia="zh-CN" w:bidi="ar-SA"/>
        </w:rPr>
      </w:pPr>
      <w:r>
        <w:rPr>
          <w:rStyle w:val="24"/>
          <w:rFonts w:ascii="宋体" w:hAnsi="宋体" w:eastAsia="宋体" w:cs="宋体"/>
          <w:b/>
          <w:color w:val="auto"/>
          <w:sz w:val="24"/>
          <w:szCs w:val="24"/>
          <w:highlight w:val="none"/>
        </w:rPr>
        <w:t>3、</w:t>
      </w:r>
      <w:r>
        <w:rPr>
          <w:rStyle w:val="24"/>
          <w:rFonts w:hint="eastAsia" w:hAnsi="宋体" w:cs="宋体"/>
          <w:b/>
          <w:color w:val="auto"/>
          <w:sz w:val="24"/>
          <w:szCs w:val="24"/>
          <w:highlight w:val="none"/>
          <w:lang w:val="en-US" w:eastAsia="zh-CN"/>
        </w:rPr>
        <w:t>交货时间</w:t>
      </w:r>
      <w:r>
        <w:rPr>
          <w:rStyle w:val="24"/>
          <w:rFonts w:ascii="宋体" w:hAnsi="宋体" w:eastAsia="宋体" w:cs="宋体"/>
          <w:color w:val="auto"/>
          <w:sz w:val="24"/>
          <w:szCs w:val="24"/>
          <w:highlight w:val="none"/>
          <w:lang w:val="en-US" w:eastAsia="zh-CN" w:bidi="ar-SA"/>
        </w:rPr>
        <w:t>：</w:t>
      </w:r>
      <w:r>
        <w:rPr>
          <w:rStyle w:val="24"/>
          <w:rFonts w:hint="eastAsia" w:hAnsi="宋体" w:cs="宋体"/>
          <w:b w:val="0"/>
          <w:bCs/>
          <w:color w:val="auto"/>
          <w:sz w:val="24"/>
          <w:szCs w:val="24"/>
          <w:highlight w:val="none"/>
          <w:lang w:val="en-US" w:eastAsia="zh-CN" w:bidi="ar-SA"/>
        </w:rPr>
        <w:t>合同签订后30个日历日。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left"/>
        <w:textAlignment w:val="auto"/>
        <w:rPr>
          <w:rStyle w:val="24"/>
          <w:rFonts w:hint="eastAsia" w:hAnsi="宋体" w:cs="宋体"/>
          <w:b/>
          <w:color w:val="auto"/>
          <w:sz w:val="24"/>
          <w:szCs w:val="24"/>
          <w:highlight w:val="none"/>
          <w:lang w:val="en-US" w:eastAsia="zh-CN"/>
        </w:rPr>
      </w:pPr>
      <w:r>
        <w:rPr>
          <w:rStyle w:val="24"/>
          <w:rFonts w:hint="eastAsia" w:hAnsi="宋体" w:cs="宋体"/>
          <w:b/>
          <w:color w:val="auto"/>
          <w:sz w:val="24"/>
          <w:szCs w:val="24"/>
          <w:highlight w:val="none"/>
          <w:lang w:val="en-US" w:eastAsia="zh-CN"/>
        </w:rPr>
        <w:t>4、付款方式：</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本项目无预付款，全部货物经甲方验收合格，且收到乙方开具的增值税专用发票后的十个工作日内给付乙方总货款的95%。</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质保金为货款的5%，甲方在验收合格一年后无任何质量及售后问题，收到全额增值税专用发票后给付乙方。质保金的支付不影响质保期限内继续履行乙方的相关义务。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Style w:val="24"/>
          <w:rFonts w:hint="eastAsia" w:hAnsi="宋体" w:cs="宋体"/>
          <w:b/>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每次付款前，乙方应提前向甲方交付相应金额的增值税专用发票，税率13%。甲方见票付款，因乙方延迟提供发票而导致甲方逾期付款的，甲方不承担任何违约责任。</w:t>
      </w:r>
      <w:r>
        <w:rPr>
          <w:rStyle w:val="24"/>
          <w:rFonts w:hint="eastAsia" w:hAnsi="宋体" w:cs="宋体"/>
          <w:b/>
          <w:color w:val="auto"/>
          <w:sz w:val="24"/>
          <w:szCs w:val="24"/>
          <w:highlight w:val="none"/>
          <w:lang w:val="en-US" w:eastAsia="zh-CN"/>
        </w:rPr>
        <w:t>5、供应商资格要求：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投标人必须是在中华人民共和国境内注册并合法运作的法人或其他组织，具有良好的商业信誉和健全的财务会计制度。</w:t>
      </w:r>
      <w:r>
        <w:rPr>
          <w:rFonts w:ascii="宋体" w:hAnsi="宋体" w:eastAsia="宋体" w:cs="宋体"/>
          <w:color w:val="auto"/>
          <w:sz w:val="24"/>
          <w:szCs w:val="24"/>
          <w:highlight w:val="none"/>
        </w:rPr>
        <w:br w:type="textWrapping"/>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投标人经营范围须涵盖</w:t>
      </w:r>
      <w:r>
        <w:rPr>
          <w:rFonts w:hint="eastAsia" w:hAnsi="宋体" w:cs="宋体"/>
          <w:color w:val="auto"/>
          <w:sz w:val="24"/>
          <w:szCs w:val="24"/>
          <w:highlight w:val="none"/>
          <w:lang w:val="en-US" w:eastAsia="zh-CN"/>
        </w:rPr>
        <w:t>家具销售服务</w:t>
      </w:r>
      <w:r>
        <w:rPr>
          <w:rFonts w:ascii="宋体" w:hAnsi="宋体" w:eastAsia="宋体" w:cs="宋体"/>
          <w:color w:val="auto"/>
          <w:sz w:val="24"/>
          <w:szCs w:val="24"/>
          <w:highlight w:val="none"/>
        </w:rPr>
        <w:t>，有依法缴纳税收和社会保障资金的良好记录，具备开具</w:t>
      </w:r>
      <w:r>
        <w:rPr>
          <w:rFonts w:hint="eastAsia" w:hAnsi="宋体" w:cs="宋体"/>
          <w:color w:val="auto"/>
          <w:sz w:val="24"/>
          <w:szCs w:val="24"/>
          <w:highlight w:val="none"/>
          <w:lang w:val="en-US" w:eastAsia="zh-CN"/>
        </w:rPr>
        <w:t>增值税专用</w:t>
      </w:r>
      <w:r>
        <w:rPr>
          <w:rFonts w:ascii="宋体" w:hAnsi="宋体" w:eastAsia="宋体" w:cs="宋体"/>
          <w:color w:val="auto"/>
          <w:sz w:val="24"/>
          <w:szCs w:val="24"/>
          <w:highlight w:val="none"/>
        </w:rPr>
        <w:t>发票的能力。</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投标人</w:t>
      </w:r>
      <w:r>
        <w:rPr>
          <w:rFonts w:hint="eastAsia" w:hAnsi="宋体" w:cs="宋体"/>
          <w:color w:val="auto"/>
          <w:sz w:val="24"/>
          <w:szCs w:val="24"/>
          <w:highlight w:val="none"/>
          <w:lang w:eastAsia="zh-CN"/>
        </w:rPr>
        <w:t>须在报价附件中提供“信用中国”网站(www.creditchina.gov.cn)或国家企业信用信息公示系统（www.gsxt.gov.cn）查询投标人的信用记录截图,截图时间应当在本项目询价公告发布之日至提交询价文件截止时间。被列入经营异常名录、严重违法失信企业名单或重点关注名单、黑名单及其他不符合法律法规规定的投标人，拒绝其参与本次投标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本项需为所投产品的生产制造商（生产厂家须提供制造商声明），不接受代理商投标。</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（5）不接受联合体报价。</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jc w:val="left"/>
        <w:textAlignment w:val="auto"/>
        <w:rPr>
          <w:rFonts w:hint="eastAsia" w:ascii="宋体" w:hAnsi="宋体" w:eastAsia="宋体" w:cs="宋体"/>
          <w:color w:val="auto"/>
          <w:sz w:val="24"/>
          <w:szCs w:val="24"/>
          <w:highlight w:val="none"/>
          <w:lang w:eastAsia="zh-CN"/>
        </w:rPr>
      </w:pPr>
      <w:r>
        <w:rPr>
          <w:rStyle w:val="24"/>
          <w:rFonts w:hint="eastAsia" w:hAnsi="宋体" w:cs="宋体"/>
          <w:b/>
          <w:color w:val="auto"/>
          <w:sz w:val="24"/>
          <w:szCs w:val="24"/>
          <w:highlight w:val="none"/>
          <w:lang w:val="en-US" w:eastAsia="zh-CN"/>
        </w:rPr>
        <w:t>6</w:t>
      </w:r>
      <w:r>
        <w:rPr>
          <w:rStyle w:val="24"/>
          <w:rFonts w:ascii="宋体" w:hAnsi="宋体" w:eastAsia="宋体" w:cs="宋体"/>
          <w:b/>
          <w:color w:val="auto"/>
          <w:sz w:val="24"/>
          <w:szCs w:val="24"/>
          <w:highlight w:val="none"/>
        </w:rPr>
        <w:t>、联系方式</w:t>
      </w:r>
      <w:r>
        <w:rPr>
          <w:rStyle w:val="24"/>
          <w:rFonts w:hint="eastAsia" w:hAnsi="宋体" w:cs="宋体"/>
          <w:b/>
          <w:color w:val="auto"/>
          <w:sz w:val="24"/>
          <w:szCs w:val="24"/>
          <w:highlight w:val="none"/>
          <w:lang w:eastAsia="zh-CN"/>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ascii="宋体" w:hAnsi="宋体" w:eastAsia="宋体" w:cs="宋体"/>
          <w:color w:val="auto"/>
          <w:sz w:val="24"/>
          <w:szCs w:val="24"/>
          <w:highlight w:val="none"/>
        </w:rPr>
      </w:pPr>
      <w:r>
        <w:rPr>
          <w:rFonts w:ascii="宋体" w:hAnsi="宋体" w:eastAsia="宋体" w:cs="宋体"/>
          <w:b w:val="0"/>
          <w:color w:val="auto"/>
          <w:sz w:val="24"/>
          <w:szCs w:val="24"/>
          <w:highlight w:val="none"/>
        </w:rPr>
        <w:t>采购人：中煤天津设计工程有限责任公司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ascii="宋体" w:hAnsi="宋体" w:eastAsia="宋体" w:cs="宋体"/>
          <w:color w:val="auto"/>
          <w:sz w:val="24"/>
          <w:szCs w:val="24"/>
          <w:highlight w:val="none"/>
        </w:rPr>
      </w:pPr>
      <w:r>
        <w:rPr>
          <w:rFonts w:ascii="宋体" w:hAnsi="宋体" w:eastAsia="宋体" w:cs="宋体"/>
          <w:b w:val="0"/>
          <w:color w:val="auto"/>
          <w:sz w:val="24"/>
          <w:szCs w:val="24"/>
          <w:highlight w:val="none"/>
        </w:rPr>
        <w:t>地址：天津市红桥区大丰路安顺大厦（西北角水游城）3号楼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225" w:firstLine="240" w:firstLineChars="1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项目联系人：</w:t>
      </w:r>
      <w:r>
        <w:rPr>
          <w:rFonts w:hint="eastAsia" w:ascii="宋体" w:hAnsi="宋体" w:cs="宋体"/>
          <w:b w:val="0"/>
          <w:color w:val="auto"/>
          <w:sz w:val="24"/>
          <w:szCs w:val="24"/>
          <w:highlight w:val="none"/>
          <w:lang w:val="en-US" w:eastAsia="zh-CN" w:bidi="ar-SA"/>
        </w:rPr>
        <w:t>王瑞泽</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宋体" w:hAnsi="宋体" w:eastAsia="宋体" w:cs="宋体"/>
          <w:color w:val="auto"/>
          <w:sz w:val="24"/>
          <w:szCs w:val="24"/>
          <w:highlight w:val="none"/>
          <w:lang w:val="en-US" w:eastAsia="zh-CN"/>
        </w:rPr>
      </w:pPr>
      <w:r>
        <w:rPr>
          <w:rFonts w:ascii="宋体" w:hAnsi="宋体" w:eastAsia="宋体" w:cs="宋体"/>
          <w:b w:val="0"/>
          <w:color w:val="auto"/>
          <w:sz w:val="24"/>
          <w:szCs w:val="24"/>
          <w:highlight w:val="none"/>
        </w:rPr>
        <w:t>电 话：</w:t>
      </w:r>
      <w:r>
        <w:rPr>
          <w:rFonts w:hint="eastAsia" w:cs="Times New Roman"/>
          <w:bCs/>
          <w:color w:val="auto"/>
          <w:sz w:val="24"/>
          <w:szCs w:val="24"/>
          <w:highlight w:val="none"/>
          <w:lang w:val="en-US" w:eastAsia="zh-CN"/>
        </w:rPr>
        <w:t>13116083223</w:t>
      </w:r>
    </w:p>
    <w:p>
      <w:pPr>
        <w:pStyle w:val="17"/>
        <w:keepNext w:val="0"/>
        <w:keepLines w:val="0"/>
        <w:pageBreakBefore w:val="0"/>
        <w:kinsoku/>
        <w:overflowPunct/>
        <w:topLinePunct w:val="0"/>
        <w:autoSpaceDE/>
        <w:autoSpaceDN/>
        <w:bidi w:val="0"/>
        <w:adjustRightInd/>
        <w:snapToGrid/>
        <w:spacing w:before="0" w:beforeAutospacing="0" w:after="0" w:afterAutospacing="0" w:line="520" w:lineRule="exact"/>
        <w:ind w:firstLine="482" w:firstLineChars="200"/>
        <w:textAlignment w:val="auto"/>
        <w:rPr>
          <w:rFonts w:hAnsi="宋体" w:cs="宋体"/>
          <w:b/>
          <w:bCs/>
          <w:color w:val="auto"/>
          <w:sz w:val="24"/>
          <w:szCs w:val="24"/>
          <w:highlight w:val="none"/>
        </w:rPr>
      </w:pP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、投标须知</w:t>
      </w:r>
    </w:p>
    <w:p>
      <w:pPr>
        <w:pStyle w:val="17"/>
        <w:keepNext w:val="0"/>
        <w:keepLines w:val="0"/>
        <w:pageBreakBefore w:val="0"/>
        <w:kinsoku/>
        <w:overflowPunct/>
        <w:topLinePunct w:val="0"/>
        <w:autoSpaceDE/>
        <w:autoSpaceDN/>
        <w:bidi w:val="0"/>
        <w:adjustRightInd/>
        <w:snapToGrid/>
        <w:spacing w:before="0" w:beforeAutospacing="0" w:after="0" w:afterAutospacing="0" w:line="520" w:lineRule="exact"/>
        <w:ind w:firstLine="480" w:firstLineChars="200"/>
        <w:textAlignment w:val="auto"/>
        <w:rPr>
          <w:rFonts w:hAnsi="宋体" w:cs="宋体"/>
          <w:color w:val="auto"/>
          <w:highlight w:val="none"/>
        </w:rPr>
      </w:pPr>
      <w:r>
        <w:rPr>
          <w:rFonts w:hint="eastAsia" w:hAnsi="宋体" w:cs="宋体"/>
          <w:color w:val="auto"/>
          <w:sz w:val="24"/>
          <w:szCs w:val="24"/>
          <w:highlight w:val="none"/>
        </w:rPr>
        <w:t>请各投标供应商投标时将投标文件扫描件（签字盖章版本）作为附件上传，如未按规定上传投标文件将被视为未响应招标文件。</w:t>
      </w:r>
    </w:p>
    <w:p>
      <w:pPr>
        <w:rPr>
          <w:bCs/>
          <w:color w:val="auto"/>
          <w:highlight w:val="none"/>
        </w:rPr>
      </w:pPr>
      <w:r>
        <w:rPr>
          <w:bCs/>
          <w:color w:val="auto"/>
          <w:highlight w:val="none"/>
        </w:rPr>
        <w:br w:type="page"/>
      </w:r>
    </w:p>
    <w:p>
      <w:pPr>
        <w:pStyle w:val="17"/>
        <w:widowControl w:val="0"/>
        <w:tabs>
          <w:tab w:val="left" w:pos="720"/>
        </w:tabs>
        <w:spacing w:before="0" w:beforeAutospacing="0" w:after="0" w:afterAutospacing="0" w:line="288" w:lineRule="auto"/>
        <w:ind w:left="-2" w:leftChars="-1" w:right="28" w:firstLine="480" w:firstLineChars="200"/>
        <w:jc w:val="both"/>
        <w:rPr>
          <w:bCs/>
          <w:color w:val="auto"/>
          <w:highlight w:val="none"/>
        </w:rPr>
      </w:pPr>
    </w:p>
    <w:p>
      <w:pPr>
        <w:spacing w:line="300" w:lineRule="exact"/>
        <w:ind w:left="306"/>
        <w:jc w:val="center"/>
        <w:outlineLvl w:val="0"/>
        <w:rPr>
          <w:rFonts w:ascii="宋体"/>
          <w:b/>
          <w:color w:val="auto"/>
          <w:kern w:val="2"/>
          <w:sz w:val="30"/>
          <w:szCs w:val="30"/>
          <w:highlight w:val="none"/>
        </w:rPr>
      </w:pPr>
      <w:bookmarkStart w:id="10" w:name="_Toc28419"/>
      <w:bookmarkStart w:id="11" w:name="_Toc4843"/>
      <w:r>
        <w:rPr>
          <w:rFonts w:ascii="宋体"/>
          <w:b/>
          <w:color w:val="auto"/>
          <w:kern w:val="2"/>
          <w:sz w:val="30"/>
          <w:szCs w:val="30"/>
          <w:highlight w:val="none"/>
        </w:rPr>
        <w:t>第二章</w:t>
      </w:r>
      <w:r>
        <w:rPr>
          <w:rFonts w:hint="eastAsia" w:ascii="宋体"/>
          <w:b/>
          <w:color w:val="auto"/>
          <w:kern w:val="2"/>
          <w:sz w:val="30"/>
          <w:szCs w:val="30"/>
          <w:highlight w:val="none"/>
        </w:rPr>
        <w:t>供应商</w:t>
      </w:r>
      <w:r>
        <w:rPr>
          <w:rFonts w:ascii="宋体"/>
          <w:b/>
          <w:color w:val="auto"/>
          <w:kern w:val="2"/>
          <w:sz w:val="30"/>
          <w:szCs w:val="30"/>
          <w:highlight w:val="none"/>
        </w:rPr>
        <w:t>须知</w:t>
      </w:r>
      <w:bookmarkStart w:id="12" w:name="_Toc37576450"/>
      <w:bookmarkStart w:id="13" w:name="_Toc35881739"/>
      <w:bookmarkStart w:id="14" w:name="_Toc37576399"/>
      <w:bookmarkStart w:id="15" w:name="_Toc35881603"/>
      <w:bookmarkStart w:id="16" w:name="_Toc34420943"/>
      <w:bookmarkStart w:id="17" w:name="_Toc35882139"/>
      <w:bookmarkStart w:id="18" w:name="_Toc33094715"/>
      <w:bookmarkStart w:id="19" w:name="_Toc40668281"/>
      <w:bookmarkStart w:id="20" w:name="_Toc35883024"/>
      <w:bookmarkStart w:id="21" w:name="_Toc34382767"/>
      <w:bookmarkStart w:id="22" w:name="_Toc35882039"/>
      <w:bookmarkStart w:id="23" w:name="_Toc33094937"/>
      <w:bookmarkStart w:id="24" w:name="_Toc33084454"/>
      <w:bookmarkStart w:id="25" w:name="_Toc33084570"/>
      <w:bookmarkStart w:id="26" w:name="_Toc33094625"/>
      <w:r>
        <w:rPr>
          <w:rFonts w:ascii="宋体"/>
          <w:b/>
          <w:color w:val="auto"/>
          <w:kern w:val="2"/>
          <w:sz w:val="30"/>
          <w:szCs w:val="30"/>
          <w:highlight w:val="none"/>
        </w:rPr>
        <w:t>及前附表</w:t>
      </w:r>
      <w:bookmarkEnd w:id="1"/>
      <w:bookmarkEnd w:id="2"/>
      <w:bookmarkEnd w:id="3"/>
      <w:bookmarkEnd w:id="4"/>
      <w:bookmarkEnd w:id="5"/>
      <w:bookmarkEnd w:id="6"/>
      <w:bookmarkEnd w:id="7"/>
      <w:bookmarkEnd w:id="8"/>
      <w:bookmarkEnd w:id="10"/>
      <w:bookmarkEnd w:id="1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Style w:val="4"/>
        <w:spacing w:line="360" w:lineRule="auto"/>
        <w:jc w:val="center"/>
        <w:rPr>
          <w:color w:val="auto"/>
          <w:sz w:val="30"/>
          <w:szCs w:val="30"/>
          <w:highlight w:val="none"/>
        </w:rPr>
      </w:pPr>
      <w:bookmarkStart w:id="27" w:name="_Toc199040649"/>
      <w:bookmarkStart w:id="28" w:name="_Toc17216785"/>
      <w:bookmarkStart w:id="29" w:name="_Toc376164238"/>
      <w:bookmarkStart w:id="30" w:name="_Toc199062851"/>
      <w:bookmarkStart w:id="31" w:name="_Toc199065442"/>
      <w:bookmarkStart w:id="32" w:name="_Toc1396_WPSOffice_Level2"/>
      <w:bookmarkStart w:id="33" w:name="_Toc195209739"/>
      <w:bookmarkStart w:id="34" w:name="_Toc10122263"/>
      <w:bookmarkStart w:id="35" w:name="_Toc191969098"/>
      <w:bookmarkStart w:id="36" w:name="_Toc21586"/>
      <w:bookmarkStart w:id="37" w:name="_Toc10184874"/>
      <w:bookmarkStart w:id="38" w:name="_Toc67210880"/>
      <w:bookmarkStart w:id="39" w:name="_Toc376793574"/>
      <w:bookmarkStart w:id="40" w:name="_Toc382505439"/>
      <w:bookmarkStart w:id="41" w:name="_Toc382509454"/>
      <w:bookmarkStart w:id="42" w:name="_Toc376793555"/>
      <w:bookmarkStart w:id="43" w:name="_Toc376793710"/>
      <w:r>
        <w:rPr>
          <w:rFonts w:hint="eastAsia"/>
          <w:color w:val="auto"/>
          <w:sz w:val="30"/>
          <w:szCs w:val="30"/>
          <w:highlight w:val="none"/>
        </w:rPr>
        <w:t>供应商</w:t>
      </w:r>
      <w:r>
        <w:rPr>
          <w:color w:val="auto"/>
          <w:sz w:val="30"/>
          <w:szCs w:val="30"/>
          <w:highlight w:val="none"/>
        </w:rPr>
        <w:t>须知前附表</w:t>
      </w:r>
      <w:bookmarkEnd w:id="27"/>
      <w:bookmarkEnd w:id="28"/>
      <w:bookmarkEnd w:id="29"/>
      <w:bookmarkEnd w:id="30"/>
      <w:bookmarkEnd w:id="31"/>
      <w:bookmarkEnd w:id="32"/>
      <w:bookmarkEnd w:id="33"/>
      <w:bookmarkEnd w:id="34"/>
      <w:bookmarkEnd w:id="35"/>
      <w:bookmarkEnd w:id="36"/>
      <w:bookmarkEnd w:id="37"/>
      <w:bookmarkEnd w:id="38"/>
    </w:p>
    <w:tbl>
      <w:tblPr>
        <w:tblStyle w:val="20"/>
        <w:tblW w:w="9560" w:type="dxa"/>
        <w:tblInd w:w="-1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732"/>
        <w:gridCol w:w="7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blHeader/>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b w:val="0"/>
                <w:bCs/>
                <w:color w:val="auto"/>
                <w:sz w:val="21"/>
                <w:szCs w:val="21"/>
                <w:highlight w:val="none"/>
                <w:lang w:eastAsia="zh-CN"/>
              </w:rPr>
            </w:pPr>
            <w:r>
              <w:rPr>
                <w:rFonts w:hint="eastAsia" w:ascii="宋体"/>
                <w:b w:val="0"/>
                <w:bCs/>
                <w:color w:val="auto"/>
                <w:sz w:val="21"/>
                <w:szCs w:val="21"/>
                <w:highlight w:val="none"/>
                <w:lang w:val="en-US" w:eastAsia="zh-CN"/>
              </w:rPr>
              <w:t>序号</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b w:val="0"/>
                <w:bCs/>
                <w:color w:val="auto"/>
                <w:sz w:val="21"/>
                <w:szCs w:val="21"/>
                <w:highlight w:val="none"/>
              </w:rPr>
            </w:pPr>
            <w:r>
              <w:rPr>
                <w:rFonts w:ascii="宋体"/>
                <w:b w:val="0"/>
                <w:bCs/>
                <w:color w:val="auto"/>
                <w:sz w:val="21"/>
                <w:szCs w:val="21"/>
                <w:highlight w:val="none"/>
              </w:rPr>
              <w:t>内容</w:t>
            </w:r>
          </w:p>
        </w:tc>
        <w:tc>
          <w:tcPr>
            <w:tcW w:w="7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180"/>
              </w:tabs>
              <w:kinsoku/>
              <w:wordWrap/>
              <w:overflowPunct/>
              <w:topLinePunct w:val="0"/>
              <w:autoSpaceDE/>
              <w:autoSpaceDN/>
              <w:bidi w:val="0"/>
              <w:adjustRightInd/>
              <w:snapToGrid/>
              <w:spacing w:line="420" w:lineRule="exact"/>
              <w:jc w:val="center"/>
              <w:textAlignment w:val="auto"/>
              <w:rPr>
                <w:rFonts w:ascii="宋体"/>
                <w:b w:val="0"/>
                <w:bCs/>
                <w:color w:val="auto"/>
                <w:sz w:val="21"/>
                <w:szCs w:val="21"/>
                <w:highlight w:val="none"/>
              </w:rPr>
            </w:pPr>
            <w:r>
              <w:rPr>
                <w:rFonts w:ascii="宋体"/>
                <w:b w:val="0"/>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color w:val="auto"/>
                <w:sz w:val="21"/>
                <w:szCs w:val="21"/>
                <w:highlight w:val="none"/>
              </w:rPr>
            </w:pPr>
            <w:r>
              <w:rPr>
                <w:rFonts w:hint="eastAsia" w:ascii="宋体"/>
                <w:color w:val="auto"/>
                <w:sz w:val="21"/>
                <w:szCs w:val="21"/>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bCs/>
                <w:color w:val="auto"/>
                <w:sz w:val="21"/>
                <w:szCs w:val="21"/>
                <w:highlight w:val="none"/>
              </w:rPr>
            </w:pPr>
            <w:r>
              <w:rPr>
                <w:rFonts w:hint="eastAsia" w:ascii="宋体"/>
                <w:bCs/>
                <w:color w:val="auto"/>
                <w:sz w:val="21"/>
                <w:szCs w:val="21"/>
                <w:highlight w:val="none"/>
              </w:rPr>
              <w:t>项目名称</w:t>
            </w:r>
          </w:p>
        </w:tc>
        <w:tc>
          <w:tcPr>
            <w:tcW w:w="7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bCs/>
                <w:color w:val="auto"/>
                <w:spacing w:val="-4"/>
                <w:sz w:val="21"/>
                <w:szCs w:val="21"/>
                <w:highlight w:val="none"/>
                <w:lang w:val="en-US" w:eastAsia="zh-CN"/>
              </w:rPr>
            </w:pPr>
            <w:r>
              <w:rPr>
                <w:rFonts w:hint="default" w:ascii="宋体" w:hAnsi="宋体" w:eastAsia="宋体"/>
                <w:bCs/>
                <w:color w:val="auto"/>
                <w:spacing w:val="-4"/>
                <w:sz w:val="21"/>
                <w:szCs w:val="21"/>
                <w:highlight w:val="none"/>
                <w:lang w:val="en-US" w:eastAsia="zh-CN"/>
              </w:rPr>
              <w:t>国投大厦办公区家具购置项目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color w:val="auto"/>
                <w:sz w:val="21"/>
                <w:szCs w:val="21"/>
                <w:highlight w:val="none"/>
              </w:rPr>
            </w:pPr>
            <w:r>
              <w:rPr>
                <w:rFonts w:hint="eastAsia" w:ascii="宋体"/>
                <w:color w:val="auto"/>
                <w:sz w:val="21"/>
                <w:szCs w:val="21"/>
                <w:highlight w:val="none"/>
              </w:rPr>
              <w:t>2</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bCs/>
                <w:color w:val="auto"/>
                <w:sz w:val="21"/>
                <w:szCs w:val="21"/>
                <w:highlight w:val="none"/>
              </w:rPr>
            </w:pPr>
            <w:r>
              <w:rPr>
                <w:rFonts w:hint="eastAsia" w:ascii="宋体"/>
                <w:color w:val="auto"/>
                <w:sz w:val="21"/>
                <w:szCs w:val="21"/>
                <w:highlight w:val="none"/>
              </w:rPr>
              <w:t>报价</w:t>
            </w:r>
            <w:r>
              <w:rPr>
                <w:rFonts w:ascii="宋体"/>
                <w:color w:val="auto"/>
                <w:sz w:val="21"/>
                <w:szCs w:val="21"/>
                <w:highlight w:val="none"/>
              </w:rPr>
              <w:t>方式</w:t>
            </w:r>
          </w:p>
        </w:tc>
        <w:tc>
          <w:tcPr>
            <w:tcW w:w="7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bCs/>
                <w:color w:val="auto"/>
                <w:sz w:val="21"/>
                <w:szCs w:val="21"/>
                <w:highlight w:val="none"/>
              </w:rPr>
            </w:pPr>
            <w:r>
              <w:rPr>
                <w:rFonts w:hint="eastAsia" w:ascii="宋体"/>
                <w:bCs/>
                <w:color w:val="auto"/>
                <w:sz w:val="21"/>
                <w:szCs w:val="21"/>
                <w:highlight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color w:val="auto"/>
                <w:sz w:val="21"/>
                <w:szCs w:val="21"/>
                <w:highlight w:val="none"/>
              </w:rPr>
            </w:pPr>
            <w:r>
              <w:rPr>
                <w:rFonts w:hint="eastAsia" w:ascii="宋体"/>
                <w:color w:val="auto"/>
                <w:sz w:val="21"/>
                <w:szCs w:val="21"/>
                <w:highlight w:val="none"/>
              </w:rPr>
              <w:t>3</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hint="eastAsia" w:ascii="宋体"/>
                <w:color w:val="auto"/>
                <w:sz w:val="21"/>
                <w:szCs w:val="21"/>
                <w:highlight w:val="none"/>
              </w:rPr>
              <w:t>采购</w:t>
            </w:r>
            <w:r>
              <w:rPr>
                <w:rFonts w:ascii="宋体"/>
                <w:color w:val="auto"/>
                <w:sz w:val="21"/>
                <w:szCs w:val="21"/>
                <w:highlight w:val="none"/>
              </w:rPr>
              <w:t>内容及范围</w:t>
            </w:r>
          </w:p>
        </w:tc>
        <w:tc>
          <w:tcPr>
            <w:tcW w:w="707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tabs>
                <w:tab w:val="left" w:pos="720"/>
              </w:tabs>
              <w:kinsoku/>
              <w:wordWrap/>
              <w:overflowPunct/>
              <w:topLinePunct w:val="0"/>
              <w:autoSpaceDE/>
              <w:autoSpaceDN/>
              <w:bidi w:val="0"/>
              <w:adjustRightInd/>
              <w:snapToGrid/>
              <w:spacing w:before="0" w:beforeAutospacing="0" w:after="0" w:afterAutospacing="0" w:line="360" w:lineRule="exact"/>
              <w:ind w:left="-2" w:leftChars="-1" w:right="28" w:rightChars="0"/>
              <w:jc w:val="both"/>
              <w:textAlignment w:val="auto"/>
              <w:rPr>
                <w:rFonts w:ascii="宋体"/>
                <w:color w:val="auto"/>
                <w:sz w:val="21"/>
                <w:szCs w:val="21"/>
                <w:highlight w:val="none"/>
              </w:rPr>
            </w:pPr>
            <w:r>
              <w:rPr>
                <w:rFonts w:hint="eastAsia"/>
                <w:bCs/>
                <w:color w:val="auto"/>
                <w:sz w:val="21"/>
                <w:szCs w:val="21"/>
                <w:highlight w:val="none"/>
              </w:rPr>
              <w:t>详见采购文件技术规范书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color w:val="auto"/>
                <w:sz w:val="21"/>
                <w:szCs w:val="21"/>
                <w:highlight w:val="none"/>
              </w:rPr>
            </w:pPr>
            <w:r>
              <w:rPr>
                <w:rFonts w:hint="eastAsia" w:ascii="宋体"/>
                <w:color w:val="auto"/>
                <w:sz w:val="21"/>
                <w:szCs w:val="21"/>
                <w:highlight w:val="none"/>
              </w:rPr>
              <w:t>4</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ascii="宋体"/>
                <w:color w:val="auto"/>
                <w:sz w:val="21"/>
                <w:szCs w:val="21"/>
                <w:highlight w:val="none"/>
              </w:rPr>
              <w:t>资金来源</w:t>
            </w:r>
          </w:p>
        </w:tc>
        <w:tc>
          <w:tcPr>
            <w:tcW w:w="707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bCs/>
                <w:color w:val="auto"/>
                <w:sz w:val="21"/>
                <w:szCs w:val="21"/>
                <w:highlight w:val="none"/>
              </w:rPr>
            </w:pPr>
            <w:r>
              <w:rPr>
                <w:rFonts w:hint="eastAsia" w:ascii="宋体"/>
                <w:color w:val="auto"/>
                <w:kern w:val="0"/>
                <w:sz w:val="21"/>
                <w:szCs w:val="21"/>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2"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5</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hint="eastAsia" w:ascii="宋体"/>
                <w:color w:val="auto"/>
                <w:sz w:val="21"/>
                <w:szCs w:val="21"/>
                <w:highlight w:val="none"/>
              </w:rPr>
              <w:t>供应商</w:t>
            </w:r>
            <w:r>
              <w:rPr>
                <w:rFonts w:ascii="宋体"/>
                <w:color w:val="auto"/>
                <w:sz w:val="21"/>
                <w:szCs w:val="21"/>
                <w:highlight w:val="none"/>
              </w:rPr>
              <w:t>资格标准</w:t>
            </w:r>
          </w:p>
        </w:tc>
        <w:tc>
          <w:tcPr>
            <w:tcW w:w="707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（1）投标人必须是在中华人民共和国境内注册并合法运作的法人或其他组织，具有良好的商业信誉和健全的财务会计制度。</w:t>
            </w:r>
          </w:p>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（2）投标人经营范围须涵盖家具销售服务，有依法缴纳税收和社会保障资金的良好记录，具备开具增值税专用发票的能力。</w:t>
            </w:r>
          </w:p>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投标人须在报价附件中提供“信用中国”网站(www.creditchina.gov.cn)或国家企业信用信息公示系统（www.gsxt.gov.cn）查询投标人的信用记录截图,截图时间应当在本项目询价公告发布之日至提交询价文件截止时间。被列入经营异常名录、严重违法失信企业名单或重点关注名单、黑名单及其他不符合法律法规规定的投标人，拒绝其参与本次投标活动。</w:t>
            </w:r>
          </w:p>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（4）本项需为所投产品的生产制造商（生产厂家须提供制造商声明），不接受代理商投标。</w:t>
            </w:r>
          </w:p>
          <w:p>
            <w:pPr>
              <w:pStyle w:val="13"/>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（5）不接受联合体报价。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6</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ascii="宋体"/>
                <w:color w:val="auto"/>
                <w:sz w:val="21"/>
                <w:szCs w:val="21"/>
                <w:highlight w:val="none"/>
              </w:rPr>
              <w:t>资格审查方式</w:t>
            </w:r>
          </w:p>
        </w:tc>
        <w:tc>
          <w:tcPr>
            <w:tcW w:w="707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line="360" w:lineRule="exact"/>
              <w:ind w:left="0"/>
              <w:textAlignment w:val="auto"/>
              <w:rPr>
                <w:rFonts w:ascii="宋体"/>
                <w:color w:val="auto"/>
                <w:kern w:val="0"/>
                <w:sz w:val="21"/>
                <w:szCs w:val="21"/>
                <w:highlight w:val="none"/>
              </w:rPr>
            </w:pPr>
            <w:r>
              <w:rPr>
                <w:rFonts w:ascii="宋体"/>
                <w:color w:val="auto"/>
                <w:kern w:val="0"/>
                <w:sz w:val="21"/>
                <w:szCs w:val="21"/>
                <w:highlight w:val="none"/>
              </w:rPr>
              <w:t>资格</w:t>
            </w:r>
            <w:r>
              <w:rPr>
                <w:rFonts w:hint="eastAsia" w:ascii="宋体"/>
                <w:color w:val="auto"/>
                <w:kern w:val="0"/>
                <w:sz w:val="21"/>
                <w:szCs w:val="21"/>
                <w:highlight w:val="none"/>
              </w:rPr>
              <w:t>后</w:t>
            </w:r>
            <w:r>
              <w:rPr>
                <w:rFonts w:ascii="宋体"/>
                <w:color w:val="auto"/>
                <w:kern w:val="0"/>
                <w:sz w:val="21"/>
                <w:szCs w:val="21"/>
                <w:highlight w:val="none"/>
              </w:rPr>
              <w:t>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7</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hint="eastAsia" w:ascii="宋体"/>
                <w:color w:val="auto"/>
                <w:sz w:val="21"/>
                <w:szCs w:val="21"/>
                <w:highlight w:val="none"/>
              </w:rPr>
              <w:t>采购</w:t>
            </w:r>
            <w:r>
              <w:rPr>
                <w:rFonts w:ascii="宋体"/>
                <w:color w:val="auto"/>
                <w:sz w:val="21"/>
                <w:szCs w:val="21"/>
                <w:highlight w:val="none"/>
              </w:rPr>
              <w:t>有效期</w:t>
            </w:r>
          </w:p>
        </w:tc>
        <w:tc>
          <w:tcPr>
            <w:tcW w:w="7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Chars="-23" w:hanging="39" w:hangingChars="19"/>
              <w:jc w:val="both"/>
              <w:textAlignment w:val="auto"/>
              <w:rPr>
                <w:rFonts w:ascii="宋体"/>
                <w:color w:val="auto"/>
                <w:sz w:val="21"/>
                <w:szCs w:val="21"/>
                <w:highlight w:val="none"/>
              </w:rPr>
            </w:pPr>
            <w:r>
              <w:rPr>
                <w:rFonts w:ascii="宋体"/>
                <w:color w:val="auto"/>
                <w:sz w:val="21"/>
                <w:szCs w:val="21"/>
                <w:highlight w:val="none"/>
              </w:rPr>
              <w:t>自</w:t>
            </w:r>
            <w:r>
              <w:rPr>
                <w:rFonts w:hint="eastAsia" w:ascii="宋体"/>
                <w:color w:val="auto"/>
                <w:sz w:val="21"/>
                <w:szCs w:val="21"/>
                <w:highlight w:val="none"/>
              </w:rPr>
              <w:t>洽谈</w:t>
            </w:r>
            <w:r>
              <w:rPr>
                <w:rFonts w:ascii="宋体"/>
                <w:color w:val="auto"/>
                <w:sz w:val="21"/>
                <w:szCs w:val="21"/>
                <w:highlight w:val="none"/>
              </w:rPr>
              <w:t>之日起</w:t>
            </w:r>
            <w:r>
              <w:rPr>
                <w:rFonts w:hint="eastAsia" w:ascii="宋体"/>
                <w:color w:val="auto"/>
                <w:sz w:val="21"/>
                <w:szCs w:val="21"/>
                <w:highlight w:val="none"/>
              </w:rPr>
              <w:t>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8</w:t>
            </w:r>
          </w:p>
        </w:tc>
        <w:tc>
          <w:tcPr>
            <w:tcW w:w="173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ascii="宋体"/>
                <w:color w:val="auto"/>
                <w:kern w:val="0"/>
                <w:sz w:val="21"/>
                <w:szCs w:val="21"/>
                <w:highlight w:val="none"/>
              </w:rPr>
            </w:pPr>
            <w:r>
              <w:rPr>
                <w:rFonts w:ascii="宋体"/>
                <w:color w:val="auto"/>
                <w:kern w:val="0"/>
                <w:sz w:val="21"/>
                <w:szCs w:val="21"/>
                <w:highlight w:val="none"/>
              </w:rPr>
              <w:t>现场勘查</w:t>
            </w:r>
          </w:p>
        </w:tc>
        <w:tc>
          <w:tcPr>
            <w:tcW w:w="7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color w:val="auto"/>
                <w:sz w:val="21"/>
                <w:szCs w:val="21"/>
                <w:highlight w:val="none"/>
              </w:rPr>
            </w:pPr>
            <w:r>
              <w:rPr>
                <w:rFonts w:hint="eastAsia" w:ascii="宋体"/>
                <w:color w:val="auto"/>
                <w:sz w:val="21"/>
                <w:szCs w:val="21"/>
                <w:highlight w:val="none"/>
              </w:rPr>
              <w:t>采购人不安排踏勘。供应商可自行安排，相关一切费用自理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9</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color w:val="auto"/>
                <w:sz w:val="21"/>
                <w:szCs w:val="21"/>
                <w:highlight w:val="none"/>
              </w:rPr>
            </w:pPr>
            <w:r>
              <w:rPr>
                <w:rFonts w:hint="eastAsia" w:ascii="宋体"/>
                <w:color w:val="auto"/>
                <w:sz w:val="21"/>
                <w:szCs w:val="21"/>
                <w:highlight w:val="none"/>
              </w:rPr>
              <w:t>响应</w:t>
            </w:r>
            <w:r>
              <w:rPr>
                <w:rFonts w:ascii="宋体"/>
                <w:color w:val="auto"/>
                <w:sz w:val="21"/>
                <w:szCs w:val="21"/>
                <w:highlight w:val="none"/>
              </w:rPr>
              <w:t>文件份数</w:t>
            </w:r>
            <w:r>
              <w:rPr>
                <w:rFonts w:hint="eastAsia" w:ascii="宋体"/>
                <w:color w:val="auto"/>
                <w:sz w:val="21"/>
                <w:szCs w:val="21"/>
                <w:highlight w:val="none"/>
              </w:rPr>
              <w:t>及封装要求</w:t>
            </w:r>
          </w:p>
        </w:tc>
        <w:tc>
          <w:tcPr>
            <w:tcW w:w="707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color w:val="auto"/>
                <w:sz w:val="21"/>
                <w:szCs w:val="21"/>
                <w:highlight w:val="none"/>
              </w:rPr>
            </w:pPr>
            <w:r>
              <w:rPr>
                <w:rFonts w:hint="eastAsia" w:hAnsi="宋体" w:cs="宋体"/>
                <w:color w:val="auto"/>
                <w:sz w:val="21"/>
                <w:szCs w:val="21"/>
                <w:highlight w:val="none"/>
              </w:rPr>
              <w:t>请各投标供应商投标时将投标文件扫描件（签字盖章版本）作为附件上传，如未按规定上传投标文件将被视为未响应招标文件。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10</w:t>
            </w:r>
          </w:p>
        </w:tc>
        <w:tc>
          <w:tcPr>
            <w:tcW w:w="173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宋体"/>
                <w:color w:val="auto"/>
                <w:kern w:val="0"/>
                <w:sz w:val="21"/>
                <w:szCs w:val="21"/>
                <w:highlight w:val="none"/>
              </w:rPr>
            </w:pPr>
            <w:r>
              <w:rPr>
                <w:rFonts w:hint="eastAsia" w:ascii="宋体"/>
                <w:color w:val="auto"/>
                <w:kern w:val="0"/>
                <w:sz w:val="21"/>
                <w:szCs w:val="21"/>
                <w:highlight w:val="none"/>
              </w:rPr>
              <w:t>成交供应商</w:t>
            </w:r>
          </w:p>
        </w:tc>
        <w:tc>
          <w:tcPr>
            <w:tcW w:w="707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line="360" w:lineRule="exact"/>
              <w:ind w:firstLine="0"/>
              <w:textAlignment w:val="auto"/>
              <w:rPr>
                <w:rFonts w:ascii="宋体"/>
                <w:color w:val="auto"/>
                <w:kern w:val="0"/>
                <w:sz w:val="21"/>
                <w:szCs w:val="21"/>
                <w:highlight w:val="none"/>
              </w:rPr>
            </w:pPr>
            <w:r>
              <w:rPr>
                <w:rFonts w:ascii="宋体"/>
                <w:color w:val="auto"/>
                <w:kern w:val="0"/>
                <w:sz w:val="21"/>
                <w:szCs w:val="21"/>
                <w:highlight w:val="none"/>
              </w:rPr>
              <w:t>由</w:t>
            </w:r>
            <w:r>
              <w:rPr>
                <w:rFonts w:hint="eastAsia" w:ascii="宋体"/>
                <w:color w:val="auto"/>
                <w:kern w:val="0"/>
                <w:sz w:val="21"/>
                <w:szCs w:val="21"/>
                <w:highlight w:val="none"/>
              </w:rPr>
              <w:t>采购</w:t>
            </w:r>
            <w:r>
              <w:rPr>
                <w:rFonts w:ascii="宋体"/>
                <w:color w:val="auto"/>
                <w:kern w:val="0"/>
                <w:sz w:val="21"/>
                <w:szCs w:val="21"/>
                <w:highlight w:val="none"/>
              </w:rPr>
              <w:t>人确定</w:t>
            </w:r>
            <w:r>
              <w:rPr>
                <w:rFonts w:hint="eastAsia" w:ascii="宋体"/>
                <w:color w:val="auto"/>
                <w:kern w:val="0"/>
                <w:sz w:val="21"/>
                <w:szCs w:val="21"/>
                <w:highlight w:val="none"/>
              </w:rPr>
              <w:t>成交供应商</w:t>
            </w:r>
            <w:r>
              <w:rPr>
                <w:rFonts w:ascii="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9"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eastAsia="宋体"/>
                <w:color w:val="auto"/>
                <w:sz w:val="21"/>
                <w:szCs w:val="21"/>
                <w:highlight w:val="none"/>
                <w:lang w:val="en-US" w:eastAsia="zh-CN"/>
              </w:rPr>
            </w:pPr>
            <w:r>
              <w:rPr>
                <w:rFonts w:hint="eastAsia" w:ascii="宋体"/>
                <w:color w:val="auto"/>
                <w:sz w:val="21"/>
                <w:szCs w:val="21"/>
                <w:highlight w:val="none"/>
              </w:rPr>
              <w:t>1</w:t>
            </w:r>
            <w:r>
              <w:rPr>
                <w:rFonts w:hint="eastAsia" w:ascii="宋体"/>
                <w:color w:val="auto"/>
                <w:sz w:val="21"/>
                <w:szCs w:val="21"/>
                <w:highlight w:val="none"/>
                <w:lang w:val="en-US" w:eastAsia="zh-CN"/>
              </w:rPr>
              <w:t>1</w:t>
            </w:r>
          </w:p>
        </w:tc>
        <w:tc>
          <w:tcPr>
            <w:tcW w:w="8810"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tabs>
                <w:tab w:val="left" w:pos="720"/>
              </w:tabs>
              <w:kinsoku/>
              <w:wordWrap/>
              <w:overflowPunct/>
              <w:topLinePunct w:val="0"/>
              <w:autoSpaceDE/>
              <w:autoSpaceDN/>
              <w:bidi w:val="0"/>
              <w:adjustRightInd/>
              <w:snapToGrid/>
              <w:spacing w:before="0" w:beforeAutospacing="0" w:after="0" w:afterAutospacing="0" w:line="360" w:lineRule="exact"/>
              <w:ind w:right="26"/>
              <w:jc w:val="both"/>
              <w:textAlignment w:val="auto"/>
              <w:rPr>
                <w:bCs/>
                <w:color w:val="auto"/>
                <w:sz w:val="21"/>
                <w:szCs w:val="21"/>
                <w:highlight w:val="none"/>
              </w:rPr>
            </w:pPr>
            <w:r>
              <w:rPr>
                <w:rFonts w:hint="eastAsia"/>
                <w:bCs/>
                <w:color w:val="auto"/>
                <w:sz w:val="21"/>
                <w:szCs w:val="21"/>
                <w:highlight w:val="none"/>
              </w:rPr>
              <w:t>采购人：中煤天津设计工程有限责任公司</w:t>
            </w:r>
          </w:p>
          <w:p>
            <w:pPr>
              <w:pStyle w:val="17"/>
              <w:keepNext w:val="0"/>
              <w:keepLines w:val="0"/>
              <w:pageBreakBefore w:val="0"/>
              <w:widowControl/>
              <w:tabs>
                <w:tab w:val="left" w:pos="720"/>
              </w:tabs>
              <w:kinsoku/>
              <w:wordWrap/>
              <w:overflowPunct/>
              <w:topLinePunct w:val="0"/>
              <w:autoSpaceDE/>
              <w:autoSpaceDN/>
              <w:bidi w:val="0"/>
              <w:adjustRightInd/>
              <w:snapToGrid/>
              <w:spacing w:before="0" w:beforeAutospacing="0" w:after="0" w:afterAutospacing="0" w:line="360" w:lineRule="exact"/>
              <w:ind w:right="26"/>
              <w:jc w:val="both"/>
              <w:textAlignment w:val="auto"/>
              <w:rPr>
                <w:bCs/>
                <w:color w:val="auto"/>
                <w:sz w:val="21"/>
                <w:szCs w:val="21"/>
                <w:highlight w:val="none"/>
              </w:rPr>
            </w:pPr>
            <w:r>
              <w:rPr>
                <w:rFonts w:hint="eastAsia"/>
                <w:bCs/>
                <w:color w:val="auto"/>
                <w:sz w:val="21"/>
                <w:szCs w:val="21"/>
                <w:highlight w:val="none"/>
              </w:rPr>
              <w:t>地址：天津市红桥区大丰路安顺大厦（西北角水游城）3号楼</w:t>
            </w:r>
          </w:p>
          <w:p>
            <w:pPr>
              <w:pStyle w:val="17"/>
              <w:keepNext w:val="0"/>
              <w:keepLines w:val="0"/>
              <w:pageBreakBefore w:val="0"/>
              <w:widowControl/>
              <w:tabs>
                <w:tab w:val="left" w:pos="720"/>
              </w:tabs>
              <w:kinsoku/>
              <w:wordWrap/>
              <w:overflowPunct/>
              <w:topLinePunct w:val="0"/>
              <w:autoSpaceDE/>
              <w:autoSpaceDN/>
              <w:bidi w:val="0"/>
              <w:adjustRightInd/>
              <w:snapToGrid/>
              <w:spacing w:before="0" w:beforeAutospacing="0" w:after="0" w:afterAutospacing="0" w:line="360" w:lineRule="exact"/>
              <w:ind w:right="26"/>
              <w:jc w:val="both"/>
              <w:textAlignment w:val="auto"/>
              <w:rPr>
                <w:rFonts w:hint="default"/>
                <w:color w:val="auto"/>
                <w:sz w:val="21"/>
                <w:szCs w:val="21"/>
                <w:highlight w:val="none"/>
                <w:lang w:val="en-US"/>
              </w:rPr>
            </w:pPr>
            <w:r>
              <w:rPr>
                <w:rFonts w:hint="eastAsia" w:hAnsi="Times New Roman" w:cs="Times New Roman"/>
                <w:bCs/>
                <w:color w:val="auto"/>
                <w:sz w:val="21"/>
                <w:szCs w:val="21"/>
                <w:highlight w:val="none"/>
              </w:rPr>
              <w:t>项目联系人：</w:t>
            </w:r>
            <w:r>
              <w:rPr>
                <w:rFonts w:hint="eastAsia" w:cs="Times New Roman"/>
                <w:bCs/>
                <w:color w:val="auto"/>
                <w:sz w:val="21"/>
                <w:szCs w:val="21"/>
                <w:highlight w:val="none"/>
                <w:lang w:val="en-US" w:eastAsia="zh-CN"/>
              </w:rPr>
              <w:t>王瑞泽13116083223</w:t>
            </w:r>
          </w:p>
        </w:tc>
      </w:tr>
    </w:tbl>
    <w:p>
      <w:pPr>
        <w:pStyle w:val="4"/>
        <w:keepNext/>
        <w:keepLines/>
        <w:pageBreakBefore w:val="0"/>
        <w:widowControl w:val="0"/>
        <w:kinsoku/>
        <w:wordWrap/>
        <w:overflowPunct w:val="0"/>
        <w:topLinePunct w:val="0"/>
        <w:autoSpaceDE/>
        <w:autoSpaceDN/>
        <w:bidi w:val="0"/>
        <w:adjustRightInd/>
        <w:snapToGrid/>
        <w:spacing w:before="157" w:beforeLines="50" w:after="157" w:afterLines="50" w:line="420" w:lineRule="exact"/>
        <w:jc w:val="both"/>
        <w:textAlignment w:val="auto"/>
        <w:rPr>
          <w:rFonts w:ascii="宋体"/>
          <w:color w:val="auto"/>
          <w:kern w:val="2"/>
          <w:sz w:val="24"/>
          <w:szCs w:val="24"/>
          <w:highlight w:val="none"/>
        </w:rPr>
      </w:pPr>
      <w:r>
        <w:rPr>
          <w:rFonts w:ascii="宋体"/>
          <w:color w:val="auto"/>
          <w:kern w:val="2"/>
          <w:highlight w:val="none"/>
        </w:rPr>
        <w:br w:type="page"/>
      </w:r>
      <w:bookmarkEnd w:id="39"/>
      <w:bookmarkEnd w:id="40"/>
      <w:bookmarkEnd w:id="41"/>
      <w:bookmarkEnd w:id="42"/>
      <w:bookmarkEnd w:id="43"/>
      <w:bookmarkStart w:id="44" w:name="_Toc10184875"/>
      <w:bookmarkStart w:id="45" w:name="_Toc14771"/>
      <w:bookmarkStart w:id="46" w:name="_Toc10122264"/>
      <w:bookmarkStart w:id="47" w:name="_Toc1655"/>
      <w:bookmarkStart w:id="48" w:name="_Toc14424_WPSOffice_Level2"/>
      <w:r>
        <w:rPr>
          <w:rStyle w:val="29"/>
          <w:b/>
          <w:bCs/>
          <w:color w:val="auto"/>
          <w:sz w:val="28"/>
          <w:szCs w:val="28"/>
          <w:highlight w:val="none"/>
        </w:rPr>
        <w:t>一、总则</w:t>
      </w:r>
      <w:bookmarkEnd w:id="44"/>
      <w:bookmarkEnd w:id="45"/>
      <w:bookmarkEnd w:id="46"/>
      <w:bookmarkEnd w:id="47"/>
      <w:bookmarkEnd w:id="48"/>
    </w:p>
    <w:p>
      <w:pPr>
        <w:keepNext w:val="0"/>
        <w:keepLines w:val="0"/>
        <w:pageBreakBefore w:val="0"/>
        <w:widowControl w:val="0"/>
        <w:kinsoku/>
        <w:wordWrap/>
        <w:overflowPunct w:val="0"/>
        <w:topLinePunct w:val="0"/>
        <w:autoSpaceDE/>
        <w:autoSpaceDN/>
        <w:bidi w:val="0"/>
        <w:adjustRightInd/>
        <w:snapToGrid/>
        <w:spacing w:line="420" w:lineRule="exact"/>
        <w:ind w:firstLine="420" w:firstLineChars="200"/>
        <w:textAlignment w:val="auto"/>
        <w:rPr>
          <w:rFonts w:ascii="宋体"/>
          <w:b w:val="0"/>
          <w:bCs w:val="0"/>
          <w:color w:val="auto"/>
          <w:kern w:val="2"/>
          <w:sz w:val="21"/>
          <w:szCs w:val="21"/>
          <w:highlight w:val="none"/>
        </w:rPr>
      </w:pPr>
      <w:r>
        <w:rPr>
          <w:rFonts w:ascii="宋体"/>
          <w:b w:val="0"/>
          <w:bCs w:val="0"/>
          <w:color w:val="auto"/>
          <w:kern w:val="2"/>
          <w:sz w:val="21"/>
          <w:szCs w:val="21"/>
          <w:highlight w:val="none"/>
        </w:rPr>
        <w:t>1、采购说明</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sz w:val="21"/>
          <w:szCs w:val="21"/>
          <w:highlight w:val="none"/>
        </w:rPr>
      </w:pPr>
      <w:r>
        <w:rPr>
          <w:b w:val="0"/>
          <w:bCs w:val="0"/>
          <w:color w:val="auto"/>
          <w:sz w:val="21"/>
          <w:szCs w:val="21"/>
          <w:highlight w:val="none"/>
        </w:rPr>
        <w:t>本</w:t>
      </w:r>
      <w:r>
        <w:rPr>
          <w:rFonts w:hint="eastAsia"/>
          <w:b w:val="0"/>
          <w:bCs w:val="0"/>
          <w:color w:val="auto"/>
          <w:sz w:val="21"/>
          <w:szCs w:val="21"/>
          <w:highlight w:val="none"/>
        </w:rPr>
        <w:t>采购</w:t>
      </w:r>
      <w:r>
        <w:rPr>
          <w:b w:val="0"/>
          <w:bCs w:val="0"/>
          <w:color w:val="auto"/>
          <w:sz w:val="21"/>
          <w:szCs w:val="21"/>
          <w:highlight w:val="none"/>
        </w:rPr>
        <w:t>项目说明见本须知前附表</w:t>
      </w:r>
      <w:r>
        <w:rPr>
          <w:rFonts w:hint="eastAsia"/>
          <w:b w:val="0"/>
          <w:bCs w:val="0"/>
          <w:color w:val="auto"/>
          <w:sz w:val="21"/>
          <w:szCs w:val="21"/>
          <w:highlight w:val="none"/>
        </w:rPr>
        <w:t>。</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kern w:val="2"/>
          <w:sz w:val="21"/>
          <w:szCs w:val="21"/>
          <w:highlight w:val="none"/>
        </w:rPr>
      </w:pPr>
      <w:r>
        <w:rPr>
          <w:b w:val="0"/>
          <w:bCs w:val="0"/>
          <w:color w:val="auto"/>
          <w:kern w:val="2"/>
          <w:sz w:val="21"/>
          <w:szCs w:val="21"/>
          <w:highlight w:val="none"/>
        </w:rPr>
        <w:t>2、资金来源</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sz w:val="21"/>
          <w:szCs w:val="21"/>
          <w:highlight w:val="none"/>
        </w:rPr>
      </w:pPr>
      <w:r>
        <w:rPr>
          <w:b w:val="0"/>
          <w:bCs w:val="0"/>
          <w:color w:val="auto"/>
          <w:sz w:val="21"/>
          <w:szCs w:val="21"/>
          <w:highlight w:val="none"/>
        </w:rPr>
        <w:t>本</w:t>
      </w:r>
      <w:r>
        <w:rPr>
          <w:rFonts w:hint="eastAsia"/>
          <w:b w:val="0"/>
          <w:bCs w:val="0"/>
          <w:color w:val="auto"/>
          <w:sz w:val="21"/>
          <w:szCs w:val="21"/>
          <w:highlight w:val="none"/>
        </w:rPr>
        <w:t>采购</w:t>
      </w:r>
      <w:r>
        <w:rPr>
          <w:b w:val="0"/>
          <w:bCs w:val="0"/>
          <w:color w:val="auto"/>
          <w:sz w:val="21"/>
          <w:szCs w:val="21"/>
          <w:highlight w:val="none"/>
        </w:rPr>
        <w:t>项目的资金来源为</w:t>
      </w:r>
      <w:r>
        <w:rPr>
          <w:rFonts w:hint="eastAsia"/>
          <w:b w:val="0"/>
          <w:bCs w:val="0"/>
          <w:color w:val="auto"/>
          <w:sz w:val="21"/>
          <w:szCs w:val="21"/>
          <w:highlight w:val="none"/>
        </w:rPr>
        <w:t>企业自筹</w:t>
      </w:r>
      <w:r>
        <w:rPr>
          <w:b w:val="0"/>
          <w:bCs w:val="0"/>
          <w:color w:val="auto"/>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20" w:lineRule="exact"/>
        <w:ind w:firstLine="420" w:firstLineChars="200"/>
        <w:textAlignment w:val="auto"/>
        <w:rPr>
          <w:rFonts w:ascii="宋体"/>
          <w:b w:val="0"/>
          <w:bCs w:val="0"/>
          <w:color w:val="auto"/>
          <w:kern w:val="2"/>
          <w:sz w:val="21"/>
          <w:szCs w:val="21"/>
          <w:highlight w:val="none"/>
        </w:rPr>
      </w:pPr>
      <w:r>
        <w:rPr>
          <w:rFonts w:ascii="宋体"/>
          <w:b w:val="0"/>
          <w:bCs w:val="0"/>
          <w:color w:val="auto"/>
          <w:kern w:val="2"/>
          <w:sz w:val="21"/>
          <w:szCs w:val="21"/>
          <w:highlight w:val="none"/>
        </w:rPr>
        <w:t>3、资格与合格条件的要求</w:t>
      </w:r>
    </w:p>
    <w:p>
      <w:pPr>
        <w:keepNext w:val="0"/>
        <w:keepLines w:val="0"/>
        <w:pageBreakBefore w:val="0"/>
        <w:widowControl w:val="0"/>
        <w:kinsoku/>
        <w:wordWrap/>
        <w:topLinePunct w:val="0"/>
        <w:autoSpaceDE/>
        <w:autoSpaceDN/>
        <w:bidi w:val="0"/>
        <w:adjustRightInd/>
        <w:snapToGrid/>
        <w:spacing w:line="420" w:lineRule="exact"/>
        <w:ind w:firstLine="420" w:firstLineChars="200"/>
        <w:textAlignment w:val="auto"/>
        <w:rPr>
          <w:rFonts w:ascii="宋体"/>
          <w:b w:val="0"/>
          <w:bCs w:val="0"/>
          <w:color w:val="auto"/>
          <w:sz w:val="21"/>
          <w:szCs w:val="21"/>
          <w:highlight w:val="none"/>
        </w:rPr>
      </w:pPr>
      <w:r>
        <w:rPr>
          <w:rFonts w:hint="eastAsia" w:ascii="宋体"/>
          <w:b w:val="0"/>
          <w:bCs w:val="0"/>
          <w:color w:val="auto"/>
          <w:sz w:val="21"/>
          <w:szCs w:val="21"/>
          <w:highlight w:val="none"/>
        </w:rPr>
        <w:t>供应商</w:t>
      </w:r>
      <w:r>
        <w:rPr>
          <w:rFonts w:ascii="宋体"/>
          <w:b w:val="0"/>
          <w:bCs w:val="0"/>
          <w:color w:val="auto"/>
          <w:sz w:val="21"/>
          <w:szCs w:val="21"/>
          <w:highlight w:val="none"/>
        </w:rPr>
        <w:t>资格标准</w:t>
      </w:r>
      <w:r>
        <w:rPr>
          <w:rFonts w:hint="eastAsia" w:ascii="宋体"/>
          <w:b w:val="0"/>
          <w:bCs w:val="0"/>
          <w:color w:val="auto"/>
          <w:sz w:val="21"/>
          <w:szCs w:val="21"/>
          <w:highlight w:val="none"/>
        </w:rPr>
        <w:t>见供应商</w:t>
      </w:r>
      <w:r>
        <w:rPr>
          <w:rFonts w:ascii="宋体"/>
          <w:b w:val="0"/>
          <w:bCs w:val="0"/>
          <w:color w:val="auto"/>
          <w:sz w:val="21"/>
          <w:szCs w:val="21"/>
          <w:highlight w:val="none"/>
        </w:rPr>
        <w:t>须知前附表</w:t>
      </w:r>
      <w:r>
        <w:rPr>
          <w:rFonts w:hint="eastAsia" w:ascii="宋体"/>
          <w:b w:val="0"/>
          <w:bCs w:val="0"/>
          <w:color w:val="auto"/>
          <w:sz w:val="21"/>
          <w:szCs w:val="21"/>
          <w:highlight w:val="none"/>
        </w:rPr>
        <w:t>。</w:t>
      </w:r>
    </w:p>
    <w:p>
      <w:pPr>
        <w:keepNext w:val="0"/>
        <w:keepLines w:val="0"/>
        <w:pageBreakBefore w:val="0"/>
        <w:widowControl w:val="0"/>
        <w:kinsoku/>
        <w:wordWrap/>
        <w:overflowPunct w:val="0"/>
        <w:topLinePunct w:val="0"/>
        <w:autoSpaceDE/>
        <w:autoSpaceDN/>
        <w:bidi w:val="0"/>
        <w:adjustRightInd/>
        <w:snapToGrid/>
        <w:spacing w:line="420" w:lineRule="exact"/>
        <w:ind w:firstLine="420" w:firstLineChars="200"/>
        <w:textAlignment w:val="auto"/>
        <w:rPr>
          <w:rFonts w:ascii="宋体"/>
          <w:b w:val="0"/>
          <w:bCs w:val="0"/>
          <w:color w:val="auto"/>
          <w:kern w:val="2"/>
          <w:sz w:val="21"/>
          <w:szCs w:val="21"/>
          <w:highlight w:val="none"/>
        </w:rPr>
      </w:pPr>
      <w:r>
        <w:rPr>
          <w:rFonts w:ascii="宋体"/>
          <w:b w:val="0"/>
          <w:bCs w:val="0"/>
          <w:color w:val="auto"/>
          <w:kern w:val="2"/>
          <w:sz w:val="21"/>
          <w:szCs w:val="21"/>
          <w:highlight w:val="none"/>
        </w:rPr>
        <w:t>4、</w:t>
      </w:r>
      <w:r>
        <w:rPr>
          <w:rFonts w:hint="eastAsia" w:ascii="宋体"/>
          <w:b w:val="0"/>
          <w:bCs w:val="0"/>
          <w:color w:val="auto"/>
          <w:kern w:val="2"/>
          <w:sz w:val="21"/>
          <w:szCs w:val="21"/>
          <w:highlight w:val="none"/>
        </w:rPr>
        <w:t>参与洽谈的活动</w:t>
      </w:r>
      <w:r>
        <w:rPr>
          <w:rFonts w:ascii="宋体"/>
          <w:b w:val="0"/>
          <w:bCs w:val="0"/>
          <w:color w:val="auto"/>
          <w:kern w:val="2"/>
          <w:sz w:val="21"/>
          <w:szCs w:val="21"/>
          <w:highlight w:val="none"/>
        </w:rPr>
        <w:t>费用</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sz w:val="21"/>
          <w:szCs w:val="21"/>
          <w:highlight w:val="none"/>
        </w:rPr>
      </w:pPr>
      <w:r>
        <w:rPr>
          <w:rFonts w:hint="eastAsia"/>
          <w:b w:val="0"/>
          <w:bCs w:val="0"/>
          <w:color w:val="auto"/>
          <w:sz w:val="21"/>
          <w:szCs w:val="21"/>
          <w:highlight w:val="none"/>
        </w:rPr>
        <w:t>供应商</w:t>
      </w:r>
      <w:r>
        <w:rPr>
          <w:b w:val="0"/>
          <w:bCs w:val="0"/>
          <w:color w:val="auto"/>
          <w:sz w:val="21"/>
          <w:szCs w:val="21"/>
          <w:highlight w:val="none"/>
        </w:rPr>
        <w:t>应承担编制</w:t>
      </w:r>
      <w:r>
        <w:rPr>
          <w:rFonts w:hint="eastAsia"/>
          <w:b w:val="0"/>
          <w:bCs w:val="0"/>
          <w:color w:val="auto"/>
          <w:sz w:val="21"/>
          <w:szCs w:val="21"/>
          <w:highlight w:val="none"/>
        </w:rPr>
        <w:t>响应</w:t>
      </w:r>
      <w:r>
        <w:rPr>
          <w:b w:val="0"/>
          <w:bCs w:val="0"/>
          <w:color w:val="auto"/>
          <w:sz w:val="21"/>
          <w:szCs w:val="21"/>
          <w:highlight w:val="none"/>
        </w:rPr>
        <w:t>文件与递交</w:t>
      </w:r>
      <w:r>
        <w:rPr>
          <w:rFonts w:hint="eastAsia"/>
          <w:b w:val="0"/>
          <w:bCs w:val="0"/>
          <w:color w:val="auto"/>
          <w:sz w:val="21"/>
          <w:szCs w:val="21"/>
          <w:highlight w:val="none"/>
        </w:rPr>
        <w:t>响应</w:t>
      </w:r>
      <w:r>
        <w:rPr>
          <w:b w:val="0"/>
          <w:bCs w:val="0"/>
          <w:color w:val="auto"/>
          <w:sz w:val="21"/>
          <w:szCs w:val="21"/>
          <w:highlight w:val="none"/>
        </w:rPr>
        <w:t>文件所涉及的一切费用，不管</w:t>
      </w:r>
      <w:r>
        <w:rPr>
          <w:rFonts w:hint="eastAsia"/>
          <w:b w:val="0"/>
          <w:bCs w:val="0"/>
          <w:color w:val="auto"/>
          <w:sz w:val="21"/>
          <w:szCs w:val="21"/>
          <w:highlight w:val="none"/>
        </w:rPr>
        <w:t>洽谈</w:t>
      </w:r>
      <w:r>
        <w:rPr>
          <w:b w:val="0"/>
          <w:bCs w:val="0"/>
          <w:color w:val="auto"/>
          <w:sz w:val="21"/>
          <w:szCs w:val="21"/>
          <w:highlight w:val="none"/>
        </w:rPr>
        <w:t>结果如何，</w:t>
      </w:r>
      <w:r>
        <w:rPr>
          <w:rFonts w:hint="eastAsia"/>
          <w:b w:val="0"/>
          <w:bCs w:val="0"/>
          <w:color w:val="auto"/>
          <w:sz w:val="21"/>
          <w:szCs w:val="21"/>
          <w:highlight w:val="none"/>
        </w:rPr>
        <w:t>采购</w:t>
      </w:r>
      <w:r>
        <w:rPr>
          <w:b w:val="0"/>
          <w:bCs w:val="0"/>
          <w:color w:val="auto"/>
          <w:sz w:val="21"/>
          <w:szCs w:val="21"/>
          <w:highlight w:val="none"/>
        </w:rPr>
        <w:t>人不承担</w:t>
      </w:r>
      <w:r>
        <w:rPr>
          <w:rFonts w:hint="eastAsia"/>
          <w:b w:val="0"/>
          <w:bCs w:val="0"/>
          <w:color w:val="auto"/>
          <w:sz w:val="21"/>
          <w:szCs w:val="21"/>
          <w:highlight w:val="none"/>
        </w:rPr>
        <w:t>供应商</w:t>
      </w:r>
      <w:r>
        <w:rPr>
          <w:b w:val="0"/>
          <w:bCs w:val="0"/>
          <w:color w:val="auto"/>
          <w:sz w:val="21"/>
          <w:szCs w:val="21"/>
          <w:highlight w:val="none"/>
        </w:rPr>
        <w:t>因</w:t>
      </w:r>
      <w:r>
        <w:rPr>
          <w:rFonts w:hint="eastAsia"/>
          <w:b w:val="0"/>
          <w:bCs w:val="0"/>
          <w:color w:val="auto"/>
          <w:sz w:val="21"/>
          <w:szCs w:val="21"/>
          <w:highlight w:val="none"/>
        </w:rPr>
        <w:t>洽谈活动</w:t>
      </w:r>
      <w:r>
        <w:rPr>
          <w:b w:val="0"/>
          <w:bCs w:val="0"/>
          <w:color w:val="auto"/>
          <w:sz w:val="21"/>
          <w:szCs w:val="21"/>
          <w:highlight w:val="none"/>
        </w:rPr>
        <w:t>所发生的一切费用。</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sz w:val="21"/>
          <w:szCs w:val="21"/>
          <w:highlight w:val="none"/>
        </w:rPr>
      </w:pPr>
      <w:r>
        <w:rPr>
          <w:b w:val="0"/>
          <w:bCs w:val="0"/>
          <w:color w:val="auto"/>
          <w:sz w:val="21"/>
          <w:szCs w:val="21"/>
          <w:highlight w:val="none"/>
        </w:rPr>
        <w:t>5、</w:t>
      </w:r>
      <w:r>
        <w:rPr>
          <w:rFonts w:hint="eastAsia"/>
          <w:b w:val="0"/>
          <w:bCs w:val="0"/>
          <w:color w:val="auto"/>
          <w:sz w:val="21"/>
          <w:szCs w:val="21"/>
          <w:highlight w:val="none"/>
        </w:rPr>
        <w:t>采购</w:t>
      </w:r>
      <w:r>
        <w:rPr>
          <w:b w:val="0"/>
          <w:bCs w:val="0"/>
          <w:color w:val="auto"/>
          <w:sz w:val="21"/>
          <w:szCs w:val="21"/>
          <w:highlight w:val="none"/>
        </w:rPr>
        <w:t>人向</w:t>
      </w:r>
      <w:r>
        <w:rPr>
          <w:rFonts w:hint="eastAsia"/>
          <w:b w:val="0"/>
          <w:bCs w:val="0"/>
          <w:color w:val="auto"/>
          <w:sz w:val="21"/>
          <w:szCs w:val="21"/>
          <w:highlight w:val="none"/>
        </w:rPr>
        <w:t>供应商</w:t>
      </w:r>
      <w:r>
        <w:rPr>
          <w:b w:val="0"/>
          <w:bCs w:val="0"/>
          <w:color w:val="auto"/>
          <w:sz w:val="21"/>
          <w:szCs w:val="21"/>
          <w:highlight w:val="none"/>
        </w:rPr>
        <w:t>提供的有关现场的数据和资料，是</w:t>
      </w:r>
      <w:r>
        <w:rPr>
          <w:rFonts w:hint="eastAsia"/>
          <w:b w:val="0"/>
          <w:bCs w:val="0"/>
          <w:color w:val="auto"/>
          <w:sz w:val="21"/>
          <w:szCs w:val="21"/>
          <w:highlight w:val="none"/>
        </w:rPr>
        <w:t>采购</w:t>
      </w:r>
      <w:r>
        <w:rPr>
          <w:b w:val="0"/>
          <w:bCs w:val="0"/>
          <w:color w:val="auto"/>
          <w:sz w:val="21"/>
          <w:szCs w:val="21"/>
          <w:highlight w:val="none"/>
        </w:rPr>
        <w:t>人现有的能被</w:t>
      </w:r>
      <w:r>
        <w:rPr>
          <w:rFonts w:hint="eastAsia"/>
          <w:b w:val="0"/>
          <w:bCs w:val="0"/>
          <w:color w:val="auto"/>
          <w:sz w:val="21"/>
          <w:szCs w:val="21"/>
          <w:highlight w:val="none"/>
        </w:rPr>
        <w:t>供应商</w:t>
      </w:r>
      <w:r>
        <w:rPr>
          <w:b w:val="0"/>
          <w:bCs w:val="0"/>
          <w:color w:val="auto"/>
          <w:sz w:val="21"/>
          <w:szCs w:val="21"/>
          <w:highlight w:val="none"/>
        </w:rPr>
        <w:t>利用的资料，</w:t>
      </w:r>
      <w:r>
        <w:rPr>
          <w:rFonts w:hint="eastAsia"/>
          <w:b w:val="0"/>
          <w:bCs w:val="0"/>
          <w:color w:val="auto"/>
          <w:sz w:val="21"/>
          <w:szCs w:val="21"/>
          <w:highlight w:val="none"/>
        </w:rPr>
        <w:t>采购</w:t>
      </w:r>
      <w:r>
        <w:rPr>
          <w:b w:val="0"/>
          <w:bCs w:val="0"/>
          <w:color w:val="auto"/>
          <w:sz w:val="21"/>
          <w:szCs w:val="21"/>
          <w:highlight w:val="none"/>
        </w:rPr>
        <w:t>人对</w:t>
      </w:r>
      <w:r>
        <w:rPr>
          <w:rFonts w:hint="eastAsia"/>
          <w:b w:val="0"/>
          <w:bCs w:val="0"/>
          <w:color w:val="auto"/>
          <w:sz w:val="21"/>
          <w:szCs w:val="21"/>
          <w:highlight w:val="none"/>
        </w:rPr>
        <w:t>供应商</w:t>
      </w:r>
      <w:r>
        <w:rPr>
          <w:b w:val="0"/>
          <w:bCs w:val="0"/>
          <w:color w:val="auto"/>
          <w:sz w:val="21"/>
          <w:szCs w:val="21"/>
          <w:highlight w:val="none"/>
        </w:rPr>
        <w:t>做出的任何推论、理解和结论概不负责。</w:t>
      </w:r>
    </w:p>
    <w:p>
      <w:pPr>
        <w:pStyle w:val="17"/>
        <w:keepNext w:val="0"/>
        <w:keepLines w:val="0"/>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b w:val="0"/>
          <w:bCs w:val="0"/>
          <w:color w:val="auto"/>
          <w:sz w:val="21"/>
          <w:szCs w:val="21"/>
          <w:highlight w:val="none"/>
        </w:rPr>
      </w:pPr>
      <w:r>
        <w:rPr>
          <w:b w:val="0"/>
          <w:bCs w:val="0"/>
          <w:color w:val="auto"/>
          <w:sz w:val="21"/>
          <w:szCs w:val="21"/>
          <w:highlight w:val="none"/>
        </w:rPr>
        <w:t>6、经</w:t>
      </w:r>
      <w:r>
        <w:rPr>
          <w:rFonts w:hint="eastAsia"/>
          <w:b w:val="0"/>
          <w:bCs w:val="0"/>
          <w:color w:val="auto"/>
          <w:sz w:val="21"/>
          <w:szCs w:val="21"/>
          <w:highlight w:val="none"/>
        </w:rPr>
        <w:t>采购</w:t>
      </w:r>
      <w:r>
        <w:rPr>
          <w:b w:val="0"/>
          <w:bCs w:val="0"/>
          <w:color w:val="auto"/>
          <w:sz w:val="21"/>
          <w:szCs w:val="21"/>
          <w:highlight w:val="none"/>
        </w:rPr>
        <w:t>人同意，</w:t>
      </w:r>
      <w:r>
        <w:rPr>
          <w:rFonts w:hint="eastAsia"/>
          <w:b w:val="0"/>
          <w:bCs w:val="0"/>
          <w:color w:val="auto"/>
          <w:sz w:val="21"/>
          <w:szCs w:val="21"/>
          <w:highlight w:val="none"/>
        </w:rPr>
        <w:t>供应商</w:t>
      </w:r>
      <w:r>
        <w:rPr>
          <w:b w:val="0"/>
          <w:bCs w:val="0"/>
          <w:color w:val="auto"/>
          <w:sz w:val="21"/>
          <w:szCs w:val="21"/>
          <w:highlight w:val="none"/>
        </w:rPr>
        <w:t>因</w:t>
      </w:r>
      <w:r>
        <w:rPr>
          <w:rFonts w:hint="eastAsia"/>
          <w:b w:val="0"/>
          <w:bCs w:val="0"/>
          <w:color w:val="auto"/>
          <w:sz w:val="21"/>
          <w:szCs w:val="21"/>
          <w:highlight w:val="none"/>
        </w:rPr>
        <w:t>洽谈</w:t>
      </w:r>
      <w:r>
        <w:rPr>
          <w:b w:val="0"/>
          <w:bCs w:val="0"/>
          <w:color w:val="auto"/>
          <w:sz w:val="21"/>
          <w:szCs w:val="21"/>
          <w:highlight w:val="none"/>
        </w:rPr>
        <w:t>可进入项目现场进行踏勘，但</w:t>
      </w:r>
      <w:r>
        <w:rPr>
          <w:rFonts w:hint="eastAsia"/>
          <w:b w:val="0"/>
          <w:bCs w:val="0"/>
          <w:color w:val="auto"/>
          <w:sz w:val="21"/>
          <w:szCs w:val="21"/>
          <w:highlight w:val="none"/>
        </w:rPr>
        <w:t>供应商</w:t>
      </w:r>
      <w:r>
        <w:rPr>
          <w:b w:val="0"/>
          <w:bCs w:val="0"/>
          <w:color w:val="auto"/>
          <w:sz w:val="21"/>
          <w:szCs w:val="21"/>
          <w:highlight w:val="none"/>
        </w:rPr>
        <w:t>不得因此使</w:t>
      </w:r>
      <w:r>
        <w:rPr>
          <w:rFonts w:hint="eastAsia"/>
          <w:b w:val="0"/>
          <w:bCs w:val="0"/>
          <w:color w:val="auto"/>
          <w:sz w:val="21"/>
          <w:szCs w:val="21"/>
          <w:highlight w:val="none"/>
        </w:rPr>
        <w:t>采购</w:t>
      </w:r>
      <w:r>
        <w:rPr>
          <w:b w:val="0"/>
          <w:bCs w:val="0"/>
          <w:color w:val="auto"/>
          <w:sz w:val="21"/>
          <w:szCs w:val="21"/>
          <w:highlight w:val="none"/>
        </w:rPr>
        <w:t>人承担有关的责任和蒙受损失。</w:t>
      </w:r>
      <w:r>
        <w:rPr>
          <w:rFonts w:hint="eastAsia"/>
          <w:b w:val="0"/>
          <w:bCs w:val="0"/>
          <w:color w:val="auto"/>
          <w:sz w:val="21"/>
          <w:szCs w:val="21"/>
          <w:highlight w:val="none"/>
        </w:rPr>
        <w:t>供应商</w:t>
      </w:r>
      <w:r>
        <w:rPr>
          <w:b w:val="0"/>
          <w:bCs w:val="0"/>
          <w:color w:val="auto"/>
          <w:sz w:val="21"/>
          <w:szCs w:val="21"/>
          <w:highlight w:val="none"/>
        </w:rPr>
        <w:t>应承担踏勘现场的责任和风险，并自理踏勘所发生的费用。</w:t>
      </w:r>
    </w:p>
    <w:p>
      <w:pPr>
        <w:pStyle w:val="4"/>
        <w:keepNext/>
        <w:keepLines/>
        <w:pageBreakBefore w:val="0"/>
        <w:widowControl w:val="0"/>
        <w:kinsoku/>
        <w:wordWrap/>
        <w:overflowPunct w:val="0"/>
        <w:topLinePunct w:val="0"/>
        <w:autoSpaceDE/>
        <w:autoSpaceDN/>
        <w:bidi w:val="0"/>
        <w:adjustRightInd/>
        <w:snapToGrid/>
        <w:spacing w:before="157" w:beforeLines="50" w:after="157" w:afterLines="50" w:line="420" w:lineRule="exact"/>
        <w:jc w:val="both"/>
        <w:textAlignment w:val="auto"/>
        <w:rPr>
          <w:rStyle w:val="29"/>
          <w:b/>
          <w:bCs/>
          <w:color w:val="auto"/>
          <w:sz w:val="28"/>
          <w:szCs w:val="28"/>
          <w:highlight w:val="none"/>
        </w:rPr>
      </w:pPr>
      <w:bookmarkStart w:id="49" w:name="_Toc376793711"/>
      <w:bookmarkStart w:id="50" w:name="_Toc376793556"/>
      <w:bookmarkStart w:id="51" w:name="_Toc18600"/>
      <w:bookmarkStart w:id="52" w:name="_Toc28617"/>
      <w:bookmarkStart w:id="53" w:name="_Toc10122265"/>
      <w:bookmarkStart w:id="54" w:name="_Toc16163_WPSOffice_Level2"/>
      <w:bookmarkStart w:id="55" w:name="_Toc10184876"/>
      <w:bookmarkStart w:id="56" w:name="_Toc376793575"/>
      <w:bookmarkStart w:id="57" w:name="_Toc382509455"/>
      <w:r>
        <w:rPr>
          <w:rStyle w:val="29"/>
          <w:b/>
          <w:bCs/>
          <w:color w:val="auto"/>
          <w:sz w:val="28"/>
          <w:szCs w:val="28"/>
          <w:highlight w:val="none"/>
        </w:rPr>
        <w:t>二、</w:t>
      </w:r>
      <w:r>
        <w:rPr>
          <w:rStyle w:val="29"/>
          <w:rFonts w:hint="eastAsia"/>
          <w:b/>
          <w:bCs/>
          <w:color w:val="auto"/>
          <w:sz w:val="28"/>
          <w:szCs w:val="28"/>
          <w:highlight w:val="none"/>
        </w:rPr>
        <w:t>采购</w:t>
      </w:r>
      <w:r>
        <w:rPr>
          <w:rStyle w:val="29"/>
          <w:b/>
          <w:bCs/>
          <w:color w:val="auto"/>
          <w:sz w:val="28"/>
          <w:szCs w:val="28"/>
          <w:highlight w:val="none"/>
        </w:rPr>
        <w:t>文件</w:t>
      </w:r>
      <w:bookmarkEnd w:id="49"/>
      <w:bookmarkEnd w:id="50"/>
      <w:bookmarkEnd w:id="51"/>
      <w:bookmarkEnd w:id="52"/>
      <w:bookmarkEnd w:id="53"/>
      <w:bookmarkEnd w:id="54"/>
      <w:bookmarkEnd w:id="55"/>
      <w:bookmarkEnd w:id="56"/>
      <w:bookmarkEnd w:id="57"/>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1、采购文件的组成</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本采购文件包括下列内容及所有按本须知发出的补充资料、答疑或补遗记录。</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第一章采购</w:t>
      </w:r>
      <w:r>
        <w:rPr>
          <w:rFonts w:hint="eastAsia" w:ascii="宋体" w:hAnsi="宋体" w:eastAsia="宋体" w:cs="宋体"/>
          <w:bCs/>
          <w:color w:val="auto"/>
          <w:sz w:val="21"/>
          <w:szCs w:val="21"/>
          <w:highlight w:val="none"/>
          <w:lang w:val="en-US" w:eastAsia="zh-CN"/>
        </w:rPr>
        <w:t>公告</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第二章供应商须知及前附表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第三章合同主要价款</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第四章技术规格及要求</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第五章响应文件格式</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获取采购文件后，应认真检查采购文件的所有内容，如有残缺等问题应在获得采购文件1日内向采购人提出，否则，由此引起的损失由供应商自己负责。供应商同时应认真审阅采购文件中所有的供应商须知、合同主要条款、规定格式、技术要求等内容。若供应商没有按照采购文件的要求提交全部资料，责任由供应商自负。</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3、采购文件的修改</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采购人可能对采购文件进行</w:t>
      </w:r>
      <w:r>
        <w:rPr>
          <w:rFonts w:hint="eastAsia" w:ascii="宋体" w:hAnsi="宋体" w:eastAsia="宋体" w:cs="宋体"/>
          <w:bCs/>
          <w:color w:val="auto"/>
          <w:sz w:val="21"/>
          <w:szCs w:val="21"/>
          <w:highlight w:val="none"/>
        </w:rPr>
        <w:t>澄清和修改</w:t>
      </w:r>
      <w:r>
        <w:rPr>
          <w:rFonts w:hint="eastAsia" w:ascii="宋体" w:hAnsi="宋体" w:eastAsia="宋体" w:cs="宋体"/>
          <w:color w:val="auto"/>
          <w:sz w:val="21"/>
          <w:szCs w:val="21"/>
          <w:highlight w:val="none"/>
        </w:rPr>
        <w:t>，采购单位会将这些</w:t>
      </w:r>
      <w:r>
        <w:rPr>
          <w:rFonts w:hint="eastAsia" w:ascii="宋体" w:hAnsi="宋体" w:eastAsia="宋体" w:cs="宋体"/>
          <w:bCs/>
          <w:color w:val="auto"/>
          <w:sz w:val="21"/>
          <w:szCs w:val="21"/>
          <w:highlight w:val="none"/>
        </w:rPr>
        <w:t>澄清和修改</w:t>
      </w:r>
      <w:r>
        <w:rPr>
          <w:rFonts w:hint="eastAsia" w:ascii="宋体" w:hAnsi="宋体" w:eastAsia="宋体" w:cs="宋体"/>
          <w:color w:val="auto"/>
          <w:sz w:val="21"/>
          <w:szCs w:val="21"/>
          <w:highlight w:val="none"/>
        </w:rPr>
        <w:t>在与供应商洽谈之前或之中以书面补充方式告知供应商。</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3.2澄清和修改以</w:t>
      </w:r>
      <w:r>
        <w:rPr>
          <w:rFonts w:hint="eastAsia" w:ascii="宋体" w:hAnsi="宋体" w:eastAsia="宋体" w:cs="宋体"/>
          <w:b w:val="0"/>
          <w:bCs/>
          <w:color w:val="auto"/>
          <w:sz w:val="21"/>
          <w:szCs w:val="21"/>
          <w:highlight w:val="none"/>
        </w:rPr>
        <w:t>书面补</w:t>
      </w:r>
      <w:r>
        <w:rPr>
          <w:rFonts w:hint="eastAsia" w:ascii="宋体" w:hAnsi="宋体" w:eastAsia="宋体" w:cs="宋体"/>
          <w:bCs/>
          <w:color w:val="auto"/>
          <w:sz w:val="21"/>
          <w:szCs w:val="21"/>
          <w:highlight w:val="none"/>
        </w:rPr>
        <w:t>充通知的方式发给供应商。补充通知作为采购文件的组成部分，对供应商起约束作用。</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3.3采购文件的澄清、修改、补充等内容均</w:t>
      </w:r>
      <w:r>
        <w:rPr>
          <w:rFonts w:hint="eastAsia" w:ascii="宋体" w:hAnsi="宋体" w:eastAsia="宋体" w:cs="宋体"/>
          <w:b w:val="0"/>
          <w:bCs/>
          <w:color w:val="auto"/>
          <w:sz w:val="21"/>
          <w:szCs w:val="21"/>
          <w:highlight w:val="none"/>
        </w:rPr>
        <w:t>以书面的</w:t>
      </w:r>
      <w:r>
        <w:rPr>
          <w:rFonts w:hint="eastAsia" w:ascii="宋体" w:hAnsi="宋体" w:eastAsia="宋体" w:cs="宋体"/>
          <w:bCs/>
          <w:color w:val="auto"/>
          <w:sz w:val="21"/>
          <w:szCs w:val="21"/>
          <w:highlight w:val="none"/>
        </w:rPr>
        <w:t>形式明确的内容为准。当采购文件、采购文件的澄清、修改、补充等在同一内容的表述不一致时，以最后发出</w:t>
      </w:r>
      <w:r>
        <w:rPr>
          <w:rFonts w:hint="eastAsia" w:ascii="宋体" w:hAnsi="宋体" w:eastAsia="宋体" w:cs="宋体"/>
          <w:b w:val="0"/>
          <w:bCs/>
          <w:color w:val="auto"/>
          <w:sz w:val="21"/>
          <w:szCs w:val="21"/>
          <w:highlight w:val="none"/>
        </w:rPr>
        <w:t>的书面文件</w:t>
      </w:r>
      <w:r>
        <w:rPr>
          <w:rFonts w:hint="eastAsia" w:ascii="宋体" w:hAnsi="宋体" w:eastAsia="宋体" w:cs="宋体"/>
          <w:bCs/>
          <w:color w:val="auto"/>
          <w:sz w:val="21"/>
          <w:szCs w:val="21"/>
          <w:highlight w:val="none"/>
        </w:rPr>
        <w:t>为准。</w:t>
      </w:r>
    </w:p>
    <w:p>
      <w:pPr>
        <w:pStyle w:val="4"/>
        <w:keepNext/>
        <w:keepLines/>
        <w:pageBreakBefore w:val="0"/>
        <w:widowControl w:val="0"/>
        <w:kinsoku/>
        <w:wordWrap/>
        <w:overflowPunct w:val="0"/>
        <w:topLinePunct w:val="0"/>
        <w:autoSpaceDE/>
        <w:autoSpaceDN/>
        <w:bidi w:val="0"/>
        <w:adjustRightInd/>
        <w:snapToGrid/>
        <w:spacing w:before="157" w:beforeLines="50" w:after="157" w:afterLines="50" w:line="420" w:lineRule="exact"/>
        <w:jc w:val="both"/>
        <w:textAlignment w:val="auto"/>
        <w:rPr>
          <w:rStyle w:val="29"/>
          <w:rFonts w:hint="eastAsia"/>
          <w:b/>
          <w:bCs/>
          <w:color w:val="auto"/>
          <w:sz w:val="28"/>
          <w:szCs w:val="28"/>
          <w:highlight w:val="none"/>
        </w:rPr>
      </w:pPr>
      <w:bookmarkStart w:id="58" w:name="_Toc10184877"/>
      <w:bookmarkStart w:id="59" w:name="_Toc376793557"/>
      <w:bookmarkStart w:id="60" w:name="_Toc10640_WPSOffice_Level2"/>
      <w:bookmarkStart w:id="61" w:name="_Toc18914"/>
      <w:bookmarkStart w:id="62" w:name="_Toc376793576"/>
      <w:bookmarkStart w:id="63" w:name="_Toc10122266"/>
      <w:bookmarkStart w:id="64" w:name="_Toc1320"/>
      <w:bookmarkStart w:id="65" w:name="_Toc376793712"/>
      <w:bookmarkStart w:id="66" w:name="_Toc382509456"/>
      <w:r>
        <w:rPr>
          <w:rStyle w:val="29"/>
          <w:rFonts w:hint="eastAsia"/>
          <w:b/>
          <w:bCs/>
          <w:color w:val="auto"/>
          <w:sz w:val="28"/>
          <w:szCs w:val="28"/>
          <w:highlight w:val="none"/>
        </w:rPr>
        <w:t>三、采购响应文件</w:t>
      </w:r>
      <w:bookmarkEnd w:id="58"/>
      <w:bookmarkEnd w:id="59"/>
      <w:bookmarkEnd w:id="60"/>
      <w:bookmarkEnd w:id="61"/>
      <w:bookmarkEnd w:id="62"/>
      <w:bookmarkEnd w:id="63"/>
      <w:bookmarkEnd w:id="64"/>
      <w:bookmarkEnd w:id="65"/>
      <w:bookmarkEnd w:id="66"/>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1、采购响应文件的语言</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1.1响应文件及供应商、采购人之间所有与洽谈有关的来往通知、函件和文件均应使用中文。</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如果供应商在采购响应文件中附有外文资料，必须把这些外文资料翻译成中文。对于关键性的证明文件，供应商应该提供与英文内容相同、且由同一人签署（或盖章）的中文原件，或经国内公证部门公证的中文翻译件。</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2、响应文件的组成</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2.1响应文件应该包括</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(1)按要求填写的报价函、报价一览表、分项报价表；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(2)服务方案说明；</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(3)按要求出具的资格证明文件；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(5)按要求提交的保证金（如有要求）；</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(6)其它需要说明的事项。</w:t>
      </w:r>
    </w:p>
    <w:p>
      <w:pPr>
        <w:pageBreakBefore w:val="0"/>
        <w:widowControl w:val="0"/>
        <w:kinsoku/>
        <w:wordWrap/>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2.2资格证明文件见供应商须知前附表。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2.3采购响应文件包括</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响应文件分两个部分，第一部分为商务部分，第二部分为技术部分，两部分合并装订成一册。技术部分按照国家有关编制的规定进行封面、章节及内容的编制；供应商所递交的响应书应包括下述文件：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2.3.1商务部分</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1）洽谈报价函</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2）报价一览表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）分项报价表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4）供应商基本情况表</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5）法定代表人身份证明</w:t>
      </w:r>
      <w:r>
        <w:rPr>
          <w:rFonts w:hint="eastAsia" w:ascii="宋体" w:hAnsi="宋体" w:eastAsia="宋体" w:cs="宋体"/>
          <w:bCs/>
          <w:color w:val="auto"/>
          <w:sz w:val="21"/>
          <w:szCs w:val="21"/>
          <w:highlight w:val="none"/>
        </w:rPr>
        <w:tab/>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6）法人授权委托书</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7）供应商资格证明文件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8）供应商资料真实性承诺书</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9)成交服务费承诺书</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10)技术部分/商务部分差异表</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11)廉洁承诺书,供需双方廉洁互保协议</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lang w:val="en-US" w:eastAsia="zh-CN"/>
        </w:rPr>
        <w:t>开票信息</w:t>
      </w:r>
      <w:r>
        <w:rPr>
          <w:rFonts w:hint="eastAsia" w:ascii="宋体" w:hAnsi="宋体" w:eastAsia="宋体" w:cs="宋体"/>
          <w:bCs/>
          <w:color w:val="auto"/>
          <w:sz w:val="21"/>
          <w:szCs w:val="21"/>
          <w:highlight w:val="none"/>
        </w:rPr>
        <w:t>表</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认为有必要提供的声明及文件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2.3.2技术部分</w:t>
      </w:r>
    </w:p>
    <w:p>
      <w:pPr>
        <w:pStyle w:val="17"/>
        <w:pageBreakBefore w:val="0"/>
        <w:widowControl w:val="0"/>
        <w:numPr>
          <w:ilvl w:val="0"/>
          <w:numId w:val="2"/>
        </w:numPr>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服务方案，包括详细的实施方案等。技术部分应满足或者高于技术规格书的要求</w:t>
      </w:r>
    </w:p>
    <w:p>
      <w:pPr>
        <w:pageBreakBefore w:val="0"/>
        <w:widowControl w:val="0"/>
        <w:kinsoku/>
        <w:wordWrap/>
        <w:topLinePunct w:val="0"/>
        <w:autoSpaceDE/>
        <w:autoSpaceDN/>
        <w:bidi w:val="0"/>
        <w:adjustRightInd/>
        <w:snapToGrid/>
        <w:spacing w:beforeAutospacing="0" w:afterAutospacing="0" w:line="4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对采购人提出的协作和配合要求</w:t>
      </w:r>
    </w:p>
    <w:p>
      <w:pPr>
        <w:pageBreakBefore w:val="0"/>
        <w:widowControl w:val="0"/>
        <w:kinsoku/>
        <w:wordWrap/>
        <w:topLinePunct w:val="0"/>
        <w:autoSpaceDE/>
        <w:autoSpaceDN/>
        <w:bidi w:val="0"/>
        <w:adjustRightInd/>
        <w:snapToGrid/>
        <w:spacing w:beforeAutospacing="0" w:afterAutospacing="0" w:line="4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3）对服务内容和方式、人员设置等相关问题，做出明确的说明和承诺</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认为有必要说明的其它问题。</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3、响应文件格式</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供应商按采购文件提供的响应文件格式编写响应文件，对本项目进行报价，不得将内容拆开。</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4、供应商资格证明文件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供应商资格证明文件是响应文件的组成部分。</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5、采购有效期</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5.1所有响应文件应从洽谈之日起，在90日历日内有效。采购有效期比规定短的可以视为非响应采购文件而予以拒绝。</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5.2在特殊情况下，在原采购有效期期满之前，采购人可征得供应商同意延长采购有效期。这种要求与答复均应为</w:t>
      </w:r>
      <w:r>
        <w:rPr>
          <w:rFonts w:hint="eastAsia" w:ascii="宋体" w:hAnsi="宋体" w:eastAsia="宋体" w:cs="宋体"/>
          <w:b w:val="0"/>
          <w:bCs/>
          <w:color w:val="auto"/>
          <w:sz w:val="21"/>
          <w:szCs w:val="21"/>
          <w:highlight w:val="none"/>
        </w:rPr>
        <w:t>书面</w:t>
      </w:r>
      <w:r>
        <w:rPr>
          <w:rFonts w:hint="eastAsia" w:ascii="宋体" w:hAnsi="宋体" w:eastAsia="宋体" w:cs="宋体"/>
          <w:bCs/>
          <w:color w:val="auto"/>
          <w:sz w:val="21"/>
          <w:szCs w:val="21"/>
          <w:highlight w:val="none"/>
        </w:rPr>
        <w:t>形式如：电传、传真等。供应商可以拒绝采购人的这种要求，其采购响应保证金不会被没收。接受延长采购有效期的供应商将不会被要求和允许修正其响应文件，而只会被要求相应地延长其采购响应保证金的有效期。</w:t>
      </w:r>
    </w:p>
    <w:p>
      <w:pPr>
        <w:pStyle w:val="17"/>
        <w:pageBreakBefore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6、采购响应文件的递交</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6.1请各投标供应商投标时将投标文件扫描件（签字盖章版本）作为附件上传，如未按规定上传投标文件将被视为未响应招标文件。</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6.2中标单位收到中标/成交通知书5日内将一份响应文件（纸质版）邮寄至招标人。</w:t>
      </w:r>
    </w:p>
    <w:p>
      <w:pPr>
        <w:pStyle w:val="4"/>
        <w:keepNext/>
        <w:keepLines/>
        <w:pageBreakBefore w:val="0"/>
        <w:widowControl w:val="0"/>
        <w:kinsoku/>
        <w:wordWrap/>
        <w:overflowPunct w:val="0"/>
        <w:topLinePunct w:val="0"/>
        <w:autoSpaceDE/>
        <w:autoSpaceDN/>
        <w:bidi w:val="0"/>
        <w:adjustRightInd/>
        <w:snapToGrid/>
        <w:spacing w:before="157" w:beforeLines="50" w:after="157" w:afterLines="50" w:line="420" w:lineRule="exact"/>
        <w:jc w:val="both"/>
        <w:textAlignment w:val="auto"/>
        <w:rPr>
          <w:rStyle w:val="29"/>
          <w:rFonts w:hint="eastAsia"/>
          <w:b/>
          <w:bCs/>
          <w:color w:val="auto"/>
          <w:sz w:val="28"/>
          <w:szCs w:val="28"/>
          <w:highlight w:val="none"/>
        </w:rPr>
      </w:pPr>
      <w:bookmarkStart w:id="67" w:name="_Toc376793577"/>
      <w:bookmarkStart w:id="68" w:name="_Toc376793558"/>
      <w:bookmarkStart w:id="69" w:name="_Toc382509457"/>
      <w:bookmarkStart w:id="70" w:name="_Toc376793713"/>
      <w:bookmarkStart w:id="71" w:name="_Toc24476"/>
      <w:bookmarkStart w:id="72" w:name="_Toc10184878"/>
      <w:bookmarkStart w:id="73" w:name="_Toc10122267"/>
      <w:bookmarkStart w:id="74" w:name="_Toc5706_WPSOffice_Level2"/>
      <w:bookmarkStart w:id="75" w:name="_Toc27961"/>
      <w:r>
        <w:rPr>
          <w:rStyle w:val="29"/>
          <w:rFonts w:hint="eastAsia"/>
          <w:b/>
          <w:bCs/>
          <w:color w:val="auto"/>
          <w:sz w:val="28"/>
          <w:szCs w:val="28"/>
          <w:highlight w:val="none"/>
        </w:rPr>
        <w:t>四、采购响应文件的</w:t>
      </w:r>
      <w:bookmarkEnd w:id="67"/>
      <w:bookmarkEnd w:id="68"/>
      <w:bookmarkEnd w:id="69"/>
      <w:bookmarkEnd w:id="70"/>
      <w:r>
        <w:rPr>
          <w:rStyle w:val="29"/>
          <w:rFonts w:hint="eastAsia"/>
          <w:b/>
          <w:bCs/>
          <w:color w:val="auto"/>
          <w:sz w:val="28"/>
          <w:szCs w:val="28"/>
          <w:highlight w:val="none"/>
        </w:rPr>
        <w:t>要求</w:t>
      </w:r>
      <w:bookmarkEnd w:id="71"/>
      <w:bookmarkEnd w:id="72"/>
      <w:bookmarkEnd w:id="73"/>
      <w:bookmarkEnd w:id="74"/>
      <w:bookmarkEnd w:id="75"/>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1、采购响应文件报价</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w:t>
      </w:r>
      <w:r>
        <w:rPr>
          <w:rFonts w:hint="eastAsia" w:ascii="宋体" w:hAnsi="宋体" w:eastAsia="宋体" w:cs="宋体"/>
          <w:bCs/>
          <w:color w:val="auto"/>
          <w:sz w:val="21"/>
          <w:szCs w:val="21"/>
          <w:highlight w:val="none"/>
          <w:lang w:val="en-US" w:eastAsia="zh-CN"/>
        </w:rPr>
        <w:t>报价为</w:t>
      </w:r>
      <w:r>
        <w:rPr>
          <w:rFonts w:hint="eastAsia" w:ascii="宋体" w:hAnsi="宋体" w:eastAsia="宋体" w:cs="宋体"/>
          <w:bCs/>
          <w:color w:val="auto"/>
          <w:sz w:val="21"/>
          <w:szCs w:val="21"/>
          <w:highlight w:val="none"/>
        </w:rPr>
        <w:t>固定总价（含税）。</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2报价为含税价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需注明税率</w:t>
      </w:r>
      <w:r>
        <w:rPr>
          <w:rFonts w:hint="eastAsia" w:ascii="宋体" w:hAnsi="宋体" w:eastAsia="宋体" w:cs="宋体"/>
          <w:bCs/>
          <w:color w:val="auto"/>
          <w:sz w:val="21"/>
          <w:szCs w:val="21"/>
          <w:highlight w:val="none"/>
        </w:rPr>
        <w:t>。</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应在谈判响应书中的报价表上标明，拟提供货物的名称、数量、单价和总价。每种货物只允许有一种报价，如果报价中单价与总价有出入，以单价为准。若报价中数字和文字表示的金额之间有差异，则以文字金额为准，并对数字作相应的修正。</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4供应商在填报报价时，应认真计算，不应遗留须在合同执行中再行议价和另外支付费用的项目，并在分项价格表中详细列明价格的各组成部分。任何以可调整的价格提交的报价将作为非响应性报价而予以拒绝。</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5供应商填写的单价和总价在合同实施期间不因市场变化因素而变动，供应商在计算报价时可考虑一定的风险系数。</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6报价以人民币报价。</w:t>
      </w:r>
    </w:p>
    <w:p>
      <w:pPr>
        <w:pageBreakBefore w:val="0"/>
        <w:widowControl w:val="0"/>
        <w:kinsoku/>
        <w:wordWrap/>
        <w:overflowPunct w:val="0"/>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3、报价货币</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本项目报价全部采用的币种为人民币。</w:t>
      </w:r>
    </w:p>
    <w:p>
      <w:pPr>
        <w:pStyle w:val="4"/>
        <w:keepNext/>
        <w:keepLines/>
        <w:pageBreakBefore w:val="0"/>
        <w:widowControl w:val="0"/>
        <w:kinsoku/>
        <w:wordWrap/>
        <w:overflowPunct w:val="0"/>
        <w:topLinePunct w:val="0"/>
        <w:autoSpaceDE/>
        <w:autoSpaceDN/>
        <w:bidi w:val="0"/>
        <w:adjustRightInd/>
        <w:snapToGrid/>
        <w:spacing w:before="157" w:beforeLines="50" w:after="157" w:afterLines="50" w:line="420" w:lineRule="exact"/>
        <w:jc w:val="both"/>
        <w:textAlignment w:val="auto"/>
        <w:rPr>
          <w:rStyle w:val="29"/>
          <w:rFonts w:hint="eastAsia"/>
          <w:b/>
          <w:bCs/>
          <w:color w:val="auto"/>
          <w:sz w:val="28"/>
          <w:szCs w:val="28"/>
          <w:highlight w:val="none"/>
        </w:rPr>
      </w:pPr>
      <w:bookmarkStart w:id="76" w:name="_Toc376793559"/>
      <w:bookmarkStart w:id="77" w:name="_Toc382509458"/>
      <w:bookmarkStart w:id="78" w:name="_Toc376793714"/>
      <w:bookmarkStart w:id="79" w:name="_Toc376793578"/>
      <w:bookmarkStart w:id="80" w:name="_Toc14910"/>
      <w:bookmarkStart w:id="81" w:name="_Toc10122268"/>
      <w:bookmarkStart w:id="82" w:name="_Toc10184879"/>
      <w:bookmarkStart w:id="83" w:name="_Toc4807_WPSOffice_Level2"/>
      <w:bookmarkStart w:id="84" w:name="_Toc5335"/>
      <w:r>
        <w:rPr>
          <w:rStyle w:val="29"/>
          <w:rFonts w:hint="eastAsia"/>
          <w:b/>
          <w:bCs/>
          <w:color w:val="auto"/>
          <w:sz w:val="28"/>
          <w:szCs w:val="28"/>
          <w:highlight w:val="none"/>
        </w:rPr>
        <w:t>五、</w:t>
      </w:r>
      <w:bookmarkEnd w:id="76"/>
      <w:bookmarkEnd w:id="77"/>
      <w:bookmarkEnd w:id="78"/>
      <w:bookmarkEnd w:id="79"/>
      <w:r>
        <w:rPr>
          <w:rStyle w:val="29"/>
          <w:rFonts w:hint="eastAsia"/>
          <w:b/>
          <w:bCs/>
          <w:color w:val="auto"/>
          <w:sz w:val="28"/>
          <w:szCs w:val="28"/>
          <w:highlight w:val="none"/>
        </w:rPr>
        <w:t>评审及</w:t>
      </w:r>
      <w:bookmarkEnd w:id="80"/>
      <w:bookmarkEnd w:id="81"/>
      <w:bookmarkEnd w:id="82"/>
      <w:bookmarkEnd w:id="83"/>
      <w:r>
        <w:rPr>
          <w:rStyle w:val="29"/>
          <w:rFonts w:hint="eastAsia"/>
          <w:b/>
          <w:bCs/>
          <w:color w:val="auto"/>
          <w:sz w:val="28"/>
          <w:szCs w:val="28"/>
          <w:highlight w:val="none"/>
        </w:rPr>
        <w:t>谈判</w:t>
      </w:r>
      <w:bookmarkEnd w:id="84"/>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2" w:firstLineChars="200"/>
        <w:jc w:val="both"/>
        <w:textAlignment w:val="auto"/>
        <w:rPr>
          <w:rFonts w:hint="eastAsia" w:ascii="宋体" w:hAnsi="宋体" w:eastAsia="宋体" w:cs="宋体"/>
          <w:b/>
          <w:bCs/>
          <w:color w:val="auto"/>
          <w:sz w:val="21"/>
          <w:szCs w:val="21"/>
          <w:highlight w:val="none"/>
        </w:rPr>
      </w:pPr>
      <w:bookmarkStart w:id="85" w:name="_Toc382509460"/>
      <w:bookmarkStart w:id="86" w:name="_Toc2627"/>
      <w:bookmarkStart w:id="87" w:name="_Toc2571"/>
      <w:bookmarkStart w:id="88" w:name="_Toc16706_WPSOffice_Level2"/>
      <w:bookmarkStart w:id="89" w:name="_Toc10122269"/>
      <w:bookmarkStart w:id="90" w:name="_Toc10184880"/>
      <w:r>
        <w:rPr>
          <w:rFonts w:hint="eastAsia" w:ascii="宋体" w:hAnsi="宋体" w:eastAsia="宋体" w:cs="宋体"/>
          <w:b/>
          <w:bCs/>
          <w:color w:val="auto"/>
          <w:sz w:val="21"/>
          <w:szCs w:val="21"/>
          <w:highlight w:val="none"/>
        </w:rPr>
        <w:t>1.评审</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采购方将在“供应商须知前附表”规定的时间组织洽谈。供应商应由其法定代表人或授权代表以及专业技术人员参与。</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采购方的洽谈小组由采购人依法依规组建，采购人代表、商务代表及技术人员三名或三名以上单数评审人员组成。</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洽谈开始前，洽谈小组将首先认真审查各供应商之间是否存在相互围串、报价文件造假等其他禁止报价的情形和供应商提交的采购响应文件，了解其与采购文件的要求是否有偏离，包括但不限于以下内容：</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1.4.1  采购响应文件是否存在混装、雷同、报价规律性差异等情形；</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1.4.2 采购响应文件是否照规定的要求进行编制、装订和签署；</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1.4.3 所提交的各种资格证明文件是否满足</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资格要求并真实、完整、合法、有效；</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1.4.4 根据采购文件要求所提出的技术方案是否完整、可行；</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1.4.5 采购响应书对法律、法规和采购文件其他明确要求的符合性。</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 在掌握了供应商采购响应文件的基本情况后，洽谈小组将与供应商进行磋商、谈判。</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2、谈判</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2.1谈判小组按照递交的采购响应性文件应就采购项目的技术要求、市场价格、工程承诺等与供应商进行谈判,</w:t>
      </w:r>
      <w:r>
        <w:rPr>
          <w:rFonts w:hint="eastAsia" w:ascii="宋体" w:hAnsi="宋体" w:eastAsia="宋体" w:cs="宋体"/>
          <w:color w:val="auto"/>
          <w:sz w:val="21"/>
          <w:szCs w:val="21"/>
          <w:highlight w:val="none"/>
        </w:rPr>
        <w:t>并给予所有参加谈判的供应商平等的机会</w:t>
      </w:r>
      <w:r>
        <w:rPr>
          <w:rFonts w:hint="eastAsia" w:ascii="宋体" w:hAnsi="宋体" w:eastAsia="宋体" w:cs="宋体"/>
          <w:bCs/>
          <w:color w:val="auto"/>
          <w:sz w:val="21"/>
          <w:szCs w:val="21"/>
          <w:highlight w:val="none"/>
        </w:rPr>
        <w:t>。在第一轮谈判中，首先会要求供应商就采购响应书中含糊不清、错漏的地方进行澄清，并提出问题，然后与供应商就其价格构成与高低进行谈判。在其后的谈判中，谈判小组将要求供应商就之前提出的问题进行确认，然后报出自己能承受的最终价格，以书面形式确认，并由法定代表人或其授权人签署；</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谈判中，采购方的采购文件如有实质性变动的，谈判小组将以书面形式通知参加谈判的供应商。供应商也可以对自己采购响应文件中的有关技术配置、售后服务和报价等方面的问题进行修改，以符合采购文件的要求；</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2.3谈判小组将依据供应商最终提交的最终确认文件进行认真的审查，如满足采购文件的要求、价格合理，谈判小组将按照评审后</w:t>
      </w:r>
      <w:r>
        <w:rPr>
          <w:rFonts w:hint="eastAsia" w:hAnsi="宋体" w:cs="宋体"/>
          <w:bCs/>
          <w:color w:val="auto"/>
          <w:sz w:val="21"/>
          <w:szCs w:val="21"/>
          <w:highlight w:val="none"/>
          <w:lang w:val="en-US" w:eastAsia="zh-CN"/>
        </w:rPr>
        <w:t>综合得分由高到低顺序</w:t>
      </w:r>
      <w:r>
        <w:rPr>
          <w:rFonts w:hint="eastAsia" w:ascii="宋体" w:hAnsi="宋体" w:eastAsia="宋体" w:cs="宋体"/>
          <w:bCs/>
          <w:color w:val="auto"/>
          <w:sz w:val="21"/>
          <w:szCs w:val="21"/>
          <w:highlight w:val="none"/>
        </w:rPr>
        <w:t>推荐成交候选供应商。否则，重新组织采购或终止采购。</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2.4谈判的任何一方在未征得另一方同意的情况下，不得向第三方透露与谈判有关的一切技术资料、价格或其他信息。</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2" w:firstLineChars="200"/>
        <w:jc w:val="both"/>
        <w:textAlignment w:val="auto"/>
        <w:rPr>
          <w:rFonts w:hint="eastAsia" w:ascii="宋体" w:hAnsi="宋体" w:eastAsia="宋体" w:cs="宋体"/>
          <w:b/>
          <w:bCs/>
          <w:color w:val="auto"/>
          <w:sz w:val="21"/>
          <w:szCs w:val="21"/>
          <w:highlight w:val="none"/>
        </w:rPr>
      </w:pPr>
      <w:bookmarkStart w:id="91" w:name="_Toc14265"/>
      <w:bookmarkStart w:id="92" w:name="_Toc20290"/>
      <w:bookmarkStart w:id="93" w:name="_Toc55664556"/>
      <w:bookmarkStart w:id="94" w:name="_Toc11276"/>
      <w:r>
        <w:rPr>
          <w:rFonts w:hint="eastAsia" w:ascii="宋体" w:hAnsi="宋体" w:eastAsia="宋体" w:cs="宋体"/>
          <w:b/>
          <w:bCs/>
          <w:color w:val="auto"/>
          <w:sz w:val="21"/>
          <w:szCs w:val="21"/>
          <w:highlight w:val="none"/>
        </w:rPr>
        <w:t>3、评审报告</w:t>
      </w:r>
      <w:bookmarkEnd w:id="91"/>
      <w:bookmarkEnd w:id="92"/>
      <w:bookmarkEnd w:id="93"/>
      <w:bookmarkEnd w:id="94"/>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 洽谈小组完成评审后，应当向采购人提出书面评审报告。</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 评审报告由洽谈小组全体成员签字。对评审结论持有异议的洽谈小组成员可以书面方式阐述其不同意见和理由。洽谈小组成员拒绝在评审报告上签字且不陈述其不同意见和理由的，视为同意评审结论。洽谈小组应当对此作出书面说明并记录在案。</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 洽谈小组向采购人提交书面评审报告后，洽谈小组即告解散。</w:t>
      </w:r>
    </w:p>
    <w:p>
      <w:pPr>
        <w:pageBreakBefore w:val="0"/>
        <w:kinsoku/>
        <w:wordWrap/>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sz w:val="21"/>
          <w:szCs w:val="21"/>
          <w:highlight w:val="none"/>
        </w:rPr>
      </w:pPr>
      <w:bookmarkStart w:id="95" w:name="_Toc25834"/>
      <w:bookmarkStart w:id="96" w:name="_Toc32227"/>
      <w:bookmarkStart w:id="97" w:name="_Toc24596"/>
      <w:bookmarkStart w:id="98" w:name="_Toc55664557"/>
      <w:r>
        <w:rPr>
          <w:rFonts w:hint="eastAsia" w:ascii="宋体" w:hAnsi="宋体" w:eastAsia="宋体" w:cs="宋体"/>
          <w:b/>
          <w:bCs/>
          <w:color w:val="auto"/>
          <w:sz w:val="21"/>
          <w:szCs w:val="21"/>
          <w:highlight w:val="none"/>
        </w:rPr>
        <w:t>4、评分办法</w:t>
      </w:r>
      <w:bookmarkEnd w:id="95"/>
      <w:bookmarkEnd w:id="96"/>
      <w:bookmarkEnd w:id="97"/>
      <w:bookmarkEnd w:id="98"/>
    </w:p>
    <w:p>
      <w:pPr>
        <w:pageBreakBefore w:val="0"/>
        <w:kinsoku/>
        <w:wordWrap/>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本次谈判采用综合评审法，只对有效的且进行实质性响应的文件进行评分，对响应文件提出的货物质量和技术性能、产品业绩、交货期及保证措施、质量保证和售后服务、企业信誉及综合实力、产品报价等逐项进行打分，满分为100分，最后综合各评委的打分情况，根据得分由高向低推荐出成交候选人排序。供应商必须保证响应文件中的内容真实有效，否则其响应将被拒绝。</w:t>
      </w:r>
    </w:p>
    <w:p>
      <w:pPr>
        <w:widowControl/>
        <w:spacing w:line="360" w:lineRule="auto"/>
        <w:ind w:firstLine="560" w:firstLineChars="200"/>
        <w:jc w:val="left"/>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评分细则（合计100分）：</w:t>
      </w:r>
    </w:p>
    <w:tbl>
      <w:tblPr>
        <w:tblStyle w:val="20"/>
        <w:tblW w:w="90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9"/>
        <w:gridCol w:w="620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17" w:type="dxa"/>
            <w:vAlign w:val="center"/>
          </w:tcPr>
          <w:p>
            <w:pPr>
              <w:keepNext w:val="0"/>
              <w:keepLines w:val="0"/>
              <w:pageBreakBefore w:val="0"/>
              <w:widowControl/>
              <w:kinsoku/>
              <w:wordWrap/>
              <w:overflowPunct/>
              <w:topLinePunct w:val="0"/>
              <w:autoSpaceDE/>
              <w:autoSpaceDN/>
              <w:bidi w:val="0"/>
              <w:snapToGrid/>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7348" w:type="dxa"/>
            <w:gridSpan w:val="2"/>
            <w:vAlign w:val="center"/>
          </w:tcPr>
          <w:p>
            <w:pPr>
              <w:pStyle w:val="31"/>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b w:val="0"/>
                <w:bCs/>
                <w:snapToGrid/>
                <w:color w:val="auto"/>
                <w:spacing w:val="0"/>
                <w:w w:val="100"/>
                <w:kern w:val="2"/>
                <w:sz w:val="21"/>
                <w:szCs w:val="21"/>
                <w:highlight w:val="none"/>
              </w:rPr>
            </w:pPr>
            <w:r>
              <w:rPr>
                <w:rFonts w:hint="eastAsia" w:ascii="宋体" w:hAnsi="宋体" w:eastAsia="宋体" w:cs="宋体"/>
                <w:b w:val="0"/>
                <w:bCs/>
                <w:snapToGrid/>
                <w:color w:val="auto"/>
                <w:spacing w:val="0"/>
                <w:w w:val="100"/>
                <w:kern w:val="2"/>
                <w:sz w:val="21"/>
                <w:szCs w:val="21"/>
                <w:highlight w:val="none"/>
              </w:rPr>
              <w:t>评分标准</w:t>
            </w:r>
          </w:p>
        </w:tc>
        <w:tc>
          <w:tcPr>
            <w:tcW w:w="844" w:type="dxa"/>
            <w:vAlign w:val="center"/>
          </w:tcPr>
          <w:p>
            <w:pPr>
              <w:pStyle w:val="31"/>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b w:val="0"/>
                <w:bCs/>
                <w:snapToGrid/>
                <w:color w:val="auto"/>
                <w:spacing w:val="0"/>
                <w:w w:val="100"/>
                <w:kern w:val="2"/>
                <w:sz w:val="21"/>
                <w:szCs w:val="21"/>
                <w:highlight w:val="none"/>
              </w:rPr>
            </w:pPr>
            <w:r>
              <w:rPr>
                <w:rFonts w:hint="eastAsia" w:ascii="宋体" w:hAnsi="宋体" w:eastAsia="宋体" w:cs="宋体"/>
                <w:b w:val="0"/>
                <w:bCs/>
                <w:snapToGrid/>
                <w:color w:val="auto"/>
                <w:spacing w:val="0"/>
                <w:w w:val="100"/>
                <w:kern w:val="2"/>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7348" w:type="dxa"/>
            <w:gridSpan w:val="2"/>
            <w:vAlign w:val="center"/>
          </w:tcPr>
          <w:p>
            <w:pPr>
              <w:widowControl/>
              <w:spacing w:line="440" w:lineRule="exact"/>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报价部分</w:t>
            </w:r>
          </w:p>
        </w:tc>
        <w:tc>
          <w:tcPr>
            <w:tcW w:w="844" w:type="dxa"/>
            <w:vAlign w:val="center"/>
          </w:tcPr>
          <w:p>
            <w:pPr>
              <w:widowControl/>
              <w:spacing w:line="440" w:lineRule="exact"/>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7" w:hRule="atLeast"/>
          <w:jc w:val="center"/>
        </w:trPr>
        <w:tc>
          <w:tcPr>
            <w:tcW w:w="817" w:type="dxa"/>
            <w:vMerge w:val="continue"/>
            <w:vAlign w:val="center"/>
          </w:tcPr>
          <w:p>
            <w:pPr>
              <w:widowControl/>
              <w:spacing w:line="440" w:lineRule="exact"/>
              <w:jc w:val="center"/>
              <w:rPr>
                <w:rFonts w:hint="eastAsia" w:ascii="宋体" w:hAnsi="宋体" w:eastAsia="宋体" w:cs="宋体"/>
                <w:color w:val="auto"/>
                <w:kern w:val="0"/>
                <w:sz w:val="21"/>
                <w:szCs w:val="21"/>
                <w:highlight w:val="none"/>
              </w:rPr>
            </w:pPr>
          </w:p>
        </w:tc>
        <w:tc>
          <w:tcPr>
            <w:tcW w:w="113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w:t>
            </w:r>
          </w:p>
        </w:tc>
        <w:tc>
          <w:tcPr>
            <w:tcW w:w="62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有效供应商中的平均价格的95%作为评标基准价。若供应商为6家（含6家）以上时，分别去掉一个最高有效投标报价和一个最低有效投标报价，取剩余有效投标报价的平均价格的95%作为评标基准价。投标报价等于评标基准价得</w:t>
            </w:r>
            <w:r>
              <w:rPr>
                <w:rFonts w:hint="eastAsia" w:ascii="宋体" w:hAnsi="宋体" w:eastAsia="宋体" w:cs="宋体"/>
                <w:b/>
                <w:bCs/>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分，每高于评标基准价1%扣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最多扣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每低于评标基准价1%</w:t>
            </w:r>
            <w:r>
              <w:rPr>
                <w:rFonts w:hint="eastAsia" w:ascii="宋体" w:hAnsi="宋体" w:eastAsia="宋体" w:cs="宋体"/>
                <w:color w:val="auto"/>
                <w:kern w:val="0"/>
                <w:sz w:val="21"/>
                <w:szCs w:val="21"/>
                <w:highlight w:val="none"/>
                <w:lang w:val="en-US" w:eastAsia="zh-CN"/>
              </w:rPr>
              <w:t>加0.5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最多加5分</w:t>
            </w:r>
            <w:r>
              <w:rPr>
                <w:rFonts w:hint="eastAsia" w:ascii="宋体" w:hAnsi="宋体" w:eastAsia="宋体" w:cs="宋体"/>
                <w:color w:val="auto"/>
                <w:kern w:val="0"/>
                <w:sz w:val="21"/>
                <w:szCs w:val="21"/>
                <w:highlight w:val="none"/>
              </w:rPr>
              <w:t>。不足1%按插入法计算，保留两位小数。</w:t>
            </w:r>
            <w:r>
              <w:rPr>
                <w:rFonts w:hint="eastAsia" w:cs="Times New Roman"/>
                <w:b w:val="0"/>
                <w:bCs w:val="0"/>
                <w:color w:val="auto"/>
                <w:szCs w:val="21"/>
                <w:highlight w:val="none"/>
                <w:lang w:eastAsia="zh-CN"/>
              </w:rPr>
              <w:t>（</w:t>
            </w:r>
            <w:r>
              <w:rPr>
                <w:rFonts w:hint="eastAsia" w:cs="Times New Roman"/>
                <w:b w:val="0"/>
                <w:bCs w:val="0"/>
                <w:color w:val="auto"/>
                <w:szCs w:val="21"/>
                <w:highlight w:val="none"/>
                <w:lang w:val="en-US" w:eastAsia="zh-CN"/>
              </w:rPr>
              <w:t>若投标人报价被评委员会认定为严重偏离，其报价将认定为无效报价</w:t>
            </w:r>
            <w:r>
              <w:rPr>
                <w:rFonts w:hint="eastAsia" w:cs="Times New Roman"/>
                <w:b w:val="0"/>
                <w:bCs w:val="0"/>
                <w:color w:val="auto"/>
                <w:szCs w:val="21"/>
                <w:highlight w:val="none"/>
                <w:lang w:eastAsia="zh-CN"/>
              </w:rPr>
              <w:t>）</w:t>
            </w:r>
          </w:p>
        </w:tc>
        <w:tc>
          <w:tcPr>
            <w:tcW w:w="844" w:type="dxa"/>
            <w:tcBorders>
              <w:bottom w:val="single" w:color="auto" w:sz="4" w:space="0"/>
            </w:tcBorders>
            <w:vAlign w:val="center"/>
          </w:tcPr>
          <w:p>
            <w:pPr>
              <w:widowControl/>
              <w:spacing w:line="440" w:lineRule="exact"/>
              <w:jc w:val="left"/>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17" w:type="dxa"/>
            <w:vMerge w:val="restart"/>
            <w:vAlign w:val="center"/>
          </w:tcPr>
          <w:p>
            <w:pPr>
              <w:widowControl/>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p>
        </w:tc>
        <w:tc>
          <w:tcPr>
            <w:tcW w:w="734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商务部分</w:t>
            </w:r>
          </w:p>
        </w:tc>
        <w:tc>
          <w:tcPr>
            <w:tcW w:w="844" w:type="dxa"/>
            <w:vAlign w:val="center"/>
          </w:tcPr>
          <w:p>
            <w:pPr>
              <w:widowControl/>
              <w:spacing w:line="440" w:lineRule="exact"/>
              <w:jc w:val="center"/>
              <w:rPr>
                <w:rFonts w:hint="default" w:ascii="宋体" w:hAnsi="宋体" w:eastAsia="宋体" w:cs="宋体"/>
                <w:b/>
                <w:strike/>
                <w:dstrike w:val="0"/>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17" w:type="dxa"/>
            <w:vMerge w:val="continue"/>
            <w:vAlign w:val="center"/>
          </w:tcPr>
          <w:p>
            <w:pPr>
              <w:widowControl/>
              <w:spacing w:line="440" w:lineRule="exact"/>
              <w:jc w:val="left"/>
              <w:rPr>
                <w:rFonts w:hint="eastAsia" w:ascii="宋体" w:hAnsi="宋体" w:eastAsia="宋体" w:cs="宋体"/>
                <w:color w:val="auto"/>
                <w:kern w:val="0"/>
                <w:sz w:val="21"/>
                <w:szCs w:val="21"/>
                <w:highlight w:val="none"/>
              </w:rPr>
            </w:pP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企业实力</w:t>
            </w:r>
          </w:p>
        </w:tc>
        <w:tc>
          <w:tcPr>
            <w:tcW w:w="62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质量、环境、安全与职业健康三体系齐全得3分，少1项扣1分，最低0分。</w:t>
            </w:r>
          </w:p>
        </w:tc>
        <w:tc>
          <w:tcPr>
            <w:tcW w:w="844" w:type="dxa"/>
            <w:vAlign w:val="center"/>
          </w:tcPr>
          <w:p>
            <w:pPr>
              <w:widowControl/>
              <w:spacing w:line="44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7" w:type="dxa"/>
            <w:vMerge w:val="continue"/>
            <w:vAlign w:val="center"/>
          </w:tcPr>
          <w:p>
            <w:pPr>
              <w:widowControl/>
              <w:spacing w:line="440" w:lineRule="exact"/>
              <w:jc w:val="left"/>
              <w:rPr>
                <w:rFonts w:hint="eastAsia" w:ascii="宋体" w:hAnsi="宋体" w:eastAsia="宋体" w:cs="宋体"/>
                <w:color w:val="auto"/>
                <w:kern w:val="0"/>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财务状况</w:t>
            </w:r>
          </w:p>
        </w:tc>
        <w:tc>
          <w:tcPr>
            <w:tcW w:w="6209" w:type="dxa"/>
            <w:tcBorders>
              <w:bottom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三年（2021-2023）或公司成立以来经第三方会计师事务所审计的财务报告，报告齐全、完整得2分，缺少1个年份报告扣1分，扣至0分为止；公司成立不足3年的，按照实际成立年份所需对应审计报告得分；财务指标优秀2分，良好1分，否则不得分。企业信誉（附信用中国查询截图）良好得2分，否则不得分。</w:t>
            </w:r>
          </w:p>
        </w:tc>
        <w:tc>
          <w:tcPr>
            <w:tcW w:w="844" w:type="dxa"/>
            <w:vAlign w:val="center"/>
          </w:tcPr>
          <w:p>
            <w:pPr>
              <w:widowControl/>
              <w:spacing w:line="44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17" w:type="dxa"/>
            <w:vMerge w:val="continue"/>
            <w:vAlign w:val="center"/>
          </w:tcPr>
          <w:p>
            <w:pPr>
              <w:widowControl/>
              <w:spacing w:line="440" w:lineRule="exact"/>
              <w:jc w:val="left"/>
              <w:rPr>
                <w:rFonts w:hint="eastAsia" w:ascii="宋体" w:hAnsi="宋体" w:eastAsia="宋体" w:cs="宋体"/>
                <w:color w:val="auto"/>
                <w:kern w:val="0"/>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类似业绩</w:t>
            </w:r>
          </w:p>
        </w:tc>
        <w:tc>
          <w:tcPr>
            <w:tcW w:w="620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Hans" w:bidi="ar-SA"/>
              </w:rPr>
            </w:pPr>
            <w:r>
              <w:rPr>
                <w:rFonts w:hint="eastAsia" w:ascii="宋体" w:hAnsi="宋体" w:eastAsia="宋体" w:cs="宋体"/>
                <w:color w:val="auto"/>
                <w:kern w:val="0"/>
                <w:sz w:val="21"/>
                <w:szCs w:val="21"/>
                <w:highlight w:val="none"/>
                <w:lang w:val="en-US" w:eastAsia="zh-Hans" w:bidi="ar-SA"/>
              </w:rPr>
              <w:t>需具同类家具业绩，在满足资格条件的基础上，提供至少五个2020年1月1日以来已交付使用的同类项目50万及以上合同业绩（时间以合同的签订日期为准），每具备1个满足要求合同业绩得1分，最高得5分。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Hans" w:bidi="ar-SA"/>
              </w:rPr>
            </w:pPr>
            <w:r>
              <w:rPr>
                <w:rFonts w:hint="eastAsia" w:ascii="宋体" w:hAnsi="宋体" w:eastAsia="宋体" w:cs="宋体"/>
                <w:color w:val="auto"/>
                <w:kern w:val="0"/>
                <w:sz w:val="21"/>
                <w:szCs w:val="21"/>
                <w:highlight w:val="none"/>
                <w:lang w:val="en-US" w:eastAsia="zh-Hans" w:bidi="ar-SA"/>
              </w:rPr>
              <w:t>同类项目业绩指：项目为办公用家具，必须包含办公桌椅、会议桌椅或工位。须提供合同关键页扫描件；合同关键页包含但不限于合同首页、金额页、采购标的页、签章页、日期页。</w:t>
            </w:r>
          </w:p>
        </w:tc>
        <w:tc>
          <w:tcPr>
            <w:tcW w:w="844" w:type="dxa"/>
            <w:vAlign w:val="center"/>
          </w:tcPr>
          <w:p>
            <w:pPr>
              <w:widowControl/>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817" w:type="dxa"/>
            <w:vAlign w:val="center"/>
          </w:tcPr>
          <w:p>
            <w:pPr>
              <w:pStyle w:val="2"/>
              <w:ind w:left="0" w:leftChars="0" w:firstLine="0" w:firstLineChars="0"/>
              <w:rPr>
                <w:rFonts w:hint="eastAsia" w:ascii="宋体" w:hAnsi="宋体" w:eastAsia="宋体" w:cs="宋体"/>
                <w:color w:val="auto"/>
                <w:sz w:val="21"/>
                <w:szCs w:val="21"/>
                <w:highlight w:val="none"/>
              </w:rPr>
            </w:pPr>
          </w:p>
        </w:tc>
        <w:tc>
          <w:tcPr>
            <w:tcW w:w="734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rPr>
              <w:t>技术部分</w:t>
            </w:r>
          </w:p>
        </w:tc>
        <w:tc>
          <w:tcPr>
            <w:tcW w:w="844" w:type="dxa"/>
            <w:vAlign w:val="center"/>
          </w:tcPr>
          <w:p>
            <w:pPr>
              <w:widowControl/>
              <w:spacing w:line="440" w:lineRule="exact"/>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17" w:type="dxa"/>
            <w:vMerge w:val="restart"/>
            <w:vAlign w:val="center"/>
          </w:tcPr>
          <w:p>
            <w:pPr>
              <w:pStyle w:val="2"/>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投标文件是否详实</w:t>
            </w:r>
          </w:p>
        </w:tc>
        <w:tc>
          <w:tcPr>
            <w:tcW w:w="620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投标文件能回应所有需求，得7~</w:t>
            </w:r>
            <w:r>
              <w:rPr>
                <w:rFonts w:hint="eastAsia" w:ascii="宋体" w:hAnsi="宋体" w:eastAsia="宋体" w:cs="宋体"/>
                <w:color w:val="auto"/>
                <w:kern w:val="0"/>
                <w:sz w:val="21"/>
                <w:szCs w:val="21"/>
                <w:highlight w:val="none"/>
                <w:lang w:val="en-US" w:eastAsia="zh-CN" w:bidi="ar-SA"/>
              </w:rPr>
              <w:t>10</w:t>
            </w:r>
            <w:r>
              <w:rPr>
                <w:rFonts w:hint="default" w:ascii="宋体" w:hAnsi="宋体" w:eastAsia="宋体" w:cs="宋体"/>
                <w:color w:val="auto"/>
                <w:kern w:val="0"/>
                <w:sz w:val="21"/>
                <w:szCs w:val="21"/>
                <w:highlight w:val="none"/>
                <w:lang w:val="en-US" w:eastAsia="zh-CN" w:bidi="ar-SA"/>
              </w:rPr>
              <w:t>分，基本满足得4~6分，太简略，不能很好响应需求，得0~3分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817" w:type="dxa"/>
            <w:vMerge w:val="continue"/>
            <w:vAlign w:val="center"/>
          </w:tcPr>
          <w:p>
            <w:pPr>
              <w:pStyle w:val="2"/>
              <w:ind w:left="0" w:leftChars="0" w:firstLine="0" w:firstLineChars="0"/>
              <w:jc w:val="center"/>
              <w:rPr>
                <w:rFonts w:hint="eastAsia" w:ascii="宋体" w:hAnsi="宋体" w:eastAsia="宋体" w:cs="宋体"/>
                <w:color w:val="auto"/>
                <w:sz w:val="21"/>
                <w:szCs w:val="21"/>
                <w:highlight w:val="none"/>
                <w:lang w:val="en-US" w:eastAsia="zh-CN"/>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生产所需原材料检测报告</w:t>
            </w:r>
          </w:p>
        </w:tc>
        <w:tc>
          <w:tcPr>
            <w:tcW w:w="620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提供拟用于本项目的以下17种原材料的抽检报告（委托抽检或抽样检测）：(1)冷轧钢板、(2)水性底漆、(3)热固性粉末涂料、(4)白乳胶（水基型聚合物）、(5)刨花板、(6)中密度纤维板、(7)、冷轧钢板、(8)木皮、(9)高弹海棉、(10)PU皮、(11)阻尼导轨、(12)阻尼铰链、(13)座椅升降气弹簧、(14)五星椅脚、(15)椅轮、（16）钢管等抽样检测报告，每满足一项检测报告的得0.5分，满分6分。【检测报告要求（下同）：自本招标项目招标公告发布之日（含当日）的前一年内取得的拥有CMA（或CAL或CNAS）认证的省级（或直辖市）及以上国家专业检测机构抽样检测的检验报告，且检验结果为合格，受检单位须为投标人；除须提供检测报告外，还应提供相应检测报告在国家市场监督管理总局全国认证认可信息公共服务平台(http://cx.cnca.cn/）网站的下载网页（或截图）作为佐证。不满足上述要求的检测报告不计。】</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4" w:hRule="atLeast"/>
          <w:jc w:val="center"/>
        </w:trPr>
        <w:tc>
          <w:tcPr>
            <w:tcW w:w="817" w:type="dxa"/>
            <w:vMerge w:val="continue"/>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成品检测报告</w:t>
            </w:r>
          </w:p>
        </w:tc>
        <w:tc>
          <w:tcPr>
            <w:tcW w:w="620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投标人提供拟用于本项目的以下10种成品的检测报告（委托抽检或抽样检测）（检测报告要求同本表第2点），按以下标准评分：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屏风工位、（2）工位椅、（3）班台、（4）班椅、（5）会议条桌（折叠培训桌）、（6）折叠会议椅、（7）沙发、（8）钢制文件柜、（9）木制文件柜等成品家具的检测报告，每满足一项检测报告的得0.5分，满分4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817" w:type="dxa"/>
            <w:vMerge w:val="continue"/>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有害物质限量认证</w:t>
            </w:r>
          </w:p>
        </w:tc>
        <w:tc>
          <w:tcPr>
            <w:tcW w:w="6209" w:type="dxa"/>
            <w:tcBorders>
              <w:bottom w:val="single" w:color="auto" w:sz="4" w:space="0"/>
            </w:tcBorders>
            <w:vAlign w:val="center"/>
          </w:tcPr>
          <w:p>
            <w:pPr>
              <w:pStyle w:val="2"/>
              <w:rPr>
                <w:rFonts w:hint="default"/>
                <w:highlight w:val="none"/>
                <w:lang w:val="en-US" w:eastAsia="zh-CN"/>
              </w:rPr>
            </w:pPr>
            <w:r>
              <w:rPr>
                <w:rFonts w:hint="eastAsia"/>
                <w:highlight w:val="none"/>
                <w:lang w:val="en-US" w:eastAsia="zh-CN"/>
              </w:rPr>
              <w:t>提供中国国家认证认可监督管理委员会（CNCA）认可的、有效期内的家具中有害物质限量认证证书，认证覆盖：木家具、金属家具、软体家具（沙发类）、办公椅等，齐全得4分，缺少1项扣1分。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817" w:type="dxa"/>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供货保障</w:t>
            </w:r>
          </w:p>
        </w:tc>
        <w:tc>
          <w:tcPr>
            <w:tcW w:w="6209" w:type="dxa"/>
            <w:tcBorders>
              <w:bottom w:val="single" w:color="auto" w:sz="4" w:space="0"/>
            </w:tcBorders>
            <w:vAlign w:val="center"/>
          </w:tcPr>
          <w:p>
            <w:pPr>
              <w:pStyle w:val="2"/>
              <w:rPr>
                <w:rFonts w:hint="default"/>
                <w:highlight w:val="none"/>
                <w:lang w:val="en-US" w:eastAsia="zh-CN"/>
              </w:rPr>
            </w:pPr>
            <w:r>
              <w:rPr>
                <w:rFonts w:hint="eastAsia"/>
                <w:highlight w:val="none"/>
                <w:lang w:val="en-US" w:eastAsia="zh-CN"/>
              </w:rPr>
              <w:t>优于要求工期：承诺工期在20-25天之内，得2分；承诺工期在25-30天之内，得1分。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817" w:type="dxa"/>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6209" w:type="dxa"/>
            <w:tcBorders>
              <w:bottom w:val="single" w:color="auto" w:sz="4" w:space="0"/>
            </w:tcBorders>
            <w:vAlign w:val="center"/>
          </w:tcPr>
          <w:p>
            <w:pPr>
              <w:pStyle w:val="2"/>
              <w:rPr>
                <w:rFonts w:hint="default"/>
                <w:highlight w:val="none"/>
                <w:lang w:val="en-US" w:eastAsia="zh-CN"/>
              </w:rPr>
            </w:pPr>
            <w:r>
              <w:rPr>
                <w:rFonts w:hint="default"/>
                <w:highlight w:val="none"/>
                <w:lang w:val="en-US" w:eastAsia="zh-CN"/>
              </w:rPr>
              <w:t>根据投标人的生产计划保障、产品品质保障，运输物流保障，内容进行评分：</w:t>
            </w:r>
          </w:p>
          <w:p>
            <w:pPr>
              <w:pStyle w:val="2"/>
              <w:rPr>
                <w:rFonts w:hint="default"/>
                <w:highlight w:val="none"/>
                <w:lang w:val="en-US" w:eastAsia="zh-CN"/>
              </w:rPr>
            </w:pPr>
            <w:r>
              <w:rPr>
                <w:rFonts w:hint="default"/>
                <w:highlight w:val="none"/>
                <w:lang w:val="en-US" w:eastAsia="zh-CN"/>
              </w:rPr>
              <w:t>提供的方案完整、详细、具体、可行性优秀的得</w:t>
            </w:r>
            <w:r>
              <w:rPr>
                <w:rFonts w:hint="eastAsia"/>
                <w:highlight w:val="none"/>
                <w:lang w:val="en-US" w:eastAsia="zh-CN"/>
              </w:rPr>
              <w:t>2</w:t>
            </w:r>
            <w:r>
              <w:rPr>
                <w:rFonts w:hint="default"/>
                <w:highlight w:val="none"/>
                <w:lang w:val="en-US" w:eastAsia="zh-CN"/>
              </w:rPr>
              <w:t>分，提供的方案够周全详细、具体、可行性一般的得1分，提供的方案不周全、可行性差的或未提供的不得分。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817" w:type="dxa"/>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w:t>
            </w:r>
          </w:p>
        </w:tc>
        <w:tc>
          <w:tcPr>
            <w:tcW w:w="6209" w:type="dxa"/>
            <w:tcBorders>
              <w:bottom w:val="single" w:color="auto" w:sz="4" w:space="0"/>
            </w:tcBorders>
            <w:vAlign w:val="center"/>
          </w:tcPr>
          <w:p>
            <w:pPr>
              <w:pStyle w:val="2"/>
              <w:rPr>
                <w:rFonts w:hint="default"/>
                <w:highlight w:val="none"/>
                <w:lang w:val="en-US" w:eastAsia="zh-CN"/>
              </w:rPr>
            </w:pPr>
            <w:r>
              <w:rPr>
                <w:rFonts w:hint="default"/>
                <w:highlight w:val="none"/>
                <w:lang w:val="en-US" w:eastAsia="zh-CN"/>
              </w:rPr>
              <w:t>根据投标人的售后服务内容进行评分：</w:t>
            </w:r>
          </w:p>
          <w:p>
            <w:pPr>
              <w:pStyle w:val="2"/>
              <w:rPr>
                <w:rFonts w:hint="default"/>
                <w:highlight w:val="none"/>
                <w:lang w:val="en-US" w:eastAsia="zh-CN"/>
              </w:rPr>
            </w:pPr>
            <w:r>
              <w:rPr>
                <w:rFonts w:hint="eastAsia"/>
                <w:highlight w:val="none"/>
                <w:lang w:val="en-US" w:eastAsia="zh-CN"/>
              </w:rPr>
              <w:t>1</w:t>
            </w:r>
            <w:r>
              <w:rPr>
                <w:rFonts w:hint="default"/>
                <w:highlight w:val="none"/>
                <w:lang w:val="en-US" w:eastAsia="zh-CN"/>
              </w:rPr>
              <w:t>、售后服务方案：</w:t>
            </w:r>
            <w:r>
              <w:rPr>
                <w:rFonts w:hint="eastAsia"/>
                <w:highlight w:val="none"/>
                <w:lang w:val="en-US" w:eastAsia="zh-CN"/>
              </w:rPr>
              <w:t>针对本项目的</w:t>
            </w:r>
            <w:r>
              <w:rPr>
                <w:rFonts w:hint="default"/>
                <w:highlight w:val="none"/>
                <w:lang w:val="en-US" w:eastAsia="zh-CN"/>
              </w:rPr>
              <w:t>售后服务内容、响应时间与方式、增值服务内容，提供的方案完整、详细、具体、可行性优秀的得2分，提供的方案够周全详细、具体、可行性一般的得1分，提供的方案不周全、可行性差的或未提供的不得分。</w:t>
            </w:r>
          </w:p>
          <w:p>
            <w:pPr>
              <w:pStyle w:val="2"/>
              <w:rPr>
                <w:rFonts w:hint="default"/>
                <w:highlight w:val="none"/>
                <w:lang w:val="en-US" w:eastAsia="zh-CN"/>
              </w:rPr>
            </w:pPr>
            <w:r>
              <w:rPr>
                <w:rFonts w:hint="eastAsia"/>
                <w:highlight w:val="none"/>
                <w:lang w:val="en-US" w:eastAsia="zh-CN"/>
              </w:rPr>
              <w:t>2</w:t>
            </w:r>
            <w:r>
              <w:rPr>
                <w:rFonts w:hint="default"/>
                <w:highlight w:val="none"/>
                <w:lang w:val="en-US" w:eastAsia="zh-CN"/>
              </w:rPr>
              <w:t>、投标人获得商品售后服务评价体系（GB/T 27922-2011）五星（含）以上认证的得1分，其他的不得分。【注：须同时提供相关证书及其官方网站相应信息网页截图作为佐证，否则不得分。】</w:t>
            </w:r>
          </w:p>
          <w:p>
            <w:pPr>
              <w:pStyle w:val="2"/>
              <w:rPr>
                <w:rFonts w:hint="default"/>
                <w:highlight w:val="none"/>
                <w:lang w:val="en-US" w:eastAsia="zh-CN"/>
              </w:rPr>
            </w:pPr>
            <w:r>
              <w:rPr>
                <w:rFonts w:hint="eastAsia"/>
                <w:highlight w:val="none"/>
                <w:lang w:val="en-US" w:eastAsia="zh-CN"/>
              </w:rPr>
              <w:t>3</w:t>
            </w:r>
            <w:r>
              <w:rPr>
                <w:rFonts w:hint="default"/>
                <w:highlight w:val="none"/>
                <w:lang w:val="en-US" w:eastAsia="zh-CN"/>
              </w:rPr>
              <w:t>、投标人承诺的拟负责本项目的售后服务机构，根据其提供售后服务便捷、实施的可能性情况评分：承诺售后服务由投标人或其直属分公司负责，同时该售后服务机构具有5名及以上在职员工，且工商注册地在本项目所在地级市行政区域内（含区，不含其所辖县或县级市）得1分。【注：须同时提供相关营业执照，以及投标截止日所在月的之前六个月公司为至少5名员工缴纳的社保证明材料作为佐证，否则不得分。】</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w:t>
            </w:r>
            <w:r>
              <w:rPr>
                <w:rFonts w:hint="default" w:ascii="Times New Roman" w:hAnsi="Times New Roman" w:eastAsia="宋体" w:cs="Times New Roman"/>
                <w:kern w:val="2"/>
                <w:sz w:val="21"/>
                <w:szCs w:val="24"/>
                <w:highlight w:val="none"/>
                <w:lang w:val="en-US" w:eastAsia="zh-CN" w:bidi="ar-SA"/>
              </w:rPr>
              <w:t>维修响应时间</w:t>
            </w:r>
            <w:r>
              <w:rPr>
                <w:rFonts w:hint="eastAsia" w:ascii="Times New Roman" w:hAnsi="Times New Roman" w:eastAsia="宋体" w:cs="Times New Roman"/>
                <w:kern w:val="2"/>
                <w:sz w:val="21"/>
                <w:szCs w:val="24"/>
                <w:highlight w:val="none"/>
                <w:lang w:val="en-US" w:eastAsia="zh-CN" w:bidi="ar-SA"/>
              </w:rPr>
              <w:t>：维修人员4</w:t>
            </w:r>
            <w:r>
              <w:rPr>
                <w:rFonts w:hint="default" w:ascii="Times New Roman" w:hAnsi="Times New Roman" w:eastAsia="宋体" w:cs="Times New Roman"/>
                <w:kern w:val="2"/>
                <w:sz w:val="21"/>
                <w:szCs w:val="24"/>
                <w:highlight w:val="none"/>
                <w:lang w:val="en-US" w:eastAsia="zh-CN" w:bidi="ar-SA"/>
              </w:rPr>
              <w:t>小时以内到达现场</w:t>
            </w:r>
            <w:r>
              <w:rPr>
                <w:rFonts w:hint="eastAsia" w:ascii="Times New Roman" w:hAnsi="Times New Roman" w:eastAsia="宋体" w:cs="Times New Roman"/>
                <w:kern w:val="2"/>
                <w:sz w:val="21"/>
                <w:szCs w:val="24"/>
                <w:highlight w:val="none"/>
                <w:lang w:val="en-US" w:eastAsia="zh-CN" w:bidi="ar-SA"/>
              </w:rPr>
              <w:t>；</w:t>
            </w:r>
            <w:r>
              <w:rPr>
                <w:rFonts w:hint="default" w:ascii="Times New Roman" w:hAnsi="Times New Roman" w:eastAsia="宋体" w:cs="Times New Roman"/>
                <w:kern w:val="2"/>
                <w:sz w:val="21"/>
                <w:szCs w:val="24"/>
                <w:highlight w:val="none"/>
                <w:lang w:val="en-US" w:eastAsia="zh-CN" w:bidi="ar-SA"/>
              </w:rPr>
              <w:t>故障处理时长：维护人员</w:t>
            </w:r>
            <w:r>
              <w:rPr>
                <w:rFonts w:hint="eastAsia" w:ascii="Times New Roman" w:hAnsi="Times New Roman" w:eastAsia="宋体" w:cs="Times New Roman"/>
                <w:kern w:val="2"/>
                <w:sz w:val="21"/>
                <w:szCs w:val="24"/>
                <w:highlight w:val="none"/>
                <w:lang w:val="en-US" w:eastAsia="zh-CN" w:bidi="ar-SA"/>
              </w:rPr>
              <w:t>8</w:t>
            </w:r>
            <w:r>
              <w:rPr>
                <w:rFonts w:hint="default" w:ascii="Times New Roman" w:hAnsi="Times New Roman" w:eastAsia="宋体" w:cs="Times New Roman"/>
                <w:kern w:val="2"/>
                <w:sz w:val="21"/>
                <w:szCs w:val="24"/>
                <w:highlight w:val="none"/>
                <w:lang w:val="en-US" w:eastAsia="zh-CN" w:bidi="ar-SA"/>
              </w:rPr>
              <w:t>小时内完成故障处理</w:t>
            </w:r>
            <w:r>
              <w:rPr>
                <w:rFonts w:hint="eastAsia" w:ascii="Times New Roman" w:hAnsi="Times New Roman" w:eastAsia="宋体" w:cs="Times New Roman"/>
                <w:kern w:val="2"/>
                <w:sz w:val="21"/>
                <w:szCs w:val="24"/>
                <w:highlight w:val="none"/>
                <w:lang w:val="en-US" w:eastAsia="zh-CN" w:bidi="ar-SA"/>
              </w:rPr>
              <w:t>。得1分。</w:t>
            </w:r>
          </w:p>
          <w:p>
            <w:pPr>
              <w:pStyle w:val="2"/>
              <w:rPr>
                <w:rFonts w:hint="default"/>
                <w:highlight w:val="none"/>
                <w:lang w:val="en-US" w:eastAsia="zh-CN"/>
              </w:rPr>
            </w:pPr>
            <w:r>
              <w:rPr>
                <w:rFonts w:hint="eastAsia"/>
                <w:highlight w:val="none"/>
                <w:lang w:val="en-US" w:eastAsia="zh-CN"/>
              </w:rPr>
              <w:t>5</w:t>
            </w:r>
            <w:r>
              <w:rPr>
                <w:rFonts w:hint="default"/>
                <w:highlight w:val="none"/>
                <w:lang w:val="en-US" w:eastAsia="zh-CN"/>
              </w:rPr>
              <w:t>、投标人承诺的投标货物免费保修期：免费质量保修期不低于5年，其中钢制品免费质量保修期不低于10年的得1分。</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817" w:type="dxa"/>
            <w:vAlign w:val="center"/>
          </w:tcPr>
          <w:p>
            <w:pPr>
              <w:pStyle w:val="2"/>
              <w:ind w:left="0" w:leftChars="0" w:firstLine="0" w:firstLineChars="0"/>
              <w:rPr>
                <w:rFonts w:hint="eastAsia" w:ascii="宋体" w:hAnsi="宋体" w:eastAsia="宋体" w:cs="宋体"/>
                <w:color w:val="auto"/>
                <w:sz w:val="21"/>
                <w:szCs w:val="21"/>
                <w:highlight w:val="none"/>
              </w:rPr>
            </w:pPr>
          </w:p>
        </w:tc>
        <w:tc>
          <w:tcPr>
            <w:tcW w:w="11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提供利旧服务</w:t>
            </w:r>
          </w:p>
        </w:tc>
        <w:tc>
          <w:tcPr>
            <w:tcW w:w="6209" w:type="dxa"/>
            <w:tcBorders>
              <w:bottom w:val="single" w:color="auto" w:sz="4" w:space="0"/>
            </w:tcBorders>
            <w:vAlign w:val="center"/>
          </w:tcPr>
          <w:p>
            <w:pPr>
              <w:pStyle w:val="2"/>
              <w:rPr>
                <w:rFonts w:hint="default"/>
                <w:highlight w:val="none"/>
                <w:lang w:val="en-US" w:eastAsia="zh-CN"/>
              </w:rPr>
            </w:pPr>
            <w:r>
              <w:rPr>
                <w:rFonts w:hint="eastAsia"/>
                <w:highlight w:val="none"/>
                <w:lang w:val="en-US" w:eastAsia="zh-CN"/>
              </w:rPr>
              <w:t>免费提供利旧服务得2分：将3号办公楼部分利旧家具拆、运、装至国投大厦指定房间。（两栋楼相距百米左右，均有电梯）</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jc w:val="center"/>
        </w:trPr>
        <w:tc>
          <w:tcPr>
            <w:tcW w:w="8165" w:type="dxa"/>
            <w:gridSpan w:val="3"/>
            <w:vAlign w:val="center"/>
          </w:tcPr>
          <w:p>
            <w:pPr>
              <w:widowControl/>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844" w:type="dxa"/>
            <w:vAlign w:val="center"/>
          </w:tcPr>
          <w:p>
            <w:pPr>
              <w:widowControl/>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r>
    </w:tbl>
    <w:p/>
    <w:p>
      <w:pPr>
        <w:pStyle w:val="4"/>
        <w:keepNext/>
        <w:keepLines/>
        <w:pageBreakBefore w:val="0"/>
        <w:widowControl/>
        <w:kinsoku/>
        <w:wordWrap/>
        <w:overflowPunct/>
        <w:topLinePunct w:val="0"/>
        <w:autoSpaceDE/>
        <w:autoSpaceDN/>
        <w:bidi w:val="0"/>
        <w:adjustRightInd/>
        <w:snapToGrid/>
        <w:spacing w:before="140" w:after="0" w:line="360" w:lineRule="auto"/>
        <w:textAlignment w:val="auto"/>
        <w:rPr>
          <w:color w:val="auto"/>
          <w:highlight w:val="none"/>
        </w:rPr>
      </w:pPr>
      <w:r>
        <w:rPr>
          <w:rFonts w:hint="eastAsia"/>
          <w:color w:val="auto"/>
          <w:highlight w:val="none"/>
        </w:rPr>
        <w:t>六</w:t>
      </w:r>
      <w:r>
        <w:rPr>
          <w:color w:val="auto"/>
          <w:highlight w:val="none"/>
        </w:rPr>
        <w:t>、</w:t>
      </w:r>
      <w:r>
        <w:rPr>
          <w:rFonts w:hint="eastAsia"/>
          <w:color w:val="auto"/>
          <w:highlight w:val="none"/>
        </w:rPr>
        <w:t>签订</w:t>
      </w:r>
      <w:r>
        <w:rPr>
          <w:color w:val="auto"/>
          <w:highlight w:val="none"/>
        </w:rPr>
        <w:t>合同</w:t>
      </w:r>
      <w:bookmarkEnd w:id="85"/>
      <w:bookmarkEnd w:id="86"/>
      <w:bookmarkEnd w:id="87"/>
      <w:bookmarkEnd w:id="88"/>
      <w:bookmarkEnd w:id="89"/>
      <w:bookmarkEnd w:id="90"/>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1、采购人向成交供应商发出成交通知书。</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2、成交供应商收到成交通知书后</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天内，应派授权代表前往采购人所在地点签订合同。</w:t>
      </w:r>
    </w:p>
    <w:p>
      <w:pPr>
        <w:pStyle w:val="17"/>
        <w:pageBreakBefore w:val="0"/>
        <w:widowControl w:val="0"/>
        <w:tabs>
          <w:tab w:val="left" w:pos="720"/>
        </w:tabs>
        <w:kinsoku/>
        <w:wordWrap/>
        <w:topLinePunct w:val="0"/>
        <w:autoSpaceDE/>
        <w:autoSpaceDN/>
        <w:bidi w:val="0"/>
        <w:adjustRightInd/>
        <w:snapToGrid/>
        <w:spacing w:before="0" w:beforeAutospacing="0" w:after="0" w:afterAutospacing="0" w:line="420" w:lineRule="exact"/>
        <w:ind w:left="-2" w:leftChars="-1" w:right="28" w:firstLine="420" w:firstLineChars="200"/>
        <w:jc w:val="both"/>
        <w:textAlignment w:val="auto"/>
        <w:rPr>
          <w:rFonts w:hint="eastAsia" w:hAnsi="Times New Roman" w:cs="Times New Roman"/>
          <w:bCs/>
          <w:color w:val="auto"/>
          <w:highlight w:val="none"/>
        </w:rPr>
      </w:pPr>
      <w:r>
        <w:rPr>
          <w:rFonts w:hint="eastAsia" w:ascii="宋体" w:hAnsi="宋体" w:eastAsia="宋体" w:cs="宋体"/>
          <w:bCs/>
          <w:color w:val="auto"/>
          <w:sz w:val="21"/>
          <w:szCs w:val="21"/>
          <w:highlight w:val="none"/>
        </w:rPr>
        <w:t>3、成交供应商因不可抗力不能履行采购合同的，采购人可以提出本次采购作废，并进行重新采购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因自身原因不履行合同时，采购人除将重新采购外，还将视情形综合进行考评，将其列入集团/公司级黑名单。</w:t>
      </w:r>
      <w:bookmarkStart w:id="99" w:name="_Toc410728179"/>
      <w:bookmarkStart w:id="100" w:name="_Toc323936906"/>
      <w:bookmarkStart w:id="101" w:name="_Toc32076"/>
      <w:bookmarkStart w:id="102" w:name="_Toc187428936"/>
      <w:bookmarkStart w:id="103" w:name="_Toc410725852"/>
      <w:bookmarkStart w:id="104" w:name="_Toc31126408"/>
      <w:bookmarkStart w:id="105" w:name="_Toc10122274"/>
      <w:bookmarkStart w:id="106" w:name="_Toc22166"/>
    </w:p>
    <w:bookmarkEnd w:id="99"/>
    <w:bookmarkEnd w:id="100"/>
    <w:bookmarkEnd w:id="101"/>
    <w:bookmarkEnd w:id="102"/>
    <w:bookmarkEnd w:id="103"/>
    <w:bookmarkEnd w:id="104"/>
    <w:p>
      <w:pPr>
        <w:pStyle w:val="27"/>
        <w:rPr>
          <w:color w:val="auto"/>
          <w:highlight w:val="none"/>
          <w:lang w:val="en-US" w:eastAsia="zh-CN"/>
        </w:rPr>
        <w:sectPr>
          <w:headerReference r:id="rId5" w:type="default"/>
          <w:footerReference r:id="rId6" w:type="default"/>
          <w:pgSz w:w="11906" w:h="16838"/>
          <w:pgMar w:top="176" w:right="1440" w:bottom="403" w:left="1440" w:header="851" w:footer="992" w:gutter="0"/>
          <w:pgNumType w:fmt="decimal"/>
          <w:cols w:space="720" w:num="1"/>
          <w:docGrid w:type="lines" w:linePitch="419" w:charSpace="0"/>
        </w:sectPr>
      </w:pPr>
      <w:bookmarkStart w:id="107" w:name="_Toc5841"/>
    </w:p>
    <w:p>
      <w:pPr>
        <w:pStyle w:val="3"/>
        <w:keepNext/>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Times New Roman" w:eastAsia="宋体" w:cs="Times New Roman"/>
          <w:b/>
          <w:color w:val="auto"/>
          <w:kern w:val="2"/>
          <w:sz w:val="30"/>
          <w:szCs w:val="30"/>
          <w:highlight w:val="none"/>
          <w:lang w:val="en-US" w:eastAsia="zh-CN" w:bidi="ar-SA"/>
        </w:rPr>
      </w:pPr>
      <w:r>
        <w:rPr>
          <w:rFonts w:ascii="宋体" w:hAnsi="Times New Roman" w:eastAsia="宋体" w:cs="Times New Roman"/>
          <w:b/>
          <w:color w:val="auto"/>
          <w:kern w:val="2"/>
          <w:sz w:val="30"/>
          <w:szCs w:val="30"/>
          <w:highlight w:val="none"/>
          <w:lang w:val="en-US" w:eastAsia="zh-CN" w:bidi="ar-SA"/>
        </w:rPr>
        <w:t>第</w:t>
      </w:r>
      <w:r>
        <w:rPr>
          <w:rFonts w:hint="eastAsia" w:ascii="宋体" w:hAnsi="Times New Roman" w:eastAsia="宋体" w:cs="Times New Roman"/>
          <w:b/>
          <w:color w:val="auto"/>
          <w:kern w:val="2"/>
          <w:sz w:val="30"/>
          <w:szCs w:val="30"/>
          <w:highlight w:val="none"/>
          <w:lang w:val="en-US" w:eastAsia="zh-CN" w:bidi="ar-SA"/>
        </w:rPr>
        <w:t>三</w:t>
      </w:r>
      <w:r>
        <w:rPr>
          <w:rFonts w:ascii="宋体" w:hAnsi="Times New Roman" w:eastAsia="宋体" w:cs="Times New Roman"/>
          <w:b/>
          <w:color w:val="auto"/>
          <w:kern w:val="2"/>
          <w:sz w:val="30"/>
          <w:szCs w:val="30"/>
          <w:highlight w:val="none"/>
          <w:lang w:val="en-US" w:eastAsia="zh-CN" w:bidi="ar-SA"/>
        </w:rPr>
        <w:t>章</w:t>
      </w:r>
      <w:r>
        <w:rPr>
          <w:rFonts w:hint="eastAsia" w:ascii="宋体" w:hAnsi="Times New Roman" w:eastAsia="宋体" w:cs="Times New Roman"/>
          <w:b/>
          <w:color w:val="auto"/>
          <w:kern w:val="2"/>
          <w:sz w:val="30"/>
          <w:szCs w:val="30"/>
          <w:highlight w:val="none"/>
          <w:lang w:val="en-US" w:eastAsia="zh-CN" w:bidi="ar-SA"/>
        </w:rPr>
        <w:t>合同主要条款</w:t>
      </w:r>
    </w:p>
    <w:p>
      <w:pPr>
        <w:jc w:val="center"/>
        <w:rPr>
          <w:rFonts w:hint="default" w:eastAsia="宋体"/>
          <w:lang w:val="en-US" w:eastAsia="zh-CN"/>
        </w:rPr>
      </w:pPr>
      <w:r>
        <w:rPr>
          <w:rFonts w:hint="default" w:ascii="Times New Roman" w:hAnsi="Times New Roman" w:eastAsia="方正小标宋简体" w:cs="Times New Roman"/>
          <w:b w:val="0"/>
          <w:bCs w:val="0"/>
          <w:i w:val="0"/>
          <w:iCs w:val="0"/>
          <w:color w:val="auto"/>
          <w:kern w:val="2"/>
          <w:sz w:val="36"/>
          <w:szCs w:val="36"/>
          <w:highlight w:val="none"/>
          <w:u w:val="none"/>
          <w:lang w:val="en-US" w:eastAsia="zh-CN" w:bidi="ar"/>
        </w:rPr>
        <w:t xml:space="preserve">  </w:t>
      </w:r>
      <w:r>
        <w:rPr>
          <w:rFonts w:hint="eastAsia" w:ascii="方正小标宋简体" w:hAnsi="方正小标宋简体" w:eastAsia="方正小标宋简体" w:cs="方正小标宋简体"/>
          <w:b w:val="0"/>
          <w:bCs/>
          <w:sz w:val="36"/>
          <w:szCs w:val="36"/>
          <w:lang w:val="en-US" w:eastAsia="zh-CN"/>
        </w:rPr>
        <w:t>国投大厦办公区家具购置合同</w:t>
      </w:r>
    </w:p>
    <w:p>
      <w:pPr>
        <w:pageBreakBefore w:val="0"/>
        <w:kinsoku/>
        <w:wordWrap/>
        <w:overflowPunct/>
        <w:topLinePunct w:val="0"/>
        <w:bidi w:val="0"/>
        <w:spacing w:line="560" w:lineRule="exact"/>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甲方：</w:t>
      </w:r>
    </w:p>
    <w:p>
      <w:pPr>
        <w:pageBreakBefore w:val="0"/>
        <w:kinsoku/>
        <w:wordWrap/>
        <w:overflowPunct/>
        <w:topLinePunct w:val="0"/>
        <w:bidi w:val="0"/>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t>乙方：</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08" w:name="_Toc36715226"/>
      <w:bookmarkStart w:id="109" w:name="_Toc83897902"/>
      <w:r>
        <w:rPr>
          <w:rFonts w:hint="default" w:ascii="Times New Roman" w:hAnsi="Times New Roman" w:eastAsia="黑体" w:cs="Times New Roman"/>
          <w:b w:val="0"/>
          <w:bCs w:val="0"/>
          <w:color w:val="000000"/>
          <w:sz w:val="30"/>
          <w:szCs w:val="30"/>
        </w:rPr>
        <w:t>1．</w:t>
      </w:r>
      <w:bookmarkEnd w:id="108"/>
      <w:r>
        <w:rPr>
          <w:rFonts w:hint="default" w:ascii="Times New Roman" w:hAnsi="Times New Roman" w:eastAsia="黑体" w:cs="Times New Roman"/>
          <w:b w:val="0"/>
          <w:bCs w:val="0"/>
          <w:color w:val="000000"/>
          <w:sz w:val="30"/>
          <w:szCs w:val="30"/>
        </w:rPr>
        <w:t>合同条件</w:t>
      </w:r>
      <w:bookmarkEnd w:id="109"/>
    </w:p>
    <w:p>
      <w:pPr>
        <w:pageBreakBefore w:val="0"/>
        <w:kinsoku/>
        <w:wordWrap/>
        <w:overflowPunct/>
        <w:topLinePunct w:val="0"/>
        <w:bidi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采用国家工商行政管理局和建设部颁发的“标准合同条件”。</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10" w:name="_Toc83897903"/>
      <w:r>
        <w:rPr>
          <w:rFonts w:hint="default" w:ascii="Times New Roman" w:hAnsi="Times New Roman" w:eastAsia="黑体" w:cs="Times New Roman"/>
          <w:b w:val="0"/>
          <w:bCs w:val="0"/>
          <w:color w:val="000000"/>
          <w:sz w:val="30"/>
          <w:szCs w:val="30"/>
        </w:rPr>
        <w:t>2．合同文件使用的语言和适用标准、法律</w:t>
      </w:r>
      <w:bookmarkEnd w:id="110"/>
    </w:p>
    <w:p>
      <w:pPr>
        <w:pageBreakBefore w:val="0"/>
        <w:kinsoku/>
        <w:wordWrap/>
        <w:overflowPunct/>
        <w:topLinePunct w:val="0"/>
        <w:bidi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2.1合同语言：汉语；</w:t>
      </w:r>
    </w:p>
    <w:p>
      <w:pPr>
        <w:pageBreakBefore w:val="0"/>
        <w:kinsoku/>
        <w:wordWrap/>
        <w:overflowPunct/>
        <w:topLinePunct w:val="0"/>
        <w:bidi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2.2适用的标准、规范：国家有关技术规范、技术标准；</w:t>
      </w:r>
    </w:p>
    <w:p>
      <w:pPr>
        <w:pageBreakBefore w:val="0"/>
        <w:kinsoku/>
        <w:wordWrap/>
        <w:overflowPunct/>
        <w:topLinePunct w:val="0"/>
        <w:bidi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2.3适用法律、法规：《中华人民共和国民法典》相关法规。</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11" w:name="_Toc83897904"/>
      <w:r>
        <w:rPr>
          <w:rFonts w:hint="default" w:ascii="Times New Roman" w:hAnsi="Times New Roman" w:eastAsia="黑体" w:cs="Times New Roman"/>
          <w:b w:val="0"/>
          <w:bCs w:val="0"/>
          <w:color w:val="000000"/>
          <w:sz w:val="30"/>
          <w:szCs w:val="30"/>
        </w:rPr>
        <w:t>3．设计与生产</w:t>
      </w:r>
      <w:bookmarkEnd w:id="111"/>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3.1 合同签订后，乙方应于</w:t>
      </w:r>
      <w:r>
        <w:rPr>
          <w:rFonts w:hint="default" w:ascii="Times New Roman" w:hAnsi="Times New Roman" w:eastAsia="方正仿宋简体" w:cs="Times New Roman"/>
          <w:color w:val="000000"/>
          <w:sz w:val="30"/>
          <w:szCs w:val="30"/>
          <w:lang w:val="en-US" w:eastAsia="zh-CN"/>
        </w:rPr>
        <w:t>3</w:t>
      </w:r>
      <w:r>
        <w:rPr>
          <w:rFonts w:hint="default" w:ascii="Times New Roman" w:hAnsi="Times New Roman" w:eastAsia="方正仿宋简体" w:cs="Times New Roman"/>
          <w:color w:val="000000"/>
          <w:sz w:val="30"/>
          <w:szCs w:val="30"/>
        </w:rPr>
        <w:t>日内完成现场勘验及深化设计，承诺按照现场实际情况与采购人要求，现场家具定位及与现场强弱电施工单位配合等，对家具细节设计、家具摆放设计、家具配件样式、强弱电布局设计等方面内容进行调整，且不影响该</w:t>
      </w:r>
      <w:r>
        <w:rPr>
          <w:rFonts w:hint="default" w:ascii="Times New Roman" w:hAnsi="Times New Roman" w:eastAsia="方正仿宋简体" w:cs="Times New Roman"/>
          <w:color w:val="000000"/>
          <w:sz w:val="30"/>
          <w:szCs w:val="30"/>
          <w:lang w:val="en-US" w:eastAsia="zh-CN"/>
        </w:rPr>
        <w:t>批</w:t>
      </w:r>
      <w:r>
        <w:rPr>
          <w:rFonts w:hint="default" w:ascii="Times New Roman" w:hAnsi="Times New Roman" w:eastAsia="方正仿宋简体" w:cs="Times New Roman"/>
          <w:color w:val="000000"/>
          <w:sz w:val="30"/>
          <w:szCs w:val="30"/>
        </w:rPr>
        <w:t>家具的单价，并保证品质、功能不得低于或少于配置清单中所列标准。</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3.2 乙方在家具正式生产前，须按照甲方要求，向甲方出具所有家具的最终设计稿和效果图，待甲方确认后方可实施。甲方保留对所采购家具进行变更、调整的权利，办公家具制作过程中如甲方对其单项规格尺寸调整幅度≦±10%，则不产生额外费用，仍按合同价格计费。</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3.3 乙方应根据深化设计方案提供家具样图，经甲方确认后方可按样图款式及质量标准组织正式生产。</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3.4 甲方保留增加或减少本项目任一家具的数量的权利，数量的增加或减少不影响该家具的单价，家具最终合同价款应根据实际的家具数量进行核算。</w:t>
      </w:r>
      <w:bookmarkStart w:id="112" w:name="_Toc435196497"/>
    </w:p>
    <w:bookmarkEnd w:id="112"/>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3.5</w:t>
      </w:r>
      <w:r>
        <w:rPr>
          <w:rFonts w:hint="default" w:ascii="Times New Roman" w:hAnsi="Times New Roman" w:eastAsia="方正仿宋简体" w:cs="Times New Roman"/>
          <w:color w:val="000000"/>
          <w:sz w:val="30"/>
          <w:szCs w:val="30"/>
          <w:lang w:val="en-US" w:eastAsia="zh-CN"/>
        </w:rPr>
        <w:t xml:space="preserve"> </w:t>
      </w:r>
      <w:r>
        <w:rPr>
          <w:rFonts w:hint="default" w:ascii="Times New Roman" w:hAnsi="Times New Roman" w:eastAsia="方正仿宋简体" w:cs="Times New Roman"/>
          <w:color w:val="000000"/>
          <w:sz w:val="30"/>
          <w:szCs w:val="30"/>
        </w:rPr>
        <w:t>在任何情况下，乙方不得将本项目的任何工作转包、分包给第三方或以其它任何方式将本项目的权利、义务转让给第三方。</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3.6 乙方组织生产前应向甲方提供产品所有原材料的样品（封存）、质量检验及环保检验合格证明。</w:t>
      </w:r>
      <w:bookmarkStart w:id="113" w:name="_Toc435196498"/>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14" w:name="_Toc83897905"/>
      <w:r>
        <w:rPr>
          <w:rFonts w:hint="default" w:ascii="Times New Roman" w:hAnsi="Times New Roman" w:eastAsia="黑体" w:cs="Times New Roman"/>
          <w:b w:val="0"/>
          <w:bCs w:val="0"/>
          <w:color w:val="000000"/>
          <w:sz w:val="30"/>
          <w:szCs w:val="30"/>
        </w:rPr>
        <w:t>4．交货时间与地点（货物安装地点）</w:t>
      </w:r>
      <w:bookmarkEnd w:id="113"/>
      <w:bookmarkEnd w:id="114"/>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4.1 合同签订后</w:t>
      </w:r>
      <w:r>
        <w:rPr>
          <w:rFonts w:hint="default" w:ascii="Times New Roman" w:hAnsi="Times New Roman" w:eastAsia="方正仿宋简体" w:cs="Times New Roman"/>
          <w:sz w:val="30"/>
          <w:szCs w:val="30"/>
          <w:lang w:val="en-US"/>
        </w:rPr>
        <w:t>按甲方要求交付，</w:t>
      </w:r>
      <w:r>
        <w:rPr>
          <w:rFonts w:hint="default" w:ascii="Times New Roman" w:hAnsi="Times New Roman" w:eastAsia="方正仿宋简体" w:cs="Times New Roman"/>
          <w:sz w:val="30"/>
          <w:szCs w:val="30"/>
        </w:rPr>
        <w:t>货物于</w:t>
      </w:r>
      <w:r>
        <w:rPr>
          <w:rFonts w:hint="default" w:ascii="Times New Roman" w:hAnsi="Times New Roman" w:eastAsia="方正仿宋简体" w:cs="Times New Roman"/>
          <w:sz w:val="30"/>
          <w:szCs w:val="30"/>
          <w:lang w:val="en-US" w:eastAsia="zh-CN"/>
        </w:rPr>
        <w:t>30</w:t>
      </w:r>
      <w:r>
        <w:rPr>
          <w:rFonts w:hint="default" w:ascii="Times New Roman" w:hAnsi="Times New Roman" w:eastAsia="方正仿宋简体" w:cs="Times New Roman"/>
          <w:sz w:val="30"/>
          <w:szCs w:val="30"/>
        </w:rPr>
        <w:t>个</w:t>
      </w:r>
      <w:r>
        <w:rPr>
          <w:rFonts w:hint="default" w:ascii="Times New Roman" w:hAnsi="Times New Roman" w:eastAsia="方正仿宋简体" w:cs="Times New Roman"/>
          <w:color w:val="000000"/>
          <w:sz w:val="30"/>
          <w:szCs w:val="30"/>
        </w:rPr>
        <w:t>自然</w:t>
      </w:r>
      <w:r>
        <w:rPr>
          <w:rFonts w:hint="default" w:ascii="Times New Roman" w:hAnsi="Times New Roman" w:eastAsia="方正仿宋简体" w:cs="Times New Roman"/>
          <w:sz w:val="30"/>
          <w:szCs w:val="30"/>
        </w:rPr>
        <w:t>日内到货。甲方有权根据实际情况对分批到货及安装方案进行调整。甲方有权通知乙方将家具到货时间延后，如因甲方的原因导致延期交货，由乙方负责所有货物的仓储及运输。如有调整，甲方应提前7日通知乙方。</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4.2 乙方应按期交货，因延期交货给甲方造成的损失应承担相关法律责任。</w:t>
      </w:r>
      <w:bookmarkStart w:id="115" w:name="_Toc435196500"/>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4.3 乙方保证提供给甲方的家具为全新、无损坏的产品，有关质量标准符合国家相关的标准和办公家具清单（附件）中要求，同时产品应达到乙方出厂技术标准和质量标准。</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4.4 产品交货地点为</w:t>
      </w:r>
      <w:r>
        <w:rPr>
          <w:rFonts w:hint="default" w:ascii="Times New Roman" w:hAnsi="Times New Roman" w:eastAsia="方正仿宋简体" w:cs="Times New Roman"/>
          <w:sz w:val="30"/>
          <w:szCs w:val="30"/>
          <w:lang w:val="en-US" w:eastAsia="zh-CN"/>
        </w:rPr>
        <w:t>天津</w:t>
      </w:r>
      <w:r>
        <w:rPr>
          <w:rFonts w:hint="default" w:ascii="Times New Roman" w:hAnsi="Times New Roman" w:eastAsia="方正仿宋简体" w:cs="Times New Roman"/>
          <w:sz w:val="30"/>
          <w:szCs w:val="30"/>
        </w:rPr>
        <w:t>市内。乙方负责运输至甲方指定地点，运输、包装、装卸及运输保险费用由乙方负担，货物在甲方验收合格并接收完成前的全部风险由乙方承担。如交货地点发生变化，甲方将提前7日通知乙方。</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16" w:name="_Toc83897906"/>
      <w:r>
        <w:rPr>
          <w:rFonts w:hint="default" w:ascii="Times New Roman" w:hAnsi="Times New Roman" w:eastAsia="黑体" w:cs="Times New Roman"/>
          <w:b w:val="0"/>
          <w:bCs w:val="0"/>
          <w:color w:val="000000"/>
          <w:sz w:val="30"/>
          <w:szCs w:val="30"/>
        </w:rPr>
        <w:t>5．产品安装</w:t>
      </w:r>
      <w:bookmarkEnd w:id="115"/>
      <w:bookmarkEnd w:id="116"/>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5.1 乙方应派有经验的技术人员到现场进行安装、直到家具正常使用，其费用由乙方负担。</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5.2 乙方应自行携带安装全部所需的工具。</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5.3 安装过程中，乙方应严格遵守甲方的管理要求及工作纪律。</w:t>
      </w:r>
      <w:bookmarkStart w:id="117" w:name="_Toc435196501"/>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18" w:name="_Toc83897907"/>
      <w:r>
        <w:rPr>
          <w:rFonts w:hint="default" w:ascii="Times New Roman" w:hAnsi="Times New Roman" w:eastAsia="黑体" w:cs="Times New Roman"/>
          <w:b w:val="0"/>
          <w:bCs w:val="0"/>
          <w:color w:val="000000"/>
          <w:sz w:val="30"/>
          <w:szCs w:val="30"/>
        </w:rPr>
        <w:t>6．检测与验收</w:t>
      </w:r>
      <w:bookmarkEnd w:id="117"/>
      <w:r>
        <w:rPr>
          <w:rFonts w:hint="default" w:ascii="Times New Roman" w:hAnsi="Times New Roman" w:eastAsia="黑体" w:cs="Times New Roman"/>
          <w:b w:val="0"/>
          <w:bCs w:val="0"/>
          <w:color w:val="000000"/>
          <w:sz w:val="30"/>
          <w:szCs w:val="30"/>
        </w:rPr>
        <w:t>要求</w:t>
      </w:r>
      <w:bookmarkEnd w:id="118"/>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 初步检验</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6.1.1 送往安装现场的家具乙方必须同时提供质量检验合格证书、使用说明书等。家具安装后，甲方对家具的外观品质、数量等进行初步检验。家具通过初步检验不视为甲方对家具的质量验收合格。初步检验后，乙方仍然负责家具在现场的照管工作。</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6.1.2 家具以及配件的初步检验，应在家具安装后7日内完成，检验人员由甲方、乙方及相关人员组成。</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6.2 安装检验</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6.2.1 家具安装后，甲方可对不少于5样产品进行抽检，与办公家具清单（附件）中技术要求进行比较、检测。如检测结果不合格或与办公家具清单（附件）中要求的技术指标不符，甲方有权拒绝签收验收合格报告，同时保留对乙方进行进一步追索的权利。</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6.2.2 家具成品抽样检测费用由甲方承担。如检测结果不合格或与办公家具清单（附件）中要求的技术指标不符，相关费用及给甲方造成的其他损失由乙方承担。</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6.3 环境检测</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家具入场前，甲方有权邀请第三方环境检测机构，对场地环境做空气质量抽测，家具入场安装后，再次对同一位置做空气质量检测。若测试结果显示为家具不达标，乙方应负责更新、整改及治理，相关费用由乙方承担。因补交、换货等造成的延误按照合同约定处理。</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6.4 最终验收</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6.4.1 乙方按照经甲方确认的方案完成家具的安装、调试并通过上述检验及检测后，乙方可向甲方提出最终验收申请，甲方在收到乙方提出的验收申请后5个工作日组织最终验收。全部家具最终验收合格后，由甲方向乙方出具最终验收合格证明。如果家具是分批供货的，则甲方可以视情况进行分批验收，或者待全部家具送到交货地点并安装完毕后进行整体验收。乙方通过甲方最终检验的日期做为乙方的交货日期。</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6.4.2 只有经过最终验收合格的家具，才被认为是甲方对家具的接收和认可，在此之前所进行的任何检测、初步检验等均不免除乙方责任。</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6.4.3 经最终验收，发现乙方的家具质量不符合合同约定的质量标准，乙方除应承担质量违约责任外，甲方有权拒收家具或要求乙方予以修理、重作、更换或者减少价款。</w:t>
      </w:r>
      <w:bookmarkStart w:id="119" w:name="_Toc435196502"/>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6.4.4 即便经过最终验收，若因家具质量不合格导致甲方或第三人人身和财产损失的，乙方应承担全部的赔偿责任。</w:t>
      </w:r>
    </w:p>
    <w:bookmarkEnd w:id="119"/>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highlight w:val="none"/>
        </w:rPr>
      </w:pPr>
      <w:bookmarkStart w:id="120" w:name="_Toc83897908"/>
      <w:r>
        <w:rPr>
          <w:rFonts w:hint="default" w:ascii="Times New Roman" w:hAnsi="Times New Roman" w:eastAsia="黑体" w:cs="Times New Roman"/>
          <w:b w:val="0"/>
          <w:bCs w:val="0"/>
          <w:color w:val="000000"/>
          <w:sz w:val="30"/>
          <w:szCs w:val="30"/>
          <w:highlight w:val="none"/>
        </w:rPr>
        <w:t>7. 付款条件</w:t>
      </w:r>
      <w:bookmarkEnd w:id="120"/>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7.1 </w:t>
      </w:r>
      <w:r>
        <w:rPr>
          <w:rFonts w:hint="eastAsia" w:ascii="Times New Roman" w:hAnsi="Times New Roman" w:eastAsia="方正仿宋简体" w:cs="Times New Roman"/>
          <w:sz w:val="30"/>
          <w:szCs w:val="30"/>
          <w:lang w:val="en-US" w:eastAsia="zh-CN"/>
        </w:rPr>
        <w:t>本项目无预付款，全部货物经甲方验收合格，且收到乙方开具的增值税专用发票</w:t>
      </w:r>
      <w:r>
        <w:rPr>
          <w:rFonts w:hint="default" w:ascii="Times New Roman" w:hAnsi="Times New Roman" w:eastAsia="方正仿宋简体" w:cs="Times New Roman"/>
          <w:sz w:val="30"/>
          <w:szCs w:val="30"/>
        </w:rPr>
        <w:t>后的十个工作日内给付乙方</w:t>
      </w:r>
      <w:r>
        <w:rPr>
          <w:rFonts w:hint="eastAsia" w:ascii="Times New Roman" w:hAnsi="Times New Roman" w:eastAsia="方正仿宋简体" w:cs="Times New Roman"/>
          <w:sz w:val="30"/>
          <w:szCs w:val="30"/>
          <w:lang w:val="en-US" w:eastAsia="zh-CN"/>
        </w:rPr>
        <w:t>总货款的95%</w:t>
      </w:r>
      <w:r>
        <w:rPr>
          <w:rFonts w:hint="default" w:ascii="Times New Roman" w:hAnsi="Times New Roman" w:eastAsia="方正仿宋简体" w:cs="Times New Roman"/>
          <w:sz w:val="30"/>
          <w:szCs w:val="30"/>
        </w:rPr>
        <w:t>。</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rPr>
        <w:t>7.</w:t>
      </w: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质保金为货款的5%，</w:t>
      </w:r>
      <w:r>
        <w:rPr>
          <w:rFonts w:hint="default" w:ascii="Times New Roman" w:hAnsi="Times New Roman" w:eastAsia="方正仿宋简体" w:cs="Times New Roman"/>
          <w:sz w:val="30"/>
          <w:szCs w:val="30"/>
        </w:rPr>
        <w:t>甲方在验收合格一年后</w:t>
      </w:r>
      <w:r>
        <w:rPr>
          <w:rFonts w:hint="eastAsia" w:ascii="Times New Roman" w:hAnsi="Times New Roman" w:eastAsia="方正仿宋简体" w:cs="Times New Roman"/>
          <w:sz w:val="30"/>
          <w:szCs w:val="30"/>
          <w:lang w:val="en-US" w:eastAsia="zh-CN"/>
        </w:rPr>
        <w:t>无任何质量及售后问题，收到全额增值税专用发票后</w:t>
      </w:r>
      <w:r>
        <w:rPr>
          <w:rFonts w:hint="default" w:ascii="Times New Roman" w:hAnsi="Times New Roman" w:eastAsia="方正仿宋简体" w:cs="Times New Roman"/>
          <w:sz w:val="30"/>
          <w:szCs w:val="30"/>
        </w:rPr>
        <w:t>给付乙方。</w:t>
      </w:r>
      <w:r>
        <w:rPr>
          <w:rFonts w:hint="eastAsia" w:ascii="Times New Roman" w:hAnsi="Times New Roman" w:eastAsia="方正仿宋简体" w:cs="Times New Roman"/>
          <w:sz w:val="30"/>
          <w:szCs w:val="30"/>
          <w:lang w:val="en-US" w:eastAsia="zh-CN"/>
        </w:rPr>
        <w:t>质保金的支付不影响质保期限内继续履行乙方的相关义务。</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w:t>
      </w: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rPr>
        <w:t xml:space="preserve"> 每次付款前，乙方应提前向甲方交付相应金额的增值税专用发票</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税率13%</w:t>
      </w:r>
      <w:r>
        <w:rPr>
          <w:rFonts w:hint="eastAsia"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甲方见票付款，因乙方延迟提供发票而导致甲方逾期付款的，甲方不承担任何违约责任。</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21" w:name="_Toc83897909"/>
      <w:r>
        <w:rPr>
          <w:rFonts w:hint="default" w:ascii="Times New Roman" w:hAnsi="Times New Roman" w:eastAsia="黑体" w:cs="Times New Roman"/>
          <w:b w:val="0"/>
          <w:bCs w:val="0"/>
          <w:color w:val="000000"/>
          <w:sz w:val="30"/>
          <w:szCs w:val="30"/>
        </w:rPr>
        <w:t>8．配套服务要求</w:t>
      </w:r>
      <w:bookmarkEnd w:id="121"/>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8.1 乙方应无条件提供专业设计、安装，调试等服务。</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8.2 乙方应承诺在本项目范围内，将产品的设计文件无条件提供给甲方使用，同时甲方有权许可其他中选供应商实施上述设计。</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8.3 乙方应向甲方提供无条件的产品使用、日常维修保养等相关内容的培训服务。</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22" w:name="_Toc83897910"/>
      <w:r>
        <w:rPr>
          <w:rFonts w:hint="default" w:ascii="Times New Roman" w:hAnsi="Times New Roman" w:eastAsia="黑体" w:cs="Times New Roman"/>
          <w:b w:val="0"/>
          <w:bCs w:val="0"/>
          <w:color w:val="000000"/>
          <w:sz w:val="30"/>
          <w:szCs w:val="30"/>
        </w:rPr>
        <w:t>9．售后服务</w:t>
      </w:r>
      <w:bookmarkEnd w:id="122"/>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乙方承诺对</w:t>
      </w:r>
      <w:r>
        <w:rPr>
          <w:rFonts w:hint="default" w:ascii="Times New Roman" w:hAnsi="Times New Roman" w:eastAsia="方正仿宋简体" w:cs="Times New Roman"/>
          <w:sz w:val="30"/>
          <w:szCs w:val="30"/>
          <w:lang w:val="en-US" w:eastAsia="zh-CN"/>
        </w:rPr>
        <w:t>员工位、钢制文件柜等其它金属类家具</w:t>
      </w:r>
      <w:r>
        <w:rPr>
          <w:rFonts w:hint="default" w:ascii="Times New Roman" w:hAnsi="Times New Roman" w:eastAsia="方正仿宋简体" w:cs="Times New Roman"/>
          <w:sz w:val="30"/>
          <w:szCs w:val="30"/>
        </w:rPr>
        <w:t>提供</w:t>
      </w:r>
      <w:r>
        <w:rPr>
          <w:rFonts w:hint="default" w:ascii="Times New Roman" w:hAnsi="Times New Roman" w:eastAsia="方正仿宋简体" w:cs="Times New Roman"/>
          <w:sz w:val="30"/>
          <w:szCs w:val="30"/>
          <w:u w:val="single"/>
          <w:lang w:val="en-US" w:eastAsia="zh-CN"/>
        </w:rPr>
        <w:t xml:space="preserve"> 十 </w:t>
      </w:r>
      <w:r>
        <w:rPr>
          <w:rFonts w:hint="default" w:ascii="Times New Roman" w:hAnsi="Times New Roman" w:eastAsia="方正仿宋简体" w:cs="Times New Roman"/>
          <w:sz w:val="30"/>
          <w:szCs w:val="30"/>
        </w:rPr>
        <w:t>年“三包”的质量保证标准</w:t>
      </w:r>
      <w:r>
        <w:rPr>
          <w:rFonts w:hint="default" w:ascii="Times New Roman" w:hAnsi="Times New Roman" w:eastAsia="方正仿宋简体" w:cs="Times New Roman"/>
          <w:sz w:val="30"/>
          <w:szCs w:val="30"/>
          <w:lang w:val="en-US" w:eastAsia="zh-CN"/>
        </w:rPr>
        <w:t>；对其它除金属类家具以外的家具提供</w:t>
      </w:r>
      <w:r>
        <w:rPr>
          <w:rFonts w:hint="default" w:ascii="Times New Roman" w:hAnsi="Times New Roman" w:eastAsia="方正仿宋简体" w:cs="Times New Roman"/>
          <w:sz w:val="30"/>
          <w:szCs w:val="30"/>
        </w:rPr>
        <w:t>_</w:t>
      </w:r>
      <w:r>
        <w:rPr>
          <w:rFonts w:hint="default" w:ascii="Times New Roman" w:hAnsi="Times New Roman" w:eastAsia="方正仿宋简体" w:cs="Times New Roman"/>
          <w:sz w:val="30"/>
          <w:szCs w:val="30"/>
          <w:u w:val="single"/>
          <w:lang w:val="en-US" w:eastAsia="zh-CN"/>
        </w:rPr>
        <w:t>五</w:t>
      </w:r>
      <w:r>
        <w:rPr>
          <w:rFonts w:hint="default" w:ascii="Times New Roman" w:hAnsi="Times New Roman" w:eastAsia="方正仿宋简体" w:cs="Times New Roman"/>
          <w:sz w:val="30"/>
          <w:szCs w:val="30"/>
        </w:rPr>
        <w:t>__年“三包”的质量保证标准</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其中电源模块提供一年质保）</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lang w:val="en-US" w:eastAsia="zh-CN"/>
        </w:rPr>
        <w:t>即在</w:t>
      </w:r>
      <w:r>
        <w:rPr>
          <w:rFonts w:hint="default" w:ascii="Times New Roman" w:hAnsi="Times New Roman" w:eastAsia="方正仿宋简体" w:cs="Times New Roman"/>
          <w:sz w:val="30"/>
          <w:szCs w:val="30"/>
        </w:rPr>
        <w:t>质量保修期内，履行修理、更换、退货的责任和义务（因人为因素及不可抗力因素造成损坏的情况除外），具体如下：</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1.乙方对货物的质量保修期，自货物到货、完成安装并经验收合格之日开始计算。</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2.乙方应提供7×12小时免费服务热线，无需多次转接，为甲方提供质量投诉及售后服务等。无条件维修与更换缺陷或瑕疵部件，服务响应时间为24小时内上门（</w:t>
      </w:r>
      <w:r>
        <w:rPr>
          <w:rFonts w:hint="default" w:ascii="Times New Roman" w:hAnsi="Times New Roman" w:eastAsia="方正仿宋简体" w:cs="Times New Roman"/>
          <w:sz w:val="30"/>
          <w:szCs w:val="30"/>
          <w:lang w:val="en-US" w:eastAsia="zh-CN"/>
        </w:rPr>
        <w:t>天津</w:t>
      </w:r>
      <w:r>
        <w:rPr>
          <w:rFonts w:hint="default" w:ascii="Times New Roman" w:hAnsi="Times New Roman" w:eastAsia="方正仿宋简体" w:cs="Times New Roman"/>
          <w:sz w:val="30"/>
          <w:szCs w:val="30"/>
        </w:rPr>
        <w:t>）。上门服务需携带常规备品备件并于4小时内完成更换、维修等工作。</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3.乙方需制定保修期内的现场巡检计划，保证至少每年对所供应产品进行一次巡检，了解产品的使用情况、质量状况，对发生的问题及时解决。</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4.乙方在质量保修期外，亦将为本项目所供货物提供终身维修服务。</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5.乙方承诺提供家具利旧服务，范围包括拆离、运输、安装等产生的费用</w:t>
      </w:r>
      <w:r>
        <w:rPr>
          <w:rFonts w:hint="eastAsia" w:ascii="Times New Roman" w:hAnsi="Times New Roman" w:eastAsia="方正仿宋简体" w:cs="Times New Roman"/>
          <w:sz w:val="30"/>
          <w:szCs w:val="30"/>
          <w:lang w:val="en-US" w:eastAsia="zh-CN"/>
        </w:rPr>
        <w:t>免费或</w:t>
      </w:r>
      <w:r>
        <w:rPr>
          <w:rFonts w:hint="default" w:ascii="Times New Roman" w:hAnsi="Times New Roman" w:eastAsia="方正仿宋简体" w:cs="Times New Roman"/>
          <w:sz w:val="30"/>
          <w:szCs w:val="30"/>
        </w:rPr>
        <w:t>以最优惠价格向甲方收取</w:t>
      </w:r>
      <w:r>
        <w:rPr>
          <w:rFonts w:hint="eastAsia" w:ascii="Times New Roman" w:hAnsi="Times New Roman" w:eastAsia="方正仿宋简体" w:cs="Times New Roman"/>
          <w:sz w:val="30"/>
          <w:szCs w:val="30"/>
          <w:lang w:val="en-US" w:eastAsia="zh-CN"/>
        </w:rPr>
        <w:t>费用</w:t>
      </w:r>
      <w:r>
        <w:rPr>
          <w:rFonts w:hint="default" w:ascii="Times New Roman" w:hAnsi="Times New Roman" w:eastAsia="方正仿宋简体" w:cs="Times New Roman"/>
          <w:sz w:val="30"/>
          <w:szCs w:val="30"/>
        </w:rPr>
        <w:t>。</w:t>
      </w:r>
    </w:p>
    <w:p>
      <w:pPr>
        <w:pStyle w:val="38"/>
        <w:pageBreakBefore w:val="0"/>
        <w:kinsoku/>
        <w:wordWrap/>
        <w:overflowPunct/>
        <w:topLinePunct w:val="0"/>
        <w:bidi w:val="0"/>
        <w:spacing w:before="0" w:after="0" w:line="560" w:lineRule="exact"/>
        <w:textAlignment w:val="auto"/>
        <w:rPr>
          <w:rFonts w:hint="default" w:ascii="Times New Roman" w:hAnsi="Times New Roman" w:eastAsia="黑体" w:cs="Times New Roman"/>
          <w:b w:val="0"/>
          <w:bCs w:val="0"/>
          <w:color w:val="000000"/>
          <w:sz w:val="30"/>
          <w:szCs w:val="30"/>
        </w:rPr>
      </w:pPr>
      <w:bookmarkStart w:id="123" w:name="_Toc83897911"/>
      <w:r>
        <w:rPr>
          <w:rFonts w:hint="default" w:ascii="Times New Roman" w:hAnsi="Times New Roman" w:eastAsia="黑体" w:cs="Times New Roman"/>
          <w:b w:val="0"/>
          <w:bCs w:val="0"/>
          <w:color w:val="000000"/>
          <w:sz w:val="30"/>
          <w:szCs w:val="30"/>
        </w:rPr>
        <w:t>10.其他合同内容</w:t>
      </w:r>
      <w:bookmarkEnd w:id="123"/>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rPr>
        <w:t xml:space="preserve">其他合同内容由双方协商确定。  </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rPr>
        <w:t>本合同</w:t>
      </w:r>
      <w:r>
        <w:rPr>
          <w:rFonts w:hint="eastAsia" w:ascii="Times New Roman" w:hAnsi="Times New Roman" w:eastAsia="方正仿宋简体" w:cs="Times New Roman"/>
          <w:sz w:val="30"/>
          <w:szCs w:val="30"/>
          <w:lang w:val="en-US" w:eastAsia="zh-CN"/>
        </w:rPr>
        <w:t>履行期间</w:t>
      </w:r>
      <w:r>
        <w:rPr>
          <w:rFonts w:hint="default" w:ascii="Times New Roman" w:hAnsi="Times New Roman" w:eastAsia="方正仿宋简体" w:cs="Times New Roman"/>
          <w:sz w:val="30"/>
          <w:szCs w:val="30"/>
        </w:rPr>
        <w:t>若发生争议，双方可协商调解。</w:t>
      </w:r>
    </w:p>
    <w:p>
      <w:pPr>
        <w:pageBreakBefore w:val="0"/>
        <w:kinsoku/>
        <w:wordWrap/>
        <w:overflowPunct/>
        <w:topLinePunct w:val="0"/>
        <w:bidi w:val="0"/>
        <w:adjustRightInd w:val="0"/>
        <w:snapToGrid w:val="0"/>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rPr>
        <w:t>当事主不愿通过协商调解或协商调解不成时，经甲、乙双方同意，可提请甲方所在地人民法院管辖裁判。</w:t>
      </w:r>
    </w:p>
    <w:p>
      <w:pPr>
        <w:pStyle w:val="2"/>
        <w:rPr>
          <w:rFonts w:hint="default" w:ascii="Times New Roman" w:hAnsi="Times New Roman" w:eastAsia="方正仿宋简体" w:cs="Times New Roman"/>
          <w:sz w:val="30"/>
          <w:szCs w:val="30"/>
        </w:rPr>
      </w:pPr>
    </w:p>
    <w:p>
      <w:pPr>
        <w:rPr>
          <w:rFonts w:hint="default" w:ascii="Times New Roman" w:hAnsi="Times New Roman" w:eastAsia="方正仿宋简体" w:cs="Times New Roman"/>
          <w:sz w:val="30"/>
          <w:szCs w:val="30"/>
        </w:rPr>
      </w:pPr>
    </w:p>
    <w:p>
      <w:pPr>
        <w:pStyle w:val="2"/>
        <w:rPr>
          <w:rFonts w:hint="default"/>
        </w:rPr>
      </w:pPr>
    </w:p>
    <w:p/>
    <w:p>
      <w:pPr>
        <w:pStyle w:val="27"/>
        <w:numPr>
          <w:ilvl w:val="0"/>
          <w:numId w:val="3"/>
        </w:numPr>
        <w:ind w:left="0" w:leftChars="0" w:firstLine="0" w:firstLineChars="0"/>
        <w:jc w:val="center"/>
        <w:rPr>
          <w:rFonts w:hint="eastAsia" w:ascii="宋体" w:hAnsi="宋体" w:eastAsia="宋体" w:cs="Times New Roman"/>
          <w:b/>
          <w:color w:val="auto"/>
          <w:kern w:val="0"/>
          <w:sz w:val="28"/>
          <w:szCs w:val="22"/>
          <w:highlight w:val="none"/>
          <w:lang w:val="en-US" w:eastAsia="zh-CN" w:bidi="ar-SA"/>
        </w:rPr>
      </w:pPr>
      <w:r>
        <w:rPr>
          <w:rFonts w:hint="eastAsia" w:ascii="宋体" w:hAnsi="宋体" w:eastAsia="宋体" w:cs="Times New Roman"/>
          <w:b/>
          <w:color w:val="auto"/>
          <w:kern w:val="0"/>
          <w:sz w:val="28"/>
          <w:szCs w:val="22"/>
          <w:highlight w:val="none"/>
          <w:lang w:val="en-US" w:eastAsia="zh-CN" w:bidi="ar-SA"/>
        </w:rPr>
        <w:t>技术规格书</w:t>
      </w:r>
    </w:p>
    <w:p>
      <w:pPr>
        <w:pStyle w:val="27"/>
        <w:numPr>
          <w:ilvl w:val="0"/>
          <w:numId w:val="0"/>
        </w:numPr>
        <w:ind w:leftChars="0"/>
        <w:jc w:val="both"/>
        <w:rPr>
          <w:rFonts w:hint="eastAsia" w:ascii="宋体" w:hAnsi="宋体" w:eastAsia="宋体" w:cs="Times New Roman"/>
          <w:b/>
          <w:color w:val="auto"/>
          <w:kern w:val="0"/>
          <w:sz w:val="28"/>
          <w:szCs w:val="22"/>
          <w:highlight w:val="none"/>
          <w:lang w:val="en-US" w:eastAsia="zh-CN" w:bidi="ar-SA"/>
        </w:rPr>
      </w:pPr>
    </w:p>
    <w:bookmarkEnd w:id="105"/>
    <w:bookmarkEnd w:id="106"/>
    <w:bookmarkEnd w:id="107"/>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采购需求及技术规格书</w:t>
      </w:r>
    </w:p>
    <w:p>
      <w:pPr>
        <w:rPr>
          <w:rFonts w:hint="eastAsia" w:ascii="黑体" w:hAnsi="黑体" w:eastAsia="黑体" w:cs="黑体"/>
          <w:sz w:val="30"/>
          <w:szCs w:val="30"/>
        </w:rPr>
      </w:pPr>
      <w:r>
        <w:rPr>
          <w:rFonts w:hint="eastAsia" w:ascii="黑体" w:hAnsi="黑体" w:eastAsia="黑体" w:cs="黑体"/>
          <w:sz w:val="30"/>
          <w:szCs w:val="30"/>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国投大厦办公区</w:t>
      </w:r>
      <w:r>
        <w:rPr>
          <w:rFonts w:hint="default" w:ascii="Times New Roman" w:hAnsi="Times New Roman" w:eastAsia="方正仿宋简体" w:cs="Times New Roman"/>
          <w:sz w:val="30"/>
          <w:szCs w:val="30"/>
        </w:rPr>
        <w:t>家具购置项目</w:t>
      </w:r>
    </w:p>
    <w:p>
      <w:pPr>
        <w:rPr>
          <w:rFonts w:hint="default" w:ascii="黑体" w:hAnsi="黑体" w:eastAsia="黑体" w:cs="黑体"/>
          <w:sz w:val="30"/>
          <w:szCs w:val="30"/>
        </w:rPr>
      </w:pPr>
      <w:r>
        <w:rPr>
          <w:rFonts w:hint="default" w:ascii="黑体" w:hAnsi="黑体" w:eastAsia="黑体" w:cs="黑体"/>
          <w:sz w:val="30"/>
          <w:szCs w:val="30"/>
        </w:rPr>
        <w:t>二、项目地点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rPr>
        <w:t>天津市红桥区</w:t>
      </w:r>
      <w:r>
        <w:rPr>
          <w:rFonts w:hint="eastAsia" w:ascii="Times New Roman" w:hAnsi="Times New Roman" w:eastAsia="方正仿宋简体" w:cs="Times New Roman"/>
          <w:sz w:val="30"/>
          <w:szCs w:val="30"/>
          <w:lang w:val="en-US" w:eastAsia="zh-CN"/>
        </w:rPr>
        <w:t>大丰路（水游城）国投大厦</w:t>
      </w:r>
    </w:p>
    <w:p>
      <w:pPr>
        <w:rPr>
          <w:rFonts w:hint="default" w:ascii="黑体" w:hAnsi="黑体" w:eastAsia="黑体" w:cs="黑体"/>
          <w:sz w:val="30"/>
          <w:szCs w:val="30"/>
          <w:lang w:val="en-US" w:eastAsia="zh-CN"/>
        </w:rPr>
      </w:pPr>
      <w:r>
        <w:rPr>
          <w:rFonts w:hint="default" w:ascii="黑体" w:hAnsi="黑体" w:eastAsia="黑体" w:cs="黑体"/>
          <w:sz w:val="30"/>
          <w:szCs w:val="30"/>
        </w:rPr>
        <w:t>三、采购内容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工位、</w:t>
      </w:r>
      <w:r>
        <w:rPr>
          <w:rFonts w:hint="eastAsia" w:ascii="Times New Roman" w:hAnsi="Times New Roman" w:eastAsia="方正仿宋简体" w:cs="Times New Roman"/>
          <w:sz w:val="30"/>
          <w:szCs w:val="30"/>
          <w:lang w:val="en-US" w:eastAsia="zh-CN"/>
        </w:rPr>
        <w:t>班台</w:t>
      </w:r>
      <w:r>
        <w:rPr>
          <w:rFonts w:hint="default" w:ascii="Times New Roman" w:hAnsi="Times New Roman" w:eastAsia="方正仿宋简体" w:cs="Times New Roman"/>
          <w:sz w:val="30"/>
          <w:szCs w:val="30"/>
        </w:rPr>
        <w:t>、办公椅、文件柜、沙发、</w:t>
      </w:r>
      <w:r>
        <w:rPr>
          <w:rFonts w:hint="eastAsia" w:ascii="Times New Roman" w:hAnsi="Times New Roman" w:eastAsia="方正仿宋简体" w:cs="Times New Roman"/>
          <w:sz w:val="30"/>
          <w:szCs w:val="30"/>
          <w:lang w:val="en-US" w:eastAsia="zh-CN"/>
        </w:rPr>
        <w:t>会议</w:t>
      </w:r>
      <w:r>
        <w:rPr>
          <w:rFonts w:hint="default" w:ascii="Times New Roman" w:hAnsi="Times New Roman" w:eastAsia="方正仿宋简体" w:cs="Times New Roman"/>
          <w:sz w:val="30"/>
          <w:szCs w:val="30"/>
        </w:rPr>
        <w:t>桌椅等产品</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详见附件《国投大厦办公区家具需求单》，具体位置见平面布置图</w:t>
      </w:r>
      <w:r>
        <w:rPr>
          <w:rFonts w:hint="default" w:ascii="Times New Roman" w:hAnsi="Times New Roman" w:eastAsia="方正仿宋简体" w:cs="Times New Roman"/>
          <w:sz w:val="30"/>
          <w:szCs w:val="30"/>
        </w:rPr>
        <w:t>。采购范围包括但不限于办公家具的深化设计、材料的选型、制造、采购、卸货、贮置、安装调试</w:t>
      </w:r>
      <w:r>
        <w:rPr>
          <w:rFonts w:hint="eastAsia"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包括配合强弱电相关设备的接压线安装</w:t>
      </w:r>
      <w:r>
        <w:rPr>
          <w:rFonts w:hint="eastAsia"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、验收、培训、保洁、保养、质保期服务、与货物有关的运输和保险及其他伴随服务。</w:t>
      </w: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四、供货期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30天。</w:t>
      </w:r>
    </w:p>
    <w:p>
      <w:pP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五、</w:t>
      </w:r>
      <w:r>
        <w:rPr>
          <w:rFonts w:hint="default" w:ascii="黑体" w:hAnsi="黑体" w:eastAsia="黑体" w:cs="黑体"/>
          <w:sz w:val="30"/>
          <w:szCs w:val="30"/>
          <w:lang w:val="en-US" w:eastAsia="zh-CN"/>
        </w:rPr>
        <w:t>技术标准</w:t>
      </w:r>
      <w:r>
        <w:rPr>
          <w:rFonts w:hint="eastAsia" w:ascii="黑体" w:hAnsi="黑体" w:eastAsia="黑体" w:cs="黑体"/>
          <w:sz w:val="30"/>
          <w:szCs w:val="30"/>
          <w:lang w:val="en-US" w:eastAsia="zh-CN"/>
        </w:rPr>
        <w:t>及相关要求</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1.供应商应根据平面布置图结合招标方提供的部分房间装修效果图，针对本项目制定场景效果图：已布置家具的全景图、侧视图、家具单体效果图（外形尺寸及结构图）。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2.产品</w:t>
      </w:r>
      <w:r>
        <w:rPr>
          <w:rFonts w:hint="default" w:ascii="Times New Roman" w:hAnsi="Times New Roman" w:eastAsia="方正仿宋简体" w:cs="Times New Roman"/>
          <w:sz w:val="30"/>
          <w:szCs w:val="30"/>
        </w:rPr>
        <w:t>应是生产厂商原</w:t>
      </w:r>
      <w:r>
        <w:rPr>
          <w:rFonts w:hint="eastAsia" w:ascii="Times New Roman" w:hAnsi="Times New Roman" w:eastAsia="方正仿宋简体" w:cs="Times New Roman"/>
          <w:sz w:val="30"/>
          <w:szCs w:val="30"/>
          <w:lang w:val="en-US" w:eastAsia="zh-CN"/>
        </w:rPr>
        <w:t>产</w:t>
      </w:r>
      <w:r>
        <w:rPr>
          <w:rFonts w:hint="default" w:ascii="Times New Roman" w:hAnsi="Times New Roman" w:eastAsia="方正仿宋简体" w:cs="Times New Roman"/>
          <w:sz w:val="30"/>
          <w:szCs w:val="30"/>
        </w:rPr>
        <w:t>、全新</w:t>
      </w:r>
      <w:r>
        <w:rPr>
          <w:rFonts w:hint="eastAsia" w:ascii="Times New Roman" w:hAnsi="Times New Roman" w:eastAsia="方正仿宋简体" w:cs="Times New Roman"/>
          <w:sz w:val="30"/>
          <w:szCs w:val="30"/>
          <w:lang w:val="en-US" w:eastAsia="zh-CN"/>
        </w:rPr>
        <w:t>产品</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且</w:t>
      </w:r>
      <w:r>
        <w:rPr>
          <w:rFonts w:hint="default" w:ascii="Times New Roman" w:hAnsi="Times New Roman" w:eastAsia="方正仿宋简体" w:cs="Times New Roman"/>
          <w:sz w:val="30"/>
          <w:szCs w:val="30"/>
        </w:rPr>
        <w:t>完全符合谈判文件规定的质量要求。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3.</w:t>
      </w:r>
      <w:r>
        <w:rPr>
          <w:rFonts w:hint="eastAsia" w:ascii="Times New Roman" w:hAnsi="Times New Roman" w:eastAsia="方正仿宋简体" w:cs="Times New Roman"/>
          <w:sz w:val="30"/>
          <w:szCs w:val="30"/>
        </w:rPr>
        <w:t>本</w:t>
      </w:r>
      <w:r>
        <w:rPr>
          <w:rFonts w:hint="eastAsia" w:ascii="Times New Roman" w:hAnsi="Times New Roman" w:eastAsia="方正仿宋简体" w:cs="Times New Roman"/>
          <w:sz w:val="30"/>
          <w:szCs w:val="30"/>
          <w:lang w:eastAsia="zh-CN"/>
        </w:rPr>
        <w:t>技术规范书</w:t>
      </w:r>
      <w:r>
        <w:rPr>
          <w:rFonts w:hint="eastAsia" w:ascii="Times New Roman" w:hAnsi="Times New Roman" w:eastAsia="方正仿宋简体" w:cs="Times New Roman"/>
          <w:sz w:val="30"/>
          <w:szCs w:val="30"/>
        </w:rPr>
        <w:t>提出的是最低限度的技术要求，并未对技术细节做出规定，也未充分引述有关标准和规范的条文，</w:t>
      </w:r>
      <w:r>
        <w:rPr>
          <w:rFonts w:hint="eastAsia" w:ascii="Times New Roman" w:hAnsi="Times New Roman" w:eastAsia="方正仿宋简体" w:cs="Times New Roman"/>
          <w:sz w:val="30"/>
          <w:szCs w:val="30"/>
          <w:lang w:val="en-US" w:eastAsia="zh-CN"/>
        </w:rPr>
        <w:t>供应商</w:t>
      </w:r>
      <w:r>
        <w:rPr>
          <w:rFonts w:hint="eastAsia" w:ascii="Times New Roman" w:hAnsi="Times New Roman" w:eastAsia="方正仿宋简体" w:cs="Times New Roman"/>
          <w:sz w:val="30"/>
          <w:szCs w:val="30"/>
        </w:rPr>
        <w:t>应保证提供符合本功能需求书和工业标准的功能齐全的优质产品及其相应服务。对国家有关安全等强制性标准，必须满足其要求。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产品应满足国家有关安全、环保等强制性标准。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5.</w:t>
      </w:r>
      <w:r>
        <w:rPr>
          <w:rFonts w:hint="eastAsia"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供应商</w:t>
      </w:r>
      <w:r>
        <w:rPr>
          <w:rFonts w:hint="eastAsia" w:ascii="Times New Roman" w:hAnsi="Times New Roman" w:eastAsia="方正仿宋简体" w:cs="Times New Roman"/>
          <w:sz w:val="30"/>
          <w:szCs w:val="30"/>
        </w:rPr>
        <w:t>应遵守本</w:t>
      </w:r>
      <w:r>
        <w:rPr>
          <w:rFonts w:hint="eastAsia" w:ascii="Times New Roman" w:hAnsi="Times New Roman" w:eastAsia="方正仿宋简体" w:cs="Times New Roman"/>
          <w:sz w:val="30"/>
          <w:szCs w:val="30"/>
          <w:lang w:eastAsia="zh-CN"/>
        </w:rPr>
        <w:t>技术规范书</w:t>
      </w:r>
      <w:r>
        <w:rPr>
          <w:rFonts w:hint="eastAsia" w:ascii="Times New Roman" w:hAnsi="Times New Roman" w:eastAsia="方正仿宋简体" w:cs="Times New Roman"/>
          <w:sz w:val="30"/>
          <w:szCs w:val="30"/>
        </w:rPr>
        <w:t>所列标准的要求，本</w:t>
      </w:r>
      <w:r>
        <w:rPr>
          <w:rFonts w:hint="eastAsia" w:ascii="Times New Roman" w:hAnsi="Times New Roman" w:eastAsia="方正仿宋简体" w:cs="Times New Roman"/>
          <w:sz w:val="30"/>
          <w:szCs w:val="30"/>
          <w:lang w:eastAsia="zh-CN"/>
        </w:rPr>
        <w:t>技术规范书</w:t>
      </w:r>
      <w:r>
        <w:rPr>
          <w:rFonts w:hint="eastAsia" w:ascii="Times New Roman" w:hAnsi="Times New Roman" w:eastAsia="方正仿宋简体" w:cs="Times New Roman"/>
          <w:sz w:val="30"/>
          <w:szCs w:val="30"/>
        </w:rPr>
        <w:t>所使用的标准如与投标方所执行的标准有偏差时，按高标准执行。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6.供应商应对所提供的产品中涉及专利等法律条款承担义务，涉及到的费用均被认为已包含产品报价中，招标方对此不承担任何责任。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本技术规范书仅对本项目所有</w:t>
      </w:r>
      <w:r>
        <w:rPr>
          <w:rFonts w:hint="eastAsia" w:ascii="Times New Roman" w:hAnsi="Times New Roman" w:eastAsia="方正仿宋简体" w:cs="Times New Roman"/>
          <w:sz w:val="30"/>
          <w:szCs w:val="30"/>
          <w:lang w:val="en-US" w:eastAsia="zh-CN"/>
        </w:rPr>
        <w:t>产品</w:t>
      </w:r>
      <w:r>
        <w:rPr>
          <w:rFonts w:hint="default" w:ascii="Times New Roman" w:hAnsi="Times New Roman" w:eastAsia="方正仿宋简体" w:cs="Times New Roman"/>
          <w:sz w:val="30"/>
          <w:szCs w:val="30"/>
          <w:lang w:val="en-US" w:eastAsia="zh-CN"/>
        </w:rPr>
        <w:t>的</w:t>
      </w:r>
      <w:r>
        <w:rPr>
          <w:rFonts w:hint="eastAsia" w:ascii="Times New Roman" w:hAnsi="Times New Roman" w:eastAsia="方正仿宋简体" w:cs="Times New Roman"/>
          <w:sz w:val="30"/>
          <w:szCs w:val="30"/>
          <w:lang w:val="en-US" w:eastAsia="zh-CN"/>
        </w:rPr>
        <w:t>材质、</w:t>
      </w:r>
      <w:r>
        <w:rPr>
          <w:rFonts w:hint="default" w:ascii="Times New Roman" w:hAnsi="Times New Roman" w:eastAsia="方正仿宋简体" w:cs="Times New Roman"/>
          <w:sz w:val="30"/>
          <w:szCs w:val="30"/>
          <w:lang w:val="en-US" w:eastAsia="zh-CN"/>
        </w:rPr>
        <w:t>组成和性能提出基本要求，</w:t>
      </w:r>
      <w:r>
        <w:rPr>
          <w:rFonts w:hint="eastAsia" w:ascii="Times New Roman" w:hAnsi="Times New Roman" w:eastAsia="方正仿宋简体" w:cs="Times New Roman"/>
          <w:sz w:val="30"/>
          <w:szCs w:val="30"/>
          <w:lang w:val="en-US" w:eastAsia="zh-CN"/>
        </w:rPr>
        <w:t>供应商</w:t>
      </w:r>
      <w:r>
        <w:rPr>
          <w:rFonts w:hint="default" w:ascii="Times New Roman" w:hAnsi="Times New Roman" w:eastAsia="方正仿宋简体" w:cs="Times New Roman"/>
          <w:sz w:val="30"/>
          <w:szCs w:val="30"/>
          <w:lang w:val="en-US" w:eastAsia="zh-CN"/>
        </w:rPr>
        <w:t>应</w:t>
      </w:r>
      <w:r>
        <w:rPr>
          <w:rFonts w:hint="eastAsia" w:ascii="Times New Roman" w:hAnsi="Times New Roman" w:eastAsia="方正仿宋简体" w:cs="Times New Roman"/>
          <w:sz w:val="30"/>
          <w:szCs w:val="30"/>
          <w:lang w:val="en-US" w:eastAsia="zh-CN"/>
        </w:rPr>
        <w:t>保证</w:t>
      </w:r>
      <w:r>
        <w:rPr>
          <w:rFonts w:hint="default" w:ascii="Times New Roman" w:hAnsi="Times New Roman" w:eastAsia="方正仿宋简体" w:cs="Times New Roman"/>
          <w:sz w:val="30"/>
          <w:szCs w:val="30"/>
          <w:lang w:val="en-US" w:eastAsia="zh-CN"/>
        </w:rPr>
        <w:t>满足国家及行业标准。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1.工位</w:t>
      </w:r>
    </w:p>
    <w:p>
      <w:pPr>
        <w:keepNext w:val="0"/>
        <w:keepLines w:val="0"/>
        <w:pageBreakBefore w:val="0"/>
        <w:widowControl w:val="0"/>
        <w:kinsoku/>
        <w:wordWrap/>
        <w:overflowPunct/>
        <w:topLinePunct w:val="0"/>
        <w:autoSpaceDE/>
        <w:autoSpaceDN/>
        <w:bidi w:val="0"/>
        <w:adjustRightInd/>
        <w:snapToGrid/>
        <w:spacing w:line="560" w:lineRule="exact"/>
        <w:ind w:left="1168" w:leftChars="284" w:hanging="600" w:hanging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（1）规格：L型工位1600*1800*1150；</w:t>
      </w:r>
    </w:p>
    <w:p>
      <w:pPr>
        <w:keepNext w:val="0"/>
        <w:keepLines w:val="0"/>
        <w:pageBreakBefore w:val="0"/>
        <w:widowControl w:val="0"/>
        <w:kinsoku/>
        <w:wordWrap/>
        <w:overflowPunct/>
        <w:topLinePunct w:val="0"/>
        <w:autoSpaceDE/>
        <w:autoSpaceDN/>
        <w:bidi w:val="0"/>
        <w:adjustRightInd/>
        <w:snapToGrid/>
        <w:spacing w:line="560" w:lineRule="exact"/>
        <w:ind w:left="1136" w:leftChars="568" w:firstLine="1125" w:firstLineChars="375"/>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L型工位1600*1600*1150；</w:t>
      </w:r>
    </w:p>
    <w:p>
      <w:pPr>
        <w:keepNext w:val="0"/>
        <w:keepLines w:val="0"/>
        <w:pageBreakBefore w:val="0"/>
        <w:widowControl w:val="0"/>
        <w:kinsoku/>
        <w:wordWrap/>
        <w:overflowPunct/>
        <w:topLinePunct w:val="0"/>
        <w:autoSpaceDE/>
        <w:autoSpaceDN/>
        <w:bidi w:val="0"/>
        <w:adjustRightInd/>
        <w:snapToGrid/>
        <w:spacing w:line="560" w:lineRule="exact"/>
        <w:ind w:left="1136" w:leftChars="568" w:firstLine="1125" w:firstLineChars="375"/>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I型工位长度1600。</w:t>
      </w:r>
    </w:p>
    <w:p>
      <w:pPr>
        <w:keepNext w:val="0"/>
        <w:keepLines w:val="0"/>
        <w:pageBreakBefore w:val="0"/>
        <w:widowControl w:val="0"/>
        <w:kinsoku/>
        <w:wordWrap/>
        <w:overflowPunct/>
        <w:topLinePunct w:val="0"/>
        <w:autoSpaceDE/>
        <w:autoSpaceDN/>
        <w:bidi w:val="0"/>
        <w:adjustRightInd/>
        <w:snapToGrid/>
        <w:spacing w:line="560" w:lineRule="exact"/>
        <w:ind w:left="1136" w:leftChars="568" w:firstLine="1125" w:firstLineChars="375"/>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均配置固定三抽柜、主机架、亚克力名牌，工位以白色为主。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（2）基材：</w:t>
      </w:r>
      <w:r>
        <w:rPr>
          <w:rFonts w:hint="default" w:ascii="Times New Roman" w:hAnsi="Times New Roman" w:eastAsia="方正仿宋简体" w:cs="Times New Roman"/>
          <w:sz w:val="30"/>
          <w:szCs w:val="30"/>
        </w:rPr>
        <w:t>采用绿色环保优质品牌刨花板，甲醛释放量ENF≤0.025mg/m³，（执行标准：GB/T 39600-2021人造板及其制品甲醛释放量分级)</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总</w:t>
      </w:r>
      <w:r>
        <w:rPr>
          <w:rFonts w:hint="default" w:ascii="Times New Roman" w:hAnsi="Times New Roman" w:eastAsia="方正仿宋简体" w:cs="Times New Roman"/>
          <w:sz w:val="30"/>
          <w:szCs w:val="30"/>
        </w:rPr>
        <w:t>挥发性有机化合物（TVOC）释放量≤100ug/m³（72h）（执行标准：GB/T4897-2015刨花板)；饰面纸采用品牌优质饰面纸，颜色可选。四周采用2mm厚同色PVC封边条封边；桌板四周完全封闭，没有外露部分，过线口需做封边处理。</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（3）屏风框架：采用优质铝合金阳极氧化处理（上收边、侧收边）。框架立柱有走线孔，以供出线使用，框架可使强弱电分离走线，内含理线夹。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（4）屏风：主体采用优质一级冷轧钢板，经防锈工艺处理；玻璃屏风面板部分：采用优质3C认证的玉砂玻璃面板；贴布面板部分：表面贴优质环保布，颜色可选。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5）屏风形式：屏风厚度≧40mm，屏风高度≧1150mm，连接部分均要有预埋孔位，方便多次拆组。前后相邻工位桌上部为玉砂钢化玻璃或钢制面板多选，桌上中部为钢制面板贴环保布，桌下部为钢制烤漆面板。左右相邻工位桌上部全为白色烤漆面板，桌下部为钢制烤漆面板。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（6）屏风走线：踢脚线位置可开孔安装面板插座。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（7）执行标准：各项技术指标符合符合GB/T 22792.3-2008《办公家具屏风第3部分：试验方法》和GB/T 3325-2017《金属家具通用技术条件》规定的要求。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2.工位椅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lang w:val="en-US" w:eastAsia="zh-CN"/>
        </w:rPr>
        <w:t>面料：</w:t>
      </w:r>
      <w:r>
        <w:rPr>
          <w:rFonts w:hint="eastAsia" w:ascii="Times New Roman" w:hAnsi="Times New Roman" w:eastAsia="方正仿宋简体" w:cs="Times New Roman"/>
          <w:sz w:val="30"/>
          <w:szCs w:val="30"/>
          <w:lang w:val="en-US" w:eastAsia="zh-CN"/>
        </w:rPr>
        <w:t>黑色</w:t>
      </w:r>
      <w:r>
        <w:rPr>
          <w:rFonts w:hint="default" w:ascii="Times New Roman" w:hAnsi="Times New Roman" w:eastAsia="方正仿宋简体" w:cs="Times New Roman"/>
          <w:sz w:val="30"/>
          <w:szCs w:val="30"/>
          <w:lang w:val="en-US" w:eastAsia="zh-CN"/>
        </w:rPr>
        <w:t>优质网布面料，符合GB 18401-2010、GB/T 19817-2005标准；芳香胺有害物质含量0</w:t>
      </w:r>
      <w:r>
        <w:rPr>
          <w:rFonts w:hint="eastAsia" w:ascii="Times New Roman" w:hAnsi="Times New Roman" w:eastAsia="方正仿宋简体" w:cs="Times New Roman"/>
          <w:sz w:val="30"/>
          <w:szCs w:val="30"/>
          <w:lang w:val="en-US" w:eastAsia="zh-CN"/>
        </w:rPr>
        <w:t>，</w:t>
      </w:r>
      <w:r>
        <w:rPr>
          <w:rFonts w:hint="default" w:ascii="Times New Roman" w:hAnsi="Times New Roman" w:eastAsia="方正仿宋简体" w:cs="Times New Roman"/>
          <w:sz w:val="30"/>
          <w:szCs w:val="30"/>
          <w:lang w:val="en-US" w:eastAsia="zh-CN"/>
        </w:rPr>
        <w:t>颜色干擦牢度≥3级</w:t>
      </w:r>
      <w:r>
        <w:rPr>
          <w:rFonts w:hint="eastAsia" w:ascii="Times New Roman" w:hAnsi="Times New Roman" w:eastAsia="方正仿宋简体" w:cs="Times New Roman"/>
          <w:sz w:val="30"/>
          <w:szCs w:val="30"/>
          <w:lang w:val="en-US" w:eastAsia="zh-CN"/>
        </w:rPr>
        <w:t>，</w:t>
      </w:r>
      <w:r>
        <w:rPr>
          <w:rFonts w:hint="default" w:ascii="Times New Roman" w:hAnsi="Times New Roman" w:eastAsia="方正仿宋简体" w:cs="Times New Roman"/>
          <w:sz w:val="30"/>
          <w:szCs w:val="30"/>
          <w:lang w:val="en-US" w:eastAsia="zh-CN"/>
        </w:rPr>
        <w:t>耐磨性≥12000转,断裂强度≥350N。</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 xml:space="preserve">椅背：PA+GF一体成型框架。                                                                                       </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lang w:val="en-US" w:eastAsia="zh-CN"/>
        </w:rPr>
        <w:t>椅座：PP一体成型椅壳，一体成型定型棉，面料包覆，通过CATB117-2013防火性能检测。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结构：背倾仰机构，钢制主体结构。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w:t>
      </w:r>
      <w:r>
        <w:rPr>
          <w:rFonts w:hint="default" w:ascii="Times New Roman" w:hAnsi="Times New Roman" w:eastAsia="方正仿宋简体" w:cs="Times New Roman"/>
          <w:sz w:val="30"/>
          <w:szCs w:val="30"/>
          <w:lang w:val="en-US" w:eastAsia="zh-CN"/>
        </w:rPr>
        <w:t>气压棒：优质品牌气压棒，钢制主体，壁厚2.0 MM，填充99.99%以上氮气，升降调节（调节范围：90mm±2mm）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lang w:val="en-US" w:eastAsia="zh-CN"/>
        </w:rPr>
        <w:t>五星脚：PA一体成型铝合金椅脚（范围：320mm~350mm）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 xml:space="preserve">椅轮：PA移动椅轮，插拔式设计，可根据未来需求更换椅轮。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（8）</w:t>
      </w:r>
      <w:r>
        <w:rPr>
          <w:rFonts w:hint="default" w:ascii="Times New Roman" w:hAnsi="Times New Roman" w:eastAsia="方正仿宋简体" w:cs="Times New Roman"/>
          <w:sz w:val="30"/>
          <w:szCs w:val="30"/>
          <w:lang w:val="en-US" w:eastAsia="zh-CN"/>
        </w:rPr>
        <w:t>功能说明：头枕可调节；腰托可调节；脚踏伸缩结构，踏面海绵填充；背座同步倾仰，大角度，至少三档定位。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（9）</w:t>
      </w:r>
      <w:r>
        <w:rPr>
          <w:rFonts w:hint="default" w:ascii="Times New Roman" w:hAnsi="Times New Roman" w:eastAsia="方正仿宋简体" w:cs="Times New Roman"/>
          <w:sz w:val="30"/>
          <w:szCs w:val="30"/>
          <w:lang w:val="en-US" w:eastAsia="zh-CN"/>
        </w:rPr>
        <w:t xml:space="preserve">执行标准：各项技术指标符合QB/T 2280-2016（2017）《办公家具 办公椅》规定的要求。                                                                                        </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3.铁皮柜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（1）规格：上下两节。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基材：一级冷轧钢板 ，厚度0.</w:t>
      </w: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（3）工艺：柜子经钢板折弯、焊接而成，表面采用知名品牌粉末涂料静电喷涂。前处理过程不使用含磷的脱脂剂和皮膜剂，不使用卤代有机物去除油污等环保工艺进行金属表面处理。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（4）配置：柜门附卡钩闭合功能，防止柜门自开启，开启角度达到 135°；柜体底部附水平调节功能；钢柜内的层板可由用户上下自由调整，以适应不同物件的收纳；层板由0.6mm钢板折弯而成，有补强加强支撑，可承重50kg。</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（5）成品：各项技术指标符合 GB/T 3325-2017《金属家具通用技术条件》规定的要求。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4.沙发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lang w:val="en-US" w:eastAsia="zh-CN"/>
        </w:rPr>
        <w:t>海绵：采用高回弹海绵，座面密度≥45kg/m³，回弹性≥50%，甲醛释放量≤0.12mg/㎡h，软硬适中、不变形、回弹性能好。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面料：采用</w:t>
      </w:r>
      <w:r>
        <w:rPr>
          <w:rFonts w:hint="eastAsia" w:ascii="Times New Roman" w:hAnsi="Times New Roman" w:eastAsia="方正仿宋简体" w:cs="Times New Roman"/>
          <w:sz w:val="30"/>
          <w:szCs w:val="30"/>
          <w:lang w:val="en-US" w:eastAsia="zh-CN"/>
        </w:rPr>
        <w:t>黑色</w:t>
      </w:r>
      <w:r>
        <w:rPr>
          <w:rFonts w:hint="default" w:ascii="Times New Roman" w:hAnsi="Times New Roman" w:eastAsia="方正仿宋简体" w:cs="Times New Roman"/>
          <w:sz w:val="30"/>
          <w:szCs w:val="30"/>
          <w:lang w:val="en-US" w:eastAsia="zh-CN"/>
        </w:rPr>
        <w:t>优质西皮覆面，皮质舒适、透气性好、抗静电、耐磨损，色泽均匀；软包件及缝纫应外形饱满，平滑一致，对称部件对称，缝纫线迹均匀，无明显浮线跳针。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lang w:val="en-US" w:eastAsia="zh-CN"/>
        </w:rPr>
        <w:t>沙发木架牢固，无晃动。产品着地平稳，偏差不大于2mm。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执行标准：各项技术指标符合QB/T1952.1-2012《软体家具 沙发》规定的要求。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w:t>
      </w:r>
      <w:r>
        <w:rPr>
          <w:rFonts w:hint="eastAsia" w:ascii="Times New Roman" w:hAnsi="Times New Roman" w:eastAsia="方正仿宋简体" w:cs="Times New Roman"/>
          <w:b/>
          <w:bCs/>
          <w:sz w:val="30"/>
          <w:szCs w:val="30"/>
          <w:lang w:val="en-US" w:eastAsia="zh-CN"/>
        </w:rPr>
        <w:t>.茶几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（1）基材：基材采用E0级刨花板，甲醛释放量ENF≤0.025mg/m³，（执行标准：GB/T 39600-2021人造板及其制品甲醛释放量分级),挥发性有机化合物（TVOC）释放量≤100ug/m³（72h）（执行标准：GB/T4897-2015刨花板)。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（2）饰面纸采用品牌优质饰面纸，颜色可选。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（3）茶几带置物底层板。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6.班前椅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lang w:val="en-US" w:eastAsia="zh-CN"/>
        </w:rPr>
        <w:t>椅座：固定椅坐，采用多层曲木热压成型曲木板，</w:t>
      </w:r>
      <w:r>
        <w:rPr>
          <w:rFonts w:hint="eastAsia" w:ascii="Times New Roman" w:hAnsi="Times New Roman" w:eastAsia="方正仿宋简体" w:cs="Times New Roman"/>
          <w:sz w:val="30"/>
          <w:szCs w:val="30"/>
          <w:lang w:val="en-US" w:eastAsia="zh-CN"/>
        </w:rPr>
        <w:t>黑色</w:t>
      </w:r>
      <w:r>
        <w:rPr>
          <w:rFonts w:hint="default" w:ascii="Times New Roman" w:hAnsi="Times New Roman" w:eastAsia="方正仿宋简体" w:cs="Times New Roman"/>
          <w:sz w:val="30"/>
          <w:szCs w:val="30"/>
          <w:lang w:val="en-US" w:eastAsia="zh-CN"/>
        </w:rPr>
        <w:t>环保网布包覆舒适、透气性好、耐磨损。采用优质品牌高回弹一体成型泡棉，座面密度≥45kg/m³，回弹性≥35%，甲醛释放量≤0.12mg/㎡h，软硬适中、不变形、回弹性能好。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（2）椅背：高透气网布，回弹性强，提供强力支撑性，减少身体负担。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lang w:val="en-US" w:eastAsia="zh-CN"/>
        </w:rPr>
        <w:t>椅背：高透气网布，回弹性强，提供强力支撑性，减少身体负担。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机构：背倾仰机构。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w:t>
      </w:r>
      <w:r>
        <w:rPr>
          <w:rFonts w:hint="default" w:ascii="Times New Roman" w:hAnsi="Times New Roman" w:eastAsia="方正仿宋简体" w:cs="Times New Roman"/>
          <w:sz w:val="30"/>
          <w:szCs w:val="30"/>
          <w:lang w:val="en-US" w:eastAsia="zh-CN"/>
        </w:rPr>
        <w:t>气压棒：采用优质品牌气压棒，钢制主体，壁厚2.0 MM，填充99.99%以上氮气，升降调节（调节范围： 90mm±2mm）。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lang w:val="en-US" w:eastAsia="zh-CN"/>
        </w:rPr>
        <w:t>椅轮：PU静音尼龙轮，插拔式设计，可根据未来调整更换椅轮。通过障碍物上循环2000次，无障碍循环98000次。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五星脚：PA6一体成型尼龙椅脚。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（8）</w:t>
      </w:r>
      <w:r>
        <w:rPr>
          <w:rFonts w:hint="default" w:ascii="Times New Roman" w:hAnsi="Times New Roman" w:eastAsia="方正仿宋简体" w:cs="Times New Roman"/>
          <w:sz w:val="30"/>
          <w:szCs w:val="30"/>
          <w:lang w:val="en-US" w:eastAsia="zh-CN"/>
        </w:rPr>
        <w:t>执行标准：各项技术指标符合QB/T 2280-2016（2017）《办公家具 办公椅》规定的要求。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7.书柜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（1）布局：双门柜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（2）基材：采购EO级刨花板（执行标准：GB/T 39600-2021），甲醛释放量ENF≤0.025mg/m³，发性有机化合物（TVOC）释放量≤100ug/m³（72h）（执行标准：GB/T4897-2015刨花板)。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（3）饰面：采用品牌优质饰面纸，颜色可选。内嵌锌合金预埋螺母，可重复拆卸。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（4）五金：铰链--耐久性商用型达到80000次;表面盐雾300h无锈蚀;通过《QBT2189-2013 家具五金 杯状暗铰链》理化性能检测要求。锁具：双门锁，符合QB/T1621-2015(2017)家具锁标准。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（5）执行标准：各项技术指标符合GB/T 3324-2017 《木家具通用技术条件》规定的要求。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8.班台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（1）规格：长度1800mm；深色系。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（2）基材：采购EO级刨花板（执行标准：GB/T 39600-2021），甲醛释放量ENF≤0.025mg/m³，发性有机化合物（TVOC）释放量≤100ug/m³（72h）（执行标准：GB/T4897-2015刨花板)。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（3）饰面：采用品牌优质饰面纸，颜色可选。内嵌锌合金预埋螺母，可重复拆卸。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（4）五金：铰链--耐久性商用型达到80000次;表面盐雾300h无锈蚀;通过《QBT2189-2013 家具五金 杯状暗铰链》理化性能检测要求。滑轨--优质品牌滑轨,表面镀白锌处理,符合QB/T2454-2013要求,通过耐久性4万次测试。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（5）线盒：桌面含走线翻盖，标配电源模块插座，符合3C认证，含有电源、USB、网络、电话等接口，内部隐藏式走线。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（6）执行标准：各项技术指标符合GB/T 3324-2017 《木家具通用技术条件》规定的要求。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9.班椅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lang w:val="en-US" w:eastAsia="zh-CN"/>
        </w:rPr>
        <w:t>椅背：一体成型聚氨酯海绵，多层木皮热压成型，牛皮包覆</w:t>
      </w:r>
      <w:r>
        <w:rPr>
          <w:rFonts w:hint="eastAsia" w:ascii="Times New Roman" w:hAnsi="Times New Roman" w:eastAsia="方正仿宋简体" w:cs="Times New Roman"/>
          <w:sz w:val="30"/>
          <w:szCs w:val="30"/>
          <w:lang w:val="en-US" w:eastAsia="zh-CN"/>
        </w:rPr>
        <w:t>（黑色）</w:t>
      </w:r>
      <w:r>
        <w:rPr>
          <w:rFonts w:hint="default" w:ascii="Times New Roman" w:hAnsi="Times New Roman" w:eastAsia="方正仿宋简体"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椅座：一体成型聚氨酯海绵，多层木皮热压成型座曲面板，牛皮包覆，SPHC钢板厚8mm。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lang w:val="en-US" w:eastAsia="zh-CN"/>
        </w:rPr>
        <w:t>底盘：钢制主体，内置安全防爆钢板，一体成型尼龙控制把手，超薄线控同步倾仰机构，四档位锁定，倾仰角度：0°~20°±2°，2.5mm钢板冲压而成。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气压棒：采用优质品牌气压棒，钢制主体，壁厚2.0 MM，填充99.99%以上氮气，升降调节范围： 70mm±2mm。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w:t>
      </w:r>
      <w:r>
        <w:rPr>
          <w:rFonts w:hint="default" w:ascii="Times New Roman" w:hAnsi="Times New Roman" w:eastAsia="方正仿宋简体" w:cs="Times New Roman"/>
          <w:sz w:val="30"/>
          <w:szCs w:val="30"/>
          <w:lang w:val="en-US" w:eastAsia="zh-CN"/>
        </w:rPr>
        <w:t>椅脚：重抛铝合金五星椅脚（半径范围：320mm-350mm）。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lang w:val="en-US" w:eastAsia="zh-CN"/>
        </w:rPr>
        <w:t>椅轮：PA+GF尼龙滚动椅轮，直径60mm；插拔式设计，可根据未来调整更换椅轮。荷载不低于113Kg，经过冲击测试，符合QB2280标准。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海棉：高回弹软质聚氨酯泡沫塑料，密度≥45kg/m³，座垫厚度≥6cm</w:t>
      </w:r>
      <w:r>
        <w:rPr>
          <w:rFonts w:hint="eastAsia" w:ascii="Times New Roman" w:hAnsi="Times New Roman" w:eastAsia="方正仿宋简体" w:cs="Times New Roman"/>
          <w:sz w:val="30"/>
          <w:szCs w:val="30"/>
          <w:lang w:val="en-US" w:eastAsia="zh-CN"/>
        </w:rPr>
        <w:t>，</w:t>
      </w:r>
      <w:r>
        <w:rPr>
          <w:rFonts w:hint="default" w:ascii="Times New Roman" w:hAnsi="Times New Roman" w:eastAsia="方正仿宋简体" w:cs="Times New Roman"/>
          <w:sz w:val="30"/>
          <w:szCs w:val="30"/>
          <w:lang w:val="en-US" w:eastAsia="zh-CN"/>
        </w:rPr>
        <w:t>应使用水作为发泡剂。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（8）</w:t>
      </w:r>
      <w:r>
        <w:rPr>
          <w:rFonts w:hint="default" w:ascii="Times New Roman" w:hAnsi="Times New Roman" w:eastAsia="方正仿宋简体" w:cs="Times New Roman"/>
          <w:sz w:val="30"/>
          <w:szCs w:val="30"/>
          <w:lang w:val="en-US" w:eastAsia="zh-CN"/>
        </w:rPr>
        <w:t>执行标准：各项技术指标符合QB/T 2280-2016（2017）《办公家具 办公椅》规定的要求。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10.单人讲桌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（1）规格：定制尺寸800*600*750，与现有双人讲桌配套使用。如图：</w:t>
      </w:r>
    </w:p>
    <w:p>
      <w:pPr>
        <w:keepNext w:val="0"/>
        <w:keepLines w:val="0"/>
        <w:pageBreakBefore w:val="0"/>
        <w:widowControl w:val="0"/>
        <w:kinsoku/>
        <w:wordWrap/>
        <w:overflowPunct/>
        <w:topLinePunct w:val="0"/>
        <w:autoSpaceDE/>
        <w:autoSpaceDN/>
        <w:bidi w:val="0"/>
        <w:adjustRightInd/>
        <w:snapToGrid/>
        <w:spacing w:line="240" w:lineRule="auto"/>
        <w:ind w:left="16" w:leftChars="-200" w:hanging="416" w:hangingChars="139"/>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drawing>
          <wp:inline distT="0" distB="0" distL="114300" distR="114300">
            <wp:extent cx="2400300" cy="3200400"/>
            <wp:effectExtent l="0" t="0" r="0" b="0"/>
            <wp:docPr id="3" name="图片 1" descr="单人讲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单人讲桌1"/>
                    <pic:cNvPicPr>
                      <a:picLocks noChangeAspect="1"/>
                    </pic:cNvPicPr>
                  </pic:nvPicPr>
                  <pic:blipFill>
                    <a:blip r:embed="rId10"/>
                    <a:stretch>
                      <a:fillRect/>
                    </a:stretch>
                  </pic:blipFill>
                  <pic:spPr>
                    <a:xfrm>
                      <a:off x="0" y="0"/>
                      <a:ext cx="2400300" cy="3200400"/>
                    </a:xfrm>
                    <a:prstGeom prst="rect">
                      <a:avLst/>
                    </a:prstGeom>
                    <a:noFill/>
                    <a:ln>
                      <a:noFill/>
                    </a:ln>
                  </pic:spPr>
                </pic:pic>
              </a:graphicData>
            </a:graphic>
          </wp:inline>
        </w:drawing>
      </w:r>
      <w:r>
        <w:rPr>
          <w:rFonts w:hint="default" w:ascii="Times New Roman" w:hAnsi="Times New Roman" w:eastAsia="方正仿宋简体" w:cs="Times New Roman"/>
          <w:sz w:val="30"/>
          <w:szCs w:val="30"/>
          <w:lang w:val="en-US" w:eastAsia="zh-CN"/>
        </w:rPr>
        <w:drawing>
          <wp:inline distT="0" distB="0" distL="114300" distR="114300">
            <wp:extent cx="2618740" cy="3491865"/>
            <wp:effectExtent l="0" t="0" r="10160" b="13335"/>
            <wp:docPr id="5" name="图片 2" descr="单人讲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单人讲桌2"/>
                    <pic:cNvPicPr>
                      <a:picLocks noChangeAspect="1"/>
                    </pic:cNvPicPr>
                  </pic:nvPicPr>
                  <pic:blipFill>
                    <a:blip r:embed="rId11"/>
                    <a:stretch>
                      <a:fillRect/>
                    </a:stretch>
                  </pic:blipFill>
                  <pic:spPr>
                    <a:xfrm>
                      <a:off x="0" y="0"/>
                      <a:ext cx="2618740" cy="3491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（2）基材：采购EO级刨花板（执行标准：GB/T 39600-2021），甲醛释放量ENF≤0.025mg/m³，总挥发性有机化合物（TVOC）释放量≤100ug/m³（72h）（执行标准：GB/T4897-2015刨花板)。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（3）饰面：采用优质三聚氰胺浸胶工艺，表面稳定性强，耐污抗磨性好。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（4）优质PVC封边。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（5）执行标准：各项技术指标符合GB/T 3324-2017 《木家具通用技术条件》规定的要求。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sz w:val="30"/>
          <w:szCs w:val="30"/>
          <w:lang w:val="en-US" w:eastAsia="zh-CN"/>
        </w:rPr>
        <w:t>11.</w:t>
      </w:r>
      <w:r>
        <w:rPr>
          <w:rFonts w:hint="eastAsia" w:ascii="Times New Roman" w:hAnsi="Times New Roman" w:eastAsia="方正仿宋简体" w:cs="Times New Roman"/>
          <w:b/>
          <w:bCs/>
          <w:sz w:val="30"/>
          <w:szCs w:val="30"/>
          <w:lang w:val="en-US" w:eastAsia="zh-CN"/>
        </w:rPr>
        <w:t>会议条桌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（1）规格：</w:t>
      </w:r>
      <w:r>
        <w:rPr>
          <w:rFonts w:hint="eastAsia" w:ascii="Times New Roman" w:hAnsi="Times New Roman" w:eastAsia="方正仿宋简体" w:cs="Times New Roman"/>
          <w:sz w:val="30"/>
          <w:szCs w:val="30"/>
          <w:lang w:val="en-US" w:eastAsia="zh-CN"/>
        </w:rPr>
        <w:t>长度1400，浅色，可折叠，款式参考下图：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drawing>
          <wp:inline distT="0" distB="0" distL="114300" distR="114300">
            <wp:extent cx="5019675" cy="3419475"/>
            <wp:effectExtent l="0" t="0" r="9525" b="9525"/>
            <wp:docPr id="4" name="图片 3" descr="会议条桌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会议条桌示意图"/>
                    <pic:cNvPicPr>
                      <a:picLocks noChangeAspect="1"/>
                    </pic:cNvPicPr>
                  </pic:nvPicPr>
                  <pic:blipFill>
                    <a:blip r:embed="rId12"/>
                    <a:stretch>
                      <a:fillRect/>
                    </a:stretch>
                  </pic:blipFill>
                  <pic:spPr>
                    <a:xfrm>
                      <a:off x="0" y="0"/>
                      <a:ext cx="5019675" cy="34194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基材：采购E</w:t>
      </w:r>
      <w:r>
        <w:rPr>
          <w:rFonts w:hint="eastAsia" w:ascii="Times New Roman" w:hAnsi="Times New Roman" w:eastAsia="方正仿宋简体" w:cs="Times New Roman"/>
          <w:sz w:val="30"/>
          <w:szCs w:val="30"/>
          <w:lang w:val="en-US" w:eastAsia="zh-CN"/>
        </w:rPr>
        <w:t>0</w:t>
      </w:r>
      <w:r>
        <w:rPr>
          <w:rFonts w:hint="default" w:ascii="Times New Roman" w:hAnsi="Times New Roman" w:eastAsia="方正仿宋简体" w:cs="Times New Roman"/>
          <w:sz w:val="30"/>
          <w:szCs w:val="30"/>
          <w:lang w:val="en-US" w:eastAsia="zh-CN"/>
        </w:rPr>
        <w:t>级刨花板（执行标准：GB/T 39600-2021），甲醛释放量ENF≤0.025mg/m³，</w:t>
      </w:r>
      <w:r>
        <w:rPr>
          <w:rFonts w:hint="eastAsia" w:ascii="Times New Roman" w:hAnsi="Times New Roman" w:eastAsia="方正仿宋简体" w:cs="Times New Roman"/>
          <w:sz w:val="30"/>
          <w:szCs w:val="30"/>
          <w:lang w:val="en-US" w:eastAsia="zh-CN"/>
        </w:rPr>
        <w:t>总挥</w:t>
      </w:r>
      <w:r>
        <w:rPr>
          <w:rFonts w:hint="default" w:ascii="Times New Roman" w:hAnsi="Times New Roman" w:eastAsia="方正仿宋简体" w:cs="Times New Roman"/>
          <w:sz w:val="30"/>
          <w:szCs w:val="30"/>
          <w:lang w:val="en-US" w:eastAsia="zh-CN"/>
        </w:rPr>
        <w:t xml:space="preserve">发性有机化合物（TVOC）释放量≤100ug/m³（72h）（执行标准：GB/T4897-2015刨花板)。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lang w:val="en-US" w:eastAsia="zh-CN"/>
        </w:rPr>
        <w:t xml:space="preserve">饰面：采用品牌优质饰面纸，颜色可选。内嵌锌合金预埋螺母，可重复拆卸。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lang w:val="en-US" w:eastAsia="zh-CN"/>
        </w:rPr>
        <w:t>桌脚和横梁：采用国内品牌钢板焊接而成，壁厚≥1.5mm；表面采用优质品牌末涂料静电喷涂。前处理过程不使用含磷的脱脂剂和皮膜剂，不使用卤代有机物去除油污等环保工艺进行金属表面处理。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（5）</w:t>
      </w:r>
      <w:r>
        <w:rPr>
          <w:rFonts w:hint="default" w:ascii="Times New Roman" w:hAnsi="Times New Roman" w:eastAsia="方正仿宋简体" w:cs="Times New Roman"/>
          <w:sz w:val="30"/>
          <w:szCs w:val="30"/>
          <w:lang w:val="en-US" w:eastAsia="zh-CN"/>
        </w:rPr>
        <w:t>五金/脚轮：配4件静音脚轮，其中2件有刹车功能，直径不小于60mm</w:t>
      </w:r>
      <w:r>
        <w:rPr>
          <w:rFonts w:hint="eastAsia" w:ascii="Times New Roman" w:hAnsi="Times New Roman" w:eastAsia="方正仿宋简体"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lang w:val="en-US" w:eastAsia="zh-CN"/>
        </w:rPr>
        <w:t>功能：桌板可90°折叠，两桌间可选用连接件拼接组合固定。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执行标准：各项技术指标符合GB/T 3325-2017 《金属家具通用技术条件》规定的要求。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sz w:val="30"/>
          <w:szCs w:val="30"/>
          <w:lang w:val="en-US" w:eastAsia="zh-CN"/>
        </w:rPr>
        <w:t>1</w:t>
      </w: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lang w:val="en-US" w:eastAsia="zh-CN"/>
        </w:rPr>
        <w:t>.</w:t>
      </w:r>
      <w:r>
        <w:rPr>
          <w:rFonts w:hint="eastAsia" w:ascii="Times New Roman" w:hAnsi="Times New Roman" w:eastAsia="方正仿宋简体" w:cs="Times New Roman"/>
          <w:b/>
          <w:bCs/>
          <w:sz w:val="30"/>
          <w:szCs w:val="30"/>
          <w:lang w:val="en-US" w:eastAsia="zh-CN"/>
        </w:rPr>
        <w:t>折叠</w:t>
      </w:r>
      <w:r>
        <w:rPr>
          <w:rFonts w:hint="default" w:ascii="Times New Roman" w:hAnsi="Times New Roman" w:eastAsia="方正仿宋简体" w:cs="Times New Roman"/>
          <w:b/>
          <w:bCs/>
          <w:sz w:val="30"/>
          <w:szCs w:val="30"/>
          <w:lang w:val="en-US" w:eastAsia="zh-CN"/>
        </w:rPr>
        <w:t>会议椅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rPr>
        <w:t>椅背：PA+GF主体成型框架，</w:t>
      </w:r>
      <w:r>
        <w:rPr>
          <w:rFonts w:hint="eastAsia" w:ascii="Times New Roman" w:hAnsi="Times New Roman" w:eastAsia="方正仿宋简体" w:cs="Times New Roman"/>
          <w:sz w:val="30"/>
          <w:szCs w:val="30"/>
          <w:lang w:val="en-US" w:eastAsia="zh-CN"/>
        </w:rPr>
        <w:t>黑色</w:t>
      </w:r>
      <w:r>
        <w:rPr>
          <w:rFonts w:hint="default" w:ascii="Times New Roman" w:hAnsi="Times New Roman" w:eastAsia="方正仿宋简体" w:cs="Times New Roman"/>
          <w:sz w:val="30"/>
          <w:szCs w:val="30"/>
        </w:rPr>
        <w:t>透气网布，尼龙可倾仰腰靠（倾仰角度0°~16°±2°)。固定扶手。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2）</w:t>
      </w:r>
      <w:r>
        <w:rPr>
          <w:rFonts w:hint="default" w:ascii="Times New Roman" w:hAnsi="Times New Roman" w:eastAsia="方正仿宋简体" w:cs="Times New Roman"/>
          <w:sz w:val="30"/>
          <w:szCs w:val="30"/>
        </w:rPr>
        <w:t>PA+GF椅壳，高回弹裁切泡棉，面料包覆颜色可选；椅座上翻转式设计（调节范围：90°左右），可实现堆叠。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rPr>
        <w:t>机构：铝合金翻转结构。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椅脚：钢制烤漆弯管，焊接而成，钢管壁厚≥2mm.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5）</w:t>
      </w:r>
      <w:r>
        <w:rPr>
          <w:rFonts w:hint="default" w:ascii="Times New Roman" w:hAnsi="Times New Roman" w:eastAsia="方正仿宋简体" w:cs="Times New Roman"/>
          <w:sz w:val="30"/>
          <w:szCs w:val="30"/>
        </w:rPr>
        <w:t>椅轮：PA+GF尼龙滚动椅轮。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6）</w:t>
      </w:r>
      <w:r>
        <w:rPr>
          <w:rFonts w:hint="default" w:ascii="Times New Roman" w:hAnsi="Times New Roman" w:eastAsia="方正仿宋简体" w:cs="Times New Roman"/>
          <w:sz w:val="30"/>
          <w:szCs w:val="30"/>
        </w:rPr>
        <w:t>海棉：高回弹软质聚氨酯泡沫塑料，密度≥</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 xml:space="preserve">5kg/m³座垫厚度≥6cm，应使用水作为发泡剂。                                                                                           </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（7）执行标准：各项技术指标符合QB/T 2280-2016（2017）《办公家具 办公椅》规定的要求。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方正仿宋简体" w:cs="Times New Roman"/>
          <w:sz w:val="30"/>
          <w:szCs w:val="30"/>
          <w:lang w:val="en-US" w:eastAsia="zh-CN"/>
        </w:rPr>
      </w:pPr>
      <w:r>
        <w:rPr>
          <w:rFonts w:hint="eastAsia" w:ascii="黑体" w:hAnsi="黑体" w:eastAsia="黑体" w:cs="黑体"/>
          <w:sz w:val="30"/>
          <w:szCs w:val="30"/>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1.中标供应商应提供办公家具的主要材料的检测报告。</w:t>
      </w:r>
      <w:r>
        <w:rPr>
          <w:rFonts w:hint="default" w:ascii="Times New Roman" w:hAnsi="Times New Roman" w:eastAsia="方正仿宋简体" w:cs="Times New Roman"/>
          <w:sz w:val="30"/>
          <w:szCs w:val="30"/>
          <w:lang w:val="en-US" w:eastAsia="zh-CN"/>
        </w:rPr>
        <w:t xml:space="preserve">                                             </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2.合同签订后，中标供应商应指定项目负责人，负责本合同各项工作，包括但不限于深度设计、现场安装、测试、售后等服务。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3</w:t>
      </w:r>
      <w:r>
        <w:rPr>
          <w:rFonts w:hint="default" w:ascii="Times New Roman" w:hAnsi="Times New Roman" w:eastAsia="方正仿宋简体" w:cs="Times New Roman"/>
          <w:sz w:val="30"/>
          <w:szCs w:val="30"/>
        </w:rPr>
        <w:t>.售后服务要求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参考合同相关条款。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国投大厦办公区家具需求单</w:t>
      </w:r>
    </w:p>
    <w:tbl>
      <w:tblPr>
        <w:tblStyle w:val="20"/>
        <w:tblW w:w="9840"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4"/>
        <w:gridCol w:w="1826"/>
        <w:gridCol w:w="4852"/>
        <w:gridCol w:w="1407"/>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家具名称</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规格要求（长度单位mm）</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L型工位</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1600*1800*1150                         配置：桌下固定三抽柜 /主机架/亚克力铭牌</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L型工位</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1600*1600*1150       配置：桌下固定三抽柜 /主机架/亚克力铭牌 </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一字工位</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长度1600             配置：三抽柜 /主机架/亚克力铭牌</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工位椅</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黑色网面、万向轮、可仰卧、脚踏</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双层铁皮柜</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上下两节柜</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三人沙发</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皮面</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单人沙发</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皮面</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长茶几</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长度：1200mm左右</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方茶几</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班前椅</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网面椅，带万向轮                    </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2门书柜</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800*400*2000</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班台</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长度：1800mm</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班椅</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皮质、万向轮</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会议条桌</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1400*600*740        可折叠、带轮</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会议椅</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网面、带轮</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讲桌</w:t>
            </w:r>
          </w:p>
        </w:tc>
        <w:tc>
          <w:tcPr>
            <w:tcW w:w="4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单人位：800*600*750</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2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590" w:leftChars="-295" w:firstLine="1217" w:firstLineChars="406"/>
        <w:textAlignment w:val="auto"/>
        <w:rPr>
          <w:rFonts w:hint="eastAsia"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p>
    <w:p>
      <w:pPr>
        <w:pStyle w:val="3"/>
        <w:keepNext/>
        <w:keepLines w:val="0"/>
        <w:pageBreakBefore w:val="0"/>
        <w:widowControl w:val="0"/>
        <w:kinsoku/>
        <w:wordWrap/>
        <w:overflowPunct/>
        <w:topLinePunct w:val="0"/>
        <w:autoSpaceDE w:val="0"/>
        <w:autoSpaceDN w:val="0"/>
        <w:bidi w:val="0"/>
        <w:adjustRightInd w:val="0"/>
        <w:snapToGrid/>
        <w:ind w:firstLine="2570" w:firstLineChars="800"/>
        <w:jc w:val="both"/>
        <w:textAlignment w:val="auto"/>
        <w:rPr>
          <w:rFonts w:ascii="宋体" w:hAnsi="Times New Roman" w:eastAsia="宋体" w:cs="Times New Roman"/>
          <w:b/>
          <w:color w:val="auto"/>
          <w:kern w:val="2"/>
          <w:sz w:val="32"/>
          <w:szCs w:val="32"/>
          <w:highlight w:val="none"/>
          <w:lang w:val="en-US" w:eastAsia="zh-CN" w:bidi="ar-SA"/>
        </w:rPr>
      </w:pPr>
      <w:r>
        <w:rPr>
          <w:rFonts w:hint="eastAsia" w:cs="Times New Roman"/>
          <w:b/>
          <w:color w:val="auto"/>
          <w:kern w:val="2"/>
          <w:sz w:val="32"/>
          <w:szCs w:val="32"/>
          <w:highlight w:val="none"/>
          <w:lang w:val="en-US" w:eastAsia="zh-CN" w:bidi="ar-SA"/>
        </w:rPr>
        <w:t>第五章</w:t>
      </w:r>
      <w:r>
        <w:rPr>
          <w:rFonts w:hint="eastAsia" w:ascii="宋体" w:hAnsi="Times New Roman" w:eastAsia="宋体" w:cs="Times New Roman"/>
          <w:b/>
          <w:color w:val="auto"/>
          <w:kern w:val="2"/>
          <w:sz w:val="32"/>
          <w:szCs w:val="32"/>
          <w:highlight w:val="none"/>
          <w:lang w:val="en-US" w:eastAsia="zh-CN" w:bidi="ar-SA"/>
        </w:rPr>
        <w:t>采购响应</w:t>
      </w:r>
      <w:r>
        <w:rPr>
          <w:rFonts w:ascii="宋体" w:hAnsi="Times New Roman" w:eastAsia="宋体" w:cs="Times New Roman"/>
          <w:b/>
          <w:color w:val="auto"/>
          <w:kern w:val="2"/>
          <w:sz w:val="32"/>
          <w:szCs w:val="32"/>
          <w:highlight w:val="none"/>
          <w:lang w:val="en-US" w:eastAsia="zh-CN" w:bidi="ar-SA"/>
        </w:rPr>
        <w:t>文件格式</w:t>
      </w:r>
    </w:p>
    <w:p>
      <w:pPr>
        <w:pStyle w:val="8"/>
        <w:rPr>
          <w:color w:val="auto"/>
          <w:highlight w:val="none"/>
        </w:rPr>
      </w:pPr>
    </w:p>
    <w:p>
      <w:pPr>
        <w:pStyle w:val="9"/>
        <w:rPr>
          <w:color w:val="auto"/>
          <w:highlight w:val="none"/>
        </w:rPr>
      </w:pPr>
    </w:p>
    <w:p>
      <w:pPr>
        <w:jc w:val="both"/>
        <w:rPr>
          <w:rFonts w:ascii="宋体"/>
          <w:color w:val="auto"/>
          <w:sz w:val="36"/>
          <w:highlight w:val="none"/>
        </w:rPr>
      </w:pPr>
    </w:p>
    <w:p>
      <w:pPr>
        <w:widowControl w:val="0"/>
        <w:snapToGrid w:val="0"/>
        <w:jc w:val="center"/>
        <w:rPr>
          <w:rFonts w:ascii="宋体"/>
          <w:color w:val="auto"/>
          <w:kern w:val="2"/>
          <w:sz w:val="110"/>
          <w:szCs w:val="24"/>
          <w:highlight w:val="none"/>
        </w:rPr>
      </w:pPr>
      <w:bookmarkStart w:id="124" w:name="_Toc22467_WPSOffice_Level1"/>
      <w:r>
        <w:rPr>
          <w:rFonts w:hint="eastAsia" w:ascii="宋体"/>
          <w:color w:val="auto"/>
          <w:kern w:val="2"/>
          <w:sz w:val="110"/>
          <w:szCs w:val="24"/>
          <w:highlight w:val="none"/>
        </w:rPr>
        <w:t>采购响应</w:t>
      </w:r>
      <w:r>
        <w:rPr>
          <w:rFonts w:ascii="宋体"/>
          <w:color w:val="auto"/>
          <w:kern w:val="2"/>
          <w:sz w:val="110"/>
          <w:szCs w:val="24"/>
          <w:highlight w:val="none"/>
        </w:rPr>
        <w:t>文件</w:t>
      </w:r>
      <w:bookmarkEnd w:id="124"/>
    </w:p>
    <w:p>
      <w:pPr>
        <w:jc w:val="center"/>
        <w:rPr>
          <w:rFonts w:ascii="宋体"/>
          <w:color w:val="auto"/>
          <w:sz w:val="36"/>
          <w:szCs w:val="36"/>
          <w:highlight w:val="none"/>
        </w:rPr>
      </w:pPr>
      <w:bookmarkStart w:id="125" w:name="_Toc19430_WPSOffice_Level1"/>
      <w:r>
        <w:rPr>
          <w:rFonts w:ascii="宋体"/>
          <w:color w:val="auto"/>
          <w:sz w:val="36"/>
          <w:szCs w:val="36"/>
          <w:highlight w:val="none"/>
        </w:rPr>
        <w:t>（封面）</w:t>
      </w:r>
      <w:bookmarkEnd w:id="125"/>
    </w:p>
    <w:p>
      <w:pPr>
        <w:jc w:val="both"/>
        <w:rPr>
          <w:rFonts w:ascii="宋体"/>
          <w:color w:val="auto"/>
          <w:sz w:val="36"/>
          <w:highlight w:val="none"/>
        </w:rPr>
      </w:pPr>
    </w:p>
    <w:p>
      <w:pPr>
        <w:jc w:val="both"/>
        <w:rPr>
          <w:rFonts w:ascii="宋体"/>
          <w:color w:val="auto"/>
          <w:sz w:val="36"/>
          <w:highlight w:val="none"/>
        </w:rPr>
      </w:pPr>
    </w:p>
    <w:p>
      <w:pPr>
        <w:jc w:val="both"/>
        <w:rPr>
          <w:rFonts w:ascii="宋体"/>
          <w:color w:val="auto"/>
          <w:sz w:val="36"/>
          <w:highlight w:val="none"/>
        </w:rPr>
      </w:pPr>
    </w:p>
    <w:p>
      <w:pPr>
        <w:jc w:val="both"/>
        <w:rPr>
          <w:rFonts w:ascii="宋体"/>
          <w:color w:val="auto"/>
          <w:sz w:val="36"/>
          <w:highlight w:val="none"/>
        </w:rPr>
      </w:pPr>
    </w:p>
    <w:p>
      <w:pPr>
        <w:jc w:val="both"/>
        <w:rPr>
          <w:rFonts w:ascii="宋体"/>
          <w:color w:val="auto"/>
          <w:sz w:val="36"/>
          <w:highlight w:val="none"/>
        </w:rPr>
      </w:pPr>
    </w:p>
    <w:p>
      <w:pPr>
        <w:jc w:val="both"/>
        <w:rPr>
          <w:rFonts w:ascii="宋体"/>
          <w:color w:val="auto"/>
          <w:sz w:val="36"/>
          <w:highlight w:val="none"/>
        </w:rPr>
      </w:pPr>
    </w:p>
    <w:p>
      <w:pPr>
        <w:widowControl w:val="0"/>
        <w:tabs>
          <w:tab w:val="left" w:pos="4860"/>
        </w:tabs>
        <w:snapToGrid w:val="0"/>
        <w:spacing w:line="700" w:lineRule="exact"/>
        <w:ind w:left="2844" w:leftChars="672" w:hanging="1500" w:hangingChars="500"/>
        <w:jc w:val="both"/>
        <w:rPr>
          <w:rFonts w:ascii="宋体"/>
          <w:bCs/>
          <w:color w:val="auto"/>
          <w:kern w:val="2"/>
          <w:sz w:val="30"/>
          <w:szCs w:val="30"/>
          <w:highlight w:val="none"/>
        </w:rPr>
      </w:pPr>
      <w:bookmarkStart w:id="126" w:name="_Toc15062_WPSOffice_Level1"/>
      <w:r>
        <w:rPr>
          <w:rFonts w:ascii="宋体"/>
          <w:bCs/>
          <w:color w:val="auto"/>
          <w:kern w:val="2"/>
          <w:sz w:val="30"/>
          <w:szCs w:val="30"/>
          <w:highlight w:val="none"/>
        </w:rPr>
        <w:t>项目名称：</w:t>
      </w:r>
      <w:bookmarkEnd w:id="126"/>
    </w:p>
    <w:p>
      <w:pPr>
        <w:widowControl w:val="0"/>
        <w:tabs>
          <w:tab w:val="left" w:pos="4860"/>
        </w:tabs>
        <w:snapToGrid w:val="0"/>
        <w:spacing w:line="700" w:lineRule="exact"/>
        <w:ind w:left="2844" w:leftChars="672" w:hanging="1500" w:hangingChars="500"/>
        <w:jc w:val="both"/>
        <w:rPr>
          <w:rFonts w:ascii="宋体"/>
          <w:bCs/>
          <w:color w:val="auto"/>
          <w:kern w:val="2"/>
          <w:sz w:val="30"/>
          <w:szCs w:val="30"/>
          <w:highlight w:val="none"/>
        </w:rPr>
      </w:pPr>
      <w:r>
        <w:rPr>
          <w:rFonts w:hint="eastAsia" w:ascii="宋体"/>
          <w:bCs/>
          <w:color w:val="auto"/>
          <w:kern w:val="2"/>
          <w:sz w:val="30"/>
          <w:szCs w:val="30"/>
          <w:highlight w:val="none"/>
        </w:rPr>
        <w:t>项目编号：</w:t>
      </w:r>
    </w:p>
    <w:p>
      <w:pPr>
        <w:widowControl w:val="0"/>
        <w:tabs>
          <w:tab w:val="left" w:pos="4860"/>
        </w:tabs>
        <w:snapToGrid w:val="0"/>
        <w:spacing w:line="700" w:lineRule="exact"/>
        <w:ind w:left="2844" w:leftChars="672" w:hanging="1500" w:hangingChars="500"/>
        <w:jc w:val="both"/>
        <w:rPr>
          <w:rFonts w:ascii="宋体"/>
          <w:bCs/>
          <w:color w:val="auto"/>
          <w:kern w:val="2"/>
          <w:sz w:val="30"/>
          <w:szCs w:val="30"/>
          <w:highlight w:val="none"/>
        </w:rPr>
      </w:pPr>
      <w:bookmarkStart w:id="127" w:name="_Toc20974_WPSOffice_Level1"/>
      <w:r>
        <w:rPr>
          <w:rFonts w:hint="eastAsia" w:ascii="宋体"/>
          <w:bCs/>
          <w:color w:val="auto"/>
          <w:kern w:val="2"/>
          <w:sz w:val="30"/>
          <w:szCs w:val="30"/>
          <w:highlight w:val="none"/>
        </w:rPr>
        <w:t>供应商</w:t>
      </w:r>
      <w:r>
        <w:rPr>
          <w:rFonts w:ascii="宋体"/>
          <w:bCs/>
          <w:color w:val="auto"/>
          <w:kern w:val="2"/>
          <w:sz w:val="30"/>
          <w:szCs w:val="30"/>
          <w:highlight w:val="none"/>
        </w:rPr>
        <w:t>（盖章）：</w:t>
      </w:r>
      <w:bookmarkEnd w:id="127"/>
    </w:p>
    <w:p>
      <w:pPr>
        <w:widowControl w:val="0"/>
        <w:tabs>
          <w:tab w:val="left" w:pos="4860"/>
        </w:tabs>
        <w:snapToGrid w:val="0"/>
        <w:spacing w:line="700" w:lineRule="exact"/>
        <w:ind w:left="2844" w:leftChars="672" w:hanging="1500" w:hangingChars="500"/>
        <w:jc w:val="both"/>
        <w:rPr>
          <w:rFonts w:ascii="宋体"/>
          <w:bCs/>
          <w:color w:val="auto"/>
          <w:kern w:val="2"/>
          <w:sz w:val="30"/>
          <w:szCs w:val="30"/>
          <w:highlight w:val="none"/>
        </w:rPr>
      </w:pPr>
      <w:bookmarkStart w:id="128" w:name="_Toc20260_WPSOffice_Level1"/>
      <w:r>
        <w:rPr>
          <w:rFonts w:ascii="宋体"/>
          <w:bCs/>
          <w:color w:val="auto"/>
          <w:kern w:val="2"/>
          <w:sz w:val="30"/>
          <w:szCs w:val="30"/>
          <w:highlight w:val="none"/>
        </w:rPr>
        <w:t>法定代表人（盖章）：</w:t>
      </w:r>
      <w:bookmarkEnd w:id="128"/>
    </w:p>
    <w:p>
      <w:pPr>
        <w:widowControl w:val="0"/>
        <w:tabs>
          <w:tab w:val="left" w:pos="4860"/>
        </w:tabs>
        <w:snapToGrid w:val="0"/>
        <w:spacing w:line="700" w:lineRule="exact"/>
        <w:ind w:left="2844" w:leftChars="672" w:hanging="1500" w:hangingChars="500"/>
        <w:jc w:val="both"/>
        <w:rPr>
          <w:rFonts w:ascii="宋体"/>
          <w:bCs/>
          <w:color w:val="auto"/>
          <w:kern w:val="2"/>
          <w:sz w:val="30"/>
          <w:szCs w:val="30"/>
          <w:highlight w:val="none"/>
        </w:rPr>
      </w:pPr>
      <w:bookmarkStart w:id="129" w:name="_Toc1396_WPSOffice_Level1"/>
      <w:r>
        <w:rPr>
          <w:rFonts w:ascii="宋体"/>
          <w:bCs/>
          <w:color w:val="auto"/>
          <w:kern w:val="2"/>
          <w:sz w:val="30"/>
          <w:szCs w:val="30"/>
          <w:highlight w:val="none"/>
        </w:rPr>
        <w:t>日期：年月日</w:t>
      </w:r>
      <w:bookmarkEnd w:id="129"/>
    </w:p>
    <w:p>
      <w:pPr>
        <w:widowControl w:val="0"/>
        <w:tabs>
          <w:tab w:val="left" w:pos="1080"/>
          <w:tab w:val="left" w:pos="1980"/>
          <w:tab w:val="left" w:pos="2160"/>
          <w:tab w:val="left" w:pos="2340"/>
          <w:tab w:val="left" w:pos="2520"/>
          <w:tab w:val="left" w:pos="2700"/>
          <w:tab w:val="left" w:pos="3240"/>
        </w:tabs>
        <w:spacing w:line="400" w:lineRule="exact"/>
        <w:jc w:val="center"/>
        <w:outlineLvl w:val="1"/>
        <w:rPr>
          <w:rFonts w:ascii="宋体"/>
          <w:b/>
          <w:color w:val="auto"/>
          <w:kern w:val="2"/>
          <w:sz w:val="32"/>
          <w:szCs w:val="32"/>
          <w:highlight w:val="none"/>
        </w:rPr>
      </w:pPr>
      <w:r>
        <w:rPr>
          <w:rFonts w:ascii="宋体"/>
          <w:color w:val="auto"/>
          <w:sz w:val="36"/>
          <w:highlight w:val="none"/>
        </w:rPr>
        <w:br w:type="page"/>
      </w:r>
      <w:bookmarkStart w:id="130" w:name="_Toc14424_WPSOffice_Level1"/>
      <w:bookmarkStart w:id="131" w:name="_Toc24377"/>
      <w:r>
        <w:rPr>
          <w:rFonts w:hint="eastAsia" w:ascii="宋体"/>
          <w:b/>
          <w:color w:val="auto"/>
          <w:kern w:val="2"/>
          <w:sz w:val="32"/>
          <w:szCs w:val="32"/>
          <w:highlight w:val="none"/>
        </w:rPr>
        <w:t>采购响应</w:t>
      </w:r>
      <w:r>
        <w:rPr>
          <w:rFonts w:ascii="宋体"/>
          <w:b/>
          <w:color w:val="auto"/>
          <w:kern w:val="2"/>
          <w:sz w:val="32"/>
          <w:szCs w:val="32"/>
          <w:highlight w:val="none"/>
        </w:rPr>
        <w:t>文件目录</w:t>
      </w:r>
      <w:bookmarkEnd w:id="130"/>
      <w:bookmarkEnd w:id="131"/>
    </w:p>
    <w:p>
      <w:pPr>
        <w:widowControl w:val="0"/>
        <w:spacing w:line="500" w:lineRule="exact"/>
        <w:jc w:val="both"/>
        <w:rPr>
          <w:rFonts w:ascii="宋体"/>
          <w:b/>
          <w:bCs/>
          <w:color w:val="auto"/>
          <w:kern w:val="2"/>
          <w:sz w:val="28"/>
          <w:szCs w:val="28"/>
          <w:highlight w:val="none"/>
        </w:rPr>
      </w:pPr>
      <w:r>
        <w:rPr>
          <w:rFonts w:ascii="宋体"/>
          <w:b/>
          <w:bCs/>
          <w:color w:val="auto"/>
          <w:kern w:val="2"/>
          <w:sz w:val="28"/>
          <w:szCs w:val="28"/>
          <w:highlight w:val="none"/>
        </w:rPr>
        <w:t>第一部分：</w:t>
      </w:r>
      <w:r>
        <w:rPr>
          <w:rFonts w:hint="eastAsia" w:ascii="宋体"/>
          <w:b/>
          <w:bCs/>
          <w:color w:val="auto"/>
          <w:kern w:val="2"/>
          <w:sz w:val="28"/>
          <w:szCs w:val="28"/>
          <w:highlight w:val="none"/>
        </w:rPr>
        <w:t>采购响应</w:t>
      </w:r>
      <w:r>
        <w:rPr>
          <w:rFonts w:ascii="宋体"/>
          <w:b/>
          <w:bCs/>
          <w:color w:val="auto"/>
          <w:kern w:val="2"/>
          <w:sz w:val="28"/>
          <w:szCs w:val="28"/>
          <w:highlight w:val="none"/>
        </w:rPr>
        <w:t>文件商务</w:t>
      </w:r>
      <w:r>
        <w:rPr>
          <w:rFonts w:hint="eastAsia" w:ascii="宋体"/>
          <w:b/>
          <w:bCs/>
          <w:color w:val="auto"/>
          <w:kern w:val="2"/>
          <w:sz w:val="28"/>
          <w:szCs w:val="28"/>
          <w:highlight w:val="none"/>
        </w:rPr>
        <w:t>部分</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1）洽谈报价函</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2）报价一览表</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4）供应商基本情况表</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5）法定代表人身份证明</w:t>
      </w:r>
      <w:r>
        <w:rPr>
          <w:rFonts w:hint="eastAsia"/>
          <w:bCs/>
          <w:color w:val="auto"/>
          <w:highlight w:val="none"/>
        </w:rPr>
        <w:tab/>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6）法人授权委托书</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7）供应商资格证明文件</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8）供应商资料真实性承诺书</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lang w:val="en-US" w:eastAsia="zh-CN"/>
        </w:rPr>
        <w:t>9</w:t>
      </w:r>
      <w:r>
        <w:rPr>
          <w:rFonts w:hint="eastAsia"/>
          <w:bCs/>
          <w:color w:val="auto"/>
          <w:highlight w:val="none"/>
        </w:rPr>
        <w:t>)技术部分/商务部分差异表</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1</w:t>
      </w:r>
      <w:r>
        <w:rPr>
          <w:rFonts w:hint="eastAsia"/>
          <w:bCs/>
          <w:color w:val="auto"/>
          <w:highlight w:val="none"/>
          <w:lang w:val="en-US" w:eastAsia="zh-CN"/>
        </w:rPr>
        <w:t>0</w:t>
      </w:r>
      <w:r>
        <w:rPr>
          <w:rFonts w:hint="eastAsia"/>
          <w:bCs/>
          <w:color w:val="auto"/>
          <w:highlight w:val="none"/>
        </w:rPr>
        <w:t>)廉洁承诺书,供需双方廉洁互保协议</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1</w:t>
      </w:r>
      <w:r>
        <w:rPr>
          <w:rFonts w:hint="eastAsia"/>
          <w:bCs/>
          <w:color w:val="auto"/>
          <w:highlight w:val="none"/>
          <w:lang w:val="en-US" w:eastAsia="zh-CN"/>
        </w:rPr>
        <w:t>1</w:t>
      </w:r>
      <w:r>
        <w:rPr>
          <w:rFonts w:hint="eastAsia"/>
          <w:bCs/>
          <w:color w:val="auto"/>
          <w:highlight w:val="none"/>
        </w:rPr>
        <w:t>）</w:t>
      </w:r>
      <w:r>
        <w:rPr>
          <w:rFonts w:hint="eastAsia"/>
          <w:bCs/>
          <w:color w:val="auto"/>
          <w:highlight w:val="none"/>
          <w:lang w:val="en-US" w:eastAsia="zh-CN"/>
        </w:rPr>
        <w:t>开票信息</w:t>
      </w:r>
      <w:r>
        <w:rPr>
          <w:rFonts w:hint="eastAsia"/>
          <w:bCs/>
          <w:color w:val="auto"/>
          <w:highlight w:val="none"/>
        </w:rPr>
        <w:t>表</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1</w:t>
      </w:r>
      <w:r>
        <w:rPr>
          <w:rFonts w:hint="eastAsia"/>
          <w:bCs/>
          <w:color w:val="auto"/>
          <w:highlight w:val="none"/>
          <w:lang w:val="en-US" w:eastAsia="zh-CN"/>
        </w:rPr>
        <w:t>2</w:t>
      </w:r>
      <w:r>
        <w:rPr>
          <w:rFonts w:hint="eastAsia"/>
          <w:bCs/>
          <w:color w:val="auto"/>
          <w:highlight w:val="none"/>
        </w:rPr>
        <w:t>）供应商认为有必要提供的声明及文件</w:t>
      </w:r>
    </w:p>
    <w:p>
      <w:pPr>
        <w:widowControl w:val="0"/>
        <w:spacing w:line="500" w:lineRule="exact"/>
        <w:jc w:val="both"/>
        <w:rPr>
          <w:rFonts w:ascii="宋体"/>
          <w:b/>
          <w:bCs/>
          <w:color w:val="auto"/>
          <w:kern w:val="2"/>
          <w:sz w:val="32"/>
          <w:szCs w:val="32"/>
          <w:highlight w:val="none"/>
        </w:rPr>
      </w:pPr>
      <w:r>
        <w:rPr>
          <w:rFonts w:ascii="宋体"/>
          <w:b/>
          <w:bCs/>
          <w:color w:val="auto"/>
          <w:kern w:val="2"/>
          <w:sz w:val="32"/>
          <w:szCs w:val="32"/>
          <w:highlight w:val="none"/>
        </w:rPr>
        <w:t>第二部分：</w:t>
      </w:r>
      <w:r>
        <w:rPr>
          <w:rFonts w:hint="eastAsia" w:ascii="宋体"/>
          <w:b/>
          <w:bCs/>
          <w:color w:val="auto"/>
          <w:kern w:val="2"/>
          <w:sz w:val="32"/>
          <w:szCs w:val="32"/>
          <w:highlight w:val="none"/>
        </w:rPr>
        <w:t>采购响应</w:t>
      </w:r>
      <w:r>
        <w:rPr>
          <w:rFonts w:ascii="宋体"/>
          <w:b/>
          <w:bCs/>
          <w:color w:val="auto"/>
          <w:kern w:val="2"/>
          <w:sz w:val="32"/>
          <w:szCs w:val="32"/>
          <w:highlight w:val="none"/>
        </w:rPr>
        <w:t>文件</w:t>
      </w:r>
      <w:r>
        <w:rPr>
          <w:rFonts w:hint="eastAsia" w:ascii="宋体"/>
          <w:b/>
          <w:bCs/>
          <w:color w:val="auto"/>
          <w:kern w:val="2"/>
          <w:sz w:val="32"/>
          <w:szCs w:val="32"/>
          <w:highlight w:val="none"/>
        </w:rPr>
        <w:t>技术部分</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1)服务方案，包括详细的实施方案等。技术部分应满足或者高于技术规格书的要求。</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2)对采购人提出的协作和配合要求</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rPr>
        <w:t>3）对服务内容和方式、人员设置等相关问题，做出明确的说明和承诺</w:t>
      </w:r>
    </w:p>
    <w:p>
      <w:pPr>
        <w:pStyle w:val="17"/>
        <w:tabs>
          <w:tab w:val="left" w:pos="720"/>
        </w:tabs>
        <w:spacing w:before="0" w:beforeAutospacing="0" w:after="0" w:afterAutospacing="0" w:line="500" w:lineRule="exact"/>
        <w:ind w:left="-2" w:leftChars="-1" w:right="26" w:firstLine="480" w:firstLineChars="200"/>
        <w:jc w:val="both"/>
        <w:rPr>
          <w:bCs/>
          <w:color w:val="auto"/>
          <w:highlight w:val="none"/>
        </w:rPr>
      </w:pPr>
      <w:r>
        <w:rPr>
          <w:rFonts w:hint="eastAsia"/>
          <w:bCs/>
          <w:color w:val="auto"/>
          <w:highlight w:val="none"/>
          <w:lang w:val="en-US" w:eastAsia="zh-CN"/>
        </w:rPr>
        <w:t>4</w:t>
      </w:r>
      <w:r>
        <w:rPr>
          <w:rFonts w:hint="eastAsia"/>
          <w:bCs/>
          <w:color w:val="auto"/>
          <w:highlight w:val="none"/>
        </w:rPr>
        <w:t>)认为有必要说明的其它问题。</w:t>
      </w:r>
    </w:p>
    <w:p>
      <w:pPr>
        <w:widowControl w:val="0"/>
        <w:tabs>
          <w:tab w:val="left" w:pos="360"/>
          <w:tab w:val="left" w:pos="720"/>
          <w:tab w:val="left" w:pos="3060"/>
        </w:tabs>
        <w:spacing w:line="400" w:lineRule="exact"/>
        <w:outlineLvl w:val="1"/>
        <w:rPr>
          <w:rStyle w:val="29"/>
          <w:rFonts w:hint="eastAsia" w:eastAsia="宋体"/>
          <w:color w:val="auto"/>
          <w:highlight w:val="none"/>
          <w:lang w:val="en-US" w:eastAsia="zh-CN"/>
        </w:rPr>
      </w:pPr>
      <w:r>
        <w:rPr>
          <w:rFonts w:ascii="宋体"/>
          <w:b/>
          <w:color w:val="auto"/>
          <w:sz w:val="24"/>
          <w:szCs w:val="24"/>
          <w:highlight w:val="none"/>
        </w:rPr>
        <w:br w:type="page"/>
      </w:r>
      <w:bookmarkStart w:id="132" w:name="_Toc3864"/>
      <w:bookmarkStart w:id="133" w:name="_Toc512354292"/>
      <w:bookmarkStart w:id="134" w:name="_Toc10122275"/>
      <w:bookmarkStart w:id="135" w:name="_Toc10184884"/>
      <w:bookmarkStart w:id="136" w:name="_Toc484699854"/>
      <w:bookmarkStart w:id="137" w:name="_Toc31166"/>
      <w:bookmarkStart w:id="138" w:name="_Toc512354290"/>
      <w:bookmarkStart w:id="139" w:name="_Toc484699852"/>
      <w:bookmarkStart w:id="140" w:name="_Toc382509464"/>
      <w:r>
        <w:rPr>
          <w:rStyle w:val="29"/>
          <w:rFonts w:hint="eastAsia"/>
          <w:color w:val="auto"/>
          <w:sz w:val="28"/>
          <w:szCs w:val="28"/>
          <w:highlight w:val="none"/>
        </w:rPr>
        <w:t>格式一</w:t>
      </w:r>
      <w:bookmarkEnd w:id="132"/>
    </w:p>
    <w:p>
      <w:pPr>
        <w:widowControl w:val="0"/>
        <w:tabs>
          <w:tab w:val="left" w:pos="360"/>
          <w:tab w:val="left" w:pos="720"/>
          <w:tab w:val="left" w:pos="3060"/>
        </w:tabs>
        <w:spacing w:line="400" w:lineRule="exact"/>
        <w:jc w:val="center"/>
        <w:outlineLvl w:val="1"/>
        <w:rPr>
          <w:rFonts w:ascii="宋体"/>
          <w:b/>
          <w:color w:val="auto"/>
          <w:kern w:val="2"/>
          <w:sz w:val="36"/>
          <w:szCs w:val="36"/>
          <w:highlight w:val="none"/>
        </w:rPr>
      </w:pPr>
      <w:bookmarkStart w:id="141" w:name="_Toc27492"/>
      <w:r>
        <w:rPr>
          <w:rStyle w:val="29"/>
          <w:rFonts w:hint="eastAsia"/>
          <w:color w:val="auto"/>
          <w:sz w:val="36"/>
          <w:szCs w:val="36"/>
          <w:highlight w:val="none"/>
        </w:rPr>
        <w:t>洽谈</w:t>
      </w:r>
      <w:r>
        <w:rPr>
          <w:rStyle w:val="29"/>
          <w:color w:val="auto"/>
          <w:sz w:val="36"/>
          <w:szCs w:val="36"/>
          <w:highlight w:val="none"/>
        </w:rPr>
        <w:t>报价函</w:t>
      </w:r>
      <w:bookmarkEnd w:id="133"/>
      <w:bookmarkEnd w:id="134"/>
      <w:bookmarkEnd w:id="135"/>
      <w:bookmarkEnd w:id="136"/>
      <w:bookmarkEnd w:id="137"/>
      <w:bookmarkEnd w:id="141"/>
    </w:p>
    <w:p>
      <w:pPr>
        <w:spacing w:line="400" w:lineRule="exact"/>
        <w:jc w:val="both"/>
        <w:rPr>
          <w:rFonts w:ascii="宋体"/>
          <w:color w:val="auto"/>
          <w:sz w:val="28"/>
          <w:szCs w:val="28"/>
          <w:highlight w:val="none"/>
        </w:rPr>
      </w:pPr>
    </w:p>
    <w:p>
      <w:pPr>
        <w:spacing w:line="360" w:lineRule="auto"/>
        <w:rPr>
          <w:rFonts w:ascii="宋体"/>
          <w:b/>
          <w:color w:val="auto"/>
          <w:sz w:val="24"/>
          <w:szCs w:val="24"/>
          <w:highlight w:val="none"/>
          <w:u w:val="single"/>
        </w:rPr>
      </w:pPr>
      <w:r>
        <w:rPr>
          <w:rFonts w:hint="eastAsia" w:ascii="宋体" w:cs="宋体"/>
          <w:color w:val="auto"/>
          <w:sz w:val="24"/>
          <w:szCs w:val="24"/>
          <w:highlight w:val="none"/>
          <w:u w:val="single"/>
          <w:lang w:val="zh-CN"/>
        </w:rPr>
        <w:t>（采购人全称）</w:t>
      </w:r>
      <w:r>
        <w:rPr>
          <w:rFonts w:hint="eastAsia" w:ascii="宋体"/>
          <w:color w:val="auto"/>
          <w:sz w:val="24"/>
          <w:szCs w:val="24"/>
          <w:highlight w:val="none"/>
          <w:u w:val="single"/>
        </w:rPr>
        <w:t>：</w:t>
      </w:r>
    </w:p>
    <w:p>
      <w:pPr>
        <w:spacing w:line="440" w:lineRule="exact"/>
        <w:ind w:firstLine="480" w:firstLineChars="200"/>
        <w:jc w:val="both"/>
        <w:rPr>
          <w:rFonts w:ascii="宋体"/>
          <w:color w:val="auto"/>
          <w:sz w:val="24"/>
          <w:szCs w:val="24"/>
          <w:highlight w:val="none"/>
        </w:rPr>
      </w:pPr>
      <w:r>
        <w:rPr>
          <w:rFonts w:ascii="宋体"/>
          <w:color w:val="auto"/>
          <w:sz w:val="24"/>
          <w:szCs w:val="24"/>
          <w:highlight w:val="none"/>
        </w:rPr>
        <w:t>根据已收到的</w:t>
      </w:r>
      <w:r>
        <w:rPr>
          <w:rFonts w:hint="eastAsia" w:ascii="宋体"/>
          <w:color w:val="auto"/>
          <w:sz w:val="24"/>
          <w:szCs w:val="24"/>
          <w:highlight w:val="none"/>
        </w:rPr>
        <w:t>采购</w:t>
      </w:r>
      <w:r>
        <w:rPr>
          <w:rFonts w:ascii="宋体"/>
          <w:color w:val="auto"/>
          <w:sz w:val="24"/>
          <w:szCs w:val="24"/>
          <w:highlight w:val="none"/>
        </w:rPr>
        <w:t>文件，我公司经过研究</w:t>
      </w:r>
      <w:r>
        <w:rPr>
          <w:rFonts w:hint="eastAsia" w:ascii="宋体"/>
          <w:color w:val="auto"/>
          <w:sz w:val="24"/>
          <w:szCs w:val="24"/>
          <w:highlight w:val="none"/>
        </w:rPr>
        <w:t>采购</w:t>
      </w:r>
      <w:r>
        <w:rPr>
          <w:rFonts w:ascii="宋体"/>
          <w:color w:val="auto"/>
          <w:sz w:val="24"/>
          <w:szCs w:val="24"/>
          <w:highlight w:val="none"/>
        </w:rPr>
        <w:t>文件之后，决定授权</w:t>
      </w:r>
      <w:r>
        <w:rPr>
          <w:rFonts w:hint="eastAsia" w:ascii="宋体"/>
          <w:color w:val="auto"/>
          <w:sz w:val="24"/>
          <w:szCs w:val="24"/>
          <w:highlight w:val="none"/>
        </w:rPr>
        <w:t>（</w:t>
      </w:r>
      <w:r>
        <w:rPr>
          <w:rFonts w:hint="eastAsia" w:ascii="宋体"/>
          <w:color w:val="auto"/>
          <w:sz w:val="24"/>
          <w:szCs w:val="24"/>
          <w:highlight w:val="none"/>
          <w:lang w:val="en-US" w:eastAsia="zh-CN"/>
        </w:rPr>
        <w:t>法人代表或授权</w:t>
      </w:r>
      <w:r>
        <w:rPr>
          <w:rFonts w:ascii="宋体"/>
          <w:color w:val="auto"/>
          <w:sz w:val="24"/>
          <w:szCs w:val="24"/>
          <w:highlight w:val="none"/>
        </w:rPr>
        <w:t>代理人），参加贵单位组织的（</w:t>
      </w:r>
      <w:r>
        <w:rPr>
          <w:rFonts w:hint="eastAsia" w:ascii="宋体"/>
          <w:color w:val="auto"/>
          <w:sz w:val="24"/>
          <w:szCs w:val="24"/>
          <w:highlight w:val="none"/>
        </w:rPr>
        <w:t>项目</w:t>
      </w:r>
      <w:r>
        <w:rPr>
          <w:rFonts w:ascii="宋体"/>
          <w:color w:val="auto"/>
          <w:sz w:val="24"/>
          <w:szCs w:val="24"/>
          <w:highlight w:val="none"/>
        </w:rPr>
        <w:t>名称）</w:t>
      </w:r>
      <w:r>
        <w:rPr>
          <w:rFonts w:hint="eastAsia" w:ascii="宋体"/>
          <w:color w:val="auto"/>
          <w:sz w:val="24"/>
          <w:szCs w:val="24"/>
          <w:highlight w:val="none"/>
        </w:rPr>
        <w:t>采购</w:t>
      </w:r>
      <w:r>
        <w:rPr>
          <w:rFonts w:ascii="宋体"/>
          <w:color w:val="auto"/>
          <w:sz w:val="24"/>
          <w:szCs w:val="24"/>
          <w:highlight w:val="none"/>
        </w:rPr>
        <w:t>活动，并根据法定代表人身份证</w:t>
      </w:r>
      <w:r>
        <w:rPr>
          <w:rFonts w:hint="eastAsia" w:ascii="宋体"/>
          <w:color w:val="auto"/>
          <w:sz w:val="24"/>
          <w:szCs w:val="24"/>
          <w:highlight w:val="none"/>
          <w:lang w:val="en-US" w:eastAsia="zh-CN"/>
        </w:rPr>
        <w:t>明</w:t>
      </w:r>
      <w:r>
        <w:rPr>
          <w:rFonts w:ascii="宋体"/>
          <w:color w:val="auto"/>
          <w:sz w:val="24"/>
          <w:szCs w:val="24"/>
          <w:highlight w:val="none"/>
        </w:rPr>
        <w:t>书（或法人授权委托书）赋予的权限参加整个</w:t>
      </w:r>
      <w:r>
        <w:rPr>
          <w:rFonts w:hint="eastAsia" w:ascii="宋体"/>
          <w:color w:val="auto"/>
          <w:sz w:val="24"/>
          <w:szCs w:val="24"/>
          <w:highlight w:val="none"/>
        </w:rPr>
        <w:t>采购</w:t>
      </w:r>
      <w:r>
        <w:rPr>
          <w:rFonts w:ascii="宋体"/>
          <w:color w:val="auto"/>
          <w:sz w:val="24"/>
          <w:szCs w:val="24"/>
          <w:highlight w:val="none"/>
        </w:rPr>
        <w:t>工作的全过程。为此：</w:t>
      </w:r>
    </w:p>
    <w:p>
      <w:pPr>
        <w:numPr>
          <w:ilvl w:val="0"/>
          <w:numId w:val="4"/>
        </w:numPr>
        <w:spacing w:line="440" w:lineRule="exact"/>
        <w:ind w:firstLine="480" w:firstLineChars="200"/>
        <w:jc w:val="both"/>
        <w:rPr>
          <w:rFonts w:ascii="宋体"/>
          <w:color w:val="auto"/>
          <w:sz w:val="24"/>
          <w:szCs w:val="24"/>
          <w:highlight w:val="none"/>
        </w:rPr>
      </w:pPr>
      <w:r>
        <w:rPr>
          <w:rFonts w:ascii="宋体"/>
          <w:color w:val="auto"/>
          <w:sz w:val="24"/>
          <w:szCs w:val="24"/>
          <w:highlight w:val="none"/>
        </w:rPr>
        <w:t>提供</w:t>
      </w:r>
      <w:r>
        <w:rPr>
          <w:rFonts w:hint="eastAsia" w:ascii="宋体"/>
          <w:color w:val="auto"/>
          <w:sz w:val="24"/>
          <w:szCs w:val="24"/>
          <w:highlight w:val="none"/>
        </w:rPr>
        <w:t>供应商</w:t>
      </w:r>
      <w:r>
        <w:rPr>
          <w:rFonts w:ascii="宋体"/>
          <w:color w:val="auto"/>
          <w:sz w:val="24"/>
          <w:szCs w:val="24"/>
          <w:highlight w:val="none"/>
        </w:rPr>
        <w:t>须知规定的全部</w:t>
      </w:r>
      <w:r>
        <w:rPr>
          <w:rFonts w:hint="eastAsia" w:ascii="宋体"/>
          <w:color w:val="auto"/>
          <w:sz w:val="24"/>
          <w:szCs w:val="24"/>
          <w:highlight w:val="none"/>
        </w:rPr>
        <w:t>采购响应</w:t>
      </w:r>
      <w:r>
        <w:rPr>
          <w:rFonts w:ascii="宋体"/>
          <w:color w:val="auto"/>
          <w:sz w:val="24"/>
          <w:szCs w:val="24"/>
          <w:highlight w:val="none"/>
        </w:rPr>
        <w:t>文件，其中：</w:t>
      </w:r>
      <w:r>
        <w:rPr>
          <w:rFonts w:hint="eastAsia" w:ascii="宋体"/>
          <w:color w:val="auto"/>
          <w:sz w:val="24"/>
          <w:szCs w:val="24"/>
          <w:highlight w:val="none"/>
        </w:rPr>
        <w:t>响应文件</w:t>
      </w:r>
      <w:r>
        <w:rPr>
          <w:rFonts w:ascii="宋体"/>
          <w:color w:val="auto"/>
          <w:sz w:val="24"/>
          <w:szCs w:val="24"/>
          <w:highlight w:val="none"/>
        </w:rPr>
        <w:t>正本一份</w:t>
      </w:r>
    </w:p>
    <w:p>
      <w:pPr>
        <w:numPr>
          <w:ilvl w:val="0"/>
          <w:numId w:val="4"/>
        </w:numPr>
        <w:spacing w:line="440" w:lineRule="exact"/>
        <w:ind w:firstLine="480" w:firstLineChars="200"/>
        <w:jc w:val="both"/>
        <w:rPr>
          <w:rFonts w:ascii="宋体"/>
          <w:color w:val="auto"/>
          <w:sz w:val="24"/>
          <w:szCs w:val="24"/>
          <w:highlight w:val="none"/>
        </w:rPr>
      </w:pPr>
      <w:r>
        <w:rPr>
          <w:rFonts w:hint="eastAsia" w:ascii="宋体"/>
          <w:color w:val="auto"/>
          <w:sz w:val="24"/>
          <w:szCs w:val="24"/>
          <w:highlight w:val="none"/>
        </w:rPr>
        <w:t>固定总价（含税报价），其中增值税税率</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rPr>
        <w:t>。</w:t>
      </w:r>
    </w:p>
    <w:p>
      <w:pPr>
        <w:spacing w:line="440" w:lineRule="exact"/>
        <w:ind w:firstLine="480" w:firstLineChars="200"/>
        <w:jc w:val="both"/>
        <w:rPr>
          <w:rFonts w:ascii="宋体"/>
          <w:color w:val="auto"/>
          <w:sz w:val="24"/>
          <w:szCs w:val="24"/>
          <w:highlight w:val="none"/>
        </w:rPr>
      </w:pPr>
      <w:r>
        <w:rPr>
          <w:rFonts w:ascii="宋体"/>
          <w:color w:val="auto"/>
          <w:sz w:val="24"/>
          <w:szCs w:val="24"/>
          <w:highlight w:val="none"/>
        </w:rPr>
        <w:t>3、贵单位的</w:t>
      </w:r>
      <w:r>
        <w:rPr>
          <w:rFonts w:hint="eastAsia" w:ascii="宋体"/>
          <w:color w:val="auto"/>
          <w:sz w:val="24"/>
          <w:szCs w:val="24"/>
          <w:highlight w:val="none"/>
        </w:rPr>
        <w:t>采购</w:t>
      </w:r>
      <w:r>
        <w:rPr>
          <w:rFonts w:ascii="宋体"/>
          <w:color w:val="auto"/>
          <w:sz w:val="24"/>
          <w:szCs w:val="24"/>
          <w:highlight w:val="none"/>
        </w:rPr>
        <w:t>文件、</w:t>
      </w:r>
      <w:r>
        <w:rPr>
          <w:rFonts w:hint="eastAsia" w:ascii="宋体"/>
          <w:color w:val="auto"/>
          <w:sz w:val="24"/>
          <w:szCs w:val="24"/>
          <w:highlight w:val="none"/>
        </w:rPr>
        <w:t>成交</w:t>
      </w:r>
      <w:r>
        <w:rPr>
          <w:rFonts w:ascii="宋体"/>
          <w:color w:val="auto"/>
          <w:sz w:val="24"/>
          <w:szCs w:val="24"/>
          <w:highlight w:val="none"/>
        </w:rPr>
        <w:t>通知书和本</w:t>
      </w:r>
      <w:r>
        <w:rPr>
          <w:rFonts w:hint="eastAsia" w:ascii="宋体"/>
          <w:color w:val="auto"/>
          <w:sz w:val="24"/>
          <w:szCs w:val="24"/>
          <w:highlight w:val="none"/>
        </w:rPr>
        <w:t>响应</w:t>
      </w:r>
      <w:r>
        <w:rPr>
          <w:rFonts w:ascii="宋体"/>
          <w:color w:val="auto"/>
          <w:sz w:val="24"/>
          <w:szCs w:val="24"/>
          <w:highlight w:val="none"/>
        </w:rPr>
        <w:t>文件构成约束双方的合同。</w:t>
      </w:r>
    </w:p>
    <w:p>
      <w:pPr>
        <w:spacing w:line="440" w:lineRule="exact"/>
        <w:ind w:firstLine="480" w:firstLineChars="200"/>
        <w:jc w:val="both"/>
        <w:rPr>
          <w:rFonts w:ascii="宋体"/>
          <w:color w:val="auto"/>
          <w:sz w:val="24"/>
          <w:szCs w:val="24"/>
          <w:highlight w:val="none"/>
        </w:rPr>
      </w:pPr>
      <w:r>
        <w:rPr>
          <w:rFonts w:ascii="宋体"/>
          <w:color w:val="auto"/>
          <w:sz w:val="24"/>
          <w:szCs w:val="24"/>
          <w:highlight w:val="none"/>
        </w:rPr>
        <w:t>4、本</w:t>
      </w:r>
      <w:r>
        <w:rPr>
          <w:rFonts w:hint="eastAsia" w:ascii="宋体"/>
          <w:color w:val="auto"/>
          <w:sz w:val="24"/>
          <w:szCs w:val="24"/>
          <w:highlight w:val="none"/>
        </w:rPr>
        <w:t>供应商</w:t>
      </w:r>
      <w:r>
        <w:rPr>
          <w:rFonts w:ascii="宋体"/>
          <w:color w:val="auto"/>
          <w:sz w:val="24"/>
          <w:szCs w:val="24"/>
          <w:highlight w:val="none"/>
        </w:rPr>
        <w:t>已详细审查全部</w:t>
      </w:r>
      <w:r>
        <w:rPr>
          <w:rFonts w:hint="eastAsia" w:ascii="宋体"/>
          <w:color w:val="auto"/>
          <w:sz w:val="24"/>
          <w:szCs w:val="24"/>
          <w:highlight w:val="none"/>
        </w:rPr>
        <w:t>采购</w:t>
      </w:r>
      <w:r>
        <w:rPr>
          <w:rFonts w:ascii="宋体"/>
          <w:color w:val="auto"/>
          <w:sz w:val="24"/>
          <w:szCs w:val="24"/>
          <w:highlight w:val="none"/>
        </w:rPr>
        <w:t>文件，包括修改文件以及全部参考资料和有关附件。我们完全理解并同意放弃对这方面有不明及误解的权利。</w:t>
      </w:r>
    </w:p>
    <w:p>
      <w:pPr>
        <w:spacing w:line="440" w:lineRule="exact"/>
        <w:ind w:firstLine="480" w:firstLineChars="200"/>
        <w:jc w:val="both"/>
        <w:rPr>
          <w:rFonts w:ascii="宋体"/>
          <w:color w:val="auto"/>
          <w:sz w:val="24"/>
          <w:szCs w:val="24"/>
          <w:highlight w:val="none"/>
        </w:rPr>
      </w:pPr>
      <w:r>
        <w:rPr>
          <w:rFonts w:ascii="宋体"/>
          <w:color w:val="auto"/>
          <w:sz w:val="24"/>
          <w:szCs w:val="24"/>
          <w:highlight w:val="none"/>
        </w:rPr>
        <w:t>5、如果在</w:t>
      </w:r>
      <w:r>
        <w:rPr>
          <w:rFonts w:hint="eastAsia" w:ascii="宋体"/>
          <w:color w:val="auto"/>
          <w:sz w:val="24"/>
          <w:szCs w:val="24"/>
          <w:highlight w:val="none"/>
        </w:rPr>
        <w:t>采购响应</w:t>
      </w:r>
      <w:r>
        <w:rPr>
          <w:rFonts w:ascii="宋体"/>
          <w:color w:val="auto"/>
          <w:sz w:val="24"/>
          <w:szCs w:val="24"/>
          <w:highlight w:val="none"/>
        </w:rPr>
        <w:t>文件送达截止时间后，我们撤回</w:t>
      </w:r>
      <w:r>
        <w:rPr>
          <w:rFonts w:hint="eastAsia" w:ascii="宋体"/>
          <w:color w:val="auto"/>
          <w:sz w:val="24"/>
          <w:szCs w:val="24"/>
          <w:highlight w:val="none"/>
        </w:rPr>
        <w:t>报价</w:t>
      </w:r>
      <w:r>
        <w:rPr>
          <w:rFonts w:ascii="宋体"/>
          <w:color w:val="auto"/>
          <w:sz w:val="24"/>
          <w:szCs w:val="24"/>
          <w:highlight w:val="none"/>
        </w:rPr>
        <w:t>，则</w:t>
      </w:r>
      <w:r>
        <w:rPr>
          <w:rFonts w:hint="eastAsia" w:ascii="宋体"/>
          <w:color w:val="auto"/>
          <w:sz w:val="24"/>
          <w:szCs w:val="24"/>
          <w:highlight w:val="none"/>
        </w:rPr>
        <w:t>采购响应</w:t>
      </w:r>
      <w:r>
        <w:rPr>
          <w:rFonts w:ascii="宋体"/>
          <w:color w:val="auto"/>
          <w:sz w:val="24"/>
          <w:szCs w:val="24"/>
          <w:highlight w:val="none"/>
        </w:rPr>
        <w:t>保证金</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如有</w:t>
      </w:r>
      <w:r>
        <w:rPr>
          <w:rFonts w:hint="eastAsia" w:ascii="宋体"/>
          <w:color w:val="auto"/>
          <w:sz w:val="24"/>
          <w:szCs w:val="24"/>
          <w:highlight w:val="none"/>
          <w:lang w:eastAsia="zh-CN"/>
        </w:rPr>
        <w:t>）</w:t>
      </w:r>
      <w:r>
        <w:rPr>
          <w:rFonts w:hint="eastAsia" w:ascii="宋体"/>
          <w:color w:val="auto"/>
          <w:sz w:val="24"/>
          <w:szCs w:val="24"/>
          <w:highlight w:val="none"/>
        </w:rPr>
        <w:t>采购</w:t>
      </w:r>
      <w:r>
        <w:rPr>
          <w:rFonts w:ascii="宋体"/>
          <w:color w:val="auto"/>
          <w:sz w:val="24"/>
          <w:szCs w:val="24"/>
          <w:highlight w:val="none"/>
        </w:rPr>
        <w:t>人不予返还。</w:t>
      </w:r>
    </w:p>
    <w:p>
      <w:pPr>
        <w:spacing w:line="440" w:lineRule="exact"/>
        <w:ind w:firstLine="480" w:firstLineChars="200"/>
        <w:jc w:val="both"/>
        <w:rPr>
          <w:rFonts w:ascii="宋体"/>
          <w:color w:val="auto"/>
          <w:sz w:val="24"/>
          <w:szCs w:val="24"/>
          <w:highlight w:val="none"/>
        </w:rPr>
      </w:pPr>
      <w:r>
        <w:rPr>
          <w:rFonts w:ascii="宋体"/>
          <w:color w:val="auto"/>
          <w:sz w:val="24"/>
          <w:szCs w:val="24"/>
          <w:highlight w:val="none"/>
        </w:rPr>
        <w:t>6、本</w:t>
      </w:r>
      <w:r>
        <w:rPr>
          <w:rFonts w:hint="eastAsia" w:ascii="宋体"/>
          <w:color w:val="auto"/>
          <w:sz w:val="24"/>
          <w:szCs w:val="24"/>
          <w:highlight w:val="none"/>
        </w:rPr>
        <w:t>供应商</w:t>
      </w:r>
      <w:r>
        <w:rPr>
          <w:rFonts w:ascii="宋体"/>
          <w:color w:val="auto"/>
          <w:sz w:val="24"/>
          <w:szCs w:val="24"/>
          <w:highlight w:val="none"/>
        </w:rPr>
        <w:t>同意提供按照</w:t>
      </w:r>
      <w:r>
        <w:rPr>
          <w:rFonts w:hint="eastAsia" w:ascii="宋体"/>
          <w:color w:val="auto"/>
          <w:sz w:val="24"/>
          <w:szCs w:val="24"/>
          <w:highlight w:val="none"/>
        </w:rPr>
        <w:t>采购方</w:t>
      </w:r>
      <w:r>
        <w:rPr>
          <w:rFonts w:ascii="宋体"/>
          <w:color w:val="auto"/>
          <w:sz w:val="24"/>
          <w:szCs w:val="24"/>
          <w:highlight w:val="none"/>
        </w:rPr>
        <w:t>可能要求的与本</w:t>
      </w:r>
      <w:r>
        <w:rPr>
          <w:rFonts w:hint="eastAsia" w:ascii="宋体"/>
          <w:color w:val="auto"/>
          <w:sz w:val="24"/>
          <w:szCs w:val="24"/>
          <w:highlight w:val="none"/>
        </w:rPr>
        <w:t>采购</w:t>
      </w:r>
      <w:r>
        <w:rPr>
          <w:rFonts w:ascii="宋体"/>
          <w:color w:val="auto"/>
          <w:sz w:val="24"/>
          <w:szCs w:val="24"/>
          <w:highlight w:val="none"/>
        </w:rPr>
        <w:t>有关的一切数据或资料，完全理解</w:t>
      </w:r>
      <w:r>
        <w:rPr>
          <w:rFonts w:hint="eastAsia" w:ascii="宋体"/>
          <w:color w:val="auto"/>
          <w:sz w:val="24"/>
          <w:szCs w:val="24"/>
          <w:highlight w:val="none"/>
        </w:rPr>
        <w:t>采购方</w:t>
      </w:r>
      <w:r>
        <w:rPr>
          <w:rFonts w:ascii="宋体"/>
          <w:color w:val="auto"/>
          <w:sz w:val="24"/>
          <w:szCs w:val="24"/>
          <w:highlight w:val="none"/>
        </w:rPr>
        <w:t>拒绝迟到的任何</w:t>
      </w:r>
      <w:r>
        <w:rPr>
          <w:rFonts w:hint="eastAsia" w:ascii="宋体"/>
          <w:color w:val="auto"/>
          <w:sz w:val="24"/>
          <w:szCs w:val="24"/>
          <w:highlight w:val="none"/>
        </w:rPr>
        <w:t>报价</w:t>
      </w:r>
      <w:r>
        <w:rPr>
          <w:rFonts w:ascii="宋体"/>
          <w:color w:val="auto"/>
          <w:sz w:val="24"/>
          <w:szCs w:val="24"/>
          <w:highlight w:val="none"/>
        </w:rPr>
        <w:t>和最低报价不是被授予合同的唯一条件</w:t>
      </w:r>
      <w:r>
        <w:rPr>
          <w:rFonts w:hint="eastAsia" w:ascii="宋体"/>
          <w:color w:val="auto"/>
          <w:sz w:val="24"/>
          <w:szCs w:val="24"/>
          <w:highlight w:val="none"/>
        </w:rPr>
        <w:t>，并不要求对不成交原因做出解释。</w:t>
      </w:r>
    </w:p>
    <w:p>
      <w:pPr>
        <w:spacing w:line="400" w:lineRule="exact"/>
        <w:ind w:firstLine="480" w:firstLineChars="200"/>
        <w:jc w:val="both"/>
        <w:rPr>
          <w:rFonts w:ascii="宋体"/>
          <w:color w:val="auto"/>
          <w:sz w:val="24"/>
          <w:szCs w:val="24"/>
          <w:highlight w:val="none"/>
        </w:rPr>
      </w:pPr>
    </w:p>
    <w:p>
      <w:pPr>
        <w:spacing w:line="400" w:lineRule="exact"/>
        <w:ind w:firstLine="480" w:firstLineChars="200"/>
        <w:jc w:val="both"/>
        <w:rPr>
          <w:rFonts w:ascii="宋体"/>
          <w:color w:val="auto"/>
          <w:sz w:val="24"/>
          <w:szCs w:val="24"/>
          <w:highlight w:val="none"/>
        </w:rPr>
      </w:pPr>
    </w:p>
    <w:p>
      <w:pPr>
        <w:spacing w:line="400" w:lineRule="exact"/>
        <w:ind w:firstLine="480" w:firstLineChars="200"/>
        <w:jc w:val="both"/>
        <w:rPr>
          <w:rFonts w:ascii="宋体"/>
          <w:color w:val="auto"/>
          <w:sz w:val="24"/>
          <w:szCs w:val="24"/>
          <w:highlight w:val="none"/>
        </w:rPr>
      </w:pPr>
    </w:p>
    <w:p>
      <w:pPr>
        <w:keepNext w:val="0"/>
        <w:keepLines w:val="0"/>
        <w:pageBreakBefore w:val="0"/>
        <w:kinsoku/>
        <w:wordWrap/>
        <w:overflowPunct/>
        <w:topLinePunct w:val="0"/>
        <w:autoSpaceDE/>
        <w:autoSpaceDN/>
        <w:bidi w:val="0"/>
        <w:adjustRightInd/>
        <w:snapToGrid/>
        <w:spacing w:line="720" w:lineRule="exact"/>
        <w:ind w:firstLine="960" w:firstLineChars="400"/>
        <w:jc w:val="both"/>
        <w:textAlignment w:val="auto"/>
        <w:rPr>
          <w:rFonts w:hint="eastAsia" w:ascii="宋体" w:eastAsia="宋体"/>
          <w:color w:val="auto"/>
          <w:sz w:val="24"/>
          <w:szCs w:val="24"/>
          <w:highlight w:val="none"/>
          <w:lang w:eastAsia="zh-CN"/>
        </w:rPr>
      </w:pPr>
      <w:r>
        <w:rPr>
          <w:rFonts w:hint="eastAsia" w:ascii="宋体"/>
          <w:color w:val="auto"/>
          <w:sz w:val="24"/>
          <w:szCs w:val="24"/>
          <w:highlight w:val="none"/>
        </w:rPr>
        <w:t>供应商</w:t>
      </w:r>
      <w:r>
        <w:rPr>
          <w:rFonts w:ascii="宋体"/>
          <w:color w:val="auto"/>
          <w:sz w:val="24"/>
          <w:szCs w:val="24"/>
          <w:highlight w:val="none"/>
        </w:rPr>
        <w:t>（盖章）：  </w:t>
      </w:r>
    </w:p>
    <w:p>
      <w:pPr>
        <w:keepNext w:val="0"/>
        <w:keepLines w:val="0"/>
        <w:pageBreakBefore w:val="0"/>
        <w:kinsoku/>
        <w:wordWrap/>
        <w:overflowPunct/>
        <w:topLinePunct w:val="0"/>
        <w:autoSpaceDE/>
        <w:autoSpaceDN/>
        <w:bidi w:val="0"/>
        <w:adjustRightInd/>
        <w:snapToGrid/>
        <w:spacing w:line="720" w:lineRule="exact"/>
        <w:ind w:firstLine="960" w:firstLineChars="400"/>
        <w:jc w:val="both"/>
        <w:textAlignment w:val="auto"/>
        <w:rPr>
          <w:rFonts w:ascii="宋体"/>
          <w:color w:val="auto"/>
          <w:sz w:val="24"/>
          <w:szCs w:val="24"/>
          <w:highlight w:val="none"/>
        </w:rPr>
      </w:pPr>
      <w:r>
        <w:rPr>
          <w:rFonts w:ascii="宋体"/>
          <w:color w:val="auto"/>
          <w:sz w:val="24"/>
          <w:szCs w:val="24"/>
          <w:highlight w:val="none"/>
        </w:rPr>
        <w:t>法定代表人签</w:t>
      </w:r>
      <w:r>
        <w:rPr>
          <w:rFonts w:hint="eastAsia" w:ascii="宋体"/>
          <w:color w:val="auto"/>
          <w:sz w:val="24"/>
          <w:szCs w:val="24"/>
          <w:highlight w:val="none"/>
        </w:rPr>
        <w:t>字</w:t>
      </w:r>
      <w:r>
        <w:rPr>
          <w:rFonts w:hint="eastAsia" w:ascii="宋体"/>
          <w:color w:val="auto"/>
          <w:sz w:val="24"/>
          <w:szCs w:val="24"/>
          <w:highlight w:val="none"/>
          <w:lang w:val="en-US" w:eastAsia="zh-CN"/>
        </w:rPr>
        <w:t>或印鉴</w:t>
      </w:r>
      <w:r>
        <w:rPr>
          <w:rFonts w:ascii="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720" w:lineRule="exact"/>
        <w:ind w:firstLine="960" w:firstLineChars="400"/>
        <w:jc w:val="both"/>
        <w:textAlignment w:val="auto"/>
        <w:rPr>
          <w:rFonts w:hint="default" w:ascii="宋体" w:eastAsia="宋体"/>
          <w:color w:val="auto"/>
          <w:sz w:val="24"/>
          <w:szCs w:val="24"/>
          <w:highlight w:val="none"/>
          <w:lang w:val="en-US" w:eastAsia="zh-CN"/>
        </w:rPr>
      </w:pPr>
      <w:r>
        <w:rPr>
          <w:rFonts w:ascii="宋体"/>
          <w:color w:val="auto"/>
          <w:sz w:val="24"/>
          <w:szCs w:val="24"/>
          <w:highlight w:val="none"/>
        </w:rPr>
        <w:t> 日期：</w:t>
      </w:r>
      <w:r>
        <w:rPr>
          <w:rFonts w:hint="eastAsia" w:ascii="宋体"/>
          <w:color w:val="auto"/>
          <w:sz w:val="24"/>
          <w:szCs w:val="24"/>
          <w:highlight w:val="none"/>
          <w:lang w:val="en-US" w:eastAsia="zh-CN"/>
        </w:rPr>
        <w:t>年月日</w:t>
      </w:r>
    </w:p>
    <w:p>
      <w:pPr>
        <w:keepNext w:val="0"/>
        <w:keepLines w:val="0"/>
        <w:pageBreakBefore w:val="0"/>
        <w:widowControl w:val="0"/>
        <w:kinsoku/>
        <w:wordWrap/>
        <w:overflowPunct/>
        <w:topLinePunct w:val="0"/>
        <w:autoSpaceDE/>
        <w:autoSpaceDN/>
        <w:bidi w:val="0"/>
        <w:adjustRightInd/>
        <w:snapToGrid/>
        <w:spacing w:line="720" w:lineRule="exact"/>
        <w:ind w:left="306"/>
        <w:jc w:val="both"/>
        <w:textAlignment w:val="auto"/>
        <w:rPr>
          <w:rFonts w:ascii="宋体"/>
          <w:b/>
          <w:color w:val="auto"/>
          <w:sz w:val="24"/>
          <w:szCs w:val="24"/>
          <w:highlight w:val="none"/>
        </w:rPr>
      </w:pPr>
      <w:bookmarkStart w:id="142" w:name="_Toc267398559"/>
      <w:bookmarkStart w:id="143" w:name="_Toc235710542"/>
      <w:bookmarkStart w:id="144" w:name="_Toc267398721"/>
      <w:bookmarkStart w:id="145" w:name="_Toc267389606"/>
      <w:bookmarkStart w:id="146" w:name="_Toc237354726"/>
      <w:bookmarkStart w:id="147" w:name="_Toc286842570"/>
      <w:bookmarkStart w:id="148" w:name="_Toc69321507"/>
      <w:bookmarkStart w:id="149" w:name="_Toc234036500"/>
      <w:bookmarkStart w:id="150" w:name="_Toc267398988"/>
      <w:r>
        <w:rPr>
          <w:rFonts w:ascii="宋体"/>
          <w:b/>
          <w:color w:val="auto"/>
          <w:sz w:val="24"/>
          <w:szCs w:val="24"/>
          <w:highlight w:val="none"/>
        </w:rPr>
        <w:br w:type="page"/>
      </w:r>
    </w:p>
    <w:p>
      <w:pPr>
        <w:pStyle w:val="4"/>
        <w:rPr>
          <w:rFonts w:hint="eastAsia" w:eastAsia="宋体"/>
          <w:color w:val="auto"/>
          <w:highlight w:val="none"/>
          <w:lang w:eastAsia="zh-CN"/>
        </w:rPr>
      </w:pPr>
      <w:bookmarkStart w:id="151" w:name="_Toc15673"/>
      <w:bookmarkStart w:id="152" w:name="_Toc10184885"/>
      <w:bookmarkStart w:id="153" w:name="_Toc512354293"/>
      <w:bookmarkStart w:id="154" w:name="_Toc382509468"/>
      <w:bookmarkStart w:id="155" w:name="_Toc484699855"/>
      <w:bookmarkStart w:id="156" w:name="_Toc26632"/>
      <w:bookmarkStart w:id="157" w:name="_Toc10122276"/>
      <w:r>
        <w:rPr>
          <w:rStyle w:val="29"/>
          <w:rFonts w:hint="eastAsia"/>
          <w:b/>
          <w:bCs/>
          <w:color w:val="auto"/>
          <w:sz w:val="28"/>
          <w:szCs w:val="28"/>
          <w:highlight w:val="none"/>
        </w:rPr>
        <w:t>格式二</w:t>
      </w:r>
      <w:bookmarkEnd w:id="151"/>
    </w:p>
    <w:bookmarkEnd w:id="142"/>
    <w:bookmarkEnd w:id="143"/>
    <w:bookmarkEnd w:id="144"/>
    <w:bookmarkEnd w:id="145"/>
    <w:bookmarkEnd w:id="146"/>
    <w:bookmarkEnd w:id="147"/>
    <w:bookmarkEnd w:id="148"/>
    <w:bookmarkEnd w:id="149"/>
    <w:bookmarkEnd w:id="150"/>
    <w:bookmarkEnd w:id="152"/>
    <w:bookmarkEnd w:id="153"/>
    <w:bookmarkEnd w:id="154"/>
    <w:bookmarkEnd w:id="155"/>
    <w:bookmarkEnd w:id="156"/>
    <w:bookmarkEnd w:id="157"/>
    <w:p>
      <w:pPr>
        <w:pStyle w:val="4"/>
        <w:jc w:val="center"/>
        <w:rPr>
          <w:color w:val="auto"/>
          <w:highlight w:val="none"/>
        </w:rPr>
      </w:pPr>
      <w:bookmarkStart w:id="158" w:name="_Toc21567"/>
      <w:r>
        <w:rPr>
          <w:rFonts w:hint="eastAsia"/>
          <w:color w:val="auto"/>
          <w:highlight w:val="none"/>
        </w:rPr>
        <w:t>报价一览表</w:t>
      </w:r>
      <w:bookmarkEnd w:id="158"/>
    </w:p>
    <w:p>
      <w:pPr>
        <w:keepNext w:val="0"/>
        <w:keepLines w:val="0"/>
        <w:pageBreakBefore w:val="0"/>
        <w:widowControl w:val="0"/>
        <w:kinsoku/>
        <w:wordWrap/>
        <w:overflowPunct/>
        <w:topLinePunct w:val="0"/>
        <w:autoSpaceDE/>
        <w:autoSpaceDN/>
        <w:bidi w:val="0"/>
        <w:adjustRightInd/>
        <w:snapToGrid/>
        <w:spacing w:after="157" w:afterLines="50" w:line="400" w:lineRule="exact"/>
        <w:ind w:left="306"/>
        <w:jc w:val="both"/>
        <w:textAlignment w:val="auto"/>
        <w:rPr>
          <w:rFonts w:ascii="宋体"/>
          <w:b/>
          <w:bCs/>
          <w:color w:val="auto"/>
          <w:sz w:val="22"/>
          <w:szCs w:val="22"/>
          <w:highlight w:val="none"/>
        </w:rPr>
      </w:pPr>
      <w:r>
        <w:rPr>
          <w:rFonts w:hint="eastAsia" w:ascii="宋体"/>
          <w:b/>
          <w:bCs/>
          <w:color w:val="auto"/>
          <w:sz w:val="22"/>
          <w:szCs w:val="22"/>
          <w:highlight w:val="none"/>
        </w:rPr>
        <w:t>项目名称：项目编号：</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41"/>
        <w:gridCol w:w="4842"/>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bookmarkStart w:id="159" w:name="_Toc17685"/>
            <w:bookmarkStart w:id="160" w:name="_Toc10122277"/>
            <w:bookmarkStart w:id="161" w:name="_Toc10184886"/>
            <w:r>
              <w:rPr>
                <w:rFonts w:hint="eastAsia" w:ascii="宋体"/>
                <w:b w:val="0"/>
                <w:bCs/>
                <w:color w:val="auto"/>
                <w:sz w:val="21"/>
                <w:szCs w:val="21"/>
                <w:highlight w:val="none"/>
              </w:rPr>
              <w:t>序号</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分项</w:t>
            </w:r>
          </w:p>
        </w:tc>
        <w:tc>
          <w:tcPr>
            <w:tcW w:w="4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报价内容</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trPr>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1</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货物名称</w:t>
            </w:r>
          </w:p>
        </w:tc>
        <w:tc>
          <w:tcPr>
            <w:tcW w:w="4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2</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报价总价（小写）</w:t>
            </w:r>
          </w:p>
        </w:tc>
        <w:tc>
          <w:tcPr>
            <w:tcW w:w="4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r>
              <w:rPr>
                <w:rFonts w:hint="eastAsia" w:ascii="宋体"/>
                <w:b w:val="0"/>
                <w:bCs/>
                <w:color w:val="auto"/>
                <w:sz w:val="21"/>
                <w:szCs w:val="21"/>
                <w:highlight w:val="none"/>
              </w:rPr>
              <w:t>￥</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trPr>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3</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报价总价（大写）</w:t>
            </w:r>
          </w:p>
        </w:tc>
        <w:tc>
          <w:tcPr>
            <w:tcW w:w="4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eastAsia" w:ascii="宋体" w:eastAsia="宋体"/>
                <w:b w:val="0"/>
                <w:bCs/>
                <w:color w:val="auto"/>
                <w:sz w:val="21"/>
                <w:szCs w:val="21"/>
                <w:highlight w:val="none"/>
                <w:lang w:eastAsia="zh-CN"/>
              </w:rPr>
            </w:pPr>
            <w:r>
              <w:rPr>
                <w:rFonts w:hint="eastAsia" w:ascii="宋体"/>
                <w:b w:val="0"/>
                <w:bCs/>
                <w:color w:val="auto"/>
                <w:sz w:val="21"/>
                <w:szCs w:val="21"/>
                <w:highlight w:val="none"/>
              </w:rPr>
              <w:t>人民币</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3" w:hRule="atLeast"/>
        </w:trPr>
        <w:tc>
          <w:tcPr>
            <w:tcW w:w="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eastAsia" w:ascii="宋体" w:eastAsia="宋体"/>
                <w:b w:val="0"/>
                <w:bCs/>
                <w:color w:val="auto"/>
                <w:sz w:val="21"/>
                <w:szCs w:val="21"/>
                <w:highlight w:val="none"/>
                <w:lang w:val="en-US" w:eastAsia="zh-CN"/>
              </w:rPr>
            </w:pPr>
            <w:r>
              <w:rPr>
                <w:rFonts w:hint="eastAsia" w:ascii="宋体"/>
                <w:b w:val="0"/>
                <w:bCs/>
                <w:color w:val="auto"/>
                <w:sz w:val="21"/>
                <w:szCs w:val="21"/>
                <w:highlight w:val="none"/>
                <w:lang w:val="en-US" w:eastAsia="zh-CN"/>
              </w:rPr>
              <w:t>4</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b w:val="0"/>
                <w:bCs/>
                <w:color w:val="auto"/>
                <w:sz w:val="21"/>
                <w:szCs w:val="21"/>
                <w:highlight w:val="none"/>
              </w:rPr>
            </w:pPr>
            <w:r>
              <w:rPr>
                <w:rFonts w:hint="eastAsia" w:ascii="宋体"/>
                <w:b w:val="0"/>
                <w:bCs/>
                <w:color w:val="auto"/>
                <w:sz w:val="21"/>
                <w:szCs w:val="21"/>
                <w:highlight w:val="none"/>
              </w:rPr>
              <w:t>报价声明</w:t>
            </w:r>
          </w:p>
        </w:tc>
        <w:tc>
          <w:tcPr>
            <w:tcW w:w="4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p>
            <w:pPr>
              <w:adjustRightInd w:val="0"/>
              <w:snapToGrid w:val="0"/>
              <w:spacing w:before="100" w:beforeAutospacing="1" w:after="100" w:afterAutospacing="1"/>
              <w:rPr>
                <w:rFonts w:ascii="宋体"/>
                <w:b w:val="0"/>
                <w:bCs/>
                <w:color w:val="auto"/>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3" w:hRule="atLeast"/>
        </w:trPr>
        <w:tc>
          <w:tcPr>
            <w:tcW w:w="90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eastAsia" w:ascii="宋体" w:eastAsia="宋体"/>
                <w:b w:val="0"/>
                <w:bCs/>
                <w:color w:val="auto"/>
                <w:sz w:val="21"/>
                <w:szCs w:val="21"/>
                <w:highlight w:val="none"/>
                <w:lang w:eastAsia="zh-CN"/>
              </w:rPr>
            </w:pPr>
            <w:r>
              <w:rPr>
                <w:rFonts w:hint="eastAsia" w:ascii="宋体"/>
                <w:b w:val="0"/>
                <w:bCs/>
                <w:color w:val="auto"/>
                <w:sz w:val="21"/>
                <w:szCs w:val="21"/>
                <w:highlight w:val="none"/>
              </w:rPr>
              <w:t>授权代表签字</w:t>
            </w:r>
            <w:r>
              <w:rPr>
                <w:rFonts w:hint="eastAsia" w:ascii="宋体"/>
                <w:b w:val="0"/>
                <w:bCs/>
                <w:color w:val="auto"/>
                <w:sz w:val="21"/>
                <w:szCs w:val="21"/>
                <w:highlight w:val="none"/>
                <w:lang w:val="en-US" w:eastAsia="zh-CN"/>
              </w:rPr>
              <w:t>或印鉴</w:t>
            </w:r>
            <w:r>
              <w:rPr>
                <w:rFonts w:hint="eastAsia" w:ascii="宋体"/>
                <w:b w:val="0"/>
                <w:bCs/>
                <w:color w:val="auto"/>
                <w:sz w:val="21"/>
                <w:szCs w:val="21"/>
                <w:highlight w:val="none"/>
              </w:rPr>
              <w:t>：</w:t>
            </w:r>
          </w:p>
          <w:p>
            <w:pPr>
              <w:adjustRightInd w:val="0"/>
              <w:snapToGrid w:val="0"/>
              <w:spacing w:before="100" w:beforeAutospacing="1" w:after="100" w:afterAutospacing="1"/>
              <w:rPr>
                <w:rFonts w:hint="eastAsia" w:ascii="宋体"/>
                <w:b w:val="0"/>
                <w:bCs/>
                <w:color w:val="auto"/>
                <w:sz w:val="21"/>
                <w:szCs w:val="21"/>
                <w:highlight w:val="none"/>
              </w:rPr>
            </w:pPr>
          </w:p>
          <w:p>
            <w:pPr>
              <w:adjustRightInd w:val="0"/>
              <w:snapToGrid w:val="0"/>
              <w:spacing w:before="100" w:beforeAutospacing="1" w:after="100" w:afterAutospacing="1"/>
              <w:ind w:firstLine="5670" w:firstLineChars="2700"/>
              <w:rPr>
                <w:rFonts w:ascii="宋体"/>
                <w:b w:val="0"/>
                <w:bCs/>
                <w:color w:val="auto"/>
                <w:sz w:val="21"/>
                <w:szCs w:val="21"/>
                <w:highlight w:val="none"/>
              </w:rPr>
            </w:pPr>
            <w:r>
              <w:rPr>
                <w:rFonts w:hint="eastAsia" w:ascii="宋体"/>
                <w:b w:val="0"/>
                <w:bCs/>
                <w:color w:val="auto"/>
                <w:sz w:val="21"/>
                <w:szCs w:val="21"/>
                <w:highlight w:val="none"/>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trPr>
        <w:tc>
          <w:tcPr>
            <w:tcW w:w="90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eastAsia" w:ascii="宋体" w:eastAsia="宋体"/>
                <w:b w:val="0"/>
                <w:bCs/>
                <w:color w:val="auto"/>
                <w:sz w:val="21"/>
                <w:szCs w:val="21"/>
                <w:highlight w:val="none"/>
                <w:lang w:eastAsia="zh-CN"/>
              </w:rPr>
            </w:pPr>
            <w:r>
              <w:rPr>
                <w:rFonts w:hint="eastAsia" w:ascii="宋体"/>
                <w:b w:val="0"/>
                <w:bCs/>
                <w:color w:val="auto"/>
                <w:sz w:val="21"/>
                <w:szCs w:val="21"/>
                <w:highlight w:val="none"/>
              </w:rPr>
              <w:t>报价单位（盖章）：</w:t>
            </w:r>
          </w:p>
          <w:p>
            <w:pPr>
              <w:adjustRightInd w:val="0"/>
              <w:snapToGrid w:val="0"/>
              <w:spacing w:before="100" w:beforeAutospacing="1" w:after="100" w:afterAutospacing="1"/>
              <w:rPr>
                <w:rFonts w:ascii="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1" w:hRule="atLeast"/>
        </w:trPr>
        <w:tc>
          <w:tcPr>
            <w:tcW w:w="90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after="20"/>
              <w:rPr>
                <w:rFonts w:ascii="宋体"/>
                <w:b w:val="0"/>
                <w:bCs/>
                <w:color w:val="auto"/>
                <w:sz w:val="21"/>
                <w:szCs w:val="21"/>
                <w:highlight w:val="none"/>
              </w:rPr>
            </w:pPr>
            <w:r>
              <w:rPr>
                <w:rFonts w:hint="eastAsia" w:ascii="宋体"/>
                <w:b w:val="0"/>
                <w:bCs/>
                <w:color w:val="auto"/>
                <w:sz w:val="21"/>
                <w:szCs w:val="21"/>
                <w:highlight w:val="none"/>
              </w:rPr>
              <w:t>备注：</w:t>
            </w:r>
          </w:p>
          <w:p>
            <w:pPr>
              <w:adjustRightInd w:val="0"/>
              <w:snapToGrid w:val="0"/>
              <w:spacing w:before="20" w:after="20"/>
              <w:rPr>
                <w:rFonts w:ascii="宋体"/>
                <w:b w:val="0"/>
                <w:bCs/>
                <w:color w:val="auto"/>
                <w:sz w:val="21"/>
                <w:szCs w:val="21"/>
                <w:highlight w:val="none"/>
              </w:rPr>
            </w:pPr>
            <w:r>
              <w:rPr>
                <w:rFonts w:hint="eastAsia" w:ascii="宋体"/>
                <w:b w:val="0"/>
                <w:bCs/>
                <w:color w:val="auto"/>
                <w:sz w:val="21"/>
                <w:szCs w:val="21"/>
                <w:highlight w:val="none"/>
              </w:rPr>
              <w:t>报价为</w:t>
            </w:r>
            <w:r>
              <w:rPr>
                <w:rFonts w:hint="eastAsia" w:ascii="宋体"/>
                <w:b w:val="0"/>
                <w:bCs/>
                <w:color w:val="auto"/>
                <w:sz w:val="21"/>
                <w:szCs w:val="21"/>
                <w:highlight w:val="none"/>
                <w:u w:val="single"/>
              </w:rPr>
              <w:t>目的地交货含税价格</w:t>
            </w:r>
            <w:r>
              <w:rPr>
                <w:rFonts w:hint="eastAsia" w:ascii="宋体"/>
                <w:b w:val="0"/>
                <w:bCs/>
                <w:color w:val="auto"/>
                <w:sz w:val="21"/>
                <w:szCs w:val="21"/>
                <w:highlight w:val="none"/>
              </w:rPr>
              <w:t>；</w:t>
            </w:r>
          </w:p>
          <w:p>
            <w:pPr>
              <w:adjustRightInd w:val="0"/>
              <w:snapToGrid w:val="0"/>
              <w:spacing w:before="20" w:after="20"/>
              <w:ind w:firstLine="630" w:firstLineChars="300"/>
              <w:rPr>
                <w:rFonts w:ascii="宋体"/>
                <w:b w:val="0"/>
                <w:bCs/>
                <w:color w:val="auto"/>
                <w:sz w:val="21"/>
                <w:szCs w:val="21"/>
                <w:highlight w:val="none"/>
              </w:rPr>
            </w:pPr>
          </w:p>
        </w:tc>
      </w:tr>
    </w:tbl>
    <w:p>
      <w:pPr>
        <w:pStyle w:val="27"/>
        <w:ind w:left="0" w:leftChars="0" w:firstLine="0" w:firstLineChars="0"/>
        <w:rPr>
          <w:rStyle w:val="29"/>
          <w:color w:val="auto"/>
          <w:highlight w:val="none"/>
        </w:rPr>
      </w:pPr>
    </w:p>
    <w:p>
      <w:pPr>
        <w:pStyle w:val="27"/>
        <w:ind w:left="0" w:leftChars="0" w:firstLine="0" w:firstLineChars="0"/>
        <w:rPr>
          <w:rStyle w:val="29"/>
          <w:color w:val="auto"/>
          <w:highlight w:val="none"/>
        </w:rPr>
      </w:pPr>
    </w:p>
    <w:bookmarkEnd w:id="159"/>
    <w:bookmarkEnd w:id="160"/>
    <w:bookmarkEnd w:id="161"/>
    <w:p>
      <w:pPr>
        <w:rPr>
          <w:rStyle w:val="29"/>
          <w:rFonts w:hint="eastAsia"/>
          <w:color w:val="auto"/>
          <w:sz w:val="28"/>
          <w:szCs w:val="28"/>
          <w:highlight w:val="none"/>
        </w:rPr>
      </w:pPr>
      <w:bookmarkStart w:id="162" w:name="_Toc5926"/>
      <w:bookmarkStart w:id="163" w:name="_Toc10184887"/>
      <w:bookmarkStart w:id="164" w:name="_Toc26786"/>
      <w:bookmarkStart w:id="165" w:name="_Toc10122278"/>
    </w:p>
    <w:p>
      <w:pPr>
        <w:tabs>
          <w:tab w:val="center" w:pos="4535"/>
          <w:tab w:val="left" w:pos="5840"/>
        </w:tabs>
        <w:spacing w:line="360" w:lineRule="auto"/>
        <w:jc w:val="both"/>
        <w:outlineLvl w:val="1"/>
        <w:rPr>
          <w:rStyle w:val="29"/>
          <w:rFonts w:hint="eastAsia"/>
          <w:color w:val="auto"/>
          <w:sz w:val="28"/>
          <w:szCs w:val="28"/>
          <w:highlight w:val="none"/>
        </w:rPr>
      </w:pPr>
    </w:p>
    <w:p>
      <w:pPr>
        <w:tabs>
          <w:tab w:val="center" w:pos="4535"/>
          <w:tab w:val="left" w:pos="5840"/>
        </w:tabs>
        <w:spacing w:line="360" w:lineRule="auto"/>
        <w:jc w:val="both"/>
        <w:outlineLvl w:val="1"/>
        <w:rPr>
          <w:rStyle w:val="29"/>
          <w:rFonts w:hint="eastAsia" w:eastAsia="宋体"/>
          <w:color w:val="auto"/>
          <w:highlight w:val="none"/>
          <w:lang w:eastAsia="zh-CN"/>
        </w:rPr>
      </w:pPr>
      <w:r>
        <w:rPr>
          <w:rStyle w:val="29"/>
          <w:rFonts w:hint="eastAsia"/>
          <w:color w:val="auto"/>
          <w:sz w:val="28"/>
          <w:szCs w:val="28"/>
          <w:highlight w:val="none"/>
        </w:rPr>
        <w:t>格式</w:t>
      </w:r>
      <w:bookmarkEnd w:id="162"/>
      <w:r>
        <w:rPr>
          <w:rStyle w:val="29"/>
          <w:rFonts w:hint="eastAsia"/>
          <w:color w:val="auto"/>
          <w:sz w:val="28"/>
          <w:szCs w:val="28"/>
          <w:highlight w:val="none"/>
          <w:lang w:val="en-US" w:eastAsia="zh-CN"/>
        </w:rPr>
        <w:t>三</w:t>
      </w:r>
    </w:p>
    <w:p>
      <w:pPr>
        <w:tabs>
          <w:tab w:val="center" w:pos="4535"/>
          <w:tab w:val="left" w:pos="5840"/>
        </w:tabs>
        <w:spacing w:line="360" w:lineRule="auto"/>
        <w:jc w:val="center"/>
        <w:outlineLvl w:val="1"/>
        <w:rPr>
          <w:rFonts w:ascii="宋体" w:cs="宋体"/>
          <w:b/>
          <w:bCs/>
          <w:color w:val="auto"/>
          <w:sz w:val="30"/>
          <w:szCs w:val="30"/>
          <w:highlight w:val="none"/>
        </w:rPr>
      </w:pPr>
      <w:bookmarkStart w:id="166" w:name="_Toc26476"/>
      <w:r>
        <w:rPr>
          <w:rStyle w:val="29"/>
          <w:rFonts w:hint="eastAsia"/>
          <w:color w:val="auto"/>
          <w:highlight w:val="none"/>
        </w:rPr>
        <w:t>供应商基本情况表</w:t>
      </w:r>
      <w:bookmarkEnd w:id="166"/>
    </w:p>
    <w:tbl>
      <w:tblPr>
        <w:tblStyle w:val="20"/>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77"/>
        <w:gridCol w:w="503"/>
        <w:gridCol w:w="847"/>
        <w:gridCol w:w="264"/>
        <w:gridCol w:w="276"/>
        <w:gridCol w:w="456"/>
        <w:gridCol w:w="444"/>
        <w:gridCol w:w="203"/>
        <w:gridCol w:w="207"/>
        <w:gridCol w:w="1210"/>
        <w:gridCol w:w="216"/>
        <w:gridCol w:w="317"/>
        <w:gridCol w:w="727"/>
        <w:gridCol w:w="36"/>
        <w:gridCol w:w="64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单位全称</w:t>
            </w:r>
          </w:p>
        </w:tc>
        <w:tc>
          <w:tcPr>
            <w:tcW w:w="8063" w:type="dxa"/>
            <w:gridSpan w:val="16"/>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营业执照号码</w:t>
            </w:r>
          </w:p>
        </w:tc>
        <w:tc>
          <w:tcPr>
            <w:tcW w:w="2267" w:type="dxa"/>
            <w:gridSpan w:val="5"/>
            <w:vAlign w:val="center"/>
          </w:tcPr>
          <w:p>
            <w:pPr>
              <w:jc w:val="center"/>
              <w:rPr>
                <w:rFonts w:ascii="宋体" w:cs="宋体"/>
                <w:color w:val="auto"/>
                <w:sz w:val="21"/>
                <w:szCs w:val="21"/>
                <w:highlight w:val="none"/>
              </w:rPr>
            </w:pPr>
          </w:p>
        </w:tc>
        <w:tc>
          <w:tcPr>
            <w:tcW w:w="1103"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税务登</w:t>
            </w:r>
          </w:p>
          <w:p>
            <w:pPr>
              <w:jc w:val="center"/>
              <w:rPr>
                <w:rFonts w:ascii="宋体" w:cs="宋体"/>
                <w:color w:val="auto"/>
                <w:sz w:val="21"/>
                <w:szCs w:val="21"/>
                <w:highlight w:val="none"/>
              </w:rPr>
            </w:pPr>
            <w:r>
              <w:rPr>
                <w:rFonts w:hint="eastAsia" w:ascii="宋体" w:cs="宋体"/>
                <w:color w:val="auto"/>
                <w:sz w:val="21"/>
                <w:szCs w:val="21"/>
                <w:highlight w:val="none"/>
              </w:rPr>
              <w:t>记号码</w:t>
            </w:r>
          </w:p>
        </w:tc>
        <w:tc>
          <w:tcPr>
            <w:tcW w:w="1633" w:type="dxa"/>
            <w:gridSpan w:val="3"/>
            <w:vAlign w:val="center"/>
          </w:tcPr>
          <w:p>
            <w:pPr>
              <w:jc w:val="center"/>
              <w:rPr>
                <w:rFonts w:ascii="宋体" w:cs="宋体"/>
                <w:color w:val="auto"/>
                <w:sz w:val="21"/>
                <w:szCs w:val="21"/>
                <w:highlight w:val="none"/>
              </w:rPr>
            </w:pPr>
          </w:p>
        </w:tc>
        <w:tc>
          <w:tcPr>
            <w:tcW w:w="1080"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单位法</w:t>
            </w:r>
          </w:p>
          <w:p>
            <w:pPr>
              <w:jc w:val="center"/>
              <w:rPr>
                <w:rFonts w:ascii="宋体" w:cs="宋体"/>
                <w:color w:val="auto"/>
                <w:sz w:val="21"/>
                <w:szCs w:val="21"/>
                <w:highlight w:val="none"/>
              </w:rPr>
            </w:pPr>
            <w:r>
              <w:rPr>
                <w:rFonts w:hint="eastAsia" w:ascii="宋体" w:cs="宋体"/>
                <w:color w:val="auto"/>
                <w:sz w:val="21"/>
                <w:szCs w:val="21"/>
                <w:highlight w:val="none"/>
              </w:rPr>
              <w:t>人代码</w:t>
            </w:r>
          </w:p>
        </w:tc>
        <w:tc>
          <w:tcPr>
            <w:tcW w:w="1980" w:type="dxa"/>
            <w:gridSpan w:val="2"/>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地址</w:t>
            </w:r>
          </w:p>
        </w:tc>
        <w:tc>
          <w:tcPr>
            <w:tcW w:w="5003" w:type="dxa"/>
            <w:gridSpan w:val="11"/>
            <w:vAlign w:val="center"/>
          </w:tcPr>
          <w:p>
            <w:pPr>
              <w:jc w:val="center"/>
              <w:rPr>
                <w:rFonts w:ascii="宋体" w:cs="宋体"/>
                <w:color w:val="auto"/>
                <w:sz w:val="21"/>
                <w:szCs w:val="21"/>
                <w:highlight w:val="none"/>
              </w:rPr>
            </w:pPr>
          </w:p>
        </w:tc>
        <w:tc>
          <w:tcPr>
            <w:tcW w:w="1080"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邮编</w:t>
            </w:r>
          </w:p>
        </w:tc>
        <w:tc>
          <w:tcPr>
            <w:tcW w:w="1980" w:type="dxa"/>
            <w:gridSpan w:val="2"/>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lang w:val="en-US" w:eastAsia="zh-CN"/>
              </w:rPr>
              <w:t>投标人</w:t>
            </w:r>
            <w:r>
              <w:rPr>
                <w:rFonts w:hint="eastAsia" w:ascii="宋体" w:cs="宋体"/>
                <w:color w:val="auto"/>
                <w:sz w:val="21"/>
                <w:szCs w:val="21"/>
                <w:highlight w:val="none"/>
              </w:rPr>
              <w:t>电话</w:t>
            </w:r>
          </w:p>
        </w:tc>
        <w:tc>
          <w:tcPr>
            <w:tcW w:w="2723" w:type="dxa"/>
            <w:gridSpan w:val="6"/>
            <w:vAlign w:val="center"/>
          </w:tcPr>
          <w:p>
            <w:pPr>
              <w:jc w:val="center"/>
              <w:rPr>
                <w:rFonts w:ascii="宋体" w:cs="宋体"/>
                <w:color w:val="auto"/>
                <w:sz w:val="21"/>
                <w:szCs w:val="21"/>
                <w:highlight w:val="none"/>
              </w:rPr>
            </w:pPr>
          </w:p>
        </w:tc>
        <w:tc>
          <w:tcPr>
            <w:tcW w:w="2280" w:type="dxa"/>
            <w:gridSpan w:val="5"/>
            <w:vAlign w:val="center"/>
          </w:tcPr>
          <w:p>
            <w:pPr>
              <w:jc w:val="center"/>
              <w:rPr>
                <w:rFonts w:ascii="宋体" w:cs="宋体"/>
                <w:color w:val="auto"/>
                <w:sz w:val="21"/>
                <w:szCs w:val="21"/>
                <w:highlight w:val="none"/>
              </w:rPr>
            </w:pPr>
            <w:r>
              <w:rPr>
                <w:rFonts w:hint="eastAsia" w:ascii="宋体" w:cs="宋体"/>
                <w:color w:val="auto"/>
                <w:sz w:val="21"/>
                <w:szCs w:val="21"/>
                <w:highlight w:val="none"/>
              </w:rPr>
              <w:t>传真</w:t>
            </w:r>
          </w:p>
        </w:tc>
        <w:tc>
          <w:tcPr>
            <w:tcW w:w="3060" w:type="dxa"/>
            <w:gridSpan w:val="5"/>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法定代表人</w:t>
            </w:r>
          </w:p>
        </w:tc>
        <w:tc>
          <w:tcPr>
            <w:tcW w:w="2723" w:type="dxa"/>
            <w:gridSpan w:val="6"/>
            <w:vAlign w:val="center"/>
          </w:tcPr>
          <w:p>
            <w:pPr>
              <w:jc w:val="center"/>
              <w:rPr>
                <w:rFonts w:ascii="宋体" w:cs="宋体"/>
                <w:color w:val="auto"/>
                <w:sz w:val="21"/>
                <w:szCs w:val="21"/>
                <w:highlight w:val="none"/>
              </w:rPr>
            </w:pPr>
          </w:p>
        </w:tc>
        <w:tc>
          <w:tcPr>
            <w:tcW w:w="2280" w:type="dxa"/>
            <w:gridSpan w:val="5"/>
            <w:vAlign w:val="center"/>
          </w:tcPr>
          <w:p>
            <w:pPr>
              <w:ind w:firstLine="630" w:firstLineChars="300"/>
              <w:jc w:val="center"/>
              <w:rPr>
                <w:rFonts w:ascii="宋体" w:cs="宋体"/>
                <w:color w:val="auto"/>
                <w:sz w:val="21"/>
                <w:szCs w:val="21"/>
                <w:highlight w:val="none"/>
              </w:rPr>
            </w:pPr>
            <w:r>
              <w:rPr>
                <w:rFonts w:hint="eastAsia" w:ascii="宋体" w:cs="宋体"/>
                <w:color w:val="auto"/>
                <w:sz w:val="21"/>
                <w:szCs w:val="21"/>
                <w:highlight w:val="none"/>
              </w:rPr>
              <w:t>建筑面积</w:t>
            </w:r>
          </w:p>
        </w:tc>
        <w:tc>
          <w:tcPr>
            <w:tcW w:w="3060" w:type="dxa"/>
            <w:gridSpan w:val="5"/>
            <w:vAlign w:val="center"/>
          </w:tcPr>
          <w:p>
            <w:pPr>
              <w:ind w:firstLine="1470" w:firstLineChars="700"/>
              <w:jc w:val="center"/>
              <w:rPr>
                <w:rFonts w:ascii="宋体" w:cs="宋体"/>
                <w:color w:val="auto"/>
                <w:sz w:val="21"/>
                <w:szCs w:val="21"/>
                <w:highlight w:val="none"/>
              </w:rPr>
            </w:pPr>
            <w:r>
              <w:rPr>
                <w:rFonts w:hint="eastAsia" w:ascii="宋体" w:cs="宋体"/>
                <w:color w:val="auto"/>
                <w:sz w:val="21"/>
                <w:szCs w:val="21"/>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261"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注册资本</w:t>
            </w:r>
          </w:p>
        </w:tc>
        <w:tc>
          <w:tcPr>
            <w:tcW w:w="8063" w:type="dxa"/>
            <w:gridSpan w:val="16"/>
            <w:vAlign w:val="center"/>
          </w:tcPr>
          <w:p>
            <w:pPr>
              <w:jc w:val="center"/>
              <w:rPr>
                <w:rFonts w:ascii="宋体" w:cs="宋体"/>
                <w:color w:val="auto"/>
                <w:sz w:val="21"/>
                <w:szCs w:val="21"/>
                <w:highlight w:val="none"/>
              </w:rPr>
            </w:pPr>
            <w:r>
              <w:rPr>
                <w:rFonts w:hint="eastAsia" w:ascii="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261" w:type="dxa"/>
            <w:vMerge w:val="restart"/>
            <w:vAlign w:val="center"/>
          </w:tcPr>
          <w:p>
            <w:pPr>
              <w:jc w:val="center"/>
              <w:rPr>
                <w:rFonts w:ascii="宋体" w:cs="宋体"/>
                <w:color w:val="auto"/>
                <w:sz w:val="21"/>
                <w:szCs w:val="21"/>
                <w:highlight w:val="none"/>
              </w:rPr>
            </w:pPr>
            <w:r>
              <w:rPr>
                <w:rFonts w:hint="eastAsia" w:ascii="宋体" w:cs="宋体"/>
                <w:color w:val="auto"/>
                <w:sz w:val="21"/>
                <w:szCs w:val="21"/>
                <w:highlight w:val="none"/>
              </w:rPr>
              <w:t>经营范围</w:t>
            </w:r>
          </w:p>
        </w:tc>
        <w:tc>
          <w:tcPr>
            <w:tcW w:w="1727"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主营</w:t>
            </w:r>
          </w:p>
        </w:tc>
        <w:tc>
          <w:tcPr>
            <w:tcW w:w="6336" w:type="dxa"/>
            <w:gridSpan w:val="13"/>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1261" w:type="dxa"/>
            <w:vMerge w:val="continue"/>
            <w:vAlign w:val="center"/>
          </w:tcPr>
          <w:p>
            <w:pPr>
              <w:rPr>
                <w:rFonts w:hint="eastAsia" w:eastAsia="宋体"/>
                <w:color w:val="auto"/>
                <w:sz w:val="21"/>
                <w:szCs w:val="21"/>
                <w:highlight w:val="none"/>
                <w:lang w:eastAsia="zh-CN"/>
              </w:rPr>
            </w:pPr>
          </w:p>
        </w:tc>
        <w:tc>
          <w:tcPr>
            <w:tcW w:w="1727"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兼营</w:t>
            </w:r>
          </w:p>
        </w:tc>
        <w:tc>
          <w:tcPr>
            <w:tcW w:w="6336" w:type="dxa"/>
            <w:gridSpan w:val="13"/>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1" w:type="dxa"/>
            <w:vMerge w:val="restart"/>
            <w:vAlign w:val="center"/>
          </w:tcPr>
          <w:p>
            <w:pPr>
              <w:jc w:val="center"/>
              <w:rPr>
                <w:rFonts w:ascii="宋体" w:cs="宋体"/>
                <w:color w:val="auto"/>
                <w:sz w:val="21"/>
                <w:szCs w:val="21"/>
                <w:highlight w:val="none"/>
              </w:rPr>
            </w:pPr>
            <w:r>
              <w:rPr>
                <w:rFonts w:hint="eastAsia" w:ascii="宋体" w:cs="宋体"/>
                <w:color w:val="auto"/>
                <w:sz w:val="21"/>
                <w:szCs w:val="21"/>
                <w:highlight w:val="none"/>
              </w:rPr>
              <w:t>单位员工结构</w:t>
            </w:r>
          </w:p>
        </w:tc>
        <w:tc>
          <w:tcPr>
            <w:tcW w:w="1727"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员工</w:t>
            </w:r>
          </w:p>
          <w:p>
            <w:pPr>
              <w:jc w:val="center"/>
              <w:rPr>
                <w:rFonts w:ascii="宋体" w:cs="宋体"/>
                <w:color w:val="auto"/>
                <w:sz w:val="21"/>
                <w:szCs w:val="21"/>
                <w:highlight w:val="none"/>
              </w:rPr>
            </w:pPr>
            <w:r>
              <w:rPr>
                <w:rFonts w:hint="eastAsia" w:ascii="宋体" w:cs="宋体"/>
                <w:color w:val="auto"/>
                <w:sz w:val="21"/>
                <w:szCs w:val="21"/>
                <w:highlight w:val="none"/>
              </w:rPr>
              <w:t>总数</w:t>
            </w:r>
          </w:p>
        </w:tc>
        <w:tc>
          <w:tcPr>
            <w:tcW w:w="1440" w:type="dxa"/>
            <w:gridSpan w:val="4"/>
            <w:vAlign w:val="center"/>
          </w:tcPr>
          <w:p>
            <w:pPr>
              <w:jc w:val="center"/>
              <w:rPr>
                <w:rFonts w:ascii="宋体" w:cs="宋体"/>
                <w:color w:val="auto"/>
                <w:sz w:val="21"/>
                <w:szCs w:val="21"/>
                <w:highlight w:val="none"/>
              </w:rPr>
            </w:pPr>
            <w:r>
              <w:rPr>
                <w:rFonts w:hint="eastAsia" w:ascii="宋体" w:cs="宋体"/>
                <w:color w:val="auto"/>
                <w:sz w:val="21"/>
                <w:szCs w:val="21"/>
                <w:highlight w:val="none"/>
              </w:rPr>
              <w:t>高级技</w:t>
            </w:r>
          </w:p>
          <w:p>
            <w:pPr>
              <w:jc w:val="center"/>
              <w:rPr>
                <w:rFonts w:ascii="宋体" w:cs="宋体"/>
                <w:color w:val="auto"/>
                <w:sz w:val="21"/>
                <w:szCs w:val="21"/>
                <w:highlight w:val="none"/>
              </w:rPr>
            </w:pPr>
            <w:r>
              <w:rPr>
                <w:rFonts w:hint="eastAsia" w:ascii="宋体" w:cs="宋体"/>
                <w:color w:val="auto"/>
                <w:sz w:val="21"/>
                <w:szCs w:val="21"/>
                <w:highlight w:val="none"/>
              </w:rPr>
              <w:t>术人员</w:t>
            </w:r>
          </w:p>
        </w:tc>
        <w:tc>
          <w:tcPr>
            <w:tcW w:w="1620"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中级技</w:t>
            </w:r>
          </w:p>
          <w:p>
            <w:pPr>
              <w:jc w:val="center"/>
              <w:rPr>
                <w:rFonts w:ascii="宋体" w:cs="宋体"/>
                <w:color w:val="auto"/>
                <w:sz w:val="21"/>
                <w:szCs w:val="21"/>
                <w:highlight w:val="none"/>
              </w:rPr>
            </w:pPr>
            <w:r>
              <w:rPr>
                <w:rFonts w:hint="eastAsia" w:ascii="宋体" w:cs="宋体"/>
                <w:color w:val="auto"/>
                <w:sz w:val="21"/>
                <w:szCs w:val="21"/>
                <w:highlight w:val="none"/>
              </w:rPr>
              <w:t>术人员</w:t>
            </w:r>
          </w:p>
        </w:tc>
        <w:tc>
          <w:tcPr>
            <w:tcW w:w="1260"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初级技</w:t>
            </w:r>
          </w:p>
          <w:p>
            <w:pPr>
              <w:jc w:val="center"/>
              <w:rPr>
                <w:rFonts w:ascii="宋体" w:cs="宋体"/>
                <w:color w:val="auto"/>
                <w:sz w:val="21"/>
                <w:szCs w:val="21"/>
                <w:highlight w:val="none"/>
              </w:rPr>
            </w:pPr>
            <w:r>
              <w:rPr>
                <w:rFonts w:hint="eastAsia" w:ascii="宋体" w:cs="宋体"/>
                <w:color w:val="auto"/>
                <w:sz w:val="21"/>
                <w:szCs w:val="21"/>
                <w:highlight w:val="none"/>
              </w:rPr>
              <w:t>术人员</w:t>
            </w:r>
          </w:p>
        </w:tc>
        <w:tc>
          <w:tcPr>
            <w:tcW w:w="2016"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行政管</w:t>
            </w:r>
          </w:p>
          <w:p>
            <w:pPr>
              <w:jc w:val="center"/>
              <w:rPr>
                <w:rFonts w:ascii="宋体" w:cs="宋体"/>
                <w:color w:val="auto"/>
                <w:sz w:val="21"/>
                <w:szCs w:val="21"/>
                <w:highlight w:val="none"/>
              </w:rPr>
            </w:pPr>
            <w:r>
              <w:rPr>
                <w:rFonts w:hint="eastAsia" w:ascii="宋体" w:cs="宋体"/>
                <w:color w:val="auto"/>
                <w:sz w:val="21"/>
                <w:szCs w:val="21"/>
                <w:highlight w:val="none"/>
              </w:rPr>
              <w:t>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261" w:type="dxa"/>
            <w:vMerge w:val="continue"/>
            <w:vAlign w:val="center"/>
          </w:tcPr>
          <w:p>
            <w:pPr>
              <w:rPr>
                <w:color w:val="auto"/>
                <w:sz w:val="21"/>
                <w:szCs w:val="21"/>
                <w:highlight w:val="none"/>
              </w:rPr>
            </w:pPr>
          </w:p>
        </w:tc>
        <w:tc>
          <w:tcPr>
            <w:tcW w:w="1727" w:type="dxa"/>
            <w:gridSpan w:val="3"/>
            <w:vAlign w:val="center"/>
          </w:tcPr>
          <w:p>
            <w:pPr>
              <w:jc w:val="center"/>
              <w:rPr>
                <w:rFonts w:ascii="宋体" w:cs="宋体"/>
                <w:color w:val="auto"/>
                <w:sz w:val="21"/>
                <w:szCs w:val="21"/>
                <w:highlight w:val="none"/>
              </w:rPr>
            </w:pPr>
          </w:p>
        </w:tc>
        <w:tc>
          <w:tcPr>
            <w:tcW w:w="1440" w:type="dxa"/>
            <w:gridSpan w:val="4"/>
            <w:vAlign w:val="center"/>
          </w:tcPr>
          <w:p>
            <w:pPr>
              <w:jc w:val="center"/>
              <w:rPr>
                <w:rFonts w:ascii="宋体" w:cs="宋体"/>
                <w:color w:val="auto"/>
                <w:sz w:val="21"/>
                <w:szCs w:val="21"/>
                <w:highlight w:val="none"/>
              </w:rPr>
            </w:pPr>
          </w:p>
        </w:tc>
        <w:tc>
          <w:tcPr>
            <w:tcW w:w="1620" w:type="dxa"/>
            <w:gridSpan w:val="3"/>
            <w:vAlign w:val="center"/>
          </w:tcPr>
          <w:p>
            <w:pPr>
              <w:jc w:val="center"/>
              <w:rPr>
                <w:rFonts w:ascii="宋体" w:cs="宋体"/>
                <w:color w:val="auto"/>
                <w:sz w:val="21"/>
                <w:szCs w:val="21"/>
                <w:highlight w:val="none"/>
              </w:rPr>
            </w:pPr>
          </w:p>
        </w:tc>
        <w:tc>
          <w:tcPr>
            <w:tcW w:w="1260" w:type="dxa"/>
            <w:gridSpan w:val="3"/>
            <w:vAlign w:val="center"/>
          </w:tcPr>
          <w:p>
            <w:pPr>
              <w:jc w:val="center"/>
              <w:rPr>
                <w:rFonts w:ascii="宋体" w:cs="宋体"/>
                <w:color w:val="auto"/>
                <w:sz w:val="21"/>
                <w:szCs w:val="21"/>
                <w:highlight w:val="none"/>
              </w:rPr>
            </w:pPr>
          </w:p>
        </w:tc>
        <w:tc>
          <w:tcPr>
            <w:tcW w:w="2016" w:type="dxa"/>
            <w:gridSpan w:val="3"/>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324" w:type="dxa"/>
            <w:gridSpan w:val="17"/>
            <w:vAlign w:val="center"/>
          </w:tcPr>
          <w:p>
            <w:pPr>
              <w:jc w:val="center"/>
              <w:rPr>
                <w:rFonts w:ascii="宋体" w:cs="宋体"/>
                <w:color w:val="auto"/>
                <w:sz w:val="21"/>
                <w:szCs w:val="21"/>
                <w:highlight w:val="none"/>
              </w:rPr>
            </w:pPr>
            <w:r>
              <w:rPr>
                <w:rFonts w:hint="eastAsia" w:ascii="宋体" w:cs="宋体"/>
                <w:color w:val="auto"/>
                <w:sz w:val="21"/>
                <w:szCs w:val="21"/>
                <w:highlight w:val="none"/>
              </w:rPr>
              <w:t>生产销售状况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3252" w:type="dxa"/>
            <w:gridSpan w:val="5"/>
            <w:vAlign w:val="center"/>
          </w:tcPr>
          <w:p>
            <w:pPr>
              <w:jc w:val="center"/>
              <w:rPr>
                <w:rFonts w:ascii="宋体" w:cs="宋体"/>
                <w:color w:val="auto"/>
                <w:sz w:val="21"/>
                <w:szCs w:val="21"/>
                <w:highlight w:val="none"/>
              </w:rPr>
            </w:pPr>
            <w:r>
              <w:rPr>
                <w:rFonts w:hint="eastAsia" w:ascii="宋体" w:cs="宋体"/>
                <w:color w:val="auto"/>
                <w:sz w:val="21"/>
                <w:szCs w:val="21"/>
                <w:highlight w:val="none"/>
              </w:rPr>
              <w:t>20</w:t>
            </w:r>
            <w:r>
              <w:rPr>
                <w:rFonts w:hint="eastAsia" w:ascii="宋体" w:cs="宋体"/>
                <w:color w:val="auto"/>
                <w:sz w:val="21"/>
                <w:szCs w:val="21"/>
                <w:highlight w:val="none"/>
                <w:lang w:val="en-US" w:eastAsia="zh-CN"/>
              </w:rPr>
              <w:t>21</w:t>
            </w:r>
            <w:r>
              <w:rPr>
                <w:rFonts w:hint="eastAsia" w:ascii="宋体" w:cs="宋体"/>
                <w:color w:val="auto"/>
                <w:sz w:val="21"/>
                <w:szCs w:val="21"/>
                <w:highlight w:val="none"/>
              </w:rPr>
              <w:t>年</w:t>
            </w:r>
          </w:p>
        </w:tc>
        <w:tc>
          <w:tcPr>
            <w:tcW w:w="3329" w:type="dxa"/>
            <w:gridSpan w:val="8"/>
            <w:vAlign w:val="center"/>
          </w:tcPr>
          <w:p>
            <w:pPr>
              <w:jc w:val="center"/>
              <w:rPr>
                <w:rFonts w:ascii="宋体" w:cs="宋体"/>
                <w:color w:val="auto"/>
                <w:sz w:val="21"/>
                <w:szCs w:val="21"/>
                <w:highlight w:val="none"/>
              </w:rPr>
            </w:pPr>
            <w:r>
              <w:rPr>
                <w:rFonts w:hint="eastAsia" w:ascii="宋体" w:cs="宋体"/>
                <w:color w:val="auto"/>
                <w:sz w:val="21"/>
                <w:szCs w:val="21"/>
                <w:highlight w:val="none"/>
              </w:rPr>
              <w:t>20</w:t>
            </w:r>
            <w:r>
              <w:rPr>
                <w:rFonts w:hint="eastAsia" w:ascii="宋体" w:cs="宋体"/>
                <w:color w:val="auto"/>
                <w:sz w:val="21"/>
                <w:szCs w:val="21"/>
                <w:highlight w:val="none"/>
                <w:lang w:val="en-US" w:eastAsia="zh-CN"/>
              </w:rPr>
              <w:t>22</w:t>
            </w:r>
            <w:r>
              <w:rPr>
                <w:rFonts w:hint="eastAsia" w:ascii="宋体" w:cs="宋体"/>
                <w:color w:val="auto"/>
                <w:sz w:val="21"/>
                <w:szCs w:val="21"/>
                <w:highlight w:val="none"/>
              </w:rPr>
              <w:t>年</w:t>
            </w:r>
          </w:p>
        </w:tc>
        <w:tc>
          <w:tcPr>
            <w:tcW w:w="2743" w:type="dxa"/>
            <w:gridSpan w:val="4"/>
            <w:vAlign w:val="center"/>
          </w:tcPr>
          <w:p>
            <w:pPr>
              <w:jc w:val="center"/>
              <w:rPr>
                <w:rFonts w:ascii="宋体" w:cs="宋体"/>
                <w:color w:val="auto"/>
                <w:sz w:val="21"/>
                <w:szCs w:val="21"/>
                <w:highlight w:val="none"/>
              </w:rPr>
            </w:pPr>
            <w:r>
              <w:rPr>
                <w:rFonts w:hint="eastAsia" w:ascii="宋体" w:cs="宋体"/>
                <w:color w:val="auto"/>
                <w:sz w:val="21"/>
                <w:szCs w:val="21"/>
                <w:highlight w:val="none"/>
              </w:rPr>
              <w:t>202</w:t>
            </w:r>
            <w:r>
              <w:rPr>
                <w:rFonts w:hint="eastAsia" w:ascii="宋体" w:cs="宋体"/>
                <w:color w:val="auto"/>
                <w:sz w:val="21"/>
                <w:szCs w:val="21"/>
                <w:highlight w:val="none"/>
                <w:lang w:val="en-US" w:eastAsia="zh-CN"/>
              </w:rPr>
              <w:t>3</w:t>
            </w:r>
            <w:r>
              <w:rPr>
                <w:rFonts w:hint="eastAsia" w:ascii="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1638" w:type="dxa"/>
            <w:gridSpan w:val="2"/>
            <w:vAlign w:val="center"/>
          </w:tcPr>
          <w:p>
            <w:pPr>
              <w:jc w:val="center"/>
              <w:rPr>
                <w:rFonts w:ascii="宋体" w:cs="宋体"/>
                <w:color w:val="auto"/>
                <w:sz w:val="21"/>
                <w:szCs w:val="21"/>
                <w:highlight w:val="none"/>
              </w:rPr>
            </w:pPr>
            <w:r>
              <w:rPr>
                <w:rFonts w:hint="eastAsia" w:ascii="宋体" w:cs="宋体"/>
                <w:color w:val="auto"/>
                <w:sz w:val="21"/>
                <w:szCs w:val="21"/>
                <w:highlight w:val="none"/>
              </w:rPr>
              <w:t>年产量</w:t>
            </w:r>
          </w:p>
        </w:tc>
        <w:tc>
          <w:tcPr>
            <w:tcW w:w="1614"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年销售额</w:t>
            </w:r>
          </w:p>
          <w:p>
            <w:pPr>
              <w:jc w:val="center"/>
              <w:rPr>
                <w:rFonts w:ascii="宋体" w:cs="宋体"/>
                <w:color w:val="auto"/>
                <w:sz w:val="21"/>
                <w:szCs w:val="21"/>
                <w:highlight w:val="none"/>
              </w:rPr>
            </w:pPr>
            <w:r>
              <w:rPr>
                <w:rFonts w:hint="eastAsia" w:ascii="宋体" w:cs="宋体"/>
                <w:color w:val="auto"/>
                <w:sz w:val="21"/>
                <w:szCs w:val="21"/>
                <w:highlight w:val="none"/>
              </w:rPr>
              <w:t>（万元）</w:t>
            </w:r>
          </w:p>
        </w:tc>
        <w:tc>
          <w:tcPr>
            <w:tcW w:w="1586" w:type="dxa"/>
            <w:gridSpan w:val="5"/>
            <w:vAlign w:val="center"/>
          </w:tcPr>
          <w:p>
            <w:pPr>
              <w:jc w:val="center"/>
              <w:rPr>
                <w:rFonts w:ascii="宋体" w:cs="宋体"/>
                <w:color w:val="auto"/>
                <w:sz w:val="21"/>
                <w:szCs w:val="21"/>
                <w:highlight w:val="none"/>
              </w:rPr>
            </w:pPr>
            <w:r>
              <w:rPr>
                <w:rFonts w:hint="eastAsia" w:ascii="宋体" w:cs="宋体"/>
                <w:color w:val="auto"/>
                <w:sz w:val="21"/>
                <w:szCs w:val="21"/>
                <w:highlight w:val="none"/>
              </w:rPr>
              <w:t>年产量</w:t>
            </w:r>
          </w:p>
        </w:tc>
        <w:tc>
          <w:tcPr>
            <w:tcW w:w="1743"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年销售额（万元）</w:t>
            </w:r>
          </w:p>
        </w:tc>
        <w:tc>
          <w:tcPr>
            <w:tcW w:w="1404" w:type="dxa"/>
            <w:gridSpan w:val="3"/>
            <w:vAlign w:val="center"/>
          </w:tcPr>
          <w:p>
            <w:pPr>
              <w:jc w:val="center"/>
              <w:rPr>
                <w:rFonts w:ascii="宋体" w:cs="宋体"/>
                <w:color w:val="auto"/>
                <w:sz w:val="21"/>
                <w:szCs w:val="21"/>
                <w:highlight w:val="none"/>
              </w:rPr>
            </w:pPr>
            <w:r>
              <w:rPr>
                <w:rFonts w:hint="eastAsia" w:ascii="宋体" w:cs="宋体"/>
                <w:color w:val="auto"/>
                <w:sz w:val="21"/>
                <w:szCs w:val="21"/>
                <w:highlight w:val="none"/>
              </w:rPr>
              <w:t>年产量</w:t>
            </w:r>
          </w:p>
        </w:tc>
        <w:tc>
          <w:tcPr>
            <w:tcW w:w="1339" w:type="dxa"/>
            <w:vAlign w:val="center"/>
          </w:tcPr>
          <w:p>
            <w:pPr>
              <w:jc w:val="center"/>
              <w:rPr>
                <w:rFonts w:ascii="宋体" w:cs="宋体"/>
                <w:color w:val="auto"/>
                <w:sz w:val="21"/>
                <w:szCs w:val="21"/>
                <w:highlight w:val="none"/>
              </w:rPr>
            </w:pPr>
            <w:r>
              <w:rPr>
                <w:rFonts w:hint="eastAsia" w:ascii="宋体" w:cs="宋体"/>
                <w:color w:val="auto"/>
                <w:sz w:val="21"/>
                <w:szCs w:val="21"/>
                <w:highlight w:val="none"/>
              </w:rPr>
              <w:t>年销售额</w:t>
            </w:r>
          </w:p>
          <w:p>
            <w:pPr>
              <w:jc w:val="center"/>
              <w:rPr>
                <w:rFonts w:ascii="宋体" w:cs="宋体"/>
                <w:color w:val="auto"/>
                <w:sz w:val="21"/>
                <w:szCs w:val="21"/>
                <w:highlight w:val="none"/>
              </w:rPr>
            </w:pPr>
            <w:r>
              <w:rPr>
                <w:rFonts w:hint="eastAsia" w:ascii="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638" w:type="dxa"/>
            <w:gridSpan w:val="2"/>
            <w:vAlign w:val="center"/>
          </w:tcPr>
          <w:p>
            <w:pPr>
              <w:jc w:val="center"/>
              <w:rPr>
                <w:rFonts w:ascii="宋体" w:cs="宋体"/>
                <w:color w:val="auto"/>
                <w:sz w:val="21"/>
                <w:szCs w:val="21"/>
                <w:highlight w:val="none"/>
              </w:rPr>
            </w:pPr>
          </w:p>
        </w:tc>
        <w:tc>
          <w:tcPr>
            <w:tcW w:w="1614" w:type="dxa"/>
            <w:gridSpan w:val="3"/>
            <w:vAlign w:val="center"/>
          </w:tcPr>
          <w:p>
            <w:pPr>
              <w:jc w:val="center"/>
              <w:rPr>
                <w:rFonts w:ascii="宋体" w:cs="宋体"/>
                <w:color w:val="auto"/>
                <w:sz w:val="21"/>
                <w:szCs w:val="21"/>
                <w:highlight w:val="none"/>
              </w:rPr>
            </w:pPr>
          </w:p>
        </w:tc>
        <w:tc>
          <w:tcPr>
            <w:tcW w:w="1586" w:type="dxa"/>
            <w:gridSpan w:val="5"/>
            <w:vAlign w:val="center"/>
          </w:tcPr>
          <w:p>
            <w:pPr>
              <w:jc w:val="center"/>
              <w:rPr>
                <w:rFonts w:ascii="宋体" w:cs="宋体"/>
                <w:color w:val="auto"/>
                <w:sz w:val="21"/>
                <w:szCs w:val="21"/>
                <w:highlight w:val="none"/>
              </w:rPr>
            </w:pPr>
          </w:p>
        </w:tc>
        <w:tc>
          <w:tcPr>
            <w:tcW w:w="1743" w:type="dxa"/>
            <w:gridSpan w:val="3"/>
            <w:vAlign w:val="center"/>
          </w:tcPr>
          <w:p>
            <w:pPr>
              <w:jc w:val="center"/>
              <w:rPr>
                <w:rFonts w:ascii="宋体" w:cs="宋体"/>
                <w:color w:val="auto"/>
                <w:sz w:val="21"/>
                <w:szCs w:val="21"/>
                <w:highlight w:val="none"/>
              </w:rPr>
            </w:pPr>
          </w:p>
        </w:tc>
        <w:tc>
          <w:tcPr>
            <w:tcW w:w="1404" w:type="dxa"/>
            <w:gridSpan w:val="3"/>
            <w:vAlign w:val="center"/>
          </w:tcPr>
          <w:p>
            <w:pPr>
              <w:jc w:val="center"/>
              <w:rPr>
                <w:rFonts w:ascii="宋体" w:cs="宋体"/>
                <w:color w:val="auto"/>
                <w:sz w:val="21"/>
                <w:szCs w:val="21"/>
                <w:highlight w:val="none"/>
              </w:rPr>
            </w:pPr>
          </w:p>
        </w:tc>
        <w:tc>
          <w:tcPr>
            <w:tcW w:w="1339" w:type="dxa"/>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141" w:type="dxa"/>
            <w:gridSpan w:val="3"/>
            <w:vMerge w:val="restart"/>
            <w:vAlign w:val="center"/>
          </w:tcPr>
          <w:p>
            <w:pPr>
              <w:jc w:val="center"/>
              <w:rPr>
                <w:rFonts w:ascii="宋体" w:cs="宋体"/>
                <w:color w:val="auto"/>
                <w:sz w:val="21"/>
                <w:szCs w:val="21"/>
                <w:highlight w:val="none"/>
              </w:rPr>
            </w:pPr>
            <w:r>
              <w:rPr>
                <w:rFonts w:hint="eastAsia" w:ascii="宋体" w:cs="宋体"/>
                <w:color w:val="auto"/>
                <w:sz w:val="21"/>
                <w:szCs w:val="21"/>
                <w:highlight w:val="none"/>
              </w:rPr>
              <w:t>主要原材料、配件进货渠道（可另附纸）</w:t>
            </w:r>
          </w:p>
        </w:tc>
        <w:tc>
          <w:tcPr>
            <w:tcW w:w="2697" w:type="dxa"/>
            <w:gridSpan w:val="7"/>
            <w:vAlign w:val="center"/>
          </w:tcPr>
          <w:p>
            <w:pPr>
              <w:jc w:val="center"/>
              <w:rPr>
                <w:rFonts w:ascii="宋体" w:cs="宋体"/>
                <w:color w:val="auto"/>
                <w:sz w:val="21"/>
                <w:szCs w:val="21"/>
                <w:highlight w:val="none"/>
              </w:rPr>
            </w:pPr>
            <w:r>
              <w:rPr>
                <w:rFonts w:hint="eastAsia" w:ascii="宋体" w:cs="宋体"/>
                <w:color w:val="auto"/>
                <w:sz w:val="21"/>
                <w:szCs w:val="21"/>
                <w:highlight w:val="none"/>
              </w:rPr>
              <w:t>原材料、配件名称</w:t>
            </w:r>
          </w:p>
        </w:tc>
        <w:tc>
          <w:tcPr>
            <w:tcW w:w="4486" w:type="dxa"/>
            <w:gridSpan w:val="7"/>
            <w:vAlign w:val="center"/>
          </w:tcPr>
          <w:p>
            <w:pPr>
              <w:jc w:val="center"/>
              <w:rPr>
                <w:rFonts w:ascii="宋体" w:cs="宋体"/>
                <w:color w:val="auto"/>
                <w:sz w:val="21"/>
                <w:szCs w:val="21"/>
                <w:highlight w:val="none"/>
              </w:rPr>
            </w:pPr>
            <w:r>
              <w:rPr>
                <w:rFonts w:hint="eastAsia" w:ascii="宋体" w:cs="宋体"/>
                <w:color w:val="auto"/>
                <w:sz w:val="21"/>
                <w:szCs w:val="21"/>
                <w:highlight w:val="none"/>
              </w:rPr>
              <w:t>生产厂名称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141" w:type="dxa"/>
            <w:gridSpan w:val="3"/>
            <w:vMerge w:val="continue"/>
            <w:vAlign w:val="center"/>
          </w:tcPr>
          <w:p>
            <w:pPr>
              <w:rPr>
                <w:color w:val="auto"/>
                <w:sz w:val="21"/>
                <w:szCs w:val="21"/>
                <w:highlight w:val="none"/>
              </w:rPr>
            </w:pPr>
          </w:p>
        </w:tc>
        <w:tc>
          <w:tcPr>
            <w:tcW w:w="2697" w:type="dxa"/>
            <w:gridSpan w:val="7"/>
            <w:vAlign w:val="center"/>
          </w:tcPr>
          <w:p>
            <w:pPr>
              <w:jc w:val="center"/>
              <w:rPr>
                <w:rFonts w:ascii="宋体" w:cs="宋体"/>
                <w:color w:val="auto"/>
                <w:sz w:val="21"/>
                <w:szCs w:val="21"/>
                <w:highlight w:val="none"/>
              </w:rPr>
            </w:pPr>
          </w:p>
        </w:tc>
        <w:tc>
          <w:tcPr>
            <w:tcW w:w="4486" w:type="dxa"/>
            <w:gridSpan w:val="7"/>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2141" w:type="dxa"/>
            <w:gridSpan w:val="3"/>
            <w:vMerge w:val="continue"/>
            <w:vAlign w:val="center"/>
          </w:tcPr>
          <w:p>
            <w:pPr>
              <w:rPr>
                <w:color w:val="auto"/>
                <w:sz w:val="21"/>
                <w:szCs w:val="21"/>
                <w:highlight w:val="none"/>
              </w:rPr>
            </w:pPr>
          </w:p>
        </w:tc>
        <w:tc>
          <w:tcPr>
            <w:tcW w:w="2697" w:type="dxa"/>
            <w:gridSpan w:val="7"/>
            <w:vAlign w:val="center"/>
          </w:tcPr>
          <w:p>
            <w:pPr>
              <w:jc w:val="center"/>
              <w:rPr>
                <w:rFonts w:ascii="宋体" w:cs="宋体"/>
                <w:color w:val="auto"/>
                <w:sz w:val="21"/>
                <w:szCs w:val="21"/>
                <w:highlight w:val="none"/>
              </w:rPr>
            </w:pPr>
          </w:p>
        </w:tc>
        <w:tc>
          <w:tcPr>
            <w:tcW w:w="4486" w:type="dxa"/>
            <w:gridSpan w:val="7"/>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141" w:type="dxa"/>
            <w:gridSpan w:val="3"/>
            <w:vMerge w:val="continue"/>
            <w:vAlign w:val="center"/>
          </w:tcPr>
          <w:p>
            <w:pPr>
              <w:rPr>
                <w:color w:val="auto"/>
                <w:sz w:val="21"/>
                <w:szCs w:val="21"/>
                <w:highlight w:val="none"/>
              </w:rPr>
            </w:pPr>
          </w:p>
        </w:tc>
        <w:tc>
          <w:tcPr>
            <w:tcW w:w="2697" w:type="dxa"/>
            <w:gridSpan w:val="7"/>
            <w:vAlign w:val="center"/>
          </w:tcPr>
          <w:p>
            <w:pPr>
              <w:jc w:val="center"/>
              <w:rPr>
                <w:rFonts w:ascii="宋体" w:cs="宋体"/>
                <w:color w:val="auto"/>
                <w:sz w:val="21"/>
                <w:szCs w:val="21"/>
                <w:highlight w:val="none"/>
              </w:rPr>
            </w:pPr>
          </w:p>
        </w:tc>
        <w:tc>
          <w:tcPr>
            <w:tcW w:w="4486" w:type="dxa"/>
            <w:gridSpan w:val="7"/>
            <w:vAlign w:val="center"/>
          </w:tcPr>
          <w:p>
            <w:pPr>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24" w:type="dxa"/>
            <w:gridSpan w:val="17"/>
          </w:tcPr>
          <w:p>
            <w:pPr>
              <w:rPr>
                <w:rFonts w:ascii="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cs="宋体"/>
                <w:color w:val="auto"/>
                <w:sz w:val="21"/>
                <w:szCs w:val="21"/>
                <w:highlight w:val="none"/>
              </w:rPr>
            </w:pPr>
            <w:r>
              <w:rPr>
                <w:rFonts w:hint="eastAsia" w:ascii="宋体" w:cs="宋体"/>
                <w:color w:val="auto"/>
                <w:sz w:val="21"/>
                <w:szCs w:val="21"/>
                <w:highlight w:val="none"/>
              </w:rPr>
              <w:t>单位（公章）：</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cs="宋体"/>
                <w:color w:val="auto"/>
                <w:sz w:val="21"/>
                <w:szCs w:val="21"/>
                <w:highlight w:val="none"/>
              </w:rPr>
            </w:pPr>
            <w:r>
              <w:rPr>
                <w:rFonts w:hint="eastAsia" w:ascii="宋体" w:cs="宋体"/>
                <w:color w:val="auto"/>
                <w:sz w:val="21"/>
                <w:szCs w:val="21"/>
                <w:highlight w:val="none"/>
              </w:rPr>
              <w:t>法定代表人（签字或印鉴）：</w:t>
            </w:r>
          </w:p>
          <w:p>
            <w:pPr>
              <w:keepNext w:val="0"/>
              <w:keepLines w:val="0"/>
              <w:pageBreakBefore w:val="0"/>
              <w:widowControl/>
              <w:kinsoku/>
              <w:wordWrap/>
              <w:overflowPunct/>
              <w:topLinePunct w:val="0"/>
              <w:autoSpaceDE/>
              <w:autoSpaceDN/>
              <w:bidi w:val="0"/>
              <w:adjustRightInd/>
              <w:snapToGrid/>
              <w:spacing w:line="540" w:lineRule="exact"/>
              <w:ind w:firstLine="4830" w:firstLineChars="2300"/>
              <w:textAlignment w:val="auto"/>
              <w:rPr>
                <w:rFonts w:ascii="宋体" w:cs="宋体"/>
                <w:color w:val="auto"/>
                <w:sz w:val="21"/>
                <w:szCs w:val="21"/>
                <w:highlight w:val="none"/>
              </w:rPr>
            </w:pPr>
            <w:r>
              <w:rPr>
                <w:rFonts w:hint="eastAsia" w:ascii="宋体" w:cs="宋体"/>
                <w:color w:val="auto"/>
                <w:sz w:val="21"/>
                <w:szCs w:val="21"/>
                <w:highlight w:val="none"/>
              </w:rPr>
              <w:t>年月日</w:t>
            </w:r>
          </w:p>
        </w:tc>
      </w:tr>
    </w:tbl>
    <w:p>
      <w:pPr>
        <w:widowControl w:val="0"/>
        <w:spacing w:line="400" w:lineRule="exact"/>
        <w:jc w:val="both"/>
        <w:rPr>
          <w:rFonts w:ascii="宋体"/>
          <w:color w:val="auto"/>
          <w:sz w:val="24"/>
          <w:highlight w:val="none"/>
        </w:rPr>
      </w:pPr>
      <w:r>
        <w:rPr>
          <w:rFonts w:ascii="宋体"/>
          <w:b/>
          <w:color w:val="auto"/>
          <w:sz w:val="24"/>
          <w:szCs w:val="24"/>
          <w:highlight w:val="none"/>
        </w:rPr>
        <w:br w:type="page"/>
      </w:r>
    </w:p>
    <w:p>
      <w:pPr>
        <w:pStyle w:val="4"/>
        <w:rPr>
          <w:rFonts w:hint="eastAsia" w:eastAsia="宋体"/>
          <w:color w:val="auto"/>
          <w:highlight w:val="none"/>
          <w:lang w:eastAsia="zh-CN"/>
        </w:rPr>
      </w:pPr>
      <w:bookmarkStart w:id="167" w:name="_Toc20326"/>
      <w:r>
        <w:rPr>
          <w:rStyle w:val="29"/>
          <w:rFonts w:hint="eastAsia"/>
          <w:b/>
          <w:bCs/>
          <w:color w:val="auto"/>
          <w:sz w:val="28"/>
          <w:szCs w:val="28"/>
          <w:highlight w:val="none"/>
        </w:rPr>
        <w:t>格式</w:t>
      </w:r>
      <w:bookmarkEnd w:id="167"/>
      <w:r>
        <w:rPr>
          <w:rStyle w:val="29"/>
          <w:rFonts w:hint="eastAsia"/>
          <w:b/>
          <w:bCs/>
          <w:color w:val="auto"/>
          <w:sz w:val="28"/>
          <w:szCs w:val="28"/>
          <w:highlight w:val="none"/>
          <w:lang w:val="en-US" w:eastAsia="zh-CN"/>
        </w:rPr>
        <w:t>四</w:t>
      </w:r>
    </w:p>
    <w:p>
      <w:pPr>
        <w:pStyle w:val="4"/>
        <w:jc w:val="center"/>
        <w:rPr>
          <w:color w:val="auto"/>
          <w:highlight w:val="none"/>
        </w:rPr>
      </w:pPr>
      <w:bookmarkStart w:id="168" w:name="_Toc16965"/>
      <w:r>
        <w:rPr>
          <w:rFonts w:hint="eastAsia"/>
          <w:color w:val="auto"/>
          <w:highlight w:val="none"/>
        </w:rPr>
        <w:t>法定代表人身份证明书</w:t>
      </w:r>
      <w:bookmarkEnd w:id="138"/>
      <w:bookmarkEnd w:id="139"/>
      <w:bookmarkEnd w:id="140"/>
      <w:bookmarkEnd w:id="163"/>
      <w:bookmarkEnd w:id="164"/>
      <w:bookmarkEnd w:id="165"/>
      <w:bookmarkEnd w:id="168"/>
    </w:p>
    <w:p>
      <w:pPr>
        <w:autoSpaceDE w:val="0"/>
        <w:autoSpaceDN w:val="0"/>
        <w:adjustRightInd w:val="0"/>
        <w:spacing w:line="480" w:lineRule="auto"/>
        <w:ind w:firstLine="612"/>
        <w:rPr>
          <w:rFonts w:hint="default" w:ascii="宋体" w:eastAsia="宋体" w:cs="宋体"/>
          <w:color w:val="auto"/>
          <w:sz w:val="24"/>
          <w:szCs w:val="24"/>
          <w:highlight w:val="none"/>
          <w:u w:val="single"/>
          <w:lang w:val="en-US" w:eastAsia="zh-CN"/>
        </w:rPr>
      </w:pPr>
      <w:r>
        <w:rPr>
          <w:rFonts w:hint="eastAsia" w:ascii="宋体" w:cs="宋体"/>
          <w:color w:val="auto"/>
          <w:sz w:val="24"/>
          <w:szCs w:val="24"/>
          <w:highlight w:val="none"/>
          <w:lang w:val="zh-CN"/>
        </w:rPr>
        <w:t>单位名称：</w:t>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p>
    <w:p>
      <w:pPr>
        <w:autoSpaceDE w:val="0"/>
        <w:autoSpaceDN w:val="0"/>
        <w:adjustRightInd w:val="0"/>
        <w:spacing w:line="480" w:lineRule="auto"/>
        <w:ind w:firstLine="610"/>
        <w:rPr>
          <w:rFonts w:ascii="宋体" w:cs="宋体"/>
          <w:color w:val="auto"/>
          <w:sz w:val="24"/>
          <w:szCs w:val="24"/>
          <w:highlight w:val="none"/>
          <w:u w:val="single"/>
          <w:lang w:val="zh-CN"/>
        </w:rPr>
      </w:pPr>
      <w:r>
        <w:rPr>
          <w:rFonts w:hint="eastAsia" w:ascii="宋体" w:cs="宋体"/>
          <w:color w:val="auto"/>
          <w:sz w:val="24"/>
          <w:szCs w:val="24"/>
          <w:highlight w:val="none"/>
          <w:lang w:val="zh-CN"/>
        </w:rPr>
        <w:t>单位性质：</w:t>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p>
    <w:p>
      <w:pPr>
        <w:autoSpaceDE w:val="0"/>
        <w:autoSpaceDN w:val="0"/>
        <w:adjustRightInd w:val="0"/>
        <w:spacing w:line="480" w:lineRule="auto"/>
        <w:ind w:firstLine="61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p>
    <w:p>
      <w:pPr>
        <w:autoSpaceDE w:val="0"/>
        <w:autoSpaceDN w:val="0"/>
        <w:adjustRightInd w:val="0"/>
        <w:spacing w:line="480" w:lineRule="auto"/>
        <w:ind w:firstLine="610"/>
        <w:rPr>
          <w:rFonts w:ascii="宋体" w:cs="宋体"/>
          <w:color w:val="auto"/>
          <w:sz w:val="24"/>
          <w:szCs w:val="24"/>
          <w:highlight w:val="none"/>
          <w:lang w:val="zh-CN"/>
        </w:rPr>
      </w:pPr>
      <w:r>
        <w:rPr>
          <w:rFonts w:hint="eastAsia" w:ascii="宋体" w:cs="宋体"/>
          <w:color w:val="auto"/>
          <w:sz w:val="24"/>
          <w:szCs w:val="24"/>
          <w:highlight w:val="none"/>
          <w:lang w:val="zh-CN"/>
        </w:rPr>
        <w:t>成立时间：</w:t>
      </w:r>
      <w:r>
        <w:rPr>
          <w:rFonts w:hint="eastAsia" w:ascii="宋体" w:cs="宋体"/>
          <w:color w:val="auto"/>
          <w:sz w:val="24"/>
          <w:szCs w:val="24"/>
          <w:highlight w:val="none"/>
          <w:u w:val="single"/>
          <w:lang w:val="zh-CN"/>
        </w:rPr>
        <w:t>年月日</w:t>
      </w:r>
    </w:p>
    <w:p>
      <w:pPr>
        <w:autoSpaceDE w:val="0"/>
        <w:autoSpaceDN w:val="0"/>
        <w:adjustRightInd w:val="0"/>
        <w:spacing w:line="480" w:lineRule="auto"/>
        <w:ind w:firstLine="610"/>
        <w:rPr>
          <w:rFonts w:hint="default" w:ascii="宋体" w:eastAsia="宋体" w:cs="宋体"/>
          <w:color w:val="auto"/>
          <w:sz w:val="24"/>
          <w:szCs w:val="24"/>
          <w:highlight w:val="none"/>
          <w:u w:val="single"/>
          <w:lang w:val="en-US" w:eastAsia="zh-CN"/>
        </w:rPr>
      </w:pPr>
      <w:r>
        <w:rPr>
          <w:rFonts w:hint="eastAsia" w:ascii="宋体" w:cs="宋体"/>
          <w:color w:val="auto"/>
          <w:sz w:val="24"/>
          <w:szCs w:val="24"/>
          <w:highlight w:val="none"/>
          <w:lang w:val="zh-CN"/>
        </w:rPr>
        <w:t>经营期限：</w:t>
      </w:r>
      <w:r>
        <w:rPr>
          <w:rFonts w:ascii="宋体" w:cs="宋体"/>
          <w:color w:val="auto"/>
          <w:sz w:val="24"/>
          <w:szCs w:val="24"/>
          <w:highlight w:val="none"/>
          <w:u w:val="single"/>
          <w:lang w:val="zh-CN"/>
        </w:rPr>
        <w:tab/>
      </w:r>
      <w:r>
        <w:rPr>
          <w:rFonts w:ascii="宋体" w:cs="宋体"/>
          <w:color w:val="auto"/>
          <w:sz w:val="24"/>
          <w:szCs w:val="24"/>
          <w:highlight w:val="none"/>
          <w:u w:val="single"/>
          <w:lang w:val="zh-CN"/>
        </w:rPr>
        <w:tab/>
      </w:r>
    </w:p>
    <w:p>
      <w:pPr>
        <w:autoSpaceDE w:val="0"/>
        <w:autoSpaceDN w:val="0"/>
        <w:adjustRightInd w:val="0"/>
        <w:spacing w:line="480" w:lineRule="auto"/>
        <w:ind w:firstLine="610"/>
        <w:rPr>
          <w:rFonts w:hint="default" w:ascii="宋体" w:eastAsia="宋体" w:cs="宋体"/>
          <w:color w:val="auto"/>
          <w:sz w:val="24"/>
          <w:szCs w:val="24"/>
          <w:highlight w:val="none"/>
          <w:u w:val="single"/>
          <w:lang w:val="en-US" w:eastAsia="zh-CN"/>
        </w:rPr>
      </w:pPr>
      <w:r>
        <w:rPr>
          <w:rFonts w:hint="eastAsia" w:ascii="宋体" w:cs="宋体"/>
          <w:color w:val="auto"/>
          <w:sz w:val="24"/>
          <w:szCs w:val="24"/>
          <w:highlight w:val="none"/>
          <w:lang w:val="zh-CN"/>
        </w:rPr>
        <w:t>姓名：性别：年龄：职务：</w:t>
      </w:r>
      <w:r>
        <w:rPr>
          <w:rFonts w:ascii="宋体" w:cs="宋体"/>
          <w:color w:val="auto"/>
          <w:sz w:val="24"/>
          <w:szCs w:val="24"/>
          <w:highlight w:val="none"/>
          <w:u w:val="single"/>
          <w:lang w:val="zh-CN"/>
        </w:rPr>
        <w:tab/>
      </w:r>
    </w:p>
    <w:p>
      <w:pPr>
        <w:autoSpaceDE w:val="0"/>
        <w:autoSpaceDN w:val="0"/>
        <w:adjustRightInd w:val="0"/>
        <w:spacing w:line="480" w:lineRule="auto"/>
        <w:ind w:firstLine="610"/>
        <w:rPr>
          <w:rFonts w:ascii="宋体" w:cs="宋体"/>
          <w:color w:val="auto"/>
          <w:sz w:val="24"/>
          <w:szCs w:val="24"/>
          <w:highlight w:val="none"/>
          <w:lang w:val="zh-CN"/>
        </w:rPr>
      </w:pPr>
      <w:r>
        <w:rPr>
          <w:rFonts w:hint="eastAsia" w:ascii="宋体" w:cs="宋体"/>
          <w:color w:val="auto"/>
          <w:sz w:val="24"/>
          <w:szCs w:val="24"/>
          <w:highlight w:val="none"/>
          <w:lang w:val="zh-CN"/>
        </w:rPr>
        <w:t>系我单位法定代表人。</w:t>
      </w:r>
    </w:p>
    <w:p>
      <w:pPr>
        <w:autoSpaceDE w:val="0"/>
        <w:autoSpaceDN w:val="0"/>
        <w:adjustRightInd w:val="0"/>
        <w:spacing w:line="480" w:lineRule="auto"/>
        <w:ind w:firstLine="610"/>
        <w:rPr>
          <w:rFonts w:ascii="宋体" w:cs="宋体"/>
          <w:color w:val="auto"/>
          <w:sz w:val="24"/>
          <w:szCs w:val="24"/>
          <w:highlight w:val="none"/>
          <w:lang w:val="zh-CN"/>
        </w:rPr>
      </w:pPr>
      <w:r>
        <w:rPr>
          <w:rFonts w:hint="eastAsia" w:ascii="宋体" w:cs="宋体"/>
          <w:color w:val="auto"/>
          <w:sz w:val="24"/>
          <w:szCs w:val="24"/>
          <w:highlight w:val="none"/>
          <w:lang w:val="zh-CN"/>
        </w:rPr>
        <w:t>特此证明。</w:t>
      </w:r>
    </w:p>
    <w:p>
      <w:pPr>
        <w:tabs>
          <w:tab w:val="left" w:pos="720"/>
          <w:tab w:val="left" w:pos="900"/>
        </w:tabs>
        <w:autoSpaceDE w:val="0"/>
        <w:autoSpaceDN w:val="0"/>
        <w:adjustRightInd w:val="0"/>
        <w:spacing w:line="360" w:lineRule="auto"/>
        <w:ind w:firstLine="600"/>
        <w:rPr>
          <w:rFonts w:ascii="宋体" w:cs="宋体"/>
          <w:color w:val="auto"/>
          <w:sz w:val="24"/>
          <w:szCs w:val="24"/>
          <w:highlight w:val="none"/>
          <w:lang w:val="zh-CN"/>
        </w:rPr>
      </w:pPr>
    </w:p>
    <w:p>
      <w:pPr>
        <w:tabs>
          <w:tab w:val="left" w:pos="720"/>
          <w:tab w:val="left" w:pos="900"/>
        </w:tabs>
        <w:autoSpaceDE w:val="0"/>
        <w:autoSpaceDN w:val="0"/>
        <w:adjustRightInd w:val="0"/>
        <w:spacing w:line="360" w:lineRule="auto"/>
        <w:ind w:firstLine="600"/>
        <w:rPr>
          <w:rFonts w:ascii="宋体" w:cs="宋体"/>
          <w:color w:val="auto"/>
          <w:sz w:val="24"/>
          <w:szCs w:val="24"/>
          <w:highlight w:val="none"/>
          <w:u w:val="single"/>
          <w:lang w:val="zh-CN"/>
        </w:rPr>
      </w:pPr>
      <w:r>
        <w:rPr>
          <w:rFonts w:hint="eastAsia" w:ascii="宋体" w:cs="宋体"/>
          <w:color w:val="auto"/>
          <w:sz w:val="24"/>
          <w:szCs w:val="24"/>
          <w:highlight w:val="none"/>
          <w:lang w:val="zh-CN"/>
        </w:rPr>
        <w:t>单位名称（盖章）：</w:t>
      </w:r>
    </w:p>
    <w:p>
      <w:pPr>
        <w:tabs>
          <w:tab w:val="left" w:pos="720"/>
          <w:tab w:val="left" w:pos="900"/>
        </w:tabs>
        <w:autoSpaceDE w:val="0"/>
        <w:autoSpaceDN w:val="0"/>
        <w:adjustRightInd w:val="0"/>
        <w:spacing w:line="360" w:lineRule="auto"/>
        <w:ind w:firstLine="480" w:firstLineChars="200"/>
        <w:rPr>
          <w:rFonts w:ascii="宋体" w:cs="宋体"/>
          <w:color w:val="auto"/>
          <w:sz w:val="24"/>
          <w:szCs w:val="24"/>
          <w:highlight w:val="none"/>
          <w:lang w:val="zh-CN"/>
        </w:rPr>
      </w:pPr>
    </w:p>
    <w:p>
      <w:pPr>
        <w:tabs>
          <w:tab w:val="left" w:pos="720"/>
          <w:tab w:val="left" w:pos="900"/>
        </w:tabs>
        <w:autoSpaceDE w:val="0"/>
        <w:autoSpaceDN w:val="0"/>
        <w:adjustRightInd w:val="0"/>
        <w:spacing w:line="360" w:lineRule="auto"/>
        <w:ind w:left="0" w:leftChars="0" w:firstLine="600" w:firstLineChars="250"/>
        <w:rPr>
          <w:rFonts w:ascii="宋体" w:cs="宋体"/>
          <w:color w:val="auto"/>
          <w:sz w:val="24"/>
          <w:szCs w:val="24"/>
          <w:highlight w:val="none"/>
          <w:lang w:val="zh-CN"/>
        </w:rPr>
      </w:pPr>
      <w:r>
        <w:rPr>
          <w:rFonts w:hint="eastAsia" w:ascii="宋体" w:cs="宋体"/>
          <w:color w:val="auto"/>
          <w:sz w:val="24"/>
          <w:szCs w:val="24"/>
          <w:highlight w:val="none"/>
          <w:lang w:val="zh-CN"/>
        </w:rPr>
        <w:t>日期：年月日</w:t>
      </w:r>
    </w:p>
    <w:p>
      <w:pPr>
        <w:pStyle w:val="33"/>
        <w:ind w:left="360" w:firstLine="0" w:firstLineChars="0"/>
        <w:jc w:val="center"/>
        <w:rPr>
          <w:rFonts w:ascii="宋体"/>
          <w:color w:val="auto"/>
          <w:sz w:val="24"/>
          <w:szCs w:val="24"/>
          <w:highlight w:val="none"/>
        </w:rPr>
      </w:pPr>
    </w:p>
    <w:p>
      <w:pPr>
        <w:pStyle w:val="33"/>
        <w:ind w:left="360" w:firstLine="0" w:firstLineChars="0"/>
        <w:jc w:val="both"/>
        <w:rPr>
          <w:rFonts w:ascii="宋体"/>
          <w:color w:val="auto"/>
          <w:sz w:val="24"/>
          <w:szCs w:val="24"/>
          <w:highlight w:val="none"/>
        </w:rPr>
      </w:pPr>
      <w:bookmarkStart w:id="169" w:name="_Toc11162_WPSOffice_Level2"/>
      <w:r>
        <w:rPr>
          <w:rFonts w:hint="eastAsia" w:ascii="宋体"/>
          <w:color w:val="auto"/>
          <w:sz w:val="24"/>
          <w:szCs w:val="24"/>
          <w:highlight w:val="none"/>
        </w:rPr>
        <w:t>附法定代表人身份证</w:t>
      </w:r>
      <w:bookmarkEnd w:id="169"/>
      <w:r>
        <w:rPr>
          <w:rFonts w:hint="eastAsia" w:ascii="宋体"/>
          <w:color w:val="auto"/>
          <w:sz w:val="24"/>
          <w:szCs w:val="24"/>
          <w:highlight w:val="none"/>
        </w:rPr>
        <w:t>复印件</w:t>
      </w:r>
    </w:p>
    <w:p>
      <w:pPr>
        <w:pStyle w:val="33"/>
        <w:ind w:left="360" w:firstLine="0" w:firstLineChars="0"/>
        <w:jc w:val="center"/>
        <w:rPr>
          <w:rFonts w:ascii="宋体"/>
          <w:color w:val="auto"/>
          <w:sz w:val="28"/>
          <w:szCs w:val="28"/>
          <w:highlight w:val="none"/>
        </w:rPr>
      </w:pPr>
      <w:r>
        <w:rPr>
          <w:rFonts w:ascii="宋体"/>
          <w:color w:val="auto"/>
          <w:sz w:val="24"/>
          <w:szCs w:val="24"/>
          <w:highlight w:val="none"/>
        </w:rPr>
        <w:br w:type="page"/>
      </w:r>
    </w:p>
    <w:p>
      <w:pPr>
        <w:pStyle w:val="4"/>
        <w:rPr>
          <w:rFonts w:hint="eastAsia" w:eastAsia="宋体"/>
          <w:color w:val="auto"/>
          <w:highlight w:val="none"/>
          <w:lang w:eastAsia="zh-CN"/>
        </w:rPr>
      </w:pPr>
      <w:bookmarkStart w:id="170" w:name="_Toc2481"/>
      <w:bookmarkStart w:id="171" w:name="_Toc30354"/>
      <w:bookmarkStart w:id="172" w:name="_Toc484699853"/>
      <w:bookmarkStart w:id="173" w:name="_Toc512354291"/>
      <w:bookmarkStart w:id="174" w:name="_Toc382509465"/>
      <w:bookmarkStart w:id="175" w:name="_Toc10122279"/>
      <w:bookmarkStart w:id="176" w:name="_Toc10184888"/>
      <w:r>
        <w:rPr>
          <w:rStyle w:val="29"/>
          <w:rFonts w:hint="eastAsia"/>
          <w:b/>
          <w:bCs/>
          <w:color w:val="auto"/>
          <w:sz w:val="28"/>
          <w:szCs w:val="28"/>
          <w:highlight w:val="none"/>
        </w:rPr>
        <w:t>格式</w:t>
      </w:r>
      <w:bookmarkEnd w:id="170"/>
      <w:r>
        <w:rPr>
          <w:rStyle w:val="29"/>
          <w:rFonts w:hint="eastAsia"/>
          <w:b/>
          <w:bCs/>
          <w:color w:val="auto"/>
          <w:sz w:val="28"/>
          <w:szCs w:val="28"/>
          <w:highlight w:val="none"/>
          <w:lang w:val="en-US" w:eastAsia="zh-CN"/>
        </w:rPr>
        <w:t>五</w:t>
      </w:r>
      <w:bookmarkStart w:id="177" w:name="_Toc12139"/>
    </w:p>
    <w:p>
      <w:pPr>
        <w:pStyle w:val="4"/>
        <w:jc w:val="center"/>
        <w:rPr>
          <w:rFonts w:ascii="宋体"/>
          <w:color w:val="auto"/>
          <w:sz w:val="24"/>
          <w:szCs w:val="24"/>
          <w:highlight w:val="none"/>
        </w:rPr>
      </w:pPr>
      <w:bookmarkStart w:id="178" w:name="_Toc12805"/>
      <w:r>
        <w:rPr>
          <w:rFonts w:hint="eastAsia"/>
          <w:color w:val="auto"/>
          <w:highlight w:val="none"/>
        </w:rPr>
        <w:t>法人单位授权书及法人授权委托</w:t>
      </w:r>
      <w:bookmarkEnd w:id="171"/>
      <w:bookmarkEnd w:id="172"/>
      <w:bookmarkEnd w:id="173"/>
      <w:bookmarkEnd w:id="174"/>
      <w:bookmarkEnd w:id="177"/>
      <w:r>
        <w:rPr>
          <w:rFonts w:hint="eastAsia"/>
          <w:color w:val="auto"/>
          <w:highlight w:val="none"/>
        </w:rPr>
        <w:t>书</w:t>
      </w:r>
      <w:bookmarkEnd w:id="175"/>
      <w:bookmarkEnd w:id="176"/>
      <w:bookmarkEnd w:id="178"/>
    </w:p>
    <w:p>
      <w:pPr>
        <w:keepNext w:val="0"/>
        <w:keepLines w:val="0"/>
        <w:pageBreakBefore w:val="0"/>
        <w:widowControl/>
        <w:kinsoku/>
        <w:wordWrap/>
        <w:overflowPunct/>
        <w:topLinePunct w:val="0"/>
        <w:bidi w:val="0"/>
        <w:snapToGrid/>
        <w:spacing w:line="420" w:lineRule="exact"/>
        <w:textAlignment w:val="auto"/>
        <w:rPr>
          <w:rFonts w:ascii="宋体"/>
          <w:b/>
          <w:color w:val="auto"/>
          <w:sz w:val="24"/>
          <w:szCs w:val="24"/>
          <w:highlight w:val="none"/>
          <w:u w:val="single"/>
        </w:rPr>
      </w:pPr>
      <w:r>
        <w:rPr>
          <w:rFonts w:hint="eastAsia" w:ascii="宋体" w:cs="宋体"/>
          <w:color w:val="auto"/>
          <w:sz w:val="24"/>
          <w:szCs w:val="24"/>
          <w:highlight w:val="none"/>
          <w:u w:val="single"/>
          <w:lang w:val="zh-CN"/>
        </w:rPr>
        <w:t>（采购人全称）</w:t>
      </w:r>
      <w:r>
        <w:rPr>
          <w:rFonts w:hint="eastAsia" w:ascii="宋体"/>
          <w:color w:val="auto"/>
          <w:sz w:val="24"/>
          <w:szCs w:val="24"/>
          <w:highlight w:val="none"/>
          <w:u w:val="single"/>
        </w:rPr>
        <w:t>：</w:t>
      </w:r>
    </w:p>
    <w:p>
      <w:pPr>
        <w:keepNext w:val="0"/>
        <w:keepLines w:val="0"/>
        <w:pageBreakBefore w:val="0"/>
        <w:widowControl/>
        <w:kinsoku/>
        <w:wordWrap/>
        <w:overflowPunct/>
        <w:topLinePunct w:val="0"/>
        <w:bidi w:val="0"/>
        <w:snapToGrid/>
        <w:spacing w:line="420" w:lineRule="exact"/>
        <w:ind w:firstLine="480" w:firstLineChars="200"/>
        <w:jc w:val="both"/>
        <w:textAlignment w:val="auto"/>
        <w:rPr>
          <w:rFonts w:ascii="宋体" w:cs="宋体"/>
          <w:color w:val="auto"/>
          <w:sz w:val="24"/>
          <w:szCs w:val="24"/>
          <w:highlight w:val="none"/>
          <w:lang w:val="zh-CN"/>
        </w:rPr>
      </w:pPr>
      <w:r>
        <w:rPr>
          <w:rFonts w:hint="eastAsia" w:ascii="宋体" w:cs="宋体"/>
          <w:color w:val="auto"/>
          <w:sz w:val="24"/>
          <w:szCs w:val="24"/>
          <w:highlight w:val="none"/>
          <w:u w:val="single"/>
          <w:lang w:val="zh-CN"/>
        </w:rPr>
        <w:t>（法定代表人姓名）</w:t>
      </w:r>
      <w:r>
        <w:rPr>
          <w:rFonts w:hint="eastAsia" w:ascii="宋体" w:cs="宋体"/>
          <w:color w:val="auto"/>
          <w:sz w:val="24"/>
          <w:szCs w:val="24"/>
          <w:highlight w:val="none"/>
          <w:lang w:val="zh-CN"/>
        </w:rPr>
        <w:t>系注册于</w:t>
      </w:r>
      <w:r>
        <w:rPr>
          <w:rFonts w:hint="eastAsia" w:ascii="宋体" w:cs="宋体"/>
          <w:color w:val="auto"/>
          <w:sz w:val="24"/>
          <w:szCs w:val="24"/>
          <w:highlight w:val="none"/>
          <w:u w:val="single"/>
          <w:lang w:val="zh-CN"/>
        </w:rPr>
        <w:t>（公司地址）</w:t>
      </w:r>
      <w:r>
        <w:rPr>
          <w:rFonts w:hint="eastAsia" w:ascii="宋体" w:cs="宋体"/>
          <w:color w:val="auto"/>
          <w:sz w:val="24"/>
          <w:szCs w:val="24"/>
          <w:highlight w:val="none"/>
          <w:lang w:val="zh-CN"/>
        </w:rPr>
        <w:t>的</w:t>
      </w:r>
      <w:r>
        <w:rPr>
          <w:rFonts w:hint="eastAsia" w:ascii="宋体" w:cs="宋体"/>
          <w:color w:val="auto"/>
          <w:sz w:val="24"/>
          <w:szCs w:val="24"/>
          <w:highlight w:val="none"/>
          <w:u w:val="single"/>
          <w:lang w:val="zh-CN"/>
        </w:rPr>
        <w:t>（公司名称）</w:t>
      </w:r>
      <w:r>
        <w:rPr>
          <w:rFonts w:hint="eastAsia" w:ascii="宋体" w:cs="宋体"/>
          <w:color w:val="auto"/>
          <w:sz w:val="24"/>
          <w:szCs w:val="24"/>
          <w:highlight w:val="none"/>
          <w:lang w:val="zh-CN"/>
        </w:rPr>
        <w:t>的法定代表人，现代表公司授权</w:t>
      </w:r>
      <w:r>
        <w:rPr>
          <w:rFonts w:hint="eastAsia" w:ascii="宋体" w:cs="宋体"/>
          <w:color w:val="auto"/>
          <w:sz w:val="24"/>
          <w:szCs w:val="24"/>
          <w:highlight w:val="none"/>
          <w:u w:val="single"/>
          <w:lang w:val="zh-CN"/>
        </w:rPr>
        <w:t>（被授权人姓名，身份证号码，</w:t>
      </w:r>
      <w:r>
        <w:rPr>
          <w:rFonts w:hint="eastAsia" w:ascii="宋体" w:cs="宋体"/>
          <w:color w:val="auto"/>
          <w:sz w:val="24"/>
          <w:szCs w:val="24"/>
          <w:highlight w:val="none"/>
          <w:u w:val="single"/>
          <w:lang w:val="en-US" w:eastAsia="zh-CN"/>
        </w:rPr>
        <w:t>联系电话</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为我公司合法代理人，代表本公司参加</w:t>
      </w:r>
      <w:r>
        <w:rPr>
          <w:rFonts w:hint="eastAsia" w:ascii="宋体" w:cs="宋体"/>
          <w:color w:val="auto"/>
          <w:sz w:val="24"/>
          <w:szCs w:val="24"/>
          <w:highlight w:val="none"/>
          <w:u w:val="single"/>
          <w:lang w:val="zh-CN"/>
        </w:rPr>
        <w:t>（项目名称）</w:t>
      </w:r>
      <w:r>
        <w:rPr>
          <w:rFonts w:hint="eastAsia" w:ascii="宋体" w:cs="宋体"/>
          <w:color w:val="auto"/>
          <w:sz w:val="24"/>
          <w:szCs w:val="24"/>
          <w:highlight w:val="none"/>
          <w:lang w:val="zh-CN"/>
        </w:rPr>
        <w:t>报价、谈判、签约、履约等具体工作，并签署全部有关的文件、协议及合同。</w:t>
      </w:r>
    </w:p>
    <w:p>
      <w:pPr>
        <w:keepNext w:val="0"/>
        <w:keepLines w:val="0"/>
        <w:pageBreakBefore w:val="0"/>
        <w:widowControl/>
        <w:kinsoku/>
        <w:wordWrap/>
        <w:overflowPunct/>
        <w:topLinePunct w:val="0"/>
        <w:autoSpaceDE w:val="0"/>
        <w:autoSpaceDN w:val="0"/>
        <w:bidi w:val="0"/>
        <w:adjustRightInd w:val="0"/>
        <w:snapToGrid/>
        <w:spacing w:line="420" w:lineRule="exact"/>
        <w:ind w:firstLine="480" w:firstLineChars="200"/>
        <w:jc w:val="both"/>
        <w:textAlignment w:val="auto"/>
        <w:rPr>
          <w:rFonts w:ascii="宋体" w:cs="宋体"/>
          <w:color w:val="auto"/>
          <w:sz w:val="24"/>
          <w:szCs w:val="24"/>
          <w:highlight w:val="none"/>
          <w:lang w:val="zh-CN"/>
        </w:rPr>
      </w:pPr>
      <w:r>
        <w:rPr>
          <w:rFonts w:hint="eastAsia" w:ascii="宋体" w:cs="宋体"/>
          <w:color w:val="auto"/>
          <w:sz w:val="24"/>
          <w:szCs w:val="24"/>
          <w:highlight w:val="none"/>
          <w:lang w:val="zh-CN"/>
        </w:rPr>
        <w:t>我公司对被授权人的签名负全部责任。</w:t>
      </w:r>
    </w:p>
    <w:p>
      <w:pPr>
        <w:keepNext w:val="0"/>
        <w:keepLines w:val="0"/>
        <w:pageBreakBefore w:val="0"/>
        <w:widowControl/>
        <w:kinsoku/>
        <w:wordWrap/>
        <w:overflowPunct/>
        <w:topLinePunct w:val="0"/>
        <w:autoSpaceDE w:val="0"/>
        <w:autoSpaceDN w:val="0"/>
        <w:bidi w:val="0"/>
        <w:adjustRightInd w:val="0"/>
        <w:snapToGrid/>
        <w:spacing w:line="420" w:lineRule="exact"/>
        <w:ind w:firstLine="480" w:firstLineChars="200"/>
        <w:jc w:val="both"/>
        <w:textAlignment w:val="auto"/>
        <w:rPr>
          <w:rFonts w:ascii="宋体" w:cs="宋体"/>
          <w:color w:val="auto"/>
          <w:sz w:val="24"/>
          <w:szCs w:val="24"/>
          <w:highlight w:val="none"/>
          <w:lang w:val="zh-CN"/>
        </w:rPr>
      </w:pPr>
      <w:r>
        <w:rPr>
          <w:rFonts w:hint="eastAsia" w:ascii="宋体" w:cs="宋体"/>
          <w:color w:val="auto"/>
          <w:sz w:val="24"/>
          <w:szCs w:val="24"/>
          <w:highlight w:val="none"/>
          <w:lang w:val="zh-CN"/>
        </w:rPr>
        <w:t>本授权书于年月日签字生效，被授权人签署的所有文件不因授权的撤销而失效。</w:t>
      </w:r>
    </w:p>
    <w:p>
      <w:pPr>
        <w:keepNext w:val="0"/>
        <w:keepLines w:val="0"/>
        <w:pageBreakBefore w:val="0"/>
        <w:widowControl/>
        <w:kinsoku/>
        <w:wordWrap/>
        <w:overflowPunct/>
        <w:topLinePunct w:val="0"/>
        <w:autoSpaceDE w:val="0"/>
        <w:autoSpaceDN w:val="0"/>
        <w:bidi w:val="0"/>
        <w:adjustRightInd w:val="0"/>
        <w:snapToGrid/>
        <w:spacing w:line="420" w:lineRule="exact"/>
        <w:ind w:firstLine="480" w:firstLineChars="200"/>
        <w:textAlignment w:val="auto"/>
        <w:rPr>
          <w:rFonts w:ascii="宋体" w:cs="宋体"/>
          <w:color w:val="auto"/>
          <w:sz w:val="24"/>
          <w:szCs w:val="24"/>
          <w:highlight w:val="none"/>
          <w:lang w:val="zh-CN"/>
        </w:rPr>
      </w:pPr>
    </w:p>
    <w:p>
      <w:pPr>
        <w:keepNext w:val="0"/>
        <w:keepLines w:val="0"/>
        <w:pageBreakBefore w:val="0"/>
        <w:widowControl/>
        <w:kinsoku/>
        <w:wordWrap/>
        <w:overflowPunct/>
        <w:topLinePunct w:val="0"/>
        <w:bidi w:val="0"/>
        <w:snapToGrid/>
        <w:spacing w:line="420" w:lineRule="exact"/>
        <w:ind w:firstLine="484" w:firstLineChars="202"/>
        <w:textAlignment w:val="auto"/>
        <w:rPr>
          <w:rFonts w:ascii="宋体"/>
          <w:color w:val="auto"/>
          <w:sz w:val="24"/>
          <w:szCs w:val="24"/>
          <w:highlight w:val="none"/>
        </w:rPr>
      </w:pPr>
      <w:r>
        <w:rPr>
          <w:rFonts w:hint="eastAsia" w:ascii="宋体"/>
          <w:color w:val="auto"/>
          <w:sz w:val="24"/>
          <w:szCs w:val="24"/>
          <w:highlight w:val="none"/>
        </w:rPr>
        <w:t>公司名称（公章）：</w:t>
      </w:r>
    </w:p>
    <w:p>
      <w:pPr>
        <w:keepNext w:val="0"/>
        <w:keepLines w:val="0"/>
        <w:pageBreakBefore w:val="0"/>
        <w:widowControl/>
        <w:kinsoku/>
        <w:wordWrap/>
        <w:overflowPunct/>
        <w:topLinePunct w:val="0"/>
        <w:autoSpaceDE w:val="0"/>
        <w:autoSpaceDN w:val="0"/>
        <w:bidi w:val="0"/>
        <w:adjustRightInd w:val="0"/>
        <w:snapToGrid/>
        <w:spacing w:line="420" w:lineRule="exact"/>
        <w:ind w:firstLine="484" w:firstLineChars="202"/>
        <w:textAlignment w:val="auto"/>
        <w:rPr>
          <w:rFonts w:ascii="宋体" w:cs="宋体"/>
          <w:color w:val="auto"/>
          <w:sz w:val="24"/>
          <w:szCs w:val="24"/>
          <w:highlight w:val="none"/>
          <w:u w:val="single"/>
          <w:lang w:val="zh-CN"/>
        </w:rPr>
      </w:pPr>
      <w:r>
        <w:rPr>
          <w:rFonts w:hint="eastAsia" w:ascii="宋体" w:cs="宋体"/>
          <w:color w:val="auto"/>
          <w:sz w:val="24"/>
          <w:szCs w:val="24"/>
          <w:highlight w:val="none"/>
          <w:lang w:val="zh-CN"/>
        </w:rPr>
        <w:t>授权人（签字</w:t>
      </w:r>
      <w:r>
        <w:rPr>
          <w:rFonts w:hint="eastAsia" w:ascii="宋体" w:cs="宋体"/>
          <w:color w:val="auto"/>
          <w:sz w:val="24"/>
          <w:szCs w:val="24"/>
          <w:highlight w:val="none"/>
          <w:lang w:val="en-US" w:eastAsia="zh-CN"/>
        </w:rPr>
        <w:t>或印鉴</w:t>
      </w:r>
      <w:r>
        <w:rPr>
          <w:rFonts w:hint="eastAsia" w:ascii="宋体" w:cs="宋体"/>
          <w:color w:val="auto"/>
          <w:sz w:val="24"/>
          <w:szCs w:val="24"/>
          <w:highlight w:val="none"/>
          <w:lang w:val="zh-CN"/>
        </w:rPr>
        <w:t>）：</w:t>
      </w:r>
    </w:p>
    <w:p>
      <w:pPr>
        <w:keepNext w:val="0"/>
        <w:keepLines w:val="0"/>
        <w:pageBreakBefore w:val="0"/>
        <w:widowControl/>
        <w:kinsoku/>
        <w:wordWrap/>
        <w:overflowPunct/>
        <w:topLinePunct w:val="0"/>
        <w:bidi w:val="0"/>
        <w:snapToGrid/>
        <w:spacing w:line="420" w:lineRule="exact"/>
        <w:ind w:firstLine="484" w:firstLineChars="202"/>
        <w:textAlignment w:val="auto"/>
        <w:rPr>
          <w:rFonts w:ascii="宋体"/>
          <w:color w:val="auto"/>
          <w:sz w:val="24"/>
          <w:szCs w:val="24"/>
          <w:highlight w:val="none"/>
          <w:u w:val="single"/>
        </w:rPr>
      </w:pPr>
      <w:r>
        <w:rPr>
          <w:rFonts w:hint="eastAsia" w:ascii="宋体" w:cs="宋体"/>
          <w:color w:val="auto"/>
          <w:sz w:val="24"/>
          <w:szCs w:val="24"/>
          <w:highlight w:val="none"/>
          <w:lang w:val="en-US" w:eastAsia="zh-CN"/>
        </w:rPr>
        <w:t>授权代表</w:t>
      </w:r>
      <w:r>
        <w:rPr>
          <w:rFonts w:hint="eastAsia" w:ascii="宋体" w:cs="宋体"/>
          <w:color w:val="auto"/>
          <w:sz w:val="24"/>
          <w:szCs w:val="24"/>
          <w:highlight w:val="none"/>
          <w:lang w:val="zh-CN"/>
        </w:rPr>
        <w:t>（签字</w:t>
      </w:r>
      <w:r>
        <w:rPr>
          <w:rFonts w:hint="eastAsia" w:ascii="宋体" w:cs="宋体"/>
          <w:color w:val="auto"/>
          <w:sz w:val="24"/>
          <w:szCs w:val="24"/>
          <w:highlight w:val="none"/>
          <w:lang w:val="en-US" w:eastAsia="zh-CN"/>
        </w:rPr>
        <w:t>或印鉴</w:t>
      </w:r>
      <w:r>
        <w:rPr>
          <w:rFonts w:hint="eastAsia" w:ascii="宋体" w:cs="宋体"/>
          <w:color w:val="auto"/>
          <w:sz w:val="24"/>
          <w:szCs w:val="24"/>
          <w:highlight w:val="none"/>
          <w:lang w:val="zh-CN"/>
        </w:rPr>
        <w:t>）：</w:t>
      </w:r>
    </w:p>
    <w:p>
      <w:pPr>
        <w:keepNext w:val="0"/>
        <w:keepLines w:val="0"/>
        <w:pageBreakBefore w:val="0"/>
        <w:widowControl/>
        <w:kinsoku/>
        <w:wordWrap/>
        <w:overflowPunct/>
        <w:topLinePunct w:val="0"/>
        <w:bidi w:val="0"/>
        <w:snapToGrid/>
        <w:spacing w:line="420" w:lineRule="exact"/>
        <w:ind w:firstLine="484" w:firstLineChars="202"/>
        <w:textAlignment w:val="auto"/>
        <w:rPr>
          <w:rFonts w:ascii="宋体"/>
          <w:color w:val="auto"/>
          <w:sz w:val="24"/>
          <w:szCs w:val="24"/>
          <w:highlight w:val="none"/>
        </w:rPr>
      </w:pPr>
      <w:r>
        <w:rPr>
          <w:rFonts w:hint="eastAsia" w:ascii="宋体"/>
          <w:color w:val="auto"/>
          <w:sz w:val="24"/>
          <w:szCs w:val="24"/>
          <w:highlight w:val="none"/>
        </w:rPr>
        <w:t>日期：年月日</w:t>
      </w:r>
    </w:p>
    <w:p>
      <w:pPr>
        <w:tabs>
          <w:tab w:val="left" w:pos="720"/>
          <w:tab w:val="left" w:pos="900"/>
        </w:tabs>
        <w:autoSpaceDE w:val="0"/>
        <w:autoSpaceDN w:val="0"/>
        <w:adjustRightInd w:val="0"/>
        <w:spacing w:line="360" w:lineRule="auto"/>
        <w:rPr>
          <w:rFonts w:ascii="宋体" w:cs="宋体"/>
          <w:color w:val="auto"/>
          <w:sz w:val="24"/>
          <w:szCs w:val="24"/>
          <w:highlight w:val="none"/>
          <w:lang w:val="zh-CN"/>
        </w:rPr>
      </w:pPr>
    </w:p>
    <w:p>
      <w:pPr>
        <w:tabs>
          <w:tab w:val="left" w:pos="720"/>
          <w:tab w:val="left" w:pos="900"/>
        </w:tabs>
        <w:autoSpaceDE w:val="0"/>
        <w:autoSpaceDN w:val="0"/>
        <w:adjustRightInd w:val="0"/>
        <w:spacing w:line="360" w:lineRule="auto"/>
        <w:ind w:firstLine="480" w:firstLineChars="200"/>
        <w:jc w:val="left"/>
        <w:rPr>
          <w:rFonts w:hint="eastAsia" w:ascii="宋体"/>
          <w:color w:val="auto"/>
          <w:sz w:val="24"/>
          <w:szCs w:val="24"/>
          <w:highlight w:val="none"/>
        </w:rPr>
      </w:pPr>
      <w:bookmarkStart w:id="179" w:name="_Toc32416_WPSOffice_Level2"/>
      <w:r>
        <w:rPr>
          <w:rFonts w:hint="eastAsia" w:ascii="宋体" w:cs="宋体"/>
          <w:color w:val="auto"/>
          <w:sz w:val="24"/>
          <w:szCs w:val="24"/>
          <w:highlight w:val="none"/>
          <w:lang w:val="zh-CN"/>
        </w:rPr>
        <w:t>附</w:t>
      </w:r>
      <w:r>
        <w:rPr>
          <w:rFonts w:hint="eastAsia" w:ascii="宋体" w:cs="宋体"/>
          <w:color w:val="auto"/>
          <w:sz w:val="24"/>
          <w:szCs w:val="24"/>
          <w:highlight w:val="none"/>
          <w:lang w:val="en-US" w:eastAsia="zh-CN"/>
        </w:rPr>
        <w:t>授权代表</w:t>
      </w:r>
      <w:r>
        <w:rPr>
          <w:rFonts w:hint="eastAsia" w:ascii="宋体" w:cs="宋体"/>
          <w:color w:val="auto"/>
          <w:sz w:val="24"/>
          <w:szCs w:val="24"/>
          <w:highlight w:val="none"/>
          <w:lang w:val="zh-CN"/>
        </w:rPr>
        <w:t>姓名身份证</w:t>
      </w:r>
      <w:bookmarkEnd w:id="179"/>
      <w:r>
        <w:rPr>
          <w:rFonts w:hint="eastAsia" w:ascii="宋体"/>
          <w:color w:val="auto"/>
          <w:sz w:val="24"/>
          <w:szCs w:val="24"/>
          <w:highlight w:val="none"/>
        </w:rPr>
        <w:t>复印件</w:t>
      </w:r>
    </w:p>
    <w:p>
      <w:pPr>
        <w:pStyle w:val="5"/>
        <w:jc w:val="left"/>
        <w:rPr>
          <w:color w:val="auto"/>
          <w:highlight w:val="none"/>
          <w:lang w:val="zh-CN"/>
        </w:rPr>
      </w:pPr>
      <w:r>
        <w:rPr>
          <w:rFonts w:hint="eastAsia" w:ascii="宋体" w:hAnsi="宋体" w:eastAsia="宋体" w:cs="宋体"/>
          <w:b w:val="0"/>
          <w:color w:val="auto"/>
          <w:sz w:val="24"/>
          <w:szCs w:val="24"/>
          <w:highlight w:val="none"/>
        </w:rPr>
        <w:t>供应商法人授权代表需提供本人在供应商单位近半年社保证明文件</w:t>
      </w:r>
    </w:p>
    <w:p>
      <w:pPr>
        <w:tabs>
          <w:tab w:val="left" w:pos="720"/>
          <w:tab w:val="left" w:pos="900"/>
        </w:tabs>
        <w:autoSpaceDE w:val="0"/>
        <w:autoSpaceDN w:val="0"/>
        <w:adjustRightInd w:val="0"/>
        <w:spacing w:line="360" w:lineRule="auto"/>
        <w:ind w:firstLine="480" w:firstLineChars="200"/>
        <w:rPr>
          <w:rFonts w:ascii="宋体" w:cs="宋体"/>
          <w:color w:val="auto"/>
          <w:sz w:val="24"/>
          <w:szCs w:val="24"/>
          <w:highlight w:val="none"/>
          <w:lang w:val="zh-CN"/>
        </w:rPr>
      </w:pPr>
    </w:p>
    <w:p>
      <w:pPr>
        <w:widowControl w:val="0"/>
        <w:tabs>
          <w:tab w:val="left" w:pos="360"/>
          <w:tab w:val="left" w:pos="720"/>
          <w:tab w:val="left" w:pos="3060"/>
        </w:tabs>
        <w:spacing w:line="400" w:lineRule="exact"/>
        <w:jc w:val="both"/>
        <w:rPr>
          <w:rFonts w:ascii="宋体"/>
          <w:b/>
          <w:color w:val="auto"/>
          <w:kern w:val="2"/>
          <w:sz w:val="24"/>
          <w:szCs w:val="24"/>
          <w:highlight w:val="none"/>
        </w:rPr>
      </w:pPr>
      <w:r>
        <w:rPr>
          <w:rFonts w:ascii="宋体"/>
          <w:b/>
          <w:color w:val="auto"/>
          <w:kern w:val="2"/>
          <w:sz w:val="24"/>
          <w:szCs w:val="24"/>
          <w:highlight w:val="none"/>
        </w:rPr>
        <w:br w:type="page"/>
      </w:r>
      <w:bookmarkStart w:id="180" w:name="_Toc382509467"/>
    </w:p>
    <w:bookmarkEnd w:id="180"/>
    <w:p>
      <w:pPr>
        <w:pStyle w:val="4"/>
        <w:rPr>
          <w:rFonts w:hint="eastAsia" w:eastAsia="宋体"/>
          <w:color w:val="auto"/>
          <w:highlight w:val="none"/>
          <w:shd w:val="clear" w:color="FFFFFF" w:fill="D9D9D9"/>
          <w:lang w:eastAsia="zh-CN"/>
        </w:rPr>
      </w:pPr>
      <w:bookmarkStart w:id="181" w:name="_Toc24879"/>
      <w:bookmarkStart w:id="182" w:name="_Toc512354294"/>
      <w:bookmarkStart w:id="183" w:name="_Toc382509469"/>
      <w:bookmarkStart w:id="184" w:name="_Toc484699856"/>
      <w:bookmarkStart w:id="185" w:name="_Toc10122280"/>
      <w:bookmarkStart w:id="186" w:name="_Toc10471"/>
      <w:bookmarkStart w:id="187" w:name="_Toc10184889"/>
      <w:r>
        <w:rPr>
          <w:rStyle w:val="29"/>
          <w:rFonts w:hint="eastAsia"/>
          <w:b/>
          <w:bCs/>
          <w:color w:val="auto"/>
          <w:sz w:val="28"/>
          <w:szCs w:val="28"/>
          <w:highlight w:val="none"/>
        </w:rPr>
        <w:t>格式</w:t>
      </w:r>
      <w:bookmarkEnd w:id="181"/>
      <w:r>
        <w:rPr>
          <w:rStyle w:val="29"/>
          <w:rFonts w:hint="eastAsia"/>
          <w:b/>
          <w:bCs/>
          <w:color w:val="auto"/>
          <w:sz w:val="28"/>
          <w:szCs w:val="28"/>
          <w:highlight w:val="none"/>
          <w:lang w:val="en-US" w:eastAsia="zh-CN"/>
        </w:rPr>
        <w:t>六</w:t>
      </w:r>
      <w:bookmarkEnd w:id="182"/>
      <w:bookmarkEnd w:id="183"/>
      <w:bookmarkEnd w:id="184"/>
    </w:p>
    <w:p>
      <w:pPr>
        <w:pStyle w:val="5"/>
        <w:ind w:left="0" w:leftChars="0" w:firstLine="0" w:firstLineChars="0"/>
        <w:jc w:val="center"/>
        <w:rPr>
          <w:rFonts w:hint="eastAsia"/>
          <w:b w:val="0"/>
          <w:bCs w:val="0"/>
          <w:color w:val="auto"/>
          <w:sz w:val="24"/>
          <w:szCs w:val="24"/>
          <w:highlight w:val="none"/>
          <w:lang w:val="en-US" w:eastAsia="zh-CN"/>
        </w:rPr>
      </w:pPr>
      <w:bookmarkStart w:id="188" w:name="_Toc29945"/>
      <w:r>
        <w:rPr>
          <w:rFonts w:hint="eastAsia" w:ascii="Cambria" w:hAnsi="Cambria" w:eastAsia="宋体" w:cs="Times New Roman"/>
          <w:b/>
          <w:bCs/>
          <w:color w:val="auto"/>
          <w:sz w:val="32"/>
          <w:szCs w:val="32"/>
          <w:highlight w:val="none"/>
          <w:lang w:val="en-US" w:eastAsia="zh-CN" w:bidi="ar-SA"/>
        </w:rPr>
        <w:t>供应商资格证明文件</w:t>
      </w:r>
      <w:bookmarkEnd w:id="185"/>
      <w:bookmarkEnd w:id="186"/>
      <w:bookmarkEnd w:id="187"/>
      <w:bookmarkEnd w:id="188"/>
      <w:bookmarkStart w:id="189" w:name="_Toc10184890"/>
      <w:bookmarkStart w:id="190" w:name="_Toc512354298"/>
      <w:bookmarkStart w:id="191" w:name="_Toc484699860"/>
      <w:bookmarkStart w:id="192" w:name="_Toc27559"/>
      <w:bookmarkStart w:id="193" w:name="_Toc10122281"/>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b w:val="0"/>
          <w:bCs w:val="0"/>
          <w:color w:val="auto"/>
          <w:sz w:val="24"/>
          <w:szCs w:val="24"/>
          <w:highlight w:val="none"/>
          <w:lang w:eastAsia="zh-CN"/>
        </w:rPr>
      </w:pPr>
    </w:p>
    <w:p>
      <w:pPr>
        <w:pStyle w:val="4"/>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auto"/>
          <w:kern w:val="2"/>
          <w:sz w:val="28"/>
          <w:szCs w:val="28"/>
          <w:highlight w:val="none"/>
        </w:rPr>
      </w:pPr>
      <w:r>
        <w:rPr>
          <w:rFonts w:hint="eastAsia" w:asciiTheme="minorEastAsia" w:hAnsiTheme="minorEastAsia" w:eastAsiaTheme="minorEastAsia" w:cstheme="minorEastAsia"/>
          <w:b w:val="0"/>
          <w:bCs w:val="0"/>
          <w:color w:val="auto"/>
          <w:kern w:val="2"/>
          <w:sz w:val="28"/>
          <w:szCs w:val="28"/>
          <w:highlight w:val="none"/>
        </w:rPr>
        <w:t>（1）投标人必须是在中华人民共和国境内注册并合法运作的法人或其他组织，具有良好的商业信誉和健全的财务会计制度。</w:t>
      </w:r>
    </w:p>
    <w:p>
      <w:pPr>
        <w:pStyle w:val="4"/>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auto"/>
          <w:kern w:val="2"/>
          <w:sz w:val="28"/>
          <w:szCs w:val="28"/>
          <w:highlight w:val="none"/>
        </w:rPr>
      </w:pPr>
      <w:r>
        <w:rPr>
          <w:rFonts w:hint="eastAsia" w:asciiTheme="minorEastAsia" w:hAnsiTheme="minorEastAsia" w:eastAsiaTheme="minorEastAsia" w:cstheme="minorEastAsia"/>
          <w:b w:val="0"/>
          <w:bCs w:val="0"/>
          <w:color w:val="auto"/>
          <w:kern w:val="2"/>
          <w:sz w:val="28"/>
          <w:szCs w:val="28"/>
          <w:highlight w:val="none"/>
        </w:rPr>
        <w:t>（2）投标人经营范围须涵盖家具销售服务，有依法缴纳税收和社会保障资金的良好记录，具备开具增值税专用发票的能力。</w:t>
      </w:r>
    </w:p>
    <w:p>
      <w:pPr>
        <w:pStyle w:val="4"/>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auto"/>
          <w:kern w:val="2"/>
          <w:sz w:val="28"/>
          <w:szCs w:val="28"/>
          <w:highlight w:val="none"/>
        </w:rPr>
      </w:pPr>
      <w:r>
        <w:rPr>
          <w:rFonts w:hint="eastAsia" w:asciiTheme="minorEastAsia" w:hAnsiTheme="minorEastAsia" w:eastAsiaTheme="minorEastAsia" w:cstheme="minorEastAsia"/>
          <w:b w:val="0"/>
          <w:bCs w:val="0"/>
          <w:color w:val="auto"/>
          <w:kern w:val="2"/>
          <w:sz w:val="28"/>
          <w:szCs w:val="28"/>
          <w:highlight w:val="none"/>
        </w:rPr>
        <w:t>（3）投标人须在报价附件中提供“信用中国”网站(www.creditchina.gov.cn)或国家企业信用信息公示系统（www.gsxt.gov.cn）查询投标人的信用记录截图,截图时间应当在本项目询价公告发布之日至提交询价文件截止时间。被列入经营异常名录、严重违法失信企业名单或重点关注名单、黑名单及其他不符合法律法规规定的投标人，拒绝其参与本次投标活动。</w:t>
      </w:r>
    </w:p>
    <w:p>
      <w:pPr>
        <w:pStyle w:val="4"/>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auto"/>
          <w:kern w:val="2"/>
          <w:sz w:val="28"/>
          <w:szCs w:val="28"/>
          <w:highlight w:val="none"/>
        </w:rPr>
      </w:pPr>
      <w:r>
        <w:rPr>
          <w:rFonts w:hint="eastAsia" w:asciiTheme="minorEastAsia" w:hAnsiTheme="minorEastAsia" w:eastAsiaTheme="minorEastAsia" w:cstheme="minorEastAsia"/>
          <w:b w:val="0"/>
          <w:bCs w:val="0"/>
          <w:color w:val="auto"/>
          <w:kern w:val="2"/>
          <w:sz w:val="28"/>
          <w:szCs w:val="28"/>
          <w:highlight w:val="none"/>
        </w:rPr>
        <w:t>（4）本项需为所投产品的生产制造商（生产厂家须提供制造商声明），不接受代理商投标。</w:t>
      </w:r>
    </w:p>
    <w:p>
      <w:pPr>
        <w:pStyle w:val="4"/>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eastAsia="宋体"/>
          <w:color w:val="auto"/>
          <w:highlight w:val="none"/>
          <w:lang w:eastAsia="zh-CN"/>
        </w:rPr>
      </w:pPr>
      <w:r>
        <w:rPr>
          <w:rFonts w:hint="eastAsia" w:asciiTheme="minorEastAsia" w:hAnsiTheme="minorEastAsia" w:eastAsiaTheme="minorEastAsia" w:cstheme="minorEastAsia"/>
          <w:b w:val="0"/>
          <w:bCs w:val="0"/>
          <w:color w:val="auto"/>
          <w:kern w:val="2"/>
          <w:sz w:val="28"/>
          <w:szCs w:val="28"/>
          <w:highlight w:val="none"/>
        </w:rPr>
        <w:t>（5）不接受联合体报价。</w:t>
      </w:r>
      <w:r>
        <w:rPr>
          <w:rFonts w:hint="eastAsia" w:asciiTheme="minorEastAsia" w:hAnsiTheme="minorEastAsia" w:eastAsiaTheme="minorEastAsia" w:cstheme="minorEastAsia"/>
          <w:b w:val="0"/>
          <w:bCs w:val="0"/>
          <w:color w:val="auto"/>
          <w:kern w:val="2"/>
          <w:sz w:val="28"/>
          <w:szCs w:val="28"/>
          <w:highlight w:val="none"/>
        </w:rPr>
        <w:br w:type="page"/>
      </w:r>
      <w:bookmarkStart w:id="194" w:name="_Toc2362"/>
      <w:r>
        <w:rPr>
          <w:rStyle w:val="29"/>
          <w:rFonts w:hint="eastAsia"/>
          <w:b/>
          <w:bCs/>
          <w:color w:val="auto"/>
          <w:sz w:val="28"/>
          <w:szCs w:val="28"/>
          <w:highlight w:val="none"/>
        </w:rPr>
        <w:t>格式</w:t>
      </w:r>
      <w:bookmarkEnd w:id="194"/>
      <w:r>
        <w:rPr>
          <w:rStyle w:val="29"/>
          <w:rFonts w:hint="eastAsia"/>
          <w:b/>
          <w:bCs/>
          <w:color w:val="auto"/>
          <w:sz w:val="28"/>
          <w:szCs w:val="28"/>
          <w:highlight w:val="none"/>
          <w:lang w:val="en-US" w:eastAsia="zh-CN"/>
        </w:rPr>
        <w:t>七</w:t>
      </w:r>
    </w:p>
    <w:p>
      <w:pPr>
        <w:pStyle w:val="4"/>
        <w:jc w:val="center"/>
        <w:rPr>
          <w:color w:val="auto"/>
          <w:highlight w:val="none"/>
        </w:rPr>
      </w:pPr>
      <w:bookmarkStart w:id="195" w:name="_Toc31910"/>
      <w:r>
        <w:rPr>
          <w:rFonts w:hint="eastAsia"/>
          <w:color w:val="auto"/>
          <w:highlight w:val="none"/>
        </w:rPr>
        <w:t>供应商</w:t>
      </w:r>
      <w:r>
        <w:rPr>
          <w:color w:val="auto"/>
          <w:highlight w:val="none"/>
        </w:rPr>
        <w:t>资料真实性承诺书</w:t>
      </w:r>
      <w:bookmarkEnd w:id="189"/>
      <w:bookmarkEnd w:id="190"/>
      <w:bookmarkEnd w:id="191"/>
      <w:bookmarkEnd w:id="192"/>
      <w:bookmarkEnd w:id="193"/>
      <w:bookmarkEnd w:id="195"/>
    </w:p>
    <w:p>
      <w:pPr>
        <w:rPr>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rPr>
        <w:t>（采购人全称）</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w:t>
      </w:r>
      <w:r>
        <w:rPr>
          <w:rFonts w:hint="eastAsia" w:asciiTheme="minorEastAsia" w:hAnsiTheme="minorEastAsia" w:eastAsiaTheme="minorEastAsia" w:cstheme="minorEastAsia"/>
          <w:color w:val="auto"/>
          <w:sz w:val="24"/>
          <w:szCs w:val="24"/>
          <w:highlight w:val="none"/>
          <w:u w:val="single"/>
        </w:rPr>
        <w:t>（单位全称）</w:t>
      </w:r>
      <w:r>
        <w:rPr>
          <w:rFonts w:hint="eastAsia" w:asciiTheme="minorEastAsia" w:hAnsiTheme="minorEastAsia" w:eastAsiaTheme="minorEastAsia" w:cstheme="minorEastAsia"/>
          <w:color w:val="auto"/>
          <w:sz w:val="24"/>
          <w:szCs w:val="24"/>
          <w:highlight w:val="none"/>
        </w:rPr>
        <w:t>郑重承诺：</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在项目采购中，提交的所有资料都是真实的、有效的。如有虚假、无效的资料，本单位愿意承担被取消报价、</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"http://www.lawtime.cn/info/zhaobiaotoubiao/zhongbiao/"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成交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资格等一切</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"http://www.lawtime.cn/info/zhian/cfcxjueding/"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后果</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highlight w:val="none"/>
        </w:rPr>
      </w:pPr>
    </w:p>
    <w:p>
      <w:pPr>
        <w:pStyle w:val="27"/>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320" w:firstLineChars="18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4320" w:firstLineChars="18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val="en-US" w:eastAsia="zh-CN"/>
        </w:rPr>
        <w:t>或印鉴</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320" w:firstLineChars="18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pPr>
        <w:widowControl w:val="0"/>
        <w:spacing w:line="400" w:lineRule="exact"/>
        <w:ind w:left="306"/>
        <w:jc w:val="both"/>
        <w:rPr>
          <w:rFonts w:ascii="宋体"/>
          <w:b/>
          <w:color w:val="auto"/>
          <w:sz w:val="24"/>
          <w:szCs w:val="24"/>
          <w:highlight w:val="none"/>
        </w:rPr>
      </w:pPr>
      <w:r>
        <w:rPr>
          <w:rFonts w:ascii="宋体"/>
          <w:color w:val="auto"/>
          <w:highlight w:val="none"/>
        </w:rPr>
        <w:br w:type="page"/>
      </w:r>
    </w:p>
    <w:p>
      <w:pPr>
        <w:widowControl w:val="0"/>
        <w:tabs>
          <w:tab w:val="left" w:pos="360"/>
          <w:tab w:val="left" w:pos="720"/>
          <w:tab w:val="left" w:pos="3060"/>
        </w:tabs>
        <w:spacing w:line="400" w:lineRule="exact"/>
        <w:outlineLvl w:val="1"/>
        <w:rPr>
          <w:rStyle w:val="29"/>
          <w:rFonts w:hint="eastAsia" w:eastAsia="宋体"/>
          <w:color w:val="auto"/>
          <w:highlight w:val="none"/>
          <w:lang w:eastAsia="zh-CN"/>
        </w:rPr>
      </w:pPr>
      <w:bookmarkStart w:id="196" w:name="_Toc13575"/>
      <w:bookmarkStart w:id="197" w:name="_Toc10184892"/>
      <w:bookmarkStart w:id="198" w:name="_Toc484699859"/>
      <w:bookmarkStart w:id="199" w:name="_Toc10122283"/>
      <w:bookmarkStart w:id="200" w:name="_Toc382509472"/>
      <w:bookmarkStart w:id="201" w:name="_Toc21204"/>
      <w:bookmarkStart w:id="202" w:name="_Toc512354297"/>
      <w:r>
        <w:rPr>
          <w:rStyle w:val="29"/>
          <w:rFonts w:hint="eastAsia"/>
          <w:color w:val="auto"/>
          <w:sz w:val="28"/>
          <w:szCs w:val="28"/>
          <w:highlight w:val="none"/>
        </w:rPr>
        <w:t>格式</w:t>
      </w:r>
      <w:bookmarkEnd w:id="196"/>
      <w:r>
        <w:rPr>
          <w:rStyle w:val="29"/>
          <w:rFonts w:hint="eastAsia"/>
          <w:color w:val="auto"/>
          <w:sz w:val="28"/>
          <w:szCs w:val="28"/>
          <w:highlight w:val="none"/>
          <w:lang w:val="en-US" w:eastAsia="zh-CN"/>
        </w:rPr>
        <w:t>八</w:t>
      </w:r>
    </w:p>
    <w:p>
      <w:pPr>
        <w:widowControl w:val="0"/>
        <w:tabs>
          <w:tab w:val="left" w:pos="360"/>
          <w:tab w:val="left" w:pos="720"/>
          <w:tab w:val="left" w:pos="3060"/>
        </w:tabs>
        <w:spacing w:line="400" w:lineRule="exact"/>
        <w:jc w:val="center"/>
        <w:outlineLvl w:val="1"/>
        <w:rPr>
          <w:rFonts w:ascii="宋体"/>
          <w:b/>
          <w:color w:val="auto"/>
          <w:kern w:val="2"/>
          <w:sz w:val="28"/>
          <w:szCs w:val="28"/>
          <w:highlight w:val="none"/>
        </w:rPr>
      </w:pPr>
      <w:bookmarkStart w:id="203" w:name="_Toc10859"/>
      <w:r>
        <w:rPr>
          <w:rStyle w:val="29"/>
          <w:rFonts w:hint="eastAsia"/>
          <w:color w:val="auto"/>
          <w:highlight w:val="none"/>
        </w:rPr>
        <w:t>技术部分</w:t>
      </w:r>
      <w:r>
        <w:rPr>
          <w:rStyle w:val="29"/>
          <w:color w:val="auto"/>
          <w:highlight w:val="none"/>
        </w:rPr>
        <w:t>/商务部分差异表</w:t>
      </w:r>
      <w:bookmarkEnd w:id="197"/>
      <w:bookmarkEnd w:id="198"/>
      <w:bookmarkEnd w:id="199"/>
      <w:bookmarkEnd w:id="200"/>
      <w:bookmarkEnd w:id="201"/>
      <w:bookmarkEnd w:id="202"/>
      <w:bookmarkEnd w:id="203"/>
    </w:p>
    <w:p>
      <w:pPr>
        <w:spacing w:line="300" w:lineRule="auto"/>
        <w:rPr>
          <w:rFonts w:ascii="宋体"/>
          <w:b/>
          <w:color w:val="auto"/>
          <w:sz w:val="24"/>
          <w:szCs w:val="24"/>
          <w:highlight w:val="none"/>
        </w:rPr>
      </w:pPr>
    </w:p>
    <w:p>
      <w:pPr>
        <w:spacing w:line="300" w:lineRule="auto"/>
        <w:rPr>
          <w:rFonts w:ascii="宋体"/>
          <w:b/>
          <w:color w:val="auto"/>
          <w:sz w:val="24"/>
          <w:szCs w:val="24"/>
          <w:highlight w:val="none"/>
        </w:rPr>
      </w:pPr>
    </w:p>
    <w:p>
      <w:pPr>
        <w:spacing w:line="300" w:lineRule="auto"/>
        <w:rPr>
          <w:rFonts w:ascii="宋体"/>
          <w:b/>
          <w:color w:val="auto"/>
          <w:sz w:val="24"/>
          <w:szCs w:val="24"/>
          <w:highlight w:val="none"/>
        </w:rPr>
      </w:pPr>
    </w:p>
    <w:tbl>
      <w:tblPr>
        <w:tblStyle w:val="20"/>
        <w:tblW w:w="8960"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
      <w:tblGrid>
        <w:gridCol w:w="635"/>
        <w:gridCol w:w="872"/>
        <w:gridCol w:w="2960"/>
        <w:gridCol w:w="955"/>
        <w:gridCol w:w="353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598" w:hRule="atLeast"/>
          <w:jc w:val="center"/>
        </w:trPr>
        <w:tc>
          <w:tcPr>
            <w:tcW w:w="635" w:type="dxa"/>
            <w:vMerge w:val="restart"/>
            <w:vAlign w:val="center"/>
          </w:tcPr>
          <w:p>
            <w:pPr>
              <w:jc w:val="center"/>
              <w:rPr>
                <w:rFonts w:ascii="宋体"/>
                <w:color w:val="auto"/>
                <w:sz w:val="24"/>
                <w:highlight w:val="none"/>
              </w:rPr>
            </w:pPr>
            <w:r>
              <w:rPr>
                <w:rFonts w:hint="eastAsia" w:ascii="宋体"/>
                <w:color w:val="auto"/>
                <w:sz w:val="24"/>
                <w:highlight w:val="none"/>
              </w:rPr>
              <w:t>序号</w:t>
            </w:r>
          </w:p>
        </w:tc>
        <w:tc>
          <w:tcPr>
            <w:tcW w:w="3832" w:type="dxa"/>
            <w:gridSpan w:val="2"/>
            <w:vAlign w:val="center"/>
          </w:tcPr>
          <w:p>
            <w:pPr>
              <w:jc w:val="center"/>
              <w:rPr>
                <w:rFonts w:ascii="宋体"/>
                <w:color w:val="auto"/>
                <w:sz w:val="24"/>
                <w:highlight w:val="none"/>
              </w:rPr>
            </w:pPr>
            <w:r>
              <w:rPr>
                <w:rFonts w:hint="eastAsia" w:ascii="宋体"/>
                <w:color w:val="auto"/>
                <w:sz w:val="24"/>
                <w:highlight w:val="none"/>
              </w:rPr>
              <w:t>采购文件</w:t>
            </w:r>
          </w:p>
        </w:tc>
        <w:tc>
          <w:tcPr>
            <w:tcW w:w="4493" w:type="dxa"/>
            <w:gridSpan w:val="2"/>
            <w:vAlign w:val="center"/>
          </w:tcPr>
          <w:p>
            <w:pPr>
              <w:jc w:val="center"/>
              <w:rPr>
                <w:rFonts w:ascii="宋体"/>
                <w:color w:val="auto"/>
                <w:sz w:val="24"/>
                <w:highlight w:val="none"/>
              </w:rPr>
            </w:pPr>
            <w:r>
              <w:rPr>
                <w:rFonts w:hint="eastAsia" w:ascii="宋体"/>
                <w:color w:val="auto"/>
                <w:sz w:val="24"/>
                <w:highlight w:val="none"/>
              </w:rPr>
              <w:t>响应文件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564" w:hRule="atLeast"/>
          <w:jc w:val="center"/>
        </w:trPr>
        <w:tc>
          <w:tcPr>
            <w:tcW w:w="635" w:type="dxa"/>
            <w:vMerge w:val="continue"/>
            <w:vAlign w:val="center"/>
          </w:tcPr>
          <w:p>
            <w:pPr>
              <w:rPr>
                <w:color w:val="auto"/>
                <w:highlight w:val="none"/>
              </w:rPr>
            </w:pPr>
          </w:p>
        </w:tc>
        <w:tc>
          <w:tcPr>
            <w:tcW w:w="872" w:type="dxa"/>
            <w:vAlign w:val="center"/>
          </w:tcPr>
          <w:p>
            <w:pPr>
              <w:jc w:val="center"/>
              <w:rPr>
                <w:rFonts w:ascii="宋体"/>
                <w:color w:val="auto"/>
                <w:sz w:val="24"/>
                <w:highlight w:val="none"/>
              </w:rPr>
            </w:pPr>
            <w:r>
              <w:rPr>
                <w:rFonts w:hint="eastAsia" w:ascii="宋体"/>
                <w:color w:val="auto"/>
                <w:sz w:val="24"/>
                <w:highlight w:val="none"/>
              </w:rPr>
              <w:t>条目</w:t>
            </w:r>
          </w:p>
        </w:tc>
        <w:tc>
          <w:tcPr>
            <w:tcW w:w="2960" w:type="dxa"/>
            <w:vAlign w:val="center"/>
          </w:tcPr>
          <w:p>
            <w:pPr>
              <w:jc w:val="center"/>
              <w:rPr>
                <w:rFonts w:ascii="宋体"/>
                <w:color w:val="auto"/>
                <w:sz w:val="24"/>
                <w:highlight w:val="none"/>
              </w:rPr>
            </w:pPr>
            <w:r>
              <w:rPr>
                <w:rFonts w:hint="eastAsia" w:ascii="宋体"/>
                <w:color w:val="auto"/>
                <w:sz w:val="24"/>
                <w:highlight w:val="none"/>
              </w:rPr>
              <w:t>简要内容</w:t>
            </w:r>
          </w:p>
        </w:tc>
        <w:tc>
          <w:tcPr>
            <w:tcW w:w="955" w:type="dxa"/>
            <w:vAlign w:val="center"/>
          </w:tcPr>
          <w:p>
            <w:pPr>
              <w:jc w:val="center"/>
              <w:rPr>
                <w:rFonts w:ascii="宋体"/>
                <w:color w:val="auto"/>
                <w:sz w:val="24"/>
                <w:highlight w:val="none"/>
              </w:rPr>
            </w:pPr>
            <w:r>
              <w:rPr>
                <w:rFonts w:hint="eastAsia" w:ascii="宋体"/>
                <w:color w:val="auto"/>
                <w:sz w:val="24"/>
                <w:highlight w:val="none"/>
              </w:rPr>
              <w:t>条目</w:t>
            </w:r>
          </w:p>
        </w:tc>
        <w:tc>
          <w:tcPr>
            <w:tcW w:w="3538" w:type="dxa"/>
            <w:vAlign w:val="center"/>
          </w:tcPr>
          <w:p>
            <w:pPr>
              <w:jc w:val="center"/>
              <w:rPr>
                <w:rFonts w:ascii="宋体"/>
                <w:color w:val="auto"/>
                <w:sz w:val="24"/>
                <w:highlight w:val="none"/>
              </w:rPr>
            </w:pPr>
            <w:r>
              <w:rPr>
                <w:rFonts w:hint="eastAsia" w:ascii="宋体"/>
                <w:color w:val="auto"/>
                <w:sz w:val="24"/>
                <w:highlight w:val="none"/>
              </w:rPr>
              <w:t>简要内容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718" w:hRule="atLeast"/>
          <w:jc w:val="center"/>
        </w:trPr>
        <w:tc>
          <w:tcPr>
            <w:tcW w:w="635" w:type="dxa"/>
            <w:vAlign w:val="center"/>
          </w:tcPr>
          <w:p>
            <w:pPr>
              <w:rPr>
                <w:rFonts w:ascii="宋体"/>
                <w:color w:val="auto"/>
                <w:szCs w:val="19"/>
                <w:highlight w:val="none"/>
              </w:rPr>
            </w:pPr>
          </w:p>
        </w:tc>
        <w:tc>
          <w:tcPr>
            <w:tcW w:w="872" w:type="dxa"/>
            <w:vAlign w:val="center"/>
          </w:tcPr>
          <w:p>
            <w:pPr>
              <w:rPr>
                <w:rFonts w:ascii="宋体"/>
                <w:color w:val="auto"/>
                <w:szCs w:val="19"/>
                <w:highlight w:val="none"/>
              </w:rPr>
            </w:pPr>
          </w:p>
        </w:tc>
        <w:tc>
          <w:tcPr>
            <w:tcW w:w="2960" w:type="dxa"/>
            <w:vAlign w:val="center"/>
          </w:tcPr>
          <w:p>
            <w:pPr>
              <w:jc w:val="center"/>
              <w:rPr>
                <w:rFonts w:ascii="宋体"/>
                <w:color w:val="auto"/>
                <w:sz w:val="24"/>
                <w:highlight w:val="none"/>
              </w:rPr>
            </w:pPr>
          </w:p>
        </w:tc>
        <w:tc>
          <w:tcPr>
            <w:tcW w:w="955" w:type="dxa"/>
            <w:vAlign w:val="center"/>
          </w:tcPr>
          <w:p>
            <w:pPr>
              <w:jc w:val="center"/>
              <w:rPr>
                <w:rFonts w:ascii="宋体"/>
                <w:color w:val="auto"/>
                <w:sz w:val="24"/>
                <w:highlight w:val="none"/>
              </w:rPr>
            </w:pPr>
          </w:p>
        </w:tc>
        <w:tc>
          <w:tcPr>
            <w:tcW w:w="3538" w:type="dxa"/>
            <w:vAlign w:val="center"/>
          </w:tcPr>
          <w:p>
            <w:pPr>
              <w:jc w:val="center"/>
              <w:rPr>
                <w:rFonts w:ascii="宋体"/>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718" w:hRule="atLeast"/>
          <w:jc w:val="center"/>
        </w:trPr>
        <w:tc>
          <w:tcPr>
            <w:tcW w:w="635" w:type="dxa"/>
            <w:vAlign w:val="center"/>
          </w:tcPr>
          <w:p>
            <w:pPr>
              <w:rPr>
                <w:rFonts w:ascii="宋体"/>
                <w:color w:val="auto"/>
                <w:szCs w:val="19"/>
                <w:highlight w:val="none"/>
              </w:rPr>
            </w:pPr>
          </w:p>
        </w:tc>
        <w:tc>
          <w:tcPr>
            <w:tcW w:w="872" w:type="dxa"/>
            <w:vAlign w:val="center"/>
          </w:tcPr>
          <w:p>
            <w:pPr>
              <w:rPr>
                <w:rFonts w:ascii="宋体"/>
                <w:color w:val="auto"/>
                <w:szCs w:val="19"/>
                <w:highlight w:val="none"/>
              </w:rPr>
            </w:pPr>
          </w:p>
        </w:tc>
        <w:tc>
          <w:tcPr>
            <w:tcW w:w="2960" w:type="dxa"/>
            <w:vAlign w:val="center"/>
          </w:tcPr>
          <w:p>
            <w:pPr>
              <w:rPr>
                <w:rFonts w:ascii="宋体"/>
                <w:color w:val="auto"/>
                <w:szCs w:val="19"/>
                <w:highlight w:val="none"/>
              </w:rPr>
            </w:pPr>
          </w:p>
        </w:tc>
        <w:tc>
          <w:tcPr>
            <w:tcW w:w="955" w:type="dxa"/>
            <w:vAlign w:val="center"/>
          </w:tcPr>
          <w:p>
            <w:pPr>
              <w:rPr>
                <w:rFonts w:ascii="宋体"/>
                <w:color w:val="auto"/>
                <w:szCs w:val="19"/>
                <w:highlight w:val="none"/>
              </w:rPr>
            </w:pPr>
          </w:p>
        </w:tc>
        <w:tc>
          <w:tcPr>
            <w:tcW w:w="3538" w:type="dxa"/>
            <w:vAlign w:val="center"/>
          </w:tcPr>
          <w:p>
            <w:pPr>
              <w:rPr>
                <w:rFonts w:ascii="宋体"/>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718" w:hRule="atLeast"/>
          <w:jc w:val="center"/>
        </w:trPr>
        <w:tc>
          <w:tcPr>
            <w:tcW w:w="635" w:type="dxa"/>
            <w:vAlign w:val="center"/>
          </w:tcPr>
          <w:p>
            <w:pPr>
              <w:rPr>
                <w:rFonts w:ascii="宋体"/>
                <w:color w:val="auto"/>
                <w:szCs w:val="19"/>
                <w:highlight w:val="none"/>
              </w:rPr>
            </w:pPr>
          </w:p>
        </w:tc>
        <w:tc>
          <w:tcPr>
            <w:tcW w:w="872" w:type="dxa"/>
            <w:vAlign w:val="center"/>
          </w:tcPr>
          <w:p>
            <w:pPr>
              <w:rPr>
                <w:rFonts w:ascii="宋体"/>
                <w:color w:val="auto"/>
                <w:szCs w:val="19"/>
                <w:highlight w:val="none"/>
              </w:rPr>
            </w:pPr>
          </w:p>
        </w:tc>
        <w:tc>
          <w:tcPr>
            <w:tcW w:w="2960" w:type="dxa"/>
            <w:vAlign w:val="center"/>
          </w:tcPr>
          <w:p>
            <w:pPr>
              <w:rPr>
                <w:rFonts w:ascii="宋体"/>
                <w:color w:val="auto"/>
                <w:szCs w:val="19"/>
                <w:highlight w:val="none"/>
              </w:rPr>
            </w:pPr>
          </w:p>
        </w:tc>
        <w:tc>
          <w:tcPr>
            <w:tcW w:w="955" w:type="dxa"/>
            <w:vAlign w:val="center"/>
          </w:tcPr>
          <w:p>
            <w:pPr>
              <w:rPr>
                <w:rFonts w:ascii="宋体"/>
                <w:color w:val="auto"/>
                <w:szCs w:val="19"/>
                <w:highlight w:val="none"/>
              </w:rPr>
            </w:pPr>
          </w:p>
        </w:tc>
        <w:tc>
          <w:tcPr>
            <w:tcW w:w="3538" w:type="dxa"/>
            <w:vAlign w:val="center"/>
          </w:tcPr>
          <w:p>
            <w:pPr>
              <w:rPr>
                <w:rFonts w:ascii="宋体"/>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718" w:hRule="atLeast"/>
          <w:jc w:val="center"/>
        </w:trPr>
        <w:tc>
          <w:tcPr>
            <w:tcW w:w="635" w:type="dxa"/>
            <w:vAlign w:val="center"/>
          </w:tcPr>
          <w:p>
            <w:pPr>
              <w:rPr>
                <w:rFonts w:ascii="宋体"/>
                <w:color w:val="auto"/>
                <w:szCs w:val="19"/>
                <w:highlight w:val="none"/>
              </w:rPr>
            </w:pPr>
          </w:p>
        </w:tc>
        <w:tc>
          <w:tcPr>
            <w:tcW w:w="872" w:type="dxa"/>
            <w:vAlign w:val="center"/>
          </w:tcPr>
          <w:p>
            <w:pPr>
              <w:rPr>
                <w:rFonts w:ascii="宋体"/>
                <w:color w:val="auto"/>
                <w:szCs w:val="19"/>
                <w:highlight w:val="none"/>
              </w:rPr>
            </w:pPr>
          </w:p>
        </w:tc>
        <w:tc>
          <w:tcPr>
            <w:tcW w:w="2960" w:type="dxa"/>
            <w:vAlign w:val="center"/>
          </w:tcPr>
          <w:p>
            <w:pPr>
              <w:rPr>
                <w:rFonts w:ascii="宋体"/>
                <w:color w:val="auto"/>
                <w:szCs w:val="19"/>
                <w:highlight w:val="none"/>
              </w:rPr>
            </w:pPr>
          </w:p>
        </w:tc>
        <w:tc>
          <w:tcPr>
            <w:tcW w:w="955" w:type="dxa"/>
            <w:vAlign w:val="center"/>
          </w:tcPr>
          <w:p>
            <w:pPr>
              <w:rPr>
                <w:rFonts w:ascii="宋体"/>
                <w:color w:val="auto"/>
                <w:szCs w:val="19"/>
                <w:highlight w:val="none"/>
              </w:rPr>
            </w:pPr>
          </w:p>
        </w:tc>
        <w:tc>
          <w:tcPr>
            <w:tcW w:w="3538" w:type="dxa"/>
            <w:vAlign w:val="center"/>
          </w:tcPr>
          <w:p>
            <w:pPr>
              <w:rPr>
                <w:rFonts w:ascii="宋体"/>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770" w:hRule="atLeast"/>
          <w:jc w:val="center"/>
        </w:trPr>
        <w:tc>
          <w:tcPr>
            <w:tcW w:w="635" w:type="dxa"/>
            <w:vAlign w:val="center"/>
          </w:tcPr>
          <w:p>
            <w:pPr>
              <w:rPr>
                <w:rFonts w:ascii="宋体"/>
                <w:color w:val="auto"/>
                <w:szCs w:val="19"/>
                <w:highlight w:val="none"/>
              </w:rPr>
            </w:pPr>
          </w:p>
        </w:tc>
        <w:tc>
          <w:tcPr>
            <w:tcW w:w="872" w:type="dxa"/>
            <w:vAlign w:val="center"/>
          </w:tcPr>
          <w:p>
            <w:pPr>
              <w:rPr>
                <w:rFonts w:ascii="宋体"/>
                <w:color w:val="auto"/>
                <w:szCs w:val="19"/>
                <w:highlight w:val="none"/>
              </w:rPr>
            </w:pPr>
          </w:p>
        </w:tc>
        <w:tc>
          <w:tcPr>
            <w:tcW w:w="2960" w:type="dxa"/>
            <w:vAlign w:val="center"/>
          </w:tcPr>
          <w:p>
            <w:pPr>
              <w:rPr>
                <w:rFonts w:ascii="宋体"/>
                <w:color w:val="auto"/>
                <w:szCs w:val="19"/>
                <w:highlight w:val="none"/>
              </w:rPr>
            </w:pPr>
          </w:p>
        </w:tc>
        <w:tc>
          <w:tcPr>
            <w:tcW w:w="955" w:type="dxa"/>
            <w:vAlign w:val="center"/>
          </w:tcPr>
          <w:p>
            <w:pPr>
              <w:rPr>
                <w:rFonts w:ascii="宋体"/>
                <w:color w:val="auto"/>
                <w:szCs w:val="19"/>
                <w:highlight w:val="none"/>
              </w:rPr>
            </w:pPr>
          </w:p>
        </w:tc>
        <w:tc>
          <w:tcPr>
            <w:tcW w:w="3538" w:type="dxa"/>
            <w:vAlign w:val="center"/>
          </w:tcPr>
          <w:p>
            <w:pPr>
              <w:rPr>
                <w:rFonts w:ascii="宋体"/>
                <w:color w:val="auto"/>
                <w:szCs w:val="19"/>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beforeAutospacing="0" w:after="100" w:afterAutospacing="1" w:line="360" w:lineRule="auto"/>
        <w:ind w:firstLine="240" w:firstLineChars="100"/>
        <w:textAlignment w:val="auto"/>
        <w:rPr>
          <w:rFonts w:hint="eastAsia" w:ascii="宋体" w:hAnsi="Times New Roman" w:cs="Times New Roman"/>
          <w:color w:val="auto"/>
          <w:sz w:val="24"/>
          <w:szCs w:val="22"/>
          <w:highlight w:val="none"/>
        </w:rPr>
      </w:pPr>
    </w:p>
    <w:p>
      <w:pPr>
        <w:keepNext w:val="0"/>
        <w:keepLines w:val="0"/>
        <w:pageBreakBefore w:val="0"/>
        <w:widowControl/>
        <w:kinsoku/>
        <w:wordWrap/>
        <w:overflowPunct/>
        <w:topLinePunct w:val="0"/>
        <w:autoSpaceDE/>
        <w:autoSpaceDN/>
        <w:bidi w:val="0"/>
        <w:adjustRightInd/>
        <w:snapToGrid/>
        <w:spacing w:before="313" w:beforeLines="100" w:beforeAutospacing="0" w:after="100" w:afterAutospacing="1" w:line="360" w:lineRule="auto"/>
        <w:ind w:firstLine="720" w:firstLineChars="300"/>
        <w:textAlignment w:val="auto"/>
        <w:rPr>
          <w:rFonts w:hint="eastAsia" w:ascii="宋体" w:hAnsi="Times New Roman" w:eastAsia="宋体" w:cs="Times New Roman"/>
          <w:color w:val="auto"/>
          <w:sz w:val="24"/>
          <w:szCs w:val="22"/>
          <w:highlight w:val="none"/>
          <w:lang w:eastAsia="zh-CN"/>
        </w:rPr>
      </w:pPr>
      <w:r>
        <w:rPr>
          <w:rFonts w:hint="eastAsia" w:ascii="宋体" w:hAnsi="Times New Roman" w:cs="Times New Roman"/>
          <w:color w:val="auto"/>
          <w:sz w:val="24"/>
          <w:szCs w:val="22"/>
          <w:highlight w:val="none"/>
        </w:rPr>
        <w:t>授权代表签字</w:t>
      </w:r>
      <w:r>
        <w:rPr>
          <w:rFonts w:hint="eastAsia" w:ascii="宋体" w:hAnsi="Times New Roman" w:cs="Times New Roman"/>
          <w:color w:val="auto"/>
          <w:sz w:val="24"/>
          <w:szCs w:val="22"/>
          <w:highlight w:val="none"/>
          <w:lang w:val="en-US" w:eastAsia="zh-CN"/>
        </w:rPr>
        <w:t>或印鉴</w:t>
      </w:r>
      <w:r>
        <w:rPr>
          <w:rFonts w:hint="eastAsia" w:ascii="宋体" w:hAnsi="Times New Roman" w:cs="Times New Roman"/>
          <w:color w:val="auto"/>
          <w:sz w:val="24"/>
          <w:szCs w:val="22"/>
          <w:highlight w:val="none"/>
        </w:rPr>
        <w:t>：</w:t>
      </w:r>
    </w:p>
    <w:p>
      <w:pPr>
        <w:spacing w:before="100" w:beforeAutospacing="1" w:after="100" w:afterAutospacing="1" w:line="360" w:lineRule="auto"/>
        <w:ind w:firstLine="720" w:firstLineChars="300"/>
        <w:rPr>
          <w:rFonts w:hint="eastAsia" w:ascii="宋体" w:hAnsi="Times New Roman" w:cs="Times New Roman"/>
          <w:color w:val="auto"/>
          <w:sz w:val="24"/>
          <w:szCs w:val="22"/>
          <w:highlight w:val="none"/>
        </w:rPr>
      </w:pPr>
      <w:r>
        <w:rPr>
          <w:rFonts w:hint="eastAsia" w:ascii="宋体" w:hAnsi="Times New Roman" w:cs="Times New Roman"/>
          <w:color w:val="auto"/>
          <w:sz w:val="24"/>
          <w:szCs w:val="22"/>
          <w:highlight w:val="none"/>
        </w:rPr>
        <w:t>日期：年月日</w:t>
      </w:r>
    </w:p>
    <w:p>
      <w:pPr>
        <w:pStyle w:val="33"/>
        <w:ind w:firstLine="420" w:firstLineChars="0"/>
        <w:rPr>
          <w:rFonts w:ascii="宋体"/>
          <w:b/>
          <w:color w:val="auto"/>
          <w:szCs w:val="21"/>
          <w:highlight w:val="none"/>
        </w:rPr>
      </w:pPr>
    </w:p>
    <w:p>
      <w:pPr>
        <w:pStyle w:val="33"/>
        <w:ind w:firstLine="420" w:firstLineChars="0"/>
        <w:rPr>
          <w:rFonts w:ascii="宋体"/>
          <w:b/>
          <w:color w:val="auto"/>
          <w:sz w:val="28"/>
          <w:szCs w:val="28"/>
          <w:highlight w:val="none"/>
        </w:rPr>
      </w:pPr>
    </w:p>
    <w:p>
      <w:pPr>
        <w:pStyle w:val="18"/>
        <w:jc w:val="center"/>
        <w:outlineLvl w:val="9"/>
        <w:rPr>
          <w:rFonts w:ascii="宋体"/>
          <w:color w:val="auto"/>
          <w:kern w:val="2"/>
          <w:highlight w:val="none"/>
        </w:rPr>
      </w:pPr>
    </w:p>
    <w:p>
      <w:pPr>
        <w:widowControl w:val="0"/>
        <w:tabs>
          <w:tab w:val="left" w:pos="360"/>
          <w:tab w:val="left" w:pos="720"/>
          <w:tab w:val="left" w:pos="3060"/>
        </w:tabs>
        <w:spacing w:line="400" w:lineRule="exact"/>
        <w:outlineLvl w:val="1"/>
        <w:rPr>
          <w:rStyle w:val="29"/>
          <w:rFonts w:hint="eastAsia" w:eastAsia="宋体"/>
          <w:color w:val="auto"/>
          <w:highlight w:val="none"/>
          <w:lang w:eastAsia="zh-CN"/>
        </w:rPr>
      </w:pPr>
      <w:r>
        <w:rPr>
          <w:rFonts w:ascii="宋体"/>
          <w:b/>
          <w:color w:val="auto"/>
          <w:sz w:val="32"/>
          <w:szCs w:val="32"/>
          <w:highlight w:val="none"/>
        </w:rPr>
        <w:br w:type="page"/>
      </w:r>
      <w:bookmarkStart w:id="204" w:name="_Toc11097"/>
      <w:bookmarkStart w:id="205" w:name="_Toc10122284"/>
      <w:bookmarkStart w:id="206" w:name="_Toc10461"/>
      <w:bookmarkStart w:id="207" w:name="_Toc376793566"/>
      <w:bookmarkStart w:id="208" w:name="_Toc376793585"/>
      <w:bookmarkStart w:id="209" w:name="_Toc376793720"/>
      <w:bookmarkStart w:id="210" w:name="_Toc10184893"/>
      <w:bookmarkStart w:id="211" w:name="_Toc512354299"/>
      <w:bookmarkStart w:id="212" w:name="_Toc381027005"/>
      <w:r>
        <w:rPr>
          <w:rStyle w:val="29"/>
          <w:rFonts w:hint="eastAsia"/>
          <w:color w:val="auto"/>
          <w:sz w:val="28"/>
          <w:szCs w:val="28"/>
          <w:highlight w:val="none"/>
        </w:rPr>
        <w:t>格式</w:t>
      </w:r>
      <w:bookmarkEnd w:id="204"/>
      <w:r>
        <w:rPr>
          <w:rStyle w:val="29"/>
          <w:rFonts w:hint="eastAsia"/>
          <w:color w:val="auto"/>
          <w:sz w:val="28"/>
          <w:szCs w:val="28"/>
          <w:highlight w:val="none"/>
          <w:lang w:val="en-US" w:eastAsia="zh-CN"/>
        </w:rPr>
        <w:t>九</w:t>
      </w:r>
    </w:p>
    <w:p>
      <w:pPr>
        <w:widowControl w:val="0"/>
        <w:tabs>
          <w:tab w:val="left" w:pos="360"/>
          <w:tab w:val="left" w:pos="720"/>
          <w:tab w:val="left" w:pos="3060"/>
        </w:tabs>
        <w:spacing w:line="400" w:lineRule="exact"/>
        <w:jc w:val="center"/>
        <w:outlineLvl w:val="1"/>
        <w:rPr>
          <w:rFonts w:ascii="宋体"/>
          <w:b/>
          <w:color w:val="auto"/>
          <w:kern w:val="2"/>
          <w:sz w:val="28"/>
          <w:szCs w:val="28"/>
          <w:highlight w:val="none"/>
        </w:rPr>
      </w:pPr>
      <w:bookmarkStart w:id="213" w:name="_Toc3888"/>
      <w:r>
        <w:rPr>
          <w:rStyle w:val="29"/>
          <w:color w:val="auto"/>
          <w:highlight w:val="none"/>
        </w:rPr>
        <w:t>廉洁承诺书</w:t>
      </w:r>
      <w:bookmarkEnd w:id="205"/>
      <w:bookmarkEnd w:id="206"/>
      <w:bookmarkEnd w:id="207"/>
      <w:bookmarkEnd w:id="208"/>
      <w:bookmarkEnd w:id="209"/>
      <w:bookmarkEnd w:id="210"/>
      <w:bookmarkEnd w:id="211"/>
      <w:bookmarkEnd w:id="212"/>
      <w:bookmarkEnd w:id="213"/>
    </w:p>
    <w:p>
      <w:pPr>
        <w:widowControl w:val="0"/>
        <w:tabs>
          <w:tab w:val="left" w:pos="1080"/>
          <w:tab w:val="left" w:pos="1980"/>
          <w:tab w:val="left" w:pos="2160"/>
          <w:tab w:val="left" w:pos="2340"/>
          <w:tab w:val="left" w:pos="2520"/>
          <w:tab w:val="left" w:pos="2700"/>
          <w:tab w:val="left" w:pos="3240"/>
        </w:tabs>
        <w:spacing w:line="400" w:lineRule="exact"/>
        <w:jc w:val="both"/>
        <w:rPr>
          <w:rFonts w:ascii="宋体"/>
          <w:b/>
          <w:color w:val="auto"/>
          <w:kern w:val="2"/>
          <w:sz w:val="32"/>
          <w:szCs w:val="32"/>
          <w:highlight w:val="none"/>
        </w:rPr>
      </w:pPr>
    </w:p>
    <w:p>
      <w:pPr>
        <w:spacing w:line="400" w:lineRule="exact"/>
        <w:ind w:firstLine="480" w:firstLineChars="200"/>
        <w:rPr>
          <w:rFonts w:ascii="宋体"/>
          <w:color w:val="auto"/>
          <w:sz w:val="24"/>
          <w:szCs w:val="24"/>
          <w:highlight w:val="none"/>
        </w:rPr>
      </w:pPr>
      <w:r>
        <w:rPr>
          <w:rFonts w:ascii="宋体"/>
          <w:color w:val="auto"/>
          <w:sz w:val="24"/>
          <w:szCs w:val="24"/>
          <w:highlight w:val="none"/>
        </w:rPr>
        <w:t>为维护公平竞争的市场秩序，我方自愿在参与贵方组织的商业往来活动中，加强有关人员廉洁从业管理，恪守商业道德，从源头预防和遏制违法、违规、违纪行为发生，特作以下承诺：</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一、严格遵守国家有关法律法规，坚持诚实守信原则，恪守商业道德，规范商务人员廉洁从业行为。</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二、不伙同他人串标、围标或非法排挤竞争对手，不在商业活动中提供虚假资料，损害贵方合法权益。</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三、不为贵方工作人员提供回扣、礼金、有价证券、贵重物品和报销个人费用。</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四、不为贵方工作人员安排可能影响公平、公正交易的宴请、健身、娱乐等活动。</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五、不为贵方工作人员投资入股、个人借款或买卖股票、债券等提供方便。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六、不为贵方工作人员购买或装修住房、婚丧嫁娶、配偶子女上学或工作安排以及出国出境、旅游等提供方便。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七、不违反规定为贵方工作人员在我方相关企业挂名兼职、合伙经营、介绍承揽业务等提供方便。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八、不利用非法手段向贵方工作人员打探有关涉及贵方的商业秘密、业务渠道等。</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九、贵方对涉嫌不廉洁商业行为进行调查时，我方有配合提供证据、作证的义务。</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十、未经贵方同意，我方不向任何新闻媒体、第三人述及有关贵方工作人员恪守商业道德方面的评价、信息。</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400" w:lineRule="exact"/>
        <w:ind w:firstLine="480" w:firstLineChars="200"/>
        <w:rPr>
          <w:rFonts w:ascii="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480" w:firstLineChars="200"/>
        <w:jc w:val="center"/>
        <w:textAlignment w:val="auto"/>
        <w:rPr>
          <w:rFonts w:ascii="宋体"/>
          <w:color w:val="auto"/>
          <w:sz w:val="24"/>
          <w:szCs w:val="24"/>
          <w:highlight w:val="none"/>
        </w:rPr>
      </w:pPr>
      <w:bookmarkStart w:id="214" w:name="_Toc1811_WPSOffice_Level2"/>
      <w:r>
        <w:rPr>
          <w:rFonts w:ascii="宋体"/>
          <w:color w:val="auto"/>
          <w:sz w:val="24"/>
          <w:szCs w:val="24"/>
          <w:highlight w:val="none"/>
        </w:rPr>
        <w:t>承诺方：（盖章）</w:t>
      </w:r>
      <w:bookmarkEnd w:id="214"/>
    </w:p>
    <w:p>
      <w:pPr>
        <w:keepNext w:val="0"/>
        <w:keepLines w:val="0"/>
        <w:pageBreakBefore w:val="0"/>
        <w:widowControl/>
        <w:kinsoku/>
        <w:wordWrap/>
        <w:overflowPunct/>
        <w:topLinePunct w:val="0"/>
        <w:autoSpaceDE/>
        <w:autoSpaceDN/>
        <w:bidi w:val="0"/>
        <w:adjustRightInd/>
        <w:snapToGrid/>
        <w:spacing w:line="640" w:lineRule="exact"/>
        <w:ind w:firstLine="480" w:firstLineChars="200"/>
        <w:jc w:val="center"/>
        <w:textAlignment w:val="auto"/>
        <w:rPr>
          <w:rFonts w:ascii="宋体"/>
          <w:color w:val="auto"/>
          <w:sz w:val="24"/>
          <w:szCs w:val="24"/>
          <w:highlight w:val="none"/>
        </w:rPr>
      </w:pPr>
      <w:bookmarkStart w:id="215" w:name="_Toc20412_WPSOffice_Level2"/>
      <w:r>
        <w:rPr>
          <w:rFonts w:hint="eastAsia" w:ascii="宋体"/>
          <w:color w:val="auto"/>
          <w:sz w:val="24"/>
          <w:szCs w:val="24"/>
          <w:highlight w:val="none"/>
        </w:rPr>
        <w:t>法定代表人：（签字）</w:t>
      </w:r>
      <w:bookmarkEnd w:id="215"/>
    </w:p>
    <w:p>
      <w:pPr>
        <w:keepNext w:val="0"/>
        <w:keepLines w:val="0"/>
        <w:pageBreakBefore w:val="0"/>
        <w:widowControl/>
        <w:kinsoku/>
        <w:wordWrap/>
        <w:overflowPunct/>
        <w:topLinePunct w:val="0"/>
        <w:autoSpaceDE/>
        <w:autoSpaceDN/>
        <w:bidi w:val="0"/>
        <w:adjustRightInd/>
        <w:snapToGrid/>
        <w:spacing w:line="640" w:lineRule="exact"/>
        <w:ind w:firstLine="4080" w:firstLineChars="1700"/>
        <w:jc w:val="both"/>
        <w:textAlignment w:val="auto"/>
        <w:rPr>
          <w:rFonts w:ascii="宋体"/>
          <w:color w:val="auto"/>
          <w:sz w:val="24"/>
          <w:szCs w:val="24"/>
          <w:highlight w:val="none"/>
        </w:rPr>
      </w:pPr>
      <w:bookmarkStart w:id="216" w:name="_Toc1925_WPSOffice_Level2"/>
      <w:r>
        <w:rPr>
          <w:rFonts w:hint="eastAsia" w:ascii="宋体"/>
          <w:color w:val="auto"/>
          <w:sz w:val="24"/>
          <w:szCs w:val="24"/>
          <w:highlight w:val="none"/>
        </w:rPr>
        <w:t>日期：</w:t>
      </w:r>
      <w:r>
        <w:rPr>
          <w:rFonts w:ascii="宋体"/>
          <w:color w:val="auto"/>
          <w:sz w:val="24"/>
          <w:szCs w:val="24"/>
          <w:highlight w:val="none"/>
        </w:rPr>
        <w:t>年月日</w:t>
      </w:r>
      <w:bookmarkEnd w:id="216"/>
    </w:p>
    <w:p>
      <w:pPr>
        <w:widowControl w:val="0"/>
        <w:spacing w:line="360" w:lineRule="auto"/>
        <w:ind w:right="480"/>
        <w:rPr>
          <w:rFonts w:hint="eastAsia" w:ascii="宋体"/>
          <w:bCs/>
          <w:color w:val="auto"/>
          <w:sz w:val="24"/>
          <w:szCs w:val="24"/>
          <w:highlight w:val="none"/>
        </w:rPr>
      </w:pPr>
    </w:p>
    <w:p>
      <w:pPr>
        <w:widowControl w:val="0"/>
        <w:spacing w:line="360" w:lineRule="auto"/>
        <w:ind w:right="480"/>
        <w:rPr>
          <w:rFonts w:ascii="宋体"/>
          <w:b/>
          <w:bCs/>
          <w:color w:val="auto"/>
          <w:sz w:val="24"/>
          <w:szCs w:val="24"/>
          <w:highlight w:val="none"/>
        </w:rPr>
      </w:pPr>
      <w:r>
        <w:rPr>
          <w:rFonts w:hint="eastAsia" w:ascii="宋体"/>
          <w:bCs/>
          <w:color w:val="auto"/>
          <w:sz w:val="24"/>
          <w:szCs w:val="24"/>
          <w:highlight w:val="none"/>
        </w:rPr>
        <w:t>▲</w:t>
      </w:r>
      <w:r>
        <w:rPr>
          <w:rFonts w:hint="eastAsia" w:ascii="宋体"/>
          <w:b/>
          <w:bCs/>
          <w:color w:val="auto"/>
          <w:sz w:val="24"/>
          <w:szCs w:val="24"/>
          <w:highlight w:val="none"/>
        </w:rPr>
        <w:t>要求由法定代表人签字、加盖单位公章后，附在采购响应文件中。</w:t>
      </w:r>
    </w:p>
    <w:p>
      <w:pPr>
        <w:widowControl w:val="0"/>
        <w:tabs>
          <w:tab w:val="left" w:pos="360"/>
          <w:tab w:val="left" w:pos="720"/>
          <w:tab w:val="left" w:pos="3060"/>
        </w:tabs>
        <w:spacing w:line="400" w:lineRule="exact"/>
        <w:rPr>
          <w:rFonts w:ascii="宋体"/>
          <w:color w:val="auto"/>
          <w:highlight w:val="none"/>
        </w:rPr>
      </w:pPr>
    </w:p>
    <w:p>
      <w:pPr>
        <w:rPr>
          <w:rFonts w:ascii="宋体"/>
          <w:color w:val="auto"/>
          <w:highlight w:val="none"/>
        </w:rPr>
      </w:pPr>
      <w:r>
        <w:rPr>
          <w:rFonts w:ascii="宋体"/>
          <w:color w:val="auto"/>
          <w:highlight w:val="none"/>
        </w:rPr>
        <w:br w:type="page"/>
      </w:r>
    </w:p>
    <w:p>
      <w:pPr>
        <w:keepNext w:val="0"/>
        <w:keepLines w:val="0"/>
        <w:pageBreakBefore w:val="0"/>
        <w:widowControl w:val="0"/>
        <w:tabs>
          <w:tab w:val="left" w:pos="360"/>
          <w:tab w:val="left" w:pos="720"/>
          <w:tab w:val="left" w:pos="3060"/>
        </w:tabs>
        <w:kinsoku/>
        <w:wordWrap/>
        <w:overflowPunct/>
        <w:topLinePunct w:val="0"/>
        <w:autoSpaceDE/>
        <w:autoSpaceDN/>
        <w:bidi w:val="0"/>
        <w:adjustRightInd/>
        <w:snapToGrid/>
        <w:spacing w:after="313" w:afterLines="100" w:line="400" w:lineRule="exact"/>
        <w:jc w:val="left"/>
        <w:textAlignment w:val="auto"/>
        <w:outlineLvl w:val="1"/>
        <w:rPr>
          <w:rStyle w:val="29"/>
          <w:rFonts w:hint="eastAsia"/>
          <w:color w:val="auto"/>
          <w:sz w:val="28"/>
          <w:szCs w:val="28"/>
          <w:highlight w:val="none"/>
        </w:rPr>
      </w:pPr>
      <w:bookmarkStart w:id="217" w:name="_Toc20980"/>
      <w:bookmarkStart w:id="218" w:name="_Toc32743"/>
      <w:bookmarkStart w:id="219" w:name="_Toc512354300"/>
      <w:bookmarkStart w:id="220" w:name="_Toc10122285"/>
      <w:bookmarkStart w:id="221" w:name="_Toc32552"/>
      <w:bookmarkStart w:id="222" w:name="_Toc10184894"/>
      <w:bookmarkStart w:id="223" w:name="_Toc209"/>
      <w:r>
        <w:rPr>
          <w:rStyle w:val="29"/>
          <w:rFonts w:hint="eastAsia"/>
          <w:color w:val="auto"/>
          <w:sz w:val="28"/>
          <w:szCs w:val="28"/>
          <w:highlight w:val="none"/>
        </w:rPr>
        <w:t>格式十</w:t>
      </w:r>
      <w:bookmarkEnd w:id="217"/>
      <w:bookmarkStart w:id="224" w:name="_Toc6208"/>
    </w:p>
    <w:p>
      <w:pPr>
        <w:keepNext w:val="0"/>
        <w:keepLines w:val="0"/>
        <w:pageBreakBefore w:val="0"/>
        <w:widowControl w:val="0"/>
        <w:tabs>
          <w:tab w:val="left" w:pos="360"/>
          <w:tab w:val="left" w:pos="720"/>
          <w:tab w:val="left" w:pos="3060"/>
        </w:tabs>
        <w:kinsoku/>
        <w:wordWrap/>
        <w:overflowPunct/>
        <w:topLinePunct w:val="0"/>
        <w:autoSpaceDE/>
        <w:autoSpaceDN/>
        <w:bidi w:val="0"/>
        <w:adjustRightInd/>
        <w:snapToGrid/>
        <w:spacing w:after="313" w:afterLines="100" w:line="400" w:lineRule="exact"/>
        <w:ind w:firstLine="2891" w:firstLineChars="900"/>
        <w:jc w:val="left"/>
        <w:textAlignment w:val="auto"/>
        <w:outlineLvl w:val="1"/>
        <w:rPr>
          <w:rStyle w:val="29"/>
          <w:color w:val="auto"/>
          <w:highlight w:val="none"/>
        </w:rPr>
      </w:pPr>
      <w:r>
        <w:rPr>
          <w:rStyle w:val="29"/>
          <w:rFonts w:hint="eastAsia"/>
          <w:color w:val="auto"/>
          <w:highlight w:val="none"/>
        </w:rPr>
        <w:t>供需双方廉洁互保协议</w:t>
      </w:r>
      <w:bookmarkEnd w:id="218"/>
      <w:bookmarkEnd w:id="219"/>
      <w:bookmarkEnd w:id="220"/>
      <w:bookmarkEnd w:id="221"/>
      <w:bookmarkEnd w:id="222"/>
      <w:bookmarkEnd w:id="223"/>
      <w:bookmarkEnd w:id="224"/>
    </w:p>
    <w:p>
      <w:pPr>
        <w:spacing w:line="400" w:lineRule="exact"/>
        <w:rPr>
          <w:rFonts w:ascii="宋体"/>
          <w:color w:val="auto"/>
          <w:sz w:val="24"/>
          <w:szCs w:val="24"/>
          <w:highlight w:val="none"/>
        </w:rPr>
      </w:pPr>
      <w:r>
        <w:rPr>
          <w:rFonts w:ascii="宋体"/>
          <w:color w:val="auto"/>
          <w:sz w:val="24"/>
          <w:szCs w:val="24"/>
          <w:highlight w:val="none"/>
        </w:rPr>
        <w:t>买方：（以下简称甲方）</w:t>
      </w:r>
    </w:p>
    <w:p>
      <w:pPr>
        <w:spacing w:line="400" w:lineRule="exact"/>
        <w:rPr>
          <w:rFonts w:ascii="宋体"/>
          <w:color w:val="auto"/>
          <w:sz w:val="24"/>
          <w:szCs w:val="24"/>
          <w:highlight w:val="none"/>
        </w:rPr>
      </w:pPr>
      <w:r>
        <w:rPr>
          <w:rFonts w:ascii="宋体"/>
          <w:color w:val="auto"/>
          <w:sz w:val="24"/>
          <w:szCs w:val="24"/>
          <w:highlight w:val="none"/>
        </w:rPr>
        <w:t>卖方：（以下简称乙方）</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为规范双方业务往来活动，建立诚实守信的商务合作关系，共同维护双方合法权益，防止违法违纪现象发生，经友好协商，双方就业务往来中的廉洁事宜达成此互保协议。</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第一条甲乙双方共同的权利和义务</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严格遵守国家有关法律法规，坚持诚实守信原则，恪守商业道德，规范商务人员廉洁从业行为。</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2</w:t>
      </w:r>
      <w:r>
        <w:rPr>
          <w:rFonts w:hint="eastAsia" w:ascii="宋体"/>
          <w:color w:val="auto"/>
          <w:sz w:val="24"/>
          <w:szCs w:val="24"/>
          <w:highlight w:val="none"/>
        </w:rPr>
        <w:t>.</w:t>
      </w:r>
      <w:r>
        <w:rPr>
          <w:rFonts w:ascii="宋体"/>
          <w:color w:val="auto"/>
          <w:sz w:val="24"/>
          <w:szCs w:val="24"/>
          <w:highlight w:val="none"/>
        </w:rPr>
        <w:t>双方业务活动坚持公开、公正、诚信、透明的原则（商业秘密和合同文件另有规定的除外），不得损害国家和对方利益。</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3</w:t>
      </w:r>
      <w:r>
        <w:rPr>
          <w:rFonts w:hint="eastAsia" w:ascii="宋体"/>
          <w:color w:val="auto"/>
          <w:sz w:val="24"/>
          <w:szCs w:val="24"/>
          <w:highlight w:val="none"/>
        </w:rPr>
        <w:t>.</w:t>
      </w:r>
      <w:r>
        <w:rPr>
          <w:rFonts w:ascii="宋体"/>
          <w:color w:val="auto"/>
          <w:sz w:val="24"/>
          <w:szCs w:val="24"/>
          <w:highlight w:val="none"/>
        </w:rPr>
        <w:t>发现对方工作人员在业务活动中有违反廉洁规定的行为，有及时要求对方纠正并向对方举报的权利和义务；涉嫌违法的，可以依法向有关部门举报。</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4</w:t>
      </w:r>
      <w:r>
        <w:rPr>
          <w:rFonts w:hint="eastAsia" w:ascii="宋体"/>
          <w:color w:val="auto"/>
          <w:sz w:val="24"/>
          <w:szCs w:val="24"/>
          <w:highlight w:val="none"/>
        </w:rPr>
        <w:t>.</w:t>
      </w:r>
      <w:r>
        <w:rPr>
          <w:rFonts w:ascii="宋体"/>
          <w:color w:val="auto"/>
          <w:sz w:val="24"/>
          <w:szCs w:val="24"/>
          <w:highlight w:val="none"/>
        </w:rPr>
        <w:t>对涉嫌不廉洁的商业行为进行调查时，双方有相互配合、提供证据、作证的义务。</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5</w:t>
      </w:r>
      <w:r>
        <w:rPr>
          <w:rFonts w:hint="eastAsia" w:ascii="宋体"/>
          <w:color w:val="auto"/>
          <w:sz w:val="24"/>
          <w:szCs w:val="24"/>
          <w:highlight w:val="none"/>
        </w:rPr>
        <w:t>.</w:t>
      </w:r>
      <w:r>
        <w:rPr>
          <w:rFonts w:ascii="宋体"/>
          <w:color w:val="auto"/>
          <w:sz w:val="24"/>
          <w:szCs w:val="24"/>
          <w:highlight w:val="none"/>
        </w:rPr>
        <w:t>未经对方同意，不向任何新闻媒体、第三人述及有关对方工作人员恪守商业道德方面的评价、信息。</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6</w:t>
      </w:r>
      <w:r>
        <w:rPr>
          <w:rFonts w:hint="eastAsia" w:ascii="宋体"/>
          <w:color w:val="auto"/>
          <w:sz w:val="24"/>
          <w:szCs w:val="24"/>
          <w:highlight w:val="none"/>
        </w:rPr>
        <w:t>.</w:t>
      </w:r>
      <w:r>
        <w:rPr>
          <w:rFonts w:ascii="宋体"/>
          <w:color w:val="auto"/>
          <w:sz w:val="24"/>
          <w:szCs w:val="24"/>
          <w:highlight w:val="none"/>
        </w:rPr>
        <w:t>双方应依法保护举报人员，不得以任何方式对举报人员进行打击报复。</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第二条甲方的廉洁责任</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甲方工作人员不得以任何形式索要或接受乙方的礼金、礼品和有价证券，不得在乙方报销任何应由个人支付的各种费用。</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2</w:t>
      </w:r>
      <w:r>
        <w:rPr>
          <w:rFonts w:hint="eastAsia" w:ascii="宋体"/>
          <w:color w:val="auto"/>
          <w:sz w:val="24"/>
          <w:szCs w:val="24"/>
          <w:highlight w:val="none"/>
        </w:rPr>
        <w:t>.</w:t>
      </w:r>
      <w:r>
        <w:rPr>
          <w:rFonts w:ascii="宋体"/>
          <w:color w:val="auto"/>
          <w:sz w:val="24"/>
          <w:szCs w:val="24"/>
          <w:highlight w:val="none"/>
        </w:rPr>
        <w:t>甲方工作人员不得私自参加乙方安排的宴请，不得私自接受乙方提供的通讯、交通工具和办公用品，不得向乙方泄露谈判中的商业秘密。</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3</w:t>
      </w:r>
      <w:r>
        <w:rPr>
          <w:rFonts w:hint="eastAsia" w:ascii="宋体"/>
          <w:color w:val="auto"/>
          <w:sz w:val="24"/>
          <w:szCs w:val="24"/>
          <w:highlight w:val="none"/>
        </w:rPr>
        <w:t>.</w:t>
      </w:r>
      <w:r>
        <w:rPr>
          <w:rFonts w:ascii="宋体"/>
          <w:color w:val="auto"/>
          <w:sz w:val="24"/>
          <w:szCs w:val="24"/>
          <w:highlight w:val="none"/>
        </w:rPr>
        <w:t>甲方工作人员不得要求或者接受乙方以住房装修、婚丧嫁娶、家属及其他亲属的工作安排、出国出境、旅游等为理由所提供的方便。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4</w:t>
      </w:r>
      <w:r>
        <w:rPr>
          <w:rFonts w:hint="eastAsia" w:ascii="宋体"/>
          <w:color w:val="auto"/>
          <w:sz w:val="24"/>
          <w:szCs w:val="24"/>
          <w:highlight w:val="none"/>
        </w:rPr>
        <w:t>.</w:t>
      </w:r>
      <w:r>
        <w:rPr>
          <w:rFonts w:ascii="宋体"/>
          <w:color w:val="auto"/>
          <w:sz w:val="24"/>
          <w:szCs w:val="24"/>
          <w:highlight w:val="none"/>
        </w:rPr>
        <w:t>甲方工作人员不得以任何理由向乙方推荐物资供应单位、工程承包或劳务分包单位，合同另有约定除外。</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第三条乙方的廉洁责任</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乙方及其工作人员不得为甲方工作人员提供回扣、礼金、有价证券、贵重物品和报销个人费用。</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2</w:t>
      </w:r>
      <w:r>
        <w:rPr>
          <w:rFonts w:hint="eastAsia" w:ascii="宋体"/>
          <w:color w:val="auto"/>
          <w:sz w:val="24"/>
          <w:szCs w:val="24"/>
          <w:highlight w:val="none"/>
        </w:rPr>
        <w:t>.</w:t>
      </w:r>
      <w:r>
        <w:rPr>
          <w:rFonts w:ascii="宋体"/>
          <w:color w:val="auto"/>
          <w:sz w:val="24"/>
          <w:szCs w:val="24"/>
          <w:highlight w:val="none"/>
        </w:rPr>
        <w:t>乙方及其工作人员不得为甲方工作人员安排有可能影响公平、公正交易的宴请、健身、娱乐等活动。</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3</w:t>
      </w:r>
      <w:r>
        <w:rPr>
          <w:rFonts w:hint="eastAsia" w:ascii="宋体"/>
          <w:color w:val="auto"/>
          <w:sz w:val="24"/>
          <w:szCs w:val="24"/>
          <w:highlight w:val="none"/>
        </w:rPr>
        <w:t>.</w:t>
      </w:r>
      <w:r>
        <w:rPr>
          <w:rFonts w:ascii="宋体"/>
          <w:color w:val="auto"/>
          <w:sz w:val="24"/>
          <w:szCs w:val="24"/>
          <w:highlight w:val="none"/>
        </w:rPr>
        <w:t>乙方及其工作人员不得为甲方工作人员投资入股、个人借款或买卖股票、债券等提供方便。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4</w:t>
      </w:r>
      <w:r>
        <w:rPr>
          <w:rFonts w:hint="eastAsia" w:ascii="宋体"/>
          <w:color w:val="auto"/>
          <w:sz w:val="24"/>
          <w:szCs w:val="24"/>
          <w:highlight w:val="none"/>
        </w:rPr>
        <w:t>.</w:t>
      </w:r>
      <w:r>
        <w:rPr>
          <w:rFonts w:ascii="宋体"/>
          <w:color w:val="auto"/>
          <w:sz w:val="24"/>
          <w:szCs w:val="24"/>
          <w:highlight w:val="none"/>
        </w:rPr>
        <w:t>乙方及其工作人员不得为甲方工作人员购买或装修住房、婚丧嫁娶、配偶子女上学或工作安排以及出国出境、旅游等提供方便。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5</w:t>
      </w:r>
      <w:r>
        <w:rPr>
          <w:rFonts w:hint="eastAsia" w:ascii="宋体"/>
          <w:color w:val="auto"/>
          <w:sz w:val="24"/>
          <w:szCs w:val="24"/>
          <w:highlight w:val="none"/>
        </w:rPr>
        <w:t>.</w:t>
      </w:r>
      <w:r>
        <w:rPr>
          <w:rFonts w:ascii="宋体"/>
          <w:color w:val="auto"/>
          <w:sz w:val="24"/>
          <w:szCs w:val="24"/>
          <w:highlight w:val="none"/>
        </w:rPr>
        <w:t>乙方及其工作人员不得为甲方工作人员在其相关企业挂名兼职、合伙经营、介绍承揽业务等提供方便。</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6</w:t>
      </w:r>
      <w:r>
        <w:rPr>
          <w:rFonts w:hint="eastAsia" w:ascii="宋体"/>
          <w:color w:val="auto"/>
          <w:sz w:val="24"/>
          <w:szCs w:val="24"/>
          <w:highlight w:val="none"/>
        </w:rPr>
        <w:t>.</w:t>
      </w:r>
      <w:r>
        <w:rPr>
          <w:rFonts w:ascii="宋体"/>
          <w:color w:val="auto"/>
          <w:sz w:val="24"/>
          <w:szCs w:val="24"/>
          <w:highlight w:val="none"/>
        </w:rPr>
        <w:t>乙方及其工作人员不得利用非法手段向甲方工作人员打探有关涉及甲方的商业秘密、业务渠道等。</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7</w:t>
      </w:r>
      <w:r>
        <w:rPr>
          <w:rFonts w:hint="eastAsia" w:ascii="宋体"/>
          <w:color w:val="auto"/>
          <w:sz w:val="24"/>
          <w:szCs w:val="24"/>
          <w:highlight w:val="none"/>
        </w:rPr>
        <w:t>.</w:t>
      </w:r>
      <w:r>
        <w:rPr>
          <w:rFonts w:ascii="宋体"/>
          <w:color w:val="auto"/>
          <w:sz w:val="24"/>
          <w:szCs w:val="24"/>
          <w:highlight w:val="none"/>
        </w:rPr>
        <w:t>乙方及其工作人员与甲方发生业务往来过程中，不得有弄虚作假、以次充好、虚结虚算等违反诚信原则的行为。</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8</w:t>
      </w:r>
      <w:r>
        <w:rPr>
          <w:rFonts w:hint="eastAsia" w:ascii="宋体"/>
          <w:color w:val="auto"/>
          <w:sz w:val="24"/>
          <w:szCs w:val="24"/>
          <w:highlight w:val="none"/>
        </w:rPr>
        <w:t>.</w:t>
      </w:r>
      <w:r>
        <w:rPr>
          <w:rFonts w:ascii="宋体"/>
          <w:color w:val="auto"/>
          <w:sz w:val="24"/>
          <w:szCs w:val="24"/>
          <w:highlight w:val="none"/>
        </w:rPr>
        <w:t>其它违反廉洁规定的行为。</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第四条甲方工作人员有违反本协议行为的，甲方应按照管理权限，依据有关规定给予纪律处分、组织处理或经济处罚；涉嫌犯罪的，移交司法机关追究法律责任。</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第五条乙方及其工作人员有违反本协议行为的，甲方有权根据情节和所造成的影响采取以下相应措施：</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情节轻微的，要求乙方对相关工作人员进行处分处理，并限期整改。</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2</w:t>
      </w:r>
      <w:r>
        <w:rPr>
          <w:rFonts w:hint="eastAsia" w:ascii="宋体"/>
          <w:color w:val="auto"/>
          <w:sz w:val="24"/>
          <w:szCs w:val="24"/>
          <w:highlight w:val="none"/>
        </w:rPr>
        <w:t>.</w:t>
      </w:r>
      <w:r>
        <w:rPr>
          <w:rFonts w:ascii="宋体"/>
          <w:color w:val="auto"/>
          <w:sz w:val="24"/>
          <w:szCs w:val="24"/>
          <w:highlight w:val="none"/>
        </w:rPr>
        <w:t>导致甲方工作人员受到纪律处分、组织处理或构成违法犯罪的，扣罚乙方合同金额50%的违约金，列入永久禁入中煤市场黑名单。</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3</w:t>
      </w:r>
      <w:r>
        <w:rPr>
          <w:rFonts w:hint="eastAsia" w:ascii="宋体"/>
          <w:color w:val="auto"/>
          <w:sz w:val="24"/>
          <w:szCs w:val="24"/>
          <w:highlight w:val="none"/>
        </w:rPr>
        <w:t>.</w:t>
      </w:r>
      <w:r>
        <w:rPr>
          <w:rFonts w:ascii="宋体"/>
          <w:color w:val="auto"/>
          <w:sz w:val="24"/>
          <w:szCs w:val="24"/>
          <w:highlight w:val="none"/>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第六条本协议作为双方签订的所有业务合同的组成部分，与业务合同具有同等法律效力。</w:t>
      </w:r>
    </w:p>
    <w:p>
      <w:pPr>
        <w:spacing w:line="400" w:lineRule="exact"/>
        <w:ind w:firstLine="480" w:firstLineChars="200"/>
        <w:rPr>
          <w:rFonts w:ascii="宋体"/>
          <w:color w:val="auto"/>
          <w:sz w:val="24"/>
          <w:szCs w:val="24"/>
          <w:highlight w:val="none"/>
        </w:rPr>
      </w:pPr>
      <w:r>
        <w:rPr>
          <w:rFonts w:ascii="宋体"/>
          <w:color w:val="auto"/>
          <w:sz w:val="24"/>
          <w:szCs w:val="24"/>
          <w:highlight w:val="none"/>
        </w:rPr>
        <w:t>第七条本协议自双方签字盖章之日起生效，有效期与合同履约期一致。</w:t>
      </w:r>
    </w:p>
    <w:p>
      <w:pPr>
        <w:spacing w:line="400" w:lineRule="exact"/>
        <w:ind w:firstLine="480" w:firstLineChars="200"/>
        <w:rPr>
          <w:rFonts w:ascii="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color w:val="auto"/>
          <w:sz w:val="24"/>
          <w:szCs w:val="24"/>
          <w:highlight w:val="none"/>
        </w:rPr>
      </w:pPr>
      <w:r>
        <w:rPr>
          <w:rFonts w:ascii="宋体"/>
          <w:color w:val="auto"/>
          <w:sz w:val="24"/>
          <w:szCs w:val="24"/>
          <w:highlight w:val="none"/>
        </w:rPr>
        <w:t>甲方：（盖章）乙方：（盖章）</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法定代表人：</w:t>
      </w:r>
      <w:r>
        <w:rPr>
          <w:rFonts w:ascii="宋体"/>
          <w:color w:val="auto"/>
          <w:sz w:val="24"/>
          <w:szCs w:val="24"/>
          <w:highlight w:val="none"/>
        </w:rPr>
        <w:t>（签字）</w:t>
      </w:r>
      <w:r>
        <w:rPr>
          <w:rFonts w:hint="eastAsia" w:ascii="宋体"/>
          <w:color w:val="auto"/>
          <w:sz w:val="24"/>
          <w:szCs w:val="24"/>
          <w:highlight w:val="none"/>
        </w:rPr>
        <w:t>法定代表人：</w:t>
      </w:r>
      <w:r>
        <w:rPr>
          <w:rFonts w:ascii="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color w:val="auto"/>
          <w:sz w:val="24"/>
          <w:szCs w:val="24"/>
          <w:highlight w:val="none"/>
        </w:rPr>
      </w:pPr>
      <w:r>
        <w:rPr>
          <w:rFonts w:ascii="宋体"/>
          <w:color w:val="auto"/>
          <w:sz w:val="24"/>
          <w:szCs w:val="24"/>
          <w:highlight w:val="none"/>
        </w:rPr>
        <w:t>授权代表：（签字）授权代表：（签字）</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color w:val="auto"/>
          <w:sz w:val="24"/>
          <w:szCs w:val="24"/>
          <w:highlight w:val="none"/>
        </w:rPr>
      </w:pPr>
      <w:r>
        <w:rPr>
          <w:rFonts w:ascii="宋体"/>
          <w:color w:val="auto"/>
          <w:sz w:val="24"/>
          <w:szCs w:val="24"/>
          <w:highlight w:val="none"/>
        </w:rPr>
        <w:t>地址：地址：</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color w:val="auto"/>
          <w:sz w:val="24"/>
          <w:szCs w:val="24"/>
          <w:highlight w:val="none"/>
        </w:rPr>
      </w:pPr>
      <w:r>
        <w:rPr>
          <w:rFonts w:ascii="宋体"/>
          <w:color w:val="auto"/>
          <w:sz w:val="24"/>
          <w:szCs w:val="24"/>
          <w:highlight w:val="none"/>
        </w:rPr>
        <w:t>电话：电话：</w:t>
      </w:r>
    </w:p>
    <w:p>
      <w:pPr>
        <w:keepNext w:val="0"/>
        <w:keepLines w:val="0"/>
        <w:pageBreakBefore w:val="0"/>
        <w:widowControl/>
        <w:kinsoku/>
        <w:wordWrap/>
        <w:overflowPunct/>
        <w:topLinePunct w:val="0"/>
        <w:autoSpaceDE/>
        <w:autoSpaceDN/>
        <w:bidi w:val="0"/>
        <w:adjustRightInd/>
        <w:snapToGrid/>
        <w:spacing w:line="600" w:lineRule="exact"/>
        <w:ind w:firstLine="1920" w:firstLineChars="800"/>
        <w:textAlignment w:val="auto"/>
        <w:rPr>
          <w:rFonts w:ascii="宋体"/>
          <w:color w:val="auto"/>
          <w:sz w:val="24"/>
          <w:szCs w:val="24"/>
          <w:highlight w:val="none"/>
        </w:rPr>
      </w:pPr>
      <w:r>
        <w:rPr>
          <w:rFonts w:ascii="宋体"/>
          <w:color w:val="auto"/>
          <w:sz w:val="24"/>
          <w:szCs w:val="24"/>
          <w:highlight w:val="none"/>
        </w:rPr>
        <w:t>年月日年月日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color w:val="auto"/>
          <w:highlight w:val="none"/>
        </w:rPr>
      </w:pPr>
    </w:p>
    <w:p>
      <w:pPr>
        <w:widowControl w:val="0"/>
        <w:tabs>
          <w:tab w:val="left" w:pos="360"/>
          <w:tab w:val="left" w:pos="720"/>
          <w:tab w:val="left" w:pos="3060"/>
        </w:tabs>
        <w:spacing w:line="500" w:lineRule="exact"/>
        <w:ind w:left="600" w:leftChars="300" w:firstLine="300" w:firstLineChars="150"/>
        <w:rPr>
          <w:rFonts w:ascii="宋体"/>
          <w:b/>
          <w:color w:val="auto"/>
          <w:kern w:val="2"/>
          <w:sz w:val="24"/>
          <w:szCs w:val="24"/>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snapToGrid/>
        <w:spacing w:before="20" w:after="20" w:line="416" w:lineRule="auto"/>
        <w:textAlignment w:val="auto"/>
        <w:rPr>
          <w:rFonts w:hint="eastAsia" w:eastAsia="宋体"/>
          <w:color w:val="auto"/>
          <w:highlight w:val="none"/>
          <w:lang w:eastAsia="zh-CN"/>
        </w:rPr>
      </w:pPr>
      <w:bookmarkStart w:id="225" w:name="_Toc19778"/>
      <w:bookmarkStart w:id="226" w:name="_Toc10122287"/>
      <w:bookmarkStart w:id="227" w:name="_Toc10184896"/>
      <w:r>
        <w:rPr>
          <w:rStyle w:val="29"/>
          <w:rFonts w:hint="eastAsia"/>
          <w:b/>
          <w:bCs/>
          <w:color w:val="auto"/>
          <w:sz w:val="28"/>
          <w:szCs w:val="28"/>
          <w:highlight w:val="none"/>
        </w:rPr>
        <w:t>格式十</w:t>
      </w:r>
      <w:bookmarkEnd w:id="225"/>
      <w:r>
        <w:rPr>
          <w:rStyle w:val="29"/>
          <w:rFonts w:hint="eastAsia"/>
          <w:b/>
          <w:bCs/>
          <w:color w:val="auto"/>
          <w:sz w:val="28"/>
          <w:szCs w:val="28"/>
          <w:highlight w:val="none"/>
          <w:lang w:val="en-US" w:eastAsia="zh-CN"/>
        </w:rPr>
        <w:t>一</w:t>
      </w:r>
    </w:p>
    <w:p>
      <w:pPr>
        <w:pStyle w:val="4"/>
        <w:jc w:val="center"/>
        <w:rPr>
          <w:rFonts w:hint="eastAsia"/>
          <w:color w:val="auto"/>
          <w:highlight w:val="none"/>
        </w:rPr>
      </w:pPr>
      <w:bookmarkStart w:id="228" w:name="_Toc15229"/>
      <w:r>
        <w:rPr>
          <w:rFonts w:hint="eastAsia"/>
          <w:color w:val="auto"/>
          <w:highlight w:val="none"/>
        </w:rPr>
        <w:t>其他证明材料</w:t>
      </w:r>
      <w:bookmarkEnd w:id="226"/>
      <w:bookmarkEnd w:id="227"/>
      <w:bookmarkEnd w:id="228"/>
    </w:p>
    <w:p>
      <w:pPr>
        <w:rPr>
          <w:color w:val="auto"/>
          <w:highlight w:val="none"/>
        </w:rPr>
      </w:pPr>
    </w:p>
    <w:p>
      <w:pPr>
        <w:widowControl w:val="0"/>
        <w:tabs>
          <w:tab w:val="left" w:pos="1080"/>
          <w:tab w:val="left" w:pos="1980"/>
          <w:tab w:val="left" w:pos="2160"/>
          <w:tab w:val="left" w:pos="2340"/>
          <w:tab w:val="left" w:pos="2520"/>
          <w:tab w:val="left" w:pos="2700"/>
          <w:tab w:val="left" w:pos="3240"/>
        </w:tabs>
        <w:spacing w:line="400" w:lineRule="exact"/>
        <w:jc w:val="center"/>
        <w:rPr>
          <w:rFonts w:ascii="宋体"/>
          <w:b/>
          <w:color w:val="auto"/>
          <w:kern w:val="2"/>
          <w:sz w:val="28"/>
          <w:szCs w:val="28"/>
          <w:highlight w:val="none"/>
        </w:rPr>
        <w:sectPr>
          <w:headerReference r:id="rId7" w:type="default"/>
          <w:footerReference r:id="rId8" w:type="default"/>
          <w:pgSz w:w="11907" w:h="16840"/>
          <w:pgMar w:top="1418" w:right="1134" w:bottom="1134" w:left="1474" w:header="1021" w:footer="907" w:gutter="0"/>
          <w:pgBorders>
            <w:top w:val="none" w:sz="0" w:space="0"/>
            <w:left w:val="none" w:sz="0" w:space="0"/>
            <w:bottom w:val="none" w:sz="0" w:space="0"/>
            <w:right w:val="none" w:sz="0" w:space="0"/>
          </w:pgBorders>
          <w:pgNumType w:fmt="decimal"/>
          <w:cols w:space="720" w:num="1"/>
          <w:docGrid w:linePitch="312" w:charSpace="0"/>
        </w:sectPr>
      </w:pPr>
    </w:p>
    <w:p>
      <w:pPr>
        <w:widowControl w:val="0"/>
        <w:spacing w:line="500" w:lineRule="exact"/>
        <w:jc w:val="center"/>
        <w:rPr>
          <w:rFonts w:hint="eastAsia" w:ascii="宋体"/>
          <w:b/>
          <w:bCs/>
          <w:color w:val="auto"/>
          <w:kern w:val="2"/>
          <w:sz w:val="32"/>
          <w:szCs w:val="32"/>
          <w:highlight w:val="none"/>
        </w:rPr>
      </w:pPr>
      <w:r>
        <w:rPr>
          <w:rFonts w:ascii="宋体"/>
          <w:b/>
          <w:bCs/>
          <w:color w:val="auto"/>
          <w:kern w:val="2"/>
          <w:sz w:val="32"/>
          <w:szCs w:val="32"/>
          <w:highlight w:val="none"/>
        </w:rPr>
        <w:t>第二部分：</w:t>
      </w:r>
      <w:r>
        <w:rPr>
          <w:rFonts w:hint="eastAsia" w:ascii="宋体"/>
          <w:b/>
          <w:bCs/>
          <w:color w:val="auto"/>
          <w:kern w:val="2"/>
          <w:sz w:val="32"/>
          <w:szCs w:val="32"/>
          <w:highlight w:val="none"/>
        </w:rPr>
        <w:t>采购响应</w:t>
      </w:r>
      <w:r>
        <w:rPr>
          <w:rFonts w:ascii="宋体"/>
          <w:b/>
          <w:bCs/>
          <w:color w:val="auto"/>
          <w:kern w:val="2"/>
          <w:sz w:val="32"/>
          <w:szCs w:val="32"/>
          <w:highlight w:val="none"/>
        </w:rPr>
        <w:t>文件</w:t>
      </w:r>
      <w:r>
        <w:rPr>
          <w:rFonts w:hint="eastAsia" w:ascii="宋体"/>
          <w:b/>
          <w:bCs/>
          <w:color w:val="auto"/>
          <w:kern w:val="2"/>
          <w:sz w:val="32"/>
          <w:szCs w:val="32"/>
          <w:highlight w:val="none"/>
        </w:rPr>
        <w:t>技术部分</w:t>
      </w:r>
    </w:p>
    <w:p>
      <w:pPr>
        <w:pStyle w:val="9"/>
        <w:rPr>
          <w:color w:val="auto"/>
          <w:highlight w:val="none"/>
        </w:rPr>
      </w:pPr>
    </w:p>
    <w:p>
      <w:pPr>
        <w:rPr>
          <w:color w:val="auto"/>
          <w:highlight w:val="none"/>
        </w:rPr>
      </w:pPr>
    </w:p>
    <w:sectPr>
      <w:pgSz w:w="11907" w:h="16840"/>
      <w:pgMar w:top="1418" w:right="1275" w:bottom="1418" w:left="1531" w:header="1021" w:footer="90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10" name="_x0000_s3073"/>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wps:spPr>
                    <wps:txbx>
                      <w:txbxContent>
                        <w:p>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_x0000_s3073" o:spid="_x0000_s1026" o:spt="1" style="position:absolute;left:0pt;margin-top:0pt;height:10.35pt;width:4.5pt;mso-position-horizontal:center;mso-position-horizontal-relative:margin;mso-wrap-style:none;z-index:251660288;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Oh21oDcAQAApwMAAA4AAABkcnMvZTJvRG9jLnhtbK1TTY/TMBC9I/Ef&#10;LN9pkpbQ3ajpClEtQkKw0sJ55Tp2Yslf8rhNyq9n7PRjBTdEDvbYHj/Pe/OyeZiMJkcRQDnb0mpR&#10;UiIsd52yfUt//nh8d0cJRGY7pp0VLT0JoA/bt282o2/E0g1OdyIQBLHQjL6lQ4y+KQrggzAMFs4L&#10;i4fSBcMiLkNfdIGNiG50sSzLD8XoQueD4wIAd3fzId1mfCkFj9+lBBGJbinWFvMY8rhPY7HdsKYP&#10;zA+Kn8tg/1CFYcrio1eoHYuMHIL6C8ooHhw4GRfcmcJJqbjIHJBNVf7B5nlgXmQuKA74q0zw/2D5&#10;t+NTIKrD3qE8lhns0ctU4vcCq3K9SgKNHhrMe/ZP4bwCDBPbSQaTZuRBpizq6SqqmCLhuFmvq/f3&#10;lHA8qVZVXa8TZHG76wPEz8IZkoKWBmxZVpIdv0KcUy8p6SnrHpXWuM8abcnY0vt6WSM8Q/NIzSKG&#10;xiMdsH2GeZWfYHYMBnJk6AZwWnVz/42KIlHDqrTFKRGeKaYoTvsJD1O4d90J5UK/Y6WDC78oGdE7&#10;LbVobkr0F4utSTa7BOES7C8BsxwvthQLncNPcbbjwQfVD4hb5brBfzxE5JoluL19rg7dkMs9OzfZ&#10;7fU6Z93+r+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A2zONAAAAACAQAADwAAAAAAAAABACAA&#10;AAAiAAAAZHJzL2Rvd25yZXYueG1sUEsBAhQAFAAAAAgAh07iQOh21oDcAQAApwMAAA4AAAAAAAAA&#10;AQAgAAAAHwEAAGRycy9lMm9Eb2MueG1sUEsFBgAAAAAGAAYAWQEAAG0FAAAAAA==&#10;">
              <v:fill on="f" focussize="0,0"/>
              <v:stroke on="f" joinstyle="miter"/>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ind w:right="360"/>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935CE"/>
    <w:multiLevelType w:val="singleLevel"/>
    <w:tmpl w:val="8BA935CE"/>
    <w:lvl w:ilvl="0" w:tentative="0">
      <w:start w:val="4"/>
      <w:numFmt w:val="chineseCounting"/>
      <w:suff w:val="space"/>
      <w:lvlText w:val="第%1章"/>
      <w:lvlJc w:val="left"/>
      <w:rPr>
        <w:rFonts w:hint="eastAsia"/>
      </w:rPr>
    </w:lvl>
  </w:abstractNum>
  <w:abstractNum w:abstractNumId="1">
    <w:nsid w:val="B31A56DC"/>
    <w:multiLevelType w:val="singleLevel"/>
    <w:tmpl w:val="B31A56DC"/>
    <w:lvl w:ilvl="0" w:tentative="0">
      <w:start w:val="1"/>
      <w:numFmt w:val="decimal"/>
      <w:pStyle w:val="12"/>
      <w:lvlText w:val="%1."/>
      <w:lvlJc w:val="left"/>
      <w:pPr>
        <w:tabs>
          <w:tab w:val="left" w:pos="2040"/>
        </w:tabs>
        <w:ind w:left="2040" w:hanging="360"/>
      </w:pPr>
    </w:lvl>
  </w:abstractNum>
  <w:abstractNum w:abstractNumId="2">
    <w:nsid w:val="D3BCB81A"/>
    <w:multiLevelType w:val="singleLevel"/>
    <w:tmpl w:val="D3BCB81A"/>
    <w:lvl w:ilvl="0" w:tentative="0">
      <w:start w:val="1"/>
      <w:numFmt w:val="decimal"/>
      <w:suff w:val="space"/>
      <w:lvlText w:val="%1)"/>
      <w:lvlJc w:val="left"/>
      <w:pPr>
        <w:tabs>
          <w:tab w:val="left" w:pos="0"/>
        </w:tabs>
        <w:ind w:left="0" w:firstLine="0"/>
      </w:pPr>
    </w:lvl>
  </w:abstractNum>
  <w:abstractNum w:abstractNumId="3">
    <w:nsid w:val="4819674B"/>
    <w:multiLevelType w:val="singleLevel"/>
    <w:tmpl w:val="4819674B"/>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NkODdlYmNiMDFjM2FkOGMzZmMwZmNlNmY2MTkifQ=="/>
  </w:docVars>
  <w:rsids>
    <w:rsidRoot w:val="00000000"/>
    <w:rsid w:val="024C770E"/>
    <w:rsid w:val="034D13A0"/>
    <w:rsid w:val="03672A69"/>
    <w:rsid w:val="04065A37"/>
    <w:rsid w:val="05500D64"/>
    <w:rsid w:val="05724B32"/>
    <w:rsid w:val="059030B0"/>
    <w:rsid w:val="05C66582"/>
    <w:rsid w:val="06587C2F"/>
    <w:rsid w:val="065E044E"/>
    <w:rsid w:val="06EE5BB2"/>
    <w:rsid w:val="08000AA2"/>
    <w:rsid w:val="08902ECF"/>
    <w:rsid w:val="08947AEF"/>
    <w:rsid w:val="08D114E9"/>
    <w:rsid w:val="08EC24F2"/>
    <w:rsid w:val="09084F35"/>
    <w:rsid w:val="09151AB9"/>
    <w:rsid w:val="09CA1DAD"/>
    <w:rsid w:val="0AC04756"/>
    <w:rsid w:val="0B5D69E6"/>
    <w:rsid w:val="0C6406F3"/>
    <w:rsid w:val="0D7638C4"/>
    <w:rsid w:val="0D824EEE"/>
    <w:rsid w:val="0E2E185D"/>
    <w:rsid w:val="0E426409"/>
    <w:rsid w:val="0E8F4BCF"/>
    <w:rsid w:val="0EF507F1"/>
    <w:rsid w:val="100A54A2"/>
    <w:rsid w:val="10AD5CEC"/>
    <w:rsid w:val="115A3627"/>
    <w:rsid w:val="12EA15C1"/>
    <w:rsid w:val="13A34054"/>
    <w:rsid w:val="13E11DEC"/>
    <w:rsid w:val="13E87382"/>
    <w:rsid w:val="14434E9B"/>
    <w:rsid w:val="144F4FD5"/>
    <w:rsid w:val="158205F4"/>
    <w:rsid w:val="15976B0E"/>
    <w:rsid w:val="15F32270"/>
    <w:rsid w:val="161D69B9"/>
    <w:rsid w:val="16481A88"/>
    <w:rsid w:val="16A2033E"/>
    <w:rsid w:val="170B4096"/>
    <w:rsid w:val="179F3655"/>
    <w:rsid w:val="18457037"/>
    <w:rsid w:val="187B6544"/>
    <w:rsid w:val="18C0090D"/>
    <w:rsid w:val="19ED6F00"/>
    <w:rsid w:val="1A0B117F"/>
    <w:rsid w:val="1A241914"/>
    <w:rsid w:val="1A666E0E"/>
    <w:rsid w:val="1B75662A"/>
    <w:rsid w:val="1C6E4673"/>
    <w:rsid w:val="1C866634"/>
    <w:rsid w:val="1D4E1535"/>
    <w:rsid w:val="20562304"/>
    <w:rsid w:val="20A52A28"/>
    <w:rsid w:val="21350A7C"/>
    <w:rsid w:val="21871212"/>
    <w:rsid w:val="21900E99"/>
    <w:rsid w:val="21EA1B47"/>
    <w:rsid w:val="228855B0"/>
    <w:rsid w:val="235F36AA"/>
    <w:rsid w:val="23CA57BE"/>
    <w:rsid w:val="24BD14E1"/>
    <w:rsid w:val="26504478"/>
    <w:rsid w:val="266F67A0"/>
    <w:rsid w:val="267434FA"/>
    <w:rsid w:val="26892371"/>
    <w:rsid w:val="26902605"/>
    <w:rsid w:val="27036861"/>
    <w:rsid w:val="270D3EF9"/>
    <w:rsid w:val="27A14B00"/>
    <w:rsid w:val="28727566"/>
    <w:rsid w:val="28A91DFF"/>
    <w:rsid w:val="2903535C"/>
    <w:rsid w:val="299E0356"/>
    <w:rsid w:val="2B550C7C"/>
    <w:rsid w:val="2B810631"/>
    <w:rsid w:val="2C5B5B88"/>
    <w:rsid w:val="2CA47FCA"/>
    <w:rsid w:val="2CC94F19"/>
    <w:rsid w:val="2CDE5784"/>
    <w:rsid w:val="2DAF5615"/>
    <w:rsid w:val="2DC765C5"/>
    <w:rsid w:val="2E836156"/>
    <w:rsid w:val="2EE61371"/>
    <w:rsid w:val="2F2221FE"/>
    <w:rsid w:val="30203D0F"/>
    <w:rsid w:val="318563AE"/>
    <w:rsid w:val="31FB7710"/>
    <w:rsid w:val="328E5B7D"/>
    <w:rsid w:val="329F3ABD"/>
    <w:rsid w:val="32ED3634"/>
    <w:rsid w:val="33227B2C"/>
    <w:rsid w:val="335D215E"/>
    <w:rsid w:val="343A10DA"/>
    <w:rsid w:val="34F80D33"/>
    <w:rsid w:val="35AD0B4E"/>
    <w:rsid w:val="35F51089"/>
    <w:rsid w:val="366070A8"/>
    <w:rsid w:val="367517C6"/>
    <w:rsid w:val="37253B0E"/>
    <w:rsid w:val="38105E2A"/>
    <w:rsid w:val="38505119"/>
    <w:rsid w:val="38D16421"/>
    <w:rsid w:val="398B4682"/>
    <w:rsid w:val="39DE6F98"/>
    <w:rsid w:val="3A044C97"/>
    <w:rsid w:val="3AE752A2"/>
    <w:rsid w:val="3BB93F7E"/>
    <w:rsid w:val="3C781738"/>
    <w:rsid w:val="3DED73C4"/>
    <w:rsid w:val="3E852B85"/>
    <w:rsid w:val="3F29410C"/>
    <w:rsid w:val="3F331288"/>
    <w:rsid w:val="3F47608F"/>
    <w:rsid w:val="3F6A012A"/>
    <w:rsid w:val="3FF6138E"/>
    <w:rsid w:val="410107C9"/>
    <w:rsid w:val="41651CD1"/>
    <w:rsid w:val="41B213DE"/>
    <w:rsid w:val="42605B55"/>
    <w:rsid w:val="426F3144"/>
    <w:rsid w:val="429A7D04"/>
    <w:rsid w:val="42D917FF"/>
    <w:rsid w:val="43AF4EA7"/>
    <w:rsid w:val="4466394A"/>
    <w:rsid w:val="44CB4119"/>
    <w:rsid w:val="45721BA3"/>
    <w:rsid w:val="45A30DDA"/>
    <w:rsid w:val="45C40BBB"/>
    <w:rsid w:val="460730D4"/>
    <w:rsid w:val="46267CED"/>
    <w:rsid w:val="46B26F4C"/>
    <w:rsid w:val="470C1357"/>
    <w:rsid w:val="4745058F"/>
    <w:rsid w:val="475B09DC"/>
    <w:rsid w:val="47682DC5"/>
    <w:rsid w:val="47A431DD"/>
    <w:rsid w:val="47DD4D6A"/>
    <w:rsid w:val="485C0526"/>
    <w:rsid w:val="48B66C15"/>
    <w:rsid w:val="48D94760"/>
    <w:rsid w:val="48DB1828"/>
    <w:rsid w:val="49211C55"/>
    <w:rsid w:val="498659ED"/>
    <w:rsid w:val="49C2750A"/>
    <w:rsid w:val="49E35AD3"/>
    <w:rsid w:val="4B3F3852"/>
    <w:rsid w:val="4B6F3C8A"/>
    <w:rsid w:val="4BC077E2"/>
    <w:rsid w:val="4CA95865"/>
    <w:rsid w:val="4D075A7B"/>
    <w:rsid w:val="4DB23357"/>
    <w:rsid w:val="4EB13D01"/>
    <w:rsid w:val="4F4256F2"/>
    <w:rsid w:val="4FB51306"/>
    <w:rsid w:val="4FE50D4D"/>
    <w:rsid w:val="4FE70B64"/>
    <w:rsid w:val="51176B17"/>
    <w:rsid w:val="51213248"/>
    <w:rsid w:val="518A3020"/>
    <w:rsid w:val="5218187D"/>
    <w:rsid w:val="522778FA"/>
    <w:rsid w:val="528F3E09"/>
    <w:rsid w:val="53F43F75"/>
    <w:rsid w:val="549C63ED"/>
    <w:rsid w:val="54E9468D"/>
    <w:rsid w:val="54EE274B"/>
    <w:rsid w:val="55EE4A48"/>
    <w:rsid w:val="5607212C"/>
    <w:rsid w:val="56172D3D"/>
    <w:rsid w:val="56E36E0D"/>
    <w:rsid w:val="56F23503"/>
    <w:rsid w:val="583843B2"/>
    <w:rsid w:val="59723C06"/>
    <w:rsid w:val="59F51706"/>
    <w:rsid w:val="5A1C3EAD"/>
    <w:rsid w:val="5AFA6DAA"/>
    <w:rsid w:val="5B0145CF"/>
    <w:rsid w:val="5BA16665"/>
    <w:rsid w:val="5C4A47C1"/>
    <w:rsid w:val="5C7F486B"/>
    <w:rsid w:val="5CDE34AA"/>
    <w:rsid w:val="5F213C14"/>
    <w:rsid w:val="5F7B254E"/>
    <w:rsid w:val="5FA27E8E"/>
    <w:rsid w:val="608510C0"/>
    <w:rsid w:val="619B4422"/>
    <w:rsid w:val="61C079CD"/>
    <w:rsid w:val="61D4645F"/>
    <w:rsid w:val="62114D39"/>
    <w:rsid w:val="62E26576"/>
    <w:rsid w:val="63E966EA"/>
    <w:rsid w:val="64BF4A9C"/>
    <w:rsid w:val="66174F11"/>
    <w:rsid w:val="66A8086C"/>
    <w:rsid w:val="67267B75"/>
    <w:rsid w:val="67C04B9F"/>
    <w:rsid w:val="67F00CB3"/>
    <w:rsid w:val="68A977CD"/>
    <w:rsid w:val="6A0A401F"/>
    <w:rsid w:val="6A5A768C"/>
    <w:rsid w:val="6BFC5AD9"/>
    <w:rsid w:val="6C7858C1"/>
    <w:rsid w:val="6D0F4A99"/>
    <w:rsid w:val="6D807001"/>
    <w:rsid w:val="6E351107"/>
    <w:rsid w:val="6E5E3651"/>
    <w:rsid w:val="6F0655AE"/>
    <w:rsid w:val="6F245EB5"/>
    <w:rsid w:val="71C439C8"/>
    <w:rsid w:val="72102D20"/>
    <w:rsid w:val="72FB15C8"/>
    <w:rsid w:val="732C2A4E"/>
    <w:rsid w:val="73303DE9"/>
    <w:rsid w:val="73977BA0"/>
    <w:rsid w:val="751C2206"/>
    <w:rsid w:val="7544678F"/>
    <w:rsid w:val="755577DE"/>
    <w:rsid w:val="75B53251"/>
    <w:rsid w:val="75D3302D"/>
    <w:rsid w:val="76430849"/>
    <w:rsid w:val="765807A9"/>
    <w:rsid w:val="76AE12FF"/>
    <w:rsid w:val="777914EB"/>
    <w:rsid w:val="784879E6"/>
    <w:rsid w:val="78E733E1"/>
    <w:rsid w:val="791212E4"/>
    <w:rsid w:val="793310AC"/>
    <w:rsid w:val="79382295"/>
    <w:rsid w:val="798F2E84"/>
    <w:rsid w:val="7A1050EB"/>
    <w:rsid w:val="7A4E6DAF"/>
    <w:rsid w:val="7A741583"/>
    <w:rsid w:val="7A954000"/>
    <w:rsid w:val="7AF96DF7"/>
    <w:rsid w:val="7C633DCB"/>
    <w:rsid w:val="7CA06D73"/>
    <w:rsid w:val="7D10648D"/>
    <w:rsid w:val="7D3154E4"/>
    <w:rsid w:val="7DD6370D"/>
    <w:rsid w:val="7DD64839"/>
    <w:rsid w:val="7FA52E1C"/>
    <w:rsid w:val="7FA53720"/>
    <w:rsid w:val="7FB9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widowControl w:val="0"/>
      <w:autoSpaceDE w:val="0"/>
      <w:autoSpaceDN w:val="0"/>
      <w:adjustRightInd w:val="0"/>
      <w:spacing w:line="440" w:lineRule="exact"/>
      <w:outlineLvl w:val="0"/>
    </w:pPr>
    <w:rPr>
      <w:rFonts w:ascii="宋体"/>
      <w:b/>
      <w:sz w:val="28"/>
    </w:rPr>
  </w:style>
  <w:style w:type="paragraph" w:styleId="4">
    <w:name w:val="heading 2"/>
    <w:basedOn w:val="1"/>
    <w:next w:val="1"/>
    <w:link w:val="29"/>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link w:val="23"/>
    <w:semiHidden/>
    <w:qFormat/>
    <w:uiPriority w:val="0"/>
    <w:rPr>
      <w:rFonts w:ascii="宋体" w:cs="宋体"/>
      <w:kern w:val="2"/>
      <w:sz w:val="24"/>
      <w:szCs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kern w:val="2"/>
      <w:sz w:val="21"/>
      <w:szCs w:val="24"/>
    </w:rPr>
  </w:style>
  <w:style w:type="paragraph" w:styleId="5">
    <w:name w:val="table of authorities"/>
    <w:basedOn w:val="1"/>
    <w:next w:val="1"/>
    <w:semiHidden/>
    <w:unhideWhenUsed/>
    <w:qFormat/>
    <w:uiPriority w:val="99"/>
    <w:pPr>
      <w:ind w:left="420" w:leftChars="200"/>
    </w:pPr>
  </w:style>
  <w:style w:type="paragraph" w:styleId="6">
    <w:name w:val="toa heading"/>
    <w:basedOn w:val="1"/>
    <w:next w:val="1"/>
    <w:qFormat/>
    <w:uiPriority w:val="0"/>
    <w:rPr>
      <w:rFonts w:ascii="Arial" w:hAnsi="Arial"/>
    </w:rPr>
  </w:style>
  <w:style w:type="paragraph" w:styleId="7">
    <w:name w:val="annotation text"/>
    <w:basedOn w:val="1"/>
    <w:qFormat/>
    <w:uiPriority w:val="0"/>
    <w:pPr>
      <w:jc w:val="left"/>
    </w:pPr>
  </w:style>
  <w:style w:type="paragraph" w:styleId="8">
    <w:name w:val="Body Text"/>
    <w:basedOn w:val="1"/>
    <w:next w:val="9"/>
    <w:qFormat/>
    <w:uiPriority w:val="0"/>
    <w:pPr>
      <w:widowControl w:val="0"/>
      <w:autoSpaceDE w:val="0"/>
      <w:autoSpaceDN w:val="0"/>
      <w:adjustRightInd w:val="0"/>
      <w:jc w:val="both"/>
    </w:pPr>
    <w:rPr>
      <w:b/>
      <w:sz w:val="21"/>
    </w:rPr>
  </w:style>
  <w:style w:type="paragraph" w:styleId="9">
    <w:name w:val="Body Text First Indent 2"/>
    <w:basedOn w:val="10"/>
    <w:next w:val="11"/>
    <w:qFormat/>
    <w:uiPriority w:val="0"/>
    <w:pPr>
      <w:tabs>
        <w:tab w:val="left" w:pos="1440"/>
      </w:tabs>
      <w:ind w:firstLine="560"/>
    </w:pPr>
  </w:style>
  <w:style w:type="paragraph" w:styleId="10">
    <w:name w:val="Body Text Indent"/>
    <w:basedOn w:val="1"/>
    <w:next w:val="1"/>
    <w:qFormat/>
    <w:uiPriority w:val="0"/>
    <w:pPr>
      <w:widowControl w:val="0"/>
      <w:adjustRightInd w:val="0"/>
      <w:spacing w:after="120" w:line="360" w:lineRule="atLeast"/>
      <w:ind w:left="200" w:leftChars="200"/>
      <w:textAlignment w:val="baseline"/>
    </w:pPr>
    <w:rPr>
      <w:sz w:val="24"/>
    </w:rPr>
  </w:style>
  <w:style w:type="paragraph" w:styleId="11">
    <w:name w:val="Plain Text"/>
    <w:basedOn w:val="1"/>
    <w:next w:val="12"/>
    <w:qFormat/>
    <w:uiPriority w:val="0"/>
    <w:pPr>
      <w:widowControl w:val="0"/>
      <w:jc w:val="both"/>
    </w:pPr>
    <w:rPr>
      <w:rFonts w:ascii="宋体"/>
      <w:kern w:val="2"/>
      <w:sz w:val="21"/>
    </w:rPr>
  </w:style>
  <w:style w:type="paragraph" w:styleId="12">
    <w:name w:val="List Number 5"/>
    <w:basedOn w:val="1"/>
    <w:qFormat/>
    <w:uiPriority w:val="0"/>
    <w:pPr>
      <w:numPr>
        <w:ilvl w:val="0"/>
        <w:numId w:val="1"/>
      </w:numPr>
    </w:pPr>
  </w:style>
  <w:style w:type="paragraph" w:styleId="13">
    <w:name w:val="Date"/>
    <w:basedOn w:val="1"/>
    <w:next w:val="1"/>
    <w:qFormat/>
    <w:uiPriority w:val="0"/>
    <w:pPr>
      <w:widowControl w:val="0"/>
      <w:ind w:left="100"/>
      <w:jc w:val="both"/>
    </w:pPr>
    <w:rPr>
      <w:kern w:val="2"/>
      <w:sz w:val="21"/>
    </w:rPr>
  </w:style>
  <w:style w:type="paragraph" w:styleId="14">
    <w:name w:val="footer"/>
    <w:basedOn w:val="1"/>
    <w:next w:val="1"/>
    <w:qFormat/>
    <w:uiPriority w:val="0"/>
    <w:pPr>
      <w:tabs>
        <w:tab w:val="center" w:pos="4153"/>
        <w:tab w:val="right" w:pos="8306"/>
      </w:tabs>
      <w:snapToGrid w:val="0"/>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val="0"/>
      <w:tabs>
        <w:tab w:val="right" w:leader="dot" w:pos="8931"/>
      </w:tabs>
      <w:spacing w:before="120" w:after="120"/>
    </w:pPr>
    <w:rPr>
      <w:rFonts w:eastAsia="黑体"/>
      <w:b/>
      <w:bCs/>
      <w:caps/>
      <w:kern w:val="2"/>
      <w:sz w:val="24"/>
      <w:szCs w:val="24"/>
    </w:rPr>
  </w:style>
  <w:style w:type="paragraph" w:styleId="17">
    <w:name w:val="Normal (Web)"/>
    <w:basedOn w:val="1"/>
    <w:qFormat/>
    <w:uiPriority w:val="0"/>
    <w:pPr>
      <w:spacing w:before="100" w:beforeAutospacing="1" w:after="100" w:afterAutospacing="1"/>
    </w:pPr>
    <w:rPr>
      <w:rFonts w:ascii="宋体"/>
      <w:sz w:val="24"/>
      <w:szCs w:val="24"/>
    </w:rPr>
  </w:style>
  <w:style w:type="paragraph" w:styleId="18">
    <w:name w:val="Title"/>
    <w:basedOn w:val="1"/>
    <w:next w:val="1"/>
    <w:qFormat/>
    <w:uiPriority w:val="0"/>
    <w:pPr>
      <w:spacing w:before="240" w:after="60" w:line="440" w:lineRule="exact"/>
      <w:outlineLvl w:val="0"/>
    </w:pPr>
    <w:rPr>
      <w:rFonts w:ascii="Cambria" w:hAnsi="Cambria"/>
      <w:b/>
      <w:bCs/>
      <w:sz w:val="32"/>
      <w:szCs w:val="32"/>
    </w:rPr>
  </w:style>
  <w:style w:type="paragraph" w:styleId="19">
    <w:name w:val="Body Text First Indent"/>
    <w:basedOn w:val="1"/>
    <w:next w:val="1"/>
    <w:qFormat/>
    <w:uiPriority w:val="0"/>
    <w:pPr>
      <w:adjustRightInd w:val="0"/>
      <w:spacing w:line="360" w:lineRule="auto"/>
      <w:ind w:firstLine="100" w:firstLineChars="100"/>
      <w:textAlignment w:val="baseline"/>
    </w:pPr>
    <w:rPr>
      <w:rFonts w:ascii="宋体"/>
      <w:color w:val="000000"/>
      <w:kern w:val="0"/>
      <w:sz w:val="28"/>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默认段落字体 Para Char"/>
    <w:basedOn w:val="1"/>
    <w:link w:val="22"/>
    <w:qFormat/>
    <w:uiPriority w:val="0"/>
    <w:pPr>
      <w:widowControl w:val="0"/>
      <w:spacing w:line="360" w:lineRule="auto"/>
      <w:ind w:firstLine="200" w:firstLineChars="200"/>
      <w:jc w:val="both"/>
    </w:pPr>
    <w:rPr>
      <w:rFonts w:ascii="宋体" w:cs="宋体"/>
      <w:kern w:val="2"/>
      <w:sz w:val="24"/>
      <w:szCs w:val="24"/>
    </w:rPr>
  </w:style>
  <w:style w:type="character" w:styleId="24">
    <w:name w:val="Strong"/>
    <w:basedOn w:val="22"/>
    <w:qFormat/>
    <w:uiPriority w:val="0"/>
    <w:rPr>
      <w:b/>
    </w:rPr>
  </w:style>
  <w:style w:type="character" w:styleId="25">
    <w:name w:val="page number"/>
    <w:basedOn w:val="22"/>
    <w:qFormat/>
    <w:uiPriority w:val="99"/>
    <w:rPr>
      <w:rFonts w:cs="Times New Roman"/>
    </w:rPr>
  </w:style>
  <w:style w:type="character" w:styleId="26">
    <w:name w:val="Hyperlink"/>
    <w:qFormat/>
    <w:uiPriority w:val="0"/>
    <w:rPr>
      <w:color w:val="000000"/>
      <w:u w:val="none"/>
    </w:rPr>
  </w:style>
  <w:style w:type="paragraph" w:customStyle="1" w:styleId="27">
    <w:name w:val="标书正文"/>
    <w:basedOn w:val="1"/>
    <w:qFormat/>
    <w:uiPriority w:val="0"/>
    <w:pPr>
      <w:spacing w:line="440" w:lineRule="exact"/>
      <w:ind w:firstLine="200" w:firstLineChars="200"/>
    </w:pPr>
    <w:rPr>
      <w:rFonts w:ascii="Arial" w:hAnsi="Arial"/>
      <w:color w:val="000000"/>
      <w:kern w:val="24"/>
      <w:sz w:val="24"/>
    </w:rPr>
  </w:style>
  <w:style w:type="character" w:customStyle="1" w:styleId="28">
    <w:name w:val="NormalCharacter"/>
    <w:qFormat/>
    <w:uiPriority w:val="0"/>
  </w:style>
  <w:style w:type="character" w:customStyle="1" w:styleId="29">
    <w:name w:val="标题 2 Char"/>
    <w:basedOn w:val="22"/>
    <w:link w:val="4"/>
    <w:qFormat/>
    <w:uiPriority w:val="0"/>
    <w:rPr>
      <w:rFonts w:ascii="Cambria" w:hAnsi="Cambria"/>
      <w:b/>
      <w:bCs/>
      <w:sz w:val="32"/>
      <w:szCs w:val="32"/>
    </w:rPr>
  </w:style>
  <w:style w:type="character" w:customStyle="1" w:styleId="30">
    <w:name w:val="lawsitemtext"/>
    <w:qFormat/>
    <w:uiPriority w:val="0"/>
  </w:style>
  <w:style w:type="paragraph" w:customStyle="1" w:styleId="31">
    <w:name w:val="表格1"/>
    <w:basedOn w:val="1"/>
    <w:qFormat/>
    <w:uiPriority w:val="0"/>
    <w:pPr>
      <w:tabs>
        <w:tab w:val="left" w:pos="737"/>
      </w:tabs>
      <w:adjustRightInd w:val="0"/>
      <w:spacing w:before="120" w:after="120"/>
      <w:jc w:val="left"/>
      <w:textAlignment w:val="baseline"/>
    </w:pPr>
    <w:rPr>
      <w:rFonts w:ascii="Arial" w:hAnsi="Arial"/>
      <w:kern w:val="24"/>
      <w:sz w:val="24"/>
    </w:rPr>
  </w:style>
  <w:style w:type="paragraph" w:customStyle="1" w:styleId="32">
    <w:name w:val="Default"/>
    <w:next w:val="2"/>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3">
    <w:name w:val="List Paragraph"/>
    <w:basedOn w:val="1"/>
    <w:qFormat/>
    <w:uiPriority w:val="0"/>
    <w:pPr>
      <w:widowControl w:val="0"/>
      <w:ind w:firstLine="200" w:firstLineChars="200"/>
      <w:jc w:val="both"/>
    </w:pPr>
    <w:rPr>
      <w:rFonts w:ascii="Calibri" w:hAnsi="Calibri"/>
      <w:kern w:val="2"/>
      <w:sz w:val="21"/>
      <w:szCs w:val="22"/>
    </w:rPr>
  </w:style>
  <w:style w:type="paragraph" w:customStyle="1" w:styleId="34">
    <w:name w:val="稻壳合同样式 1级"/>
    <w:basedOn w:val="1"/>
    <w:qFormat/>
    <w:uiPriority w:val="0"/>
    <w:pPr>
      <w:keepNext w:val="0"/>
      <w:keepLines w:val="0"/>
      <w:widowControl w:val="0"/>
      <w:suppressLineNumbers w:val="0"/>
      <w:spacing w:line="360" w:lineRule="auto"/>
      <w:ind w:left="913" w:hanging="480"/>
      <w:jc w:val="both"/>
      <w:outlineLvl w:val="0"/>
    </w:pPr>
    <w:rPr>
      <w:rFonts w:hint="eastAsia" w:ascii="仿宋" w:hAnsi="仿宋" w:eastAsia="仿宋" w:cs="Times New Roman"/>
      <w:kern w:val="2"/>
      <w:sz w:val="22"/>
      <w:szCs w:val="22"/>
      <w:lang w:val="en-US" w:eastAsia="zh-CN" w:bidi="ar"/>
    </w:rPr>
  </w:style>
  <w:style w:type="paragraph" w:customStyle="1" w:styleId="35">
    <w:name w:val="稻壳合同样式 3级"/>
    <w:basedOn w:val="1"/>
    <w:qFormat/>
    <w:uiPriority w:val="0"/>
    <w:pPr>
      <w:keepNext w:val="0"/>
      <w:keepLines w:val="0"/>
      <w:widowControl w:val="0"/>
      <w:suppressLineNumbers w:val="0"/>
      <w:spacing w:line="360" w:lineRule="auto"/>
      <w:ind w:left="1080" w:hanging="654"/>
      <w:jc w:val="both"/>
      <w:outlineLvl w:val="2"/>
    </w:pPr>
    <w:rPr>
      <w:rFonts w:hint="eastAsia" w:ascii="仿宋" w:hAnsi="仿宋" w:eastAsia="仿宋" w:cs="Times New Roman"/>
      <w:kern w:val="2"/>
      <w:sz w:val="22"/>
      <w:szCs w:val="22"/>
      <w:lang w:val="en-US" w:eastAsia="zh-CN" w:bidi="ar"/>
    </w:rPr>
  </w:style>
  <w:style w:type="paragraph" w:customStyle="1" w:styleId="36">
    <w:name w:val="稻壳合同样式 2级"/>
    <w:basedOn w:val="1"/>
    <w:qFormat/>
    <w:uiPriority w:val="0"/>
    <w:pPr>
      <w:keepNext w:val="0"/>
      <w:keepLines w:val="0"/>
      <w:widowControl w:val="0"/>
      <w:suppressLineNumbers w:val="0"/>
      <w:spacing w:line="360" w:lineRule="auto"/>
      <w:ind w:firstLine="482" w:firstLineChars="150"/>
      <w:jc w:val="both"/>
      <w:outlineLvl w:val="1"/>
    </w:pPr>
    <w:rPr>
      <w:rFonts w:hint="eastAsia" w:ascii="仿宋" w:hAnsi="仿宋" w:eastAsia="仿宋" w:cs="Times New Roman"/>
      <w:kern w:val="2"/>
      <w:sz w:val="22"/>
      <w:szCs w:val="22"/>
      <w:lang w:val="en-US" w:eastAsia="zh-CN" w:bidi="ar"/>
    </w:rPr>
  </w:style>
  <w:style w:type="character" w:customStyle="1" w:styleId="37">
    <w:name w:val="font21"/>
    <w:qFormat/>
    <w:uiPriority w:val="0"/>
    <w:rPr>
      <w:rFonts w:hint="eastAsia" w:ascii="宋体" w:hAnsi="宋体" w:eastAsia="宋体" w:cs="宋体"/>
      <w:color w:val="000000"/>
      <w:sz w:val="20"/>
      <w:szCs w:val="20"/>
      <w:u w:val="none"/>
      <w:lang w:eastAsia="en-US"/>
    </w:rPr>
  </w:style>
  <w:style w:type="paragraph" w:customStyle="1" w:styleId="38">
    <w:name w:val="二级标题"/>
    <w:basedOn w:val="4"/>
    <w:qFormat/>
    <w:uiPriority w:val="0"/>
    <w:pPr>
      <w:widowControl/>
      <w:autoSpaceDE/>
      <w:autoSpaceDN/>
      <w:spacing w:before="120" w:after="120" w:line="240" w:lineRule="auto"/>
    </w:pPr>
    <w:rPr>
      <w:rFonts w:ascii="等线 Light" w:hAnsi="等线 Light" w:eastAsia="宋体" w:cs="Times New Roman"/>
      <w:sz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15795</Words>
  <Characters>16402</Characters>
  <Lines>0</Lines>
  <Paragraphs>0</Paragraphs>
  <TotalTime>1</TotalTime>
  <ScaleCrop>false</ScaleCrop>
  <LinksUpToDate>false</LinksUpToDate>
  <CharactersWithSpaces>16918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2024-01-25T09:01:00Z</dcterms:created>
  <dc:creator>admin</dc:creator>
  <cp:lastModifiedBy>Rebecca</cp:lastModifiedBy>
  <dcterms:modified xsi:type="dcterms:W3CDTF">2024-09-20T07:51:26Z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E3EF63EF358E43C9B5BF2BDA016ECCCA_13</vt:lpwstr>
  </property>
</Properties>
</file>