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4T油罐车租赁</w:t>
      </w: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7"/>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XJ202402HYGC033</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color w:val="auto"/>
          <w:sz w:val="32"/>
          <w:szCs w:val="32"/>
          <w:highlight w:val="none"/>
        </w:rPr>
        <w:t>：</w:t>
      </w:r>
      <w:r>
        <w:rPr>
          <w:rFonts w:hint="eastAsia" w:ascii="宋体" w:hAnsi="宋体" w:cs="宋体"/>
          <w:b w:val="0"/>
          <w:bCs w:val="0"/>
          <w:color w:val="auto"/>
          <w:sz w:val="32"/>
          <w:szCs w:val="32"/>
          <w:highlight w:val="none"/>
          <w:lang w:eastAsia="zh-CN"/>
        </w:rPr>
        <w:t>中煤华昱公司白芦煤业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w:t>
      </w:r>
      <w:r>
        <w:rPr>
          <w:rFonts w:hint="eastAsia" w:ascii="宋体" w:hAnsi="宋体" w:cs="宋体"/>
          <w:b w:val="0"/>
          <w:bCs w:val="0"/>
          <w:highlight w:val="none"/>
          <w:lang w:eastAsia="zh-CN"/>
        </w:rPr>
        <w:t>二四</w:t>
      </w:r>
      <w:r>
        <w:rPr>
          <w:rFonts w:hint="eastAsia" w:ascii="宋体" w:hAnsi="宋体" w:cs="宋体"/>
          <w:b w:val="0"/>
          <w:bCs w:val="0"/>
          <w:highlight w:val="none"/>
        </w:rPr>
        <w:t>年</w:t>
      </w:r>
      <w:r>
        <w:rPr>
          <w:rFonts w:hint="eastAsia" w:ascii="宋体" w:hAnsi="宋体" w:cs="宋体"/>
          <w:b w:val="0"/>
          <w:bCs w:val="0"/>
          <w:highlight w:val="none"/>
          <w:lang w:val="en-US" w:eastAsia="zh-CN"/>
        </w:rPr>
        <w:t>二</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pgNumType w:fmt="decimal" w:start="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7"/>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7"/>
        <w:rPr>
          <w:rFonts w:ascii="宋体" w:hAnsi="宋体" w:eastAsia="黑体" w:cs="宋体"/>
          <w:b w:val="0"/>
          <w:bCs w:val="0"/>
          <w:sz w:val="32"/>
          <w:szCs w:val="32"/>
          <w:highlight w:val="none"/>
        </w:rPr>
        <w:sectPr>
          <w:footerReference r:id="rId10" w:type="first"/>
          <w:footerReference r:id="rId9" w:type="default"/>
          <w:pgSz w:w="11907" w:h="16840"/>
          <w:pgMar w:top="1814" w:right="1588" w:bottom="1814" w:left="1701" w:header="851" w:footer="1644" w:gutter="0"/>
          <w:pgNumType w:fmt="decimal" w:start="1"/>
          <w:cols w:space="425" w:num="1"/>
          <w:titlePg/>
        </w:sectPr>
      </w:pPr>
    </w:p>
    <w:p/>
    <w:p>
      <w:pPr>
        <w:rPr>
          <w:highlight w:val="none"/>
        </w:rPr>
      </w:pPr>
    </w:p>
    <w:p>
      <w:pPr>
        <w:pStyle w:val="20"/>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kern w:val="0"/>
          <w:sz w:val="30"/>
          <w:szCs w:val="30"/>
          <w:shd w:val="clear" w:color="auto" w:fill="FFFFFF"/>
          <w:lang w:val="en-US" w:eastAsia="zh-CN" w:bidi="ar"/>
        </w:rPr>
      </w:pPr>
      <w:r>
        <w:rPr>
          <w:rFonts w:hint="eastAsia" w:ascii="宋体" w:hAnsi="宋体" w:cs="宋体"/>
          <w:b w:val="0"/>
          <w:bCs w:val="0"/>
          <w:sz w:val="24"/>
          <w:szCs w:val="24"/>
          <w:highlight w:val="none"/>
        </w:rPr>
        <w:t>项目名称:</w:t>
      </w:r>
      <w:r>
        <w:rPr>
          <w:rFonts w:hint="eastAsia" w:ascii="宋体" w:hAnsi="宋体" w:eastAsia="宋体" w:cs="宋体"/>
          <w:b w:val="0"/>
          <w:bCs w:val="0"/>
          <w:sz w:val="24"/>
          <w:szCs w:val="24"/>
          <w:highlight w:val="none"/>
          <w:lang w:val="en-US" w:eastAsia="zh-CN"/>
        </w:rPr>
        <w:t>中煤华昱白芦煤业4T油罐车租赁询比价公告</w:t>
      </w:r>
    </w:p>
    <w:p>
      <w:pPr>
        <w:spacing w:line="360" w:lineRule="auto"/>
        <w:ind w:firstLine="480" w:firstLineChars="200"/>
        <w:rPr>
          <w:rFonts w:hint="eastAsia"/>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7"/>
        <w:rPr>
          <w:rFonts w:hint="default" w:eastAsia="宋体"/>
          <w:lang w:val="en-US" w:eastAsia="zh-CN"/>
        </w:rPr>
      </w:pPr>
      <w:r>
        <w:rPr>
          <w:rFonts w:hint="eastAsia" w:ascii="宋体" w:hAnsi="宋体" w:cs="宋体"/>
          <w:b w:val="0"/>
          <w:bCs w:val="0"/>
          <w:sz w:val="24"/>
          <w:szCs w:val="24"/>
          <w:highlight w:val="none"/>
          <w:lang w:val="en-US" w:eastAsia="zh-CN"/>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2024年2月22日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报名截止日期：2024年2月29日 13:40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报价截止时间：2024年2月29日 13:50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报价揭价时间：2024年2月29日 14:00</w:t>
      </w:r>
      <w:bookmarkStart w:id="1" w:name="_GoBack"/>
      <w:bookmarkEnd w:id="1"/>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一、项目概况及技术要求：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项目概况：白芦煤矿现井下辅助运输已完成改造，井下已实现无轨胶轮车运输，运行无轨胶轮车6辆，即将投运9辆，届时井下共计15辆胶轮车，国强、国兴矿有不同程度用油需求，合计所需柴油约28万升/年。油罐车加油点为中煤华昱公司指定加油点，为山阴县中石化（中石油），因白芦矿较其他两矿用油量较大，所以油罐车需长期存放于白芦矿，白芦矿距加油点约70公里，如国强、国兴矿有用油需求时，油罐车需及时到国强、国兴卸油，满足各矿的用油需求。白芦矿距国强约2.5公里，距国兴矿约8.5公里。</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.资金来源：企业自筹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3.工期（服务期）：三年（一年一签）</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4.服务地点：</w:t>
      </w:r>
      <w:r>
        <w:rPr>
          <w:rFonts w:hint="eastAsia" w:ascii="宋体" w:hAnsi="宋体" w:eastAsia="宋体" w:cs="宋体"/>
          <w:b w:val="0"/>
          <w:bCs w:val="0"/>
          <w:sz w:val="24"/>
          <w:szCs w:val="24"/>
          <w:highlight w:val="none"/>
          <w:lang w:val="en-US" w:eastAsia="zh-CN"/>
        </w:rPr>
        <w:t>山西朔州平鲁区中煤华昱所属各矿</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.报价方式</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固定总价</w:t>
      </w:r>
      <w:r>
        <w:rPr>
          <w:rFonts w:hint="eastAsia" w:ascii="宋体" w:hAnsi="宋体" w:cs="宋体"/>
          <w:b w:val="0"/>
          <w:bCs w:val="0"/>
          <w:sz w:val="24"/>
          <w:szCs w:val="24"/>
          <w:highlight w:val="none"/>
          <w:lang w:val="en-US" w:eastAsia="zh-CN"/>
        </w:rPr>
        <w:t>**万元</w:t>
      </w:r>
      <w:r>
        <w:rPr>
          <w:rFonts w:hint="eastAsia" w:ascii="宋体" w:hAnsi="宋体" w:eastAsia="宋体" w:cs="宋体"/>
          <w:b w:val="0"/>
          <w:bCs w:val="0"/>
          <w:sz w:val="24"/>
          <w:szCs w:val="24"/>
          <w:highlight w:val="none"/>
          <w:lang w:val="en-US" w:eastAsia="zh-CN"/>
        </w:rPr>
        <w:t>(不含税）</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.报价要求：本次询比价报价方式以年报价</w:t>
      </w:r>
      <w:r>
        <w:rPr>
          <w:rFonts w:hint="eastAsia" w:ascii="宋体" w:hAnsi="宋体" w:cs="宋体"/>
          <w:b w:val="0"/>
          <w:bCs w:val="0"/>
          <w:sz w:val="24"/>
          <w:szCs w:val="24"/>
          <w:highlight w:val="none"/>
          <w:lang w:val="en-US" w:eastAsia="zh-CN"/>
        </w:rPr>
        <w:t>包含人工等一切费用</w:t>
      </w:r>
      <w:r>
        <w:rPr>
          <w:rFonts w:hint="eastAsia" w:ascii="宋体" w:hAnsi="宋体" w:eastAsia="宋体" w:cs="宋体"/>
          <w:b w:val="0"/>
          <w:bCs w:val="0"/>
          <w:sz w:val="24"/>
          <w:szCs w:val="24"/>
          <w:highlight w:val="none"/>
          <w:lang w:val="en-US" w:eastAsia="zh-CN"/>
        </w:rPr>
        <w:t>（不含税）</w:t>
      </w:r>
      <w:r>
        <w:rPr>
          <w:rFonts w:hint="eastAsia" w:ascii="宋体" w:hAnsi="宋体" w:cs="宋体"/>
          <w:b w:val="0"/>
          <w:bCs w:val="0"/>
          <w:sz w:val="24"/>
          <w:szCs w:val="24"/>
          <w:highlight w:val="none"/>
          <w:lang w:val="en-US" w:eastAsia="zh-CN"/>
        </w:rPr>
        <w:t>，另需报单价**万元/年。</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.付款方式：中煤集团山西华昱能源有限公司相关制度流程</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8.验收标准：根据技术要求进行验收</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eastAsia="zh-CN"/>
        </w:rPr>
        <w:sectPr>
          <w:footerReference r:id="rId12" w:type="first"/>
          <w:footerReference r:id="rId11" w:type="default"/>
          <w:pgSz w:w="11907" w:h="16840"/>
          <w:pgMar w:top="1814" w:right="1588" w:bottom="1814" w:left="1701" w:header="851" w:footer="1644" w:gutter="0"/>
          <w:pgNumType w:fmt="decimal" w:start="1"/>
          <w:cols w:space="425" w:num="1"/>
          <w:titlePg/>
        </w:sectPr>
      </w:pP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1.报价人应具有中华人民共和国境内注册的独立法人资格。</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2.报价人所提供油罐车具备危险品运输资质，车辆行驶证，车辆含加油机，加油机必须经过市场局效验，并出具效验报告。</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3.报价人须提供近3年（2021年至今）至少1例类似项目业绩（提供合同关键页）</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4.与中煤集团山西华昱能源有限公司不存在未解决的各类纠纷(附承诺函，格式自拟)。</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杨泉</w:t>
      </w:r>
      <w:r>
        <w:rPr>
          <w:rFonts w:hint="eastAsia" w:ascii="宋体" w:hAnsi="宋体" w:cs="宋体"/>
          <w:i w:val="0"/>
          <w:caps w:val="0"/>
          <w:color w:val="333333"/>
          <w:spacing w:val="0"/>
          <w:sz w:val="24"/>
          <w:szCs w:val="24"/>
          <w:highlight w:val="none"/>
          <w:shd w:val="clear" w:color="auto" w:fill="FFFFFF"/>
          <w:lang w:val="en-US" w:eastAsia="zh-CN"/>
        </w:rPr>
        <w:t>(13703509991)</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电子邮箱：476242306@qq.com</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朔州市平鲁区白芦煤矿</w:t>
      </w:r>
    </w:p>
    <w:p>
      <w:pPr>
        <w:spacing w:line="360" w:lineRule="auto"/>
        <w:ind w:firstLine="480" w:firstLineChars="200"/>
        <w:rPr>
          <w:rFonts w:hint="default" w:ascii="宋体" w:hAnsi="宋体" w:eastAsia="宋体" w:cs="宋体"/>
          <w:b w:val="0"/>
          <w:bCs w:val="0"/>
          <w:sz w:val="24"/>
          <w:szCs w:val="24"/>
          <w:highlight w:val="none"/>
          <w:lang w:val="en-US" w:eastAsia="zh-CN"/>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sectPr>
          <w:footerReference r:id="rId14" w:type="first"/>
          <w:footerReference r:id="rId13" w:type="default"/>
          <w:pgSz w:w="11907" w:h="16840"/>
          <w:pgMar w:top="1814" w:right="1588" w:bottom="1814" w:left="1701" w:header="851" w:footer="1644" w:gutter="0"/>
          <w:pgNumType w:fmt="decimal" w:start="1"/>
          <w:cols w:space="425" w:num="1"/>
          <w:titlePg/>
        </w:sectPr>
      </w:pP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w:t>
      </w:r>
      <w:r>
        <w:rPr>
          <w:rFonts w:hint="eastAsia" w:ascii="宋体" w:hAnsi="宋体" w:cs="宋体"/>
          <w:color w:val="000000"/>
          <w:sz w:val="24"/>
          <w:szCs w:val="24"/>
          <w:highlight w:val="none"/>
          <w:lang w:val="en-US" w:eastAsia="zh-CN"/>
        </w:rPr>
        <w:t>不</w:t>
      </w:r>
      <w:r>
        <w:rPr>
          <w:rFonts w:hint="eastAsia" w:ascii="宋体" w:hAnsi="宋体" w:cs="宋体"/>
          <w:color w:val="000000"/>
          <w:sz w:val="24"/>
          <w:szCs w:val="24"/>
          <w:highlight w:val="none"/>
        </w:rPr>
        <w:t>含税价。</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1"/>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sectPr>
          <w:footerReference r:id="rId16" w:type="first"/>
          <w:footerReference r:id="rId15" w:type="default"/>
          <w:pgSz w:w="11907" w:h="16840"/>
          <w:pgMar w:top="1814" w:right="1588" w:bottom="1814" w:left="1701" w:header="851" w:footer="1644" w:gutter="0"/>
          <w:pgNumType w:fmt="decimal"/>
          <w:cols w:space="425" w:num="1"/>
        </w:sectPr>
      </w:pP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17"/>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17"/>
      </w:pPr>
    </w:p>
    <w:p>
      <w:pPr>
        <w:pStyle w:val="17"/>
      </w:pPr>
    </w:p>
    <w:p>
      <w:pPr>
        <w:pStyle w:val="17"/>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1）全手续4T油罐车，含加油机，加油机为大流量加油机，且必须经市场局效验，并附带效验报告，加油机配置15米自动回位卷盘和加油枪，油罐车的油量损耗不大于±1%每罐。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2）注油处设置流量计，流量计应满足下列要求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a加油软管流量的125%瞬时超量而无机械损坏和精度的降低；</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b计量燃油精度不低于0.5级；</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c适用于计量柴油；</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d计量数值显示清晰，便于观察统计；</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e计量器应有单次加油量与累计加油量。</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3）驾驶员及油罐车由中标方负责，具备危险品运输从业资格证、押运员资格证</w:t>
      </w:r>
      <w:r>
        <w:rPr>
          <w:rFonts w:hint="eastAsia" w:ascii="宋体" w:hAnsi="宋体" w:cs="宋体"/>
          <w:b w:val="0"/>
          <w:bCs w:val="0"/>
          <w:sz w:val="24"/>
          <w:szCs w:val="24"/>
          <w:highlight w:val="none"/>
          <w:lang w:val="en-US" w:eastAsia="zh-CN"/>
        </w:rPr>
        <w:t>，驾驶员有与车辆想符的驾驶证</w:t>
      </w:r>
      <w:r>
        <w:rPr>
          <w:rFonts w:hint="eastAsia" w:ascii="宋体" w:hAnsi="宋体" w:eastAsia="宋体" w:cs="宋体"/>
          <w:b w:val="0"/>
          <w:bCs w:val="0"/>
          <w:sz w:val="24"/>
          <w:szCs w:val="24"/>
          <w:highlight w:val="none"/>
          <w:lang w:val="en-US" w:eastAsia="zh-CN"/>
        </w:rPr>
        <w:t>，必须24小时响应矿方用油需求。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4）所租赁油罐车由中标方负责日常维护保养，车辆及附属设施发生故障后，中标方必须在12小时内维修处理完善。</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所租赁油罐车以及驾驶员在日常运行以及住矿服务时出现任何安全事故或意外情况均由中标方自行承担负责。</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6）所租赁油罐车在政府单位以及上级单位检查出现的所有问题由中标方自行</w:t>
      </w:r>
    </w:p>
    <w:p>
      <w:pPr>
        <w:spacing w:line="360" w:lineRule="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整改处理。</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）服务期限为三年，合同一年一签，第二、三年甲方可根据第一、二年的实际承包运营情况决定是否续签。</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w:t>
      </w:r>
      <w:r>
        <w:rPr>
          <w:rFonts w:hint="eastAsia" w:ascii="宋体" w:hAnsi="宋体" w:eastAsia="宋体" w:cs="宋体"/>
          <w:b w:val="0"/>
          <w:bCs w:val="0"/>
          <w:sz w:val="24"/>
          <w:szCs w:val="24"/>
          <w:highlight w:val="none"/>
          <w:lang w:val="en-US" w:eastAsia="zh-CN"/>
        </w:rPr>
        <w:t>）中标方如在合同期限内未严格履行合同约定，甲方可单方面解除合同。</w:t>
      </w:r>
    </w:p>
    <w:p>
      <w:pPr>
        <w:ind w:firstLine="602" w:firstLineChars="200"/>
        <w:rPr>
          <w:rFonts w:hint="default"/>
          <w:lang w:val="en-US"/>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7"/>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0"/>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7"/>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18" w:type="first"/>
          <w:footerReference r:id="rId17" w:type="default"/>
          <w:pgSz w:w="11907" w:h="16840"/>
          <w:pgMar w:top="1814" w:right="1588" w:bottom="1814" w:left="1701" w:header="851" w:footer="1644" w:gutter="0"/>
          <w:pgNumType w:fmt="decimal"/>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yellow"/>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w:t>
      </w:r>
      <w:r>
        <w:rPr>
          <w:rFonts w:hint="eastAsia" w:ascii="宋体" w:hAnsi="宋体" w:cs="宋体"/>
          <w:b w:val="0"/>
          <w:bCs w:val="0"/>
          <w:sz w:val="28"/>
          <w:szCs w:val="28"/>
          <w:highlight w:val="yellow"/>
        </w:rPr>
        <w:t>服务</w:t>
      </w:r>
      <w:r>
        <w:rPr>
          <w:rFonts w:hint="eastAsia" w:ascii="宋体" w:hAnsi="宋体" w:cs="宋体"/>
          <w:b w:val="0"/>
          <w:bCs w:val="0"/>
          <w:sz w:val="28"/>
          <w:szCs w:val="28"/>
          <w:highlight w:val="yellow"/>
          <w:lang w:val="en-US" w:eastAsia="zh-CN"/>
        </w:rPr>
        <w:t>/</w:t>
      </w:r>
      <w:r>
        <w:rPr>
          <w:rFonts w:hint="eastAsia" w:ascii="宋体" w:hAnsi="宋体" w:cs="宋体"/>
          <w:b w:val="0"/>
          <w:bCs w:val="0"/>
          <w:sz w:val="28"/>
          <w:szCs w:val="28"/>
          <w:highlight w:val="yellow"/>
        </w:rPr>
        <w:t>总价（</w:t>
      </w:r>
      <w:r>
        <w:rPr>
          <w:rFonts w:hint="eastAsia" w:ascii="宋体" w:hAnsi="宋体" w:cs="宋体"/>
          <w:b w:val="0"/>
          <w:bCs w:val="0"/>
          <w:sz w:val="28"/>
          <w:szCs w:val="28"/>
          <w:highlight w:val="yellow"/>
          <w:lang w:val="en-US" w:eastAsia="zh-CN"/>
        </w:rPr>
        <w:t>不</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0"/>
        <w:rPr>
          <w:highlight w:val="none"/>
        </w:rPr>
      </w:pPr>
    </w:p>
    <w:p>
      <w:pPr>
        <w:pStyle w:val="20"/>
        <w:rPr>
          <w:highlight w:val="none"/>
        </w:rPr>
      </w:pPr>
    </w:p>
    <w:p>
      <w:pPr>
        <w:pStyle w:val="20"/>
        <w:rPr>
          <w:highlight w:val="none"/>
        </w:rPr>
      </w:pPr>
    </w:p>
    <w:p>
      <w:pPr>
        <w:numPr>
          <w:ilvl w:val="0"/>
          <w:numId w:val="8"/>
        </w:numPr>
        <w:spacing w:line="360" w:lineRule="auto"/>
        <w:jc w:val="center"/>
        <w:rPr>
          <w:rFonts w:hint="eastAsia" w:eastAsia="宋体"/>
          <w:lang w:eastAsia="zh-CN"/>
        </w:rPr>
      </w:pPr>
      <w:r>
        <w:rPr>
          <w:rFonts w:hint="eastAsia" w:ascii="宋体" w:hAnsi="宋体" w:cs="宋体"/>
          <w:b w:val="0"/>
          <w:bCs w:val="0"/>
          <w:highlight w:val="yellow"/>
        </w:rPr>
        <w:t>报价一览表（</w:t>
      </w:r>
      <w:r>
        <w:rPr>
          <w:rFonts w:hint="eastAsia" w:ascii="宋体" w:hAnsi="宋体" w:cs="宋体"/>
          <w:b w:val="0"/>
          <w:bCs w:val="0"/>
          <w:highlight w:val="yellow"/>
          <w:lang w:val="en-US" w:eastAsia="zh-CN"/>
        </w:rPr>
        <w:t>不</w:t>
      </w:r>
      <w:r>
        <w:rPr>
          <w:rFonts w:hint="eastAsia" w:ascii="宋体" w:hAnsi="宋体" w:cs="宋体"/>
          <w:b w:val="0"/>
          <w:bCs w:val="0"/>
          <w:highlight w:val="yellow"/>
        </w:rPr>
        <w:t>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不</w:t>
            </w: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yellow"/>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w:t>
            </w:r>
            <w:r>
              <w:rPr>
                <w:rFonts w:hint="eastAsia" w:ascii="宋体" w:hAnsi="宋体"/>
                <w:color w:val="000000"/>
                <w:sz w:val="24"/>
                <w:szCs w:val="24"/>
                <w:highlight w:val="none"/>
                <w:lang w:val="en-US" w:eastAsia="zh-CN"/>
              </w:rPr>
              <w:t>不</w:t>
            </w:r>
            <w:r>
              <w:rPr>
                <w:rFonts w:hint="eastAsia" w:ascii="宋体" w:hAnsi="宋体"/>
                <w:color w:val="000000"/>
                <w:sz w:val="24"/>
                <w:szCs w:val="24"/>
                <w:highlight w:val="none"/>
              </w:rPr>
              <w:t>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9" w:type="default"/>
          <w:footerReference r:id="rId20" w:type="default"/>
          <w:pgSz w:w="16838" w:h="11906" w:orient="landscape"/>
          <w:pgMar w:top="1440" w:right="1080" w:bottom="1440" w:left="1080" w:header="851" w:footer="992" w:gutter="0"/>
          <w:pgNumType w:fmt="decimal"/>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0"/>
        <w:rPr>
          <w:highlight w:val="none"/>
        </w:rPr>
      </w:pPr>
      <w:r>
        <w:rPr>
          <w:highlight w:val="none"/>
        </w:rPr>
        <w:br w:type="page"/>
      </w:r>
    </w:p>
    <w:p>
      <w:pPr>
        <w:pStyle w:val="20"/>
        <w:rPr>
          <w:highlight w:val="none"/>
        </w:rPr>
      </w:pPr>
    </w:p>
    <w:p>
      <w:pPr>
        <w:numPr>
          <w:ilvl w:val="0"/>
          <w:numId w:val="9"/>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7"/>
        <w:rPr>
          <w:rFonts w:hint="eastAsia" w:ascii="宋体" w:hAnsi="宋体" w:cs="宋体"/>
          <w:sz w:val="32"/>
          <w:szCs w:val="32"/>
          <w:highlight w:val="none"/>
        </w:rPr>
      </w:pPr>
    </w:p>
    <w:p>
      <w:pPr>
        <w:rPr>
          <w:rFonts w:hint="eastAsia"/>
          <w:highlight w:val="none"/>
        </w:rPr>
      </w:pPr>
    </w:p>
    <w:p>
      <w:pPr>
        <w:pStyle w:val="17"/>
        <w:rPr>
          <w:rFonts w:hint="default" w:eastAsia="宋体"/>
          <w:highlight w:val="none"/>
          <w:lang w:val="en-US" w:eastAsia="zh-CN"/>
        </w:rPr>
      </w:pPr>
      <w:r>
        <w:rPr>
          <w:rFonts w:hint="eastAsia"/>
          <w:highlight w:val="none"/>
          <w:lang w:val="en-US" w:eastAsia="zh-CN"/>
        </w:rPr>
        <w:t xml:space="preserve">                      六、服务方案</w:t>
      </w:r>
    </w:p>
    <w:p>
      <w:pPr>
        <w:pStyle w:val="17"/>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0"/>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0"/>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sz w:val="30"/>
          <w:szCs w:val="30"/>
          <w:highlight w:val="none"/>
        </w:rPr>
      </w:pPr>
    </w:p>
    <w:p>
      <w:pPr>
        <w:pStyle w:val="20"/>
        <w:spacing w:line="360" w:lineRule="auto"/>
        <w:ind w:firstLine="602"/>
        <w:jc w:val="left"/>
        <w:rPr>
          <w:rFonts w:ascii="宋体" w:hAnsi="宋体" w:cs="宋体"/>
          <w:bCs/>
          <w:sz w:val="30"/>
          <w:szCs w:val="30"/>
          <w:highlight w:val="none"/>
        </w:rPr>
      </w:pPr>
    </w:p>
    <w:p>
      <w:pPr>
        <w:pStyle w:val="20"/>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0"/>
        <w:spacing w:line="360" w:lineRule="auto"/>
        <w:jc w:val="left"/>
        <w:rPr>
          <w:rFonts w:ascii="宋体" w:hAnsi="宋体" w:cs="宋体"/>
          <w:bCs/>
          <w:sz w:val="30"/>
          <w:szCs w:val="30"/>
          <w:highlight w:val="none"/>
        </w:rPr>
      </w:pP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0"/>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21" w:type="default"/>
          <w:footerReference r:id="rId22" w:type="default"/>
          <w:pgSz w:w="11906" w:h="16838"/>
          <w:pgMar w:top="1083" w:right="1440" w:bottom="1083" w:left="1440" w:header="851" w:footer="992" w:gutter="0"/>
          <w:pgNumType w:fmt="decimal"/>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0"/>
        <w:rPr>
          <w:rFonts w:hint="eastAsia"/>
          <w:highlight w:val="none"/>
          <w:lang w:val="en-US" w:eastAsia="zh-CN"/>
        </w:rPr>
      </w:pPr>
    </w:p>
    <w:p>
      <w:pPr>
        <w:pStyle w:val="20"/>
        <w:rPr>
          <w:rFonts w:hint="eastAsia" w:eastAsia="宋体"/>
          <w:b w:val="0"/>
          <w:bCs w:val="0"/>
          <w:highlight w:val="none"/>
          <w:lang w:val="en-US" w:eastAsia="zh-CN"/>
        </w:rPr>
      </w:pPr>
    </w:p>
    <w:sectPr>
      <w:pgSz w:w="11906" w:h="16838"/>
      <w:pgMar w:top="1083" w:right="1440" w:bottom="1083" w:left="1440" w:header="851" w:footer="992" w:gutter="0"/>
      <w:pgNumType w:fmt="decimal"/>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r>
      <w:rPr>
        <w:rFonts w:hint="eastAsia" w:cs="Times New Roman"/>
        <w:lang w:val="en-US" w:eastAsia="zh-CN"/>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r>
      <w:rPr>
        <w:rFonts w:hint="eastAsia" w:cs="Times New Roman"/>
        <w:lang w:val="en-US" w:eastAsia="zh-CN"/>
      </w:rPr>
      <w:t>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r>
      <w:rPr>
        <w:rFonts w:hint="eastAsia" w:cs="Times New Roman"/>
        <w:lang w:val="en-US" w:eastAsia="zh-CN"/>
      </w:rPr>
      <w:t>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left="0" w:leftChars="0" w:firstLine="0" w:firstLineChars="0"/>
      <w:rPr>
        <w:rFonts w:hint="eastAsia" w:eastAsia="仿宋_GB2312"/>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IwNWJhYjcyZGMxMGMyY2ZjNTFjOWRmNDg0YWY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36C1E3B"/>
    <w:rsid w:val="04377DA6"/>
    <w:rsid w:val="044955CA"/>
    <w:rsid w:val="061C36BA"/>
    <w:rsid w:val="08A8480D"/>
    <w:rsid w:val="09352049"/>
    <w:rsid w:val="0A912D3C"/>
    <w:rsid w:val="0B440B42"/>
    <w:rsid w:val="0BF508B4"/>
    <w:rsid w:val="0C215F5C"/>
    <w:rsid w:val="0C297F82"/>
    <w:rsid w:val="0C540FAF"/>
    <w:rsid w:val="0CBF3D62"/>
    <w:rsid w:val="0EB30D0D"/>
    <w:rsid w:val="0F604FE4"/>
    <w:rsid w:val="0F77472F"/>
    <w:rsid w:val="0FA03417"/>
    <w:rsid w:val="0FBB434C"/>
    <w:rsid w:val="0FFE2944"/>
    <w:rsid w:val="10F27FB9"/>
    <w:rsid w:val="11026497"/>
    <w:rsid w:val="115D0FA0"/>
    <w:rsid w:val="119C2B16"/>
    <w:rsid w:val="130D5D28"/>
    <w:rsid w:val="13A46977"/>
    <w:rsid w:val="13D27127"/>
    <w:rsid w:val="13D60078"/>
    <w:rsid w:val="145A4263"/>
    <w:rsid w:val="1477734B"/>
    <w:rsid w:val="14AE38DE"/>
    <w:rsid w:val="14E66AFD"/>
    <w:rsid w:val="15542020"/>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F360E25"/>
    <w:rsid w:val="21232666"/>
    <w:rsid w:val="21505AF6"/>
    <w:rsid w:val="25653DDF"/>
    <w:rsid w:val="273109BD"/>
    <w:rsid w:val="27341C73"/>
    <w:rsid w:val="27F02089"/>
    <w:rsid w:val="280E7427"/>
    <w:rsid w:val="2878694B"/>
    <w:rsid w:val="288202F1"/>
    <w:rsid w:val="28835C82"/>
    <w:rsid w:val="2885643D"/>
    <w:rsid w:val="289A7B6F"/>
    <w:rsid w:val="29F1156B"/>
    <w:rsid w:val="2A9767DF"/>
    <w:rsid w:val="2AC06F9C"/>
    <w:rsid w:val="2B01007D"/>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679CB"/>
    <w:rsid w:val="32890F14"/>
    <w:rsid w:val="32D26775"/>
    <w:rsid w:val="32F75E1F"/>
    <w:rsid w:val="334C6D3F"/>
    <w:rsid w:val="33573CB3"/>
    <w:rsid w:val="33843E73"/>
    <w:rsid w:val="34126E2C"/>
    <w:rsid w:val="34CF08AA"/>
    <w:rsid w:val="35731F31"/>
    <w:rsid w:val="35D84E48"/>
    <w:rsid w:val="36BA11E5"/>
    <w:rsid w:val="36D735B3"/>
    <w:rsid w:val="39101B67"/>
    <w:rsid w:val="393744E7"/>
    <w:rsid w:val="393B2471"/>
    <w:rsid w:val="39B5256A"/>
    <w:rsid w:val="39E552F4"/>
    <w:rsid w:val="39F04960"/>
    <w:rsid w:val="3A0F496A"/>
    <w:rsid w:val="3A4074C6"/>
    <w:rsid w:val="3A873BF5"/>
    <w:rsid w:val="3B33738C"/>
    <w:rsid w:val="3BC04130"/>
    <w:rsid w:val="3C5D21E6"/>
    <w:rsid w:val="3CEC6D03"/>
    <w:rsid w:val="3D206487"/>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5A52367"/>
    <w:rsid w:val="55D556E0"/>
    <w:rsid w:val="562C37FD"/>
    <w:rsid w:val="56366F6D"/>
    <w:rsid w:val="565C396B"/>
    <w:rsid w:val="59111EFF"/>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E7F9A"/>
    <w:rsid w:val="60EF445E"/>
    <w:rsid w:val="62D93E68"/>
    <w:rsid w:val="62FF5D54"/>
    <w:rsid w:val="63710868"/>
    <w:rsid w:val="63AC2F92"/>
    <w:rsid w:val="644D0C37"/>
    <w:rsid w:val="64C50123"/>
    <w:rsid w:val="65244228"/>
    <w:rsid w:val="65843D37"/>
    <w:rsid w:val="659A40E4"/>
    <w:rsid w:val="65F85CC4"/>
    <w:rsid w:val="67431B96"/>
    <w:rsid w:val="67C972BA"/>
    <w:rsid w:val="68767A8D"/>
    <w:rsid w:val="68F4010F"/>
    <w:rsid w:val="692E0A4B"/>
    <w:rsid w:val="69B5367B"/>
    <w:rsid w:val="69CE664B"/>
    <w:rsid w:val="6A4D6295"/>
    <w:rsid w:val="6AA36C78"/>
    <w:rsid w:val="6ADD1BAA"/>
    <w:rsid w:val="6AEC25EF"/>
    <w:rsid w:val="6B4C26F3"/>
    <w:rsid w:val="6B601888"/>
    <w:rsid w:val="6C195ECD"/>
    <w:rsid w:val="6C2D3162"/>
    <w:rsid w:val="6DEA3D34"/>
    <w:rsid w:val="6E041063"/>
    <w:rsid w:val="6F3921DE"/>
    <w:rsid w:val="6F78727E"/>
    <w:rsid w:val="6F873050"/>
    <w:rsid w:val="6FAA5C3A"/>
    <w:rsid w:val="6FD10D4C"/>
    <w:rsid w:val="7003702D"/>
    <w:rsid w:val="700A103B"/>
    <w:rsid w:val="70572E9C"/>
    <w:rsid w:val="719F5306"/>
    <w:rsid w:val="720F0EDE"/>
    <w:rsid w:val="72A92AFC"/>
    <w:rsid w:val="72AA5F3A"/>
    <w:rsid w:val="72B10F39"/>
    <w:rsid w:val="73137F9A"/>
    <w:rsid w:val="73BD08B4"/>
    <w:rsid w:val="74826C48"/>
    <w:rsid w:val="74F710CB"/>
    <w:rsid w:val="750E0A19"/>
    <w:rsid w:val="757C1CC4"/>
    <w:rsid w:val="759318E8"/>
    <w:rsid w:val="75B51DBC"/>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D320274"/>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semiHidden/>
    <w:qFormat/>
    <w:uiPriority w:val="99"/>
    <w:pPr>
      <w:ind w:left="420" w:leftChars="200"/>
    </w:pPr>
    <w:rPr>
      <w:b w:val="0"/>
      <w:bCs w:val="0"/>
      <w:sz w:val="21"/>
      <w:szCs w:val="21"/>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69"/>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0"/>
    <w:qFormat/>
    <w:uiPriority w:val="99"/>
    <w:pPr>
      <w:spacing w:after="120"/>
    </w:pPr>
    <w:rPr>
      <w:sz w:val="16"/>
      <w:szCs w:val="16"/>
    </w:rPr>
  </w:style>
  <w:style w:type="paragraph" w:styleId="20">
    <w:name w:val="Body Text"/>
    <w:basedOn w:val="1"/>
    <w:link w:val="64"/>
    <w:qFormat/>
    <w:uiPriority w:val="99"/>
    <w:pPr>
      <w:spacing w:after="120"/>
    </w:pPr>
    <w:rPr>
      <w:b w:val="0"/>
      <w:bCs w:val="0"/>
      <w:sz w:val="21"/>
      <w:szCs w:val="21"/>
    </w:rPr>
  </w:style>
  <w:style w:type="paragraph" w:styleId="21">
    <w:name w:val="Body Text Indent"/>
    <w:basedOn w:val="1"/>
    <w:link w:val="71"/>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2"/>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4"/>
    <w:qFormat/>
    <w:uiPriority w:val="99"/>
    <w:pPr>
      <w:spacing w:after="120" w:line="480" w:lineRule="auto"/>
      <w:ind w:left="420" w:leftChars="200"/>
    </w:pPr>
  </w:style>
  <w:style w:type="paragraph" w:styleId="29">
    <w:name w:val="Balloon Text"/>
    <w:basedOn w:val="1"/>
    <w:link w:val="75"/>
    <w:semiHidden/>
    <w:qFormat/>
    <w:uiPriority w:val="99"/>
    <w:rPr>
      <w:rFonts w:ascii="Calibri" w:hAnsi="Calibri" w:cs="Calibri"/>
      <w:b w:val="0"/>
      <w:bCs w:val="0"/>
      <w:sz w:val="18"/>
      <w:szCs w:val="18"/>
    </w:rPr>
  </w:style>
  <w:style w:type="paragraph" w:styleId="30">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8"/>
    <w:qFormat/>
    <w:uiPriority w:val="99"/>
    <w:pPr>
      <w:spacing w:after="120"/>
      <w:ind w:left="420" w:leftChars="200"/>
    </w:pPr>
    <w:rPr>
      <w:sz w:val="16"/>
      <w:szCs w:val="16"/>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8"/>
    <w:next w:val="18"/>
    <w:link w:val="165"/>
    <w:semiHidden/>
    <w:qFormat/>
    <w:uiPriority w:val="99"/>
    <w:pPr>
      <w:adjustRightInd/>
      <w:spacing w:line="240" w:lineRule="auto"/>
      <w:textAlignment w:val="auto"/>
    </w:pPr>
    <w:rPr>
      <w:b/>
      <w:bCs/>
      <w:kern w:val="2"/>
      <w:sz w:val="21"/>
      <w:szCs w:val="21"/>
    </w:rPr>
  </w:style>
  <w:style w:type="paragraph" w:styleId="43">
    <w:name w:val="Body Text First Indent"/>
    <w:basedOn w:val="20"/>
    <w:link w:val="67"/>
    <w:qFormat/>
    <w:uiPriority w:val="99"/>
    <w:pPr>
      <w:ind w:firstLine="420"/>
    </w:pPr>
  </w:style>
  <w:style w:type="paragraph" w:styleId="44">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20"/>
    <w:qFormat/>
    <w:locked/>
    <w:uiPriority w:val="99"/>
    <w:rPr>
      <w:rFonts w:cs="Times New Roman"/>
      <w:kern w:val="2"/>
      <w:sz w:val="21"/>
      <w:szCs w:val="21"/>
    </w:rPr>
  </w:style>
  <w:style w:type="character" w:customStyle="1" w:styleId="65">
    <w:name w:val="批注文字 Char"/>
    <w:basedOn w:val="48"/>
    <w:link w:val="18"/>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6"/>
    <w:qFormat/>
    <w:locked/>
    <w:uiPriority w:val="99"/>
    <w:rPr>
      <w:rFonts w:eastAsia="宋体" w:cs="Times New Roman"/>
      <w:b/>
      <w:bCs/>
      <w:kern w:val="2"/>
      <w:sz w:val="30"/>
      <w:szCs w:val="30"/>
      <w:lang w:val="en-US" w:eastAsia="zh-CN"/>
    </w:rPr>
  </w:style>
  <w:style w:type="character" w:customStyle="1" w:styleId="70">
    <w:name w:val="正文文本 3 Char"/>
    <w:basedOn w:val="48"/>
    <w:link w:val="19"/>
    <w:semiHidden/>
    <w:qFormat/>
    <w:locked/>
    <w:uiPriority w:val="99"/>
    <w:rPr>
      <w:rFonts w:cs="Times New Roman"/>
      <w:b/>
      <w:bCs/>
      <w:sz w:val="16"/>
      <w:szCs w:val="16"/>
    </w:rPr>
  </w:style>
  <w:style w:type="character" w:customStyle="1" w:styleId="71">
    <w:name w:val="正文文本缩进 Char"/>
    <w:basedOn w:val="48"/>
    <w:link w:val="21"/>
    <w:semiHidden/>
    <w:qFormat/>
    <w:locked/>
    <w:uiPriority w:val="99"/>
    <w:rPr>
      <w:rFonts w:cs="Times New Roman"/>
      <w:b/>
      <w:bCs/>
      <w:sz w:val="30"/>
      <w:szCs w:val="30"/>
    </w:rPr>
  </w:style>
  <w:style w:type="character" w:customStyle="1" w:styleId="72">
    <w:name w:val="纯文本 Char"/>
    <w:basedOn w:val="48"/>
    <w:link w:val="25"/>
    <w:semiHidden/>
    <w:qFormat/>
    <w:locked/>
    <w:uiPriority w:val="99"/>
    <w:rPr>
      <w:rFonts w:ascii="宋体" w:hAnsi="Courier New" w:cs="Courier New"/>
      <w:b/>
      <w:bCs/>
      <w:sz w:val="21"/>
      <w:szCs w:val="21"/>
    </w:rPr>
  </w:style>
  <w:style w:type="character" w:customStyle="1" w:styleId="73">
    <w:name w:val="日期 Char"/>
    <w:basedOn w:val="48"/>
    <w:link w:val="27"/>
    <w:semiHidden/>
    <w:qFormat/>
    <w:locked/>
    <w:uiPriority w:val="99"/>
    <w:rPr>
      <w:rFonts w:cs="Times New Roman"/>
      <w:b/>
      <w:bCs/>
      <w:sz w:val="30"/>
      <w:szCs w:val="30"/>
    </w:rPr>
  </w:style>
  <w:style w:type="character" w:customStyle="1" w:styleId="74">
    <w:name w:val="正文文本缩进 2 Char"/>
    <w:basedOn w:val="48"/>
    <w:link w:val="28"/>
    <w:semiHidden/>
    <w:qFormat/>
    <w:locked/>
    <w:uiPriority w:val="99"/>
    <w:rPr>
      <w:rFonts w:cs="Times New Roman"/>
      <w:b/>
      <w:bCs/>
      <w:sz w:val="30"/>
      <w:szCs w:val="30"/>
    </w:rPr>
  </w:style>
  <w:style w:type="character" w:customStyle="1" w:styleId="75">
    <w:name w:val="批注框文本 Char"/>
    <w:basedOn w:val="48"/>
    <w:link w:val="29"/>
    <w:semiHidden/>
    <w:qFormat/>
    <w:locked/>
    <w:uiPriority w:val="99"/>
    <w:rPr>
      <w:rFonts w:cs="Times New Roman"/>
      <w:b/>
      <w:bCs/>
      <w:sz w:val="2"/>
    </w:rPr>
  </w:style>
  <w:style w:type="character" w:customStyle="1" w:styleId="76">
    <w:name w:val="页脚 Char"/>
    <w:basedOn w:val="48"/>
    <w:link w:val="30"/>
    <w:qFormat/>
    <w:locked/>
    <w:uiPriority w:val="99"/>
    <w:rPr>
      <w:rFonts w:ascii="仿宋_GB2312" w:eastAsia="仿宋_GB2312" w:cs="仿宋_GB2312"/>
      <w:sz w:val="18"/>
      <w:szCs w:val="18"/>
    </w:rPr>
  </w:style>
  <w:style w:type="character" w:customStyle="1" w:styleId="77">
    <w:name w:val="页眉 Char"/>
    <w:basedOn w:val="48"/>
    <w:link w:val="31"/>
    <w:qFormat/>
    <w:locked/>
    <w:uiPriority w:val="99"/>
    <w:rPr>
      <w:rFonts w:ascii="仿宋_GB2312" w:eastAsia="仿宋_GB2312" w:cs="仿宋_GB2312"/>
      <w:sz w:val="18"/>
      <w:szCs w:val="18"/>
    </w:rPr>
  </w:style>
  <w:style w:type="character" w:customStyle="1" w:styleId="78">
    <w:name w:val="正文文本缩进 3 Char"/>
    <w:basedOn w:val="48"/>
    <w:link w:val="36"/>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5.xml"/><Relationship Id="rId21" Type="http://schemas.openxmlformats.org/officeDocument/2006/relationships/header" Target="header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22</Pages>
  <Words>4783</Words>
  <Characters>5025</Characters>
  <Lines>56</Lines>
  <Paragraphs>16</Paragraphs>
  <TotalTime>1</TotalTime>
  <ScaleCrop>false</ScaleCrop>
  <LinksUpToDate>false</LinksUpToDate>
  <CharactersWithSpaces>5621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あぁえがこ</cp:lastModifiedBy>
  <cp:lastPrinted>2024-01-29T02:31:00Z</cp:lastPrinted>
  <dcterms:modified xsi:type="dcterms:W3CDTF">2024-02-22T07:43:15Z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2F0ED1DB138A4DD7B305E156BD3B638B_13</vt:lpwstr>
  </property>
</Properties>
</file>