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中煤华昱白芦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掘进机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项目编号：XJ2024020033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白芦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1台掘进机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掘进机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pStyle w:val="2"/>
        <w:ind w:left="0" w:leftChars="0" w:firstLine="0" w:firstLineChars="0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54"/>
        <w:gridCol w:w="650"/>
        <w:gridCol w:w="987"/>
        <w:gridCol w:w="1159"/>
        <w:gridCol w:w="3116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95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159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311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90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掘进机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EBZ-200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佳木斯</w:t>
            </w:r>
          </w:p>
        </w:tc>
        <w:tc>
          <w:tcPr>
            <w:tcW w:w="1159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白芦煤业</w:t>
            </w:r>
          </w:p>
        </w:tc>
        <w:tc>
          <w:tcPr>
            <w:tcW w:w="3116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44444"/>
                <w:spacing w:val="0"/>
                <w:sz w:val="19"/>
                <w:szCs w:val="19"/>
                <w:shd w:val="clear" w:fill="F9F9F9"/>
              </w:rPr>
              <w:t>1 电控部分 转换模拟量开关频繁出现错误指示，隔离开关有拉孤现象，18v电源模块电压失稳；甲烷传感器不能实现断电；操作箱经常性故障黑屏。 2 截割部 截割伸缩部漏油，轴承异响，伸缩部底座、压盖损坏；截齿齿座、螺旋叶片磨损严重；减速箱存异响。 3. 液压系统 泵站压力不足，液压马达有窜液现象，部分油缸渗油，联阀组件和五联阀出现动作失效的现象；平衡阀密封性能下降；组合变量泵供油不足。油缸有泄压、漏油、衬套、销轴磨损严重等问题，液压胶管破损严重。 4.行走部 行走马达窜液，部分履带板磨损严重；右侧行走减速箱花键损坏。 5.水冷系统 冷却水水量不足、经常出现高温； 6. 运输系统 星轮马达窜液严重，星轮出现卡阻现象。一运马达无力，链条磨损严重。 7.超前临时支护装置 前探梁折叠油缸、前探梁支撑油缸等处耳轴、销轴、衬套磨损严重；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2、提供掘进机的生产或维修资质，提供在有效期内的营业执照、安全生产许可证（限生产厂家）等相关证件。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3、报价人至少提供2021年-至今，EBZ-200及以上型号掘进机生产销售或维修业绩，总共不少于三份（注：生产厂家须提供生产销售或维修业绩；维修厂家必须提供维修业绩；必须附业绩合同）。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报价单位必须提前到现场实勘（设备维修分公司机械车间；厂家自带检测设备勘查，费用自理）。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兰  金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13834988654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（设备维修分公司机械车间）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42C2A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DB73881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7F5BBC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53086C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701984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102102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01FC3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8D2D69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415312"/>
    <w:rsid w:val="74BE1CAC"/>
    <w:rsid w:val="74E5757B"/>
    <w:rsid w:val="751C7AD4"/>
    <w:rsid w:val="757472FE"/>
    <w:rsid w:val="75A17141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5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2024-01-25T03:06:00Z</cp:lastPrinted>
  <dcterms:modified xsi:type="dcterms:W3CDTF">2024-02-01T01:02:27Z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