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中煤华昱南阳坡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板式换热器</w:t>
      </w:r>
      <w:r>
        <w:rPr>
          <w:rFonts w:hint="eastAsia"/>
          <w:b/>
          <w:bCs/>
          <w:sz w:val="36"/>
          <w:szCs w:val="36"/>
        </w:rPr>
        <w:t>维修的</w:t>
      </w:r>
    </w:p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报价要求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项目编号：XJ2024020004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南阳坡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2台板式换热器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板式换热器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</w:p>
    <w:p>
      <w:pPr>
        <w:pStyle w:val="2"/>
      </w:pPr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65"/>
        <w:gridCol w:w="795"/>
        <w:gridCol w:w="1065"/>
        <w:gridCol w:w="1020"/>
        <w:gridCol w:w="1260"/>
        <w:gridCol w:w="130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板式换热器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BR01.1400-1.6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2台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山东金睿源节能设备有限公司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主井换热站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清洗、除垢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2、提供锅炉的生产或维修资质，提供在有效期内的营业执照及适用于此次维修项目相关证件。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3、报价人至少提供2021年-至今，锅炉生产或维修业绩，总共不少于三份（注：必须附业绩合同）。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保证维修质量，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报价单位必须提前到现场实勘（南阳坡煤业；厂家自带检测设备勘查，费用自理）。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张科泽13934406497（南阳坡煤业）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9B2F2D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422469"/>
    <w:rsid w:val="0D5C5CED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BCD7B23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424596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B3274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4902A3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463406"/>
    <w:rsid w:val="6671056C"/>
    <w:rsid w:val="667506CB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1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2024-02-01T00:07:53Z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