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eastAsia" w:ascii="黑体" w:hAnsi="黑体" w:eastAsia="黑体" w:cs="黑体"/>
          <w:sz w:val="48"/>
          <w:szCs w:val="48"/>
          <w:highlight w:val="none"/>
          <w:lang w:val="en-US" w:eastAsia="zh-CN"/>
        </w:rPr>
      </w:pPr>
    </w:p>
    <w:p>
      <w:pPr>
        <w:pStyle w:val="19"/>
        <w:jc w:val="center"/>
        <w:rPr>
          <w:rFonts w:hint="eastAsia" w:ascii="黑体" w:hAnsi="黑体" w:eastAsia="黑体" w:cs="黑体"/>
          <w:b w:val="0"/>
          <w:bCs w:val="0"/>
          <w:sz w:val="44"/>
          <w:szCs w:val="44"/>
        </w:rPr>
      </w:pPr>
      <w:r>
        <w:rPr>
          <w:rFonts w:hint="eastAsia" w:ascii="黑体" w:hAnsi="黑体" w:eastAsia="黑体" w:cs="黑体"/>
          <w:b w:val="0"/>
          <w:bCs w:val="0"/>
          <w:sz w:val="44"/>
          <w:szCs w:val="44"/>
        </w:rPr>
        <w:t>中煤集团山西华昱能源有限公司</w:t>
      </w:r>
    </w:p>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黑体" w:hAnsi="黑体" w:eastAsia="黑体" w:cs="黑体"/>
          <w:sz w:val="44"/>
          <w:szCs w:val="44"/>
        </w:rPr>
      </w:pPr>
      <w:r>
        <w:rPr>
          <w:rFonts w:hint="eastAsia" w:ascii="黑体" w:hAnsi="黑体" w:eastAsia="黑体" w:cs="黑体"/>
          <w:b w:val="0"/>
          <w:bCs w:val="0"/>
          <w:sz w:val="44"/>
          <w:szCs w:val="44"/>
          <w:lang w:val="en-US" w:eastAsia="zh-CN"/>
        </w:rPr>
        <w:t>专家公寓不动产测绘项目</w:t>
      </w:r>
    </w:p>
    <w:p>
      <w:pPr>
        <w:pStyle w:val="19"/>
        <w:jc w:val="center"/>
        <w:rPr>
          <w:rFonts w:hint="eastAsia" w:ascii="黑体" w:hAnsi="黑体" w:eastAsia="黑体" w:cs="黑体"/>
          <w:b w:val="0"/>
          <w:bCs w:val="0"/>
          <w:sz w:val="36"/>
          <w:szCs w:val="36"/>
        </w:rPr>
      </w:pPr>
    </w:p>
    <w:p>
      <w:pPr>
        <w:pStyle w:val="19"/>
        <w:rPr>
          <w:rFonts w:ascii="黑体" w:hAnsi="黑体" w:eastAsia="黑体" w:cs="黑体"/>
          <w:sz w:val="48"/>
          <w:szCs w:val="48"/>
        </w:rPr>
      </w:pPr>
    </w:p>
    <w:p>
      <w:pPr>
        <w:pStyle w:val="19"/>
        <w:rPr>
          <w:rFonts w:ascii="黑体" w:hAnsi="黑体" w:eastAsia="黑体" w:cs="黑体"/>
          <w:sz w:val="48"/>
          <w:szCs w:val="48"/>
        </w:rPr>
      </w:pPr>
    </w:p>
    <w:p>
      <w:pPr>
        <w:pStyle w:val="19"/>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2"/>
      </w:pPr>
    </w:p>
    <w:p>
      <w:pPr>
        <w:ind w:firstLine="1280" w:firstLineChars="400"/>
        <w:jc w:val="both"/>
        <w:rPr>
          <w:rFonts w:hint="default" w:ascii="宋体" w:hAnsi="宋体" w:eastAsia="宋体" w:cs="宋体"/>
          <w:b w:val="0"/>
          <w:bCs w:val="0"/>
          <w:sz w:val="32"/>
          <w:szCs w:val="32"/>
          <w:lang w:val="en-US" w:eastAsia="zh-CN"/>
        </w:rPr>
      </w:pPr>
      <w:r>
        <w:rPr>
          <w:rFonts w:hint="eastAsia" w:ascii="宋体" w:hAnsi="宋体" w:cs="宋体"/>
          <w:b w:val="0"/>
          <w:bCs w:val="0"/>
          <w:sz w:val="32"/>
          <w:szCs w:val="32"/>
        </w:rPr>
        <w:t>询价书编号：</w:t>
      </w:r>
      <w:r>
        <w:rPr>
          <w:rFonts w:hint="eastAsia" w:ascii="宋体" w:hAnsi="宋体" w:cs="宋体"/>
          <w:b w:val="0"/>
          <w:bCs w:val="0"/>
          <w:sz w:val="32"/>
          <w:szCs w:val="32"/>
          <w:lang w:val="en-US" w:eastAsia="zh-CN"/>
        </w:rPr>
        <w:t>XJ202401HYGC022</w:t>
      </w:r>
    </w:p>
    <w:p>
      <w:pPr>
        <w:ind w:firstLine="1280" w:firstLineChars="400"/>
        <w:jc w:val="both"/>
        <w:rPr>
          <w:rFonts w:hint="default" w:ascii="宋体" w:eastAsia="宋体"/>
          <w:b w:val="0"/>
          <w:bCs w:val="0"/>
          <w:color w:val="FF0000"/>
          <w:sz w:val="32"/>
          <w:szCs w:val="32"/>
          <w:lang w:val="en-US" w:eastAsia="zh-CN"/>
        </w:rPr>
      </w:pPr>
      <w:r>
        <w:rPr>
          <w:rFonts w:hint="eastAsia" w:ascii="宋体" w:hAnsi="宋体" w:cs="宋体"/>
          <w:b w:val="0"/>
          <w:bCs w:val="0"/>
          <w:sz w:val="32"/>
          <w:szCs w:val="32"/>
        </w:rPr>
        <w:t xml:space="preserve">采 </w:t>
      </w:r>
      <w:r>
        <w:rPr>
          <w:rFonts w:ascii="宋体" w:hAnsi="宋体" w:cs="宋体"/>
          <w:b w:val="0"/>
          <w:bCs w:val="0"/>
          <w:sz w:val="32"/>
          <w:szCs w:val="32"/>
        </w:rPr>
        <w:t xml:space="preserve"> </w:t>
      </w:r>
      <w:r>
        <w:rPr>
          <w:rFonts w:hint="eastAsia" w:ascii="宋体" w:hAnsi="宋体" w:cs="宋体"/>
          <w:b w:val="0"/>
          <w:bCs w:val="0"/>
          <w:sz w:val="32"/>
          <w:szCs w:val="32"/>
        </w:rPr>
        <w:t xml:space="preserve">购 </w:t>
      </w:r>
      <w:r>
        <w:rPr>
          <w:rFonts w:ascii="宋体" w:hAnsi="宋体" w:cs="宋体"/>
          <w:b w:val="0"/>
          <w:bCs w:val="0"/>
          <w:sz w:val="32"/>
          <w:szCs w:val="32"/>
        </w:rPr>
        <w:t xml:space="preserve"> </w:t>
      </w:r>
      <w:r>
        <w:rPr>
          <w:rFonts w:hint="eastAsia" w:ascii="宋体" w:hAnsi="宋体" w:cs="宋体"/>
          <w:b w:val="0"/>
          <w:bCs w:val="0"/>
          <w:color w:val="000000"/>
          <w:sz w:val="32"/>
          <w:szCs w:val="32"/>
        </w:rPr>
        <w:t>人</w:t>
      </w:r>
      <w:r>
        <w:rPr>
          <w:rFonts w:hint="eastAsia" w:ascii="宋体" w:hAnsi="宋体" w:cs="宋体"/>
          <w:b w:val="0"/>
          <w:bCs w:val="0"/>
          <w:sz w:val="32"/>
          <w:szCs w:val="32"/>
        </w:rPr>
        <w:t>：</w:t>
      </w:r>
      <w:r>
        <w:rPr>
          <w:rFonts w:hint="eastAsia" w:ascii="宋体" w:hAnsi="宋体" w:cs="宋体"/>
          <w:b w:val="0"/>
          <w:bCs w:val="0"/>
          <w:sz w:val="32"/>
          <w:szCs w:val="32"/>
          <w:lang w:val="en-US" w:eastAsia="zh-CN"/>
        </w:rPr>
        <w:t>中煤集团山西华昱能源有限公司</w:t>
      </w:r>
    </w:p>
    <w:p>
      <w:pPr>
        <w:rPr>
          <w:rFonts w:ascii="仿宋_GB2312" w:eastAsia="仿宋_GB2312"/>
          <w:b w:val="0"/>
          <w:bCs w:val="0"/>
          <w:sz w:val="32"/>
          <w:szCs w:val="32"/>
        </w:rPr>
      </w:pPr>
    </w:p>
    <w:p>
      <w:pPr>
        <w:pStyle w:val="44"/>
      </w:pPr>
    </w:p>
    <w:p>
      <w:pPr>
        <w:rPr>
          <w:rFonts w:ascii="仿宋_GB2312" w:eastAsia="仿宋_GB2312"/>
          <w:b w:val="0"/>
          <w:bCs w:val="0"/>
          <w:color w:val="000000"/>
        </w:rPr>
      </w:pPr>
    </w:p>
    <w:p>
      <w:pPr>
        <w:spacing w:line="360" w:lineRule="auto"/>
        <w:jc w:val="center"/>
        <w:rPr>
          <w:rFonts w:hint="eastAsia" w:ascii="宋体" w:hAnsi="宋体" w:cs="宋体"/>
          <w:b w:val="0"/>
          <w:bCs w:val="0"/>
        </w:rPr>
      </w:pPr>
    </w:p>
    <w:p>
      <w:pPr>
        <w:jc w:val="center"/>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二零二</w:t>
      </w:r>
      <w:r>
        <w:rPr>
          <w:rFonts w:hint="eastAsia" w:ascii="宋体" w:hAnsi="宋体" w:cs="宋体"/>
          <w:b w:val="0"/>
          <w:bCs w:val="0"/>
          <w:sz w:val="32"/>
          <w:szCs w:val="32"/>
          <w:lang w:val="en-US" w:eastAsia="zh-CN"/>
        </w:rPr>
        <w:t>四</w:t>
      </w:r>
      <w:r>
        <w:rPr>
          <w:rFonts w:hint="eastAsia" w:ascii="宋体" w:hAnsi="宋体" w:eastAsia="宋体" w:cs="宋体"/>
          <w:b w:val="0"/>
          <w:bCs w:val="0"/>
          <w:sz w:val="32"/>
          <w:szCs w:val="32"/>
          <w:lang w:val="en-US" w:eastAsia="zh-CN"/>
        </w:rPr>
        <w:t>年</w:t>
      </w:r>
      <w:r>
        <w:rPr>
          <w:rFonts w:hint="eastAsia" w:ascii="宋体" w:hAnsi="宋体" w:cs="宋体"/>
          <w:b w:val="0"/>
          <w:bCs w:val="0"/>
          <w:sz w:val="32"/>
          <w:szCs w:val="32"/>
          <w:lang w:val="en-US" w:eastAsia="zh-CN"/>
        </w:rPr>
        <w:t>一</w:t>
      </w:r>
      <w:r>
        <w:rPr>
          <w:rFonts w:hint="eastAsia" w:ascii="宋体" w:hAnsi="宋体" w:eastAsia="宋体" w:cs="宋体"/>
          <w:b w:val="0"/>
          <w:bCs w:val="0"/>
          <w:sz w:val="32"/>
          <w:szCs w:val="32"/>
          <w:lang w:val="en-US" w:eastAsia="zh-CN"/>
        </w:rPr>
        <w:t>月</w:t>
      </w:r>
    </w:p>
    <w:p>
      <w:pPr>
        <w:jc w:val="center"/>
        <w:rPr>
          <w:rFonts w:ascii="仿宋_GB2312" w:eastAsia="仿宋_GB2312"/>
        </w:rPr>
        <w:sectPr>
          <w:footerReference r:id="rId4" w:type="default"/>
          <w:headerReference r:id="rId3" w:type="even"/>
          <w:footerReference r:id="rId5" w:type="even"/>
          <w:pgSz w:w="11907" w:h="16840"/>
          <w:pgMar w:top="1814" w:right="1588" w:bottom="1814" w:left="1701" w:header="851" w:footer="1644" w:gutter="0"/>
          <w:cols w:space="425" w:num="1"/>
          <w:titlePg/>
        </w:sect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2"/>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
      </w:pPr>
    </w:p>
    <w:p>
      <w:pPr>
        <w:pStyle w:val="19"/>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eastAsia="宋体" w:cs="宋体"/>
          <w:b w:val="0"/>
          <w:bCs w:val="0"/>
          <w:sz w:val="24"/>
          <w:szCs w:val="24"/>
          <w:highlight w:val="none"/>
          <w:lang w:val="en-US" w:eastAsia="zh-CN"/>
        </w:rPr>
        <w:t>中煤华昱公司专家公寓不动产测绘项目</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2"/>
        <w:keepNext w:val="0"/>
        <w:keepLines w:val="0"/>
        <w:pageBreakBefore w:val="0"/>
        <w:widowControl w:val="0"/>
        <w:kinsoku/>
        <w:wordWrap/>
        <w:overflowPunct/>
        <w:topLinePunct w:val="0"/>
        <w:autoSpaceDE/>
        <w:autoSpaceDN/>
        <w:bidi w:val="0"/>
        <w:adjustRightInd/>
        <w:spacing w:line="460" w:lineRule="exact"/>
        <w:textAlignment w:val="auto"/>
        <w:rPr>
          <w:rFonts w:hint="default" w:eastAsia="宋体"/>
          <w:highlight w:val="none"/>
          <w:lang w:val="en-US" w:eastAsia="zh-CN"/>
        </w:rPr>
      </w:pPr>
      <w:r>
        <w:rPr>
          <w:rFonts w:hint="eastAsia" w:ascii="宋体" w:hAnsi="宋体" w:cs="宋体"/>
          <w:b w:val="0"/>
          <w:bCs w:val="0"/>
          <w:sz w:val="24"/>
          <w:szCs w:val="24"/>
          <w:highlight w:val="none"/>
          <w:lang w:val="en-US" w:eastAsia="zh-CN"/>
        </w:rPr>
        <w:t xml:space="preserve">    评审方式：最低评审价格法</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2024年1月31日    </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报名截止日期：2024年2月7日  07:40</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报价截止时间：2024年2月7日  07:50</w:t>
      </w:r>
      <w:bookmarkStart w:id="1" w:name="_GoBack"/>
      <w:bookmarkEnd w:id="1"/>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报价揭价时间：2024年2月7日  08:00</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仿宋" w:hAnsi="仿宋" w:eastAsia="仿宋" w:cs="仿宋"/>
          <w:b w:val="0"/>
          <w:bCs w:val="0"/>
          <w:kern w:val="2"/>
          <w:sz w:val="30"/>
          <w:szCs w:val="30"/>
          <w:highlight w:val="none"/>
          <w:lang w:val="en-US" w:eastAsia="zh-CN" w:bidi="ar-SA"/>
        </w:rPr>
      </w:pPr>
      <w:r>
        <w:rPr>
          <w:rFonts w:hint="eastAsia" w:ascii="宋体" w:hAnsi="宋体" w:cs="宋体"/>
          <w:b w:val="0"/>
          <w:bCs w:val="0"/>
          <w:sz w:val="24"/>
          <w:szCs w:val="24"/>
          <w:highlight w:val="none"/>
          <w:lang w:val="en-US" w:eastAsia="zh-CN"/>
        </w:rPr>
        <w:t>1.项目概况：</w:t>
      </w:r>
      <w:r>
        <w:rPr>
          <w:rFonts w:hint="eastAsia" w:ascii="宋体" w:hAnsi="宋体" w:eastAsia="宋体" w:cs="宋体"/>
          <w:b w:val="0"/>
          <w:bCs w:val="0"/>
          <w:sz w:val="24"/>
          <w:szCs w:val="24"/>
          <w:highlight w:val="none"/>
          <w:lang w:val="en-US" w:eastAsia="zh-CN"/>
        </w:rPr>
        <w:t xml:space="preserve">中煤华昱公司园区内专家公寓房屋用地不动产测绘及报告编制。             </w:t>
      </w:r>
      <w:r>
        <w:rPr>
          <w:rFonts w:hint="eastAsia" w:ascii="仿宋" w:hAnsi="仿宋" w:eastAsia="仿宋" w:cs="仿宋"/>
          <w:b w:val="0"/>
          <w:bCs w:val="0"/>
          <w:kern w:val="2"/>
          <w:sz w:val="30"/>
          <w:szCs w:val="30"/>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w:t>
      </w:r>
      <w:r>
        <w:rPr>
          <w:rFonts w:hint="eastAsia" w:ascii="宋体" w:hAnsi="宋体" w:eastAsia="宋体" w:cs="宋体"/>
          <w:b w:val="0"/>
          <w:bCs w:val="0"/>
          <w:sz w:val="24"/>
          <w:szCs w:val="24"/>
          <w:highlight w:val="none"/>
          <w:lang w:val="en-US" w:eastAsia="zh-CN"/>
        </w:rPr>
        <w:t>：企业自筹。</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w:t>
      </w:r>
      <w:r>
        <w:rPr>
          <w:rFonts w:hint="eastAsia" w:ascii="宋体" w:hAnsi="宋体" w:eastAsia="宋体" w:cs="宋体"/>
          <w:b w:val="0"/>
          <w:bCs w:val="0"/>
          <w:sz w:val="24"/>
          <w:szCs w:val="24"/>
          <w:highlight w:val="none"/>
        </w:rPr>
        <w:t>签订合同后</w:t>
      </w:r>
      <w:r>
        <w:rPr>
          <w:rFonts w:hint="eastAsia" w:ascii="宋体" w:hAnsi="宋体" w:eastAsia="宋体" w:cs="宋体"/>
          <w:b w:val="0"/>
          <w:bCs w:val="0"/>
          <w:sz w:val="24"/>
          <w:szCs w:val="24"/>
          <w:highlight w:val="none"/>
          <w:lang w:val="en-US" w:eastAsia="zh-CN"/>
        </w:rPr>
        <w:t>30</w:t>
      </w:r>
      <w:r>
        <w:rPr>
          <w:rFonts w:hint="eastAsia" w:ascii="宋体" w:hAnsi="宋体" w:eastAsia="宋体" w:cs="宋体"/>
          <w:b w:val="0"/>
          <w:bCs w:val="0"/>
          <w:sz w:val="24"/>
          <w:szCs w:val="24"/>
          <w:highlight w:val="none"/>
        </w:rPr>
        <w:t>天完成</w:t>
      </w:r>
      <w:r>
        <w:rPr>
          <w:rFonts w:hint="eastAsia" w:ascii="宋体" w:hAnsi="宋体" w:eastAsia="宋体" w:cs="宋体"/>
          <w:b w:val="0"/>
          <w:bCs w:val="0"/>
          <w:sz w:val="24"/>
          <w:szCs w:val="24"/>
          <w:highlight w:val="none"/>
          <w:lang w:eastAsia="zh-CN"/>
        </w:rPr>
        <w:t>。</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highlight w:val="none"/>
          <w:lang w:val="en-US" w:eastAsia="zh-CN"/>
        </w:rPr>
      </w:pPr>
      <w:r>
        <w:rPr>
          <w:rFonts w:hint="eastAsia" w:ascii="宋体" w:hAnsi="宋体" w:cs="宋体"/>
          <w:b w:val="0"/>
          <w:bCs w:val="0"/>
          <w:sz w:val="24"/>
          <w:szCs w:val="24"/>
          <w:highlight w:val="none"/>
          <w:lang w:val="en-US" w:eastAsia="zh-CN"/>
        </w:rPr>
        <w:t>4.服务地点：</w:t>
      </w:r>
      <w:r>
        <w:rPr>
          <w:rFonts w:hint="eastAsia" w:ascii="宋体" w:hAnsi="宋体" w:eastAsia="宋体" w:cs="宋体"/>
          <w:b w:val="0"/>
          <w:bCs w:val="0"/>
          <w:sz w:val="24"/>
          <w:szCs w:val="24"/>
          <w:highlight w:val="none"/>
        </w:rPr>
        <w:t>中煤集团山西华昱能源有限公司园区</w:t>
      </w:r>
      <w:r>
        <w:rPr>
          <w:rFonts w:hint="eastAsia" w:ascii="宋体" w:hAnsi="宋体" w:eastAsia="宋体" w:cs="宋体"/>
          <w:b w:val="0"/>
          <w:bCs w:val="0"/>
          <w:sz w:val="24"/>
          <w:szCs w:val="24"/>
          <w:highlight w:val="none"/>
          <w:lang w:eastAsia="zh-CN"/>
        </w:rPr>
        <w:t>。</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5.报价方式为固定总价：**元（不含税）。</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（1）投标人按照项目现场情况自行分项报价要详细完整。</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（2）参与公开询价业务的报价单位在线报名、报价。</w:t>
      </w:r>
    </w:p>
    <w:p>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付款方式：乙方完成测绘报告后一次性支付测绘费用。甲方付款前，乙方应当按照甲方财务要求提供相应的增值税务发票，并按照甲方公司及其上级主管部门的规定履行相应的付款审批程序，甲乙双方均认可前述内容为乙方的重大义务，如乙方未能完全履行该义务，则甲方有权拒付相应款项。</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8.报价人在提交报价文件时需附《供应商廉洁承诺书》。</w:t>
      </w:r>
    </w:p>
    <w:p>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1.报价人应具有中华人民共和国境内注册的独立法人资格。</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2.报价人须</w:t>
      </w:r>
      <w:r>
        <w:rPr>
          <w:rFonts w:hint="eastAsia" w:ascii="宋体" w:hAnsi="宋体" w:eastAsia="宋体" w:cs="宋体"/>
          <w:b w:val="0"/>
          <w:bCs w:val="0"/>
          <w:sz w:val="24"/>
          <w:szCs w:val="24"/>
          <w:highlight w:val="none"/>
          <w:lang w:val="en-US" w:eastAsia="zh-CN"/>
        </w:rPr>
        <w:t>具有乙级以上测绘资质证书（含乙级、由自然资源厅颁发）。</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3.报价人须提供合同签订日期在2021年1月1日至开标之日至少2项同类项目业绩，以扫描件为准（提供合同关键页）。</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4.报价人必须到现场实际勘测，并出具甲方相关人员签字盖章确认的勘测证明。</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5.本次询价不接受联合体报价。</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联系人：王智勇</w:t>
      </w: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lang w:val="en-US" w:eastAsia="zh-CN"/>
        </w:rPr>
        <w:t>联系电话：13703509506</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pStyle w:val="2"/>
        <w:rPr>
          <w:rFonts w:hint="eastAsia" w:ascii="宋体" w:hAnsi="宋体" w:eastAsia="黑体" w:cs="宋体"/>
          <w:b w:val="0"/>
          <w:bCs w:val="0"/>
          <w:sz w:val="32"/>
          <w:szCs w:val="32"/>
          <w:highlight w:val="none"/>
        </w:rPr>
      </w:pPr>
    </w:p>
    <w:p>
      <w:pPr>
        <w:rPr>
          <w:rFonts w:hint="eastAsia" w:ascii="宋体" w:hAnsi="宋体" w:eastAsia="黑体" w:cs="宋体"/>
          <w:b w:val="0"/>
          <w:bCs w:val="0"/>
          <w:sz w:val="32"/>
          <w:szCs w:val="32"/>
          <w:highlight w:val="none"/>
        </w:rPr>
      </w:pPr>
    </w:p>
    <w:p>
      <w:pPr>
        <w:pStyle w:val="2"/>
        <w:rPr>
          <w:rFonts w:hint="eastAsia" w:ascii="宋体" w:hAnsi="宋体" w:eastAsia="黑体" w:cs="宋体"/>
          <w:b w:val="0"/>
          <w:bCs w:val="0"/>
          <w:sz w:val="32"/>
          <w:szCs w:val="32"/>
          <w:highlight w:val="none"/>
        </w:rPr>
      </w:pPr>
    </w:p>
    <w:p>
      <w:pPr>
        <w:rPr>
          <w:rFonts w:hint="eastAsia"/>
        </w:rPr>
      </w:pPr>
    </w:p>
    <w:p>
      <w:pPr>
        <w:pStyle w:val="2"/>
        <w:rPr>
          <w:rFonts w:hint="eastAsia"/>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b w:val="0"/>
          <w:bCs w:val="0"/>
          <w:color w:val="000000"/>
          <w:sz w:val="24"/>
          <w:szCs w:val="24"/>
          <w:highlight w:val="none"/>
        </w:rPr>
        <w:t>报价为</w:t>
      </w:r>
      <w:r>
        <w:rPr>
          <w:rFonts w:hint="eastAsia" w:ascii="宋体" w:hAnsi="宋体" w:cs="宋体"/>
          <w:b w:val="0"/>
          <w:bCs w:val="0"/>
          <w:color w:val="000000"/>
          <w:sz w:val="24"/>
          <w:szCs w:val="24"/>
          <w:highlight w:val="none"/>
          <w:lang w:eastAsia="zh-CN"/>
        </w:rPr>
        <w:t>不</w:t>
      </w:r>
      <w:r>
        <w:rPr>
          <w:rFonts w:hint="eastAsia" w:ascii="宋体" w:hAnsi="宋体" w:cs="宋体"/>
          <w:b w:val="0"/>
          <w:bCs w:val="0"/>
          <w:color w:val="000000"/>
          <w:sz w:val="24"/>
          <w:szCs w:val="24"/>
          <w:highlight w:val="none"/>
        </w:rPr>
        <w:t>含税价。</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0"/>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19"/>
        <w:numPr>
          <w:ilvl w:val="0"/>
          <w:numId w:val="0"/>
        </w:numPr>
        <w:spacing w:line="360" w:lineRule="auto"/>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hint="eastAsia" w:ascii="宋体" w:cs="宋体"/>
          <w:b w:val="0"/>
          <w:bCs w:val="0"/>
          <w:sz w:val="24"/>
          <w:szCs w:val="24"/>
          <w:highlight w:val="none"/>
          <w:lang w:eastAsia="zh-CN"/>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eastAsia"/>
          <w:lang w:val="en-US" w:eastAsia="zh-CN"/>
        </w:rPr>
      </w:pP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pStyle w:val="40"/>
        <w:keepNext w:val="0"/>
        <w:keepLines w:val="0"/>
        <w:pageBreakBefore w:val="0"/>
        <w:widowControl/>
        <w:shd w:val="clear" w:color="auto"/>
        <w:kinsoku/>
        <w:wordWrap/>
        <w:overflowPunct/>
        <w:topLinePunct w:val="0"/>
        <w:autoSpaceDE/>
        <w:autoSpaceDN/>
        <w:bidi w:val="0"/>
        <w:adjustRightInd/>
        <w:snapToGrid/>
        <w:spacing w:before="0" w:beforeLines="100" w:beforeAutospacing="0" w:afterAutospacing="0" w:line="500" w:lineRule="exact"/>
        <w:ind w:right="300" w:firstLine="562" w:firstLineChars="200"/>
        <w:textAlignment w:val="auto"/>
        <w:rPr>
          <w:rFonts w:hint="eastAsia" w:ascii="仿宋" w:hAnsi="仿宋" w:eastAsia="仿宋" w:cs="仿宋"/>
          <w:b/>
          <w:color w:val="222222"/>
          <w:sz w:val="28"/>
          <w:szCs w:val="28"/>
          <w:u w:val="single"/>
          <w:shd w:val="clear" w:color="auto" w:fill="FFFFFF"/>
          <w:lang w:val="en-US" w:eastAsia="zh-CN"/>
        </w:rPr>
      </w:pPr>
      <w:r>
        <w:rPr>
          <w:rFonts w:hint="eastAsia" w:ascii="仿宋" w:hAnsi="仿宋" w:eastAsia="仿宋" w:cs="仿宋"/>
          <w:b/>
          <w:color w:val="222222"/>
          <w:sz w:val="28"/>
          <w:szCs w:val="28"/>
          <w:shd w:val="clear" w:color="auto" w:fill="FFFFFF"/>
        </w:rPr>
        <w:t>甲方 (委托方)：</w:t>
      </w:r>
      <w:r>
        <w:rPr>
          <w:rFonts w:hint="eastAsia" w:ascii="仿宋" w:hAnsi="仿宋" w:eastAsia="仿宋" w:cs="仿宋"/>
          <w:b/>
          <w:color w:val="222222"/>
          <w:sz w:val="28"/>
          <w:szCs w:val="28"/>
          <w:u w:val="single"/>
          <w:shd w:val="clear" w:color="auto" w:fill="FFFFFF"/>
          <w:lang w:val="en-US" w:eastAsia="zh-CN"/>
        </w:rPr>
        <w:t xml:space="preserve"> </w:t>
      </w:r>
      <w:r>
        <w:rPr>
          <w:rFonts w:hint="eastAsia" w:ascii="仿宋" w:hAnsi="仿宋" w:eastAsia="仿宋" w:cs="仿宋"/>
          <w:b/>
          <w:color w:val="222222"/>
          <w:sz w:val="28"/>
          <w:szCs w:val="28"/>
          <w:u w:val="single"/>
          <w:shd w:val="clear" w:color="auto" w:fill="FFFFFF"/>
        </w:rPr>
        <w:t>中煤集团山西华昱能源有限公司</w:t>
      </w:r>
      <w:r>
        <w:rPr>
          <w:rFonts w:hint="eastAsia" w:ascii="仿宋" w:hAnsi="仿宋" w:eastAsia="仿宋" w:cs="仿宋"/>
          <w:b/>
          <w:color w:val="222222"/>
          <w:sz w:val="28"/>
          <w:szCs w:val="28"/>
          <w:u w:val="single"/>
          <w:shd w:val="clear" w:color="auto" w:fill="FFFFFF"/>
          <w:lang w:val="en-US" w:eastAsia="zh-CN"/>
        </w:rPr>
        <w:t xml:space="preserve">    </w:t>
      </w:r>
    </w:p>
    <w:p>
      <w:pPr>
        <w:pStyle w:val="40"/>
        <w:keepNext w:val="0"/>
        <w:keepLines w:val="0"/>
        <w:pageBreakBefore w:val="0"/>
        <w:widowControl/>
        <w:shd w:val="clear" w:color="auto"/>
        <w:kinsoku/>
        <w:wordWrap/>
        <w:topLinePunct w:val="0"/>
        <w:autoSpaceDE/>
        <w:autoSpaceDN/>
        <w:bidi w:val="0"/>
        <w:adjustRightInd/>
        <w:snapToGrid/>
        <w:spacing w:beforeAutospacing="0" w:afterAutospacing="0" w:line="500" w:lineRule="exact"/>
        <w:ind w:right="300" w:firstLine="562" w:firstLineChars="200"/>
        <w:textAlignment w:val="auto"/>
        <w:rPr>
          <w:rFonts w:hint="eastAsia" w:ascii="仿宋" w:hAnsi="仿宋" w:eastAsia="仿宋" w:cs="仿宋"/>
          <w:b/>
          <w:color w:val="222222"/>
          <w:sz w:val="28"/>
          <w:szCs w:val="28"/>
          <w:u w:val="single"/>
          <w:shd w:val="clear" w:color="auto" w:fill="FFFFFF"/>
          <w:lang w:val="en-US" w:eastAsia="zh-CN"/>
        </w:rPr>
      </w:pPr>
      <w:r>
        <w:rPr>
          <w:rFonts w:hint="eastAsia" w:ascii="仿宋" w:hAnsi="仿宋" w:eastAsia="仿宋" w:cs="仿宋"/>
          <w:b/>
          <w:color w:val="222222"/>
          <w:sz w:val="28"/>
          <w:szCs w:val="28"/>
          <w:shd w:val="clear" w:color="auto" w:fill="FFFFFF"/>
        </w:rPr>
        <w:t>乙方 (承接方)：</w:t>
      </w:r>
      <w:r>
        <w:rPr>
          <w:rFonts w:hint="eastAsia" w:ascii="仿宋" w:hAnsi="仿宋" w:eastAsia="仿宋" w:cs="仿宋"/>
          <w:b/>
          <w:color w:val="222222"/>
          <w:sz w:val="28"/>
          <w:szCs w:val="28"/>
          <w:u w:val="single"/>
          <w:shd w:val="clear" w:color="auto" w:fill="FFFFFF"/>
          <w:lang w:val="en-US" w:eastAsia="zh-CN"/>
        </w:rPr>
        <w:t xml:space="preserve">                                 </w:t>
      </w:r>
    </w:p>
    <w:p>
      <w:pPr>
        <w:pStyle w:val="20"/>
        <w:keepNext w:val="0"/>
        <w:keepLines w:val="0"/>
        <w:pageBreakBefore w:val="0"/>
        <w:widowControl w:val="0"/>
        <w:kinsoku/>
        <w:wordWrap/>
        <w:overflowPunct/>
        <w:topLinePunct w:val="0"/>
        <w:autoSpaceDE/>
        <w:autoSpaceDN/>
        <w:bidi w:val="0"/>
        <w:adjustRightInd/>
        <w:snapToGrid w:val="0"/>
        <w:spacing w:before="0" w:beforeLines="100" w:after="0" w:afterLines="0" w:line="560" w:lineRule="exact"/>
        <w:ind w:firstLine="0" w:firstLineChars="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color w:val="222222"/>
          <w:sz w:val="28"/>
          <w:szCs w:val="28"/>
          <w:shd w:val="clear" w:color="auto" w:fill="FFFFFF"/>
        </w:rPr>
        <w:t xml:space="preserve"> </w:t>
      </w:r>
      <w:r>
        <w:rPr>
          <w:rFonts w:hint="eastAsia" w:ascii="仿宋" w:hAnsi="仿宋" w:eastAsia="仿宋" w:cs="仿宋"/>
          <w:color w:val="222222"/>
          <w:sz w:val="28"/>
          <w:szCs w:val="28"/>
          <w:shd w:val="clear" w:color="auto" w:fill="FFFFFF"/>
          <w:lang w:val="en-US" w:eastAsia="zh-CN"/>
        </w:rPr>
        <w:t xml:space="preserve">   </w:t>
      </w:r>
      <w:r>
        <w:rPr>
          <w:rFonts w:hint="eastAsia" w:ascii="仿宋" w:hAnsi="仿宋" w:eastAsia="仿宋" w:cs="仿宋"/>
          <w:b/>
          <w:bCs/>
          <w:kern w:val="2"/>
          <w:sz w:val="32"/>
          <w:szCs w:val="32"/>
          <w:lang w:val="en-US" w:eastAsia="zh-CN" w:bidi="ar-SA"/>
        </w:rPr>
        <w:t>第一条 　</w:t>
      </w:r>
      <w:r>
        <w:rPr>
          <w:rFonts w:hint="eastAsia" w:ascii="仿宋" w:hAnsi="仿宋" w:eastAsia="仿宋" w:cs="仿宋"/>
          <w:b w:val="0"/>
          <w:bCs w:val="0"/>
          <w:kern w:val="2"/>
          <w:sz w:val="32"/>
          <w:szCs w:val="32"/>
          <w:lang w:val="en-US" w:eastAsia="zh-CN" w:bidi="ar-SA"/>
        </w:rPr>
        <w:t>测绘范围</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　　测区位于山西省山阴县北周庄镇中煤集团山西华昱能源有限公司园区内专家公寓。                              </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第二条　</w:t>
      </w:r>
      <w:r>
        <w:rPr>
          <w:rFonts w:hint="eastAsia" w:ascii="仿宋" w:hAnsi="仿宋" w:eastAsia="仿宋" w:cs="仿宋"/>
          <w:b w:val="0"/>
          <w:bCs w:val="0"/>
          <w:kern w:val="2"/>
          <w:sz w:val="32"/>
          <w:szCs w:val="32"/>
          <w:highlight w:val="none"/>
          <w:lang w:val="en-US" w:eastAsia="zh-CN" w:bidi="ar-SA"/>
        </w:rPr>
        <w:t>测绘内容</w:t>
      </w:r>
    </w:p>
    <w:p>
      <w:pPr>
        <w:keepNext w:val="0"/>
        <w:keepLines w:val="0"/>
        <w:pageBreakBefore w:val="0"/>
        <w:widowControl w:val="0"/>
        <w:kinsoku/>
        <w:wordWrap/>
        <w:overflowPunct/>
        <w:topLinePunct w:val="0"/>
        <w:autoSpaceDE/>
        <w:autoSpaceDN/>
        <w:bidi w:val="0"/>
        <w:adjustRightInd/>
        <w:spacing w:line="460" w:lineRule="exact"/>
        <w:ind w:firstLine="640" w:firstLineChars="200"/>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val="0"/>
          <w:bCs w:val="0"/>
          <w:kern w:val="2"/>
          <w:sz w:val="32"/>
          <w:szCs w:val="32"/>
          <w:highlight w:val="none"/>
          <w:lang w:val="en-US" w:eastAsia="zh-CN" w:bidi="ar-SA"/>
        </w:rPr>
        <w:t xml:space="preserve">公司园区专家公寓房屋用地不动产测绘及报告编制。 </w:t>
      </w:r>
    </w:p>
    <w:p>
      <w:pPr>
        <w:keepNext w:val="0"/>
        <w:keepLines w:val="0"/>
        <w:pageBreakBefore w:val="0"/>
        <w:widowControl w:val="0"/>
        <w:numPr>
          <w:ilvl w:val="0"/>
          <w:numId w:val="0"/>
        </w:numPr>
        <w:kinsoku/>
        <w:wordWrap/>
        <w:overflowPunct/>
        <w:topLinePunct w:val="0"/>
        <w:autoSpaceDE/>
        <w:autoSpaceDN/>
        <w:bidi w:val="0"/>
        <w:adjustRightInd/>
        <w:spacing w:line="460" w:lineRule="exact"/>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　　第三条　</w:t>
      </w:r>
      <w:r>
        <w:rPr>
          <w:rFonts w:hint="eastAsia" w:ascii="仿宋" w:hAnsi="仿宋" w:eastAsia="仿宋" w:cs="仿宋"/>
          <w:b w:val="0"/>
          <w:bCs w:val="0"/>
          <w:kern w:val="2"/>
          <w:sz w:val="32"/>
          <w:szCs w:val="32"/>
          <w:highlight w:val="none"/>
          <w:lang w:val="en-US" w:eastAsia="zh-CN" w:bidi="ar-SA"/>
        </w:rPr>
        <w:t>工期（服务期）</w:t>
      </w:r>
    </w:p>
    <w:p>
      <w:pPr>
        <w:keepNext w:val="0"/>
        <w:keepLines w:val="0"/>
        <w:pageBreakBefore w:val="0"/>
        <w:widowControl w:val="0"/>
        <w:numPr>
          <w:ilvl w:val="0"/>
          <w:numId w:val="0"/>
        </w:numPr>
        <w:kinsoku/>
        <w:wordWrap/>
        <w:overflowPunct/>
        <w:topLinePunct w:val="0"/>
        <w:autoSpaceDE/>
        <w:autoSpaceDN/>
        <w:bidi w:val="0"/>
        <w:adjustRightInd/>
        <w:spacing w:line="460" w:lineRule="exact"/>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val="0"/>
          <w:bCs w:val="0"/>
          <w:kern w:val="2"/>
          <w:sz w:val="32"/>
          <w:szCs w:val="32"/>
          <w:highlight w:val="none"/>
          <w:lang w:val="en-US" w:eastAsia="zh-CN" w:bidi="ar-SA"/>
        </w:rPr>
        <w:t xml:space="preserve">　　总工期：30天。         </w:t>
      </w:r>
    </w:p>
    <w:p>
      <w:pPr>
        <w:keepNext w:val="0"/>
        <w:keepLines w:val="0"/>
        <w:pageBreakBefore w:val="0"/>
        <w:widowControl w:val="0"/>
        <w:kinsoku/>
        <w:wordWrap/>
        <w:overflowPunct/>
        <w:topLinePunct w:val="0"/>
        <w:autoSpaceDE/>
        <w:autoSpaceDN/>
        <w:bidi w:val="0"/>
        <w:adjustRightInd/>
        <w:snapToGrid w:val="0"/>
        <w:spacing w:line="560" w:lineRule="exact"/>
        <w:ind w:firstLine="48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 </w:t>
      </w:r>
      <w:r>
        <w:rPr>
          <w:rFonts w:hint="eastAsia" w:ascii="仿宋" w:hAnsi="仿宋" w:eastAsia="仿宋" w:cs="仿宋"/>
          <w:b/>
          <w:bCs/>
          <w:kern w:val="2"/>
          <w:sz w:val="32"/>
          <w:szCs w:val="32"/>
          <w:lang w:val="en-US" w:eastAsia="zh-CN" w:bidi="ar-SA"/>
        </w:rPr>
        <w:t>第</w:t>
      </w:r>
      <w:r>
        <w:rPr>
          <w:rFonts w:hint="eastAsia" w:ascii="仿宋" w:hAnsi="仿宋" w:eastAsia="仿宋" w:cs="仿宋"/>
          <w:b/>
          <w:bCs/>
          <w:sz w:val="32"/>
          <w:szCs w:val="32"/>
          <w:lang w:val="en-US" w:eastAsia="zh-CN"/>
        </w:rPr>
        <w:t>四</w:t>
      </w:r>
      <w:r>
        <w:rPr>
          <w:rFonts w:hint="eastAsia" w:ascii="仿宋" w:hAnsi="仿宋" w:eastAsia="仿宋" w:cs="仿宋"/>
          <w:b/>
          <w:bCs/>
          <w:kern w:val="2"/>
          <w:sz w:val="32"/>
          <w:szCs w:val="32"/>
          <w:lang w:val="en-US" w:eastAsia="zh-CN" w:bidi="ar-SA"/>
        </w:rPr>
        <w:t>条　</w:t>
      </w:r>
      <w:r>
        <w:rPr>
          <w:rFonts w:hint="eastAsia" w:ascii="仿宋" w:hAnsi="仿宋" w:eastAsia="仿宋" w:cs="仿宋"/>
          <w:b w:val="0"/>
          <w:bCs w:val="0"/>
          <w:kern w:val="2"/>
          <w:sz w:val="32"/>
          <w:szCs w:val="32"/>
          <w:lang w:val="en-US" w:eastAsia="zh-CN" w:bidi="ar-SA"/>
        </w:rPr>
        <w:t xml:space="preserve">执行技术标准        </w:t>
      </w:r>
    </w:p>
    <w:tbl>
      <w:tblPr>
        <w:tblStyle w:val="45"/>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5110"/>
        <w:gridCol w:w="2196"/>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序号</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标  准  名  称</w:t>
            </w:r>
          </w:p>
        </w:tc>
        <w:tc>
          <w:tcPr>
            <w:tcW w:w="219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标准代号</w:t>
            </w:r>
          </w:p>
        </w:tc>
        <w:tc>
          <w:tcPr>
            <w:tcW w:w="1322"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标准等级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1</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《城市测量规范》</w:t>
            </w:r>
          </w:p>
        </w:tc>
        <w:tc>
          <w:tcPr>
            <w:tcW w:w="2196" w:type="dxa"/>
            <w:noWrap w:val="0"/>
            <w:vAlign w:val="center"/>
          </w:tcPr>
          <w:p>
            <w:pPr>
              <w:spacing w:line="500" w:lineRule="exact"/>
              <w:jc w:val="center"/>
              <w:rPr>
                <w:rFonts w:hint="eastAsia" w:ascii="宋体" w:hAnsi="宋体" w:cs="宋体"/>
                <w:sz w:val="24"/>
              </w:rPr>
            </w:pPr>
            <w:r>
              <w:rPr>
                <w:rFonts w:hint="eastAsia" w:ascii="宋体" w:hAnsi="宋体" w:cs="宋体"/>
                <w:b w:val="0"/>
                <w:bCs w:val="0"/>
                <w:sz w:val="24"/>
              </w:rPr>
              <w:t>CJJ/T8-2011</w:t>
            </w:r>
          </w:p>
        </w:tc>
        <w:tc>
          <w:tcPr>
            <w:tcW w:w="1322"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国家级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2</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《全球定位系统（GPS）测量规范》</w:t>
            </w:r>
          </w:p>
        </w:tc>
        <w:tc>
          <w:tcPr>
            <w:tcW w:w="2196" w:type="dxa"/>
            <w:noWrap w:val="0"/>
            <w:vAlign w:val="center"/>
          </w:tcPr>
          <w:p>
            <w:pPr>
              <w:spacing w:line="500" w:lineRule="exact"/>
              <w:ind w:firstLine="240" w:firstLineChars="100"/>
              <w:jc w:val="center"/>
              <w:rPr>
                <w:rFonts w:hint="eastAsia" w:ascii="宋体" w:hAnsi="宋体" w:cs="宋体"/>
                <w:b w:val="0"/>
                <w:bCs w:val="0"/>
                <w:sz w:val="24"/>
              </w:rPr>
            </w:pPr>
            <w:r>
              <w:rPr>
                <w:rFonts w:hint="eastAsia" w:ascii="宋体" w:hAnsi="宋体" w:cs="宋体"/>
                <w:b w:val="0"/>
                <w:bCs w:val="0"/>
                <w:sz w:val="24"/>
              </w:rPr>
              <w:t>GB/T18314-2009</w:t>
            </w:r>
          </w:p>
        </w:tc>
        <w:tc>
          <w:tcPr>
            <w:tcW w:w="1322"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国家级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3</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《数字测绘产品质量要求》</w:t>
            </w:r>
          </w:p>
        </w:tc>
        <w:tc>
          <w:tcPr>
            <w:tcW w:w="219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GB/T(17941-2008)</w:t>
            </w:r>
          </w:p>
        </w:tc>
        <w:tc>
          <w:tcPr>
            <w:tcW w:w="1322" w:type="dxa"/>
            <w:noWrap w:val="0"/>
            <w:vAlign w:val="center"/>
          </w:tcPr>
          <w:p>
            <w:pPr>
              <w:spacing w:line="500" w:lineRule="exact"/>
              <w:jc w:val="center"/>
              <w:rPr>
                <w:rFonts w:hint="eastAsia" w:ascii="宋体" w:hAnsi="宋体" w:cs="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4</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《全球定位系统实时动态测量（RTK)技术规范》</w:t>
            </w:r>
          </w:p>
        </w:tc>
        <w:tc>
          <w:tcPr>
            <w:tcW w:w="219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CH/T(2009-2010）</w:t>
            </w:r>
          </w:p>
        </w:tc>
        <w:tc>
          <w:tcPr>
            <w:tcW w:w="1322" w:type="dxa"/>
            <w:noWrap w:val="0"/>
            <w:vAlign w:val="center"/>
          </w:tcPr>
          <w:p>
            <w:pPr>
              <w:spacing w:line="500" w:lineRule="exact"/>
              <w:jc w:val="center"/>
              <w:rPr>
                <w:rFonts w:hint="eastAsia" w:ascii="宋体" w:hAnsi="宋体" w:cs="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5</w:t>
            </w:r>
          </w:p>
        </w:tc>
        <w:tc>
          <w:tcPr>
            <w:tcW w:w="5110"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《工程测量规范》</w:t>
            </w:r>
          </w:p>
        </w:tc>
        <w:tc>
          <w:tcPr>
            <w:tcW w:w="2196" w:type="dxa"/>
            <w:noWrap w:val="0"/>
            <w:vAlign w:val="center"/>
          </w:tcPr>
          <w:p>
            <w:pPr>
              <w:spacing w:line="500" w:lineRule="exact"/>
              <w:jc w:val="center"/>
              <w:rPr>
                <w:rFonts w:hint="eastAsia" w:ascii="宋体" w:hAnsi="宋体" w:cs="宋体"/>
                <w:b w:val="0"/>
                <w:bCs w:val="0"/>
                <w:sz w:val="24"/>
              </w:rPr>
            </w:pPr>
            <w:r>
              <w:rPr>
                <w:rFonts w:hint="eastAsia" w:ascii="宋体" w:hAnsi="宋体" w:cs="宋体"/>
                <w:b w:val="0"/>
                <w:bCs w:val="0"/>
                <w:sz w:val="24"/>
              </w:rPr>
              <w:t>GB50026-2007</w:t>
            </w:r>
          </w:p>
        </w:tc>
        <w:tc>
          <w:tcPr>
            <w:tcW w:w="1322" w:type="dxa"/>
            <w:noWrap w:val="0"/>
            <w:vAlign w:val="center"/>
          </w:tcPr>
          <w:p>
            <w:pPr>
              <w:spacing w:line="500" w:lineRule="exact"/>
              <w:jc w:val="center"/>
              <w:rPr>
                <w:rFonts w:hint="eastAsia" w:ascii="宋体" w:hAnsi="宋体" w:cs="宋体"/>
                <w:b w:val="0"/>
                <w:bCs w:val="0"/>
                <w:sz w:val="24"/>
              </w:rPr>
            </w:pPr>
          </w:p>
        </w:tc>
      </w:tr>
    </w:tbl>
    <w:p>
      <w:pPr>
        <w:keepNext w:val="0"/>
        <w:keepLines w:val="0"/>
        <w:pageBreakBefore w:val="0"/>
        <w:widowControl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val="0"/>
          <w:bCs w:val="0"/>
          <w:kern w:val="2"/>
          <w:sz w:val="32"/>
          <w:szCs w:val="32"/>
          <w:lang w:val="en-US" w:eastAsia="zh-CN" w:bidi="ar-SA"/>
        </w:rPr>
      </w:pPr>
      <w:r>
        <w:rPr>
          <w:rFonts w:hint="eastAsia" w:ascii="宋体" w:hAnsi="宋体" w:cs="宋体"/>
          <w:sz w:val="24"/>
        </w:rPr>
        <w:t xml:space="preserve"> </w:t>
      </w:r>
      <w:r>
        <w:rPr>
          <w:rFonts w:hint="eastAsia" w:ascii="仿宋" w:hAnsi="仿宋" w:eastAsia="仿宋" w:cs="仿宋"/>
          <w:b/>
          <w:bCs/>
          <w:sz w:val="32"/>
          <w:szCs w:val="32"/>
          <w:lang w:val="en-US" w:eastAsia="zh-CN"/>
        </w:rPr>
        <w:t>第</w:t>
      </w:r>
      <w:r>
        <w:rPr>
          <w:rFonts w:hint="eastAsia" w:ascii="仿宋" w:hAnsi="仿宋" w:eastAsia="仿宋" w:cs="仿宋"/>
          <w:b/>
          <w:bCs/>
          <w:kern w:val="2"/>
          <w:sz w:val="32"/>
          <w:szCs w:val="32"/>
          <w:lang w:val="en-US" w:eastAsia="zh-CN" w:bidi="ar-SA"/>
        </w:rPr>
        <w:t>五</w:t>
      </w:r>
      <w:r>
        <w:rPr>
          <w:rFonts w:hint="eastAsia" w:ascii="仿宋" w:hAnsi="仿宋" w:eastAsia="仿宋" w:cs="仿宋"/>
          <w:b/>
          <w:bCs/>
          <w:sz w:val="32"/>
          <w:szCs w:val="32"/>
          <w:lang w:val="en-US" w:eastAsia="zh-CN"/>
        </w:rPr>
        <w:t>条</w:t>
      </w:r>
      <w:r>
        <w:rPr>
          <w:rFonts w:hint="eastAsia" w:ascii="仿宋" w:hAnsi="仿宋" w:eastAsia="仿宋" w:cs="仿宋"/>
          <w:b w:val="0"/>
          <w:bCs w:val="0"/>
          <w:kern w:val="2"/>
          <w:sz w:val="32"/>
          <w:szCs w:val="32"/>
          <w:lang w:val="en-US" w:eastAsia="zh-CN" w:bidi="ar-SA"/>
        </w:rPr>
        <w:t>　</w:t>
      </w:r>
      <w:r>
        <w:rPr>
          <w:rFonts w:hint="eastAsia" w:ascii="仿宋" w:hAnsi="仿宋" w:eastAsia="仿宋" w:cs="仿宋"/>
          <w:b w:val="0"/>
          <w:bCs w:val="0"/>
          <w:sz w:val="32"/>
          <w:szCs w:val="32"/>
          <w:lang w:val="en-US" w:eastAsia="zh-CN"/>
        </w:rPr>
        <w:t>测绘费用、结算及支付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本合同金额为：大写</w:t>
      </w:r>
      <w:r>
        <w:rPr>
          <w:rFonts w:hint="eastAsia" w:ascii="仿宋" w:hAnsi="仿宋" w:eastAsia="仿宋" w:cs="仿宋"/>
          <w:b w:val="0"/>
          <w:bCs w:val="0"/>
          <w:kern w:val="2"/>
          <w:sz w:val="32"/>
          <w:szCs w:val="32"/>
          <w:u w:val="none"/>
          <w:lang w:val="en-US" w:eastAsia="zh-CN" w:bidi="ar-SA"/>
        </w:rPr>
        <w:t>：</w:t>
      </w:r>
      <w:r>
        <w:rPr>
          <w:rFonts w:hint="eastAsia" w:ascii="仿宋" w:hAnsi="仿宋" w:eastAsia="仿宋" w:cs="仿宋"/>
          <w:b w:val="0"/>
          <w:bCs w:val="0"/>
          <w:kern w:val="2"/>
          <w:sz w:val="32"/>
          <w:szCs w:val="32"/>
          <w:u w:val="single"/>
          <w:lang w:val="en-US" w:eastAsia="zh-CN" w:bidi="ar-SA"/>
        </w:rPr>
        <w:t>　　　　</w:t>
      </w:r>
      <w:r>
        <w:rPr>
          <w:rFonts w:hint="eastAsia" w:ascii="仿宋" w:hAnsi="仿宋" w:eastAsia="仿宋" w:cs="仿宋"/>
          <w:b w:val="0"/>
          <w:bCs w:val="0"/>
          <w:kern w:val="2"/>
          <w:sz w:val="32"/>
          <w:szCs w:val="32"/>
          <w:u w:val="none"/>
          <w:lang w:val="en-US" w:eastAsia="zh-CN" w:bidi="ar-SA"/>
        </w:rPr>
        <w:t>，</w:t>
      </w:r>
      <w:r>
        <w:rPr>
          <w:rFonts w:hint="eastAsia" w:ascii="仿宋" w:hAnsi="仿宋" w:eastAsia="仿宋" w:cs="仿宋"/>
          <w:b w:val="0"/>
          <w:bCs w:val="0"/>
          <w:kern w:val="2"/>
          <w:sz w:val="32"/>
          <w:szCs w:val="32"/>
          <w:lang w:val="en-US" w:eastAsia="zh-CN" w:bidi="ar-SA"/>
        </w:rPr>
        <w:t>小写：</w:t>
      </w:r>
      <w:r>
        <w:rPr>
          <w:rFonts w:hint="eastAsia" w:ascii="仿宋" w:hAnsi="仿宋" w:eastAsia="仿宋" w:cs="仿宋"/>
          <w:b w:val="0"/>
          <w:bCs w:val="0"/>
          <w:kern w:val="2"/>
          <w:sz w:val="32"/>
          <w:szCs w:val="32"/>
          <w:u w:val="single"/>
          <w:lang w:val="en-US" w:eastAsia="zh-CN" w:bidi="ar-SA"/>
        </w:rPr>
        <w:t>　　　</w:t>
      </w:r>
      <w:r>
        <w:rPr>
          <w:rFonts w:hint="eastAsia" w:ascii="仿宋" w:hAnsi="仿宋" w:eastAsia="仿宋" w:cs="仿宋"/>
          <w:b w:val="0"/>
          <w:bCs w:val="0"/>
          <w:kern w:val="2"/>
          <w:sz w:val="32"/>
          <w:szCs w:val="32"/>
          <w:u w:val="none"/>
          <w:lang w:val="en-US" w:eastAsia="zh-CN" w:bidi="ar-SA"/>
        </w:rPr>
        <w:t>（不含税）。乙方</w:t>
      </w:r>
      <w:r>
        <w:rPr>
          <w:rFonts w:hint="eastAsia" w:ascii="仿宋" w:hAnsi="仿宋" w:eastAsia="仿宋" w:cs="仿宋"/>
          <w:b w:val="0"/>
          <w:bCs w:val="0"/>
          <w:kern w:val="2"/>
          <w:sz w:val="32"/>
          <w:szCs w:val="32"/>
          <w:lang w:val="en-US" w:eastAsia="zh-CN" w:bidi="ar-SA"/>
        </w:rPr>
        <w:t>完成测绘</w:t>
      </w:r>
      <w:r>
        <w:rPr>
          <w:rFonts w:hint="eastAsia" w:ascii="仿宋" w:hAnsi="仿宋" w:eastAsia="仿宋" w:cs="仿宋"/>
          <w:b w:val="0"/>
          <w:bCs w:val="0"/>
          <w:kern w:val="2"/>
          <w:sz w:val="32"/>
          <w:szCs w:val="32"/>
          <w:u w:val="none"/>
          <w:lang w:val="en-US" w:eastAsia="zh-CN" w:bidi="ar-SA"/>
        </w:rPr>
        <w:t>提供甲方3份专家公</w:t>
      </w:r>
      <w:r>
        <w:rPr>
          <w:rFonts w:hint="eastAsia" w:ascii="仿宋" w:hAnsi="仿宋" w:eastAsia="仿宋" w:cs="仿宋"/>
          <w:b w:val="0"/>
          <w:bCs w:val="0"/>
          <w:kern w:val="2"/>
          <w:sz w:val="32"/>
          <w:szCs w:val="32"/>
          <w:lang w:val="en-US" w:eastAsia="zh-CN" w:bidi="ar-SA"/>
        </w:rPr>
        <w:t>寓房屋用地不动产测绘报告后一次性支付测绘费用。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甲方付款前，乙方应当按照甲方财务要求提供相应的增值税务发票，并按照甲方公司及其上级主管部门的规定履行相应的付款审批程序，甲乙双方均认可前述内容为乙方的重大义务，如乙方未能完全履行该义务，则甲方有权拒付相应款项。</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第六条　</w:t>
      </w:r>
      <w:r>
        <w:rPr>
          <w:rFonts w:hint="eastAsia" w:ascii="仿宋" w:hAnsi="仿宋" w:eastAsia="仿宋" w:cs="仿宋"/>
          <w:b w:val="0"/>
          <w:bCs w:val="0"/>
          <w:kern w:val="2"/>
          <w:sz w:val="32"/>
          <w:szCs w:val="32"/>
          <w:lang w:val="en-US" w:eastAsia="zh-CN" w:bidi="ar-SA"/>
        </w:rPr>
        <w:t>甲方的义务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1、甲方向乙方提供专家公寓有关资料。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2、应当保证乙方的测绘队伍顺利进入现场工作，并对乙方进场人员的工作、生活提供必要的条件，配合乙方顺利完成测量工作。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3、允许乙方在履行保密义务的前提下，内部使用执行本合同所生产的测绘成果。</w:t>
      </w:r>
    </w:p>
    <w:p>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宋体" w:hAnsi="宋体" w:cs="宋体"/>
          <w:b w:val="0"/>
          <w:bCs w:val="0"/>
          <w:sz w:val="24"/>
        </w:rPr>
      </w:pPr>
      <w:r>
        <w:rPr>
          <w:rFonts w:hint="eastAsia" w:ascii="仿宋" w:hAnsi="仿宋" w:eastAsia="仿宋" w:cs="仿宋"/>
          <w:b/>
          <w:bCs/>
          <w:kern w:val="2"/>
          <w:sz w:val="32"/>
          <w:szCs w:val="32"/>
          <w:lang w:val="en-US" w:eastAsia="zh-CN" w:bidi="ar-SA"/>
        </w:rPr>
        <w:t>第七条　</w:t>
      </w:r>
      <w:r>
        <w:rPr>
          <w:rFonts w:hint="eastAsia" w:ascii="仿宋" w:hAnsi="仿宋" w:eastAsia="仿宋" w:cs="仿宋"/>
          <w:b w:val="0"/>
          <w:bCs w:val="0"/>
          <w:kern w:val="2"/>
          <w:sz w:val="32"/>
          <w:szCs w:val="32"/>
          <w:lang w:val="en-US" w:eastAsia="zh-CN" w:bidi="ar-SA"/>
        </w:rPr>
        <w:t xml:space="preserve">乙方的义务      </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1、乙方收到甲方的有关资料之日起三日内，对有关资料进行校对，资料不符合要求的应要求甲方补正资料。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2、负责组织测绘队伍进场作业。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3、乙方应当根据合同约定确保测绘项目如期完成。</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4、乙方向甲方提供符合本合同约定技术标准的测绘成果。</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5、按时完成测量工作，向甲方提交测绘的成果。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第八条　</w:t>
      </w:r>
      <w:r>
        <w:rPr>
          <w:rFonts w:hint="eastAsia" w:ascii="仿宋" w:hAnsi="仿宋" w:eastAsia="仿宋" w:cs="仿宋"/>
          <w:b w:val="0"/>
          <w:bCs w:val="0"/>
          <w:kern w:val="2"/>
          <w:sz w:val="32"/>
          <w:szCs w:val="32"/>
          <w:lang w:val="en-US" w:eastAsia="zh-CN" w:bidi="ar-SA"/>
        </w:rPr>
        <w:t>乙方向甲方提供测绘成果</w:t>
      </w:r>
    </w:p>
    <w:tbl>
      <w:tblPr>
        <w:tblStyle w:val="45"/>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4987"/>
        <w:gridCol w:w="882"/>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序号</w:t>
            </w:r>
          </w:p>
        </w:tc>
        <w:tc>
          <w:tcPr>
            <w:tcW w:w="4987"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成果名称</w:t>
            </w:r>
          </w:p>
        </w:tc>
        <w:tc>
          <w:tcPr>
            <w:tcW w:w="882"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单位</w:t>
            </w:r>
          </w:p>
        </w:tc>
        <w:tc>
          <w:tcPr>
            <w:tcW w:w="1725"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4987"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测绘成果</w:t>
            </w:r>
          </w:p>
        </w:tc>
        <w:tc>
          <w:tcPr>
            <w:tcW w:w="882"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份</w:t>
            </w:r>
          </w:p>
        </w:tc>
        <w:tc>
          <w:tcPr>
            <w:tcW w:w="1725" w:type="dxa"/>
            <w:noWrap w:val="0"/>
            <w:vAlign w:val="center"/>
          </w:tcPr>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3</w:t>
            </w:r>
          </w:p>
        </w:tc>
      </w:tr>
    </w:tbl>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对乙方所提供的测绘成果的质量有争议的，由测区所在地的省级测绘产品质量监督检验站裁决。其费用由败诉方承担。</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第九条　</w:t>
      </w:r>
      <w:r>
        <w:rPr>
          <w:rFonts w:hint="eastAsia" w:ascii="仿宋" w:hAnsi="仿宋" w:eastAsia="仿宋" w:cs="仿宋"/>
          <w:b w:val="0"/>
          <w:bCs w:val="0"/>
          <w:kern w:val="2"/>
          <w:sz w:val="32"/>
          <w:szCs w:val="32"/>
          <w:lang w:val="en-US" w:eastAsia="zh-CN" w:bidi="ar-SA"/>
        </w:rPr>
        <w:t>违约责任</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1、乙方提供的测绘成果质量不合格的，乙方应负责无偿以重测或更正，直至通过甲方审核，否则，甲方有权单方解除合同，并保留追究乙方赔偿的权利。</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2、如因甲方提供的图纸资料原因产生的责任由甲方负责。</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3、乙方擅自转包本合同标的，甲方有权解除合同，并可要求乙方偿付预算总工程费20%的违约金。</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4、甲方提供的图纸和技术资料以及属于甲方的测绘成果，乙方有保密义务，不得向第三人转让，否则甲方有权追究乙方法律费。</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第十条</w:t>
      </w:r>
      <w:r>
        <w:rPr>
          <w:rFonts w:hint="eastAsia" w:ascii="仿宋" w:hAnsi="仿宋" w:eastAsia="仿宋" w:cs="仿宋"/>
          <w:b w:val="0"/>
          <w:bCs w:val="0"/>
          <w:kern w:val="2"/>
          <w:sz w:val="32"/>
          <w:szCs w:val="32"/>
          <w:lang w:val="en-US" w:eastAsia="zh-CN" w:bidi="ar-SA"/>
        </w:rPr>
        <w:t>　由于不可抗力、致使合同无法履行时，双方应按有关法律规定及时协商处理。</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第十一条</w:t>
      </w:r>
      <w:r>
        <w:rPr>
          <w:rFonts w:hint="eastAsia" w:ascii="仿宋" w:hAnsi="仿宋" w:eastAsia="仿宋" w:cs="仿宋"/>
          <w:b w:val="0"/>
          <w:bCs w:val="0"/>
          <w:kern w:val="2"/>
          <w:sz w:val="32"/>
          <w:szCs w:val="32"/>
          <w:lang w:val="en-US" w:eastAsia="zh-CN" w:bidi="ar-SA"/>
        </w:rPr>
        <w:t>　本合同执行过程中的未尽事宜，双方应本着实事求是友好协商的态度加以解决，双方协商一致的，签订补充协议，补充协议与本合同具有同等效力。</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第十二条</w:t>
      </w:r>
      <w:r>
        <w:rPr>
          <w:rFonts w:hint="eastAsia" w:ascii="仿宋" w:hAnsi="仿宋" w:eastAsia="仿宋" w:cs="仿宋"/>
          <w:b w:val="0"/>
          <w:bCs w:val="0"/>
          <w:kern w:val="2"/>
          <w:sz w:val="32"/>
          <w:szCs w:val="32"/>
          <w:lang w:val="en-US" w:eastAsia="zh-CN" w:bidi="ar-SA"/>
        </w:rPr>
        <w:t xml:space="preserve">　合同履行过程中若违反约定，双方应尽量友好协商解决；不愿协商或者协商不成的，应向甲方所在地有管辖权的人民法院提起诉讼解决。 </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第十三条　</w:t>
      </w:r>
      <w:r>
        <w:rPr>
          <w:rFonts w:hint="eastAsia" w:ascii="仿宋" w:hAnsi="仿宋" w:eastAsia="仿宋" w:cs="仿宋"/>
          <w:b w:val="0"/>
          <w:bCs w:val="0"/>
          <w:kern w:val="2"/>
          <w:sz w:val="32"/>
          <w:szCs w:val="32"/>
          <w:lang w:val="en-US" w:eastAsia="zh-CN" w:bidi="ar-SA"/>
        </w:rPr>
        <w:t>其他</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1、本合同由双方代表签字，加盖双方公章或合同专用章即生效。全部成果交接完毕和测绘工程费结算完成以后，本合同终止。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2、本合同一式</w:t>
      </w:r>
      <w:r>
        <w:rPr>
          <w:rFonts w:hint="eastAsia" w:ascii="仿宋" w:hAnsi="仿宋" w:eastAsia="仿宋" w:cs="仿宋"/>
          <w:b w:val="0"/>
          <w:bCs w:val="0"/>
          <w:kern w:val="2"/>
          <w:sz w:val="32"/>
          <w:szCs w:val="32"/>
          <w:u w:val="single"/>
          <w:lang w:val="en-US" w:eastAsia="zh-CN" w:bidi="ar-SA"/>
        </w:rPr>
        <w:t>陆</w:t>
      </w:r>
      <w:r>
        <w:rPr>
          <w:rFonts w:hint="eastAsia" w:ascii="仿宋" w:hAnsi="仿宋" w:eastAsia="仿宋" w:cs="仿宋"/>
          <w:b w:val="0"/>
          <w:bCs w:val="0"/>
          <w:kern w:val="2"/>
          <w:sz w:val="32"/>
          <w:szCs w:val="32"/>
          <w:lang w:val="en-US" w:eastAsia="zh-CN" w:bidi="ar-SA"/>
        </w:rPr>
        <w:t>份，甲方</w:t>
      </w:r>
      <w:r>
        <w:rPr>
          <w:rFonts w:hint="eastAsia" w:ascii="仿宋" w:hAnsi="仿宋" w:eastAsia="仿宋" w:cs="仿宋"/>
          <w:b w:val="0"/>
          <w:bCs w:val="0"/>
          <w:kern w:val="2"/>
          <w:sz w:val="32"/>
          <w:szCs w:val="32"/>
          <w:u w:val="single"/>
          <w:lang w:val="en-US" w:eastAsia="zh-CN" w:bidi="ar-SA"/>
        </w:rPr>
        <w:t>肆</w:t>
      </w:r>
      <w:r>
        <w:rPr>
          <w:rFonts w:hint="eastAsia" w:ascii="仿宋" w:hAnsi="仿宋" w:eastAsia="仿宋" w:cs="仿宋"/>
          <w:b w:val="0"/>
          <w:bCs w:val="0"/>
          <w:kern w:val="2"/>
          <w:sz w:val="32"/>
          <w:szCs w:val="32"/>
          <w:lang w:val="en-US" w:eastAsia="zh-CN" w:bidi="ar-SA"/>
        </w:rPr>
        <w:t>份、乙方</w:t>
      </w:r>
      <w:r>
        <w:rPr>
          <w:rFonts w:hint="eastAsia" w:ascii="仿宋" w:hAnsi="仿宋" w:eastAsia="仿宋" w:cs="仿宋"/>
          <w:b w:val="0"/>
          <w:bCs w:val="0"/>
          <w:kern w:val="2"/>
          <w:sz w:val="32"/>
          <w:szCs w:val="32"/>
          <w:u w:val="single"/>
          <w:lang w:val="en-US" w:eastAsia="zh-CN" w:bidi="ar-SA"/>
        </w:rPr>
        <w:t>贰</w:t>
      </w:r>
      <w:r>
        <w:rPr>
          <w:rFonts w:hint="eastAsia" w:ascii="仿宋" w:hAnsi="仿宋" w:eastAsia="仿宋" w:cs="仿宋"/>
          <w:b w:val="0"/>
          <w:bCs w:val="0"/>
          <w:kern w:val="2"/>
          <w:sz w:val="32"/>
          <w:szCs w:val="32"/>
          <w:lang w:val="en-US" w:eastAsia="zh-CN" w:bidi="ar-SA"/>
        </w:rPr>
        <w:t>份。</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甲方名称（盖章）：               乙方名称（盖章）：</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法定代表人：                     法定代表人：</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（委托代理人）                   （委托代理人）  </w:t>
      </w:r>
    </w:p>
    <w:p>
      <w:pPr>
        <w:keepNext w:val="0"/>
        <w:keepLines w:val="0"/>
        <w:pageBreakBefore w:val="0"/>
        <w:widowControl w:val="0"/>
        <w:kinsoku/>
        <w:wordWrap/>
        <w:overflowPunct/>
        <w:topLinePunct w:val="0"/>
        <w:autoSpaceDE/>
        <w:autoSpaceDN/>
        <w:bidi w:val="0"/>
        <w:adjustRightInd/>
        <w:snapToGrid w:val="0"/>
        <w:spacing w:line="560" w:lineRule="exact"/>
        <w:ind w:firstLine="320" w:firstLineChars="100"/>
        <w:textAlignment w:val="auto"/>
        <w:rPr>
          <w:rFonts w:hint="eastAsia" w:ascii="仿宋" w:hAnsi="仿宋" w:eastAsia="仿宋" w:cs="仿宋"/>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签订日期：                       签订日期：</w:t>
      </w:r>
    </w:p>
    <w:p>
      <w:pPr>
        <w:pStyle w:val="40"/>
        <w:keepNext w:val="0"/>
        <w:keepLines w:val="0"/>
        <w:pageBreakBefore w:val="0"/>
        <w:widowControl/>
        <w:shd w:val="clear" w:color="auto"/>
        <w:kinsoku/>
        <w:wordWrap/>
        <w:topLinePunct w:val="0"/>
        <w:autoSpaceDE/>
        <w:autoSpaceDN/>
        <w:bidi w:val="0"/>
        <w:adjustRightInd/>
        <w:snapToGrid/>
        <w:spacing w:beforeAutospacing="0" w:afterAutospacing="0" w:line="500" w:lineRule="exact"/>
        <w:ind w:right="300" w:firstLine="480" w:firstLineChars="200"/>
        <w:jc w:val="both"/>
        <w:textAlignment w:val="auto"/>
        <w:rPr>
          <w:rFonts w:hint="eastAsia" w:ascii="仿宋" w:hAnsi="仿宋" w:eastAsia="仿宋" w:cs="仿宋"/>
        </w:rPr>
      </w:pPr>
    </w:p>
    <w:p>
      <w:pPr>
        <w:keepNext w:val="0"/>
        <w:keepLines w:val="0"/>
        <w:pageBreakBefore w:val="0"/>
        <w:kinsoku/>
        <w:wordWrap/>
        <w:topLinePunct w:val="0"/>
        <w:autoSpaceDE/>
        <w:autoSpaceDN/>
        <w:bidi w:val="0"/>
        <w:adjustRightInd/>
        <w:snapToGrid/>
        <w:spacing w:line="500" w:lineRule="exact"/>
        <w:jc w:val="left"/>
        <w:textAlignment w:val="auto"/>
        <w:rPr>
          <w:rFonts w:hint="eastAsia" w:ascii="仿宋" w:hAnsi="仿宋" w:eastAsia="仿宋" w:cs="仿宋"/>
          <w:sz w:val="24"/>
        </w:rPr>
      </w:pPr>
    </w:p>
    <w:p>
      <w:pPr>
        <w:pStyle w:val="2"/>
        <w:numPr>
          <w:ilvl w:val="0"/>
          <w:numId w:val="0"/>
        </w:numPr>
        <w:ind w:leftChars="0"/>
        <w:rPr>
          <w:rFonts w:hint="eastAsia"/>
          <w:lang w:eastAsia="zh-CN"/>
        </w:rPr>
      </w:pPr>
    </w:p>
    <w:p>
      <w:pPr>
        <w:pStyle w:val="2"/>
        <w:rPr>
          <w:rFonts w:hint="default"/>
          <w:lang w:val="en-US" w:eastAsia="zh-CN"/>
        </w:rPr>
      </w:pPr>
      <w:r>
        <w:rPr>
          <w:rFonts w:hint="eastAsia"/>
          <w:lang w:val="en-US" w:eastAsia="zh-CN"/>
        </w:rPr>
        <w:t xml:space="preserve">             </w:t>
      </w:r>
    </w:p>
    <w:p>
      <w:pPr>
        <w:rPr>
          <w:rFonts w:hint="eastAsia" w:ascii="黑体" w:hAnsi="黑体" w:eastAsia="黑体" w:cs="黑体"/>
          <w:b w:val="0"/>
          <w:bCs w:val="0"/>
          <w:smallCaps/>
          <w:spacing w:val="14"/>
          <w:kern w:val="20"/>
          <w:highlight w:val="none"/>
          <w:lang w:eastAsia="zh-CN"/>
        </w:rPr>
      </w:pPr>
    </w:p>
    <w:p>
      <w:pPr>
        <w:pStyle w:val="2"/>
      </w:pPr>
    </w:p>
    <w:p>
      <w:pPr>
        <w:pStyle w:val="2"/>
      </w:pPr>
    </w:p>
    <w:p>
      <w:pPr>
        <w:pStyle w:val="2"/>
      </w:pPr>
    </w:p>
    <w:p>
      <w:pPr>
        <w:keepNext/>
        <w:keepLines/>
        <w:pageBreakBefore/>
        <w:numPr>
          <w:ilvl w:val="0"/>
          <w:numId w:val="6"/>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r>
        <w:rPr>
          <w:rFonts w:hint="eastAsia" w:ascii="黑体" w:hAnsi="黑体" w:eastAsia="黑体"/>
          <w:b w:val="0"/>
          <w:bCs w:val="0"/>
          <w:smallCaps/>
          <w:spacing w:val="14"/>
          <w:kern w:val="20"/>
          <w:highlight w:val="none"/>
          <w:lang w:eastAsia="zh-CN"/>
        </w:rPr>
        <w:t>技术规格和要求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b w:val="0"/>
          <w:bCs w:val="0"/>
          <w:smallCaps/>
          <w:spacing w:val="14"/>
          <w:kern w:val="20"/>
          <w:sz w:val="28"/>
          <w:szCs w:val="28"/>
          <w:highlight w:val="none"/>
          <w:lang w:eastAsia="zh-CN"/>
        </w:rPr>
      </w:pPr>
      <w:r>
        <w:rPr>
          <w:rFonts w:hint="eastAsia" w:ascii="宋体" w:hAnsi="宋体" w:eastAsia="宋体" w:cs="宋体"/>
          <w:b w:val="0"/>
          <w:bCs w:val="0"/>
          <w:smallCaps/>
          <w:spacing w:val="14"/>
          <w:kern w:val="20"/>
          <w:sz w:val="28"/>
          <w:szCs w:val="28"/>
          <w:highlight w:val="none"/>
          <w:lang w:val="en-US" w:eastAsia="zh-CN"/>
        </w:rPr>
        <w:t>1.</w:t>
      </w:r>
      <w:r>
        <w:rPr>
          <w:rFonts w:hint="eastAsia" w:ascii="宋体" w:hAnsi="宋体" w:eastAsia="宋体" w:cs="宋体"/>
          <w:b w:val="0"/>
          <w:bCs w:val="0"/>
          <w:smallCaps/>
          <w:spacing w:val="14"/>
          <w:kern w:val="20"/>
          <w:sz w:val="28"/>
          <w:szCs w:val="28"/>
          <w:highlight w:val="none"/>
          <w:lang w:eastAsia="zh-CN"/>
        </w:rPr>
        <w:t>设计依据</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《城市测量规范》</w:t>
      </w:r>
      <w:r>
        <w:rPr>
          <w:rFonts w:hint="eastAsia" w:ascii="宋体" w:hAnsi="宋体" w:eastAsia="宋体" w:cs="宋体"/>
          <w:b w:val="0"/>
          <w:bCs w:val="0"/>
          <w:sz w:val="28"/>
          <w:szCs w:val="28"/>
          <w:highlight w:val="none"/>
          <w:lang w:eastAsia="zh-CN"/>
        </w:rPr>
        <w:t>　　</w:t>
      </w:r>
      <w:r>
        <w:rPr>
          <w:rFonts w:hint="eastAsia" w:ascii="宋体" w:hAnsi="宋体" w:eastAsia="宋体" w:cs="宋体"/>
          <w:b w:val="0"/>
          <w:bCs w:val="0"/>
          <w:sz w:val="28"/>
          <w:szCs w:val="28"/>
          <w:highlight w:val="none"/>
        </w:rPr>
        <w:t>CJJ/T8-2011</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《全球定位系统（GPS）测量规范》</w:t>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rPr>
        <w:t>GB/T18314-2009</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《数字测绘产品质量要求》</w:t>
      </w:r>
      <w:r>
        <w:rPr>
          <w:rFonts w:hint="eastAsia" w:ascii="宋体" w:hAnsi="宋体" w:eastAsia="宋体" w:cs="宋体"/>
          <w:b w:val="0"/>
          <w:bCs w:val="0"/>
          <w:sz w:val="28"/>
          <w:szCs w:val="28"/>
          <w:highlight w:val="none"/>
          <w:lang w:eastAsia="zh-CN"/>
        </w:rPr>
        <w:t>　　　</w:t>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lang w:val="en-US" w:eastAsia="zh-CN"/>
        </w:rPr>
        <w:tab/>
      </w:r>
      <w:r>
        <w:rPr>
          <w:rFonts w:hint="eastAsia" w:ascii="宋体" w:hAnsi="宋体" w:eastAsia="宋体" w:cs="宋体"/>
          <w:b w:val="0"/>
          <w:bCs w:val="0"/>
          <w:sz w:val="28"/>
          <w:szCs w:val="28"/>
          <w:highlight w:val="none"/>
        </w:rPr>
        <w:t>GB/T(17941-2008)</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《全球定位系统实时动态测量（RTK)技术规范》</w:t>
      </w:r>
      <w:r>
        <w:rPr>
          <w:rFonts w:hint="eastAsia" w:ascii="宋体" w:hAnsi="宋体" w:eastAsia="宋体" w:cs="宋体"/>
          <w:b w:val="0"/>
          <w:bCs w:val="0"/>
          <w:sz w:val="28"/>
          <w:szCs w:val="28"/>
          <w:highlight w:val="none"/>
          <w:lang w:eastAsia="zh-CN"/>
        </w:rPr>
        <w:t>　</w:t>
      </w:r>
      <w:r>
        <w:rPr>
          <w:rFonts w:hint="eastAsia" w:ascii="宋体" w:hAnsi="宋体" w:eastAsia="宋体" w:cs="宋体"/>
          <w:b w:val="0"/>
          <w:bCs w:val="0"/>
          <w:sz w:val="28"/>
          <w:szCs w:val="28"/>
          <w:highlight w:val="none"/>
        </w:rPr>
        <w:t>CH/T(2009-2010）</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《工程测量规范》</w:t>
      </w:r>
      <w:r>
        <w:rPr>
          <w:rFonts w:hint="eastAsia" w:ascii="宋体" w:hAnsi="宋体" w:eastAsia="宋体" w:cs="宋体"/>
          <w:b w:val="0"/>
          <w:bCs w:val="0"/>
          <w:sz w:val="28"/>
          <w:szCs w:val="28"/>
          <w:highlight w:val="none"/>
          <w:lang w:eastAsia="zh-CN"/>
        </w:rPr>
        <w:t>　　</w:t>
      </w:r>
      <w:r>
        <w:rPr>
          <w:rFonts w:hint="eastAsia" w:ascii="宋体" w:hAnsi="宋体" w:eastAsia="宋体" w:cs="宋体"/>
          <w:b w:val="0"/>
          <w:bCs w:val="0"/>
          <w:sz w:val="28"/>
          <w:szCs w:val="28"/>
          <w:highlight w:val="none"/>
        </w:rPr>
        <w:t>GB50026-2007</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2.项目概况</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val="en-US" w:eastAsia="zh-CN"/>
        </w:rPr>
        <w:t xml:space="preserve">中煤华昱公司园区内专家公寓房屋用地不动产测绘及报告编制。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highlight w:val="yellow"/>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8"/>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19"/>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2"/>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headerReference r:id="rId6" w:type="default"/>
          <w:footerReference r:id="rId7"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hint="eastAsia" w:ascii="宋体" w:hAnsi="宋体" w:cs="宋体"/>
          <w:sz w:val="28"/>
          <w:szCs w:val="28"/>
          <w:highlight w:val="none"/>
          <w:u w:val="single"/>
          <w:lang w:eastAsia="zh-CN"/>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b/>
          <w:bCs/>
          <w:sz w:val="28"/>
          <w:szCs w:val="28"/>
          <w:highlight w:val="none"/>
          <w:lang w:eastAsia="zh-CN"/>
        </w:rPr>
        <w:t>不</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w:t>
      </w:r>
      <w:r>
        <w:rPr>
          <w:rFonts w:hint="eastAsia" w:ascii="宋体" w:hAnsi="宋体" w:cs="宋体"/>
          <w:sz w:val="28"/>
          <w:szCs w:val="28"/>
          <w:highlight w:val="none"/>
          <w:u w:val="single"/>
          <w:lang w:eastAsia="zh-CN"/>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19"/>
        <w:rPr>
          <w:highlight w:val="none"/>
        </w:rPr>
      </w:pPr>
    </w:p>
    <w:p>
      <w:pPr>
        <w:pStyle w:val="19"/>
        <w:rPr>
          <w:highlight w:val="none"/>
        </w:rPr>
      </w:pPr>
    </w:p>
    <w:p>
      <w:pPr>
        <w:pStyle w:val="19"/>
        <w:rPr>
          <w:highlight w:val="none"/>
        </w:rPr>
      </w:pPr>
    </w:p>
    <w:p>
      <w:pPr>
        <w:numPr>
          <w:ilvl w:val="0"/>
          <w:numId w:val="9"/>
        </w:numPr>
        <w:spacing w:line="360" w:lineRule="auto"/>
        <w:jc w:val="center"/>
        <w:rPr>
          <w:rFonts w:hint="eastAsia" w:eastAsia="宋体"/>
          <w:highlight w:val="none"/>
          <w:lang w:eastAsia="zh-CN"/>
        </w:rPr>
      </w:pPr>
      <w:r>
        <w:rPr>
          <w:rFonts w:hint="eastAsia" w:ascii="宋体" w:hAnsi="宋体" w:cs="宋体"/>
          <w:b w:val="0"/>
          <w:bCs w:val="0"/>
          <w:highlight w:val="none"/>
        </w:rPr>
        <w:t>报价一览表（</w:t>
      </w:r>
      <w:r>
        <w:rPr>
          <w:rFonts w:hint="eastAsia" w:ascii="宋体" w:hAnsi="宋体" w:cs="宋体"/>
          <w:b w:val="0"/>
          <w:bCs w:val="0"/>
          <w:highlight w:val="none"/>
          <w:lang w:eastAsia="zh-CN"/>
        </w:rPr>
        <w:t>不</w:t>
      </w:r>
      <w:r>
        <w:rPr>
          <w:rFonts w:hint="eastAsia" w:ascii="宋体" w:hAnsi="宋体" w:cs="宋体"/>
          <w:b w:val="0"/>
          <w:bCs w:val="0"/>
          <w:highlight w:val="none"/>
        </w:rPr>
        <w:t>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eastAsia="zh-CN"/>
              </w:rPr>
              <w:t>不</w:t>
            </w: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0"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w:t>
            </w:r>
            <w:r>
              <w:rPr>
                <w:rFonts w:hint="eastAsia" w:ascii="宋体" w:hAnsi="宋体" w:cs="宋体"/>
                <w:b w:val="0"/>
                <w:bCs w:val="0"/>
                <w:sz w:val="24"/>
                <w:szCs w:val="24"/>
                <w:highlight w:val="none"/>
                <w:lang w:eastAsia="zh-CN"/>
              </w:rPr>
              <w:t>不</w:t>
            </w:r>
            <w:r>
              <w:rPr>
                <w:rFonts w:hint="eastAsia" w:ascii="宋体" w:hAnsi="宋体" w:cs="宋体"/>
                <w:b w:val="0"/>
                <w:bCs w:val="0"/>
                <w:sz w:val="24"/>
                <w:szCs w:val="24"/>
                <w:highlight w:val="none"/>
              </w:rPr>
              <w:t>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w:t>
            </w:r>
          </w:p>
        </w:tc>
      </w:tr>
    </w:tbl>
    <w:p>
      <w:pPr>
        <w:pStyle w:val="83"/>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none"/>
        </w:rPr>
        <w:t>分项报价表</w:t>
      </w:r>
    </w:p>
    <w:tbl>
      <w:tblPr>
        <w:tblStyle w:val="45"/>
        <w:tblpPr w:leftFromText="180" w:rightFromText="180" w:vertAnchor="text" w:horzAnchor="page" w:tblpX="1651" w:tblpY="259"/>
        <w:tblOverlap w:val="never"/>
        <w:tblW w:w="141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0"/>
        <w:gridCol w:w="3048"/>
        <w:gridCol w:w="1617"/>
        <w:gridCol w:w="1617"/>
        <w:gridCol w:w="2350"/>
        <w:gridCol w:w="2350"/>
        <w:gridCol w:w="23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48"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17"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17"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5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5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8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48"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top"/>
          </w:tcPr>
          <w:p>
            <w:pPr>
              <w:spacing w:line="420" w:lineRule="exact"/>
              <w:jc w:val="center"/>
              <w:rPr>
                <w:rFonts w:ascii="宋体" w:hAnsi="宋体"/>
                <w:color w:val="000000"/>
                <w:sz w:val="24"/>
                <w:szCs w:val="24"/>
                <w:highlight w:val="none"/>
              </w:rPr>
            </w:pPr>
          </w:p>
        </w:tc>
        <w:tc>
          <w:tcPr>
            <w:tcW w:w="1617" w:type="dxa"/>
            <w:noWrap w:val="0"/>
            <w:vAlign w:val="top"/>
          </w:tcPr>
          <w:p>
            <w:pPr>
              <w:spacing w:line="420" w:lineRule="exact"/>
              <w:jc w:val="center"/>
              <w:rPr>
                <w:rFonts w:ascii="宋体" w:hAnsi="宋体"/>
                <w:color w:val="000000"/>
                <w:sz w:val="24"/>
                <w:szCs w:val="24"/>
                <w:highlight w:val="none"/>
              </w:rPr>
            </w:pPr>
          </w:p>
        </w:tc>
        <w:tc>
          <w:tcPr>
            <w:tcW w:w="2350" w:type="dxa"/>
            <w:noWrap w:val="0"/>
            <w:vAlign w:val="top"/>
          </w:tcPr>
          <w:p>
            <w:pPr>
              <w:spacing w:line="420" w:lineRule="exact"/>
              <w:jc w:val="center"/>
              <w:rPr>
                <w:rFonts w:ascii="宋体" w:hAnsi="宋体"/>
                <w:color w:val="000000"/>
                <w:sz w:val="24"/>
                <w:szCs w:val="24"/>
                <w:highlight w:val="none"/>
              </w:rPr>
            </w:pPr>
          </w:p>
        </w:tc>
        <w:tc>
          <w:tcPr>
            <w:tcW w:w="2350" w:type="dxa"/>
            <w:noWrap w:val="0"/>
            <w:vAlign w:val="top"/>
          </w:tcPr>
          <w:p>
            <w:pPr>
              <w:spacing w:line="420" w:lineRule="exact"/>
              <w:jc w:val="center"/>
              <w:rPr>
                <w:rFonts w:ascii="宋体" w:hAnsi="宋体"/>
                <w:color w:val="000000"/>
                <w:sz w:val="24"/>
                <w:szCs w:val="24"/>
                <w:highlight w:val="none"/>
              </w:rPr>
            </w:pP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48"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top"/>
          </w:tcPr>
          <w:p>
            <w:pPr>
              <w:spacing w:line="420" w:lineRule="exact"/>
              <w:jc w:val="center"/>
              <w:rPr>
                <w:rFonts w:ascii="宋体" w:hAnsi="宋体"/>
                <w:color w:val="000000"/>
                <w:sz w:val="24"/>
                <w:szCs w:val="24"/>
                <w:highlight w:val="none"/>
              </w:rPr>
            </w:pPr>
          </w:p>
        </w:tc>
        <w:tc>
          <w:tcPr>
            <w:tcW w:w="1617" w:type="dxa"/>
            <w:noWrap w:val="0"/>
            <w:vAlign w:val="top"/>
          </w:tcPr>
          <w:p>
            <w:pPr>
              <w:spacing w:line="420" w:lineRule="exact"/>
              <w:jc w:val="center"/>
              <w:rPr>
                <w:rFonts w:ascii="宋体" w:hAnsi="宋体"/>
                <w:color w:val="000000"/>
                <w:sz w:val="24"/>
                <w:szCs w:val="24"/>
                <w:highlight w:val="none"/>
              </w:rPr>
            </w:pPr>
          </w:p>
        </w:tc>
        <w:tc>
          <w:tcPr>
            <w:tcW w:w="2350" w:type="dxa"/>
            <w:noWrap w:val="0"/>
            <w:vAlign w:val="top"/>
          </w:tcPr>
          <w:p>
            <w:pPr>
              <w:spacing w:line="420" w:lineRule="exact"/>
              <w:jc w:val="center"/>
              <w:rPr>
                <w:rFonts w:ascii="宋体" w:hAnsi="宋体"/>
                <w:color w:val="000000"/>
                <w:sz w:val="24"/>
                <w:szCs w:val="24"/>
                <w:highlight w:val="none"/>
              </w:rPr>
            </w:pPr>
          </w:p>
        </w:tc>
        <w:tc>
          <w:tcPr>
            <w:tcW w:w="2350" w:type="dxa"/>
            <w:noWrap w:val="0"/>
            <w:vAlign w:val="top"/>
          </w:tcPr>
          <w:p>
            <w:pPr>
              <w:spacing w:line="420" w:lineRule="exact"/>
              <w:jc w:val="center"/>
              <w:rPr>
                <w:rFonts w:ascii="宋体" w:hAnsi="宋体"/>
                <w:color w:val="000000"/>
                <w:sz w:val="24"/>
                <w:szCs w:val="24"/>
                <w:highlight w:val="none"/>
              </w:rPr>
            </w:pP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48" w:type="dxa"/>
            <w:noWrap w:val="0"/>
            <w:vAlign w:val="top"/>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48" w:type="dxa"/>
            <w:noWrap w:val="0"/>
            <w:vAlign w:val="top"/>
          </w:tcPr>
          <w:p>
            <w:pPr>
              <w:spacing w:line="420" w:lineRule="exact"/>
              <w:jc w:val="center"/>
              <w:rPr>
                <w:rFonts w:hint="eastAsia"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48" w:type="dxa"/>
            <w:noWrap w:val="0"/>
            <w:vAlign w:val="top"/>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8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770" w:type="dxa"/>
            <w:noWrap w:val="0"/>
            <w:vAlign w:val="center"/>
          </w:tcPr>
          <w:p>
            <w:pPr>
              <w:spacing w:line="420" w:lineRule="exact"/>
              <w:jc w:val="center"/>
              <w:rPr>
                <w:rFonts w:hint="eastAsia" w:ascii="宋体" w:hAnsi="宋体"/>
                <w:color w:val="000000"/>
                <w:sz w:val="24"/>
                <w:szCs w:val="24"/>
                <w:highlight w:val="none"/>
              </w:rPr>
            </w:pPr>
          </w:p>
        </w:tc>
        <w:tc>
          <w:tcPr>
            <w:tcW w:w="3048" w:type="dxa"/>
            <w:noWrap w:val="0"/>
            <w:vAlign w:val="top"/>
          </w:tcPr>
          <w:p>
            <w:pPr>
              <w:spacing w:line="420" w:lineRule="exact"/>
              <w:jc w:val="center"/>
              <w:rPr>
                <w:rFonts w:hint="eastAsia"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1617"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50" w:type="dxa"/>
            <w:noWrap w:val="0"/>
            <w:vAlign w:val="center"/>
          </w:tcPr>
          <w:p>
            <w:pPr>
              <w:spacing w:line="420" w:lineRule="exact"/>
              <w:jc w:val="center"/>
              <w:rPr>
                <w:rFonts w:ascii="宋体" w:hAnsi="宋体"/>
                <w:color w:val="000000"/>
                <w:sz w:val="24"/>
                <w:szCs w:val="24"/>
                <w:highlight w:val="none"/>
              </w:rPr>
            </w:pPr>
          </w:p>
        </w:tc>
        <w:tc>
          <w:tcPr>
            <w:tcW w:w="238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9402"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5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8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4" w:hRule="atLeast"/>
        </w:trPr>
        <w:tc>
          <w:tcPr>
            <w:tcW w:w="14136"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w:t>
            </w:r>
            <w:r>
              <w:rPr>
                <w:rFonts w:hint="eastAsia" w:ascii="宋体" w:hAnsi="宋体"/>
                <w:color w:val="000000"/>
                <w:sz w:val="24"/>
                <w:szCs w:val="24"/>
                <w:highlight w:val="none"/>
                <w:lang w:eastAsia="zh-CN"/>
              </w:rPr>
              <w:t>不</w:t>
            </w:r>
            <w:r>
              <w:rPr>
                <w:rFonts w:hint="eastAsia" w:ascii="宋体" w:hAnsi="宋体"/>
                <w:color w:val="000000"/>
                <w:sz w:val="24"/>
                <w:szCs w:val="24"/>
                <w:highlight w:val="none"/>
              </w:rPr>
              <w:t>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8" w:type="default"/>
          <w:footerReference r:id="rId9"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19"/>
        <w:rPr>
          <w:highlight w:val="none"/>
        </w:rPr>
      </w:pPr>
      <w:r>
        <w:rPr>
          <w:highlight w:val="none"/>
        </w:rPr>
        <w:br w:type="page"/>
      </w:r>
    </w:p>
    <w:p>
      <w:pPr>
        <w:numPr>
          <w:ilvl w:val="0"/>
          <w:numId w:val="10"/>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2"/>
        <w:rPr>
          <w:rFonts w:hint="eastAsia" w:ascii="宋体" w:hAnsi="宋体" w:cs="宋体"/>
          <w:sz w:val="32"/>
          <w:szCs w:val="32"/>
          <w:highlight w:val="none"/>
        </w:rPr>
      </w:pPr>
    </w:p>
    <w:p>
      <w:pPr>
        <w:rPr>
          <w:rFonts w:hint="eastAsia"/>
          <w:highlight w:val="none"/>
        </w:rPr>
      </w:pPr>
    </w:p>
    <w:p>
      <w:pPr>
        <w:pStyle w:val="2"/>
        <w:rPr>
          <w:rFonts w:hint="default" w:eastAsia="宋体"/>
          <w:highlight w:val="none"/>
          <w:lang w:val="en-US" w:eastAsia="zh-CN"/>
        </w:rPr>
      </w:pPr>
      <w:r>
        <w:rPr>
          <w:rFonts w:hint="eastAsia"/>
          <w:highlight w:val="none"/>
          <w:lang w:val="en-US" w:eastAsia="zh-CN"/>
        </w:rPr>
        <w:t xml:space="preserve">                      六、服务方案</w:t>
      </w:r>
    </w:p>
    <w:p>
      <w:pPr>
        <w:pStyle w:val="2"/>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2"/>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1"/>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jc w:val="center"/>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2487"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2487"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19"/>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19"/>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19"/>
        <w:spacing w:line="360" w:lineRule="auto"/>
        <w:ind w:firstLine="602"/>
        <w:jc w:val="left"/>
        <w:rPr>
          <w:rFonts w:ascii="宋体" w:hAnsi="宋体" w:cs="宋体"/>
          <w:bCs/>
          <w:sz w:val="30"/>
          <w:szCs w:val="30"/>
          <w:highlight w:val="none"/>
        </w:rPr>
      </w:pPr>
    </w:p>
    <w:p>
      <w:pPr>
        <w:pStyle w:val="19"/>
        <w:spacing w:line="360" w:lineRule="auto"/>
        <w:ind w:firstLine="602"/>
        <w:jc w:val="left"/>
        <w:rPr>
          <w:rFonts w:ascii="宋体" w:hAnsi="宋体" w:cs="宋体"/>
          <w:bCs/>
          <w:sz w:val="30"/>
          <w:szCs w:val="30"/>
          <w:highlight w:val="none"/>
        </w:rPr>
      </w:pPr>
    </w:p>
    <w:p>
      <w:pPr>
        <w:pStyle w:val="19"/>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19"/>
        <w:spacing w:line="360" w:lineRule="auto"/>
        <w:jc w:val="left"/>
        <w:rPr>
          <w:rFonts w:ascii="宋体" w:hAnsi="宋体" w:cs="宋体"/>
          <w:bCs/>
          <w:sz w:val="30"/>
          <w:szCs w:val="30"/>
          <w:highlight w:val="none"/>
        </w:rPr>
      </w:pP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19"/>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0" w:type="default"/>
          <w:footerReference r:id="rId11"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hint="eastAsia" w:ascii="宋体" w:hAnsi="宋体" w:eastAsia="宋体" w:cs="宋体"/>
          <w:b w:val="0"/>
          <w:sz w:val="24"/>
          <w:szCs w:val="24"/>
          <w:highlight w:val="none"/>
          <w:lang w:eastAsia="zh-CN"/>
        </w:rPr>
      </w:pP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为维护公平竞争的市场秩序，我方自愿在参与贵方组织的商业往来活动中，加强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有关人员廉清从业管理，恪守商业道德，从源头预防和遏制违法、违规，违纪行为发生，特作以下承诺：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一、严格遵守国家有关法律法规，坚持诚实守信原则，恪守商业道德，规范商务人员廉洁从业行为。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二、不伙同他人串标、围标或非法排挤竞争对手，不在商业活动中提供虚假资料，损害贵方合法权益。</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三、不为贵方工作人员提供回扣、礼金、有价证券、贵重物品和报销个人费用。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四、不为贵方工作人员安排有可能影响公平、公正交易的宴请、健身、娱乐等活动。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五、不为贵方工作人员投资入股、个人借款或买卖股票、债券等提供方便。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六、不为贵方工作人员购买或装修住房、婚丧嫁娶、配偶子女上学或工作安排以及出国出境、旅游等提供方便。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七、不违反规定为贵方工作人员在我方相关企业挂名兼职、合伙经营、介绍承揽业务等提供方便，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八、不利用非法手段向贵方工作人员打探有关涉及贵方的商业秘密、业务渠道等。</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九、贵方对涉嫌不廉洁的商业行为进行调查时，我方有配合提供证据、作证的义务。</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十、未经贵方同意，我方不向任何新闻媒体、第三人述及有关贵方工作人员恪守商业道德方面的评价、信息。</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lang w:eastAsia="zh-CN"/>
        </w:rPr>
        <w:t>　　</w:t>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2"/>
        <w:rPr>
          <w:rFonts w:hint="eastAsia"/>
          <w:lang w:eastAsia="zh-CN"/>
        </w:rPr>
      </w:pP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19"/>
        <w:rPr>
          <w:rFonts w:hint="eastAsia"/>
          <w:highlight w:val="none"/>
          <w:lang w:val="en-US" w:eastAsia="zh-CN"/>
        </w:rPr>
      </w:pPr>
    </w:p>
    <w:p>
      <w:pPr>
        <w:pStyle w:val="19"/>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tabs>
        <w:tab w:val="left" w:pos="5051"/>
      </w:tabs>
      <w:ind w:firstLine="0"/>
      <w:jc w:val="left"/>
      <w:rPr>
        <w:rFonts w:hint="eastAsia" w:eastAsia="仿宋_GB2312" w:cs="Times New Roman"/>
        <w:lang w:eastAsia="zh-CN"/>
      </w:rPr>
    </w:pPr>
    <w:r>
      <w:rPr>
        <w:rFonts w:hint="eastAsia" w:cs="Times New Roman"/>
        <w:lang w:eastAsia="zh-CN"/>
      </w:rPr>
      <w:tab/>
    </w:r>
    <w:r>
      <w:rPr>
        <w:rFonts w:hint="eastAsia" w:cs="Times New Roman"/>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FD23D9"/>
    <w:multiLevelType w:val="singleLevel"/>
    <w:tmpl w:val="D1FD23D9"/>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MmIwNWJhYjcyZGMxMGMyY2ZjNTFjOWRmNDg0YWY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61C36BA"/>
    <w:rsid w:val="08A8480D"/>
    <w:rsid w:val="09352049"/>
    <w:rsid w:val="0A912D3C"/>
    <w:rsid w:val="0B440B42"/>
    <w:rsid w:val="0BF508B4"/>
    <w:rsid w:val="0C215F5C"/>
    <w:rsid w:val="0C297F82"/>
    <w:rsid w:val="0C461B20"/>
    <w:rsid w:val="0C540FAF"/>
    <w:rsid w:val="0C81032F"/>
    <w:rsid w:val="0CBF3D62"/>
    <w:rsid w:val="0DF447F8"/>
    <w:rsid w:val="0EB30D0D"/>
    <w:rsid w:val="0F604FE4"/>
    <w:rsid w:val="0F77472F"/>
    <w:rsid w:val="0FA03417"/>
    <w:rsid w:val="0FFE2944"/>
    <w:rsid w:val="10F27FB9"/>
    <w:rsid w:val="11026497"/>
    <w:rsid w:val="113766C4"/>
    <w:rsid w:val="115D0FA0"/>
    <w:rsid w:val="119C2B16"/>
    <w:rsid w:val="130D5D28"/>
    <w:rsid w:val="13D27127"/>
    <w:rsid w:val="13D60078"/>
    <w:rsid w:val="145A4263"/>
    <w:rsid w:val="1477734B"/>
    <w:rsid w:val="14AE38DE"/>
    <w:rsid w:val="15542020"/>
    <w:rsid w:val="158F5516"/>
    <w:rsid w:val="168606BF"/>
    <w:rsid w:val="169964AB"/>
    <w:rsid w:val="17727202"/>
    <w:rsid w:val="17D71BD3"/>
    <w:rsid w:val="184F2E7A"/>
    <w:rsid w:val="18E42747"/>
    <w:rsid w:val="1925379B"/>
    <w:rsid w:val="19AF44FD"/>
    <w:rsid w:val="19CC6629"/>
    <w:rsid w:val="1A63698E"/>
    <w:rsid w:val="1AA90C35"/>
    <w:rsid w:val="1B635DC8"/>
    <w:rsid w:val="1B972AF7"/>
    <w:rsid w:val="1BA3188A"/>
    <w:rsid w:val="1C6A6063"/>
    <w:rsid w:val="1C844F99"/>
    <w:rsid w:val="1CB149B9"/>
    <w:rsid w:val="1CD8267C"/>
    <w:rsid w:val="1D020D4E"/>
    <w:rsid w:val="1D4F01B5"/>
    <w:rsid w:val="1D944498"/>
    <w:rsid w:val="1D9D040F"/>
    <w:rsid w:val="1E165F1B"/>
    <w:rsid w:val="1F360E25"/>
    <w:rsid w:val="20F9561C"/>
    <w:rsid w:val="21232666"/>
    <w:rsid w:val="213B5D22"/>
    <w:rsid w:val="21505AF6"/>
    <w:rsid w:val="221F2AFA"/>
    <w:rsid w:val="24F9789E"/>
    <w:rsid w:val="25653DDF"/>
    <w:rsid w:val="273109BD"/>
    <w:rsid w:val="27341C73"/>
    <w:rsid w:val="27F02089"/>
    <w:rsid w:val="280E7427"/>
    <w:rsid w:val="2878694B"/>
    <w:rsid w:val="288202F1"/>
    <w:rsid w:val="28835C82"/>
    <w:rsid w:val="2885643D"/>
    <w:rsid w:val="29F1156B"/>
    <w:rsid w:val="2A9767DF"/>
    <w:rsid w:val="2AC06F9C"/>
    <w:rsid w:val="2B01007D"/>
    <w:rsid w:val="2B4B4303"/>
    <w:rsid w:val="2BB12A90"/>
    <w:rsid w:val="2BD7373B"/>
    <w:rsid w:val="2C3D26A8"/>
    <w:rsid w:val="2C6852C0"/>
    <w:rsid w:val="2D1F5A8A"/>
    <w:rsid w:val="2D59068D"/>
    <w:rsid w:val="2D5D2A09"/>
    <w:rsid w:val="2EB51C5E"/>
    <w:rsid w:val="2EEF2071"/>
    <w:rsid w:val="2FF56584"/>
    <w:rsid w:val="2FF74F52"/>
    <w:rsid w:val="311E5CBB"/>
    <w:rsid w:val="313C2459"/>
    <w:rsid w:val="321260A3"/>
    <w:rsid w:val="327F64D7"/>
    <w:rsid w:val="3283369C"/>
    <w:rsid w:val="32890F14"/>
    <w:rsid w:val="32D26775"/>
    <w:rsid w:val="334C6D3F"/>
    <w:rsid w:val="33573CB3"/>
    <w:rsid w:val="33843E73"/>
    <w:rsid w:val="34126E2C"/>
    <w:rsid w:val="35731F31"/>
    <w:rsid w:val="35D84E48"/>
    <w:rsid w:val="36BA11E5"/>
    <w:rsid w:val="36D735B3"/>
    <w:rsid w:val="36DB4C4C"/>
    <w:rsid w:val="38C91073"/>
    <w:rsid w:val="39101B67"/>
    <w:rsid w:val="393744E7"/>
    <w:rsid w:val="393B2471"/>
    <w:rsid w:val="39B5256A"/>
    <w:rsid w:val="39E552F4"/>
    <w:rsid w:val="39F04960"/>
    <w:rsid w:val="3A0F496A"/>
    <w:rsid w:val="3A387E09"/>
    <w:rsid w:val="3A4074C6"/>
    <w:rsid w:val="3A873BF5"/>
    <w:rsid w:val="3B33738C"/>
    <w:rsid w:val="3BC04130"/>
    <w:rsid w:val="3C5D21E6"/>
    <w:rsid w:val="3C77021F"/>
    <w:rsid w:val="3CEC6D03"/>
    <w:rsid w:val="3D206487"/>
    <w:rsid w:val="3DC04D35"/>
    <w:rsid w:val="3DFA2056"/>
    <w:rsid w:val="3E4E000C"/>
    <w:rsid w:val="3EAF3106"/>
    <w:rsid w:val="3F4D5E52"/>
    <w:rsid w:val="3F6B02A7"/>
    <w:rsid w:val="3FB47B86"/>
    <w:rsid w:val="3FFE67F3"/>
    <w:rsid w:val="40072003"/>
    <w:rsid w:val="40617FCF"/>
    <w:rsid w:val="40E26CD8"/>
    <w:rsid w:val="412F1C06"/>
    <w:rsid w:val="42581301"/>
    <w:rsid w:val="42744B04"/>
    <w:rsid w:val="42BA317D"/>
    <w:rsid w:val="44143533"/>
    <w:rsid w:val="445106B7"/>
    <w:rsid w:val="446379AC"/>
    <w:rsid w:val="44746BA8"/>
    <w:rsid w:val="44DE4F77"/>
    <w:rsid w:val="45570670"/>
    <w:rsid w:val="45AB55EF"/>
    <w:rsid w:val="464016F5"/>
    <w:rsid w:val="465F362C"/>
    <w:rsid w:val="46A271C5"/>
    <w:rsid w:val="46B83B2F"/>
    <w:rsid w:val="46CD09A6"/>
    <w:rsid w:val="48136576"/>
    <w:rsid w:val="483240A5"/>
    <w:rsid w:val="48465573"/>
    <w:rsid w:val="48580F04"/>
    <w:rsid w:val="48A87F7B"/>
    <w:rsid w:val="495C2428"/>
    <w:rsid w:val="4A1319D9"/>
    <w:rsid w:val="4A8E046C"/>
    <w:rsid w:val="4ACA1D10"/>
    <w:rsid w:val="4B1640CA"/>
    <w:rsid w:val="4B313154"/>
    <w:rsid w:val="4B7474DA"/>
    <w:rsid w:val="4C067859"/>
    <w:rsid w:val="4C4946AA"/>
    <w:rsid w:val="4C5D37E9"/>
    <w:rsid w:val="4C9A24C2"/>
    <w:rsid w:val="4CBB5258"/>
    <w:rsid w:val="4CE6339D"/>
    <w:rsid w:val="4D0132D1"/>
    <w:rsid w:val="4D3A2111"/>
    <w:rsid w:val="4D5137F6"/>
    <w:rsid w:val="4DC76630"/>
    <w:rsid w:val="4E414724"/>
    <w:rsid w:val="4E907ECE"/>
    <w:rsid w:val="4EEE3A0D"/>
    <w:rsid w:val="4EF331A7"/>
    <w:rsid w:val="4EF96179"/>
    <w:rsid w:val="4F352D5C"/>
    <w:rsid w:val="4FED650B"/>
    <w:rsid w:val="501830EF"/>
    <w:rsid w:val="503838B2"/>
    <w:rsid w:val="505F601F"/>
    <w:rsid w:val="511B3417"/>
    <w:rsid w:val="511D2CEB"/>
    <w:rsid w:val="51AC651C"/>
    <w:rsid w:val="521C0F07"/>
    <w:rsid w:val="521D425C"/>
    <w:rsid w:val="522A0567"/>
    <w:rsid w:val="529C7A2E"/>
    <w:rsid w:val="52FA264F"/>
    <w:rsid w:val="542B3EFB"/>
    <w:rsid w:val="546B0A00"/>
    <w:rsid w:val="54954804"/>
    <w:rsid w:val="549660CB"/>
    <w:rsid w:val="54EA3C55"/>
    <w:rsid w:val="55630A4E"/>
    <w:rsid w:val="557737BB"/>
    <w:rsid w:val="558E065B"/>
    <w:rsid w:val="55DF43C5"/>
    <w:rsid w:val="562C37FD"/>
    <w:rsid w:val="56366F6D"/>
    <w:rsid w:val="565C396B"/>
    <w:rsid w:val="567C6706"/>
    <w:rsid w:val="58095CBB"/>
    <w:rsid w:val="59111EFF"/>
    <w:rsid w:val="593C1BF8"/>
    <w:rsid w:val="5A955591"/>
    <w:rsid w:val="5AA9404F"/>
    <w:rsid w:val="5B117071"/>
    <w:rsid w:val="5B260D65"/>
    <w:rsid w:val="5B407C18"/>
    <w:rsid w:val="5B620E84"/>
    <w:rsid w:val="5C411365"/>
    <w:rsid w:val="5D5B577D"/>
    <w:rsid w:val="5D7B3784"/>
    <w:rsid w:val="5DD6583E"/>
    <w:rsid w:val="5DF5739A"/>
    <w:rsid w:val="5EBB05F2"/>
    <w:rsid w:val="5F170D3A"/>
    <w:rsid w:val="5FB312DF"/>
    <w:rsid w:val="5FE81AC3"/>
    <w:rsid w:val="60421C7F"/>
    <w:rsid w:val="60870A2D"/>
    <w:rsid w:val="60893EE2"/>
    <w:rsid w:val="60EF445E"/>
    <w:rsid w:val="62D93E68"/>
    <w:rsid w:val="62FF5D54"/>
    <w:rsid w:val="63710868"/>
    <w:rsid w:val="63AC2F92"/>
    <w:rsid w:val="63CC0A85"/>
    <w:rsid w:val="644D0C37"/>
    <w:rsid w:val="64C50123"/>
    <w:rsid w:val="65244228"/>
    <w:rsid w:val="65843D37"/>
    <w:rsid w:val="65F85CC4"/>
    <w:rsid w:val="67431B96"/>
    <w:rsid w:val="67C972BA"/>
    <w:rsid w:val="68767A8D"/>
    <w:rsid w:val="68F4010F"/>
    <w:rsid w:val="692E0A4B"/>
    <w:rsid w:val="69B5367B"/>
    <w:rsid w:val="69CE664B"/>
    <w:rsid w:val="6A4D6295"/>
    <w:rsid w:val="6AA36C78"/>
    <w:rsid w:val="6ADD1BAA"/>
    <w:rsid w:val="6AEC25EF"/>
    <w:rsid w:val="6B4C26F3"/>
    <w:rsid w:val="6C195ECD"/>
    <w:rsid w:val="6C2D3162"/>
    <w:rsid w:val="6DEA3D34"/>
    <w:rsid w:val="6E041063"/>
    <w:rsid w:val="6F3921DE"/>
    <w:rsid w:val="6F78727E"/>
    <w:rsid w:val="6F873050"/>
    <w:rsid w:val="6FAA5C3A"/>
    <w:rsid w:val="6FD10D4C"/>
    <w:rsid w:val="7003702D"/>
    <w:rsid w:val="700A103B"/>
    <w:rsid w:val="70572E9C"/>
    <w:rsid w:val="71520601"/>
    <w:rsid w:val="718304F0"/>
    <w:rsid w:val="719F5306"/>
    <w:rsid w:val="720F0EDE"/>
    <w:rsid w:val="72A92AFC"/>
    <w:rsid w:val="72AA5F3A"/>
    <w:rsid w:val="72B10F39"/>
    <w:rsid w:val="73137F9A"/>
    <w:rsid w:val="73BD08B4"/>
    <w:rsid w:val="74826C48"/>
    <w:rsid w:val="74F710CB"/>
    <w:rsid w:val="750E0A19"/>
    <w:rsid w:val="757C1CC4"/>
    <w:rsid w:val="75B51DBC"/>
    <w:rsid w:val="76ED6DFD"/>
    <w:rsid w:val="773C0385"/>
    <w:rsid w:val="77C54382"/>
    <w:rsid w:val="78100551"/>
    <w:rsid w:val="78877AD1"/>
    <w:rsid w:val="793F533F"/>
    <w:rsid w:val="7A380A89"/>
    <w:rsid w:val="7ABE1DA4"/>
    <w:rsid w:val="7AC86BCE"/>
    <w:rsid w:val="7B2C12FD"/>
    <w:rsid w:val="7B416699"/>
    <w:rsid w:val="7BE32DA5"/>
    <w:rsid w:val="7C6330D4"/>
    <w:rsid w:val="7C757935"/>
    <w:rsid w:val="7CCF21B9"/>
    <w:rsid w:val="7CE77CAA"/>
    <w:rsid w:val="7DB44FD6"/>
    <w:rsid w:val="7E3360F2"/>
    <w:rsid w:val="7F1715F4"/>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2"/>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69"/>
    <w:semiHidden/>
    <w:qFormat/>
    <w:uiPriority w:val="99"/>
    <w:pPr>
      <w:shd w:val="clear" w:color="auto" w:fill="000080"/>
    </w:pPr>
  </w:style>
  <w:style w:type="paragraph" w:styleId="17">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0"/>
    <w:qFormat/>
    <w:uiPriority w:val="99"/>
    <w:pPr>
      <w:spacing w:after="120"/>
    </w:pPr>
    <w:rPr>
      <w:sz w:val="16"/>
      <w:szCs w:val="16"/>
    </w:rPr>
  </w:style>
  <w:style w:type="paragraph" w:styleId="19">
    <w:name w:val="Body Text"/>
    <w:basedOn w:val="1"/>
    <w:link w:val="64"/>
    <w:qFormat/>
    <w:uiPriority w:val="99"/>
    <w:pPr>
      <w:spacing w:after="120"/>
    </w:pPr>
    <w:rPr>
      <w:b w:val="0"/>
      <w:bCs w:val="0"/>
      <w:sz w:val="21"/>
      <w:szCs w:val="21"/>
    </w:rPr>
  </w:style>
  <w:style w:type="paragraph" w:styleId="20">
    <w:name w:val="Body Text Indent"/>
    <w:basedOn w:val="1"/>
    <w:link w:val="71"/>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72"/>
    <w:qFormat/>
    <w:uiPriority w:val="99"/>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74"/>
    <w:qFormat/>
    <w:uiPriority w:val="99"/>
    <w:pPr>
      <w:spacing w:after="120" w:line="480" w:lineRule="auto"/>
      <w:ind w:left="420" w:leftChars="200"/>
    </w:pPr>
  </w:style>
  <w:style w:type="paragraph" w:styleId="28">
    <w:name w:val="Balloon Text"/>
    <w:basedOn w:val="1"/>
    <w:link w:val="75"/>
    <w:semiHidden/>
    <w:qFormat/>
    <w:uiPriority w:val="99"/>
    <w:rPr>
      <w:rFonts w:ascii="Calibri" w:hAnsi="Calibri" w:cs="Calibri"/>
      <w:b w:val="0"/>
      <w:bCs w:val="0"/>
      <w:sz w:val="18"/>
      <w:szCs w:val="18"/>
    </w:rPr>
  </w:style>
  <w:style w:type="paragraph" w:styleId="29">
    <w:name w:val="footer"/>
    <w:basedOn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78"/>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165"/>
    <w:semiHidden/>
    <w:qFormat/>
    <w:uiPriority w:val="99"/>
    <w:pPr>
      <w:adjustRightInd/>
      <w:spacing w:line="240" w:lineRule="auto"/>
      <w:textAlignment w:val="auto"/>
    </w:pPr>
    <w:rPr>
      <w:b/>
      <w:bCs/>
      <w:kern w:val="2"/>
      <w:sz w:val="21"/>
      <w:szCs w:val="21"/>
    </w:rPr>
  </w:style>
  <w:style w:type="paragraph" w:styleId="43">
    <w:name w:val="Body Text First Indent"/>
    <w:basedOn w:val="19"/>
    <w:link w:val="67"/>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4"/>
    <w:qFormat/>
    <w:locked/>
    <w:uiPriority w:val="99"/>
    <w:rPr>
      <w:rFonts w:eastAsia="仿宋_GB2312" w:cs="Times New Roman"/>
      <w:b/>
      <w:bCs/>
      <w:sz w:val="30"/>
      <w:szCs w:val="30"/>
      <w:lang w:val="en-US" w:eastAsia="zh-CN"/>
    </w:rPr>
  </w:style>
  <w:style w:type="character" w:customStyle="1" w:styleId="57">
    <w:name w:val="标题 3 Char"/>
    <w:basedOn w:val="48"/>
    <w:link w:val="5"/>
    <w:semiHidden/>
    <w:qFormat/>
    <w:locked/>
    <w:uiPriority w:val="99"/>
    <w:rPr>
      <w:rFonts w:cs="Times New Roman"/>
      <w:b/>
      <w:bCs/>
      <w:sz w:val="32"/>
      <w:szCs w:val="32"/>
    </w:rPr>
  </w:style>
  <w:style w:type="character" w:customStyle="1" w:styleId="58">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7"/>
    <w:qFormat/>
    <w:locked/>
    <w:uiPriority w:val="99"/>
    <w:rPr>
      <w:rFonts w:eastAsia="宋体" w:cs="Times New Roman"/>
      <w:b/>
      <w:bCs/>
      <w:kern w:val="2"/>
      <w:sz w:val="28"/>
      <w:szCs w:val="28"/>
      <w:lang w:val="en-US" w:eastAsia="zh-CN"/>
    </w:rPr>
  </w:style>
  <w:style w:type="character" w:customStyle="1" w:styleId="60">
    <w:name w:val="标题 6 Char"/>
    <w:basedOn w:val="48"/>
    <w:link w:val="8"/>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9"/>
    <w:qFormat/>
    <w:locked/>
    <w:uiPriority w:val="99"/>
    <w:rPr>
      <w:rFonts w:eastAsia="宋体" w:cs="Times New Roman"/>
      <w:b/>
      <w:bCs/>
      <w:kern w:val="2"/>
      <w:sz w:val="24"/>
      <w:szCs w:val="24"/>
      <w:lang w:val="en-US" w:eastAsia="zh-CN"/>
    </w:rPr>
  </w:style>
  <w:style w:type="character" w:customStyle="1" w:styleId="62">
    <w:name w:val="标题 8 Char"/>
    <w:basedOn w:val="48"/>
    <w:link w:val="10"/>
    <w:qFormat/>
    <w:locked/>
    <w:uiPriority w:val="99"/>
    <w:rPr>
      <w:rFonts w:ascii="Arial" w:hAnsi="Arial" w:eastAsia="黑体" w:cs="Arial"/>
      <w:kern w:val="2"/>
      <w:sz w:val="24"/>
      <w:szCs w:val="24"/>
      <w:lang w:val="en-US" w:eastAsia="zh-CN"/>
    </w:rPr>
  </w:style>
  <w:style w:type="character" w:customStyle="1" w:styleId="63">
    <w:name w:val="标题 9 Char"/>
    <w:basedOn w:val="48"/>
    <w:link w:val="11"/>
    <w:qFormat/>
    <w:locked/>
    <w:uiPriority w:val="99"/>
    <w:rPr>
      <w:rFonts w:ascii="Arial" w:hAnsi="Arial" w:eastAsia="黑体" w:cs="Arial"/>
      <w:kern w:val="2"/>
      <w:sz w:val="21"/>
      <w:szCs w:val="21"/>
      <w:lang w:val="en-US" w:eastAsia="zh-CN"/>
    </w:rPr>
  </w:style>
  <w:style w:type="character" w:customStyle="1" w:styleId="64">
    <w:name w:val="正文文本 Char"/>
    <w:basedOn w:val="48"/>
    <w:link w:val="19"/>
    <w:qFormat/>
    <w:locked/>
    <w:uiPriority w:val="99"/>
    <w:rPr>
      <w:rFonts w:cs="Times New Roman"/>
      <w:kern w:val="2"/>
      <w:sz w:val="21"/>
      <w:szCs w:val="21"/>
    </w:rPr>
  </w:style>
  <w:style w:type="character" w:customStyle="1" w:styleId="65">
    <w:name w:val="批注文字 Char"/>
    <w:basedOn w:val="48"/>
    <w:link w:val="17"/>
    <w:qFormat/>
    <w:locked/>
    <w:uiPriority w:val="99"/>
    <w:rPr>
      <w:rFonts w:eastAsia="宋体" w:cs="Times New Roman"/>
      <w:sz w:val="24"/>
      <w:szCs w:val="24"/>
      <w:lang w:val="en-US" w:eastAsia="zh-CN"/>
    </w:rPr>
  </w:style>
  <w:style w:type="character" w:customStyle="1" w:styleId="66">
    <w:name w:val="Comment Subject Char"/>
    <w:basedOn w:val="65"/>
    <w:link w:val="42"/>
    <w:semiHidden/>
    <w:qFormat/>
    <w:locked/>
    <w:uiPriority w:val="99"/>
    <w:rPr>
      <w:b/>
      <w:bCs/>
      <w:sz w:val="30"/>
      <w:szCs w:val="30"/>
    </w:rPr>
  </w:style>
  <w:style w:type="character" w:customStyle="1" w:styleId="67">
    <w:name w:val="正文首行缩进 Char"/>
    <w:basedOn w:val="68"/>
    <w:link w:val="43"/>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6"/>
    <w:qFormat/>
    <w:locked/>
    <w:uiPriority w:val="99"/>
    <w:rPr>
      <w:rFonts w:eastAsia="宋体" w:cs="Times New Roman"/>
      <w:b/>
      <w:bCs/>
      <w:kern w:val="2"/>
      <w:sz w:val="30"/>
      <w:szCs w:val="30"/>
      <w:lang w:val="en-US" w:eastAsia="zh-CN"/>
    </w:rPr>
  </w:style>
  <w:style w:type="character" w:customStyle="1" w:styleId="70">
    <w:name w:val="正文文本 3 Char"/>
    <w:basedOn w:val="48"/>
    <w:link w:val="18"/>
    <w:semiHidden/>
    <w:qFormat/>
    <w:locked/>
    <w:uiPriority w:val="99"/>
    <w:rPr>
      <w:rFonts w:cs="Times New Roman"/>
      <w:b/>
      <w:bCs/>
      <w:sz w:val="16"/>
      <w:szCs w:val="16"/>
    </w:rPr>
  </w:style>
  <w:style w:type="character" w:customStyle="1" w:styleId="71">
    <w:name w:val="正文文本缩进 Char"/>
    <w:basedOn w:val="48"/>
    <w:link w:val="20"/>
    <w:semiHidden/>
    <w:qFormat/>
    <w:locked/>
    <w:uiPriority w:val="99"/>
    <w:rPr>
      <w:rFonts w:cs="Times New Roman"/>
      <w:b/>
      <w:bCs/>
      <w:sz w:val="30"/>
      <w:szCs w:val="30"/>
    </w:rPr>
  </w:style>
  <w:style w:type="character" w:customStyle="1" w:styleId="72">
    <w:name w:val="纯文本 Char"/>
    <w:basedOn w:val="48"/>
    <w:link w:val="24"/>
    <w:semiHidden/>
    <w:qFormat/>
    <w:locked/>
    <w:uiPriority w:val="99"/>
    <w:rPr>
      <w:rFonts w:ascii="宋体" w:hAnsi="Courier New" w:cs="Courier New"/>
      <w:b/>
      <w:bCs/>
      <w:sz w:val="21"/>
      <w:szCs w:val="21"/>
    </w:rPr>
  </w:style>
  <w:style w:type="character" w:customStyle="1" w:styleId="73">
    <w:name w:val="日期 Char"/>
    <w:basedOn w:val="48"/>
    <w:link w:val="26"/>
    <w:semiHidden/>
    <w:qFormat/>
    <w:locked/>
    <w:uiPriority w:val="99"/>
    <w:rPr>
      <w:rFonts w:cs="Times New Roman"/>
      <w:b/>
      <w:bCs/>
      <w:sz w:val="30"/>
      <w:szCs w:val="30"/>
    </w:rPr>
  </w:style>
  <w:style w:type="character" w:customStyle="1" w:styleId="74">
    <w:name w:val="正文文本缩进 2 Char"/>
    <w:basedOn w:val="48"/>
    <w:link w:val="27"/>
    <w:semiHidden/>
    <w:qFormat/>
    <w:locked/>
    <w:uiPriority w:val="99"/>
    <w:rPr>
      <w:rFonts w:cs="Times New Roman"/>
      <w:b/>
      <w:bCs/>
      <w:sz w:val="30"/>
      <w:szCs w:val="30"/>
    </w:rPr>
  </w:style>
  <w:style w:type="character" w:customStyle="1" w:styleId="75">
    <w:name w:val="批注框文本 Char"/>
    <w:basedOn w:val="48"/>
    <w:link w:val="28"/>
    <w:semiHidden/>
    <w:qFormat/>
    <w:locked/>
    <w:uiPriority w:val="99"/>
    <w:rPr>
      <w:rFonts w:cs="Times New Roman"/>
      <w:b/>
      <w:bCs/>
      <w:sz w:val="2"/>
    </w:rPr>
  </w:style>
  <w:style w:type="character" w:customStyle="1" w:styleId="76">
    <w:name w:val="页脚 Char"/>
    <w:basedOn w:val="48"/>
    <w:link w:val="29"/>
    <w:qFormat/>
    <w:locked/>
    <w:uiPriority w:val="99"/>
    <w:rPr>
      <w:rFonts w:ascii="仿宋_GB2312" w:eastAsia="仿宋_GB2312" w:cs="仿宋_GB2312"/>
      <w:sz w:val="18"/>
      <w:szCs w:val="18"/>
    </w:rPr>
  </w:style>
  <w:style w:type="character" w:customStyle="1" w:styleId="77">
    <w:name w:val="页眉 Char"/>
    <w:basedOn w:val="48"/>
    <w:link w:val="30"/>
    <w:qFormat/>
    <w:locked/>
    <w:uiPriority w:val="99"/>
    <w:rPr>
      <w:rFonts w:ascii="仿宋_GB2312" w:eastAsia="仿宋_GB2312" w:cs="仿宋_GB2312"/>
      <w:sz w:val="18"/>
      <w:szCs w:val="18"/>
    </w:rPr>
  </w:style>
  <w:style w:type="character" w:customStyle="1" w:styleId="78">
    <w:name w:val="正文文本缩进 3 Char"/>
    <w:basedOn w:val="48"/>
    <w:link w:val="35"/>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b/>
      <w:bCs/>
      <w:kern w:val="2"/>
      <w:sz w:val="21"/>
      <w:szCs w:val="21"/>
    </w:rPr>
  </w:style>
  <w:style w:type="paragraph" w:customStyle="1" w:styleId="166">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3"/>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5"/>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24</Pages>
  <Words>5546</Words>
  <Characters>5873</Characters>
  <Lines>56</Lines>
  <Paragraphs>16</Paragraphs>
  <TotalTime>4</TotalTime>
  <ScaleCrop>false</ScaleCrop>
  <LinksUpToDate>false</LinksUpToDate>
  <CharactersWithSpaces>6797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lenovo</cp:lastModifiedBy>
  <cp:lastPrinted>2016-07-22T02:55:00Z</cp:lastPrinted>
  <dcterms:modified xsi:type="dcterms:W3CDTF">2024-01-31T10:07:57Z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8A47FD95948F4E96B112E930A7E5651C_13</vt:lpwstr>
  </property>
</Properties>
</file>