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</w:rPr>
        <w:t>关于</w:t>
      </w:r>
      <w:r>
        <w:rPr>
          <w:rFonts w:hint="eastAsia"/>
          <w:b/>
          <w:bCs/>
          <w:sz w:val="36"/>
          <w:szCs w:val="36"/>
          <w:lang w:val="en-US" w:eastAsia="zh-CN"/>
        </w:rPr>
        <w:t>中煤华昱五家沟</w:t>
      </w:r>
      <w:r>
        <w:rPr>
          <w:rFonts w:hint="eastAsia"/>
          <w:b/>
          <w:bCs/>
          <w:sz w:val="36"/>
          <w:szCs w:val="36"/>
          <w:lang w:eastAsia="zh-CN"/>
        </w:rPr>
        <w:t>煤业</w:t>
      </w:r>
      <w:r>
        <w:rPr>
          <w:rFonts w:hint="eastAsia"/>
          <w:b/>
          <w:bCs/>
          <w:sz w:val="36"/>
          <w:szCs w:val="36"/>
          <w:lang w:val="en-US" w:eastAsia="zh-CN"/>
        </w:rPr>
        <w:t>立柱缸筒</w:t>
      </w:r>
      <w:r>
        <w:rPr>
          <w:rFonts w:hint="eastAsia"/>
          <w:b/>
          <w:bCs/>
          <w:sz w:val="36"/>
          <w:szCs w:val="36"/>
        </w:rPr>
        <w:t>维修的报价要求</w:t>
      </w:r>
    </w:p>
    <w:p>
      <w:pPr>
        <w:pStyle w:val="5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t>项目编号：XJ2024017760</w:t>
      </w:r>
    </w:p>
    <w:p>
      <w:pPr>
        <w:pStyle w:val="5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t>一、参与方式：</w:t>
      </w:r>
      <w:bookmarkStart w:id="0" w:name="_GoBack"/>
      <w:bookmarkEnd w:id="0"/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br w:type="textWrapping"/>
      </w: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t xml:space="preserve">    此次项目采取公开询价方式，</w:t>
      </w: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fldChar w:fldCharType="begin"/>
      </w: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instrText xml:space="preserve"> HYPERLINK "file:///C:\\Users\\cccp\\Desktop\\询价项目\\五家沟煤业各井口暖风机改造项目\\参与公开询价业务的投标人，请登录中煤易购采购一体化平台（http:\\ego.chinacoal.com），进行线上报名报价，线下评审，线上报价时附件内必须上传询比价响应文件扫描件（含商务、技术、报价部分）。因疫情原因按网络连线方式进行评审会议，机电管理部将提前向投标人以邮件、短信通知评审会议的召开时间，" </w:instrText>
      </w: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fldChar w:fldCharType="separate"/>
      </w: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t>参与业务的报价人，请登录中煤易购采购一体化平台（http://ego.chinacoal.com），进行线上报名报价，线下评审，线上报价时附件内必须上传报价文件的扫描件（报价文件须为PDF文件，详见报价文件格式）。</w:t>
      </w: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fldChar w:fldCharType="end"/>
      </w:r>
    </w:p>
    <w:p>
      <w:pPr>
        <w:pStyle w:val="5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fldChar w:fldCharType="begin"/>
      </w: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instrText xml:space="preserve"> HYPERLINK "file:///C:\\Users\\cccp\\Desktop\\询价项目\\五家沟煤业各井口暖风机改造项目\\参与公开询价业务的投标人，请登录中煤易购采购一体化平台（http:\\ego.chinacoal.com），进行线上报名报价，线下评审，线上报价时附件内必须上传询比价响应文件扫描件（含商务、技术、报价部分）。因疫情原因按网络连线方式进行评审会议，机电管理部将提前向投标人以邮件、短信通知评审会议的召开时间，" </w:instrText>
      </w: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fldChar w:fldCharType="separate"/>
      </w: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t>华昱公司择期组织评审专家组及使用单位进行评审会议，</w:t>
      </w: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fldChar w:fldCharType="end"/>
      </w: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t>评审中如有商务、技术、报价等需澄清的问题，将要求报价单位进行澄清。</w:t>
      </w:r>
    </w:p>
    <w:p>
      <w:pPr>
        <w:pStyle w:val="5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t>二、报价响应文件的制定：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1、报价人应仔细阅读询价书的所有内容，按询价书要求编制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eastAsia="zh-CN"/>
        </w:rPr>
        <w:t>报价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文件，以使其对询价书做出实质性响应。否则，报价人须自行承担由此引起的风险和责任。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2、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eastAsia="zh-CN"/>
        </w:rPr>
        <w:t>报价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文件必须编制页码，并与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eastAsia="zh-CN"/>
        </w:rPr>
        <w:t>报价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文件目录相对应，中间不得丢页、少页，项目委托书、报价单等主要内容必须加盖公章。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3、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eastAsia="zh-CN"/>
        </w:rPr>
        <w:t>报价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文件参照文件范本（详见附件），文件内容主要包括：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3.1、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eastAsia="zh-CN"/>
        </w:rPr>
        <w:t>报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价意向函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3.2、报价（一）维修报价承诺表（二） 分项报价表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3.3、法定代表人身份证明/法定代表人授权委托书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3.4、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eastAsia="zh-CN"/>
        </w:rPr>
        <w:t>报价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文件商务部分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（一）商务偏离表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（二）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eastAsia="zh-CN"/>
        </w:rPr>
        <w:t>报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价单位基本情况表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（三）资格证明文件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　1、企业营业执照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　2、企业资质证书（适用此次维修项目）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　3、管理体系认证证书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　4、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eastAsia="zh-CN"/>
        </w:rPr>
        <w:t>报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价单位及项目经理获得的荣誉、奖项（如有）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　5、相关业绩及附件（必须附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eastAsia="zh-CN"/>
        </w:rPr>
        <w:t>业绩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合同）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　6、企业财务状况表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　7、近   年发生的诉讼及仲裁情况（如有）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　8、与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eastAsia="zh-CN"/>
        </w:rPr>
        <w:t>报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价有关的其他材料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3.5、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eastAsia="zh-CN"/>
        </w:rPr>
        <w:t>报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价文件技术部分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（一）技术偏离表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（二）维修项目的人员构成表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（三）维修方案（方案必须详细）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（四）主要设备技术规格及证明性材料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3.6、廉洁承诺书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t>三、项目概况及</w:t>
      </w:r>
      <w:r>
        <w:rPr>
          <w:rFonts w:hint="eastAsia" w:ascii="仿宋" w:hAnsi="仿宋" w:eastAsia="仿宋" w:cs="仿宋"/>
          <w:b/>
          <w:bCs/>
          <w:color w:val="333333"/>
          <w:sz w:val="32"/>
          <w:szCs w:val="32"/>
          <w:lang w:eastAsia="zh-CN"/>
        </w:rPr>
        <w:t>设备情况</w:t>
      </w: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t>:</w:t>
      </w:r>
    </w:p>
    <w:p>
      <w:pPr>
        <w:rPr>
          <w:rFonts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本次公开询价中煤华昱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val="en-US" w:eastAsia="zh-CN"/>
        </w:rPr>
        <w:t>五家沟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eastAsia="zh-CN"/>
        </w:rPr>
        <w:t>煤业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val="en-US" w:eastAsia="zh-CN"/>
        </w:rPr>
        <w:t>70根立柱缸筒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维修项目。</w:t>
      </w:r>
    </w:p>
    <w:p>
      <w:pPr>
        <w:spacing w:line="520" w:lineRule="exact"/>
      </w:pPr>
      <w:r>
        <w:rPr>
          <w:rFonts w:ascii="仿宋" w:hAnsi="仿宋" w:eastAsia="仿宋" w:cs="仿宋"/>
          <w:color w:val="333333"/>
          <w:sz w:val="32"/>
          <w:szCs w:val="32"/>
        </w:rPr>
        <w:t>以下为</w:t>
      </w:r>
      <w:r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  <w:t>立柱缸筒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eastAsia="zh-CN"/>
        </w:rPr>
        <w:t>主要损坏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情况</w:t>
      </w:r>
      <w:r>
        <w:rPr>
          <w:rFonts w:ascii="仿宋" w:hAnsi="仿宋" w:eastAsia="仿宋" w:cs="仿宋"/>
          <w:kern w:val="0"/>
          <w:sz w:val="32"/>
          <w:szCs w:val="32"/>
          <w:shd w:val="clear" w:color="auto" w:fill="FFFFFF"/>
        </w:rPr>
        <w:t>（明细仅供参考）：</w:t>
      </w:r>
    </w:p>
    <w:p>
      <w:pPr>
        <w:pStyle w:val="2"/>
      </w:pPr>
    </w:p>
    <w:tbl>
      <w:tblPr>
        <w:tblStyle w:val="10"/>
        <w:tblW w:w="8946" w:type="dxa"/>
        <w:tblInd w:w="-22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4"/>
        <w:gridCol w:w="954"/>
        <w:gridCol w:w="650"/>
        <w:gridCol w:w="987"/>
        <w:gridCol w:w="2494"/>
        <w:gridCol w:w="1781"/>
        <w:gridCol w:w="9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4" w:type="dxa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名称</w:t>
            </w:r>
          </w:p>
        </w:tc>
        <w:tc>
          <w:tcPr>
            <w:tcW w:w="954" w:type="dxa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规格型号</w:t>
            </w:r>
          </w:p>
        </w:tc>
        <w:tc>
          <w:tcPr>
            <w:tcW w:w="650" w:type="dxa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数量</w:t>
            </w:r>
          </w:p>
        </w:tc>
        <w:tc>
          <w:tcPr>
            <w:tcW w:w="987" w:type="dxa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生产厂家</w:t>
            </w:r>
          </w:p>
        </w:tc>
        <w:tc>
          <w:tcPr>
            <w:tcW w:w="2494" w:type="dxa"/>
          </w:tcPr>
          <w:p>
            <w:pPr>
              <w:widowControl/>
              <w:jc w:val="center"/>
              <w:textAlignment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使用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地点</w:t>
            </w:r>
          </w:p>
        </w:tc>
        <w:tc>
          <w:tcPr>
            <w:tcW w:w="1781" w:type="dxa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主要故障内容</w:t>
            </w:r>
          </w:p>
        </w:tc>
        <w:tc>
          <w:tcPr>
            <w:tcW w:w="906" w:type="dxa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7" w:hRule="atLeast"/>
        </w:trPr>
        <w:tc>
          <w:tcPr>
            <w:tcW w:w="117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立柱缸筒</w:t>
            </w:r>
          </w:p>
        </w:tc>
        <w:tc>
          <w:tcPr>
            <w:tcW w:w="95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L400/380*1080</w:t>
            </w:r>
          </w:p>
        </w:tc>
        <w:tc>
          <w:tcPr>
            <w:tcW w:w="6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70根</w:t>
            </w:r>
          </w:p>
        </w:tc>
        <w:tc>
          <w:tcPr>
            <w:tcW w:w="9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张煤机</w:t>
            </w:r>
          </w:p>
        </w:tc>
        <w:tc>
          <w:tcPr>
            <w:tcW w:w="2494" w:type="dxa"/>
            <w:vAlign w:val="center"/>
          </w:tcPr>
          <w:p>
            <w:pPr>
              <w:pStyle w:val="2"/>
              <w:ind w:left="0" w:leftChars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5306工作面</w:t>
            </w:r>
          </w:p>
        </w:tc>
        <w:tc>
          <w:tcPr>
            <w:tcW w:w="1781" w:type="dxa"/>
            <w:vAlign w:val="center"/>
          </w:tcPr>
          <w:p>
            <w:pPr>
              <w:pStyle w:val="2"/>
              <w:ind w:left="0" w:leftChars="0"/>
              <w:jc w:val="left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缸筒有划痕，超差严重，需要熔覆缸筒</w:t>
            </w:r>
          </w:p>
        </w:tc>
        <w:tc>
          <w:tcPr>
            <w:tcW w:w="90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</w:tbl>
    <w:p>
      <w:pPr>
        <w:numPr>
          <w:ilvl w:val="0"/>
          <w:numId w:val="0"/>
        </w:numPr>
        <w:rPr>
          <w:rFonts w:hint="eastAsia" w:ascii="仿宋" w:hAnsi="仿宋" w:eastAsia="仿宋" w:cs="仿宋"/>
          <w:b/>
          <w:bCs/>
          <w:color w:val="333333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333333"/>
          <w:sz w:val="32"/>
          <w:szCs w:val="32"/>
          <w:lang w:val="en-US" w:eastAsia="zh-CN"/>
        </w:rPr>
        <w:t>四、*商务要求：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atLeast"/>
        <w:ind w:left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t>1、报价人应具有国内独立法人资格。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atLeast"/>
        <w:ind w:left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t>2、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  <w:t>立柱千斤顶生产或维修资质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t>，提供在有效期内的营业执照、安全生产许可证（限生产厂家）等相关证件。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atLeast"/>
        <w:ind w:left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t>3、报价人至少提供2021年-至今，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  <w:t>立柱缸筒</w:t>
      </w:r>
      <w:r>
        <w:rPr>
          <w:rFonts w:hint="eastAsia" w:ascii="仿宋" w:hAnsi="仿宋" w:eastAsia="仿宋" w:cs="仿宋"/>
          <w:sz w:val="32"/>
          <w:szCs w:val="32"/>
          <w:highlight w:val="none"/>
          <w:shd w:val="clear" w:color="auto" w:fill="FFFFFF"/>
          <w:lang w:val="en-US" w:eastAsia="zh-CN"/>
        </w:rPr>
        <w:t>生产销售或维修业绩（维修业绩限熔覆工艺业绩），总共不少于3份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t>业绩合同。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atLeast"/>
        <w:ind w:left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t>4、本次报价不接受联合体。</w:t>
      </w:r>
    </w:p>
    <w:p>
      <w:pPr>
        <w:numPr>
          <w:ilvl w:val="0"/>
          <w:numId w:val="0"/>
        </w:numPr>
        <w:tabs>
          <w:tab w:val="left" w:pos="6009"/>
        </w:tabs>
        <w:rPr>
          <w:rFonts w:hint="eastAsia" w:ascii="仿宋" w:hAnsi="仿宋" w:eastAsia="仿宋" w:cs="仿宋"/>
          <w:b/>
          <w:bCs/>
          <w:color w:val="333333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color w:val="333333"/>
          <w:sz w:val="32"/>
          <w:szCs w:val="32"/>
          <w:lang w:eastAsia="zh-CN"/>
        </w:rPr>
        <w:t>五、</w:t>
      </w:r>
      <w:r>
        <w:rPr>
          <w:rFonts w:hint="eastAsia" w:ascii="仿宋" w:hAnsi="仿宋" w:eastAsia="仿宋" w:cs="仿宋"/>
          <w:b/>
          <w:bCs/>
          <w:color w:val="333333"/>
          <w:sz w:val="32"/>
          <w:szCs w:val="32"/>
        </w:rPr>
        <w:t>技术要求：</w:t>
      </w:r>
      <w:r>
        <w:rPr>
          <w:rFonts w:hint="eastAsia" w:ascii="仿宋" w:hAnsi="仿宋" w:eastAsia="仿宋" w:cs="仿宋"/>
          <w:b/>
          <w:bCs/>
          <w:color w:val="333333"/>
          <w:sz w:val="32"/>
          <w:szCs w:val="32"/>
          <w:lang w:eastAsia="zh-CN"/>
        </w:rPr>
        <w:tab/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  <w:t>*要求质保期为投入使用后6个月。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  <w:t>维修后设备要求达到使用方使用要求，设备交付时必须有设备检测报告或合格证；制作设备铭牌（维修厂家名称、维修时间、设备维修编号、使用单位）安装于维修设备上；所有原设备更换旧件及废件必须随设备送回甲方指定地点。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b/>
          <w:bCs/>
          <w:color w:val="333333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333333"/>
          <w:sz w:val="32"/>
          <w:szCs w:val="32"/>
          <w:lang w:val="en-US" w:eastAsia="zh-CN"/>
        </w:rPr>
        <w:t>六、*报价要求：</w:t>
      </w:r>
    </w:p>
    <w:p>
      <w:pPr>
        <w:pStyle w:val="8"/>
        <w:widowControl/>
        <w:spacing w:before="0" w:beforeAutospacing="0" w:after="0" w:afterAutospacing="0" w:line="600" w:lineRule="exact"/>
        <w:ind w:firstLine="645"/>
        <w:jc w:val="both"/>
        <w:rPr>
          <w:rStyle w:val="16"/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Style w:val="16"/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报价厂家必须按附件中报价格式报价。</w:t>
      </w:r>
    </w:p>
    <w:p>
      <w:pPr>
        <w:pStyle w:val="8"/>
        <w:widowControl/>
        <w:spacing w:before="0" w:beforeAutospacing="0" w:after="0" w:afterAutospacing="0" w:line="600" w:lineRule="exact"/>
        <w:ind w:firstLine="645"/>
        <w:jc w:val="both"/>
        <w:rPr>
          <w:rStyle w:val="16"/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Style w:val="16"/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此次报价为鉴定维修（不含税），根据鉴定内容及实际维修量进行结算。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b/>
          <w:bCs/>
          <w:color w:val="333333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333333"/>
          <w:sz w:val="32"/>
          <w:szCs w:val="32"/>
          <w:lang w:val="en-US" w:eastAsia="zh-CN"/>
        </w:rPr>
        <w:t>七、评审标准及评分办法：</w:t>
      </w:r>
    </w:p>
    <w:p>
      <w:pPr>
        <w:pStyle w:val="20"/>
        <w:widowControl/>
        <w:autoSpaceDE w:val="0"/>
        <w:spacing w:beforeAutospacing="0" w:afterAutospacing="0" w:line="600" w:lineRule="exact"/>
        <w:jc w:val="both"/>
        <w:rPr>
          <w:rFonts w:ascii="仿宋" w:hAnsi="仿宋" w:eastAsia="仿宋" w:cs="仿宋"/>
          <w:b w:val="0"/>
          <w:bCs w:val="0"/>
          <w:color w:val="333333"/>
          <w:kern w:val="2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333333"/>
          <w:kern w:val="2"/>
          <w:sz w:val="32"/>
          <w:szCs w:val="32"/>
        </w:rPr>
        <w:t>评审标准：资质齐全、质量可靠、价格低、维修周期短、售后服务好。</w:t>
      </w:r>
    </w:p>
    <w:p>
      <w:pPr>
        <w:pStyle w:val="20"/>
        <w:widowControl/>
        <w:autoSpaceDE w:val="0"/>
        <w:spacing w:beforeAutospacing="0" w:afterAutospacing="0" w:line="600" w:lineRule="exact"/>
        <w:jc w:val="both"/>
        <w:rPr>
          <w:rFonts w:ascii="仿宋" w:hAnsi="仿宋" w:eastAsia="仿宋" w:cs="仿宋"/>
          <w:b w:val="0"/>
          <w:bCs w:val="0"/>
          <w:color w:val="333333"/>
          <w:kern w:val="2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333333"/>
          <w:kern w:val="2"/>
          <w:sz w:val="32"/>
          <w:szCs w:val="32"/>
        </w:rPr>
        <w:t>评分办法：</w:t>
      </w:r>
    </w:p>
    <w:p>
      <w:pPr>
        <w:jc w:val="center"/>
        <w:rPr>
          <w:rFonts w:hint="eastAsia" w:ascii="仿宋" w:hAnsi="仿宋" w:eastAsia="仿宋" w:cs="仿宋"/>
          <w:color w:val="333333"/>
          <w:kern w:val="2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t>非招标项目（综合评审法）评分办法</w:t>
      </w:r>
    </w:p>
    <w:tbl>
      <w:tblPr>
        <w:tblStyle w:val="9"/>
        <w:tblW w:w="918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1"/>
        <w:gridCol w:w="2297"/>
        <w:gridCol w:w="49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4198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分值构成</w:t>
            </w:r>
          </w:p>
          <w:p>
            <w:pPr>
              <w:spacing w:line="4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(总分100分)</w:t>
            </w:r>
          </w:p>
        </w:tc>
        <w:tc>
          <w:tcPr>
            <w:tcW w:w="4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商务部分：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</w:rPr>
              <w:t>1分</w:t>
            </w:r>
          </w:p>
          <w:p>
            <w:pPr>
              <w:spacing w:line="440" w:lineRule="exact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技术部分：1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</w:rPr>
              <w:t>分</w:t>
            </w:r>
          </w:p>
          <w:p>
            <w:pPr>
              <w:spacing w:line="440" w:lineRule="exact"/>
              <w:rPr>
                <w:rFonts w:ascii="Times New Roman" w:hAnsi="Times New Roman"/>
              </w:rPr>
            </w:pPr>
            <w:r>
              <w:rPr>
                <w:rFonts w:hint="eastAsia" w:ascii="宋体" w:hAnsi="宋体" w:eastAsia="宋体" w:cs="宋体"/>
              </w:rPr>
              <w:t>报价</w:t>
            </w:r>
            <w:r>
              <w:rPr>
                <w:rFonts w:hint="eastAsia" w:ascii="宋体" w:hAnsi="宋体" w:eastAsia="宋体" w:cs="宋体"/>
                <w:lang w:eastAsia="zh-CN"/>
              </w:rPr>
              <w:t>部分</w:t>
            </w:r>
            <w:r>
              <w:rPr>
                <w:rFonts w:hint="eastAsia" w:ascii="宋体" w:hAnsi="宋体" w:eastAsia="宋体" w:cs="宋体"/>
              </w:rPr>
              <w:t>：</w:t>
            </w:r>
            <w:r>
              <w:rPr>
                <w:rFonts w:hint="eastAsia" w:ascii="宋体" w:hAnsi="宋体" w:eastAsia="宋体" w:cs="宋体"/>
                <w:u w:val="none"/>
                <w:lang w:val="en-US" w:eastAsia="zh-CN"/>
              </w:rPr>
              <w:t>40</w:t>
            </w:r>
            <w:r>
              <w:rPr>
                <w:rFonts w:hint="eastAsia" w:ascii="宋体" w:hAnsi="宋体" w:eastAsia="宋体" w:cs="宋体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atLeast"/>
          <w:jc w:val="center"/>
        </w:trPr>
        <w:tc>
          <w:tcPr>
            <w:tcW w:w="419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评</w:t>
            </w:r>
            <w:r>
              <w:rPr>
                <w:rFonts w:hint="eastAsia" w:ascii="Times New Roman" w:hAnsi="Times New Roman"/>
                <w:lang w:eastAsia="zh-CN"/>
              </w:rPr>
              <w:t>审</w:t>
            </w:r>
            <w:r>
              <w:rPr>
                <w:rFonts w:ascii="Times New Roman" w:hAnsi="Times New Roman"/>
              </w:rPr>
              <w:t>基准价计算方法</w:t>
            </w:r>
          </w:p>
        </w:tc>
        <w:tc>
          <w:tcPr>
            <w:tcW w:w="4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Times New Roman" w:hAnsi="Times New Roman"/>
              </w:rPr>
            </w:pPr>
            <w:r>
              <w:rPr>
                <w:rFonts w:hint="eastAsia" w:ascii="宋体" w:hAnsi="宋体" w:eastAsia="宋体" w:cs="宋体"/>
              </w:rPr>
              <w:t>以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报价</w:t>
            </w:r>
            <w:r>
              <w:rPr>
                <w:rFonts w:hint="eastAsia" w:ascii="宋体" w:hAnsi="宋体" w:eastAsia="宋体" w:cs="宋体"/>
              </w:rPr>
              <w:t>人中的最低有效</w:t>
            </w:r>
            <w:r>
              <w:rPr>
                <w:rFonts w:hint="eastAsia" w:ascii="宋体" w:hAnsi="宋体" w:eastAsia="宋体" w:cs="宋体"/>
                <w:lang w:eastAsia="zh-CN"/>
              </w:rPr>
              <w:t>报</w:t>
            </w:r>
            <w:r>
              <w:rPr>
                <w:rFonts w:hint="eastAsia" w:ascii="宋体" w:hAnsi="宋体" w:eastAsia="宋体" w:cs="宋体"/>
              </w:rPr>
              <w:t>价作为基准价（</w:t>
            </w:r>
            <w:r>
              <w:rPr>
                <w:rFonts w:hint="eastAsia" w:ascii="宋体" w:hAnsi="宋体" w:eastAsia="宋体" w:cs="宋体"/>
                <w:lang w:eastAsia="zh-CN"/>
              </w:rPr>
              <w:t>评审</w:t>
            </w:r>
            <w:r>
              <w:rPr>
                <w:rFonts w:hint="eastAsia" w:ascii="宋体" w:hAnsi="宋体" w:eastAsia="宋体" w:cs="宋体"/>
              </w:rPr>
              <w:t>基准价精确至小数点后两位）。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  <w:jc w:val="center"/>
        </w:trPr>
        <w:tc>
          <w:tcPr>
            <w:tcW w:w="419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报价的偏差率</w:t>
            </w:r>
          </w:p>
          <w:p>
            <w:pPr>
              <w:spacing w:line="4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计算公式</w:t>
            </w:r>
          </w:p>
        </w:tc>
        <w:tc>
          <w:tcPr>
            <w:tcW w:w="498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Times New Roman" w:hAnsi="Times New Roman"/>
              </w:rPr>
            </w:pPr>
            <w:r>
              <w:rPr>
                <w:rFonts w:hint="eastAsia" w:ascii="宋体" w:hAnsi="宋体" w:eastAsia="宋体" w:cs="宋体"/>
              </w:rPr>
              <w:t>偏差率=（</w:t>
            </w:r>
            <w:r>
              <w:rPr>
                <w:rFonts w:hint="eastAsia" w:ascii="宋体" w:hAnsi="宋体" w:eastAsia="宋体" w:cs="宋体"/>
                <w:lang w:eastAsia="zh-CN"/>
              </w:rPr>
              <w:t>评审</w:t>
            </w:r>
            <w:r>
              <w:rPr>
                <w:rFonts w:hint="eastAsia" w:ascii="宋体" w:hAnsi="宋体" w:eastAsia="宋体" w:cs="宋体"/>
              </w:rPr>
              <w:t>价－</w:t>
            </w:r>
            <w:r>
              <w:rPr>
                <w:rFonts w:hint="eastAsia" w:ascii="宋体" w:hAnsi="宋体" w:eastAsia="宋体" w:cs="宋体"/>
                <w:lang w:eastAsia="zh-CN"/>
              </w:rPr>
              <w:t>评审</w:t>
            </w:r>
            <w:r>
              <w:rPr>
                <w:rFonts w:hint="eastAsia" w:ascii="宋体" w:hAnsi="宋体" w:eastAsia="宋体" w:cs="宋体"/>
              </w:rPr>
              <w:t>基准价）/</w:t>
            </w:r>
            <w:r>
              <w:rPr>
                <w:rFonts w:hint="eastAsia" w:ascii="宋体" w:hAnsi="宋体" w:eastAsia="宋体" w:cs="宋体"/>
                <w:lang w:eastAsia="zh-CN"/>
              </w:rPr>
              <w:t>评审</w:t>
            </w:r>
            <w:r>
              <w:rPr>
                <w:rFonts w:hint="eastAsia" w:ascii="宋体" w:hAnsi="宋体" w:eastAsia="宋体" w:cs="宋体"/>
              </w:rPr>
              <w:t>基准价×100%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1" w:type="dxa"/>
            <w:tcBorders>
              <w:top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条款号</w:t>
            </w:r>
          </w:p>
        </w:tc>
        <w:tc>
          <w:tcPr>
            <w:tcW w:w="2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评分因素</w:t>
            </w:r>
            <w:r>
              <w:rPr>
                <w:rFonts w:hint="eastAsia" w:ascii="Times New Roman" w:hAnsi="Times New Roman"/>
                <w:b/>
              </w:rPr>
              <w:t>（偏差率）</w:t>
            </w:r>
          </w:p>
        </w:tc>
        <w:tc>
          <w:tcPr>
            <w:tcW w:w="4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评分标准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901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商务评分标准</w:t>
            </w:r>
          </w:p>
        </w:tc>
        <w:tc>
          <w:tcPr>
            <w:tcW w:w="2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业绩（满分</w:t>
            </w:r>
            <w:r>
              <w:rPr>
                <w:rFonts w:hint="eastAsia" w:ascii="Times New Roman" w:hAnsi="Times New Roman"/>
                <w:lang w:val="en-US" w:eastAsia="zh-CN"/>
              </w:rPr>
              <w:t>20</w:t>
            </w:r>
            <w:r>
              <w:rPr>
                <w:rFonts w:hint="eastAsia" w:ascii="Times New Roman" w:hAnsi="Times New Roman"/>
              </w:rPr>
              <w:t>分）</w:t>
            </w:r>
          </w:p>
        </w:tc>
        <w:tc>
          <w:tcPr>
            <w:tcW w:w="4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Times New Roman" w:hAnsi="Times New Roman"/>
              </w:rPr>
            </w:pPr>
            <w:r>
              <w:rPr>
                <w:rFonts w:hint="eastAsia" w:ascii="宋体" w:hAnsi="宋体" w:eastAsia="宋体" w:cs="宋体"/>
              </w:rPr>
              <w:t>提供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</w:rPr>
              <w:t>份满足</w:t>
            </w:r>
            <w:r>
              <w:rPr>
                <w:rFonts w:hint="eastAsia" w:ascii="宋体" w:hAnsi="宋体" w:eastAsia="宋体" w:cs="宋体"/>
                <w:lang w:eastAsia="zh-CN"/>
              </w:rPr>
              <w:t>询价</w:t>
            </w:r>
            <w:r>
              <w:rPr>
                <w:rFonts w:hint="eastAsia" w:ascii="宋体" w:hAnsi="宋体" w:eastAsia="宋体" w:cs="宋体"/>
              </w:rPr>
              <w:t>文件要求的有效业绩得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</w:rPr>
              <w:t>分。每增加1份有效业绩加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</w:rPr>
              <w:t>分，最多加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</w:rPr>
              <w:t>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1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229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/>
              </w:rPr>
              <w:t>质量保证和售后服务（满分</w:t>
            </w:r>
            <w:r>
              <w:rPr>
                <w:rFonts w:ascii="Times New Roman" w:hAnsi="Times New Roman"/>
              </w:rPr>
              <w:t>6</w:t>
            </w:r>
            <w:r>
              <w:rPr>
                <w:rFonts w:hint="eastAsia" w:ascii="Times New Roman" w:hAnsi="Times New Roman"/>
              </w:rPr>
              <w:t>分）</w:t>
            </w:r>
          </w:p>
        </w:tc>
        <w:tc>
          <w:tcPr>
            <w:tcW w:w="4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Times New Roman" w:hAnsi="Times New Roman"/>
              </w:rPr>
            </w:pPr>
            <w:r>
              <w:rPr>
                <w:rFonts w:hint="eastAsia" w:ascii="宋体" w:hAnsi="宋体" w:eastAsia="宋体" w:cs="宋体"/>
              </w:rPr>
              <w:t>有切实可行的质量监督、检查措施、质量保证，健全的质量管理组织机构和质量保证体系得3分，有较好质量管理组织机构和质量保证体系得2分，无质量保证等措施或措施不力的得0分。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1901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22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498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Times New Roman" w:hAnsi="Times New Roman"/>
              </w:rPr>
            </w:pPr>
            <w:r>
              <w:rPr>
                <w:rFonts w:hint="eastAsia" w:ascii="宋体" w:hAnsi="宋体" w:eastAsia="宋体" w:cs="宋体"/>
              </w:rPr>
              <w:t>有完善的售后服务措施和健全的组织机构得3分，有较完善的售后服务措施和健全的组织机构得2分，售后服务一般的得1分。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1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2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企业信誉及综合实力 （满分</w:t>
            </w:r>
            <w:r>
              <w:rPr>
                <w:rFonts w:ascii="Times New Roman" w:hAnsi="Times New Roman"/>
              </w:rPr>
              <w:t>1</w:t>
            </w:r>
            <w:r>
              <w:rPr>
                <w:rFonts w:hint="eastAsia" w:ascii="Times New Roman" w:hAnsi="Times New Roman"/>
                <w:lang w:val="en-US" w:eastAsia="zh-CN"/>
              </w:rPr>
              <w:t>5</w:t>
            </w:r>
            <w:r>
              <w:rPr>
                <w:rFonts w:hint="eastAsia" w:ascii="Times New Roman" w:hAnsi="Times New Roman"/>
              </w:rPr>
              <w:t>分）</w:t>
            </w:r>
          </w:p>
        </w:tc>
        <w:tc>
          <w:tcPr>
            <w:tcW w:w="4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Times New Roman" w:hAnsi="Times New Roman"/>
              </w:rPr>
            </w:pPr>
            <w:r>
              <w:rPr>
                <w:rFonts w:hint="eastAsia" w:ascii="宋体" w:hAnsi="宋体" w:eastAsia="宋体" w:cs="宋体"/>
              </w:rPr>
              <w:t>对</w:t>
            </w:r>
            <w:r>
              <w:rPr>
                <w:rFonts w:hint="eastAsia" w:ascii="宋体" w:hAnsi="宋体" w:eastAsia="宋体" w:cs="宋体"/>
                <w:lang w:eastAsia="zh-CN"/>
              </w:rPr>
              <w:t>报价</w:t>
            </w:r>
            <w:r>
              <w:rPr>
                <w:rFonts w:hint="eastAsia" w:ascii="宋体" w:hAnsi="宋体" w:eastAsia="宋体" w:cs="宋体"/>
              </w:rPr>
              <w:t>单位的企业信誉、人员配备、专业性、技术力量、企业财务状况综合实力进行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评审</w:t>
            </w:r>
            <w:r>
              <w:rPr>
                <w:rFonts w:hint="eastAsia" w:ascii="宋体" w:hAnsi="宋体" w:eastAsia="宋体" w:cs="宋体"/>
              </w:rPr>
              <w:t>，最好的得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</w:rPr>
              <w:t>-1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</w:rPr>
              <w:t>分，较好的得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</w:rPr>
              <w:t>-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</w:rPr>
              <w:t>分，一般的得1-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</w:rPr>
              <w:t>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901" w:type="dxa"/>
            <w:tcBorders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技术评分标准</w:t>
            </w:r>
          </w:p>
        </w:tc>
        <w:tc>
          <w:tcPr>
            <w:tcW w:w="2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kern w:val="0"/>
              </w:rPr>
            </w:pPr>
            <w:r>
              <w:rPr>
                <w:rFonts w:hint="eastAsia" w:ascii="Times New Roman" w:hAnsi="Times New Roman"/>
                <w:kern w:val="0"/>
              </w:rPr>
              <w:t>产品技术性能</w:t>
            </w:r>
          </w:p>
          <w:p>
            <w:pPr>
              <w:spacing w:line="44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kern w:val="0"/>
              </w:rPr>
              <w:t>（满1</w:t>
            </w:r>
            <w:r>
              <w:rPr>
                <w:rFonts w:hint="eastAsia" w:ascii="Times New Roman" w:hAnsi="Times New Roman"/>
                <w:kern w:val="0"/>
                <w:lang w:val="en-US" w:eastAsia="zh-CN"/>
              </w:rPr>
              <w:t>9</w:t>
            </w:r>
            <w:r>
              <w:rPr>
                <w:rFonts w:hint="eastAsia" w:ascii="Times New Roman" w:hAnsi="Times New Roman"/>
                <w:kern w:val="0"/>
              </w:rPr>
              <w:t>分）</w:t>
            </w:r>
          </w:p>
        </w:tc>
        <w:tc>
          <w:tcPr>
            <w:tcW w:w="4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Times New Roman" w:hAnsi="Times New Roma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维修更换部件</w:t>
            </w:r>
            <w:r>
              <w:rPr>
                <w:rFonts w:hint="eastAsia" w:ascii="宋体" w:hAnsi="宋体" w:eastAsia="宋体" w:cs="宋体"/>
              </w:rPr>
              <w:t>的技术性能、规格型号满足</w:t>
            </w:r>
            <w:r>
              <w:rPr>
                <w:rFonts w:hint="eastAsia" w:ascii="宋体" w:hAnsi="宋体" w:eastAsia="宋体" w:cs="宋体"/>
                <w:lang w:eastAsia="zh-CN"/>
              </w:rPr>
              <w:t>询价</w:t>
            </w:r>
            <w:r>
              <w:rPr>
                <w:rFonts w:hint="eastAsia" w:ascii="宋体" w:hAnsi="宋体" w:eastAsia="宋体" w:cs="宋体"/>
              </w:rPr>
              <w:t>文件要求和国家相关行业标准，产品品牌、知名度、市场占有率、质量优良，各部件报价详细合理，优良1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</w:rPr>
              <w:t>-1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</w:rPr>
              <w:t>分，相对一般得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7-14</w:t>
            </w:r>
            <w:r>
              <w:rPr>
                <w:rFonts w:hint="eastAsia" w:ascii="宋体" w:hAnsi="宋体" w:eastAsia="宋体" w:cs="宋体"/>
              </w:rPr>
              <w:t>分，相对较差1-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</w:rPr>
              <w:t>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5" w:hRule="atLeast"/>
          <w:jc w:val="center"/>
        </w:trPr>
        <w:tc>
          <w:tcPr>
            <w:tcW w:w="1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报价评分标准</w:t>
            </w:r>
          </w:p>
        </w:tc>
        <w:tc>
          <w:tcPr>
            <w:tcW w:w="2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atLeas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40</w:t>
            </w:r>
            <w:r>
              <w:rPr>
                <w:rFonts w:hint="eastAsia" w:ascii="Times New Roman" w:hAnsi="Times New Roman"/>
              </w:rPr>
              <w:t>分</w:t>
            </w:r>
          </w:p>
        </w:tc>
        <w:tc>
          <w:tcPr>
            <w:tcW w:w="4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Times New Roman" w:hAnsi="Times New Roma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以报价人中的最低有效评审价作为基准价，报价等于基准价得40分，报价高于基准价的，每高一个百分点扣0.25分，不足1%按插入法计算，小数点后保留2位数。</w:t>
            </w:r>
          </w:p>
        </w:tc>
      </w:tr>
    </w:tbl>
    <w:p>
      <w:pPr>
        <w:pStyle w:val="2"/>
        <w:rPr>
          <w:rFonts w:hint="eastAsia"/>
          <w:lang w:val="en-US" w:eastAsia="zh-CN"/>
        </w:rPr>
      </w:pPr>
    </w:p>
    <w:p>
      <w:pPr>
        <w:pStyle w:val="21"/>
        <w:numPr>
          <w:ilvl w:val="0"/>
          <w:numId w:val="0"/>
        </w:numPr>
        <w:ind w:right="0" w:rightChars="0"/>
        <w:rPr>
          <w:rFonts w:ascii="仿宋" w:hAnsi="仿宋" w:eastAsia="仿宋" w:cs="仿宋"/>
          <w:b/>
          <w:bCs/>
          <w:color w:val="333333"/>
          <w:kern w:val="2"/>
          <w:sz w:val="32"/>
          <w:szCs w:val="32"/>
        </w:rPr>
      </w:pPr>
      <w:r>
        <w:rPr>
          <w:rFonts w:hint="eastAsia"/>
          <w:lang w:val="en-US"/>
        </w:rPr>
        <w:t>注：1、</w:t>
      </w:r>
      <w:r>
        <w:rPr>
          <w:rFonts w:hint="eastAsia"/>
        </w:rPr>
        <w:t>针对某一有效</w:t>
      </w:r>
      <w:r>
        <w:rPr>
          <w:rFonts w:hint="eastAsia"/>
          <w:lang w:eastAsia="zh-CN"/>
        </w:rPr>
        <w:t>报价</w:t>
      </w:r>
      <w:r>
        <w:rPr>
          <w:rFonts w:hint="eastAsia"/>
        </w:rPr>
        <w:t>人，所有评</w:t>
      </w:r>
      <w:r>
        <w:rPr>
          <w:rFonts w:hint="eastAsia"/>
          <w:lang w:eastAsia="zh-CN"/>
        </w:rPr>
        <w:t>审</w:t>
      </w:r>
      <w:r>
        <w:rPr>
          <w:rFonts w:hint="eastAsia"/>
        </w:rPr>
        <w:t>成员最终评分的算术平均值即为该</w:t>
      </w:r>
      <w:r>
        <w:rPr>
          <w:rFonts w:hint="eastAsia"/>
          <w:lang w:eastAsia="zh-CN"/>
        </w:rPr>
        <w:t>报价</w:t>
      </w:r>
      <w:r>
        <w:rPr>
          <w:rFonts w:hint="eastAsia"/>
        </w:rPr>
        <w:t>人的最终得分。在分数相同的情况下，报价低的</w:t>
      </w:r>
      <w:r>
        <w:rPr>
          <w:rFonts w:hint="eastAsia"/>
          <w:lang w:eastAsia="zh-CN"/>
        </w:rPr>
        <w:t>报价</w:t>
      </w:r>
      <w:r>
        <w:rPr>
          <w:rFonts w:hint="eastAsia"/>
        </w:rPr>
        <w:t>人排名优先。</w:t>
      </w:r>
    </w:p>
    <w:p>
      <w:pPr>
        <w:pStyle w:val="20"/>
        <w:keepNext w:val="0"/>
        <w:keepLines w:val="0"/>
        <w:pageBreakBefore w:val="0"/>
        <w:widowControl/>
        <w:kinsoku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600" w:lineRule="exact"/>
        <w:jc w:val="both"/>
        <w:textAlignment w:val="auto"/>
        <w:rPr>
          <w:rFonts w:hint="eastAsia" w:ascii="宋体" w:hAnsi="宋体" w:cs="宋体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t>八、*付款条件：</w:t>
      </w:r>
      <w:r>
        <w:rPr>
          <w:rStyle w:val="16"/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u w:val="none"/>
          <w:lang w:val="en-US" w:eastAsia="zh-CN" w:bidi="ar"/>
        </w:rPr>
        <w:t xml:space="preserve">  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333333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333333"/>
          <w:kern w:val="2"/>
          <w:sz w:val="32"/>
          <w:szCs w:val="32"/>
          <w:lang w:val="en-US" w:eastAsia="zh-CN" w:bidi="ar-SA"/>
        </w:rPr>
        <w:t>响应中煤集团山西华昱能源有限公司的财务支出相关制度。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/>
        <w:jc w:val="both"/>
        <w:textAlignment w:val="auto"/>
        <w:outlineLvl w:val="9"/>
        <w:rPr>
          <w:rFonts w:hint="default" w:ascii="仿宋" w:hAnsi="仿宋" w:eastAsia="仿宋" w:cs="仿宋"/>
          <w:b w:val="0"/>
          <w:bCs w:val="0"/>
          <w:color w:val="333333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t>九、</w:t>
      </w:r>
      <w:r>
        <w:rPr>
          <w:rFonts w:hint="eastAsia" w:ascii="仿宋" w:hAnsi="仿宋" w:eastAsia="仿宋" w:cs="仿宋"/>
          <w:b w:val="0"/>
          <w:bCs w:val="0"/>
          <w:color w:val="333333"/>
          <w:kern w:val="2"/>
          <w:sz w:val="32"/>
          <w:szCs w:val="32"/>
          <w:lang w:val="en-US" w:eastAsia="zh-CN" w:bidi="ar-SA"/>
        </w:rPr>
        <w:t>报名报价联系人：</w:t>
      </w:r>
      <w:r>
        <w:rPr>
          <w:rFonts w:hint="eastAsia" w:ascii="仿宋" w:hAnsi="仿宋" w:eastAsia="仿宋" w:cs="仿宋"/>
          <w:b w:val="0"/>
          <w:bCs w:val="0"/>
          <w:color w:val="333333"/>
          <w:kern w:val="2"/>
          <w:sz w:val="32"/>
          <w:szCs w:val="32"/>
          <w:lang w:val="en-US" w:eastAsia="zh-CN" w:bidi="ar-SA"/>
        </w:rPr>
        <w:tab/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 w:firstLine="64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333333"/>
          <w:kern w:val="2"/>
          <w:sz w:val="32"/>
          <w:szCs w:val="32"/>
          <w:lang w:val="en-US" w:eastAsia="zh-CN" w:bidi="ar-SA"/>
        </w:rPr>
        <w:t>韩　剑13994922396（设备维修分公司经营科）</w:t>
      </w: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t>　</w:t>
      </w:r>
    </w:p>
    <w:p>
      <w:pPr>
        <w:pStyle w:val="20"/>
        <w:widowControl/>
        <w:numPr>
          <w:ilvl w:val="0"/>
          <w:numId w:val="0"/>
        </w:numPr>
        <w:autoSpaceDE w:val="0"/>
        <w:spacing w:beforeAutospacing="0" w:afterAutospacing="0" w:line="600" w:lineRule="exact"/>
        <w:jc w:val="both"/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注：以上报价要求中“含*”的条件，作为强制性条件。</w:t>
      </w:r>
    </w:p>
    <w:p>
      <w:pPr>
        <w:pStyle w:val="8"/>
        <w:widowControl/>
        <w:spacing w:before="0" w:beforeAutospacing="0" w:after="0" w:afterAutospacing="0" w:line="600" w:lineRule="exact"/>
        <w:jc w:val="both"/>
        <w:rPr>
          <w:color w:val="FF000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95587B"/>
    <w:multiLevelType w:val="multilevel"/>
    <w:tmpl w:val="2295587B"/>
    <w:lvl w:ilvl="0" w:tentative="0">
      <w:start w:val="1"/>
      <w:numFmt w:val="decimal"/>
      <w:lvlText w:val="%1"/>
      <w:lvlJc w:val="left"/>
      <w:pPr>
        <w:ind w:left="0" w:firstLine="0"/>
      </w:pPr>
      <w:rPr>
        <w:rFonts w:hint="eastAsia"/>
      </w:rPr>
    </w:lvl>
    <w:lvl w:ilvl="1" w:tentative="0">
      <w:start w:val="1"/>
      <w:numFmt w:val="decimal"/>
      <w:lvlText w:val="%2."/>
      <w:lvlJc w:val="left"/>
      <w:pPr>
        <w:ind w:left="0" w:firstLine="0"/>
      </w:pPr>
      <w:rPr>
        <w:rFonts w:hint="eastAsia" w:ascii="宋体" w:hAnsi="宋体" w:eastAsia="宋体"/>
        <w:b w:val="0"/>
        <w:sz w:val="28"/>
      </w:rPr>
    </w:lvl>
    <w:lvl w:ilvl="2" w:tentative="0">
      <w:start w:val="1"/>
      <w:numFmt w:val="decimal"/>
      <w:pStyle w:val="21"/>
      <w:lvlText w:val="%2.%3"/>
      <w:lvlJc w:val="left"/>
      <w:pPr>
        <w:ind w:left="-426" w:firstLine="426"/>
      </w:pPr>
      <w:rPr>
        <w:rFonts w:hint="eastAsia" w:eastAsia="宋体"/>
        <w:b w:val="0"/>
        <w:i w:val="0"/>
        <w:sz w:val="24"/>
      </w:rPr>
    </w:lvl>
    <w:lvl w:ilvl="3" w:tentative="0">
      <w:start w:val="1"/>
      <w:numFmt w:val="decimal"/>
      <w:lvlText w:val="%2.%3.%4"/>
      <w:lvlJc w:val="left"/>
      <w:pPr>
        <w:ind w:left="142" w:firstLine="0"/>
      </w:pPr>
      <w:rPr>
        <w:rFonts w:hint="eastAsia"/>
      </w:rPr>
    </w:lvl>
    <w:lvl w:ilvl="4" w:tentative="0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 w:tentative="0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 w:tentative="0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JhNzQ4ZWJjMTliYzVhY2NmYTZjNzE3YmEwY2FhN2EifQ=="/>
  </w:docVars>
  <w:rsids>
    <w:rsidRoot w:val="000672A8"/>
    <w:rsid w:val="00062D67"/>
    <w:rsid w:val="000672A8"/>
    <w:rsid w:val="000A3278"/>
    <w:rsid w:val="000B26EC"/>
    <w:rsid w:val="001A431A"/>
    <w:rsid w:val="002730B3"/>
    <w:rsid w:val="00302170"/>
    <w:rsid w:val="0031403F"/>
    <w:rsid w:val="00332A8A"/>
    <w:rsid w:val="003348F3"/>
    <w:rsid w:val="00373EB2"/>
    <w:rsid w:val="003C3290"/>
    <w:rsid w:val="004C4A04"/>
    <w:rsid w:val="005227D0"/>
    <w:rsid w:val="0073062C"/>
    <w:rsid w:val="00746107"/>
    <w:rsid w:val="007646A4"/>
    <w:rsid w:val="007F06A9"/>
    <w:rsid w:val="007F45A8"/>
    <w:rsid w:val="008C7756"/>
    <w:rsid w:val="009056E7"/>
    <w:rsid w:val="0094071C"/>
    <w:rsid w:val="00A06515"/>
    <w:rsid w:val="00A503B4"/>
    <w:rsid w:val="00D13C41"/>
    <w:rsid w:val="00D16F47"/>
    <w:rsid w:val="00D6589B"/>
    <w:rsid w:val="00DE0BFC"/>
    <w:rsid w:val="00E17221"/>
    <w:rsid w:val="00F039B9"/>
    <w:rsid w:val="00F04F64"/>
    <w:rsid w:val="00F9223E"/>
    <w:rsid w:val="00FD56C6"/>
    <w:rsid w:val="014E7CCD"/>
    <w:rsid w:val="015977AD"/>
    <w:rsid w:val="01DD57C1"/>
    <w:rsid w:val="02177AD2"/>
    <w:rsid w:val="024C79FF"/>
    <w:rsid w:val="025F4066"/>
    <w:rsid w:val="02C94C24"/>
    <w:rsid w:val="032C7E86"/>
    <w:rsid w:val="03567D52"/>
    <w:rsid w:val="038E4007"/>
    <w:rsid w:val="03B47944"/>
    <w:rsid w:val="03E5172E"/>
    <w:rsid w:val="03E96FC1"/>
    <w:rsid w:val="03ED52F6"/>
    <w:rsid w:val="03F75BC9"/>
    <w:rsid w:val="04DF5773"/>
    <w:rsid w:val="05406B5E"/>
    <w:rsid w:val="05506665"/>
    <w:rsid w:val="05B36BC3"/>
    <w:rsid w:val="06377751"/>
    <w:rsid w:val="067A60D6"/>
    <w:rsid w:val="07082213"/>
    <w:rsid w:val="07980403"/>
    <w:rsid w:val="08234F6B"/>
    <w:rsid w:val="08391D8E"/>
    <w:rsid w:val="08DD58A2"/>
    <w:rsid w:val="08E33E09"/>
    <w:rsid w:val="08FE44C7"/>
    <w:rsid w:val="09481E00"/>
    <w:rsid w:val="09B57FA5"/>
    <w:rsid w:val="09F90361"/>
    <w:rsid w:val="0B0946B2"/>
    <w:rsid w:val="0B827933"/>
    <w:rsid w:val="0C577FC3"/>
    <w:rsid w:val="0C7241A9"/>
    <w:rsid w:val="0C91078C"/>
    <w:rsid w:val="0CBB4B16"/>
    <w:rsid w:val="0CCA7B43"/>
    <w:rsid w:val="0CCF2A5E"/>
    <w:rsid w:val="0CD5697D"/>
    <w:rsid w:val="0CF412D8"/>
    <w:rsid w:val="0D04793C"/>
    <w:rsid w:val="0D23571B"/>
    <w:rsid w:val="0D2B17B0"/>
    <w:rsid w:val="0D422469"/>
    <w:rsid w:val="0D5C5CED"/>
    <w:rsid w:val="0D966F8E"/>
    <w:rsid w:val="0DB73881"/>
    <w:rsid w:val="0E1F54E1"/>
    <w:rsid w:val="0E2B6625"/>
    <w:rsid w:val="0E6C3758"/>
    <w:rsid w:val="0E6F4D9C"/>
    <w:rsid w:val="0E7C5EB7"/>
    <w:rsid w:val="0E8F287D"/>
    <w:rsid w:val="0F7D48DB"/>
    <w:rsid w:val="0FE66C46"/>
    <w:rsid w:val="0FFB4497"/>
    <w:rsid w:val="10135B39"/>
    <w:rsid w:val="116A1A14"/>
    <w:rsid w:val="1232761B"/>
    <w:rsid w:val="12AA6CB2"/>
    <w:rsid w:val="1301066F"/>
    <w:rsid w:val="13057A1B"/>
    <w:rsid w:val="133B046A"/>
    <w:rsid w:val="134723B7"/>
    <w:rsid w:val="134804DE"/>
    <w:rsid w:val="13886621"/>
    <w:rsid w:val="138A6F4A"/>
    <w:rsid w:val="13927913"/>
    <w:rsid w:val="141945AE"/>
    <w:rsid w:val="14C53CE4"/>
    <w:rsid w:val="15051DDA"/>
    <w:rsid w:val="156A647E"/>
    <w:rsid w:val="15CC604F"/>
    <w:rsid w:val="165B2641"/>
    <w:rsid w:val="16EE1758"/>
    <w:rsid w:val="16FF1E80"/>
    <w:rsid w:val="173503DF"/>
    <w:rsid w:val="17CE2BAE"/>
    <w:rsid w:val="17EB50A5"/>
    <w:rsid w:val="17EB63B2"/>
    <w:rsid w:val="180E2ABF"/>
    <w:rsid w:val="1812001A"/>
    <w:rsid w:val="184E48B5"/>
    <w:rsid w:val="187862AD"/>
    <w:rsid w:val="1891499F"/>
    <w:rsid w:val="18C0457E"/>
    <w:rsid w:val="191562FF"/>
    <w:rsid w:val="19411835"/>
    <w:rsid w:val="198968CB"/>
    <w:rsid w:val="19D47B14"/>
    <w:rsid w:val="1A2879EF"/>
    <w:rsid w:val="1AEB180F"/>
    <w:rsid w:val="1AF21BF1"/>
    <w:rsid w:val="1B011253"/>
    <w:rsid w:val="1B48670F"/>
    <w:rsid w:val="1B8B782E"/>
    <w:rsid w:val="1BA147AC"/>
    <w:rsid w:val="1BC24AB0"/>
    <w:rsid w:val="1C126D9B"/>
    <w:rsid w:val="1C31440A"/>
    <w:rsid w:val="1CE217AC"/>
    <w:rsid w:val="1D542D4D"/>
    <w:rsid w:val="1D692A2A"/>
    <w:rsid w:val="1D9764B3"/>
    <w:rsid w:val="1DB620D5"/>
    <w:rsid w:val="1DD2213F"/>
    <w:rsid w:val="1E4058A2"/>
    <w:rsid w:val="1E7D10BF"/>
    <w:rsid w:val="1F230902"/>
    <w:rsid w:val="1F504BF2"/>
    <w:rsid w:val="1F8B5383"/>
    <w:rsid w:val="1F8F1417"/>
    <w:rsid w:val="1FCD5646"/>
    <w:rsid w:val="201B1426"/>
    <w:rsid w:val="20824B1A"/>
    <w:rsid w:val="20FA69C6"/>
    <w:rsid w:val="211E0670"/>
    <w:rsid w:val="212D4EDA"/>
    <w:rsid w:val="214D2BE4"/>
    <w:rsid w:val="21A32B50"/>
    <w:rsid w:val="21B13108"/>
    <w:rsid w:val="224F6C07"/>
    <w:rsid w:val="226839C9"/>
    <w:rsid w:val="229C71FA"/>
    <w:rsid w:val="22BD098E"/>
    <w:rsid w:val="235A1061"/>
    <w:rsid w:val="23B40DFE"/>
    <w:rsid w:val="23B64A44"/>
    <w:rsid w:val="23C60F97"/>
    <w:rsid w:val="23CE2833"/>
    <w:rsid w:val="23D679F9"/>
    <w:rsid w:val="241839FA"/>
    <w:rsid w:val="245F4FC3"/>
    <w:rsid w:val="24665100"/>
    <w:rsid w:val="24E5411B"/>
    <w:rsid w:val="25182A58"/>
    <w:rsid w:val="254D5F3F"/>
    <w:rsid w:val="25530B9E"/>
    <w:rsid w:val="25B43858"/>
    <w:rsid w:val="261D63B5"/>
    <w:rsid w:val="26306290"/>
    <w:rsid w:val="264324AF"/>
    <w:rsid w:val="26760A19"/>
    <w:rsid w:val="26F51031"/>
    <w:rsid w:val="26FA7253"/>
    <w:rsid w:val="27061BDA"/>
    <w:rsid w:val="27130266"/>
    <w:rsid w:val="2771565F"/>
    <w:rsid w:val="279D7BB9"/>
    <w:rsid w:val="27B97B6C"/>
    <w:rsid w:val="28136343"/>
    <w:rsid w:val="289123F8"/>
    <w:rsid w:val="29B777B3"/>
    <w:rsid w:val="29BD3258"/>
    <w:rsid w:val="2A016DD6"/>
    <w:rsid w:val="2A547AA2"/>
    <w:rsid w:val="2B2374D2"/>
    <w:rsid w:val="2B547ACA"/>
    <w:rsid w:val="2B574A20"/>
    <w:rsid w:val="2B585243"/>
    <w:rsid w:val="2B842465"/>
    <w:rsid w:val="2BA031C8"/>
    <w:rsid w:val="2BB0119B"/>
    <w:rsid w:val="2BB81E91"/>
    <w:rsid w:val="2BCC064F"/>
    <w:rsid w:val="2BEC619C"/>
    <w:rsid w:val="2C7F2266"/>
    <w:rsid w:val="2C870A87"/>
    <w:rsid w:val="2C8E781C"/>
    <w:rsid w:val="2CF50F1E"/>
    <w:rsid w:val="2D6204AA"/>
    <w:rsid w:val="2D757E46"/>
    <w:rsid w:val="2D7A307E"/>
    <w:rsid w:val="2D816334"/>
    <w:rsid w:val="2E2662D7"/>
    <w:rsid w:val="2E466FCD"/>
    <w:rsid w:val="2E6176C3"/>
    <w:rsid w:val="2EAC1144"/>
    <w:rsid w:val="2ED20054"/>
    <w:rsid w:val="2F242836"/>
    <w:rsid w:val="2F393E60"/>
    <w:rsid w:val="2F45755C"/>
    <w:rsid w:val="2F532DB8"/>
    <w:rsid w:val="2F640A46"/>
    <w:rsid w:val="2F925FE9"/>
    <w:rsid w:val="2F96346A"/>
    <w:rsid w:val="308E60F7"/>
    <w:rsid w:val="30926B4E"/>
    <w:rsid w:val="30FF7AF8"/>
    <w:rsid w:val="316F3C32"/>
    <w:rsid w:val="321062AB"/>
    <w:rsid w:val="321216AC"/>
    <w:rsid w:val="32366378"/>
    <w:rsid w:val="32701984"/>
    <w:rsid w:val="32B17176"/>
    <w:rsid w:val="3308111F"/>
    <w:rsid w:val="330F1B55"/>
    <w:rsid w:val="337C6557"/>
    <w:rsid w:val="33D13591"/>
    <w:rsid w:val="34381357"/>
    <w:rsid w:val="34A54393"/>
    <w:rsid w:val="34BB6E88"/>
    <w:rsid w:val="34E47B82"/>
    <w:rsid w:val="35B1600F"/>
    <w:rsid w:val="35C8657C"/>
    <w:rsid w:val="35FD0FAB"/>
    <w:rsid w:val="36085F4D"/>
    <w:rsid w:val="36213A93"/>
    <w:rsid w:val="36300F38"/>
    <w:rsid w:val="365C3E02"/>
    <w:rsid w:val="368C1F60"/>
    <w:rsid w:val="36E25024"/>
    <w:rsid w:val="377F4E4B"/>
    <w:rsid w:val="37C15FE6"/>
    <w:rsid w:val="37CE2660"/>
    <w:rsid w:val="37F82C20"/>
    <w:rsid w:val="394C0603"/>
    <w:rsid w:val="3987609E"/>
    <w:rsid w:val="398F3833"/>
    <w:rsid w:val="399D33C7"/>
    <w:rsid w:val="39D4127D"/>
    <w:rsid w:val="39DE4FAB"/>
    <w:rsid w:val="3A0B2713"/>
    <w:rsid w:val="3A6A59C5"/>
    <w:rsid w:val="3ADD585C"/>
    <w:rsid w:val="3AF20783"/>
    <w:rsid w:val="3AFE2B30"/>
    <w:rsid w:val="3B090D42"/>
    <w:rsid w:val="3B8D2F14"/>
    <w:rsid w:val="3BA6765A"/>
    <w:rsid w:val="3BEE4B29"/>
    <w:rsid w:val="3C077D04"/>
    <w:rsid w:val="3C634CDD"/>
    <w:rsid w:val="3CA76403"/>
    <w:rsid w:val="3CC960FE"/>
    <w:rsid w:val="3D207EA4"/>
    <w:rsid w:val="3D265768"/>
    <w:rsid w:val="3D2B3348"/>
    <w:rsid w:val="3D375D73"/>
    <w:rsid w:val="3D3F295F"/>
    <w:rsid w:val="3D943D73"/>
    <w:rsid w:val="3DB03DCE"/>
    <w:rsid w:val="3DC9327B"/>
    <w:rsid w:val="3DF249B8"/>
    <w:rsid w:val="3DF4393E"/>
    <w:rsid w:val="3DFC2283"/>
    <w:rsid w:val="3E3E2126"/>
    <w:rsid w:val="3E606BCF"/>
    <w:rsid w:val="3EBE0F9C"/>
    <w:rsid w:val="3ECD37D3"/>
    <w:rsid w:val="3EF853A6"/>
    <w:rsid w:val="3F255D86"/>
    <w:rsid w:val="3FAB4477"/>
    <w:rsid w:val="3FBE434C"/>
    <w:rsid w:val="3FD149FB"/>
    <w:rsid w:val="3FFB197F"/>
    <w:rsid w:val="40286CAF"/>
    <w:rsid w:val="406407CF"/>
    <w:rsid w:val="407B6F00"/>
    <w:rsid w:val="408F0036"/>
    <w:rsid w:val="413F3D98"/>
    <w:rsid w:val="415131D2"/>
    <w:rsid w:val="41520334"/>
    <w:rsid w:val="41AA3CD8"/>
    <w:rsid w:val="41D95223"/>
    <w:rsid w:val="423E47CD"/>
    <w:rsid w:val="42586B5C"/>
    <w:rsid w:val="426C0F30"/>
    <w:rsid w:val="427E3B36"/>
    <w:rsid w:val="42B4150B"/>
    <w:rsid w:val="42C5500D"/>
    <w:rsid w:val="43426083"/>
    <w:rsid w:val="43C46A78"/>
    <w:rsid w:val="43FA303A"/>
    <w:rsid w:val="44570859"/>
    <w:rsid w:val="44603E02"/>
    <w:rsid w:val="45352126"/>
    <w:rsid w:val="459069C4"/>
    <w:rsid w:val="45AC5AF8"/>
    <w:rsid w:val="46004D16"/>
    <w:rsid w:val="463546FC"/>
    <w:rsid w:val="466679F5"/>
    <w:rsid w:val="4691481F"/>
    <w:rsid w:val="47016D21"/>
    <w:rsid w:val="4719659C"/>
    <w:rsid w:val="471C0C46"/>
    <w:rsid w:val="4738149C"/>
    <w:rsid w:val="47683216"/>
    <w:rsid w:val="47692D91"/>
    <w:rsid w:val="47C31A43"/>
    <w:rsid w:val="47F4029E"/>
    <w:rsid w:val="48285448"/>
    <w:rsid w:val="48624DA8"/>
    <w:rsid w:val="48B87FFE"/>
    <w:rsid w:val="48BC542F"/>
    <w:rsid w:val="48BE3ABF"/>
    <w:rsid w:val="48DC0212"/>
    <w:rsid w:val="48EC56DA"/>
    <w:rsid w:val="49305B24"/>
    <w:rsid w:val="49486D4B"/>
    <w:rsid w:val="49643625"/>
    <w:rsid w:val="49BA31CD"/>
    <w:rsid w:val="4A3D498C"/>
    <w:rsid w:val="4A524B4B"/>
    <w:rsid w:val="4A73543B"/>
    <w:rsid w:val="4A9E30F4"/>
    <w:rsid w:val="4AF6016B"/>
    <w:rsid w:val="4B2A0DF6"/>
    <w:rsid w:val="4BF00962"/>
    <w:rsid w:val="4C091E56"/>
    <w:rsid w:val="4C4E31B8"/>
    <w:rsid w:val="4C4E6C4B"/>
    <w:rsid w:val="4C955A7B"/>
    <w:rsid w:val="4CE811A5"/>
    <w:rsid w:val="4CFF7AF2"/>
    <w:rsid w:val="4DA63789"/>
    <w:rsid w:val="4DD74A76"/>
    <w:rsid w:val="4E6C7676"/>
    <w:rsid w:val="4EDC20CB"/>
    <w:rsid w:val="4F003CC1"/>
    <w:rsid w:val="4F0F1AD9"/>
    <w:rsid w:val="4F50286E"/>
    <w:rsid w:val="4FB26B1B"/>
    <w:rsid w:val="50020784"/>
    <w:rsid w:val="50A2734A"/>
    <w:rsid w:val="50AC7C93"/>
    <w:rsid w:val="51FD1DA4"/>
    <w:rsid w:val="521E33A1"/>
    <w:rsid w:val="52304B76"/>
    <w:rsid w:val="52323B72"/>
    <w:rsid w:val="526860DF"/>
    <w:rsid w:val="5275250B"/>
    <w:rsid w:val="529733A2"/>
    <w:rsid w:val="52BA22FF"/>
    <w:rsid w:val="52C0476F"/>
    <w:rsid w:val="53102102"/>
    <w:rsid w:val="532E1EB1"/>
    <w:rsid w:val="533C046B"/>
    <w:rsid w:val="53687B1B"/>
    <w:rsid w:val="541C302E"/>
    <w:rsid w:val="54387A1F"/>
    <w:rsid w:val="54476A42"/>
    <w:rsid w:val="54A705A3"/>
    <w:rsid w:val="54B31155"/>
    <w:rsid w:val="54B91FD9"/>
    <w:rsid w:val="553C20ED"/>
    <w:rsid w:val="5567150A"/>
    <w:rsid w:val="557D7074"/>
    <w:rsid w:val="56264764"/>
    <w:rsid w:val="5659328F"/>
    <w:rsid w:val="567401A0"/>
    <w:rsid w:val="56897B5F"/>
    <w:rsid w:val="56D34021"/>
    <w:rsid w:val="56EA09D3"/>
    <w:rsid w:val="57497F25"/>
    <w:rsid w:val="57AE6034"/>
    <w:rsid w:val="58551139"/>
    <w:rsid w:val="589A2680"/>
    <w:rsid w:val="58CD2861"/>
    <w:rsid w:val="58DB0364"/>
    <w:rsid w:val="58F10B19"/>
    <w:rsid w:val="59360748"/>
    <w:rsid w:val="5A7872E4"/>
    <w:rsid w:val="5A7D4EC1"/>
    <w:rsid w:val="5AFB3EB4"/>
    <w:rsid w:val="5B260017"/>
    <w:rsid w:val="5B907270"/>
    <w:rsid w:val="5BA35D98"/>
    <w:rsid w:val="5C08226D"/>
    <w:rsid w:val="5C147657"/>
    <w:rsid w:val="5C77111A"/>
    <w:rsid w:val="5C863394"/>
    <w:rsid w:val="5C9232B5"/>
    <w:rsid w:val="5C9C47C4"/>
    <w:rsid w:val="5D0F7BA1"/>
    <w:rsid w:val="5DA4514F"/>
    <w:rsid w:val="5DA55982"/>
    <w:rsid w:val="5DDA66FB"/>
    <w:rsid w:val="5DE7549A"/>
    <w:rsid w:val="5E1D5083"/>
    <w:rsid w:val="5ED00442"/>
    <w:rsid w:val="5F655398"/>
    <w:rsid w:val="60064170"/>
    <w:rsid w:val="600E2894"/>
    <w:rsid w:val="60103ADC"/>
    <w:rsid w:val="603F5832"/>
    <w:rsid w:val="60430CC4"/>
    <w:rsid w:val="60E54486"/>
    <w:rsid w:val="6144487F"/>
    <w:rsid w:val="61621EF3"/>
    <w:rsid w:val="626C25D0"/>
    <w:rsid w:val="6274298D"/>
    <w:rsid w:val="627746E2"/>
    <w:rsid w:val="62947F98"/>
    <w:rsid w:val="62A34349"/>
    <w:rsid w:val="62AB3341"/>
    <w:rsid w:val="632B07FA"/>
    <w:rsid w:val="63520FA9"/>
    <w:rsid w:val="6404198A"/>
    <w:rsid w:val="64202D2D"/>
    <w:rsid w:val="64582315"/>
    <w:rsid w:val="646C2765"/>
    <w:rsid w:val="64A37491"/>
    <w:rsid w:val="64BE7D40"/>
    <w:rsid w:val="64C413EC"/>
    <w:rsid w:val="64CE7AEA"/>
    <w:rsid w:val="64DF006A"/>
    <w:rsid w:val="64ED6A2B"/>
    <w:rsid w:val="65033ADC"/>
    <w:rsid w:val="6529090B"/>
    <w:rsid w:val="65AB600B"/>
    <w:rsid w:val="65AD5FD9"/>
    <w:rsid w:val="65E531F8"/>
    <w:rsid w:val="65E5746D"/>
    <w:rsid w:val="65EB1487"/>
    <w:rsid w:val="660030C3"/>
    <w:rsid w:val="66020D9B"/>
    <w:rsid w:val="66111346"/>
    <w:rsid w:val="6671056C"/>
    <w:rsid w:val="67020A47"/>
    <w:rsid w:val="67194F86"/>
    <w:rsid w:val="672950BD"/>
    <w:rsid w:val="68630EC7"/>
    <w:rsid w:val="6875329F"/>
    <w:rsid w:val="68994517"/>
    <w:rsid w:val="68AF113C"/>
    <w:rsid w:val="68C23E84"/>
    <w:rsid w:val="69DC19F5"/>
    <w:rsid w:val="6A0E087C"/>
    <w:rsid w:val="6A237104"/>
    <w:rsid w:val="6A3354FE"/>
    <w:rsid w:val="6A586A76"/>
    <w:rsid w:val="6AA726F0"/>
    <w:rsid w:val="6ADC0793"/>
    <w:rsid w:val="6B480BD4"/>
    <w:rsid w:val="6B576993"/>
    <w:rsid w:val="6B890A6B"/>
    <w:rsid w:val="6BA76D01"/>
    <w:rsid w:val="6BDA7E98"/>
    <w:rsid w:val="6C05791F"/>
    <w:rsid w:val="6C0F69E0"/>
    <w:rsid w:val="6C8B157C"/>
    <w:rsid w:val="6CBA2BC8"/>
    <w:rsid w:val="6CBC4B8A"/>
    <w:rsid w:val="6CD43F38"/>
    <w:rsid w:val="6CFC604F"/>
    <w:rsid w:val="6D013CDB"/>
    <w:rsid w:val="6D343440"/>
    <w:rsid w:val="6D5851E7"/>
    <w:rsid w:val="6D6E1F32"/>
    <w:rsid w:val="6DC261EA"/>
    <w:rsid w:val="6DD60B5B"/>
    <w:rsid w:val="6E405179"/>
    <w:rsid w:val="6E88168D"/>
    <w:rsid w:val="6E9E778E"/>
    <w:rsid w:val="6EB5299B"/>
    <w:rsid w:val="6EED4864"/>
    <w:rsid w:val="6EF41D6E"/>
    <w:rsid w:val="6F0E556E"/>
    <w:rsid w:val="6F303972"/>
    <w:rsid w:val="6F4A2318"/>
    <w:rsid w:val="6FC30F57"/>
    <w:rsid w:val="702415DE"/>
    <w:rsid w:val="70607720"/>
    <w:rsid w:val="7086098F"/>
    <w:rsid w:val="71321E05"/>
    <w:rsid w:val="718A65D8"/>
    <w:rsid w:val="72741D6D"/>
    <w:rsid w:val="72A46830"/>
    <w:rsid w:val="72B92655"/>
    <w:rsid w:val="72D23021"/>
    <w:rsid w:val="72D930BF"/>
    <w:rsid w:val="73080A99"/>
    <w:rsid w:val="73ED5607"/>
    <w:rsid w:val="741B119A"/>
    <w:rsid w:val="741B7874"/>
    <w:rsid w:val="742610CF"/>
    <w:rsid w:val="74415312"/>
    <w:rsid w:val="74BE1CAC"/>
    <w:rsid w:val="74E5757B"/>
    <w:rsid w:val="751C7AD4"/>
    <w:rsid w:val="753F5974"/>
    <w:rsid w:val="757472FE"/>
    <w:rsid w:val="75C418DB"/>
    <w:rsid w:val="75C60C76"/>
    <w:rsid w:val="7613063D"/>
    <w:rsid w:val="761B49D2"/>
    <w:rsid w:val="76425A34"/>
    <w:rsid w:val="765C32DA"/>
    <w:rsid w:val="7703593E"/>
    <w:rsid w:val="770F3940"/>
    <w:rsid w:val="77215021"/>
    <w:rsid w:val="772972DE"/>
    <w:rsid w:val="77367137"/>
    <w:rsid w:val="7756672E"/>
    <w:rsid w:val="778851B6"/>
    <w:rsid w:val="77D710CC"/>
    <w:rsid w:val="78212273"/>
    <w:rsid w:val="78516436"/>
    <w:rsid w:val="78F82B09"/>
    <w:rsid w:val="791455F9"/>
    <w:rsid w:val="7920576C"/>
    <w:rsid w:val="79C51C2C"/>
    <w:rsid w:val="79D544A4"/>
    <w:rsid w:val="79DE0E8C"/>
    <w:rsid w:val="7A3422AE"/>
    <w:rsid w:val="7B6375F9"/>
    <w:rsid w:val="7B6651A9"/>
    <w:rsid w:val="7B7962AC"/>
    <w:rsid w:val="7B8A172A"/>
    <w:rsid w:val="7B9044AE"/>
    <w:rsid w:val="7BC564C2"/>
    <w:rsid w:val="7BF23865"/>
    <w:rsid w:val="7C63389F"/>
    <w:rsid w:val="7C9C3A42"/>
    <w:rsid w:val="7CA310F6"/>
    <w:rsid w:val="7CCE17D7"/>
    <w:rsid w:val="7D6C16B5"/>
    <w:rsid w:val="7D943EDC"/>
    <w:rsid w:val="7E6E3DC5"/>
    <w:rsid w:val="7EB97CE5"/>
    <w:rsid w:val="7EDC42DD"/>
    <w:rsid w:val="7EE01B7F"/>
    <w:rsid w:val="7F32737D"/>
    <w:rsid w:val="7F372BBB"/>
    <w:rsid w:val="7F6B1952"/>
    <w:rsid w:val="7F82771B"/>
    <w:rsid w:val="7FED0AD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420" w:leftChars="200"/>
    </w:pPr>
  </w:style>
  <w:style w:type="paragraph" w:styleId="5">
    <w:name w:val="Normal Indent"/>
    <w:basedOn w:val="1"/>
    <w:qFormat/>
    <w:uiPriority w:val="0"/>
    <w:pPr>
      <w:ind w:firstLine="420" w:firstLineChars="200"/>
    </w:pPr>
  </w:style>
  <w:style w:type="paragraph" w:styleId="6">
    <w:name w:val="footer"/>
    <w:basedOn w:val="1"/>
    <w:link w:val="1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qFormat/>
    <w:uiPriority w:val="22"/>
    <w:rPr>
      <w:b/>
    </w:rPr>
  </w:style>
  <w:style w:type="character" w:styleId="13">
    <w:name w:val="FollowedHyperlink"/>
    <w:basedOn w:val="11"/>
    <w:qFormat/>
    <w:uiPriority w:val="0"/>
    <w:rPr>
      <w:color w:val="333333"/>
      <w:u w:val="none"/>
    </w:rPr>
  </w:style>
  <w:style w:type="character" w:styleId="14">
    <w:name w:val="Emphasis"/>
    <w:basedOn w:val="11"/>
    <w:qFormat/>
    <w:uiPriority w:val="0"/>
  </w:style>
  <w:style w:type="character" w:styleId="15">
    <w:name w:val="HTML Variable"/>
    <w:basedOn w:val="11"/>
    <w:qFormat/>
    <w:uiPriority w:val="0"/>
  </w:style>
  <w:style w:type="character" w:styleId="16">
    <w:name w:val="Hyperlink"/>
    <w:basedOn w:val="11"/>
    <w:qFormat/>
    <w:uiPriority w:val="0"/>
    <w:rPr>
      <w:color w:val="333333"/>
      <w:u w:val="none"/>
    </w:rPr>
  </w:style>
  <w:style w:type="character" w:styleId="17">
    <w:name w:val="HTML Cite"/>
    <w:basedOn w:val="11"/>
    <w:qFormat/>
    <w:uiPriority w:val="0"/>
  </w:style>
  <w:style w:type="character" w:customStyle="1" w:styleId="18">
    <w:name w:val="页眉 Char"/>
    <w:basedOn w:val="11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9">
    <w:name w:val="页脚 Char"/>
    <w:basedOn w:val="11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20">
    <w:name w:val="普通(网站) Char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customStyle="1" w:styleId="21">
    <w:name w:val="标题3"/>
    <w:basedOn w:val="4"/>
    <w:qFormat/>
    <w:uiPriority w:val="0"/>
    <w:pPr>
      <w:keepNext w:val="0"/>
      <w:keepLines w:val="0"/>
      <w:numPr>
        <w:ilvl w:val="2"/>
        <w:numId w:val="1"/>
      </w:numPr>
      <w:tabs>
        <w:tab w:val="left" w:pos="840"/>
      </w:tabs>
      <w:topLinePunct/>
      <w:adjustRightInd w:val="0"/>
      <w:snapToGrid w:val="0"/>
      <w:spacing w:before="0" w:after="0" w:line="360" w:lineRule="auto"/>
      <w:ind w:left="1260" w:right="100" w:rightChars="100" w:hanging="420"/>
      <w:jc w:val="left"/>
      <w:outlineLvl w:val="9"/>
    </w:pPr>
    <w:rPr>
      <w:rFonts w:ascii="宋体" w:hAnsi="宋体"/>
      <w:b w:val="0"/>
      <w:bCs w:val="0"/>
      <w:spacing w:val="2"/>
      <w:kern w:val="0"/>
      <w:sz w:val="24"/>
      <w:szCs w:val="24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5</Pages>
  <Words>1741</Words>
  <Characters>825</Characters>
  <Lines>6</Lines>
  <Paragraphs>5</Paragraphs>
  <TotalTime>0</TotalTime>
  <ScaleCrop>false</ScaleCrop>
  <LinksUpToDate>false</LinksUpToDate>
  <CharactersWithSpaces>2561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hanjian</cp:lastModifiedBy>
  <cp:lastPrinted>2024-01-03T02:14:00Z</cp:lastPrinted>
  <dcterms:modified xsi:type="dcterms:W3CDTF">2024-01-30T09:34:25Z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  <property fmtid="{D5CDD505-2E9C-101B-9397-08002B2CF9AE}" pid="3" name="ICV">
    <vt:lpwstr>D54FEB52004D417AB9A392784DEDDE08</vt:lpwstr>
  </property>
</Properties>
</file>