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left="1440" w:hanging="1440" w:hangingChars="30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中煤集团山西华昱能源有限公司白芦煤</w:t>
      </w:r>
    </w:p>
    <w:p>
      <w:pPr>
        <w:pStyle w:val="19"/>
        <w:ind w:left="1440" w:hanging="1440" w:hangingChars="300"/>
        <w:jc w:val="center"/>
        <w:rPr>
          <w:rFonts w:hint="eastAsia" w:ascii="黑体" w:hAnsi="黑体" w:eastAsia="黑体" w:cs="黑体"/>
          <w:b w:val="0"/>
          <w:bCs w:val="0"/>
          <w:kern w:val="2"/>
          <w:sz w:val="48"/>
          <w:szCs w:val="48"/>
          <w:highlight w:val="none"/>
          <w:lang w:val="en-US" w:eastAsia="zh-CN" w:bidi="ar-SA"/>
        </w:rPr>
      </w:pPr>
      <w:r>
        <w:rPr>
          <w:rFonts w:hint="eastAsia" w:ascii="黑体" w:hAnsi="黑体" w:eastAsia="黑体" w:cs="黑体"/>
          <w:sz w:val="48"/>
          <w:szCs w:val="48"/>
          <w:highlight w:val="none"/>
          <w:lang w:val="en-US" w:eastAsia="zh-CN"/>
        </w:rPr>
        <w:t>业煤矿安全生产（地测、通风、机电运输、顶板管理）专项会诊项目</w:t>
      </w:r>
    </w:p>
    <w:p>
      <w:pPr>
        <w:pStyle w:val="19"/>
        <w:jc w:val="center"/>
        <w:rPr>
          <w:rFonts w:hint="eastAsia" w:ascii="黑体" w:hAnsi="黑体" w:eastAsia="黑体" w:cs="黑体"/>
          <w:sz w:val="48"/>
          <w:szCs w:val="48"/>
          <w:highlight w:val="yellow"/>
          <w:lang w:val="en-US" w:eastAsia="zh-CN"/>
        </w:rPr>
      </w:pP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XJ202312HYGC048</w:t>
      </w:r>
    </w:p>
    <w:p>
      <w:pPr>
        <w:autoSpaceDE w:val="0"/>
        <w:autoSpaceDN w:val="0"/>
        <w:adjustRightInd w:val="0"/>
        <w:spacing w:line="240" w:lineRule="atLeast"/>
        <w:ind w:left="259" w:firstLine="1536" w:firstLineChars="480"/>
        <w:rPr>
          <w:rFonts w:hint="eastAsia" w:ascii="宋体" w:hAnsi="宋体" w:eastAsia="宋体" w:cs="宋体"/>
          <w:b w:val="0"/>
          <w:bCs w:val="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eastAsia="宋体" w:cs="宋体"/>
          <w:b w:val="0"/>
          <w:bCs w:val="0"/>
          <w:sz w:val="32"/>
          <w:szCs w:val="32"/>
          <w:highlight w:val="none"/>
        </w:rPr>
        <w:t>人：</w:t>
      </w:r>
      <w:r>
        <w:rPr>
          <w:rFonts w:hint="eastAsia" w:ascii="宋体" w:hAnsi="宋体" w:eastAsia="宋体" w:cs="宋体"/>
          <w:b w:val="0"/>
          <w:bCs w:val="0"/>
          <w:sz w:val="32"/>
          <w:szCs w:val="32"/>
          <w:highlight w:val="none"/>
          <w:lang w:eastAsia="zh-CN"/>
        </w:rPr>
        <w:t>中煤华昱公司</w:t>
      </w:r>
      <w:r>
        <w:rPr>
          <w:rFonts w:hint="eastAsia" w:ascii="宋体" w:hAnsi="宋体" w:eastAsia="宋体" w:cs="宋体"/>
          <w:b w:val="0"/>
          <w:bCs w:val="0"/>
          <w:sz w:val="32"/>
          <w:szCs w:val="32"/>
          <w:highlight w:val="none"/>
          <w:lang w:val="en-US" w:eastAsia="zh-CN"/>
        </w:rPr>
        <w:t>白芦煤业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yellow"/>
        </w:rPr>
      </w:pPr>
      <w:r>
        <w:rPr>
          <w:rFonts w:hint="eastAsia" w:ascii="宋体" w:hAnsi="宋体" w:cs="宋体"/>
          <w:b w:val="0"/>
          <w:bCs w:val="0"/>
          <w:highlight w:val="yellow"/>
        </w:rPr>
        <w:t>二零二</w:t>
      </w:r>
      <w:r>
        <w:rPr>
          <w:rFonts w:hint="eastAsia" w:ascii="宋体" w:hAnsi="宋体" w:cs="宋体"/>
          <w:b w:val="0"/>
          <w:bCs w:val="0"/>
          <w:highlight w:val="yellow"/>
          <w:lang w:val="en-US" w:eastAsia="zh-CN"/>
        </w:rPr>
        <w:t>三</w:t>
      </w:r>
      <w:r>
        <w:rPr>
          <w:rFonts w:hint="eastAsia" w:ascii="宋体" w:hAnsi="宋体" w:cs="宋体"/>
          <w:b w:val="0"/>
          <w:bCs w:val="0"/>
          <w:highlight w:val="yellow"/>
        </w:rPr>
        <w:t>年</w:t>
      </w:r>
      <w:r>
        <w:rPr>
          <w:rFonts w:hint="eastAsia" w:ascii="宋体" w:hAnsi="宋体" w:cs="宋体"/>
          <w:b w:val="0"/>
          <w:bCs w:val="0"/>
          <w:highlight w:val="yellow"/>
          <w:lang w:val="en-US" w:eastAsia="zh-CN"/>
        </w:rPr>
        <w:t>十二</w:t>
      </w:r>
      <w:r>
        <w:rPr>
          <w:rFonts w:hint="eastAsia" w:ascii="宋体" w:hAnsi="宋体" w:cs="宋体"/>
          <w:b w:val="0"/>
          <w:bCs w:val="0"/>
          <w:highlight w:val="yellow"/>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项目名</w:t>
      </w:r>
      <w:r>
        <w:rPr>
          <w:rFonts w:hint="eastAsia" w:ascii="宋体" w:hAnsi="宋体" w:eastAsia="宋体" w:cs="宋体"/>
          <w:b w:val="0"/>
          <w:bCs w:val="0"/>
          <w:sz w:val="24"/>
          <w:szCs w:val="24"/>
          <w:highlight w:val="none"/>
        </w:rPr>
        <w:t>称:</w:t>
      </w:r>
      <w:r>
        <w:rPr>
          <w:rFonts w:hint="eastAsia" w:ascii="宋体" w:hAnsi="宋体" w:cs="宋体"/>
          <w:b w:val="0"/>
          <w:bCs w:val="0"/>
          <w:sz w:val="24"/>
          <w:szCs w:val="24"/>
          <w:highlight w:val="none"/>
          <w:lang w:val="en-US" w:eastAsia="zh-CN"/>
        </w:rPr>
        <w:t>煤矿安全生产（地测、通风、机电运输、顶板管理）专项会诊项目</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公开询比</w:t>
      </w:r>
    </w:p>
    <w:p>
      <w:pPr>
        <w:pStyle w:val="2"/>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kern w:val="2"/>
          <w:sz w:val="24"/>
          <w:szCs w:val="24"/>
          <w:highlight w:val="none"/>
          <w:lang w:val="en-US" w:eastAsia="zh-CN" w:bidi="ar-SA"/>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w:t>
      </w:r>
      <w:r>
        <w:rPr>
          <w:rFonts w:hint="eastAsia" w:ascii="宋体" w:hAnsi="宋体" w:cs="宋体"/>
          <w:b w:val="0"/>
          <w:bCs w:val="0"/>
          <w:sz w:val="24"/>
          <w:szCs w:val="24"/>
          <w:highlight w:val="yellow"/>
          <w:lang w:val="en-US" w:eastAsia="zh-CN"/>
        </w:rPr>
        <w:t xml:space="preserve">2023年12月21日 </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w:t>
      </w:r>
      <w:r>
        <w:rPr>
          <w:rFonts w:hint="eastAsia" w:ascii="宋体" w:hAnsi="宋体" w:cs="宋体"/>
          <w:b w:val="0"/>
          <w:bCs w:val="0"/>
          <w:sz w:val="24"/>
          <w:szCs w:val="24"/>
          <w:highlight w:val="yellow"/>
          <w:lang w:val="en-US" w:eastAsia="zh-CN"/>
        </w:rPr>
        <w:t>2023年12月28日</w:t>
      </w:r>
      <w:r>
        <w:rPr>
          <w:rFonts w:hint="eastAsia" w:ascii="宋体" w:hAnsi="宋体" w:cs="宋体"/>
          <w:b w:val="0"/>
          <w:bCs w:val="0"/>
          <w:sz w:val="24"/>
          <w:szCs w:val="24"/>
          <w:highlight w:val="none"/>
          <w:lang w:val="en-US" w:eastAsia="zh-CN"/>
        </w:rPr>
        <w:t xml:space="preserve">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w:t>
      </w:r>
      <w:r>
        <w:rPr>
          <w:rFonts w:hint="eastAsia" w:ascii="宋体" w:hAnsi="宋体" w:cs="宋体"/>
          <w:b w:val="0"/>
          <w:bCs w:val="0"/>
          <w:sz w:val="24"/>
          <w:szCs w:val="24"/>
          <w:highlight w:val="yellow"/>
          <w:lang w:val="en-US" w:eastAsia="zh-CN"/>
        </w:rPr>
        <w:t>2023年12月28日</w:t>
      </w:r>
      <w:r>
        <w:rPr>
          <w:rFonts w:hint="eastAsia" w:ascii="宋体" w:hAnsi="宋体" w:cs="宋体"/>
          <w:b w:val="0"/>
          <w:bCs w:val="0"/>
          <w:sz w:val="24"/>
          <w:szCs w:val="24"/>
          <w:highlight w:val="none"/>
          <w:lang w:val="en-US" w:eastAsia="zh-CN"/>
        </w:rPr>
        <w:t xml:space="preserve">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w:t>
      </w:r>
      <w:r>
        <w:rPr>
          <w:rFonts w:hint="eastAsia" w:ascii="宋体" w:hAnsi="宋体" w:cs="宋体"/>
          <w:b w:val="0"/>
          <w:bCs w:val="0"/>
          <w:sz w:val="24"/>
          <w:szCs w:val="24"/>
          <w:highlight w:val="yellow"/>
          <w:lang w:val="en-US" w:eastAsia="zh-CN"/>
        </w:rPr>
        <w:t>2023年12月28日</w:t>
      </w:r>
      <w:r>
        <w:rPr>
          <w:rFonts w:hint="eastAsia" w:ascii="宋体" w:hAnsi="宋体" w:cs="宋体"/>
          <w:b w:val="0"/>
          <w:bCs w:val="0"/>
          <w:sz w:val="24"/>
          <w:szCs w:val="24"/>
          <w:highlight w:val="none"/>
          <w:lang w:val="en-US" w:eastAsia="zh-CN"/>
        </w:rPr>
        <w:t xml:space="preserve">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一、项目概况：</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1.项目概况：为提高安全生产管理水平，夯实各专业业务技术水平，需要进行对安全生产（地测、通风、机电运输、顶板管理）专项会诊和现场指导。</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3.工期（服务期）：自合同签订后1个月内完成该项目</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4.服务地点：山西朔州平鲁区白芦煤业有限公司。</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5.报价方式：固定总价**元（含税，税率1%）</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6.报价要求：报价金额包含人工等一切费用的含税总价。</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7.付款方式：执行山西朔州平鲁区白芦煤业有限公司相关制度流程。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8.报价人在提交报价文件时需附《供应商廉洁承诺书》。</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w:t>
      </w:r>
      <w:r>
        <w:rPr>
          <w:rFonts w:hint="eastAsia" w:ascii="宋体" w:hAnsi="宋体" w:cs="宋体"/>
          <w:b w:val="0"/>
          <w:bCs w:val="0"/>
          <w:sz w:val="24"/>
          <w:szCs w:val="24"/>
          <w:highlight w:val="none"/>
          <w:lang w:val="en-US" w:eastAsia="zh-CN"/>
        </w:rPr>
        <w:t>资质要求及</w:t>
      </w:r>
      <w:r>
        <w:rPr>
          <w:rFonts w:hint="eastAsia" w:ascii="宋体" w:hAnsi="宋体" w:eastAsia="宋体" w:cs="宋体"/>
          <w:b w:val="0"/>
          <w:bCs w:val="0"/>
          <w:sz w:val="24"/>
          <w:szCs w:val="24"/>
          <w:highlight w:val="none"/>
          <w:lang w:val="en-US" w:eastAsia="zh-CN"/>
        </w:rPr>
        <w:t>技术要求：</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报价人</w:t>
      </w:r>
      <w:r>
        <w:rPr>
          <w:rFonts w:hint="eastAsia" w:ascii="宋体" w:hAnsi="宋体" w:eastAsia="宋体" w:cs="宋体"/>
          <w:b w:val="0"/>
          <w:bCs w:val="0"/>
          <w:sz w:val="24"/>
          <w:szCs w:val="24"/>
          <w:highlight w:val="none"/>
          <w:lang w:val="en-US" w:eastAsia="zh-CN"/>
        </w:rPr>
        <w:t>须</w:t>
      </w:r>
      <w:r>
        <w:rPr>
          <w:rFonts w:hint="eastAsia" w:ascii="宋体" w:hAnsi="宋体" w:cs="宋体"/>
          <w:b w:val="0"/>
          <w:bCs w:val="0"/>
          <w:sz w:val="24"/>
          <w:szCs w:val="24"/>
          <w:highlight w:val="none"/>
          <w:lang w:val="en-US" w:eastAsia="zh-CN"/>
        </w:rPr>
        <w:t>具有</w:t>
      </w:r>
      <w:r>
        <w:rPr>
          <w:rFonts w:hint="eastAsia" w:ascii="宋体" w:hAnsi="宋体" w:eastAsia="宋体" w:cs="宋体"/>
          <w:b w:val="0"/>
          <w:bCs w:val="0"/>
          <w:sz w:val="24"/>
          <w:szCs w:val="24"/>
          <w:highlight w:val="none"/>
          <w:lang w:val="en-US" w:eastAsia="zh-CN"/>
        </w:rPr>
        <w:t>中华人民共和国境内注册</w:t>
      </w:r>
      <w:r>
        <w:rPr>
          <w:rFonts w:hint="eastAsia" w:ascii="宋体" w:hAnsi="宋体" w:cs="宋体"/>
          <w:b w:val="0"/>
          <w:bCs w:val="0"/>
          <w:sz w:val="24"/>
          <w:szCs w:val="24"/>
          <w:highlight w:val="none"/>
          <w:lang w:val="en-US" w:eastAsia="zh-CN"/>
        </w:rPr>
        <w:t>的</w:t>
      </w:r>
      <w:r>
        <w:rPr>
          <w:rFonts w:hint="eastAsia" w:ascii="宋体" w:hAnsi="宋体" w:eastAsia="宋体" w:cs="宋体"/>
          <w:b w:val="0"/>
          <w:bCs w:val="0"/>
          <w:sz w:val="24"/>
          <w:szCs w:val="24"/>
          <w:highlight w:val="none"/>
          <w:lang w:val="en-US" w:eastAsia="zh-CN"/>
        </w:rPr>
        <w:t>独立法人资格；</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报价人</w:t>
      </w:r>
      <w:r>
        <w:rPr>
          <w:rFonts w:hint="eastAsia" w:ascii="宋体" w:hAnsi="宋体" w:eastAsia="宋体" w:cs="宋体"/>
          <w:b w:val="0"/>
          <w:bCs w:val="0"/>
          <w:sz w:val="24"/>
          <w:szCs w:val="24"/>
          <w:highlight w:val="none"/>
          <w:lang w:val="en-US" w:eastAsia="zh-CN"/>
        </w:rPr>
        <w:t>未被“信用中国”网站（www.creditchina.gov.cn）列入“失信被执行人”名单；未被工商行政管理机关在“全国企业信用信息公示系统”列入“严重违法失信企业”名单；供应商及其法定代表人和委托代理人无行贿犯罪行为（行贿犯罪行为的认定以“中国裁判文书网”的查询结果为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3.项目班子配备齐全，专家组成员不少于8人，满足项目需求；专家组成员参加过国家一级煤矿安全生产标准化检查验收的人数达100%,其中核查组组长人数不低于总人数的50%(以煤矿盖章的迎检接待手册为准)。</w:t>
      </w:r>
    </w:p>
    <w:p>
      <w:pPr>
        <w:numPr>
          <w:ilvl w:val="0"/>
          <w:numId w:val="0"/>
        </w:num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4.报价人提供不少于三个(2022年10月至今)煤矿安全生产标准化类合同</w:t>
      </w:r>
      <w:r>
        <w:rPr>
          <w:rFonts w:hint="eastAsia" w:ascii="宋体" w:hAnsi="宋体" w:cs="宋体"/>
          <w:b w:val="0"/>
          <w:bCs w:val="0"/>
          <w:sz w:val="24"/>
          <w:szCs w:val="24"/>
          <w:highlight w:val="none"/>
          <w:lang w:val="en-US" w:eastAsia="zh-CN"/>
        </w:rPr>
        <w:t>（提供合同关键页）</w:t>
      </w:r>
    </w:p>
    <w:p>
      <w:pPr>
        <w:numPr>
          <w:ilvl w:val="0"/>
          <w:numId w:val="0"/>
        </w:num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本项目不接受联合体报价。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联系人：</w:t>
      </w:r>
      <w:r>
        <w:rPr>
          <w:rFonts w:hint="eastAsia" w:ascii="宋体" w:hAnsi="宋体" w:eastAsia="宋体" w:cs="宋体"/>
          <w:b w:val="0"/>
          <w:bCs w:val="0"/>
          <w:sz w:val="24"/>
          <w:szCs w:val="24"/>
          <w:highlight w:val="none"/>
          <w:lang w:val="en-US" w:eastAsia="zh-CN"/>
        </w:rPr>
        <w:t>杨人杰   18635991923 (联系人联系电话)</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地址：</w:t>
      </w:r>
      <w:r>
        <w:rPr>
          <w:rFonts w:hint="eastAsia" w:ascii="宋体" w:hAnsi="宋体" w:eastAsia="宋体" w:cs="宋体"/>
          <w:b w:val="0"/>
          <w:bCs w:val="0"/>
          <w:sz w:val="24"/>
          <w:szCs w:val="24"/>
          <w:highlight w:val="none"/>
          <w:lang w:val="en-US" w:eastAsia="zh-CN"/>
        </w:rPr>
        <w:t>山西朔州平鲁区茂华白芦煤业有限公司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电子信箱：</w:t>
      </w:r>
      <w:r>
        <w:rPr>
          <w:rFonts w:hint="eastAsia" w:ascii="宋体" w:hAnsi="宋体" w:eastAsia="宋体" w:cs="宋体"/>
          <w:b w:val="0"/>
          <w:bCs w:val="0"/>
          <w:sz w:val="24"/>
          <w:szCs w:val="24"/>
          <w:highlight w:val="none"/>
          <w:lang w:val="en-US" w:eastAsia="zh-CN"/>
        </w:rPr>
        <w:t>920363987@qq.com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Times New Roman" w:eastAsia="宋体" w:cs="Times New Roman"/>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w:t>
      </w:r>
      <w:r>
        <w:rPr>
          <w:rFonts w:hint="eastAsia" w:ascii="宋体" w:hAnsi="Times New Roman" w:eastAsia="宋体" w:cs="Times New Roman"/>
          <w:b w:val="0"/>
          <w:bCs w:val="0"/>
          <w:sz w:val="24"/>
          <w:szCs w:val="24"/>
          <w:highlight w:val="none"/>
          <w:lang w:eastAsia="zh-CN"/>
        </w:rPr>
        <w:t>进行</w:t>
      </w:r>
      <w:r>
        <w:rPr>
          <w:rFonts w:hint="eastAsia" w:ascii="宋体" w:hAnsi="Times New Roman" w:eastAsia="宋体" w:cs="Times New Roman"/>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6"/>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sz w:val="30"/>
          <w:szCs w:val="30"/>
          <w:lang w:eastAsia="zh-CN"/>
        </w:rPr>
      </w:pPr>
      <w:r>
        <w:rPr>
          <w:rFonts w:hint="eastAsia" w:ascii="宋体" w:hAnsi="宋体" w:cs="宋体"/>
          <w:sz w:val="30"/>
          <w:szCs w:val="30"/>
        </w:rPr>
        <w:t>安全会诊专家小组由8人组成，全部由国家一级煤矿安全生产标准化管理体系编写组及核查组专家，</w:t>
      </w:r>
      <w:r>
        <w:rPr>
          <w:rFonts w:hint="eastAsia" w:ascii="宋体" w:hAnsi="宋体" w:cs="宋体"/>
          <w:sz w:val="30"/>
          <w:szCs w:val="30"/>
          <w:lang w:eastAsia="zh-CN"/>
        </w:rPr>
        <w:t>且</w:t>
      </w:r>
      <w:r>
        <w:rPr>
          <w:rFonts w:hint="eastAsia" w:ascii="宋体" w:hAnsi="宋体" w:cs="宋体"/>
          <w:sz w:val="30"/>
          <w:szCs w:val="30"/>
        </w:rPr>
        <w:t>具有高级工程师及以上</w:t>
      </w:r>
      <w:r>
        <w:rPr>
          <w:rFonts w:hint="eastAsia" w:ascii="宋体" w:hAnsi="宋体" w:cs="宋体"/>
          <w:sz w:val="30"/>
          <w:szCs w:val="30"/>
          <w:lang w:eastAsia="zh-CN"/>
        </w:rPr>
        <w:t>技术</w:t>
      </w:r>
      <w:r>
        <w:rPr>
          <w:rFonts w:hint="eastAsia" w:ascii="宋体" w:hAnsi="宋体" w:cs="宋体"/>
          <w:sz w:val="30"/>
          <w:szCs w:val="30"/>
        </w:rPr>
        <w:t>职称，熟悉煤矿安全生产法律法规和专业标准要求，分别负责采煤、掘进、通风、机电、运输、地质防治水与测量、安全技术综合管理的安全“会诊”对8个要素15个专业进行检查，确定矿井标准化管理体系等级</w:t>
      </w:r>
      <w:r>
        <w:rPr>
          <w:rFonts w:hint="eastAsia" w:ascii="宋体" w:hAnsi="宋体" w:cs="宋体"/>
          <w:sz w:val="30"/>
          <w:szCs w:val="30"/>
          <w:lang w:eastAsia="zh-CN"/>
        </w:rPr>
        <w:t>。</w:t>
      </w:r>
    </w:p>
    <w:p>
      <w:pPr>
        <w:pStyle w:val="29"/>
        <w:numPr>
          <w:ilvl w:val="0"/>
          <w:numId w:val="0"/>
        </w:num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9"/>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2F6A"/>
    <w:multiLevelType w:val="singleLevel"/>
    <w:tmpl w:val="D4352F6A"/>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WQ4NjIyZDJmNTAxOTBjNjAxODA0ZDU1MDRjMzk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057174"/>
    <w:rsid w:val="02276F88"/>
    <w:rsid w:val="02954528"/>
    <w:rsid w:val="030C630A"/>
    <w:rsid w:val="031C6E32"/>
    <w:rsid w:val="0348259E"/>
    <w:rsid w:val="036A4395"/>
    <w:rsid w:val="04377DA6"/>
    <w:rsid w:val="044955CA"/>
    <w:rsid w:val="061C36BA"/>
    <w:rsid w:val="08A8480D"/>
    <w:rsid w:val="09221875"/>
    <w:rsid w:val="09352049"/>
    <w:rsid w:val="0A79472F"/>
    <w:rsid w:val="0A912D3C"/>
    <w:rsid w:val="0BB91287"/>
    <w:rsid w:val="0BF508B4"/>
    <w:rsid w:val="0C215F5C"/>
    <w:rsid w:val="0C297F82"/>
    <w:rsid w:val="0C540FAF"/>
    <w:rsid w:val="0CBF3D62"/>
    <w:rsid w:val="0EB30D0D"/>
    <w:rsid w:val="0F604FE4"/>
    <w:rsid w:val="0F77472F"/>
    <w:rsid w:val="0FA03417"/>
    <w:rsid w:val="0FFE2944"/>
    <w:rsid w:val="10C43A84"/>
    <w:rsid w:val="10F27FB9"/>
    <w:rsid w:val="11026497"/>
    <w:rsid w:val="115D0FA0"/>
    <w:rsid w:val="119C2B16"/>
    <w:rsid w:val="130D5D28"/>
    <w:rsid w:val="13D27127"/>
    <w:rsid w:val="13D60078"/>
    <w:rsid w:val="145A4263"/>
    <w:rsid w:val="1477734B"/>
    <w:rsid w:val="14AE38DE"/>
    <w:rsid w:val="15542020"/>
    <w:rsid w:val="168606BF"/>
    <w:rsid w:val="169964AB"/>
    <w:rsid w:val="179B3F36"/>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0C16EA"/>
    <w:rsid w:val="1E165F1B"/>
    <w:rsid w:val="1F360E25"/>
    <w:rsid w:val="1FD910CB"/>
    <w:rsid w:val="21232666"/>
    <w:rsid w:val="21505AF6"/>
    <w:rsid w:val="21BD4F6B"/>
    <w:rsid w:val="25653DDF"/>
    <w:rsid w:val="273109BD"/>
    <w:rsid w:val="27341C73"/>
    <w:rsid w:val="27F02089"/>
    <w:rsid w:val="280E7427"/>
    <w:rsid w:val="286A598B"/>
    <w:rsid w:val="2878694B"/>
    <w:rsid w:val="288202F1"/>
    <w:rsid w:val="28835C82"/>
    <w:rsid w:val="2885643D"/>
    <w:rsid w:val="29F1156B"/>
    <w:rsid w:val="2A9767DF"/>
    <w:rsid w:val="2AC06F9C"/>
    <w:rsid w:val="2B01007D"/>
    <w:rsid w:val="2B4B4303"/>
    <w:rsid w:val="2B997968"/>
    <w:rsid w:val="2BB12A90"/>
    <w:rsid w:val="2BD7373B"/>
    <w:rsid w:val="2C3D26A8"/>
    <w:rsid w:val="2C6852C0"/>
    <w:rsid w:val="2D1F5A8A"/>
    <w:rsid w:val="2D59068D"/>
    <w:rsid w:val="2D5D2A09"/>
    <w:rsid w:val="2EB51C5E"/>
    <w:rsid w:val="2EEF2071"/>
    <w:rsid w:val="2FD51143"/>
    <w:rsid w:val="2FF56584"/>
    <w:rsid w:val="2FF74F52"/>
    <w:rsid w:val="311E5CBB"/>
    <w:rsid w:val="313C2459"/>
    <w:rsid w:val="321260A3"/>
    <w:rsid w:val="327F64D7"/>
    <w:rsid w:val="3283369C"/>
    <w:rsid w:val="32890F14"/>
    <w:rsid w:val="32D26775"/>
    <w:rsid w:val="334C6D3F"/>
    <w:rsid w:val="33573CB3"/>
    <w:rsid w:val="33843E73"/>
    <w:rsid w:val="34126E2C"/>
    <w:rsid w:val="35731F31"/>
    <w:rsid w:val="359E4EC6"/>
    <w:rsid w:val="35D84E48"/>
    <w:rsid w:val="36BA11E5"/>
    <w:rsid w:val="36D735B3"/>
    <w:rsid w:val="39101B67"/>
    <w:rsid w:val="393744E7"/>
    <w:rsid w:val="393B2471"/>
    <w:rsid w:val="39B5256A"/>
    <w:rsid w:val="39E552F4"/>
    <w:rsid w:val="39F04960"/>
    <w:rsid w:val="3A0F496A"/>
    <w:rsid w:val="3A4074C6"/>
    <w:rsid w:val="3A873BF5"/>
    <w:rsid w:val="3B33738C"/>
    <w:rsid w:val="3B79050B"/>
    <w:rsid w:val="3BC04130"/>
    <w:rsid w:val="3C5D21E6"/>
    <w:rsid w:val="3CA60B04"/>
    <w:rsid w:val="3CEC6D03"/>
    <w:rsid w:val="3D206487"/>
    <w:rsid w:val="3DC04D35"/>
    <w:rsid w:val="3DFA2056"/>
    <w:rsid w:val="3E4E000C"/>
    <w:rsid w:val="3EAF3106"/>
    <w:rsid w:val="3F6B02A7"/>
    <w:rsid w:val="3FB47B86"/>
    <w:rsid w:val="3FD02E74"/>
    <w:rsid w:val="3FFE67F3"/>
    <w:rsid w:val="40072003"/>
    <w:rsid w:val="40617FCF"/>
    <w:rsid w:val="40E26CD8"/>
    <w:rsid w:val="412F1C06"/>
    <w:rsid w:val="42744B04"/>
    <w:rsid w:val="42BA317D"/>
    <w:rsid w:val="43544604"/>
    <w:rsid w:val="44143533"/>
    <w:rsid w:val="445106B7"/>
    <w:rsid w:val="446379AC"/>
    <w:rsid w:val="44746BA8"/>
    <w:rsid w:val="44DE4F77"/>
    <w:rsid w:val="45570670"/>
    <w:rsid w:val="45AB55EF"/>
    <w:rsid w:val="464016F5"/>
    <w:rsid w:val="465F362C"/>
    <w:rsid w:val="46B83B2F"/>
    <w:rsid w:val="46CD09A6"/>
    <w:rsid w:val="47B42F7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153410"/>
    <w:rsid w:val="5D5B577D"/>
    <w:rsid w:val="5DD6583E"/>
    <w:rsid w:val="5DF5739A"/>
    <w:rsid w:val="5EBB05F2"/>
    <w:rsid w:val="5F170D3A"/>
    <w:rsid w:val="5FB312DF"/>
    <w:rsid w:val="60421C7F"/>
    <w:rsid w:val="60870A2D"/>
    <w:rsid w:val="60893EE2"/>
    <w:rsid w:val="60EF445E"/>
    <w:rsid w:val="62D12EB5"/>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1C265B"/>
    <w:rsid w:val="74826C48"/>
    <w:rsid w:val="74F710CB"/>
    <w:rsid w:val="750E0A19"/>
    <w:rsid w:val="757C1CC4"/>
    <w:rsid w:val="75B51DBC"/>
    <w:rsid w:val="76ED6DFD"/>
    <w:rsid w:val="773C0385"/>
    <w:rsid w:val="78100551"/>
    <w:rsid w:val="78877AD1"/>
    <w:rsid w:val="793F533F"/>
    <w:rsid w:val="79E32E37"/>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next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3</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2023-12-21T10:00:01Z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157F6A6633E2442DA332A08D5D80E8C9_13</vt:lpwstr>
  </property>
</Properties>
</file>