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b/>
          <w:sz w:val="56"/>
          <w:szCs w:val="48"/>
        </w:rPr>
      </w:pPr>
      <w:r>
        <w:rPr>
          <w:rFonts w:hint="eastAsia"/>
          <w:b/>
          <w:sz w:val="56"/>
          <w:szCs w:val="48"/>
          <w:highlight w:val="white"/>
        </w:rPr>
        <w:t>第三卷  评审办法</w:t>
      </w:r>
    </w:p>
    <w:p>
      <w:pPr>
        <w:adjustRightInd w:val="0"/>
        <w:snapToGrid w:val="0"/>
        <w:spacing w:line="360" w:lineRule="auto"/>
        <w:ind w:firstLine="420"/>
        <w:rPr>
          <w:sz w:val="24"/>
        </w:rPr>
      </w:pPr>
      <w:r>
        <w:rPr>
          <w:rFonts w:hint="eastAsia"/>
          <w:sz w:val="24"/>
          <w:highlight w:val="white"/>
        </w:rPr>
        <w:t>本评审办法采用综合评估法，即由技术组对各投标人进行技术评分，由商务组对各投标人商务、评标价格进行评分，评标委员会将技术评分、商务评分、评标价格评分进行加权，计算出各投标人的综合评分，并据此进行排序，推荐首选中标人和备选中标人</w:t>
      </w:r>
      <w:r>
        <w:rPr>
          <w:rFonts w:hint="eastAsia"/>
          <w:kern w:val="0"/>
          <w:sz w:val="24"/>
          <w:highlight w:val="white"/>
        </w:rPr>
        <w:t>（如有）</w:t>
      </w:r>
      <w:r>
        <w:rPr>
          <w:rFonts w:hint="eastAsia"/>
          <w:sz w:val="24"/>
          <w:highlight w:val="white"/>
        </w:rPr>
        <w:t>，由招标委员会定标。</w:t>
      </w:r>
    </w:p>
    <w:p>
      <w:pPr>
        <w:pStyle w:val="2"/>
        <w:keepNext w:val="0"/>
        <w:keepLines w:val="0"/>
        <w:numPr>
          <w:ilvl w:val="0"/>
          <w:numId w:val="0"/>
        </w:numPr>
        <w:tabs>
          <w:tab w:val="left" w:pos="420"/>
        </w:tabs>
        <w:adjustRightInd w:val="0"/>
        <w:snapToGrid w:val="0"/>
        <w:spacing w:before="0" w:after="0" w:line="360" w:lineRule="auto"/>
        <w:ind w:left="576" w:hanging="576"/>
        <w:rPr>
          <w:sz w:val="24"/>
          <w:szCs w:val="24"/>
        </w:rPr>
      </w:pPr>
      <w:r>
        <w:rPr>
          <w:rFonts w:hint="eastAsia"/>
          <w:sz w:val="24"/>
          <w:szCs w:val="24"/>
          <w:highlight w:val="white"/>
        </w:rPr>
        <w:t>1 评标工作总则</w:t>
      </w:r>
    </w:p>
    <w:p>
      <w:pPr>
        <w:adjustRightInd w:val="0"/>
        <w:snapToGrid w:val="0"/>
        <w:spacing w:line="360" w:lineRule="auto"/>
        <w:rPr>
          <w:sz w:val="24"/>
          <w:szCs w:val="24"/>
        </w:rPr>
      </w:pPr>
      <w:r>
        <w:rPr>
          <w:rFonts w:hint="eastAsia"/>
          <w:sz w:val="24"/>
          <w:highlight w:val="white"/>
        </w:rPr>
        <w:t>1.1 评标活动遵循“公平、公正、科学、择优”的原则。</w:t>
      </w:r>
    </w:p>
    <w:p>
      <w:pPr>
        <w:adjustRightInd w:val="0"/>
        <w:snapToGrid w:val="0"/>
        <w:spacing w:line="360" w:lineRule="auto"/>
        <w:rPr>
          <w:sz w:val="24"/>
        </w:rPr>
      </w:pPr>
      <w:r>
        <w:rPr>
          <w:rFonts w:hint="eastAsia"/>
          <w:sz w:val="24"/>
          <w:highlight w:val="white"/>
        </w:rPr>
        <w:t>1.2 评标对象为投标人提交的投标文件及其有效的补充文件。</w:t>
      </w:r>
    </w:p>
    <w:p>
      <w:pPr>
        <w:adjustRightInd w:val="0"/>
        <w:snapToGrid w:val="0"/>
        <w:spacing w:line="360" w:lineRule="auto"/>
        <w:rPr>
          <w:sz w:val="24"/>
        </w:rPr>
      </w:pPr>
      <w:r>
        <w:rPr>
          <w:rFonts w:hint="eastAsia"/>
          <w:sz w:val="24"/>
          <w:highlight w:val="white"/>
        </w:rPr>
        <w:t>1.3 评标的依据为招标文件及其有效的补充、修改文件。</w:t>
      </w:r>
    </w:p>
    <w:p>
      <w:pPr>
        <w:adjustRightInd w:val="0"/>
        <w:snapToGrid w:val="0"/>
        <w:spacing w:line="360" w:lineRule="auto"/>
        <w:rPr>
          <w:sz w:val="24"/>
        </w:rPr>
      </w:pPr>
      <w:r>
        <w:rPr>
          <w:rFonts w:hint="eastAsia"/>
          <w:sz w:val="24"/>
          <w:highlight w:val="white"/>
        </w:rPr>
        <w:t>1.4 评标委员会下设的各专业组（技术组、商务组）相对独立工作，但有义务在评标委员会的协调下，相互之间提供评标所必须的资料。</w:t>
      </w:r>
    </w:p>
    <w:p>
      <w:pPr>
        <w:adjustRightInd w:val="0"/>
        <w:snapToGrid w:val="0"/>
        <w:spacing w:line="360" w:lineRule="auto"/>
        <w:rPr>
          <w:sz w:val="24"/>
        </w:rPr>
      </w:pPr>
      <w:r>
        <w:rPr>
          <w:rFonts w:hint="eastAsia"/>
          <w:sz w:val="24"/>
          <w:highlight w:val="white"/>
        </w:rPr>
        <w:t>1.5 评标委员会负责评标过程的领导、组织、协调工作，并推荐首选中标人和备选中标人。</w:t>
      </w:r>
    </w:p>
    <w:p>
      <w:pPr>
        <w:pStyle w:val="2"/>
        <w:keepNext w:val="0"/>
        <w:keepLines w:val="0"/>
        <w:numPr>
          <w:ilvl w:val="0"/>
          <w:numId w:val="0"/>
        </w:numPr>
        <w:tabs>
          <w:tab w:val="left" w:pos="420"/>
        </w:tabs>
        <w:adjustRightInd w:val="0"/>
        <w:snapToGrid w:val="0"/>
        <w:spacing w:before="0" w:after="0" w:line="360" w:lineRule="auto"/>
        <w:ind w:left="576" w:hanging="576"/>
        <w:rPr>
          <w:sz w:val="24"/>
          <w:szCs w:val="24"/>
        </w:rPr>
      </w:pPr>
      <w:r>
        <w:rPr>
          <w:rFonts w:hint="eastAsia"/>
          <w:sz w:val="24"/>
          <w:szCs w:val="24"/>
          <w:highlight w:val="white"/>
        </w:rPr>
        <w:t>2 评标工作程序</w:t>
      </w:r>
    </w:p>
    <w:p>
      <w:pPr>
        <w:spacing w:line="360" w:lineRule="auto"/>
        <w:ind w:firstLine="480" w:firstLineChars="200"/>
      </w:pPr>
      <w:r>
        <w:rPr>
          <w:rFonts w:hint="eastAsia"/>
          <w:kern w:val="0"/>
          <w:sz w:val="24"/>
          <w:highlight w:val="white"/>
        </w:rPr>
        <w:t>评标委员会</w:t>
      </w:r>
      <w:r>
        <w:rPr>
          <w:rFonts w:hint="eastAsia"/>
          <w:bCs/>
          <w:sz w:val="24"/>
          <w:highlight w:val="white"/>
        </w:rPr>
        <w:t>对各投标人进行初步评审，填写《初步评审表》并</w:t>
      </w:r>
      <w:r>
        <w:rPr>
          <w:rFonts w:hint="eastAsia"/>
          <w:kern w:val="0"/>
          <w:sz w:val="24"/>
          <w:highlight w:val="white"/>
        </w:rPr>
        <w:t>签字确认</w:t>
      </w:r>
      <w:r>
        <w:rPr>
          <w:rFonts w:hint="eastAsia"/>
          <w:bCs/>
          <w:sz w:val="24"/>
          <w:highlight w:val="white"/>
        </w:rPr>
        <w:t>。</w:t>
      </w:r>
      <w:r>
        <w:rPr>
          <w:rFonts w:hint="eastAsia"/>
          <w:sz w:val="24"/>
          <w:highlight w:val="white"/>
        </w:rPr>
        <w:t>初步评审分为资格评审、形式评审和响应性评审。</w:t>
      </w:r>
    </w:p>
    <w:p>
      <w:pPr>
        <w:pStyle w:val="4"/>
        <w:keepNext w:val="0"/>
        <w:keepLines w:val="0"/>
        <w:adjustRightInd w:val="0"/>
        <w:snapToGrid w:val="0"/>
        <w:spacing w:before="0" w:after="0"/>
        <w:rPr>
          <w:sz w:val="24"/>
          <w:szCs w:val="24"/>
        </w:rPr>
      </w:pPr>
      <w:r>
        <w:rPr>
          <w:rFonts w:hint="eastAsia"/>
          <w:sz w:val="24"/>
          <w:szCs w:val="24"/>
          <w:highlight w:val="white"/>
        </w:rPr>
        <w:t>2.1</w:t>
      </w:r>
      <w:r>
        <w:rPr>
          <w:kern w:val="0"/>
          <w:sz w:val="24"/>
          <w:szCs w:val="24"/>
          <w:highlight w:val="white"/>
        </w:rPr>
        <w:t>评标准备</w:t>
      </w:r>
    </w:p>
    <w:p>
      <w:pPr>
        <w:adjustRightInd w:val="0"/>
        <w:snapToGrid w:val="0"/>
        <w:spacing w:line="360" w:lineRule="auto"/>
        <w:ind w:firstLine="480" w:firstLineChars="200"/>
      </w:pPr>
      <w:r>
        <w:rPr>
          <w:rFonts w:hint="eastAsia"/>
          <w:sz w:val="24"/>
          <w:highlight w:val="white"/>
        </w:rPr>
        <w:t>评标委员会全体成员熟悉招标文件内容、评标办法，学习评标纪律要求。</w:t>
      </w:r>
    </w:p>
    <w:p>
      <w:pPr>
        <w:pStyle w:val="4"/>
        <w:keepNext w:val="0"/>
        <w:keepLines w:val="0"/>
        <w:adjustRightInd w:val="0"/>
        <w:snapToGrid w:val="0"/>
        <w:spacing w:before="0" w:after="0"/>
        <w:rPr>
          <w:sz w:val="24"/>
          <w:szCs w:val="24"/>
        </w:rPr>
      </w:pPr>
      <w:r>
        <w:rPr>
          <w:rFonts w:hint="eastAsia"/>
          <w:sz w:val="24"/>
          <w:szCs w:val="24"/>
          <w:highlight w:val="white"/>
        </w:rPr>
        <w:t>2.2 初步评审</w:t>
      </w:r>
    </w:p>
    <w:p>
      <w:pPr>
        <w:pStyle w:val="3"/>
        <w:ind w:firstLine="480"/>
        <w:rPr>
          <w:bCs/>
          <w:sz w:val="24"/>
          <w:highlight w:val="white"/>
          <w:lang w:val="zh-CN"/>
        </w:rPr>
      </w:pPr>
      <w:r>
        <w:rPr>
          <w:rFonts w:hint="eastAsia"/>
          <w:bCs/>
          <w:sz w:val="24"/>
          <w:highlight w:val="white"/>
          <w:lang w:val="zh-CN"/>
        </w:rPr>
        <w:t>评标委员会对各投标人进行初步评审，填写《初步评审表》并签字确认。初步评审分为资格评审、形式评审和响应性评审。</w:t>
      </w:r>
    </w:p>
    <w:p>
      <w:pPr>
        <w:pStyle w:val="5"/>
        <w:keepNext w:val="0"/>
        <w:keepLines w:val="0"/>
        <w:numPr>
          <w:ilvl w:val="0"/>
          <w:numId w:val="0"/>
        </w:numPr>
        <w:tabs>
          <w:tab w:val="left" w:pos="420"/>
        </w:tabs>
        <w:ind w:left="864" w:hanging="864"/>
        <w:rPr>
          <w:sz w:val="24"/>
          <w:szCs w:val="24"/>
        </w:rPr>
      </w:pPr>
      <w:r>
        <w:rPr>
          <w:rFonts w:hint="eastAsia"/>
          <w:sz w:val="24"/>
          <w:szCs w:val="24"/>
          <w:highlight w:val="white"/>
        </w:rPr>
        <w:t>2.2.1资格评审</w:t>
      </w:r>
    </w:p>
    <w:p>
      <w:pPr>
        <w:adjustRightInd w:val="0"/>
        <w:snapToGrid w:val="0"/>
        <w:spacing w:line="360" w:lineRule="auto"/>
        <w:ind w:firstLine="480" w:firstLineChars="200"/>
        <w:jc w:val="left"/>
        <w:rPr>
          <w:kern w:val="0"/>
          <w:sz w:val="24"/>
        </w:rPr>
      </w:pPr>
      <w:r>
        <w:rPr>
          <w:rFonts w:hint="eastAsia"/>
          <w:sz w:val="24"/>
          <w:highlight w:val="white"/>
        </w:rPr>
        <w:t>评标专家根据招标文件《第一卷 投标人须知》“投标人须知前附表--投标人资格和要求”的内容，审查投标人是否满足招标文件规定的投标人资格要求，并将审查意见提交至评标委员会，评标委员会评议后，确定未通过资格评审的投标人，否决其投标。</w:t>
      </w:r>
    </w:p>
    <w:p>
      <w:pPr>
        <w:pStyle w:val="5"/>
        <w:keepNext w:val="0"/>
        <w:keepLines w:val="0"/>
        <w:numPr>
          <w:ilvl w:val="0"/>
          <w:numId w:val="0"/>
        </w:numPr>
        <w:tabs>
          <w:tab w:val="left" w:pos="420"/>
        </w:tabs>
        <w:ind w:left="864" w:hanging="864"/>
        <w:rPr>
          <w:sz w:val="24"/>
          <w:szCs w:val="24"/>
        </w:rPr>
      </w:pPr>
      <w:r>
        <w:rPr>
          <w:rFonts w:hint="eastAsia"/>
          <w:sz w:val="24"/>
          <w:szCs w:val="24"/>
          <w:highlight w:val="white"/>
        </w:rPr>
        <w:t>2.2.2</w:t>
      </w:r>
      <w:r>
        <w:rPr>
          <w:rFonts w:hint="eastAsia"/>
          <w:bCs/>
          <w:kern w:val="0"/>
          <w:sz w:val="24"/>
          <w:szCs w:val="28"/>
          <w:highlight w:val="white"/>
        </w:rPr>
        <w:t>形式评审和响应性评审</w:t>
      </w:r>
    </w:p>
    <w:p>
      <w:pPr>
        <w:ind w:firstLine="472" w:firstLineChars="196"/>
        <w:rPr>
          <w:kern w:val="0"/>
          <w:sz w:val="24"/>
        </w:rPr>
      </w:pPr>
      <w:r>
        <w:rPr>
          <w:rFonts w:hint="eastAsia"/>
          <w:b/>
          <w:kern w:val="0"/>
          <w:sz w:val="24"/>
          <w:highlight w:val="white"/>
        </w:rPr>
        <w:t>下列任何一项不符合要求的投标，评标委员会有权否决其投标</w:t>
      </w:r>
      <w:r>
        <w:rPr>
          <w:rFonts w:hint="eastAsia"/>
          <w:kern w:val="0"/>
          <w:sz w:val="24"/>
          <w:highlight w:val="white"/>
        </w:rPr>
        <w:t>。</w:t>
      </w:r>
    </w:p>
    <w:p>
      <w:pPr>
        <w:rPr>
          <w:highlight w:val="red"/>
        </w:rPr>
      </w:pPr>
      <w:bookmarkStart w:id="0" w:name="EBf3ce10ae3e9d4791a920af86671ebaa0"/>
    </w:p>
    <w:tbl>
      <w:tblPr>
        <w:tblStyle w:val="1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9"/>
        <w:gridCol w:w="1886"/>
        <w:gridCol w:w="5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09"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评审方式</w:t>
            </w:r>
          </w:p>
        </w:tc>
        <w:tc>
          <w:tcPr>
            <w:tcW w:w="1886"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评审因素</w:t>
            </w:r>
          </w:p>
        </w:tc>
        <w:tc>
          <w:tcPr>
            <w:tcW w:w="5227"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09" w:type="dxa"/>
            <w:vMerge w:val="restart"/>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形式评审</w:t>
            </w:r>
          </w:p>
        </w:tc>
        <w:tc>
          <w:tcPr>
            <w:tcW w:w="1886"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投标人名称</w:t>
            </w:r>
          </w:p>
        </w:tc>
        <w:tc>
          <w:tcPr>
            <w:tcW w:w="5227"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与营业执照、资质证书、相关证件一致。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09" w:type="dxa"/>
            <w:vMerge w:val="continue"/>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p>
        </w:tc>
        <w:tc>
          <w:tcPr>
            <w:tcW w:w="1886"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投标人法定代表人授权书</w:t>
            </w:r>
          </w:p>
        </w:tc>
        <w:tc>
          <w:tcPr>
            <w:tcW w:w="5227"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投标人法定代表人授权书必须加盖公章，或由投标人法定代表人签字（或签章）。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09" w:type="dxa"/>
            <w:vMerge w:val="continue"/>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p>
        </w:tc>
        <w:tc>
          <w:tcPr>
            <w:tcW w:w="1886"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投标函</w:t>
            </w:r>
          </w:p>
        </w:tc>
        <w:tc>
          <w:tcPr>
            <w:tcW w:w="5227"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应按招标文件要求提供投标函，投标函应有单位盖章或法定代表人签字（或签章）或其委托代理人签字。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09" w:type="dxa"/>
            <w:vMerge w:val="continue"/>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p>
        </w:tc>
        <w:tc>
          <w:tcPr>
            <w:tcW w:w="1886"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报价唯一</w:t>
            </w:r>
          </w:p>
        </w:tc>
        <w:tc>
          <w:tcPr>
            <w:tcW w:w="5227"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只能有一个有效报价，且不高于最高投标限价（如有）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09" w:type="dxa"/>
            <w:vMerge w:val="restart"/>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响应性评审</w:t>
            </w:r>
          </w:p>
        </w:tc>
        <w:tc>
          <w:tcPr>
            <w:tcW w:w="1886"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交货时间/工期</w:t>
            </w:r>
          </w:p>
        </w:tc>
        <w:tc>
          <w:tcPr>
            <w:tcW w:w="5227"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满足招标文件要求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09" w:type="dxa"/>
            <w:vMerge w:val="continue"/>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p>
        </w:tc>
        <w:tc>
          <w:tcPr>
            <w:tcW w:w="1886"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投标有效期</w:t>
            </w:r>
          </w:p>
        </w:tc>
        <w:tc>
          <w:tcPr>
            <w:tcW w:w="5227"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满足招标文件要求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09" w:type="dxa"/>
            <w:vMerge w:val="continue"/>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p>
        </w:tc>
        <w:tc>
          <w:tcPr>
            <w:tcW w:w="1886"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投标保证金</w:t>
            </w:r>
          </w:p>
        </w:tc>
        <w:tc>
          <w:tcPr>
            <w:tcW w:w="5227"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在投标截止时间前按招标文件要求提供投标保证金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09" w:type="dxa"/>
            <w:vMerge w:val="continue"/>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p>
        </w:tc>
        <w:tc>
          <w:tcPr>
            <w:tcW w:w="1886"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合同条款</w:t>
            </w:r>
          </w:p>
        </w:tc>
        <w:tc>
          <w:tcPr>
            <w:tcW w:w="5227"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付款方式、履约保函、交货方式、合同争议解决方式和地点等偏差须在招标人可接受范围之内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09" w:type="dxa"/>
            <w:vMerge w:val="continue"/>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p>
        </w:tc>
        <w:tc>
          <w:tcPr>
            <w:tcW w:w="1886"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报价</w:t>
            </w:r>
          </w:p>
        </w:tc>
        <w:tc>
          <w:tcPr>
            <w:tcW w:w="5227"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4"/>
              <w:jc w:val="center"/>
              <w:rPr>
                <w:rFonts w:ascii="宋体" w:hAnsi="宋体" w:eastAsia="宋体" w:cs="宋体"/>
                <w:sz w:val="22"/>
                <w:szCs w:val="28"/>
              </w:rPr>
            </w:pPr>
            <w:r>
              <w:rPr>
                <w:rFonts w:ascii="宋体" w:hAnsi="宋体" w:eastAsia="宋体" w:cs="宋体"/>
                <w:sz w:val="22"/>
                <w:szCs w:val="28"/>
              </w:rPr>
              <w:t>报价格式、内容与招标文件要求相符，无较大偏差。</w:t>
            </w:r>
          </w:p>
        </w:tc>
      </w:tr>
    </w:tbl>
    <w:p>
      <w:pPr>
        <w:rPr>
          <w:color w:val="000080"/>
          <w:sz w:val="20"/>
          <w:highlight w:val="white"/>
        </w:rPr>
      </w:pPr>
      <w:r>
        <w:rPr>
          <w:rFonts w:hint="eastAsia"/>
          <w:color w:val="000080"/>
          <w:sz w:val="20"/>
          <w:highlight w:val="white"/>
        </w:rPr>
        <w:t xml:space="preserve"> </w:t>
      </w:r>
      <w:bookmarkEnd w:id="0"/>
    </w:p>
    <w:p>
      <w:pPr>
        <w:pStyle w:val="4"/>
        <w:keepNext w:val="0"/>
        <w:keepLines w:val="0"/>
        <w:adjustRightInd w:val="0"/>
        <w:snapToGrid w:val="0"/>
        <w:spacing w:before="0" w:after="0"/>
        <w:rPr>
          <w:sz w:val="24"/>
          <w:szCs w:val="24"/>
        </w:rPr>
      </w:pPr>
      <w:r>
        <w:rPr>
          <w:rFonts w:hint="eastAsia"/>
          <w:sz w:val="24"/>
          <w:szCs w:val="24"/>
          <w:highlight w:val="white"/>
        </w:rPr>
        <w:t>2.</w:t>
      </w:r>
      <w:r>
        <w:rPr>
          <w:sz w:val="24"/>
          <w:szCs w:val="24"/>
          <w:highlight w:val="white"/>
        </w:rPr>
        <w:t>3</w:t>
      </w:r>
      <w:r>
        <w:rPr>
          <w:rFonts w:hint="eastAsia"/>
          <w:sz w:val="24"/>
          <w:szCs w:val="24"/>
          <w:highlight w:val="white"/>
        </w:rPr>
        <w:t xml:space="preserve"> 详细评审</w:t>
      </w:r>
    </w:p>
    <w:p>
      <w:pPr>
        <w:adjustRightInd w:val="0"/>
        <w:snapToGrid w:val="0"/>
        <w:spacing w:line="360" w:lineRule="auto"/>
        <w:ind w:firstLine="480" w:firstLineChars="200"/>
        <w:rPr>
          <w:sz w:val="24"/>
          <w:szCs w:val="24"/>
        </w:rPr>
      </w:pPr>
      <w:r>
        <w:rPr>
          <w:rFonts w:hint="eastAsia"/>
          <w:sz w:val="24"/>
          <w:highlight w:val="white"/>
        </w:rPr>
        <w:t>详细评审分为技术评标、商务评标、价格评标和综合评标。技术评标根据技术评标因素采取评分方式，商务评标根据商务评标因素采取评分（或评审）方式、价格评标采取计算评标价格并评分的方式。根据技术、商务、价格的评标结果，经分析比较，进行综合评标。</w:t>
      </w:r>
    </w:p>
    <w:p>
      <w:pPr>
        <w:pStyle w:val="5"/>
        <w:numPr>
          <w:ilvl w:val="0"/>
          <w:numId w:val="0"/>
        </w:numPr>
        <w:spacing w:before="0" w:after="0" w:line="360" w:lineRule="auto"/>
        <w:ind w:left="864" w:hanging="864"/>
        <w:rPr>
          <w:sz w:val="24"/>
          <w:szCs w:val="24"/>
        </w:rPr>
      </w:pPr>
      <w:r>
        <w:rPr>
          <w:rFonts w:hint="eastAsia"/>
          <w:sz w:val="24"/>
          <w:szCs w:val="24"/>
          <w:highlight w:val="white"/>
        </w:rPr>
        <w:t>2.</w:t>
      </w:r>
      <w:r>
        <w:rPr>
          <w:sz w:val="24"/>
          <w:szCs w:val="24"/>
          <w:highlight w:val="white"/>
        </w:rPr>
        <w:t>3</w:t>
      </w:r>
      <w:r>
        <w:rPr>
          <w:rFonts w:hint="eastAsia"/>
          <w:sz w:val="24"/>
          <w:szCs w:val="24"/>
          <w:highlight w:val="white"/>
        </w:rPr>
        <w:t>.1 技术评标</w:t>
      </w:r>
    </w:p>
    <w:p>
      <w:pPr>
        <w:adjustRightInd w:val="0"/>
        <w:snapToGrid w:val="0"/>
        <w:spacing w:line="360" w:lineRule="auto"/>
        <w:ind w:firstLine="480" w:firstLineChars="200"/>
        <w:rPr>
          <w:sz w:val="24"/>
        </w:rPr>
      </w:pPr>
      <w:r>
        <w:rPr>
          <w:rFonts w:hint="eastAsia"/>
          <w:sz w:val="24"/>
          <w:highlight w:val="white"/>
        </w:rPr>
        <w:t>对通过初步评审的投标人及投标方案进行详细评审，具体采取评分方式。主要是以评分排序反映对各投标人及投标方案的技术、业绩、资源等综合情况的比较结果。技术评分是对各投标人及投标方案进行技术、性能、安全、可靠等比较的主要依据。</w:t>
      </w:r>
    </w:p>
    <w:p>
      <w:pPr>
        <w:adjustRightInd w:val="0"/>
        <w:snapToGrid w:val="0"/>
        <w:spacing w:line="360" w:lineRule="auto"/>
        <w:ind w:firstLine="480" w:firstLineChars="200"/>
        <w:jc w:val="left"/>
        <w:rPr>
          <w:iCs/>
          <w:kern w:val="0"/>
          <w:sz w:val="24"/>
        </w:rPr>
      </w:pPr>
      <w:r>
        <w:rPr>
          <w:rFonts w:hint="eastAsia"/>
          <w:iCs/>
          <w:kern w:val="0"/>
          <w:sz w:val="24"/>
          <w:highlight w:val="white"/>
        </w:rPr>
        <w:t>技术评分采取由专家独立评分，</w:t>
      </w:r>
      <w:r>
        <w:rPr>
          <w:rFonts w:hint="eastAsia"/>
          <w:sz w:val="24"/>
          <w:szCs w:val="24"/>
          <w:highlight w:val="white"/>
        </w:rPr>
        <w:t>系统自动统计分数</w:t>
      </w:r>
      <w:r>
        <w:rPr>
          <w:rFonts w:hint="eastAsia"/>
          <w:iCs/>
          <w:kern w:val="0"/>
          <w:sz w:val="24"/>
          <w:highlight w:val="white"/>
        </w:rPr>
        <w:t>。</w:t>
      </w:r>
    </w:p>
    <w:p>
      <w:pPr>
        <w:pStyle w:val="6"/>
        <w:keepNext w:val="0"/>
        <w:keepLines w:val="0"/>
        <w:numPr>
          <w:ilvl w:val="0"/>
          <w:numId w:val="0"/>
        </w:numPr>
        <w:tabs>
          <w:tab w:val="left" w:pos="420"/>
        </w:tabs>
        <w:adjustRightInd w:val="0"/>
        <w:snapToGrid w:val="0"/>
        <w:spacing w:before="0" w:after="0"/>
        <w:ind w:left="1008" w:hanging="1008"/>
        <w:rPr>
          <w:sz w:val="24"/>
          <w:szCs w:val="24"/>
        </w:rPr>
      </w:pPr>
      <w:r>
        <w:rPr>
          <w:rFonts w:hint="eastAsia"/>
          <w:sz w:val="24"/>
          <w:szCs w:val="24"/>
          <w:highlight w:val="white"/>
        </w:rPr>
        <w:t>2.</w:t>
      </w:r>
      <w:r>
        <w:rPr>
          <w:sz w:val="24"/>
          <w:szCs w:val="24"/>
          <w:highlight w:val="white"/>
        </w:rPr>
        <w:t>3</w:t>
      </w:r>
      <w:r>
        <w:rPr>
          <w:rFonts w:hint="eastAsia"/>
          <w:sz w:val="24"/>
          <w:szCs w:val="24"/>
          <w:highlight w:val="white"/>
        </w:rPr>
        <w:t>.1.1 技术评标要素</w:t>
      </w:r>
    </w:p>
    <w:p>
      <w:pPr>
        <w:adjustRightInd w:val="0"/>
        <w:snapToGrid w:val="0"/>
        <w:spacing w:line="360" w:lineRule="auto"/>
        <w:ind w:left="1" w:right="-115" w:rightChars="-55" w:firstLine="480"/>
        <w:rPr>
          <w:sz w:val="24"/>
          <w:szCs w:val="24"/>
        </w:rPr>
      </w:pPr>
      <w:r>
        <w:rPr>
          <w:rFonts w:hint="eastAsia"/>
          <w:sz w:val="24"/>
          <w:highlight w:val="white"/>
        </w:rPr>
        <w:t>技术评标要素详见《技术评分标准表》。</w:t>
      </w:r>
    </w:p>
    <w:p>
      <w:pPr>
        <w:pStyle w:val="6"/>
        <w:keepNext w:val="0"/>
        <w:keepLines w:val="0"/>
        <w:numPr>
          <w:ilvl w:val="0"/>
          <w:numId w:val="0"/>
        </w:numPr>
        <w:tabs>
          <w:tab w:val="left" w:pos="420"/>
        </w:tabs>
        <w:adjustRightInd w:val="0"/>
        <w:snapToGrid w:val="0"/>
        <w:spacing w:before="0" w:after="0"/>
        <w:ind w:left="1008" w:hanging="1008"/>
        <w:rPr>
          <w:sz w:val="24"/>
          <w:szCs w:val="24"/>
        </w:rPr>
      </w:pPr>
      <w:r>
        <w:rPr>
          <w:rFonts w:hint="eastAsia"/>
          <w:sz w:val="24"/>
          <w:szCs w:val="24"/>
          <w:highlight w:val="white"/>
        </w:rPr>
        <w:t>2.</w:t>
      </w:r>
      <w:r>
        <w:rPr>
          <w:sz w:val="24"/>
          <w:szCs w:val="24"/>
          <w:highlight w:val="white"/>
        </w:rPr>
        <w:t>3</w:t>
      </w:r>
      <w:r>
        <w:rPr>
          <w:rFonts w:hint="eastAsia"/>
          <w:sz w:val="24"/>
          <w:szCs w:val="24"/>
          <w:highlight w:val="white"/>
        </w:rPr>
        <w:t>.1.2 技术评分一般规定</w:t>
      </w:r>
    </w:p>
    <w:p>
      <w:pPr>
        <w:adjustRightInd w:val="0"/>
        <w:snapToGrid w:val="0"/>
        <w:spacing w:line="360" w:lineRule="auto"/>
        <w:rPr>
          <w:sz w:val="24"/>
          <w:szCs w:val="24"/>
        </w:rPr>
      </w:pPr>
      <w:r>
        <w:rPr>
          <w:rFonts w:hint="eastAsia"/>
          <w:sz w:val="24"/>
          <w:highlight w:val="white"/>
        </w:rPr>
        <w:t>2.</w:t>
      </w:r>
      <w:r>
        <w:rPr>
          <w:sz w:val="24"/>
          <w:highlight w:val="white"/>
        </w:rPr>
        <w:t>3</w:t>
      </w:r>
      <w:r>
        <w:rPr>
          <w:rFonts w:hint="eastAsia"/>
          <w:sz w:val="24"/>
          <w:highlight w:val="white"/>
        </w:rPr>
        <w:t>.1.2.1参加评分的专家应遵循“公平、公正、科学、择优”的原则。</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.1.2.2参加评分的专家应力求客观公正、实事求是，避免学派偏见和个人偏爱。</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.1.2.3技术组对技术评分表的权重及分值的评分、合分原则进行打分前培训。</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.1.2.4进行技术评分时，按评标因素对各投标人进行衡量、对比的依据，应仅限于招标文件、投标文件（含有效的澄清文件）的相关内容以及按照有效方式提供的正式试验数据。拒绝采信口头描述。</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.1.2.5参加评分的专家须为技术组正式成员（不含列席人员）。</w:t>
      </w:r>
    </w:p>
    <w:p>
      <w:pPr>
        <w:pStyle w:val="6"/>
        <w:keepNext w:val="0"/>
        <w:keepLines w:val="0"/>
        <w:numPr>
          <w:ilvl w:val="0"/>
          <w:numId w:val="0"/>
        </w:numPr>
        <w:tabs>
          <w:tab w:val="left" w:pos="420"/>
        </w:tabs>
        <w:adjustRightInd w:val="0"/>
        <w:snapToGrid w:val="0"/>
        <w:spacing w:before="0" w:after="0"/>
        <w:ind w:left="1008" w:hanging="1008"/>
        <w:rPr>
          <w:sz w:val="24"/>
          <w:szCs w:val="24"/>
        </w:rPr>
      </w:pPr>
      <w:r>
        <w:rPr>
          <w:rFonts w:hint="eastAsia"/>
          <w:sz w:val="24"/>
          <w:szCs w:val="24"/>
          <w:highlight w:val="white"/>
        </w:rPr>
        <w:t>2.</w:t>
      </w:r>
      <w:r>
        <w:rPr>
          <w:sz w:val="24"/>
          <w:szCs w:val="24"/>
          <w:highlight w:val="white"/>
        </w:rPr>
        <w:t>3</w:t>
      </w:r>
      <w:r>
        <w:rPr>
          <w:rFonts w:hint="eastAsia"/>
          <w:sz w:val="24"/>
          <w:szCs w:val="24"/>
          <w:highlight w:val="white"/>
        </w:rPr>
        <w:t>.1.3 技术评分细则</w:t>
      </w:r>
    </w:p>
    <w:p>
      <w:pPr>
        <w:adjustRightInd w:val="0"/>
        <w:snapToGrid w:val="0"/>
        <w:spacing w:line="360" w:lineRule="auto"/>
        <w:rPr>
          <w:sz w:val="24"/>
          <w:szCs w:val="24"/>
        </w:rPr>
      </w:pPr>
      <w:r>
        <w:rPr>
          <w:rFonts w:hint="eastAsia"/>
          <w:sz w:val="24"/>
          <w:highlight w:val="white"/>
        </w:rPr>
        <w:t>2.</w:t>
      </w:r>
      <w:r>
        <w:rPr>
          <w:sz w:val="24"/>
          <w:highlight w:val="white"/>
        </w:rPr>
        <w:t>3</w:t>
      </w:r>
      <w:r>
        <w:rPr>
          <w:rFonts w:hint="eastAsia"/>
          <w:sz w:val="24"/>
          <w:highlight w:val="white"/>
        </w:rPr>
        <w:t>.1.3.1 各专家成员依据评分标准独立自主评分。</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.1.3.2对评分表中的每项，专家成员应根据投标文件及澄清文件对招标文件要求的满足程度等排定投标人的顺序。</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.1.3.3如果各投标人某一项指标/技术水平相同，分值应当一样，其评分可为该项标准分的最低分和最高分之间。</w:t>
      </w:r>
    </w:p>
    <w:p>
      <w:pPr>
        <w:adjustRightInd w:val="0"/>
        <w:snapToGrid w:val="0"/>
        <w:spacing w:line="360" w:lineRule="auto"/>
        <w:jc w:val="left"/>
        <w:rPr>
          <w:sz w:val="24"/>
        </w:rPr>
      </w:pPr>
      <w:r>
        <w:rPr>
          <w:rFonts w:hint="eastAsia"/>
          <w:sz w:val="24"/>
          <w:highlight w:val="white"/>
        </w:rPr>
        <w:t>2.</w:t>
      </w:r>
      <w:r>
        <w:rPr>
          <w:sz w:val="24"/>
          <w:highlight w:val="white"/>
        </w:rPr>
        <w:t>3</w:t>
      </w:r>
      <w:r>
        <w:rPr>
          <w:rFonts w:hint="eastAsia"/>
          <w:sz w:val="24"/>
          <w:highlight w:val="white"/>
        </w:rPr>
        <w:t>.1.3.4除2.</w:t>
      </w:r>
      <w:r>
        <w:rPr>
          <w:sz w:val="24"/>
          <w:highlight w:val="white"/>
        </w:rPr>
        <w:t>3</w:t>
      </w:r>
      <w:r>
        <w:rPr>
          <w:rFonts w:hint="eastAsia"/>
          <w:sz w:val="24"/>
          <w:highlight w:val="white"/>
        </w:rPr>
        <w:t>.1.3.3条规定情况外，原则上技术评分表中每一项评标因素的最高分不能低于该项满分的90％，最低分不能低于该项满分的60%。除特殊说明以外，最低不得低于该项标准分的最低分。如专家认为某一投标人本项存在严重偏差，则可以将本项分值低于标准分的最低分,但需书面补充说明理由。</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.1.3.5各专家评分时每项评分保留小数点后1位，各投标人技术得分应为评分专家有效打分之平均分，平均分保留小数点后2位。</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.1.3.6评分如有明显的倾向性、显失公正，经评标委员会确认后，可判为严重违规评分，不参加最终统计。</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.1.3.7如不参加最终统计的评分表达到半数，则该组评分整体无效，重新组建评标委员会，重新评分。</w:t>
      </w:r>
    </w:p>
    <w:p>
      <w:pPr>
        <w:pStyle w:val="6"/>
        <w:keepNext w:val="0"/>
        <w:keepLines w:val="0"/>
        <w:numPr>
          <w:ilvl w:val="0"/>
          <w:numId w:val="0"/>
        </w:numPr>
        <w:tabs>
          <w:tab w:val="left" w:pos="420"/>
        </w:tabs>
        <w:adjustRightInd w:val="0"/>
        <w:snapToGrid w:val="0"/>
        <w:spacing w:before="0" w:after="0"/>
        <w:ind w:left="1008" w:hanging="1008"/>
        <w:rPr>
          <w:sz w:val="24"/>
          <w:szCs w:val="24"/>
        </w:rPr>
      </w:pPr>
      <w:r>
        <w:rPr>
          <w:rFonts w:hint="eastAsia"/>
          <w:sz w:val="24"/>
          <w:szCs w:val="24"/>
          <w:highlight w:val="white"/>
        </w:rPr>
        <w:t>2.</w:t>
      </w:r>
      <w:r>
        <w:rPr>
          <w:sz w:val="24"/>
          <w:szCs w:val="24"/>
          <w:highlight w:val="white"/>
        </w:rPr>
        <w:t>3</w:t>
      </w:r>
      <w:r>
        <w:rPr>
          <w:rFonts w:hint="eastAsia"/>
          <w:sz w:val="24"/>
          <w:szCs w:val="24"/>
          <w:highlight w:val="white"/>
        </w:rPr>
        <w:t>.1.4 技术评分标准（满分100分）</w:t>
      </w:r>
    </w:p>
    <w:tbl>
      <w:tblPr>
        <w:tblStyle w:val="14"/>
        <w:tblW w:w="834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320"/>
        <w:gridCol w:w="709"/>
        <w:gridCol w:w="993"/>
        <w:gridCol w:w="4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65" w:type="dxa"/>
            <w:shd w:val="clear" w:color="auto" w:fill="auto"/>
            <w:vAlign w:val="center"/>
          </w:tcPr>
          <w:p>
            <w:pPr>
              <w:widowControl/>
              <w:jc w:val="center"/>
              <w:rPr>
                <w:b/>
                <w:color w:val="000000" w:themeColor="text1"/>
                <w:kern w:val="0"/>
                <w:szCs w:val="28"/>
                <w14:textFill>
                  <w14:solidFill>
                    <w14:schemeClr w14:val="tx1"/>
                  </w14:solidFill>
                </w14:textFill>
              </w:rPr>
            </w:pPr>
            <w:bookmarkStart w:id="1" w:name="EB865eee04d52548f3b83e25d081aa41f1"/>
            <w:r>
              <w:rPr>
                <w:rFonts w:hint="eastAsia"/>
                <w:b/>
                <w:color w:val="000000" w:themeColor="text1"/>
                <w:kern w:val="0"/>
                <w:szCs w:val="28"/>
                <w14:textFill>
                  <w14:solidFill>
                    <w14:schemeClr w14:val="tx1"/>
                  </w14:solidFill>
                </w14:textFill>
              </w:rPr>
              <w:t>序号</w:t>
            </w:r>
          </w:p>
        </w:tc>
        <w:tc>
          <w:tcPr>
            <w:tcW w:w="1320" w:type="dxa"/>
            <w:shd w:val="clear" w:color="auto" w:fill="auto"/>
            <w:vAlign w:val="center"/>
          </w:tcPr>
          <w:p>
            <w:pPr>
              <w:widowControl/>
              <w:jc w:val="center"/>
              <w:rPr>
                <w:b/>
                <w:color w:val="000000" w:themeColor="text1"/>
                <w:kern w:val="0"/>
                <w:szCs w:val="28"/>
                <w14:textFill>
                  <w14:solidFill>
                    <w14:schemeClr w14:val="tx1"/>
                  </w14:solidFill>
                </w14:textFill>
              </w:rPr>
            </w:pPr>
            <w:r>
              <w:rPr>
                <w:rFonts w:hint="eastAsia"/>
                <w:b/>
                <w:color w:val="000000" w:themeColor="text1"/>
                <w:kern w:val="0"/>
                <w:szCs w:val="28"/>
                <w14:textFill>
                  <w14:solidFill>
                    <w14:schemeClr w14:val="tx1"/>
                  </w14:solidFill>
                </w14:textFill>
              </w:rPr>
              <w:t>评分点名称</w:t>
            </w:r>
          </w:p>
        </w:tc>
        <w:tc>
          <w:tcPr>
            <w:tcW w:w="709" w:type="dxa"/>
            <w:shd w:val="clear" w:color="auto" w:fill="auto"/>
            <w:vAlign w:val="center"/>
          </w:tcPr>
          <w:p>
            <w:pPr>
              <w:widowControl/>
              <w:jc w:val="center"/>
              <w:rPr>
                <w:b/>
                <w:color w:val="000000" w:themeColor="text1"/>
                <w:kern w:val="0"/>
                <w:szCs w:val="28"/>
                <w14:textFill>
                  <w14:solidFill>
                    <w14:schemeClr w14:val="tx1"/>
                  </w14:solidFill>
                </w14:textFill>
              </w:rPr>
            </w:pPr>
            <w:r>
              <w:rPr>
                <w:rFonts w:hint="eastAsia"/>
                <w:b/>
                <w:color w:val="000000" w:themeColor="text1"/>
                <w:kern w:val="0"/>
                <w:szCs w:val="28"/>
                <w14:textFill>
                  <w14:solidFill>
                    <w14:schemeClr w14:val="tx1"/>
                  </w14:solidFill>
                </w14:textFill>
              </w:rPr>
              <w:t>分值</w:t>
            </w:r>
          </w:p>
        </w:tc>
        <w:tc>
          <w:tcPr>
            <w:tcW w:w="993" w:type="dxa"/>
            <w:shd w:val="clear" w:color="auto" w:fill="auto"/>
            <w:vAlign w:val="center"/>
          </w:tcPr>
          <w:p>
            <w:pPr>
              <w:widowControl/>
              <w:jc w:val="center"/>
              <w:rPr>
                <w:b/>
                <w:color w:val="000000" w:themeColor="text1"/>
                <w:kern w:val="0"/>
                <w:szCs w:val="28"/>
                <w14:textFill>
                  <w14:solidFill>
                    <w14:schemeClr w14:val="tx1"/>
                  </w14:solidFill>
                </w14:textFill>
              </w:rPr>
            </w:pPr>
            <w:r>
              <w:rPr>
                <w:rFonts w:hint="eastAsia"/>
                <w:b/>
                <w:color w:val="000000" w:themeColor="text1"/>
                <w:kern w:val="0"/>
                <w:szCs w:val="28"/>
                <w14:textFill>
                  <w14:solidFill>
                    <w14:schemeClr w14:val="tx1"/>
                  </w14:solidFill>
                </w14:textFill>
              </w:rPr>
              <w:t>打分方式</w:t>
            </w:r>
          </w:p>
        </w:tc>
        <w:tc>
          <w:tcPr>
            <w:tcW w:w="4657" w:type="dxa"/>
            <w:shd w:val="clear" w:color="auto" w:fill="auto"/>
            <w:vAlign w:val="center"/>
          </w:tcPr>
          <w:p>
            <w:pPr>
              <w:widowControl/>
              <w:jc w:val="center"/>
              <w:rPr>
                <w:b/>
                <w:color w:val="000000" w:themeColor="text1"/>
                <w:kern w:val="0"/>
                <w:szCs w:val="28"/>
                <w14:textFill>
                  <w14:solidFill>
                    <w14:schemeClr w14:val="tx1"/>
                  </w14:solidFill>
                </w14:textFill>
              </w:rPr>
            </w:pPr>
            <w:r>
              <w:rPr>
                <w:rFonts w:hint="eastAsia"/>
                <w:b/>
                <w:color w:val="000000" w:themeColor="text1"/>
                <w:kern w:val="0"/>
                <w:szCs w:val="28"/>
                <w14:textFill>
                  <w14:solidFill>
                    <w14:schemeClr w14:val="tx1"/>
                  </w14:solidFill>
                </w14:textFill>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665" w:type="dxa"/>
            <w:shd w:val="clear" w:color="auto" w:fill="auto"/>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1</w:t>
            </w:r>
          </w:p>
        </w:tc>
        <w:tc>
          <w:tcPr>
            <w:tcW w:w="1320" w:type="dxa"/>
            <w:shd w:val="clear" w:color="auto" w:fill="auto"/>
            <w:vAlign w:val="center"/>
          </w:tcPr>
          <w:p>
            <w:pPr>
              <w:widowControl/>
              <w:jc w:val="center"/>
              <w:rPr>
                <w:color w:val="000000" w:themeColor="text1"/>
                <w:kern w:val="0"/>
                <w:szCs w:val="21"/>
                <w14:textFill>
                  <w14:solidFill>
                    <w14:schemeClr w14:val="tx1"/>
                  </w14:solidFill>
                </w14:textFill>
              </w:rPr>
            </w:pPr>
            <w:r>
              <w:rPr>
                <w:rFonts w:hint="eastAsia"/>
                <w:kern w:val="0"/>
                <w:szCs w:val="21"/>
                <w:lang w:eastAsia="zh-CN"/>
              </w:rPr>
              <w:t>方案编制</w:t>
            </w:r>
            <w:r>
              <w:rPr>
                <w:rFonts w:hint="eastAsia"/>
                <w:kern w:val="0"/>
                <w:szCs w:val="21"/>
              </w:rPr>
              <w:t>完整性</w:t>
            </w:r>
          </w:p>
        </w:tc>
        <w:tc>
          <w:tcPr>
            <w:tcW w:w="709" w:type="dxa"/>
            <w:shd w:val="clear" w:color="auto" w:fill="auto"/>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2</w:t>
            </w:r>
            <w:r>
              <w:rPr>
                <w:color w:val="000000" w:themeColor="text1"/>
                <w:kern w:val="0"/>
                <w:szCs w:val="21"/>
                <w14:textFill>
                  <w14:solidFill>
                    <w14:schemeClr w14:val="tx1"/>
                  </w14:solidFill>
                </w14:textFill>
              </w:rPr>
              <w:t>0</w:t>
            </w:r>
          </w:p>
        </w:tc>
        <w:tc>
          <w:tcPr>
            <w:tcW w:w="993" w:type="dxa"/>
            <w:shd w:val="clear" w:color="auto" w:fill="auto"/>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等级直接打分</w:t>
            </w:r>
          </w:p>
        </w:tc>
        <w:tc>
          <w:tcPr>
            <w:tcW w:w="4657" w:type="dxa"/>
            <w:shd w:val="clear" w:color="auto" w:fill="auto"/>
            <w:vAlign w:val="center"/>
          </w:tcPr>
          <w:p>
            <w:pPr>
              <w:widowControl/>
              <w:jc w:val="left"/>
              <w:rPr>
                <w:color w:val="000000" w:themeColor="text1"/>
                <w:kern w:val="0"/>
                <w:szCs w:val="21"/>
                <w14:textFill>
                  <w14:solidFill>
                    <w14:schemeClr w14:val="tx1"/>
                  </w14:solidFill>
                </w14:textFill>
              </w:rPr>
            </w:pPr>
            <w:r>
              <w:rPr>
                <w:rFonts w:hint="eastAsia"/>
                <w:kern w:val="0"/>
                <w:szCs w:val="21"/>
              </w:rPr>
              <w:t>内容及格式能响应招标文件要求，规范、合理、科学可行，并能提出合理化建议</w:t>
            </w:r>
            <w:r>
              <w:rPr>
                <w:rFonts w:hint="eastAsia"/>
                <w:color w:val="000000" w:themeColor="text1"/>
                <w:kern w:val="0"/>
                <w:szCs w:val="21"/>
                <w14:textFill>
                  <w14:solidFill>
                    <w14:schemeClr w14:val="tx1"/>
                  </w14:solidFill>
                </w14:textFill>
              </w:rPr>
              <w:t>得[90%，100%)；</w:t>
            </w:r>
            <w:r>
              <w:rPr>
                <w:rFonts w:hint="eastAsia"/>
                <w:kern w:val="0"/>
                <w:szCs w:val="21"/>
              </w:rPr>
              <w:t>编制内容及格式能响应招标文件要求，基本合理</w:t>
            </w:r>
            <w:r>
              <w:rPr>
                <w:rFonts w:hint="eastAsia"/>
                <w:color w:val="000000" w:themeColor="text1"/>
                <w:kern w:val="0"/>
                <w:szCs w:val="21"/>
                <w14:textFill>
                  <w14:solidFill>
                    <w14:schemeClr w14:val="tx1"/>
                  </w14:solidFill>
                </w14:textFill>
              </w:rPr>
              <w:t>得</w:t>
            </w:r>
            <w:r>
              <w:rPr>
                <w:color w:val="000000" w:themeColor="text1"/>
                <w:kern w:val="0"/>
                <w:szCs w:val="21"/>
                <w14:textFill>
                  <w14:solidFill>
                    <w14:schemeClr w14:val="tx1"/>
                  </w14:solidFill>
                </w14:textFill>
              </w:rPr>
              <w:t>[</w:t>
            </w:r>
            <w:r>
              <w:rPr>
                <w:rFonts w:hint="eastAsia"/>
                <w:color w:val="000000" w:themeColor="text1"/>
                <w:kern w:val="0"/>
                <w:szCs w:val="21"/>
                <w14:textFill>
                  <w14:solidFill>
                    <w14:schemeClr w14:val="tx1"/>
                  </w14:solidFill>
                </w14:textFill>
              </w:rPr>
              <w:t>80%,90%</w:t>
            </w:r>
            <w:r>
              <w:rPr>
                <w:color w:val="000000" w:themeColor="text1"/>
                <w:kern w:val="0"/>
                <w:szCs w:val="21"/>
                <w14:textFill>
                  <w14:solidFill>
                    <w14:schemeClr w14:val="tx1"/>
                  </w14:solidFill>
                </w14:textFill>
              </w:rPr>
              <w:t>)</w:t>
            </w:r>
            <w:r>
              <w:rPr>
                <w:rFonts w:hint="eastAsia"/>
                <w:color w:val="000000" w:themeColor="text1"/>
                <w:kern w:val="0"/>
                <w:szCs w:val="21"/>
                <w14:textFill>
                  <w14:solidFill>
                    <w14:schemeClr w14:val="tx1"/>
                  </w14:solidFill>
                </w14:textFill>
              </w:rPr>
              <w:t>；（一般）得[60%,80%</w:t>
            </w:r>
            <w:r>
              <w:rPr>
                <w:color w:val="000000" w:themeColor="text1"/>
                <w:kern w:val="0"/>
                <w:szCs w:val="21"/>
                <w14:textFill>
                  <w14:solidFill>
                    <w14:schemeClr w14:val="tx1"/>
                  </w14:solidFill>
                </w14:textFill>
              </w:rPr>
              <w:t>)</w:t>
            </w:r>
            <w:r>
              <w:rPr>
                <w:rFonts w:hint="eastAsia"/>
                <w:color w:val="000000" w:themeColor="text1"/>
                <w:kern w:val="0"/>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665" w:type="dxa"/>
            <w:shd w:val="clear" w:color="auto" w:fill="auto"/>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2</w:t>
            </w:r>
          </w:p>
        </w:tc>
        <w:tc>
          <w:tcPr>
            <w:tcW w:w="1320" w:type="dxa"/>
            <w:shd w:val="clear" w:color="auto" w:fill="auto"/>
            <w:vAlign w:val="center"/>
          </w:tcPr>
          <w:p>
            <w:pPr>
              <w:jc w:val="center"/>
              <w:rPr>
                <w:color w:val="000000" w:themeColor="text1"/>
                <w:kern w:val="0"/>
                <w:szCs w:val="21"/>
                <w14:textFill>
                  <w14:solidFill>
                    <w14:schemeClr w14:val="tx1"/>
                  </w14:solidFill>
                </w14:textFill>
              </w:rPr>
            </w:pPr>
            <w:r>
              <w:rPr>
                <w:rFonts w:hint="eastAsia"/>
                <w:szCs w:val="21"/>
                <w:highlight w:val="none"/>
              </w:rPr>
              <w:t>质量要求</w:t>
            </w:r>
          </w:p>
        </w:tc>
        <w:tc>
          <w:tcPr>
            <w:tcW w:w="709" w:type="dxa"/>
            <w:shd w:val="clear" w:color="auto" w:fill="auto"/>
            <w:vAlign w:val="center"/>
          </w:tcPr>
          <w:p>
            <w:pPr>
              <w:jc w:val="center"/>
              <w:rPr>
                <w:color w:val="000000" w:themeColor="text1"/>
                <w:kern w:val="0"/>
                <w:szCs w:val="21"/>
                <w14:textFill>
                  <w14:solidFill>
                    <w14:schemeClr w14:val="tx1"/>
                  </w14:solidFill>
                </w14:textFill>
              </w:rPr>
            </w:pPr>
            <w:r>
              <w:rPr>
                <w:rFonts w:hint="eastAsia"/>
                <w:szCs w:val="21"/>
                <w:highlight w:val="none"/>
                <w:lang w:val="en-US" w:eastAsia="zh-CN"/>
              </w:rPr>
              <w:t>20</w:t>
            </w:r>
          </w:p>
        </w:tc>
        <w:tc>
          <w:tcPr>
            <w:tcW w:w="993" w:type="dxa"/>
            <w:shd w:val="clear" w:color="auto" w:fill="auto"/>
            <w:vAlign w:val="center"/>
          </w:tcPr>
          <w:p>
            <w:pPr>
              <w:jc w:val="center"/>
              <w:rPr>
                <w:color w:val="000000" w:themeColor="text1"/>
                <w:kern w:val="0"/>
                <w:szCs w:val="21"/>
                <w14:textFill>
                  <w14:solidFill>
                    <w14:schemeClr w14:val="tx1"/>
                  </w14:solidFill>
                </w14:textFill>
              </w:rPr>
            </w:pPr>
            <w:r>
              <w:rPr>
                <w:rFonts w:hint="eastAsia"/>
                <w:szCs w:val="21"/>
                <w:highlight w:val="none"/>
              </w:rPr>
              <w:t>等级打分</w:t>
            </w:r>
          </w:p>
        </w:tc>
        <w:tc>
          <w:tcPr>
            <w:tcW w:w="4657" w:type="dxa"/>
            <w:shd w:val="clear" w:color="auto" w:fill="auto"/>
            <w:vAlign w:val="center"/>
          </w:tcPr>
          <w:p>
            <w:pPr>
              <w:rPr>
                <w:color w:val="000000" w:themeColor="text1"/>
                <w:kern w:val="0"/>
                <w:szCs w:val="21"/>
                <w14:textFill>
                  <w14:solidFill>
                    <w14:schemeClr w14:val="tx1"/>
                  </w14:solidFill>
                </w14:textFill>
              </w:rPr>
            </w:pPr>
            <w:r>
              <w:rPr>
                <w:rFonts w:hint="eastAsia"/>
                <w:szCs w:val="21"/>
                <w:highlight w:val="none"/>
              </w:rPr>
              <w:t>对招标人有质量承诺，质量保证体系健全，质量目标响应招标文件规定或有更高要求，管理手段先进，质量保证措施等可靠、明确、合理、可行，得</w:t>
            </w:r>
            <w:r>
              <w:rPr>
                <w:rFonts w:hint="eastAsia"/>
                <w:color w:val="000000" w:themeColor="text1"/>
                <w:kern w:val="0"/>
                <w:szCs w:val="21"/>
                <w:highlight w:val="none"/>
                <w14:textFill>
                  <w14:solidFill>
                    <w14:schemeClr w14:val="tx1"/>
                  </w14:solidFill>
                </w14:textFill>
              </w:rPr>
              <w:t>[90%，100%]；基本合理，</w:t>
            </w:r>
            <w:r>
              <w:rPr>
                <w:rFonts w:hint="eastAsia"/>
                <w:szCs w:val="21"/>
                <w:highlight w:val="none"/>
              </w:rPr>
              <w:t>得</w:t>
            </w:r>
            <w:r>
              <w:rPr>
                <w:rFonts w:hint="eastAsia"/>
                <w:color w:val="000000" w:themeColor="text1"/>
                <w:kern w:val="0"/>
                <w:szCs w:val="21"/>
                <w:highlight w:val="none"/>
                <w14:textFill>
                  <w14:solidFill>
                    <w14:schemeClr w14:val="tx1"/>
                  </w14:solidFill>
                </w14:textFill>
              </w:rPr>
              <w:t>[80%，90%]；一般，得[60%，80%]。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665" w:type="dxa"/>
            <w:shd w:val="clear" w:color="auto" w:fill="auto"/>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3</w:t>
            </w:r>
          </w:p>
        </w:tc>
        <w:tc>
          <w:tcPr>
            <w:tcW w:w="1320" w:type="dxa"/>
            <w:shd w:val="clear" w:color="auto" w:fill="auto"/>
            <w:vAlign w:val="center"/>
          </w:tcPr>
          <w:p>
            <w:pPr>
              <w:jc w:val="center"/>
              <w:rPr>
                <w:color w:val="000000" w:themeColor="text1"/>
                <w:kern w:val="0"/>
                <w:szCs w:val="21"/>
                <w14:textFill>
                  <w14:solidFill>
                    <w14:schemeClr w14:val="tx1"/>
                  </w14:solidFill>
                </w14:textFill>
              </w:rPr>
            </w:pPr>
            <w:r>
              <w:rPr>
                <w:rFonts w:hint="eastAsia"/>
                <w:szCs w:val="21"/>
                <w:highlight w:val="none"/>
              </w:rPr>
              <w:t>进度计划</w:t>
            </w:r>
          </w:p>
        </w:tc>
        <w:tc>
          <w:tcPr>
            <w:tcW w:w="709" w:type="dxa"/>
            <w:shd w:val="clear" w:color="auto" w:fill="auto"/>
            <w:vAlign w:val="center"/>
          </w:tcPr>
          <w:p>
            <w:pPr>
              <w:jc w:val="center"/>
              <w:rPr>
                <w:color w:val="000000" w:themeColor="text1"/>
                <w:kern w:val="0"/>
                <w:szCs w:val="21"/>
                <w14:textFill>
                  <w14:solidFill>
                    <w14:schemeClr w14:val="tx1"/>
                  </w14:solidFill>
                </w14:textFill>
              </w:rPr>
            </w:pPr>
            <w:r>
              <w:rPr>
                <w:rFonts w:hint="eastAsia"/>
                <w:szCs w:val="21"/>
                <w:highlight w:val="none"/>
                <w:lang w:val="en-US" w:eastAsia="zh-CN"/>
              </w:rPr>
              <w:t>20</w:t>
            </w:r>
          </w:p>
        </w:tc>
        <w:tc>
          <w:tcPr>
            <w:tcW w:w="993" w:type="dxa"/>
            <w:shd w:val="clear" w:color="auto" w:fill="auto"/>
            <w:vAlign w:val="center"/>
          </w:tcPr>
          <w:p>
            <w:pPr>
              <w:jc w:val="center"/>
              <w:rPr>
                <w:color w:val="000000" w:themeColor="text1"/>
                <w:kern w:val="0"/>
                <w:szCs w:val="21"/>
                <w14:textFill>
                  <w14:solidFill>
                    <w14:schemeClr w14:val="tx1"/>
                  </w14:solidFill>
                </w14:textFill>
              </w:rPr>
            </w:pPr>
            <w:r>
              <w:rPr>
                <w:rFonts w:hint="eastAsia"/>
                <w:szCs w:val="21"/>
                <w:highlight w:val="none"/>
              </w:rPr>
              <w:t>等级打分</w:t>
            </w:r>
          </w:p>
        </w:tc>
        <w:tc>
          <w:tcPr>
            <w:tcW w:w="4657" w:type="dxa"/>
            <w:shd w:val="clear" w:color="auto" w:fill="auto"/>
            <w:vAlign w:val="center"/>
          </w:tcPr>
          <w:p>
            <w:pPr>
              <w:rPr>
                <w:color w:val="000000" w:themeColor="text1"/>
                <w:kern w:val="0"/>
                <w:szCs w:val="21"/>
                <w14:textFill>
                  <w14:solidFill>
                    <w14:schemeClr w14:val="tx1"/>
                  </w14:solidFill>
                </w14:textFill>
              </w:rPr>
            </w:pPr>
            <w:r>
              <w:rPr>
                <w:rFonts w:hint="eastAsia"/>
                <w:szCs w:val="21"/>
                <w:highlight w:val="none"/>
              </w:rPr>
              <w:t>工作进度满足招标文件要求，工期计划先进、可行，网络进度合理，关键路径清晰（报告编制及批复办理），保障措施有效，得</w:t>
            </w:r>
            <w:r>
              <w:rPr>
                <w:rFonts w:hint="eastAsia"/>
                <w:color w:val="000000" w:themeColor="text1"/>
                <w:kern w:val="0"/>
                <w:szCs w:val="21"/>
                <w:highlight w:val="none"/>
                <w14:textFill>
                  <w14:solidFill>
                    <w14:schemeClr w14:val="tx1"/>
                  </w14:solidFill>
                </w14:textFill>
              </w:rPr>
              <w:t>[90%，100%]；</w:t>
            </w:r>
            <w:r>
              <w:rPr>
                <w:rFonts w:hint="eastAsia"/>
                <w:szCs w:val="21"/>
                <w:highlight w:val="none"/>
              </w:rPr>
              <w:t>工作进度满足招标文件要求，网络进度计划基本合理、有保障措施，</w:t>
            </w:r>
            <w:r>
              <w:rPr>
                <w:rFonts w:hint="eastAsia"/>
                <w:color w:val="000000" w:themeColor="text1"/>
                <w:kern w:val="0"/>
                <w:szCs w:val="21"/>
                <w:highlight w:val="none"/>
                <w14:textFill>
                  <w14:solidFill>
                    <w14:schemeClr w14:val="tx1"/>
                  </w14:solidFill>
                </w14:textFill>
              </w:rPr>
              <w:t>基本合理，</w:t>
            </w:r>
            <w:r>
              <w:rPr>
                <w:rFonts w:hint="eastAsia"/>
                <w:szCs w:val="21"/>
                <w:highlight w:val="none"/>
              </w:rPr>
              <w:t>得</w:t>
            </w:r>
            <w:r>
              <w:rPr>
                <w:rFonts w:hint="eastAsia"/>
                <w:color w:val="000000" w:themeColor="text1"/>
                <w:kern w:val="0"/>
                <w:szCs w:val="21"/>
                <w:highlight w:val="none"/>
                <w14:textFill>
                  <w14:solidFill>
                    <w14:schemeClr w14:val="tx1"/>
                  </w14:solidFill>
                </w14:textFill>
              </w:rPr>
              <w:t>[80%，90%]；一般，得[60%，80%]。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665" w:type="dxa"/>
            <w:shd w:val="clear" w:color="auto" w:fill="auto"/>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4</w:t>
            </w:r>
          </w:p>
        </w:tc>
        <w:tc>
          <w:tcPr>
            <w:tcW w:w="1320" w:type="dxa"/>
            <w:shd w:val="clear" w:color="auto" w:fill="auto"/>
            <w:vAlign w:val="center"/>
          </w:tcPr>
          <w:p>
            <w:pPr>
              <w:jc w:val="center"/>
              <w:rPr>
                <w:color w:val="000000" w:themeColor="text1"/>
                <w:kern w:val="0"/>
                <w:szCs w:val="21"/>
                <w14:textFill>
                  <w14:solidFill>
                    <w14:schemeClr w14:val="tx1"/>
                  </w14:solidFill>
                </w14:textFill>
              </w:rPr>
            </w:pPr>
            <w:r>
              <w:rPr>
                <w:rFonts w:hint="eastAsia"/>
                <w:szCs w:val="21"/>
                <w:highlight w:val="none"/>
              </w:rPr>
              <w:t>主要编制人员资质</w:t>
            </w:r>
          </w:p>
        </w:tc>
        <w:tc>
          <w:tcPr>
            <w:tcW w:w="709" w:type="dxa"/>
            <w:shd w:val="clear" w:color="auto" w:fill="auto"/>
            <w:vAlign w:val="center"/>
          </w:tcPr>
          <w:p>
            <w:pPr>
              <w:jc w:val="center"/>
              <w:rPr>
                <w:rFonts w:hint="default" w:eastAsia="宋体"/>
                <w:color w:val="000000" w:themeColor="text1"/>
                <w:kern w:val="0"/>
                <w:szCs w:val="21"/>
                <w:lang w:val="en-US" w:eastAsia="zh-CN"/>
                <w14:textFill>
                  <w14:solidFill>
                    <w14:schemeClr w14:val="tx1"/>
                  </w14:solidFill>
                </w14:textFill>
              </w:rPr>
            </w:pPr>
            <w:r>
              <w:rPr>
                <w:rFonts w:hint="eastAsia"/>
                <w:szCs w:val="21"/>
                <w:highlight w:val="none"/>
                <w:lang w:val="en-US" w:eastAsia="zh-CN"/>
              </w:rPr>
              <w:t>20</w:t>
            </w:r>
          </w:p>
        </w:tc>
        <w:tc>
          <w:tcPr>
            <w:tcW w:w="993" w:type="dxa"/>
            <w:shd w:val="clear" w:color="auto" w:fill="auto"/>
            <w:vAlign w:val="center"/>
          </w:tcPr>
          <w:p>
            <w:pPr>
              <w:jc w:val="center"/>
              <w:rPr>
                <w:color w:val="000000" w:themeColor="text1"/>
                <w:kern w:val="0"/>
                <w:szCs w:val="21"/>
                <w14:textFill>
                  <w14:solidFill>
                    <w14:schemeClr w14:val="tx1"/>
                  </w14:solidFill>
                </w14:textFill>
              </w:rPr>
            </w:pPr>
            <w:r>
              <w:rPr>
                <w:rFonts w:hint="eastAsia"/>
                <w:szCs w:val="21"/>
                <w:highlight w:val="none"/>
              </w:rPr>
              <w:t>等级打分</w:t>
            </w:r>
          </w:p>
        </w:tc>
        <w:tc>
          <w:tcPr>
            <w:tcW w:w="4657" w:type="dxa"/>
            <w:shd w:val="clear" w:color="auto" w:fill="auto"/>
            <w:vAlign w:val="center"/>
          </w:tcPr>
          <w:p>
            <w:pPr>
              <w:rPr>
                <w:color w:val="000000" w:themeColor="text1"/>
                <w:kern w:val="0"/>
                <w:szCs w:val="21"/>
                <w14:textFill>
                  <w14:solidFill>
                    <w14:schemeClr w14:val="tx1"/>
                  </w14:solidFill>
                </w14:textFill>
              </w:rPr>
            </w:pPr>
            <w:r>
              <w:rPr>
                <w:rFonts w:hint="eastAsia"/>
                <w:szCs w:val="21"/>
                <w:highlight w:val="none"/>
              </w:rPr>
              <w:t>主要评价人员类似评价经验丰富，高、中级职称且参加过同类项目评价的比例超过70%，得</w:t>
            </w:r>
            <w:r>
              <w:rPr>
                <w:rFonts w:hint="eastAsia"/>
                <w:color w:val="000000" w:themeColor="text1"/>
                <w:kern w:val="0"/>
                <w:szCs w:val="21"/>
                <w:highlight w:val="none"/>
                <w14:textFill>
                  <w14:solidFill>
                    <w14:schemeClr w14:val="tx1"/>
                  </w14:solidFill>
                </w14:textFill>
              </w:rPr>
              <w:t>[90%，100%]；</w:t>
            </w:r>
            <w:r>
              <w:rPr>
                <w:rFonts w:hint="eastAsia"/>
                <w:szCs w:val="21"/>
                <w:highlight w:val="none"/>
              </w:rPr>
              <w:t>主要评价人员有类似项目经验，高、中级职称且参加过同类项目评价的比例不足70%，</w:t>
            </w:r>
            <w:r>
              <w:rPr>
                <w:rFonts w:hint="eastAsia"/>
                <w:color w:val="000000" w:themeColor="text1"/>
                <w:kern w:val="0"/>
                <w:szCs w:val="21"/>
                <w:highlight w:val="none"/>
                <w14:textFill>
                  <w14:solidFill>
                    <w14:schemeClr w14:val="tx1"/>
                  </w14:solidFill>
                </w14:textFill>
              </w:rPr>
              <w:t>基本合理，</w:t>
            </w:r>
            <w:r>
              <w:rPr>
                <w:rFonts w:hint="eastAsia"/>
                <w:szCs w:val="21"/>
                <w:highlight w:val="none"/>
              </w:rPr>
              <w:t>得</w:t>
            </w:r>
            <w:r>
              <w:rPr>
                <w:rFonts w:hint="eastAsia"/>
                <w:color w:val="000000" w:themeColor="text1"/>
                <w:kern w:val="0"/>
                <w:szCs w:val="21"/>
                <w:highlight w:val="none"/>
                <w14:textFill>
                  <w14:solidFill>
                    <w14:schemeClr w14:val="tx1"/>
                  </w14:solidFill>
                </w14:textFill>
              </w:rPr>
              <w:t>[80%，90%]；一般，得[60%，80%]。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665" w:type="dxa"/>
            <w:shd w:val="clear" w:color="auto" w:fill="auto"/>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5</w:t>
            </w:r>
          </w:p>
        </w:tc>
        <w:tc>
          <w:tcPr>
            <w:tcW w:w="1320" w:type="dxa"/>
            <w:shd w:val="clear" w:color="auto" w:fill="auto"/>
            <w:vAlign w:val="center"/>
          </w:tcPr>
          <w:p>
            <w:pPr>
              <w:jc w:val="center"/>
              <w:rPr>
                <w:color w:val="000000" w:themeColor="text1"/>
                <w:kern w:val="0"/>
                <w:szCs w:val="21"/>
                <w14:textFill>
                  <w14:solidFill>
                    <w14:schemeClr w14:val="tx1"/>
                  </w14:solidFill>
                </w14:textFill>
              </w:rPr>
            </w:pPr>
            <w:r>
              <w:rPr>
                <w:szCs w:val="21"/>
                <w:highlight w:val="none"/>
              </w:rPr>
              <w:t>业绩</w:t>
            </w:r>
          </w:p>
        </w:tc>
        <w:tc>
          <w:tcPr>
            <w:tcW w:w="709" w:type="dxa"/>
            <w:shd w:val="clear" w:color="auto" w:fill="auto"/>
            <w:vAlign w:val="center"/>
          </w:tcPr>
          <w:p>
            <w:pPr>
              <w:jc w:val="center"/>
              <w:rPr>
                <w:rFonts w:hint="default" w:eastAsia="宋体"/>
                <w:color w:val="000000" w:themeColor="text1"/>
                <w:kern w:val="0"/>
                <w:szCs w:val="21"/>
                <w:lang w:val="en-US" w:eastAsia="zh-CN"/>
                <w14:textFill>
                  <w14:solidFill>
                    <w14:schemeClr w14:val="tx1"/>
                  </w14:solidFill>
                </w14:textFill>
              </w:rPr>
            </w:pPr>
            <w:r>
              <w:rPr>
                <w:rFonts w:hint="eastAsia"/>
                <w:szCs w:val="21"/>
                <w:highlight w:val="none"/>
                <w:lang w:val="en-US" w:eastAsia="zh-CN"/>
              </w:rPr>
              <w:t>20</w:t>
            </w:r>
          </w:p>
        </w:tc>
        <w:tc>
          <w:tcPr>
            <w:tcW w:w="993" w:type="dxa"/>
            <w:shd w:val="clear" w:color="auto" w:fill="auto"/>
            <w:vAlign w:val="center"/>
          </w:tcPr>
          <w:p>
            <w:pPr>
              <w:jc w:val="center"/>
              <w:rPr>
                <w:color w:val="000000" w:themeColor="text1"/>
                <w:kern w:val="0"/>
                <w:szCs w:val="21"/>
                <w14:textFill>
                  <w14:solidFill>
                    <w14:schemeClr w14:val="tx1"/>
                  </w14:solidFill>
                </w14:textFill>
              </w:rPr>
            </w:pPr>
            <w:r>
              <w:rPr>
                <w:rFonts w:hint="eastAsia"/>
                <w:szCs w:val="21"/>
                <w:highlight w:val="none"/>
              </w:rPr>
              <w:t>等级打分</w:t>
            </w:r>
          </w:p>
        </w:tc>
        <w:tc>
          <w:tcPr>
            <w:tcW w:w="4657" w:type="dxa"/>
            <w:shd w:val="clear" w:color="auto" w:fill="auto"/>
            <w:vAlign w:val="center"/>
          </w:tcPr>
          <w:p>
            <w:pPr>
              <w:rPr>
                <w:color w:val="000000" w:themeColor="text1"/>
                <w:kern w:val="0"/>
                <w:szCs w:val="21"/>
                <w14:textFill>
                  <w14:solidFill>
                    <w14:schemeClr w14:val="tx1"/>
                  </w14:solidFill>
                </w14:textFill>
              </w:rPr>
            </w:pPr>
            <w:r>
              <w:rPr>
                <w:rFonts w:hint="eastAsia"/>
                <w:color w:val="000000" w:themeColor="text1"/>
                <w:kern w:val="0"/>
                <w:highlight w:val="none"/>
                <w14:textFill>
                  <w14:solidFill>
                    <w14:schemeClr w14:val="tx1"/>
                  </w14:solidFill>
                </w14:textFill>
              </w:rPr>
              <w:t>满足招标文件要求，得</w:t>
            </w:r>
            <w:r>
              <w:rPr>
                <w:rFonts w:hint="eastAsia"/>
                <w:color w:val="000000" w:themeColor="text1"/>
                <w:kern w:val="0"/>
                <w:highlight w:val="none"/>
                <w:lang w:val="en-US" w:eastAsia="zh-CN"/>
                <w14:textFill>
                  <w14:solidFill>
                    <w14:schemeClr w14:val="tx1"/>
                  </w14:solidFill>
                </w14:textFill>
              </w:rPr>
              <w:t>20</w:t>
            </w:r>
            <w:r>
              <w:rPr>
                <w:rFonts w:hint="eastAsia"/>
                <w:color w:val="000000" w:themeColor="text1"/>
                <w:kern w:val="0"/>
                <w:highlight w:val="none"/>
                <w14:textFill>
                  <w14:solidFill>
                    <w14:schemeClr w14:val="tx1"/>
                  </w14:solidFill>
                </w14:textFill>
              </w:rPr>
              <w:t>分，每增加一份业绩加2分，加满为止。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665" w:type="dxa"/>
            <w:shd w:val="clear" w:color="auto" w:fill="auto"/>
            <w:vAlign w:val="center"/>
          </w:tcPr>
          <w:p>
            <w:pPr>
              <w:widowControl/>
              <w:jc w:val="center"/>
              <w:rPr>
                <w:rFonts w:hint="eastAsia"/>
                <w:color w:val="000000" w:themeColor="text1"/>
                <w:kern w:val="0"/>
                <w:szCs w:val="21"/>
                <w14:textFill>
                  <w14:solidFill>
                    <w14:schemeClr w14:val="tx1"/>
                  </w14:solidFill>
                </w14:textFill>
              </w:rPr>
            </w:pPr>
          </w:p>
        </w:tc>
        <w:tc>
          <w:tcPr>
            <w:tcW w:w="1320" w:type="dxa"/>
            <w:shd w:val="clear" w:color="auto" w:fill="auto"/>
            <w:vAlign w:val="center"/>
          </w:tcPr>
          <w:p>
            <w:pPr>
              <w:jc w:val="center"/>
              <w:rPr>
                <w:rFonts w:ascii="宋体" w:hAnsi="宋体" w:eastAsia="宋体" w:cs="宋体"/>
                <w:kern w:val="2"/>
                <w:sz w:val="21"/>
                <w:szCs w:val="21"/>
                <w:highlight w:val="none"/>
                <w:lang w:val="en-US" w:eastAsia="zh-CN" w:bidi="ar-SA"/>
              </w:rPr>
            </w:pPr>
            <w:r>
              <w:rPr>
                <w:rFonts w:hint="eastAsia"/>
                <w:szCs w:val="21"/>
                <w:highlight w:val="none"/>
              </w:rPr>
              <w:t>合计</w:t>
            </w:r>
          </w:p>
        </w:tc>
        <w:tc>
          <w:tcPr>
            <w:tcW w:w="709" w:type="dxa"/>
            <w:shd w:val="clear" w:color="auto" w:fill="auto"/>
            <w:vAlign w:val="center"/>
          </w:tcPr>
          <w:p>
            <w:pPr>
              <w:jc w:val="center"/>
              <w:rPr>
                <w:rFonts w:hint="eastAsia" w:ascii="宋体" w:hAnsi="宋体" w:eastAsia="宋体" w:cs="宋体"/>
                <w:kern w:val="2"/>
                <w:sz w:val="21"/>
                <w:szCs w:val="21"/>
                <w:highlight w:val="none"/>
                <w:lang w:val="en-US" w:eastAsia="zh-CN" w:bidi="ar-SA"/>
              </w:rPr>
            </w:pPr>
            <w:r>
              <w:rPr>
                <w:rFonts w:hint="eastAsia"/>
                <w:szCs w:val="21"/>
                <w:highlight w:val="none"/>
              </w:rPr>
              <w:t>100</w:t>
            </w:r>
          </w:p>
        </w:tc>
        <w:tc>
          <w:tcPr>
            <w:tcW w:w="993" w:type="dxa"/>
            <w:shd w:val="clear" w:color="auto" w:fill="auto"/>
            <w:vAlign w:val="center"/>
          </w:tcPr>
          <w:p>
            <w:pPr>
              <w:jc w:val="center"/>
              <w:rPr>
                <w:rFonts w:hint="eastAsia"/>
                <w:szCs w:val="21"/>
                <w:highlight w:val="none"/>
              </w:rPr>
            </w:pPr>
          </w:p>
        </w:tc>
        <w:tc>
          <w:tcPr>
            <w:tcW w:w="4657" w:type="dxa"/>
            <w:shd w:val="clear" w:color="auto" w:fill="auto"/>
            <w:vAlign w:val="center"/>
          </w:tcPr>
          <w:p>
            <w:pPr>
              <w:rPr>
                <w:rFonts w:hint="eastAsia"/>
                <w:color w:val="000000" w:themeColor="text1"/>
                <w:kern w:val="0"/>
                <w:highlight w:val="none"/>
                <w14:textFill>
                  <w14:solidFill>
                    <w14:schemeClr w14:val="tx1"/>
                  </w14:solidFill>
                </w14:textFill>
              </w:rPr>
            </w:pPr>
          </w:p>
        </w:tc>
      </w:tr>
    </w:tbl>
    <w:p>
      <w:pPr>
        <w:rPr>
          <w:highlight w:val="red"/>
        </w:rPr>
      </w:pPr>
    </w:p>
    <w:p>
      <w:pPr>
        <w:rPr>
          <w:color w:val="000080"/>
          <w:sz w:val="20"/>
          <w:highlight w:val="white"/>
        </w:rPr>
      </w:pPr>
      <w:r>
        <w:rPr>
          <w:rFonts w:hint="eastAsia"/>
          <w:color w:val="000080"/>
          <w:sz w:val="20"/>
          <w:highlight w:val="white"/>
        </w:rPr>
        <w:t xml:space="preserve"> </w:t>
      </w:r>
      <w:bookmarkEnd w:id="1"/>
    </w:p>
    <w:p>
      <w:pPr>
        <w:pStyle w:val="6"/>
        <w:keepNext w:val="0"/>
        <w:keepLines w:val="0"/>
        <w:numPr>
          <w:ilvl w:val="0"/>
          <w:numId w:val="0"/>
        </w:numPr>
        <w:tabs>
          <w:tab w:val="left" w:pos="420"/>
        </w:tabs>
        <w:adjustRightInd w:val="0"/>
        <w:snapToGrid w:val="0"/>
        <w:spacing w:before="0" w:after="0"/>
        <w:ind w:left="1008" w:hanging="1008"/>
        <w:rPr>
          <w:sz w:val="24"/>
          <w:szCs w:val="24"/>
        </w:rPr>
      </w:pPr>
      <w:r>
        <w:rPr>
          <w:rFonts w:hint="eastAsia"/>
          <w:sz w:val="24"/>
          <w:szCs w:val="24"/>
          <w:highlight w:val="white"/>
        </w:rPr>
        <w:t>2.</w:t>
      </w:r>
      <w:r>
        <w:rPr>
          <w:sz w:val="24"/>
          <w:szCs w:val="24"/>
          <w:highlight w:val="white"/>
        </w:rPr>
        <w:t>3</w:t>
      </w:r>
      <w:r>
        <w:rPr>
          <w:rFonts w:hint="eastAsia"/>
          <w:sz w:val="24"/>
          <w:szCs w:val="24"/>
          <w:highlight w:val="white"/>
        </w:rPr>
        <w:t>.1.5 技术评分程序</w:t>
      </w:r>
    </w:p>
    <w:p>
      <w:pPr>
        <w:adjustRightInd w:val="0"/>
        <w:snapToGrid w:val="0"/>
        <w:spacing w:line="360" w:lineRule="auto"/>
        <w:rPr>
          <w:sz w:val="24"/>
          <w:szCs w:val="24"/>
        </w:rPr>
      </w:pPr>
      <w:r>
        <w:rPr>
          <w:rFonts w:hint="eastAsia"/>
          <w:sz w:val="24"/>
          <w:highlight w:val="white"/>
        </w:rPr>
        <w:t>2.</w:t>
      </w:r>
      <w:r>
        <w:rPr>
          <w:sz w:val="24"/>
          <w:highlight w:val="white"/>
        </w:rPr>
        <w:t>3</w:t>
      </w:r>
      <w:r>
        <w:rPr>
          <w:rFonts w:hint="eastAsia"/>
          <w:sz w:val="24"/>
          <w:highlight w:val="white"/>
        </w:rPr>
        <w:t>.1.5.1技术组先学习技术评标评分规则及评分细则（技术评分表）。</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.1.5.2</w:t>
      </w:r>
      <w:r>
        <w:rPr>
          <w:rFonts w:hint="eastAsia"/>
          <w:kern w:val="0"/>
          <w:sz w:val="24"/>
          <w:szCs w:val="24"/>
          <w:highlight w:val="white"/>
        </w:rPr>
        <w:t>评标专家独立评分，核对无误后提交，系统自动统计分数。</w:t>
      </w:r>
    </w:p>
    <w:p>
      <w:pPr>
        <w:adjustRightInd w:val="0"/>
        <w:snapToGrid w:val="0"/>
        <w:spacing w:line="360" w:lineRule="auto"/>
        <w:rPr>
          <w:b/>
          <w:sz w:val="24"/>
          <w:szCs w:val="24"/>
        </w:rPr>
      </w:pPr>
      <w:r>
        <w:rPr>
          <w:rFonts w:hint="eastAsia"/>
          <w:b/>
          <w:sz w:val="24"/>
          <w:szCs w:val="24"/>
          <w:highlight w:val="white"/>
        </w:rPr>
        <w:t>2.</w:t>
      </w:r>
      <w:r>
        <w:rPr>
          <w:b/>
          <w:sz w:val="24"/>
          <w:szCs w:val="24"/>
          <w:highlight w:val="white"/>
        </w:rPr>
        <w:t>3</w:t>
      </w:r>
      <w:r>
        <w:rPr>
          <w:rFonts w:hint="eastAsia"/>
          <w:b/>
          <w:sz w:val="24"/>
          <w:szCs w:val="24"/>
          <w:highlight w:val="white"/>
        </w:rPr>
        <w:t>.1.6 技术评标排序</w:t>
      </w:r>
    </w:p>
    <w:p>
      <w:pPr>
        <w:adjustRightInd w:val="0"/>
        <w:snapToGrid w:val="0"/>
        <w:spacing w:line="360" w:lineRule="auto"/>
        <w:ind w:firstLine="480" w:firstLineChars="200"/>
        <w:rPr>
          <w:sz w:val="24"/>
          <w:szCs w:val="24"/>
        </w:rPr>
      </w:pPr>
      <w:r>
        <w:rPr>
          <w:rFonts w:hint="eastAsia"/>
          <w:sz w:val="24"/>
          <w:highlight w:val="white"/>
        </w:rPr>
        <w:t>各投标人技术评标排序根据技术评标评分确定。</w:t>
      </w:r>
    </w:p>
    <w:p>
      <w:pPr>
        <w:pStyle w:val="6"/>
        <w:keepNext w:val="0"/>
        <w:keepLines w:val="0"/>
        <w:numPr>
          <w:ilvl w:val="0"/>
          <w:numId w:val="0"/>
        </w:numPr>
        <w:tabs>
          <w:tab w:val="left" w:pos="420"/>
        </w:tabs>
        <w:adjustRightInd w:val="0"/>
        <w:snapToGrid w:val="0"/>
        <w:spacing w:before="0" w:after="0"/>
        <w:ind w:left="1008" w:hanging="1008"/>
        <w:rPr>
          <w:sz w:val="24"/>
          <w:szCs w:val="24"/>
        </w:rPr>
      </w:pPr>
      <w:r>
        <w:rPr>
          <w:rFonts w:hint="eastAsia"/>
          <w:sz w:val="24"/>
          <w:szCs w:val="24"/>
          <w:highlight w:val="white"/>
        </w:rPr>
        <w:t>2.</w:t>
      </w:r>
      <w:r>
        <w:rPr>
          <w:sz w:val="24"/>
          <w:szCs w:val="24"/>
          <w:highlight w:val="white"/>
        </w:rPr>
        <w:t>3</w:t>
      </w:r>
      <w:r>
        <w:rPr>
          <w:rFonts w:hint="eastAsia"/>
          <w:sz w:val="24"/>
          <w:szCs w:val="24"/>
          <w:highlight w:val="white"/>
        </w:rPr>
        <w:t>.1.7 编写技术评标报告</w:t>
      </w:r>
    </w:p>
    <w:p>
      <w:pPr>
        <w:adjustRightInd w:val="0"/>
        <w:snapToGrid w:val="0"/>
        <w:spacing w:line="360" w:lineRule="auto"/>
        <w:ind w:firstLine="480" w:firstLineChars="200"/>
        <w:rPr>
          <w:sz w:val="24"/>
          <w:szCs w:val="24"/>
        </w:rPr>
      </w:pPr>
      <w:r>
        <w:rPr>
          <w:rFonts w:hint="eastAsia"/>
          <w:sz w:val="24"/>
          <w:highlight w:val="white"/>
        </w:rPr>
        <w:t>技术评标报告一般应包括评标过程简述、投标人技术方案、技术特点简介、业绩情况介绍、评分排序情况等内容。</w:t>
      </w:r>
    </w:p>
    <w:p>
      <w:pPr>
        <w:adjustRightInd w:val="0"/>
        <w:snapToGrid w:val="0"/>
        <w:spacing w:line="360" w:lineRule="auto"/>
        <w:ind w:firstLine="480" w:firstLineChars="200"/>
        <w:rPr>
          <w:sz w:val="24"/>
        </w:rPr>
      </w:pPr>
      <w:r>
        <w:rPr>
          <w:rFonts w:hint="eastAsia"/>
          <w:sz w:val="24"/>
          <w:highlight w:val="white"/>
        </w:rPr>
        <w:t>如投标人的技术方案对设备的安全性、经济性有重大影响但用技术评分不足以说明的，在评标报告中可作特殊说明。</w:t>
      </w:r>
    </w:p>
    <w:p>
      <w:pPr>
        <w:pStyle w:val="5"/>
        <w:keepNext w:val="0"/>
        <w:keepLines w:val="0"/>
        <w:numPr>
          <w:ilvl w:val="0"/>
          <w:numId w:val="0"/>
        </w:numPr>
        <w:tabs>
          <w:tab w:val="left" w:pos="420"/>
        </w:tabs>
        <w:ind w:left="864" w:hanging="864"/>
        <w:rPr>
          <w:sz w:val="24"/>
          <w:szCs w:val="24"/>
        </w:rPr>
      </w:pPr>
      <w:r>
        <w:rPr>
          <w:rFonts w:hint="eastAsia"/>
          <w:sz w:val="24"/>
          <w:szCs w:val="24"/>
          <w:highlight w:val="white"/>
        </w:rPr>
        <w:t>2.</w:t>
      </w:r>
      <w:r>
        <w:rPr>
          <w:sz w:val="24"/>
          <w:szCs w:val="24"/>
          <w:highlight w:val="white"/>
        </w:rPr>
        <w:t>3</w:t>
      </w:r>
      <w:r>
        <w:rPr>
          <w:rFonts w:hint="eastAsia"/>
          <w:sz w:val="24"/>
          <w:szCs w:val="24"/>
          <w:highlight w:val="white"/>
        </w:rPr>
        <w:t>.2 商务评标</w:t>
      </w:r>
    </w:p>
    <w:p>
      <w:pPr>
        <w:adjustRightInd w:val="0"/>
        <w:snapToGrid w:val="0"/>
        <w:spacing w:line="360" w:lineRule="auto"/>
        <w:ind w:firstLine="480" w:firstLineChars="200"/>
        <w:rPr>
          <w:sz w:val="24"/>
        </w:rPr>
      </w:pPr>
      <w:r>
        <w:rPr>
          <w:rFonts w:hint="eastAsia"/>
          <w:sz w:val="24"/>
          <w:highlight w:val="white"/>
        </w:rPr>
        <w:t>根据第2.3.5.1条中商务评分权重设置情况确定商务标是否评分：当商务评分权重不为0时，按照2.3.2.1条执行；当商务评分权重为0时，按照2.3.2.2条执行。</w:t>
      </w:r>
    </w:p>
    <w:p>
      <w:pPr>
        <w:pStyle w:val="6"/>
        <w:keepNext w:val="0"/>
        <w:keepLines w:val="0"/>
        <w:numPr>
          <w:ilvl w:val="0"/>
          <w:numId w:val="0"/>
        </w:numPr>
        <w:tabs>
          <w:tab w:val="left" w:pos="420"/>
        </w:tabs>
        <w:adjustRightInd w:val="0"/>
        <w:snapToGrid w:val="0"/>
        <w:spacing w:before="0" w:after="0"/>
        <w:ind w:left="1008" w:hanging="1008"/>
        <w:rPr>
          <w:sz w:val="24"/>
          <w:szCs w:val="24"/>
        </w:rPr>
      </w:pPr>
      <w:r>
        <w:rPr>
          <w:rFonts w:hint="eastAsia"/>
          <w:sz w:val="24"/>
          <w:szCs w:val="24"/>
          <w:highlight w:val="white"/>
        </w:rPr>
        <w:t>2.</w:t>
      </w:r>
      <w:r>
        <w:rPr>
          <w:sz w:val="24"/>
          <w:szCs w:val="24"/>
          <w:highlight w:val="white"/>
        </w:rPr>
        <w:t>3</w:t>
      </w:r>
      <w:r>
        <w:rPr>
          <w:rFonts w:hint="eastAsia"/>
          <w:sz w:val="24"/>
          <w:szCs w:val="24"/>
          <w:highlight w:val="white"/>
        </w:rPr>
        <w:t>.2.1 商务标评分</w:t>
      </w:r>
    </w:p>
    <w:p>
      <w:pPr>
        <w:adjustRightInd w:val="0"/>
        <w:snapToGrid w:val="0"/>
        <w:spacing w:line="360" w:lineRule="auto"/>
        <w:ind w:firstLine="480" w:firstLineChars="200"/>
        <w:rPr>
          <w:sz w:val="24"/>
        </w:rPr>
      </w:pPr>
      <w:r>
        <w:rPr>
          <w:rFonts w:hint="eastAsia"/>
          <w:sz w:val="24"/>
          <w:highlight w:val="white"/>
        </w:rPr>
        <w:t>商务评标具体采取对商务评标要素进行评分的方式。</w:t>
      </w:r>
    </w:p>
    <w:p>
      <w:pPr>
        <w:pStyle w:val="7"/>
        <w:keepNext w:val="0"/>
        <w:keepLines w:val="0"/>
        <w:numPr>
          <w:ilvl w:val="0"/>
          <w:numId w:val="0"/>
        </w:numPr>
        <w:tabs>
          <w:tab w:val="left" w:pos="420"/>
        </w:tabs>
        <w:adjustRightInd w:val="0"/>
        <w:snapToGrid w:val="0"/>
        <w:spacing w:before="0" w:after="0" w:line="360" w:lineRule="auto"/>
        <w:ind w:left="1152" w:hanging="1152"/>
        <w:rPr>
          <w:b w:val="0"/>
          <w:highlight w:val="white"/>
        </w:rPr>
      </w:pPr>
      <w:r>
        <w:rPr>
          <w:rFonts w:hint="eastAsia"/>
          <w:b w:val="0"/>
          <w:highlight w:val="white"/>
        </w:rPr>
        <w:t>2.</w:t>
      </w:r>
      <w:r>
        <w:rPr>
          <w:b w:val="0"/>
          <w:highlight w:val="white"/>
        </w:rPr>
        <w:t>3</w:t>
      </w:r>
      <w:r>
        <w:rPr>
          <w:rFonts w:hint="eastAsia"/>
          <w:b w:val="0"/>
          <w:highlight w:val="white"/>
        </w:rPr>
        <w:t>.2.1.1 商务评标要素</w:t>
      </w:r>
    </w:p>
    <w:p>
      <w:pPr>
        <w:adjustRightInd w:val="0"/>
        <w:snapToGrid w:val="0"/>
        <w:spacing w:line="360" w:lineRule="auto"/>
        <w:ind w:firstLine="480" w:firstLineChars="200"/>
        <w:rPr>
          <w:sz w:val="24"/>
        </w:rPr>
      </w:pPr>
      <w:r>
        <w:rPr>
          <w:rFonts w:hint="eastAsia"/>
          <w:sz w:val="24"/>
          <w:highlight w:val="white"/>
        </w:rPr>
        <w:t>商务评标要素包括：合同条款的响应程度等。</w:t>
      </w:r>
    </w:p>
    <w:p>
      <w:pPr>
        <w:pStyle w:val="7"/>
        <w:keepNext w:val="0"/>
        <w:keepLines w:val="0"/>
        <w:numPr>
          <w:ilvl w:val="0"/>
          <w:numId w:val="0"/>
        </w:numPr>
        <w:tabs>
          <w:tab w:val="left" w:pos="420"/>
        </w:tabs>
        <w:adjustRightInd w:val="0"/>
        <w:snapToGrid w:val="0"/>
        <w:spacing w:before="0" w:after="0" w:line="360" w:lineRule="auto"/>
        <w:ind w:left="1152" w:hanging="1152"/>
        <w:rPr>
          <w:b w:val="0"/>
          <w:highlight w:val="white"/>
        </w:rPr>
      </w:pPr>
      <w:r>
        <w:rPr>
          <w:rFonts w:hint="eastAsia"/>
          <w:b w:val="0"/>
          <w:highlight w:val="white"/>
        </w:rPr>
        <w:t>2.</w:t>
      </w:r>
      <w:r>
        <w:rPr>
          <w:b w:val="0"/>
          <w:highlight w:val="white"/>
        </w:rPr>
        <w:t>3</w:t>
      </w:r>
      <w:r>
        <w:rPr>
          <w:rFonts w:hint="eastAsia"/>
          <w:b w:val="0"/>
          <w:highlight w:val="white"/>
        </w:rPr>
        <w:t>.2.1.2 商务评分一般规定</w:t>
      </w:r>
    </w:p>
    <w:p>
      <w:pPr>
        <w:adjustRightInd w:val="0"/>
        <w:snapToGrid w:val="0"/>
        <w:spacing w:line="360" w:lineRule="auto"/>
        <w:ind w:firstLine="480" w:firstLineChars="200"/>
        <w:rPr>
          <w:sz w:val="24"/>
        </w:rPr>
      </w:pPr>
      <w:r>
        <w:rPr>
          <w:rFonts w:hint="eastAsia"/>
          <w:sz w:val="24"/>
          <w:highlight w:val="white"/>
        </w:rPr>
        <w:t>（1）商务评分为专家集体评分。</w:t>
      </w:r>
    </w:p>
    <w:p>
      <w:pPr>
        <w:adjustRightInd w:val="0"/>
        <w:snapToGrid w:val="0"/>
        <w:spacing w:line="360" w:lineRule="auto"/>
        <w:ind w:firstLine="480" w:firstLineChars="200"/>
        <w:rPr>
          <w:sz w:val="24"/>
        </w:rPr>
      </w:pPr>
      <w:r>
        <w:rPr>
          <w:rFonts w:hint="eastAsia"/>
          <w:sz w:val="24"/>
          <w:highlight w:val="white"/>
        </w:rPr>
        <w:t>（2）对评分表中的每项条款，专家成员应根据投标文件、投标澄清文件对招标文件要求的满足程度排定投标人的顺序。</w:t>
      </w:r>
    </w:p>
    <w:p>
      <w:pPr>
        <w:adjustRightInd w:val="0"/>
        <w:snapToGrid w:val="0"/>
        <w:spacing w:line="360" w:lineRule="auto"/>
        <w:ind w:firstLine="480" w:firstLineChars="200"/>
        <w:rPr>
          <w:sz w:val="24"/>
        </w:rPr>
      </w:pPr>
      <w:r>
        <w:rPr>
          <w:rFonts w:hint="eastAsia"/>
          <w:sz w:val="24"/>
          <w:highlight w:val="white"/>
        </w:rPr>
        <w:t>（3）如果投标人某一评分项目对招标文件要求的满足程度相同，分值应该相同。</w:t>
      </w:r>
    </w:p>
    <w:p>
      <w:pPr>
        <w:adjustRightInd w:val="0"/>
        <w:snapToGrid w:val="0"/>
        <w:spacing w:line="360" w:lineRule="auto"/>
        <w:ind w:firstLine="480" w:firstLineChars="200"/>
        <w:rPr>
          <w:sz w:val="24"/>
        </w:rPr>
      </w:pPr>
      <w:r>
        <w:rPr>
          <w:rFonts w:hint="eastAsia"/>
          <w:sz w:val="24"/>
          <w:highlight w:val="white"/>
        </w:rPr>
        <w:t>（4）如果专家有充分的理由认为投标人所报某项指标与实际有明显差异，专家可考虑此情况对此项评分排序适当调整。</w:t>
      </w:r>
    </w:p>
    <w:p>
      <w:pPr>
        <w:adjustRightInd w:val="0"/>
        <w:snapToGrid w:val="0"/>
        <w:spacing w:line="360" w:lineRule="auto"/>
        <w:ind w:firstLine="480" w:firstLineChars="200"/>
        <w:rPr>
          <w:sz w:val="24"/>
        </w:rPr>
      </w:pPr>
      <w:r>
        <w:rPr>
          <w:rFonts w:hint="eastAsia"/>
          <w:sz w:val="24"/>
          <w:highlight w:val="white"/>
        </w:rPr>
        <w:t>（5）各项评分分值应保留小数点后一位（4舍5入）。</w:t>
      </w:r>
    </w:p>
    <w:p>
      <w:pPr>
        <w:pStyle w:val="7"/>
        <w:keepNext w:val="0"/>
        <w:keepLines w:val="0"/>
        <w:numPr>
          <w:ilvl w:val="0"/>
          <w:numId w:val="0"/>
        </w:numPr>
        <w:tabs>
          <w:tab w:val="left" w:pos="420"/>
        </w:tabs>
        <w:adjustRightInd w:val="0"/>
        <w:snapToGrid w:val="0"/>
        <w:spacing w:before="0" w:after="0" w:line="360" w:lineRule="auto"/>
        <w:ind w:left="1152" w:hanging="1152"/>
        <w:rPr>
          <w:b w:val="0"/>
          <w:highlight w:val="white"/>
        </w:rPr>
      </w:pPr>
      <w:r>
        <w:rPr>
          <w:rFonts w:hint="eastAsia"/>
          <w:b w:val="0"/>
          <w:highlight w:val="white"/>
        </w:rPr>
        <w:t>2.</w:t>
      </w:r>
      <w:r>
        <w:rPr>
          <w:b w:val="0"/>
          <w:highlight w:val="white"/>
        </w:rPr>
        <w:t>3</w:t>
      </w:r>
      <w:r>
        <w:rPr>
          <w:rFonts w:hint="eastAsia"/>
          <w:b w:val="0"/>
          <w:highlight w:val="white"/>
        </w:rPr>
        <w:t>.2.1.3 商务评分指标及标准（满分100分）</w:t>
      </w:r>
    </w:p>
    <w:p>
      <w:pPr>
        <w:rPr>
          <w:highlight w:val="red"/>
        </w:rPr>
      </w:pPr>
      <w:bookmarkStart w:id="2" w:name="EBcae261e272b14cb5b14e5a9461b061f4"/>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3"/>
        <w:gridCol w:w="1544"/>
        <w:gridCol w:w="1544"/>
        <w:gridCol w:w="4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153"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6"/>
              <w:jc w:val="center"/>
              <w:rPr>
                <w:rFonts w:ascii="宋体" w:hAnsi="宋体" w:eastAsia="宋体" w:cs="宋体"/>
                <w:sz w:val="21"/>
              </w:rPr>
            </w:pPr>
            <w:r>
              <w:rPr>
                <w:rFonts w:ascii="宋体" w:hAnsi="宋体" w:eastAsia="宋体" w:cs="宋体"/>
                <w:sz w:val="21"/>
              </w:rPr>
              <w:t>序号</w:t>
            </w:r>
          </w:p>
        </w:tc>
        <w:tc>
          <w:tcPr>
            <w:tcW w:w="1544"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6"/>
              <w:jc w:val="center"/>
              <w:rPr>
                <w:rFonts w:ascii="宋体" w:hAnsi="宋体" w:eastAsia="宋体" w:cs="宋体"/>
                <w:sz w:val="21"/>
              </w:rPr>
            </w:pPr>
            <w:r>
              <w:rPr>
                <w:rFonts w:ascii="宋体" w:hAnsi="宋体" w:eastAsia="宋体" w:cs="宋体"/>
                <w:sz w:val="21"/>
              </w:rPr>
              <w:t>指标</w:t>
            </w:r>
          </w:p>
        </w:tc>
        <w:tc>
          <w:tcPr>
            <w:tcW w:w="1544"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6"/>
              <w:jc w:val="center"/>
              <w:rPr>
                <w:rFonts w:ascii="宋体" w:hAnsi="宋体" w:eastAsia="宋体" w:cs="宋体"/>
                <w:sz w:val="21"/>
              </w:rPr>
            </w:pPr>
            <w:r>
              <w:rPr>
                <w:rFonts w:ascii="宋体" w:hAnsi="宋体" w:eastAsia="宋体" w:cs="宋体"/>
                <w:sz w:val="21"/>
              </w:rPr>
              <w:t>标准分</w:t>
            </w:r>
          </w:p>
        </w:tc>
        <w:tc>
          <w:tcPr>
            <w:tcW w:w="4281"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6"/>
              <w:jc w:val="center"/>
              <w:rPr>
                <w:rFonts w:ascii="宋体" w:hAnsi="宋体" w:eastAsia="宋体" w:cs="宋体"/>
                <w:sz w:val="21"/>
              </w:rPr>
            </w:pPr>
            <w:r>
              <w:rPr>
                <w:rFonts w:ascii="宋体" w:hAnsi="宋体" w:eastAsia="宋体" w:cs="宋体"/>
                <w:sz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153"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6"/>
              <w:rPr>
                <w:rFonts w:ascii="宋体" w:hAnsi="宋体" w:eastAsia="宋体" w:cs="宋体"/>
                <w:sz w:val="21"/>
              </w:rPr>
            </w:pPr>
          </w:p>
        </w:tc>
        <w:tc>
          <w:tcPr>
            <w:tcW w:w="1544"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6"/>
              <w:jc w:val="center"/>
              <w:rPr>
                <w:rFonts w:ascii="宋体" w:hAnsi="宋体" w:eastAsia="宋体" w:cs="宋体"/>
                <w:sz w:val="21"/>
              </w:rPr>
            </w:pPr>
            <w:r>
              <w:rPr>
                <w:rFonts w:ascii="宋体" w:hAnsi="宋体" w:eastAsia="宋体" w:cs="宋体"/>
                <w:sz w:val="21"/>
              </w:rPr>
              <w:t>合计</w:t>
            </w:r>
          </w:p>
        </w:tc>
        <w:tc>
          <w:tcPr>
            <w:tcW w:w="1544"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6"/>
              <w:jc w:val="center"/>
              <w:rPr>
                <w:rFonts w:ascii="宋体" w:hAnsi="宋体" w:eastAsia="宋体" w:cs="宋体"/>
                <w:sz w:val="21"/>
              </w:rPr>
            </w:pPr>
            <w:r>
              <w:rPr>
                <w:rFonts w:ascii="宋体" w:hAnsi="宋体" w:eastAsia="宋体" w:cs="宋体"/>
                <w:sz w:val="21"/>
              </w:rPr>
              <w:t>100</w:t>
            </w:r>
          </w:p>
        </w:tc>
        <w:tc>
          <w:tcPr>
            <w:tcW w:w="4281"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6"/>
              <w:rPr>
                <w:rFonts w:ascii="宋体" w:hAnsi="宋体" w:eastAsia="宋体" w:cs="宋体"/>
                <w:sz w:val="21"/>
              </w:rPr>
            </w:pPr>
          </w:p>
        </w:tc>
      </w:tr>
    </w:tbl>
    <w:p>
      <w:pPr>
        <w:rPr>
          <w:color w:val="000080"/>
          <w:sz w:val="20"/>
          <w:highlight w:val="white"/>
        </w:rPr>
      </w:pPr>
      <w:r>
        <w:rPr>
          <w:rFonts w:hint="eastAsia"/>
          <w:color w:val="000080"/>
          <w:sz w:val="20"/>
          <w:highlight w:val="white"/>
        </w:rPr>
        <w:t xml:space="preserve"> </w:t>
      </w:r>
      <w:bookmarkEnd w:id="2"/>
    </w:p>
    <w:p>
      <w:pPr>
        <w:pStyle w:val="6"/>
        <w:keepNext w:val="0"/>
        <w:keepLines w:val="0"/>
        <w:numPr>
          <w:ilvl w:val="0"/>
          <w:numId w:val="0"/>
        </w:numPr>
        <w:tabs>
          <w:tab w:val="left" w:pos="420"/>
        </w:tabs>
        <w:adjustRightInd w:val="0"/>
        <w:snapToGrid w:val="0"/>
        <w:spacing w:before="0" w:after="0"/>
        <w:ind w:left="1008" w:hanging="1008"/>
        <w:rPr>
          <w:sz w:val="24"/>
          <w:szCs w:val="24"/>
        </w:rPr>
      </w:pPr>
      <w:r>
        <w:rPr>
          <w:rFonts w:hint="eastAsia"/>
          <w:sz w:val="24"/>
          <w:szCs w:val="24"/>
          <w:highlight w:val="white"/>
        </w:rPr>
        <w:t>2.</w:t>
      </w:r>
      <w:r>
        <w:rPr>
          <w:sz w:val="24"/>
          <w:szCs w:val="24"/>
          <w:highlight w:val="white"/>
        </w:rPr>
        <w:t>3</w:t>
      </w:r>
      <w:r>
        <w:rPr>
          <w:rFonts w:hint="eastAsia"/>
          <w:sz w:val="24"/>
          <w:szCs w:val="24"/>
          <w:highlight w:val="white"/>
        </w:rPr>
        <w:t>.2.2 商务标不评分</w:t>
      </w:r>
    </w:p>
    <w:p>
      <w:pPr>
        <w:adjustRightInd w:val="0"/>
        <w:snapToGrid w:val="0"/>
        <w:spacing w:line="360" w:lineRule="auto"/>
        <w:ind w:firstLine="480" w:firstLineChars="200"/>
        <w:rPr>
          <w:sz w:val="24"/>
        </w:rPr>
      </w:pPr>
      <w:r>
        <w:rPr>
          <w:rFonts w:hint="eastAsia"/>
          <w:sz w:val="24"/>
          <w:highlight w:val="white"/>
        </w:rPr>
        <w:t>商务评标主要进行符合性审查，不予以评分。当投标人对招标文件商务部分实质性不响应或提出实质性偏差时，将对其投标予以否决。</w:t>
      </w:r>
    </w:p>
    <w:p>
      <w:pPr>
        <w:pStyle w:val="5"/>
        <w:keepNext w:val="0"/>
        <w:keepLines w:val="0"/>
        <w:numPr>
          <w:ilvl w:val="0"/>
          <w:numId w:val="0"/>
        </w:numPr>
        <w:tabs>
          <w:tab w:val="left" w:pos="420"/>
        </w:tabs>
        <w:ind w:left="864" w:hanging="864"/>
        <w:rPr>
          <w:sz w:val="24"/>
          <w:szCs w:val="24"/>
        </w:rPr>
      </w:pPr>
      <w:r>
        <w:rPr>
          <w:rFonts w:hint="eastAsia"/>
          <w:sz w:val="24"/>
          <w:szCs w:val="24"/>
          <w:highlight w:val="white"/>
        </w:rPr>
        <w:t>2.</w:t>
      </w:r>
      <w:r>
        <w:rPr>
          <w:sz w:val="24"/>
          <w:szCs w:val="24"/>
          <w:highlight w:val="white"/>
        </w:rPr>
        <w:t>3</w:t>
      </w:r>
      <w:r>
        <w:rPr>
          <w:rFonts w:hint="eastAsia"/>
          <w:sz w:val="24"/>
          <w:szCs w:val="24"/>
          <w:highlight w:val="white"/>
        </w:rPr>
        <w:t>.3 价格评标</w:t>
      </w:r>
    </w:p>
    <w:p>
      <w:pPr>
        <w:pStyle w:val="6"/>
        <w:keepNext w:val="0"/>
        <w:keepLines w:val="0"/>
        <w:numPr>
          <w:ilvl w:val="0"/>
          <w:numId w:val="0"/>
        </w:numPr>
        <w:tabs>
          <w:tab w:val="left" w:pos="420"/>
        </w:tabs>
        <w:adjustRightInd w:val="0"/>
        <w:snapToGrid w:val="0"/>
        <w:spacing w:before="0" w:after="0"/>
        <w:ind w:left="1008" w:hanging="1008"/>
        <w:rPr>
          <w:sz w:val="24"/>
          <w:szCs w:val="24"/>
        </w:rPr>
      </w:pPr>
      <w:r>
        <w:rPr>
          <w:rFonts w:hint="eastAsia"/>
          <w:sz w:val="24"/>
          <w:szCs w:val="24"/>
          <w:highlight w:val="white"/>
        </w:rPr>
        <w:t>2.</w:t>
      </w:r>
      <w:r>
        <w:rPr>
          <w:sz w:val="24"/>
          <w:szCs w:val="24"/>
          <w:highlight w:val="white"/>
        </w:rPr>
        <w:t>3</w:t>
      </w:r>
      <w:r>
        <w:rPr>
          <w:rFonts w:hint="eastAsia"/>
          <w:sz w:val="24"/>
          <w:szCs w:val="24"/>
          <w:highlight w:val="white"/>
        </w:rPr>
        <w:t>.3.1 投标报价修正原则</w:t>
      </w:r>
    </w:p>
    <w:p>
      <w:pPr>
        <w:adjustRightInd w:val="0"/>
        <w:snapToGrid w:val="0"/>
        <w:spacing w:line="360" w:lineRule="auto"/>
        <w:jc w:val="left"/>
        <w:rPr>
          <w:kern w:val="0"/>
          <w:sz w:val="24"/>
          <w:szCs w:val="20"/>
        </w:rPr>
      </w:pPr>
      <w:r>
        <w:rPr>
          <w:rFonts w:hint="eastAsia"/>
          <w:sz w:val="24"/>
          <w:highlight w:val="white"/>
        </w:rPr>
        <w:t>2.</w:t>
      </w:r>
      <w:r>
        <w:rPr>
          <w:sz w:val="24"/>
          <w:highlight w:val="white"/>
        </w:rPr>
        <w:t>3</w:t>
      </w:r>
      <w:r>
        <w:rPr>
          <w:rFonts w:hint="eastAsia"/>
          <w:sz w:val="24"/>
          <w:highlight w:val="white"/>
        </w:rPr>
        <w:t xml:space="preserve">.3.1.1 </w:t>
      </w:r>
      <w:r>
        <w:rPr>
          <w:rFonts w:hint="eastAsia"/>
          <w:kern w:val="0"/>
          <w:sz w:val="24"/>
          <w:szCs w:val="20"/>
          <w:highlight w:val="white"/>
        </w:rPr>
        <w:t>投标文件报价出现前后不一致的，按照下列规定修正：</w:t>
      </w:r>
    </w:p>
    <w:p>
      <w:pPr>
        <w:pStyle w:val="13"/>
        <w:spacing w:line="360" w:lineRule="auto"/>
        <w:ind w:firstLine="480" w:firstLineChars="200"/>
      </w:pPr>
      <w:r>
        <w:rPr>
          <w:highlight w:val="white"/>
        </w:rPr>
        <w:t>（一）大写金额和小写金额不一致的，以大写金额为准；</w:t>
      </w:r>
    </w:p>
    <w:p>
      <w:pPr>
        <w:pStyle w:val="13"/>
        <w:spacing w:line="360" w:lineRule="auto"/>
        <w:ind w:firstLine="480" w:firstLineChars="200"/>
      </w:pPr>
      <w:r>
        <w:rPr>
          <w:highlight w:val="white"/>
        </w:rPr>
        <w:t>（二）单价金额小数点或者百分比有明显错位的，以总价为准修改单价；</w:t>
      </w:r>
    </w:p>
    <w:p>
      <w:pPr>
        <w:pStyle w:val="13"/>
        <w:spacing w:line="360" w:lineRule="auto"/>
        <w:ind w:firstLine="480" w:firstLineChars="200"/>
      </w:pPr>
      <w:r>
        <w:rPr>
          <w:highlight w:val="white"/>
        </w:rPr>
        <w:t>（三）投标文件中投标函报价与投标价格表总价不一致的，以投标价格表总价为准；</w:t>
      </w:r>
    </w:p>
    <w:p>
      <w:pPr>
        <w:pStyle w:val="13"/>
        <w:spacing w:line="360" w:lineRule="auto"/>
        <w:ind w:firstLine="480" w:firstLineChars="200"/>
      </w:pPr>
      <w:r>
        <w:rPr>
          <w:highlight w:val="white"/>
        </w:rPr>
        <w:t>四）总价金额与依据单价计算出的结果不一致的，以依据单价计算出的结果为准。</w:t>
      </w:r>
    </w:p>
    <w:p>
      <w:pPr>
        <w:pStyle w:val="13"/>
        <w:spacing w:line="360" w:lineRule="auto"/>
        <w:ind w:firstLine="480" w:firstLineChars="200"/>
      </w:pPr>
      <w:r>
        <w:rPr>
          <w:highlight w:val="white"/>
        </w:rPr>
        <w:t>同时出现两种以上不一致的，按照上述顺序从第一项至第四项依次修正。按此原则修正后的投标报价对投标人产生约束力。</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.3.1.2 按照投标人提出的无条件优惠(折扣)修正其投标总价，并以相应的百分比对其分项价格进行折扣修正，修正后的投标报价及分项价格对投标人产生约束力。</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.3.1.3 对投标人提出的具有附带条件的优惠(折扣)，不修正投标总价，在计算评标价时也不予计入。</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.3.1.4分包与外购设备/部件若出现多个报价，则评标委员会将视其最高价为唯一报价并修正投标报价，修正后的投标报价对投标人产生约束力。</w:t>
      </w:r>
    </w:p>
    <w:p>
      <w:pPr>
        <w:adjustRightInd w:val="0"/>
        <w:snapToGrid w:val="0"/>
        <w:spacing w:line="360" w:lineRule="auto"/>
        <w:jc w:val="left"/>
        <w:rPr>
          <w:kern w:val="0"/>
          <w:sz w:val="24"/>
          <w:szCs w:val="20"/>
        </w:rPr>
      </w:pPr>
      <w:r>
        <w:rPr>
          <w:rFonts w:hint="eastAsia"/>
          <w:sz w:val="24"/>
          <w:highlight w:val="white"/>
        </w:rPr>
        <w:t>2.</w:t>
      </w:r>
      <w:r>
        <w:rPr>
          <w:sz w:val="24"/>
          <w:highlight w:val="white"/>
        </w:rPr>
        <w:t>3</w:t>
      </w:r>
      <w:r>
        <w:rPr>
          <w:rFonts w:hint="eastAsia"/>
          <w:sz w:val="24"/>
          <w:highlight w:val="white"/>
        </w:rPr>
        <w:t>.3.1.5</w:t>
      </w:r>
      <w:r>
        <w:rPr>
          <w:rFonts w:hint="eastAsia"/>
          <w:b/>
          <w:sz w:val="24"/>
          <w:highlight w:val="white"/>
        </w:rPr>
        <w:t>投标人不接受修正价格的，应当否决其投标。</w:t>
      </w:r>
      <w:r>
        <w:rPr>
          <w:rFonts w:hint="eastAsia"/>
          <w:b/>
          <w:kern w:val="0"/>
          <w:sz w:val="24"/>
          <w:szCs w:val="20"/>
          <w:highlight w:val="white"/>
        </w:rPr>
        <w:t>投标人中标后，若拒绝以按照上述原则修正后的投标报价（即中标价）签订合同的，其投标保证金不予退还。</w:t>
      </w:r>
    </w:p>
    <w:p>
      <w:pPr>
        <w:pStyle w:val="6"/>
        <w:keepNext w:val="0"/>
        <w:keepLines w:val="0"/>
        <w:numPr>
          <w:ilvl w:val="0"/>
          <w:numId w:val="0"/>
        </w:numPr>
        <w:tabs>
          <w:tab w:val="left" w:pos="420"/>
        </w:tabs>
        <w:adjustRightInd w:val="0"/>
        <w:snapToGrid w:val="0"/>
        <w:spacing w:before="0" w:after="0"/>
        <w:ind w:left="1008" w:hanging="1008"/>
        <w:rPr>
          <w:sz w:val="24"/>
          <w:szCs w:val="24"/>
        </w:rPr>
      </w:pPr>
      <w:r>
        <w:rPr>
          <w:rFonts w:hint="eastAsia"/>
          <w:sz w:val="24"/>
          <w:szCs w:val="24"/>
          <w:highlight w:val="white"/>
        </w:rPr>
        <w:t>2.</w:t>
      </w:r>
      <w:r>
        <w:rPr>
          <w:sz w:val="24"/>
          <w:szCs w:val="24"/>
          <w:highlight w:val="white"/>
        </w:rPr>
        <w:t>3</w:t>
      </w:r>
      <w:r>
        <w:rPr>
          <w:rFonts w:hint="eastAsia"/>
          <w:sz w:val="24"/>
          <w:szCs w:val="24"/>
          <w:highlight w:val="white"/>
        </w:rPr>
        <w:t>.3.2 评标价格计算原则</w:t>
      </w:r>
    </w:p>
    <w:p>
      <w:pPr>
        <w:adjustRightInd w:val="0"/>
        <w:snapToGrid w:val="0"/>
        <w:spacing w:line="360" w:lineRule="auto"/>
        <w:rPr>
          <w:sz w:val="24"/>
          <w:szCs w:val="24"/>
        </w:rPr>
      </w:pPr>
      <w:r>
        <w:rPr>
          <w:rFonts w:hint="eastAsia"/>
          <w:sz w:val="24"/>
          <w:highlight w:val="white"/>
        </w:rPr>
        <w:t>2.</w:t>
      </w:r>
      <w:r>
        <w:rPr>
          <w:sz w:val="24"/>
          <w:highlight w:val="white"/>
        </w:rPr>
        <w:t>3</w:t>
      </w:r>
      <w:r>
        <w:rPr>
          <w:rFonts w:hint="eastAsia"/>
          <w:sz w:val="24"/>
          <w:highlight w:val="white"/>
        </w:rPr>
        <w:t>.3.2.1 以有效投标人的修正后的投标价格作为基础，以基本方案计算评标价格。</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.3.2.2 对投标文件提出的具有附带条件的优惠(折扣)，在计算评标价时均不予计入。</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.3.2.3 对投标文件漏报的分项项目，按其它投标人相应项目最高报价进行计算。如果漏报的部分，其他投标人没有相应的价格，则可以其他工程相当的价格估算计入。</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.3.2.4 对招标文件中有固定工程量/数量的分项项目，如投标工程量/数量比招标文件少的，评标价格按其单价与少报工程量/数量的乘积予以调增。</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.3.2.5 对投标文件多报的分项项目，评标价格不予核减。</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.3.2.6对投标文件有分项项目，但该项目未填写报价或填写为“0” 或填写“已含”等相同含义文字的，视为报价已含在总价或其他分项中，评标价格不予调整。</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.3.2.7对投标文件整项未填写或漏报的，视为报价漏报项目，其评标价按照2.</w:t>
      </w:r>
      <w:r>
        <w:rPr>
          <w:sz w:val="24"/>
          <w:highlight w:val="white"/>
        </w:rPr>
        <w:t>3</w:t>
      </w:r>
      <w:r>
        <w:rPr>
          <w:rFonts w:hint="eastAsia"/>
          <w:sz w:val="24"/>
          <w:highlight w:val="white"/>
        </w:rPr>
        <w:t>.3.2.3条款调整。</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.3.2.8 对支付条款偏差较小且招标人可接受的，按照折算至同一基准进行评标价调整，基准由评标委员会确定；对支付条款偏差较大且招标人不可接受的，否决其投标。偏差大小招标人是否可接受的标准由评标委员会根据招标项目的属性确定。</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.3.2.9 对含复合税种、税率可抵扣税费的报价，评标价格调整至同一基准（不含增值税），基准由评标委员会确定，可抵扣的税费仅限于符合税法的招标人可抵扣的税费；</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.3.2.10对单一税种、税率的报价，评标价格不予调整可抵扣的增值税。</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.3.2.11 评标委员会确定的还须考虑的其他评标价格调整。</w:t>
      </w:r>
    </w:p>
    <w:p>
      <w:pPr>
        <w:adjustRightInd w:val="0"/>
        <w:snapToGrid w:val="0"/>
        <w:spacing w:line="360" w:lineRule="auto"/>
        <w:rPr>
          <w:sz w:val="24"/>
        </w:rPr>
      </w:pPr>
      <w:r>
        <w:rPr>
          <w:rFonts w:hint="eastAsia"/>
          <w:sz w:val="24"/>
          <w:highlight w:val="white"/>
        </w:rPr>
        <w:t>2.</w:t>
      </w:r>
      <w:r>
        <w:rPr>
          <w:sz w:val="24"/>
          <w:highlight w:val="white"/>
        </w:rPr>
        <w:t>3</w:t>
      </w:r>
      <w:r>
        <w:rPr>
          <w:rFonts w:hint="eastAsia"/>
          <w:sz w:val="24"/>
          <w:highlight w:val="white"/>
        </w:rPr>
        <w:t>.3.2.12</w:t>
      </w:r>
      <w:r>
        <w:rPr>
          <w:rFonts w:hint="eastAsia"/>
          <w:kern w:val="0"/>
          <w:sz w:val="24"/>
          <w:szCs w:val="20"/>
          <w:highlight w:val="white"/>
        </w:rPr>
        <w:t>上述评标价格的调整均应在修正后的正确投标</w:t>
      </w:r>
      <w:r>
        <w:rPr>
          <w:rFonts w:hint="eastAsia"/>
          <w:sz w:val="24"/>
          <w:highlight w:val="white"/>
        </w:rPr>
        <w:t>报价（详见2.3.3.1）</w:t>
      </w:r>
      <w:r>
        <w:rPr>
          <w:rFonts w:hint="eastAsia"/>
          <w:kern w:val="0"/>
          <w:sz w:val="24"/>
          <w:szCs w:val="20"/>
          <w:highlight w:val="white"/>
        </w:rPr>
        <w:t>基础之上进行。</w:t>
      </w:r>
    </w:p>
    <w:p>
      <w:pPr>
        <w:pStyle w:val="6"/>
        <w:keepNext w:val="0"/>
        <w:keepLines w:val="0"/>
        <w:numPr>
          <w:ilvl w:val="0"/>
          <w:numId w:val="0"/>
        </w:numPr>
        <w:tabs>
          <w:tab w:val="left" w:pos="420"/>
        </w:tabs>
        <w:adjustRightInd w:val="0"/>
        <w:snapToGrid w:val="0"/>
        <w:spacing w:before="0" w:after="0"/>
        <w:ind w:left="1008" w:hanging="1008"/>
        <w:rPr>
          <w:sz w:val="24"/>
          <w:szCs w:val="24"/>
        </w:rPr>
      </w:pPr>
      <w:r>
        <w:rPr>
          <w:rFonts w:hint="eastAsia"/>
          <w:sz w:val="24"/>
          <w:szCs w:val="24"/>
          <w:highlight w:val="white"/>
        </w:rPr>
        <w:t>2.</w:t>
      </w:r>
      <w:r>
        <w:rPr>
          <w:sz w:val="24"/>
          <w:szCs w:val="24"/>
          <w:highlight w:val="white"/>
        </w:rPr>
        <w:t>3</w:t>
      </w:r>
      <w:r>
        <w:rPr>
          <w:rFonts w:hint="eastAsia"/>
          <w:sz w:val="24"/>
          <w:szCs w:val="24"/>
          <w:highlight w:val="white"/>
        </w:rPr>
        <w:t>.3.3 评标价格的评分方法（满分100分）</w:t>
      </w:r>
    </w:p>
    <w:p>
      <w:pPr>
        <w:spacing w:line="360" w:lineRule="auto"/>
        <w:ind w:firstLine="480" w:firstLineChars="200"/>
        <w:rPr>
          <w:rFonts w:hint="eastAsia"/>
          <w:color w:val="000000"/>
          <w:sz w:val="24"/>
          <w:highlight w:val="white"/>
        </w:rPr>
      </w:pPr>
      <w:bookmarkStart w:id="3" w:name="EB8c41d7a6bd434d62902034c9cd8ac7c0"/>
      <w:r>
        <w:rPr>
          <w:rFonts w:hint="eastAsia"/>
          <w:color w:val="000000"/>
          <w:sz w:val="24"/>
          <w:highlight w:val="white"/>
        </w:rPr>
        <w:t>价格评分以有效投标人评标价格的最低价为评标基准价，评标基准价得分100分。其它有效投标人评标价格的得分用线性法计算，评标价格高于评标基准价的，每高1%，其得分在满分的基础上扣</w:t>
      </w:r>
      <w:r>
        <w:rPr>
          <w:rFonts w:hint="eastAsia"/>
          <w:color w:val="000000"/>
          <w:sz w:val="24"/>
          <w:highlight w:val="white"/>
          <w:lang w:val="en-US" w:eastAsia="zh-CN"/>
        </w:rPr>
        <w:t>1</w:t>
      </w:r>
      <w:r>
        <w:rPr>
          <w:rFonts w:hint="eastAsia"/>
          <w:color w:val="000000"/>
          <w:sz w:val="24"/>
          <w:highlight w:val="white"/>
        </w:rPr>
        <w:t>分(四舍五入，保留2位小数点)，扣完为止</w:t>
      </w:r>
    </w:p>
    <w:p>
      <w:pPr>
        <w:spacing w:line="360" w:lineRule="auto"/>
        <w:ind w:firstLine="400" w:firstLineChars="200"/>
        <w:rPr>
          <w:sz w:val="24"/>
          <w:szCs w:val="24"/>
        </w:rPr>
      </w:pPr>
      <w:r>
        <w:rPr>
          <w:rFonts w:hint="eastAsia"/>
          <w:color w:val="000080"/>
          <w:sz w:val="20"/>
          <w:highlight w:val="white"/>
        </w:rPr>
        <w:t xml:space="preserve"> </w:t>
      </w:r>
      <w:bookmarkEnd w:id="3"/>
      <w:r>
        <w:rPr>
          <w:rFonts w:hint="eastAsia"/>
          <w:sz w:val="24"/>
          <w:szCs w:val="24"/>
          <w:highlight w:val="white"/>
        </w:rPr>
        <w:t>2.</w:t>
      </w:r>
      <w:r>
        <w:rPr>
          <w:sz w:val="24"/>
          <w:szCs w:val="24"/>
          <w:highlight w:val="white"/>
        </w:rPr>
        <w:t>3</w:t>
      </w:r>
      <w:r>
        <w:rPr>
          <w:rFonts w:hint="eastAsia"/>
          <w:sz w:val="24"/>
          <w:szCs w:val="24"/>
          <w:highlight w:val="white"/>
        </w:rPr>
        <w:t>.4 编写商务评标报告</w:t>
      </w:r>
    </w:p>
    <w:p>
      <w:pPr>
        <w:adjustRightInd w:val="0"/>
        <w:snapToGrid w:val="0"/>
        <w:spacing w:line="360" w:lineRule="auto"/>
        <w:ind w:firstLine="480" w:firstLineChars="200"/>
        <w:rPr>
          <w:sz w:val="24"/>
          <w:szCs w:val="24"/>
        </w:rPr>
      </w:pPr>
      <w:r>
        <w:rPr>
          <w:rFonts w:hint="eastAsia"/>
          <w:sz w:val="24"/>
          <w:highlight w:val="white"/>
        </w:rPr>
        <w:t>商务评标报告一般应包括评标过程简述、对投标人公司财务状况、资格资信情况的核查与评价、价格汇总表（投标价、评标价）等内容。</w:t>
      </w:r>
    </w:p>
    <w:p>
      <w:pPr>
        <w:pStyle w:val="5"/>
        <w:keepNext w:val="0"/>
        <w:keepLines w:val="0"/>
        <w:numPr>
          <w:ilvl w:val="0"/>
          <w:numId w:val="0"/>
        </w:numPr>
        <w:tabs>
          <w:tab w:val="left" w:pos="420"/>
        </w:tabs>
        <w:ind w:left="864" w:hanging="864"/>
        <w:rPr>
          <w:sz w:val="24"/>
          <w:szCs w:val="24"/>
        </w:rPr>
      </w:pPr>
      <w:r>
        <w:rPr>
          <w:rFonts w:hint="eastAsia"/>
          <w:sz w:val="24"/>
          <w:szCs w:val="24"/>
          <w:highlight w:val="white"/>
        </w:rPr>
        <w:t>2.</w:t>
      </w:r>
      <w:r>
        <w:rPr>
          <w:sz w:val="24"/>
          <w:szCs w:val="24"/>
          <w:highlight w:val="white"/>
        </w:rPr>
        <w:t>3</w:t>
      </w:r>
      <w:r>
        <w:rPr>
          <w:rFonts w:hint="eastAsia"/>
          <w:sz w:val="24"/>
          <w:szCs w:val="24"/>
          <w:highlight w:val="white"/>
        </w:rPr>
        <w:t>.5 综合评标</w:t>
      </w:r>
    </w:p>
    <w:p>
      <w:pPr>
        <w:pStyle w:val="6"/>
        <w:keepNext w:val="0"/>
        <w:keepLines w:val="0"/>
        <w:numPr>
          <w:ilvl w:val="0"/>
          <w:numId w:val="0"/>
        </w:numPr>
        <w:tabs>
          <w:tab w:val="left" w:pos="420"/>
        </w:tabs>
        <w:adjustRightInd w:val="0"/>
        <w:snapToGrid w:val="0"/>
        <w:spacing w:before="0" w:after="0"/>
        <w:ind w:left="1008" w:hanging="1008"/>
        <w:rPr>
          <w:sz w:val="24"/>
          <w:szCs w:val="24"/>
        </w:rPr>
      </w:pPr>
      <w:r>
        <w:rPr>
          <w:rFonts w:hint="eastAsia"/>
          <w:sz w:val="24"/>
          <w:szCs w:val="24"/>
          <w:highlight w:val="white"/>
        </w:rPr>
        <w:t>2.</w:t>
      </w:r>
      <w:r>
        <w:rPr>
          <w:sz w:val="24"/>
          <w:szCs w:val="24"/>
          <w:highlight w:val="white"/>
        </w:rPr>
        <w:t>3</w:t>
      </w:r>
      <w:r>
        <w:rPr>
          <w:rFonts w:hint="eastAsia"/>
          <w:sz w:val="24"/>
          <w:szCs w:val="24"/>
          <w:highlight w:val="white"/>
        </w:rPr>
        <w:t>.5.1 综合评分计算</w:t>
      </w:r>
    </w:p>
    <w:p>
      <w:pPr>
        <w:adjustRightInd w:val="0"/>
        <w:snapToGrid w:val="0"/>
        <w:spacing w:line="360" w:lineRule="auto"/>
        <w:ind w:firstLine="480" w:firstLineChars="200"/>
        <w:rPr>
          <w:highlight w:val="red"/>
        </w:rPr>
      </w:pPr>
      <w:r>
        <w:rPr>
          <w:rFonts w:hint="eastAsia"/>
          <w:sz w:val="24"/>
          <w:highlight w:val="white"/>
        </w:rPr>
        <w:t>根据各投标人有效投标方案的技术评分、商务评分、评标价格评分按权重比例进行加权计算综合评分，具体按如下方法进行计算:</w:t>
      </w:r>
      <w:bookmarkStart w:id="4" w:name="EBe0d5e67dd8bb476db956b51022efdbd6"/>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2"/>
        <w:gridCol w:w="2431"/>
        <w:gridCol w:w="3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3042" w:type="dxa"/>
            <w:tcBorders>
              <w:top w:val="single" w:color="000000" w:sz="0" w:space="0"/>
              <w:left w:val="single" w:color="000000" w:sz="0" w:space="0"/>
              <w:bottom w:val="single" w:color="000000" w:sz="0" w:space="0"/>
              <w:right w:val="single" w:color="000000" w:sz="0" w:space="0"/>
            </w:tcBorders>
            <w:tcMar>
              <w:top w:w="0" w:type="dxa"/>
              <w:left w:w="108" w:type="dxa"/>
              <w:bottom w:w="0" w:type="dxa"/>
              <w:right w:w="108" w:type="dxa"/>
            </w:tcMar>
            <w:vAlign w:val="center"/>
          </w:tcPr>
          <w:p>
            <w:pPr>
              <w:pStyle w:val="27"/>
              <w:jc w:val="center"/>
              <w:rPr>
                <w:rFonts w:ascii="宋体" w:hAnsi="宋体" w:eastAsia="宋体" w:cs="宋体"/>
                <w:color w:val="000000" w:themeColor="text1"/>
                <w:sz w:val="21"/>
                <w14:textFill>
                  <w14:solidFill>
                    <w14:schemeClr w14:val="tx1"/>
                  </w14:solidFill>
                </w14:textFill>
              </w:rPr>
            </w:pPr>
            <w:r>
              <w:rPr>
                <w:rFonts w:ascii="宋体" w:hAnsi="宋体" w:eastAsia="宋体" w:cs="宋体"/>
                <w:color w:val="000000" w:themeColor="text1"/>
                <w:sz w:val="21"/>
                <w14:textFill>
                  <w14:solidFill>
                    <w14:schemeClr w14:val="tx1"/>
                  </w14:solidFill>
                </w14:textFill>
              </w:rPr>
              <w:t>名称</w:t>
            </w:r>
          </w:p>
        </w:tc>
        <w:tc>
          <w:tcPr>
            <w:tcW w:w="2431" w:type="dxa"/>
            <w:tcBorders>
              <w:top w:val="single" w:color="000000" w:sz="0" w:space="0"/>
              <w:left w:val="single" w:color="000000" w:sz="0" w:space="0"/>
              <w:bottom w:val="single" w:color="000000" w:sz="0" w:space="0"/>
              <w:right w:val="single" w:color="000000" w:sz="0" w:space="0"/>
            </w:tcBorders>
            <w:tcMar>
              <w:top w:w="0" w:type="dxa"/>
              <w:left w:w="108" w:type="dxa"/>
              <w:bottom w:w="0" w:type="dxa"/>
              <w:right w:w="108" w:type="dxa"/>
            </w:tcMar>
            <w:vAlign w:val="center"/>
          </w:tcPr>
          <w:p>
            <w:pPr>
              <w:pStyle w:val="27"/>
              <w:jc w:val="center"/>
              <w:rPr>
                <w:rFonts w:ascii="宋体" w:hAnsi="宋体" w:eastAsia="宋体" w:cs="宋体"/>
                <w:color w:val="000000" w:themeColor="text1"/>
                <w:sz w:val="21"/>
                <w14:textFill>
                  <w14:solidFill>
                    <w14:schemeClr w14:val="tx1"/>
                  </w14:solidFill>
                </w14:textFill>
              </w:rPr>
            </w:pPr>
            <w:r>
              <w:rPr>
                <w:rFonts w:ascii="宋体" w:hAnsi="宋体" w:eastAsia="宋体" w:cs="宋体"/>
                <w:color w:val="000000" w:themeColor="text1"/>
                <w:sz w:val="21"/>
                <w14:textFill>
                  <w14:solidFill>
                    <w14:schemeClr w14:val="tx1"/>
                  </w14:solidFill>
                </w14:textFill>
              </w:rPr>
              <w:t>符号</w:t>
            </w:r>
          </w:p>
        </w:tc>
        <w:tc>
          <w:tcPr>
            <w:tcW w:w="3049" w:type="dxa"/>
            <w:tcBorders>
              <w:top w:val="single" w:color="000000" w:sz="0" w:space="0"/>
              <w:left w:val="single" w:color="000000" w:sz="0" w:space="0"/>
              <w:bottom w:val="single" w:color="000000" w:sz="0" w:space="0"/>
              <w:right w:val="single" w:color="000000" w:sz="0" w:space="0"/>
            </w:tcBorders>
            <w:tcMar>
              <w:top w:w="0" w:type="dxa"/>
              <w:left w:w="108" w:type="dxa"/>
              <w:bottom w:w="0" w:type="dxa"/>
              <w:right w:w="108" w:type="dxa"/>
            </w:tcMar>
            <w:vAlign w:val="center"/>
          </w:tcPr>
          <w:p>
            <w:pPr>
              <w:pStyle w:val="27"/>
              <w:jc w:val="center"/>
              <w:rPr>
                <w:rFonts w:ascii="宋体" w:hAnsi="宋体" w:eastAsia="宋体" w:cs="宋体"/>
                <w:color w:val="000000" w:themeColor="text1"/>
                <w:sz w:val="21"/>
                <w14:textFill>
                  <w14:solidFill>
                    <w14:schemeClr w14:val="tx1"/>
                  </w14:solidFill>
                </w14:textFill>
              </w:rPr>
            </w:pPr>
            <w:r>
              <w:rPr>
                <w:rFonts w:ascii="宋体" w:hAnsi="宋体" w:eastAsia="宋体" w:cs="宋体"/>
                <w:color w:val="000000" w:themeColor="text1"/>
                <w:sz w:val="21"/>
                <w14:textFill>
                  <w14:solidFill>
                    <w14:schemeClr w14:val="tx1"/>
                  </w14:solidFill>
                </w14:textFill>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3042" w:type="dxa"/>
            <w:tcBorders>
              <w:top w:val="single" w:color="000000" w:sz="0" w:space="0"/>
              <w:left w:val="single" w:color="000000" w:sz="0" w:space="0"/>
              <w:bottom w:val="single" w:color="000000" w:sz="0" w:space="0"/>
              <w:right w:val="single" w:color="000000" w:sz="0" w:space="0"/>
            </w:tcBorders>
            <w:tcMar>
              <w:top w:w="0" w:type="dxa"/>
              <w:left w:w="108" w:type="dxa"/>
              <w:bottom w:w="0" w:type="dxa"/>
              <w:right w:w="108" w:type="dxa"/>
            </w:tcMar>
            <w:tcFitText/>
            <w:vAlign w:val="center"/>
          </w:tcPr>
          <w:p>
            <w:pPr>
              <w:pStyle w:val="27"/>
              <w:jc w:val="distribute"/>
              <w:rPr>
                <w:rFonts w:ascii="宋体" w:hAnsi="宋体" w:eastAsia="宋体" w:cs="宋体"/>
                <w:color w:val="000000" w:themeColor="text1"/>
                <w:sz w:val="21"/>
                <w14:textFill>
                  <w14:solidFill>
                    <w14:schemeClr w14:val="tx1"/>
                  </w14:solidFill>
                </w14:textFill>
              </w:rPr>
            </w:pPr>
            <w:r>
              <w:rPr>
                <w:rFonts w:ascii="宋体" w:hAnsi="宋体" w:eastAsia="宋体" w:cs="宋体"/>
                <w:color w:val="000000" w:themeColor="text1"/>
                <w:spacing w:val="150"/>
                <w:sz w:val="21"/>
                <w14:textFill>
                  <w14:solidFill>
                    <w14:schemeClr w14:val="tx1"/>
                  </w14:solidFill>
                </w14:textFill>
              </w:rPr>
              <w:t>技术评分权</w:t>
            </w:r>
            <w:r>
              <w:rPr>
                <w:rFonts w:ascii="宋体" w:hAnsi="宋体" w:eastAsia="宋体" w:cs="宋体"/>
                <w:color w:val="000000" w:themeColor="text1"/>
                <w:spacing w:val="22"/>
                <w:sz w:val="21"/>
                <w14:textFill>
                  <w14:solidFill>
                    <w14:schemeClr w14:val="tx1"/>
                  </w14:solidFill>
                </w14:textFill>
              </w:rPr>
              <w:t>重</w:t>
            </w:r>
          </w:p>
        </w:tc>
        <w:tc>
          <w:tcPr>
            <w:tcW w:w="2431" w:type="dxa"/>
            <w:tcBorders>
              <w:top w:val="single" w:color="000000" w:sz="0" w:space="0"/>
              <w:left w:val="single" w:color="000000" w:sz="0" w:space="0"/>
              <w:bottom w:val="single" w:color="000000" w:sz="0" w:space="0"/>
              <w:right w:val="single" w:color="000000" w:sz="0" w:space="0"/>
            </w:tcBorders>
            <w:tcMar>
              <w:top w:w="0" w:type="dxa"/>
              <w:left w:w="108" w:type="dxa"/>
              <w:bottom w:w="0" w:type="dxa"/>
              <w:right w:w="108" w:type="dxa"/>
            </w:tcMar>
            <w:vAlign w:val="center"/>
          </w:tcPr>
          <w:p>
            <w:pPr>
              <w:pStyle w:val="27"/>
              <w:rPr>
                <w:rFonts w:ascii="宋体" w:hAnsi="宋体" w:eastAsia="宋体" w:cs="宋体"/>
                <w:color w:val="000000" w:themeColor="text1"/>
                <w:sz w:val="21"/>
                <w14:textFill>
                  <w14:solidFill>
                    <w14:schemeClr w14:val="tx1"/>
                  </w14:solidFill>
                </w14:textFill>
              </w:rPr>
            </w:pPr>
            <w:r>
              <w:rPr>
                <w:rFonts w:ascii="宋体" w:hAnsi="宋体" w:eastAsia="宋体" w:cs="宋体"/>
                <w:color w:val="000000" w:themeColor="text1"/>
                <w:sz w:val="21"/>
                <w14:textFill>
                  <w14:solidFill>
                    <w14:schemeClr w14:val="tx1"/>
                  </w14:solidFill>
                </w14:textFill>
              </w:rPr>
              <w:t>Kt</w:t>
            </w:r>
          </w:p>
        </w:tc>
        <w:tc>
          <w:tcPr>
            <w:tcW w:w="3049" w:type="dxa"/>
            <w:tcBorders>
              <w:top w:val="single" w:color="000000" w:sz="0" w:space="0"/>
              <w:left w:val="single" w:color="000000" w:sz="0" w:space="0"/>
              <w:bottom w:val="single" w:color="000000" w:sz="0" w:space="0"/>
              <w:right w:val="single" w:color="000000" w:sz="0" w:space="0"/>
            </w:tcBorders>
            <w:tcMar>
              <w:top w:w="0" w:type="dxa"/>
              <w:left w:w="108" w:type="dxa"/>
              <w:bottom w:w="0" w:type="dxa"/>
              <w:right w:w="108" w:type="dxa"/>
            </w:tcMar>
            <w:tcFitText/>
            <w:vAlign w:val="center"/>
          </w:tcPr>
          <w:p>
            <w:pPr>
              <w:pStyle w:val="27"/>
              <w:rPr>
                <w:rFonts w:ascii="宋体" w:hAnsi="宋体" w:eastAsia="宋体" w:cs="宋体"/>
                <w:color w:val="000000" w:themeColor="text1"/>
                <w:spacing w:val="0"/>
                <w:sz w:val="21"/>
                <w14:textFill>
                  <w14:solidFill>
                    <w14:schemeClr w14:val="tx1"/>
                  </w14:solidFill>
                </w14:textFill>
              </w:rPr>
            </w:pPr>
            <w:r>
              <w:rPr>
                <w:rFonts w:hint="eastAsia" w:ascii="宋体" w:hAnsi="宋体" w:eastAsia="宋体" w:cs="宋体"/>
                <w:color w:val="000000" w:themeColor="text1"/>
                <w:spacing w:val="438"/>
                <w:sz w:val="21"/>
                <w:lang w:val="en-US" w:eastAsia="zh-CN"/>
                <w14:textFill>
                  <w14:solidFill>
                    <w14:schemeClr w14:val="tx1"/>
                  </w14:solidFill>
                </w14:textFill>
              </w:rPr>
              <w:t>5</w:t>
            </w:r>
            <w:r>
              <w:rPr>
                <w:rFonts w:hint="eastAsia" w:ascii="宋体" w:hAnsi="宋体" w:eastAsia="宋体" w:cs="宋体"/>
                <w:color w:val="000000" w:themeColor="text1"/>
                <w:spacing w:val="438"/>
                <w:sz w:val="21"/>
                <w14:textFill>
                  <w14:solidFill>
                    <w14:schemeClr w14:val="tx1"/>
                  </w14:solidFill>
                </w14:textFill>
              </w:rPr>
              <w:t>0</w:t>
            </w:r>
            <w:r>
              <w:rPr>
                <w:rFonts w:ascii="宋体" w:hAnsi="宋体" w:eastAsia="宋体" w:cs="宋体"/>
                <w:color w:val="000000" w:themeColor="text1"/>
                <w:spacing w:val="438"/>
                <w:sz w:val="21"/>
                <w14:textFill>
                  <w14:solidFill>
                    <w14:schemeClr w14:val="tx1"/>
                  </w14:solidFill>
                </w14:textFill>
              </w:rPr>
              <w:t>.00</w:t>
            </w:r>
            <w:r>
              <w:rPr>
                <w:rFonts w:ascii="宋体" w:hAnsi="宋体" w:eastAsia="宋体" w:cs="宋体"/>
                <w:color w:val="000000" w:themeColor="text1"/>
                <w:spacing w:val="0"/>
                <w:sz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3042" w:type="dxa"/>
            <w:tcBorders>
              <w:top w:val="single" w:color="000000" w:sz="0" w:space="0"/>
              <w:left w:val="single" w:color="000000" w:sz="0" w:space="0"/>
              <w:bottom w:val="single" w:color="000000" w:sz="0" w:space="0"/>
              <w:right w:val="single" w:color="000000" w:sz="0" w:space="0"/>
            </w:tcBorders>
            <w:tcMar>
              <w:top w:w="0" w:type="dxa"/>
              <w:left w:w="108" w:type="dxa"/>
              <w:bottom w:w="0" w:type="dxa"/>
              <w:right w:w="108" w:type="dxa"/>
            </w:tcMar>
            <w:tcFitText/>
            <w:vAlign w:val="center"/>
          </w:tcPr>
          <w:p>
            <w:pPr>
              <w:pStyle w:val="27"/>
              <w:jc w:val="distribute"/>
              <w:rPr>
                <w:rFonts w:ascii="宋体" w:hAnsi="宋体" w:eastAsia="宋体" w:cs="宋体"/>
                <w:color w:val="000000" w:themeColor="text1"/>
                <w:sz w:val="21"/>
                <w14:textFill>
                  <w14:solidFill>
                    <w14:schemeClr w14:val="tx1"/>
                  </w14:solidFill>
                </w14:textFill>
              </w:rPr>
            </w:pPr>
            <w:r>
              <w:rPr>
                <w:rFonts w:ascii="宋体" w:hAnsi="宋体" w:eastAsia="宋体" w:cs="宋体"/>
                <w:color w:val="000000" w:themeColor="text1"/>
                <w:spacing w:val="150"/>
                <w:sz w:val="21"/>
                <w14:textFill>
                  <w14:solidFill>
                    <w14:schemeClr w14:val="tx1"/>
                  </w14:solidFill>
                </w14:textFill>
              </w:rPr>
              <w:t>商务评分权</w:t>
            </w:r>
            <w:r>
              <w:rPr>
                <w:rFonts w:ascii="宋体" w:hAnsi="宋体" w:eastAsia="宋体" w:cs="宋体"/>
                <w:color w:val="000000" w:themeColor="text1"/>
                <w:spacing w:val="22"/>
                <w:sz w:val="21"/>
                <w14:textFill>
                  <w14:solidFill>
                    <w14:schemeClr w14:val="tx1"/>
                  </w14:solidFill>
                </w14:textFill>
              </w:rPr>
              <w:t>重</w:t>
            </w:r>
          </w:p>
        </w:tc>
        <w:tc>
          <w:tcPr>
            <w:tcW w:w="2431" w:type="dxa"/>
            <w:tcBorders>
              <w:top w:val="single" w:color="000000" w:sz="0" w:space="0"/>
              <w:left w:val="single" w:color="000000" w:sz="0" w:space="0"/>
              <w:bottom w:val="single" w:color="000000" w:sz="0" w:space="0"/>
              <w:right w:val="single" w:color="000000" w:sz="0" w:space="0"/>
            </w:tcBorders>
            <w:tcMar>
              <w:top w:w="0" w:type="dxa"/>
              <w:left w:w="108" w:type="dxa"/>
              <w:bottom w:w="0" w:type="dxa"/>
              <w:right w:w="108" w:type="dxa"/>
            </w:tcMar>
            <w:tcFitText/>
            <w:vAlign w:val="center"/>
          </w:tcPr>
          <w:p>
            <w:pPr>
              <w:pStyle w:val="27"/>
              <w:jc w:val="distribute"/>
              <w:rPr>
                <w:rFonts w:ascii="宋体" w:hAnsi="宋体" w:eastAsia="宋体" w:cs="宋体"/>
                <w:color w:val="000000" w:themeColor="text1"/>
                <w:sz w:val="21"/>
                <w14:textFill>
                  <w14:solidFill>
                    <w14:schemeClr w14:val="tx1"/>
                  </w14:solidFill>
                </w14:textFill>
              </w:rPr>
            </w:pPr>
            <w:r>
              <w:rPr>
                <w:rFonts w:ascii="宋体" w:hAnsi="宋体" w:eastAsia="宋体" w:cs="宋体"/>
                <w:color w:val="000000" w:themeColor="text1"/>
                <w:spacing w:val="1980"/>
                <w:sz w:val="21"/>
                <w14:textFill>
                  <w14:solidFill>
                    <w14:schemeClr w14:val="tx1"/>
                  </w14:solidFill>
                </w14:textFill>
              </w:rPr>
              <w:t>K</w:t>
            </w:r>
            <w:r>
              <w:rPr>
                <w:rFonts w:ascii="宋体" w:hAnsi="宋体" w:eastAsia="宋体" w:cs="宋体"/>
                <w:color w:val="000000" w:themeColor="text1"/>
                <w:sz w:val="21"/>
                <w14:textFill>
                  <w14:solidFill>
                    <w14:schemeClr w14:val="tx1"/>
                  </w14:solidFill>
                </w14:textFill>
              </w:rPr>
              <w:t>c</w:t>
            </w:r>
          </w:p>
        </w:tc>
        <w:tc>
          <w:tcPr>
            <w:tcW w:w="3049" w:type="dxa"/>
            <w:tcBorders>
              <w:top w:val="single" w:color="000000" w:sz="0" w:space="0"/>
              <w:left w:val="single" w:color="000000" w:sz="0" w:space="0"/>
              <w:bottom w:val="single" w:color="000000" w:sz="0" w:space="0"/>
              <w:right w:val="single" w:color="000000" w:sz="0" w:space="0"/>
            </w:tcBorders>
            <w:tcMar>
              <w:top w:w="0" w:type="dxa"/>
              <w:left w:w="108" w:type="dxa"/>
              <w:bottom w:w="0" w:type="dxa"/>
              <w:right w:w="108" w:type="dxa"/>
            </w:tcMar>
            <w:tcFitText/>
            <w:vAlign w:val="center"/>
          </w:tcPr>
          <w:p>
            <w:pPr>
              <w:pStyle w:val="27"/>
              <w:jc w:val="distribute"/>
              <w:rPr>
                <w:rFonts w:ascii="宋体" w:hAnsi="宋体" w:eastAsia="宋体" w:cs="宋体"/>
                <w:color w:val="000000" w:themeColor="text1"/>
                <w:spacing w:val="0"/>
                <w:sz w:val="21"/>
                <w14:textFill>
                  <w14:solidFill>
                    <w14:schemeClr w14:val="tx1"/>
                  </w14:solidFill>
                </w14:textFill>
              </w:rPr>
            </w:pPr>
            <w:r>
              <w:rPr>
                <w:rFonts w:hint="eastAsia" w:ascii="宋体" w:hAnsi="宋体" w:eastAsia="宋体" w:cs="宋体"/>
                <w:color w:val="000000" w:themeColor="text1"/>
                <w:spacing w:val="438"/>
                <w:sz w:val="21"/>
                <w:lang w:val="en-US" w:eastAsia="zh-CN"/>
                <w14:textFill>
                  <w14:solidFill>
                    <w14:schemeClr w14:val="tx1"/>
                  </w14:solidFill>
                </w14:textFill>
              </w:rPr>
              <w:t>0</w:t>
            </w:r>
            <w:r>
              <w:rPr>
                <w:rFonts w:ascii="宋体" w:hAnsi="宋体" w:eastAsia="宋体" w:cs="宋体"/>
                <w:color w:val="000000" w:themeColor="text1"/>
                <w:spacing w:val="438"/>
                <w:sz w:val="21"/>
                <w14:textFill>
                  <w14:solidFill>
                    <w14:schemeClr w14:val="tx1"/>
                  </w14:solidFill>
                </w14:textFill>
              </w:rPr>
              <w:t>0.00</w:t>
            </w:r>
            <w:r>
              <w:rPr>
                <w:rFonts w:ascii="宋体" w:hAnsi="宋体" w:eastAsia="宋体" w:cs="宋体"/>
                <w:color w:val="000000" w:themeColor="text1"/>
                <w:spacing w:val="0"/>
                <w:sz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3042" w:type="dxa"/>
            <w:tcBorders>
              <w:top w:val="single" w:color="000000" w:sz="0" w:space="0"/>
              <w:left w:val="single" w:color="000000" w:sz="0" w:space="0"/>
              <w:bottom w:val="single" w:color="000000" w:sz="0" w:space="0"/>
              <w:right w:val="single" w:color="000000" w:sz="0" w:space="0"/>
            </w:tcBorders>
            <w:tcMar>
              <w:top w:w="0" w:type="dxa"/>
              <w:left w:w="108" w:type="dxa"/>
              <w:bottom w:w="0" w:type="dxa"/>
              <w:right w:w="108" w:type="dxa"/>
            </w:tcMar>
            <w:tcFitText/>
            <w:vAlign w:val="center"/>
          </w:tcPr>
          <w:p>
            <w:pPr>
              <w:pStyle w:val="27"/>
              <w:jc w:val="distribute"/>
              <w:rPr>
                <w:rFonts w:ascii="宋体" w:hAnsi="宋体" w:eastAsia="宋体" w:cs="宋体"/>
                <w:color w:val="000000" w:themeColor="text1"/>
                <w:sz w:val="21"/>
                <w14:textFill>
                  <w14:solidFill>
                    <w14:schemeClr w14:val="tx1"/>
                  </w14:solidFill>
                </w14:textFill>
              </w:rPr>
            </w:pPr>
            <w:r>
              <w:rPr>
                <w:rFonts w:ascii="宋体" w:hAnsi="宋体" w:eastAsia="宋体" w:cs="宋体"/>
                <w:color w:val="000000" w:themeColor="text1"/>
                <w:spacing w:val="150"/>
                <w:sz w:val="21"/>
                <w14:textFill>
                  <w14:solidFill>
                    <w14:schemeClr w14:val="tx1"/>
                  </w14:solidFill>
                </w14:textFill>
              </w:rPr>
              <w:t>价格评分权</w:t>
            </w:r>
            <w:r>
              <w:rPr>
                <w:rFonts w:ascii="宋体" w:hAnsi="宋体" w:eastAsia="宋体" w:cs="宋体"/>
                <w:color w:val="000000" w:themeColor="text1"/>
                <w:spacing w:val="22"/>
                <w:sz w:val="21"/>
                <w14:textFill>
                  <w14:solidFill>
                    <w14:schemeClr w14:val="tx1"/>
                  </w14:solidFill>
                </w14:textFill>
              </w:rPr>
              <w:t>重</w:t>
            </w:r>
          </w:p>
        </w:tc>
        <w:tc>
          <w:tcPr>
            <w:tcW w:w="2431" w:type="dxa"/>
            <w:tcBorders>
              <w:top w:val="single" w:color="000000" w:sz="0" w:space="0"/>
              <w:left w:val="single" w:color="000000" w:sz="0" w:space="0"/>
              <w:bottom w:val="single" w:color="000000" w:sz="0" w:space="0"/>
              <w:right w:val="single" w:color="000000" w:sz="0" w:space="0"/>
            </w:tcBorders>
            <w:tcMar>
              <w:top w:w="0" w:type="dxa"/>
              <w:left w:w="108" w:type="dxa"/>
              <w:bottom w:w="0" w:type="dxa"/>
              <w:right w:w="108" w:type="dxa"/>
            </w:tcMar>
            <w:tcFitText/>
            <w:vAlign w:val="center"/>
          </w:tcPr>
          <w:p>
            <w:pPr>
              <w:pStyle w:val="27"/>
              <w:jc w:val="distribute"/>
              <w:rPr>
                <w:rFonts w:ascii="宋体" w:hAnsi="宋体" w:eastAsia="宋体" w:cs="宋体"/>
                <w:color w:val="000000" w:themeColor="text1"/>
                <w:sz w:val="21"/>
                <w14:textFill>
                  <w14:solidFill>
                    <w14:schemeClr w14:val="tx1"/>
                  </w14:solidFill>
                </w14:textFill>
              </w:rPr>
            </w:pPr>
            <w:r>
              <w:rPr>
                <w:rFonts w:ascii="宋体" w:hAnsi="宋体" w:eastAsia="宋体" w:cs="宋体"/>
                <w:color w:val="000000" w:themeColor="text1"/>
                <w:spacing w:val="1980"/>
                <w:sz w:val="21"/>
                <w14:textFill>
                  <w14:solidFill>
                    <w14:schemeClr w14:val="tx1"/>
                  </w14:solidFill>
                </w14:textFill>
              </w:rPr>
              <w:t>K</w:t>
            </w:r>
            <w:r>
              <w:rPr>
                <w:rFonts w:ascii="宋体" w:hAnsi="宋体" w:eastAsia="宋体" w:cs="宋体"/>
                <w:color w:val="000000" w:themeColor="text1"/>
                <w:sz w:val="21"/>
                <w14:textFill>
                  <w14:solidFill>
                    <w14:schemeClr w14:val="tx1"/>
                  </w14:solidFill>
                </w14:textFill>
              </w:rPr>
              <w:t>p</w:t>
            </w:r>
          </w:p>
        </w:tc>
        <w:tc>
          <w:tcPr>
            <w:tcW w:w="3049" w:type="dxa"/>
            <w:tcBorders>
              <w:top w:val="single" w:color="000000" w:sz="0" w:space="0"/>
              <w:left w:val="single" w:color="000000" w:sz="0" w:space="0"/>
              <w:bottom w:val="single" w:color="000000" w:sz="0" w:space="0"/>
              <w:right w:val="single" w:color="000000" w:sz="0" w:space="0"/>
            </w:tcBorders>
            <w:tcMar>
              <w:top w:w="0" w:type="dxa"/>
              <w:left w:w="108" w:type="dxa"/>
              <w:bottom w:w="0" w:type="dxa"/>
              <w:right w:w="108" w:type="dxa"/>
            </w:tcMar>
            <w:tcFitText/>
            <w:vAlign w:val="center"/>
          </w:tcPr>
          <w:p>
            <w:pPr>
              <w:pStyle w:val="27"/>
              <w:jc w:val="distribute"/>
              <w:rPr>
                <w:rFonts w:ascii="宋体" w:hAnsi="宋体" w:eastAsia="宋体" w:cs="宋体"/>
                <w:color w:val="000000" w:themeColor="text1"/>
                <w:spacing w:val="0"/>
                <w:sz w:val="21"/>
                <w14:textFill>
                  <w14:solidFill>
                    <w14:schemeClr w14:val="tx1"/>
                  </w14:solidFill>
                </w14:textFill>
              </w:rPr>
            </w:pPr>
            <w:r>
              <w:rPr>
                <w:rFonts w:hint="eastAsia" w:ascii="宋体" w:hAnsi="宋体" w:eastAsia="宋体" w:cs="宋体"/>
                <w:color w:val="000000" w:themeColor="text1"/>
                <w:spacing w:val="438"/>
                <w:sz w:val="21"/>
                <w:lang w:val="en-US" w:eastAsia="zh-CN"/>
                <w14:textFill>
                  <w14:solidFill>
                    <w14:schemeClr w14:val="tx1"/>
                  </w14:solidFill>
                </w14:textFill>
              </w:rPr>
              <w:t>5</w:t>
            </w:r>
            <w:bookmarkStart w:id="11" w:name="_GoBack"/>
            <w:bookmarkEnd w:id="11"/>
            <w:r>
              <w:rPr>
                <w:rFonts w:ascii="宋体" w:hAnsi="宋体" w:eastAsia="宋体" w:cs="宋体"/>
                <w:color w:val="000000" w:themeColor="text1"/>
                <w:spacing w:val="438"/>
                <w:sz w:val="21"/>
                <w14:textFill>
                  <w14:solidFill>
                    <w14:schemeClr w14:val="tx1"/>
                  </w14:solidFill>
                </w14:textFill>
              </w:rPr>
              <w:t>0.00</w:t>
            </w:r>
            <w:r>
              <w:rPr>
                <w:rFonts w:ascii="宋体" w:hAnsi="宋体" w:eastAsia="宋体" w:cs="宋体"/>
                <w:color w:val="000000" w:themeColor="text1"/>
                <w:spacing w:val="0"/>
                <w:sz w:val="21"/>
                <w14:textFill>
                  <w14:solidFill>
                    <w14:schemeClr w14:val="tx1"/>
                  </w14:solidFill>
                </w14:textFill>
              </w:rPr>
              <w:t>%</w:t>
            </w:r>
          </w:p>
        </w:tc>
      </w:tr>
    </w:tbl>
    <w:p>
      <w:pPr>
        <w:rPr>
          <w:sz w:val="20"/>
          <w:highlight w:val="white"/>
        </w:rPr>
      </w:pPr>
      <w:r>
        <w:rPr>
          <w:rFonts w:hint="eastAsia"/>
          <w:sz w:val="20"/>
          <w:highlight w:val="white"/>
        </w:rPr>
        <w:t xml:space="preserve"> </w:t>
      </w:r>
      <w:bookmarkEnd w:id="4"/>
    </w:p>
    <w:p>
      <w:pPr>
        <w:spacing w:line="360" w:lineRule="auto"/>
        <w:ind w:left="720" w:firstLine="720"/>
        <w:rPr>
          <w:sz w:val="24"/>
        </w:rPr>
      </w:pPr>
      <w:r>
        <w:rPr>
          <w:rFonts w:hint="eastAsia"/>
          <w:sz w:val="24"/>
          <w:highlight w:val="white"/>
        </w:rPr>
        <w:t>Ct(i)为第i个投标人的技术评分；</w:t>
      </w:r>
    </w:p>
    <w:p>
      <w:pPr>
        <w:spacing w:line="360" w:lineRule="auto"/>
        <w:ind w:left="720" w:firstLine="720"/>
        <w:rPr>
          <w:sz w:val="24"/>
        </w:rPr>
      </w:pPr>
      <w:r>
        <w:rPr>
          <w:rFonts w:hint="eastAsia"/>
          <w:sz w:val="24"/>
          <w:highlight w:val="white"/>
        </w:rPr>
        <w:t>Cc(i)为第i个投标人的商务评分；</w:t>
      </w:r>
    </w:p>
    <w:p>
      <w:pPr>
        <w:spacing w:line="360" w:lineRule="auto"/>
        <w:ind w:left="720" w:firstLine="720"/>
        <w:rPr>
          <w:sz w:val="24"/>
        </w:rPr>
      </w:pPr>
      <w:r>
        <w:rPr>
          <w:rFonts w:hint="eastAsia"/>
          <w:sz w:val="24"/>
          <w:highlight w:val="white"/>
        </w:rPr>
        <w:t>Cp(i)为第i个投标人的评标价格评分。</w:t>
      </w:r>
    </w:p>
    <w:p>
      <w:pPr>
        <w:spacing w:line="360" w:lineRule="auto"/>
        <w:ind w:firstLine="480" w:firstLineChars="200"/>
        <w:rPr>
          <w:bCs/>
          <w:sz w:val="24"/>
        </w:rPr>
      </w:pPr>
      <w:r>
        <w:rPr>
          <w:rFonts w:hint="eastAsia"/>
          <w:sz w:val="24"/>
          <w:highlight w:val="white"/>
        </w:rPr>
        <w:t>则：</w:t>
      </w:r>
      <w:r>
        <w:rPr>
          <w:rFonts w:hint="eastAsia"/>
          <w:bCs/>
          <w:sz w:val="24"/>
          <w:highlight w:val="white"/>
        </w:rPr>
        <w:t xml:space="preserve">  第i个投标人评标综合评分Cv(i)为:</w:t>
      </w:r>
    </w:p>
    <w:p>
      <w:pPr>
        <w:adjustRightInd w:val="0"/>
        <w:snapToGrid w:val="0"/>
        <w:spacing w:line="360" w:lineRule="auto"/>
        <w:ind w:firstLine="482" w:firstLineChars="200"/>
        <w:rPr>
          <w:b/>
          <w:bCs/>
          <w:sz w:val="24"/>
        </w:rPr>
      </w:pPr>
      <w:r>
        <w:rPr>
          <w:rFonts w:hint="eastAsia"/>
          <w:b/>
          <w:bCs/>
          <w:sz w:val="24"/>
          <w:highlight w:val="white"/>
        </w:rPr>
        <w:t>Cv(i)= Kt×Ct(i) + Kc×Cc(i) + Kp×Cp(i)</w:t>
      </w:r>
    </w:p>
    <w:p>
      <w:pPr>
        <w:adjustRightInd w:val="0"/>
        <w:snapToGrid w:val="0"/>
        <w:spacing w:line="360" w:lineRule="auto"/>
        <w:ind w:firstLine="480" w:firstLineChars="200"/>
        <w:rPr>
          <w:kern w:val="0"/>
          <w:sz w:val="24"/>
        </w:rPr>
      </w:pPr>
      <w:r>
        <w:rPr>
          <w:rFonts w:hint="eastAsia"/>
          <w:kern w:val="0"/>
          <w:sz w:val="24"/>
          <w:highlight w:val="white"/>
        </w:rPr>
        <w:t>计算出各投标人的综合评分，按综合评分由高到低进行排序。综合评分相同的，按下列原则比较确定：</w:t>
      </w:r>
    </w:p>
    <w:p>
      <w:pPr>
        <w:adjustRightInd w:val="0"/>
        <w:snapToGrid w:val="0"/>
        <w:spacing w:line="360" w:lineRule="auto"/>
        <w:ind w:firstLine="480" w:firstLineChars="200"/>
        <w:rPr>
          <w:kern w:val="0"/>
          <w:sz w:val="24"/>
        </w:rPr>
      </w:pPr>
      <w:r>
        <w:rPr>
          <w:rFonts w:hint="eastAsia"/>
          <w:kern w:val="0"/>
          <w:sz w:val="24"/>
          <w:highlight w:val="white"/>
        </w:rPr>
        <w:t>（1）投标报价低者优先(有报价修正的，以修正后的报价为准；可抵扣的增值税率不同的或报价分项中列明多个增值税税率的，均以扣减增值税后的报价为准）；</w:t>
      </w:r>
    </w:p>
    <w:p>
      <w:pPr>
        <w:adjustRightInd w:val="0"/>
        <w:snapToGrid w:val="0"/>
        <w:spacing w:line="360" w:lineRule="auto"/>
        <w:ind w:firstLine="480" w:firstLineChars="200"/>
        <w:rPr>
          <w:kern w:val="0"/>
          <w:sz w:val="24"/>
        </w:rPr>
      </w:pPr>
      <w:r>
        <w:rPr>
          <w:rFonts w:hint="eastAsia"/>
          <w:kern w:val="0"/>
          <w:sz w:val="24"/>
          <w:highlight w:val="white"/>
        </w:rPr>
        <w:t>（2）投标报价相同的(有报价修正的，以修正后的报价为准；可抵扣的增值税率不同的或报价分项中列明多个增值税税率的，均以扣减增值税后的报价为准），以技术评分高者优先。</w:t>
      </w:r>
    </w:p>
    <w:p>
      <w:pPr>
        <w:pStyle w:val="6"/>
        <w:keepNext w:val="0"/>
        <w:keepLines w:val="0"/>
        <w:numPr>
          <w:ilvl w:val="0"/>
          <w:numId w:val="0"/>
        </w:numPr>
        <w:tabs>
          <w:tab w:val="left" w:pos="420"/>
        </w:tabs>
        <w:adjustRightInd w:val="0"/>
        <w:snapToGrid w:val="0"/>
        <w:spacing w:before="0" w:after="0"/>
        <w:ind w:left="1008" w:hanging="1008"/>
        <w:rPr>
          <w:sz w:val="24"/>
          <w:szCs w:val="24"/>
        </w:rPr>
      </w:pPr>
      <w:r>
        <w:rPr>
          <w:rFonts w:hint="eastAsia"/>
          <w:sz w:val="24"/>
          <w:szCs w:val="24"/>
          <w:highlight w:val="white"/>
        </w:rPr>
        <w:t>2.</w:t>
      </w:r>
      <w:r>
        <w:rPr>
          <w:sz w:val="24"/>
          <w:szCs w:val="24"/>
          <w:highlight w:val="white"/>
        </w:rPr>
        <w:t>3</w:t>
      </w:r>
      <w:r>
        <w:rPr>
          <w:rFonts w:hint="eastAsia"/>
          <w:sz w:val="24"/>
          <w:szCs w:val="24"/>
          <w:highlight w:val="white"/>
        </w:rPr>
        <w:t>.5.2 编写综合评标报告</w:t>
      </w:r>
    </w:p>
    <w:p>
      <w:pPr>
        <w:adjustRightInd w:val="0"/>
        <w:snapToGrid w:val="0"/>
        <w:spacing w:line="360" w:lineRule="auto"/>
        <w:ind w:firstLine="540" w:firstLineChars="225"/>
        <w:rPr>
          <w:bCs/>
          <w:sz w:val="24"/>
          <w:szCs w:val="24"/>
        </w:rPr>
      </w:pPr>
      <w:r>
        <w:rPr>
          <w:rFonts w:hint="eastAsia"/>
          <w:bCs/>
          <w:sz w:val="24"/>
          <w:highlight w:val="white"/>
        </w:rPr>
        <w:t>评标委员会负责编写综合评标报告，内容包括：</w:t>
      </w:r>
    </w:p>
    <w:p>
      <w:pPr>
        <w:adjustRightInd w:val="0"/>
        <w:snapToGrid w:val="0"/>
        <w:spacing w:line="360" w:lineRule="auto"/>
        <w:ind w:firstLine="480" w:firstLineChars="200"/>
        <w:rPr>
          <w:sz w:val="24"/>
        </w:rPr>
      </w:pPr>
      <w:r>
        <w:rPr>
          <w:rFonts w:hint="eastAsia"/>
          <w:sz w:val="24"/>
          <w:highlight w:val="white"/>
        </w:rPr>
        <w:t>（1）基本情况（包括</w:t>
      </w:r>
      <w:bookmarkStart w:id="5" w:name="_Toc486615566"/>
      <w:r>
        <w:rPr>
          <w:rFonts w:hint="eastAsia"/>
          <w:sz w:val="24"/>
          <w:highlight w:val="white"/>
        </w:rPr>
        <w:t>发标、开标及评标准备情况</w:t>
      </w:r>
      <w:bookmarkEnd w:id="5"/>
      <w:bookmarkStart w:id="6" w:name="_Toc486615567"/>
      <w:r>
        <w:rPr>
          <w:rFonts w:hint="eastAsia"/>
          <w:sz w:val="24"/>
          <w:highlight w:val="white"/>
        </w:rPr>
        <w:t>，招标组织机构</w:t>
      </w:r>
      <w:bookmarkEnd w:id="6"/>
      <w:r>
        <w:rPr>
          <w:rFonts w:hint="eastAsia"/>
          <w:sz w:val="24"/>
          <w:highlight w:val="white"/>
        </w:rPr>
        <w:t>，评标方法简述）；</w:t>
      </w:r>
    </w:p>
    <w:p>
      <w:pPr>
        <w:adjustRightInd w:val="0"/>
        <w:snapToGrid w:val="0"/>
        <w:spacing w:line="360" w:lineRule="auto"/>
        <w:ind w:firstLine="480" w:firstLineChars="200"/>
        <w:rPr>
          <w:sz w:val="24"/>
        </w:rPr>
      </w:pPr>
      <w:r>
        <w:rPr>
          <w:rFonts w:hint="eastAsia"/>
          <w:sz w:val="24"/>
          <w:highlight w:val="white"/>
        </w:rPr>
        <w:t>（2）招标范围、工期/供货日期；</w:t>
      </w:r>
    </w:p>
    <w:p>
      <w:pPr>
        <w:adjustRightInd w:val="0"/>
        <w:snapToGrid w:val="0"/>
        <w:spacing w:line="360" w:lineRule="auto"/>
        <w:ind w:firstLine="480" w:firstLineChars="200"/>
        <w:rPr>
          <w:sz w:val="24"/>
        </w:rPr>
      </w:pPr>
      <w:r>
        <w:rPr>
          <w:rFonts w:hint="eastAsia"/>
          <w:sz w:val="24"/>
          <w:highlight w:val="white"/>
        </w:rPr>
        <w:t xml:space="preserve">（3）开标一览表； </w:t>
      </w:r>
    </w:p>
    <w:p>
      <w:pPr>
        <w:adjustRightInd w:val="0"/>
        <w:snapToGrid w:val="0"/>
        <w:spacing w:line="360" w:lineRule="auto"/>
        <w:ind w:firstLine="480" w:firstLineChars="200"/>
        <w:rPr>
          <w:sz w:val="24"/>
        </w:rPr>
      </w:pPr>
      <w:r>
        <w:rPr>
          <w:rFonts w:hint="eastAsia"/>
          <w:sz w:val="24"/>
          <w:highlight w:val="white"/>
        </w:rPr>
        <w:t>（4）初步评审；</w:t>
      </w:r>
    </w:p>
    <w:p>
      <w:pPr>
        <w:adjustRightInd w:val="0"/>
        <w:snapToGrid w:val="0"/>
        <w:spacing w:line="360" w:lineRule="auto"/>
        <w:ind w:firstLine="480" w:firstLineChars="200"/>
        <w:rPr>
          <w:sz w:val="24"/>
        </w:rPr>
      </w:pPr>
      <w:r>
        <w:rPr>
          <w:rFonts w:hint="eastAsia"/>
          <w:sz w:val="24"/>
          <w:highlight w:val="white"/>
        </w:rPr>
        <w:t>（5）其他否决投标情况及说明；</w:t>
      </w:r>
    </w:p>
    <w:p>
      <w:pPr>
        <w:adjustRightInd w:val="0"/>
        <w:snapToGrid w:val="0"/>
        <w:spacing w:line="360" w:lineRule="auto"/>
        <w:ind w:firstLine="480" w:firstLineChars="200"/>
        <w:rPr>
          <w:sz w:val="24"/>
        </w:rPr>
      </w:pPr>
      <w:r>
        <w:rPr>
          <w:rFonts w:hint="eastAsia"/>
          <w:sz w:val="24"/>
          <w:highlight w:val="white"/>
        </w:rPr>
        <w:t>（6）综合排序一览表</w:t>
      </w:r>
    </w:p>
    <w:p>
      <w:pPr>
        <w:adjustRightInd w:val="0"/>
        <w:snapToGrid w:val="0"/>
        <w:spacing w:line="360" w:lineRule="auto"/>
        <w:ind w:firstLine="480" w:firstLineChars="200"/>
        <w:rPr>
          <w:sz w:val="24"/>
        </w:rPr>
      </w:pPr>
      <w:r>
        <w:rPr>
          <w:rFonts w:hint="eastAsia"/>
          <w:sz w:val="24"/>
          <w:highlight w:val="white"/>
        </w:rPr>
        <w:t>（7）推荐的中标候选人名单；</w:t>
      </w:r>
    </w:p>
    <w:p>
      <w:pPr>
        <w:adjustRightInd w:val="0"/>
        <w:snapToGrid w:val="0"/>
        <w:spacing w:line="360" w:lineRule="auto"/>
        <w:ind w:firstLine="480" w:firstLineChars="200"/>
        <w:rPr>
          <w:sz w:val="24"/>
        </w:rPr>
      </w:pPr>
      <w:r>
        <w:rPr>
          <w:rFonts w:hint="eastAsia"/>
          <w:sz w:val="24"/>
          <w:highlight w:val="white"/>
        </w:rPr>
        <w:t>（8）签订合同前要处理的事宜；</w:t>
      </w:r>
    </w:p>
    <w:p>
      <w:pPr>
        <w:adjustRightInd w:val="0"/>
        <w:snapToGrid w:val="0"/>
        <w:spacing w:line="360" w:lineRule="auto"/>
        <w:ind w:firstLine="480" w:firstLineChars="200"/>
        <w:rPr>
          <w:sz w:val="24"/>
        </w:rPr>
      </w:pPr>
      <w:r>
        <w:rPr>
          <w:rFonts w:hint="eastAsia"/>
          <w:sz w:val="24"/>
          <w:highlight w:val="white"/>
        </w:rPr>
        <w:t>（9）</w:t>
      </w:r>
      <w:bookmarkStart w:id="7" w:name="_Toc490740055"/>
      <w:r>
        <w:rPr>
          <w:rFonts w:hint="eastAsia"/>
          <w:sz w:val="24"/>
          <w:highlight w:val="white"/>
        </w:rPr>
        <w:t>重要澄清、说明或补正事项纪要</w:t>
      </w:r>
      <w:bookmarkEnd w:id="7"/>
      <w:r>
        <w:rPr>
          <w:rFonts w:hint="eastAsia"/>
          <w:sz w:val="24"/>
          <w:highlight w:val="white"/>
        </w:rPr>
        <w:t>。</w:t>
      </w:r>
    </w:p>
    <w:p>
      <w:pPr>
        <w:pStyle w:val="4"/>
        <w:keepNext w:val="0"/>
        <w:keepLines w:val="0"/>
        <w:adjustRightInd w:val="0"/>
        <w:snapToGrid w:val="0"/>
        <w:spacing w:before="0" w:after="0"/>
        <w:rPr>
          <w:sz w:val="24"/>
          <w:szCs w:val="24"/>
        </w:rPr>
      </w:pPr>
      <w:r>
        <w:rPr>
          <w:rFonts w:hint="eastAsia"/>
          <w:sz w:val="24"/>
          <w:szCs w:val="24"/>
          <w:highlight w:val="white"/>
        </w:rPr>
        <w:t>2.</w:t>
      </w:r>
      <w:r>
        <w:rPr>
          <w:sz w:val="24"/>
          <w:szCs w:val="24"/>
          <w:highlight w:val="white"/>
        </w:rPr>
        <w:t>4</w:t>
      </w:r>
      <w:r>
        <w:rPr>
          <w:rFonts w:hint="eastAsia"/>
          <w:sz w:val="24"/>
          <w:szCs w:val="24"/>
          <w:highlight w:val="white"/>
        </w:rPr>
        <w:t xml:space="preserve"> 澄清</w:t>
      </w:r>
    </w:p>
    <w:p>
      <w:pPr>
        <w:adjustRightInd w:val="0"/>
        <w:snapToGrid w:val="0"/>
        <w:spacing w:line="360" w:lineRule="auto"/>
        <w:ind w:firstLine="480" w:firstLineChars="200"/>
        <w:textAlignment w:val="baseline"/>
        <w:rPr>
          <w:sz w:val="24"/>
          <w:highlight w:val="white"/>
        </w:rPr>
      </w:pPr>
      <w:r>
        <w:rPr>
          <w:rFonts w:hint="eastAsia"/>
          <w:sz w:val="24"/>
          <w:highlight w:val="white"/>
        </w:rPr>
        <w:t>评标期间，投标文件中有含义不明确的内容、明显文字或者计算错误，评标委员会认为需要投标人作出必要澄清、说明的，应当书面通知该投标人。投标人的澄清、说明应当采用书面形式,并不得超出投标文件的范围或者改变投标文件的实质性内容。评标委员会不得暗示或者诱导投标人作出澄清、说明，不得接受投标人主动提出的澄清、说明。</w:t>
      </w:r>
    </w:p>
    <w:p>
      <w:pPr>
        <w:adjustRightInd w:val="0"/>
        <w:snapToGrid w:val="0"/>
        <w:spacing w:line="360" w:lineRule="auto"/>
        <w:ind w:firstLine="480" w:firstLineChars="200"/>
        <w:textAlignment w:val="baseline"/>
        <w:rPr>
          <w:sz w:val="24"/>
          <w:highlight w:val="white"/>
        </w:rPr>
      </w:pPr>
      <w:r>
        <w:rPr>
          <w:rFonts w:hint="eastAsia"/>
          <w:sz w:val="24"/>
          <w:highlight w:val="white"/>
        </w:rPr>
        <w:t>前款所述的“书面通知”及“书面形式”的澄清、说明均通过</w:t>
      </w:r>
      <w:bookmarkStart w:id="8" w:name="_Hlk518372825"/>
      <w:r>
        <w:rPr>
          <w:rFonts w:hint="eastAsia"/>
          <w:sz w:val="24"/>
          <w:highlight w:val="white"/>
        </w:rPr>
        <w:t>华润守正电子招标平台</w:t>
      </w:r>
      <w:bookmarkEnd w:id="8"/>
      <w:r>
        <w:rPr>
          <w:rFonts w:hint="eastAsia"/>
          <w:sz w:val="24"/>
          <w:highlight w:val="white"/>
        </w:rPr>
        <w:t>进行传递。评标期间，投标人应随时登录华润守正电子招标平台、关注待办事项。</w:t>
      </w:r>
    </w:p>
    <w:p>
      <w:pPr>
        <w:adjustRightInd w:val="0"/>
        <w:snapToGrid w:val="0"/>
        <w:spacing w:line="360" w:lineRule="auto"/>
        <w:ind w:firstLine="480" w:firstLineChars="200"/>
        <w:textAlignment w:val="baseline"/>
        <w:rPr>
          <w:sz w:val="24"/>
          <w:highlight w:val="white"/>
        </w:rPr>
      </w:pPr>
      <w:r>
        <w:rPr>
          <w:rFonts w:hint="eastAsia"/>
          <w:sz w:val="24"/>
          <w:highlight w:val="white"/>
        </w:rPr>
        <w:t>对于专业组提出的澄清问题，经评标委员会主任确认后通过华润守正电子招标平台发送给投标人。投标人应根据评标委员会提出的问题进行澄清、说明，并在规定的时间内，将澄清回复文件通过华润守正电子招标平台向评标委员会提交。</w:t>
      </w:r>
    </w:p>
    <w:p>
      <w:pPr>
        <w:pStyle w:val="4"/>
        <w:keepNext w:val="0"/>
        <w:keepLines w:val="0"/>
        <w:adjustRightInd w:val="0"/>
        <w:snapToGrid w:val="0"/>
        <w:spacing w:before="0" w:after="0"/>
        <w:rPr>
          <w:sz w:val="24"/>
          <w:szCs w:val="24"/>
        </w:rPr>
      </w:pPr>
      <w:r>
        <w:rPr>
          <w:rFonts w:hint="eastAsia"/>
          <w:sz w:val="24"/>
          <w:szCs w:val="24"/>
          <w:highlight w:val="white"/>
        </w:rPr>
        <w:t>2.5 否决投标情形</w:t>
      </w:r>
    </w:p>
    <w:p>
      <w:pPr>
        <w:adjustRightInd w:val="0"/>
        <w:snapToGrid w:val="0"/>
        <w:spacing w:line="360" w:lineRule="auto"/>
        <w:ind w:firstLine="480" w:firstLineChars="200"/>
        <w:jc w:val="left"/>
        <w:rPr>
          <w:kern w:val="0"/>
          <w:sz w:val="24"/>
          <w:highlight w:val="red"/>
        </w:rPr>
      </w:pPr>
      <w:r>
        <w:rPr>
          <w:rFonts w:hint="eastAsia"/>
          <w:kern w:val="0"/>
          <w:sz w:val="24"/>
          <w:highlight w:val="white"/>
        </w:rPr>
        <w:t>评标期间，如发现投标人及其投标文件出现《中华人民共和国招标投标法》、《中华人民共和国招标投标法实施条例》、《评标委员会和评标方法暂行规定》等法律法规及招标文件所规定的无效投标、否决投标情形（如下表所示）之一的，评标委员会应否决其投标。</w:t>
      </w:r>
      <w:r>
        <w:rPr>
          <w:rFonts w:hint="eastAsia"/>
          <w:sz w:val="24"/>
          <w:highlight w:val="white"/>
        </w:rPr>
        <w:t>其中，主要否决投标条款如下：</w:t>
      </w:r>
    </w:p>
    <w:p>
      <w:pPr>
        <w:rPr>
          <w:highlight w:val="red"/>
        </w:rPr>
      </w:pPr>
      <w:bookmarkStart w:id="9" w:name="EBcdba1d5590c54f488cbb6a0c72d5782d"/>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2"/>
        <w:gridCol w:w="6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692"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jc w:val="center"/>
              <w:rPr>
                <w:rFonts w:ascii="宋体" w:hAnsi="宋体" w:eastAsia="宋体" w:cs="宋体"/>
                <w:sz w:val="21"/>
              </w:rPr>
            </w:pPr>
            <w:r>
              <w:rPr>
                <w:rFonts w:ascii="宋体" w:hAnsi="宋体" w:eastAsia="宋体" w:cs="宋体"/>
                <w:sz w:val="21"/>
              </w:rPr>
              <w:t>序号</w:t>
            </w:r>
          </w:p>
        </w:tc>
        <w:tc>
          <w:tcPr>
            <w:tcW w:w="6830"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jc w:val="center"/>
              <w:rPr>
                <w:rFonts w:ascii="宋体" w:hAnsi="宋体" w:eastAsia="宋体" w:cs="宋体"/>
                <w:sz w:val="21"/>
              </w:rPr>
            </w:pPr>
            <w:r>
              <w:rPr>
                <w:rFonts w:ascii="宋体" w:hAnsi="宋体" w:eastAsia="宋体" w:cs="宋体"/>
                <w:sz w:val="21"/>
              </w:rPr>
              <w:t>否决投标条款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692"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jc w:val="center"/>
              <w:rPr>
                <w:rFonts w:ascii="宋体" w:hAnsi="宋体" w:eastAsia="宋体" w:cs="宋体"/>
                <w:sz w:val="21"/>
              </w:rPr>
            </w:pPr>
            <w:r>
              <w:rPr>
                <w:rFonts w:ascii="宋体" w:hAnsi="宋体" w:eastAsia="宋体" w:cs="宋体"/>
                <w:sz w:val="21"/>
              </w:rPr>
              <w:t>1</w:t>
            </w:r>
          </w:p>
        </w:tc>
        <w:tc>
          <w:tcPr>
            <w:tcW w:w="6830"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rPr>
                <w:rFonts w:ascii="宋体" w:hAnsi="宋体" w:eastAsia="宋体" w:cs="宋体"/>
                <w:sz w:val="21"/>
              </w:rPr>
            </w:pPr>
            <w:r>
              <w:rPr>
                <w:rFonts w:ascii="宋体" w:hAnsi="宋体" w:eastAsia="宋体" w:cs="宋体"/>
                <w:sz w:val="21"/>
              </w:rPr>
              <w:t>投标文件未经投标单位盖章和单位负责人签字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692"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jc w:val="center"/>
              <w:rPr>
                <w:rFonts w:ascii="宋体" w:hAnsi="宋体" w:eastAsia="宋体" w:cs="宋体"/>
                <w:sz w:val="21"/>
              </w:rPr>
            </w:pPr>
            <w:r>
              <w:rPr>
                <w:rFonts w:ascii="宋体" w:hAnsi="宋体" w:eastAsia="宋体" w:cs="宋体"/>
                <w:sz w:val="21"/>
              </w:rPr>
              <w:t>2</w:t>
            </w:r>
          </w:p>
        </w:tc>
        <w:tc>
          <w:tcPr>
            <w:tcW w:w="6830"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rPr>
                <w:rFonts w:ascii="宋体" w:hAnsi="宋体" w:eastAsia="宋体" w:cs="宋体"/>
                <w:sz w:val="21"/>
              </w:rPr>
            </w:pPr>
            <w:r>
              <w:rPr>
                <w:rFonts w:ascii="宋体" w:hAnsi="宋体" w:eastAsia="宋体" w:cs="宋体"/>
                <w:sz w:val="21"/>
              </w:rPr>
              <w:t>投标联合体没有提交共同投标协议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692"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jc w:val="center"/>
              <w:rPr>
                <w:rFonts w:ascii="宋体" w:hAnsi="宋体" w:eastAsia="宋体" w:cs="宋体"/>
                <w:sz w:val="21"/>
              </w:rPr>
            </w:pPr>
            <w:r>
              <w:rPr>
                <w:rFonts w:ascii="宋体" w:hAnsi="宋体" w:eastAsia="宋体" w:cs="宋体"/>
                <w:sz w:val="21"/>
              </w:rPr>
              <w:t>3</w:t>
            </w:r>
          </w:p>
        </w:tc>
        <w:tc>
          <w:tcPr>
            <w:tcW w:w="6830"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rPr>
                <w:rFonts w:ascii="宋体" w:hAnsi="宋体" w:eastAsia="宋体" w:cs="宋体"/>
                <w:sz w:val="21"/>
              </w:rPr>
            </w:pPr>
            <w:r>
              <w:rPr>
                <w:rFonts w:ascii="宋体" w:hAnsi="宋体" w:eastAsia="宋体" w:cs="宋体"/>
                <w:sz w:val="21"/>
              </w:rPr>
              <w:t>投标人不符合国家或者招标文件规定的资格条件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blHeader/>
        </w:trPr>
        <w:tc>
          <w:tcPr>
            <w:tcW w:w="1692"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jc w:val="center"/>
              <w:rPr>
                <w:rFonts w:ascii="宋体" w:hAnsi="宋体" w:eastAsia="宋体" w:cs="宋体"/>
                <w:sz w:val="21"/>
              </w:rPr>
            </w:pPr>
            <w:r>
              <w:rPr>
                <w:rFonts w:ascii="宋体" w:hAnsi="宋体" w:eastAsia="宋体" w:cs="宋体"/>
                <w:sz w:val="21"/>
              </w:rPr>
              <w:t>4</w:t>
            </w:r>
          </w:p>
        </w:tc>
        <w:tc>
          <w:tcPr>
            <w:tcW w:w="6830"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rPr>
                <w:rFonts w:ascii="宋体" w:hAnsi="宋体" w:eastAsia="宋体" w:cs="宋体"/>
                <w:sz w:val="21"/>
              </w:rPr>
            </w:pPr>
            <w:r>
              <w:rPr>
                <w:rFonts w:ascii="宋体" w:hAnsi="宋体" w:eastAsia="宋体" w:cs="宋体"/>
                <w:sz w:val="21"/>
              </w:rPr>
              <w:t>同一投标人提交两个以上不同的投标文件或者投标报价，但招标文件要求提交备选投标的除外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692"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jc w:val="center"/>
              <w:rPr>
                <w:rFonts w:ascii="宋体" w:hAnsi="宋体" w:eastAsia="宋体" w:cs="宋体"/>
                <w:sz w:val="21"/>
              </w:rPr>
            </w:pPr>
            <w:r>
              <w:rPr>
                <w:rFonts w:ascii="宋体" w:hAnsi="宋体" w:eastAsia="宋体" w:cs="宋体"/>
                <w:sz w:val="21"/>
              </w:rPr>
              <w:t>5</w:t>
            </w:r>
          </w:p>
        </w:tc>
        <w:tc>
          <w:tcPr>
            <w:tcW w:w="6830"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rPr>
                <w:rFonts w:ascii="宋体" w:hAnsi="宋体" w:eastAsia="宋体" w:cs="宋体"/>
                <w:sz w:val="21"/>
              </w:rPr>
            </w:pPr>
            <w:r>
              <w:rPr>
                <w:rFonts w:ascii="宋体" w:hAnsi="宋体" w:eastAsia="宋体" w:cs="宋体"/>
                <w:sz w:val="21"/>
              </w:rPr>
              <w:t>投标报价低于成本或者高于招标文件设定的最高投标限价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692"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jc w:val="center"/>
              <w:rPr>
                <w:rFonts w:ascii="宋体" w:hAnsi="宋体" w:eastAsia="宋体" w:cs="宋体"/>
                <w:sz w:val="21"/>
              </w:rPr>
            </w:pPr>
            <w:r>
              <w:rPr>
                <w:rFonts w:ascii="宋体" w:hAnsi="宋体" w:eastAsia="宋体" w:cs="宋体"/>
                <w:sz w:val="21"/>
              </w:rPr>
              <w:t>6</w:t>
            </w:r>
          </w:p>
        </w:tc>
        <w:tc>
          <w:tcPr>
            <w:tcW w:w="6830"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rPr>
                <w:rFonts w:ascii="宋体" w:hAnsi="宋体" w:eastAsia="宋体" w:cs="宋体"/>
                <w:sz w:val="21"/>
              </w:rPr>
            </w:pPr>
            <w:r>
              <w:rPr>
                <w:rFonts w:ascii="宋体" w:hAnsi="宋体" w:eastAsia="宋体" w:cs="宋体"/>
                <w:sz w:val="21"/>
              </w:rPr>
              <w:t>投标文件没有对招标文件的实质性要求和条件作出响应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692"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jc w:val="center"/>
              <w:rPr>
                <w:rFonts w:ascii="宋体" w:hAnsi="宋体" w:eastAsia="宋体" w:cs="宋体"/>
                <w:sz w:val="21"/>
              </w:rPr>
            </w:pPr>
            <w:r>
              <w:rPr>
                <w:rFonts w:ascii="宋体" w:hAnsi="宋体" w:eastAsia="宋体" w:cs="宋体"/>
                <w:sz w:val="21"/>
              </w:rPr>
              <w:t>7</w:t>
            </w:r>
          </w:p>
        </w:tc>
        <w:tc>
          <w:tcPr>
            <w:tcW w:w="6830"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rPr>
                <w:rFonts w:ascii="宋体" w:hAnsi="宋体" w:eastAsia="宋体" w:cs="宋体"/>
                <w:sz w:val="21"/>
              </w:rPr>
            </w:pPr>
            <w:r>
              <w:rPr>
                <w:rFonts w:ascii="宋体" w:hAnsi="宋体" w:eastAsia="宋体" w:cs="宋体"/>
                <w:sz w:val="21"/>
              </w:rPr>
              <w:t>投标人有串通投标、弄虚作假、行贿等违法行为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692"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jc w:val="center"/>
              <w:rPr>
                <w:rFonts w:ascii="宋体" w:hAnsi="宋体" w:eastAsia="宋体" w:cs="宋体"/>
                <w:sz w:val="21"/>
              </w:rPr>
            </w:pPr>
            <w:r>
              <w:rPr>
                <w:rFonts w:ascii="宋体" w:hAnsi="宋体" w:eastAsia="宋体" w:cs="宋体"/>
                <w:sz w:val="21"/>
              </w:rPr>
              <w:t>8</w:t>
            </w:r>
          </w:p>
        </w:tc>
        <w:tc>
          <w:tcPr>
            <w:tcW w:w="6830"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rPr>
                <w:rFonts w:ascii="宋体" w:hAnsi="宋体" w:eastAsia="宋体" w:cs="宋体"/>
                <w:sz w:val="21"/>
              </w:rPr>
            </w:pPr>
            <w:r>
              <w:rPr>
                <w:rFonts w:ascii="宋体" w:hAnsi="宋体" w:eastAsia="宋体" w:cs="宋体"/>
                <w:sz w:val="21"/>
              </w:rPr>
              <w:t>投标人属于失信被执行人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 w:hRule="atLeast"/>
          <w:tblHeader/>
        </w:trPr>
        <w:tc>
          <w:tcPr>
            <w:tcW w:w="1692"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jc w:val="center"/>
              <w:rPr>
                <w:rFonts w:ascii="宋体" w:hAnsi="宋体" w:eastAsia="宋体" w:cs="宋体"/>
                <w:sz w:val="21"/>
              </w:rPr>
            </w:pPr>
            <w:r>
              <w:rPr>
                <w:rFonts w:ascii="宋体" w:hAnsi="宋体" w:eastAsia="宋体" w:cs="宋体"/>
                <w:sz w:val="21"/>
              </w:rPr>
              <w:t>9</w:t>
            </w:r>
          </w:p>
        </w:tc>
        <w:tc>
          <w:tcPr>
            <w:tcW w:w="6830" w:type="dxa"/>
            <w:tcBorders>
              <w:top w:val="single" w:color="000000" w:sz="0" w:space="0"/>
              <w:left w:val="single" w:color="000000" w:sz="0" w:space="0"/>
              <w:bottom w:val="single" w:color="000000" w:sz="0" w:space="0"/>
              <w:right w:val="single" w:color="000000" w:sz="0" w:space="0"/>
            </w:tcBorders>
            <w:tcMar>
              <w:top w:w="102" w:type="dxa"/>
              <w:bottom w:w="102" w:type="dxa"/>
            </w:tcMar>
            <w:vAlign w:val="center"/>
          </w:tcPr>
          <w:p>
            <w:pPr>
              <w:pStyle w:val="28"/>
              <w:rPr>
                <w:rFonts w:ascii="宋体" w:hAnsi="宋体" w:eastAsia="宋体" w:cs="宋体"/>
                <w:sz w:val="21"/>
              </w:rPr>
            </w:pPr>
            <w:r>
              <w:rPr>
                <w:rFonts w:ascii="宋体" w:hAnsi="宋体" w:eastAsia="宋体" w:cs="宋体"/>
                <w:sz w:val="21"/>
              </w:rPr>
              <w:t>单位负责人为同一人或者存在控股、管理关系的不同单位，参加同一标段投标或者未划分标段的同一招标项目投标的</w:t>
            </w:r>
          </w:p>
        </w:tc>
      </w:tr>
    </w:tbl>
    <w:p>
      <w:pPr>
        <w:rPr>
          <w:color w:val="000080"/>
          <w:sz w:val="20"/>
          <w:highlight w:val="white"/>
        </w:rPr>
      </w:pPr>
      <w:r>
        <w:rPr>
          <w:rFonts w:hint="eastAsia"/>
          <w:color w:val="000080"/>
          <w:sz w:val="20"/>
          <w:highlight w:val="white"/>
        </w:rPr>
        <w:t xml:space="preserve"> </w:t>
      </w:r>
      <w:bookmarkEnd w:id="9"/>
    </w:p>
    <w:p>
      <w:pPr>
        <w:adjustRightInd w:val="0"/>
        <w:snapToGrid w:val="0"/>
        <w:spacing w:line="360" w:lineRule="auto"/>
        <w:ind w:firstLine="480" w:firstLineChars="200"/>
        <w:jc w:val="left"/>
        <w:rPr>
          <w:bCs/>
          <w:kern w:val="0"/>
          <w:sz w:val="24"/>
        </w:rPr>
      </w:pPr>
      <w:r>
        <w:rPr>
          <w:rFonts w:hint="eastAsia"/>
          <w:kern w:val="0"/>
          <w:sz w:val="24"/>
          <w:highlight w:val="white"/>
        </w:rPr>
        <w:t>此外，投标人被政府部门、司法机关责令停业的，或被招投标活动政府行政监督部门暂停或取消投标资格的，或招标人不时发布的投标人违反招投标法行为被取消投标资格的，或财产被接管或冻结的，</w:t>
      </w:r>
      <w:r>
        <w:rPr>
          <w:rFonts w:hint="eastAsia"/>
          <w:sz w:val="24"/>
          <w:highlight w:val="white"/>
        </w:rPr>
        <w:t>或投标人在投标截止时间后实质性修改投标文件（包括技术方案、报价等），</w:t>
      </w:r>
      <w:r>
        <w:rPr>
          <w:rFonts w:hint="eastAsia"/>
          <w:kern w:val="0"/>
          <w:sz w:val="24"/>
          <w:highlight w:val="white"/>
        </w:rPr>
        <w:t>评标委员会应否决其投标。</w:t>
      </w:r>
    </w:p>
    <w:p>
      <w:pPr>
        <w:keepNext/>
        <w:keepLines/>
        <w:adjustRightInd w:val="0"/>
        <w:snapToGrid w:val="0"/>
        <w:spacing w:line="360" w:lineRule="auto"/>
        <w:outlineLvl w:val="2"/>
        <w:rPr>
          <w:rFonts w:cs="Calibri"/>
          <w:b/>
          <w:bCs/>
          <w:color w:val="auto"/>
          <w:sz w:val="24"/>
          <w:szCs w:val="24"/>
        </w:rPr>
      </w:pPr>
      <w:bookmarkStart w:id="10" w:name="_Toc446612764"/>
      <w:r>
        <w:rPr>
          <w:rFonts w:cs="Calibri"/>
          <w:b/>
          <w:bCs/>
          <w:color w:val="auto"/>
          <w:sz w:val="24"/>
          <w:szCs w:val="24"/>
        </w:rPr>
        <w:t>2.</w:t>
      </w:r>
      <w:r>
        <w:rPr>
          <w:rFonts w:hint="eastAsia" w:cs="Calibri"/>
          <w:b/>
          <w:bCs/>
          <w:color w:val="auto"/>
          <w:sz w:val="24"/>
          <w:szCs w:val="24"/>
        </w:rPr>
        <w:t>6</w:t>
      </w:r>
      <w:r>
        <w:rPr>
          <w:rFonts w:cs="Calibri"/>
          <w:b/>
          <w:bCs/>
          <w:color w:val="auto"/>
          <w:sz w:val="24"/>
          <w:szCs w:val="24"/>
        </w:rPr>
        <w:t>推荐的中标候选人名单</w:t>
      </w:r>
      <w:bookmarkEnd w:id="10"/>
    </w:p>
    <w:p>
      <w:pPr>
        <w:adjustRightInd w:val="0"/>
        <w:snapToGrid w:val="0"/>
        <w:spacing w:line="360" w:lineRule="auto"/>
        <w:ind w:firstLine="480" w:firstLineChars="200"/>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color w:val="auto"/>
          <w:sz w:val="24"/>
          <w:szCs w:val="24"/>
        </w:rPr>
        <w:t>由评标委员会根据评标报告综合排序推荐不超过三个中标候选人。</w:t>
      </w:r>
    </w:p>
    <w:p>
      <w:pPr>
        <w:keepNext/>
        <w:keepLines/>
        <w:adjustRightInd w:val="0"/>
        <w:snapToGrid w:val="0"/>
        <w:spacing w:line="360" w:lineRule="auto"/>
        <w:outlineLvl w:val="2"/>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szCs w:val="24"/>
        </w:rPr>
        <w:t>2.7定标</w:t>
      </w:r>
    </w:p>
    <w:p>
      <w:pPr>
        <w:adjustRightInd w:val="0"/>
        <w:snapToGrid w:val="0"/>
        <w:spacing w:line="360" w:lineRule="auto"/>
        <w:ind w:firstLine="480" w:firstLineChars="200"/>
        <w:rPr>
          <w:color w:val="auto"/>
        </w:rPr>
      </w:pPr>
      <w:r>
        <w:rPr>
          <w:rFonts w:hint="eastAsia" w:asciiTheme="minorEastAsia" w:hAnsiTheme="minorEastAsia" w:eastAsiaTheme="minorEastAsia" w:cstheme="minorEastAsia"/>
          <w:color w:val="auto"/>
          <w:sz w:val="24"/>
          <w:szCs w:val="24"/>
        </w:rPr>
        <w:t>评标委员会推荐不超过三个中标候选人，并标明排序，由采购（招标）委员会或招标人授权的评标委员会确定中标人。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ZWAdobeF">
    <w:altName w:val="AMGDT"/>
    <w:panose1 w:val="00000000000000000000"/>
    <w:charset w:val="00"/>
    <w:family w:val="auto"/>
    <w:pitch w:val="default"/>
    <w:sig w:usb0="00000000" w:usb1="00000000" w:usb2="00000000"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0B41D7"/>
    <w:multiLevelType w:val="multilevel"/>
    <w:tmpl w:val="6B0B41D7"/>
    <w:lvl w:ilvl="0" w:tentative="0">
      <w:start w:val="1"/>
      <w:numFmt w:val="decimal"/>
      <w:lvlText w:val="%1"/>
      <w:lvlJc w:val="left"/>
      <w:pPr>
        <w:tabs>
          <w:tab w:val="left" w:pos="432"/>
        </w:tabs>
        <w:ind w:left="432" w:hanging="432"/>
      </w:pPr>
      <w:rPr>
        <w:rFonts w:hint="eastAsia"/>
      </w:rPr>
    </w:lvl>
    <w:lvl w:ilvl="1" w:tentative="0">
      <w:start w:val="1"/>
      <w:numFmt w:val="decimal"/>
      <w:pStyle w:val="2"/>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pStyle w:val="5"/>
      <w:lvlText w:val="%1.%2.%3.%4"/>
      <w:lvlJc w:val="left"/>
      <w:pPr>
        <w:tabs>
          <w:tab w:val="left" w:pos="864"/>
        </w:tabs>
        <w:ind w:left="864" w:hanging="864"/>
      </w:pPr>
      <w:rPr>
        <w:rFonts w:hint="eastAsia"/>
      </w:rPr>
    </w:lvl>
    <w:lvl w:ilvl="4" w:tentative="0">
      <w:start w:val="1"/>
      <w:numFmt w:val="decimal"/>
      <w:pStyle w:val="6"/>
      <w:lvlText w:val="%1.%2.%3.%4.%5"/>
      <w:lvlJc w:val="left"/>
      <w:pPr>
        <w:tabs>
          <w:tab w:val="left" w:pos="1008"/>
        </w:tabs>
        <w:ind w:left="1008" w:hanging="1008"/>
      </w:pPr>
      <w:rPr>
        <w:rFonts w:hint="eastAsia"/>
      </w:rPr>
    </w:lvl>
    <w:lvl w:ilvl="5" w:tentative="0">
      <w:start w:val="1"/>
      <w:numFmt w:val="decimal"/>
      <w:pStyle w:val="7"/>
      <w:lvlText w:val="%1.%2.%3.%4.%5.%6"/>
      <w:lvlJc w:val="left"/>
      <w:pPr>
        <w:tabs>
          <w:tab w:val="left" w:pos="1152"/>
        </w:tabs>
        <w:ind w:left="1152" w:hanging="1152"/>
      </w:pPr>
      <w:rPr>
        <w:rFonts w:hint="eastAsia"/>
      </w:rPr>
    </w:lvl>
    <w:lvl w:ilvl="6" w:tentative="0">
      <w:start w:val="1"/>
      <w:numFmt w:val="decimal"/>
      <w:pStyle w:val="8"/>
      <w:lvlText w:val="%1.%2.%3.%4.%5.%6.%7"/>
      <w:lvlJc w:val="left"/>
      <w:pPr>
        <w:tabs>
          <w:tab w:val="left" w:pos="1296"/>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1OTgxODZmZjM2NTcyYWQxN2I2NDRlNDBiNjIzN2IifQ=="/>
  </w:docVars>
  <w:rsids>
    <w:rsidRoot w:val="00593D79"/>
    <w:rsid w:val="0006243F"/>
    <w:rsid w:val="00083C52"/>
    <w:rsid w:val="00092A04"/>
    <w:rsid w:val="000E2740"/>
    <w:rsid w:val="00120D31"/>
    <w:rsid w:val="00203F36"/>
    <w:rsid w:val="002121F1"/>
    <w:rsid w:val="00276425"/>
    <w:rsid w:val="002847D1"/>
    <w:rsid w:val="002C7E4F"/>
    <w:rsid w:val="002D40DB"/>
    <w:rsid w:val="002F0B94"/>
    <w:rsid w:val="00383350"/>
    <w:rsid w:val="003A649E"/>
    <w:rsid w:val="00420E5B"/>
    <w:rsid w:val="0042496F"/>
    <w:rsid w:val="00426CC0"/>
    <w:rsid w:val="005416B8"/>
    <w:rsid w:val="00593D79"/>
    <w:rsid w:val="00594D79"/>
    <w:rsid w:val="005C006E"/>
    <w:rsid w:val="005F0798"/>
    <w:rsid w:val="00605FAA"/>
    <w:rsid w:val="006A1604"/>
    <w:rsid w:val="006C5141"/>
    <w:rsid w:val="006D5063"/>
    <w:rsid w:val="006E34F2"/>
    <w:rsid w:val="00764465"/>
    <w:rsid w:val="00767221"/>
    <w:rsid w:val="00784868"/>
    <w:rsid w:val="007902C9"/>
    <w:rsid w:val="007E7B0D"/>
    <w:rsid w:val="008152E3"/>
    <w:rsid w:val="00865F52"/>
    <w:rsid w:val="008A2478"/>
    <w:rsid w:val="008A27F5"/>
    <w:rsid w:val="008D62B3"/>
    <w:rsid w:val="00917E8F"/>
    <w:rsid w:val="00926364"/>
    <w:rsid w:val="00927E1C"/>
    <w:rsid w:val="009A1887"/>
    <w:rsid w:val="00A062C4"/>
    <w:rsid w:val="00A30C03"/>
    <w:rsid w:val="00A7172F"/>
    <w:rsid w:val="00A80552"/>
    <w:rsid w:val="00A902BE"/>
    <w:rsid w:val="00A94ADA"/>
    <w:rsid w:val="00B143DD"/>
    <w:rsid w:val="00B96C9B"/>
    <w:rsid w:val="00BD1E59"/>
    <w:rsid w:val="00BD6617"/>
    <w:rsid w:val="00C131EB"/>
    <w:rsid w:val="00CA61BF"/>
    <w:rsid w:val="00CB4C44"/>
    <w:rsid w:val="00CF3CCC"/>
    <w:rsid w:val="00D21ABE"/>
    <w:rsid w:val="00D57082"/>
    <w:rsid w:val="00D95584"/>
    <w:rsid w:val="00DC4B43"/>
    <w:rsid w:val="00E2722B"/>
    <w:rsid w:val="00E53FF1"/>
    <w:rsid w:val="00E753A0"/>
    <w:rsid w:val="00EB3A4F"/>
    <w:rsid w:val="00F56FAF"/>
    <w:rsid w:val="00FB0202"/>
    <w:rsid w:val="00FE0563"/>
    <w:rsid w:val="00FE0A43"/>
    <w:rsid w:val="00FE2225"/>
    <w:rsid w:val="0C93635A"/>
    <w:rsid w:val="134C0C32"/>
    <w:rsid w:val="14B90269"/>
    <w:rsid w:val="19D8069E"/>
    <w:rsid w:val="22D556EE"/>
    <w:rsid w:val="22E024CF"/>
    <w:rsid w:val="23F81157"/>
    <w:rsid w:val="28F254BA"/>
    <w:rsid w:val="2CF30D31"/>
    <w:rsid w:val="30796B6E"/>
    <w:rsid w:val="347B2CCE"/>
    <w:rsid w:val="34F725E0"/>
    <w:rsid w:val="3CD33AFE"/>
    <w:rsid w:val="3D1E310D"/>
    <w:rsid w:val="411776C9"/>
    <w:rsid w:val="465F56D9"/>
    <w:rsid w:val="4D6F471F"/>
    <w:rsid w:val="4DD8688C"/>
    <w:rsid w:val="5CB73D3D"/>
    <w:rsid w:val="630C58F0"/>
    <w:rsid w:val="65213ECE"/>
    <w:rsid w:val="65AC5E16"/>
    <w:rsid w:val="6B4C06F6"/>
    <w:rsid w:val="6C5842BE"/>
    <w:rsid w:val="6D9914F3"/>
    <w:rsid w:val="72AE3DC9"/>
    <w:rsid w:val="74A768F9"/>
    <w:rsid w:val="7A527BCF"/>
    <w:rsid w:val="7D781A9B"/>
    <w:rsid w:val="7FBC2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1"/>
      <w:szCs w:val="22"/>
      <w:lang w:val="en-US" w:eastAsia="zh-CN" w:bidi="ar-SA"/>
    </w:rPr>
  </w:style>
  <w:style w:type="paragraph" w:styleId="2">
    <w:name w:val="heading 2"/>
    <w:basedOn w:val="1"/>
    <w:next w:val="3"/>
    <w:link w:val="16"/>
    <w:qFormat/>
    <w:uiPriority w:val="0"/>
    <w:pPr>
      <w:keepNext/>
      <w:keepLines/>
      <w:numPr>
        <w:ilvl w:val="1"/>
        <w:numId w:val="1"/>
      </w:numPr>
      <w:spacing w:before="260" w:after="260" w:line="416" w:lineRule="auto"/>
      <w:outlineLvl w:val="1"/>
    </w:pPr>
    <w:rPr>
      <w:b/>
      <w:sz w:val="32"/>
      <w:szCs w:val="20"/>
      <w:lang w:val="zh-CN"/>
    </w:rPr>
  </w:style>
  <w:style w:type="paragraph" w:styleId="4">
    <w:name w:val="heading 3"/>
    <w:basedOn w:val="1"/>
    <w:next w:val="3"/>
    <w:link w:val="17"/>
    <w:qFormat/>
    <w:uiPriority w:val="0"/>
    <w:pPr>
      <w:keepNext/>
      <w:keepLines/>
      <w:spacing w:before="260" w:after="260" w:line="416" w:lineRule="auto"/>
      <w:outlineLvl w:val="2"/>
    </w:pPr>
    <w:rPr>
      <w:b/>
      <w:sz w:val="32"/>
      <w:szCs w:val="20"/>
      <w:lang w:val="zh-CN"/>
    </w:rPr>
  </w:style>
  <w:style w:type="paragraph" w:styleId="5">
    <w:name w:val="heading 4"/>
    <w:basedOn w:val="1"/>
    <w:next w:val="3"/>
    <w:link w:val="18"/>
    <w:qFormat/>
    <w:uiPriority w:val="0"/>
    <w:pPr>
      <w:keepNext/>
      <w:keepLines/>
      <w:numPr>
        <w:ilvl w:val="3"/>
        <w:numId w:val="1"/>
      </w:numPr>
      <w:spacing w:before="280" w:after="290" w:line="376" w:lineRule="auto"/>
      <w:outlineLvl w:val="3"/>
    </w:pPr>
    <w:rPr>
      <w:b/>
      <w:sz w:val="28"/>
      <w:szCs w:val="20"/>
      <w:lang w:val="zh-CN"/>
    </w:rPr>
  </w:style>
  <w:style w:type="paragraph" w:styleId="6">
    <w:name w:val="heading 5"/>
    <w:basedOn w:val="1"/>
    <w:next w:val="3"/>
    <w:link w:val="19"/>
    <w:qFormat/>
    <w:uiPriority w:val="0"/>
    <w:pPr>
      <w:keepNext/>
      <w:keepLines/>
      <w:numPr>
        <w:ilvl w:val="4"/>
        <w:numId w:val="1"/>
      </w:numPr>
      <w:spacing w:before="280" w:after="290" w:line="376" w:lineRule="auto"/>
      <w:outlineLvl w:val="4"/>
    </w:pPr>
    <w:rPr>
      <w:b/>
      <w:sz w:val="28"/>
      <w:szCs w:val="20"/>
      <w:lang w:val="zh-CN"/>
    </w:rPr>
  </w:style>
  <w:style w:type="paragraph" w:styleId="7">
    <w:name w:val="heading 6"/>
    <w:basedOn w:val="1"/>
    <w:next w:val="3"/>
    <w:link w:val="20"/>
    <w:qFormat/>
    <w:uiPriority w:val="0"/>
    <w:pPr>
      <w:keepNext/>
      <w:keepLines/>
      <w:numPr>
        <w:ilvl w:val="5"/>
        <w:numId w:val="1"/>
      </w:numPr>
      <w:spacing w:before="240" w:after="64" w:line="320" w:lineRule="auto"/>
      <w:outlineLvl w:val="5"/>
    </w:pPr>
    <w:rPr>
      <w:b/>
      <w:sz w:val="24"/>
      <w:szCs w:val="20"/>
    </w:rPr>
  </w:style>
  <w:style w:type="paragraph" w:styleId="8">
    <w:name w:val="heading 7"/>
    <w:basedOn w:val="1"/>
    <w:next w:val="3"/>
    <w:link w:val="21"/>
    <w:qFormat/>
    <w:uiPriority w:val="99"/>
    <w:pPr>
      <w:keepNext/>
      <w:keepLines/>
      <w:numPr>
        <w:ilvl w:val="6"/>
        <w:numId w:val="1"/>
      </w:numPr>
      <w:spacing w:before="240" w:after="64" w:line="320" w:lineRule="auto"/>
      <w:outlineLvl w:val="6"/>
    </w:pPr>
    <w:rPr>
      <w:rFonts w:ascii="Wingdings" w:hAnsi="Wingdings" w:cs="Wingdings"/>
      <w:b/>
      <w:sz w:val="24"/>
      <w:szCs w:val="20"/>
    </w:rPr>
  </w:style>
  <w:style w:type="paragraph" w:styleId="9">
    <w:name w:val="heading 8"/>
    <w:basedOn w:val="1"/>
    <w:next w:val="3"/>
    <w:link w:val="22"/>
    <w:qFormat/>
    <w:uiPriority w:val="99"/>
    <w:pPr>
      <w:keepNext/>
      <w:keepLines/>
      <w:numPr>
        <w:ilvl w:val="7"/>
        <w:numId w:val="1"/>
      </w:numPr>
      <w:spacing w:before="240" w:after="64" w:line="320" w:lineRule="auto"/>
      <w:outlineLvl w:val="7"/>
    </w:pPr>
    <w:rPr>
      <w:rFonts w:ascii="Cambria Math" w:hAnsi="Cambria Math" w:eastAsia="ZWAdobeF" w:cs="Wingdings"/>
      <w:sz w:val="24"/>
      <w:szCs w:val="20"/>
    </w:rPr>
  </w:style>
  <w:style w:type="paragraph" w:styleId="10">
    <w:name w:val="heading 9"/>
    <w:basedOn w:val="1"/>
    <w:next w:val="3"/>
    <w:link w:val="23"/>
    <w:qFormat/>
    <w:uiPriority w:val="99"/>
    <w:pPr>
      <w:keepNext/>
      <w:keepLines/>
      <w:numPr>
        <w:ilvl w:val="8"/>
        <w:numId w:val="1"/>
      </w:numPr>
      <w:spacing w:before="240" w:after="64" w:line="320" w:lineRule="auto"/>
      <w:outlineLvl w:val="8"/>
    </w:pPr>
    <w:rPr>
      <w:rFonts w:ascii="Cambria Math" w:hAnsi="Cambria Math" w:eastAsia="ZWAdobeF" w:cs="Wingdings"/>
      <w:szCs w:val="20"/>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ind w:firstLine="420" w:firstLineChars="200"/>
    </w:pPr>
  </w:style>
  <w:style w:type="paragraph" w:styleId="11">
    <w:name w:val="footer"/>
    <w:basedOn w:val="1"/>
    <w:link w:val="30"/>
    <w:unhideWhenUsed/>
    <w:qFormat/>
    <w:uiPriority w:val="99"/>
    <w:pPr>
      <w:tabs>
        <w:tab w:val="center" w:pos="4153"/>
        <w:tab w:val="right" w:pos="8306"/>
      </w:tabs>
      <w:snapToGrid w:val="0"/>
      <w:jc w:val="left"/>
    </w:pPr>
    <w:rPr>
      <w:sz w:val="18"/>
      <w:szCs w:val="18"/>
    </w:rPr>
  </w:style>
  <w:style w:type="paragraph" w:styleId="12">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qFormat/>
    <w:uiPriority w:val="99"/>
    <w:rPr>
      <w:sz w:val="24"/>
    </w:rPr>
  </w:style>
  <w:style w:type="character" w:customStyle="1" w:styleId="16">
    <w:name w:val="标题 2 Char"/>
    <w:basedOn w:val="15"/>
    <w:link w:val="2"/>
    <w:qFormat/>
    <w:uiPriority w:val="0"/>
    <w:rPr>
      <w:rFonts w:ascii="宋体" w:hAnsi="宋体" w:eastAsia="宋体" w:cs="宋体"/>
      <w:b/>
      <w:sz w:val="32"/>
      <w:szCs w:val="20"/>
      <w:lang w:val="zh-CN" w:eastAsia="zh-CN"/>
    </w:rPr>
  </w:style>
  <w:style w:type="character" w:customStyle="1" w:styleId="17">
    <w:name w:val="标题 3 Char"/>
    <w:basedOn w:val="15"/>
    <w:link w:val="4"/>
    <w:qFormat/>
    <w:uiPriority w:val="0"/>
    <w:rPr>
      <w:rFonts w:ascii="宋体" w:hAnsi="宋体" w:eastAsia="宋体" w:cs="宋体"/>
      <w:b/>
      <w:sz w:val="32"/>
      <w:szCs w:val="20"/>
      <w:lang w:val="zh-CN" w:eastAsia="zh-CN"/>
    </w:rPr>
  </w:style>
  <w:style w:type="character" w:customStyle="1" w:styleId="18">
    <w:name w:val="标题 4 Char"/>
    <w:basedOn w:val="15"/>
    <w:link w:val="5"/>
    <w:qFormat/>
    <w:uiPriority w:val="0"/>
    <w:rPr>
      <w:rFonts w:ascii="宋体" w:hAnsi="宋体" w:eastAsia="宋体" w:cs="宋体"/>
      <w:b/>
      <w:sz w:val="28"/>
      <w:szCs w:val="20"/>
      <w:lang w:val="zh-CN" w:eastAsia="zh-CN"/>
    </w:rPr>
  </w:style>
  <w:style w:type="character" w:customStyle="1" w:styleId="19">
    <w:name w:val="标题 5 Char"/>
    <w:basedOn w:val="15"/>
    <w:link w:val="6"/>
    <w:qFormat/>
    <w:uiPriority w:val="0"/>
    <w:rPr>
      <w:rFonts w:ascii="宋体" w:hAnsi="宋体" w:eastAsia="宋体" w:cs="宋体"/>
      <w:b/>
      <w:sz w:val="28"/>
      <w:szCs w:val="20"/>
      <w:lang w:val="zh-CN" w:eastAsia="zh-CN"/>
    </w:rPr>
  </w:style>
  <w:style w:type="character" w:customStyle="1" w:styleId="20">
    <w:name w:val="标题 6 Char"/>
    <w:basedOn w:val="15"/>
    <w:link w:val="7"/>
    <w:qFormat/>
    <w:uiPriority w:val="0"/>
    <w:rPr>
      <w:rFonts w:ascii="宋体" w:hAnsi="宋体" w:eastAsia="宋体" w:cs="宋体"/>
      <w:b/>
      <w:sz w:val="24"/>
      <w:szCs w:val="20"/>
    </w:rPr>
  </w:style>
  <w:style w:type="character" w:customStyle="1" w:styleId="21">
    <w:name w:val="标题 7 Char"/>
    <w:basedOn w:val="15"/>
    <w:link w:val="8"/>
    <w:qFormat/>
    <w:uiPriority w:val="99"/>
    <w:rPr>
      <w:rFonts w:ascii="Wingdings" w:hAnsi="Wingdings" w:eastAsia="宋体" w:cs="Wingdings"/>
      <w:b/>
      <w:sz w:val="24"/>
      <w:szCs w:val="20"/>
    </w:rPr>
  </w:style>
  <w:style w:type="character" w:customStyle="1" w:styleId="22">
    <w:name w:val="标题 8 Char"/>
    <w:basedOn w:val="15"/>
    <w:link w:val="9"/>
    <w:qFormat/>
    <w:uiPriority w:val="99"/>
    <w:rPr>
      <w:rFonts w:ascii="Cambria Math" w:hAnsi="Cambria Math" w:eastAsia="ZWAdobeF" w:cs="Wingdings"/>
      <w:sz w:val="24"/>
      <w:szCs w:val="20"/>
    </w:rPr>
  </w:style>
  <w:style w:type="character" w:customStyle="1" w:styleId="23">
    <w:name w:val="标题 9 Char"/>
    <w:basedOn w:val="15"/>
    <w:link w:val="10"/>
    <w:qFormat/>
    <w:uiPriority w:val="99"/>
    <w:rPr>
      <w:rFonts w:ascii="Cambria Math" w:hAnsi="Cambria Math" w:eastAsia="ZWAdobeF" w:cs="Wingdings"/>
      <w:szCs w:val="20"/>
    </w:rPr>
  </w:style>
  <w:style w:type="paragraph" w:customStyle="1" w:styleId="24">
    <w:name w:val="正文1"/>
    <w:qFormat/>
    <w:uiPriority w:val="0"/>
    <w:rPr>
      <w:rFonts w:ascii="Times New Roman" w:hAnsi="Times New Roman" w:eastAsia="Times New Roman" w:cs="Times New Roman"/>
      <w:sz w:val="24"/>
      <w:szCs w:val="24"/>
      <w:lang w:val="en-US" w:eastAsia="zh-CN" w:bidi="ar-SA"/>
    </w:rPr>
  </w:style>
  <w:style w:type="paragraph" w:customStyle="1" w:styleId="25">
    <w:name w:val="Normal_1"/>
    <w:qFormat/>
    <w:uiPriority w:val="0"/>
    <w:rPr>
      <w:rFonts w:ascii="Times New Roman" w:hAnsi="Times New Roman" w:eastAsia="Times New Roman" w:cs="Times New Roman"/>
      <w:sz w:val="24"/>
      <w:szCs w:val="24"/>
      <w:lang w:val="en-US" w:eastAsia="zh-CN" w:bidi="ar-SA"/>
    </w:rPr>
  </w:style>
  <w:style w:type="paragraph" w:customStyle="1" w:styleId="26">
    <w:name w:val="Normal_2"/>
    <w:qFormat/>
    <w:uiPriority w:val="0"/>
    <w:rPr>
      <w:rFonts w:ascii="Times New Roman" w:hAnsi="Times New Roman" w:eastAsia="Times New Roman" w:cs="Times New Roman"/>
      <w:sz w:val="24"/>
      <w:szCs w:val="24"/>
      <w:lang w:val="en-US" w:eastAsia="zh-CN" w:bidi="ar-SA"/>
    </w:rPr>
  </w:style>
  <w:style w:type="paragraph" w:customStyle="1" w:styleId="27">
    <w:name w:val="Normal_4"/>
    <w:qFormat/>
    <w:uiPriority w:val="0"/>
    <w:rPr>
      <w:rFonts w:ascii="Times New Roman" w:hAnsi="Times New Roman" w:eastAsia="Times New Roman" w:cs="Times New Roman"/>
      <w:sz w:val="24"/>
      <w:szCs w:val="24"/>
      <w:lang w:val="en-US" w:eastAsia="zh-CN" w:bidi="ar-SA"/>
    </w:rPr>
  </w:style>
  <w:style w:type="paragraph" w:customStyle="1" w:styleId="28">
    <w:name w:val="Normal_6"/>
    <w:qFormat/>
    <w:uiPriority w:val="0"/>
    <w:rPr>
      <w:rFonts w:ascii="Times New Roman" w:hAnsi="Times New Roman" w:eastAsia="Times New Roman" w:cs="Times New Roman"/>
      <w:sz w:val="24"/>
      <w:szCs w:val="24"/>
      <w:lang w:val="en-US" w:eastAsia="zh-CN" w:bidi="ar-SA"/>
    </w:rPr>
  </w:style>
  <w:style w:type="character" w:customStyle="1" w:styleId="29">
    <w:name w:val="页眉 Char"/>
    <w:basedOn w:val="15"/>
    <w:link w:val="12"/>
    <w:qFormat/>
    <w:uiPriority w:val="99"/>
    <w:rPr>
      <w:rFonts w:ascii="宋体" w:hAnsi="宋体" w:eastAsia="宋体" w:cs="宋体"/>
      <w:sz w:val="18"/>
      <w:szCs w:val="18"/>
    </w:rPr>
  </w:style>
  <w:style w:type="character" w:customStyle="1" w:styleId="30">
    <w:name w:val="页脚 Char"/>
    <w:basedOn w:val="15"/>
    <w:link w:val="11"/>
    <w:qFormat/>
    <w:uiPriority w:val="99"/>
    <w:rPr>
      <w:rFonts w:ascii="宋体" w:hAnsi="宋体" w:eastAsia="宋体" w:cs="宋体"/>
      <w:sz w:val="18"/>
      <w:szCs w:val="18"/>
    </w:rPr>
  </w:style>
  <w:style w:type="paragraph" w:styleId="31">
    <w:name w:val="List Paragraph"/>
    <w:basedOn w:val="1"/>
    <w:qFormat/>
    <w:uiPriority w:val="34"/>
    <w:pPr>
      <w:ind w:firstLine="420" w:firstLineChars="200"/>
    </w:pPr>
    <w:rPr>
      <w:rFonts w:ascii="Times New Roman" w:hAnsi="Times New Roman"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5653</Words>
  <Characters>6264</Characters>
  <Lines>46</Lines>
  <Paragraphs>12</Paragraphs>
  <TotalTime>3</TotalTime>
  <ScaleCrop>false</ScaleCrop>
  <LinksUpToDate>false</LinksUpToDate>
  <CharactersWithSpaces>6327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2018-11-20T07:21:00Z</dcterms:created>
  <dc:creator>茹香平</dc:creator>
  <cp:lastModifiedBy>路在何方</cp:lastModifiedBy>
  <dcterms:modified xsi:type="dcterms:W3CDTF">2023-10-30T10:37:37Z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C6FA3784766E4B7D8A2F62306C8E3E74</vt:lpwstr>
  </property>
</Properties>
</file>