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AF71CF">
      <w:pPr>
        <w:spacing w:line="0" w:lineRule="atLeast"/>
        <w:ind w:left="142"/>
        <w:rPr>
          <w:rFonts w:ascii="Arial" w:hAnsi="宋体" w:cs="Arial"/>
          <w:kern w:val="0"/>
          <w:sz w:val="32"/>
          <w:szCs w:val="32"/>
        </w:rPr>
      </w:pPr>
      <w:r>
        <w:rPr>
          <w:rFonts w:hint="eastAsia" w:ascii="Arial" w:hAnsi="宋体" w:cs="Arial"/>
          <w:kern w:val="0"/>
          <w:sz w:val="32"/>
          <w:szCs w:val="32"/>
        </w:rPr>
        <w:drawing>
          <wp:anchor distT="0" distB="0" distL="114300" distR="114300" simplePos="0" relativeHeight="251659264" behindDoc="0" locked="0" layoutInCell="1" allowOverlap="1">
            <wp:simplePos x="0" y="0"/>
            <wp:positionH relativeFrom="column">
              <wp:posOffset>28575</wp:posOffset>
            </wp:positionH>
            <wp:positionV relativeFrom="paragraph">
              <wp:posOffset>-104775</wp:posOffset>
            </wp:positionV>
            <wp:extent cx="962025" cy="971550"/>
            <wp:effectExtent l="19050" t="0" r="9525" b="0"/>
            <wp:wrapNone/>
            <wp:docPr id="11" name="图片 2" descr="英文标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英文标识"/>
                    <pic:cNvPicPr>
                      <a:picLocks noChangeAspect="1" noChangeArrowheads="1"/>
                    </pic:cNvPicPr>
                  </pic:nvPicPr>
                  <pic:blipFill>
                    <a:blip r:embed="rId14" cstate="print"/>
                    <a:srcRect/>
                    <a:stretch>
                      <a:fillRect/>
                    </a:stretch>
                  </pic:blipFill>
                  <pic:spPr>
                    <a:xfrm>
                      <a:off x="0" y="0"/>
                      <a:ext cx="962025" cy="971550"/>
                    </a:xfrm>
                    <a:prstGeom prst="rect">
                      <a:avLst/>
                    </a:prstGeom>
                    <a:noFill/>
                    <a:ln w="9525">
                      <a:noFill/>
                      <a:miter lim="800000"/>
                      <a:headEnd/>
                      <a:tailEnd/>
                    </a:ln>
                  </pic:spPr>
                </pic:pic>
              </a:graphicData>
            </a:graphic>
          </wp:anchor>
        </w:drawing>
      </w:r>
    </w:p>
    <w:p w14:paraId="47F8C722">
      <w:pPr>
        <w:spacing w:line="0" w:lineRule="atLeast"/>
        <w:ind w:left="141" w:leftChars="67" w:firstLine="960" w:firstLineChars="300"/>
        <w:jc w:val="center"/>
        <w:rPr>
          <w:rFonts w:hint="default" w:ascii="Arial" w:hAnsi="Arial" w:eastAsia="宋体" w:cs="Arial"/>
          <w:kern w:val="0"/>
          <w:sz w:val="32"/>
          <w:szCs w:val="32"/>
          <w:lang w:val="en-US" w:eastAsia="zh-CN"/>
        </w:rPr>
      </w:pPr>
      <w:r>
        <w:rPr>
          <w:rFonts w:hint="eastAsia" w:ascii="Arial" w:hAnsi="宋体" w:cs="Arial"/>
          <w:kern w:val="0"/>
          <w:sz w:val="32"/>
          <w:szCs w:val="32"/>
          <w:lang w:val="en-US" w:eastAsia="zh-CN"/>
        </w:rPr>
        <w:t xml:space="preserve">                 </w:t>
      </w:r>
      <w:r>
        <w:rPr>
          <w:rFonts w:hint="eastAsia" w:ascii="Arial" w:hAnsi="宋体" w:cs="Arial"/>
          <w:kern w:val="0"/>
          <w:sz w:val="32"/>
          <w:szCs w:val="32"/>
        </w:rPr>
        <w:t>采购</w:t>
      </w:r>
      <w:r>
        <w:rPr>
          <w:rFonts w:ascii="Arial" w:hAnsi="宋体" w:cs="Arial"/>
          <w:kern w:val="0"/>
          <w:sz w:val="32"/>
          <w:szCs w:val="32"/>
        </w:rPr>
        <w:t>编号：</w:t>
      </w:r>
      <w:r>
        <w:rPr>
          <w:rFonts w:hint="eastAsia" w:ascii="Arial" w:hAnsi="宋体" w:cs="Arial"/>
          <w:kern w:val="0"/>
          <w:sz w:val="32"/>
          <w:szCs w:val="32"/>
          <w:lang w:val="en-US" w:eastAsia="zh-CN"/>
        </w:rPr>
        <w:t>XJ2024074293</w:t>
      </w:r>
    </w:p>
    <w:p w14:paraId="6AD69239">
      <w:pPr>
        <w:spacing w:line="0" w:lineRule="atLeast"/>
        <w:ind w:left="142"/>
        <w:rPr>
          <w:rFonts w:ascii="Arial" w:hAnsi="Arial" w:cs="Arial"/>
          <w:b/>
          <w:bCs/>
          <w:sz w:val="32"/>
          <w:szCs w:val="32"/>
        </w:rPr>
      </w:pPr>
    </w:p>
    <w:p w14:paraId="4B1B075E">
      <w:pPr>
        <w:adjustRightInd w:val="0"/>
        <w:ind w:left="0" w:right="160" w:firstLine="0"/>
        <w:jc w:val="right"/>
        <w:textAlignment w:val="baseline"/>
        <w:rPr>
          <w:rFonts w:ascii="Arial" w:hAnsi="Arial" w:cs="Arial"/>
          <w:b/>
          <w:sz w:val="32"/>
          <w:szCs w:val="32"/>
        </w:rPr>
      </w:pPr>
    </w:p>
    <w:p w14:paraId="163BDE18">
      <w:pPr>
        <w:adjustRightInd w:val="0"/>
        <w:ind w:left="0" w:right="160" w:firstLine="0"/>
        <w:jc w:val="right"/>
        <w:textAlignment w:val="baseline"/>
        <w:rPr>
          <w:rFonts w:ascii="Arial" w:hAnsi="Arial" w:cs="Arial"/>
          <w:b/>
          <w:sz w:val="32"/>
          <w:szCs w:val="32"/>
        </w:rPr>
      </w:pPr>
    </w:p>
    <w:p w14:paraId="6DB1E22F">
      <w:pPr>
        <w:spacing w:beforeLines="50"/>
        <w:ind w:left="0" w:leftChars="0" w:firstLine="1446" w:firstLineChars="300"/>
        <w:jc w:val="both"/>
        <w:rPr>
          <w:rFonts w:hint="default" w:ascii="Arial" w:hAnsi="宋体" w:eastAsia="宋体" w:cs="Arial"/>
          <w:b/>
          <w:sz w:val="48"/>
          <w:szCs w:val="48"/>
          <w:lang w:val="en-US" w:eastAsia="zh-CN"/>
        </w:rPr>
      </w:pPr>
      <w:r>
        <w:rPr>
          <w:rFonts w:hint="eastAsia" w:ascii="Arial" w:hAnsi="宋体" w:cs="Arial"/>
          <w:b/>
          <w:sz w:val="48"/>
          <w:szCs w:val="48"/>
          <w:lang w:val="en-US" w:eastAsia="zh-CN"/>
        </w:rPr>
        <w:t>平顶山姚孟发电有限责任公司</w:t>
      </w:r>
    </w:p>
    <w:p w14:paraId="2C9E0F6D">
      <w:pPr>
        <w:jc w:val="center"/>
        <w:rPr>
          <w:rFonts w:hint="eastAsia" w:ascii="Arial" w:hAnsi="宋体" w:cs="Arial"/>
          <w:b/>
          <w:sz w:val="48"/>
          <w:szCs w:val="48"/>
        </w:rPr>
      </w:pPr>
      <w:r>
        <w:rPr>
          <w:rFonts w:hint="eastAsia" w:ascii="Arial" w:hAnsi="宋体" w:cs="Arial"/>
          <w:b/>
          <w:sz w:val="48"/>
          <w:szCs w:val="48"/>
        </w:rPr>
        <w:t>500KV变电站电容式电压互感器采购</w:t>
      </w:r>
    </w:p>
    <w:p w14:paraId="6002D7C1">
      <w:pPr>
        <w:jc w:val="center"/>
        <w:rPr>
          <w:rFonts w:eastAsia="楷体_GB2312"/>
          <w:b/>
          <w:bCs/>
          <w:color w:val="auto"/>
          <w:spacing w:val="60"/>
          <w:sz w:val="72"/>
          <w:szCs w:val="72"/>
          <w:highlight w:val="none"/>
        </w:rPr>
      </w:pPr>
      <w:r>
        <w:rPr>
          <w:rFonts w:hint="eastAsia" w:ascii="Arial" w:hAnsi="宋体" w:eastAsia="宋体" w:cs="Arial"/>
          <w:b/>
          <w:sz w:val="48"/>
          <w:szCs w:val="48"/>
        </w:rPr>
        <w:t>公开询价文件</w:t>
      </w:r>
    </w:p>
    <w:p w14:paraId="77A3E91A">
      <w:pPr>
        <w:jc w:val="center"/>
        <w:rPr>
          <w:rFonts w:ascii="Arial" w:hAnsi="宋体" w:cs="Arial"/>
          <w:b/>
          <w:sz w:val="48"/>
          <w:szCs w:val="48"/>
        </w:rPr>
      </w:pPr>
    </w:p>
    <w:p w14:paraId="0A8D7525">
      <w:pPr>
        <w:jc w:val="center"/>
        <w:rPr>
          <w:rFonts w:ascii="Arial" w:hAnsi="宋体" w:cs="Arial"/>
          <w:sz w:val="44"/>
          <w:szCs w:val="44"/>
        </w:rPr>
      </w:pPr>
    </w:p>
    <w:p w14:paraId="18110B0E">
      <w:pPr>
        <w:jc w:val="center"/>
        <w:rPr>
          <w:rFonts w:ascii="Arial" w:hAnsi="宋体" w:cs="Arial"/>
          <w:sz w:val="44"/>
          <w:szCs w:val="44"/>
        </w:rPr>
      </w:pPr>
    </w:p>
    <w:p w14:paraId="060C1D78">
      <w:pPr>
        <w:jc w:val="center"/>
        <w:rPr>
          <w:rFonts w:ascii="Arial" w:hAnsi="宋体" w:cs="Arial"/>
          <w:sz w:val="44"/>
          <w:szCs w:val="44"/>
        </w:rPr>
      </w:pPr>
    </w:p>
    <w:p w14:paraId="24B1EF02">
      <w:pPr>
        <w:jc w:val="center"/>
        <w:rPr>
          <w:rFonts w:ascii="Arial" w:hAnsi="宋体" w:cs="Arial"/>
          <w:sz w:val="44"/>
          <w:szCs w:val="44"/>
        </w:rPr>
      </w:pPr>
    </w:p>
    <w:p w14:paraId="6EC2FF63">
      <w:pPr>
        <w:jc w:val="center"/>
        <w:rPr>
          <w:rFonts w:ascii="Arial" w:hAnsi="宋体" w:cs="Arial"/>
          <w:sz w:val="44"/>
          <w:szCs w:val="44"/>
        </w:rPr>
      </w:pPr>
    </w:p>
    <w:p w14:paraId="1DD0976A">
      <w:pPr>
        <w:jc w:val="center"/>
        <w:rPr>
          <w:rFonts w:ascii="Arial" w:hAnsi="宋体" w:cs="Arial"/>
          <w:sz w:val="44"/>
          <w:szCs w:val="44"/>
        </w:rPr>
      </w:pPr>
    </w:p>
    <w:p w14:paraId="032DE960">
      <w:pPr>
        <w:jc w:val="center"/>
        <w:rPr>
          <w:rFonts w:ascii="Arial" w:hAnsi="宋体" w:cs="Arial"/>
          <w:sz w:val="44"/>
          <w:szCs w:val="44"/>
        </w:rPr>
      </w:pPr>
    </w:p>
    <w:tbl>
      <w:tblPr>
        <w:tblStyle w:val="62"/>
        <w:tblW w:w="8215" w:type="dxa"/>
        <w:jc w:val="center"/>
        <w:tblLayout w:type="fixed"/>
        <w:tblCellMar>
          <w:top w:w="0" w:type="dxa"/>
          <w:left w:w="108" w:type="dxa"/>
          <w:bottom w:w="0" w:type="dxa"/>
          <w:right w:w="108" w:type="dxa"/>
        </w:tblCellMar>
      </w:tblPr>
      <w:tblGrid>
        <w:gridCol w:w="2522"/>
        <w:gridCol w:w="5693"/>
      </w:tblGrid>
      <w:tr w14:paraId="4513A54A">
        <w:tblPrEx>
          <w:tblCellMar>
            <w:top w:w="0" w:type="dxa"/>
            <w:left w:w="108" w:type="dxa"/>
            <w:bottom w:w="0" w:type="dxa"/>
            <w:right w:w="108" w:type="dxa"/>
          </w:tblCellMar>
        </w:tblPrEx>
        <w:trPr>
          <w:jc w:val="center"/>
        </w:trPr>
        <w:tc>
          <w:tcPr>
            <w:tcW w:w="2522" w:type="dxa"/>
            <w:vAlign w:val="center"/>
          </w:tcPr>
          <w:p w14:paraId="6E2AEB03">
            <w:pPr>
              <w:pStyle w:val="114"/>
              <w:snapToGrid w:val="0"/>
              <w:ind w:firstLine="150"/>
              <w:jc w:val="distribute"/>
              <w:rPr>
                <w:rFonts w:ascii="Arial" w:hAnsi="Arial" w:cs="Arial"/>
                <w:b/>
                <w:bCs/>
                <w:spacing w:val="60"/>
                <w:sz w:val="28"/>
                <w:szCs w:val="28"/>
              </w:rPr>
            </w:pPr>
            <w:r>
              <w:rPr>
                <w:rFonts w:ascii="Arial" w:hAnsi="宋体" w:cs="Arial"/>
                <w:b/>
                <w:bCs/>
                <w:spacing w:val="209"/>
                <w:kern w:val="0"/>
                <w:sz w:val="28"/>
                <w:szCs w:val="28"/>
              </w:rPr>
              <w:t>询价</w:t>
            </w:r>
            <w:r>
              <w:rPr>
                <w:rFonts w:ascii="Arial" w:hAnsi="宋体" w:cs="Arial"/>
                <w:b/>
                <w:bCs/>
                <w:kern w:val="0"/>
                <w:sz w:val="28"/>
                <w:szCs w:val="28"/>
              </w:rPr>
              <w:t>人</w:t>
            </w:r>
            <w:r>
              <w:rPr>
                <w:rFonts w:ascii="Arial" w:hAnsi="宋体" w:cs="Arial"/>
                <w:b/>
                <w:bCs/>
                <w:sz w:val="28"/>
                <w:szCs w:val="28"/>
              </w:rPr>
              <w:t>：</w:t>
            </w:r>
          </w:p>
        </w:tc>
        <w:tc>
          <w:tcPr>
            <w:tcW w:w="5693" w:type="dxa"/>
            <w:vAlign w:val="center"/>
          </w:tcPr>
          <w:p w14:paraId="73EE44A2">
            <w:pPr>
              <w:pStyle w:val="114"/>
              <w:snapToGrid w:val="0"/>
              <w:ind w:firstLine="141"/>
              <w:rPr>
                <w:rFonts w:hint="default" w:ascii="Arial" w:hAnsi="Arial" w:eastAsia="宋体" w:cs="Arial"/>
                <w:b/>
                <w:bCs/>
                <w:sz w:val="28"/>
                <w:lang w:val="en-US" w:eastAsia="zh-CN"/>
              </w:rPr>
            </w:pPr>
            <w:r>
              <w:rPr>
                <w:rFonts w:hint="eastAsia" w:ascii="Arial" w:hAnsi="宋体" w:cs="Arial"/>
                <w:b/>
                <w:bCs/>
                <w:spacing w:val="9"/>
                <w:sz w:val="28"/>
                <w:szCs w:val="28"/>
                <w:lang w:val="en-US" w:eastAsia="zh-CN"/>
              </w:rPr>
              <w:t>平顶山姚孟发电有限责任公司</w:t>
            </w:r>
          </w:p>
        </w:tc>
      </w:tr>
      <w:tr w14:paraId="29AA7C8D">
        <w:tblPrEx>
          <w:tblCellMar>
            <w:top w:w="0" w:type="dxa"/>
            <w:left w:w="108" w:type="dxa"/>
            <w:bottom w:w="0" w:type="dxa"/>
            <w:right w:w="108" w:type="dxa"/>
          </w:tblCellMar>
        </w:tblPrEx>
        <w:trPr>
          <w:jc w:val="center"/>
        </w:trPr>
        <w:tc>
          <w:tcPr>
            <w:tcW w:w="2522" w:type="dxa"/>
            <w:vAlign w:val="center"/>
          </w:tcPr>
          <w:p w14:paraId="4C872B77">
            <w:pPr>
              <w:pStyle w:val="114"/>
              <w:snapToGrid w:val="0"/>
              <w:ind w:firstLine="141"/>
              <w:jc w:val="distribute"/>
              <w:rPr>
                <w:rFonts w:ascii="Arial" w:hAnsi="Arial" w:cs="Arial"/>
                <w:bCs/>
                <w:sz w:val="28"/>
              </w:rPr>
            </w:pPr>
          </w:p>
        </w:tc>
        <w:tc>
          <w:tcPr>
            <w:tcW w:w="5693" w:type="dxa"/>
            <w:vAlign w:val="center"/>
          </w:tcPr>
          <w:p w14:paraId="6E5B6820">
            <w:pPr>
              <w:pStyle w:val="114"/>
              <w:snapToGrid w:val="0"/>
              <w:ind w:firstLine="141"/>
              <w:jc w:val="distribute"/>
              <w:rPr>
                <w:rFonts w:ascii="Arial" w:hAnsi="Arial" w:cs="Arial"/>
                <w:bCs/>
                <w:spacing w:val="58"/>
                <w:sz w:val="28"/>
                <w:szCs w:val="28"/>
              </w:rPr>
            </w:pPr>
          </w:p>
        </w:tc>
      </w:tr>
    </w:tbl>
    <w:p w14:paraId="1778079E">
      <w:pPr>
        <w:jc w:val="center"/>
        <w:rPr>
          <w:rFonts w:ascii="Arial" w:hAnsi="宋体" w:cs="Arial"/>
          <w:b/>
          <w:sz w:val="32"/>
          <w:szCs w:val="32"/>
        </w:rPr>
      </w:pPr>
      <w:permStart w:id="0" w:edGrp="everyone"/>
      <w:r>
        <w:rPr>
          <w:rFonts w:ascii="Arial" w:hAnsi="Arial" w:cs="Arial"/>
          <w:b/>
          <w:sz w:val="32"/>
          <w:szCs w:val="32"/>
        </w:rPr>
        <w:t>20</w:t>
      </w:r>
      <w:r>
        <w:rPr>
          <w:rFonts w:hint="eastAsia" w:ascii="Arial" w:hAnsi="Arial" w:cs="Arial"/>
          <w:b/>
          <w:sz w:val="32"/>
          <w:szCs w:val="32"/>
        </w:rPr>
        <w:t>2</w:t>
      </w:r>
      <w:r>
        <w:rPr>
          <w:rFonts w:hint="eastAsia" w:ascii="Arial" w:hAnsi="Arial" w:cs="Arial"/>
          <w:b/>
          <w:sz w:val="32"/>
          <w:szCs w:val="32"/>
          <w:lang w:val="en-US" w:eastAsia="zh-CN"/>
        </w:rPr>
        <w:t>4</w:t>
      </w:r>
      <w:r>
        <w:rPr>
          <w:rFonts w:ascii="Arial" w:hAnsi="宋体" w:cs="Arial"/>
          <w:b/>
          <w:sz w:val="32"/>
          <w:szCs w:val="32"/>
        </w:rPr>
        <w:t>年</w:t>
      </w:r>
      <w:r>
        <w:rPr>
          <w:rFonts w:hint="eastAsia" w:ascii="Arial" w:hAnsi="Arial" w:cs="Arial"/>
          <w:b/>
          <w:sz w:val="32"/>
          <w:szCs w:val="32"/>
          <w:lang w:val="en-US" w:eastAsia="zh-CN"/>
        </w:rPr>
        <w:t>7</w:t>
      </w:r>
      <w:r>
        <w:rPr>
          <w:rFonts w:ascii="Arial" w:hAnsi="宋体" w:cs="Arial"/>
          <w:b/>
          <w:sz w:val="32"/>
          <w:szCs w:val="32"/>
        </w:rPr>
        <w:t>月</w:t>
      </w:r>
    </w:p>
    <w:permEnd w:id="0"/>
    <w:p w14:paraId="3B0A0F51">
      <w:pPr>
        <w:jc w:val="center"/>
        <w:rPr>
          <w:rFonts w:ascii="Arial" w:hAnsi="Arial" w:cs="Arial"/>
          <w:color w:val="F2F2F2" w:themeColor="background1" w:themeShade="F2"/>
          <w:sz w:val="28"/>
        </w:rPr>
      </w:pPr>
      <w:r>
        <w:rPr>
          <w:rFonts w:hint="eastAsia" w:ascii="Arial" w:hAnsi="宋体" w:cs="Arial"/>
          <w:color w:val="F2F2F2" w:themeColor="background1" w:themeShade="F2"/>
          <w:sz w:val="32"/>
          <w:szCs w:val="32"/>
        </w:rPr>
        <w:t>招标机构签章位置</w:t>
      </w:r>
    </w:p>
    <w:p w14:paraId="6E905EAB">
      <w:pPr>
        <w:jc w:val="center"/>
        <w:rPr>
          <w:rFonts w:ascii="Arial" w:hAnsi="Arial" w:cs="Arial"/>
          <w:b/>
          <w:color w:val="F2F2F2" w:themeColor="background1" w:themeShade="F2"/>
          <w:u w:val="single"/>
        </w:rPr>
        <w:sectPr>
          <w:headerReference r:id="rId7" w:type="first"/>
          <w:headerReference r:id="rId5" w:type="default"/>
          <w:footerReference r:id="rId8" w:type="default"/>
          <w:headerReference r:id="rId6" w:type="even"/>
          <w:footerReference r:id="rId9" w:type="even"/>
          <w:pgSz w:w="11907" w:h="16840"/>
          <w:pgMar w:top="1440" w:right="1134" w:bottom="1134" w:left="1440" w:header="851" w:footer="992" w:gutter="0"/>
          <w:pgNumType w:start="1"/>
          <w:cols w:space="720" w:num="1"/>
          <w:titlePg/>
          <w:docGrid w:linePitch="326" w:charSpace="0"/>
        </w:sectPr>
      </w:pPr>
    </w:p>
    <w:p w14:paraId="5A60C310">
      <w:pPr>
        <w:numPr>
          <w:ilvl w:val="0"/>
          <w:numId w:val="2"/>
        </w:numPr>
        <w:spacing w:line="360" w:lineRule="auto"/>
        <w:jc w:val="center"/>
        <w:rPr>
          <w:b/>
          <w:bCs/>
          <w:color w:val="auto"/>
          <w:sz w:val="30"/>
          <w:szCs w:val="30"/>
          <w:highlight w:val="none"/>
        </w:rPr>
      </w:pPr>
      <w:bookmarkStart w:id="0" w:name="_Toc86893383"/>
      <w:bookmarkStart w:id="1" w:name="_Toc299192139"/>
      <w:r>
        <w:rPr>
          <w:b/>
          <w:bCs/>
          <w:color w:val="auto"/>
          <w:sz w:val="30"/>
          <w:szCs w:val="30"/>
          <w:highlight w:val="none"/>
        </w:rPr>
        <w:t>询价邀请函</w:t>
      </w:r>
    </w:p>
    <w:p w14:paraId="3A23842B">
      <w:pPr>
        <w:keepNext w:val="0"/>
        <w:keepLines w:val="0"/>
        <w:pageBreakBefore w:val="0"/>
        <w:kinsoku/>
        <w:wordWrap/>
        <w:overflowPunct/>
        <w:topLinePunct w:val="0"/>
        <w:autoSpaceDE/>
        <w:autoSpaceDN/>
        <w:bidi w:val="0"/>
        <w:spacing w:line="288" w:lineRule="auto"/>
        <w:ind w:firstLine="420" w:firstLineChars="20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平顶山姚孟发电有限责任公司500KV变电站电容式电压互感器采购项目采用公开询价方式采购，询价工作相关事项通告如下：</w:t>
      </w:r>
    </w:p>
    <w:p w14:paraId="0B82B647">
      <w:pPr>
        <w:keepNext w:val="0"/>
        <w:keepLines w:val="0"/>
        <w:pageBreakBefore w:val="0"/>
        <w:widowControl/>
        <w:numPr>
          <w:ilvl w:val="0"/>
          <w:numId w:val="0"/>
        </w:numPr>
        <w:tabs>
          <w:tab w:val="left" w:pos="360"/>
        </w:tabs>
        <w:kinsoku/>
        <w:wordWrap/>
        <w:overflowPunct/>
        <w:topLinePunct w:val="0"/>
        <w:autoSpaceDE/>
        <w:autoSpaceDN/>
        <w:bidi w:val="0"/>
        <w:snapToGrid w:val="0"/>
        <w:spacing w:line="288" w:lineRule="auto"/>
        <w:ind w:leftChars="0"/>
        <w:jc w:val="left"/>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一、</w:t>
      </w:r>
      <w:r>
        <w:rPr>
          <w:rFonts w:hint="eastAsia" w:ascii="宋体" w:hAnsi="宋体" w:eastAsia="宋体" w:cs="宋体"/>
          <w:b/>
          <w:bCs/>
          <w:color w:val="auto"/>
          <w:kern w:val="0"/>
          <w:sz w:val="24"/>
          <w:szCs w:val="24"/>
          <w:highlight w:val="none"/>
        </w:rPr>
        <w:t>公开</w:t>
      </w:r>
      <w:r>
        <w:rPr>
          <w:rFonts w:hint="eastAsia" w:ascii="宋体" w:hAnsi="宋体" w:eastAsia="宋体" w:cs="宋体"/>
          <w:b/>
          <w:bCs/>
          <w:color w:val="auto"/>
          <w:kern w:val="0"/>
          <w:sz w:val="24"/>
          <w:szCs w:val="24"/>
          <w:highlight w:val="none"/>
          <w:lang w:eastAsia="zh-CN"/>
        </w:rPr>
        <w:t>询价书编码</w:t>
      </w:r>
      <w:r>
        <w:rPr>
          <w:rFonts w:hint="eastAsia" w:ascii="宋体" w:hAnsi="宋体" w:eastAsia="宋体" w:cs="宋体"/>
          <w:b/>
          <w:bCs/>
          <w:color w:val="auto"/>
          <w:kern w:val="0"/>
          <w:sz w:val="24"/>
          <w:szCs w:val="24"/>
          <w:highlight w:val="none"/>
        </w:rPr>
        <w:t>：</w:t>
      </w:r>
    </w:p>
    <w:p w14:paraId="4150EB37">
      <w:pPr>
        <w:pStyle w:val="15"/>
        <w:keepNext w:val="0"/>
        <w:keepLines w:val="0"/>
        <w:pageBreakBefore w:val="0"/>
        <w:kinsoku/>
        <w:wordWrap/>
        <w:overflowPunct/>
        <w:topLinePunct w:val="0"/>
        <w:autoSpaceDE/>
        <w:autoSpaceDN/>
        <w:bidi w:val="0"/>
        <w:spacing w:line="288" w:lineRule="auto"/>
        <w:ind w:left="0" w:firstLine="0" w:firstLineChars="0"/>
        <w:rPr>
          <w:rFonts w:hint="eastAsia" w:ascii="宋体" w:hAnsi="宋体" w:eastAsia="宋体" w:cs="宋体"/>
          <w:b/>
          <w:sz w:val="24"/>
          <w:szCs w:val="24"/>
        </w:rPr>
      </w:pPr>
      <w:r>
        <w:rPr>
          <w:rFonts w:hint="eastAsia" w:ascii="宋体" w:hAnsi="宋体" w:eastAsia="宋体" w:cs="宋体"/>
          <w:b/>
          <w:bCs/>
          <w:color w:val="auto"/>
          <w:kern w:val="0"/>
          <w:sz w:val="24"/>
          <w:szCs w:val="24"/>
          <w:highlight w:val="none"/>
          <w:lang w:val="en-US" w:eastAsia="zh-CN"/>
        </w:rPr>
        <w:t>二、</w:t>
      </w:r>
      <w:r>
        <w:rPr>
          <w:rFonts w:hint="eastAsia" w:ascii="宋体" w:hAnsi="宋体" w:eastAsia="宋体" w:cs="宋体"/>
          <w:b/>
          <w:bCs/>
          <w:color w:val="auto"/>
          <w:kern w:val="0"/>
          <w:sz w:val="24"/>
          <w:szCs w:val="24"/>
          <w:highlight w:val="none"/>
        </w:rPr>
        <w:t>公开询价项目基本情况</w:t>
      </w:r>
    </w:p>
    <w:p w14:paraId="6D73E3B1">
      <w:pPr>
        <w:pStyle w:val="15"/>
        <w:keepNext w:val="0"/>
        <w:keepLines w:val="0"/>
        <w:pageBreakBefore w:val="0"/>
        <w:kinsoku/>
        <w:wordWrap/>
        <w:overflowPunct/>
        <w:topLinePunct w:val="0"/>
        <w:autoSpaceDE/>
        <w:autoSpaceDN/>
        <w:bidi w:val="0"/>
        <w:spacing w:line="288" w:lineRule="auto"/>
        <w:ind w:left="0" w:firstLine="630" w:firstLineChars="300"/>
        <w:rPr>
          <w:rFonts w:hint="default" w:eastAsia="宋体"/>
          <w:lang w:val="en-US" w:eastAsia="zh-CN"/>
        </w:rPr>
      </w:pPr>
      <w:r>
        <w:rPr>
          <w:rFonts w:hint="eastAsia"/>
          <w:lang w:val="en-US" w:eastAsia="zh-CN"/>
        </w:rPr>
        <w:t>1、</w:t>
      </w:r>
      <w:r>
        <w:rPr>
          <w:rFonts w:hint="eastAsia"/>
        </w:rPr>
        <w:t>询价人：</w:t>
      </w:r>
      <w:r>
        <w:rPr>
          <w:rFonts w:hint="eastAsia"/>
          <w:lang w:val="en-US" w:eastAsia="zh-CN"/>
        </w:rPr>
        <w:t>平顶山姚孟发电有限责任公司</w:t>
      </w:r>
    </w:p>
    <w:p w14:paraId="184BAC8C">
      <w:pPr>
        <w:pStyle w:val="15"/>
        <w:keepNext w:val="0"/>
        <w:keepLines w:val="0"/>
        <w:pageBreakBefore w:val="0"/>
        <w:kinsoku/>
        <w:wordWrap/>
        <w:overflowPunct/>
        <w:topLinePunct w:val="0"/>
        <w:autoSpaceDE/>
        <w:autoSpaceDN/>
        <w:bidi w:val="0"/>
        <w:spacing w:line="288" w:lineRule="auto"/>
        <w:ind w:left="0" w:firstLine="630" w:firstLineChars="300"/>
        <w:rPr>
          <w:rFonts w:hint="eastAsia"/>
        </w:rPr>
      </w:pPr>
      <w:r>
        <w:rPr>
          <w:rFonts w:hint="eastAsia"/>
          <w:lang w:val="en-US" w:eastAsia="zh-CN"/>
        </w:rPr>
        <w:t>2、</w:t>
      </w:r>
      <w:r>
        <w:rPr>
          <w:rFonts w:hint="eastAsia"/>
        </w:rPr>
        <w:t>项目资金来源：企业自筹</w:t>
      </w:r>
    </w:p>
    <w:p w14:paraId="3DD88B4F">
      <w:pPr>
        <w:pStyle w:val="15"/>
        <w:keepNext w:val="0"/>
        <w:keepLines w:val="0"/>
        <w:pageBreakBefore w:val="0"/>
        <w:kinsoku/>
        <w:wordWrap/>
        <w:overflowPunct/>
        <w:topLinePunct w:val="0"/>
        <w:autoSpaceDE/>
        <w:autoSpaceDN/>
        <w:bidi w:val="0"/>
        <w:spacing w:line="288" w:lineRule="auto"/>
        <w:ind w:left="0" w:firstLine="630" w:firstLineChars="3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3、采购范围：</w:t>
      </w:r>
    </w:p>
    <w:tbl>
      <w:tblPr>
        <w:tblStyle w:val="62"/>
        <w:tblW w:w="908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88"/>
        <w:gridCol w:w="4625"/>
        <w:gridCol w:w="675"/>
        <w:gridCol w:w="813"/>
        <w:gridCol w:w="987"/>
      </w:tblGrid>
      <w:tr w14:paraId="58EC1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1988" w:type="dxa"/>
            <w:tcBorders>
              <w:top w:val="single" w:color="000000" w:sz="4" w:space="0"/>
              <w:left w:val="single" w:color="auto" w:sz="4" w:space="0"/>
              <w:bottom w:val="single" w:color="000000" w:sz="4" w:space="0"/>
              <w:right w:val="single" w:color="000000" w:sz="4" w:space="0"/>
            </w:tcBorders>
            <w:noWrap w:val="0"/>
            <w:vAlign w:val="center"/>
          </w:tcPr>
          <w:p w14:paraId="0FF48CEC">
            <w:pPr>
              <w:keepNext w:val="0"/>
              <w:keepLines w:val="0"/>
              <w:widowControl/>
              <w:suppressLineNumbers w:val="0"/>
              <w:spacing w:line="24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物资描述</w:t>
            </w:r>
          </w:p>
        </w:tc>
        <w:tc>
          <w:tcPr>
            <w:tcW w:w="4625" w:type="dxa"/>
            <w:tcBorders>
              <w:top w:val="single" w:color="000000" w:sz="4" w:space="0"/>
              <w:left w:val="single" w:color="000000" w:sz="4" w:space="0"/>
              <w:bottom w:val="single" w:color="000000" w:sz="4" w:space="0"/>
              <w:right w:val="single" w:color="000000" w:sz="4" w:space="0"/>
            </w:tcBorders>
            <w:noWrap w:val="0"/>
            <w:vAlign w:val="center"/>
          </w:tcPr>
          <w:p w14:paraId="18371244">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0E73EC9">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78B1232D">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00538A2B">
            <w:pPr>
              <w:keepNext w:val="0"/>
              <w:keepLines w:val="0"/>
              <w:widowControl/>
              <w:suppressLineNumbers w:val="0"/>
              <w:spacing w:line="240" w:lineRule="auto"/>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备注</w:t>
            </w:r>
          </w:p>
        </w:tc>
      </w:tr>
      <w:tr w14:paraId="0F9F1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88"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6C52A28B">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电容式电压互感器</w:t>
            </w:r>
          </w:p>
        </w:tc>
        <w:tc>
          <w:tcPr>
            <w:tcW w:w="46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4E08F7">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500/√3:  0.1/√3:0.1/√3：0.1 :0.1kV</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4272D">
            <w:pPr>
              <w:keepNext w:val="0"/>
              <w:keepLines w:val="0"/>
              <w:widowControl/>
              <w:suppressLineNumbers w:val="0"/>
              <w:spacing w:line="24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具</w:t>
            </w:r>
          </w:p>
        </w:tc>
        <w:tc>
          <w:tcPr>
            <w:tcW w:w="8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837E0">
            <w:pPr>
              <w:keepNext w:val="0"/>
              <w:keepLines w:val="0"/>
              <w:widowControl/>
              <w:suppressLineNumbers w:val="0"/>
              <w:spacing w:line="24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09E67">
            <w:pPr>
              <w:keepNext w:val="0"/>
              <w:keepLines w:val="0"/>
              <w:widowControl/>
              <w:suppressLineNumbers w:val="0"/>
              <w:spacing w:line="240" w:lineRule="auto"/>
              <w:jc w:val="center"/>
              <w:textAlignment w:val="center"/>
              <w:rPr>
                <w:rFonts w:hint="eastAsia" w:ascii="宋体" w:hAnsi="宋体" w:eastAsia="宋体" w:cs="宋体"/>
                <w:b/>
                <w:bCs/>
                <w:i w:val="0"/>
                <w:iCs w:val="0"/>
                <w:color w:val="000000"/>
                <w:kern w:val="0"/>
                <w:sz w:val="22"/>
                <w:szCs w:val="22"/>
                <w:u w:val="none"/>
                <w:lang w:val="en-US" w:eastAsia="zh-CN" w:bidi="ar"/>
              </w:rPr>
            </w:pPr>
          </w:p>
        </w:tc>
      </w:tr>
    </w:tbl>
    <w:p w14:paraId="00C6F554">
      <w:pPr>
        <w:pStyle w:val="15"/>
        <w:keepNext w:val="0"/>
        <w:keepLines w:val="0"/>
        <w:pageBreakBefore w:val="0"/>
        <w:kinsoku/>
        <w:wordWrap/>
        <w:overflowPunct/>
        <w:topLinePunct w:val="0"/>
        <w:autoSpaceDE/>
        <w:autoSpaceDN/>
        <w:bidi w:val="0"/>
        <w:spacing w:line="288" w:lineRule="auto"/>
        <w:ind w:left="0" w:leftChars="0" w:firstLine="630" w:firstLineChars="300"/>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4、项目地点：河南省平顶山市湛河区姚电大道</w:t>
      </w:r>
    </w:p>
    <w:p w14:paraId="50239D3F">
      <w:pPr>
        <w:pStyle w:val="15"/>
        <w:ind w:left="0" w:firstLine="630" w:firstLineChars="300"/>
        <w:rPr>
          <w:rFonts w:hint="eastAsia" w:ascii="仿宋_GB2312" w:eastAsia="仿宋_GB2312"/>
          <w:color w:val="auto"/>
          <w:sz w:val="24"/>
          <w:lang w:eastAsia="zh-CN"/>
        </w:rPr>
      </w:pPr>
      <w:r>
        <w:rPr>
          <w:rFonts w:hint="eastAsia" w:ascii="Times New Roman" w:hAnsi="Times New Roman" w:eastAsia="宋体" w:cs="Times New Roman"/>
          <w:kern w:val="2"/>
          <w:sz w:val="21"/>
          <w:szCs w:val="21"/>
          <w:lang w:val="en-US" w:eastAsia="zh-CN" w:bidi="ar-SA"/>
        </w:rPr>
        <w:t>5、供货时间：</w:t>
      </w:r>
      <w:r>
        <w:rPr>
          <w:rFonts w:hint="eastAsia" w:ascii="Times New Roman" w:hAnsi="Times New Roman" w:eastAsia="宋体" w:cs="Times New Roman"/>
          <w:lang w:val="en-US" w:eastAsia="zh-CN"/>
        </w:rPr>
        <w:t>合同签订后</w:t>
      </w:r>
      <w:r>
        <w:rPr>
          <w:rFonts w:hint="eastAsia" w:cs="Times New Roman"/>
          <w:lang w:val="en-US" w:eastAsia="zh-CN"/>
        </w:rPr>
        <w:t>45天</w:t>
      </w:r>
      <w:r>
        <w:rPr>
          <w:rFonts w:hint="eastAsia" w:ascii="Times New Roman" w:hAnsi="Times New Roman" w:eastAsia="宋体" w:cs="Times New Roman"/>
          <w:lang w:val="en-US" w:eastAsia="zh-CN"/>
        </w:rPr>
        <w:t>完成到货。</w:t>
      </w:r>
    </w:p>
    <w:p w14:paraId="47382AB7">
      <w:pPr>
        <w:keepNext w:val="0"/>
        <w:keepLines w:val="0"/>
        <w:pageBreakBefore w:val="0"/>
        <w:numPr>
          <w:ilvl w:val="0"/>
          <w:numId w:val="0"/>
        </w:numPr>
        <w:kinsoku/>
        <w:wordWrap/>
        <w:overflowPunct/>
        <w:topLinePunct w:val="0"/>
        <w:autoSpaceDE/>
        <w:autoSpaceDN/>
        <w:bidi w:val="0"/>
        <w:spacing w:line="288" w:lineRule="auto"/>
        <w:ind w:leftChars="0"/>
        <w:jc w:val="both"/>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三、供应商资格要求：</w:t>
      </w:r>
    </w:p>
    <w:p w14:paraId="127CAEDD">
      <w:pPr>
        <w:numPr>
          <w:ilvl w:val="0"/>
          <w:numId w:val="0"/>
        </w:numPr>
        <w:spacing w:line="400" w:lineRule="exact"/>
        <w:ind w:firstLine="480" w:firstLineChars="200"/>
        <w:rPr>
          <w:rFonts w:hint="eastAsia" w:ascii="宋体" w:hAnsi="宋体" w:cs="宋体"/>
          <w:b/>
          <w:bCs/>
          <w:kern w:val="0"/>
          <w:sz w:val="24"/>
        </w:rPr>
      </w:pPr>
      <w:r>
        <w:rPr>
          <w:rFonts w:hint="eastAsia" w:ascii="宋体" w:hAnsi="宋体" w:eastAsia="宋体" w:cs="宋体"/>
          <w:b/>
          <w:bCs/>
          <w:kern w:val="0"/>
          <w:sz w:val="24"/>
          <w:lang w:val="zh-CN" w:eastAsia="zh-CN"/>
        </w:rPr>
        <w:t>1.</w:t>
      </w:r>
      <w:r>
        <w:rPr>
          <w:rFonts w:hint="eastAsia" w:ascii="宋体" w:hAnsi="宋体" w:cs="宋体"/>
          <w:b/>
          <w:bCs/>
          <w:kern w:val="0"/>
          <w:sz w:val="24"/>
        </w:rPr>
        <w:t>投标人基本资质要求</w:t>
      </w:r>
    </w:p>
    <w:p w14:paraId="222A2E54">
      <w:pPr>
        <w:keepNext w:val="0"/>
        <w:keepLines w:val="0"/>
        <w:pageBreakBefore w:val="0"/>
        <w:numPr>
          <w:ilvl w:val="0"/>
          <w:numId w:val="0"/>
        </w:numPr>
        <w:kinsoku/>
        <w:wordWrap/>
        <w:overflowPunct/>
        <w:topLinePunct w:val="0"/>
        <w:autoSpaceDE/>
        <w:autoSpaceDN/>
        <w:bidi w:val="0"/>
        <w:spacing w:line="288" w:lineRule="auto"/>
        <w:ind w:leftChars="0" w:firstLine="630" w:firstLineChars="300"/>
        <w:jc w:val="both"/>
        <w:rPr>
          <w:rFonts w:hint="eastAsia" w:ascii="宋体" w:hAnsi="宋体" w:eastAsia="宋体" w:cs="Times New Roman"/>
          <w:lang w:val="zh-CN" w:eastAsia="zh-CN"/>
        </w:rPr>
      </w:pPr>
      <w:r>
        <w:rPr>
          <w:rFonts w:hint="eastAsia" w:ascii="宋体" w:hAnsi="宋体" w:eastAsia="宋体" w:cs="Times New Roman"/>
          <w:lang w:val="en-US" w:eastAsia="zh-CN"/>
        </w:rPr>
        <w:t>1）</w:t>
      </w:r>
      <w:r>
        <w:rPr>
          <w:rFonts w:hint="eastAsia" w:ascii="宋体" w:hAnsi="宋体" w:eastAsia="宋体" w:cs="Times New Roman"/>
          <w:lang w:val="zh-CN" w:eastAsia="zh-CN"/>
        </w:rPr>
        <w:t>应具有独立订立合同的法人资格。单位负责人（法定代表人）为同一人或者存在控股、管理关系的不同单位不得在同一标段投标；对于同一项目中的有相互制约（例如监理和被监理）关系的标段，单位负责人（法定代表人）为同一人或者存在控股、管理关系的不同单位也不得在同一项目的相应标段投标。</w:t>
      </w:r>
    </w:p>
    <w:p w14:paraId="6030F7FB">
      <w:pPr>
        <w:keepNext w:val="0"/>
        <w:keepLines w:val="0"/>
        <w:pageBreakBefore w:val="0"/>
        <w:numPr>
          <w:ilvl w:val="0"/>
          <w:numId w:val="0"/>
        </w:numPr>
        <w:kinsoku/>
        <w:wordWrap/>
        <w:overflowPunct/>
        <w:topLinePunct w:val="0"/>
        <w:autoSpaceDE/>
        <w:autoSpaceDN/>
        <w:bidi w:val="0"/>
        <w:spacing w:line="288" w:lineRule="auto"/>
        <w:ind w:leftChars="0" w:firstLine="630" w:firstLineChars="300"/>
        <w:jc w:val="both"/>
        <w:rPr>
          <w:rFonts w:hint="eastAsia" w:ascii="宋体" w:hAnsi="宋体" w:eastAsia="宋体" w:cs="Times New Roman"/>
          <w:lang w:val="zh-CN" w:eastAsia="zh-CN"/>
        </w:rPr>
      </w:pPr>
      <w:r>
        <w:rPr>
          <w:rFonts w:hint="eastAsia" w:ascii="宋体" w:hAnsi="宋体" w:eastAsia="宋体" w:cs="Times New Roman"/>
          <w:lang w:val="zh-CN" w:eastAsia="zh-CN"/>
        </w:rPr>
        <w:t>2）应具有设计、制造或供应等与招标标的相同或相近的货物能力和相应资质要求；具有履行合同需具备的专业技术、资金、设备设施、人员组织、管理能力、业绩经验等。</w:t>
      </w:r>
    </w:p>
    <w:p w14:paraId="7AACBABA">
      <w:pPr>
        <w:keepNext w:val="0"/>
        <w:keepLines w:val="0"/>
        <w:pageBreakBefore w:val="0"/>
        <w:numPr>
          <w:ilvl w:val="0"/>
          <w:numId w:val="0"/>
        </w:numPr>
        <w:kinsoku/>
        <w:wordWrap/>
        <w:overflowPunct/>
        <w:topLinePunct w:val="0"/>
        <w:autoSpaceDE/>
        <w:autoSpaceDN/>
        <w:bidi w:val="0"/>
        <w:spacing w:line="288" w:lineRule="auto"/>
        <w:ind w:leftChars="0" w:firstLine="630" w:firstLineChars="300"/>
        <w:jc w:val="both"/>
        <w:rPr>
          <w:rFonts w:hint="eastAsia" w:ascii="宋体" w:hAnsi="宋体" w:eastAsia="宋体" w:cs="Times New Roman"/>
          <w:lang w:val="zh-CN" w:eastAsia="zh-CN"/>
        </w:rPr>
      </w:pPr>
      <w:r>
        <w:rPr>
          <w:rFonts w:hint="eastAsia" w:ascii="宋体" w:hAnsi="宋体" w:eastAsia="宋体" w:cs="Times New Roman"/>
          <w:lang w:val="zh-CN" w:eastAsia="zh-CN"/>
        </w:rPr>
        <w:t>3）在近3年内不存在骗取中标、严重违约等因自身的原因而使任何合同被解除的情形。</w:t>
      </w:r>
    </w:p>
    <w:p w14:paraId="3ADC5C2B">
      <w:pPr>
        <w:keepNext w:val="0"/>
        <w:keepLines w:val="0"/>
        <w:pageBreakBefore w:val="0"/>
        <w:numPr>
          <w:ilvl w:val="0"/>
          <w:numId w:val="0"/>
        </w:numPr>
        <w:kinsoku/>
        <w:wordWrap/>
        <w:overflowPunct/>
        <w:topLinePunct w:val="0"/>
        <w:autoSpaceDE/>
        <w:autoSpaceDN/>
        <w:bidi w:val="0"/>
        <w:spacing w:line="288" w:lineRule="auto"/>
        <w:ind w:leftChars="0" w:firstLine="630" w:firstLineChars="300"/>
        <w:jc w:val="both"/>
        <w:rPr>
          <w:rFonts w:hint="eastAsia" w:ascii="宋体" w:hAnsi="宋体" w:eastAsia="宋体" w:cs="Times New Roman"/>
          <w:lang w:val="zh-CN" w:eastAsia="zh-CN"/>
        </w:rPr>
      </w:pPr>
      <w:r>
        <w:rPr>
          <w:rFonts w:hint="eastAsia" w:ascii="宋体" w:hAnsi="宋体" w:eastAsia="宋体" w:cs="Times New Roman"/>
          <w:lang w:val="zh-CN" w:eastAsia="zh-CN"/>
        </w:rPr>
        <w:t>4）经营状况良好，具有良好的资信和信用（以“信用中国”网站（www.creditchina.gov.cn）网站查询为准,没有处于失信黑名单），没有处于被责令停业、财产被接管、冻结、破产状态；投标资格未被暂停或取消。(请投标人自行查询相关网站，并将查询情况截图附投标文件内。)</w:t>
      </w:r>
    </w:p>
    <w:p w14:paraId="0D780ABE">
      <w:pPr>
        <w:keepNext w:val="0"/>
        <w:keepLines w:val="0"/>
        <w:pageBreakBefore w:val="0"/>
        <w:numPr>
          <w:ilvl w:val="0"/>
          <w:numId w:val="0"/>
        </w:numPr>
        <w:kinsoku/>
        <w:wordWrap/>
        <w:overflowPunct/>
        <w:topLinePunct w:val="0"/>
        <w:autoSpaceDE/>
        <w:autoSpaceDN/>
        <w:bidi w:val="0"/>
        <w:spacing w:line="288" w:lineRule="auto"/>
        <w:ind w:leftChars="0" w:firstLine="630" w:firstLineChars="300"/>
        <w:jc w:val="both"/>
        <w:rPr>
          <w:rFonts w:hint="eastAsia" w:ascii="宋体" w:hAnsi="宋体" w:eastAsia="宋体" w:cs="Times New Roman"/>
          <w:lang w:val="zh-CN" w:eastAsia="zh-CN"/>
        </w:rPr>
      </w:pPr>
      <w:r>
        <w:rPr>
          <w:rFonts w:hint="eastAsia" w:ascii="宋体" w:hAnsi="宋体" w:eastAsia="宋体" w:cs="Times New Roman"/>
          <w:lang w:val="en-US" w:eastAsia="zh-CN"/>
        </w:rPr>
        <w:t>5）</w:t>
      </w:r>
      <w:r>
        <w:rPr>
          <w:rFonts w:hint="eastAsia" w:ascii="宋体" w:hAnsi="宋体" w:eastAsia="宋体" w:cs="Times New Roman"/>
          <w:lang w:val="zh-CN" w:eastAsia="zh-CN"/>
        </w:rPr>
        <w:t>不接受联合体投标</w:t>
      </w:r>
    </w:p>
    <w:p w14:paraId="0C7B03C4">
      <w:pPr>
        <w:numPr>
          <w:ilvl w:val="0"/>
          <w:numId w:val="0"/>
        </w:numPr>
        <w:spacing w:line="240" w:lineRule="auto"/>
        <w:ind w:leftChars="0" w:firstLine="480" w:firstLineChars="200"/>
        <w:rPr>
          <w:rFonts w:hint="eastAsia" w:ascii="宋体" w:hAnsi="宋体" w:cs="宋体"/>
          <w:b/>
          <w:bCs/>
          <w:kern w:val="0"/>
          <w:sz w:val="24"/>
        </w:rPr>
      </w:pPr>
      <w:r>
        <w:rPr>
          <w:rFonts w:hint="eastAsia" w:ascii="宋体" w:hAnsi="宋体" w:cs="宋体"/>
          <w:b/>
          <w:bCs/>
          <w:kern w:val="0"/>
          <w:sz w:val="24"/>
          <w:lang w:val="en-US" w:eastAsia="zh-CN"/>
        </w:rPr>
        <w:t>2.</w:t>
      </w:r>
      <w:r>
        <w:rPr>
          <w:rFonts w:hint="eastAsia" w:ascii="宋体" w:hAnsi="宋体" w:cs="宋体"/>
          <w:b/>
          <w:bCs/>
          <w:kern w:val="0"/>
          <w:sz w:val="24"/>
        </w:rPr>
        <w:t>投标人专项资质要求</w:t>
      </w:r>
    </w:p>
    <w:p w14:paraId="0BF30BB7">
      <w:pPr>
        <w:numPr>
          <w:ilvl w:val="0"/>
          <w:numId w:val="0"/>
        </w:numPr>
        <w:spacing w:line="240" w:lineRule="auto"/>
        <w:ind w:leftChars="0" w:firstLine="630" w:firstLineChars="300"/>
        <w:rPr>
          <w:rFonts w:hint="eastAsia" w:ascii="宋体" w:hAnsi="宋体" w:eastAsia="宋体" w:cs="Times New Roman"/>
          <w:color w:val="0000FF"/>
          <w:lang w:val="en-US" w:eastAsia="zh-CN"/>
        </w:rPr>
      </w:pPr>
      <w:r>
        <w:rPr>
          <w:rFonts w:hint="eastAsia" w:ascii="宋体" w:hAnsi="宋体" w:eastAsia="宋体" w:cs="Times New Roman"/>
          <w:color w:val="0000FF"/>
          <w:lang w:val="en-US" w:eastAsia="zh-CN"/>
        </w:rPr>
        <w:t>本标段接受代理商投标，但是代理商必须有产品生产厂家正式授权。</w:t>
      </w:r>
    </w:p>
    <w:p w14:paraId="7BA6E8FB">
      <w:pPr>
        <w:numPr>
          <w:ilvl w:val="0"/>
          <w:numId w:val="0"/>
        </w:numPr>
        <w:spacing w:line="240" w:lineRule="auto"/>
        <w:ind w:leftChars="0" w:firstLine="480" w:firstLineChars="200"/>
        <w:rPr>
          <w:rFonts w:hint="eastAsia" w:ascii="宋体" w:hAnsi="宋体" w:eastAsia="宋体" w:cs="宋体"/>
          <w:b/>
          <w:bCs/>
          <w:kern w:val="0"/>
          <w:sz w:val="24"/>
        </w:rPr>
      </w:pPr>
      <w:r>
        <w:rPr>
          <w:rFonts w:hint="eastAsia" w:ascii="宋体" w:hAnsi="宋体" w:eastAsia="宋体" w:cs="宋体"/>
          <w:b/>
          <w:bCs/>
          <w:kern w:val="0"/>
          <w:sz w:val="24"/>
          <w:lang w:val="en-US" w:eastAsia="zh-CN"/>
        </w:rPr>
        <w:t>3</w:t>
      </w:r>
      <w:r>
        <w:rPr>
          <w:rFonts w:hint="eastAsia" w:ascii="宋体" w:hAnsi="宋体" w:eastAsia="宋体" w:cs="宋体"/>
          <w:b/>
          <w:bCs/>
          <w:kern w:val="0"/>
          <w:sz w:val="24"/>
        </w:rPr>
        <w:t>、投标人业绩要求</w:t>
      </w:r>
    </w:p>
    <w:p w14:paraId="742581D1">
      <w:pPr>
        <w:keepNext w:val="0"/>
        <w:keepLines w:val="0"/>
        <w:pageBreakBefore w:val="0"/>
        <w:numPr>
          <w:ilvl w:val="0"/>
          <w:numId w:val="0"/>
        </w:numPr>
        <w:kinsoku/>
        <w:wordWrap/>
        <w:overflowPunct/>
        <w:topLinePunct w:val="0"/>
        <w:autoSpaceDE/>
        <w:autoSpaceDN/>
        <w:bidi w:val="0"/>
        <w:spacing w:line="288" w:lineRule="auto"/>
        <w:ind w:leftChars="0" w:firstLine="630" w:firstLineChars="300"/>
        <w:jc w:val="both"/>
        <w:rPr>
          <w:rFonts w:hint="eastAsia" w:ascii="宋体" w:hAnsi="宋体" w:eastAsia="宋体" w:cs="Times New Roman"/>
          <w:lang w:val="en-US" w:eastAsia="zh-CN"/>
        </w:rPr>
      </w:pPr>
      <w:r>
        <w:rPr>
          <w:rFonts w:hint="eastAsia" w:ascii="宋体" w:hAnsi="宋体" w:eastAsia="宋体" w:cs="Times New Roman"/>
          <w:lang w:val="en-US" w:eastAsia="zh-CN"/>
        </w:rPr>
        <w:t>投标人近五年内（2019年6月至投标截止日）内应具有至少2个500kV变电站电压等级及以上电压互感器供货业绩,投标人须随投标文件同时提供相关合同的复印件（封面、主要内容、技术协议、签字页等）以证明投标人满足招标业绩要求。</w:t>
      </w:r>
    </w:p>
    <w:p w14:paraId="6B7967DF">
      <w:pPr>
        <w:widowControl/>
        <w:tabs>
          <w:tab w:val="left" w:pos="360"/>
        </w:tabs>
        <w:snapToGrid w:val="0"/>
        <w:spacing w:line="480" w:lineRule="exact"/>
        <w:jc w:val="left"/>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五、报名和采购文件获取</w:t>
      </w:r>
    </w:p>
    <w:p w14:paraId="1FB8B3C5">
      <w:pPr>
        <w:keepNext w:val="0"/>
        <w:keepLines w:val="0"/>
        <w:pageBreakBefore w:val="0"/>
        <w:numPr>
          <w:ilvl w:val="0"/>
          <w:numId w:val="0"/>
        </w:numPr>
        <w:kinsoku/>
        <w:wordWrap/>
        <w:overflowPunct/>
        <w:topLinePunct w:val="0"/>
        <w:autoSpaceDE/>
        <w:autoSpaceDN/>
        <w:bidi w:val="0"/>
        <w:spacing w:line="288" w:lineRule="auto"/>
        <w:ind w:leftChars="0" w:firstLine="630" w:firstLineChars="300"/>
        <w:jc w:val="both"/>
        <w:rPr>
          <w:rFonts w:hint="eastAsia" w:ascii="宋体" w:hAnsi="宋体" w:eastAsia="宋体" w:cs="Times New Roman"/>
          <w:lang w:val="en-US" w:eastAsia="zh-CN"/>
        </w:rPr>
      </w:pPr>
      <w:r>
        <w:rPr>
          <w:rFonts w:hint="eastAsia" w:ascii="宋体" w:hAnsi="宋体" w:eastAsia="宋体" w:cs="Times New Roman"/>
          <w:lang w:val="en-US" w:eastAsia="zh-CN"/>
        </w:rPr>
        <w:t xml:space="preserve">1.响应人须在中煤易购采购供应链一体化平台（网址：http://ego.chinacoal.com）上进行下载； </w:t>
      </w:r>
    </w:p>
    <w:p w14:paraId="3C922E19">
      <w:pPr>
        <w:keepNext w:val="0"/>
        <w:keepLines w:val="0"/>
        <w:pageBreakBefore w:val="0"/>
        <w:numPr>
          <w:ilvl w:val="0"/>
          <w:numId w:val="0"/>
        </w:numPr>
        <w:kinsoku/>
        <w:wordWrap/>
        <w:overflowPunct/>
        <w:topLinePunct w:val="0"/>
        <w:autoSpaceDE/>
        <w:autoSpaceDN/>
        <w:bidi w:val="0"/>
        <w:spacing w:line="288" w:lineRule="auto"/>
        <w:ind w:leftChars="0" w:firstLine="630" w:firstLineChars="300"/>
        <w:jc w:val="both"/>
        <w:rPr>
          <w:rFonts w:hint="eastAsia" w:ascii="宋体" w:hAnsi="宋体" w:eastAsia="宋体" w:cs="Times New Roman"/>
          <w:lang w:val="en-US" w:eastAsia="zh-CN"/>
        </w:rPr>
      </w:pPr>
      <w:r>
        <w:rPr>
          <w:rFonts w:hint="eastAsia" w:ascii="宋体" w:hAnsi="宋体" w:eastAsia="宋体" w:cs="Times New Roman"/>
          <w:lang w:val="en-US" w:eastAsia="zh-CN"/>
        </w:rPr>
        <w:t xml:space="preserve">2.响应人搜索本项目编号在公告中进行询价文件下载，报价上传至指定平台，并按照报价书要求上传相关资料；注意事项说明：该项目为公开询价项目，供应商须在网上提交一次最终报价，且电子商务网中一次最终报价必须与询价文件中的明细一致，采购人必要时可根据供应商一次最终报价和文件要求进行谈判。 </w:t>
      </w:r>
    </w:p>
    <w:p w14:paraId="38DF5468">
      <w:pPr>
        <w:widowControl/>
        <w:tabs>
          <w:tab w:val="left" w:pos="360"/>
        </w:tabs>
        <w:snapToGrid w:val="0"/>
        <w:spacing w:line="480" w:lineRule="exact"/>
        <w:jc w:val="left"/>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eastAsia="zh-CN"/>
        </w:rPr>
        <w:t>六</w:t>
      </w:r>
      <w:r>
        <w:rPr>
          <w:rFonts w:hint="eastAsia" w:ascii="仿宋" w:hAnsi="仿宋" w:eastAsia="仿宋" w:cs="仿宋"/>
          <w:b/>
          <w:bCs/>
          <w:color w:val="auto"/>
          <w:kern w:val="0"/>
          <w:sz w:val="28"/>
          <w:szCs w:val="28"/>
          <w:highlight w:val="none"/>
        </w:rPr>
        <w:t>、报价文件递交</w:t>
      </w:r>
    </w:p>
    <w:p w14:paraId="2C6C3E83">
      <w:pPr>
        <w:widowControl/>
        <w:tabs>
          <w:tab w:val="left" w:pos="360"/>
        </w:tabs>
        <w:snapToGrid w:val="0"/>
        <w:spacing w:line="48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b/>
          <w:color w:val="auto"/>
          <w:kern w:val="0"/>
          <w:sz w:val="28"/>
          <w:szCs w:val="28"/>
          <w:highlight w:val="none"/>
        </w:rPr>
        <w:t>报价文件应于</w:t>
      </w:r>
      <w:r>
        <w:rPr>
          <w:rFonts w:hint="eastAsia" w:ascii="仿宋" w:hAnsi="仿宋" w:eastAsia="仿宋" w:cs="仿宋"/>
          <w:b/>
          <w:strike w:val="0"/>
          <w:dstrike w:val="0"/>
          <w:color w:val="auto"/>
          <w:kern w:val="0"/>
          <w:sz w:val="28"/>
          <w:szCs w:val="28"/>
          <w:highlight w:val="yellow"/>
          <w:lang w:val="en-US" w:eastAsia="zh-CN"/>
        </w:rPr>
        <w:t>2024年7月22日上午08:00</w:t>
      </w:r>
      <w:r>
        <w:rPr>
          <w:rFonts w:hint="eastAsia" w:ascii="仿宋" w:hAnsi="仿宋" w:eastAsia="仿宋" w:cs="仿宋"/>
          <w:b/>
          <w:strike w:val="0"/>
          <w:dstrike w:val="0"/>
          <w:color w:val="auto"/>
          <w:kern w:val="0"/>
          <w:sz w:val="28"/>
          <w:szCs w:val="28"/>
          <w:highlight w:val="yellow"/>
        </w:rPr>
        <w:t>之前</w:t>
      </w:r>
      <w:r>
        <w:rPr>
          <w:rFonts w:hint="eastAsia" w:ascii="仿宋" w:hAnsi="仿宋" w:eastAsia="仿宋" w:cs="仿宋"/>
          <w:b/>
          <w:strike w:val="0"/>
          <w:color w:val="auto"/>
          <w:kern w:val="0"/>
          <w:sz w:val="28"/>
          <w:szCs w:val="28"/>
          <w:highlight w:val="yellow"/>
        </w:rPr>
        <w:t>，</w:t>
      </w:r>
      <w:r>
        <w:rPr>
          <w:rFonts w:hint="eastAsia" w:ascii="仿宋" w:hAnsi="仿宋" w:eastAsia="仿宋" w:cs="仿宋"/>
          <w:b/>
          <w:color w:val="auto"/>
          <w:kern w:val="0"/>
          <w:sz w:val="28"/>
          <w:szCs w:val="28"/>
          <w:highlight w:val="none"/>
        </w:rPr>
        <w:t>将盖章的响应文件在提交</w:t>
      </w:r>
      <w:r>
        <w:rPr>
          <w:rFonts w:hint="eastAsia" w:ascii="仿宋" w:hAnsi="仿宋" w:eastAsia="仿宋" w:cs="仿宋"/>
          <w:b/>
          <w:color w:val="auto"/>
          <w:kern w:val="0"/>
          <w:sz w:val="28"/>
          <w:szCs w:val="28"/>
          <w:highlight w:val="none"/>
          <w:lang w:val="en-US" w:eastAsia="zh-CN"/>
        </w:rPr>
        <w:t>至中煤集团物资采购电子商务网报价平台</w:t>
      </w:r>
      <w:r>
        <w:rPr>
          <w:rFonts w:hint="eastAsia" w:ascii="仿宋" w:hAnsi="仿宋" w:eastAsia="仿宋" w:cs="仿宋"/>
          <w:b/>
          <w:color w:val="auto"/>
          <w:kern w:val="0"/>
          <w:sz w:val="28"/>
          <w:szCs w:val="28"/>
          <w:highlight w:val="none"/>
        </w:rPr>
        <w:t>，未按时递交的报价文件将被拒绝。</w:t>
      </w:r>
    </w:p>
    <w:p w14:paraId="7A723E36">
      <w:pPr>
        <w:widowControl/>
        <w:tabs>
          <w:tab w:val="left" w:pos="360"/>
        </w:tabs>
        <w:snapToGrid w:val="0"/>
        <w:spacing w:line="480" w:lineRule="exact"/>
        <w:jc w:val="both"/>
        <w:rPr>
          <w:rFonts w:hint="eastAsia" w:ascii="仿宋" w:hAnsi="仿宋" w:eastAsia="仿宋" w:cs="仿宋"/>
          <w:b/>
          <w:bCs/>
          <w:color w:val="auto"/>
          <w:kern w:val="0"/>
          <w:sz w:val="28"/>
          <w:szCs w:val="28"/>
          <w:highlight w:val="none"/>
        </w:rPr>
      </w:pPr>
      <w:r>
        <w:rPr>
          <w:rFonts w:hint="eastAsia" w:ascii="仿宋" w:hAnsi="仿宋" w:eastAsia="仿宋" w:cs="仿宋"/>
          <w:b/>
          <w:color w:val="auto"/>
          <w:kern w:val="0"/>
          <w:sz w:val="28"/>
          <w:szCs w:val="28"/>
          <w:highlight w:val="none"/>
          <w:lang w:val="en-US" w:eastAsia="zh-CN"/>
        </w:rPr>
        <w:t>七</w:t>
      </w:r>
      <w:r>
        <w:rPr>
          <w:rFonts w:hint="eastAsia" w:ascii="仿宋" w:hAnsi="仿宋" w:eastAsia="仿宋" w:cs="仿宋"/>
          <w:b/>
          <w:color w:val="auto"/>
          <w:kern w:val="0"/>
          <w:sz w:val="28"/>
          <w:szCs w:val="28"/>
          <w:highlight w:val="none"/>
        </w:rPr>
        <w:t>、</w:t>
      </w:r>
      <w:r>
        <w:rPr>
          <w:rFonts w:hint="eastAsia" w:ascii="仿宋" w:hAnsi="仿宋" w:eastAsia="仿宋" w:cs="仿宋"/>
          <w:b/>
          <w:bCs/>
          <w:color w:val="auto"/>
          <w:kern w:val="0"/>
          <w:sz w:val="28"/>
          <w:szCs w:val="28"/>
          <w:highlight w:val="none"/>
        </w:rPr>
        <w:t xml:space="preserve">采购人通讯资料: </w:t>
      </w:r>
    </w:p>
    <w:p w14:paraId="15CA6B79">
      <w:pPr>
        <w:spacing w:line="500" w:lineRule="exact"/>
        <w:ind w:firstLine="480" w:firstLineChars="200"/>
        <w:rPr>
          <w:rFonts w:ascii="仿宋_GB2312" w:hAnsi="宋体" w:eastAsia="仿宋_GB2312"/>
          <w:sz w:val="24"/>
          <w:highlight w:val="none"/>
        </w:rPr>
      </w:pPr>
      <w:r>
        <w:rPr>
          <w:rFonts w:hint="eastAsia" w:ascii="仿宋_GB2312" w:hAnsi="宋体" w:eastAsia="仿宋_GB2312"/>
          <w:bCs/>
          <w:sz w:val="24"/>
          <w:highlight w:val="none"/>
        </w:rPr>
        <w:t>采购</w:t>
      </w:r>
      <w:r>
        <w:rPr>
          <w:rFonts w:hint="eastAsia" w:ascii="仿宋_GB2312" w:hAnsi="宋体" w:eastAsia="仿宋_GB2312"/>
          <w:sz w:val="24"/>
          <w:highlight w:val="none"/>
        </w:rPr>
        <w:t>单位名称：</w:t>
      </w:r>
      <w:r>
        <w:rPr>
          <w:rFonts w:hint="eastAsia" w:ascii="仿宋_GB2312" w:hAnsi="宋体" w:eastAsia="仿宋_GB2312"/>
          <w:sz w:val="24"/>
          <w:highlight w:val="none"/>
          <w:lang w:val="en-US" w:eastAsia="zh-CN"/>
        </w:rPr>
        <w:t>平顶山姚孟发电有限责任公司</w:t>
      </w:r>
    </w:p>
    <w:p w14:paraId="281C54B7">
      <w:pPr>
        <w:spacing w:line="500" w:lineRule="exact"/>
        <w:ind w:firstLine="480" w:firstLineChars="200"/>
        <w:rPr>
          <w:rFonts w:ascii="仿宋_GB2312" w:hAnsi="宋体" w:eastAsia="仿宋_GB2312"/>
          <w:sz w:val="24"/>
          <w:highlight w:val="none"/>
        </w:rPr>
      </w:pPr>
      <w:r>
        <w:rPr>
          <w:rFonts w:hint="eastAsia" w:ascii="仿宋_GB2312" w:hAnsi="宋体" w:eastAsia="仿宋_GB2312"/>
          <w:sz w:val="24"/>
          <w:highlight w:val="none"/>
        </w:rPr>
        <w:t>联系人：</w:t>
      </w:r>
      <w:r>
        <w:rPr>
          <w:rFonts w:hint="eastAsia" w:ascii="仿宋_GB2312" w:hAnsi="宋体" w:eastAsia="仿宋_GB2312"/>
          <w:sz w:val="24"/>
          <w:highlight w:val="none"/>
          <w:lang w:val="en-US" w:eastAsia="zh-CN"/>
        </w:rPr>
        <w:t>张世飞</w:t>
      </w:r>
      <w:r>
        <w:rPr>
          <w:rFonts w:hint="eastAsia" w:ascii="仿宋_GB2312" w:hAnsi="宋体" w:eastAsia="仿宋_GB2312"/>
          <w:sz w:val="24"/>
          <w:highlight w:val="none"/>
        </w:rPr>
        <w:t xml:space="preserve">（技术）  </w:t>
      </w:r>
      <w:r>
        <w:rPr>
          <w:rFonts w:hint="eastAsia" w:ascii="仿宋_GB2312" w:hAnsi="宋体" w:eastAsia="仿宋_GB2312"/>
          <w:sz w:val="24"/>
          <w:highlight w:val="none"/>
          <w:lang w:val="en-US" w:eastAsia="zh-CN"/>
        </w:rPr>
        <w:t xml:space="preserve">     张毫</w:t>
      </w:r>
      <w:r>
        <w:rPr>
          <w:rFonts w:hint="eastAsia" w:ascii="仿宋_GB2312" w:hAnsi="宋体" w:eastAsia="仿宋_GB2312"/>
          <w:sz w:val="24"/>
          <w:highlight w:val="none"/>
        </w:rPr>
        <w:t xml:space="preserve">（商务）   </w:t>
      </w:r>
    </w:p>
    <w:p w14:paraId="061A5824">
      <w:pPr>
        <w:spacing w:line="500" w:lineRule="exact"/>
        <w:ind w:firstLine="480" w:firstLineChars="200"/>
        <w:rPr>
          <w:rFonts w:hint="default" w:ascii="仿宋_GB2312" w:hAnsi="宋体" w:eastAsia="仿宋_GB2312"/>
          <w:sz w:val="24"/>
          <w:highlight w:val="none"/>
          <w:lang w:val="en-US" w:eastAsia="zh-CN"/>
        </w:rPr>
      </w:pPr>
      <w:r>
        <w:rPr>
          <w:rFonts w:hint="eastAsia" w:ascii="仿宋_GB2312" w:hAnsi="宋体" w:eastAsia="仿宋_GB2312"/>
          <w:sz w:val="24"/>
          <w:highlight w:val="none"/>
        </w:rPr>
        <w:t>联系电话：</w:t>
      </w:r>
      <w:r>
        <w:rPr>
          <w:rFonts w:hint="eastAsia" w:ascii="仿宋_GB2312" w:hAnsi="宋体" w:eastAsia="仿宋_GB2312"/>
          <w:sz w:val="24"/>
          <w:highlight w:val="none"/>
          <w:lang w:val="en-US" w:eastAsia="zh-CN"/>
        </w:rPr>
        <w:t>17737568913</w:t>
      </w:r>
      <w:r>
        <w:rPr>
          <w:rFonts w:hint="eastAsia" w:ascii="仿宋_GB2312" w:hAnsi="宋体" w:eastAsia="仿宋_GB2312"/>
          <w:sz w:val="24"/>
          <w:highlight w:val="none"/>
        </w:rPr>
        <w:t xml:space="preserve">      </w:t>
      </w:r>
      <w:r>
        <w:rPr>
          <w:rFonts w:hint="eastAsia" w:ascii="仿宋_GB2312" w:hAnsi="宋体" w:eastAsia="仿宋_GB2312"/>
          <w:sz w:val="24"/>
          <w:highlight w:val="none"/>
          <w:lang w:val="en-US" w:eastAsia="zh-CN"/>
        </w:rPr>
        <w:t xml:space="preserve">  13783201023</w:t>
      </w:r>
    </w:p>
    <w:p w14:paraId="7866893F">
      <w:pPr>
        <w:spacing w:line="500" w:lineRule="exact"/>
        <w:ind w:firstLine="480" w:firstLineChars="200"/>
        <w:rPr>
          <w:rFonts w:ascii="仿宋_GB2312" w:hAnsi="宋体" w:eastAsia="仿宋_GB2312"/>
          <w:sz w:val="24"/>
          <w:highlight w:val="none"/>
        </w:rPr>
      </w:pPr>
      <w:r>
        <w:rPr>
          <w:rFonts w:hint="eastAsia" w:ascii="仿宋_GB2312" w:hAnsi="宋体" w:eastAsia="仿宋_GB2312"/>
          <w:sz w:val="24"/>
          <w:highlight w:val="none"/>
        </w:rPr>
        <w:t>邮箱：</w:t>
      </w:r>
      <w:r>
        <w:rPr>
          <w:rFonts w:hint="eastAsia" w:eastAsia="仿宋_GB2312"/>
          <w:sz w:val="24"/>
          <w:highlight w:val="none"/>
          <w:lang w:val="en-US" w:eastAsia="zh-CN"/>
        </w:rPr>
        <w:t>664260980</w:t>
      </w:r>
      <w:r>
        <w:rPr>
          <w:rFonts w:eastAsia="仿宋_GB2312"/>
          <w:sz w:val="24"/>
          <w:highlight w:val="none"/>
        </w:rPr>
        <w:t>@qq.com</w:t>
      </w:r>
    </w:p>
    <w:p w14:paraId="22207F21">
      <w:pPr>
        <w:spacing w:line="500" w:lineRule="exact"/>
        <w:ind w:firstLine="480" w:firstLineChars="200"/>
        <w:rPr>
          <w:rFonts w:hint="default" w:ascii="仿宋_GB2312" w:hAnsi="宋体" w:eastAsia="仿宋_GB2312"/>
          <w:sz w:val="24"/>
          <w:highlight w:val="none"/>
          <w:lang w:val="en-US" w:eastAsia="zh-CN"/>
        </w:rPr>
      </w:pPr>
      <w:r>
        <w:rPr>
          <w:rFonts w:hint="eastAsia" w:ascii="仿宋_GB2312" w:hAnsi="宋体" w:eastAsia="仿宋_GB2312"/>
          <w:sz w:val="24"/>
          <w:highlight w:val="none"/>
        </w:rPr>
        <w:t>邮寄地址：</w:t>
      </w:r>
      <w:r>
        <w:rPr>
          <w:rFonts w:hint="eastAsia" w:ascii="仿宋_GB2312" w:hAnsi="宋体" w:eastAsia="仿宋_GB2312"/>
          <w:sz w:val="24"/>
          <w:highlight w:val="none"/>
          <w:lang w:eastAsia="zh-CN"/>
        </w:rPr>
        <w:t>河南省平顶山市湛河区姚电大道西段姚孟发电</w:t>
      </w:r>
      <w:r>
        <w:rPr>
          <w:rFonts w:hint="eastAsia" w:ascii="仿宋_GB2312" w:hAnsi="宋体" w:eastAsia="仿宋_GB2312"/>
          <w:sz w:val="24"/>
          <w:highlight w:val="none"/>
          <w:lang w:val="en-US" w:eastAsia="zh-CN"/>
        </w:rPr>
        <w:t>计经部</w:t>
      </w:r>
    </w:p>
    <w:p w14:paraId="76820289">
      <w:pPr>
        <w:pStyle w:val="15"/>
        <w:ind w:left="0" w:firstLine="0" w:firstLineChars="0"/>
        <w:rPr>
          <w:rFonts w:hint="eastAsia" w:ascii="宋体" w:hAnsi="宋体"/>
          <w:lang w:eastAsia="zh-CN"/>
        </w:rPr>
      </w:pPr>
    </w:p>
    <w:bookmarkEnd w:id="0"/>
    <w:bookmarkEnd w:id="1"/>
    <w:p w14:paraId="337EAEBC">
      <w:pPr>
        <w:widowControl/>
        <w:spacing w:line="240" w:lineRule="auto"/>
        <w:ind w:left="0" w:firstLine="0"/>
        <w:jc w:val="left"/>
        <w:rPr>
          <w:rFonts w:ascii="Arial" w:hAnsi="宋体" w:cs="Arial"/>
        </w:rPr>
      </w:pPr>
      <w:bookmarkStart w:id="2" w:name="_Toc474395576"/>
      <w:bookmarkStart w:id="3" w:name="_Toc496532497"/>
      <w:bookmarkStart w:id="4" w:name="_Toc299192149"/>
      <w:r>
        <w:rPr>
          <w:rFonts w:ascii="Arial" w:hAnsi="宋体" w:cs="Arial"/>
        </w:rPr>
        <w:br w:type="page"/>
      </w:r>
    </w:p>
    <w:p w14:paraId="1F4B4830">
      <w:pPr>
        <w:numPr>
          <w:ilvl w:val="0"/>
          <w:numId w:val="2"/>
        </w:numPr>
        <w:spacing w:line="480" w:lineRule="exact"/>
        <w:jc w:val="center"/>
        <w:rPr>
          <w:rFonts w:hint="eastAsia" w:ascii="Times New Roman" w:hAnsi="Times New Roman" w:eastAsia="宋体" w:cs="Times New Roman"/>
          <w:b/>
          <w:bCs/>
          <w:color w:val="auto"/>
          <w:sz w:val="30"/>
          <w:szCs w:val="30"/>
          <w:highlight w:val="none"/>
        </w:rPr>
      </w:pPr>
      <w:bookmarkStart w:id="5" w:name="_Toc139468405"/>
      <w:r>
        <w:rPr>
          <w:rFonts w:ascii="Times New Roman" w:hAnsi="Times New Roman" w:eastAsia="宋体" w:cs="Times New Roman"/>
          <w:b/>
          <w:bCs/>
          <w:color w:val="auto"/>
          <w:sz w:val="30"/>
          <w:szCs w:val="30"/>
          <w:highlight w:val="none"/>
        </w:rPr>
        <w:t xml:space="preserve">  </w:t>
      </w:r>
      <w:r>
        <w:rPr>
          <w:rFonts w:hint="eastAsia" w:ascii="Times New Roman" w:hAnsi="Times New Roman" w:eastAsia="宋体" w:cs="Times New Roman"/>
          <w:b/>
          <w:bCs/>
          <w:color w:val="auto"/>
          <w:sz w:val="30"/>
          <w:szCs w:val="30"/>
          <w:highlight w:val="none"/>
          <w:lang w:eastAsia="zh-CN"/>
        </w:rPr>
        <w:t>询价</w:t>
      </w:r>
      <w:r>
        <w:rPr>
          <w:rFonts w:ascii="Times New Roman" w:hAnsi="Times New Roman" w:eastAsia="宋体" w:cs="Times New Roman"/>
          <w:b/>
          <w:bCs/>
          <w:color w:val="auto"/>
          <w:sz w:val="30"/>
          <w:szCs w:val="30"/>
          <w:highlight w:val="none"/>
        </w:rPr>
        <w:t>须知</w:t>
      </w:r>
    </w:p>
    <w:p w14:paraId="638BB70B">
      <w:pPr>
        <w:spacing w:line="56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一</w:t>
      </w:r>
      <w:r>
        <w:rPr>
          <w:rFonts w:hint="eastAsia" w:ascii="仿宋" w:hAnsi="仿宋" w:eastAsia="仿宋" w:cs="仿宋"/>
          <w:b/>
          <w:color w:val="auto"/>
          <w:sz w:val="28"/>
          <w:szCs w:val="28"/>
          <w:highlight w:val="none"/>
        </w:rPr>
        <w:t>、报价要求</w:t>
      </w:r>
    </w:p>
    <w:p w14:paraId="29BBC5C7">
      <w:pPr>
        <w:keepNext w:val="0"/>
        <w:keepLines w:val="0"/>
        <w:pageBreakBefore w:val="0"/>
        <w:numPr>
          <w:ilvl w:val="0"/>
          <w:numId w:val="0"/>
        </w:numPr>
        <w:kinsoku/>
        <w:wordWrap/>
        <w:overflowPunct/>
        <w:topLinePunct w:val="0"/>
        <w:autoSpaceDE/>
        <w:autoSpaceDN/>
        <w:bidi w:val="0"/>
        <w:spacing w:line="288" w:lineRule="auto"/>
        <w:ind w:leftChars="0" w:firstLine="630" w:firstLineChars="300"/>
        <w:jc w:val="both"/>
        <w:rPr>
          <w:rFonts w:hint="eastAsia" w:ascii="宋体" w:hAnsi="宋体" w:eastAsia="宋体" w:cs="Times New Roman"/>
          <w:lang w:val="en-US" w:eastAsia="zh-CN"/>
        </w:rPr>
      </w:pPr>
      <w:r>
        <w:rPr>
          <w:rFonts w:hint="eastAsia" w:ascii="宋体" w:hAnsi="宋体" w:eastAsia="宋体" w:cs="Times New Roman"/>
          <w:lang w:val="en-US" w:eastAsia="zh-CN"/>
        </w:rPr>
        <w:t>1.以人民币为结算货币；</w:t>
      </w:r>
    </w:p>
    <w:p w14:paraId="06800C6B">
      <w:pPr>
        <w:keepNext w:val="0"/>
        <w:keepLines w:val="0"/>
        <w:pageBreakBefore w:val="0"/>
        <w:numPr>
          <w:ilvl w:val="0"/>
          <w:numId w:val="0"/>
        </w:numPr>
        <w:kinsoku/>
        <w:wordWrap/>
        <w:overflowPunct/>
        <w:topLinePunct w:val="0"/>
        <w:autoSpaceDE/>
        <w:autoSpaceDN/>
        <w:bidi w:val="0"/>
        <w:spacing w:line="288" w:lineRule="auto"/>
        <w:ind w:leftChars="0" w:firstLine="630" w:firstLineChars="300"/>
        <w:jc w:val="both"/>
        <w:rPr>
          <w:rFonts w:hint="eastAsia" w:ascii="宋体" w:hAnsi="宋体" w:eastAsia="宋体" w:cs="Times New Roman"/>
          <w:lang w:val="en-US" w:eastAsia="zh-CN"/>
        </w:rPr>
      </w:pPr>
      <w:r>
        <w:rPr>
          <w:rFonts w:hint="eastAsia" w:ascii="宋体" w:hAnsi="宋体" w:eastAsia="宋体" w:cs="Times New Roman"/>
          <w:lang w:val="en-US" w:eastAsia="zh-CN"/>
        </w:rPr>
        <w:t>2.报价是综合考虑为实施本项目所发生的差旅、检测及评价服务、人员报酬、交通、食宿等费用。开具增值税专用发票。</w:t>
      </w:r>
    </w:p>
    <w:p w14:paraId="5FB09DB7">
      <w:pPr>
        <w:keepNext w:val="0"/>
        <w:keepLines w:val="0"/>
        <w:pageBreakBefore w:val="0"/>
        <w:numPr>
          <w:ilvl w:val="0"/>
          <w:numId w:val="0"/>
        </w:numPr>
        <w:kinsoku/>
        <w:wordWrap/>
        <w:overflowPunct/>
        <w:topLinePunct w:val="0"/>
        <w:autoSpaceDE/>
        <w:autoSpaceDN/>
        <w:bidi w:val="0"/>
        <w:spacing w:line="288" w:lineRule="auto"/>
        <w:ind w:leftChars="0" w:firstLine="630" w:firstLineChars="300"/>
        <w:jc w:val="both"/>
        <w:rPr>
          <w:rFonts w:hint="eastAsia" w:ascii="宋体" w:hAnsi="宋体" w:eastAsia="宋体" w:cs="Times New Roman"/>
          <w:lang w:val="en-US" w:eastAsia="zh-CN"/>
        </w:rPr>
      </w:pPr>
      <w:r>
        <w:rPr>
          <w:rFonts w:hint="eastAsia" w:ascii="宋体" w:hAnsi="宋体" w:eastAsia="宋体" w:cs="Times New Roman"/>
          <w:lang w:val="en-US" w:eastAsia="zh-CN"/>
        </w:rPr>
        <w:t>3.单位应采用中华人民共和国法定计量单位；</w:t>
      </w:r>
    </w:p>
    <w:p w14:paraId="293457EC">
      <w:pPr>
        <w:keepNext w:val="0"/>
        <w:keepLines w:val="0"/>
        <w:pageBreakBefore w:val="0"/>
        <w:numPr>
          <w:ilvl w:val="0"/>
          <w:numId w:val="0"/>
        </w:numPr>
        <w:kinsoku/>
        <w:wordWrap/>
        <w:overflowPunct/>
        <w:topLinePunct w:val="0"/>
        <w:autoSpaceDE/>
        <w:autoSpaceDN/>
        <w:bidi w:val="0"/>
        <w:spacing w:line="288" w:lineRule="auto"/>
        <w:ind w:leftChars="0" w:firstLine="630" w:firstLineChars="300"/>
        <w:jc w:val="both"/>
        <w:rPr>
          <w:rFonts w:hint="eastAsia" w:ascii="宋体" w:hAnsi="宋体" w:eastAsia="宋体" w:cs="Times New Roman"/>
          <w:lang w:val="en-US" w:eastAsia="zh-CN"/>
        </w:rPr>
      </w:pPr>
      <w:r>
        <w:rPr>
          <w:rFonts w:hint="eastAsia" w:ascii="宋体" w:hAnsi="宋体" w:eastAsia="宋体" w:cs="Times New Roman"/>
          <w:lang w:val="en-US" w:eastAsia="zh-CN"/>
        </w:rPr>
        <w:t>4.响应人请在</w:t>
      </w:r>
      <w:r>
        <w:rPr>
          <w:rFonts w:hint="eastAsia" w:ascii="宋体" w:hAnsi="宋体" w:eastAsia="宋体" w:cs="Times New Roman"/>
          <w:strike w:val="0"/>
          <w:dstrike w:val="0"/>
          <w:highlight w:val="yellow"/>
          <w:lang w:val="en-US" w:eastAsia="zh-CN"/>
        </w:rPr>
        <w:t>2024年</w:t>
      </w:r>
      <w:r>
        <w:rPr>
          <w:rFonts w:hint="eastAsia" w:ascii="宋体" w:hAnsi="宋体" w:cs="Times New Roman"/>
          <w:strike w:val="0"/>
          <w:dstrike w:val="0"/>
          <w:highlight w:val="yellow"/>
          <w:lang w:val="en-US" w:eastAsia="zh-CN"/>
        </w:rPr>
        <w:t>7</w:t>
      </w:r>
      <w:r>
        <w:rPr>
          <w:rFonts w:hint="eastAsia" w:ascii="宋体" w:hAnsi="宋体" w:eastAsia="宋体" w:cs="Times New Roman"/>
          <w:strike w:val="0"/>
          <w:dstrike w:val="0"/>
          <w:highlight w:val="yellow"/>
          <w:lang w:val="en-US" w:eastAsia="zh-CN"/>
        </w:rPr>
        <w:t>月</w:t>
      </w:r>
      <w:r>
        <w:rPr>
          <w:rFonts w:hint="eastAsia" w:ascii="宋体" w:hAnsi="宋体" w:cs="Times New Roman"/>
          <w:strike w:val="0"/>
          <w:dstrike w:val="0"/>
          <w:highlight w:val="yellow"/>
          <w:lang w:val="en-US" w:eastAsia="zh-CN"/>
        </w:rPr>
        <w:t>22</w:t>
      </w:r>
      <w:r>
        <w:rPr>
          <w:rFonts w:hint="eastAsia" w:ascii="宋体" w:hAnsi="宋体" w:eastAsia="宋体" w:cs="Times New Roman"/>
          <w:strike w:val="0"/>
          <w:dstrike w:val="0"/>
          <w:highlight w:val="yellow"/>
          <w:lang w:val="en-US" w:eastAsia="zh-CN"/>
        </w:rPr>
        <w:t>日上午</w:t>
      </w:r>
      <w:r>
        <w:rPr>
          <w:rFonts w:hint="eastAsia" w:ascii="宋体" w:hAnsi="宋体" w:cs="Times New Roman"/>
          <w:strike w:val="0"/>
          <w:dstrike w:val="0"/>
          <w:highlight w:val="yellow"/>
          <w:lang w:val="en-US" w:eastAsia="zh-CN"/>
        </w:rPr>
        <w:t>08</w:t>
      </w:r>
      <w:r>
        <w:rPr>
          <w:rFonts w:hint="eastAsia" w:ascii="宋体" w:hAnsi="宋体" w:eastAsia="宋体" w:cs="Times New Roman"/>
          <w:strike w:val="0"/>
          <w:dstrike w:val="0"/>
          <w:highlight w:val="yellow"/>
          <w:lang w:val="en-US" w:eastAsia="zh-CN"/>
        </w:rPr>
        <w:t>:00前</w:t>
      </w:r>
      <w:r>
        <w:rPr>
          <w:rFonts w:hint="eastAsia" w:ascii="宋体" w:hAnsi="宋体" w:eastAsia="宋体" w:cs="Times New Roman"/>
          <w:strike w:val="0"/>
          <w:lang w:val="en-US" w:eastAsia="zh-CN"/>
        </w:rPr>
        <w:t>，</w:t>
      </w:r>
      <w:r>
        <w:rPr>
          <w:rFonts w:hint="eastAsia" w:ascii="宋体" w:hAnsi="宋体" w:eastAsia="宋体" w:cs="Times New Roman"/>
          <w:lang w:val="en-US" w:eastAsia="zh-CN"/>
        </w:rPr>
        <w:t>将报价文件递交上传中煤易购采购供应链一体化平台（网址：http://ego.chinacoal.com）。</w:t>
      </w:r>
    </w:p>
    <w:p w14:paraId="204034F8">
      <w:pPr>
        <w:keepNext w:val="0"/>
        <w:keepLines w:val="0"/>
        <w:pageBreakBefore w:val="0"/>
        <w:numPr>
          <w:ilvl w:val="0"/>
          <w:numId w:val="0"/>
        </w:numPr>
        <w:kinsoku/>
        <w:wordWrap/>
        <w:overflowPunct/>
        <w:topLinePunct w:val="0"/>
        <w:autoSpaceDE/>
        <w:autoSpaceDN/>
        <w:bidi w:val="0"/>
        <w:spacing w:line="288" w:lineRule="auto"/>
        <w:ind w:leftChars="0" w:firstLine="630" w:firstLineChars="300"/>
        <w:jc w:val="both"/>
        <w:rPr>
          <w:rFonts w:hint="eastAsia" w:ascii="宋体" w:hAnsi="宋体" w:eastAsia="宋体" w:cs="Times New Roman"/>
          <w:lang w:val="en-US" w:eastAsia="zh-CN"/>
        </w:rPr>
      </w:pPr>
      <w:r>
        <w:rPr>
          <w:rFonts w:hint="eastAsia" w:ascii="宋体" w:hAnsi="宋体" w:eastAsia="宋体" w:cs="Times New Roman"/>
          <w:lang w:val="en-US" w:eastAsia="zh-CN"/>
        </w:rPr>
        <w:t>5.报价单位应于报价截止前（以系统时间为准）将响应文件（PDF格式-加盖公章）以附件形式上传，逾期未上传报价响应文件视为资质不全。</w:t>
      </w:r>
    </w:p>
    <w:p w14:paraId="3CEBC904">
      <w:pPr>
        <w:keepNext w:val="0"/>
        <w:keepLines w:val="0"/>
        <w:pageBreakBefore w:val="0"/>
        <w:numPr>
          <w:ilvl w:val="0"/>
          <w:numId w:val="0"/>
        </w:numPr>
        <w:kinsoku/>
        <w:wordWrap/>
        <w:overflowPunct/>
        <w:topLinePunct w:val="0"/>
        <w:autoSpaceDE/>
        <w:autoSpaceDN/>
        <w:bidi w:val="0"/>
        <w:spacing w:line="288" w:lineRule="auto"/>
        <w:ind w:leftChars="0" w:firstLine="630" w:firstLineChars="300"/>
        <w:jc w:val="both"/>
        <w:rPr>
          <w:rFonts w:hint="default" w:ascii="宋体" w:hAnsi="宋体" w:eastAsia="宋体" w:cs="Times New Roman"/>
          <w:lang w:val="en-US" w:eastAsia="zh-CN"/>
        </w:rPr>
      </w:pPr>
      <w:r>
        <w:rPr>
          <w:rFonts w:hint="eastAsia" w:ascii="宋体" w:hAnsi="宋体" w:eastAsia="宋体" w:cs="Times New Roman"/>
          <w:lang w:val="en-US" w:eastAsia="zh-CN"/>
        </w:rPr>
        <w:t>6.响应有效期90天。</w:t>
      </w:r>
    </w:p>
    <w:p w14:paraId="7C40243F">
      <w:pPr>
        <w:spacing w:line="560" w:lineRule="exact"/>
        <w:ind w:firstLine="560" w:firstLineChars="200"/>
        <w:rPr>
          <w:rFonts w:hint="eastAsia" w:ascii="仿宋" w:hAnsi="仿宋" w:eastAsia="仿宋"/>
          <w:b/>
          <w:color w:val="auto"/>
          <w:sz w:val="28"/>
          <w:szCs w:val="28"/>
          <w:highlight w:val="none"/>
        </w:rPr>
      </w:pPr>
      <w:r>
        <w:rPr>
          <w:rFonts w:hint="eastAsia" w:ascii="仿宋" w:hAnsi="仿宋" w:eastAsia="仿宋" w:cs="仿宋"/>
          <w:b/>
          <w:color w:val="auto"/>
          <w:sz w:val="28"/>
          <w:szCs w:val="28"/>
          <w:highlight w:val="none"/>
        </w:rPr>
        <w:t>三、响应文件的编制</w:t>
      </w:r>
      <w:r>
        <w:rPr>
          <w:rFonts w:hint="eastAsia" w:ascii="仿宋" w:hAnsi="仿宋" w:eastAsia="仿宋"/>
          <w:b/>
          <w:color w:val="auto"/>
          <w:sz w:val="28"/>
          <w:szCs w:val="28"/>
          <w:highlight w:val="none"/>
        </w:rPr>
        <w:t>要求</w:t>
      </w:r>
    </w:p>
    <w:p w14:paraId="7565CE14">
      <w:pPr>
        <w:spacing w:line="600" w:lineRule="exact"/>
        <w:rPr>
          <w:rFonts w:hint="eastAsia" w:ascii="仿宋" w:hAnsi="仿宋" w:eastAsia="仿宋"/>
          <w:bCs/>
          <w:color w:val="auto"/>
          <w:sz w:val="28"/>
          <w:szCs w:val="28"/>
          <w:highlight w:val="none"/>
          <w:lang w:val="en-US" w:eastAsia="zh-CN"/>
        </w:rPr>
      </w:pPr>
      <w:r>
        <w:rPr>
          <w:rFonts w:hint="eastAsia" w:ascii="仿宋" w:hAnsi="仿宋" w:eastAsia="仿宋"/>
          <w:bCs/>
          <w:color w:val="auto"/>
          <w:sz w:val="28"/>
          <w:szCs w:val="28"/>
          <w:highlight w:val="none"/>
        </w:rPr>
        <w:t xml:space="preserve">  </w:t>
      </w:r>
      <w:r>
        <w:rPr>
          <w:rFonts w:hint="eastAsia" w:ascii="仿宋" w:hAnsi="仿宋" w:eastAsia="仿宋"/>
          <w:bCs/>
          <w:color w:val="auto"/>
          <w:sz w:val="28"/>
          <w:szCs w:val="28"/>
          <w:highlight w:val="none"/>
          <w:lang w:val="en-US" w:eastAsia="zh-CN"/>
        </w:rPr>
        <w:t xml:space="preserve">  1.报价函（加盖公章）；</w:t>
      </w:r>
    </w:p>
    <w:p w14:paraId="5EF5466B">
      <w:pPr>
        <w:spacing w:line="600" w:lineRule="exact"/>
        <w:ind w:firstLine="280" w:firstLineChars="100"/>
        <w:rPr>
          <w:rFonts w:hint="eastAsia" w:ascii="仿宋" w:hAnsi="仿宋" w:eastAsia="仿宋"/>
          <w:bCs/>
          <w:color w:val="auto"/>
          <w:sz w:val="28"/>
          <w:szCs w:val="28"/>
          <w:highlight w:val="none"/>
          <w:lang w:val="en-US" w:eastAsia="zh-CN"/>
        </w:rPr>
      </w:pPr>
      <w:r>
        <w:rPr>
          <w:rFonts w:hint="eastAsia" w:ascii="仿宋" w:hAnsi="仿宋" w:eastAsia="仿宋"/>
          <w:bCs/>
          <w:color w:val="auto"/>
          <w:sz w:val="28"/>
          <w:szCs w:val="28"/>
          <w:highlight w:val="none"/>
          <w:lang w:val="en-US" w:eastAsia="zh-CN"/>
        </w:rPr>
        <w:t>2.法定代表人证件或授权委托书；</w:t>
      </w:r>
    </w:p>
    <w:p w14:paraId="37844D49">
      <w:pPr>
        <w:spacing w:line="600" w:lineRule="exact"/>
        <w:ind w:firstLine="280" w:firstLineChars="100"/>
        <w:rPr>
          <w:rFonts w:hint="eastAsia" w:ascii="仿宋" w:hAnsi="仿宋" w:eastAsia="仿宋"/>
          <w:bCs/>
          <w:color w:val="auto"/>
          <w:sz w:val="28"/>
          <w:szCs w:val="28"/>
          <w:highlight w:val="none"/>
          <w:lang w:val="en-US" w:eastAsia="zh-CN"/>
        </w:rPr>
      </w:pPr>
      <w:r>
        <w:rPr>
          <w:rFonts w:hint="eastAsia" w:ascii="仿宋" w:hAnsi="仿宋" w:eastAsia="仿宋"/>
          <w:bCs/>
          <w:color w:val="auto"/>
          <w:sz w:val="28"/>
          <w:szCs w:val="28"/>
          <w:highlight w:val="none"/>
          <w:lang w:val="en-US" w:eastAsia="zh-CN"/>
        </w:rPr>
        <w:t>3.报价一览表（加盖公章）；</w:t>
      </w:r>
    </w:p>
    <w:p w14:paraId="3969C1B3">
      <w:pPr>
        <w:spacing w:line="600" w:lineRule="exact"/>
        <w:ind w:firstLine="280" w:firstLineChars="100"/>
        <w:rPr>
          <w:rFonts w:hint="eastAsia" w:ascii="仿宋" w:hAnsi="仿宋" w:eastAsia="仿宋"/>
          <w:bCs/>
          <w:color w:val="auto"/>
          <w:sz w:val="28"/>
          <w:szCs w:val="28"/>
          <w:highlight w:val="none"/>
          <w:lang w:val="en-US" w:eastAsia="zh-CN"/>
        </w:rPr>
      </w:pPr>
      <w:r>
        <w:rPr>
          <w:rFonts w:hint="eastAsia" w:ascii="仿宋" w:hAnsi="仿宋" w:eastAsia="仿宋"/>
          <w:bCs/>
          <w:color w:val="auto"/>
          <w:sz w:val="28"/>
          <w:szCs w:val="28"/>
          <w:highlight w:val="none"/>
          <w:lang w:val="en-US" w:eastAsia="zh-CN"/>
        </w:rPr>
        <w:t>4.营业执照副本（复印件加盖公章）；</w:t>
      </w:r>
    </w:p>
    <w:p w14:paraId="5E7DE6E8">
      <w:pPr>
        <w:spacing w:line="600" w:lineRule="exact"/>
        <w:ind w:firstLine="280" w:firstLineChars="100"/>
        <w:rPr>
          <w:rFonts w:hint="eastAsia" w:ascii="仿宋" w:hAnsi="仿宋" w:eastAsia="仿宋"/>
          <w:bCs/>
          <w:color w:val="auto"/>
          <w:sz w:val="28"/>
          <w:szCs w:val="28"/>
          <w:highlight w:val="none"/>
          <w:lang w:val="en-US" w:eastAsia="zh-CN"/>
        </w:rPr>
      </w:pPr>
      <w:r>
        <w:rPr>
          <w:rFonts w:hint="eastAsia" w:ascii="仿宋" w:hAnsi="仿宋" w:eastAsia="仿宋"/>
          <w:bCs/>
          <w:color w:val="auto"/>
          <w:sz w:val="28"/>
          <w:szCs w:val="28"/>
          <w:highlight w:val="none"/>
          <w:lang w:val="en-US" w:eastAsia="zh-CN"/>
        </w:rPr>
        <w:t>5.资质、业绩证明材料；</w:t>
      </w:r>
    </w:p>
    <w:p w14:paraId="675E7936">
      <w:pPr>
        <w:spacing w:line="600" w:lineRule="exact"/>
        <w:ind w:firstLine="280" w:firstLineChars="100"/>
        <w:rPr>
          <w:rFonts w:hint="eastAsia" w:ascii="仿宋" w:hAnsi="仿宋" w:eastAsia="仿宋"/>
          <w:bCs/>
          <w:color w:val="auto"/>
          <w:sz w:val="28"/>
          <w:szCs w:val="28"/>
          <w:highlight w:val="none"/>
          <w:lang w:val="en-US" w:eastAsia="zh-CN"/>
        </w:rPr>
      </w:pPr>
      <w:r>
        <w:rPr>
          <w:rFonts w:hint="eastAsia" w:ascii="仿宋" w:hAnsi="仿宋" w:eastAsia="仿宋"/>
          <w:bCs/>
          <w:color w:val="auto"/>
          <w:sz w:val="28"/>
          <w:szCs w:val="28"/>
          <w:highlight w:val="none"/>
          <w:lang w:val="en-US" w:eastAsia="zh-CN"/>
        </w:rPr>
        <w:t>6.供应商廉洁承诺书；</w:t>
      </w:r>
    </w:p>
    <w:p w14:paraId="342CF57F">
      <w:pPr>
        <w:spacing w:line="600" w:lineRule="exact"/>
        <w:ind w:firstLine="280" w:firstLineChars="100"/>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lang w:val="en-US" w:eastAsia="zh-CN"/>
        </w:rPr>
        <w:t>7.其他</w:t>
      </w:r>
      <w:r>
        <w:rPr>
          <w:rFonts w:hint="eastAsia" w:ascii="仿宋" w:hAnsi="仿宋" w:eastAsia="仿宋"/>
          <w:bCs/>
          <w:color w:val="auto"/>
          <w:sz w:val="28"/>
          <w:szCs w:val="28"/>
          <w:highlight w:val="yellow"/>
          <w:lang w:val="en-US" w:eastAsia="zh-CN"/>
        </w:rPr>
        <w:t>（如技术方案等）。</w:t>
      </w:r>
    </w:p>
    <w:p w14:paraId="6DE5F3A0">
      <w:pPr>
        <w:spacing w:line="60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四、响应文件的份数和签署</w:t>
      </w:r>
    </w:p>
    <w:p w14:paraId="64E90639">
      <w:pPr>
        <w:pStyle w:val="32"/>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1.响应文件应按照</w:t>
      </w:r>
      <w:r>
        <w:rPr>
          <w:rFonts w:hint="eastAsia" w:ascii="仿宋" w:hAnsi="仿宋" w:eastAsia="仿宋" w:cs="仿宋"/>
          <w:color w:val="auto"/>
          <w:sz w:val="28"/>
          <w:szCs w:val="28"/>
          <w:highlight w:val="none"/>
          <w:lang w:eastAsia="zh-CN"/>
        </w:rPr>
        <w:t>询价</w:t>
      </w:r>
      <w:r>
        <w:rPr>
          <w:rFonts w:hint="eastAsia" w:ascii="仿宋" w:hAnsi="仿宋" w:eastAsia="仿宋" w:cs="仿宋"/>
          <w:color w:val="auto"/>
          <w:sz w:val="28"/>
          <w:szCs w:val="28"/>
          <w:highlight w:val="none"/>
        </w:rPr>
        <w:t>文件规定的内容和顺序，加盖法人单位公章和法定代表人印章或其授权代理人的印章。响应文件中写清相应的项目编号、项目名称、响应人单位全称、地址、电话、传真等。</w:t>
      </w:r>
    </w:p>
    <w:p w14:paraId="151D5052">
      <w:pPr>
        <w:spacing w:line="560" w:lineRule="exact"/>
        <w:ind w:firstLine="42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 xml:space="preserve"> 2</w:t>
      </w:r>
      <w:r>
        <w:rPr>
          <w:rFonts w:hint="eastAsia" w:ascii="仿宋" w:hAnsi="仿宋" w:eastAsia="仿宋" w:cs="仿宋"/>
          <w:b/>
          <w:color w:val="auto"/>
          <w:sz w:val="28"/>
          <w:szCs w:val="28"/>
          <w:highlight w:val="none"/>
        </w:rPr>
        <w:t>.响应文件 (电子扫描版)作为附件上传</w:t>
      </w:r>
      <w:r>
        <w:rPr>
          <w:rFonts w:hint="eastAsia" w:ascii="仿宋" w:hAnsi="仿宋" w:eastAsia="仿宋" w:cs="仿宋"/>
          <w:kern w:val="0"/>
          <w:sz w:val="28"/>
          <w:szCs w:val="28"/>
          <w:lang w:val="en-US" w:eastAsia="zh-CN"/>
        </w:rPr>
        <w:t>中煤易购采购供应链一体化平台（网址：http://ego.chinacoal.com）</w:t>
      </w:r>
      <w:r>
        <w:rPr>
          <w:rFonts w:hint="eastAsia" w:ascii="仿宋" w:hAnsi="仿宋" w:eastAsia="仿宋" w:cs="仿宋"/>
          <w:b/>
          <w:color w:val="auto"/>
          <w:sz w:val="28"/>
          <w:szCs w:val="28"/>
          <w:highlight w:val="none"/>
          <w:lang w:eastAsia="zh-CN"/>
        </w:rPr>
        <w:t>。</w:t>
      </w:r>
    </w:p>
    <w:p w14:paraId="1845B7B6">
      <w:pPr>
        <w:spacing w:line="60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五、响应文件递交</w:t>
      </w:r>
    </w:p>
    <w:p w14:paraId="265696CA">
      <w:pPr>
        <w:spacing w:line="560" w:lineRule="exact"/>
        <w:ind w:firstLine="560" w:firstLineChars="200"/>
        <w:rPr>
          <w:rFonts w:hint="eastAsia" w:ascii="仿宋" w:hAnsi="仿宋" w:eastAsia="仿宋" w:cs="仿宋"/>
          <w:i w:val="0"/>
          <w:iCs w:val="0"/>
          <w:strike w:val="0"/>
          <w:dstrike w:val="0"/>
          <w:color w:val="auto"/>
          <w:sz w:val="28"/>
          <w:szCs w:val="28"/>
          <w:highlight w:val="yellow"/>
          <w:u w:val="none"/>
        </w:rPr>
      </w:pPr>
      <w:r>
        <w:rPr>
          <w:rFonts w:hint="eastAsia" w:ascii="仿宋" w:hAnsi="仿宋" w:eastAsia="仿宋" w:cs="仿宋"/>
          <w:color w:val="auto"/>
          <w:sz w:val="28"/>
          <w:szCs w:val="28"/>
          <w:highlight w:val="none"/>
        </w:rPr>
        <w:t>1.响应人应当在</w:t>
      </w:r>
      <w:r>
        <w:rPr>
          <w:rFonts w:hint="eastAsia" w:ascii="仿宋" w:hAnsi="仿宋" w:eastAsia="仿宋" w:cs="仿宋"/>
          <w:color w:val="auto"/>
          <w:sz w:val="28"/>
          <w:szCs w:val="28"/>
          <w:highlight w:val="none"/>
          <w:lang w:eastAsia="zh-CN"/>
        </w:rPr>
        <w:t>询价</w:t>
      </w:r>
      <w:r>
        <w:rPr>
          <w:rFonts w:hint="eastAsia" w:ascii="仿宋" w:hAnsi="仿宋" w:eastAsia="仿宋" w:cs="仿宋"/>
          <w:color w:val="auto"/>
          <w:sz w:val="28"/>
          <w:szCs w:val="28"/>
          <w:highlight w:val="none"/>
        </w:rPr>
        <w:t>采购文件要求的截止时间</w:t>
      </w:r>
      <w:r>
        <w:rPr>
          <w:rFonts w:hint="eastAsia" w:ascii="仿宋" w:hAnsi="仿宋" w:eastAsia="仿宋" w:cs="仿宋"/>
          <w:strike w:val="0"/>
          <w:dstrike w:val="0"/>
          <w:color w:val="auto"/>
          <w:sz w:val="28"/>
          <w:szCs w:val="28"/>
          <w:highlight w:val="yellow"/>
          <w:u w:val="none"/>
        </w:rPr>
        <w:t>（</w:t>
      </w:r>
      <w:r>
        <w:rPr>
          <w:rFonts w:hint="eastAsia" w:ascii="仿宋" w:hAnsi="仿宋" w:eastAsia="仿宋" w:cs="仿宋"/>
          <w:strike w:val="0"/>
          <w:dstrike w:val="0"/>
          <w:color w:val="auto"/>
          <w:sz w:val="28"/>
          <w:szCs w:val="28"/>
          <w:highlight w:val="yellow"/>
          <w:u w:val="none"/>
          <w:lang w:val="en-US" w:eastAsia="zh-CN"/>
        </w:rPr>
        <w:t>2024年7月22日上午08:00</w:t>
      </w:r>
      <w:r>
        <w:rPr>
          <w:rFonts w:hint="eastAsia" w:ascii="仿宋" w:hAnsi="仿宋" w:eastAsia="仿宋" w:cs="仿宋"/>
          <w:strike w:val="0"/>
          <w:dstrike w:val="0"/>
          <w:color w:val="auto"/>
          <w:sz w:val="28"/>
          <w:szCs w:val="28"/>
          <w:highlight w:val="yellow"/>
          <w:u w:val="none"/>
        </w:rPr>
        <w:t>），将</w:t>
      </w:r>
      <w:r>
        <w:rPr>
          <w:rFonts w:hint="eastAsia" w:ascii="仿宋" w:hAnsi="仿宋" w:eastAsia="仿宋" w:cs="仿宋"/>
          <w:i w:val="0"/>
          <w:iCs w:val="0"/>
          <w:strike w:val="0"/>
          <w:dstrike w:val="0"/>
          <w:color w:val="auto"/>
          <w:sz w:val="28"/>
          <w:szCs w:val="28"/>
          <w:highlight w:val="yellow"/>
          <w:u w:val="none"/>
          <w:lang w:eastAsia="zh-CN"/>
        </w:rPr>
        <w:t>询价</w:t>
      </w:r>
      <w:r>
        <w:rPr>
          <w:rFonts w:hint="eastAsia" w:ascii="仿宋" w:hAnsi="仿宋" w:eastAsia="仿宋" w:cs="仿宋"/>
          <w:i w:val="0"/>
          <w:iCs w:val="0"/>
          <w:strike w:val="0"/>
          <w:dstrike w:val="0"/>
          <w:color w:val="auto"/>
          <w:sz w:val="28"/>
          <w:szCs w:val="28"/>
          <w:highlight w:val="yellow"/>
          <w:u w:val="none"/>
        </w:rPr>
        <w:t>响应文件</w:t>
      </w:r>
      <w:r>
        <w:rPr>
          <w:rFonts w:hint="eastAsia" w:ascii="仿宋" w:hAnsi="仿宋" w:eastAsia="仿宋" w:cs="仿宋"/>
          <w:i w:val="0"/>
          <w:iCs w:val="0"/>
          <w:strike w:val="0"/>
          <w:dstrike w:val="0"/>
          <w:color w:val="auto"/>
          <w:sz w:val="28"/>
          <w:szCs w:val="28"/>
          <w:highlight w:val="yellow"/>
          <w:u w:val="none"/>
          <w:lang w:val="en-US" w:eastAsia="zh-CN"/>
        </w:rPr>
        <w:t>上传至指定平台</w:t>
      </w:r>
      <w:r>
        <w:rPr>
          <w:rFonts w:hint="eastAsia" w:ascii="仿宋" w:hAnsi="仿宋" w:eastAsia="仿宋" w:cs="仿宋"/>
          <w:i w:val="0"/>
          <w:iCs w:val="0"/>
          <w:strike w:val="0"/>
          <w:dstrike w:val="0"/>
          <w:color w:val="auto"/>
          <w:sz w:val="28"/>
          <w:szCs w:val="28"/>
          <w:highlight w:val="yellow"/>
          <w:u w:val="none"/>
        </w:rPr>
        <w:t>。</w:t>
      </w:r>
    </w:p>
    <w:p w14:paraId="7688E0A2">
      <w:pPr>
        <w:tabs>
          <w:tab w:val="left" w:pos="540"/>
        </w:tabs>
        <w:spacing w:line="560" w:lineRule="exact"/>
        <w:rPr>
          <w:rFonts w:hint="eastAsia" w:ascii="仿宋" w:hAnsi="仿宋" w:eastAsia="仿宋"/>
          <w:b/>
          <w:color w:val="auto"/>
          <w:sz w:val="28"/>
          <w:szCs w:val="28"/>
          <w:highlight w:val="none"/>
        </w:rPr>
      </w:pPr>
      <w:r>
        <w:rPr>
          <w:rFonts w:hint="eastAsia" w:ascii="仿宋" w:hAnsi="仿宋" w:eastAsia="仿宋" w:cs="仿宋"/>
          <w:b/>
          <w:color w:val="auto"/>
          <w:sz w:val="28"/>
          <w:szCs w:val="28"/>
          <w:highlight w:val="none"/>
        </w:rPr>
        <w:t xml:space="preserve">  六、</w:t>
      </w:r>
      <w:r>
        <w:rPr>
          <w:rFonts w:hint="eastAsia" w:ascii="仿宋" w:hAnsi="仿宋" w:eastAsia="仿宋"/>
          <w:b/>
          <w:color w:val="auto"/>
          <w:sz w:val="28"/>
          <w:szCs w:val="28"/>
          <w:highlight w:val="none"/>
          <w:lang w:eastAsia="zh-CN"/>
        </w:rPr>
        <w:t>询价</w:t>
      </w:r>
      <w:r>
        <w:rPr>
          <w:rFonts w:hint="eastAsia" w:ascii="仿宋" w:hAnsi="仿宋" w:eastAsia="仿宋"/>
          <w:b/>
          <w:color w:val="auto"/>
          <w:sz w:val="28"/>
          <w:szCs w:val="28"/>
          <w:highlight w:val="none"/>
        </w:rPr>
        <w:t>方式与评审</w:t>
      </w:r>
    </w:p>
    <w:p w14:paraId="1A5F4D5E">
      <w:pPr>
        <w:tabs>
          <w:tab w:val="left" w:pos="780"/>
        </w:tabs>
        <w:spacing w:line="560" w:lineRule="exact"/>
        <w:ind w:right="-177"/>
        <w:rPr>
          <w:rFonts w:hint="eastAsia" w:ascii="仿宋" w:hAnsi="仿宋" w:eastAsia="仿宋" w:cs="仿宋"/>
          <w:color w:val="auto"/>
          <w:kern w:val="2"/>
          <w:sz w:val="28"/>
          <w:szCs w:val="28"/>
          <w:highlight w:val="none"/>
          <w:lang w:val="en-US" w:eastAsia="zh-CN" w:bidi="ar-SA"/>
        </w:rPr>
      </w:pPr>
      <w:r>
        <w:rPr>
          <w:rFonts w:hint="eastAsia" w:ascii="仿宋" w:hAnsi="仿宋" w:eastAsia="仿宋"/>
          <w:b/>
          <w:color w:val="auto"/>
          <w:sz w:val="28"/>
          <w:szCs w:val="28"/>
          <w:highlight w:val="none"/>
        </w:rPr>
        <w:t xml:space="preserve">  </w:t>
      </w:r>
      <w:r>
        <w:rPr>
          <w:rFonts w:hint="eastAsia" w:ascii="仿宋" w:hAnsi="仿宋" w:eastAsia="仿宋" w:cs="仿宋"/>
          <w:color w:val="auto"/>
          <w:kern w:val="2"/>
          <w:sz w:val="28"/>
          <w:szCs w:val="28"/>
          <w:highlight w:val="none"/>
          <w:lang w:val="en-US" w:eastAsia="zh-CN" w:bidi="ar-SA"/>
        </w:rPr>
        <w:t xml:space="preserve">    1.响应人按时将响应文件上传至系统，在报价揭示后由询价小组进行评审。</w:t>
      </w:r>
    </w:p>
    <w:p w14:paraId="3526BCEE">
      <w:pPr>
        <w:spacing w:line="560" w:lineRule="exact"/>
        <w:ind w:left="487" w:leftChars="232" w:firstLine="179" w:firstLineChars="64"/>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询价小组成员由经济、商务等方面的人员组成。询价小组负责对响应文件进行审查、质疑、评审和比较。从开始询价,直到评审结束,凡与审查、澄清、评价和比较响应文件的有关资料以及授予意见等,均不向响应人及与评审无关的其他人透露。</w:t>
      </w:r>
    </w:p>
    <w:p w14:paraId="62F12B56">
      <w:pPr>
        <w:spacing w:line="560" w:lineRule="exact"/>
        <w:ind w:left="487" w:leftChars="232" w:firstLine="179" w:firstLineChars="64"/>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3、询价小组成员有下列情形之一的，应当回避：</w:t>
      </w:r>
    </w:p>
    <w:p w14:paraId="7EC5A308">
      <w:pPr>
        <w:spacing w:line="560" w:lineRule="exact"/>
        <w:ind w:left="487" w:leftChars="232" w:firstLine="179" w:firstLineChars="64"/>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1）响应人及响应人的主要负责人的近亲属；</w:t>
      </w:r>
    </w:p>
    <w:p w14:paraId="6365C017">
      <w:pPr>
        <w:spacing w:line="560" w:lineRule="exact"/>
        <w:ind w:left="487" w:leftChars="232" w:firstLine="179" w:firstLineChars="64"/>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2）项目主管部门或者行政监督部门的人员；</w:t>
      </w:r>
    </w:p>
    <w:p w14:paraId="5432FF14">
      <w:pPr>
        <w:spacing w:line="560" w:lineRule="exact"/>
        <w:ind w:left="487" w:leftChars="232" w:firstLine="179" w:firstLineChars="64"/>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3）与响应人有经济利益关系，可能影响对响应公正评审的；</w:t>
      </w:r>
    </w:p>
    <w:p w14:paraId="73C99731">
      <w:pPr>
        <w:spacing w:line="560" w:lineRule="exact"/>
        <w:ind w:left="487" w:leftChars="232" w:firstLine="179" w:firstLineChars="64"/>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4）曾因在招标、评标以及其他与招标响应有关活动中从事违法行为而受过行政处罚或刑事处罚的。</w:t>
      </w:r>
    </w:p>
    <w:p w14:paraId="07ADAFDF">
      <w:pPr>
        <w:spacing w:line="560" w:lineRule="exact"/>
        <w:ind w:left="487" w:leftChars="232" w:firstLine="179" w:firstLineChars="64"/>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5）与响应人有其他利害关系。</w:t>
      </w:r>
    </w:p>
    <w:p w14:paraId="224090AA">
      <w:pPr>
        <w:spacing w:line="560" w:lineRule="exact"/>
        <w:ind w:left="487" w:leftChars="232" w:firstLine="179" w:firstLineChars="64"/>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4.询价会议现场询价小组将审查响应文件否完整、有无计算上的错误,文件签署是否合格,是否实质上响应了询价文件的要求, 对超出经营范围、响应文件没有法定代表人签字或签字没有法定代表人有效委托书、提供的资格、资信证明文件不能满足要求或提供虚假证件、技术或服务不满足询价文件要求等未实质上响应了询价文件要求的，响应人的资格将被取消。</w:t>
      </w:r>
    </w:p>
    <w:p w14:paraId="4226752F">
      <w:pPr>
        <w:spacing w:line="560" w:lineRule="exact"/>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5.在评审期间，询价小组可要求响应人对其响应文件进行澄清，响应人的答复或以传真形式提交。</w:t>
      </w:r>
    </w:p>
    <w:p w14:paraId="5A62F336">
      <w:pPr>
        <w:tabs>
          <w:tab w:val="left" w:pos="1260"/>
        </w:tabs>
        <w:adjustRightInd w:val="0"/>
        <w:snapToGrid w:val="0"/>
        <w:spacing w:line="560" w:lineRule="exact"/>
        <w:ind w:left="2" w:leftChars="1" w:right="-21" w:rightChars="-10"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6</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yellow"/>
          <w:lang w:val="en-US" w:eastAsia="zh-CN"/>
        </w:rPr>
        <w:t>本项目</w:t>
      </w:r>
      <w:r>
        <w:rPr>
          <w:rFonts w:hint="eastAsia" w:ascii="仿宋" w:hAnsi="仿宋" w:eastAsia="仿宋" w:cs="仿宋"/>
          <w:bCs/>
          <w:color w:val="auto"/>
          <w:sz w:val="28"/>
          <w:szCs w:val="28"/>
          <w:highlight w:val="yellow"/>
        </w:rPr>
        <w:t>评审方法为</w:t>
      </w:r>
      <w:r>
        <w:rPr>
          <w:rFonts w:hint="eastAsia" w:ascii="仿宋" w:hAnsi="仿宋" w:eastAsia="仿宋" w:cs="仿宋"/>
          <w:bCs/>
          <w:color w:val="auto"/>
          <w:sz w:val="28"/>
          <w:szCs w:val="28"/>
          <w:highlight w:val="yellow"/>
          <w:lang w:eastAsia="zh-CN"/>
        </w:rPr>
        <w:t>最低评审价格</w:t>
      </w:r>
      <w:r>
        <w:rPr>
          <w:rFonts w:hint="eastAsia" w:ascii="仿宋" w:hAnsi="仿宋" w:eastAsia="仿宋" w:cs="仿宋"/>
          <w:bCs/>
          <w:color w:val="auto"/>
          <w:sz w:val="28"/>
          <w:szCs w:val="28"/>
          <w:highlight w:val="yellow"/>
        </w:rPr>
        <w:t>法。</w:t>
      </w:r>
      <w:r>
        <w:rPr>
          <w:rFonts w:hint="eastAsia" w:ascii="仿宋" w:hAnsi="仿宋" w:eastAsia="仿宋" w:cs="仿宋"/>
          <w:bCs/>
          <w:color w:val="auto"/>
          <w:sz w:val="28"/>
          <w:szCs w:val="28"/>
          <w:highlight w:val="none"/>
          <w:lang w:eastAsia="zh-CN"/>
        </w:rPr>
        <w:t>询价小组</w:t>
      </w:r>
      <w:r>
        <w:rPr>
          <w:rFonts w:hint="eastAsia" w:ascii="仿宋" w:hAnsi="仿宋" w:eastAsia="仿宋" w:cs="仿宋"/>
          <w:bCs/>
          <w:color w:val="auto"/>
          <w:sz w:val="28"/>
          <w:szCs w:val="28"/>
          <w:highlight w:val="none"/>
        </w:rPr>
        <w:t>本着“公平、公正、科学、严谨”的原则，对实质上响应</w:t>
      </w:r>
      <w:r>
        <w:rPr>
          <w:rFonts w:hint="eastAsia" w:ascii="仿宋" w:hAnsi="仿宋" w:eastAsia="仿宋" w:cs="仿宋"/>
          <w:bCs/>
          <w:color w:val="auto"/>
          <w:sz w:val="28"/>
          <w:szCs w:val="28"/>
          <w:highlight w:val="none"/>
          <w:lang w:eastAsia="zh-CN"/>
        </w:rPr>
        <w:t>询价</w:t>
      </w:r>
      <w:r>
        <w:rPr>
          <w:rFonts w:hint="eastAsia" w:ascii="仿宋" w:hAnsi="仿宋" w:eastAsia="仿宋" w:cs="仿宋"/>
          <w:bCs/>
          <w:color w:val="auto"/>
          <w:sz w:val="28"/>
          <w:szCs w:val="28"/>
          <w:highlight w:val="none"/>
        </w:rPr>
        <w:t>文件要求的响应文件进行评审，</w:t>
      </w:r>
      <w:r>
        <w:rPr>
          <w:rFonts w:hint="eastAsia" w:ascii="仿宋" w:hAnsi="仿宋" w:eastAsia="仿宋" w:cs="仿宋"/>
          <w:bCs/>
          <w:color w:val="auto"/>
          <w:sz w:val="28"/>
          <w:szCs w:val="28"/>
          <w:highlight w:val="none"/>
          <w:lang w:eastAsia="zh-CN"/>
        </w:rPr>
        <w:t>询价小组</w:t>
      </w:r>
      <w:r>
        <w:rPr>
          <w:rFonts w:hint="eastAsia" w:ascii="仿宋" w:hAnsi="仿宋" w:eastAsia="仿宋" w:cs="仿宋"/>
          <w:bCs/>
          <w:color w:val="auto"/>
          <w:sz w:val="28"/>
          <w:szCs w:val="28"/>
          <w:highlight w:val="none"/>
        </w:rPr>
        <w:t xml:space="preserve">对响应文件提出的企业规模和业绩、产品质量、企业信誉、价格、付款方式、服务、交货情况等内容逐项进行综合评审。 </w:t>
      </w:r>
    </w:p>
    <w:p w14:paraId="077B677F">
      <w:pPr>
        <w:spacing w:line="56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7</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eastAsia="zh-CN"/>
        </w:rPr>
        <w:t>询价小组</w:t>
      </w:r>
      <w:r>
        <w:rPr>
          <w:rFonts w:hint="eastAsia" w:ascii="仿宋" w:hAnsi="仿宋" w:eastAsia="仿宋" w:cs="仿宋"/>
          <w:bCs/>
          <w:color w:val="auto"/>
          <w:sz w:val="28"/>
          <w:szCs w:val="28"/>
          <w:highlight w:val="none"/>
        </w:rPr>
        <w:t>综合各评审成员评审情况，向采购人提交评议报告，提出成交候选人推荐名单。</w:t>
      </w:r>
    </w:p>
    <w:p w14:paraId="2243ADEA">
      <w:pPr>
        <w:spacing w:line="56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七、合同授予</w:t>
      </w:r>
    </w:p>
    <w:p w14:paraId="3012CC7A">
      <w:pPr>
        <w:spacing w:line="600" w:lineRule="exact"/>
        <w:ind w:firstLine="645"/>
        <w:rPr>
          <w:rFonts w:hint="eastAsia" w:ascii="宋体" w:hAnsi="宋体"/>
          <w:b/>
          <w:bCs/>
          <w:color w:val="auto"/>
          <w:sz w:val="36"/>
          <w:szCs w:val="36"/>
          <w:highlight w:val="none"/>
        </w:rPr>
      </w:pPr>
      <w:r>
        <w:rPr>
          <w:rFonts w:hint="eastAsia" w:ascii="仿宋" w:hAnsi="仿宋" w:eastAsia="仿宋" w:cs="仿宋"/>
          <w:bCs/>
          <w:color w:val="auto"/>
          <w:sz w:val="28"/>
          <w:szCs w:val="28"/>
          <w:highlight w:val="yellow"/>
        </w:rPr>
        <w:t>本次</w:t>
      </w:r>
      <w:r>
        <w:rPr>
          <w:rFonts w:hint="eastAsia" w:ascii="仿宋" w:hAnsi="仿宋" w:eastAsia="仿宋" w:cs="仿宋"/>
          <w:color w:val="auto"/>
          <w:sz w:val="28"/>
          <w:szCs w:val="28"/>
          <w:highlight w:val="yellow"/>
          <w:lang w:val="en-US" w:eastAsia="zh-CN"/>
        </w:rPr>
        <w:t>姚孟发电500KV变电站电容式电压互感器采购项目</w:t>
      </w:r>
      <w:r>
        <w:rPr>
          <w:rFonts w:hint="eastAsia" w:ascii="仿宋" w:hAnsi="仿宋" w:eastAsia="仿宋" w:cs="仿宋"/>
          <w:color w:val="auto"/>
          <w:sz w:val="28"/>
          <w:szCs w:val="28"/>
          <w:highlight w:val="none"/>
          <w:lang w:val="en-US" w:eastAsia="zh-CN"/>
        </w:rPr>
        <w:t>根据询价小组的推荐情况确定成交人，以书面形式通知成交人，并向其发</w:t>
      </w:r>
      <w:r>
        <w:rPr>
          <w:rFonts w:hint="eastAsia" w:ascii="仿宋" w:hAnsi="仿宋" w:eastAsia="仿宋" w:cs="仿宋"/>
          <w:bCs/>
          <w:color w:val="auto"/>
          <w:sz w:val="28"/>
          <w:szCs w:val="28"/>
          <w:highlight w:val="none"/>
        </w:rPr>
        <w:t>放成交通知书并授予合同</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响应</w:t>
      </w:r>
      <w:r>
        <w:rPr>
          <w:rFonts w:hint="eastAsia" w:ascii="仿宋" w:hAnsi="仿宋" w:eastAsia="仿宋" w:cs="仿宋"/>
          <w:bCs/>
          <w:color w:val="auto"/>
          <w:sz w:val="28"/>
          <w:szCs w:val="28"/>
          <w:highlight w:val="none"/>
        </w:rPr>
        <w:t>单位对本文件核阅后，如对某些条款有异议，可在响应文件中予以说明；如未作说明，视作全部接受，一旦成交即作为签订合同的依据，不得再以任何理由提出变更。</w:t>
      </w:r>
    </w:p>
    <w:bookmarkEnd w:id="2"/>
    <w:bookmarkEnd w:id="3"/>
    <w:bookmarkEnd w:id="5"/>
    <w:p w14:paraId="318D2587">
      <w:pPr>
        <w:rPr>
          <w:rFonts w:hint="eastAsia" w:asciiTheme="minorEastAsia" w:hAnsiTheme="minorEastAsia" w:eastAsiaTheme="minorEastAsia"/>
          <w:b/>
          <w:bCs/>
          <w:kern w:val="0"/>
          <w:sz w:val="28"/>
          <w:szCs w:val="28"/>
          <w:lang w:val="en-US" w:eastAsia="zh-CN"/>
        </w:rPr>
      </w:pPr>
      <w:bookmarkStart w:id="6" w:name="_Toc6561386"/>
      <w:bookmarkStart w:id="7" w:name="_Toc129941736"/>
      <w:bookmarkStart w:id="8" w:name="_Toc27741111"/>
      <w:bookmarkStart w:id="9" w:name="_Toc180157407"/>
      <w:bookmarkStart w:id="10" w:name="_Toc63695981"/>
      <w:bookmarkStart w:id="11" w:name="_Toc73270586"/>
      <w:bookmarkStart w:id="12" w:name="_Toc251668578"/>
      <w:r>
        <w:rPr>
          <w:rFonts w:hint="eastAsia" w:asciiTheme="minorEastAsia" w:hAnsiTheme="minorEastAsia" w:eastAsiaTheme="minorEastAsia"/>
          <w:b/>
          <w:bCs/>
          <w:kern w:val="0"/>
          <w:sz w:val="28"/>
          <w:szCs w:val="28"/>
          <w:lang w:val="en-US" w:eastAsia="zh-CN"/>
        </w:rPr>
        <w:br w:type="page"/>
      </w:r>
    </w:p>
    <w:p w14:paraId="3126656A">
      <w:pPr>
        <w:pStyle w:val="3"/>
        <w:keepLines w:val="0"/>
        <w:widowControl/>
        <w:numPr>
          <w:ilvl w:val="0"/>
          <w:numId w:val="0"/>
        </w:numPr>
        <w:autoSpaceDE w:val="0"/>
        <w:autoSpaceDN w:val="0"/>
        <w:adjustRightInd w:val="0"/>
        <w:snapToGrid w:val="0"/>
        <w:spacing w:before="0" w:after="0" w:line="360" w:lineRule="auto"/>
        <w:ind w:left="284" w:hanging="284"/>
        <w:jc w:val="center"/>
        <w:textAlignment w:val="baseline"/>
        <w:rPr>
          <w:rFonts w:hint="eastAsia" w:asciiTheme="minorEastAsia" w:hAnsiTheme="minorEastAsia" w:eastAsiaTheme="minorEastAsia"/>
          <w:b/>
          <w:bCs/>
          <w:kern w:val="0"/>
          <w:sz w:val="28"/>
          <w:szCs w:val="28"/>
        </w:rPr>
      </w:pPr>
      <w:r>
        <w:rPr>
          <w:rFonts w:hint="eastAsia" w:asciiTheme="minorEastAsia" w:hAnsiTheme="minorEastAsia" w:eastAsiaTheme="minorEastAsia"/>
          <w:b/>
          <w:bCs/>
          <w:kern w:val="0"/>
          <w:sz w:val="28"/>
          <w:szCs w:val="28"/>
          <w:lang w:val="en-US" w:eastAsia="zh-CN"/>
        </w:rPr>
        <w:t>第三章  合</w:t>
      </w:r>
      <w:r>
        <w:rPr>
          <w:rFonts w:hint="eastAsia" w:asciiTheme="minorEastAsia" w:hAnsiTheme="minorEastAsia" w:eastAsiaTheme="minorEastAsia"/>
          <w:b/>
          <w:bCs/>
          <w:kern w:val="0"/>
          <w:sz w:val="28"/>
          <w:szCs w:val="28"/>
        </w:rPr>
        <w:t>同条款及格式</w:t>
      </w:r>
      <w:bookmarkEnd w:id="6"/>
      <w:bookmarkEnd w:id="7"/>
      <w:bookmarkStart w:id="13" w:name="_Toc6561387"/>
      <w:bookmarkStart w:id="14" w:name="_Toc129941737"/>
      <w:bookmarkStart w:id="15" w:name="_Toc5825353"/>
    </w:p>
    <w:bookmarkEnd w:id="8"/>
    <w:bookmarkEnd w:id="9"/>
    <w:bookmarkEnd w:id="10"/>
    <w:bookmarkEnd w:id="11"/>
    <w:bookmarkEnd w:id="12"/>
    <w:bookmarkEnd w:id="13"/>
    <w:bookmarkEnd w:id="14"/>
    <w:bookmarkEnd w:id="15"/>
    <w:p w14:paraId="0E8B0D8E">
      <w:pPr>
        <w:spacing w:line="360" w:lineRule="auto"/>
        <w:ind w:left="539" w:leftChars="257" w:firstLine="2121" w:firstLineChars="663"/>
        <w:rPr>
          <w:rFonts w:hint="default" w:asciiTheme="minorEastAsia" w:hAnsiTheme="minorEastAsia" w:eastAsiaTheme="minorEastAsia"/>
          <w:b/>
          <w:bCs/>
          <w:sz w:val="44"/>
          <w:szCs w:val="44"/>
          <w:lang w:val="en-US" w:eastAsia="zh-CN"/>
        </w:rPr>
      </w:pPr>
      <w:bookmarkStart w:id="16" w:name="_Toc5825367"/>
      <w:bookmarkStart w:id="17" w:name="_Toc152045767"/>
      <w:bookmarkStart w:id="18" w:name="_Toc179632785"/>
      <w:bookmarkStart w:id="19" w:name="_Toc144974826"/>
      <w:bookmarkStart w:id="20" w:name="_Toc152042546"/>
      <w:r>
        <w:rPr>
          <w:rFonts w:hint="eastAsia" w:asciiTheme="minorEastAsia" w:hAnsiTheme="minorEastAsia" w:eastAsiaTheme="minorEastAsia"/>
          <w:b/>
          <w:bCs/>
          <w:sz w:val="32"/>
          <w:szCs w:val="32"/>
          <w:lang w:val="en-US" w:eastAsia="zh-CN"/>
        </w:rPr>
        <w:t>姚孟发电物资采购合同</w:t>
      </w:r>
    </w:p>
    <w:bookmarkEnd w:id="16"/>
    <w:p w14:paraId="7C92B46F">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一、标的、型号规格、数量、价款、交（提）货时间：</w:t>
      </w:r>
    </w:p>
    <w:p w14:paraId="1FEE3935">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本合同价格为固定单价合同，在合同有效期内单价保持不变。</w:t>
      </w:r>
    </w:p>
    <w:p w14:paraId="710DFC42">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1.2 本合同价格为到厂含税价，包括合同设备、技术资料、设计费、备品备件、工具、技术服务（现场指导服务）等费用，还包括合同设备的税费、运费、保费等与本合同中乙方应承担的所有义务和所有工作相关的费用。</w:t>
      </w:r>
    </w:p>
    <w:p w14:paraId="5C02C1EE">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default" w:ascii="Arial" w:hAnsi="宋体" w:cs="Arial"/>
          <w:szCs w:val="21"/>
          <w:lang w:val="en-US" w:eastAsia="zh-CN"/>
        </w:rPr>
      </w:pPr>
      <w:r>
        <w:rPr>
          <w:rFonts w:hint="eastAsia" w:ascii="Arial" w:hAnsi="宋体" w:eastAsia="宋体" w:cs="Arial"/>
          <w:szCs w:val="21"/>
        </w:rPr>
        <w:t xml:space="preserve">1.3交货期: </w:t>
      </w:r>
      <w:r>
        <w:rPr>
          <w:rFonts w:hint="eastAsia" w:ascii="Arial" w:hAnsi="宋体" w:cs="Arial"/>
          <w:szCs w:val="21"/>
          <w:lang w:val="en-US" w:eastAsia="zh-CN"/>
        </w:rPr>
        <w:t>合同签订生效后45天姚孟发电仓库。</w:t>
      </w:r>
    </w:p>
    <w:p w14:paraId="7806A0F0">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1.4 标的物清单：</w:t>
      </w:r>
    </w:p>
    <w:tbl>
      <w:tblPr>
        <w:tblStyle w:val="62"/>
        <w:tblW w:w="90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
      <w:tblGrid>
        <w:gridCol w:w="704"/>
        <w:gridCol w:w="1386"/>
        <w:gridCol w:w="2275"/>
        <w:gridCol w:w="638"/>
        <w:gridCol w:w="800"/>
        <w:gridCol w:w="1175"/>
        <w:gridCol w:w="1125"/>
        <w:gridCol w:w="902"/>
      </w:tblGrid>
      <w:tr w14:paraId="46801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499" w:hRule="atLeast"/>
          <w:jc w:val="center"/>
        </w:trPr>
        <w:tc>
          <w:tcPr>
            <w:tcW w:w="704" w:type="dxa"/>
            <w:shd w:val="clear" w:color="000000" w:fill="FFFFFF"/>
            <w:vAlign w:val="center"/>
          </w:tcPr>
          <w:p w14:paraId="31FC405B">
            <w:pPr>
              <w:pStyle w:val="109"/>
              <w:keepNext w:val="0"/>
              <w:keepLines w:val="0"/>
              <w:pageBreakBefore w:val="0"/>
              <w:kinsoku/>
              <w:wordWrap/>
              <w:overflowPunct/>
              <w:topLinePunct w:val="0"/>
              <w:autoSpaceDE/>
              <w:autoSpaceDN/>
              <w:bidi w:val="0"/>
              <w:adjustRightInd/>
              <w:snapToGrid/>
              <w:spacing w:line="288" w:lineRule="auto"/>
              <w:ind w:left="0" w:firstLine="0" w:firstLineChars="0"/>
              <w:jc w:val="center"/>
              <w:rPr>
                <w:rFonts w:hint="eastAsia" w:ascii="Arial" w:hAnsi="宋体" w:eastAsia="宋体" w:cs="Arial"/>
                <w:szCs w:val="21"/>
              </w:rPr>
            </w:pPr>
            <w:r>
              <w:rPr>
                <w:rFonts w:hint="eastAsia" w:ascii="Arial" w:hAnsi="宋体" w:eastAsia="宋体" w:cs="Arial"/>
                <w:szCs w:val="21"/>
              </w:rPr>
              <w:t>序号</w:t>
            </w:r>
          </w:p>
        </w:tc>
        <w:tc>
          <w:tcPr>
            <w:tcW w:w="1386" w:type="dxa"/>
            <w:tcBorders>
              <w:left w:val="single" w:color="auto" w:sz="4" w:space="0"/>
            </w:tcBorders>
            <w:shd w:val="clear" w:color="000000" w:fill="FFFFFF"/>
            <w:vAlign w:val="center"/>
          </w:tcPr>
          <w:p w14:paraId="309DB3F1">
            <w:pPr>
              <w:pStyle w:val="109"/>
              <w:keepNext w:val="0"/>
              <w:keepLines w:val="0"/>
              <w:pageBreakBefore w:val="0"/>
              <w:kinsoku/>
              <w:wordWrap/>
              <w:overflowPunct/>
              <w:topLinePunct w:val="0"/>
              <w:autoSpaceDE/>
              <w:autoSpaceDN/>
              <w:bidi w:val="0"/>
              <w:adjustRightInd/>
              <w:snapToGrid/>
              <w:spacing w:line="288" w:lineRule="auto"/>
              <w:ind w:left="0" w:firstLine="0" w:firstLineChars="0"/>
              <w:jc w:val="center"/>
              <w:rPr>
                <w:rFonts w:hint="eastAsia" w:ascii="Arial" w:hAnsi="宋体" w:eastAsia="宋体" w:cs="Arial"/>
                <w:szCs w:val="21"/>
              </w:rPr>
            </w:pPr>
            <w:r>
              <w:rPr>
                <w:rFonts w:hint="eastAsia" w:ascii="Arial" w:hAnsi="宋体" w:eastAsia="宋体" w:cs="Arial"/>
                <w:szCs w:val="21"/>
              </w:rPr>
              <w:t>货物名称</w:t>
            </w:r>
          </w:p>
        </w:tc>
        <w:tc>
          <w:tcPr>
            <w:tcW w:w="2275" w:type="dxa"/>
            <w:shd w:val="clear" w:color="000000" w:fill="FFFFFF"/>
            <w:vAlign w:val="center"/>
          </w:tcPr>
          <w:p w14:paraId="3AF645B2">
            <w:pPr>
              <w:pStyle w:val="109"/>
              <w:keepNext w:val="0"/>
              <w:keepLines w:val="0"/>
              <w:pageBreakBefore w:val="0"/>
              <w:kinsoku/>
              <w:wordWrap/>
              <w:overflowPunct/>
              <w:topLinePunct w:val="0"/>
              <w:autoSpaceDE/>
              <w:autoSpaceDN/>
              <w:bidi w:val="0"/>
              <w:adjustRightInd/>
              <w:snapToGrid/>
              <w:spacing w:line="288" w:lineRule="auto"/>
              <w:ind w:left="0" w:firstLine="0" w:firstLineChars="0"/>
              <w:jc w:val="center"/>
              <w:rPr>
                <w:rFonts w:hint="eastAsia" w:ascii="Arial" w:hAnsi="宋体" w:eastAsia="宋体" w:cs="Arial"/>
                <w:szCs w:val="21"/>
                <w:lang w:eastAsia="zh-CN"/>
              </w:rPr>
            </w:pPr>
            <w:r>
              <w:rPr>
                <w:rFonts w:hint="eastAsia" w:ascii="Arial" w:hAnsi="宋体" w:eastAsia="宋体" w:cs="Arial"/>
                <w:szCs w:val="21"/>
              </w:rPr>
              <w:t>规格、</w:t>
            </w:r>
            <w:r>
              <w:rPr>
                <w:rFonts w:hint="eastAsia" w:ascii="Arial" w:hAnsi="宋体" w:cs="Arial"/>
                <w:szCs w:val="21"/>
                <w:lang w:val="en-US" w:eastAsia="zh-CN"/>
              </w:rPr>
              <w:t>型号</w:t>
            </w:r>
          </w:p>
        </w:tc>
        <w:tc>
          <w:tcPr>
            <w:tcW w:w="638" w:type="dxa"/>
            <w:shd w:val="clear" w:color="000000" w:fill="FFFFFF"/>
            <w:vAlign w:val="center"/>
          </w:tcPr>
          <w:p w14:paraId="5BA090C2">
            <w:pPr>
              <w:pStyle w:val="109"/>
              <w:keepNext w:val="0"/>
              <w:keepLines w:val="0"/>
              <w:pageBreakBefore w:val="0"/>
              <w:kinsoku/>
              <w:wordWrap/>
              <w:overflowPunct/>
              <w:topLinePunct w:val="0"/>
              <w:autoSpaceDE/>
              <w:autoSpaceDN/>
              <w:bidi w:val="0"/>
              <w:adjustRightInd/>
              <w:snapToGrid/>
              <w:spacing w:line="288" w:lineRule="auto"/>
              <w:ind w:left="0" w:firstLine="0" w:firstLineChars="0"/>
              <w:jc w:val="center"/>
              <w:rPr>
                <w:rFonts w:hint="eastAsia" w:ascii="Arial" w:hAnsi="宋体" w:eastAsia="宋体" w:cs="Arial"/>
                <w:szCs w:val="21"/>
              </w:rPr>
            </w:pPr>
            <w:r>
              <w:rPr>
                <w:rFonts w:hint="eastAsia" w:ascii="Arial" w:hAnsi="宋体" w:eastAsia="宋体" w:cs="Arial"/>
                <w:szCs w:val="21"/>
              </w:rPr>
              <w:t>单位</w:t>
            </w:r>
          </w:p>
        </w:tc>
        <w:tc>
          <w:tcPr>
            <w:tcW w:w="800" w:type="dxa"/>
            <w:shd w:val="clear" w:color="000000" w:fill="FFFFFF"/>
            <w:vAlign w:val="center"/>
          </w:tcPr>
          <w:p w14:paraId="348D441B">
            <w:pPr>
              <w:pStyle w:val="109"/>
              <w:keepNext w:val="0"/>
              <w:keepLines w:val="0"/>
              <w:pageBreakBefore w:val="0"/>
              <w:kinsoku/>
              <w:wordWrap/>
              <w:overflowPunct/>
              <w:topLinePunct w:val="0"/>
              <w:autoSpaceDE/>
              <w:autoSpaceDN/>
              <w:bidi w:val="0"/>
              <w:adjustRightInd/>
              <w:snapToGrid/>
              <w:spacing w:line="288" w:lineRule="auto"/>
              <w:ind w:left="0" w:firstLine="0" w:firstLineChars="0"/>
              <w:jc w:val="center"/>
              <w:rPr>
                <w:rFonts w:hint="eastAsia" w:ascii="Arial" w:hAnsi="宋体" w:eastAsia="宋体" w:cs="Arial"/>
                <w:szCs w:val="21"/>
              </w:rPr>
            </w:pPr>
            <w:r>
              <w:rPr>
                <w:rFonts w:hint="eastAsia" w:ascii="Arial" w:hAnsi="宋体" w:eastAsia="宋体" w:cs="Arial"/>
                <w:szCs w:val="21"/>
              </w:rPr>
              <w:t>数量</w:t>
            </w:r>
          </w:p>
        </w:tc>
        <w:tc>
          <w:tcPr>
            <w:tcW w:w="1175" w:type="dxa"/>
            <w:shd w:val="clear" w:color="000000" w:fill="FFFFFF"/>
            <w:vAlign w:val="center"/>
          </w:tcPr>
          <w:p w14:paraId="251D9D1D">
            <w:pPr>
              <w:pStyle w:val="109"/>
              <w:keepNext w:val="0"/>
              <w:keepLines w:val="0"/>
              <w:pageBreakBefore w:val="0"/>
              <w:kinsoku/>
              <w:wordWrap/>
              <w:overflowPunct/>
              <w:topLinePunct w:val="0"/>
              <w:autoSpaceDE/>
              <w:autoSpaceDN/>
              <w:bidi w:val="0"/>
              <w:adjustRightInd/>
              <w:snapToGrid/>
              <w:spacing w:line="288" w:lineRule="auto"/>
              <w:ind w:left="0" w:firstLine="0" w:firstLineChars="0"/>
              <w:jc w:val="center"/>
              <w:rPr>
                <w:rFonts w:hint="eastAsia" w:ascii="Arial" w:hAnsi="宋体" w:eastAsia="宋体" w:cs="Arial"/>
                <w:szCs w:val="21"/>
              </w:rPr>
            </w:pPr>
            <w:r>
              <w:rPr>
                <w:rFonts w:hint="eastAsia" w:ascii="Arial" w:hAnsi="宋体" w:eastAsia="宋体" w:cs="Arial"/>
                <w:szCs w:val="21"/>
              </w:rPr>
              <w:t>单价（元）</w:t>
            </w:r>
          </w:p>
        </w:tc>
        <w:tc>
          <w:tcPr>
            <w:tcW w:w="1125" w:type="dxa"/>
            <w:shd w:val="clear" w:color="000000" w:fill="FFFFFF"/>
            <w:vAlign w:val="center"/>
          </w:tcPr>
          <w:p w14:paraId="3EF32472">
            <w:pPr>
              <w:pStyle w:val="109"/>
              <w:keepNext w:val="0"/>
              <w:keepLines w:val="0"/>
              <w:pageBreakBefore w:val="0"/>
              <w:kinsoku/>
              <w:wordWrap/>
              <w:overflowPunct/>
              <w:topLinePunct w:val="0"/>
              <w:autoSpaceDE/>
              <w:autoSpaceDN/>
              <w:bidi w:val="0"/>
              <w:adjustRightInd/>
              <w:snapToGrid/>
              <w:spacing w:line="288" w:lineRule="auto"/>
              <w:ind w:left="0" w:firstLine="0" w:firstLineChars="0"/>
              <w:jc w:val="center"/>
              <w:rPr>
                <w:rFonts w:hint="eastAsia" w:ascii="Arial" w:hAnsi="宋体" w:eastAsia="宋体" w:cs="Arial"/>
                <w:szCs w:val="21"/>
              </w:rPr>
            </w:pPr>
            <w:r>
              <w:rPr>
                <w:rFonts w:hint="eastAsia" w:ascii="Arial" w:hAnsi="宋体" w:eastAsia="宋体" w:cs="Arial"/>
                <w:szCs w:val="21"/>
              </w:rPr>
              <w:t>总价（元）</w:t>
            </w:r>
          </w:p>
        </w:tc>
        <w:tc>
          <w:tcPr>
            <w:tcW w:w="902" w:type="dxa"/>
            <w:shd w:val="clear" w:color="000000" w:fill="FFFFFF"/>
            <w:vAlign w:val="center"/>
          </w:tcPr>
          <w:p w14:paraId="4F0DEF44">
            <w:pPr>
              <w:pStyle w:val="109"/>
              <w:keepNext w:val="0"/>
              <w:keepLines w:val="0"/>
              <w:pageBreakBefore w:val="0"/>
              <w:kinsoku/>
              <w:wordWrap/>
              <w:overflowPunct/>
              <w:topLinePunct w:val="0"/>
              <w:autoSpaceDE/>
              <w:autoSpaceDN/>
              <w:bidi w:val="0"/>
              <w:adjustRightInd/>
              <w:snapToGrid/>
              <w:spacing w:line="288" w:lineRule="auto"/>
              <w:ind w:left="0" w:firstLine="0" w:firstLineChars="0"/>
              <w:jc w:val="center"/>
              <w:rPr>
                <w:rFonts w:hint="eastAsia" w:ascii="Arial" w:hAnsi="宋体" w:eastAsia="宋体" w:cs="Arial"/>
                <w:szCs w:val="21"/>
              </w:rPr>
            </w:pPr>
            <w:r>
              <w:rPr>
                <w:rFonts w:hint="eastAsia" w:ascii="Arial" w:hAnsi="宋体" w:eastAsia="宋体" w:cs="Arial"/>
                <w:szCs w:val="21"/>
              </w:rPr>
              <w:t>备注</w:t>
            </w:r>
          </w:p>
        </w:tc>
      </w:tr>
      <w:tr w14:paraId="5F0E3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87" w:hRule="atLeast"/>
          <w:jc w:val="center"/>
        </w:trPr>
        <w:tc>
          <w:tcPr>
            <w:tcW w:w="704" w:type="dxa"/>
            <w:tcBorders>
              <w:bottom w:val="single" w:color="auto" w:sz="4" w:space="0"/>
            </w:tcBorders>
            <w:shd w:val="clear" w:color="000000" w:fill="FFFFFF"/>
            <w:vAlign w:val="center"/>
          </w:tcPr>
          <w:p w14:paraId="199925C7">
            <w:pPr>
              <w:pStyle w:val="109"/>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Arial" w:hAnsi="宋体" w:eastAsia="宋体" w:cs="Arial"/>
                <w:szCs w:val="21"/>
              </w:rPr>
            </w:pPr>
            <w:r>
              <w:rPr>
                <w:rFonts w:hint="eastAsia" w:ascii="Arial" w:hAnsi="宋体" w:eastAsia="宋体" w:cs="Arial"/>
                <w:szCs w:val="21"/>
              </w:rPr>
              <w:t>1</w:t>
            </w:r>
          </w:p>
        </w:tc>
        <w:tc>
          <w:tcPr>
            <w:tcW w:w="1386" w:type="dxa"/>
            <w:tcBorders>
              <w:left w:val="single" w:color="auto" w:sz="4" w:space="0"/>
              <w:bottom w:val="single" w:color="auto" w:sz="4" w:space="0"/>
            </w:tcBorders>
            <w:shd w:val="clear" w:color="auto" w:fill="auto"/>
            <w:vAlign w:val="center"/>
          </w:tcPr>
          <w:p w14:paraId="28B85945">
            <w:pPr>
              <w:keepNext w:val="0"/>
              <w:keepLines w:val="0"/>
              <w:widowControl/>
              <w:suppressLineNumbers w:val="0"/>
              <w:spacing w:line="240" w:lineRule="auto"/>
              <w:ind w:left="284" w:leftChars="0" w:hanging="284" w:firstLineChars="0"/>
              <w:jc w:val="left"/>
              <w:textAlignment w:val="center"/>
              <w:rPr>
                <w:rFonts w:hint="eastAsia" w:ascii="Arial" w:hAnsi="宋体" w:eastAsia="宋体" w:cs="Arial"/>
                <w:kern w:val="2"/>
                <w:sz w:val="21"/>
                <w:szCs w:val="21"/>
                <w:lang w:val="en-US" w:eastAsia="zh-CN" w:bidi="ar-SA"/>
              </w:rPr>
            </w:pPr>
            <w:r>
              <w:rPr>
                <w:rFonts w:hint="eastAsia" w:ascii="宋体" w:hAnsi="宋体" w:eastAsia="宋体" w:cs="宋体"/>
                <w:b/>
                <w:bCs/>
                <w:i w:val="0"/>
                <w:iCs w:val="0"/>
                <w:color w:val="000000"/>
                <w:kern w:val="0"/>
                <w:sz w:val="22"/>
                <w:szCs w:val="22"/>
                <w:u w:val="none"/>
                <w:lang w:val="en-US" w:eastAsia="zh-CN" w:bidi="ar"/>
              </w:rPr>
              <w:t>电容式电压互感器</w:t>
            </w:r>
          </w:p>
        </w:tc>
        <w:tc>
          <w:tcPr>
            <w:tcW w:w="2275" w:type="dxa"/>
            <w:tcBorders>
              <w:bottom w:val="single" w:color="auto" w:sz="4" w:space="0"/>
            </w:tcBorders>
            <w:shd w:val="clear" w:color="auto" w:fill="auto"/>
            <w:vAlign w:val="center"/>
          </w:tcPr>
          <w:p w14:paraId="194437CD">
            <w:pPr>
              <w:keepNext w:val="0"/>
              <w:keepLines w:val="0"/>
              <w:widowControl/>
              <w:suppressLineNumbers w:val="0"/>
              <w:spacing w:line="240" w:lineRule="auto"/>
              <w:ind w:left="284" w:leftChars="0" w:hanging="284" w:firstLineChars="0"/>
              <w:jc w:val="left"/>
              <w:textAlignment w:val="center"/>
              <w:rPr>
                <w:rFonts w:hint="default" w:ascii="Arial" w:hAnsi="宋体" w:eastAsia="宋体" w:cs="Arial"/>
                <w:kern w:val="2"/>
                <w:sz w:val="21"/>
                <w:szCs w:val="21"/>
                <w:lang w:val="en-US" w:eastAsia="zh-CN" w:bidi="ar-SA"/>
              </w:rPr>
            </w:pPr>
            <w:r>
              <w:rPr>
                <w:rFonts w:hint="eastAsia" w:ascii="宋体" w:hAnsi="宋体" w:eastAsia="宋体" w:cs="宋体"/>
                <w:b/>
                <w:bCs/>
                <w:i w:val="0"/>
                <w:iCs w:val="0"/>
                <w:color w:val="000000"/>
                <w:kern w:val="0"/>
                <w:sz w:val="22"/>
                <w:szCs w:val="22"/>
                <w:u w:val="none"/>
                <w:lang w:val="en-US" w:eastAsia="zh-CN" w:bidi="ar"/>
              </w:rPr>
              <w:t>500/√3:  0.1/√3:0.1/√3：0.1 :0.1kV</w:t>
            </w:r>
          </w:p>
        </w:tc>
        <w:tc>
          <w:tcPr>
            <w:tcW w:w="638" w:type="dxa"/>
            <w:tcBorders>
              <w:bottom w:val="single" w:color="auto" w:sz="4" w:space="0"/>
            </w:tcBorders>
            <w:shd w:val="clear" w:color="auto" w:fill="auto"/>
            <w:vAlign w:val="center"/>
          </w:tcPr>
          <w:p w14:paraId="741AD1F5">
            <w:pPr>
              <w:keepNext w:val="0"/>
              <w:keepLines w:val="0"/>
              <w:widowControl/>
              <w:suppressLineNumbers w:val="0"/>
              <w:spacing w:line="240" w:lineRule="auto"/>
              <w:ind w:left="284" w:leftChars="0" w:hanging="284" w:firstLineChars="0"/>
              <w:jc w:val="center"/>
              <w:textAlignment w:val="center"/>
              <w:rPr>
                <w:rFonts w:hint="eastAsia" w:ascii="Arial" w:hAnsi="宋体" w:eastAsia="宋体" w:cs="Arial"/>
                <w:kern w:val="2"/>
                <w:sz w:val="21"/>
                <w:szCs w:val="21"/>
                <w:lang w:val="en-US" w:eastAsia="zh-CN" w:bidi="ar-SA"/>
              </w:rPr>
            </w:pPr>
            <w:r>
              <w:rPr>
                <w:rFonts w:hint="eastAsia" w:ascii="宋体" w:hAnsi="宋体" w:eastAsia="宋体" w:cs="宋体"/>
                <w:b/>
                <w:bCs/>
                <w:i w:val="0"/>
                <w:iCs w:val="0"/>
                <w:color w:val="000000"/>
                <w:kern w:val="0"/>
                <w:sz w:val="22"/>
                <w:szCs w:val="22"/>
                <w:u w:val="none"/>
                <w:lang w:val="en-US" w:eastAsia="zh-CN" w:bidi="ar"/>
              </w:rPr>
              <w:t>具</w:t>
            </w:r>
          </w:p>
        </w:tc>
        <w:tc>
          <w:tcPr>
            <w:tcW w:w="800" w:type="dxa"/>
            <w:tcBorders>
              <w:bottom w:val="single" w:color="auto" w:sz="4" w:space="0"/>
            </w:tcBorders>
            <w:shd w:val="clear" w:color="auto" w:fill="auto"/>
            <w:vAlign w:val="center"/>
          </w:tcPr>
          <w:p w14:paraId="249DE885">
            <w:pPr>
              <w:keepNext w:val="0"/>
              <w:keepLines w:val="0"/>
              <w:widowControl/>
              <w:suppressLineNumbers w:val="0"/>
              <w:spacing w:line="240" w:lineRule="auto"/>
              <w:ind w:left="284" w:leftChars="0" w:hanging="284" w:firstLineChars="0"/>
              <w:jc w:val="center"/>
              <w:textAlignment w:val="center"/>
              <w:rPr>
                <w:rFonts w:hint="default" w:ascii="Arial" w:hAnsi="宋体" w:eastAsia="宋体" w:cs="Arial"/>
                <w:szCs w:val="21"/>
                <w:lang w:val="en-US" w:eastAsia="zh-CN"/>
              </w:rPr>
            </w:pPr>
            <w:r>
              <w:rPr>
                <w:rFonts w:hint="eastAsia" w:ascii="宋体" w:hAnsi="宋体" w:eastAsia="宋体" w:cs="宋体"/>
                <w:b/>
                <w:bCs/>
                <w:i w:val="0"/>
                <w:iCs w:val="0"/>
                <w:color w:val="000000"/>
                <w:kern w:val="0"/>
                <w:sz w:val="22"/>
                <w:szCs w:val="22"/>
                <w:u w:val="none"/>
                <w:lang w:val="en-US" w:eastAsia="zh-CN" w:bidi="ar"/>
              </w:rPr>
              <w:t>2</w:t>
            </w:r>
          </w:p>
        </w:tc>
        <w:tc>
          <w:tcPr>
            <w:tcW w:w="1175" w:type="dxa"/>
            <w:tcBorders>
              <w:bottom w:val="single" w:color="auto" w:sz="4" w:space="0"/>
            </w:tcBorders>
            <w:shd w:val="clear" w:color="000000" w:fill="FFFFFF"/>
            <w:vAlign w:val="center"/>
          </w:tcPr>
          <w:p w14:paraId="512E0A11">
            <w:pPr>
              <w:pStyle w:val="109"/>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Arial" w:hAnsi="宋体" w:eastAsia="宋体" w:cs="Arial"/>
                <w:szCs w:val="21"/>
              </w:rPr>
            </w:pPr>
          </w:p>
        </w:tc>
        <w:tc>
          <w:tcPr>
            <w:tcW w:w="1125" w:type="dxa"/>
            <w:tcBorders>
              <w:bottom w:val="single" w:color="auto" w:sz="4" w:space="0"/>
            </w:tcBorders>
            <w:shd w:val="clear" w:color="000000" w:fill="FFFFFF"/>
            <w:vAlign w:val="center"/>
          </w:tcPr>
          <w:p w14:paraId="62A307AA">
            <w:pPr>
              <w:pStyle w:val="109"/>
              <w:keepNext w:val="0"/>
              <w:keepLines w:val="0"/>
              <w:pageBreakBefore w:val="0"/>
              <w:kinsoku/>
              <w:wordWrap/>
              <w:overflowPunct/>
              <w:topLinePunct w:val="0"/>
              <w:autoSpaceDE/>
              <w:autoSpaceDN/>
              <w:bidi w:val="0"/>
              <w:adjustRightInd/>
              <w:snapToGrid/>
              <w:spacing w:line="288" w:lineRule="auto"/>
              <w:ind w:left="0" w:firstLine="0" w:firstLineChars="0"/>
              <w:jc w:val="center"/>
              <w:rPr>
                <w:rFonts w:hint="eastAsia" w:ascii="Arial" w:hAnsi="宋体" w:eastAsia="宋体" w:cs="Arial"/>
                <w:szCs w:val="21"/>
              </w:rPr>
            </w:pPr>
          </w:p>
        </w:tc>
        <w:tc>
          <w:tcPr>
            <w:tcW w:w="902" w:type="dxa"/>
            <w:tcBorders>
              <w:bottom w:val="single" w:color="auto" w:sz="4" w:space="0"/>
            </w:tcBorders>
            <w:shd w:val="clear" w:color="000000" w:fill="FFFFFF"/>
            <w:vAlign w:val="center"/>
          </w:tcPr>
          <w:p w14:paraId="7BC93260">
            <w:pPr>
              <w:pStyle w:val="109"/>
              <w:keepNext w:val="0"/>
              <w:keepLines w:val="0"/>
              <w:pageBreakBefore w:val="0"/>
              <w:kinsoku/>
              <w:wordWrap/>
              <w:overflowPunct/>
              <w:topLinePunct w:val="0"/>
              <w:autoSpaceDE/>
              <w:autoSpaceDN/>
              <w:bidi w:val="0"/>
              <w:adjustRightInd/>
              <w:snapToGrid/>
              <w:spacing w:line="288" w:lineRule="auto"/>
              <w:ind w:left="0" w:firstLine="0" w:firstLineChars="0"/>
              <w:jc w:val="center"/>
              <w:rPr>
                <w:rFonts w:hint="eastAsia" w:ascii="Arial" w:hAnsi="宋体" w:eastAsia="宋体" w:cs="Arial"/>
                <w:szCs w:val="21"/>
              </w:rPr>
            </w:pPr>
          </w:p>
        </w:tc>
      </w:tr>
      <w:tr w14:paraId="28F49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556" w:hRule="atLeast"/>
          <w:jc w:val="center"/>
        </w:trPr>
        <w:tc>
          <w:tcPr>
            <w:tcW w:w="9005" w:type="dxa"/>
            <w:gridSpan w:val="8"/>
            <w:shd w:val="clear" w:color="000000" w:fill="FFFFFF"/>
            <w:vAlign w:val="center"/>
          </w:tcPr>
          <w:p w14:paraId="7A745522">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lang w:val="en-US" w:eastAsia="zh-CN"/>
              </w:rPr>
              <w:t>合计人民币价款：     元；大写        元整。其中不含税价      元，税率为13%，增值税金额       元，包含运费及包装费。如遇合同产品国家增值税税率变动，合同含税价格相应变动，具体方式为：保持不含税价不变，根据国家税率变动情况调整税费。</w:t>
            </w:r>
          </w:p>
        </w:tc>
      </w:tr>
    </w:tbl>
    <w:p w14:paraId="268FD250">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2 质量标准：</w:t>
      </w:r>
      <w:r>
        <w:rPr>
          <w:rFonts w:hint="eastAsia" w:ascii="Arial" w:hAnsi="宋体" w:eastAsia="宋体" w:cs="Arial"/>
          <w:szCs w:val="21"/>
          <w:lang w:eastAsia="zh-CN"/>
        </w:rPr>
        <w:t>（详见技术协议）</w:t>
      </w:r>
      <w:r>
        <w:rPr>
          <w:rFonts w:hint="eastAsia" w:ascii="Arial" w:hAnsi="宋体" w:eastAsia="宋体" w:cs="Arial"/>
          <w:szCs w:val="21"/>
        </w:rPr>
        <w:t xml:space="preserve"> </w:t>
      </w:r>
    </w:p>
    <w:p w14:paraId="0F63E02A">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3 乙方对质量负责的条件及期限：</w:t>
      </w:r>
      <w:r>
        <w:rPr>
          <w:rFonts w:hint="eastAsia" w:ascii="Arial" w:hAnsi="宋体" w:eastAsia="宋体" w:cs="Arial"/>
          <w:szCs w:val="21"/>
          <w:lang w:eastAsia="zh-CN"/>
        </w:rPr>
        <w:t>（详见技术协议）</w:t>
      </w:r>
      <w:r>
        <w:rPr>
          <w:rFonts w:hint="eastAsia" w:ascii="Arial" w:hAnsi="宋体" w:eastAsia="宋体" w:cs="Arial"/>
          <w:szCs w:val="21"/>
        </w:rPr>
        <w:t xml:space="preserve"> </w:t>
      </w:r>
    </w:p>
    <w:p w14:paraId="07C9621C">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3.1 乙方必须对产品的质量和包装质量负责，提供验收必要的技术资料等。</w:t>
      </w:r>
    </w:p>
    <w:p w14:paraId="3ABDA5AD">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3.2 产品质量负责"三包"。</w:t>
      </w:r>
    </w:p>
    <w:p w14:paraId="50A5569A">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4 包装标准、包装物的供应与回收：</w:t>
      </w:r>
      <w:r>
        <w:rPr>
          <w:rFonts w:hint="eastAsia" w:ascii="Arial" w:hAnsi="宋体" w:eastAsia="宋体" w:cs="Arial"/>
          <w:szCs w:val="21"/>
          <w:lang w:eastAsia="zh-CN"/>
        </w:rPr>
        <w:t>（详见技术协议）</w:t>
      </w:r>
      <w:r>
        <w:rPr>
          <w:rFonts w:hint="eastAsia" w:ascii="Arial" w:hAnsi="宋体" w:eastAsia="宋体" w:cs="Arial"/>
          <w:szCs w:val="21"/>
        </w:rPr>
        <w:t xml:space="preserve"> </w:t>
      </w:r>
    </w:p>
    <w:p w14:paraId="0AA8DC53">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4.1乙方交付的所有货物要符合国家标准中关于包装、储运指示标志的规定及货物承运部门的规定，具有适合长途运输、多次搬运和装卸的坚固包装，</w:t>
      </w:r>
      <w:r>
        <w:rPr>
          <w:rFonts w:hint="eastAsia" w:ascii="Arial" w:hAnsi="宋体" w:eastAsia="宋体" w:cs="Arial"/>
          <w:szCs w:val="21"/>
          <w:lang w:eastAsia="zh-CN"/>
        </w:rPr>
        <w:t>氢气瓶</w:t>
      </w:r>
      <w:r>
        <w:rPr>
          <w:rFonts w:hint="eastAsia" w:ascii="Arial" w:hAnsi="宋体" w:eastAsia="宋体" w:cs="Arial"/>
          <w:szCs w:val="21"/>
        </w:rPr>
        <w:t>由乙方回收。包装应保证在运输、装卸过程中完好无损，并有减振、防冲击的措施。凡由于乙方包装或保管不善致使货物遭到损坏或丢失时，不论在何时何地发现，一经证实，由乙方负责免费更换。</w:t>
      </w:r>
    </w:p>
    <w:p w14:paraId="683B5569">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5 随机的必备品、配件、工具数量及供应办法： 无。</w:t>
      </w:r>
    </w:p>
    <w:p w14:paraId="4BDD9C4B">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6 合理损耗及计算方法： 按照国家、行业有关标准执行。</w:t>
      </w:r>
    </w:p>
    <w:p w14:paraId="32573D81">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7 交提货方式、地点：汽运至最终用户物资库或最终用户指定地点交货。货物在送达交货地点前的损失风险由乙方承担，其后的损失风险由甲方承担。</w:t>
      </w:r>
    </w:p>
    <w:p w14:paraId="3F577C61">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 xml:space="preserve">8 运输方式及到达站（港）和费用承担： </w:t>
      </w:r>
    </w:p>
    <w:p w14:paraId="2C8C13F7">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8.1 运输方式：汽车运输。</w:t>
      </w:r>
    </w:p>
    <w:p w14:paraId="7E5E4079">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8.2 到达地点：最终用户物资库或最终用户指定地点。</w:t>
      </w:r>
    </w:p>
    <w:p w14:paraId="35E2CB1B">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 xml:space="preserve">8.3 费用承担：由乙方承担运输及药品接卸过程中发生的一切费用。 </w:t>
      </w:r>
    </w:p>
    <w:p w14:paraId="7FD6DAE2">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 xml:space="preserve">9 验收标准、方法、地点及期限： </w:t>
      </w:r>
    </w:p>
    <w:p w14:paraId="5479DD5E">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9.1 验收标准、方法：按国家、行业标准规定验收。</w:t>
      </w:r>
    </w:p>
    <w:p w14:paraId="03F20B6D">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9.2 验收地点及期限：现场验收，验收期限为货到7个工作日内，检验如有异议7日内提出，乙方24小时内负责处理。</w:t>
      </w:r>
    </w:p>
    <w:p w14:paraId="67BE35C5">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10 成套设备的安装与调试：无。</w:t>
      </w:r>
    </w:p>
    <w:p w14:paraId="05C99E37">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lang w:eastAsia="zh-CN"/>
        </w:rPr>
      </w:pPr>
      <w:r>
        <w:rPr>
          <w:rFonts w:hint="eastAsia" w:ascii="Arial" w:hAnsi="宋体" w:eastAsia="宋体" w:cs="Arial"/>
          <w:szCs w:val="21"/>
        </w:rPr>
        <w:t>11 履约保证金：</w:t>
      </w:r>
      <w:r>
        <w:rPr>
          <w:rFonts w:hint="eastAsia" w:ascii="Arial" w:hAnsi="宋体" w:eastAsia="宋体" w:cs="Arial"/>
          <w:szCs w:val="21"/>
          <w:lang w:eastAsia="zh-CN"/>
        </w:rPr>
        <w:t>无</w:t>
      </w:r>
    </w:p>
    <w:p w14:paraId="7A05D978">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 xml:space="preserve">12 结算方式及期限： </w:t>
      </w:r>
    </w:p>
    <w:p w14:paraId="0A9A9192">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12.1付款以电汇或电子承兑的方式支付。</w:t>
      </w:r>
    </w:p>
    <w:p w14:paraId="4C61E5FF">
      <w:pPr>
        <w:keepNext w:val="0"/>
        <w:keepLines w:val="0"/>
        <w:pageBreakBefore w:val="0"/>
        <w:numPr>
          <w:ilvl w:val="0"/>
          <w:numId w:val="0"/>
        </w:numPr>
        <w:kinsoku/>
        <w:wordWrap/>
        <w:overflowPunct/>
        <w:topLinePunct w:val="0"/>
        <w:autoSpaceDE/>
        <w:autoSpaceDN/>
        <w:bidi w:val="0"/>
        <w:adjustRightInd/>
        <w:snapToGrid/>
        <w:spacing w:line="288" w:lineRule="auto"/>
        <w:ind w:leftChars="0"/>
        <w:rPr>
          <w:rFonts w:hint="default" w:ascii="宋体" w:hAnsi="宋体"/>
          <w:spacing w:val="10"/>
          <w:lang w:val="en-US"/>
        </w:rPr>
      </w:pPr>
      <w:r>
        <w:rPr>
          <w:rFonts w:hint="eastAsia" w:ascii="Arial" w:hAnsi="宋体" w:eastAsia="宋体" w:cs="Arial"/>
          <w:szCs w:val="21"/>
          <w:lang w:val="en-US" w:eastAsia="zh-CN"/>
        </w:rPr>
        <w:t>12.2</w:t>
      </w:r>
      <w:r>
        <w:rPr>
          <w:rFonts w:hint="eastAsia" w:ascii="Arial" w:hAnsi="宋体" w:cs="Arial"/>
          <w:szCs w:val="21"/>
          <w:lang w:val="en-US" w:eastAsia="zh-CN"/>
        </w:rPr>
        <w:t>结算方式：9:1</w:t>
      </w:r>
    </w:p>
    <w:p w14:paraId="0E8D3C90">
      <w:pPr>
        <w:keepNext w:val="0"/>
        <w:keepLines w:val="0"/>
        <w:pageBreakBefore w:val="0"/>
        <w:numPr>
          <w:ilvl w:val="0"/>
          <w:numId w:val="0"/>
        </w:numPr>
        <w:kinsoku/>
        <w:wordWrap/>
        <w:overflowPunct/>
        <w:topLinePunct w:val="0"/>
        <w:autoSpaceDE/>
        <w:autoSpaceDN/>
        <w:bidi w:val="0"/>
        <w:adjustRightInd/>
        <w:snapToGrid/>
        <w:spacing w:line="288" w:lineRule="auto"/>
        <w:rPr>
          <w:rFonts w:ascii="宋体" w:hAnsi="宋体"/>
        </w:rPr>
      </w:pPr>
      <w:r>
        <w:rPr>
          <w:rFonts w:hint="eastAsia" w:ascii="宋体" w:hAnsi="宋体"/>
          <w:lang w:val="en-US" w:eastAsia="zh-CN"/>
        </w:rPr>
        <w:t>12.2.1货到安装调试完毕，</w:t>
      </w:r>
      <w:r>
        <w:rPr>
          <w:rFonts w:hint="eastAsia" w:ascii="宋体" w:hAnsi="宋体"/>
        </w:rPr>
        <w:t>经验收各项指标能满足双方所签技术协议要求且甲方收到乙方提供合同全款增值税专用发票后</w:t>
      </w:r>
      <w:r>
        <w:rPr>
          <w:rFonts w:hint="eastAsia" w:ascii="宋体" w:hAnsi="宋体"/>
          <w:lang w:val="en-US" w:eastAsia="zh-CN"/>
        </w:rPr>
        <w:t>60天</w:t>
      </w:r>
      <w:r>
        <w:rPr>
          <w:rFonts w:hint="eastAsia" w:ascii="宋体" w:hAnsi="宋体"/>
        </w:rPr>
        <w:t>内，向乙方支付合同款的</w:t>
      </w:r>
      <w:r>
        <w:rPr>
          <w:rFonts w:hint="eastAsia" w:ascii="宋体" w:hAnsi="宋体"/>
          <w:lang w:val="en-US" w:eastAsia="zh-CN"/>
        </w:rPr>
        <w:t>9</w:t>
      </w:r>
      <w:r>
        <w:rPr>
          <w:rFonts w:hint="eastAsia" w:ascii="宋体" w:hAnsi="宋体"/>
        </w:rPr>
        <w:t>0％，即￥</w:t>
      </w:r>
      <w:r>
        <w:rPr>
          <w:rFonts w:hint="eastAsia" w:ascii="宋体" w:hAnsi="宋体"/>
          <w:u w:val="single"/>
          <w:lang w:val="en-US" w:eastAsia="zh-CN"/>
        </w:rPr>
        <w:t xml:space="preserve">      </w:t>
      </w:r>
      <w:r>
        <w:rPr>
          <w:rFonts w:hint="eastAsia" w:ascii="宋体" w:hAnsi="宋体"/>
          <w:u w:val="single"/>
        </w:rPr>
        <w:t>元</w:t>
      </w:r>
      <w:r>
        <w:rPr>
          <w:rFonts w:hint="eastAsia" w:ascii="宋体" w:hAnsi="宋体"/>
        </w:rPr>
        <w:t>（大写：人民币</w:t>
      </w:r>
      <w:r>
        <w:rPr>
          <w:rFonts w:hint="eastAsia" w:ascii="宋体" w:hAnsi="宋体"/>
          <w:u w:val="single"/>
          <w:lang w:val="en-US" w:eastAsia="zh-CN"/>
        </w:rPr>
        <w:t xml:space="preserve">        </w:t>
      </w:r>
      <w:r>
        <w:rPr>
          <w:rFonts w:hint="eastAsia" w:ascii="宋体" w:hAnsi="宋体"/>
          <w:u w:val="single"/>
        </w:rPr>
        <w:t>整</w:t>
      </w:r>
      <w:r>
        <w:rPr>
          <w:rFonts w:hint="eastAsia" w:ascii="宋体" w:hAnsi="宋体"/>
        </w:rPr>
        <w:t>）；</w:t>
      </w:r>
    </w:p>
    <w:p w14:paraId="14342DDE">
      <w:pPr>
        <w:keepNext w:val="0"/>
        <w:keepLines w:val="0"/>
        <w:pageBreakBefore w:val="0"/>
        <w:numPr>
          <w:ilvl w:val="0"/>
          <w:numId w:val="0"/>
        </w:numPr>
        <w:kinsoku/>
        <w:wordWrap/>
        <w:overflowPunct/>
        <w:topLinePunct w:val="0"/>
        <w:autoSpaceDE/>
        <w:autoSpaceDN/>
        <w:bidi w:val="0"/>
        <w:adjustRightInd/>
        <w:snapToGrid/>
        <w:spacing w:line="288" w:lineRule="auto"/>
        <w:jc w:val="left"/>
        <w:rPr>
          <w:rFonts w:hint="eastAsia" w:ascii="宋体" w:hAnsi="宋体"/>
          <w:spacing w:val="10"/>
        </w:rPr>
      </w:pPr>
      <w:r>
        <w:rPr>
          <w:rFonts w:hint="eastAsia" w:ascii="宋体" w:hAnsi="宋体"/>
          <w:lang w:val="en-US" w:eastAsia="zh-CN"/>
        </w:rPr>
        <w:t>12.2.2</w:t>
      </w:r>
      <w:r>
        <w:rPr>
          <w:rFonts w:hint="eastAsia" w:ascii="宋体" w:hAnsi="宋体"/>
        </w:rPr>
        <w:t>剩余合同总价的10</w:t>
      </w:r>
      <w:r>
        <w:rPr>
          <w:rFonts w:ascii="宋体" w:hAnsi="宋体"/>
        </w:rPr>
        <w:t>%</w:t>
      </w:r>
      <w:r>
        <w:rPr>
          <w:rFonts w:hint="eastAsia" w:ascii="宋体" w:hAnsi="宋体"/>
        </w:rPr>
        <w:t>作为质量保证金，即￥</w:t>
      </w:r>
      <w:r>
        <w:rPr>
          <w:rFonts w:hint="eastAsia" w:ascii="宋体" w:hAnsi="宋体"/>
          <w:u w:val="single"/>
          <w:lang w:val="en-US" w:eastAsia="zh-CN"/>
        </w:rPr>
        <w:t xml:space="preserve">    </w:t>
      </w:r>
      <w:r>
        <w:rPr>
          <w:rFonts w:hint="eastAsia" w:ascii="宋体" w:hAnsi="宋体"/>
          <w:u w:val="single"/>
        </w:rPr>
        <w:t>元</w:t>
      </w:r>
      <w:r>
        <w:rPr>
          <w:rFonts w:hint="eastAsia" w:ascii="宋体" w:hAnsi="宋体"/>
        </w:rPr>
        <w:t>（大写：人民币</w:t>
      </w:r>
      <w:r>
        <w:rPr>
          <w:rFonts w:hint="eastAsia" w:ascii="宋体" w:hAnsi="宋体"/>
          <w:u w:val="single"/>
          <w:lang w:val="en-US" w:eastAsia="zh-CN"/>
        </w:rPr>
        <w:t xml:space="preserve">        </w:t>
      </w:r>
      <w:r>
        <w:rPr>
          <w:rFonts w:hint="eastAsia" w:ascii="宋体" w:hAnsi="宋体"/>
          <w:u w:val="single"/>
        </w:rPr>
        <w:t>整</w:t>
      </w:r>
      <w:r>
        <w:rPr>
          <w:rFonts w:hint="eastAsia" w:ascii="宋体" w:hAnsi="宋体"/>
        </w:rPr>
        <w:t>）</w:t>
      </w:r>
      <w:r>
        <w:rPr>
          <w:rFonts w:hint="eastAsia" w:ascii="宋体" w:hAnsi="宋体"/>
          <w:lang w:eastAsia="zh-CN"/>
        </w:rPr>
        <w:t>，</w:t>
      </w:r>
      <w:r>
        <w:rPr>
          <w:rFonts w:hint="eastAsia"/>
        </w:rPr>
        <w:t>产品验收合格签字十二个月后，如无质量问</w:t>
      </w:r>
      <w:r>
        <w:rPr>
          <w:rFonts w:hint="eastAsia" w:ascii="宋体" w:hAnsi="宋体"/>
        </w:rPr>
        <w:t>题，甲方支付乙方质量保证金。</w:t>
      </w:r>
    </w:p>
    <w:p w14:paraId="57A0E4AA">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lang w:val="en-US" w:eastAsia="zh-CN"/>
        </w:rPr>
        <w:t>13.</w:t>
      </w:r>
      <w:r>
        <w:rPr>
          <w:rFonts w:hint="eastAsia" w:ascii="Arial" w:hAnsi="宋体" w:eastAsia="宋体" w:cs="Arial"/>
          <w:szCs w:val="21"/>
        </w:rPr>
        <w:t>担保方式（也可另立担保合同）： 无。</w:t>
      </w:r>
    </w:p>
    <w:p w14:paraId="053A8812">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1</w:t>
      </w:r>
      <w:r>
        <w:rPr>
          <w:rFonts w:hint="eastAsia" w:ascii="Arial" w:hAnsi="宋体" w:eastAsia="宋体" w:cs="Arial"/>
          <w:szCs w:val="21"/>
          <w:lang w:val="en-US" w:eastAsia="zh-CN"/>
        </w:rPr>
        <w:t>4</w:t>
      </w:r>
      <w:r>
        <w:rPr>
          <w:rFonts w:hint="eastAsia" w:ascii="Arial" w:hAnsi="宋体" w:eastAsia="宋体" w:cs="Arial"/>
          <w:szCs w:val="21"/>
        </w:rPr>
        <w:t xml:space="preserve"> 违约责任:</w:t>
      </w:r>
      <w:r>
        <w:rPr>
          <w:rFonts w:hint="eastAsia" w:ascii="Arial" w:hAnsi="宋体" w:eastAsia="宋体" w:cs="Arial"/>
          <w:szCs w:val="21"/>
          <w:lang w:eastAsia="zh-CN"/>
        </w:rPr>
        <w:t>（详见技术协议）</w:t>
      </w:r>
      <w:r>
        <w:rPr>
          <w:rFonts w:hint="eastAsia" w:ascii="Arial" w:hAnsi="宋体" w:eastAsia="宋体" w:cs="Arial"/>
          <w:szCs w:val="21"/>
        </w:rPr>
        <w:t xml:space="preserve"> </w:t>
      </w:r>
    </w:p>
    <w:p w14:paraId="63877168">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1</w:t>
      </w:r>
      <w:r>
        <w:rPr>
          <w:rFonts w:hint="eastAsia" w:ascii="Arial" w:hAnsi="宋体" w:eastAsia="宋体" w:cs="Arial"/>
          <w:szCs w:val="21"/>
          <w:lang w:val="en-US" w:eastAsia="zh-CN"/>
        </w:rPr>
        <w:t>4</w:t>
      </w:r>
      <w:r>
        <w:rPr>
          <w:rFonts w:hint="eastAsia" w:ascii="Arial" w:hAnsi="宋体" w:eastAsia="宋体" w:cs="Arial"/>
          <w:szCs w:val="21"/>
        </w:rPr>
        <w:t>.1 乙方逾期交货的，须按下列要求向甲方支付逾期交货违约金，具体如下：1）每延迟一天供货罚金额1000元，罚款从履约保证金中扣除。2）当乙方原因造成合同提前终止，每提前一个月（超过15天（含）按1个月考核）扣除履约保证金2万元/月,直至履约保证金扣完为止。</w:t>
      </w:r>
    </w:p>
    <w:p w14:paraId="573722BA">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乙方支付逾期交货违约金并不解除出卖人继续交货的义务。乙方逾期交货的，发货前须与甲方协商，如果甲方仍然需要的，乙方应照数补交；如果甲方不再需要的，甲方可以单方面解除合同，乙方应当在接到乙方通知后10天内办理解除合同手续，并承担甲方因此而造成的损失。</w:t>
      </w:r>
    </w:p>
    <w:p w14:paraId="69BAF8C1">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1</w:t>
      </w:r>
      <w:r>
        <w:rPr>
          <w:rFonts w:hint="eastAsia" w:ascii="Arial" w:hAnsi="宋体" w:eastAsia="宋体" w:cs="Arial"/>
          <w:szCs w:val="21"/>
          <w:lang w:val="en-US" w:eastAsia="zh-CN"/>
        </w:rPr>
        <w:t>4</w:t>
      </w:r>
      <w:r>
        <w:rPr>
          <w:rFonts w:hint="eastAsia" w:ascii="Arial" w:hAnsi="宋体" w:eastAsia="宋体" w:cs="Arial"/>
          <w:szCs w:val="21"/>
        </w:rPr>
        <w:t xml:space="preserve">.2 乙方所供产品品种、规格、型号和质量等不符合合同约定的，如果甲方同意利用，则按质论价，如果甲方不能利用的，乙方负责包换或包修，并承担修理、调换或退货的费用，若因此造成交货迟延的按13.1条执行；如果乙方不能修理或退换的，按不能交货处理。对于检验不合格的物资，如果发生检测费用，由乙方承担。 </w:t>
      </w:r>
    </w:p>
    <w:p w14:paraId="43CC67F1">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1</w:t>
      </w:r>
      <w:r>
        <w:rPr>
          <w:rFonts w:hint="eastAsia" w:ascii="Arial" w:hAnsi="宋体" w:eastAsia="宋体" w:cs="Arial"/>
          <w:szCs w:val="21"/>
          <w:lang w:val="en-US" w:eastAsia="zh-CN"/>
        </w:rPr>
        <w:t>4</w:t>
      </w:r>
      <w:r>
        <w:rPr>
          <w:rFonts w:hint="eastAsia" w:ascii="Arial" w:hAnsi="宋体" w:eastAsia="宋体" w:cs="Arial"/>
          <w:szCs w:val="21"/>
        </w:rPr>
        <w:t>.3 双方签订合同后，乙方不得擅自转让本合同项下的权利与义务；否则，甲方有权解除合同，并按13.1条扣除履约保证金。乙方应付给甲方的违约金或者赔偿金，甲方有权从其所欠乙方的货款中或履约保证金中单独扣除，不足部分由乙方以现金补足。</w:t>
      </w:r>
    </w:p>
    <w:p w14:paraId="2DF42907">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1</w:t>
      </w:r>
      <w:r>
        <w:rPr>
          <w:rFonts w:hint="eastAsia" w:ascii="Arial" w:hAnsi="宋体" w:eastAsia="宋体" w:cs="Arial"/>
          <w:szCs w:val="21"/>
          <w:lang w:val="en-US" w:eastAsia="zh-CN"/>
        </w:rPr>
        <w:t>4</w:t>
      </w:r>
      <w:r>
        <w:rPr>
          <w:rFonts w:hint="eastAsia" w:ascii="Arial" w:hAnsi="宋体" w:eastAsia="宋体" w:cs="Arial"/>
          <w:szCs w:val="21"/>
        </w:rPr>
        <w:t>.4 若因乙方责任未能按本合同约定及时向甲方（或最终用户）交付技术资料的，甲方有权按"每份技术资料迟交违约金的总额不超过合同总价的2％"的标准向乙方收取违约金。</w:t>
      </w:r>
    </w:p>
    <w:p w14:paraId="07579735">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1</w:t>
      </w:r>
      <w:r>
        <w:rPr>
          <w:rFonts w:hint="eastAsia" w:ascii="Arial" w:hAnsi="宋体" w:eastAsia="宋体" w:cs="Arial"/>
          <w:szCs w:val="21"/>
          <w:lang w:val="en-US" w:eastAsia="zh-CN"/>
        </w:rPr>
        <w:t>5</w:t>
      </w:r>
      <w:r>
        <w:rPr>
          <w:rFonts w:hint="eastAsia" w:ascii="Arial" w:hAnsi="宋体" w:eastAsia="宋体" w:cs="Arial"/>
          <w:szCs w:val="21"/>
        </w:rPr>
        <w:t xml:space="preserve"> 解决合同纠纷的方式： </w:t>
      </w:r>
    </w:p>
    <w:p w14:paraId="6F20DAE6">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1</w:t>
      </w:r>
      <w:r>
        <w:rPr>
          <w:rFonts w:hint="eastAsia" w:ascii="Arial" w:hAnsi="宋体" w:eastAsia="宋体" w:cs="Arial"/>
          <w:szCs w:val="21"/>
          <w:lang w:val="en-US" w:eastAsia="zh-CN"/>
        </w:rPr>
        <w:t>5</w:t>
      </w:r>
      <w:r>
        <w:rPr>
          <w:rFonts w:hint="eastAsia" w:ascii="Arial" w:hAnsi="宋体" w:eastAsia="宋体" w:cs="Arial"/>
          <w:szCs w:val="21"/>
        </w:rPr>
        <w:t>.1 凡与本合同有关而引起的一切争议，双方应首先通过友好协商解决，如果协商不成，任何一方均有权向甲方所在地人民法院提起诉讼</w:t>
      </w:r>
      <w:r>
        <w:rPr>
          <w:rFonts w:hint="eastAsia" w:ascii="Arial" w:hAnsi="宋体" w:eastAsia="宋体" w:cs="Arial"/>
          <w:szCs w:val="21"/>
          <w:lang w:eastAsia="zh-CN"/>
        </w:rPr>
        <w:t>（平顶山市湛河区人民法院）</w:t>
      </w:r>
      <w:r>
        <w:rPr>
          <w:rFonts w:hint="eastAsia" w:ascii="Arial" w:hAnsi="宋体" w:eastAsia="宋体" w:cs="Arial"/>
          <w:szCs w:val="21"/>
        </w:rPr>
        <w:t>。</w:t>
      </w:r>
    </w:p>
    <w:p w14:paraId="2E48312D">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1</w:t>
      </w:r>
      <w:r>
        <w:rPr>
          <w:rFonts w:hint="eastAsia" w:ascii="Arial" w:hAnsi="宋体" w:eastAsia="宋体" w:cs="Arial"/>
          <w:szCs w:val="21"/>
          <w:lang w:val="en-US" w:eastAsia="zh-CN"/>
        </w:rPr>
        <w:t>5</w:t>
      </w:r>
      <w:r>
        <w:rPr>
          <w:rFonts w:hint="eastAsia" w:ascii="Arial" w:hAnsi="宋体" w:eastAsia="宋体" w:cs="Arial"/>
          <w:szCs w:val="21"/>
        </w:rPr>
        <w:t>.2 法院判决是终局的，对双方都有约束力，双方均应遵照执行。</w:t>
      </w:r>
    </w:p>
    <w:p w14:paraId="5089C98F">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1</w:t>
      </w:r>
      <w:r>
        <w:rPr>
          <w:rFonts w:hint="eastAsia" w:ascii="Arial" w:hAnsi="宋体" w:eastAsia="宋体" w:cs="Arial"/>
          <w:szCs w:val="21"/>
          <w:lang w:val="en-US" w:eastAsia="zh-CN"/>
        </w:rPr>
        <w:t>5</w:t>
      </w:r>
      <w:r>
        <w:rPr>
          <w:rFonts w:hint="eastAsia" w:ascii="Arial" w:hAnsi="宋体" w:eastAsia="宋体" w:cs="Arial"/>
          <w:szCs w:val="21"/>
        </w:rPr>
        <w:t>.3 除法院判决另有规定外，诉讼费用及胜诉方为此而支出的律师费由败诉方承担。</w:t>
      </w:r>
    </w:p>
    <w:p w14:paraId="376564BA">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1</w:t>
      </w:r>
      <w:r>
        <w:rPr>
          <w:rFonts w:hint="eastAsia" w:ascii="Arial" w:hAnsi="宋体" w:eastAsia="宋体" w:cs="Arial"/>
          <w:szCs w:val="21"/>
          <w:lang w:val="en-US" w:eastAsia="zh-CN"/>
        </w:rPr>
        <w:t>5</w:t>
      </w:r>
      <w:r>
        <w:rPr>
          <w:rFonts w:hint="eastAsia" w:ascii="Arial" w:hAnsi="宋体" w:eastAsia="宋体" w:cs="Arial"/>
          <w:szCs w:val="21"/>
        </w:rPr>
        <w:t>.4 在进行诉讼期间，除提交诉讼的事项外，合同仍应继续履行。</w:t>
      </w:r>
    </w:p>
    <w:p w14:paraId="062D9BA4">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1</w:t>
      </w:r>
      <w:r>
        <w:rPr>
          <w:rFonts w:hint="eastAsia" w:ascii="Arial" w:hAnsi="宋体" w:eastAsia="宋体" w:cs="Arial"/>
          <w:szCs w:val="21"/>
          <w:lang w:val="en-US" w:eastAsia="zh-CN"/>
        </w:rPr>
        <w:t>6</w:t>
      </w:r>
      <w:r>
        <w:rPr>
          <w:rFonts w:hint="eastAsia" w:ascii="Arial" w:hAnsi="宋体" w:eastAsia="宋体" w:cs="Arial"/>
          <w:szCs w:val="21"/>
        </w:rPr>
        <w:t xml:space="preserve"> 合同价格执行期：</w:t>
      </w:r>
    </w:p>
    <w:p w14:paraId="6DF32E16">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lang w:val="en-US" w:eastAsia="zh-CN"/>
        </w:rPr>
        <w:t>16.1</w:t>
      </w:r>
      <w:r>
        <w:rPr>
          <w:rFonts w:hint="eastAsia" w:ascii="Arial" w:hAnsi="宋体" w:eastAsia="宋体" w:cs="Arial"/>
          <w:szCs w:val="21"/>
        </w:rPr>
        <w:t>从合同生效之日起至 202</w:t>
      </w:r>
      <w:r>
        <w:rPr>
          <w:rFonts w:hint="eastAsia" w:ascii="Arial" w:hAnsi="宋体" w:eastAsia="宋体" w:cs="Arial"/>
          <w:szCs w:val="21"/>
          <w:lang w:val="en-US" w:eastAsia="zh-CN"/>
        </w:rPr>
        <w:t>4</w:t>
      </w:r>
      <w:r>
        <w:rPr>
          <w:rFonts w:hint="eastAsia" w:ascii="Arial" w:hAnsi="宋体" w:eastAsia="宋体" w:cs="Arial"/>
          <w:szCs w:val="21"/>
        </w:rPr>
        <w:t>年</w:t>
      </w:r>
      <w:r>
        <w:rPr>
          <w:rFonts w:hint="eastAsia" w:ascii="Arial" w:hAnsi="宋体" w:eastAsia="宋体" w:cs="Arial"/>
          <w:szCs w:val="21"/>
          <w:lang w:val="en-US" w:eastAsia="zh-CN"/>
        </w:rPr>
        <w:t>12</w:t>
      </w:r>
      <w:r>
        <w:rPr>
          <w:rFonts w:hint="eastAsia" w:ascii="Arial" w:hAnsi="宋体" w:eastAsia="宋体" w:cs="Arial"/>
          <w:szCs w:val="21"/>
        </w:rPr>
        <w:t>月</w:t>
      </w:r>
      <w:r>
        <w:rPr>
          <w:rFonts w:hint="eastAsia" w:ascii="Arial" w:hAnsi="宋体" w:eastAsia="宋体" w:cs="Arial"/>
          <w:szCs w:val="21"/>
          <w:lang w:val="en-US" w:eastAsia="zh-CN"/>
        </w:rPr>
        <w:t>31</w:t>
      </w:r>
      <w:r>
        <w:rPr>
          <w:rFonts w:hint="eastAsia" w:ascii="Arial" w:hAnsi="宋体" w:eastAsia="宋体" w:cs="Arial"/>
          <w:szCs w:val="21"/>
        </w:rPr>
        <w:t>日止。</w:t>
      </w:r>
    </w:p>
    <w:p w14:paraId="2658A793">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1</w:t>
      </w:r>
      <w:r>
        <w:rPr>
          <w:rFonts w:hint="eastAsia" w:ascii="Arial" w:hAnsi="宋体" w:eastAsia="宋体" w:cs="Arial"/>
          <w:szCs w:val="21"/>
          <w:lang w:val="en-US" w:eastAsia="zh-CN"/>
        </w:rPr>
        <w:t>7</w:t>
      </w:r>
      <w:r>
        <w:rPr>
          <w:rFonts w:hint="eastAsia" w:ascii="Arial" w:hAnsi="宋体" w:eastAsia="宋体" w:cs="Arial"/>
          <w:szCs w:val="21"/>
        </w:rPr>
        <w:t xml:space="preserve"> 合同生效日期： 本合同经双方企业法定代表人或委托代理人签字并加盖合同专用章或单位公章后生效。</w:t>
      </w:r>
    </w:p>
    <w:p w14:paraId="2C8346A9">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1</w:t>
      </w:r>
      <w:r>
        <w:rPr>
          <w:rFonts w:hint="eastAsia" w:ascii="Arial" w:hAnsi="宋体" w:eastAsia="宋体" w:cs="Arial"/>
          <w:szCs w:val="21"/>
          <w:lang w:val="en-US" w:eastAsia="zh-CN"/>
        </w:rPr>
        <w:t>8</w:t>
      </w:r>
      <w:r>
        <w:rPr>
          <w:rFonts w:hint="eastAsia" w:ascii="Arial" w:hAnsi="宋体" w:eastAsia="宋体" w:cs="Arial"/>
          <w:szCs w:val="21"/>
        </w:rPr>
        <w:t xml:space="preserve"> 本合同的变更及解除： </w:t>
      </w:r>
    </w:p>
    <w:p w14:paraId="04DEDD3F">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1</w:t>
      </w:r>
      <w:r>
        <w:rPr>
          <w:rFonts w:hint="eastAsia" w:ascii="Arial" w:hAnsi="宋体" w:eastAsia="宋体" w:cs="Arial"/>
          <w:szCs w:val="21"/>
          <w:lang w:val="en-US" w:eastAsia="zh-CN"/>
        </w:rPr>
        <w:t>8</w:t>
      </w:r>
      <w:r>
        <w:rPr>
          <w:rFonts w:hint="eastAsia" w:ascii="Arial" w:hAnsi="宋体" w:eastAsia="宋体" w:cs="Arial"/>
          <w:szCs w:val="21"/>
        </w:rPr>
        <w:t>.1 合同变更：本合同所订所有条款及本合同所有附件均为合同不可分割的组成部分，与合同正文具有同等效力，合同任何一方不得擅自变更或修改；如需变更，须经合同双方协商后书面确认；若一方单独变更或修改本合同，合同另一方有权拒绝供货或收货，并要求对方赔偿一切损失。</w:t>
      </w:r>
    </w:p>
    <w:p w14:paraId="63BE8527">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1</w:t>
      </w:r>
      <w:r>
        <w:rPr>
          <w:rFonts w:hint="eastAsia" w:ascii="Arial" w:hAnsi="宋体" w:eastAsia="宋体" w:cs="Arial"/>
          <w:szCs w:val="21"/>
          <w:lang w:val="en-US" w:eastAsia="zh-CN"/>
        </w:rPr>
        <w:t>8</w:t>
      </w:r>
      <w:r>
        <w:rPr>
          <w:rFonts w:hint="eastAsia" w:ascii="Arial" w:hAnsi="宋体" w:eastAsia="宋体" w:cs="Arial"/>
          <w:szCs w:val="21"/>
        </w:rPr>
        <w:t>.2 合同解除条件，满足下列条件之一，可以解除本合同：（1）若合同一方未能履行合同义务，亦未能在收到无过错一方发出的要求纠错的书面通知15天之内采取令人满意的措施补偿失误，合同另一方有权在任何时间终止该合同。（2）供需双方货款两讫，本合同自动解除。</w:t>
      </w:r>
    </w:p>
    <w:p w14:paraId="692A08F6">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1</w:t>
      </w:r>
      <w:r>
        <w:rPr>
          <w:rFonts w:hint="eastAsia" w:ascii="Arial" w:hAnsi="宋体" w:eastAsia="宋体" w:cs="Arial"/>
          <w:szCs w:val="21"/>
          <w:lang w:val="en-US" w:eastAsia="zh-CN"/>
        </w:rPr>
        <w:t>9</w:t>
      </w:r>
      <w:r>
        <w:rPr>
          <w:rFonts w:hint="eastAsia" w:ascii="Arial" w:hAnsi="宋体" w:eastAsia="宋体" w:cs="Arial"/>
          <w:szCs w:val="21"/>
        </w:rPr>
        <w:t xml:space="preserve"> 其他约定事项： </w:t>
      </w:r>
    </w:p>
    <w:p w14:paraId="437A4711">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1</w:t>
      </w:r>
      <w:r>
        <w:rPr>
          <w:rFonts w:hint="eastAsia" w:ascii="Arial" w:hAnsi="宋体" w:eastAsia="宋体" w:cs="Arial"/>
          <w:szCs w:val="21"/>
          <w:lang w:val="en-US" w:eastAsia="zh-CN"/>
        </w:rPr>
        <w:t>9</w:t>
      </w:r>
      <w:r>
        <w:rPr>
          <w:rFonts w:hint="eastAsia" w:ascii="Arial" w:hAnsi="宋体" w:eastAsia="宋体" w:cs="Arial"/>
          <w:szCs w:val="21"/>
        </w:rPr>
        <w:t>.1未尽事宜，双方协商解决。</w:t>
      </w:r>
    </w:p>
    <w:p w14:paraId="3D5BCFA6">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1</w:t>
      </w:r>
      <w:r>
        <w:rPr>
          <w:rFonts w:hint="eastAsia" w:ascii="Arial" w:hAnsi="宋体" w:eastAsia="宋体" w:cs="Arial"/>
          <w:szCs w:val="21"/>
          <w:lang w:val="en-US" w:eastAsia="zh-CN"/>
        </w:rPr>
        <w:t>9</w:t>
      </w:r>
      <w:r>
        <w:rPr>
          <w:rFonts w:hint="eastAsia" w:ascii="Arial" w:hAnsi="宋体" w:eastAsia="宋体" w:cs="Arial"/>
          <w:szCs w:val="21"/>
        </w:rPr>
        <w:t>.2 本合同未涉及的条款，双方可签订补充协议，但须经供需双方企业法定代表人或委托代理人签字并加盖合同专用章或单位公章后，方能生效。补充协议是本合同的组成部分，与本合同具有同等法律效力。</w:t>
      </w:r>
    </w:p>
    <w:p w14:paraId="72407420">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1</w:t>
      </w:r>
      <w:r>
        <w:rPr>
          <w:rFonts w:hint="eastAsia" w:ascii="Arial" w:hAnsi="宋体" w:eastAsia="宋体" w:cs="Arial"/>
          <w:szCs w:val="21"/>
          <w:lang w:val="en-US" w:eastAsia="zh-CN"/>
        </w:rPr>
        <w:t>9</w:t>
      </w:r>
      <w:r>
        <w:rPr>
          <w:rFonts w:hint="eastAsia" w:ascii="Arial" w:hAnsi="宋体" w:eastAsia="宋体" w:cs="Arial"/>
          <w:szCs w:val="21"/>
        </w:rPr>
        <w:t xml:space="preserve">.3 </w:t>
      </w:r>
      <w:r>
        <w:rPr>
          <w:rFonts w:hint="eastAsia" w:ascii="Arial" w:hAnsi="宋体" w:eastAsia="宋体" w:cs="Arial"/>
          <w:szCs w:val="21"/>
          <w:lang w:val="en-US" w:eastAsia="zh-CN"/>
        </w:rPr>
        <w:t>《技术协议》是本合同的组成部分，具有同等法律效力。</w:t>
      </w:r>
      <w:r>
        <w:rPr>
          <w:rFonts w:hint="eastAsia" w:ascii="Arial" w:hAnsi="宋体" w:eastAsia="宋体" w:cs="Arial"/>
          <w:szCs w:val="21"/>
        </w:rPr>
        <w:t>本合同一式</w:t>
      </w:r>
      <w:r>
        <w:rPr>
          <w:rFonts w:hint="eastAsia" w:ascii="Arial" w:hAnsi="宋体" w:eastAsia="宋体" w:cs="Arial"/>
          <w:szCs w:val="21"/>
          <w:lang w:val="en-US" w:eastAsia="zh-CN"/>
        </w:rPr>
        <w:t>6</w:t>
      </w:r>
      <w:r>
        <w:rPr>
          <w:rFonts w:hint="eastAsia" w:ascii="Arial" w:hAnsi="宋体" w:eastAsia="宋体" w:cs="Arial"/>
          <w:szCs w:val="21"/>
        </w:rPr>
        <w:t>份，甲方</w:t>
      </w:r>
      <w:r>
        <w:rPr>
          <w:rFonts w:hint="eastAsia" w:ascii="Arial" w:hAnsi="宋体" w:eastAsia="宋体" w:cs="Arial"/>
          <w:szCs w:val="21"/>
          <w:lang w:val="en-US" w:eastAsia="zh-CN"/>
        </w:rPr>
        <w:t>4</w:t>
      </w:r>
      <w:r>
        <w:rPr>
          <w:rFonts w:hint="eastAsia" w:ascii="Arial" w:hAnsi="宋体" w:eastAsia="宋体" w:cs="Arial"/>
          <w:szCs w:val="21"/>
        </w:rPr>
        <w:t>份，乙方</w:t>
      </w:r>
      <w:r>
        <w:rPr>
          <w:rFonts w:hint="eastAsia" w:ascii="Arial" w:hAnsi="宋体" w:eastAsia="宋体" w:cs="Arial"/>
          <w:szCs w:val="21"/>
          <w:lang w:val="en-US" w:eastAsia="zh-CN"/>
        </w:rPr>
        <w:t>2</w:t>
      </w:r>
      <w:r>
        <w:rPr>
          <w:rFonts w:hint="eastAsia" w:ascii="Arial" w:hAnsi="宋体" w:eastAsia="宋体" w:cs="Arial"/>
          <w:szCs w:val="21"/>
        </w:rPr>
        <w:t>份，同具法律效力。</w:t>
      </w:r>
    </w:p>
    <w:p w14:paraId="74C441B9">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以下无正文。</w:t>
      </w:r>
    </w:p>
    <w:tbl>
      <w:tblPr>
        <w:tblStyle w:val="62"/>
        <w:tblpPr w:leftFromText="180" w:rightFromText="180" w:vertAnchor="text" w:horzAnchor="page" w:tblpX="1392" w:tblpY="23"/>
        <w:tblOverlap w:val="never"/>
        <w:tblW w:w="9137" w:type="dxa"/>
        <w:tblInd w:w="0" w:type="dxa"/>
        <w:tblLayout w:type="fixed"/>
        <w:tblCellMar>
          <w:top w:w="0" w:type="dxa"/>
          <w:left w:w="0" w:type="dxa"/>
          <w:bottom w:w="0" w:type="dxa"/>
          <w:right w:w="0" w:type="dxa"/>
        </w:tblCellMar>
      </w:tblPr>
      <w:tblGrid>
        <w:gridCol w:w="1459"/>
        <w:gridCol w:w="3264"/>
        <w:gridCol w:w="1650"/>
        <w:gridCol w:w="2764"/>
      </w:tblGrid>
      <w:tr w14:paraId="5D7317C7">
        <w:tblPrEx>
          <w:tblCellMar>
            <w:top w:w="0" w:type="dxa"/>
            <w:left w:w="0" w:type="dxa"/>
            <w:bottom w:w="0" w:type="dxa"/>
            <w:right w:w="0" w:type="dxa"/>
          </w:tblCellMar>
        </w:tblPrEx>
        <w:trPr>
          <w:cantSplit/>
          <w:trHeight w:val="426" w:hRule="atLeast"/>
        </w:trPr>
        <w:tc>
          <w:tcPr>
            <w:tcW w:w="472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4CBBD87">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甲方</w:t>
            </w:r>
          </w:p>
        </w:tc>
        <w:tc>
          <w:tcPr>
            <w:tcW w:w="441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173895E">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乙方</w:t>
            </w:r>
          </w:p>
        </w:tc>
      </w:tr>
      <w:tr w14:paraId="45E763BE">
        <w:tblPrEx>
          <w:tblCellMar>
            <w:top w:w="0" w:type="dxa"/>
            <w:left w:w="0" w:type="dxa"/>
            <w:bottom w:w="0" w:type="dxa"/>
            <w:right w:w="0" w:type="dxa"/>
          </w:tblCellMar>
        </w:tblPrEx>
        <w:trPr>
          <w:cantSplit/>
          <w:trHeight w:val="497" w:hRule="atLeast"/>
        </w:trPr>
        <w:tc>
          <w:tcPr>
            <w:tcW w:w="145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A403719">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需（章）：</w:t>
            </w:r>
          </w:p>
        </w:tc>
        <w:tc>
          <w:tcPr>
            <w:tcW w:w="326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3A89ED0">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p>
        </w:tc>
        <w:tc>
          <w:tcPr>
            <w:tcW w:w="16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96893CF">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乙方（章）：</w:t>
            </w:r>
          </w:p>
        </w:tc>
        <w:tc>
          <w:tcPr>
            <w:tcW w:w="276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BF61E5D">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p>
        </w:tc>
      </w:tr>
      <w:tr w14:paraId="043CAE86">
        <w:tblPrEx>
          <w:tblCellMar>
            <w:top w:w="0" w:type="dxa"/>
            <w:left w:w="0" w:type="dxa"/>
            <w:bottom w:w="0" w:type="dxa"/>
            <w:right w:w="0" w:type="dxa"/>
          </w:tblCellMar>
        </w:tblPrEx>
        <w:trPr>
          <w:cantSplit/>
          <w:trHeight w:val="90" w:hRule="atLeast"/>
        </w:trPr>
        <w:tc>
          <w:tcPr>
            <w:tcW w:w="145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BA592EF">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公司地址：</w:t>
            </w:r>
          </w:p>
        </w:tc>
        <w:tc>
          <w:tcPr>
            <w:tcW w:w="326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F0C903B">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p>
        </w:tc>
        <w:tc>
          <w:tcPr>
            <w:tcW w:w="16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2ABFDCA">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公司地址：</w:t>
            </w:r>
          </w:p>
        </w:tc>
        <w:tc>
          <w:tcPr>
            <w:tcW w:w="276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F8520A4">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p>
        </w:tc>
      </w:tr>
      <w:tr w14:paraId="68A6654E">
        <w:tblPrEx>
          <w:tblCellMar>
            <w:top w:w="0" w:type="dxa"/>
            <w:left w:w="0" w:type="dxa"/>
            <w:bottom w:w="0" w:type="dxa"/>
            <w:right w:w="0" w:type="dxa"/>
          </w:tblCellMar>
        </w:tblPrEx>
        <w:trPr>
          <w:cantSplit/>
          <w:trHeight w:val="878" w:hRule="atLeast"/>
        </w:trPr>
        <w:tc>
          <w:tcPr>
            <w:tcW w:w="145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8EF4BD1">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法人代表或授权代表（签字）：</w:t>
            </w:r>
          </w:p>
        </w:tc>
        <w:tc>
          <w:tcPr>
            <w:tcW w:w="326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9410DDF">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p>
        </w:tc>
        <w:tc>
          <w:tcPr>
            <w:tcW w:w="16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BFA139B">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法人代表或授权代表（签字）：</w:t>
            </w:r>
          </w:p>
        </w:tc>
        <w:tc>
          <w:tcPr>
            <w:tcW w:w="276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70E4AF2">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p>
        </w:tc>
      </w:tr>
      <w:tr w14:paraId="29E7F9CD">
        <w:tblPrEx>
          <w:tblCellMar>
            <w:top w:w="0" w:type="dxa"/>
            <w:left w:w="0" w:type="dxa"/>
            <w:bottom w:w="0" w:type="dxa"/>
            <w:right w:w="0" w:type="dxa"/>
          </w:tblCellMar>
        </w:tblPrEx>
        <w:trPr>
          <w:cantSplit/>
          <w:trHeight w:val="509" w:hRule="atLeast"/>
        </w:trPr>
        <w:tc>
          <w:tcPr>
            <w:tcW w:w="145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E7BC47D">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经办人：</w:t>
            </w:r>
          </w:p>
        </w:tc>
        <w:tc>
          <w:tcPr>
            <w:tcW w:w="326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44B94BB">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p>
        </w:tc>
        <w:tc>
          <w:tcPr>
            <w:tcW w:w="16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284B922">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经办人：</w:t>
            </w:r>
          </w:p>
        </w:tc>
        <w:tc>
          <w:tcPr>
            <w:tcW w:w="276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C8D03DC">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p>
        </w:tc>
      </w:tr>
      <w:tr w14:paraId="11323AD1">
        <w:tblPrEx>
          <w:tblCellMar>
            <w:top w:w="0" w:type="dxa"/>
            <w:left w:w="0" w:type="dxa"/>
            <w:bottom w:w="0" w:type="dxa"/>
            <w:right w:w="0" w:type="dxa"/>
          </w:tblCellMar>
        </w:tblPrEx>
        <w:trPr>
          <w:cantSplit/>
          <w:trHeight w:val="333" w:hRule="atLeast"/>
        </w:trPr>
        <w:tc>
          <w:tcPr>
            <w:tcW w:w="145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3F0E77A">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电话：</w:t>
            </w:r>
          </w:p>
        </w:tc>
        <w:tc>
          <w:tcPr>
            <w:tcW w:w="326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5CF0879">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p>
        </w:tc>
        <w:tc>
          <w:tcPr>
            <w:tcW w:w="16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B243C16">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电话：</w:t>
            </w:r>
          </w:p>
        </w:tc>
        <w:tc>
          <w:tcPr>
            <w:tcW w:w="276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AAFD9CE">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p>
        </w:tc>
      </w:tr>
      <w:tr w14:paraId="1386B6F5">
        <w:tblPrEx>
          <w:tblCellMar>
            <w:top w:w="0" w:type="dxa"/>
            <w:left w:w="0" w:type="dxa"/>
            <w:bottom w:w="0" w:type="dxa"/>
            <w:right w:w="0" w:type="dxa"/>
          </w:tblCellMar>
        </w:tblPrEx>
        <w:trPr>
          <w:cantSplit/>
          <w:trHeight w:val="333" w:hRule="atLeast"/>
        </w:trPr>
        <w:tc>
          <w:tcPr>
            <w:tcW w:w="145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E6F1D4C">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传真：</w:t>
            </w:r>
          </w:p>
        </w:tc>
        <w:tc>
          <w:tcPr>
            <w:tcW w:w="326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2631F2E">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p>
        </w:tc>
        <w:tc>
          <w:tcPr>
            <w:tcW w:w="16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90DF989">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传真：</w:t>
            </w:r>
          </w:p>
        </w:tc>
        <w:tc>
          <w:tcPr>
            <w:tcW w:w="276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A00A448">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p>
        </w:tc>
      </w:tr>
      <w:tr w14:paraId="587F8155">
        <w:tblPrEx>
          <w:tblCellMar>
            <w:top w:w="0" w:type="dxa"/>
            <w:left w:w="0" w:type="dxa"/>
            <w:bottom w:w="0" w:type="dxa"/>
            <w:right w:w="0" w:type="dxa"/>
          </w:tblCellMar>
        </w:tblPrEx>
        <w:trPr>
          <w:cantSplit/>
          <w:trHeight w:val="509" w:hRule="atLeast"/>
        </w:trPr>
        <w:tc>
          <w:tcPr>
            <w:tcW w:w="145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3C5D2F4">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开户行：</w:t>
            </w:r>
          </w:p>
        </w:tc>
        <w:tc>
          <w:tcPr>
            <w:tcW w:w="326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1E025F2">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p>
        </w:tc>
        <w:tc>
          <w:tcPr>
            <w:tcW w:w="16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6E84891">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开户行：</w:t>
            </w:r>
          </w:p>
        </w:tc>
        <w:tc>
          <w:tcPr>
            <w:tcW w:w="276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4025DDD">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p>
        </w:tc>
      </w:tr>
      <w:tr w14:paraId="3906CCDB">
        <w:tblPrEx>
          <w:tblCellMar>
            <w:top w:w="0" w:type="dxa"/>
            <w:left w:w="0" w:type="dxa"/>
            <w:bottom w:w="0" w:type="dxa"/>
            <w:right w:w="0" w:type="dxa"/>
          </w:tblCellMar>
        </w:tblPrEx>
        <w:trPr>
          <w:cantSplit/>
          <w:trHeight w:val="333" w:hRule="atLeast"/>
        </w:trPr>
        <w:tc>
          <w:tcPr>
            <w:tcW w:w="145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EE35D00">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账号：</w:t>
            </w:r>
          </w:p>
        </w:tc>
        <w:tc>
          <w:tcPr>
            <w:tcW w:w="326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4365904">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p>
        </w:tc>
        <w:tc>
          <w:tcPr>
            <w:tcW w:w="16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68DA52A">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账号：</w:t>
            </w:r>
          </w:p>
        </w:tc>
        <w:tc>
          <w:tcPr>
            <w:tcW w:w="276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345F565">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p>
        </w:tc>
      </w:tr>
      <w:tr w14:paraId="147E79B0">
        <w:tblPrEx>
          <w:tblCellMar>
            <w:top w:w="0" w:type="dxa"/>
            <w:left w:w="0" w:type="dxa"/>
            <w:bottom w:w="0" w:type="dxa"/>
            <w:right w:w="0" w:type="dxa"/>
          </w:tblCellMar>
        </w:tblPrEx>
        <w:trPr>
          <w:cantSplit/>
          <w:trHeight w:val="333" w:hRule="atLeast"/>
        </w:trPr>
        <w:tc>
          <w:tcPr>
            <w:tcW w:w="145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29F3C72">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税号：</w:t>
            </w:r>
          </w:p>
        </w:tc>
        <w:tc>
          <w:tcPr>
            <w:tcW w:w="326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722DE0C">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p>
        </w:tc>
        <w:tc>
          <w:tcPr>
            <w:tcW w:w="16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C20D550">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税号：</w:t>
            </w:r>
          </w:p>
        </w:tc>
        <w:tc>
          <w:tcPr>
            <w:tcW w:w="276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BCCFDC2">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p>
        </w:tc>
      </w:tr>
      <w:tr w14:paraId="756FC283">
        <w:tblPrEx>
          <w:tblCellMar>
            <w:top w:w="0" w:type="dxa"/>
            <w:left w:w="0" w:type="dxa"/>
            <w:bottom w:w="0" w:type="dxa"/>
            <w:right w:w="0" w:type="dxa"/>
          </w:tblCellMar>
        </w:tblPrEx>
        <w:trPr>
          <w:cantSplit/>
          <w:trHeight w:val="333" w:hRule="atLeast"/>
        </w:trPr>
        <w:tc>
          <w:tcPr>
            <w:tcW w:w="145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0DA6277">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联行号：</w:t>
            </w:r>
          </w:p>
        </w:tc>
        <w:tc>
          <w:tcPr>
            <w:tcW w:w="326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8DA1422">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p>
        </w:tc>
        <w:tc>
          <w:tcPr>
            <w:tcW w:w="16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3E46BE5">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联行号：</w:t>
            </w:r>
          </w:p>
        </w:tc>
        <w:tc>
          <w:tcPr>
            <w:tcW w:w="276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3A58F68">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p>
        </w:tc>
      </w:tr>
      <w:tr w14:paraId="476A2EF8">
        <w:tblPrEx>
          <w:tblCellMar>
            <w:top w:w="0" w:type="dxa"/>
            <w:left w:w="0" w:type="dxa"/>
            <w:bottom w:w="0" w:type="dxa"/>
            <w:right w:w="0" w:type="dxa"/>
          </w:tblCellMar>
        </w:tblPrEx>
        <w:trPr>
          <w:cantSplit/>
          <w:trHeight w:val="653" w:hRule="atLeast"/>
        </w:trPr>
        <w:tc>
          <w:tcPr>
            <w:tcW w:w="145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E66600B">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发票地址电话：</w:t>
            </w:r>
          </w:p>
        </w:tc>
        <w:tc>
          <w:tcPr>
            <w:tcW w:w="326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CA4C65F">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p>
        </w:tc>
        <w:tc>
          <w:tcPr>
            <w:tcW w:w="16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78F416D">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发票地址电话：</w:t>
            </w:r>
          </w:p>
        </w:tc>
        <w:tc>
          <w:tcPr>
            <w:tcW w:w="276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0AE2077">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p>
        </w:tc>
      </w:tr>
      <w:tr w14:paraId="5B58B735">
        <w:tblPrEx>
          <w:tblCellMar>
            <w:top w:w="0" w:type="dxa"/>
            <w:left w:w="0" w:type="dxa"/>
            <w:bottom w:w="0" w:type="dxa"/>
            <w:right w:w="0" w:type="dxa"/>
          </w:tblCellMar>
        </w:tblPrEx>
        <w:trPr>
          <w:cantSplit/>
          <w:trHeight w:val="493" w:hRule="atLeast"/>
        </w:trPr>
        <w:tc>
          <w:tcPr>
            <w:tcW w:w="145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B7BD2FE">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邮政编码：</w:t>
            </w:r>
          </w:p>
        </w:tc>
        <w:tc>
          <w:tcPr>
            <w:tcW w:w="326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D2B38C9">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p>
        </w:tc>
        <w:tc>
          <w:tcPr>
            <w:tcW w:w="16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2767041">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r>
              <w:rPr>
                <w:rFonts w:hint="eastAsia" w:ascii="Arial" w:hAnsi="宋体" w:eastAsia="宋体" w:cs="Arial"/>
                <w:szCs w:val="21"/>
              </w:rPr>
              <w:t>邮政编码：</w:t>
            </w:r>
          </w:p>
        </w:tc>
        <w:tc>
          <w:tcPr>
            <w:tcW w:w="276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5C5E1BF">
            <w:pPr>
              <w:pStyle w:val="109"/>
              <w:keepNext w:val="0"/>
              <w:keepLines w:val="0"/>
              <w:pageBreakBefore w:val="0"/>
              <w:kinsoku/>
              <w:wordWrap/>
              <w:overflowPunct/>
              <w:topLinePunct w:val="0"/>
              <w:autoSpaceDE/>
              <w:autoSpaceDN/>
              <w:bidi w:val="0"/>
              <w:adjustRightInd/>
              <w:snapToGrid/>
              <w:spacing w:line="288" w:lineRule="auto"/>
              <w:ind w:left="0" w:firstLine="0" w:firstLineChars="0"/>
              <w:jc w:val="left"/>
              <w:rPr>
                <w:rFonts w:hint="eastAsia" w:ascii="Arial" w:hAnsi="宋体" w:eastAsia="宋体" w:cs="Arial"/>
                <w:szCs w:val="21"/>
              </w:rPr>
            </w:pPr>
          </w:p>
        </w:tc>
      </w:tr>
    </w:tbl>
    <w:p w14:paraId="1CA6961F">
      <w:pPr>
        <w:snapToGrid w:val="0"/>
        <w:spacing w:line="560" w:lineRule="exact"/>
        <w:ind w:left="0" w:leftChars="0" w:firstLine="0" w:firstLineChars="0"/>
        <w:jc w:val="left"/>
        <w:rPr>
          <w:rFonts w:eastAsia="黑体"/>
          <w:sz w:val="28"/>
          <w:szCs w:val="28"/>
          <w:lang w:val="zh-CN"/>
        </w:rPr>
      </w:pPr>
      <w:r>
        <w:rPr>
          <w:rFonts w:eastAsia="黑体"/>
          <w:sz w:val="28"/>
          <w:szCs w:val="28"/>
          <w:lang w:val="zh-CN"/>
        </w:rPr>
        <w:t>附件</w:t>
      </w:r>
    </w:p>
    <w:p w14:paraId="5F244019">
      <w:pPr>
        <w:snapToGrid w:val="0"/>
        <w:spacing w:line="560" w:lineRule="exact"/>
        <w:ind w:firstLine="720" w:firstLineChars="200"/>
        <w:jc w:val="center"/>
        <w:rPr>
          <w:rFonts w:eastAsia="微软简标宋"/>
          <w:sz w:val="36"/>
          <w:szCs w:val="36"/>
        </w:rPr>
      </w:pPr>
      <w:r>
        <w:rPr>
          <w:rFonts w:eastAsia="微软简标宋"/>
          <w:sz w:val="36"/>
          <w:szCs w:val="36"/>
        </w:rPr>
        <w:t>供需双方廉洁互保协议</w:t>
      </w:r>
    </w:p>
    <w:p w14:paraId="70EDF610">
      <w:pPr>
        <w:spacing w:line="540" w:lineRule="exact"/>
        <w:ind w:firstLine="420" w:firstLineChars="200"/>
      </w:pPr>
    </w:p>
    <w:p w14:paraId="31FA51F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b/>
          <w:bCs/>
          <w:lang w:eastAsia="zh-CN"/>
        </w:rPr>
      </w:pPr>
      <w:r>
        <w:rPr>
          <w:b/>
          <w:bCs/>
        </w:rPr>
        <w:t>买方：（以下简称甲方）</w:t>
      </w:r>
      <w:r>
        <w:rPr>
          <w:rFonts w:hint="eastAsia"/>
          <w:b/>
          <w:bCs/>
          <w:lang w:eastAsia="zh-CN"/>
        </w:rPr>
        <w:t>：</w:t>
      </w:r>
    </w:p>
    <w:p w14:paraId="0E74515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b/>
          <w:bCs/>
          <w:lang w:eastAsia="zh-CN"/>
        </w:rPr>
      </w:pPr>
      <w:r>
        <w:rPr>
          <w:b/>
          <w:bCs/>
        </w:rPr>
        <w:t>卖方：（以下简称乙方）</w:t>
      </w:r>
      <w:r>
        <w:rPr>
          <w:rFonts w:hint="eastAsia" w:ascii="Times New Roman" w:hAnsi="Times New Roman" w:eastAsia="宋体" w:cs="Times New Roman"/>
          <w:b/>
          <w:bCs/>
          <w:lang w:eastAsia="zh-CN"/>
        </w:rPr>
        <w:t>：</w:t>
      </w:r>
      <w:r>
        <w:rPr>
          <w:rFonts w:hint="eastAsia" w:ascii="Times New Roman" w:hAnsi="Times New Roman" w:eastAsia="宋体" w:cs="Times New Roman"/>
          <w:b/>
          <w:bCs/>
          <w:lang w:val="en-US" w:eastAsia="zh-CN"/>
        </w:rPr>
        <w:t xml:space="preserve"> </w:t>
      </w:r>
    </w:p>
    <w:p w14:paraId="6959992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t>为规范双方业务往来活动，建立诚实守信的商务合作关系，共同维护双方合法权益，防止违法违纪现象发生，经友好协商，双方就业务往来中的廉洁事宜达成此互保协议。</w:t>
      </w:r>
    </w:p>
    <w:p w14:paraId="6636958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eastAsia="宋体" w:cs="Times New Roman"/>
        </w:rPr>
      </w:pPr>
      <w:r>
        <w:rPr>
          <w:rFonts w:eastAsia="黑体"/>
          <w:b/>
          <w:bCs/>
        </w:rPr>
        <w:t>第一条</w:t>
      </w:r>
      <w:r>
        <w:rPr>
          <w:rFonts w:hint="eastAsia" w:eastAsia="黑体"/>
          <w:b/>
          <w:bCs/>
          <w:lang w:val="en-US" w:eastAsia="zh-CN"/>
        </w:rPr>
        <w:t xml:space="preserve"> </w:t>
      </w:r>
      <w:r>
        <w:rPr>
          <w:rFonts w:ascii="Times New Roman" w:hAnsi="Times New Roman" w:eastAsia="宋体" w:cs="Times New Roman"/>
        </w:rPr>
        <w:t>甲乙双方共同的权利和义务</w:t>
      </w:r>
    </w:p>
    <w:p w14:paraId="1D190C1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t>1</w:t>
      </w:r>
      <w:r>
        <w:rPr>
          <w:rFonts w:hint="eastAsia"/>
        </w:rPr>
        <w:t>.</w:t>
      </w:r>
      <w:r>
        <w:t>严格遵守国家有关法律法规，坚持诚实守信原则，恪守商业道德，规范商务人员廉洁从业行为。</w:t>
      </w:r>
    </w:p>
    <w:p w14:paraId="32701EE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t>2</w:t>
      </w:r>
      <w:r>
        <w:rPr>
          <w:rFonts w:hint="eastAsia"/>
        </w:rPr>
        <w:t>.</w:t>
      </w:r>
      <w:r>
        <w:t>双方业务活动坚持公开、公正、诚信、透明的原则（商业秘密和合同文件另有规定的除外），不得损害国家和对方利益。</w:t>
      </w:r>
    </w:p>
    <w:p w14:paraId="264CDC3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t>3</w:t>
      </w:r>
      <w:r>
        <w:rPr>
          <w:rFonts w:hint="eastAsia"/>
        </w:rPr>
        <w:t>.</w:t>
      </w:r>
      <w:r>
        <w:t>发现对方工作人员在业务活动中有违反廉洁规定的行为，有及时要求对方纠正并向对方举报的权利和义务；涉嫌违法的，可以依法向有关部门举报。</w:t>
      </w:r>
    </w:p>
    <w:p w14:paraId="3C86A76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t>4</w:t>
      </w:r>
      <w:r>
        <w:rPr>
          <w:rFonts w:hint="eastAsia"/>
        </w:rPr>
        <w:t>.</w:t>
      </w:r>
      <w:r>
        <w:t>对涉嫌不廉洁的商业行为进行调查时，双方有相互配合、提供证据、作证的义务。</w:t>
      </w:r>
    </w:p>
    <w:p w14:paraId="7C110AB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t>5</w:t>
      </w:r>
      <w:r>
        <w:rPr>
          <w:rFonts w:hint="eastAsia"/>
        </w:rPr>
        <w:t>.</w:t>
      </w:r>
      <w:r>
        <w:t>未经对方同意，不向任何新闻媒体、第三人述及有关对方工作人员恪守商业道德方面的评价、信息。</w:t>
      </w:r>
    </w:p>
    <w:p w14:paraId="0BA5C05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t>6</w:t>
      </w:r>
      <w:r>
        <w:rPr>
          <w:rFonts w:hint="eastAsia"/>
        </w:rPr>
        <w:t>.</w:t>
      </w:r>
      <w:r>
        <w:t>双方应依法保护举报人员，不得以任何方式对举报人员进行打击报复。</w:t>
      </w:r>
    </w:p>
    <w:p w14:paraId="79F7C67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eastAsia="宋体" w:cs="Times New Roman"/>
        </w:rPr>
      </w:pPr>
      <w:r>
        <w:rPr>
          <w:rFonts w:ascii="Times New Roman" w:hAnsi="Times New Roman" w:eastAsia="黑体" w:cs="Times New Roman"/>
          <w:b/>
          <w:bCs/>
        </w:rPr>
        <w:t>第二条</w:t>
      </w:r>
      <w:r>
        <w:rPr>
          <w:rFonts w:hint="eastAsia" w:ascii="Times New Roman" w:hAnsi="Times New Roman" w:eastAsia="黑体" w:cs="Times New Roman"/>
          <w:b/>
          <w:bCs/>
          <w:lang w:val="en-US" w:eastAsia="zh-CN"/>
        </w:rPr>
        <w:t xml:space="preserve"> </w:t>
      </w:r>
      <w:r>
        <w:rPr>
          <w:rFonts w:ascii="Times New Roman" w:hAnsi="Times New Roman" w:eastAsia="宋体" w:cs="Times New Roman"/>
        </w:rPr>
        <w:t>甲方的廉洁责任</w:t>
      </w:r>
    </w:p>
    <w:p w14:paraId="0BE28F3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t>1</w:t>
      </w:r>
      <w:r>
        <w:rPr>
          <w:rFonts w:hint="eastAsia"/>
        </w:rPr>
        <w:t>.</w:t>
      </w:r>
      <w:r>
        <w:t>甲方工作人员不得以任何形式索要或接受乙方的礼金、礼品和有价证券，不得在乙方报销任何应由个人支付的各种费用。</w:t>
      </w:r>
    </w:p>
    <w:p w14:paraId="34EA629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t>2</w:t>
      </w:r>
      <w:r>
        <w:rPr>
          <w:rFonts w:hint="eastAsia"/>
        </w:rPr>
        <w:t>.</w:t>
      </w:r>
      <w:r>
        <w:t>甲方工作人员不得私自参加乙方安排的宴请，不得私自接受乙方提供的通讯、交通工具和办公用品，不得向乙方泄露谈判中的商业秘密。</w:t>
      </w:r>
    </w:p>
    <w:p w14:paraId="4CA70AA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t>3</w:t>
      </w:r>
      <w:r>
        <w:rPr>
          <w:rFonts w:hint="eastAsia"/>
        </w:rPr>
        <w:t>.</w:t>
      </w:r>
      <w:r>
        <w:t>甲方工作人员不得要求或者接受乙方以住房装修、婚丧嫁娶、家属及其他亲属的工作安排、出国出境、旅游等为理由所提供的方便。</w:t>
      </w:r>
    </w:p>
    <w:p w14:paraId="69B4CA2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t>4</w:t>
      </w:r>
      <w:r>
        <w:rPr>
          <w:rFonts w:hint="eastAsia"/>
        </w:rPr>
        <w:t>.</w:t>
      </w:r>
      <w:r>
        <w:t>甲方工作人员不得以任何理由向乙方推荐物资供应单位、工程承包或劳务分包单位，合同另有约定除外。</w:t>
      </w:r>
    </w:p>
    <w:p w14:paraId="16E3097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eastAsia="宋体" w:cs="Times New Roman"/>
        </w:rPr>
      </w:pPr>
      <w:r>
        <w:rPr>
          <w:rFonts w:ascii="Times New Roman" w:hAnsi="Times New Roman" w:eastAsia="黑体" w:cs="Times New Roman"/>
          <w:b/>
          <w:bCs/>
        </w:rPr>
        <w:t>第三条</w:t>
      </w:r>
      <w:r>
        <w:rPr>
          <w:rFonts w:hint="eastAsia" w:ascii="Times New Roman" w:hAnsi="Times New Roman" w:eastAsia="黑体" w:cs="Times New Roman"/>
          <w:b/>
          <w:bCs/>
          <w:lang w:val="en-US" w:eastAsia="zh-CN"/>
        </w:rPr>
        <w:t xml:space="preserve"> </w:t>
      </w:r>
      <w:r>
        <w:rPr>
          <w:rFonts w:ascii="Times New Roman" w:hAnsi="Times New Roman" w:eastAsia="宋体" w:cs="Times New Roman"/>
        </w:rPr>
        <w:t>乙方的廉洁责任</w:t>
      </w:r>
    </w:p>
    <w:p w14:paraId="10EC2E3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t>1</w:t>
      </w:r>
      <w:r>
        <w:rPr>
          <w:rFonts w:hint="eastAsia"/>
        </w:rPr>
        <w:t>.</w:t>
      </w:r>
      <w:r>
        <w:t>乙方及其工作人员不得为甲方工作人员提供回扣、礼金、有价证券、贵重物品和报销个人费用。</w:t>
      </w:r>
    </w:p>
    <w:p w14:paraId="21775EF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t>2</w:t>
      </w:r>
      <w:r>
        <w:rPr>
          <w:rFonts w:hint="eastAsia"/>
        </w:rPr>
        <w:t>.</w:t>
      </w:r>
      <w:r>
        <w:t>乙方及其工作人员不得为甲方工作人员安排有可能影响公平、公正交易的宴请、健身、娱乐等活动。</w:t>
      </w:r>
    </w:p>
    <w:p w14:paraId="72E2429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t>3</w:t>
      </w:r>
      <w:r>
        <w:rPr>
          <w:rFonts w:hint="eastAsia"/>
        </w:rPr>
        <w:t>.</w:t>
      </w:r>
      <w:r>
        <w:t>乙方及其工作人员不得为甲方工作人员投资入股、个人借款或买卖股票、债券等提供方便。</w:t>
      </w:r>
    </w:p>
    <w:p w14:paraId="0F1DB79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spacing w:val="-8"/>
        </w:rPr>
      </w:pPr>
      <w:r>
        <w:t>4</w:t>
      </w:r>
      <w:r>
        <w:rPr>
          <w:rFonts w:hint="eastAsia"/>
        </w:rPr>
        <w:t>.</w:t>
      </w:r>
      <w:r>
        <w:rPr>
          <w:spacing w:val="-2"/>
        </w:rPr>
        <w:t>乙方及其工作人员不得为甲方工作人员购买或装修住房、婚</w:t>
      </w:r>
      <w:r>
        <w:rPr>
          <w:spacing w:val="-8"/>
        </w:rPr>
        <w:t>丧嫁娶、配偶子女上学或工作安排以及出国出境、旅游等提供方便。</w:t>
      </w:r>
    </w:p>
    <w:p w14:paraId="61299B3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t>5</w:t>
      </w:r>
      <w:r>
        <w:rPr>
          <w:rFonts w:hint="eastAsia"/>
        </w:rPr>
        <w:t>.</w:t>
      </w:r>
      <w:r>
        <w:t>乙方及其工作人员不得为甲方工作人员在其相关企业挂名兼职、合伙经营、介绍承揽业务等提供方便。</w:t>
      </w:r>
    </w:p>
    <w:p w14:paraId="4471213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t>6</w:t>
      </w:r>
      <w:r>
        <w:rPr>
          <w:rFonts w:hint="eastAsia"/>
        </w:rPr>
        <w:t>.</w:t>
      </w:r>
      <w:r>
        <w:t>乙方及其工作人员不得利用非法手段向甲方工作人员打探有关涉及甲方的商业秘密、业务渠道等。</w:t>
      </w:r>
    </w:p>
    <w:p w14:paraId="32EC2E6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t>7</w:t>
      </w:r>
      <w:r>
        <w:rPr>
          <w:rFonts w:hint="eastAsia"/>
        </w:rPr>
        <w:t>.</w:t>
      </w:r>
      <w:r>
        <w:t>乙方及其工作人员与甲方发生业务往来过程中，不得有弄虚作假、以次充好、虚结虚算等违反诚信原则的行为。</w:t>
      </w:r>
    </w:p>
    <w:p w14:paraId="1E5B51C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t>8</w:t>
      </w:r>
      <w:r>
        <w:rPr>
          <w:rFonts w:hint="eastAsia"/>
        </w:rPr>
        <w:t>.</w:t>
      </w:r>
      <w:r>
        <w:t>其它违反廉洁规定的行为。</w:t>
      </w:r>
    </w:p>
    <w:p w14:paraId="453239A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eastAsia="黑体" w:cs="Times New Roman"/>
          <w:b/>
          <w:bCs/>
        </w:rPr>
      </w:pPr>
      <w:r>
        <w:rPr>
          <w:rFonts w:ascii="Times New Roman" w:hAnsi="Times New Roman" w:eastAsia="黑体" w:cs="Times New Roman"/>
          <w:b/>
          <w:bCs/>
        </w:rPr>
        <w:t>第四条</w:t>
      </w:r>
      <w:r>
        <w:rPr>
          <w:rFonts w:hint="eastAsia" w:ascii="Times New Roman" w:hAnsi="Times New Roman" w:eastAsia="黑体" w:cs="Times New Roman"/>
          <w:b/>
          <w:bCs/>
          <w:lang w:val="en-US" w:eastAsia="zh-CN"/>
        </w:rPr>
        <w:t xml:space="preserve"> </w:t>
      </w:r>
      <w:r>
        <w:rPr>
          <w:rFonts w:ascii="Times New Roman" w:hAnsi="Times New Roman" w:eastAsia="宋体" w:cs="Times New Roman"/>
        </w:rPr>
        <w:t>甲方工作人员有违反本协议行为的，甲方应按照管理权限，依据有关规定给予纪律处分、组织处理或经济处罚；涉嫌犯罪的，移交司法机关追究法律责任。</w:t>
      </w:r>
    </w:p>
    <w:p w14:paraId="486173D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rPr>
          <w:rFonts w:ascii="Times New Roman" w:hAnsi="Times New Roman" w:eastAsia="黑体" w:cs="Times New Roman"/>
          <w:b/>
          <w:bCs/>
        </w:rPr>
        <w:t>第五条</w:t>
      </w:r>
      <w:r>
        <w:rPr>
          <w:rFonts w:hint="eastAsia" w:ascii="Times New Roman" w:hAnsi="Times New Roman" w:eastAsia="黑体" w:cs="Times New Roman"/>
          <w:b/>
          <w:bCs/>
          <w:lang w:val="en-US" w:eastAsia="zh-CN"/>
        </w:rPr>
        <w:t xml:space="preserve"> </w:t>
      </w:r>
      <w:r>
        <w:t>乙方及其工作人员有违反本协议行为的，甲方有权根据情节和所造成的影响采取以下相应措施：</w:t>
      </w:r>
    </w:p>
    <w:p w14:paraId="1F08A26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t>1</w:t>
      </w:r>
      <w:r>
        <w:rPr>
          <w:rFonts w:hint="eastAsia"/>
        </w:rPr>
        <w:t>.</w:t>
      </w:r>
      <w:r>
        <w:t>情节轻微的，要求乙方对相关工作人员进行处分处理，并限期整改。</w:t>
      </w:r>
    </w:p>
    <w:p w14:paraId="692569D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t>2</w:t>
      </w:r>
      <w:r>
        <w:rPr>
          <w:rFonts w:hint="eastAsia"/>
        </w:rPr>
        <w:t>.</w:t>
      </w:r>
      <w:r>
        <w:t>导致甲方工作人员受到纪律处分、组织处理或构成违法犯罪的，扣罚乙方合同金额50%的违约金，列入永久禁入中煤市场黑名单。</w:t>
      </w:r>
    </w:p>
    <w:p w14:paraId="01A8FC0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t>3</w:t>
      </w:r>
      <w:r>
        <w:rPr>
          <w:rFonts w:hint="eastAsia"/>
        </w:rPr>
        <w:t>.</w:t>
      </w:r>
      <w:r>
        <w:t>给甲方造成重大社会影响或重大经济损失的，甲方有权解除、终止双方尚未履行完毕的业务合同，暂停支付合同未结算款项，甲方遭受的损失由乙方负责赔偿，乙方因甲方解除合同产生的损失由乙方自行承担，列入永久禁入中煤市场黑名单。</w:t>
      </w:r>
    </w:p>
    <w:p w14:paraId="454490D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rPr>
          <w:rFonts w:ascii="Times New Roman" w:hAnsi="Times New Roman" w:eastAsia="黑体" w:cs="Times New Roman"/>
          <w:b/>
          <w:bCs/>
        </w:rPr>
        <w:t>第六条</w:t>
      </w:r>
      <w:r>
        <w:rPr>
          <w:rFonts w:hint="eastAsia" w:ascii="Times New Roman" w:hAnsi="Times New Roman" w:eastAsia="黑体" w:cs="Times New Roman"/>
          <w:b/>
          <w:bCs/>
          <w:lang w:val="en-US" w:eastAsia="zh-CN"/>
        </w:rPr>
        <w:t xml:space="preserve"> </w:t>
      </w:r>
      <w:r>
        <w:t>本协议作为双方签订的所有业务合同的组成部分，与业务合同具有同等法律效力。</w:t>
      </w:r>
    </w:p>
    <w:p w14:paraId="0D97892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rPr>
          <w:rFonts w:ascii="Times New Roman" w:hAnsi="Times New Roman" w:eastAsia="黑体" w:cs="Times New Roman"/>
          <w:b/>
          <w:bCs/>
        </w:rPr>
        <w:t>第七条</w:t>
      </w:r>
      <w:r>
        <w:rPr>
          <w:rFonts w:hint="eastAsia" w:ascii="Times New Roman" w:hAnsi="Times New Roman" w:eastAsia="黑体" w:cs="Times New Roman"/>
          <w:b/>
          <w:bCs/>
          <w:lang w:val="en-US" w:eastAsia="zh-CN"/>
        </w:rPr>
        <w:t xml:space="preserve"> </w:t>
      </w:r>
      <w:r>
        <w:t>本协议自双方签字盖章之日起生效，有效期与合同履约期一致。</w:t>
      </w:r>
    </w:p>
    <w:p w14:paraId="61F9F84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p>
    <w:p w14:paraId="51CEDC5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p>
    <w:p w14:paraId="2AF4DEC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b/>
          <w:bCs/>
        </w:rPr>
      </w:pPr>
      <w:r>
        <w:rPr>
          <w:rFonts w:hint="eastAsia" w:ascii="Times New Roman" w:hAnsi="Times New Roman" w:eastAsia="宋体" w:cs="Times New Roman"/>
          <w:b/>
          <w:bCs/>
        </w:rPr>
        <w:t>甲方：</w:t>
      </w:r>
      <w:r>
        <w:rPr>
          <w:rFonts w:hint="eastAsia"/>
          <w:lang w:val="en-US" w:eastAsia="zh-CN"/>
        </w:rPr>
        <w:t xml:space="preserve">                                       </w:t>
      </w:r>
      <w:r>
        <w:rPr>
          <w:rFonts w:hint="eastAsia" w:ascii="Times New Roman" w:hAnsi="Times New Roman" w:eastAsia="宋体" w:cs="Times New Roman"/>
          <w:b/>
          <w:bCs/>
        </w:rPr>
        <w:t>乙方：</w:t>
      </w:r>
    </w:p>
    <w:p w14:paraId="32D3F5F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p>
    <w:p w14:paraId="26A783E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t>授权代表：</w:t>
      </w:r>
      <w:r>
        <w:rPr>
          <w:rFonts w:hint="eastAsia"/>
          <w:lang w:val="en-US" w:eastAsia="zh-CN"/>
        </w:rPr>
        <w:t xml:space="preserve">                                    </w:t>
      </w:r>
      <w:r>
        <w:t>授权代表：</w:t>
      </w:r>
    </w:p>
    <w:p w14:paraId="665FB8B9">
      <w:pPr>
        <w:pStyle w:val="109"/>
        <w:ind w:left="0" w:firstLine="0" w:firstLineChars="0"/>
        <w:jc w:val="left"/>
        <w:rPr>
          <w:rFonts w:cs="Arial" w:asciiTheme="minorEastAsia" w:hAnsiTheme="minorEastAsia" w:eastAsiaTheme="minorEastAsia"/>
          <w:b/>
          <w:sz w:val="32"/>
          <w:szCs w:val="32"/>
        </w:rPr>
      </w:pPr>
      <w:r>
        <w:rPr>
          <w:rFonts w:asciiTheme="minorEastAsia" w:hAnsiTheme="minorEastAsia" w:eastAsiaTheme="minorEastAsia"/>
          <w:b/>
          <w:sz w:val="32"/>
          <w:szCs w:val="20"/>
        </w:rPr>
        <w:br w:type="page"/>
      </w:r>
      <w:bookmarkStart w:id="21" w:name="_Toc6561410"/>
      <w:bookmarkStart w:id="22" w:name="_Toc5825376"/>
      <w:bookmarkStart w:id="23" w:name="_Toc129941764"/>
      <w:r>
        <w:rPr>
          <w:rFonts w:hint="eastAsia" w:asciiTheme="minorEastAsia" w:hAnsiTheme="minorEastAsia" w:eastAsiaTheme="minorEastAsia"/>
          <w:b/>
          <w:sz w:val="32"/>
          <w:szCs w:val="20"/>
          <w:lang w:val="en-US" w:eastAsia="zh-CN"/>
        </w:rPr>
        <w:t xml:space="preserve"> </w:t>
      </w:r>
      <w:bookmarkEnd w:id="17"/>
      <w:bookmarkEnd w:id="18"/>
      <w:bookmarkEnd w:id="19"/>
      <w:bookmarkEnd w:id="20"/>
      <w:bookmarkEnd w:id="21"/>
      <w:bookmarkEnd w:id="22"/>
      <w:bookmarkEnd w:id="23"/>
      <w:bookmarkStart w:id="24" w:name="_Toc139468415"/>
      <w:r>
        <w:rPr>
          <w:rFonts w:hint="eastAsia" w:asciiTheme="minorEastAsia" w:hAnsiTheme="minorEastAsia" w:eastAsiaTheme="minorEastAsia"/>
          <w:b/>
          <w:sz w:val="32"/>
          <w:szCs w:val="20"/>
          <w:lang w:val="en-US" w:eastAsia="zh-CN"/>
        </w:rPr>
        <w:t xml:space="preserve">                 </w:t>
      </w:r>
      <w:r>
        <w:rPr>
          <w:rFonts w:hint="eastAsia" w:asciiTheme="minorEastAsia" w:hAnsiTheme="minorEastAsia" w:eastAsiaTheme="minorEastAsia"/>
          <w:b/>
          <w:sz w:val="32"/>
          <w:szCs w:val="32"/>
          <w:lang w:val="en-US" w:eastAsia="zh-CN"/>
        </w:rPr>
        <w:t xml:space="preserve"> </w:t>
      </w:r>
      <w:r>
        <w:rPr>
          <w:rFonts w:cs="Arial" w:asciiTheme="minorEastAsia" w:hAnsiTheme="minorEastAsia" w:eastAsiaTheme="minorEastAsia"/>
          <w:b/>
          <w:sz w:val="32"/>
          <w:szCs w:val="32"/>
        </w:rPr>
        <w:t>第</w:t>
      </w:r>
      <w:r>
        <w:rPr>
          <w:rFonts w:hint="eastAsia" w:cs="Arial" w:asciiTheme="minorEastAsia" w:hAnsiTheme="minorEastAsia" w:eastAsiaTheme="minorEastAsia"/>
          <w:b/>
          <w:sz w:val="32"/>
          <w:szCs w:val="32"/>
          <w:lang w:val="en-US" w:eastAsia="zh-CN"/>
        </w:rPr>
        <w:t>四</w:t>
      </w:r>
      <w:r>
        <w:rPr>
          <w:rFonts w:cs="Arial" w:asciiTheme="minorEastAsia" w:hAnsiTheme="minorEastAsia" w:eastAsiaTheme="minorEastAsia"/>
          <w:b/>
          <w:sz w:val="32"/>
          <w:szCs w:val="32"/>
        </w:rPr>
        <w:t>章技术规范及要求</w:t>
      </w:r>
      <w:bookmarkEnd w:id="24"/>
    </w:p>
    <w:p w14:paraId="535EC707">
      <w:pPr>
        <w:pStyle w:val="4"/>
        <w:spacing w:line="240" w:lineRule="auto"/>
        <w:jc w:val="center"/>
        <w:rPr>
          <w:rFonts w:hint="default" w:ascii="宋体" w:hAnsi="宋体" w:eastAsia="宋体" w:cs="宋体"/>
          <w:b/>
          <w:bCs/>
          <w:snapToGrid w:val="0"/>
          <w:spacing w:val="0"/>
          <w:kern w:val="0"/>
          <w:sz w:val="30"/>
          <w:szCs w:val="30"/>
          <w:lang w:val="en-US" w:eastAsia="zh-CN" w:bidi="ar-SA"/>
        </w:rPr>
      </w:pPr>
      <w:r>
        <w:rPr>
          <w:rFonts w:hint="eastAsia" w:ascii="宋体" w:hAnsi="宋体" w:eastAsia="宋体" w:cs="宋体"/>
          <w:b/>
          <w:bCs/>
          <w:snapToGrid w:val="0"/>
          <w:spacing w:val="0"/>
          <w:kern w:val="0"/>
          <w:sz w:val="30"/>
          <w:szCs w:val="30"/>
          <w:lang w:val="en-US" w:eastAsia="zh-CN" w:bidi="ar-SA"/>
        </w:rPr>
        <w:t>技术规范</w:t>
      </w:r>
    </w:p>
    <w:p w14:paraId="66E473A6">
      <w:pPr>
        <w:keepNext/>
        <w:keepLines/>
        <w:widowControl/>
        <w:adjustRightInd w:val="0"/>
        <w:spacing w:before="260" w:after="260" w:line="240" w:lineRule="auto"/>
        <w:jc w:val="left"/>
        <w:textAlignment w:val="baseline"/>
        <w:outlineLvl w:val="1"/>
        <w:rPr>
          <w:rFonts w:hint="eastAsia" w:ascii="宋体" w:hAnsi="宋体" w:eastAsia="宋体" w:cs="宋体"/>
          <w:b/>
          <w:bCs/>
          <w:kern w:val="44"/>
          <w:sz w:val="21"/>
          <w:szCs w:val="21"/>
        </w:rPr>
      </w:pPr>
      <w:bookmarkStart w:id="25" w:name="_Toc503324976"/>
      <w:bookmarkStart w:id="26" w:name="_Toc529353960"/>
      <w:r>
        <w:rPr>
          <w:rFonts w:hint="eastAsia" w:ascii="宋体" w:hAnsi="宋体" w:eastAsia="宋体" w:cs="宋体"/>
          <w:b/>
          <w:bCs/>
          <w:kern w:val="44"/>
          <w:sz w:val="21"/>
          <w:szCs w:val="21"/>
        </w:rPr>
        <w:t xml:space="preserve">1. </w:t>
      </w:r>
      <w:bookmarkEnd w:id="25"/>
      <w:bookmarkEnd w:id="26"/>
      <w:r>
        <w:rPr>
          <w:rFonts w:hint="eastAsia" w:ascii="宋体" w:hAnsi="宋体" w:eastAsia="宋体" w:cs="宋体"/>
          <w:b/>
          <w:bCs/>
          <w:kern w:val="44"/>
          <w:sz w:val="21"/>
          <w:szCs w:val="21"/>
        </w:rPr>
        <w:t>一般要求</w:t>
      </w:r>
    </w:p>
    <w:p w14:paraId="7A128881">
      <w:pPr>
        <w:widowControl/>
        <w:spacing w:line="360" w:lineRule="auto"/>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1.1本技术文件适用于</w:t>
      </w:r>
      <w:r>
        <w:rPr>
          <w:rFonts w:hint="eastAsia" w:ascii="宋体" w:hAnsi="宋体" w:eastAsia="宋体" w:cs="宋体"/>
          <w:b w:val="0"/>
          <w:bCs w:val="0"/>
          <w:kern w:val="0"/>
          <w:sz w:val="21"/>
          <w:szCs w:val="21"/>
          <w:lang w:val="en-US" w:eastAsia="zh-CN"/>
        </w:rPr>
        <w:t>平顶山姚孟发电有限责任公司</w:t>
      </w:r>
      <w:r>
        <w:rPr>
          <w:rFonts w:hint="eastAsia" w:ascii="宋体" w:hAnsi="宋体" w:eastAsia="宋体" w:cs="宋体"/>
          <w:b w:val="0"/>
          <w:bCs w:val="0"/>
          <w:kern w:val="0"/>
          <w:sz w:val="21"/>
          <w:szCs w:val="21"/>
        </w:rPr>
        <w:t>500kV侧电压互感器采购工作，它提出了该设备的功能设计、结构、性能、安装和试验等方面的技术要求。</w:t>
      </w:r>
    </w:p>
    <w:p w14:paraId="79F2183A">
      <w:pPr>
        <w:widowControl/>
        <w:spacing w:line="360" w:lineRule="auto"/>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1.2 招标方在本招标文件中提出了最低限度的技术要求，并未规定所有的技术要求和适用的标准，投标人应提供一套满足本招标文件和所列标准要求的高质量产品及其相应服务。</w:t>
      </w:r>
    </w:p>
    <w:p w14:paraId="6370EA31">
      <w:pPr>
        <w:widowControl/>
        <w:spacing w:line="360" w:lineRule="auto"/>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1.3 投标人如对本招标文件有偏差(无论多少或微小)都必须清楚地表示在本招标文件的提出。否则招标人将认为投标人完全接受和同意本招标文件的要求。</w:t>
      </w:r>
    </w:p>
    <w:p w14:paraId="49561E97">
      <w:pPr>
        <w:widowControl/>
        <w:spacing w:line="360" w:lineRule="auto"/>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1.4本工程采用kkS标识系统。投标方在中标后提供的技术资料（包括图纸）和设备标识必须有kkS编码。</w:t>
      </w:r>
    </w:p>
    <w:p w14:paraId="5E865DD0">
      <w:pPr>
        <w:widowControl/>
        <w:spacing w:line="360" w:lineRule="auto"/>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1.5投标方提供的产品应满足电网最新运行标准要求，否则，招标方有权要求投标方更换投标方所提供的产品。</w:t>
      </w:r>
    </w:p>
    <w:p w14:paraId="0392F19F">
      <w:pPr>
        <w:widowControl/>
        <w:spacing w:line="360" w:lineRule="auto"/>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1.6由于本次采购电压互感器的安装位置是在原电压互感器基础上进行安装，投标方必须在投标前进行现场电压互感器安装位置及相间距离进行测绘，保证提供的电压互感器及附件满足现场安装要求，如因投标方现场测绘问题造成所提供的电压互感器无法进行安装，一切后果由投标方承担。</w:t>
      </w:r>
    </w:p>
    <w:p w14:paraId="6235A72F">
      <w:pPr>
        <w:widowControl/>
        <w:spacing w:line="360" w:lineRule="auto"/>
        <w:jc w:val="left"/>
        <w:rPr>
          <w:rFonts w:hint="eastAsia" w:ascii="宋体" w:hAnsi="宋体" w:eastAsia="宋体" w:cs="宋体"/>
          <w:b w:val="0"/>
          <w:bCs w:val="0"/>
          <w:kern w:val="0"/>
          <w:sz w:val="21"/>
          <w:szCs w:val="21"/>
          <w:highlight w:val="yellow"/>
        </w:rPr>
      </w:pPr>
      <w:r>
        <w:rPr>
          <w:rFonts w:hint="eastAsia" w:ascii="宋体" w:hAnsi="宋体" w:eastAsia="宋体" w:cs="宋体"/>
          <w:b w:val="0"/>
          <w:bCs w:val="0"/>
          <w:kern w:val="0"/>
          <w:sz w:val="21"/>
          <w:szCs w:val="21"/>
          <w:highlight w:val="yellow"/>
        </w:rPr>
        <w:t>1</w:t>
      </w:r>
      <w:r>
        <w:rPr>
          <w:rFonts w:hint="eastAsia" w:ascii="宋体" w:hAnsi="宋体" w:eastAsia="宋体" w:cs="宋体"/>
          <w:b w:val="0"/>
          <w:bCs w:val="0"/>
          <w:kern w:val="0"/>
          <w:sz w:val="21"/>
          <w:szCs w:val="21"/>
          <w:highlight w:val="yellow"/>
          <w:lang w:val="en-US" w:eastAsia="zh-CN"/>
        </w:rPr>
        <w:t>.7</w:t>
      </w:r>
      <w:r>
        <w:rPr>
          <w:rFonts w:hint="eastAsia" w:ascii="宋体" w:hAnsi="宋体" w:eastAsia="宋体" w:cs="宋体"/>
          <w:b w:val="0"/>
          <w:bCs w:val="0"/>
          <w:kern w:val="0"/>
          <w:sz w:val="21"/>
          <w:szCs w:val="21"/>
          <w:highlight w:val="yellow"/>
        </w:rPr>
        <w:t>本标段接受代理商投标，但是代理商必须有产品生产厂家正式授权。</w:t>
      </w:r>
    </w:p>
    <w:p w14:paraId="6ED961B1">
      <w:pPr>
        <w:widowControl/>
        <w:spacing w:line="360" w:lineRule="auto"/>
        <w:jc w:val="left"/>
        <w:rPr>
          <w:rFonts w:hint="eastAsia" w:ascii="宋体" w:hAnsi="宋体" w:eastAsia="宋体" w:cs="宋体"/>
          <w:b w:val="0"/>
          <w:bCs w:val="0"/>
          <w:kern w:val="0"/>
          <w:sz w:val="21"/>
          <w:szCs w:val="21"/>
          <w:highlight w:val="yellow"/>
        </w:rPr>
      </w:pPr>
      <w:r>
        <w:rPr>
          <w:rFonts w:hint="eastAsia" w:ascii="宋体" w:hAnsi="宋体" w:eastAsia="宋体" w:cs="宋体"/>
          <w:b w:val="0"/>
          <w:bCs w:val="0"/>
          <w:kern w:val="0"/>
          <w:sz w:val="21"/>
          <w:szCs w:val="21"/>
          <w:highlight w:val="yellow"/>
        </w:rPr>
        <w:t>1.</w:t>
      </w:r>
      <w:r>
        <w:rPr>
          <w:rFonts w:hint="eastAsia" w:ascii="宋体" w:hAnsi="宋体" w:eastAsia="宋体" w:cs="宋体"/>
          <w:b w:val="0"/>
          <w:bCs w:val="0"/>
          <w:kern w:val="0"/>
          <w:sz w:val="21"/>
          <w:szCs w:val="21"/>
          <w:highlight w:val="yellow"/>
          <w:lang w:val="en-US" w:eastAsia="zh-CN"/>
        </w:rPr>
        <w:t>8</w:t>
      </w:r>
      <w:r>
        <w:rPr>
          <w:rFonts w:hint="eastAsia" w:ascii="宋体" w:hAnsi="宋体" w:eastAsia="宋体" w:cs="宋体"/>
          <w:b w:val="0"/>
          <w:bCs w:val="0"/>
          <w:kern w:val="0"/>
          <w:sz w:val="21"/>
          <w:szCs w:val="21"/>
          <w:highlight w:val="yellow"/>
        </w:rPr>
        <w:t>投标方应提供近5年（2019.5</w:t>
      </w:r>
      <w:r>
        <w:rPr>
          <w:rFonts w:hint="eastAsia" w:ascii="宋体" w:hAnsi="宋体" w:eastAsia="宋体" w:cs="宋体"/>
          <w:b w:val="0"/>
          <w:bCs w:val="0"/>
          <w:kern w:val="0"/>
          <w:sz w:val="21"/>
          <w:szCs w:val="21"/>
          <w:highlight w:val="yellow"/>
          <w:lang w:val="en-US" w:eastAsia="zh-CN"/>
        </w:rPr>
        <w:t>至投标截止日</w:t>
      </w:r>
      <w:r>
        <w:rPr>
          <w:rFonts w:hint="eastAsia" w:ascii="宋体" w:hAnsi="宋体" w:eastAsia="宋体" w:cs="宋体"/>
          <w:b w:val="0"/>
          <w:bCs w:val="0"/>
          <w:kern w:val="0"/>
          <w:sz w:val="21"/>
          <w:szCs w:val="21"/>
          <w:highlight w:val="yellow"/>
        </w:rPr>
        <w:t>）内应具有至少2个500kV变电站电压等级及以上电压互感器供货业绩,投标人须随投标文件同时提供相关合同的复印件（封面、主要内容、技术协议、签字页等）以证明投标人满足招标业绩要求。</w:t>
      </w:r>
    </w:p>
    <w:p w14:paraId="701B6458">
      <w:pPr>
        <w:widowControl/>
        <w:spacing w:line="360" w:lineRule="auto"/>
        <w:jc w:val="left"/>
        <w:rPr>
          <w:rFonts w:hint="eastAsia" w:ascii="宋体" w:hAnsi="宋体" w:eastAsia="宋体" w:cs="宋体"/>
          <w:b/>
          <w:bCs/>
          <w:kern w:val="0"/>
          <w:sz w:val="21"/>
          <w:szCs w:val="21"/>
        </w:rPr>
      </w:pPr>
      <w:bookmarkStart w:id="27" w:name="_Toc525094032"/>
      <w:bookmarkStart w:id="28" w:name="_Toc529353961"/>
      <w:r>
        <w:rPr>
          <w:rFonts w:hint="eastAsia" w:ascii="宋体" w:hAnsi="宋体" w:eastAsia="宋体" w:cs="宋体"/>
          <w:b/>
          <w:bCs/>
          <w:kern w:val="44"/>
          <w:sz w:val="21"/>
          <w:szCs w:val="21"/>
        </w:rPr>
        <w:t xml:space="preserve">2 </w:t>
      </w:r>
      <w:bookmarkStart w:id="29" w:name="_Hlt525094029"/>
      <w:bookmarkEnd w:id="29"/>
      <w:r>
        <w:rPr>
          <w:rFonts w:hint="eastAsia" w:ascii="宋体" w:hAnsi="宋体" w:eastAsia="宋体" w:cs="宋体"/>
          <w:b/>
          <w:bCs/>
          <w:kern w:val="44"/>
          <w:sz w:val="21"/>
          <w:szCs w:val="21"/>
        </w:rPr>
        <w:t>工程概况</w:t>
      </w:r>
      <w:bookmarkEnd w:id="27"/>
      <w:bookmarkEnd w:id="28"/>
    </w:p>
    <w:p w14:paraId="7FA5697E">
      <w:pPr>
        <w:widowControl/>
        <w:spacing w:line="360" w:lineRule="auto"/>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系统概况见表</w:t>
      </w:r>
    </w:p>
    <w:tbl>
      <w:tblPr>
        <w:tblStyle w:val="62"/>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00"/>
        <w:gridCol w:w="1318"/>
        <w:gridCol w:w="1482"/>
        <w:gridCol w:w="1324"/>
        <w:gridCol w:w="1350"/>
        <w:gridCol w:w="1223"/>
        <w:gridCol w:w="1120"/>
        <w:gridCol w:w="1298"/>
      </w:tblGrid>
      <w:tr w14:paraId="798EEA10">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900" w:type="dxa"/>
            <w:tcBorders>
              <w:top w:val="single" w:color="auto" w:sz="8" w:space="0"/>
              <w:left w:val="single" w:color="auto" w:sz="8" w:space="0"/>
              <w:bottom w:val="single" w:color="auto" w:sz="4" w:space="0"/>
              <w:right w:val="single" w:color="auto" w:sz="4" w:space="0"/>
            </w:tcBorders>
            <w:noWrap w:val="0"/>
            <w:vAlign w:val="top"/>
          </w:tcPr>
          <w:p w14:paraId="0D735630">
            <w:pPr>
              <w:widowControl/>
              <w:spacing w:before="40" w:after="40" w:line="24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编号</w:t>
            </w:r>
          </w:p>
        </w:tc>
        <w:tc>
          <w:tcPr>
            <w:tcW w:w="1318" w:type="dxa"/>
            <w:tcBorders>
              <w:top w:val="single" w:color="auto" w:sz="8" w:space="0"/>
              <w:left w:val="single" w:color="auto" w:sz="4" w:space="0"/>
              <w:bottom w:val="single" w:color="auto" w:sz="4" w:space="0"/>
              <w:right w:val="single" w:color="auto" w:sz="4" w:space="0"/>
            </w:tcBorders>
            <w:noWrap w:val="0"/>
            <w:vAlign w:val="top"/>
          </w:tcPr>
          <w:p w14:paraId="349C22FF">
            <w:pPr>
              <w:widowControl/>
              <w:spacing w:before="40" w:after="40" w:line="24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系统额定</w:t>
            </w:r>
          </w:p>
          <w:p w14:paraId="49BA4235">
            <w:pPr>
              <w:widowControl/>
              <w:spacing w:before="40" w:after="40" w:line="24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电压(kV)</w:t>
            </w:r>
          </w:p>
        </w:tc>
        <w:tc>
          <w:tcPr>
            <w:tcW w:w="1482" w:type="dxa"/>
            <w:tcBorders>
              <w:top w:val="single" w:color="auto" w:sz="8" w:space="0"/>
              <w:left w:val="single" w:color="auto" w:sz="4" w:space="0"/>
              <w:bottom w:val="single" w:color="auto" w:sz="4" w:space="0"/>
              <w:right w:val="single" w:color="auto" w:sz="4" w:space="0"/>
            </w:tcBorders>
            <w:noWrap w:val="0"/>
            <w:vAlign w:val="top"/>
          </w:tcPr>
          <w:p w14:paraId="649326BD">
            <w:pPr>
              <w:widowControl/>
              <w:spacing w:before="40" w:after="40" w:line="24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系统最高</w:t>
            </w:r>
          </w:p>
          <w:p w14:paraId="1AB6828A">
            <w:pPr>
              <w:widowControl/>
              <w:spacing w:before="40" w:after="40" w:line="24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运行电压(kV)</w:t>
            </w:r>
          </w:p>
        </w:tc>
        <w:tc>
          <w:tcPr>
            <w:tcW w:w="1324" w:type="dxa"/>
            <w:tcBorders>
              <w:top w:val="single" w:color="auto" w:sz="8" w:space="0"/>
              <w:left w:val="single" w:color="auto" w:sz="4" w:space="0"/>
              <w:bottom w:val="single" w:color="auto" w:sz="4" w:space="0"/>
              <w:right w:val="single" w:color="auto" w:sz="4" w:space="0"/>
            </w:tcBorders>
            <w:noWrap w:val="0"/>
            <w:vAlign w:val="top"/>
          </w:tcPr>
          <w:p w14:paraId="25ADFAE2">
            <w:pPr>
              <w:widowControl/>
              <w:spacing w:before="40" w:after="40" w:line="24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系统频率</w:t>
            </w:r>
          </w:p>
          <w:p w14:paraId="2A770063">
            <w:pPr>
              <w:widowControl/>
              <w:spacing w:before="40" w:after="40" w:line="24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(Hz)</w:t>
            </w:r>
          </w:p>
        </w:tc>
        <w:tc>
          <w:tcPr>
            <w:tcW w:w="1350" w:type="dxa"/>
            <w:tcBorders>
              <w:top w:val="single" w:color="auto" w:sz="8" w:space="0"/>
              <w:left w:val="single" w:color="auto" w:sz="4" w:space="0"/>
              <w:bottom w:val="single" w:color="auto" w:sz="4" w:space="0"/>
              <w:right w:val="single" w:color="auto" w:sz="4" w:space="0"/>
            </w:tcBorders>
            <w:noWrap w:val="0"/>
            <w:vAlign w:val="top"/>
          </w:tcPr>
          <w:p w14:paraId="3956E6FA">
            <w:pPr>
              <w:widowControl/>
              <w:spacing w:before="40" w:after="40" w:line="24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系统中性点</w:t>
            </w:r>
          </w:p>
          <w:p w14:paraId="6A600C5A">
            <w:pPr>
              <w:widowControl/>
              <w:spacing w:before="40" w:after="40" w:line="24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接地方式</w:t>
            </w:r>
          </w:p>
        </w:tc>
        <w:tc>
          <w:tcPr>
            <w:tcW w:w="1223" w:type="dxa"/>
            <w:tcBorders>
              <w:top w:val="single" w:color="auto" w:sz="8" w:space="0"/>
              <w:left w:val="single" w:color="auto" w:sz="4" w:space="0"/>
              <w:bottom w:val="single" w:color="auto" w:sz="4" w:space="0"/>
              <w:right w:val="single" w:color="auto" w:sz="4" w:space="0"/>
            </w:tcBorders>
            <w:noWrap w:val="0"/>
            <w:vAlign w:val="top"/>
          </w:tcPr>
          <w:p w14:paraId="4C904886">
            <w:pPr>
              <w:widowControl/>
              <w:spacing w:before="40" w:after="40" w:line="24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系统短路</w:t>
            </w:r>
          </w:p>
          <w:p w14:paraId="594CF22B">
            <w:pPr>
              <w:widowControl/>
              <w:spacing w:before="40" w:after="40" w:line="24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水平(kA)</w:t>
            </w:r>
          </w:p>
        </w:tc>
        <w:tc>
          <w:tcPr>
            <w:tcW w:w="1120" w:type="dxa"/>
            <w:tcBorders>
              <w:top w:val="single" w:color="auto" w:sz="8" w:space="0"/>
              <w:left w:val="single" w:color="auto" w:sz="4" w:space="0"/>
              <w:bottom w:val="single" w:color="auto" w:sz="4" w:space="0"/>
              <w:right w:val="single" w:color="auto" w:sz="4" w:space="0"/>
            </w:tcBorders>
            <w:noWrap w:val="0"/>
            <w:vAlign w:val="top"/>
          </w:tcPr>
          <w:p w14:paraId="7F4F3778">
            <w:pPr>
              <w:widowControl/>
              <w:spacing w:before="40" w:after="40" w:line="24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设备相间距离(mm)</w:t>
            </w:r>
          </w:p>
        </w:tc>
        <w:tc>
          <w:tcPr>
            <w:tcW w:w="1298" w:type="dxa"/>
            <w:tcBorders>
              <w:top w:val="single" w:color="auto" w:sz="8" w:space="0"/>
              <w:left w:val="single" w:color="auto" w:sz="4" w:space="0"/>
              <w:bottom w:val="single" w:color="auto" w:sz="4" w:space="0"/>
              <w:right w:val="single" w:color="auto" w:sz="8" w:space="0"/>
            </w:tcBorders>
            <w:noWrap w:val="0"/>
            <w:vAlign w:val="center"/>
          </w:tcPr>
          <w:p w14:paraId="6F08B237">
            <w:pPr>
              <w:widowControl/>
              <w:spacing w:before="40" w:after="40" w:line="24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备   注</w:t>
            </w:r>
          </w:p>
        </w:tc>
      </w:tr>
      <w:tr w14:paraId="6AC7EB73">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900" w:type="dxa"/>
            <w:tcBorders>
              <w:top w:val="single" w:color="auto" w:sz="4" w:space="0"/>
              <w:left w:val="single" w:color="auto" w:sz="8" w:space="0"/>
              <w:bottom w:val="single" w:color="auto" w:sz="4" w:space="0"/>
              <w:right w:val="single" w:color="auto" w:sz="4" w:space="0"/>
            </w:tcBorders>
            <w:noWrap w:val="0"/>
            <w:vAlign w:val="top"/>
          </w:tcPr>
          <w:p w14:paraId="125B2032">
            <w:pPr>
              <w:widowControl/>
              <w:spacing w:before="40" w:after="40" w:line="24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w:t>
            </w:r>
          </w:p>
        </w:tc>
        <w:tc>
          <w:tcPr>
            <w:tcW w:w="1318" w:type="dxa"/>
            <w:tcBorders>
              <w:top w:val="single" w:color="auto" w:sz="4" w:space="0"/>
              <w:left w:val="single" w:color="auto" w:sz="4" w:space="0"/>
              <w:bottom w:val="single" w:color="auto" w:sz="4" w:space="0"/>
              <w:right w:val="single" w:color="auto" w:sz="4" w:space="0"/>
            </w:tcBorders>
            <w:noWrap w:val="0"/>
            <w:vAlign w:val="top"/>
          </w:tcPr>
          <w:p w14:paraId="6D61737A">
            <w:pPr>
              <w:widowControl/>
              <w:spacing w:before="40" w:after="40" w:line="24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550</w:t>
            </w:r>
          </w:p>
        </w:tc>
        <w:tc>
          <w:tcPr>
            <w:tcW w:w="1482" w:type="dxa"/>
            <w:tcBorders>
              <w:top w:val="single" w:color="auto" w:sz="4" w:space="0"/>
              <w:left w:val="single" w:color="auto" w:sz="4" w:space="0"/>
              <w:bottom w:val="single" w:color="auto" w:sz="4" w:space="0"/>
              <w:right w:val="single" w:color="auto" w:sz="4" w:space="0"/>
            </w:tcBorders>
            <w:noWrap w:val="0"/>
            <w:vAlign w:val="top"/>
          </w:tcPr>
          <w:p w14:paraId="08EBD29C">
            <w:pPr>
              <w:widowControl/>
              <w:spacing w:before="40" w:after="40" w:line="24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550</w:t>
            </w:r>
          </w:p>
        </w:tc>
        <w:tc>
          <w:tcPr>
            <w:tcW w:w="1324" w:type="dxa"/>
            <w:tcBorders>
              <w:top w:val="single" w:color="auto" w:sz="4" w:space="0"/>
              <w:left w:val="single" w:color="auto" w:sz="4" w:space="0"/>
              <w:bottom w:val="single" w:color="auto" w:sz="4" w:space="0"/>
              <w:right w:val="single" w:color="auto" w:sz="4" w:space="0"/>
            </w:tcBorders>
            <w:noWrap w:val="0"/>
            <w:vAlign w:val="top"/>
          </w:tcPr>
          <w:p w14:paraId="3CE582EB">
            <w:pPr>
              <w:widowControl/>
              <w:spacing w:before="40" w:after="40" w:line="24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50</w:t>
            </w:r>
          </w:p>
        </w:tc>
        <w:tc>
          <w:tcPr>
            <w:tcW w:w="1350" w:type="dxa"/>
            <w:tcBorders>
              <w:top w:val="single" w:color="auto" w:sz="4" w:space="0"/>
              <w:left w:val="single" w:color="auto" w:sz="4" w:space="0"/>
              <w:bottom w:val="single" w:color="auto" w:sz="4" w:space="0"/>
              <w:right w:val="single" w:color="auto" w:sz="4" w:space="0"/>
            </w:tcBorders>
            <w:noWrap w:val="0"/>
            <w:vAlign w:val="top"/>
          </w:tcPr>
          <w:p w14:paraId="38FCA8BD">
            <w:pPr>
              <w:widowControl/>
              <w:spacing w:before="40" w:after="40" w:line="24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直接接地</w:t>
            </w:r>
          </w:p>
        </w:tc>
        <w:tc>
          <w:tcPr>
            <w:tcW w:w="1223" w:type="dxa"/>
            <w:tcBorders>
              <w:top w:val="single" w:color="auto" w:sz="4" w:space="0"/>
              <w:left w:val="single" w:color="auto" w:sz="4" w:space="0"/>
              <w:bottom w:val="single" w:color="auto" w:sz="4" w:space="0"/>
              <w:right w:val="single" w:color="auto" w:sz="4" w:space="0"/>
            </w:tcBorders>
            <w:noWrap w:val="0"/>
            <w:vAlign w:val="top"/>
          </w:tcPr>
          <w:p w14:paraId="16425A01">
            <w:pPr>
              <w:widowControl/>
              <w:spacing w:before="40" w:after="40" w:line="24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63</w:t>
            </w:r>
          </w:p>
        </w:tc>
        <w:tc>
          <w:tcPr>
            <w:tcW w:w="1120" w:type="dxa"/>
            <w:tcBorders>
              <w:top w:val="single" w:color="auto" w:sz="4" w:space="0"/>
              <w:left w:val="single" w:color="auto" w:sz="4" w:space="0"/>
              <w:bottom w:val="single" w:color="auto" w:sz="4" w:space="0"/>
              <w:right w:val="single" w:color="auto" w:sz="4" w:space="0"/>
            </w:tcBorders>
            <w:noWrap w:val="0"/>
            <w:vAlign w:val="top"/>
          </w:tcPr>
          <w:p w14:paraId="30B8A8EB">
            <w:pPr>
              <w:widowControl/>
              <w:spacing w:before="40" w:after="40" w:line="240" w:lineRule="auto"/>
              <w:jc w:val="center"/>
              <w:rPr>
                <w:rFonts w:hint="eastAsia" w:ascii="宋体" w:hAnsi="宋体" w:eastAsia="宋体" w:cs="宋体"/>
                <w:b w:val="0"/>
                <w:bCs w:val="0"/>
                <w:kern w:val="0"/>
                <w:sz w:val="21"/>
                <w:szCs w:val="21"/>
              </w:rPr>
            </w:pPr>
          </w:p>
        </w:tc>
        <w:tc>
          <w:tcPr>
            <w:tcW w:w="1298" w:type="dxa"/>
            <w:tcBorders>
              <w:top w:val="single" w:color="auto" w:sz="4" w:space="0"/>
              <w:left w:val="single" w:color="auto" w:sz="4" w:space="0"/>
              <w:bottom w:val="single" w:color="auto" w:sz="4" w:space="0"/>
              <w:right w:val="single" w:color="auto" w:sz="8" w:space="0"/>
            </w:tcBorders>
            <w:noWrap w:val="0"/>
            <w:vAlign w:val="top"/>
          </w:tcPr>
          <w:p w14:paraId="32BB719B">
            <w:pPr>
              <w:widowControl/>
              <w:spacing w:before="40" w:after="40" w:line="240" w:lineRule="auto"/>
              <w:jc w:val="center"/>
              <w:rPr>
                <w:rFonts w:hint="eastAsia" w:ascii="宋体" w:hAnsi="宋体" w:eastAsia="宋体" w:cs="宋体"/>
                <w:b w:val="0"/>
                <w:bCs w:val="0"/>
                <w:kern w:val="0"/>
                <w:sz w:val="21"/>
                <w:szCs w:val="21"/>
              </w:rPr>
            </w:pPr>
          </w:p>
        </w:tc>
      </w:tr>
    </w:tbl>
    <w:p w14:paraId="088E4C62">
      <w:pPr>
        <w:keepNext/>
        <w:keepLines/>
        <w:widowControl/>
        <w:adjustRightInd w:val="0"/>
        <w:spacing w:before="260" w:after="260" w:line="240" w:lineRule="auto"/>
        <w:jc w:val="left"/>
        <w:textAlignment w:val="baseline"/>
        <w:outlineLvl w:val="1"/>
        <w:rPr>
          <w:rFonts w:hint="eastAsia" w:ascii="宋体" w:hAnsi="宋体" w:eastAsia="宋体" w:cs="宋体"/>
          <w:b/>
          <w:bCs/>
          <w:kern w:val="44"/>
          <w:sz w:val="21"/>
          <w:szCs w:val="21"/>
        </w:rPr>
      </w:pPr>
      <w:r>
        <w:rPr>
          <w:rFonts w:hint="eastAsia" w:ascii="宋体" w:hAnsi="宋体" w:eastAsia="宋体" w:cs="宋体"/>
          <w:b/>
          <w:bCs/>
          <w:kern w:val="44"/>
          <w:sz w:val="21"/>
          <w:szCs w:val="21"/>
        </w:rPr>
        <w:t>3. 工程条件</w:t>
      </w:r>
    </w:p>
    <w:p w14:paraId="71854730">
      <w:pPr>
        <w:keepNext/>
        <w:keepLines/>
        <w:widowControl/>
        <w:adjustRightInd w:val="0"/>
        <w:spacing w:before="260" w:after="260" w:line="24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3.1   安装地点：</w:t>
      </w:r>
      <w:r>
        <w:rPr>
          <w:rFonts w:hint="eastAsia" w:ascii="宋体" w:hAnsi="宋体" w:eastAsia="宋体" w:cs="宋体"/>
          <w:b w:val="0"/>
          <w:bCs w:val="0"/>
          <w:kern w:val="0"/>
          <w:sz w:val="21"/>
          <w:szCs w:val="21"/>
        </w:rPr>
        <w:tab/>
      </w:r>
      <w:r>
        <w:rPr>
          <w:rFonts w:hint="eastAsia" w:ascii="宋体" w:hAnsi="宋体" w:eastAsia="宋体" w:cs="宋体"/>
          <w:b w:val="0"/>
          <w:bCs w:val="0"/>
          <w:kern w:val="0"/>
          <w:sz w:val="21"/>
          <w:szCs w:val="21"/>
        </w:rPr>
        <w:t>500kV变电站</w:t>
      </w:r>
      <w:r>
        <w:rPr>
          <w:rFonts w:hint="eastAsia" w:ascii="宋体" w:hAnsi="宋体" w:eastAsia="宋体" w:cs="宋体"/>
          <w:b w:val="0"/>
          <w:bCs w:val="0"/>
          <w:kern w:val="0"/>
          <w:sz w:val="21"/>
          <w:szCs w:val="21"/>
          <w:lang w:val="en-US" w:eastAsia="zh-CN"/>
        </w:rPr>
        <w:t xml:space="preserve">    </w:t>
      </w:r>
      <w:r>
        <w:rPr>
          <w:rFonts w:hint="eastAsia" w:ascii="宋体" w:hAnsi="宋体" w:eastAsia="宋体" w:cs="宋体"/>
          <w:b w:val="0"/>
          <w:bCs w:val="0"/>
          <w:kern w:val="0"/>
          <w:sz w:val="21"/>
          <w:szCs w:val="21"/>
        </w:rPr>
        <w:t>安装方式：户外</w:t>
      </w:r>
    </w:p>
    <w:p w14:paraId="0798AB8F">
      <w:pPr>
        <w:keepNext/>
        <w:keepLines/>
        <w:widowControl/>
        <w:adjustRightInd w:val="0"/>
        <w:spacing w:before="260" w:after="260" w:line="24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3.2 工程主要原始资料</w:t>
      </w:r>
    </w:p>
    <w:p w14:paraId="378EB371">
      <w:pPr>
        <w:widowControl/>
        <w:spacing w:line="360" w:lineRule="auto"/>
        <w:jc w:val="left"/>
        <w:rPr>
          <w:rFonts w:hint="eastAsia" w:ascii="宋体" w:hAnsi="宋体" w:eastAsia="宋体" w:cs="宋体"/>
          <w:b w:val="0"/>
          <w:bCs w:val="0"/>
          <w:kern w:val="0"/>
          <w:sz w:val="21"/>
          <w:szCs w:val="21"/>
        </w:rPr>
      </w:pPr>
      <w:bookmarkStart w:id="30" w:name="_Toc509641912"/>
      <w:bookmarkStart w:id="31" w:name="_Toc502159080"/>
      <w:bookmarkStart w:id="32" w:name="_Toc489343347"/>
      <w:bookmarkStart w:id="33" w:name="_Toc529353963"/>
      <w:r>
        <w:rPr>
          <w:rFonts w:hint="eastAsia" w:ascii="宋体" w:hAnsi="宋体" w:eastAsia="宋体" w:cs="宋体"/>
          <w:b w:val="0"/>
          <w:bCs w:val="0"/>
          <w:kern w:val="0"/>
          <w:sz w:val="21"/>
          <w:szCs w:val="21"/>
        </w:rPr>
        <w:t>3.2.1气象资料</w:t>
      </w:r>
    </w:p>
    <w:p w14:paraId="54ABA014">
      <w:pPr>
        <w:widowControl/>
        <w:spacing w:line="360" w:lineRule="auto"/>
        <w:ind w:firstLine="420" w:firstLineChars="20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 xml:space="preserve"> 电厂厂址多年主要气象要素如下：</w:t>
      </w:r>
    </w:p>
    <w:p w14:paraId="5A8B21E7">
      <w:pPr>
        <w:widowControl/>
        <w:snapToGrid w:val="0"/>
        <w:spacing w:line="360" w:lineRule="auto"/>
        <w:ind w:firstLine="63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历年平均气压</w:t>
      </w:r>
      <w:r>
        <w:rPr>
          <w:rFonts w:hint="eastAsia" w:ascii="宋体" w:hAnsi="宋体" w:eastAsia="宋体" w:cs="宋体"/>
          <w:b w:val="0"/>
          <w:bCs w:val="0"/>
          <w:kern w:val="0"/>
          <w:sz w:val="21"/>
          <w:szCs w:val="21"/>
        </w:rPr>
        <w:tab/>
      </w:r>
      <w:r>
        <w:rPr>
          <w:rFonts w:hint="eastAsia" w:ascii="宋体" w:hAnsi="宋体" w:eastAsia="宋体" w:cs="宋体"/>
          <w:b w:val="0"/>
          <w:bCs w:val="0"/>
          <w:kern w:val="0"/>
          <w:sz w:val="21"/>
          <w:szCs w:val="21"/>
        </w:rPr>
        <w:tab/>
      </w:r>
      <w:r>
        <w:rPr>
          <w:rFonts w:hint="eastAsia" w:ascii="宋体" w:hAnsi="宋体" w:eastAsia="宋体" w:cs="宋体"/>
          <w:b w:val="0"/>
          <w:bCs w:val="0"/>
          <w:kern w:val="0"/>
          <w:sz w:val="21"/>
          <w:szCs w:val="21"/>
        </w:rPr>
        <w:tab/>
      </w:r>
      <w:r>
        <w:rPr>
          <w:rFonts w:hint="eastAsia" w:ascii="宋体" w:hAnsi="宋体" w:eastAsia="宋体" w:cs="宋体"/>
          <w:b w:val="0"/>
          <w:bCs w:val="0"/>
          <w:kern w:val="0"/>
          <w:sz w:val="21"/>
          <w:szCs w:val="21"/>
        </w:rPr>
        <w:t>1006.7hpa</w:t>
      </w:r>
    </w:p>
    <w:p w14:paraId="2E3442AC">
      <w:pPr>
        <w:widowControl/>
        <w:snapToGrid w:val="0"/>
        <w:spacing w:line="360" w:lineRule="auto"/>
        <w:ind w:firstLine="63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历年平均气温</w:t>
      </w:r>
      <w:r>
        <w:rPr>
          <w:rFonts w:hint="eastAsia" w:ascii="宋体" w:hAnsi="宋体" w:eastAsia="宋体" w:cs="宋体"/>
          <w:b w:val="0"/>
          <w:bCs w:val="0"/>
          <w:kern w:val="0"/>
          <w:sz w:val="21"/>
          <w:szCs w:val="21"/>
        </w:rPr>
        <w:tab/>
      </w:r>
      <w:r>
        <w:rPr>
          <w:rFonts w:hint="eastAsia" w:ascii="宋体" w:hAnsi="宋体" w:eastAsia="宋体" w:cs="宋体"/>
          <w:b w:val="0"/>
          <w:bCs w:val="0"/>
          <w:kern w:val="0"/>
          <w:sz w:val="21"/>
          <w:szCs w:val="21"/>
        </w:rPr>
        <w:tab/>
      </w:r>
      <w:r>
        <w:rPr>
          <w:rFonts w:hint="eastAsia" w:ascii="宋体" w:hAnsi="宋体" w:eastAsia="宋体" w:cs="宋体"/>
          <w:b w:val="0"/>
          <w:bCs w:val="0"/>
          <w:kern w:val="0"/>
          <w:sz w:val="21"/>
          <w:szCs w:val="21"/>
        </w:rPr>
        <w:tab/>
      </w:r>
      <w:r>
        <w:rPr>
          <w:rFonts w:hint="eastAsia" w:ascii="宋体" w:hAnsi="宋体" w:eastAsia="宋体" w:cs="宋体"/>
          <w:b w:val="0"/>
          <w:bCs w:val="0"/>
          <w:kern w:val="0"/>
          <w:sz w:val="21"/>
          <w:szCs w:val="21"/>
        </w:rPr>
        <w:t>15℃</w:t>
      </w:r>
    </w:p>
    <w:p w14:paraId="3D2EDE5B">
      <w:pPr>
        <w:widowControl/>
        <w:snapToGrid w:val="0"/>
        <w:spacing w:line="360" w:lineRule="auto"/>
        <w:ind w:firstLine="63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极端最高气温</w:t>
      </w:r>
      <w:r>
        <w:rPr>
          <w:rFonts w:hint="eastAsia" w:ascii="宋体" w:hAnsi="宋体" w:eastAsia="宋体" w:cs="宋体"/>
          <w:b w:val="0"/>
          <w:bCs w:val="0"/>
          <w:kern w:val="0"/>
          <w:sz w:val="21"/>
          <w:szCs w:val="21"/>
        </w:rPr>
        <w:tab/>
      </w:r>
      <w:r>
        <w:rPr>
          <w:rFonts w:hint="eastAsia" w:ascii="宋体" w:hAnsi="宋体" w:eastAsia="宋体" w:cs="宋体"/>
          <w:b w:val="0"/>
          <w:bCs w:val="0"/>
          <w:kern w:val="0"/>
          <w:sz w:val="21"/>
          <w:szCs w:val="21"/>
        </w:rPr>
        <w:tab/>
      </w:r>
      <w:r>
        <w:rPr>
          <w:rFonts w:hint="eastAsia" w:ascii="宋体" w:hAnsi="宋体" w:eastAsia="宋体" w:cs="宋体"/>
          <w:b w:val="0"/>
          <w:bCs w:val="0"/>
          <w:kern w:val="0"/>
          <w:sz w:val="21"/>
          <w:szCs w:val="21"/>
        </w:rPr>
        <w:tab/>
      </w:r>
      <w:r>
        <w:rPr>
          <w:rFonts w:hint="eastAsia" w:ascii="宋体" w:hAnsi="宋体" w:eastAsia="宋体" w:cs="宋体"/>
          <w:b w:val="0"/>
          <w:bCs w:val="0"/>
          <w:kern w:val="0"/>
          <w:sz w:val="21"/>
          <w:szCs w:val="21"/>
        </w:rPr>
        <w:t>42.6℃</w:t>
      </w:r>
    </w:p>
    <w:p w14:paraId="34D3A146">
      <w:pPr>
        <w:widowControl/>
        <w:snapToGrid w:val="0"/>
        <w:spacing w:line="360" w:lineRule="auto"/>
        <w:ind w:firstLine="63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极端最低气温</w:t>
      </w:r>
      <w:r>
        <w:rPr>
          <w:rFonts w:hint="eastAsia" w:ascii="宋体" w:hAnsi="宋体" w:eastAsia="宋体" w:cs="宋体"/>
          <w:b w:val="0"/>
          <w:bCs w:val="0"/>
          <w:kern w:val="0"/>
          <w:sz w:val="21"/>
          <w:szCs w:val="21"/>
        </w:rPr>
        <w:tab/>
      </w:r>
      <w:r>
        <w:rPr>
          <w:rFonts w:hint="eastAsia" w:ascii="宋体" w:hAnsi="宋体" w:eastAsia="宋体" w:cs="宋体"/>
          <w:b w:val="0"/>
          <w:bCs w:val="0"/>
          <w:kern w:val="0"/>
          <w:sz w:val="21"/>
          <w:szCs w:val="21"/>
        </w:rPr>
        <w:tab/>
      </w:r>
      <w:r>
        <w:rPr>
          <w:rFonts w:hint="eastAsia" w:ascii="宋体" w:hAnsi="宋体" w:eastAsia="宋体" w:cs="宋体"/>
          <w:b w:val="0"/>
          <w:bCs w:val="0"/>
          <w:kern w:val="0"/>
          <w:sz w:val="21"/>
          <w:szCs w:val="21"/>
        </w:rPr>
        <w:tab/>
      </w:r>
      <w:r>
        <w:rPr>
          <w:rFonts w:hint="eastAsia" w:ascii="宋体" w:hAnsi="宋体" w:eastAsia="宋体" w:cs="宋体"/>
          <w:b w:val="0"/>
          <w:bCs w:val="0"/>
          <w:kern w:val="0"/>
          <w:sz w:val="21"/>
          <w:szCs w:val="21"/>
        </w:rPr>
        <w:t>-18.8℃</w:t>
      </w:r>
    </w:p>
    <w:p w14:paraId="0DCCFA79">
      <w:pPr>
        <w:widowControl/>
        <w:snapToGrid w:val="0"/>
        <w:spacing w:line="360" w:lineRule="auto"/>
        <w:ind w:firstLine="63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历年平均相对湿度</w:t>
      </w:r>
      <w:r>
        <w:rPr>
          <w:rFonts w:hint="eastAsia" w:ascii="宋体" w:hAnsi="宋体" w:eastAsia="宋体" w:cs="宋体"/>
          <w:b w:val="0"/>
          <w:bCs w:val="0"/>
          <w:kern w:val="0"/>
          <w:sz w:val="21"/>
          <w:szCs w:val="21"/>
        </w:rPr>
        <w:tab/>
      </w:r>
      <w:r>
        <w:rPr>
          <w:rFonts w:hint="eastAsia" w:ascii="宋体" w:hAnsi="宋体" w:eastAsia="宋体" w:cs="宋体"/>
          <w:b w:val="0"/>
          <w:bCs w:val="0"/>
          <w:kern w:val="0"/>
          <w:sz w:val="21"/>
          <w:szCs w:val="21"/>
        </w:rPr>
        <w:tab/>
      </w:r>
      <w:r>
        <w:rPr>
          <w:rFonts w:hint="eastAsia" w:ascii="宋体" w:hAnsi="宋体" w:eastAsia="宋体" w:cs="宋体"/>
          <w:b w:val="0"/>
          <w:bCs w:val="0"/>
          <w:kern w:val="0"/>
          <w:sz w:val="21"/>
          <w:szCs w:val="21"/>
        </w:rPr>
        <w:t>67%</w:t>
      </w:r>
    </w:p>
    <w:p w14:paraId="7CA1D5FA">
      <w:pPr>
        <w:widowControl/>
        <w:snapToGrid w:val="0"/>
        <w:spacing w:line="360" w:lineRule="auto"/>
        <w:ind w:firstLine="63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历年平均年降水量</w:t>
      </w:r>
      <w:r>
        <w:rPr>
          <w:rFonts w:hint="eastAsia" w:ascii="宋体" w:hAnsi="宋体" w:eastAsia="宋体" w:cs="宋体"/>
          <w:b w:val="0"/>
          <w:bCs w:val="0"/>
          <w:kern w:val="0"/>
          <w:sz w:val="21"/>
          <w:szCs w:val="21"/>
        </w:rPr>
        <w:tab/>
      </w:r>
      <w:r>
        <w:rPr>
          <w:rFonts w:hint="eastAsia" w:ascii="宋体" w:hAnsi="宋体" w:eastAsia="宋体" w:cs="宋体"/>
          <w:b w:val="0"/>
          <w:bCs w:val="0"/>
          <w:kern w:val="0"/>
          <w:sz w:val="21"/>
          <w:szCs w:val="21"/>
        </w:rPr>
        <w:t xml:space="preserve">      742.4mm</w:t>
      </w:r>
    </w:p>
    <w:p w14:paraId="61111A7B">
      <w:pPr>
        <w:widowControl/>
        <w:snapToGrid w:val="0"/>
        <w:spacing w:line="360" w:lineRule="auto"/>
        <w:ind w:firstLine="63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历年最大年降水量</w:t>
      </w:r>
      <w:r>
        <w:rPr>
          <w:rFonts w:hint="eastAsia" w:ascii="宋体" w:hAnsi="宋体" w:eastAsia="宋体" w:cs="宋体"/>
          <w:b w:val="0"/>
          <w:bCs w:val="0"/>
          <w:kern w:val="0"/>
          <w:sz w:val="21"/>
          <w:szCs w:val="21"/>
        </w:rPr>
        <w:tab/>
      </w:r>
      <w:r>
        <w:rPr>
          <w:rFonts w:hint="eastAsia" w:ascii="宋体" w:hAnsi="宋体" w:eastAsia="宋体" w:cs="宋体"/>
          <w:b w:val="0"/>
          <w:bCs w:val="0"/>
          <w:kern w:val="0"/>
          <w:sz w:val="21"/>
          <w:szCs w:val="21"/>
        </w:rPr>
        <w:tab/>
      </w:r>
      <w:r>
        <w:rPr>
          <w:rFonts w:hint="eastAsia" w:ascii="宋体" w:hAnsi="宋体" w:eastAsia="宋体" w:cs="宋体"/>
          <w:b w:val="0"/>
          <w:bCs w:val="0"/>
          <w:kern w:val="0"/>
          <w:sz w:val="21"/>
          <w:szCs w:val="21"/>
        </w:rPr>
        <w:t>1323.6mm</w:t>
      </w:r>
    </w:p>
    <w:p w14:paraId="48B9B366">
      <w:pPr>
        <w:widowControl/>
        <w:snapToGrid w:val="0"/>
        <w:spacing w:line="360" w:lineRule="auto"/>
        <w:ind w:firstLine="63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历年最小年降水量</w:t>
      </w:r>
      <w:r>
        <w:rPr>
          <w:rFonts w:hint="eastAsia" w:ascii="宋体" w:hAnsi="宋体" w:eastAsia="宋体" w:cs="宋体"/>
          <w:b w:val="0"/>
          <w:bCs w:val="0"/>
          <w:kern w:val="0"/>
          <w:sz w:val="21"/>
          <w:szCs w:val="21"/>
        </w:rPr>
        <w:tab/>
      </w:r>
      <w:r>
        <w:rPr>
          <w:rFonts w:hint="eastAsia" w:ascii="宋体" w:hAnsi="宋体" w:eastAsia="宋体" w:cs="宋体"/>
          <w:b w:val="0"/>
          <w:bCs w:val="0"/>
          <w:kern w:val="0"/>
          <w:sz w:val="21"/>
          <w:szCs w:val="21"/>
        </w:rPr>
        <w:tab/>
      </w:r>
      <w:r>
        <w:rPr>
          <w:rFonts w:hint="eastAsia" w:ascii="宋体" w:hAnsi="宋体" w:eastAsia="宋体" w:cs="宋体"/>
          <w:b w:val="0"/>
          <w:bCs w:val="0"/>
          <w:kern w:val="0"/>
          <w:sz w:val="21"/>
          <w:szCs w:val="21"/>
        </w:rPr>
        <w:t>373.9mm</w:t>
      </w:r>
    </w:p>
    <w:p w14:paraId="214CD29D">
      <w:pPr>
        <w:widowControl/>
        <w:snapToGrid w:val="0"/>
        <w:spacing w:line="360" w:lineRule="auto"/>
        <w:ind w:firstLine="63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历年最大积雪深度</w:t>
      </w:r>
      <w:r>
        <w:rPr>
          <w:rFonts w:hint="eastAsia" w:ascii="宋体" w:hAnsi="宋体" w:eastAsia="宋体" w:cs="宋体"/>
          <w:b w:val="0"/>
          <w:bCs w:val="0"/>
          <w:kern w:val="0"/>
          <w:sz w:val="21"/>
          <w:szCs w:val="21"/>
        </w:rPr>
        <w:tab/>
      </w:r>
      <w:r>
        <w:rPr>
          <w:rFonts w:hint="eastAsia" w:ascii="宋体" w:hAnsi="宋体" w:eastAsia="宋体" w:cs="宋体"/>
          <w:b w:val="0"/>
          <w:bCs w:val="0"/>
          <w:kern w:val="0"/>
          <w:sz w:val="21"/>
          <w:szCs w:val="21"/>
        </w:rPr>
        <w:tab/>
      </w:r>
      <w:r>
        <w:rPr>
          <w:rFonts w:hint="eastAsia" w:ascii="宋体" w:hAnsi="宋体" w:eastAsia="宋体" w:cs="宋体"/>
          <w:b w:val="0"/>
          <w:bCs w:val="0"/>
          <w:kern w:val="0"/>
          <w:sz w:val="21"/>
          <w:szCs w:val="21"/>
        </w:rPr>
        <w:t>22cm</w:t>
      </w:r>
    </w:p>
    <w:p w14:paraId="60253AD1">
      <w:pPr>
        <w:widowControl/>
        <w:snapToGrid w:val="0"/>
        <w:spacing w:line="360" w:lineRule="auto"/>
        <w:ind w:firstLine="63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土壤最大冻结深度</w:t>
      </w:r>
      <w:r>
        <w:rPr>
          <w:rFonts w:hint="eastAsia" w:ascii="宋体" w:hAnsi="宋体" w:eastAsia="宋体" w:cs="宋体"/>
          <w:b w:val="0"/>
          <w:bCs w:val="0"/>
          <w:kern w:val="0"/>
          <w:sz w:val="21"/>
          <w:szCs w:val="21"/>
        </w:rPr>
        <w:tab/>
      </w:r>
      <w:r>
        <w:rPr>
          <w:rFonts w:hint="eastAsia" w:ascii="宋体" w:hAnsi="宋体" w:eastAsia="宋体" w:cs="宋体"/>
          <w:b w:val="0"/>
          <w:bCs w:val="0"/>
          <w:kern w:val="0"/>
          <w:sz w:val="21"/>
          <w:szCs w:val="21"/>
        </w:rPr>
        <w:tab/>
      </w:r>
      <w:r>
        <w:rPr>
          <w:rFonts w:hint="eastAsia" w:ascii="宋体" w:hAnsi="宋体" w:eastAsia="宋体" w:cs="宋体"/>
          <w:b w:val="0"/>
          <w:bCs w:val="0"/>
          <w:kern w:val="0"/>
          <w:sz w:val="21"/>
          <w:szCs w:val="21"/>
        </w:rPr>
        <w:t>14cm</w:t>
      </w:r>
    </w:p>
    <w:p w14:paraId="74FBD056">
      <w:pPr>
        <w:widowControl/>
        <w:snapToGrid w:val="0"/>
        <w:spacing w:line="360" w:lineRule="auto"/>
        <w:ind w:firstLine="63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历年最大风速</w:t>
      </w:r>
      <w:r>
        <w:rPr>
          <w:rFonts w:hint="eastAsia" w:ascii="宋体" w:hAnsi="宋体" w:eastAsia="宋体" w:cs="宋体"/>
          <w:b w:val="0"/>
          <w:bCs w:val="0"/>
          <w:kern w:val="0"/>
          <w:sz w:val="21"/>
          <w:szCs w:val="21"/>
        </w:rPr>
        <w:tab/>
      </w:r>
      <w:r>
        <w:rPr>
          <w:rFonts w:hint="eastAsia" w:ascii="宋体" w:hAnsi="宋体" w:eastAsia="宋体" w:cs="宋体"/>
          <w:b w:val="0"/>
          <w:bCs w:val="0"/>
          <w:kern w:val="0"/>
          <w:sz w:val="21"/>
          <w:szCs w:val="21"/>
        </w:rPr>
        <w:tab/>
      </w:r>
      <w:r>
        <w:rPr>
          <w:rFonts w:hint="eastAsia" w:ascii="宋体" w:hAnsi="宋体" w:eastAsia="宋体" w:cs="宋体"/>
          <w:b w:val="0"/>
          <w:bCs w:val="0"/>
          <w:kern w:val="0"/>
          <w:sz w:val="21"/>
          <w:szCs w:val="21"/>
        </w:rPr>
        <w:tab/>
      </w:r>
      <w:r>
        <w:rPr>
          <w:rFonts w:hint="eastAsia" w:ascii="宋体" w:hAnsi="宋体" w:eastAsia="宋体" w:cs="宋体"/>
          <w:b w:val="0"/>
          <w:bCs w:val="0"/>
          <w:kern w:val="0"/>
          <w:sz w:val="21"/>
          <w:szCs w:val="21"/>
        </w:rPr>
        <w:t xml:space="preserve">   39.7m/s</w:t>
      </w:r>
    </w:p>
    <w:p w14:paraId="75199CB7">
      <w:pPr>
        <w:widowControl/>
        <w:snapToGrid w:val="0"/>
        <w:spacing w:line="360" w:lineRule="auto"/>
        <w:ind w:firstLine="63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三十年一遇10m高10分钟平均最大风速： 39.7m/s夏季（6、7、8月）主导风向为：NE，频率9%</w:t>
      </w:r>
    </w:p>
    <w:p w14:paraId="3A79F5BC">
      <w:pPr>
        <w:widowControl/>
        <w:snapToGrid w:val="0"/>
        <w:spacing w:line="360" w:lineRule="auto"/>
        <w:ind w:firstLine="63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冬季（12月～2月）主导风向为：NE ，频率14%</w:t>
      </w:r>
    </w:p>
    <w:p w14:paraId="5D16E96E">
      <w:pPr>
        <w:widowControl/>
        <w:snapToGrid w:val="0"/>
        <w:spacing w:line="360" w:lineRule="auto"/>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3.2.2 地震烈度</w:t>
      </w:r>
    </w:p>
    <w:p w14:paraId="3560C293">
      <w:pPr>
        <w:widowControl/>
        <w:snapToGrid w:val="0"/>
        <w:spacing w:line="360" w:lineRule="auto"/>
        <w:ind w:firstLine="63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 xml:space="preserve">厂区地震基本烈度为6度，设计基本地震加速度0.05g，按近震考虑。基础采用天然基础，场地土类别：Ⅱ类。 </w:t>
      </w:r>
    </w:p>
    <w:p w14:paraId="49BD352C">
      <w:pPr>
        <w:widowControl/>
        <w:tabs>
          <w:tab w:val="left" w:pos="480"/>
          <w:tab w:val="left" w:pos="600"/>
        </w:tabs>
        <w:spacing w:line="360" w:lineRule="auto"/>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3.2.3   污秽等级：Ⅳ级</w:t>
      </w:r>
    </w:p>
    <w:p w14:paraId="6503C3E2">
      <w:pPr>
        <w:keepNext/>
        <w:keepLines/>
        <w:widowControl/>
        <w:adjustRightInd w:val="0"/>
        <w:spacing w:before="260" w:after="260" w:line="240" w:lineRule="auto"/>
        <w:jc w:val="left"/>
        <w:textAlignment w:val="baseline"/>
        <w:outlineLvl w:val="1"/>
        <w:rPr>
          <w:rFonts w:hint="eastAsia" w:ascii="宋体" w:hAnsi="宋体" w:eastAsia="宋体" w:cs="宋体"/>
          <w:b/>
          <w:bCs/>
          <w:kern w:val="44"/>
          <w:sz w:val="21"/>
          <w:szCs w:val="21"/>
        </w:rPr>
      </w:pPr>
      <w:r>
        <w:rPr>
          <w:rFonts w:hint="eastAsia" w:ascii="宋体" w:hAnsi="宋体" w:eastAsia="宋体" w:cs="宋体"/>
          <w:b/>
          <w:bCs/>
          <w:kern w:val="44"/>
          <w:sz w:val="21"/>
          <w:szCs w:val="21"/>
        </w:rPr>
        <w:t>4 技术参数和性能要求</w:t>
      </w:r>
      <w:bookmarkEnd w:id="30"/>
      <w:bookmarkEnd w:id="31"/>
      <w:bookmarkEnd w:id="32"/>
      <w:bookmarkEnd w:id="33"/>
      <w:bookmarkStart w:id="34" w:name="_Hlt535055801"/>
      <w:bookmarkEnd w:id="34"/>
    </w:p>
    <w:p w14:paraId="6A035915">
      <w:pPr>
        <w:keepNext/>
        <w:keepLines/>
        <w:widowControl/>
        <w:adjustRightInd w:val="0"/>
        <w:spacing w:before="260" w:after="260" w:line="24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4.1标准和规范</w:t>
      </w:r>
    </w:p>
    <w:p w14:paraId="53396FF2">
      <w:pPr>
        <w:keepNext/>
        <w:keepLines/>
        <w:widowControl/>
        <w:adjustRightInd w:val="0"/>
        <w:spacing w:before="260" w:after="260" w:line="240" w:lineRule="auto"/>
        <w:ind w:firstLine="420" w:firstLineChars="200"/>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合同中所有设备、备品备件，除本合同中规定的技术参数、性能要求和标准外，其余均应遵照最新版本的国家标准（GB）和国际电工委员会标准（IEC）及国际单位制（SI），这是对设备的基本要求，如果投标人有自己的标准或规范，须经招标方同意后方可采用，但原则上均不能低于GB、IEC的有关规定，特别是这些规定或规程中与GB、IEC标准有互相矛盾的地方，应先征得招标方同意后才能制造。</w:t>
      </w:r>
    </w:p>
    <w:p w14:paraId="55BB8ACF">
      <w:pPr>
        <w:widowControl/>
        <w:spacing w:after="156" w:afterLines="50" w:line="360" w:lineRule="auto"/>
        <w:ind w:firstLine="420" w:firstLineChars="20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本技术规范是参照以下标准制定的，投标设备应符合本技术规范的要求，本技术规范未作规定的要求按照所列标准执行，</w:t>
      </w:r>
      <w:r>
        <w:rPr>
          <w:rFonts w:hint="eastAsia" w:ascii="宋体" w:hAnsi="宋体" w:eastAsia="宋体" w:cs="宋体"/>
          <w:b w:val="0"/>
          <w:bCs w:val="0"/>
          <w:sz w:val="21"/>
          <w:szCs w:val="21"/>
        </w:rPr>
        <w:t>本技术规范主要依据如下标准或规范（最新版本），但不限于此：</w:t>
      </w:r>
    </w:p>
    <w:tbl>
      <w:tblPr>
        <w:tblStyle w:val="62"/>
        <w:tblW w:w="994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99"/>
        <w:gridCol w:w="1750"/>
        <w:gridCol w:w="7493"/>
      </w:tblGrid>
      <w:tr w14:paraId="49890B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noWrap w:val="0"/>
            <w:vAlign w:val="center"/>
          </w:tcPr>
          <w:p w14:paraId="58F01B70">
            <w:pPr>
              <w:widowControl/>
              <w:snapToGrid w:val="0"/>
              <w:spacing w:before="62" w:beforeLines="20" w:after="62" w:afterLines="20" w:line="24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序号</w:t>
            </w:r>
          </w:p>
        </w:tc>
        <w:tc>
          <w:tcPr>
            <w:tcW w:w="1750" w:type="dxa"/>
            <w:noWrap w:val="0"/>
            <w:vAlign w:val="center"/>
          </w:tcPr>
          <w:p w14:paraId="0E4E3046">
            <w:pPr>
              <w:widowControl/>
              <w:snapToGrid w:val="0"/>
              <w:spacing w:before="62" w:beforeLines="20" w:after="62" w:afterLines="20" w:line="24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标  准  号</w:t>
            </w:r>
          </w:p>
        </w:tc>
        <w:tc>
          <w:tcPr>
            <w:tcW w:w="7493" w:type="dxa"/>
            <w:noWrap w:val="0"/>
            <w:vAlign w:val="center"/>
          </w:tcPr>
          <w:p w14:paraId="413F581C">
            <w:pPr>
              <w:widowControl/>
              <w:snapToGrid w:val="0"/>
              <w:spacing w:before="62" w:beforeLines="20" w:after="62" w:afterLines="20" w:line="24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标   准   名    称</w:t>
            </w:r>
          </w:p>
        </w:tc>
      </w:tr>
      <w:tr w14:paraId="4ACC78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noWrap w:val="0"/>
            <w:vAlign w:val="center"/>
          </w:tcPr>
          <w:p w14:paraId="7289FA6E">
            <w:pPr>
              <w:widowControl/>
              <w:snapToGrid w:val="0"/>
              <w:spacing w:before="62" w:beforeLines="20" w:after="62" w:afterLines="20" w:line="24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w:t>
            </w:r>
          </w:p>
        </w:tc>
        <w:tc>
          <w:tcPr>
            <w:tcW w:w="1750" w:type="dxa"/>
            <w:noWrap w:val="0"/>
            <w:vAlign w:val="center"/>
          </w:tcPr>
          <w:p w14:paraId="7E6A9CC1">
            <w:pPr>
              <w:widowControl/>
              <w:snapToGrid w:val="0"/>
              <w:spacing w:before="62" w:beforeLines="20" w:after="62" w:afterLines="20" w:line="240" w:lineRule="auto"/>
              <w:ind w:firstLine="36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GB311.1</w:t>
            </w:r>
          </w:p>
        </w:tc>
        <w:tc>
          <w:tcPr>
            <w:tcW w:w="7493" w:type="dxa"/>
            <w:noWrap w:val="0"/>
            <w:vAlign w:val="center"/>
          </w:tcPr>
          <w:p w14:paraId="054DFFC0">
            <w:pPr>
              <w:widowControl/>
              <w:snapToGrid w:val="0"/>
              <w:spacing w:before="62" w:beforeLines="20" w:after="62" w:afterLines="20" w:line="240" w:lineRule="auto"/>
              <w:ind w:firstLine="36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高压输变电设备的绝缘配合</w:t>
            </w:r>
          </w:p>
        </w:tc>
      </w:tr>
      <w:tr w14:paraId="3B3F98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noWrap w:val="0"/>
            <w:vAlign w:val="center"/>
          </w:tcPr>
          <w:p w14:paraId="592E1AF4">
            <w:pPr>
              <w:widowControl/>
              <w:snapToGrid w:val="0"/>
              <w:spacing w:before="62" w:beforeLines="20" w:after="62" w:afterLines="20" w:line="24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w:t>
            </w:r>
          </w:p>
        </w:tc>
        <w:tc>
          <w:tcPr>
            <w:tcW w:w="1750" w:type="dxa"/>
            <w:noWrap w:val="0"/>
            <w:vAlign w:val="center"/>
          </w:tcPr>
          <w:p w14:paraId="1B2B65D5">
            <w:pPr>
              <w:widowControl/>
              <w:snapToGrid w:val="0"/>
              <w:spacing w:before="62" w:beforeLines="20" w:after="62" w:afterLines="20" w:line="240" w:lineRule="auto"/>
              <w:ind w:firstLine="36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GB 20840.1</w:t>
            </w:r>
          </w:p>
        </w:tc>
        <w:tc>
          <w:tcPr>
            <w:tcW w:w="7493" w:type="dxa"/>
            <w:noWrap w:val="0"/>
            <w:vAlign w:val="center"/>
          </w:tcPr>
          <w:p w14:paraId="6B70C0E9">
            <w:pPr>
              <w:widowControl/>
              <w:snapToGrid w:val="0"/>
              <w:spacing w:before="62" w:beforeLines="20" w:after="62" w:afterLines="20" w:line="240" w:lineRule="auto"/>
              <w:ind w:firstLine="36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互感器 第1部分：通用技术要求</w:t>
            </w:r>
          </w:p>
        </w:tc>
      </w:tr>
      <w:tr w14:paraId="550CDD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noWrap w:val="0"/>
            <w:vAlign w:val="center"/>
          </w:tcPr>
          <w:p w14:paraId="6B37CBB0">
            <w:pPr>
              <w:widowControl/>
              <w:snapToGrid w:val="0"/>
              <w:spacing w:before="62" w:beforeLines="20" w:after="62" w:afterLines="20" w:line="24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w:t>
            </w:r>
          </w:p>
        </w:tc>
        <w:tc>
          <w:tcPr>
            <w:tcW w:w="1750" w:type="dxa"/>
            <w:noWrap w:val="0"/>
            <w:vAlign w:val="center"/>
          </w:tcPr>
          <w:p w14:paraId="2B1E844C">
            <w:pPr>
              <w:widowControl/>
              <w:snapToGrid w:val="0"/>
              <w:spacing w:before="62" w:beforeLines="20" w:after="62" w:afterLines="20" w:line="240" w:lineRule="auto"/>
              <w:ind w:firstLine="36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GB 20840.2</w:t>
            </w:r>
          </w:p>
        </w:tc>
        <w:tc>
          <w:tcPr>
            <w:tcW w:w="7493" w:type="dxa"/>
            <w:noWrap w:val="0"/>
            <w:vAlign w:val="center"/>
          </w:tcPr>
          <w:p w14:paraId="67E3860D">
            <w:pPr>
              <w:widowControl/>
              <w:snapToGrid w:val="0"/>
              <w:spacing w:before="62" w:beforeLines="20" w:after="62" w:afterLines="20" w:line="240" w:lineRule="auto"/>
              <w:ind w:firstLine="420" w:firstLineChars="20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互感器 第2部分电压互感器的补充技术要求</w:t>
            </w:r>
          </w:p>
        </w:tc>
      </w:tr>
      <w:tr w14:paraId="438756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noWrap w:val="0"/>
            <w:vAlign w:val="center"/>
          </w:tcPr>
          <w:p w14:paraId="6DFEC651">
            <w:pPr>
              <w:widowControl/>
              <w:snapToGrid w:val="0"/>
              <w:spacing w:before="62" w:beforeLines="20" w:after="62" w:afterLines="20" w:line="24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w:t>
            </w:r>
          </w:p>
        </w:tc>
        <w:tc>
          <w:tcPr>
            <w:tcW w:w="1750" w:type="dxa"/>
            <w:noWrap w:val="0"/>
            <w:vAlign w:val="center"/>
          </w:tcPr>
          <w:p w14:paraId="7B1C6757">
            <w:pPr>
              <w:widowControl/>
              <w:snapToGrid w:val="0"/>
              <w:spacing w:before="62" w:beforeLines="20" w:after="62" w:afterLines="20" w:line="240" w:lineRule="auto"/>
              <w:ind w:firstLine="36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GB16927</w:t>
            </w:r>
          </w:p>
        </w:tc>
        <w:tc>
          <w:tcPr>
            <w:tcW w:w="7493" w:type="dxa"/>
            <w:noWrap w:val="0"/>
            <w:vAlign w:val="center"/>
          </w:tcPr>
          <w:p w14:paraId="3FC6B332">
            <w:pPr>
              <w:widowControl/>
              <w:snapToGrid w:val="0"/>
              <w:spacing w:before="62" w:beforeLines="20" w:after="62" w:afterLines="20" w:line="240" w:lineRule="auto"/>
              <w:ind w:firstLine="36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高电压试验技术</w:t>
            </w:r>
          </w:p>
        </w:tc>
      </w:tr>
      <w:tr w14:paraId="59A98B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noWrap w:val="0"/>
            <w:vAlign w:val="center"/>
          </w:tcPr>
          <w:p w14:paraId="7242EF0D">
            <w:pPr>
              <w:widowControl/>
              <w:snapToGrid w:val="0"/>
              <w:spacing w:before="62" w:beforeLines="20" w:after="62" w:afterLines="20" w:line="24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5</w:t>
            </w:r>
          </w:p>
        </w:tc>
        <w:tc>
          <w:tcPr>
            <w:tcW w:w="1750" w:type="dxa"/>
            <w:noWrap w:val="0"/>
            <w:vAlign w:val="center"/>
          </w:tcPr>
          <w:p w14:paraId="6E44AABD">
            <w:pPr>
              <w:widowControl/>
              <w:snapToGrid w:val="0"/>
              <w:spacing w:before="62" w:beforeLines="20" w:after="62" w:afterLines="20" w:line="240" w:lineRule="auto"/>
              <w:ind w:firstLine="36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IEC815</w:t>
            </w:r>
          </w:p>
        </w:tc>
        <w:tc>
          <w:tcPr>
            <w:tcW w:w="7493" w:type="dxa"/>
            <w:noWrap w:val="0"/>
            <w:vAlign w:val="center"/>
          </w:tcPr>
          <w:p w14:paraId="4E945CAE">
            <w:pPr>
              <w:widowControl/>
              <w:snapToGrid w:val="0"/>
              <w:spacing w:before="62" w:beforeLines="20" w:after="62" w:afterLines="20" w:line="240" w:lineRule="auto"/>
              <w:ind w:firstLine="36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污秽条件下绝缘子使用导则</w:t>
            </w:r>
          </w:p>
        </w:tc>
      </w:tr>
      <w:tr w14:paraId="4FB2BD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noWrap w:val="0"/>
            <w:vAlign w:val="center"/>
          </w:tcPr>
          <w:p w14:paraId="5CE0690B">
            <w:pPr>
              <w:widowControl/>
              <w:snapToGrid w:val="0"/>
              <w:spacing w:before="62" w:beforeLines="20" w:after="62" w:afterLines="20" w:line="24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6</w:t>
            </w:r>
          </w:p>
        </w:tc>
        <w:tc>
          <w:tcPr>
            <w:tcW w:w="1750" w:type="dxa"/>
            <w:noWrap w:val="0"/>
            <w:vAlign w:val="center"/>
          </w:tcPr>
          <w:p w14:paraId="0158129B">
            <w:pPr>
              <w:widowControl/>
              <w:snapToGrid w:val="0"/>
              <w:spacing w:before="62" w:beforeLines="20" w:after="62" w:afterLines="20" w:line="240" w:lineRule="auto"/>
              <w:ind w:firstLine="36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IEC137</w:t>
            </w:r>
          </w:p>
        </w:tc>
        <w:tc>
          <w:tcPr>
            <w:tcW w:w="7493" w:type="dxa"/>
            <w:noWrap w:val="0"/>
            <w:vAlign w:val="center"/>
          </w:tcPr>
          <w:p w14:paraId="45D6F724">
            <w:pPr>
              <w:widowControl/>
              <w:snapToGrid w:val="0"/>
              <w:spacing w:before="62" w:beforeLines="20" w:after="62" w:afterLines="20" w:line="240" w:lineRule="auto"/>
              <w:ind w:firstLine="36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交流电压高于1000V的套管</w:t>
            </w:r>
          </w:p>
        </w:tc>
      </w:tr>
      <w:tr w14:paraId="4313F5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noWrap w:val="0"/>
            <w:vAlign w:val="center"/>
          </w:tcPr>
          <w:p w14:paraId="5F686CC7">
            <w:pPr>
              <w:widowControl/>
              <w:snapToGrid w:val="0"/>
              <w:spacing w:before="62" w:beforeLines="20" w:after="62" w:afterLines="20" w:line="24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7</w:t>
            </w:r>
          </w:p>
        </w:tc>
        <w:tc>
          <w:tcPr>
            <w:tcW w:w="1750" w:type="dxa"/>
            <w:noWrap w:val="0"/>
            <w:vAlign w:val="center"/>
          </w:tcPr>
          <w:p w14:paraId="28741A2C">
            <w:pPr>
              <w:widowControl/>
              <w:snapToGrid w:val="0"/>
              <w:spacing w:before="62" w:beforeLines="20" w:after="62" w:afterLines="20" w:line="240" w:lineRule="auto"/>
              <w:ind w:firstLine="36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GB7954</w:t>
            </w:r>
          </w:p>
        </w:tc>
        <w:tc>
          <w:tcPr>
            <w:tcW w:w="7493" w:type="dxa"/>
            <w:noWrap w:val="0"/>
            <w:vAlign w:val="center"/>
          </w:tcPr>
          <w:p w14:paraId="15AB95A3">
            <w:pPr>
              <w:widowControl/>
              <w:snapToGrid w:val="0"/>
              <w:spacing w:before="62" w:beforeLines="20" w:after="62" w:afterLines="20" w:line="240" w:lineRule="auto"/>
              <w:ind w:firstLine="36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局部放电测量</w:t>
            </w:r>
          </w:p>
        </w:tc>
      </w:tr>
      <w:tr w14:paraId="78D609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noWrap w:val="0"/>
            <w:vAlign w:val="center"/>
          </w:tcPr>
          <w:p w14:paraId="551E0FB3">
            <w:pPr>
              <w:widowControl/>
              <w:snapToGrid w:val="0"/>
              <w:spacing w:before="62" w:beforeLines="20" w:after="62" w:afterLines="20" w:line="24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8</w:t>
            </w:r>
          </w:p>
        </w:tc>
        <w:tc>
          <w:tcPr>
            <w:tcW w:w="1750" w:type="dxa"/>
            <w:noWrap w:val="0"/>
            <w:vAlign w:val="center"/>
          </w:tcPr>
          <w:p w14:paraId="652C0A81">
            <w:pPr>
              <w:widowControl/>
              <w:snapToGrid w:val="0"/>
              <w:spacing w:before="62" w:beforeLines="20" w:after="62" w:afterLines="20" w:line="240" w:lineRule="auto"/>
              <w:ind w:firstLine="36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IEC480</w:t>
            </w:r>
          </w:p>
        </w:tc>
        <w:tc>
          <w:tcPr>
            <w:tcW w:w="7493" w:type="dxa"/>
            <w:noWrap w:val="0"/>
            <w:vAlign w:val="center"/>
          </w:tcPr>
          <w:p w14:paraId="6D02F6A0">
            <w:pPr>
              <w:widowControl/>
              <w:snapToGrid w:val="0"/>
              <w:spacing w:before="62" w:beforeLines="20" w:after="62" w:afterLines="20" w:line="240" w:lineRule="auto"/>
              <w:ind w:firstLine="36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电气设备中SF6气体的检验导则</w:t>
            </w:r>
          </w:p>
        </w:tc>
      </w:tr>
      <w:tr w14:paraId="1C01EE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noWrap w:val="0"/>
            <w:vAlign w:val="center"/>
          </w:tcPr>
          <w:p w14:paraId="72683989">
            <w:pPr>
              <w:widowControl/>
              <w:snapToGrid w:val="0"/>
              <w:spacing w:before="62" w:beforeLines="20" w:after="62" w:afterLines="20" w:line="24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9</w:t>
            </w:r>
          </w:p>
        </w:tc>
        <w:tc>
          <w:tcPr>
            <w:tcW w:w="1750" w:type="dxa"/>
            <w:noWrap w:val="0"/>
            <w:vAlign w:val="center"/>
          </w:tcPr>
          <w:p w14:paraId="66F71B7A">
            <w:pPr>
              <w:widowControl/>
              <w:snapToGrid w:val="0"/>
              <w:spacing w:before="62" w:beforeLines="20" w:after="62" w:afterLines="20" w:line="240" w:lineRule="auto"/>
              <w:ind w:firstLine="36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GB∕T8905</w:t>
            </w:r>
          </w:p>
        </w:tc>
        <w:tc>
          <w:tcPr>
            <w:tcW w:w="7493" w:type="dxa"/>
            <w:noWrap w:val="0"/>
            <w:vAlign w:val="center"/>
          </w:tcPr>
          <w:p w14:paraId="52D41993">
            <w:pPr>
              <w:widowControl/>
              <w:snapToGrid w:val="0"/>
              <w:spacing w:before="62" w:beforeLines="20" w:after="62" w:afterLines="20" w:line="240" w:lineRule="auto"/>
              <w:ind w:firstLine="36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六氟化硫电气设备中气体管理和检验导则</w:t>
            </w:r>
          </w:p>
        </w:tc>
      </w:tr>
      <w:tr w14:paraId="73CD8C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noWrap w:val="0"/>
            <w:vAlign w:val="center"/>
          </w:tcPr>
          <w:p w14:paraId="6AD11567">
            <w:pPr>
              <w:widowControl/>
              <w:snapToGrid w:val="0"/>
              <w:spacing w:before="62" w:beforeLines="20" w:after="62" w:afterLines="20" w:line="24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10</w:t>
            </w:r>
          </w:p>
        </w:tc>
        <w:tc>
          <w:tcPr>
            <w:tcW w:w="1750" w:type="dxa"/>
            <w:noWrap w:val="0"/>
            <w:vAlign w:val="center"/>
          </w:tcPr>
          <w:p w14:paraId="3BC29B3B">
            <w:pPr>
              <w:widowControl/>
              <w:snapToGrid w:val="0"/>
              <w:spacing w:before="62" w:beforeLines="20" w:after="62" w:afterLines="20" w:line="240" w:lineRule="auto"/>
              <w:ind w:firstLine="36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JB∕T5356</w:t>
            </w:r>
          </w:p>
        </w:tc>
        <w:tc>
          <w:tcPr>
            <w:tcW w:w="7493" w:type="dxa"/>
            <w:noWrap w:val="0"/>
            <w:vAlign w:val="center"/>
          </w:tcPr>
          <w:p w14:paraId="0355B14A">
            <w:pPr>
              <w:widowControl/>
              <w:snapToGrid w:val="0"/>
              <w:spacing w:before="62" w:beforeLines="20" w:after="62" w:afterLines="20" w:line="240" w:lineRule="auto"/>
              <w:ind w:firstLine="36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电压互感器试验导则</w:t>
            </w:r>
          </w:p>
        </w:tc>
      </w:tr>
      <w:tr w14:paraId="67210D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noWrap w:val="0"/>
            <w:vAlign w:val="center"/>
          </w:tcPr>
          <w:p w14:paraId="52B2E43D">
            <w:pPr>
              <w:widowControl/>
              <w:snapToGrid w:val="0"/>
              <w:spacing w:before="62" w:beforeLines="20" w:after="62" w:afterLines="20" w:line="24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11</w:t>
            </w:r>
          </w:p>
        </w:tc>
        <w:tc>
          <w:tcPr>
            <w:tcW w:w="1750" w:type="dxa"/>
            <w:noWrap w:val="0"/>
            <w:vAlign w:val="center"/>
          </w:tcPr>
          <w:p w14:paraId="5CECBA8C">
            <w:pPr>
              <w:widowControl/>
              <w:snapToGrid w:val="0"/>
              <w:spacing w:before="62" w:beforeLines="20" w:after="62" w:afterLines="20" w:line="240" w:lineRule="auto"/>
              <w:ind w:firstLine="36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GB/T4585-2</w:t>
            </w:r>
          </w:p>
        </w:tc>
        <w:tc>
          <w:tcPr>
            <w:tcW w:w="7493" w:type="dxa"/>
            <w:noWrap w:val="0"/>
            <w:vAlign w:val="center"/>
          </w:tcPr>
          <w:p w14:paraId="1BC3B858">
            <w:pPr>
              <w:widowControl/>
              <w:snapToGrid w:val="0"/>
              <w:spacing w:before="62" w:beforeLines="20" w:after="62" w:afterLines="20" w:line="240" w:lineRule="auto"/>
              <w:ind w:firstLine="36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交流系统用高压绝缘子人工污秽测验方法 固体层法</w:t>
            </w:r>
          </w:p>
        </w:tc>
      </w:tr>
      <w:tr w14:paraId="0E7A37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noWrap w:val="0"/>
            <w:vAlign w:val="center"/>
          </w:tcPr>
          <w:p w14:paraId="185472FB">
            <w:pPr>
              <w:widowControl/>
              <w:snapToGrid w:val="0"/>
              <w:spacing w:before="62" w:beforeLines="20" w:after="62" w:afterLines="20" w:line="24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12</w:t>
            </w:r>
          </w:p>
        </w:tc>
        <w:tc>
          <w:tcPr>
            <w:tcW w:w="1750" w:type="dxa"/>
            <w:noWrap w:val="0"/>
            <w:vAlign w:val="center"/>
          </w:tcPr>
          <w:p w14:paraId="31957BF9">
            <w:pPr>
              <w:widowControl/>
              <w:snapToGrid w:val="0"/>
              <w:spacing w:before="62" w:beforeLines="20" w:after="62" w:afterLines="20" w:line="240" w:lineRule="auto"/>
              <w:ind w:firstLine="36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GB/T5654</w:t>
            </w:r>
          </w:p>
        </w:tc>
        <w:tc>
          <w:tcPr>
            <w:tcW w:w="7493" w:type="dxa"/>
            <w:noWrap w:val="0"/>
            <w:vAlign w:val="center"/>
          </w:tcPr>
          <w:p w14:paraId="2515BDE3">
            <w:pPr>
              <w:widowControl/>
              <w:snapToGrid w:val="0"/>
              <w:spacing w:before="62" w:beforeLines="20" w:after="62" w:afterLines="20" w:line="240" w:lineRule="auto"/>
              <w:ind w:left="599" w:leftChars="15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液体绝缘材料工频相对介电常数、介质损耗因数和体积电阻率的测量</w:t>
            </w:r>
          </w:p>
        </w:tc>
      </w:tr>
      <w:tr w14:paraId="708D4E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noWrap w:val="0"/>
            <w:vAlign w:val="center"/>
          </w:tcPr>
          <w:p w14:paraId="7ED1900F">
            <w:pPr>
              <w:widowControl/>
              <w:snapToGrid w:val="0"/>
              <w:spacing w:before="62" w:beforeLines="20" w:after="62" w:afterLines="20" w:line="24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13</w:t>
            </w:r>
          </w:p>
        </w:tc>
        <w:tc>
          <w:tcPr>
            <w:tcW w:w="1750" w:type="dxa"/>
            <w:noWrap w:val="0"/>
            <w:vAlign w:val="center"/>
          </w:tcPr>
          <w:p w14:paraId="32796231">
            <w:pPr>
              <w:widowControl/>
              <w:snapToGrid w:val="0"/>
              <w:spacing w:before="62" w:beforeLines="20" w:after="62" w:afterLines="20" w:line="240" w:lineRule="auto"/>
              <w:ind w:firstLine="36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GB/T5832.1</w:t>
            </w:r>
          </w:p>
        </w:tc>
        <w:tc>
          <w:tcPr>
            <w:tcW w:w="7493" w:type="dxa"/>
            <w:noWrap w:val="0"/>
            <w:vAlign w:val="center"/>
          </w:tcPr>
          <w:p w14:paraId="7B86F45D">
            <w:pPr>
              <w:widowControl/>
              <w:snapToGrid w:val="0"/>
              <w:spacing w:before="62" w:beforeLines="20" w:after="62" w:afterLines="20" w:line="240" w:lineRule="auto"/>
              <w:ind w:firstLine="438" w:firstLineChars="209"/>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气体中微量水分的测定—电解法</w:t>
            </w:r>
          </w:p>
        </w:tc>
      </w:tr>
      <w:tr w14:paraId="258168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noWrap w:val="0"/>
            <w:vAlign w:val="center"/>
          </w:tcPr>
          <w:p w14:paraId="63EA77D9">
            <w:pPr>
              <w:widowControl/>
              <w:snapToGrid w:val="0"/>
              <w:spacing w:before="62" w:beforeLines="20" w:after="62" w:afterLines="20" w:line="24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14</w:t>
            </w:r>
          </w:p>
        </w:tc>
        <w:tc>
          <w:tcPr>
            <w:tcW w:w="1750" w:type="dxa"/>
            <w:noWrap w:val="0"/>
            <w:vAlign w:val="center"/>
          </w:tcPr>
          <w:p w14:paraId="50739429">
            <w:pPr>
              <w:widowControl/>
              <w:snapToGrid w:val="0"/>
              <w:spacing w:before="62" w:beforeLines="20" w:after="62" w:afterLines="20" w:line="240" w:lineRule="auto"/>
              <w:ind w:firstLine="36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GB/T11604</w:t>
            </w:r>
          </w:p>
        </w:tc>
        <w:tc>
          <w:tcPr>
            <w:tcW w:w="7493" w:type="dxa"/>
            <w:noWrap w:val="0"/>
            <w:vAlign w:val="center"/>
          </w:tcPr>
          <w:p w14:paraId="3CB64E2F">
            <w:pPr>
              <w:widowControl/>
              <w:snapToGrid w:val="0"/>
              <w:spacing w:before="62" w:beforeLines="20" w:after="62" w:afterLines="20" w:line="240" w:lineRule="auto"/>
              <w:ind w:firstLine="438" w:firstLineChars="209"/>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高压电器设备无线电干扰测试方法</w:t>
            </w:r>
          </w:p>
        </w:tc>
      </w:tr>
      <w:tr w14:paraId="5AECED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noWrap w:val="0"/>
            <w:vAlign w:val="center"/>
          </w:tcPr>
          <w:p w14:paraId="20E508B2">
            <w:pPr>
              <w:widowControl/>
              <w:snapToGrid w:val="0"/>
              <w:spacing w:before="62" w:beforeLines="20" w:after="62" w:afterLines="20" w:line="24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15</w:t>
            </w:r>
          </w:p>
        </w:tc>
        <w:tc>
          <w:tcPr>
            <w:tcW w:w="1750" w:type="dxa"/>
            <w:noWrap w:val="0"/>
            <w:vAlign w:val="center"/>
          </w:tcPr>
          <w:p w14:paraId="466DB552">
            <w:pPr>
              <w:widowControl/>
              <w:snapToGrid w:val="0"/>
              <w:spacing w:before="62" w:beforeLines="20" w:after="62" w:afterLines="20" w:line="240" w:lineRule="auto"/>
              <w:ind w:firstLine="36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JB/T5356</w:t>
            </w:r>
          </w:p>
        </w:tc>
        <w:tc>
          <w:tcPr>
            <w:tcW w:w="7493" w:type="dxa"/>
            <w:noWrap w:val="0"/>
            <w:vAlign w:val="center"/>
          </w:tcPr>
          <w:p w14:paraId="51A8C8C4">
            <w:pPr>
              <w:widowControl/>
              <w:snapToGrid w:val="0"/>
              <w:spacing w:before="62" w:beforeLines="20" w:after="62" w:afterLines="20" w:line="240" w:lineRule="auto"/>
              <w:ind w:firstLine="438" w:firstLineChars="209"/>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电压互感器试验导则</w:t>
            </w:r>
          </w:p>
        </w:tc>
      </w:tr>
      <w:tr w14:paraId="08EC90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noWrap w:val="0"/>
            <w:vAlign w:val="center"/>
          </w:tcPr>
          <w:p w14:paraId="0EC22E13">
            <w:pPr>
              <w:widowControl/>
              <w:snapToGrid w:val="0"/>
              <w:spacing w:before="62" w:beforeLines="20" w:after="62" w:afterLines="20" w:line="24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16</w:t>
            </w:r>
          </w:p>
        </w:tc>
        <w:tc>
          <w:tcPr>
            <w:tcW w:w="1750" w:type="dxa"/>
            <w:noWrap w:val="0"/>
            <w:vAlign w:val="center"/>
          </w:tcPr>
          <w:p w14:paraId="4E92D923">
            <w:pPr>
              <w:widowControl/>
              <w:snapToGrid w:val="0"/>
              <w:spacing w:before="62" w:beforeLines="20" w:after="62" w:afterLines="20" w:line="240" w:lineRule="auto"/>
              <w:ind w:firstLine="360"/>
              <w:jc w:val="left"/>
              <w:rPr>
                <w:rFonts w:hint="eastAsia" w:ascii="宋体" w:hAnsi="宋体" w:eastAsia="宋体" w:cs="宋体"/>
                <w:b w:val="0"/>
                <w:bCs w:val="0"/>
                <w:kern w:val="0"/>
                <w:sz w:val="21"/>
                <w:szCs w:val="21"/>
              </w:rPr>
            </w:pPr>
            <w:r>
              <w:rPr>
                <w:rFonts w:hint="eastAsia" w:ascii="宋体" w:hAnsi="宋体" w:eastAsia="宋体" w:cs="宋体"/>
                <w:b w:val="0"/>
                <w:bCs w:val="0"/>
                <w:sz w:val="21"/>
                <w:szCs w:val="21"/>
              </w:rPr>
              <w:t>GB 50150</w:t>
            </w:r>
          </w:p>
        </w:tc>
        <w:tc>
          <w:tcPr>
            <w:tcW w:w="7493" w:type="dxa"/>
            <w:noWrap w:val="0"/>
            <w:vAlign w:val="center"/>
          </w:tcPr>
          <w:p w14:paraId="6A4DBA7A">
            <w:pPr>
              <w:widowControl/>
              <w:snapToGrid w:val="0"/>
              <w:spacing w:before="62" w:beforeLines="20" w:after="62" w:afterLines="20" w:line="240" w:lineRule="auto"/>
              <w:ind w:firstLine="438" w:firstLineChars="209"/>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电气装置安装工程 电气设备交接试验标准</w:t>
            </w:r>
          </w:p>
        </w:tc>
      </w:tr>
    </w:tbl>
    <w:p w14:paraId="57A5F332">
      <w:pPr>
        <w:widowControl/>
        <w:spacing w:after="156" w:afterLines="50" w:line="360" w:lineRule="auto"/>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《国家电网公司十八项电网重大反事故措施》（修订版）（最新版）</w:t>
      </w:r>
    </w:p>
    <w:p w14:paraId="1815EA1F">
      <w:pPr>
        <w:widowControl/>
        <w:spacing w:after="156" w:afterLines="50" w:line="360" w:lineRule="auto"/>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《防止电力生产事故的二十五项重点要求》 （2023）</w:t>
      </w:r>
    </w:p>
    <w:p w14:paraId="34DC2B81">
      <w:pPr>
        <w:widowControl/>
        <w:spacing w:before="156" w:beforeLines="50" w:line="360" w:lineRule="auto"/>
        <w:ind w:firstLine="420" w:firstLineChars="20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所有螺栓、双头螺栓、螺纹、管螺纹、螺栓夹及螺母均应遵守国际标准化组织（ISO）和国际单位制（SI）的标准。</w:t>
      </w:r>
    </w:p>
    <w:p w14:paraId="6A137E02">
      <w:pPr>
        <w:spacing w:line="360" w:lineRule="auto"/>
        <w:rPr>
          <w:rFonts w:hint="eastAsia"/>
          <w:b w:val="0"/>
          <w:bCs w:val="0"/>
          <w:sz w:val="21"/>
          <w:szCs w:val="21"/>
        </w:rPr>
      </w:pPr>
      <w:r>
        <w:rPr>
          <w:rFonts w:hint="eastAsia"/>
          <w:b w:val="0"/>
          <w:bCs w:val="0"/>
          <w:sz w:val="21"/>
          <w:szCs w:val="21"/>
        </w:rPr>
        <w:t>4.2设备基本技术参数</w:t>
      </w:r>
      <w:bookmarkStart w:id="35" w:name="_Toc35399117"/>
      <w:bookmarkStart w:id="36" w:name="_Toc489778876"/>
    </w:p>
    <w:p w14:paraId="57BFC70B">
      <w:pPr>
        <w:spacing w:line="360" w:lineRule="auto"/>
        <w:ind w:firstLine="420" w:firstLineChars="200"/>
        <w:rPr>
          <w:rFonts w:hint="eastAsia"/>
          <w:b w:val="0"/>
          <w:bCs w:val="0"/>
          <w:sz w:val="21"/>
          <w:szCs w:val="21"/>
        </w:rPr>
      </w:pPr>
      <w:r>
        <w:rPr>
          <w:rFonts w:hint="eastAsia"/>
          <w:b w:val="0"/>
          <w:bCs w:val="0"/>
          <w:sz w:val="21"/>
          <w:szCs w:val="21"/>
        </w:rPr>
        <w:t>本次招标产品要求电压互感器：应为电容式电压互感器</w:t>
      </w:r>
      <w:bookmarkEnd w:id="35"/>
      <w:bookmarkEnd w:id="36"/>
      <w:r>
        <w:rPr>
          <w:rFonts w:hint="eastAsia"/>
          <w:b w:val="0"/>
          <w:bCs w:val="0"/>
          <w:sz w:val="21"/>
          <w:szCs w:val="21"/>
        </w:rPr>
        <w:t>，详细参数如下（投标方提供参数应不低于或优越招标方要求参数，并满足4.1所列的标准规范要求）：电压比：500/√3:  0.1/√3:0.1/√3、0.1 :0.1kV</w:t>
      </w:r>
    </w:p>
    <w:p w14:paraId="5CD2A695">
      <w:pPr>
        <w:spacing w:line="360" w:lineRule="auto"/>
        <w:rPr>
          <w:rFonts w:hint="eastAsia"/>
          <w:b w:val="0"/>
          <w:bCs w:val="0"/>
          <w:sz w:val="21"/>
          <w:szCs w:val="21"/>
          <w:lang w:eastAsia="zh-CN"/>
        </w:rPr>
      </w:pPr>
      <w:r>
        <w:rPr>
          <w:rFonts w:hint="eastAsia"/>
          <w:b w:val="0"/>
          <w:bCs w:val="0"/>
          <w:sz w:val="21"/>
          <w:szCs w:val="21"/>
        </w:rPr>
        <w:t>准确级：0.2/0.5</w:t>
      </w:r>
      <w:r>
        <w:rPr>
          <w:rFonts w:hint="eastAsia"/>
          <w:b w:val="0"/>
          <w:bCs w:val="0"/>
          <w:sz w:val="21"/>
          <w:szCs w:val="21"/>
          <w:lang w:eastAsia="zh-CN"/>
        </w:rPr>
        <w:t>（</w:t>
      </w:r>
      <w:r>
        <w:rPr>
          <w:rFonts w:hint="eastAsia"/>
          <w:b w:val="0"/>
          <w:bCs w:val="0"/>
          <w:sz w:val="21"/>
          <w:szCs w:val="21"/>
          <w:lang w:val="en-US" w:eastAsia="zh-CN"/>
        </w:rPr>
        <w:t>3P</w:t>
      </w:r>
      <w:r>
        <w:rPr>
          <w:rFonts w:hint="eastAsia"/>
          <w:b w:val="0"/>
          <w:bCs w:val="0"/>
          <w:sz w:val="21"/>
          <w:szCs w:val="21"/>
          <w:lang w:eastAsia="zh-CN"/>
        </w:rPr>
        <w:t>）</w:t>
      </w:r>
      <w:r>
        <w:rPr>
          <w:rFonts w:hint="eastAsia"/>
          <w:b w:val="0"/>
          <w:bCs w:val="0"/>
          <w:sz w:val="21"/>
          <w:szCs w:val="21"/>
        </w:rPr>
        <w:t>/0.2/0.5</w:t>
      </w:r>
      <w:r>
        <w:rPr>
          <w:rFonts w:hint="eastAsia"/>
          <w:b w:val="0"/>
          <w:bCs w:val="0"/>
          <w:sz w:val="21"/>
          <w:szCs w:val="21"/>
          <w:lang w:eastAsia="zh-CN"/>
        </w:rPr>
        <w:t>（</w:t>
      </w:r>
      <w:r>
        <w:rPr>
          <w:rFonts w:hint="eastAsia"/>
          <w:b w:val="0"/>
          <w:bCs w:val="0"/>
          <w:sz w:val="21"/>
          <w:szCs w:val="21"/>
          <w:lang w:val="en-US" w:eastAsia="zh-CN"/>
        </w:rPr>
        <w:t>3P</w:t>
      </w:r>
      <w:r>
        <w:rPr>
          <w:rFonts w:hint="eastAsia"/>
          <w:b w:val="0"/>
          <w:bCs w:val="0"/>
          <w:sz w:val="21"/>
          <w:szCs w:val="21"/>
          <w:lang w:eastAsia="zh-CN"/>
        </w:rPr>
        <w:t>）</w:t>
      </w:r>
    </w:p>
    <w:p w14:paraId="1E3F56A9">
      <w:pPr>
        <w:spacing w:line="360" w:lineRule="auto"/>
        <w:rPr>
          <w:rFonts w:hint="eastAsia"/>
          <w:b w:val="0"/>
          <w:bCs w:val="0"/>
          <w:sz w:val="21"/>
          <w:szCs w:val="21"/>
        </w:rPr>
      </w:pPr>
      <w:r>
        <w:rPr>
          <w:rFonts w:hint="eastAsia"/>
          <w:b w:val="0"/>
          <w:bCs w:val="0"/>
          <w:sz w:val="21"/>
          <w:szCs w:val="21"/>
        </w:rPr>
        <w:t>额定负载：100/100/100/100VA</w:t>
      </w:r>
    </w:p>
    <w:p w14:paraId="572E3C9B">
      <w:pPr>
        <w:spacing w:line="360" w:lineRule="auto"/>
        <w:rPr>
          <w:rFonts w:hint="eastAsia"/>
          <w:b w:val="0"/>
          <w:bCs w:val="0"/>
          <w:sz w:val="21"/>
          <w:szCs w:val="21"/>
        </w:rPr>
      </w:pPr>
      <w:bookmarkStart w:id="37" w:name="_Hlt513198953"/>
      <w:bookmarkEnd w:id="37"/>
      <w:bookmarkStart w:id="38" w:name="_Toc502370873"/>
      <w:r>
        <w:rPr>
          <w:rFonts w:hint="eastAsia"/>
          <w:b w:val="0"/>
          <w:bCs w:val="0"/>
          <w:sz w:val="21"/>
          <w:szCs w:val="21"/>
        </w:rPr>
        <w:t>（1）型式：</w:t>
      </w:r>
      <w:r>
        <w:rPr>
          <w:rFonts w:hint="eastAsia"/>
          <w:b w:val="0"/>
          <w:bCs w:val="0"/>
          <w:sz w:val="21"/>
          <w:szCs w:val="21"/>
        </w:rPr>
        <w:tab/>
      </w:r>
      <w:r>
        <w:rPr>
          <w:rFonts w:hint="eastAsia"/>
          <w:b w:val="0"/>
          <w:bCs w:val="0"/>
          <w:sz w:val="21"/>
          <w:szCs w:val="21"/>
        </w:rPr>
        <w:tab/>
      </w:r>
      <w:r>
        <w:rPr>
          <w:rFonts w:hint="eastAsia"/>
          <w:b w:val="0"/>
          <w:bCs w:val="0"/>
          <w:sz w:val="21"/>
          <w:szCs w:val="21"/>
        </w:rPr>
        <w:tab/>
      </w:r>
      <w:r>
        <w:rPr>
          <w:rFonts w:hint="eastAsia"/>
          <w:b w:val="0"/>
          <w:bCs w:val="0"/>
          <w:sz w:val="21"/>
          <w:szCs w:val="21"/>
        </w:rPr>
        <w:tab/>
      </w:r>
      <w:r>
        <w:rPr>
          <w:rFonts w:hint="eastAsia"/>
          <w:b w:val="0"/>
          <w:bCs w:val="0"/>
          <w:sz w:val="21"/>
          <w:szCs w:val="21"/>
        </w:rPr>
        <w:t>电容式</w:t>
      </w:r>
    </w:p>
    <w:p w14:paraId="521751CC">
      <w:pPr>
        <w:spacing w:line="360" w:lineRule="auto"/>
        <w:rPr>
          <w:rFonts w:hint="eastAsia"/>
          <w:b w:val="0"/>
          <w:bCs w:val="0"/>
          <w:sz w:val="21"/>
          <w:szCs w:val="21"/>
        </w:rPr>
      </w:pPr>
      <w:r>
        <w:rPr>
          <w:rFonts w:hint="eastAsia"/>
          <w:b w:val="0"/>
          <w:bCs w:val="0"/>
          <w:sz w:val="21"/>
          <w:szCs w:val="21"/>
        </w:rPr>
        <w:t>（2）安装方式：</w:t>
      </w:r>
      <w:r>
        <w:rPr>
          <w:rFonts w:hint="eastAsia"/>
          <w:b w:val="0"/>
          <w:bCs w:val="0"/>
          <w:sz w:val="21"/>
          <w:szCs w:val="21"/>
        </w:rPr>
        <w:tab/>
      </w:r>
      <w:r>
        <w:rPr>
          <w:rFonts w:hint="eastAsia"/>
          <w:b w:val="0"/>
          <w:bCs w:val="0"/>
          <w:sz w:val="21"/>
          <w:szCs w:val="21"/>
        </w:rPr>
        <w:tab/>
      </w:r>
      <w:r>
        <w:rPr>
          <w:rFonts w:hint="eastAsia"/>
          <w:b w:val="0"/>
          <w:bCs w:val="0"/>
          <w:sz w:val="21"/>
          <w:szCs w:val="21"/>
        </w:rPr>
        <w:tab/>
      </w:r>
      <w:r>
        <w:rPr>
          <w:rFonts w:hint="eastAsia"/>
          <w:b w:val="0"/>
          <w:bCs w:val="0"/>
          <w:sz w:val="21"/>
          <w:szCs w:val="21"/>
        </w:rPr>
        <w:t>户外独立支柱安装</w:t>
      </w:r>
    </w:p>
    <w:p w14:paraId="02AD63BC">
      <w:pPr>
        <w:spacing w:line="360" w:lineRule="auto"/>
        <w:rPr>
          <w:rFonts w:hint="eastAsia"/>
          <w:b w:val="0"/>
          <w:bCs w:val="0"/>
          <w:sz w:val="21"/>
          <w:szCs w:val="21"/>
        </w:rPr>
      </w:pPr>
      <w:r>
        <w:rPr>
          <w:rFonts w:hint="eastAsia"/>
          <w:b w:val="0"/>
          <w:bCs w:val="0"/>
          <w:sz w:val="21"/>
          <w:szCs w:val="21"/>
        </w:rPr>
        <w:t>（3）最高电压：</w:t>
      </w:r>
      <w:r>
        <w:rPr>
          <w:rFonts w:hint="eastAsia"/>
          <w:b w:val="0"/>
          <w:bCs w:val="0"/>
          <w:sz w:val="21"/>
          <w:szCs w:val="21"/>
        </w:rPr>
        <w:tab/>
      </w:r>
      <w:r>
        <w:rPr>
          <w:rFonts w:hint="eastAsia"/>
          <w:b w:val="0"/>
          <w:bCs w:val="0"/>
          <w:sz w:val="21"/>
          <w:szCs w:val="21"/>
        </w:rPr>
        <w:tab/>
      </w:r>
      <w:r>
        <w:rPr>
          <w:rFonts w:hint="eastAsia"/>
          <w:b w:val="0"/>
          <w:bCs w:val="0"/>
          <w:sz w:val="21"/>
          <w:szCs w:val="21"/>
        </w:rPr>
        <w:tab/>
      </w:r>
      <w:r>
        <w:rPr>
          <w:rFonts w:hint="eastAsia"/>
          <w:b w:val="0"/>
          <w:bCs w:val="0"/>
          <w:sz w:val="21"/>
          <w:szCs w:val="21"/>
        </w:rPr>
        <w:t>550kV</w:t>
      </w:r>
    </w:p>
    <w:p w14:paraId="7F202BC7">
      <w:pPr>
        <w:spacing w:line="360" w:lineRule="auto"/>
        <w:rPr>
          <w:rFonts w:hint="eastAsia"/>
          <w:b w:val="0"/>
          <w:bCs w:val="0"/>
          <w:sz w:val="21"/>
          <w:szCs w:val="21"/>
        </w:rPr>
      </w:pPr>
      <w:r>
        <w:rPr>
          <w:rFonts w:hint="eastAsia"/>
          <w:b w:val="0"/>
          <w:bCs w:val="0"/>
          <w:sz w:val="21"/>
          <w:szCs w:val="21"/>
        </w:rPr>
        <w:t>（4）额定频率：</w:t>
      </w:r>
      <w:r>
        <w:rPr>
          <w:rFonts w:hint="eastAsia"/>
          <w:b w:val="0"/>
          <w:bCs w:val="0"/>
          <w:sz w:val="21"/>
          <w:szCs w:val="21"/>
        </w:rPr>
        <w:tab/>
      </w:r>
      <w:r>
        <w:rPr>
          <w:rFonts w:hint="eastAsia"/>
          <w:b w:val="0"/>
          <w:bCs w:val="0"/>
          <w:sz w:val="21"/>
          <w:szCs w:val="21"/>
        </w:rPr>
        <w:tab/>
      </w:r>
      <w:r>
        <w:rPr>
          <w:rFonts w:hint="eastAsia"/>
          <w:b w:val="0"/>
          <w:bCs w:val="0"/>
          <w:sz w:val="21"/>
          <w:szCs w:val="21"/>
        </w:rPr>
        <w:tab/>
      </w:r>
      <w:r>
        <w:rPr>
          <w:rFonts w:hint="eastAsia"/>
          <w:b w:val="0"/>
          <w:bCs w:val="0"/>
          <w:sz w:val="21"/>
          <w:szCs w:val="21"/>
        </w:rPr>
        <w:t>50Hz</w:t>
      </w:r>
    </w:p>
    <w:tbl>
      <w:tblPr>
        <w:tblStyle w:val="62"/>
        <w:tblpPr w:leftFromText="180" w:rightFromText="180" w:vertAnchor="text" w:horzAnchor="page" w:tblpX="1517" w:tblpY="512"/>
        <w:tblOverlap w:val="never"/>
        <w:tblW w:w="908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2041"/>
        <w:gridCol w:w="704"/>
        <w:gridCol w:w="5242"/>
      </w:tblGrid>
      <w:tr w14:paraId="2A78DE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2" w:hRule="atLeast"/>
          <w:tblHeader/>
        </w:trPr>
        <w:tc>
          <w:tcPr>
            <w:tcW w:w="1095" w:type="dxa"/>
            <w:noWrap w:val="0"/>
            <w:vAlign w:val="center"/>
          </w:tcPr>
          <w:p w14:paraId="6249AD5F">
            <w:pPr>
              <w:keepNext/>
              <w:keepLines/>
              <w:adjustRightInd w:val="0"/>
              <w:spacing w:before="156" w:beforeLines="50" w:after="156" w:afterLines="50" w:line="240" w:lineRule="auto"/>
              <w:jc w:val="center"/>
              <w:textAlignment w:val="baseline"/>
              <w:outlineLvl w:val="1"/>
              <w:rPr>
                <w:rFonts w:hint="eastAsia" w:ascii="宋体" w:hAnsi="宋体" w:eastAsia="宋体" w:cs="宋体"/>
                <w:b w:val="0"/>
                <w:bCs w:val="0"/>
                <w:kern w:val="0"/>
                <w:sz w:val="21"/>
                <w:szCs w:val="21"/>
                <w:highlight w:val="yellow"/>
              </w:rPr>
            </w:pPr>
            <w:r>
              <w:rPr>
                <w:rFonts w:hint="eastAsia" w:ascii="宋体" w:hAnsi="宋体" w:eastAsia="宋体" w:cs="宋体"/>
                <w:b w:val="0"/>
                <w:bCs w:val="0"/>
                <w:kern w:val="0"/>
                <w:sz w:val="21"/>
                <w:szCs w:val="21"/>
                <w:highlight w:val="yellow"/>
              </w:rPr>
              <w:t>序号</w:t>
            </w:r>
          </w:p>
        </w:tc>
        <w:tc>
          <w:tcPr>
            <w:tcW w:w="2041" w:type="dxa"/>
            <w:noWrap w:val="0"/>
            <w:vAlign w:val="center"/>
          </w:tcPr>
          <w:p w14:paraId="037BA589">
            <w:pPr>
              <w:keepNext/>
              <w:keepLines/>
              <w:adjustRightInd w:val="0"/>
              <w:spacing w:before="156" w:beforeLines="50" w:after="156" w:afterLines="50" w:line="240" w:lineRule="auto"/>
              <w:jc w:val="center"/>
              <w:textAlignment w:val="baseline"/>
              <w:outlineLvl w:val="1"/>
              <w:rPr>
                <w:rFonts w:hint="eastAsia" w:ascii="宋体" w:hAnsi="宋体" w:eastAsia="宋体" w:cs="宋体"/>
                <w:b w:val="0"/>
                <w:bCs w:val="0"/>
                <w:kern w:val="0"/>
                <w:sz w:val="21"/>
                <w:szCs w:val="21"/>
                <w:highlight w:val="yellow"/>
              </w:rPr>
            </w:pPr>
            <w:r>
              <w:rPr>
                <w:rFonts w:hint="eastAsia" w:ascii="宋体" w:hAnsi="宋体" w:eastAsia="宋体" w:cs="宋体"/>
                <w:b w:val="0"/>
                <w:bCs w:val="0"/>
                <w:kern w:val="0"/>
                <w:sz w:val="21"/>
                <w:szCs w:val="21"/>
                <w:highlight w:val="yellow"/>
              </w:rPr>
              <w:t>内容</w:t>
            </w:r>
          </w:p>
        </w:tc>
        <w:tc>
          <w:tcPr>
            <w:tcW w:w="704" w:type="dxa"/>
            <w:noWrap w:val="0"/>
            <w:vAlign w:val="center"/>
          </w:tcPr>
          <w:p w14:paraId="4796EE49">
            <w:pPr>
              <w:keepNext/>
              <w:keepLines/>
              <w:adjustRightInd w:val="0"/>
              <w:spacing w:before="156" w:beforeLines="50" w:after="156" w:afterLines="50" w:line="240" w:lineRule="auto"/>
              <w:jc w:val="center"/>
              <w:textAlignment w:val="baseline"/>
              <w:outlineLvl w:val="1"/>
              <w:rPr>
                <w:rFonts w:hint="eastAsia" w:ascii="宋体" w:hAnsi="宋体" w:eastAsia="宋体" w:cs="宋体"/>
                <w:b w:val="0"/>
                <w:bCs w:val="0"/>
                <w:kern w:val="0"/>
                <w:sz w:val="21"/>
                <w:szCs w:val="21"/>
                <w:highlight w:val="yellow"/>
              </w:rPr>
            </w:pPr>
            <w:r>
              <w:rPr>
                <w:rFonts w:hint="eastAsia" w:ascii="宋体" w:hAnsi="宋体" w:eastAsia="宋体" w:cs="宋体"/>
                <w:b w:val="0"/>
                <w:bCs w:val="0"/>
                <w:kern w:val="0"/>
                <w:sz w:val="21"/>
                <w:szCs w:val="21"/>
                <w:highlight w:val="yellow"/>
              </w:rPr>
              <w:t>单位</w:t>
            </w:r>
          </w:p>
        </w:tc>
        <w:tc>
          <w:tcPr>
            <w:tcW w:w="5242" w:type="dxa"/>
            <w:noWrap w:val="0"/>
            <w:vAlign w:val="center"/>
          </w:tcPr>
          <w:p w14:paraId="7A9B94E3">
            <w:pPr>
              <w:keepNext/>
              <w:keepLines/>
              <w:adjustRightInd w:val="0"/>
              <w:spacing w:before="156" w:beforeLines="50" w:after="156" w:afterLines="50" w:line="240" w:lineRule="auto"/>
              <w:jc w:val="center"/>
              <w:textAlignment w:val="baseline"/>
              <w:outlineLvl w:val="1"/>
              <w:rPr>
                <w:rFonts w:hint="eastAsia" w:ascii="宋体" w:hAnsi="宋体" w:eastAsia="宋体" w:cs="宋体"/>
                <w:b w:val="0"/>
                <w:bCs w:val="0"/>
                <w:kern w:val="0"/>
                <w:sz w:val="21"/>
                <w:szCs w:val="21"/>
                <w:highlight w:val="yellow"/>
              </w:rPr>
            </w:pPr>
            <w:r>
              <w:rPr>
                <w:rFonts w:hint="eastAsia" w:ascii="宋体" w:hAnsi="宋体" w:eastAsia="宋体" w:cs="宋体"/>
                <w:b w:val="0"/>
                <w:bCs w:val="0"/>
                <w:kern w:val="0"/>
                <w:sz w:val="21"/>
                <w:szCs w:val="21"/>
                <w:highlight w:val="yellow"/>
              </w:rPr>
              <w:t>电压互感器</w:t>
            </w:r>
          </w:p>
        </w:tc>
      </w:tr>
      <w:tr w14:paraId="52D054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1095" w:type="dxa"/>
            <w:noWrap w:val="0"/>
            <w:vAlign w:val="center"/>
          </w:tcPr>
          <w:p w14:paraId="5B717AA5">
            <w:pPr>
              <w:keepNext/>
              <w:keepLines/>
              <w:adjustRightInd w:val="0"/>
              <w:spacing w:before="156" w:beforeLines="50" w:after="156" w:afterLines="50" w:line="240" w:lineRule="auto"/>
              <w:jc w:val="center"/>
              <w:textAlignment w:val="baseline"/>
              <w:outlineLvl w:val="1"/>
              <w:rPr>
                <w:rFonts w:hint="eastAsia" w:ascii="宋体" w:hAnsi="宋体" w:eastAsia="宋体" w:cs="宋体"/>
                <w:b w:val="0"/>
                <w:bCs w:val="0"/>
                <w:kern w:val="0"/>
                <w:sz w:val="21"/>
                <w:szCs w:val="21"/>
                <w:highlight w:val="yellow"/>
              </w:rPr>
            </w:pPr>
            <w:r>
              <w:rPr>
                <w:rFonts w:hint="eastAsia" w:ascii="宋体" w:hAnsi="宋体" w:eastAsia="宋体" w:cs="宋体"/>
                <w:b w:val="0"/>
                <w:bCs w:val="0"/>
                <w:kern w:val="0"/>
                <w:sz w:val="21"/>
                <w:szCs w:val="21"/>
                <w:highlight w:val="yellow"/>
              </w:rPr>
              <w:t>1</w:t>
            </w:r>
          </w:p>
        </w:tc>
        <w:tc>
          <w:tcPr>
            <w:tcW w:w="2041" w:type="dxa"/>
            <w:noWrap w:val="0"/>
            <w:vAlign w:val="center"/>
          </w:tcPr>
          <w:p w14:paraId="354F16A3">
            <w:pPr>
              <w:keepNext/>
              <w:keepLines/>
              <w:adjustRightInd w:val="0"/>
              <w:spacing w:before="156" w:beforeLines="50" w:after="156" w:afterLines="50" w:line="240" w:lineRule="auto"/>
              <w:jc w:val="left"/>
              <w:textAlignment w:val="baseline"/>
              <w:outlineLvl w:val="1"/>
              <w:rPr>
                <w:rFonts w:hint="eastAsia" w:ascii="宋体" w:hAnsi="宋体" w:eastAsia="宋体" w:cs="宋体"/>
                <w:b w:val="0"/>
                <w:bCs w:val="0"/>
                <w:kern w:val="0"/>
                <w:sz w:val="21"/>
                <w:szCs w:val="21"/>
                <w:highlight w:val="yellow"/>
              </w:rPr>
            </w:pPr>
            <w:r>
              <w:rPr>
                <w:rFonts w:hint="eastAsia" w:ascii="宋体" w:hAnsi="宋体" w:eastAsia="宋体" w:cs="宋体"/>
                <w:b w:val="0"/>
                <w:bCs w:val="0"/>
                <w:kern w:val="0"/>
                <w:sz w:val="21"/>
                <w:szCs w:val="21"/>
                <w:highlight w:val="yellow"/>
              </w:rPr>
              <w:t>额定一次电压</w:t>
            </w:r>
          </w:p>
        </w:tc>
        <w:tc>
          <w:tcPr>
            <w:tcW w:w="704" w:type="dxa"/>
            <w:noWrap w:val="0"/>
            <w:vAlign w:val="center"/>
          </w:tcPr>
          <w:p w14:paraId="4332B1D7">
            <w:pPr>
              <w:keepNext/>
              <w:keepLines/>
              <w:adjustRightInd w:val="0"/>
              <w:spacing w:before="156" w:beforeLines="50" w:after="156" w:afterLines="50" w:line="240" w:lineRule="auto"/>
              <w:jc w:val="center"/>
              <w:textAlignment w:val="baseline"/>
              <w:outlineLvl w:val="1"/>
              <w:rPr>
                <w:rFonts w:hint="eastAsia" w:ascii="宋体" w:hAnsi="宋体" w:eastAsia="宋体" w:cs="宋体"/>
                <w:b w:val="0"/>
                <w:bCs w:val="0"/>
                <w:kern w:val="0"/>
                <w:sz w:val="21"/>
                <w:szCs w:val="21"/>
                <w:highlight w:val="yellow"/>
              </w:rPr>
            </w:pPr>
            <w:r>
              <w:rPr>
                <w:rFonts w:hint="eastAsia" w:ascii="宋体" w:hAnsi="宋体" w:eastAsia="宋体" w:cs="宋体"/>
                <w:b w:val="0"/>
                <w:bCs w:val="0"/>
                <w:kern w:val="0"/>
                <w:sz w:val="21"/>
                <w:szCs w:val="21"/>
                <w:highlight w:val="yellow"/>
              </w:rPr>
              <w:t>kV</w:t>
            </w:r>
          </w:p>
        </w:tc>
        <w:tc>
          <w:tcPr>
            <w:tcW w:w="5242" w:type="dxa"/>
            <w:noWrap w:val="0"/>
            <w:vAlign w:val="center"/>
          </w:tcPr>
          <w:p w14:paraId="48873044">
            <w:pPr>
              <w:keepNext/>
              <w:keepLines/>
              <w:adjustRightInd w:val="0"/>
              <w:spacing w:before="156" w:beforeLines="50" w:after="156" w:afterLines="50" w:line="240" w:lineRule="auto"/>
              <w:jc w:val="center"/>
              <w:textAlignment w:val="baseline"/>
              <w:outlineLvl w:val="1"/>
              <w:rPr>
                <w:rFonts w:hint="eastAsia" w:ascii="宋体" w:hAnsi="宋体" w:eastAsia="宋体" w:cs="宋体"/>
                <w:b w:val="0"/>
                <w:bCs w:val="0"/>
                <w:kern w:val="0"/>
                <w:sz w:val="21"/>
                <w:szCs w:val="21"/>
                <w:highlight w:val="yellow"/>
              </w:rPr>
            </w:pPr>
            <w:r>
              <w:rPr>
                <w:rFonts w:hint="eastAsia" w:ascii="宋体" w:hAnsi="宋体" w:eastAsia="宋体" w:cs="宋体"/>
                <w:b w:val="0"/>
                <w:bCs w:val="0"/>
                <w:kern w:val="0"/>
                <w:sz w:val="21"/>
                <w:szCs w:val="21"/>
                <w:highlight w:val="yellow"/>
              </w:rPr>
              <w:t>500/</w:t>
            </w:r>
            <w:r>
              <w:rPr>
                <w:rFonts w:hint="eastAsia" w:ascii="宋体" w:hAnsi="宋体" w:eastAsia="宋体" w:cs="宋体"/>
                <w:b w:val="0"/>
                <w:bCs w:val="0"/>
                <w:kern w:val="0"/>
                <w:sz w:val="21"/>
                <w:szCs w:val="21"/>
                <w:highlight w:val="yellow"/>
              </w:rPr>
              <w:object>
                <v:shape id="_x0000_i1025" o:spt="75" type="#_x0000_t75" style="height:17pt;width:18pt;" o:ole="t" filled="f" o:preferrelative="t" stroked="f" coordsize="21600,21600">
                  <v:path/>
                  <v:fill on="f" focussize="0,0"/>
                  <v:stroke on="f"/>
                  <v:imagedata r:id="rId16" o:title=""/>
                  <o:lock v:ext="edit" aspectratio="f"/>
                  <w10:wrap type="none"/>
                  <w10:anchorlock/>
                </v:shape>
                <o:OLEObject Type="Embed" ProgID="Equation.2" ShapeID="_x0000_i1025" DrawAspect="Content" ObjectID="_1468075725" r:id="rId15">
                  <o:LockedField>false</o:LockedField>
                </o:OLEObject>
              </w:object>
            </w:r>
          </w:p>
        </w:tc>
      </w:tr>
      <w:tr w14:paraId="6FCC29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095" w:type="dxa"/>
            <w:noWrap w:val="0"/>
            <w:vAlign w:val="center"/>
          </w:tcPr>
          <w:p w14:paraId="0E24EB09">
            <w:pPr>
              <w:keepNext/>
              <w:keepLines/>
              <w:adjustRightInd w:val="0"/>
              <w:spacing w:before="156" w:beforeLines="50" w:after="156" w:afterLines="50" w:line="240" w:lineRule="auto"/>
              <w:jc w:val="center"/>
              <w:textAlignment w:val="baseline"/>
              <w:outlineLvl w:val="1"/>
              <w:rPr>
                <w:rFonts w:hint="eastAsia" w:ascii="宋体" w:hAnsi="宋体" w:eastAsia="宋体" w:cs="宋体"/>
                <w:b w:val="0"/>
                <w:bCs w:val="0"/>
                <w:kern w:val="0"/>
                <w:sz w:val="21"/>
                <w:szCs w:val="21"/>
                <w:highlight w:val="yellow"/>
              </w:rPr>
            </w:pPr>
            <w:r>
              <w:rPr>
                <w:rFonts w:hint="eastAsia" w:ascii="宋体" w:hAnsi="宋体" w:eastAsia="宋体" w:cs="宋体"/>
                <w:b w:val="0"/>
                <w:bCs w:val="0"/>
                <w:kern w:val="0"/>
                <w:sz w:val="21"/>
                <w:szCs w:val="21"/>
                <w:highlight w:val="yellow"/>
              </w:rPr>
              <w:t>2</w:t>
            </w:r>
          </w:p>
        </w:tc>
        <w:tc>
          <w:tcPr>
            <w:tcW w:w="2041" w:type="dxa"/>
            <w:noWrap w:val="0"/>
            <w:vAlign w:val="center"/>
          </w:tcPr>
          <w:p w14:paraId="762403FC">
            <w:pPr>
              <w:keepNext/>
              <w:keepLines/>
              <w:adjustRightInd w:val="0"/>
              <w:spacing w:before="156" w:beforeLines="50" w:after="156" w:afterLines="50" w:line="240" w:lineRule="auto"/>
              <w:jc w:val="left"/>
              <w:textAlignment w:val="baseline"/>
              <w:outlineLvl w:val="1"/>
              <w:rPr>
                <w:rFonts w:hint="eastAsia" w:ascii="宋体" w:hAnsi="宋体" w:eastAsia="宋体" w:cs="宋体"/>
                <w:b w:val="0"/>
                <w:bCs w:val="0"/>
                <w:kern w:val="0"/>
                <w:sz w:val="21"/>
                <w:szCs w:val="21"/>
                <w:highlight w:val="yellow"/>
              </w:rPr>
            </w:pPr>
            <w:r>
              <w:rPr>
                <w:rFonts w:hint="eastAsia" w:ascii="宋体" w:hAnsi="宋体" w:eastAsia="宋体" w:cs="宋体"/>
                <w:b w:val="0"/>
                <w:bCs w:val="0"/>
                <w:kern w:val="0"/>
                <w:sz w:val="21"/>
                <w:szCs w:val="21"/>
                <w:highlight w:val="yellow"/>
              </w:rPr>
              <w:t>额定二次电压</w:t>
            </w:r>
          </w:p>
        </w:tc>
        <w:tc>
          <w:tcPr>
            <w:tcW w:w="704" w:type="dxa"/>
            <w:noWrap w:val="0"/>
            <w:vAlign w:val="center"/>
          </w:tcPr>
          <w:p w14:paraId="3ACEE0BB">
            <w:pPr>
              <w:keepNext/>
              <w:keepLines/>
              <w:adjustRightInd w:val="0"/>
              <w:spacing w:before="156" w:beforeLines="50" w:after="156" w:afterLines="50" w:line="240" w:lineRule="auto"/>
              <w:jc w:val="center"/>
              <w:textAlignment w:val="baseline"/>
              <w:outlineLvl w:val="1"/>
              <w:rPr>
                <w:rFonts w:hint="eastAsia" w:ascii="宋体" w:hAnsi="宋体" w:eastAsia="宋体" w:cs="宋体"/>
                <w:b w:val="0"/>
                <w:bCs w:val="0"/>
                <w:kern w:val="0"/>
                <w:sz w:val="21"/>
                <w:szCs w:val="21"/>
                <w:highlight w:val="yellow"/>
              </w:rPr>
            </w:pPr>
            <w:r>
              <w:rPr>
                <w:rFonts w:hint="eastAsia" w:ascii="宋体" w:hAnsi="宋体" w:eastAsia="宋体" w:cs="宋体"/>
                <w:b w:val="0"/>
                <w:bCs w:val="0"/>
                <w:kern w:val="0"/>
                <w:sz w:val="21"/>
                <w:szCs w:val="21"/>
                <w:highlight w:val="yellow"/>
              </w:rPr>
              <w:t>kV</w:t>
            </w:r>
          </w:p>
        </w:tc>
        <w:tc>
          <w:tcPr>
            <w:tcW w:w="5242" w:type="dxa"/>
            <w:noWrap w:val="0"/>
            <w:vAlign w:val="top"/>
          </w:tcPr>
          <w:p w14:paraId="25D167FD">
            <w:pPr>
              <w:keepNext/>
              <w:keepLines/>
              <w:adjustRightInd w:val="0"/>
              <w:spacing w:before="156" w:beforeLines="50" w:after="156" w:afterLines="50" w:line="240" w:lineRule="auto"/>
              <w:jc w:val="center"/>
              <w:textAlignment w:val="baseline"/>
              <w:outlineLvl w:val="1"/>
              <w:rPr>
                <w:rFonts w:hint="eastAsia" w:ascii="宋体" w:hAnsi="宋体" w:eastAsia="宋体" w:cs="宋体"/>
                <w:b w:val="0"/>
                <w:bCs w:val="0"/>
                <w:kern w:val="0"/>
                <w:sz w:val="21"/>
                <w:szCs w:val="21"/>
                <w:highlight w:val="yellow"/>
              </w:rPr>
            </w:pPr>
            <w:r>
              <w:rPr>
                <w:rFonts w:hint="eastAsia" w:ascii="宋体" w:hAnsi="宋体" w:eastAsia="宋体" w:cs="宋体"/>
                <w:b w:val="0"/>
                <w:bCs w:val="0"/>
                <w:kern w:val="0"/>
                <w:sz w:val="21"/>
                <w:szCs w:val="21"/>
                <w:highlight w:val="yellow"/>
              </w:rPr>
              <w:t>0.1/</w:t>
            </w:r>
            <w:r>
              <w:rPr>
                <w:rFonts w:hint="eastAsia" w:ascii="宋体" w:hAnsi="宋体" w:eastAsia="宋体" w:cs="宋体"/>
                <w:b w:val="0"/>
                <w:bCs w:val="0"/>
                <w:kern w:val="0"/>
                <w:sz w:val="21"/>
                <w:szCs w:val="21"/>
                <w:highlight w:val="yellow"/>
              </w:rPr>
              <w:object>
                <v:shape id="_x0000_i1026" o:spt="75" type="#_x0000_t75" style="height:17pt;width:18pt;" o:ole="t" filled="f" o:preferrelative="t" stroked="f" coordsize="21600,21600">
                  <v:path/>
                  <v:fill on="f" focussize="0,0"/>
                  <v:stroke on="f"/>
                  <v:imagedata r:id="rId18" o:title=""/>
                  <o:lock v:ext="edit" aspectratio="f"/>
                  <w10:wrap type="none"/>
                  <w10:anchorlock/>
                </v:shape>
                <o:OLEObject Type="Embed" ProgID="Equation.2" ShapeID="_x0000_i1026" DrawAspect="Content" ObjectID="_1468075726" r:id="rId17">
                  <o:LockedField>false</o:LockedField>
                </o:OLEObject>
              </w:object>
            </w:r>
            <w:r>
              <w:rPr>
                <w:rFonts w:hint="eastAsia" w:ascii="宋体" w:hAnsi="宋体" w:eastAsia="宋体" w:cs="宋体"/>
                <w:b w:val="0"/>
                <w:bCs w:val="0"/>
                <w:kern w:val="0"/>
                <w:sz w:val="21"/>
                <w:szCs w:val="21"/>
                <w:highlight w:val="yellow"/>
              </w:rPr>
              <w:t>，0.1/</w:t>
            </w:r>
            <w:r>
              <w:rPr>
                <w:rFonts w:hint="eastAsia" w:ascii="宋体" w:hAnsi="宋体" w:eastAsia="宋体" w:cs="宋体"/>
                <w:b w:val="0"/>
                <w:bCs w:val="0"/>
                <w:kern w:val="0"/>
                <w:sz w:val="21"/>
                <w:szCs w:val="21"/>
                <w:highlight w:val="yellow"/>
              </w:rPr>
              <w:object>
                <v:shape id="_x0000_i1027" o:spt="75" type="#_x0000_t75" style="height:17pt;width:18pt;" o:ole="t" filled="f" o:preferrelative="t" stroked="f" coordsize="21600,21600">
                  <v:path/>
                  <v:fill on="f" focussize="0,0"/>
                  <v:stroke on="f"/>
                  <v:imagedata r:id="rId20" o:title=""/>
                  <o:lock v:ext="edit" aspectratio="f"/>
                  <w10:wrap type="none"/>
                  <w10:anchorlock/>
                </v:shape>
                <o:OLEObject Type="Embed" ProgID="Equation.2" ShapeID="_x0000_i1027" DrawAspect="Content" ObjectID="_1468075727" r:id="rId19">
                  <o:LockedField>false</o:LockedField>
                </o:OLEObject>
              </w:object>
            </w:r>
            <w:r>
              <w:rPr>
                <w:rFonts w:hint="eastAsia" w:ascii="宋体" w:hAnsi="宋体" w:eastAsia="宋体" w:cs="宋体"/>
                <w:b w:val="0"/>
                <w:bCs w:val="0"/>
                <w:kern w:val="0"/>
                <w:sz w:val="21"/>
                <w:szCs w:val="21"/>
                <w:highlight w:val="yellow"/>
              </w:rPr>
              <w:t>，0.1</w:t>
            </w:r>
            <w:r>
              <w:rPr>
                <w:rFonts w:hint="eastAsia" w:ascii="宋体" w:hAnsi="宋体" w:eastAsia="宋体" w:cs="宋体"/>
                <w:b w:val="0"/>
                <w:bCs w:val="0"/>
                <w:kern w:val="0"/>
                <w:sz w:val="21"/>
                <w:szCs w:val="21"/>
                <w:highlight w:val="yellow"/>
                <w:lang w:eastAsia="zh-CN"/>
              </w:rPr>
              <w:t>，</w:t>
            </w:r>
            <w:r>
              <w:rPr>
                <w:rFonts w:hint="eastAsia" w:ascii="宋体" w:hAnsi="宋体" w:eastAsia="宋体" w:cs="宋体"/>
                <w:b w:val="0"/>
                <w:bCs w:val="0"/>
                <w:kern w:val="0"/>
                <w:sz w:val="21"/>
                <w:szCs w:val="21"/>
                <w:highlight w:val="yellow"/>
              </w:rPr>
              <w:t>0.1</w:t>
            </w:r>
          </w:p>
        </w:tc>
      </w:tr>
      <w:tr w14:paraId="2FF03E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095" w:type="dxa"/>
            <w:noWrap w:val="0"/>
            <w:vAlign w:val="center"/>
          </w:tcPr>
          <w:p w14:paraId="67844735">
            <w:pPr>
              <w:keepNext/>
              <w:keepLines/>
              <w:adjustRightInd w:val="0"/>
              <w:spacing w:before="156" w:beforeLines="50" w:after="156" w:afterLines="50" w:line="240" w:lineRule="auto"/>
              <w:jc w:val="center"/>
              <w:textAlignment w:val="baseline"/>
              <w:outlineLvl w:val="1"/>
              <w:rPr>
                <w:rFonts w:hint="eastAsia" w:ascii="宋体" w:hAnsi="宋体" w:eastAsia="宋体" w:cs="宋体"/>
                <w:b w:val="0"/>
                <w:bCs w:val="0"/>
                <w:kern w:val="0"/>
                <w:sz w:val="21"/>
                <w:szCs w:val="21"/>
                <w:highlight w:val="yellow"/>
              </w:rPr>
            </w:pPr>
            <w:r>
              <w:rPr>
                <w:rFonts w:hint="eastAsia" w:ascii="宋体" w:hAnsi="宋体" w:eastAsia="宋体" w:cs="宋体"/>
                <w:b w:val="0"/>
                <w:bCs w:val="0"/>
                <w:kern w:val="0"/>
                <w:sz w:val="21"/>
                <w:szCs w:val="21"/>
                <w:highlight w:val="yellow"/>
              </w:rPr>
              <w:t>4</w:t>
            </w:r>
          </w:p>
        </w:tc>
        <w:tc>
          <w:tcPr>
            <w:tcW w:w="2041" w:type="dxa"/>
            <w:noWrap w:val="0"/>
            <w:vAlign w:val="center"/>
          </w:tcPr>
          <w:p w14:paraId="325DCE7F">
            <w:pPr>
              <w:keepNext/>
              <w:keepLines/>
              <w:adjustRightInd w:val="0"/>
              <w:spacing w:before="156" w:beforeLines="50" w:after="156" w:afterLines="50" w:line="240" w:lineRule="auto"/>
              <w:jc w:val="left"/>
              <w:textAlignment w:val="baseline"/>
              <w:outlineLvl w:val="1"/>
              <w:rPr>
                <w:rFonts w:hint="eastAsia" w:ascii="宋体" w:hAnsi="宋体" w:eastAsia="宋体" w:cs="宋体"/>
                <w:b w:val="0"/>
                <w:bCs w:val="0"/>
                <w:kern w:val="0"/>
                <w:sz w:val="21"/>
                <w:szCs w:val="21"/>
                <w:highlight w:val="yellow"/>
              </w:rPr>
            </w:pPr>
            <w:r>
              <w:rPr>
                <w:rFonts w:hint="eastAsia" w:ascii="宋体" w:hAnsi="宋体" w:eastAsia="宋体" w:cs="宋体"/>
                <w:b w:val="0"/>
                <w:bCs w:val="0"/>
                <w:kern w:val="0"/>
                <w:sz w:val="21"/>
                <w:szCs w:val="21"/>
                <w:highlight w:val="yellow"/>
              </w:rPr>
              <w:t>二次绕组数量</w:t>
            </w:r>
          </w:p>
        </w:tc>
        <w:tc>
          <w:tcPr>
            <w:tcW w:w="704" w:type="dxa"/>
            <w:noWrap w:val="0"/>
            <w:vAlign w:val="center"/>
          </w:tcPr>
          <w:p w14:paraId="30BC9BD9">
            <w:pPr>
              <w:keepNext/>
              <w:keepLines/>
              <w:adjustRightInd w:val="0"/>
              <w:spacing w:before="156" w:beforeLines="50" w:after="156" w:afterLines="50" w:line="240" w:lineRule="auto"/>
              <w:jc w:val="center"/>
              <w:textAlignment w:val="baseline"/>
              <w:outlineLvl w:val="1"/>
              <w:rPr>
                <w:rFonts w:hint="eastAsia" w:ascii="宋体" w:hAnsi="宋体" w:eastAsia="宋体" w:cs="宋体"/>
                <w:b w:val="0"/>
                <w:bCs w:val="0"/>
                <w:kern w:val="0"/>
                <w:sz w:val="21"/>
                <w:szCs w:val="21"/>
                <w:highlight w:val="yellow"/>
              </w:rPr>
            </w:pPr>
            <w:r>
              <w:rPr>
                <w:rFonts w:hint="eastAsia" w:ascii="宋体" w:hAnsi="宋体" w:eastAsia="宋体" w:cs="宋体"/>
                <w:b w:val="0"/>
                <w:bCs w:val="0"/>
                <w:kern w:val="0"/>
                <w:sz w:val="21"/>
                <w:szCs w:val="21"/>
                <w:highlight w:val="yellow"/>
              </w:rPr>
              <w:t>个</w:t>
            </w:r>
          </w:p>
        </w:tc>
        <w:tc>
          <w:tcPr>
            <w:tcW w:w="5242" w:type="dxa"/>
            <w:noWrap w:val="0"/>
            <w:vAlign w:val="top"/>
          </w:tcPr>
          <w:p w14:paraId="216D8BB4">
            <w:pPr>
              <w:keepNext/>
              <w:keepLines/>
              <w:adjustRightInd w:val="0"/>
              <w:spacing w:before="156" w:beforeLines="50" w:after="156" w:afterLines="50" w:line="240" w:lineRule="auto"/>
              <w:jc w:val="center"/>
              <w:textAlignment w:val="baseline"/>
              <w:outlineLvl w:val="1"/>
              <w:rPr>
                <w:rFonts w:hint="eastAsia" w:ascii="宋体" w:hAnsi="宋体" w:eastAsia="宋体" w:cs="宋体"/>
                <w:b w:val="0"/>
                <w:bCs w:val="0"/>
                <w:kern w:val="0"/>
                <w:sz w:val="21"/>
                <w:szCs w:val="21"/>
                <w:highlight w:val="yellow"/>
              </w:rPr>
            </w:pPr>
            <w:r>
              <w:rPr>
                <w:rFonts w:hint="eastAsia" w:ascii="宋体" w:hAnsi="宋体" w:eastAsia="宋体" w:cs="宋体"/>
                <w:b w:val="0"/>
                <w:bCs w:val="0"/>
                <w:kern w:val="0"/>
                <w:sz w:val="21"/>
                <w:szCs w:val="21"/>
                <w:highlight w:val="yellow"/>
              </w:rPr>
              <w:t>4</w:t>
            </w:r>
          </w:p>
        </w:tc>
      </w:tr>
      <w:tr w14:paraId="6FE2A8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095" w:type="dxa"/>
            <w:noWrap w:val="0"/>
            <w:vAlign w:val="center"/>
          </w:tcPr>
          <w:p w14:paraId="39F83F2B">
            <w:pPr>
              <w:keepNext/>
              <w:keepLines/>
              <w:adjustRightInd w:val="0"/>
              <w:spacing w:before="156" w:beforeLines="50" w:after="156" w:afterLines="50" w:line="240" w:lineRule="auto"/>
              <w:jc w:val="center"/>
              <w:textAlignment w:val="baseline"/>
              <w:outlineLvl w:val="1"/>
              <w:rPr>
                <w:rFonts w:hint="eastAsia" w:ascii="宋体" w:hAnsi="宋体" w:eastAsia="宋体" w:cs="宋体"/>
                <w:b w:val="0"/>
                <w:bCs w:val="0"/>
                <w:kern w:val="0"/>
                <w:sz w:val="21"/>
                <w:szCs w:val="21"/>
                <w:highlight w:val="yellow"/>
              </w:rPr>
            </w:pPr>
            <w:r>
              <w:rPr>
                <w:rFonts w:hint="eastAsia" w:ascii="宋体" w:hAnsi="宋体" w:eastAsia="宋体" w:cs="宋体"/>
                <w:b w:val="0"/>
                <w:bCs w:val="0"/>
                <w:kern w:val="0"/>
                <w:sz w:val="21"/>
                <w:szCs w:val="21"/>
                <w:highlight w:val="yellow"/>
              </w:rPr>
              <w:t>5</w:t>
            </w:r>
          </w:p>
        </w:tc>
        <w:tc>
          <w:tcPr>
            <w:tcW w:w="2041" w:type="dxa"/>
            <w:noWrap w:val="0"/>
            <w:vAlign w:val="center"/>
          </w:tcPr>
          <w:p w14:paraId="2C7C18E4">
            <w:pPr>
              <w:keepNext/>
              <w:keepLines/>
              <w:adjustRightInd w:val="0"/>
              <w:spacing w:before="156" w:beforeLines="50" w:after="156" w:afterLines="50" w:line="240" w:lineRule="auto"/>
              <w:jc w:val="left"/>
              <w:textAlignment w:val="baseline"/>
              <w:outlineLvl w:val="1"/>
              <w:rPr>
                <w:rFonts w:hint="eastAsia" w:ascii="宋体" w:hAnsi="宋体" w:eastAsia="宋体" w:cs="宋体"/>
                <w:b w:val="0"/>
                <w:bCs w:val="0"/>
                <w:kern w:val="0"/>
                <w:sz w:val="21"/>
                <w:szCs w:val="21"/>
                <w:highlight w:val="yellow"/>
              </w:rPr>
            </w:pPr>
            <w:r>
              <w:rPr>
                <w:rFonts w:hint="eastAsia" w:ascii="宋体" w:hAnsi="宋体" w:eastAsia="宋体" w:cs="宋体"/>
                <w:b w:val="0"/>
                <w:bCs w:val="0"/>
                <w:kern w:val="0"/>
                <w:sz w:val="21"/>
                <w:szCs w:val="21"/>
                <w:highlight w:val="yellow"/>
              </w:rPr>
              <w:t>绕组连接组别</w:t>
            </w:r>
          </w:p>
        </w:tc>
        <w:tc>
          <w:tcPr>
            <w:tcW w:w="704" w:type="dxa"/>
            <w:noWrap w:val="0"/>
            <w:vAlign w:val="center"/>
          </w:tcPr>
          <w:p w14:paraId="3D296957">
            <w:pPr>
              <w:keepNext/>
              <w:keepLines/>
              <w:adjustRightInd w:val="0"/>
              <w:spacing w:before="156" w:beforeLines="50" w:after="156" w:afterLines="50" w:line="240" w:lineRule="auto"/>
              <w:jc w:val="center"/>
              <w:textAlignment w:val="baseline"/>
              <w:outlineLvl w:val="1"/>
              <w:rPr>
                <w:rFonts w:hint="eastAsia" w:ascii="宋体" w:hAnsi="宋体" w:eastAsia="宋体" w:cs="宋体"/>
                <w:b w:val="0"/>
                <w:bCs w:val="0"/>
                <w:kern w:val="0"/>
                <w:sz w:val="21"/>
                <w:szCs w:val="21"/>
                <w:highlight w:val="yellow"/>
              </w:rPr>
            </w:pPr>
          </w:p>
        </w:tc>
        <w:tc>
          <w:tcPr>
            <w:tcW w:w="5242" w:type="dxa"/>
            <w:noWrap w:val="0"/>
            <w:vAlign w:val="top"/>
          </w:tcPr>
          <w:p w14:paraId="3380835B">
            <w:pPr>
              <w:keepNext/>
              <w:keepLines/>
              <w:adjustRightInd w:val="0"/>
              <w:spacing w:before="156" w:beforeLines="50" w:after="156" w:afterLines="50" w:line="240" w:lineRule="auto"/>
              <w:jc w:val="center"/>
              <w:textAlignment w:val="baseline"/>
              <w:outlineLvl w:val="1"/>
              <w:rPr>
                <w:rFonts w:hint="eastAsia" w:ascii="宋体" w:hAnsi="宋体" w:eastAsia="宋体" w:cs="宋体"/>
                <w:b w:val="0"/>
                <w:bCs w:val="0"/>
                <w:kern w:val="0"/>
                <w:sz w:val="21"/>
                <w:szCs w:val="21"/>
                <w:highlight w:val="yellow"/>
              </w:rPr>
            </w:pPr>
            <w:r>
              <w:rPr>
                <w:rFonts w:hint="eastAsia" w:ascii="宋体" w:hAnsi="宋体" w:eastAsia="宋体" w:cs="宋体"/>
                <w:b w:val="0"/>
                <w:bCs w:val="0"/>
                <w:kern w:val="0"/>
                <w:sz w:val="21"/>
                <w:szCs w:val="21"/>
                <w:highlight w:val="yellow"/>
              </w:rPr>
              <w:t>Y/Y/Y/Y/开口三角</w:t>
            </w:r>
          </w:p>
        </w:tc>
      </w:tr>
      <w:tr w14:paraId="1038CE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095" w:type="dxa"/>
            <w:noWrap w:val="0"/>
            <w:vAlign w:val="center"/>
          </w:tcPr>
          <w:p w14:paraId="4B9D275D">
            <w:pPr>
              <w:keepNext/>
              <w:keepLines/>
              <w:adjustRightInd w:val="0"/>
              <w:spacing w:before="156" w:beforeLines="50" w:after="156" w:afterLines="50" w:line="240" w:lineRule="auto"/>
              <w:jc w:val="center"/>
              <w:textAlignment w:val="baseline"/>
              <w:outlineLvl w:val="1"/>
              <w:rPr>
                <w:rFonts w:hint="eastAsia" w:ascii="宋体" w:hAnsi="宋体" w:eastAsia="宋体" w:cs="宋体"/>
                <w:b w:val="0"/>
                <w:bCs w:val="0"/>
                <w:kern w:val="0"/>
                <w:sz w:val="21"/>
                <w:szCs w:val="21"/>
                <w:highlight w:val="yellow"/>
              </w:rPr>
            </w:pPr>
            <w:r>
              <w:rPr>
                <w:rFonts w:hint="eastAsia" w:ascii="宋体" w:hAnsi="宋体" w:eastAsia="宋体" w:cs="宋体"/>
                <w:b w:val="0"/>
                <w:bCs w:val="0"/>
                <w:kern w:val="0"/>
                <w:sz w:val="21"/>
                <w:szCs w:val="21"/>
                <w:highlight w:val="yellow"/>
              </w:rPr>
              <w:t>6</w:t>
            </w:r>
          </w:p>
        </w:tc>
        <w:tc>
          <w:tcPr>
            <w:tcW w:w="2041" w:type="dxa"/>
            <w:noWrap w:val="0"/>
            <w:vAlign w:val="center"/>
          </w:tcPr>
          <w:p w14:paraId="362878CB">
            <w:pPr>
              <w:keepNext/>
              <w:keepLines/>
              <w:adjustRightInd w:val="0"/>
              <w:spacing w:before="156" w:beforeLines="50" w:after="156" w:afterLines="50" w:line="240" w:lineRule="auto"/>
              <w:jc w:val="left"/>
              <w:textAlignment w:val="baseline"/>
              <w:outlineLvl w:val="1"/>
              <w:rPr>
                <w:rFonts w:hint="eastAsia" w:ascii="宋体" w:hAnsi="宋体" w:eastAsia="宋体" w:cs="宋体"/>
                <w:b w:val="0"/>
                <w:bCs w:val="0"/>
                <w:kern w:val="0"/>
                <w:sz w:val="21"/>
                <w:szCs w:val="21"/>
                <w:highlight w:val="yellow"/>
              </w:rPr>
            </w:pPr>
            <w:r>
              <w:rPr>
                <w:rFonts w:hint="eastAsia" w:ascii="宋体" w:hAnsi="宋体" w:eastAsia="宋体" w:cs="宋体"/>
                <w:b w:val="0"/>
                <w:bCs w:val="0"/>
                <w:kern w:val="0"/>
                <w:sz w:val="21"/>
                <w:szCs w:val="21"/>
                <w:highlight w:val="yellow"/>
              </w:rPr>
              <w:t>极性</w:t>
            </w:r>
          </w:p>
        </w:tc>
        <w:tc>
          <w:tcPr>
            <w:tcW w:w="704" w:type="dxa"/>
            <w:noWrap w:val="0"/>
            <w:vAlign w:val="center"/>
          </w:tcPr>
          <w:p w14:paraId="4849F884">
            <w:pPr>
              <w:keepNext/>
              <w:keepLines/>
              <w:adjustRightInd w:val="0"/>
              <w:spacing w:before="156" w:beforeLines="50" w:after="156" w:afterLines="50" w:line="240" w:lineRule="auto"/>
              <w:jc w:val="center"/>
              <w:textAlignment w:val="baseline"/>
              <w:outlineLvl w:val="1"/>
              <w:rPr>
                <w:rFonts w:hint="eastAsia" w:ascii="宋体" w:hAnsi="宋体" w:eastAsia="宋体" w:cs="宋体"/>
                <w:b w:val="0"/>
                <w:bCs w:val="0"/>
                <w:kern w:val="0"/>
                <w:sz w:val="21"/>
                <w:szCs w:val="21"/>
                <w:highlight w:val="yellow"/>
              </w:rPr>
            </w:pPr>
          </w:p>
        </w:tc>
        <w:tc>
          <w:tcPr>
            <w:tcW w:w="5242" w:type="dxa"/>
            <w:noWrap w:val="0"/>
            <w:vAlign w:val="top"/>
          </w:tcPr>
          <w:p w14:paraId="74A7022F">
            <w:pPr>
              <w:keepNext/>
              <w:keepLines/>
              <w:adjustRightInd w:val="0"/>
              <w:spacing w:before="156" w:beforeLines="50" w:after="156" w:afterLines="50" w:line="240" w:lineRule="auto"/>
              <w:jc w:val="center"/>
              <w:textAlignment w:val="baseline"/>
              <w:outlineLvl w:val="1"/>
              <w:rPr>
                <w:rFonts w:hint="eastAsia" w:ascii="宋体" w:hAnsi="宋体" w:eastAsia="宋体" w:cs="宋体"/>
                <w:b w:val="0"/>
                <w:bCs w:val="0"/>
                <w:kern w:val="0"/>
                <w:sz w:val="21"/>
                <w:szCs w:val="21"/>
                <w:highlight w:val="yellow"/>
              </w:rPr>
            </w:pPr>
            <w:r>
              <w:rPr>
                <w:rFonts w:hint="eastAsia" w:ascii="宋体" w:hAnsi="宋体" w:eastAsia="宋体" w:cs="宋体"/>
                <w:b w:val="0"/>
                <w:bCs w:val="0"/>
                <w:kern w:val="0"/>
                <w:sz w:val="21"/>
                <w:szCs w:val="21"/>
                <w:highlight w:val="yellow"/>
              </w:rPr>
              <w:t>减极性</w:t>
            </w:r>
          </w:p>
        </w:tc>
      </w:tr>
      <w:tr w14:paraId="06C5A8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095" w:type="dxa"/>
            <w:noWrap w:val="0"/>
            <w:vAlign w:val="center"/>
          </w:tcPr>
          <w:p w14:paraId="389E8ED3">
            <w:pPr>
              <w:keepNext/>
              <w:keepLines/>
              <w:adjustRightInd w:val="0"/>
              <w:spacing w:before="156" w:beforeLines="50" w:after="156" w:afterLines="50" w:line="240" w:lineRule="auto"/>
              <w:jc w:val="center"/>
              <w:textAlignment w:val="baseline"/>
              <w:outlineLvl w:val="1"/>
              <w:rPr>
                <w:rFonts w:hint="eastAsia" w:ascii="宋体" w:hAnsi="宋体" w:eastAsia="宋体" w:cs="宋体"/>
                <w:b w:val="0"/>
                <w:bCs w:val="0"/>
                <w:kern w:val="0"/>
                <w:sz w:val="21"/>
                <w:szCs w:val="21"/>
                <w:highlight w:val="yellow"/>
              </w:rPr>
            </w:pPr>
            <w:r>
              <w:rPr>
                <w:rFonts w:hint="eastAsia" w:ascii="宋体" w:hAnsi="宋体" w:eastAsia="宋体" w:cs="宋体"/>
                <w:b w:val="0"/>
                <w:bCs w:val="0"/>
                <w:kern w:val="0"/>
                <w:sz w:val="21"/>
                <w:szCs w:val="21"/>
                <w:highlight w:val="yellow"/>
              </w:rPr>
              <w:t>7</w:t>
            </w:r>
          </w:p>
        </w:tc>
        <w:tc>
          <w:tcPr>
            <w:tcW w:w="2041" w:type="dxa"/>
            <w:noWrap w:val="0"/>
            <w:vAlign w:val="center"/>
          </w:tcPr>
          <w:p w14:paraId="56316BFF">
            <w:pPr>
              <w:keepNext/>
              <w:keepLines/>
              <w:adjustRightInd w:val="0"/>
              <w:spacing w:before="156" w:beforeLines="50" w:after="156" w:afterLines="50" w:line="240" w:lineRule="auto"/>
              <w:jc w:val="left"/>
              <w:textAlignment w:val="baseline"/>
              <w:outlineLvl w:val="1"/>
              <w:rPr>
                <w:rFonts w:hint="eastAsia" w:ascii="宋体" w:hAnsi="宋体" w:eastAsia="宋体" w:cs="宋体"/>
                <w:b w:val="0"/>
                <w:bCs w:val="0"/>
                <w:kern w:val="0"/>
                <w:sz w:val="21"/>
                <w:szCs w:val="21"/>
                <w:highlight w:val="yellow"/>
              </w:rPr>
            </w:pPr>
            <w:r>
              <w:rPr>
                <w:rFonts w:hint="eastAsia" w:ascii="宋体" w:hAnsi="宋体" w:eastAsia="宋体" w:cs="宋体"/>
                <w:b w:val="0"/>
                <w:bCs w:val="0"/>
                <w:kern w:val="0"/>
                <w:sz w:val="21"/>
                <w:szCs w:val="21"/>
                <w:highlight w:val="yellow"/>
              </w:rPr>
              <w:t>准确级</w:t>
            </w:r>
          </w:p>
        </w:tc>
        <w:tc>
          <w:tcPr>
            <w:tcW w:w="704" w:type="dxa"/>
            <w:noWrap w:val="0"/>
            <w:vAlign w:val="center"/>
          </w:tcPr>
          <w:p w14:paraId="6B1BB803">
            <w:pPr>
              <w:keepNext/>
              <w:keepLines/>
              <w:adjustRightInd w:val="0"/>
              <w:spacing w:before="156" w:beforeLines="50" w:after="156" w:afterLines="50" w:line="240" w:lineRule="auto"/>
              <w:jc w:val="center"/>
              <w:textAlignment w:val="baseline"/>
              <w:outlineLvl w:val="1"/>
              <w:rPr>
                <w:rFonts w:hint="eastAsia" w:ascii="宋体" w:hAnsi="宋体" w:eastAsia="宋体" w:cs="宋体"/>
                <w:b w:val="0"/>
                <w:bCs w:val="0"/>
                <w:kern w:val="0"/>
                <w:sz w:val="21"/>
                <w:szCs w:val="21"/>
                <w:highlight w:val="yellow"/>
              </w:rPr>
            </w:pPr>
          </w:p>
        </w:tc>
        <w:tc>
          <w:tcPr>
            <w:tcW w:w="5242" w:type="dxa"/>
            <w:noWrap w:val="0"/>
            <w:vAlign w:val="top"/>
          </w:tcPr>
          <w:p w14:paraId="6386C856">
            <w:pPr>
              <w:keepNext/>
              <w:keepLines/>
              <w:adjustRightInd w:val="0"/>
              <w:spacing w:before="156" w:beforeLines="50" w:after="156" w:afterLines="50" w:line="240" w:lineRule="auto"/>
              <w:jc w:val="center"/>
              <w:textAlignment w:val="baseline"/>
              <w:outlineLvl w:val="1"/>
              <w:rPr>
                <w:rFonts w:hint="eastAsia" w:ascii="宋体" w:hAnsi="宋体" w:eastAsia="宋体" w:cs="宋体"/>
                <w:b w:val="0"/>
                <w:bCs w:val="0"/>
                <w:kern w:val="0"/>
                <w:sz w:val="21"/>
                <w:szCs w:val="21"/>
                <w:highlight w:val="yellow"/>
              </w:rPr>
            </w:pPr>
            <w:r>
              <w:rPr>
                <w:rFonts w:hint="eastAsia" w:ascii="宋体" w:hAnsi="宋体" w:eastAsia="宋体" w:cs="宋体"/>
                <w:b w:val="0"/>
                <w:bCs w:val="0"/>
                <w:kern w:val="0"/>
                <w:sz w:val="21"/>
                <w:szCs w:val="21"/>
                <w:highlight w:val="yellow"/>
              </w:rPr>
              <w:t>0.2/0.5</w:t>
            </w:r>
            <w:r>
              <w:rPr>
                <w:rFonts w:hint="eastAsia" w:ascii="宋体" w:hAnsi="宋体" w:eastAsia="宋体" w:cs="宋体"/>
                <w:b w:val="0"/>
                <w:bCs w:val="0"/>
                <w:kern w:val="0"/>
                <w:sz w:val="21"/>
                <w:szCs w:val="21"/>
                <w:highlight w:val="yellow"/>
                <w:lang w:eastAsia="zh-CN"/>
              </w:rPr>
              <w:t>（</w:t>
            </w:r>
            <w:r>
              <w:rPr>
                <w:rFonts w:hint="eastAsia" w:ascii="宋体" w:hAnsi="宋体" w:eastAsia="宋体" w:cs="宋体"/>
                <w:b w:val="0"/>
                <w:bCs w:val="0"/>
                <w:kern w:val="0"/>
                <w:sz w:val="21"/>
                <w:szCs w:val="21"/>
                <w:highlight w:val="yellow"/>
                <w:lang w:val="en-US" w:eastAsia="zh-CN"/>
              </w:rPr>
              <w:t>3P</w:t>
            </w:r>
            <w:r>
              <w:rPr>
                <w:rFonts w:hint="eastAsia" w:ascii="宋体" w:hAnsi="宋体" w:eastAsia="宋体" w:cs="宋体"/>
                <w:b w:val="0"/>
                <w:bCs w:val="0"/>
                <w:kern w:val="0"/>
                <w:sz w:val="21"/>
                <w:szCs w:val="21"/>
                <w:highlight w:val="yellow"/>
                <w:lang w:eastAsia="zh-CN"/>
              </w:rPr>
              <w:t>）</w:t>
            </w:r>
            <w:r>
              <w:rPr>
                <w:rFonts w:hint="eastAsia" w:ascii="宋体" w:hAnsi="宋体" w:eastAsia="宋体" w:cs="宋体"/>
                <w:b w:val="0"/>
                <w:bCs w:val="0"/>
                <w:kern w:val="0"/>
                <w:sz w:val="21"/>
                <w:szCs w:val="21"/>
                <w:highlight w:val="yellow"/>
              </w:rPr>
              <w:t>/0.2/0.5</w:t>
            </w:r>
            <w:r>
              <w:rPr>
                <w:rFonts w:hint="eastAsia" w:ascii="宋体" w:hAnsi="宋体" w:eastAsia="宋体" w:cs="宋体"/>
                <w:b w:val="0"/>
                <w:bCs w:val="0"/>
                <w:kern w:val="0"/>
                <w:sz w:val="21"/>
                <w:szCs w:val="21"/>
                <w:highlight w:val="yellow"/>
                <w:lang w:eastAsia="zh-CN"/>
              </w:rPr>
              <w:t>（</w:t>
            </w:r>
            <w:r>
              <w:rPr>
                <w:rFonts w:hint="eastAsia" w:ascii="宋体" w:hAnsi="宋体" w:eastAsia="宋体" w:cs="宋体"/>
                <w:b w:val="0"/>
                <w:bCs w:val="0"/>
                <w:kern w:val="0"/>
                <w:sz w:val="21"/>
                <w:szCs w:val="21"/>
                <w:highlight w:val="yellow"/>
                <w:lang w:val="en-US" w:eastAsia="zh-CN"/>
              </w:rPr>
              <w:t>3P</w:t>
            </w:r>
            <w:r>
              <w:rPr>
                <w:rFonts w:hint="eastAsia" w:ascii="宋体" w:hAnsi="宋体" w:eastAsia="宋体" w:cs="宋体"/>
                <w:b w:val="0"/>
                <w:bCs w:val="0"/>
                <w:kern w:val="0"/>
                <w:sz w:val="21"/>
                <w:szCs w:val="21"/>
                <w:highlight w:val="yellow"/>
                <w:lang w:eastAsia="zh-CN"/>
              </w:rPr>
              <w:t>）</w:t>
            </w:r>
          </w:p>
        </w:tc>
      </w:tr>
      <w:tr w14:paraId="31A14D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095" w:type="dxa"/>
            <w:noWrap w:val="0"/>
            <w:vAlign w:val="center"/>
          </w:tcPr>
          <w:p w14:paraId="6151B310">
            <w:pPr>
              <w:keepNext/>
              <w:keepLines/>
              <w:adjustRightInd w:val="0"/>
              <w:spacing w:before="156" w:beforeLines="50" w:after="156" w:afterLines="50" w:line="240" w:lineRule="auto"/>
              <w:jc w:val="center"/>
              <w:textAlignment w:val="baseline"/>
              <w:outlineLvl w:val="1"/>
              <w:rPr>
                <w:rFonts w:hint="eastAsia" w:ascii="宋体" w:hAnsi="宋体" w:eastAsia="宋体" w:cs="宋体"/>
                <w:b w:val="0"/>
                <w:bCs w:val="0"/>
                <w:kern w:val="0"/>
                <w:sz w:val="21"/>
                <w:szCs w:val="21"/>
                <w:highlight w:val="yellow"/>
              </w:rPr>
            </w:pPr>
            <w:r>
              <w:rPr>
                <w:rFonts w:hint="eastAsia" w:ascii="宋体" w:hAnsi="宋体" w:eastAsia="宋体" w:cs="宋体"/>
                <w:b w:val="0"/>
                <w:bCs w:val="0"/>
                <w:kern w:val="0"/>
                <w:sz w:val="21"/>
                <w:szCs w:val="21"/>
                <w:highlight w:val="yellow"/>
              </w:rPr>
              <w:t>8</w:t>
            </w:r>
          </w:p>
        </w:tc>
        <w:tc>
          <w:tcPr>
            <w:tcW w:w="2041" w:type="dxa"/>
            <w:noWrap w:val="0"/>
            <w:vAlign w:val="center"/>
          </w:tcPr>
          <w:p w14:paraId="3DA4C938">
            <w:pPr>
              <w:keepNext/>
              <w:keepLines/>
              <w:adjustRightInd w:val="0"/>
              <w:spacing w:before="156" w:beforeLines="50" w:after="156" w:afterLines="50" w:line="240" w:lineRule="auto"/>
              <w:jc w:val="left"/>
              <w:textAlignment w:val="baseline"/>
              <w:outlineLvl w:val="1"/>
              <w:rPr>
                <w:rFonts w:hint="eastAsia" w:ascii="宋体" w:hAnsi="宋体" w:eastAsia="宋体" w:cs="宋体"/>
                <w:b w:val="0"/>
                <w:bCs w:val="0"/>
                <w:kern w:val="0"/>
                <w:sz w:val="21"/>
                <w:szCs w:val="21"/>
                <w:highlight w:val="yellow"/>
              </w:rPr>
            </w:pPr>
            <w:r>
              <w:rPr>
                <w:rFonts w:hint="eastAsia" w:ascii="宋体" w:hAnsi="宋体" w:eastAsia="宋体" w:cs="宋体"/>
                <w:b w:val="0"/>
                <w:bCs w:val="0"/>
                <w:kern w:val="0"/>
                <w:sz w:val="21"/>
                <w:szCs w:val="21"/>
                <w:highlight w:val="yellow"/>
              </w:rPr>
              <w:t>额定输出</w:t>
            </w:r>
          </w:p>
        </w:tc>
        <w:tc>
          <w:tcPr>
            <w:tcW w:w="704" w:type="dxa"/>
            <w:noWrap w:val="0"/>
            <w:vAlign w:val="center"/>
          </w:tcPr>
          <w:p w14:paraId="7E5A598F">
            <w:pPr>
              <w:keepNext/>
              <w:keepLines/>
              <w:adjustRightInd w:val="0"/>
              <w:spacing w:before="156" w:beforeLines="50" w:after="156" w:afterLines="50" w:line="240" w:lineRule="auto"/>
              <w:jc w:val="center"/>
              <w:textAlignment w:val="baseline"/>
              <w:outlineLvl w:val="1"/>
              <w:rPr>
                <w:rFonts w:hint="eastAsia" w:ascii="宋体" w:hAnsi="宋体" w:eastAsia="宋体" w:cs="宋体"/>
                <w:b w:val="0"/>
                <w:bCs w:val="0"/>
                <w:kern w:val="0"/>
                <w:sz w:val="21"/>
                <w:szCs w:val="21"/>
                <w:highlight w:val="yellow"/>
              </w:rPr>
            </w:pPr>
            <w:r>
              <w:rPr>
                <w:rFonts w:hint="eastAsia" w:ascii="宋体" w:hAnsi="宋体" w:eastAsia="宋体" w:cs="宋体"/>
                <w:b w:val="0"/>
                <w:bCs w:val="0"/>
                <w:kern w:val="0"/>
                <w:sz w:val="21"/>
                <w:szCs w:val="21"/>
                <w:highlight w:val="yellow"/>
              </w:rPr>
              <w:t>VA</w:t>
            </w:r>
          </w:p>
        </w:tc>
        <w:tc>
          <w:tcPr>
            <w:tcW w:w="5242" w:type="dxa"/>
            <w:noWrap w:val="0"/>
            <w:vAlign w:val="top"/>
          </w:tcPr>
          <w:p w14:paraId="2B7A75A9">
            <w:pPr>
              <w:keepNext/>
              <w:keepLines/>
              <w:adjustRightInd w:val="0"/>
              <w:spacing w:before="156" w:beforeLines="50" w:after="156" w:afterLines="50" w:line="240" w:lineRule="auto"/>
              <w:jc w:val="center"/>
              <w:textAlignment w:val="baseline"/>
              <w:outlineLvl w:val="1"/>
              <w:rPr>
                <w:rFonts w:hint="eastAsia" w:ascii="宋体" w:hAnsi="宋体" w:eastAsia="宋体" w:cs="宋体"/>
                <w:b w:val="0"/>
                <w:bCs w:val="0"/>
                <w:kern w:val="0"/>
                <w:sz w:val="21"/>
                <w:szCs w:val="21"/>
                <w:highlight w:val="yellow"/>
              </w:rPr>
            </w:pPr>
            <w:r>
              <w:rPr>
                <w:rFonts w:hint="eastAsia" w:ascii="宋体" w:hAnsi="宋体" w:eastAsia="宋体" w:cs="宋体"/>
                <w:b w:val="0"/>
                <w:bCs w:val="0"/>
                <w:kern w:val="0"/>
                <w:sz w:val="21"/>
                <w:szCs w:val="21"/>
                <w:highlight w:val="yellow"/>
              </w:rPr>
              <w:t>100/100/100/100</w:t>
            </w:r>
          </w:p>
        </w:tc>
      </w:tr>
      <w:tr w14:paraId="19F235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095" w:type="dxa"/>
            <w:noWrap w:val="0"/>
            <w:vAlign w:val="center"/>
          </w:tcPr>
          <w:p w14:paraId="1746232F">
            <w:pPr>
              <w:keepNext/>
              <w:keepLines/>
              <w:adjustRightInd w:val="0"/>
              <w:spacing w:before="156" w:beforeLines="50" w:after="156" w:afterLines="50" w:line="240" w:lineRule="auto"/>
              <w:jc w:val="center"/>
              <w:textAlignment w:val="baseline"/>
              <w:outlineLvl w:val="1"/>
              <w:rPr>
                <w:rFonts w:hint="eastAsia" w:ascii="宋体" w:hAnsi="宋体" w:eastAsia="宋体" w:cs="宋体"/>
                <w:b w:val="0"/>
                <w:bCs w:val="0"/>
                <w:kern w:val="0"/>
                <w:sz w:val="21"/>
                <w:szCs w:val="21"/>
                <w:highlight w:val="yellow"/>
              </w:rPr>
            </w:pPr>
            <w:r>
              <w:rPr>
                <w:rFonts w:hint="eastAsia" w:ascii="宋体" w:hAnsi="宋体" w:eastAsia="宋体" w:cs="宋体"/>
                <w:b w:val="0"/>
                <w:bCs w:val="0"/>
                <w:kern w:val="0"/>
                <w:sz w:val="21"/>
                <w:szCs w:val="21"/>
                <w:highlight w:val="yellow"/>
              </w:rPr>
              <w:t>9</w:t>
            </w:r>
          </w:p>
        </w:tc>
        <w:tc>
          <w:tcPr>
            <w:tcW w:w="2041" w:type="dxa"/>
            <w:noWrap w:val="0"/>
            <w:vAlign w:val="center"/>
          </w:tcPr>
          <w:p w14:paraId="03C8E4DB">
            <w:pPr>
              <w:keepNext/>
              <w:keepLines/>
              <w:adjustRightInd w:val="0"/>
              <w:spacing w:before="156" w:beforeLines="50" w:after="156" w:afterLines="50" w:line="240" w:lineRule="auto"/>
              <w:jc w:val="left"/>
              <w:textAlignment w:val="baseline"/>
              <w:outlineLvl w:val="1"/>
              <w:rPr>
                <w:rFonts w:hint="eastAsia" w:ascii="宋体" w:hAnsi="宋体" w:eastAsia="宋体" w:cs="宋体"/>
                <w:b w:val="0"/>
                <w:bCs w:val="0"/>
                <w:kern w:val="0"/>
                <w:sz w:val="21"/>
                <w:szCs w:val="21"/>
                <w:highlight w:val="yellow"/>
              </w:rPr>
            </w:pPr>
            <w:r>
              <w:rPr>
                <w:rFonts w:hint="eastAsia" w:ascii="宋体" w:hAnsi="宋体" w:eastAsia="宋体" w:cs="宋体"/>
                <w:b w:val="0"/>
                <w:bCs w:val="0"/>
                <w:kern w:val="0"/>
                <w:sz w:val="21"/>
                <w:szCs w:val="21"/>
                <w:highlight w:val="yellow"/>
              </w:rPr>
              <w:t>额定电压因数</w:t>
            </w:r>
          </w:p>
        </w:tc>
        <w:tc>
          <w:tcPr>
            <w:tcW w:w="704" w:type="dxa"/>
            <w:noWrap w:val="0"/>
            <w:vAlign w:val="center"/>
          </w:tcPr>
          <w:p w14:paraId="626472DC">
            <w:pPr>
              <w:keepNext/>
              <w:keepLines/>
              <w:adjustRightInd w:val="0"/>
              <w:spacing w:before="156" w:beforeLines="50" w:after="156" w:afterLines="50" w:line="240" w:lineRule="auto"/>
              <w:jc w:val="center"/>
              <w:textAlignment w:val="baseline"/>
              <w:outlineLvl w:val="1"/>
              <w:rPr>
                <w:rFonts w:hint="eastAsia" w:ascii="宋体" w:hAnsi="宋体" w:eastAsia="宋体" w:cs="宋体"/>
                <w:b w:val="0"/>
                <w:bCs w:val="0"/>
                <w:kern w:val="0"/>
                <w:sz w:val="21"/>
                <w:szCs w:val="21"/>
                <w:highlight w:val="yellow"/>
              </w:rPr>
            </w:pPr>
          </w:p>
        </w:tc>
        <w:tc>
          <w:tcPr>
            <w:tcW w:w="5242" w:type="dxa"/>
            <w:noWrap w:val="0"/>
            <w:vAlign w:val="top"/>
          </w:tcPr>
          <w:p w14:paraId="1B331297">
            <w:pPr>
              <w:keepNext/>
              <w:keepLines/>
              <w:adjustRightInd w:val="0"/>
              <w:spacing w:before="156" w:beforeLines="50" w:after="156" w:afterLines="50" w:line="240" w:lineRule="auto"/>
              <w:jc w:val="center"/>
              <w:textAlignment w:val="baseline"/>
              <w:outlineLvl w:val="1"/>
              <w:rPr>
                <w:rFonts w:hint="eastAsia" w:ascii="宋体" w:hAnsi="宋体" w:eastAsia="宋体" w:cs="宋体"/>
                <w:b w:val="0"/>
                <w:bCs w:val="0"/>
                <w:kern w:val="0"/>
                <w:sz w:val="21"/>
                <w:szCs w:val="21"/>
                <w:highlight w:val="yellow"/>
              </w:rPr>
            </w:pPr>
            <w:r>
              <w:rPr>
                <w:rFonts w:hint="eastAsia" w:ascii="宋体" w:hAnsi="宋体" w:eastAsia="宋体" w:cs="宋体"/>
                <w:b w:val="0"/>
                <w:bCs w:val="0"/>
                <w:kern w:val="0"/>
                <w:sz w:val="21"/>
                <w:szCs w:val="21"/>
                <w:highlight w:val="yellow"/>
              </w:rPr>
              <w:t>连续：1.2；30s：1.5</w:t>
            </w:r>
          </w:p>
        </w:tc>
      </w:tr>
      <w:tr w14:paraId="559B69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095" w:type="dxa"/>
            <w:noWrap w:val="0"/>
            <w:vAlign w:val="center"/>
          </w:tcPr>
          <w:p w14:paraId="659C7CB7">
            <w:pPr>
              <w:keepNext/>
              <w:keepLines/>
              <w:adjustRightInd w:val="0"/>
              <w:spacing w:before="156" w:beforeLines="50" w:after="156" w:afterLines="50" w:line="240" w:lineRule="auto"/>
              <w:jc w:val="center"/>
              <w:textAlignment w:val="baseline"/>
              <w:outlineLvl w:val="1"/>
              <w:rPr>
                <w:rFonts w:hint="eastAsia" w:ascii="宋体" w:hAnsi="宋体" w:eastAsia="宋体" w:cs="宋体"/>
                <w:b w:val="0"/>
                <w:bCs w:val="0"/>
                <w:kern w:val="0"/>
                <w:sz w:val="21"/>
                <w:szCs w:val="21"/>
                <w:highlight w:val="yellow"/>
              </w:rPr>
            </w:pPr>
            <w:r>
              <w:rPr>
                <w:rFonts w:hint="eastAsia" w:ascii="宋体" w:hAnsi="宋体" w:eastAsia="宋体" w:cs="宋体"/>
                <w:b w:val="0"/>
                <w:bCs w:val="0"/>
                <w:kern w:val="0"/>
                <w:sz w:val="21"/>
                <w:szCs w:val="21"/>
                <w:highlight w:val="yellow"/>
              </w:rPr>
              <w:t>10</w:t>
            </w:r>
          </w:p>
        </w:tc>
        <w:tc>
          <w:tcPr>
            <w:tcW w:w="2041" w:type="dxa"/>
            <w:noWrap w:val="0"/>
            <w:vAlign w:val="center"/>
          </w:tcPr>
          <w:p w14:paraId="62C4DC10">
            <w:pPr>
              <w:keepNext/>
              <w:keepLines/>
              <w:adjustRightInd w:val="0"/>
              <w:spacing w:before="156" w:beforeLines="50" w:after="156" w:afterLines="50" w:line="240" w:lineRule="auto"/>
              <w:jc w:val="left"/>
              <w:textAlignment w:val="baseline"/>
              <w:outlineLvl w:val="1"/>
              <w:rPr>
                <w:rFonts w:hint="eastAsia" w:ascii="宋体" w:hAnsi="宋体" w:eastAsia="宋体" w:cs="宋体"/>
                <w:b w:val="0"/>
                <w:bCs w:val="0"/>
                <w:kern w:val="0"/>
                <w:sz w:val="21"/>
                <w:szCs w:val="21"/>
                <w:highlight w:val="yellow"/>
              </w:rPr>
            </w:pPr>
            <w:r>
              <w:rPr>
                <w:rFonts w:hint="eastAsia" w:ascii="宋体" w:hAnsi="宋体" w:eastAsia="宋体" w:cs="宋体"/>
                <w:b w:val="0"/>
                <w:bCs w:val="0"/>
                <w:kern w:val="0"/>
                <w:sz w:val="21"/>
                <w:szCs w:val="21"/>
                <w:highlight w:val="yellow"/>
              </w:rPr>
              <w:t>电容偏差</w:t>
            </w:r>
          </w:p>
        </w:tc>
        <w:tc>
          <w:tcPr>
            <w:tcW w:w="704" w:type="dxa"/>
            <w:noWrap w:val="0"/>
            <w:vAlign w:val="center"/>
          </w:tcPr>
          <w:p w14:paraId="4ECA40FE">
            <w:pPr>
              <w:keepNext/>
              <w:keepLines/>
              <w:adjustRightInd w:val="0"/>
              <w:spacing w:before="156" w:beforeLines="50" w:after="156" w:afterLines="50" w:line="240" w:lineRule="auto"/>
              <w:jc w:val="center"/>
              <w:textAlignment w:val="baseline"/>
              <w:outlineLvl w:val="1"/>
              <w:rPr>
                <w:rFonts w:hint="eastAsia" w:ascii="宋体" w:hAnsi="宋体" w:eastAsia="宋体" w:cs="宋体"/>
                <w:b w:val="0"/>
                <w:bCs w:val="0"/>
                <w:kern w:val="0"/>
                <w:sz w:val="21"/>
                <w:szCs w:val="21"/>
                <w:highlight w:val="yellow"/>
              </w:rPr>
            </w:pPr>
            <w:r>
              <w:rPr>
                <w:rFonts w:hint="eastAsia" w:ascii="宋体" w:hAnsi="宋体" w:eastAsia="宋体" w:cs="宋体"/>
                <w:b w:val="0"/>
                <w:bCs w:val="0"/>
                <w:kern w:val="0"/>
                <w:sz w:val="21"/>
                <w:szCs w:val="21"/>
                <w:highlight w:val="yellow"/>
              </w:rPr>
              <w:t>%</w:t>
            </w:r>
          </w:p>
        </w:tc>
        <w:tc>
          <w:tcPr>
            <w:tcW w:w="5242" w:type="dxa"/>
            <w:noWrap w:val="0"/>
            <w:vAlign w:val="top"/>
          </w:tcPr>
          <w:p w14:paraId="7024088B">
            <w:pPr>
              <w:keepNext/>
              <w:keepLines/>
              <w:adjustRightInd w:val="0"/>
              <w:spacing w:before="156" w:beforeLines="50" w:after="156" w:afterLines="50" w:line="240" w:lineRule="auto"/>
              <w:jc w:val="center"/>
              <w:textAlignment w:val="baseline"/>
              <w:outlineLvl w:val="1"/>
              <w:rPr>
                <w:rFonts w:hint="eastAsia" w:ascii="宋体" w:hAnsi="宋体" w:eastAsia="宋体" w:cs="宋体"/>
                <w:b w:val="0"/>
                <w:bCs w:val="0"/>
                <w:kern w:val="0"/>
                <w:sz w:val="21"/>
                <w:szCs w:val="21"/>
                <w:highlight w:val="yellow"/>
              </w:rPr>
            </w:pPr>
            <w:r>
              <w:rPr>
                <w:rFonts w:hint="eastAsia" w:ascii="宋体" w:hAnsi="宋体" w:eastAsia="宋体" w:cs="宋体"/>
                <w:b w:val="0"/>
                <w:bCs w:val="0"/>
                <w:kern w:val="0"/>
                <w:sz w:val="21"/>
                <w:szCs w:val="21"/>
                <w:highlight w:val="yellow"/>
              </w:rPr>
              <w:t>-5～+5</w:t>
            </w:r>
          </w:p>
        </w:tc>
      </w:tr>
      <w:tr w14:paraId="142453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095" w:type="dxa"/>
            <w:noWrap w:val="0"/>
            <w:vAlign w:val="center"/>
          </w:tcPr>
          <w:p w14:paraId="2106FBE1">
            <w:pPr>
              <w:keepNext/>
              <w:keepLines/>
              <w:adjustRightInd w:val="0"/>
              <w:spacing w:before="156" w:beforeLines="50" w:after="156" w:afterLines="50" w:line="240" w:lineRule="auto"/>
              <w:jc w:val="center"/>
              <w:textAlignment w:val="baseline"/>
              <w:outlineLvl w:val="1"/>
              <w:rPr>
                <w:rFonts w:hint="eastAsia" w:ascii="宋体" w:hAnsi="宋体" w:eastAsia="宋体" w:cs="宋体"/>
                <w:b w:val="0"/>
                <w:bCs w:val="0"/>
                <w:kern w:val="0"/>
                <w:sz w:val="21"/>
                <w:szCs w:val="21"/>
                <w:highlight w:val="yellow"/>
                <w:lang w:eastAsia="zh-CN"/>
              </w:rPr>
            </w:pPr>
            <w:r>
              <w:rPr>
                <w:rFonts w:hint="eastAsia" w:ascii="宋体" w:hAnsi="宋体" w:eastAsia="宋体" w:cs="宋体"/>
                <w:b w:val="0"/>
                <w:bCs w:val="0"/>
                <w:kern w:val="0"/>
                <w:sz w:val="21"/>
                <w:szCs w:val="21"/>
                <w:highlight w:val="yellow"/>
              </w:rPr>
              <w:t>1</w:t>
            </w:r>
            <w:r>
              <w:rPr>
                <w:rFonts w:hint="eastAsia" w:ascii="宋体" w:hAnsi="宋体" w:eastAsia="宋体" w:cs="宋体"/>
                <w:b w:val="0"/>
                <w:bCs w:val="0"/>
                <w:kern w:val="0"/>
                <w:sz w:val="21"/>
                <w:szCs w:val="21"/>
                <w:highlight w:val="yellow"/>
                <w:lang w:val="en-US" w:eastAsia="zh-CN"/>
              </w:rPr>
              <w:t>1</w:t>
            </w:r>
          </w:p>
        </w:tc>
        <w:tc>
          <w:tcPr>
            <w:tcW w:w="2041" w:type="dxa"/>
            <w:noWrap w:val="0"/>
            <w:vAlign w:val="center"/>
          </w:tcPr>
          <w:p w14:paraId="293C228F">
            <w:pPr>
              <w:keepNext/>
              <w:keepLines/>
              <w:adjustRightInd w:val="0"/>
              <w:spacing w:before="156" w:beforeLines="50" w:after="156" w:afterLines="50" w:line="240" w:lineRule="auto"/>
              <w:jc w:val="left"/>
              <w:textAlignment w:val="baseline"/>
              <w:outlineLvl w:val="1"/>
              <w:rPr>
                <w:rFonts w:hint="eastAsia" w:ascii="宋体" w:hAnsi="宋体" w:eastAsia="宋体" w:cs="宋体"/>
                <w:b w:val="0"/>
                <w:bCs w:val="0"/>
                <w:kern w:val="0"/>
                <w:sz w:val="21"/>
                <w:szCs w:val="21"/>
                <w:highlight w:val="yellow"/>
              </w:rPr>
            </w:pPr>
            <w:r>
              <w:rPr>
                <w:rFonts w:hint="eastAsia" w:ascii="宋体" w:hAnsi="宋体" w:eastAsia="宋体" w:cs="宋体"/>
                <w:b w:val="0"/>
                <w:bCs w:val="0"/>
                <w:kern w:val="0"/>
                <w:sz w:val="21"/>
                <w:szCs w:val="21"/>
                <w:highlight w:val="yellow"/>
              </w:rPr>
              <w:t>耦合电容器电容温度系数</w:t>
            </w:r>
          </w:p>
        </w:tc>
        <w:tc>
          <w:tcPr>
            <w:tcW w:w="704" w:type="dxa"/>
            <w:noWrap w:val="0"/>
            <w:vAlign w:val="center"/>
          </w:tcPr>
          <w:p w14:paraId="7D5681DE">
            <w:pPr>
              <w:keepNext/>
              <w:keepLines/>
              <w:adjustRightInd w:val="0"/>
              <w:spacing w:before="156" w:beforeLines="50" w:after="156" w:afterLines="50" w:line="240" w:lineRule="auto"/>
              <w:jc w:val="center"/>
              <w:textAlignment w:val="baseline"/>
              <w:outlineLvl w:val="1"/>
              <w:rPr>
                <w:rFonts w:hint="eastAsia" w:ascii="宋体" w:hAnsi="宋体" w:eastAsia="宋体" w:cs="宋体"/>
                <w:b w:val="0"/>
                <w:bCs w:val="0"/>
                <w:kern w:val="0"/>
                <w:sz w:val="21"/>
                <w:szCs w:val="21"/>
                <w:highlight w:val="yellow"/>
              </w:rPr>
            </w:pPr>
            <w:r>
              <w:rPr>
                <w:rFonts w:hint="eastAsia" w:ascii="宋体" w:hAnsi="宋体" w:eastAsia="宋体" w:cs="宋体"/>
                <w:b w:val="0"/>
                <w:bCs w:val="0"/>
                <w:kern w:val="0"/>
                <w:sz w:val="21"/>
                <w:szCs w:val="21"/>
                <w:highlight w:val="yellow"/>
              </w:rPr>
              <w:t>/℃</w:t>
            </w:r>
          </w:p>
        </w:tc>
        <w:tc>
          <w:tcPr>
            <w:tcW w:w="5242" w:type="dxa"/>
            <w:noWrap w:val="0"/>
            <w:vAlign w:val="top"/>
          </w:tcPr>
          <w:p w14:paraId="391BB5EB">
            <w:pPr>
              <w:keepNext/>
              <w:keepLines/>
              <w:adjustRightInd w:val="0"/>
              <w:spacing w:before="156" w:beforeLines="50" w:after="156" w:afterLines="50" w:line="240" w:lineRule="auto"/>
              <w:jc w:val="center"/>
              <w:textAlignment w:val="baseline"/>
              <w:outlineLvl w:val="1"/>
              <w:rPr>
                <w:rFonts w:hint="eastAsia" w:ascii="宋体" w:hAnsi="宋体" w:eastAsia="宋体" w:cs="宋体"/>
                <w:b w:val="0"/>
                <w:bCs w:val="0"/>
                <w:kern w:val="0"/>
                <w:sz w:val="21"/>
                <w:szCs w:val="21"/>
                <w:highlight w:val="yellow"/>
              </w:rPr>
            </w:pPr>
            <w:r>
              <w:rPr>
                <w:rFonts w:hint="eastAsia" w:ascii="宋体" w:hAnsi="宋体" w:eastAsia="宋体" w:cs="宋体"/>
                <w:b w:val="0"/>
                <w:bCs w:val="0"/>
                <w:kern w:val="0"/>
                <w:sz w:val="21"/>
                <w:szCs w:val="21"/>
                <w:highlight w:val="yellow"/>
              </w:rPr>
              <w:t>＜3×10-4</w:t>
            </w:r>
          </w:p>
        </w:tc>
      </w:tr>
    </w:tbl>
    <w:p w14:paraId="44A7DB06">
      <w:pPr>
        <w:numPr>
          <w:ilvl w:val="0"/>
          <w:numId w:val="3"/>
        </w:numPr>
        <w:spacing w:line="360" w:lineRule="auto"/>
        <w:rPr>
          <w:rFonts w:hint="eastAsia"/>
          <w:b w:val="0"/>
          <w:bCs w:val="0"/>
          <w:sz w:val="21"/>
          <w:szCs w:val="21"/>
        </w:rPr>
      </w:pPr>
      <w:r>
        <w:rPr>
          <w:rFonts w:hint="eastAsia"/>
          <w:b w:val="0"/>
          <w:bCs w:val="0"/>
          <w:sz w:val="21"/>
          <w:szCs w:val="21"/>
        </w:rPr>
        <w:t>额定电压、准确级、额定输出参数：（下表数据为暂定值）</w:t>
      </w:r>
    </w:p>
    <w:p w14:paraId="273F3314">
      <w:pPr>
        <w:spacing w:line="360" w:lineRule="auto"/>
        <w:rPr>
          <w:rFonts w:hint="eastAsia"/>
          <w:b w:val="0"/>
          <w:bCs w:val="0"/>
          <w:sz w:val="21"/>
          <w:szCs w:val="21"/>
        </w:rPr>
      </w:pPr>
      <w:r>
        <w:rPr>
          <w:rFonts w:hint="eastAsia" w:ascii="宋体" w:hAnsi="宋体" w:eastAsia="宋体" w:cs="Times New Roman"/>
          <w:kern w:val="0"/>
          <w:sz w:val="24"/>
          <w:szCs w:val="20"/>
        </w:rPr>
        <w:t>（6）</w:t>
      </w:r>
      <w:r>
        <w:rPr>
          <w:rFonts w:hint="eastAsia"/>
          <w:b w:val="0"/>
          <w:bCs w:val="0"/>
          <w:sz w:val="21"/>
          <w:szCs w:val="21"/>
        </w:rPr>
        <w:t>绝缘等级：</w:t>
      </w:r>
    </w:p>
    <w:p w14:paraId="7F4666E6">
      <w:pPr>
        <w:spacing w:line="360" w:lineRule="auto"/>
        <w:rPr>
          <w:rFonts w:hint="eastAsia"/>
          <w:b w:val="0"/>
          <w:bCs w:val="0"/>
          <w:sz w:val="21"/>
          <w:szCs w:val="21"/>
        </w:rPr>
      </w:pPr>
      <w:r>
        <w:rPr>
          <w:rFonts w:hint="eastAsia"/>
          <w:b w:val="0"/>
          <w:bCs w:val="0"/>
          <w:sz w:val="21"/>
          <w:szCs w:val="21"/>
        </w:rPr>
        <w:t>额定雷电冲击耐受电压（标准雷电冲击全波：1.2/50μs）：1675kV（峰值）</w:t>
      </w:r>
    </w:p>
    <w:p w14:paraId="0FF3046B">
      <w:pPr>
        <w:spacing w:line="360" w:lineRule="auto"/>
        <w:rPr>
          <w:rFonts w:hint="eastAsia"/>
          <w:b w:val="0"/>
          <w:bCs w:val="0"/>
          <w:sz w:val="21"/>
          <w:szCs w:val="21"/>
        </w:rPr>
      </w:pPr>
      <w:r>
        <w:rPr>
          <w:rFonts w:hint="eastAsia"/>
          <w:b w:val="0"/>
          <w:bCs w:val="0"/>
          <w:sz w:val="21"/>
          <w:szCs w:val="21"/>
        </w:rPr>
        <w:t>操作冲击耐受电压峰值（kV）：1175kV（峰值）</w:t>
      </w:r>
    </w:p>
    <w:p w14:paraId="3AD48852">
      <w:pPr>
        <w:spacing w:line="360" w:lineRule="auto"/>
        <w:rPr>
          <w:rFonts w:hint="eastAsia"/>
          <w:b w:val="0"/>
          <w:bCs w:val="0"/>
          <w:sz w:val="21"/>
          <w:szCs w:val="21"/>
        </w:rPr>
      </w:pPr>
      <w:r>
        <w:rPr>
          <w:rFonts w:hint="eastAsia"/>
          <w:b w:val="0"/>
          <w:bCs w:val="0"/>
          <w:sz w:val="21"/>
          <w:szCs w:val="21"/>
        </w:rPr>
        <w:t>额定1min工频（50Hz）耐受电压（干试和湿试）：740kV（有效值）</w:t>
      </w:r>
    </w:p>
    <w:p w14:paraId="244C7C63">
      <w:pPr>
        <w:spacing w:line="360" w:lineRule="auto"/>
        <w:rPr>
          <w:rFonts w:hint="eastAsia"/>
          <w:b w:val="0"/>
          <w:bCs w:val="0"/>
          <w:sz w:val="21"/>
          <w:szCs w:val="21"/>
        </w:rPr>
      </w:pPr>
      <w:r>
        <w:rPr>
          <w:rFonts w:hint="eastAsia"/>
          <w:b w:val="0"/>
          <w:bCs w:val="0"/>
          <w:sz w:val="21"/>
          <w:szCs w:val="21"/>
        </w:rPr>
        <w:t>电容分压器低压端交流耐压 (1min)：</w:t>
      </w:r>
    </w:p>
    <w:p w14:paraId="1DE79AD3">
      <w:pPr>
        <w:spacing w:line="360" w:lineRule="auto"/>
        <w:rPr>
          <w:rFonts w:hint="eastAsia"/>
          <w:b w:val="0"/>
          <w:bCs w:val="0"/>
          <w:sz w:val="21"/>
          <w:szCs w:val="21"/>
        </w:rPr>
      </w:pPr>
      <w:r>
        <w:rPr>
          <w:rFonts w:hint="eastAsia"/>
          <w:b w:val="0"/>
          <w:bCs w:val="0"/>
          <w:sz w:val="21"/>
          <w:szCs w:val="21"/>
        </w:rPr>
        <w:t xml:space="preserve">低压端和接地端之间耐压： 10kV(有效值) </w:t>
      </w:r>
    </w:p>
    <w:p w14:paraId="33286B64">
      <w:pPr>
        <w:spacing w:line="360" w:lineRule="auto"/>
        <w:rPr>
          <w:rFonts w:hint="eastAsia"/>
          <w:b w:val="0"/>
          <w:bCs w:val="0"/>
          <w:sz w:val="21"/>
          <w:szCs w:val="21"/>
        </w:rPr>
      </w:pPr>
      <w:r>
        <w:rPr>
          <w:rFonts w:hint="eastAsia"/>
          <w:b w:val="0"/>
          <w:bCs w:val="0"/>
          <w:sz w:val="21"/>
          <w:szCs w:val="21"/>
        </w:rPr>
        <w:t>低压端不暴露在风雨中时： 4kV(有效值)</w:t>
      </w:r>
    </w:p>
    <w:p w14:paraId="25160A3C">
      <w:pPr>
        <w:spacing w:line="360" w:lineRule="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中间变压器的交流耐压：中间电压回路耐压 (1min) U2：U2＝ Us=UH×C1/(C1＋C2) ×1.05式中：UH——电容分压器高压端工频试验电压(kV)</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rPr>
        <w:t>C1，C2分别为电容分压器高、中压电容。二次绕组之间及绕组对地的耐压(1min)：3kV(有效值)。</w:t>
      </w:r>
    </w:p>
    <w:p w14:paraId="29ED546B">
      <w:pPr>
        <w:spacing w:line="360" w:lineRule="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补偿电抗器端子之间的绝缘水平及其保护器件的放电电压，与在二次侧短路和开断等过程中电抗器上可能出现的最大过电压水平相适应，具体数值由制造厂规定。若中压端子与地之间接有过电压保护器件，其放电电压由制造厂规定。</w:t>
      </w:r>
    </w:p>
    <w:p w14:paraId="6D678E4F">
      <w:pPr>
        <w:spacing w:line="360" w:lineRule="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（7）局部放电水平：550/</w:t>
      </w:r>
      <w:r>
        <w:rPr>
          <w:rFonts w:hint="eastAsia" w:ascii="宋体" w:hAnsi="宋体" w:eastAsia="宋体" w:cs="宋体"/>
          <w:b w:val="0"/>
          <w:bCs w:val="0"/>
          <w:kern w:val="0"/>
          <w:sz w:val="21"/>
          <w:szCs w:val="21"/>
        </w:rPr>
        <w:object>
          <v:shape id="_x0000_i1028" o:spt="75" type="#_x0000_t75" style="height:17pt;width:18pt;" o:ole="t" filled="f" o:preferrelative="t" stroked="f" coordsize="21600,21600">
            <v:path/>
            <v:fill on="f" focussize="0,0"/>
            <v:stroke on="f"/>
            <v:imagedata r:id="rId22" o:title=""/>
            <o:lock v:ext="edit" aspectratio="f"/>
            <w10:wrap type="none"/>
            <w10:anchorlock/>
          </v:shape>
          <o:OLEObject Type="Embed" ProgID="Equation.2" ShapeID="_x0000_i1028" DrawAspect="Content" ObjectID="_1468075728" r:id="rId21">
            <o:LockedField>false</o:LockedField>
          </o:OLEObject>
        </w:object>
      </w:r>
      <w:r>
        <w:rPr>
          <w:rFonts w:hint="eastAsia" w:ascii="宋体" w:hAnsi="宋体" w:eastAsia="宋体" w:cs="宋体"/>
          <w:b w:val="0"/>
          <w:bCs w:val="0"/>
          <w:kern w:val="0"/>
          <w:sz w:val="21"/>
          <w:szCs w:val="21"/>
        </w:rPr>
        <w:t>kV和1.2×550/</w:t>
      </w:r>
      <w:r>
        <w:rPr>
          <w:rFonts w:hint="eastAsia" w:ascii="宋体" w:hAnsi="宋体" w:eastAsia="宋体" w:cs="宋体"/>
          <w:b w:val="0"/>
          <w:bCs w:val="0"/>
          <w:kern w:val="0"/>
          <w:sz w:val="21"/>
          <w:szCs w:val="21"/>
        </w:rPr>
        <w:object>
          <v:shape id="_x0000_i1029" o:spt="75" type="#_x0000_t75" style="height:17pt;width:18pt;" o:ole="t" filled="f" o:preferrelative="t" stroked="f" coordsize="21600,21600">
            <v:path/>
            <v:fill on="f" focussize="0,0"/>
            <v:stroke on="f"/>
            <v:imagedata r:id="rId24" o:title=""/>
            <o:lock v:ext="edit" aspectratio="f"/>
            <w10:wrap type="none"/>
            <w10:anchorlock/>
          </v:shape>
          <o:OLEObject Type="Embed" ProgID="Equation.2" ShapeID="_x0000_i1029" DrawAspect="Content" ObjectID="_1468075729" r:id="rId23">
            <o:LockedField>false</o:LockedField>
          </o:OLEObject>
        </w:object>
      </w:r>
      <w:r>
        <w:rPr>
          <w:rFonts w:hint="eastAsia" w:ascii="宋体" w:hAnsi="宋体" w:eastAsia="宋体" w:cs="宋体"/>
          <w:b w:val="0"/>
          <w:bCs w:val="0"/>
          <w:kern w:val="0"/>
          <w:sz w:val="21"/>
          <w:szCs w:val="21"/>
        </w:rPr>
        <w:t>kV电压下局部放电量不大于5 pC。</w:t>
      </w:r>
    </w:p>
    <w:p w14:paraId="60338B18">
      <w:pPr>
        <w:spacing w:line="360" w:lineRule="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（8）电容分压器的介质损耗因数：</w:t>
      </w:r>
    </w:p>
    <w:p w14:paraId="2DF8F203">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在电压(0.9～1.1)×550/</w:t>
      </w:r>
      <w:r>
        <w:rPr>
          <w:rFonts w:hint="eastAsia" w:ascii="宋体" w:hAnsi="宋体" w:eastAsia="宋体" w:cs="宋体"/>
          <w:b w:val="0"/>
          <w:bCs w:val="0"/>
          <w:kern w:val="0"/>
          <w:sz w:val="21"/>
          <w:szCs w:val="21"/>
        </w:rPr>
        <w:object>
          <v:shape id="_x0000_i1030" o:spt="75" type="#_x0000_t75" style="height:17pt;width:18pt;" o:ole="t" filled="f" o:preferrelative="t" stroked="f" coordsize="21600,21600">
            <v:path/>
            <v:fill on="f" focussize="0,0"/>
            <v:stroke on="f"/>
            <v:imagedata r:id="rId26" o:title=""/>
            <o:lock v:ext="edit" aspectratio="f"/>
            <w10:wrap type="none"/>
            <w10:anchorlock/>
          </v:shape>
          <o:OLEObject Type="Embed" ProgID="Equation.2" ShapeID="_x0000_i1030" DrawAspect="Content" ObjectID="_1468075730" r:id="rId25">
            <o:LockedField>false</o:LockedField>
          </o:OLEObject>
        </w:object>
      </w:r>
      <w:r>
        <w:rPr>
          <w:rFonts w:hint="eastAsia" w:ascii="宋体" w:hAnsi="宋体" w:eastAsia="宋体" w:cs="宋体"/>
          <w:b w:val="0"/>
          <w:bCs w:val="0"/>
          <w:kern w:val="0"/>
          <w:sz w:val="21"/>
          <w:szCs w:val="21"/>
        </w:rPr>
        <w:t>kV，温度20℃下，膜纸绝缘的tg</w:t>
      </w:r>
      <w:r>
        <w:rPr>
          <w:rFonts w:hint="eastAsia" w:ascii="宋体" w:hAnsi="宋体" w:eastAsia="宋体" w:cs="宋体"/>
          <w:b w:val="0"/>
          <w:bCs w:val="0"/>
          <w:kern w:val="0"/>
          <w:sz w:val="21"/>
          <w:szCs w:val="21"/>
        </w:rPr>
        <w:sym w:font="Symbol" w:char="F064"/>
      </w:r>
      <w:r>
        <w:rPr>
          <w:rFonts w:hint="eastAsia" w:ascii="宋体" w:hAnsi="宋体" w:eastAsia="宋体" w:cs="宋体"/>
          <w:b w:val="0"/>
          <w:bCs w:val="0"/>
          <w:kern w:val="0"/>
          <w:sz w:val="21"/>
          <w:szCs w:val="21"/>
        </w:rPr>
        <w:t>值不大于0.1%。</w:t>
      </w:r>
    </w:p>
    <w:p w14:paraId="689C2646">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投标方提供介损</w:t>
      </w:r>
      <w:r>
        <w:rPr>
          <w:rFonts w:hint="eastAsia" w:ascii="宋体" w:hAnsi="宋体" w:eastAsia="宋体" w:cs="宋体"/>
          <w:b w:val="0"/>
          <w:bCs w:val="0"/>
          <w:kern w:val="0"/>
          <w:sz w:val="21"/>
          <w:szCs w:val="21"/>
        </w:rPr>
        <w:sym w:font="Symbol" w:char="F0BE"/>
      </w:r>
      <w:r>
        <w:rPr>
          <w:rFonts w:hint="eastAsia" w:ascii="宋体" w:hAnsi="宋体" w:eastAsia="宋体" w:cs="宋体"/>
          <w:b w:val="0"/>
          <w:bCs w:val="0"/>
          <w:kern w:val="0"/>
          <w:sz w:val="21"/>
          <w:szCs w:val="21"/>
        </w:rPr>
        <w:t>温度校正曲线，并提供电容量的实测值及10kV下介质损耗因数tg</w:t>
      </w:r>
      <w:r>
        <w:rPr>
          <w:rFonts w:hint="eastAsia" w:ascii="宋体" w:hAnsi="宋体" w:eastAsia="宋体" w:cs="宋体"/>
          <w:b w:val="0"/>
          <w:bCs w:val="0"/>
          <w:kern w:val="0"/>
          <w:sz w:val="21"/>
          <w:szCs w:val="21"/>
        </w:rPr>
        <w:sym w:font="Symbol" w:char="F064"/>
      </w:r>
      <w:r>
        <w:rPr>
          <w:rFonts w:hint="eastAsia" w:ascii="宋体" w:hAnsi="宋体" w:eastAsia="宋体" w:cs="宋体"/>
          <w:b w:val="0"/>
          <w:bCs w:val="0"/>
          <w:kern w:val="0"/>
          <w:sz w:val="21"/>
          <w:szCs w:val="21"/>
        </w:rPr>
        <w:t>和电容量的实测值。</w:t>
      </w:r>
    </w:p>
    <w:p w14:paraId="234CF026">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（9）无线电干扰电压水平在</w:t>
      </w:r>
      <w:r>
        <w:rPr>
          <w:rFonts w:hint="eastAsia" w:ascii="宋体" w:hAnsi="宋体" w:eastAsia="宋体" w:cs="宋体"/>
          <w:b w:val="0"/>
          <w:bCs w:val="0"/>
          <w:kern w:val="0"/>
          <w:sz w:val="21"/>
          <w:szCs w:val="21"/>
        </w:rPr>
        <w:object>
          <v:shape id="_x0000_i1031" o:spt="75" type="#_x0000_t75" style="height:33pt;width:71pt;" o:ole="t" filled="f" stroked="f" coordsize="21600,21600">
            <v:path/>
            <v:fill on="f" alignshape="1" focussize="0,0"/>
            <v:stroke on="f"/>
            <v:imagedata r:id="rId28" o:title=""/>
            <o:lock v:ext="edit" aspectratio="t"/>
            <w10:wrap type="none"/>
            <w10:anchorlock/>
          </v:shape>
          <o:OLEObject Type="Embed" ProgID="Equation.3" ShapeID="_x0000_i1031" DrawAspect="Content" ObjectID="_1468075731" r:id="rId27">
            <o:LockedField>false</o:LockedField>
          </o:OLEObject>
        </w:object>
      </w:r>
      <w:r>
        <w:rPr>
          <w:rFonts w:hint="eastAsia" w:ascii="宋体" w:hAnsi="宋体" w:eastAsia="宋体" w:cs="宋体"/>
          <w:b w:val="0"/>
          <w:bCs w:val="0"/>
          <w:kern w:val="0"/>
          <w:sz w:val="21"/>
          <w:szCs w:val="21"/>
        </w:rPr>
        <w:t>时不大于500</w:t>
      </w:r>
      <w:r>
        <w:rPr>
          <w:rFonts w:hint="eastAsia" w:ascii="宋体" w:hAnsi="宋体" w:eastAsia="宋体" w:cs="宋体"/>
          <w:b w:val="0"/>
          <w:bCs w:val="0"/>
          <w:kern w:val="0"/>
          <w:sz w:val="21"/>
          <w:szCs w:val="21"/>
        </w:rPr>
        <w:sym w:font="Symbol" w:char="F06D"/>
      </w:r>
      <w:r>
        <w:rPr>
          <w:rFonts w:hint="eastAsia" w:ascii="宋体" w:hAnsi="宋体" w:eastAsia="宋体" w:cs="宋体"/>
          <w:b w:val="0"/>
          <w:bCs w:val="0"/>
          <w:kern w:val="0"/>
          <w:sz w:val="21"/>
          <w:szCs w:val="21"/>
        </w:rPr>
        <w:t>V，并在此电压下的晴天夜间无可见电晕。</w:t>
      </w:r>
    </w:p>
    <w:p w14:paraId="0AD2ABB2">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（10）整套电压互感器使用年限不小于30年。</w:t>
      </w:r>
    </w:p>
    <w:p w14:paraId="67617E04">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4.3</w:t>
      </w:r>
      <w:r>
        <w:rPr>
          <w:rFonts w:hint="eastAsia" w:ascii="宋体" w:hAnsi="宋体" w:eastAsia="宋体" w:cs="宋体"/>
          <w:b w:val="0"/>
          <w:bCs w:val="0"/>
          <w:kern w:val="0"/>
          <w:sz w:val="21"/>
          <w:szCs w:val="21"/>
        </w:rPr>
        <w:t>性能要求</w:t>
      </w:r>
    </w:p>
    <w:p w14:paraId="20D22DB9">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4</w:t>
      </w:r>
      <w:r>
        <w:rPr>
          <w:rFonts w:hint="eastAsia" w:ascii="宋体" w:hAnsi="宋体" w:eastAsia="宋体" w:cs="宋体"/>
          <w:b w:val="0"/>
          <w:bCs w:val="0"/>
          <w:kern w:val="0"/>
          <w:sz w:val="21"/>
          <w:szCs w:val="21"/>
        </w:rPr>
        <w:t>.</w:t>
      </w:r>
      <w:r>
        <w:rPr>
          <w:rFonts w:hint="eastAsia" w:ascii="宋体" w:hAnsi="宋体" w:eastAsia="宋体" w:cs="宋体"/>
          <w:b w:val="0"/>
          <w:bCs w:val="0"/>
          <w:kern w:val="0"/>
          <w:sz w:val="21"/>
          <w:szCs w:val="21"/>
          <w:lang w:val="en-US" w:eastAsia="zh-CN"/>
        </w:rPr>
        <w:t>3</w:t>
      </w:r>
      <w:r>
        <w:rPr>
          <w:rFonts w:hint="eastAsia" w:ascii="宋体" w:hAnsi="宋体" w:eastAsia="宋体" w:cs="宋体"/>
          <w:b w:val="0"/>
          <w:bCs w:val="0"/>
          <w:kern w:val="0"/>
          <w:sz w:val="21"/>
          <w:szCs w:val="21"/>
        </w:rPr>
        <w:t>.1电压互感器在规定的使用条件下，能连续运行并具有所规定的额定值和特性。每个电压互感器的输出必须满足相关装置准确工作，也即满足保护装置、测量仪表等所要求的负荷范围和故障功率。投标方应对所有电压互感器及所有的其它相应设备的兼容性和适用性负有全责。</w:t>
      </w:r>
    </w:p>
    <w:p w14:paraId="6E287888">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4</w:t>
      </w:r>
      <w:r>
        <w:rPr>
          <w:rFonts w:hint="eastAsia" w:ascii="宋体" w:hAnsi="宋体" w:eastAsia="宋体" w:cs="宋体"/>
          <w:b w:val="0"/>
          <w:bCs w:val="0"/>
          <w:kern w:val="0"/>
          <w:sz w:val="21"/>
          <w:szCs w:val="21"/>
        </w:rPr>
        <w:t>.</w:t>
      </w:r>
      <w:r>
        <w:rPr>
          <w:rFonts w:hint="eastAsia" w:ascii="宋体" w:hAnsi="宋体" w:eastAsia="宋体" w:cs="宋体"/>
          <w:b w:val="0"/>
          <w:bCs w:val="0"/>
          <w:kern w:val="0"/>
          <w:sz w:val="21"/>
          <w:szCs w:val="21"/>
          <w:lang w:val="en-US" w:eastAsia="zh-CN"/>
        </w:rPr>
        <w:t>3</w:t>
      </w:r>
      <w:r>
        <w:rPr>
          <w:rFonts w:hint="eastAsia" w:ascii="宋体" w:hAnsi="宋体" w:eastAsia="宋体" w:cs="宋体"/>
          <w:b w:val="0"/>
          <w:bCs w:val="0"/>
          <w:kern w:val="0"/>
          <w:sz w:val="21"/>
          <w:szCs w:val="21"/>
        </w:rPr>
        <w:t>.2同一型号的电压互感器安装尺寸一致，各相同部分的易损件的备品备件具有互换性。</w:t>
      </w:r>
    </w:p>
    <w:p w14:paraId="620D9542">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4</w:t>
      </w:r>
      <w:r>
        <w:rPr>
          <w:rFonts w:hint="eastAsia" w:ascii="宋体" w:hAnsi="宋体" w:eastAsia="宋体" w:cs="宋体"/>
          <w:b w:val="0"/>
          <w:bCs w:val="0"/>
          <w:kern w:val="0"/>
          <w:sz w:val="21"/>
          <w:szCs w:val="21"/>
        </w:rPr>
        <w:t>.</w:t>
      </w:r>
      <w:r>
        <w:rPr>
          <w:rFonts w:hint="eastAsia" w:ascii="宋体" w:hAnsi="宋体" w:eastAsia="宋体" w:cs="宋体"/>
          <w:b w:val="0"/>
          <w:bCs w:val="0"/>
          <w:kern w:val="0"/>
          <w:sz w:val="21"/>
          <w:szCs w:val="21"/>
          <w:lang w:val="en-US" w:eastAsia="zh-CN"/>
        </w:rPr>
        <w:t>3</w:t>
      </w:r>
      <w:r>
        <w:rPr>
          <w:rFonts w:hint="eastAsia" w:ascii="宋体" w:hAnsi="宋体" w:eastAsia="宋体" w:cs="宋体"/>
          <w:b w:val="0"/>
          <w:bCs w:val="0"/>
          <w:kern w:val="0"/>
          <w:sz w:val="21"/>
          <w:szCs w:val="21"/>
        </w:rPr>
        <w:t>.3 电压互感器为单相四个二次绕组</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rPr>
        <w:t>电压互感器为单柱式结构，电压互感器应配备完整并配有用于安装和运行所必需的所有其它附件。</w:t>
      </w:r>
    </w:p>
    <w:p w14:paraId="0125CCEE">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4</w:t>
      </w:r>
      <w:r>
        <w:rPr>
          <w:rFonts w:hint="eastAsia" w:ascii="宋体" w:hAnsi="宋体" w:eastAsia="宋体" w:cs="宋体"/>
          <w:b w:val="0"/>
          <w:bCs w:val="0"/>
          <w:kern w:val="0"/>
          <w:sz w:val="21"/>
          <w:szCs w:val="21"/>
        </w:rPr>
        <w:t>.</w:t>
      </w:r>
      <w:r>
        <w:rPr>
          <w:rFonts w:hint="eastAsia" w:ascii="宋体" w:hAnsi="宋体" w:eastAsia="宋体" w:cs="宋体"/>
          <w:b w:val="0"/>
          <w:bCs w:val="0"/>
          <w:kern w:val="0"/>
          <w:sz w:val="21"/>
          <w:szCs w:val="21"/>
          <w:lang w:val="en-US" w:eastAsia="zh-CN"/>
        </w:rPr>
        <w:t>3</w:t>
      </w:r>
      <w:r>
        <w:rPr>
          <w:rFonts w:hint="eastAsia" w:ascii="宋体" w:hAnsi="宋体" w:eastAsia="宋体" w:cs="宋体"/>
          <w:b w:val="0"/>
          <w:bCs w:val="0"/>
          <w:kern w:val="0"/>
          <w:sz w:val="21"/>
          <w:szCs w:val="21"/>
        </w:rPr>
        <w:t>.4电容式电压互感器其准确级不受外部绝缘表面存在的污染影响。</w:t>
      </w:r>
    </w:p>
    <w:p w14:paraId="1DD2DB9F">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4</w:t>
      </w:r>
      <w:r>
        <w:rPr>
          <w:rFonts w:hint="eastAsia" w:ascii="宋体" w:hAnsi="宋体" w:eastAsia="宋体" w:cs="宋体"/>
          <w:b w:val="0"/>
          <w:bCs w:val="0"/>
          <w:kern w:val="0"/>
          <w:sz w:val="21"/>
          <w:szCs w:val="21"/>
        </w:rPr>
        <w:t>.</w:t>
      </w:r>
      <w:r>
        <w:rPr>
          <w:rFonts w:hint="eastAsia" w:ascii="宋体" w:hAnsi="宋体" w:eastAsia="宋体" w:cs="宋体"/>
          <w:b w:val="0"/>
          <w:bCs w:val="0"/>
          <w:kern w:val="0"/>
          <w:sz w:val="21"/>
          <w:szCs w:val="21"/>
          <w:lang w:val="en-US" w:eastAsia="zh-CN"/>
        </w:rPr>
        <w:t>3</w:t>
      </w:r>
      <w:r>
        <w:rPr>
          <w:rFonts w:hint="eastAsia" w:ascii="宋体" w:hAnsi="宋体" w:eastAsia="宋体" w:cs="宋体"/>
          <w:b w:val="0"/>
          <w:bCs w:val="0"/>
          <w:kern w:val="0"/>
          <w:sz w:val="21"/>
          <w:szCs w:val="21"/>
        </w:rPr>
        <w:t>.5 铁磁谐振：在1.2倍额定电压而负荷实际上为零的情况下，互感器的二次线路短路后（至少持续0.1s）又突然消除短路，其二次电压峰值应在额定频率的10个周波之内恢复到与短路前的正常值相差不大于10％。进行此项测试次数不少于30次。在1.5倍额定电压而负荷实际上为零的情况下，互感器的二次线路短路后（至少持续0.1s）又突然消除短路，其铁磁谐振持续时间应不超过2s。进行此项测试次数不少于10次。</w:t>
      </w:r>
    </w:p>
    <w:p w14:paraId="6B269C8D">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4</w:t>
      </w:r>
      <w:r>
        <w:rPr>
          <w:rFonts w:hint="eastAsia" w:ascii="宋体" w:hAnsi="宋体" w:eastAsia="宋体" w:cs="宋体"/>
          <w:b w:val="0"/>
          <w:bCs w:val="0"/>
          <w:kern w:val="0"/>
          <w:sz w:val="21"/>
          <w:szCs w:val="21"/>
        </w:rPr>
        <w:t>.</w:t>
      </w:r>
      <w:r>
        <w:rPr>
          <w:rFonts w:hint="eastAsia" w:ascii="宋体" w:hAnsi="宋体" w:eastAsia="宋体" w:cs="宋体"/>
          <w:b w:val="0"/>
          <w:bCs w:val="0"/>
          <w:kern w:val="0"/>
          <w:sz w:val="21"/>
          <w:szCs w:val="21"/>
          <w:lang w:val="en-US" w:eastAsia="zh-CN"/>
        </w:rPr>
        <w:t>3</w:t>
      </w:r>
      <w:r>
        <w:rPr>
          <w:rFonts w:hint="eastAsia" w:ascii="宋体" w:hAnsi="宋体" w:eastAsia="宋体" w:cs="宋体"/>
          <w:b w:val="0"/>
          <w:bCs w:val="0"/>
          <w:kern w:val="0"/>
          <w:sz w:val="21"/>
          <w:szCs w:val="21"/>
        </w:rPr>
        <w:t>.6暂态特性：互感器的二次绕组带有相当于额定值的25％-100％的负荷，高电压端子在额定电压下发生对接地端子短路后，二次输出电压应在额定频率的一个周波之内降低到短路前电压峰值的10％。试验应在25%和100%的互感器二次负载下随机进行10次，或者在一次电压为峰值或过零点时各进行2次。</w:t>
      </w:r>
    </w:p>
    <w:p w14:paraId="6F1A41E5">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4</w:t>
      </w:r>
      <w:r>
        <w:rPr>
          <w:rFonts w:hint="eastAsia" w:ascii="宋体" w:hAnsi="宋体" w:eastAsia="宋体" w:cs="宋体"/>
          <w:b w:val="0"/>
          <w:bCs w:val="0"/>
          <w:kern w:val="0"/>
          <w:sz w:val="21"/>
          <w:szCs w:val="21"/>
        </w:rPr>
        <w:t>.</w:t>
      </w:r>
      <w:r>
        <w:rPr>
          <w:rFonts w:hint="eastAsia" w:ascii="宋体" w:hAnsi="宋体" w:eastAsia="宋体" w:cs="宋体"/>
          <w:b w:val="0"/>
          <w:bCs w:val="0"/>
          <w:kern w:val="0"/>
          <w:sz w:val="21"/>
          <w:szCs w:val="21"/>
          <w:lang w:val="en-US" w:eastAsia="zh-CN"/>
        </w:rPr>
        <w:t>3</w:t>
      </w:r>
      <w:r>
        <w:rPr>
          <w:rFonts w:hint="eastAsia" w:ascii="宋体" w:hAnsi="宋体" w:eastAsia="宋体" w:cs="宋体"/>
          <w:b w:val="0"/>
          <w:bCs w:val="0"/>
          <w:kern w:val="0"/>
          <w:sz w:val="21"/>
          <w:szCs w:val="21"/>
        </w:rPr>
        <w:t>.</w:t>
      </w:r>
      <w:r>
        <w:rPr>
          <w:rFonts w:hint="eastAsia" w:ascii="宋体" w:hAnsi="宋体" w:eastAsia="宋体" w:cs="宋体"/>
          <w:b w:val="0"/>
          <w:bCs w:val="0"/>
          <w:kern w:val="0"/>
          <w:sz w:val="21"/>
          <w:szCs w:val="21"/>
          <w:lang w:val="en-US" w:eastAsia="zh-CN"/>
        </w:rPr>
        <w:t>7</w:t>
      </w:r>
      <w:r>
        <w:rPr>
          <w:rFonts w:hint="eastAsia" w:ascii="宋体" w:hAnsi="宋体" w:eastAsia="宋体" w:cs="宋体"/>
          <w:b w:val="0"/>
          <w:bCs w:val="0"/>
          <w:kern w:val="0"/>
          <w:sz w:val="21"/>
          <w:szCs w:val="21"/>
        </w:rPr>
        <w:t>误差限值：</w:t>
      </w:r>
    </w:p>
    <w:p w14:paraId="6F4AE90F">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对测量级二次绕组在80%～120%额定电压之间的任一电压和功率因数为0.8（滞后）的二次负荷，在额定负荷的25%～100%之间条件下，电压互感器在规定频率下的电压误差和相位差不超过1%和40’。对保护级二次绕组在5%～150%额定电压之间的任一电压和功率因数为0.8（滞后）的二次负荷，在额定负荷的25%～100%之间条件下，电压互感器在规定频率下的电压误差和相位差不超过</w:t>
      </w:r>
      <w:r>
        <w:rPr>
          <w:rFonts w:hint="eastAsia" w:ascii="宋体" w:hAnsi="宋体" w:eastAsia="宋体" w:cs="宋体"/>
          <w:b w:val="0"/>
          <w:bCs w:val="0"/>
          <w:kern w:val="0"/>
          <w:sz w:val="21"/>
          <w:szCs w:val="21"/>
        </w:rPr>
        <w:sym w:font="Symbol" w:char="F0B1"/>
      </w:r>
      <w:r>
        <w:rPr>
          <w:rFonts w:hint="eastAsia" w:ascii="宋体" w:hAnsi="宋体" w:eastAsia="宋体" w:cs="宋体"/>
          <w:b w:val="0"/>
          <w:bCs w:val="0"/>
          <w:kern w:val="0"/>
          <w:sz w:val="21"/>
          <w:szCs w:val="21"/>
        </w:rPr>
        <w:t>3%和</w:t>
      </w:r>
      <w:r>
        <w:rPr>
          <w:rFonts w:hint="eastAsia" w:ascii="宋体" w:hAnsi="宋体" w:eastAsia="宋体" w:cs="宋体"/>
          <w:b w:val="0"/>
          <w:bCs w:val="0"/>
          <w:kern w:val="0"/>
          <w:sz w:val="21"/>
          <w:szCs w:val="21"/>
        </w:rPr>
        <w:sym w:font="Times New Roman" w:char="0000"/>
      </w:r>
      <w:r>
        <w:rPr>
          <w:rFonts w:hint="eastAsia" w:ascii="宋体" w:hAnsi="宋体" w:eastAsia="宋体" w:cs="宋体"/>
          <w:b w:val="0"/>
          <w:bCs w:val="0"/>
          <w:kern w:val="0"/>
          <w:sz w:val="21"/>
          <w:szCs w:val="21"/>
        </w:rPr>
        <w:t>120’。在2%额定电压下的误差限值为5%额定电压下对应值的2倍。</w:t>
      </w:r>
    </w:p>
    <w:p w14:paraId="706DAD0D">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4</w:t>
      </w:r>
      <w:r>
        <w:rPr>
          <w:rFonts w:hint="eastAsia" w:ascii="宋体" w:hAnsi="宋体" w:eastAsia="宋体" w:cs="宋体"/>
          <w:b w:val="0"/>
          <w:bCs w:val="0"/>
          <w:kern w:val="0"/>
          <w:sz w:val="21"/>
          <w:szCs w:val="21"/>
        </w:rPr>
        <w:t>.</w:t>
      </w:r>
      <w:r>
        <w:rPr>
          <w:rFonts w:hint="eastAsia" w:ascii="宋体" w:hAnsi="宋体" w:eastAsia="宋体" w:cs="宋体"/>
          <w:b w:val="0"/>
          <w:bCs w:val="0"/>
          <w:kern w:val="0"/>
          <w:sz w:val="21"/>
          <w:szCs w:val="21"/>
          <w:lang w:val="en-US" w:eastAsia="zh-CN"/>
        </w:rPr>
        <w:t>3</w:t>
      </w:r>
      <w:r>
        <w:rPr>
          <w:rFonts w:hint="eastAsia" w:ascii="宋体" w:hAnsi="宋体" w:eastAsia="宋体" w:cs="宋体"/>
          <w:b w:val="0"/>
          <w:bCs w:val="0"/>
          <w:kern w:val="0"/>
          <w:sz w:val="21"/>
          <w:szCs w:val="21"/>
        </w:rPr>
        <w:t>.9温升限值：</w:t>
      </w:r>
    </w:p>
    <w:p w14:paraId="16E11D0E">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油浸绝缘电压互感器电磁单元各绕组的温升应不超过60K，油顶层温升应不超过50K，铁芯或其它金属构件温升也应不超过他们接触或靠近的绝缘材料温升限制。</w:t>
      </w:r>
    </w:p>
    <w:p w14:paraId="5AE5B0B4">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温升试验：</w:t>
      </w:r>
    </w:p>
    <w:p w14:paraId="7EA501BC">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1）在1.2倍额定电压下进行试验，直到温度达到稳定。如果规定了热极限输出，电磁单元还应在额定电压和对应其热极限输出且Cos</w:t>
      </w:r>
      <w:r>
        <w:rPr>
          <w:rFonts w:hint="eastAsia" w:ascii="宋体" w:hAnsi="宋体" w:eastAsia="宋体" w:cs="宋体"/>
          <w:b w:val="0"/>
          <w:bCs w:val="0"/>
          <w:kern w:val="0"/>
          <w:sz w:val="21"/>
          <w:szCs w:val="21"/>
        </w:rPr>
        <w:sym w:font="Symbol" w:char="F06A"/>
      </w:r>
      <w:r>
        <w:rPr>
          <w:rFonts w:hint="eastAsia" w:ascii="宋体" w:hAnsi="宋体" w:eastAsia="宋体" w:cs="宋体"/>
          <w:b w:val="0"/>
          <w:bCs w:val="0"/>
          <w:kern w:val="0"/>
          <w:sz w:val="21"/>
          <w:szCs w:val="21"/>
        </w:rPr>
        <w:t>=1的负荷下进行试验。</w:t>
      </w:r>
    </w:p>
    <w:p w14:paraId="459C45F2">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2）在1.2倍额定电压下的温升试验达到稳定状态后，立即施加1.5倍额定电压试验30s，各绕组温升不应超过70K。也可从冷态开始，各绕组温升应不超过10K。</w:t>
      </w:r>
    </w:p>
    <w:p w14:paraId="13FFB336">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在额定一次电压下，互感器能承受历时1s的二次短路造成的机械和热效应而无损伤。</w:t>
      </w:r>
    </w:p>
    <w:p w14:paraId="538B3390">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4</w:t>
      </w:r>
      <w:r>
        <w:rPr>
          <w:rFonts w:hint="eastAsia" w:ascii="宋体" w:hAnsi="宋体" w:eastAsia="宋体" w:cs="宋体"/>
          <w:b w:val="0"/>
          <w:bCs w:val="0"/>
          <w:kern w:val="0"/>
          <w:sz w:val="21"/>
          <w:szCs w:val="21"/>
        </w:rPr>
        <w:t>.</w:t>
      </w:r>
      <w:r>
        <w:rPr>
          <w:rFonts w:hint="eastAsia" w:ascii="宋体" w:hAnsi="宋体" w:eastAsia="宋体" w:cs="宋体"/>
          <w:b w:val="0"/>
          <w:bCs w:val="0"/>
          <w:kern w:val="0"/>
          <w:sz w:val="21"/>
          <w:szCs w:val="21"/>
          <w:lang w:val="en-US" w:eastAsia="zh-CN"/>
        </w:rPr>
        <w:t>3</w:t>
      </w:r>
      <w:r>
        <w:rPr>
          <w:rFonts w:hint="eastAsia" w:ascii="宋体" w:hAnsi="宋体" w:eastAsia="宋体" w:cs="宋体"/>
          <w:b w:val="0"/>
          <w:bCs w:val="0"/>
          <w:kern w:val="0"/>
          <w:sz w:val="21"/>
          <w:szCs w:val="21"/>
        </w:rPr>
        <w:t>.</w:t>
      </w:r>
      <w:r>
        <w:rPr>
          <w:rFonts w:hint="eastAsia" w:ascii="宋体" w:hAnsi="宋体" w:eastAsia="宋体" w:cs="宋体"/>
          <w:b w:val="0"/>
          <w:bCs w:val="0"/>
          <w:kern w:val="0"/>
          <w:sz w:val="21"/>
          <w:szCs w:val="21"/>
          <w:lang w:val="en-US" w:eastAsia="zh-CN"/>
        </w:rPr>
        <w:t>10</w:t>
      </w:r>
      <w:r>
        <w:rPr>
          <w:rFonts w:hint="eastAsia" w:ascii="宋体" w:hAnsi="宋体" w:eastAsia="宋体" w:cs="宋体"/>
          <w:b w:val="0"/>
          <w:bCs w:val="0"/>
          <w:kern w:val="0"/>
          <w:sz w:val="21"/>
          <w:szCs w:val="21"/>
        </w:rPr>
        <w:t xml:space="preserve"> 载波耦合装置的保护间隙</w:t>
      </w:r>
    </w:p>
    <w:p w14:paraId="1DF4BB3C">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如果互感器的电容分压器低压端子与接地端子间装有保护间隙，其工频放电电压不超过2kV（有效值）。</w:t>
      </w:r>
    </w:p>
    <w:p w14:paraId="14A8C220">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4</w:t>
      </w:r>
      <w:r>
        <w:rPr>
          <w:rFonts w:hint="eastAsia" w:ascii="宋体" w:hAnsi="宋体" w:eastAsia="宋体" w:cs="宋体"/>
          <w:b w:val="0"/>
          <w:bCs w:val="0"/>
          <w:kern w:val="0"/>
          <w:sz w:val="21"/>
          <w:szCs w:val="21"/>
        </w:rPr>
        <w:t>.</w:t>
      </w:r>
      <w:r>
        <w:rPr>
          <w:rFonts w:hint="eastAsia" w:ascii="宋体" w:hAnsi="宋体" w:eastAsia="宋体" w:cs="宋体"/>
          <w:b w:val="0"/>
          <w:bCs w:val="0"/>
          <w:kern w:val="0"/>
          <w:sz w:val="21"/>
          <w:szCs w:val="21"/>
          <w:lang w:val="en-US" w:eastAsia="zh-CN"/>
        </w:rPr>
        <w:t>4</w:t>
      </w:r>
      <w:r>
        <w:rPr>
          <w:rFonts w:hint="eastAsia" w:ascii="宋体" w:hAnsi="宋体" w:eastAsia="宋体" w:cs="宋体"/>
          <w:b w:val="0"/>
          <w:bCs w:val="0"/>
          <w:kern w:val="0"/>
          <w:sz w:val="21"/>
          <w:szCs w:val="21"/>
        </w:rPr>
        <w:tab/>
      </w:r>
      <w:r>
        <w:rPr>
          <w:rFonts w:hint="eastAsia" w:ascii="宋体" w:hAnsi="宋体" w:eastAsia="宋体" w:cs="宋体"/>
          <w:b w:val="0"/>
          <w:bCs w:val="0"/>
          <w:kern w:val="0"/>
          <w:sz w:val="21"/>
          <w:szCs w:val="21"/>
        </w:rPr>
        <w:t>结构要求</w:t>
      </w:r>
    </w:p>
    <w:p w14:paraId="4DA70FD2">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4</w:t>
      </w:r>
      <w:r>
        <w:rPr>
          <w:rFonts w:hint="eastAsia" w:ascii="宋体" w:hAnsi="宋体" w:eastAsia="宋体" w:cs="宋体"/>
          <w:b w:val="0"/>
          <w:bCs w:val="0"/>
          <w:kern w:val="0"/>
          <w:sz w:val="21"/>
          <w:szCs w:val="21"/>
        </w:rPr>
        <w:t>.</w:t>
      </w:r>
      <w:r>
        <w:rPr>
          <w:rFonts w:hint="eastAsia" w:ascii="宋体" w:hAnsi="宋体" w:eastAsia="宋体" w:cs="宋体"/>
          <w:b w:val="0"/>
          <w:bCs w:val="0"/>
          <w:kern w:val="0"/>
          <w:sz w:val="21"/>
          <w:szCs w:val="21"/>
          <w:lang w:val="en-US" w:eastAsia="zh-CN"/>
        </w:rPr>
        <w:t>4</w:t>
      </w:r>
      <w:r>
        <w:rPr>
          <w:rFonts w:hint="eastAsia" w:ascii="宋体" w:hAnsi="宋体" w:eastAsia="宋体" w:cs="宋体"/>
          <w:b w:val="0"/>
          <w:bCs w:val="0"/>
          <w:kern w:val="0"/>
          <w:sz w:val="21"/>
          <w:szCs w:val="21"/>
        </w:rPr>
        <w:t>.1电压互感器为单相户外瓷柱型，油浸电容式，由电容分压器、电磁单元（中间变压器、调谐电抗器）、阻尼器、保护间隙组成。每个单相电压互感器应为独立支座。电压互感器结构简单，性能可靠，安装调整容易，维护检修安全方便，金属制造的零件均应防锈、防腐蚀，各螺纹连接部分应防止振动，对钢制件（铸件除外）应采用热镀锌处理。</w:t>
      </w:r>
    </w:p>
    <w:p w14:paraId="425674C3">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4</w:t>
      </w:r>
      <w:r>
        <w:rPr>
          <w:rFonts w:hint="eastAsia" w:ascii="宋体" w:hAnsi="宋体" w:eastAsia="宋体" w:cs="宋体"/>
          <w:b w:val="0"/>
          <w:bCs w:val="0"/>
          <w:kern w:val="0"/>
          <w:sz w:val="21"/>
          <w:szCs w:val="21"/>
        </w:rPr>
        <w:t>.</w:t>
      </w:r>
      <w:r>
        <w:rPr>
          <w:rFonts w:hint="eastAsia" w:ascii="宋体" w:hAnsi="宋体" w:eastAsia="宋体" w:cs="宋体"/>
          <w:b w:val="0"/>
          <w:bCs w:val="0"/>
          <w:kern w:val="0"/>
          <w:sz w:val="21"/>
          <w:szCs w:val="21"/>
          <w:lang w:val="en-US" w:eastAsia="zh-CN"/>
        </w:rPr>
        <w:t>4</w:t>
      </w:r>
      <w:r>
        <w:rPr>
          <w:rFonts w:hint="eastAsia" w:ascii="宋体" w:hAnsi="宋体" w:eastAsia="宋体" w:cs="宋体"/>
          <w:b w:val="0"/>
          <w:bCs w:val="0"/>
          <w:kern w:val="0"/>
          <w:sz w:val="21"/>
          <w:szCs w:val="21"/>
        </w:rPr>
        <w:t>.2主端子</w:t>
      </w:r>
    </w:p>
    <w:p w14:paraId="2A5F7F0A">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所有接地、安装和组装用紧固件和连接件</w:t>
      </w:r>
      <w:r>
        <w:rPr>
          <w:rFonts w:hint="eastAsia" w:ascii="宋体" w:hAnsi="宋体" w:eastAsia="宋体" w:cs="宋体"/>
          <w:b w:val="0"/>
          <w:bCs w:val="0"/>
          <w:kern w:val="0"/>
          <w:sz w:val="21"/>
          <w:szCs w:val="21"/>
          <w:lang w:eastAsia="zh-CN"/>
        </w:rPr>
        <w:t>均</w:t>
      </w:r>
      <w:r>
        <w:rPr>
          <w:rFonts w:hint="eastAsia" w:ascii="宋体" w:hAnsi="宋体" w:eastAsia="宋体" w:cs="宋体"/>
          <w:b w:val="0"/>
          <w:bCs w:val="0"/>
          <w:kern w:val="0"/>
          <w:sz w:val="21"/>
          <w:szCs w:val="21"/>
        </w:rPr>
        <w:t>由</w:t>
      </w:r>
      <w:r>
        <w:rPr>
          <w:rFonts w:hint="eastAsia" w:ascii="宋体" w:hAnsi="宋体" w:eastAsia="宋体" w:cs="宋体"/>
          <w:b w:val="0"/>
          <w:bCs w:val="0"/>
          <w:kern w:val="0"/>
          <w:sz w:val="21"/>
          <w:szCs w:val="21"/>
          <w:lang w:eastAsia="zh-CN"/>
        </w:rPr>
        <w:t>投标方</w:t>
      </w:r>
      <w:r>
        <w:rPr>
          <w:rFonts w:hint="eastAsia" w:ascii="宋体" w:hAnsi="宋体" w:eastAsia="宋体" w:cs="宋体"/>
          <w:b w:val="0"/>
          <w:bCs w:val="0"/>
          <w:kern w:val="0"/>
          <w:sz w:val="21"/>
          <w:szCs w:val="21"/>
        </w:rPr>
        <w:t>提供</w:t>
      </w:r>
      <w:r>
        <w:rPr>
          <w:rFonts w:hint="eastAsia" w:ascii="宋体" w:hAnsi="宋体" w:eastAsia="宋体" w:cs="宋体"/>
          <w:b w:val="0"/>
          <w:bCs w:val="0"/>
          <w:kern w:val="0"/>
          <w:sz w:val="21"/>
          <w:szCs w:val="21"/>
          <w:lang w:eastAsia="zh-CN"/>
        </w:rPr>
        <w:t>，包括更换后所需的钢芯铝绞线、金具等</w:t>
      </w:r>
      <w:r>
        <w:rPr>
          <w:rFonts w:hint="eastAsia" w:ascii="宋体" w:hAnsi="宋体" w:eastAsia="宋体" w:cs="宋体"/>
          <w:b w:val="0"/>
          <w:bCs w:val="0"/>
          <w:kern w:val="0"/>
          <w:sz w:val="21"/>
          <w:szCs w:val="21"/>
        </w:rPr>
        <w:t>。轴向水平： 3000N垂    直： 3000N</w:t>
      </w:r>
      <w:r>
        <w:rPr>
          <w:rFonts w:hint="eastAsia" w:ascii="宋体" w:hAnsi="宋体" w:eastAsia="宋体" w:cs="宋体"/>
          <w:b w:val="0"/>
          <w:bCs w:val="0"/>
          <w:kern w:val="0"/>
          <w:sz w:val="21"/>
          <w:szCs w:val="21"/>
          <w:lang w:val="en-US" w:eastAsia="zh-CN"/>
        </w:rPr>
        <w:t xml:space="preserve">     </w:t>
      </w:r>
      <w:r>
        <w:rPr>
          <w:rFonts w:hint="eastAsia" w:ascii="宋体" w:hAnsi="宋体" w:eastAsia="宋体" w:cs="宋体"/>
          <w:b w:val="0"/>
          <w:bCs w:val="0"/>
          <w:kern w:val="0"/>
          <w:sz w:val="21"/>
          <w:szCs w:val="21"/>
        </w:rPr>
        <w:t>横向水平： 3000N</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rPr>
        <w:t>主接线端子板应能耐受1000Nm的弯矩而不变形。二次出线端子螺杆直径不小于6mm，其螺栓、螺母、垫片应采用铜或铜合金材料，并有可靠的防锈镀层。二次出线端子板防潮性能良好并具有防螺杆旋转措施。端子盒应为刚性结构，采用铸铝合金材料，端子应防腐蚀防潮和阻燃，防护等级不小于IP56。端子盒应便于外部电缆的引入，并有足够的空间。端子采用菲尼克斯、魏德米勒、ABB或同等质量及以上短接型试验专用端子产品。端子排应用排号标识。二次出线端子采用聚氨脂一次浇注成形，不会产生转动。二次接线端子应有防护罩。各回路严禁两根导线压接在一个端子上</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rPr>
        <w:t>并留有15%的冗余度。</w:t>
      </w:r>
    </w:p>
    <w:p w14:paraId="3905A129">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4</w:t>
      </w:r>
      <w:r>
        <w:rPr>
          <w:rFonts w:hint="eastAsia" w:ascii="宋体" w:hAnsi="宋体" w:eastAsia="宋体" w:cs="宋体"/>
          <w:b w:val="0"/>
          <w:bCs w:val="0"/>
          <w:kern w:val="0"/>
          <w:sz w:val="21"/>
          <w:szCs w:val="21"/>
        </w:rPr>
        <w:t>.</w:t>
      </w:r>
      <w:r>
        <w:rPr>
          <w:rFonts w:hint="eastAsia" w:ascii="宋体" w:hAnsi="宋体" w:eastAsia="宋体" w:cs="宋体"/>
          <w:b w:val="0"/>
          <w:bCs w:val="0"/>
          <w:kern w:val="0"/>
          <w:sz w:val="21"/>
          <w:szCs w:val="21"/>
          <w:lang w:val="en-US" w:eastAsia="zh-CN"/>
        </w:rPr>
        <w:t>4</w:t>
      </w:r>
      <w:r>
        <w:rPr>
          <w:rFonts w:hint="eastAsia" w:ascii="宋体" w:hAnsi="宋体" w:eastAsia="宋体" w:cs="宋体"/>
          <w:b w:val="0"/>
          <w:bCs w:val="0"/>
          <w:kern w:val="0"/>
          <w:sz w:val="21"/>
          <w:szCs w:val="21"/>
        </w:rPr>
        <w:t>.3电压互感器能承受加在其上的持续和短时组合荷载。组合荷载是相应元件荷载的矢量和。投标方提供电压互感器机械强度的计算报告。应考虑荷载包括：风力和覆冰雪负荷、短路作用力、连接线上的拉力（水平和垂直）在最不利的方向下的拉力、地震等。</w:t>
      </w:r>
    </w:p>
    <w:p w14:paraId="1F74F6FD">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4</w:t>
      </w:r>
      <w:r>
        <w:rPr>
          <w:rFonts w:hint="eastAsia" w:ascii="宋体" w:hAnsi="宋体" w:eastAsia="宋体" w:cs="宋体"/>
          <w:b w:val="0"/>
          <w:bCs w:val="0"/>
          <w:kern w:val="0"/>
          <w:sz w:val="21"/>
          <w:szCs w:val="21"/>
        </w:rPr>
        <w:t>.</w:t>
      </w:r>
      <w:r>
        <w:rPr>
          <w:rFonts w:hint="eastAsia" w:ascii="宋体" w:hAnsi="宋体" w:eastAsia="宋体" w:cs="宋体"/>
          <w:b w:val="0"/>
          <w:bCs w:val="0"/>
          <w:kern w:val="0"/>
          <w:sz w:val="21"/>
          <w:szCs w:val="21"/>
          <w:lang w:val="en-US" w:eastAsia="zh-CN"/>
        </w:rPr>
        <w:t>4</w:t>
      </w:r>
      <w:r>
        <w:rPr>
          <w:rFonts w:hint="eastAsia" w:ascii="宋体" w:hAnsi="宋体" w:eastAsia="宋体" w:cs="宋体"/>
          <w:b w:val="0"/>
          <w:bCs w:val="0"/>
          <w:kern w:val="0"/>
          <w:sz w:val="21"/>
          <w:szCs w:val="21"/>
        </w:rPr>
        <w:t>.4 防腐蚀</w:t>
      </w:r>
    </w:p>
    <w:p w14:paraId="3E0052C6">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电压互感器的金属制件（包括闭锁元件）应能耐受氧化而不腐蚀，并能耐受不同材料间的电化腐蚀。放在屋外位置的端子板、螺栓、螺母和垫圈作相应处理，以防止螺纹的腐蚀和不同金属之间的电解作用，并提供防止潮气侵入螺纹的方法。</w:t>
      </w:r>
    </w:p>
    <w:p w14:paraId="5BB97828">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4</w:t>
      </w:r>
      <w:r>
        <w:rPr>
          <w:rFonts w:hint="eastAsia" w:ascii="宋体" w:hAnsi="宋体" w:eastAsia="宋体" w:cs="宋体"/>
          <w:b w:val="0"/>
          <w:bCs w:val="0"/>
          <w:kern w:val="0"/>
          <w:sz w:val="21"/>
          <w:szCs w:val="21"/>
        </w:rPr>
        <w:t>.</w:t>
      </w:r>
      <w:r>
        <w:rPr>
          <w:rFonts w:hint="eastAsia" w:ascii="宋体" w:hAnsi="宋体" w:eastAsia="宋体" w:cs="宋体"/>
          <w:b w:val="0"/>
          <w:bCs w:val="0"/>
          <w:kern w:val="0"/>
          <w:sz w:val="21"/>
          <w:szCs w:val="21"/>
          <w:lang w:val="en-US" w:eastAsia="zh-CN"/>
        </w:rPr>
        <w:t>4</w:t>
      </w:r>
      <w:r>
        <w:rPr>
          <w:rFonts w:hint="eastAsia" w:ascii="宋体" w:hAnsi="宋体" w:eastAsia="宋体" w:cs="宋体"/>
          <w:b w:val="0"/>
          <w:bCs w:val="0"/>
          <w:kern w:val="0"/>
          <w:sz w:val="21"/>
          <w:szCs w:val="21"/>
        </w:rPr>
        <w:t>.5 瓷套</w:t>
      </w:r>
    </w:p>
    <w:p w14:paraId="549EE6DC">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瓷套的内部和外部涂上棕色的釉。瓷套的设计符合IEC 815标准和本技术规范书中有关最小净距的要求，较大绝缘子片和较小绝缘子片的直径差不小于15mm</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lang w:val="en-US" w:eastAsia="zh-CN"/>
        </w:rPr>
        <w:t>采用大小群</w:t>
      </w:r>
      <w:r>
        <w:rPr>
          <w:rFonts w:hint="eastAsia" w:ascii="宋体" w:hAnsi="宋体" w:eastAsia="宋体" w:cs="宋体"/>
          <w:b w:val="0"/>
          <w:bCs w:val="0"/>
          <w:kern w:val="0"/>
          <w:sz w:val="21"/>
          <w:szCs w:val="21"/>
        </w:rPr>
        <w:t>。并具有良好的抗污秽能力和运行特性。</w:t>
      </w:r>
    </w:p>
    <w:p w14:paraId="306B057B">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爬电距离大于下列数值：</w:t>
      </w:r>
    </w:p>
    <w:p w14:paraId="0A058053">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对地：≥17050mm</w:t>
      </w:r>
    </w:p>
    <w:p w14:paraId="4F011412">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当套管平均直径≥300mm时，爬电距离还应增加10％。</w:t>
      </w:r>
    </w:p>
    <w:p w14:paraId="7E813E7C">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当套管平均直径≥500mm时，爬电距离还应增加20％。</w:t>
      </w:r>
    </w:p>
    <w:p w14:paraId="774A7750">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互感器应有良好的密封性能，瓷套应有足够的机械强度，绝缘强度和刚度应满足IEC的要求，绝缘子及其装配件的结构应保证其任何部分因热胀冷缩引起的应力不致于导致结构损伤。应有足够的预防措施来保证均匀应力分布，该分布是通过整个绝缘来实现的。</w:t>
      </w:r>
    </w:p>
    <w:p w14:paraId="50C4B7B9">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瓷箱帽附有金属膨胀器以作温度补偿，电容分压器和金属膨胀器均装于瓷套中，瓷套防爆，瓷套充绝缘油并可靠密封，同时将绝缘油与空气隔开以防潮气进入。油箱采用热镀锌的钢箱，并可靠密封，不得渗油、漏油。</w:t>
      </w:r>
    </w:p>
    <w:p w14:paraId="6C7730DD">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4</w:t>
      </w:r>
      <w:r>
        <w:rPr>
          <w:rFonts w:hint="eastAsia" w:ascii="宋体" w:hAnsi="宋体" w:eastAsia="宋体" w:cs="宋体"/>
          <w:b w:val="0"/>
          <w:bCs w:val="0"/>
          <w:kern w:val="0"/>
          <w:sz w:val="21"/>
          <w:szCs w:val="21"/>
        </w:rPr>
        <w:t>.</w:t>
      </w:r>
      <w:r>
        <w:rPr>
          <w:rFonts w:hint="eastAsia" w:ascii="宋体" w:hAnsi="宋体" w:eastAsia="宋体" w:cs="宋体"/>
          <w:b w:val="0"/>
          <w:bCs w:val="0"/>
          <w:kern w:val="0"/>
          <w:sz w:val="21"/>
          <w:szCs w:val="21"/>
          <w:lang w:val="en-US" w:eastAsia="zh-CN"/>
        </w:rPr>
        <w:t>4</w:t>
      </w:r>
      <w:r>
        <w:rPr>
          <w:rFonts w:hint="eastAsia" w:ascii="宋体" w:hAnsi="宋体" w:eastAsia="宋体" w:cs="宋体"/>
          <w:b w:val="0"/>
          <w:bCs w:val="0"/>
          <w:kern w:val="0"/>
          <w:sz w:val="21"/>
          <w:szCs w:val="21"/>
        </w:rPr>
        <w:t>.6电压互感器装均压环和防晕罩，其尺寸由投标方确定且在外形尺寸图中说明。</w:t>
      </w:r>
    </w:p>
    <w:p w14:paraId="091F195C">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4</w:t>
      </w:r>
      <w:r>
        <w:rPr>
          <w:rFonts w:hint="eastAsia" w:ascii="宋体" w:hAnsi="宋体" w:eastAsia="宋体" w:cs="宋体"/>
          <w:b w:val="0"/>
          <w:bCs w:val="0"/>
          <w:kern w:val="0"/>
          <w:sz w:val="21"/>
          <w:szCs w:val="21"/>
        </w:rPr>
        <w:t>.</w:t>
      </w:r>
      <w:r>
        <w:rPr>
          <w:rFonts w:hint="eastAsia" w:ascii="宋体" w:hAnsi="宋体" w:eastAsia="宋体" w:cs="宋体"/>
          <w:b w:val="0"/>
          <w:bCs w:val="0"/>
          <w:kern w:val="0"/>
          <w:sz w:val="21"/>
          <w:szCs w:val="21"/>
          <w:lang w:val="en-US" w:eastAsia="zh-CN"/>
        </w:rPr>
        <w:t>4</w:t>
      </w:r>
      <w:r>
        <w:rPr>
          <w:rFonts w:hint="eastAsia" w:ascii="宋体" w:hAnsi="宋体" w:eastAsia="宋体" w:cs="宋体"/>
          <w:b w:val="0"/>
          <w:bCs w:val="0"/>
          <w:kern w:val="0"/>
          <w:sz w:val="21"/>
          <w:szCs w:val="21"/>
        </w:rPr>
        <w:t>.7对油浸式电压互感器的要求</w:t>
      </w:r>
    </w:p>
    <w:p w14:paraId="6ED37492">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（1）绝缘油要满足：击穿电压≥60kV，介损因数≤0.7％，含水量≤10mg/L，含气量＜1％。</w:t>
      </w:r>
    </w:p>
    <w:p w14:paraId="2B2B361F">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（2）具有保证绝缘油与外界空气不直接接触或完全隔离的装置，或其他防油老化的措施。</w:t>
      </w:r>
    </w:p>
    <w:p w14:paraId="4BC2D758">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（3）应具有油面（油位）指示装置，且应具有最低油面指示标志。电压互感器设有压力释放装置、带泄漏帽的排油阀门。</w:t>
      </w:r>
    </w:p>
    <w:p w14:paraId="2F25B4A5">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（4）在电压互感器的油箱下部应装有取油样或放油用的塞子或阀门，其位置应能放出互感器最低处的油。</w:t>
      </w:r>
    </w:p>
    <w:p w14:paraId="09D154E5">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（5）油箱应具有良好的密封性能和足够的机械强度。密封试验时，在0.1MPa下8h和0.05MPa下12h无渗漏。</w:t>
      </w:r>
    </w:p>
    <w:p w14:paraId="4DC295D2">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4</w:t>
      </w:r>
      <w:r>
        <w:rPr>
          <w:rFonts w:hint="eastAsia" w:ascii="宋体" w:hAnsi="宋体" w:eastAsia="宋体" w:cs="宋体"/>
          <w:b w:val="0"/>
          <w:bCs w:val="0"/>
          <w:kern w:val="0"/>
          <w:sz w:val="21"/>
          <w:szCs w:val="21"/>
        </w:rPr>
        <w:t>.</w:t>
      </w:r>
      <w:r>
        <w:rPr>
          <w:rFonts w:hint="eastAsia" w:ascii="宋体" w:hAnsi="宋体" w:eastAsia="宋体" w:cs="宋体"/>
          <w:b w:val="0"/>
          <w:bCs w:val="0"/>
          <w:kern w:val="0"/>
          <w:sz w:val="21"/>
          <w:szCs w:val="21"/>
          <w:lang w:val="en-US" w:eastAsia="zh-CN"/>
        </w:rPr>
        <w:t>4</w:t>
      </w:r>
      <w:r>
        <w:rPr>
          <w:rFonts w:hint="eastAsia" w:ascii="宋体" w:hAnsi="宋体" w:eastAsia="宋体" w:cs="宋体"/>
          <w:b w:val="0"/>
          <w:bCs w:val="0"/>
          <w:kern w:val="0"/>
          <w:sz w:val="21"/>
          <w:szCs w:val="21"/>
        </w:rPr>
        <w:t>.8</w:t>
      </w:r>
      <w:r>
        <w:rPr>
          <w:rFonts w:hint="eastAsia" w:ascii="宋体" w:hAnsi="宋体" w:eastAsia="宋体" w:cs="宋体"/>
          <w:b w:val="0"/>
          <w:bCs w:val="0"/>
          <w:kern w:val="0"/>
          <w:sz w:val="21"/>
          <w:szCs w:val="21"/>
          <w:lang w:val="en-US" w:eastAsia="zh-CN"/>
        </w:rPr>
        <w:t>电压互感器现场安装时所需的吊装带等专用工器具由投标方提供，吊装带等专用工器具上应具有完好的产品检验合格证，并安排专业人员进行现场吊装安装指导，吊装工器具的来往运费由投标方负责。</w:t>
      </w:r>
    </w:p>
    <w:p w14:paraId="61CF0EE3">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highlight w:val="yellow"/>
          <w:lang w:val="en-US" w:eastAsia="zh-CN"/>
        </w:rPr>
      </w:pPr>
      <w:r>
        <w:rPr>
          <w:rFonts w:hint="eastAsia" w:ascii="宋体" w:hAnsi="宋体" w:eastAsia="宋体" w:cs="宋体"/>
          <w:b w:val="0"/>
          <w:bCs w:val="0"/>
          <w:kern w:val="0"/>
          <w:sz w:val="21"/>
          <w:szCs w:val="21"/>
          <w:highlight w:val="yellow"/>
          <w:lang w:val="en-US" w:eastAsia="zh-CN"/>
        </w:rPr>
        <w:t>4</w:t>
      </w:r>
      <w:r>
        <w:rPr>
          <w:rFonts w:hint="eastAsia" w:ascii="宋体" w:hAnsi="宋体" w:eastAsia="宋体" w:cs="宋体"/>
          <w:b w:val="0"/>
          <w:bCs w:val="0"/>
          <w:kern w:val="0"/>
          <w:sz w:val="21"/>
          <w:szCs w:val="21"/>
          <w:highlight w:val="yellow"/>
        </w:rPr>
        <w:t>.</w:t>
      </w:r>
      <w:r>
        <w:rPr>
          <w:rFonts w:hint="eastAsia" w:ascii="宋体" w:hAnsi="宋体" w:eastAsia="宋体" w:cs="宋体"/>
          <w:b w:val="0"/>
          <w:bCs w:val="0"/>
          <w:kern w:val="0"/>
          <w:sz w:val="21"/>
          <w:szCs w:val="21"/>
          <w:highlight w:val="yellow"/>
          <w:lang w:val="en-US" w:eastAsia="zh-CN"/>
        </w:rPr>
        <w:t>4</w:t>
      </w:r>
      <w:r>
        <w:rPr>
          <w:rFonts w:hint="eastAsia" w:ascii="宋体" w:hAnsi="宋体" w:eastAsia="宋体" w:cs="宋体"/>
          <w:b w:val="0"/>
          <w:bCs w:val="0"/>
          <w:kern w:val="0"/>
          <w:sz w:val="21"/>
          <w:szCs w:val="21"/>
          <w:highlight w:val="yellow"/>
        </w:rPr>
        <w:t>.9</w:t>
      </w:r>
      <w:r>
        <w:rPr>
          <w:rFonts w:hint="eastAsia" w:ascii="宋体" w:hAnsi="宋体" w:eastAsia="宋体" w:cs="宋体"/>
          <w:b w:val="0"/>
          <w:bCs w:val="0"/>
          <w:kern w:val="0"/>
          <w:sz w:val="21"/>
          <w:szCs w:val="21"/>
          <w:highlight w:val="yellow"/>
          <w:lang w:val="en-US" w:eastAsia="zh-CN"/>
        </w:rPr>
        <w:t>投标方负责委托第三方试验机构开展新电压互感器安装后的交流耐压、绕组组别和极性、误差及变比测量、励磁特性、绝缘油等交接试验，满足GB50150-2016《电气装置安装工程电气设备交接试验标准》，并出具试验报告，试验结果满足产品技术条件及相关标准要求。</w:t>
      </w:r>
    </w:p>
    <w:p w14:paraId="07725A92">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4</w:t>
      </w:r>
      <w:r>
        <w:rPr>
          <w:rFonts w:hint="eastAsia" w:ascii="宋体" w:hAnsi="宋体" w:eastAsia="宋体" w:cs="宋体"/>
          <w:b w:val="0"/>
          <w:bCs w:val="0"/>
          <w:kern w:val="0"/>
          <w:sz w:val="21"/>
          <w:szCs w:val="21"/>
        </w:rPr>
        <w:t>.</w:t>
      </w:r>
      <w:r>
        <w:rPr>
          <w:rFonts w:hint="eastAsia" w:ascii="宋体" w:hAnsi="宋体" w:eastAsia="宋体" w:cs="宋体"/>
          <w:b w:val="0"/>
          <w:bCs w:val="0"/>
          <w:kern w:val="0"/>
          <w:sz w:val="21"/>
          <w:szCs w:val="21"/>
          <w:lang w:val="en-US" w:eastAsia="zh-CN"/>
        </w:rPr>
        <w:t>4</w:t>
      </w:r>
      <w:r>
        <w:rPr>
          <w:rFonts w:hint="eastAsia" w:ascii="宋体" w:hAnsi="宋体" w:eastAsia="宋体" w:cs="宋体"/>
          <w:b w:val="0"/>
          <w:bCs w:val="0"/>
          <w:kern w:val="0"/>
          <w:sz w:val="21"/>
          <w:szCs w:val="21"/>
        </w:rPr>
        <w:t>.</w:t>
      </w:r>
      <w:r>
        <w:rPr>
          <w:rFonts w:hint="eastAsia" w:ascii="宋体" w:hAnsi="宋体" w:eastAsia="宋体" w:cs="宋体"/>
          <w:b w:val="0"/>
          <w:bCs w:val="0"/>
          <w:kern w:val="0"/>
          <w:sz w:val="21"/>
          <w:szCs w:val="21"/>
          <w:lang w:val="en-US" w:eastAsia="zh-CN"/>
        </w:rPr>
        <w:t>10</w:t>
      </w:r>
      <w:r>
        <w:rPr>
          <w:rFonts w:hint="eastAsia" w:ascii="宋体" w:hAnsi="宋体" w:eastAsia="宋体" w:cs="宋体"/>
          <w:b w:val="0"/>
          <w:bCs w:val="0"/>
          <w:kern w:val="0"/>
          <w:sz w:val="21"/>
          <w:szCs w:val="21"/>
          <w:lang w:eastAsia="zh-CN"/>
        </w:rPr>
        <w:t>电压互感器</w:t>
      </w:r>
      <w:r>
        <w:rPr>
          <w:rFonts w:hint="eastAsia" w:ascii="宋体" w:hAnsi="宋体" w:eastAsia="宋体" w:cs="宋体"/>
          <w:b w:val="0"/>
          <w:bCs w:val="0"/>
          <w:kern w:val="0"/>
          <w:sz w:val="21"/>
          <w:szCs w:val="21"/>
        </w:rPr>
        <w:t>的铭牌应用不锈钢板制造，铭牌上至少应按标准规定标示所有的额定值，并用中文书写。提供的铭牌放在易观察的位置上。铭牌应符合GB</w:t>
      </w:r>
      <w:r>
        <w:rPr>
          <w:rFonts w:hint="eastAsia" w:ascii="宋体" w:hAnsi="宋体" w:eastAsia="宋体" w:cs="宋体"/>
          <w:b w:val="0"/>
          <w:bCs w:val="0"/>
          <w:kern w:val="0"/>
          <w:sz w:val="21"/>
          <w:szCs w:val="21"/>
          <w:lang w:val="en-US" w:eastAsia="zh-CN"/>
        </w:rPr>
        <w:t xml:space="preserve"> 20840</w:t>
      </w:r>
      <w:r>
        <w:rPr>
          <w:rFonts w:hint="eastAsia" w:ascii="宋体" w:hAnsi="宋体" w:eastAsia="宋体" w:cs="宋体"/>
          <w:b w:val="0"/>
          <w:bCs w:val="0"/>
          <w:kern w:val="0"/>
          <w:sz w:val="21"/>
          <w:szCs w:val="21"/>
        </w:rPr>
        <w:t>标准。</w:t>
      </w:r>
      <w:r>
        <w:rPr>
          <w:rFonts w:hint="eastAsia" w:ascii="宋体" w:hAnsi="宋体" w:eastAsia="宋体" w:cs="宋体"/>
          <w:b w:val="0"/>
          <w:bCs w:val="0"/>
          <w:kern w:val="0"/>
          <w:sz w:val="21"/>
          <w:szCs w:val="21"/>
          <w:lang w:val="en-US" w:eastAsia="zh-CN"/>
        </w:rPr>
        <w:t>投标方排产前应提供产品的相关参数，并得到招标方的认可后，方可以生产。</w:t>
      </w:r>
    </w:p>
    <w:p w14:paraId="4AD2119D">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4</w:t>
      </w:r>
      <w:r>
        <w:rPr>
          <w:rFonts w:hint="eastAsia" w:ascii="宋体" w:hAnsi="宋体" w:eastAsia="宋体" w:cs="宋体"/>
          <w:b w:val="0"/>
          <w:bCs w:val="0"/>
          <w:kern w:val="0"/>
          <w:sz w:val="21"/>
          <w:szCs w:val="21"/>
        </w:rPr>
        <w:t>.</w:t>
      </w:r>
      <w:r>
        <w:rPr>
          <w:rFonts w:hint="eastAsia" w:ascii="宋体" w:hAnsi="宋体" w:eastAsia="宋体" w:cs="宋体"/>
          <w:b w:val="0"/>
          <w:bCs w:val="0"/>
          <w:kern w:val="0"/>
          <w:sz w:val="21"/>
          <w:szCs w:val="21"/>
          <w:lang w:val="en-US" w:eastAsia="zh-CN"/>
        </w:rPr>
        <w:t>5</w:t>
      </w:r>
      <w:r>
        <w:rPr>
          <w:rFonts w:hint="eastAsia" w:ascii="宋体" w:hAnsi="宋体" w:eastAsia="宋体" w:cs="宋体"/>
          <w:b w:val="0"/>
          <w:bCs w:val="0"/>
          <w:kern w:val="0"/>
          <w:sz w:val="21"/>
          <w:szCs w:val="21"/>
        </w:rPr>
        <w:t>其他要求</w:t>
      </w:r>
    </w:p>
    <w:p w14:paraId="5914942E">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投标方应提供</w:t>
      </w:r>
      <w:r>
        <w:rPr>
          <w:rFonts w:hint="eastAsia" w:ascii="宋体" w:hAnsi="宋体" w:eastAsia="宋体" w:cs="宋体"/>
          <w:b w:val="0"/>
          <w:bCs w:val="0"/>
          <w:kern w:val="0"/>
          <w:sz w:val="21"/>
          <w:szCs w:val="21"/>
          <w:lang w:val="en-US" w:eastAsia="zh-CN"/>
        </w:rPr>
        <w:t>2</w:t>
      </w:r>
      <w:r>
        <w:rPr>
          <w:rFonts w:hint="eastAsia" w:ascii="宋体" w:hAnsi="宋体" w:eastAsia="宋体" w:cs="宋体"/>
          <w:b w:val="0"/>
          <w:bCs w:val="0"/>
          <w:kern w:val="0"/>
          <w:sz w:val="21"/>
          <w:szCs w:val="21"/>
        </w:rPr>
        <w:t>个二次接线箱，其应具有良好的密封性。接线箱应能防风雨，防护等级为IP56。端子箱由厚度大于3.4mm的不锈钢板制成。端子箱应能防潮、防寒、防腐，在不利的气候条件下因维修而打开门时，能保护安装在柜内的设备，应便于外部电缆的引入，并有足够的空间。在导管和空气管道入口底部提供可移动面板孔。应设置由恒温器控制的加热器，加热器的位置应不对邻近设备或配线造成热损害，加热器应有足够的容量，以防控制箱内结露和腐蚀，加热器回路应有塑壳开关或熔丝保护。箱内装有下列装置：</w:t>
      </w:r>
    </w:p>
    <w:p w14:paraId="5FC4EC14">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（1）端子排及二次开路保护装置；</w:t>
      </w:r>
    </w:p>
    <w:p w14:paraId="2D7A162B">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（2）二次端子箱中采用适当的方法防止凝露，如用防凝露的加热器；</w:t>
      </w:r>
    </w:p>
    <w:p w14:paraId="4D9C6C24">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（3）电缆连接用的装置及接地排。</w:t>
      </w:r>
    </w:p>
    <w:p w14:paraId="49203C7B">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端子应防潮、防霉、阻燃，并应有可靠的防锈层，采用铜端子。并应留有20%的备用端子。端子采用菲尼克斯、魏德米勒、ABB或同等质量及以上短接型试验专用端子产品，端子排应用排号标识。二次出线端子采用聚氨脂一次浇注成形，不会产生转动。二次接线端子应有防护罩。每台电压互感器应有短路型端子排，每只端子采用压接型，并能用螺栓与截面为3.5至10mm2的出线电缆连接。各回路严禁两根导线压接在一个端子上，如需短接应使用短接片进行连接。所有的表计、电源、报警和照明线路应能耐受1min工频电压2kV，应采用截面为3.4mm2的铜芯线，C级阻燃。用于不同回路的PT二次侧采用自动小开关分开，PT端子箱内的小空开应分相设置，厂家选择SIEMENS、施耐德、ABB 或同等质量及以上PT回路专用型空开，具体回路数待设计联络会上确定，测量级二次回路配置的空开为低压降计量回路专用微型断路器（接触电阻小于50mΩ）。自动小开关的状态辅助接点和跳闸脱扣辅助接点均需引上端子，用于远方报警。</w:t>
      </w:r>
    </w:p>
    <w:p w14:paraId="3F85BFAF">
      <w:pPr>
        <w:keepNext/>
        <w:keepLines/>
        <w:adjustRightInd w:val="0"/>
        <w:spacing w:before="156" w:beforeLines="50" w:after="156" w:afterLines="50" w:line="360" w:lineRule="auto"/>
        <w:jc w:val="left"/>
        <w:textAlignment w:val="baseline"/>
        <w:outlineLvl w:val="1"/>
        <w:rPr>
          <w:rFonts w:hint="eastAsia" w:ascii="宋体" w:hAnsi="宋体" w:eastAsia="宋体" w:cs="宋体"/>
          <w:b/>
          <w:bCs/>
          <w:kern w:val="0"/>
          <w:sz w:val="21"/>
          <w:szCs w:val="21"/>
        </w:rPr>
      </w:pPr>
      <w:bookmarkStart w:id="39" w:name="_Toc245283162"/>
      <w:r>
        <w:rPr>
          <w:rFonts w:hint="eastAsia" w:ascii="宋体" w:hAnsi="宋体" w:eastAsia="宋体" w:cs="宋体"/>
          <w:b/>
          <w:bCs/>
          <w:kern w:val="0"/>
          <w:sz w:val="21"/>
          <w:szCs w:val="21"/>
          <w:lang w:val="en-US" w:eastAsia="zh-CN"/>
        </w:rPr>
        <w:t>5</w:t>
      </w:r>
      <w:r>
        <w:rPr>
          <w:rFonts w:hint="eastAsia" w:ascii="宋体" w:hAnsi="宋体" w:eastAsia="宋体" w:cs="宋体"/>
          <w:b/>
          <w:bCs/>
          <w:kern w:val="0"/>
          <w:sz w:val="21"/>
          <w:szCs w:val="21"/>
        </w:rPr>
        <w:tab/>
      </w:r>
      <w:r>
        <w:rPr>
          <w:rFonts w:hint="eastAsia" w:ascii="宋体" w:hAnsi="宋体" w:eastAsia="宋体" w:cs="宋体"/>
          <w:b/>
          <w:bCs/>
          <w:kern w:val="0"/>
          <w:sz w:val="21"/>
          <w:szCs w:val="21"/>
        </w:rPr>
        <w:t>质量保证</w:t>
      </w:r>
      <w:bookmarkEnd w:id="39"/>
    </w:p>
    <w:p w14:paraId="68A2A2C5">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5</w:t>
      </w:r>
      <w:r>
        <w:rPr>
          <w:rFonts w:hint="eastAsia" w:ascii="宋体" w:hAnsi="宋体" w:eastAsia="宋体" w:cs="宋体"/>
          <w:b w:val="0"/>
          <w:bCs w:val="0"/>
          <w:kern w:val="0"/>
          <w:sz w:val="21"/>
          <w:szCs w:val="21"/>
        </w:rPr>
        <w:t>.1 质量保证</w:t>
      </w:r>
    </w:p>
    <w:p w14:paraId="03C4EAB0">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500kV电压互感器的质保期为机组竣工签署移交试生产证书开始满一年，使用年限不少于30年。在质保期内500kV电压互感器无论哪部分（包括外购件）属于制造质量问题而损坏，投标方在规定的期限内负责无偿修理或更换，并对产品终生服务。</w:t>
      </w:r>
    </w:p>
    <w:p w14:paraId="72CBF2CC">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根据本文件，投标方采取措施确保设备质量。设备制造由招标方代表监造。产品交货前，对设备各部件进行必要的检查与试验，以保证整个设计和制造符合规程要求。设备的技术性能和质量由投标方对招标方进行保证。招标方代表在生产厂家对设备进行监造和验收，不解除投标方对设备技术性能和质量承担的保证。</w:t>
      </w:r>
    </w:p>
    <w:p w14:paraId="5590C2A1">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5</w:t>
      </w:r>
      <w:r>
        <w:rPr>
          <w:rFonts w:hint="eastAsia" w:ascii="宋体" w:hAnsi="宋体" w:eastAsia="宋体" w:cs="宋体"/>
          <w:b w:val="0"/>
          <w:bCs w:val="0"/>
          <w:kern w:val="0"/>
          <w:sz w:val="21"/>
          <w:szCs w:val="21"/>
        </w:rPr>
        <w:t>.</w:t>
      </w:r>
      <w:r>
        <w:rPr>
          <w:rFonts w:hint="eastAsia" w:ascii="宋体" w:hAnsi="宋体" w:eastAsia="宋体" w:cs="宋体"/>
          <w:b w:val="0"/>
          <w:bCs w:val="0"/>
          <w:kern w:val="0"/>
          <w:sz w:val="21"/>
          <w:szCs w:val="21"/>
          <w:lang w:val="en-US" w:eastAsia="zh-CN"/>
        </w:rPr>
        <w:t>2</w:t>
      </w:r>
      <w:r>
        <w:rPr>
          <w:rFonts w:hint="eastAsia" w:ascii="宋体" w:hAnsi="宋体" w:eastAsia="宋体" w:cs="宋体"/>
          <w:b w:val="0"/>
          <w:bCs w:val="0"/>
          <w:kern w:val="0"/>
          <w:sz w:val="21"/>
          <w:szCs w:val="21"/>
        </w:rPr>
        <w:t xml:space="preserve"> 投标方负责质量控制</w:t>
      </w:r>
    </w:p>
    <w:p w14:paraId="36FEF8B3">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投标方负责对按本技术规范所提供的服务、工艺、流程、产品和材料实行质量控制。</w:t>
      </w:r>
    </w:p>
    <w:p w14:paraId="4A4F131B">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5</w:t>
      </w:r>
      <w:r>
        <w:rPr>
          <w:rFonts w:hint="eastAsia" w:ascii="宋体" w:hAnsi="宋体" w:eastAsia="宋体" w:cs="宋体"/>
          <w:b w:val="0"/>
          <w:bCs w:val="0"/>
          <w:kern w:val="0"/>
          <w:sz w:val="21"/>
          <w:szCs w:val="21"/>
        </w:rPr>
        <w:t>.</w:t>
      </w:r>
      <w:r>
        <w:rPr>
          <w:rFonts w:hint="eastAsia" w:ascii="宋体" w:hAnsi="宋体" w:eastAsia="宋体" w:cs="宋体"/>
          <w:b w:val="0"/>
          <w:bCs w:val="0"/>
          <w:kern w:val="0"/>
          <w:sz w:val="21"/>
          <w:szCs w:val="21"/>
          <w:lang w:val="en-US" w:eastAsia="zh-CN"/>
        </w:rPr>
        <w:t>3</w:t>
      </w:r>
      <w:r>
        <w:rPr>
          <w:rFonts w:hint="eastAsia" w:ascii="宋体" w:hAnsi="宋体" w:eastAsia="宋体" w:cs="宋体"/>
          <w:b w:val="0"/>
          <w:bCs w:val="0"/>
          <w:kern w:val="0"/>
          <w:sz w:val="21"/>
          <w:szCs w:val="21"/>
        </w:rPr>
        <w:t xml:space="preserve"> ISO9000系列标准</w:t>
      </w:r>
    </w:p>
    <w:p w14:paraId="1E76C14F">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投标方用质量管理计划检查各项目和服务包括分包商的项目和服务是否符合合同的要求和规定，质量管理系统符合ISO9000系列标准的要求。</w:t>
      </w:r>
    </w:p>
    <w:p w14:paraId="2F104C6D">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bookmarkStart w:id="40" w:name="_Toc245283163"/>
      <w:r>
        <w:rPr>
          <w:rFonts w:hint="eastAsia" w:ascii="宋体" w:hAnsi="宋体" w:eastAsia="宋体" w:cs="宋体"/>
          <w:b w:val="0"/>
          <w:bCs w:val="0"/>
          <w:kern w:val="0"/>
          <w:sz w:val="21"/>
          <w:szCs w:val="21"/>
          <w:lang w:val="en-US" w:eastAsia="zh-CN"/>
        </w:rPr>
        <w:t>5</w:t>
      </w:r>
      <w:r>
        <w:rPr>
          <w:rFonts w:hint="eastAsia" w:ascii="宋体" w:hAnsi="宋体" w:eastAsia="宋体" w:cs="宋体"/>
          <w:b w:val="0"/>
          <w:bCs w:val="0"/>
          <w:kern w:val="0"/>
          <w:sz w:val="21"/>
          <w:szCs w:val="21"/>
        </w:rPr>
        <w:t>.</w:t>
      </w:r>
      <w:r>
        <w:rPr>
          <w:rFonts w:hint="eastAsia" w:ascii="宋体" w:hAnsi="宋体" w:eastAsia="宋体" w:cs="宋体"/>
          <w:b w:val="0"/>
          <w:bCs w:val="0"/>
          <w:kern w:val="0"/>
          <w:sz w:val="21"/>
          <w:szCs w:val="21"/>
          <w:lang w:val="en-US" w:eastAsia="zh-CN"/>
        </w:rPr>
        <w:t>4</w:t>
      </w:r>
      <w:r>
        <w:rPr>
          <w:rFonts w:hint="eastAsia" w:ascii="宋体" w:hAnsi="宋体" w:eastAsia="宋体" w:cs="宋体"/>
          <w:b w:val="0"/>
          <w:bCs w:val="0"/>
          <w:kern w:val="0"/>
          <w:sz w:val="21"/>
          <w:szCs w:val="21"/>
        </w:rPr>
        <w:tab/>
      </w:r>
      <w:r>
        <w:rPr>
          <w:rFonts w:hint="eastAsia" w:ascii="宋体" w:hAnsi="宋体" w:eastAsia="宋体" w:cs="宋体"/>
          <w:b w:val="0"/>
          <w:bCs w:val="0"/>
          <w:kern w:val="0"/>
          <w:sz w:val="21"/>
          <w:szCs w:val="21"/>
        </w:rPr>
        <w:t>产品包装、标志、运输、储存</w:t>
      </w:r>
      <w:bookmarkEnd w:id="40"/>
    </w:p>
    <w:p w14:paraId="6513A8B1">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设备的包装、运输、储存按GB11022《高压开关设备和控制设备标准的共用技术条件》的有关规定执行。设备本体及附属各部件都有不锈钢固定铭牌。铭牌符合GB3906等有关标准的要求。铭牌用中文书写，且不受气候的影响，不易损坏。字样、符号清晰耐久，站在地面上清晰可见，铭牌上给出IEC标准规定的全部信息和额定值，所有的铭牌应永久布置在设备容易看见的部位。控制设备的铭牌应是紧固螺丝固定的薄塑料板，字体高度不小于6mm。投标方提供储存和维修的说明书，包括定时检查和贮存保养说明，以保证在贮存期间不发生损坏。随产品提供的技术资料完整无损。在设备运输过程中应安装三维冲撞记录仪，设备运抵现场后，应经制造厂、招标人共同检查确认，记录数值超过10g一次或10g振子落下，则产品应返厂解体检查</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rPr>
        <w:t>记录应提供招标方留存。</w:t>
      </w:r>
    </w:p>
    <w:p w14:paraId="33B5388A">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5</w:t>
      </w:r>
      <w:r>
        <w:rPr>
          <w:rFonts w:hint="eastAsia" w:ascii="宋体" w:hAnsi="宋体" w:eastAsia="宋体" w:cs="宋体"/>
          <w:b w:val="0"/>
          <w:bCs w:val="0"/>
          <w:kern w:val="0"/>
          <w:sz w:val="21"/>
          <w:szCs w:val="21"/>
        </w:rPr>
        <w:t>.</w:t>
      </w:r>
      <w:r>
        <w:rPr>
          <w:rFonts w:hint="eastAsia" w:ascii="宋体" w:hAnsi="宋体" w:eastAsia="宋体" w:cs="宋体"/>
          <w:b w:val="0"/>
          <w:bCs w:val="0"/>
          <w:kern w:val="0"/>
          <w:sz w:val="21"/>
          <w:szCs w:val="21"/>
          <w:lang w:val="en-US" w:eastAsia="zh-CN"/>
        </w:rPr>
        <w:t>5</w:t>
      </w:r>
      <w:r>
        <w:rPr>
          <w:rFonts w:hint="eastAsia" w:ascii="宋体" w:hAnsi="宋体" w:eastAsia="宋体" w:cs="宋体"/>
          <w:b w:val="0"/>
          <w:bCs w:val="0"/>
          <w:kern w:val="0"/>
          <w:sz w:val="21"/>
          <w:szCs w:val="21"/>
        </w:rPr>
        <w:t xml:space="preserve">  投标方应保证其提供的互感器是全新的，未使用过的，采用的是优质材料和先进工艺，并在各方面符合合同规定的质量、规格和性能。在质保期内，由于投标方设计、材料或工艺的原因所造成的缺陷或故障，在合理的期限内投标方应免费负责修理或更换有缺陷的零部件或整机。</w:t>
      </w:r>
    </w:p>
    <w:p w14:paraId="5F5B46BF">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5</w:t>
      </w:r>
      <w:r>
        <w:rPr>
          <w:rFonts w:hint="eastAsia" w:ascii="宋体" w:hAnsi="宋体" w:eastAsia="宋体" w:cs="宋体"/>
          <w:b w:val="0"/>
          <w:bCs w:val="0"/>
          <w:kern w:val="0"/>
          <w:sz w:val="21"/>
          <w:szCs w:val="21"/>
        </w:rPr>
        <w:t>.</w:t>
      </w:r>
      <w:r>
        <w:rPr>
          <w:rFonts w:hint="eastAsia" w:ascii="宋体" w:hAnsi="宋体" w:eastAsia="宋体" w:cs="宋体"/>
          <w:b w:val="0"/>
          <w:bCs w:val="0"/>
          <w:kern w:val="0"/>
          <w:sz w:val="21"/>
          <w:szCs w:val="21"/>
          <w:lang w:val="en-US" w:eastAsia="zh-CN"/>
        </w:rPr>
        <w:t>6</w:t>
      </w:r>
      <w:r>
        <w:rPr>
          <w:rFonts w:hint="eastAsia" w:ascii="宋体" w:hAnsi="宋体" w:eastAsia="宋体" w:cs="宋体"/>
          <w:b w:val="0"/>
          <w:bCs w:val="0"/>
          <w:kern w:val="0"/>
          <w:sz w:val="21"/>
          <w:szCs w:val="21"/>
        </w:rPr>
        <w:t xml:space="preserve"> 质保期应为设备投运验收后12个月或合同设备达到指定交货地点18个月，质保期以先到者为准。</w:t>
      </w:r>
    </w:p>
    <w:p w14:paraId="0E749B2F">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5.7</w:t>
      </w:r>
      <w:r>
        <w:rPr>
          <w:rFonts w:hint="eastAsia" w:ascii="宋体" w:hAnsi="宋体" w:eastAsia="宋体" w:cs="宋体"/>
          <w:b w:val="0"/>
          <w:bCs w:val="0"/>
          <w:kern w:val="0"/>
          <w:sz w:val="21"/>
          <w:szCs w:val="21"/>
        </w:rPr>
        <w:t>在质量保证期内，由于投标方设备的质量问题而造成停运，投标方应负责尽快更换有缺陷或损坏的部件并赔偿相应损失。设备的质保期将延长，延长时间为设备重新投运后12个月。</w:t>
      </w:r>
    </w:p>
    <w:p w14:paraId="4624A51A">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5.8</w:t>
      </w:r>
      <w:r>
        <w:rPr>
          <w:rFonts w:hint="eastAsia" w:ascii="宋体" w:hAnsi="宋体" w:eastAsia="宋体" w:cs="宋体"/>
          <w:b w:val="0"/>
          <w:bCs w:val="0"/>
          <w:kern w:val="0"/>
          <w:sz w:val="21"/>
          <w:szCs w:val="21"/>
        </w:rPr>
        <w:t xml:space="preserve"> 投标方应对合同设备的设计、材料选择、加工、制造和试验等建立质量保证体系，并在合同设备的整个制造过程中严格按其执行。</w:t>
      </w:r>
    </w:p>
    <w:p w14:paraId="1A93BBF8">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5.9</w:t>
      </w:r>
      <w:r>
        <w:rPr>
          <w:rFonts w:hint="eastAsia" w:ascii="宋体" w:hAnsi="宋体" w:eastAsia="宋体" w:cs="宋体"/>
          <w:b w:val="0"/>
          <w:bCs w:val="0"/>
          <w:kern w:val="0"/>
          <w:sz w:val="21"/>
          <w:szCs w:val="21"/>
        </w:rPr>
        <w:t xml:space="preserve"> 设备在制造过程中，必要时，招标方对合同设备，分批派遣有经验的工程师去投标方制造厂对设备的组装、出厂试验和包装等方面进行监制和抽查验证。招标方监制人员不签署任何质量证明，招标方人员参加监制既不解除投标方按合同规定所应承担的责任，也不代替招标方到货的检验。投标方在设备制造前应向招标方提供生产计划表，以便招标方选定来厂日期和需参加验证的项目和内容。</w:t>
      </w:r>
    </w:p>
    <w:p w14:paraId="15B06BB0">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5</w:t>
      </w:r>
      <w:r>
        <w:rPr>
          <w:rFonts w:hint="eastAsia" w:ascii="宋体" w:hAnsi="宋体" w:eastAsia="宋体" w:cs="宋体"/>
          <w:b w:val="0"/>
          <w:bCs w:val="0"/>
          <w:kern w:val="0"/>
          <w:sz w:val="21"/>
          <w:szCs w:val="21"/>
        </w:rPr>
        <w:t>.</w:t>
      </w:r>
      <w:r>
        <w:rPr>
          <w:rFonts w:hint="eastAsia" w:ascii="宋体" w:hAnsi="宋体" w:eastAsia="宋体" w:cs="宋体"/>
          <w:b w:val="0"/>
          <w:bCs w:val="0"/>
          <w:kern w:val="0"/>
          <w:sz w:val="21"/>
          <w:szCs w:val="21"/>
          <w:lang w:val="en-US" w:eastAsia="zh-CN"/>
        </w:rPr>
        <w:t>10</w:t>
      </w:r>
      <w:r>
        <w:rPr>
          <w:rFonts w:hint="eastAsia" w:ascii="宋体" w:hAnsi="宋体" w:eastAsia="宋体" w:cs="宋体"/>
          <w:b w:val="0"/>
          <w:bCs w:val="0"/>
          <w:kern w:val="0"/>
          <w:sz w:val="21"/>
          <w:szCs w:val="21"/>
        </w:rPr>
        <w:t xml:space="preserve">  对合同设备投标方应采用有运行经验证明正确的、成熟的技术；若采用投标方过去未采用过的新技术，应征得招标方的同意。</w:t>
      </w:r>
    </w:p>
    <w:p w14:paraId="45AA68CD">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5</w:t>
      </w:r>
      <w:r>
        <w:rPr>
          <w:rFonts w:hint="eastAsia" w:ascii="宋体" w:hAnsi="宋体" w:eastAsia="宋体" w:cs="宋体"/>
          <w:b w:val="0"/>
          <w:bCs w:val="0"/>
          <w:kern w:val="0"/>
          <w:sz w:val="21"/>
          <w:szCs w:val="21"/>
        </w:rPr>
        <w:t>.</w:t>
      </w:r>
      <w:r>
        <w:rPr>
          <w:rFonts w:hint="eastAsia" w:ascii="宋体" w:hAnsi="宋体" w:eastAsia="宋体" w:cs="宋体"/>
          <w:b w:val="0"/>
          <w:bCs w:val="0"/>
          <w:kern w:val="0"/>
          <w:sz w:val="21"/>
          <w:szCs w:val="21"/>
          <w:lang w:val="en-US" w:eastAsia="zh-CN"/>
        </w:rPr>
        <w:t>11</w:t>
      </w:r>
      <w:r>
        <w:rPr>
          <w:rFonts w:hint="eastAsia" w:ascii="宋体" w:hAnsi="宋体" w:eastAsia="宋体" w:cs="宋体"/>
          <w:b w:val="0"/>
          <w:bCs w:val="0"/>
          <w:kern w:val="0"/>
          <w:sz w:val="21"/>
          <w:szCs w:val="21"/>
        </w:rPr>
        <w:t xml:space="preserve">  投标方从其他厂采购的设备，一切质量问题应由投标方负责。</w:t>
      </w:r>
    </w:p>
    <w:p w14:paraId="74724D8B">
      <w:pPr>
        <w:keepNext/>
        <w:keepLines/>
        <w:adjustRightInd w:val="0"/>
        <w:spacing w:before="156" w:beforeLines="50" w:after="156" w:afterLines="50" w:line="360" w:lineRule="auto"/>
        <w:jc w:val="left"/>
        <w:textAlignment w:val="baseline"/>
        <w:outlineLvl w:val="1"/>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rPr>
        <w:t>6</w:t>
      </w:r>
      <w:r>
        <w:rPr>
          <w:rFonts w:hint="eastAsia" w:ascii="宋体" w:hAnsi="宋体" w:eastAsia="宋体" w:cs="宋体"/>
          <w:b/>
          <w:bCs/>
          <w:kern w:val="0"/>
          <w:sz w:val="21"/>
          <w:szCs w:val="21"/>
        </w:rPr>
        <w:t>供货范围</w:t>
      </w:r>
    </w:p>
    <w:bookmarkEnd w:id="38"/>
    <w:p w14:paraId="1A5B9168">
      <w:pPr>
        <w:keepNext/>
        <w:keepLines/>
        <w:adjustRightInd w:val="0"/>
        <w:spacing w:before="156" w:beforeLines="50" w:after="156" w:afterLines="50" w:line="36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6</w:t>
      </w:r>
      <w:r>
        <w:rPr>
          <w:rFonts w:hint="eastAsia" w:ascii="宋体" w:hAnsi="宋体" w:eastAsia="宋体" w:cs="宋体"/>
          <w:b w:val="0"/>
          <w:bCs w:val="0"/>
          <w:kern w:val="0"/>
          <w:sz w:val="21"/>
          <w:szCs w:val="21"/>
        </w:rPr>
        <w:t>.1详细供货清单表</w:t>
      </w:r>
    </w:p>
    <w:tbl>
      <w:tblPr>
        <w:tblStyle w:val="6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82"/>
        <w:gridCol w:w="2066"/>
        <w:gridCol w:w="1645"/>
        <w:gridCol w:w="852"/>
        <w:gridCol w:w="1411"/>
        <w:gridCol w:w="1350"/>
        <w:gridCol w:w="1603"/>
      </w:tblGrid>
      <w:tr w14:paraId="6F571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25" w:hRule="atLeast"/>
          <w:jc w:val="center"/>
        </w:trPr>
        <w:tc>
          <w:tcPr>
            <w:tcW w:w="682" w:type="dxa"/>
            <w:noWrap w:val="0"/>
            <w:vAlign w:val="center"/>
          </w:tcPr>
          <w:p w14:paraId="3D416783">
            <w:pPr>
              <w:keepNext/>
              <w:keepLines/>
              <w:adjustRightInd w:val="0"/>
              <w:spacing w:before="156" w:beforeLines="50" w:after="156" w:afterLines="50" w:line="240" w:lineRule="auto"/>
              <w:jc w:val="center"/>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序号</w:t>
            </w:r>
          </w:p>
        </w:tc>
        <w:tc>
          <w:tcPr>
            <w:tcW w:w="2066" w:type="dxa"/>
            <w:noWrap w:val="0"/>
            <w:vAlign w:val="center"/>
          </w:tcPr>
          <w:p w14:paraId="1FA6C2E4">
            <w:pPr>
              <w:keepNext/>
              <w:keepLines/>
              <w:adjustRightInd w:val="0"/>
              <w:spacing w:before="156" w:beforeLines="50" w:after="156" w:afterLines="50" w:line="240" w:lineRule="auto"/>
              <w:jc w:val="center"/>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名称</w:t>
            </w:r>
          </w:p>
        </w:tc>
        <w:tc>
          <w:tcPr>
            <w:tcW w:w="1645" w:type="dxa"/>
            <w:noWrap w:val="0"/>
            <w:vAlign w:val="center"/>
          </w:tcPr>
          <w:p w14:paraId="31FA8875">
            <w:pPr>
              <w:keepNext/>
              <w:keepLines/>
              <w:adjustRightInd w:val="0"/>
              <w:spacing w:before="156" w:beforeLines="50" w:after="156" w:afterLines="50" w:line="240" w:lineRule="auto"/>
              <w:jc w:val="center"/>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规格和型号</w:t>
            </w:r>
          </w:p>
        </w:tc>
        <w:tc>
          <w:tcPr>
            <w:tcW w:w="852" w:type="dxa"/>
            <w:noWrap w:val="0"/>
            <w:vAlign w:val="center"/>
          </w:tcPr>
          <w:p w14:paraId="100EDAF6">
            <w:pPr>
              <w:keepNext/>
              <w:keepLines/>
              <w:adjustRightInd w:val="0"/>
              <w:spacing w:before="156" w:beforeLines="50" w:after="156" w:afterLines="50" w:line="240" w:lineRule="auto"/>
              <w:jc w:val="center"/>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单位</w:t>
            </w:r>
          </w:p>
        </w:tc>
        <w:tc>
          <w:tcPr>
            <w:tcW w:w="1411" w:type="dxa"/>
            <w:noWrap w:val="0"/>
            <w:vAlign w:val="center"/>
          </w:tcPr>
          <w:p w14:paraId="21B391CD">
            <w:pPr>
              <w:keepNext/>
              <w:keepLines/>
              <w:adjustRightInd w:val="0"/>
              <w:spacing w:before="156" w:beforeLines="50" w:after="156" w:afterLines="50" w:line="240" w:lineRule="auto"/>
              <w:jc w:val="center"/>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数量</w:t>
            </w:r>
          </w:p>
        </w:tc>
        <w:tc>
          <w:tcPr>
            <w:tcW w:w="1350" w:type="dxa"/>
            <w:noWrap w:val="0"/>
            <w:vAlign w:val="center"/>
          </w:tcPr>
          <w:p w14:paraId="3B4AF4E6">
            <w:pPr>
              <w:keepNext/>
              <w:keepLines/>
              <w:adjustRightInd w:val="0"/>
              <w:spacing w:before="156" w:beforeLines="50" w:after="156" w:afterLines="50" w:line="240" w:lineRule="auto"/>
              <w:jc w:val="center"/>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生产厂家</w:t>
            </w:r>
          </w:p>
        </w:tc>
        <w:tc>
          <w:tcPr>
            <w:tcW w:w="1603" w:type="dxa"/>
            <w:noWrap w:val="0"/>
            <w:vAlign w:val="center"/>
          </w:tcPr>
          <w:p w14:paraId="64EA2C68">
            <w:pPr>
              <w:keepNext/>
              <w:keepLines/>
              <w:adjustRightInd w:val="0"/>
              <w:spacing w:before="156" w:beforeLines="50" w:after="156" w:afterLines="50" w:line="240" w:lineRule="auto"/>
              <w:jc w:val="center"/>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备注</w:t>
            </w:r>
          </w:p>
        </w:tc>
      </w:tr>
      <w:tr w14:paraId="47BB2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25" w:hRule="atLeast"/>
          <w:jc w:val="center"/>
        </w:trPr>
        <w:tc>
          <w:tcPr>
            <w:tcW w:w="682" w:type="dxa"/>
            <w:noWrap w:val="0"/>
            <w:vAlign w:val="center"/>
          </w:tcPr>
          <w:p w14:paraId="228DD567">
            <w:pPr>
              <w:keepNext/>
              <w:keepLines/>
              <w:adjustRightInd w:val="0"/>
              <w:spacing w:before="156" w:beforeLines="50" w:after="156" w:afterLines="50" w:line="240" w:lineRule="auto"/>
              <w:jc w:val="center"/>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w:t>
            </w:r>
          </w:p>
        </w:tc>
        <w:tc>
          <w:tcPr>
            <w:tcW w:w="2066" w:type="dxa"/>
            <w:noWrap w:val="0"/>
            <w:vAlign w:val="top"/>
          </w:tcPr>
          <w:p w14:paraId="6A8C1661">
            <w:pPr>
              <w:keepNext/>
              <w:keepLines/>
              <w:adjustRightInd w:val="0"/>
              <w:spacing w:before="156" w:beforeLines="50" w:after="156" w:afterLines="50" w:line="24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500kV电压互感器</w:t>
            </w:r>
          </w:p>
        </w:tc>
        <w:tc>
          <w:tcPr>
            <w:tcW w:w="1645" w:type="dxa"/>
            <w:noWrap w:val="0"/>
            <w:vAlign w:val="center"/>
          </w:tcPr>
          <w:p w14:paraId="0C831833">
            <w:pPr>
              <w:keepNext/>
              <w:keepLines/>
              <w:adjustRightInd w:val="0"/>
              <w:spacing w:before="156" w:beforeLines="50" w:after="156" w:afterLines="50" w:line="240" w:lineRule="auto"/>
              <w:jc w:val="left"/>
              <w:textAlignment w:val="baseline"/>
              <w:outlineLvl w:val="1"/>
              <w:rPr>
                <w:rFonts w:hint="eastAsia" w:ascii="宋体" w:hAnsi="宋体" w:eastAsia="宋体" w:cs="宋体"/>
                <w:b w:val="0"/>
                <w:bCs w:val="0"/>
                <w:kern w:val="0"/>
                <w:sz w:val="21"/>
                <w:szCs w:val="21"/>
              </w:rPr>
            </w:pPr>
          </w:p>
        </w:tc>
        <w:tc>
          <w:tcPr>
            <w:tcW w:w="852" w:type="dxa"/>
            <w:noWrap w:val="0"/>
            <w:vAlign w:val="center"/>
          </w:tcPr>
          <w:p w14:paraId="4BE13F0C">
            <w:pPr>
              <w:keepNext/>
              <w:keepLines/>
              <w:adjustRightInd w:val="0"/>
              <w:spacing w:before="156" w:beforeLines="50" w:after="156" w:afterLines="50" w:line="240" w:lineRule="auto"/>
              <w:jc w:val="center"/>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只</w:t>
            </w:r>
          </w:p>
        </w:tc>
        <w:tc>
          <w:tcPr>
            <w:tcW w:w="1411" w:type="dxa"/>
            <w:noWrap w:val="0"/>
            <w:vAlign w:val="center"/>
          </w:tcPr>
          <w:p w14:paraId="0EE88F55">
            <w:pPr>
              <w:keepNext/>
              <w:keepLines/>
              <w:adjustRightInd w:val="0"/>
              <w:spacing w:before="156" w:beforeLines="50" w:after="156" w:afterLines="50" w:line="240" w:lineRule="auto"/>
              <w:jc w:val="center"/>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w:t>
            </w:r>
          </w:p>
        </w:tc>
        <w:tc>
          <w:tcPr>
            <w:tcW w:w="1350" w:type="dxa"/>
            <w:noWrap w:val="0"/>
            <w:vAlign w:val="center"/>
          </w:tcPr>
          <w:p w14:paraId="3CB2734C">
            <w:pPr>
              <w:keepNext/>
              <w:keepLines/>
              <w:adjustRightInd w:val="0"/>
              <w:spacing w:before="156" w:beforeLines="50" w:after="156" w:afterLines="50" w:line="240" w:lineRule="auto"/>
              <w:jc w:val="left"/>
              <w:textAlignment w:val="baseline"/>
              <w:outlineLvl w:val="1"/>
              <w:rPr>
                <w:rFonts w:hint="eastAsia" w:ascii="宋体" w:hAnsi="宋体" w:eastAsia="宋体" w:cs="宋体"/>
                <w:b w:val="0"/>
                <w:bCs w:val="0"/>
                <w:kern w:val="0"/>
                <w:sz w:val="21"/>
                <w:szCs w:val="21"/>
              </w:rPr>
            </w:pPr>
          </w:p>
        </w:tc>
        <w:tc>
          <w:tcPr>
            <w:tcW w:w="1603" w:type="dxa"/>
            <w:noWrap w:val="0"/>
            <w:vAlign w:val="center"/>
          </w:tcPr>
          <w:p w14:paraId="2AF5A02D">
            <w:pPr>
              <w:keepNext/>
              <w:keepLines/>
              <w:adjustRightInd w:val="0"/>
              <w:spacing w:before="156" w:beforeLines="50" w:after="156" w:afterLines="50" w:line="240" w:lineRule="auto"/>
              <w:jc w:val="left"/>
              <w:textAlignment w:val="baseline"/>
              <w:outlineLvl w:val="1"/>
              <w:rPr>
                <w:rFonts w:hint="eastAsia" w:ascii="宋体" w:hAnsi="宋体" w:eastAsia="宋体" w:cs="宋体"/>
                <w:b w:val="0"/>
                <w:bCs w:val="0"/>
                <w:kern w:val="0"/>
                <w:sz w:val="21"/>
                <w:szCs w:val="21"/>
              </w:rPr>
            </w:pPr>
          </w:p>
        </w:tc>
      </w:tr>
      <w:tr w14:paraId="0AAAB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64" w:hRule="atLeast"/>
          <w:jc w:val="center"/>
        </w:trPr>
        <w:tc>
          <w:tcPr>
            <w:tcW w:w="682" w:type="dxa"/>
            <w:noWrap w:val="0"/>
            <w:vAlign w:val="center"/>
          </w:tcPr>
          <w:p w14:paraId="47630A28">
            <w:pPr>
              <w:keepNext/>
              <w:keepLines/>
              <w:adjustRightInd w:val="0"/>
              <w:spacing w:before="156" w:beforeLines="50" w:after="156" w:afterLines="50" w:line="240" w:lineRule="auto"/>
              <w:jc w:val="center"/>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w:t>
            </w:r>
          </w:p>
        </w:tc>
        <w:tc>
          <w:tcPr>
            <w:tcW w:w="2066" w:type="dxa"/>
            <w:noWrap w:val="0"/>
            <w:vAlign w:val="center"/>
          </w:tcPr>
          <w:p w14:paraId="7FB14175">
            <w:pPr>
              <w:keepNext/>
              <w:keepLines/>
              <w:adjustRightInd w:val="0"/>
              <w:spacing w:before="156" w:beforeLines="50" w:after="156" w:afterLines="50" w:line="24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螺栓</w:t>
            </w:r>
          </w:p>
        </w:tc>
        <w:tc>
          <w:tcPr>
            <w:tcW w:w="1645" w:type="dxa"/>
            <w:noWrap w:val="0"/>
            <w:vAlign w:val="center"/>
          </w:tcPr>
          <w:p w14:paraId="718A223C">
            <w:pPr>
              <w:keepNext/>
              <w:keepLines/>
              <w:adjustRightInd w:val="0"/>
              <w:spacing w:before="156" w:beforeLines="50" w:after="156" w:afterLines="50" w:line="24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地脚</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rPr>
              <w:t>接线板螺栓</w:t>
            </w:r>
          </w:p>
        </w:tc>
        <w:tc>
          <w:tcPr>
            <w:tcW w:w="852" w:type="dxa"/>
            <w:noWrap w:val="0"/>
            <w:vAlign w:val="center"/>
          </w:tcPr>
          <w:p w14:paraId="5ED2EA5E">
            <w:pPr>
              <w:keepNext/>
              <w:keepLines/>
              <w:adjustRightInd w:val="0"/>
              <w:spacing w:before="156" w:beforeLines="50" w:after="156" w:afterLines="50" w:line="240" w:lineRule="auto"/>
              <w:jc w:val="center"/>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条</w:t>
            </w:r>
          </w:p>
        </w:tc>
        <w:tc>
          <w:tcPr>
            <w:tcW w:w="1411" w:type="dxa"/>
            <w:noWrap w:val="0"/>
            <w:vAlign w:val="center"/>
          </w:tcPr>
          <w:p w14:paraId="66D01535">
            <w:pPr>
              <w:keepNext/>
              <w:keepLines/>
              <w:adjustRightInd w:val="0"/>
              <w:spacing w:before="156" w:beforeLines="50" w:after="156" w:afterLines="50" w:line="240" w:lineRule="auto"/>
              <w:jc w:val="center"/>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满足安装需要</w:t>
            </w:r>
          </w:p>
        </w:tc>
        <w:tc>
          <w:tcPr>
            <w:tcW w:w="1350" w:type="dxa"/>
            <w:noWrap w:val="0"/>
            <w:vAlign w:val="center"/>
          </w:tcPr>
          <w:p w14:paraId="60C3551E">
            <w:pPr>
              <w:keepNext/>
              <w:keepLines/>
              <w:adjustRightInd w:val="0"/>
              <w:spacing w:before="156" w:beforeLines="50" w:after="156" w:afterLines="50" w:line="240" w:lineRule="auto"/>
              <w:jc w:val="left"/>
              <w:textAlignment w:val="baseline"/>
              <w:outlineLvl w:val="1"/>
              <w:rPr>
                <w:rFonts w:hint="eastAsia" w:ascii="宋体" w:hAnsi="宋体" w:eastAsia="宋体" w:cs="宋体"/>
                <w:b w:val="0"/>
                <w:bCs w:val="0"/>
                <w:kern w:val="0"/>
                <w:sz w:val="21"/>
                <w:szCs w:val="21"/>
              </w:rPr>
            </w:pPr>
          </w:p>
        </w:tc>
        <w:tc>
          <w:tcPr>
            <w:tcW w:w="1603" w:type="dxa"/>
            <w:noWrap w:val="0"/>
            <w:vAlign w:val="center"/>
          </w:tcPr>
          <w:p w14:paraId="2F693ED9">
            <w:pPr>
              <w:keepNext/>
              <w:keepLines/>
              <w:adjustRightInd w:val="0"/>
              <w:spacing w:before="156" w:beforeLines="50" w:after="156" w:afterLines="50" w:line="240" w:lineRule="auto"/>
              <w:jc w:val="left"/>
              <w:textAlignment w:val="baseline"/>
              <w:outlineLvl w:val="1"/>
              <w:rPr>
                <w:rFonts w:hint="eastAsia" w:ascii="宋体" w:hAnsi="宋体" w:eastAsia="宋体" w:cs="宋体"/>
                <w:b w:val="0"/>
                <w:bCs w:val="0"/>
                <w:kern w:val="0"/>
                <w:sz w:val="21"/>
                <w:szCs w:val="21"/>
              </w:rPr>
            </w:pPr>
          </w:p>
        </w:tc>
      </w:tr>
      <w:tr w14:paraId="02189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41" w:hRule="atLeast"/>
          <w:jc w:val="center"/>
        </w:trPr>
        <w:tc>
          <w:tcPr>
            <w:tcW w:w="682" w:type="dxa"/>
            <w:noWrap w:val="0"/>
            <w:vAlign w:val="center"/>
          </w:tcPr>
          <w:p w14:paraId="09BAA470">
            <w:pPr>
              <w:keepNext/>
              <w:keepLines/>
              <w:adjustRightInd w:val="0"/>
              <w:spacing w:before="156" w:beforeLines="50" w:after="156" w:afterLines="50" w:line="240" w:lineRule="auto"/>
              <w:jc w:val="center"/>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w:t>
            </w:r>
          </w:p>
        </w:tc>
        <w:tc>
          <w:tcPr>
            <w:tcW w:w="2066" w:type="dxa"/>
            <w:noWrap w:val="0"/>
            <w:vAlign w:val="top"/>
          </w:tcPr>
          <w:p w14:paraId="4F1D9D38">
            <w:pPr>
              <w:keepNext/>
              <w:keepLines/>
              <w:adjustRightInd w:val="0"/>
              <w:spacing w:before="156" w:beforeLines="50" w:after="156" w:afterLines="50" w:line="240" w:lineRule="auto"/>
              <w:jc w:val="left"/>
              <w:textAlignment w:val="baseline"/>
              <w:outlineLvl w:val="1"/>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金具及钢芯铝绞线</w:t>
            </w:r>
          </w:p>
        </w:tc>
        <w:tc>
          <w:tcPr>
            <w:tcW w:w="1645" w:type="dxa"/>
            <w:noWrap w:val="0"/>
            <w:vAlign w:val="center"/>
          </w:tcPr>
          <w:p w14:paraId="1F43DF7F">
            <w:pPr>
              <w:keepNext/>
              <w:keepLines/>
              <w:adjustRightInd w:val="0"/>
              <w:spacing w:before="156" w:beforeLines="50" w:after="156" w:afterLines="50" w:line="240" w:lineRule="auto"/>
              <w:jc w:val="left"/>
              <w:textAlignment w:val="baseline"/>
              <w:outlineLvl w:val="1"/>
              <w:rPr>
                <w:rFonts w:hint="eastAsia" w:ascii="宋体" w:hAnsi="宋体" w:eastAsia="宋体" w:cs="宋体"/>
                <w:b w:val="0"/>
                <w:bCs w:val="0"/>
                <w:kern w:val="0"/>
                <w:sz w:val="21"/>
                <w:szCs w:val="21"/>
              </w:rPr>
            </w:pPr>
          </w:p>
        </w:tc>
        <w:tc>
          <w:tcPr>
            <w:tcW w:w="852" w:type="dxa"/>
            <w:noWrap w:val="0"/>
            <w:vAlign w:val="center"/>
          </w:tcPr>
          <w:p w14:paraId="0529B17A">
            <w:pPr>
              <w:keepNext/>
              <w:keepLines/>
              <w:adjustRightInd w:val="0"/>
              <w:spacing w:before="156" w:beforeLines="50" w:after="156" w:afterLines="50" w:line="240" w:lineRule="auto"/>
              <w:jc w:val="center"/>
              <w:textAlignment w:val="baseline"/>
              <w:outlineLvl w:val="1"/>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lang w:val="en-US" w:eastAsia="zh-CN"/>
              </w:rPr>
              <w:t>米</w:t>
            </w:r>
          </w:p>
        </w:tc>
        <w:tc>
          <w:tcPr>
            <w:tcW w:w="1411" w:type="dxa"/>
            <w:noWrap w:val="0"/>
            <w:vAlign w:val="center"/>
          </w:tcPr>
          <w:p w14:paraId="6969A216">
            <w:pPr>
              <w:keepNext/>
              <w:keepLines/>
              <w:adjustRightInd w:val="0"/>
              <w:spacing w:before="156" w:beforeLines="50" w:after="156" w:afterLines="50" w:line="240" w:lineRule="auto"/>
              <w:jc w:val="center"/>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满足安装需要</w:t>
            </w:r>
          </w:p>
        </w:tc>
        <w:tc>
          <w:tcPr>
            <w:tcW w:w="1350" w:type="dxa"/>
            <w:noWrap w:val="0"/>
            <w:vAlign w:val="center"/>
          </w:tcPr>
          <w:p w14:paraId="6DED9344">
            <w:pPr>
              <w:keepNext/>
              <w:keepLines/>
              <w:adjustRightInd w:val="0"/>
              <w:spacing w:before="156" w:beforeLines="50" w:after="156" w:afterLines="50" w:line="240" w:lineRule="auto"/>
              <w:jc w:val="left"/>
              <w:textAlignment w:val="baseline"/>
              <w:outlineLvl w:val="1"/>
              <w:rPr>
                <w:rFonts w:hint="eastAsia" w:ascii="宋体" w:hAnsi="宋体" w:eastAsia="宋体" w:cs="宋体"/>
                <w:b w:val="0"/>
                <w:bCs w:val="0"/>
                <w:kern w:val="0"/>
                <w:sz w:val="21"/>
                <w:szCs w:val="21"/>
              </w:rPr>
            </w:pPr>
          </w:p>
        </w:tc>
        <w:tc>
          <w:tcPr>
            <w:tcW w:w="1603" w:type="dxa"/>
            <w:noWrap w:val="0"/>
            <w:vAlign w:val="center"/>
          </w:tcPr>
          <w:p w14:paraId="42C52682">
            <w:pPr>
              <w:keepNext/>
              <w:keepLines/>
              <w:adjustRightInd w:val="0"/>
              <w:spacing w:before="156" w:beforeLines="50" w:after="156" w:afterLines="50" w:line="240" w:lineRule="auto"/>
              <w:jc w:val="left"/>
              <w:textAlignment w:val="baseline"/>
              <w:outlineLvl w:val="1"/>
              <w:rPr>
                <w:rFonts w:hint="eastAsia" w:ascii="宋体" w:hAnsi="宋体" w:eastAsia="宋体" w:cs="宋体"/>
                <w:b w:val="0"/>
                <w:bCs w:val="0"/>
                <w:kern w:val="0"/>
                <w:sz w:val="21"/>
                <w:szCs w:val="21"/>
              </w:rPr>
            </w:pPr>
          </w:p>
        </w:tc>
      </w:tr>
      <w:tr w14:paraId="6BD35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80" w:hRule="atLeast"/>
          <w:jc w:val="center"/>
        </w:trPr>
        <w:tc>
          <w:tcPr>
            <w:tcW w:w="682" w:type="dxa"/>
            <w:noWrap w:val="0"/>
            <w:vAlign w:val="center"/>
          </w:tcPr>
          <w:p w14:paraId="53ACE923">
            <w:pPr>
              <w:keepNext/>
              <w:keepLines/>
              <w:adjustRightInd w:val="0"/>
              <w:spacing w:before="156" w:beforeLines="50" w:after="156" w:afterLines="50" w:line="240" w:lineRule="auto"/>
              <w:jc w:val="center"/>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w:t>
            </w:r>
          </w:p>
        </w:tc>
        <w:tc>
          <w:tcPr>
            <w:tcW w:w="2066" w:type="dxa"/>
            <w:noWrap w:val="0"/>
            <w:vAlign w:val="top"/>
          </w:tcPr>
          <w:p w14:paraId="0FD227DA">
            <w:pPr>
              <w:keepNext/>
              <w:keepLines/>
              <w:adjustRightInd w:val="0"/>
              <w:spacing w:before="156" w:beforeLines="50" w:after="156" w:afterLines="50" w:line="240" w:lineRule="auto"/>
              <w:jc w:val="left"/>
              <w:textAlignment w:val="baseline"/>
              <w:outlineLvl w:val="1"/>
              <w:rPr>
                <w:rFonts w:hint="eastAsia" w:ascii="宋体" w:hAnsi="宋体" w:eastAsia="宋体" w:cs="宋体"/>
                <w:b w:val="0"/>
                <w:bCs w:val="0"/>
                <w:kern w:val="0"/>
                <w:sz w:val="21"/>
                <w:szCs w:val="21"/>
              </w:rPr>
            </w:pPr>
          </w:p>
          <w:p w14:paraId="41DCBB70">
            <w:pPr>
              <w:keepNext/>
              <w:keepLines/>
              <w:adjustRightInd w:val="0"/>
              <w:spacing w:before="156" w:beforeLines="50" w:after="156" w:afterLines="50" w:line="24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不锈钢中间端子箱</w:t>
            </w:r>
          </w:p>
        </w:tc>
        <w:tc>
          <w:tcPr>
            <w:tcW w:w="1645" w:type="dxa"/>
            <w:noWrap w:val="0"/>
            <w:vAlign w:val="center"/>
          </w:tcPr>
          <w:p w14:paraId="57787023">
            <w:pPr>
              <w:keepNext/>
              <w:keepLines/>
              <w:adjustRightInd w:val="0"/>
              <w:spacing w:before="156" w:beforeLines="50" w:after="156" w:afterLines="50" w:line="240" w:lineRule="auto"/>
              <w:jc w:val="left"/>
              <w:textAlignment w:val="baseline"/>
              <w:outlineLvl w:val="1"/>
              <w:rPr>
                <w:rFonts w:hint="eastAsia" w:ascii="宋体" w:hAnsi="宋体" w:eastAsia="宋体" w:cs="宋体"/>
                <w:b w:val="0"/>
                <w:bCs w:val="0"/>
                <w:kern w:val="0"/>
                <w:sz w:val="21"/>
                <w:szCs w:val="21"/>
              </w:rPr>
            </w:pPr>
          </w:p>
          <w:p w14:paraId="1BBE620A">
            <w:pPr>
              <w:keepNext/>
              <w:keepLines/>
              <w:adjustRightInd w:val="0"/>
              <w:spacing w:before="156" w:beforeLines="50" w:after="156" w:afterLines="50" w:line="240" w:lineRule="auto"/>
              <w:jc w:val="left"/>
              <w:textAlignment w:val="baseline"/>
              <w:outlineLvl w:val="1"/>
              <w:rPr>
                <w:rFonts w:hint="eastAsia" w:ascii="宋体" w:hAnsi="宋体" w:eastAsia="宋体" w:cs="宋体"/>
                <w:b w:val="0"/>
                <w:bCs w:val="0"/>
                <w:kern w:val="0"/>
                <w:sz w:val="21"/>
                <w:szCs w:val="21"/>
              </w:rPr>
            </w:pPr>
          </w:p>
          <w:p w14:paraId="2900C630">
            <w:pPr>
              <w:keepNext/>
              <w:keepLines/>
              <w:adjustRightInd w:val="0"/>
              <w:spacing w:before="156" w:beforeLines="50" w:after="156" w:afterLines="50" w:line="240" w:lineRule="auto"/>
              <w:jc w:val="left"/>
              <w:textAlignment w:val="baseline"/>
              <w:outlineLvl w:val="1"/>
              <w:rPr>
                <w:rFonts w:hint="eastAsia" w:ascii="宋体" w:hAnsi="宋体" w:eastAsia="宋体" w:cs="宋体"/>
                <w:b w:val="0"/>
                <w:bCs w:val="0"/>
                <w:kern w:val="0"/>
                <w:sz w:val="21"/>
                <w:szCs w:val="21"/>
              </w:rPr>
            </w:pPr>
          </w:p>
        </w:tc>
        <w:tc>
          <w:tcPr>
            <w:tcW w:w="852" w:type="dxa"/>
            <w:noWrap w:val="0"/>
            <w:vAlign w:val="center"/>
          </w:tcPr>
          <w:p w14:paraId="0C6DA30D">
            <w:pPr>
              <w:keepNext/>
              <w:keepLines/>
              <w:adjustRightInd w:val="0"/>
              <w:spacing w:before="156" w:beforeLines="50" w:after="156" w:afterLines="50" w:line="240" w:lineRule="auto"/>
              <w:jc w:val="center"/>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个</w:t>
            </w:r>
          </w:p>
        </w:tc>
        <w:tc>
          <w:tcPr>
            <w:tcW w:w="1411" w:type="dxa"/>
            <w:noWrap w:val="0"/>
            <w:vAlign w:val="center"/>
          </w:tcPr>
          <w:p w14:paraId="292930F9">
            <w:pPr>
              <w:keepNext/>
              <w:keepLines/>
              <w:adjustRightInd w:val="0"/>
              <w:spacing w:before="156" w:beforeLines="50" w:after="156" w:afterLines="50" w:line="240" w:lineRule="auto"/>
              <w:jc w:val="center"/>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w:t>
            </w:r>
          </w:p>
        </w:tc>
        <w:tc>
          <w:tcPr>
            <w:tcW w:w="1350" w:type="dxa"/>
            <w:noWrap w:val="0"/>
            <w:vAlign w:val="center"/>
          </w:tcPr>
          <w:p w14:paraId="3A065A8B">
            <w:pPr>
              <w:keepNext/>
              <w:keepLines/>
              <w:adjustRightInd w:val="0"/>
              <w:spacing w:before="156" w:beforeLines="50" w:after="156" w:afterLines="50" w:line="240" w:lineRule="auto"/>
              <w:jc w:val="left"/>
              <w:textAlignment w:val="baseline"/>
              <w:outlineLvl w:val="1"/>
              <w:rPr>
                <w:rFonts w:hint="eastAsia" w:ascii="宋体" w:hAnsi="宋体" w:eastAsia="宋体" w:cs="宋体"/>
                <w:b w:val="0"/>
                <w:bCs w:val="0"/>
                <w:kern w:val="0"/>
                <w:sz w:val="21"/>
                <w:szCs w:val="21"/>
              </w:rPr>
            </w:pPr>
          </w:p>
        </w:tc>
        <w:tc>
          <w:tcPr>
            <w:tcW w:w="1603" w:type="dxa"/>
            <w:noWrap w:val="0"/>
            <w:vAlign w:val="center"/>
          </w:tcPr>
          <w:p w14:paraId="00F67413">
            <w:pPr>
              <w:keepNext/>
              <w:keepLines/>
              <w:adjustRightInd w:val="0"/>
              <w:spacing w:before="156" w:beforeLines="50" w:after="156" w:afterLines="50" w:line="240" w:lineRule="auto"/>
              <w:jc w:val="left"/>
              <w:textAlignment w:val="baseline"/>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随产品供货时提供，购买前应得到招标方认可</w:t>
            </w:r>
          </w:p>
        </w:tc>
      </w:tr>
    </w:tbl>
    <w:p w14:paraId="507B9E59">
      <w:pPr>
        <w:pStyle w:val="299"/>
        <w:ind w:firstLine="420"/>
        <w:outlineLvl w:val="9"/>
        <w:rPr>
          <w:rFonts w:asciiTheme="minorEastAsia" w:hAnsiTheme="minorEastAsia" w:eastAsiaTheme="minorEastAsia"/>
          <w:b w:val="0"/>
          <w:sz w:val="21"/>
          <w:szCs w:val="21"/>
        </w:rPr>
      </w:pPr>
    </w:p>
    <w:p w14:paraId="32054914">
      <w:pPr>
        <w:spacing w:beforeLines="1350" w:line="240" w:lineRule="auto"/>
        <w:ind w:left="0" w:firstLine="560" w:firstLineChars="200"/>
        <w:jc w:val="center"/>
        <w:rPr>
          <w:rFonts w:ascii="Arial" w:hAnsi="宋体" w:cs="Arial"/>
          <w:b/>
          <w:sz w:val="28"/>
          <w:szCs w:val="28"/>
        </w:rPr>
      </w:pPr>
    </w:p>
    <w:p w14:paraId="5C12C7EF">
      <w:pPr>
        <w:rPr>
          <w:rFonts w:ascii="Arial" w:hAnsi="宋体" w:cs="Arial"/>
          <w:b/>
          <w:sz w:val="36"/>
          <w:szCs w:val="36"/>
        </w:rPr>
      </w:pPr>
      <w:bookmarkStart w:id="41" w:name="_Toc139468416"/>
      <w:r>
        <w:rPr>
          <w:rFonts w:ascii="Arial" w:hAnsi="宋体" w:cs="Arial"/>
          <w:b/>
          <w:sz w:val="36"/>
          <w:szCs w:val="36"/>
        </w:rPr>
        <w:br w:type="page"/>
      </w:r>
    </w:p>
    <w:p w14:paraId="6FF3311F">
      <w:pPr>
        <w:pStyle w:val="3"/>
        <w:rPr>
          <w:rFonts w:ascii="Arial" w:hAnsi="宋体" w:cs="Arial"/>
          <w:b/>
          <w:sz w:val="36"/>
          <w:szCs w:val="36"/>
        </w:rPr>
      </w:pPr>
      <w:r>
        <w:rPr>
          <w:rFonts w:ascii="Arial" w:hAnsi="宋体" w:cs="Arial"/>
          <w:b/>
          <w:sz w:val="36"/>
          <w:szCs w:val="36"/>
        </w:rPr>
        <w:t>第</w:t>
      </w:r>
      <w:r>
        <w:rPr>
          <w:rFonts w:hint="eastAsia" w:ascii="Arial" w:hAnsi="宋体" w:cs="Arial"/>
          <w:b/>
          <w:sz w:val="36"/>
          <w:szCs w:val="36"/>
          <w:lang w:val="en-US" w:eastAsia="zh-CN"/>
        </w:rPr>
        <w:t>五</w:t>
      </w:r>
      <w:r>
        <w:rPr>
          <w:rFonts w:ascii="Arial" w:hAnsi="宋体" w:cs="Arial"/>
          <w:b/>
          <w:sz w:val="36"/>
          <w:szCs w:val="36"/>
        </w:rPr>
        <w:t>章报价响应文件格式</w:t>
      </w:r>
      <w:bookmarkEnd w:id="41"/>
    </w:p>
    <w:p w14:paraId="7BAA7E22">
      <w:pPr>
        <w:rPr>
          <w:rFonts w:hint="eastAsia" w:ascii="Arial" w:hAnsi="宋体" w:cs="Arial"/>
          <w:b/>
          <w:sz w:val="48"/>
          <w:szCs w:val="48"/>
          <w:lang w:val="en-US" w:eastAsia="zh-CN"/>
        </w:rPr>
      </w:pPr>
      <w:r>
        <w:rPr>
          <w:rFonts w:hint="eastAsia" w:ascii="Arial" w:hAnsi="宋体" w:cs="Arial"/>
          <w:b/>
          <w:sz w:val="48"/>
          <w:szCs w:val="48"/>
          <w:lang w:val="en-US" w:eastAsia="zh-CN"/>
        </w:rPr>
        <w:br w:type="page"/>
      </w:r>
    </w:p>
    <w:p w14:paraId="0E471A23">
      <w:pPr>
        <w:spacing w:beforeLines="200"/>
        <w:ind w:left="0" w:leftChars="0" w:firstLine="1440" w:firstLineChars="300"/>
        <w:jc w:val="both"/>
        <w:rPr>
          <w:rFonts w:hint="eastAsia" w:ascii="Arial" w:hAnsi="宋体" w:cs="Arial"/>
          <w:b/>
          <w:sz w:val="48"/>
          <w:szCs w:val="48"/>
          <w:lang w:val="en-US" w:eastAsia="zh-CN"/>
        </w:rPr>
      </w:pPr>
      <w:r>
        <w:rPr>
          <w:rFonts w:hint="eastAsia" w:ascii="Arial" w:hAnsi="宋体" w:cs="Arial"/>
          <w:b/>
          <w:sz w:val="48"/>
          <w:szCs w:val="48"/>
          <w:lang w:val="en-US" w:eastAsia="zh-CN"/>
        </w:rPr>
        <w:t>平顶山姚孟发电有限责任公司</w:t>
      </w:r>
    </w:p>
    <w:p w14:paraId="57B0214D">
      <w:pPr>
        <w:spacing w:beforeLines="200"/>
        <w:ind w:left="487" w:leftChars="152" w:hanging="168" w:hangingChars="35"/>
        <w:jc w:val="both"/>
        <w:rPr>
          <w:rFonts w:hint="eastAsia" w:ascii="Arial" w:hAnsi="宋体" w:cs="Arial"/>
          <w:b/>
          <w:sz w:val="48"/>
          <w:szCs w:val="48"/>
        </w:rPr>
      </w:pPr>
      <w:r>
        <w:rPr>
          <w:rFonts w:hint="eastAsia" w:ascii="Arial" w:hAnsi="宋体" w:cs="Arial"/>
          <w:b/>
          <w:sz w:val="48"/>
          <w:szCs w:val="48"/>
        </w:rPr>
        <w:t>500KV变电站电容式电压互感器采购</w:t>
      </w:r>
    </w:p>
    <w:p w14:paraId="126BA808">
      <w:pPr>
        <w:spacing w:beforeLines="200"/>
        <w:ind w:left="1236" w:leftChars="589" w:firstLine="1173" w:firstLineChars="163"/>
        <w:jc w:val="both"/>
        <w:rPr>
          <w:rFonts w:hint="eastAsia" w:ascii="Arial" w:hAnsi="宋体" w:cs="Arial"/>
          <w:b/>
          <w:sz w:val="72"/>
          <w:szCs w:val="72"/>
        </w:rPr>
      </w:pPr>
      <w:r>
        <w:rPr>
          <w:rFonts w:hint="eastAsia" w:ascii="Arial" w:hAnsi="宋体" w:cs="Arial"/>
          <w:b/>
          <w:sz w:val="72"/>
          <w:szCs w:val="72"/>
        </w:rPr>
        <w:t>响应文件</w:t>
      </w:r>
    </w:p>
    <w:p w14:paraId="68225ABF">
      <w:pPr>
        <w:spacing w:beforeLines="500" w:line="240" w:lineRule="auto"/>
        <w:ind w:left="0" w:firstLine="0"/>
        <w:jc w:val="center"/>
        <w:rPr>
          <w:rFonts w:ascii="Arial" w:hAnsi="宋体" w:cs="Arial"/>
          <w:sz w:val="32"/>
          <w:szCs w:val="32"/>
          <w:u w:val="single"/>
        </w:rPr>
      </w:pPr>
      <w:r>
        <w:rPr>
          <w:rFonts w:hint="eastAsia" w:ascii="Arial" w:hAnsi="宋体" w:cs="Arial"/>
          <w:sz w:val="32"/>
          <w:szCs w:val="32"/>
        </w:rPr>
        <w:t>报价响应人：</w:t>
      </w:r>
      <w:r>
        <w:rPr>
          <w:rFonts w:hint="eastAsia" w:ascii="Arial" w:hAnsi="宋体" w:cs="Arial"/>
          <w:sz w:val="32"/>
          <w:szCs w:val="32"/>
          <w:u w:val="single"/>
        </w:rPr>
        <w:t>（盖章）</w:t>
      </w:r>
    </w:p>
    <w:p w14:paraId="2D0E9B96">
      <w:pPr>
        <w:spacing w:line="240" w:lineRule="auto"/>
        <w:ind w:left="0" w:firstLine="0"/>
        <w:jc w:val="center"/>
        <w:rPr>
          <w:rFonts w:hint="eastAsia" w:ascii="Arial" w:hAnsi="宋体" w:cs="Arial"/>
          <w:sz w:val="32"/>
          <w:szCs w:val="32"/>
          <w:u w:val="single"/>
        </w:rPr>
      </w:pPr>
    </w:p>
    <w:p w14:paraId="32960F7C">
      <w:pPr>
        <w:spacing w:line="240" w:lineRule="auto"/>
        <w:ind w:left="0" w:firstLine="0"/>
        <w:jc w:val="center"/>
        <w:rPr>
          <w:rFonts w:hint="eastAsia" w:ascii="Arial" w:hAnsi="宋体" w:cs="Arial"/>
          <w:sz w:val="32"/>
          <w:szCs w:val="32"/>
          <w:u w:val="single"/>
        </w:rPr>
      </w:pPr>
    </w:p>
    <w:p w14:paraId="012D186D">
      <w:pPr>
        <w:spacing w:line="240" w:lineRule="auto"/>
        <w:ind w:left="0" w:firstLine="0"/>
        <w:jc w:val="center"/>
        <w:rPr>
          <w:rFonts w:ascii="Arial" w:hAnsi="宋体" w:cs="Arial"/>
          <w:sz w:val="32"/>
          <w:szCs w:val="32"/>
          <w:u w:val="single"/>
        </w:rPr>
      </w:pPr>
      <w:r>
        <w:rPr>
          <w:rFonts w:hint="eastAsia" w:ascii="Arial" w:hAnsi="宋体" w:cs="Arial"/>
          <w:sz w:val="32"/>
          <w:szCs w:val="32"/>
          <w:u w:val="single"/>
        </w:rPr>
        <w:t>法人代表或授权委托人：(签字或盖名章)</w:t>
      </w:r>
    </w:p>
    <w:p w14:paraId="0EC0E023">
      <w:pPr>
        <w:spacing w:line="240" w:lineRule="auto"/>
        <w:ind w:left="0" w:firstLine="0"/>
        <w:jc w:val="center"/>
        <w:rPr>
          <w:rFonts w:hint="eastAsia" w:ascii="Arial" w:hAnsi="宋体" w:cs="Arial"/>
          <w:sz w:val="32"/>
          <w:szCs w:val="32"/>
          <w:u w:val="single"/>
        </w:rPr>
      </w:pPr>
    </w:p>
    <w:p w14:paraId="3456CAA1">
      <w:pPr>
        <w:spacing w:line="240" w:lineRule="auto"/>
        <w:ind w:left="0" w:firstLine="0"/>
        <w:jc w:val="center"/>
        <w:rPr>
          <w:rFonts w:hint="eastAsia" w:ascii="Arial" w:hAnsi="宋体" w:cs="Arial"/>
          <w:sz w:val="32"/>
          <w:szCs w:val="32"/>
          <w:u w:val="single"/>
        </w:rPr>
      </w:pPr>
    </w:p>
    <w:p w14:paraId="732E13FE">
      <w:pPr>
        <w:spacing w:line="240" w:lineRule="auto"/>
        <w:ind w:left="0" w:firstLine="0"/>
        <w:jc w:val="center"/>
        <w:rPr>
          <w:rFonts w:ascii="Arial" w:hAnsi="宋体" w:cs="Arial"/>
          <w:sz w:val="32"/>
          <w:szCs w:val="32"/>
          <w:u w:val="single"/>
        </w:rPr>
        <w:sectPr>
          <w:pgSz w:w="11906" w:h="16838"/>
          <w:pgMar w:top="1440" w:right="1417" w:bottom="1440" w:left="1417" w:header="851" w:footer="992" w:gutter="0"/>
          <w:cols w:space="720" w:num="1"/>
          <w:docGrid w:type="linesAndChars" w:linePitch="380" w:charSpace="0"/>
        </w:sectPr>
      </w:pPr>
      <w:r>
        <w:rPr>
          <w:rFonts w:hint="eastAsia" w:ascii="Arial" w:hAnsi="宋体" w:cs="Arial"/>
          <w:sz w:val="32"/>
          <w:szCs w:val="32"/>
          <w:u w:val="single"/>
        </w:rPr>
        <w:t>日期：    年   月   日</w:t>
      </w:r>
    </w:p>
    <w:bookmarkEnd w:id="4"/>
    <w:p w14:paraId="3D4F4CF5">
      <w:pPr>
        <w:spacing w:line="360" w:lineRule="auto"/>
        <w:rPr>
          <w:rFonts w:hint="eastAsia" w:asciiTheme="minorEastAsia" w:hAnsiTheme="minorEastAsia" w:eastAsiaTheme="minorEastAsia" w:cstheme="minorEastAsia"/>
          <w:b w:val="0"/>
          <w:bCs w:val="0"/>
          <w:sz w:val="21"/>
          <w:szCs w:val="21"/>
        </w:rPr>
      </w:pPr>
    </w:p>
    <w:p w14:paraId="63DA96D2">
      <w:pPr>
        <w:spacing w:line="360" w:lineRule="auto"/>
        <w:jc w:val="center"/>
        <w:outlineLvl w:val="0"/>
        <w:rPr>
          <w:rFonts w:ascii="黑体" w:eastAsia="黑体"/>
          <w:b/>
          <w:color w:val="000000"/>
          <w:sz w:val="32"/>
          <w:szCs w:val="32"/>
        </w:rPr>
      </w:pPr>
      <w:bookmarkStart w:id="42" w:name="_Toc184635139"/>
      <w:bookmarkStart w:id="43" w:name="_Toc6702503"/>
      <w:bookmarkStart w:id="44" w:name="_Toc5714784"/>
      <w:bookmarkStart w:id="45" w:name="_Toc6701346"/>
      <w:bookmarkStart w:id="46" w:name="_Toc18578129"/>
      <w:r>
        <w:rPr>
          <w:rFonts w:hint="eastAsia" w:ascii="黑体" w:eastAsia="黑体"/>
          <w:b/>
          <w:color w:val="000000"/>
          <w:sz w:val="32"/>
          <w:szCs w:val="32"/>
        </w:rPr>
        <w:t>一、报价函</w:t>
      </w:r>
    </w:p>
    <w:p w14:paraId="69D22B61">
      <w:pPr>
        <w:spacing w:line="440" w:lineRule="exact"/>
        <w:rPr>
          <w:rFonts w:ascii="仿宋_GB2312" w:hAnsi="宋体" w:eastAsia="仿宋_GB2312"/>
          <w:color w:val="000000"/>
          <w:sz w:val="24"/>
        </w:rPr>
      </w:pPr>
      <w:r>
        <w:rPr>
          <w:rFonts w:hint="eastAsia" w:ascii="仿宋_GB2312" w:hAnsi="宋体" w:eastAsia="仿宋_GB2312" w:cs="Times New Roman"/>
          <w:color w:val="000000"/>
          <w:sz w:val="24"/>
          <w:lang w:val="en-US" w:eastAsia="zh-CN"/>
        </w:rPr>
        <w:t>平顶山姚孟发电有限责任公司</w:t>
      </w:r>
      <w:r>
        <w:rPr>
          <w:rFonts w:hint="eastAsia" w:ascii="仿宋_GB2312" w:hAnsi="宋体" w:eastAsia="仿宋_GB2312"/>
          <w:color w:val="000000"/>
          <w:sz w:val="24"/>
        </w:rPr>
        <w:t>：</w:t>
      </w:r>
    </w:p>
    <w:p w14:paraId="6C9CDAB8">
      <w:pPr>
        <w:spacing w:line="440" w:lineRule="exact"/>
        <w:ind w:firstLine="561"/>
        <w:rPr>
          <w:rFonts w:ascii="仿宋_GB2312" w:hAnsi="宋体" w:eastAsia="仿宋_GB2312"/>
          <w:color w:val="000000"/>
          <w:sz w:val="24"/>
        </w:rPr>
      </w:pPr>
      <w:r>
        <w:rPr>
          <w:rFonts w:hint="eastAsia" w:ascii="仿宋_GB2312" w:hAnsi="宋体" w:eastAsia="仿宋_GB2312"/>
          <w:color w:val="000000"/>
          <w:sz w:val="24"/>
        </w:rPr>
        <w:t>经研究，我</w:t>
      </w:r>
      <w:r>
        <w:rPr>
          <w:rFonts w:hint="eastAsia" w:ascii="仿宋_GB2312" w:hAnsi="宋体" w:eastAsia="仿宋_GB2312" w:cs="Times New Roman"/>
          <w:color w:val="000000"/>
          <w:sz w:val="24"/>
        </w:rPr>
        <w:t>单位决定参加贵公司</w:t>
      </w:r>
      <w:r>
        <w:rPr>
          <w:rFonts w:hint="eastAsia" w:ascii="仿宋_GB2312" w:hAnsi="宋体" w:eastAsia="仿宋_GB2312" w:cs="Times New Roman"/>
          <w:color w:val="000000"/>
          <w:sz w:val="24"/>
          <w:lang w:val="en-US" w:eastAsia="zh-CN"/>
        </w:rPr>
        <w:t>平顶山姚孟发电有限责任公司500KV变电站电容式电压互感器采购</w:t>
      </w:r>
      <w:r>
        <w:rPr>
          <w:rFonts w:hint="eastAsia" w:ascii="仿宋_GB2312" w:hAnsi="宋体" w:eastAsia="仿宋_GB2312" w:cs="Times New Roman"/>
          <w:color w:val="000000"/>
          <w:sz w:val="24"/>
        </w:rPr>
        <w:t>活动并</w:t>
      </w:r>
      <w:r>
        <w:rPr>
          <w:rFonts w:hint="eastAsia" w:ascii="仿宋_GB2312" w:hAnsi="宋体" w:eastAsia="仿宋_GB2312"/>
          <w:color w:val="000000"/>
          <w:sz w:val="24"/>
        </w:rPr>
        <w:t>报价。为此，我单位做如下承诺，并负法律责任。</w:t>
      </w:r>
    </w:p>
    <w:p w14:paraId="0DC9A0A8">
      <w:pPr>
        <w:spacing w:line="440" w:lineRule="exact"/>
        <w:ind w:firstLine="480" w:firstLineChars="200"/>
        <w:rPr>
          <w:rFonts w:ascii="仿宋_GB2312" w:hAnsi="宋体" w:eastAsia="仿宋_GB2312"/>
          <w:color w:val="000000"/>
          <w:sz w:val="24"/>
          <w:u w:val="single"/>
        </w:rPr>
      </w:pPr>
      <w:r>
        <w:rPr>
          <w:rFonts w:hint="eastAsia" w:ascii="仿宋_GB2312" w:hAnsi="宋体" w:eastAsia="仿宋_GB2312"/>
          <w:color w:val="000000"/>
          <w:sz w:val="24"/>
        </w:rPr>
        <w:t>1、按询价文件的规定提供项目服务的总报价为</w:t>
      </w:r>
      <w:r>
        <w:rPr>
          <w:rFonts w:ascii="仿宋_GB2312" w:hAnsi="宋体" w:eastAsia="仿宋_GB2312"/>
          <w:color w:val="000000"/>
          <w:sz w:val="24"/>
          <w:u w:val="single"/>
        </w:rPr>
        <w:t xml:space="preserve">    </w:t>
      </w:r>
      <w:r>
        <w:rPr>
          <w:rFonts w:hint="eastAsia" w:ascii="仿宋_GB2312" w:hAnsi="宋体" w:eastAsia="仿宋_GB2312"/>
          <w:color w:val="000000"/>
          <w:sz w:val="24"/>
        </w:rPr>
        <w:t>（大写）元人民币（含税）</w:t>
      </w:r>
      <w:r>
        <w:rPr>
          <w:rFonts w:ascii="仿宋_GB2312" w:hAnsi="宋体" w:eastAsia="仿宋_GB2312"/>
          <w:color w:val="000000"/>
          <w:sz w:val="24"/>
          <w:u w:val="single"/>
        </w:rPr>
        <w:t xml:space="preserve">    </w:t>
      </w:r>
      <w:r>
        <w:rPr>
          <w:rFonts w:hint="eastAsia" w:ascii="仿宋_GB2312" w:hAnsi="宋体" w:eastAsia="仿宋_GB2312"/>
          <w:color w:val="000000"/>
          <w:sz w:val="24"/>
        </w:rPr>
        <w:t xml:space="preserve"> ，我方提供增值税专用发票。</w:t>
      </w:r>
    </w:p>
    <w:p w14:paraId="720495C9">
      <w:pPr>
        <w:spacing w:line="44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2、愿意按照询价文件中的一切要求，提供报价文件，保证文件内容真实、完整。报价明细见《报价一览表》。</w:t>
      </w:r>
    </w:p>
    <w:p w14:paraId="0825D7F1">
      <w:pPr>
        <w:spacing w:line="44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3、同意询价文件中所有的规定。</w:t>
      </w:r>
    </w:p>
    <w:p w14:paraId="6EB931B1">
      <w:pPr>
        <w:spacing w:line="44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4、如果我单位的报价被接受，我单位将按贵单位的要求签订服务合同，履行询价采购文件中规定的每一项要求，按期、按质、按量供货。</w:t>
      </w:r>
    </w:p>
    <w:p w14:paraId="09A2527D">
      <w:pPr>
        <w:spacing w:line="44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5、如果我单位的报价被接受，我单位保证提供的服务为标准规格，符合国家有关部门的规定。</w:t>
      </w:r>
    </w:p>
    <w:p w14:paraId="33DD0A16">
      <w:pPr>
        <w:spacing w:line="44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6、愿意遵守有关售后服务规定，提供优质服务。</w:t>
      </w:r>
    </w:p>
    <w:p w14:paraId="097BBAA1">
      <w:pPr>
        <w:spacing w:line="44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7、愿意按照《中华人民共和国合同法》履行自己的全部责任。</w:t>
      </w:r>
    </w:p>
    <w:p w14:paraId="20E08565">
      <w:pPr>
        <w:spacing w:line="44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8、我方联系方式：</w:t>
      </w:r>
    </w:p>
    <w:p w14:paraId="283B27D5">
      <w:pPr>
        <w:spacing w:line="440" w:lineRule="exact"/>
        <w:ind w:firstLine="1120"/>
        <w:rPr>
          <w:rFonts w:ascii="仿宋_GB2312" w:hAnsi="宋体" w:eastAsia="仿宋_GB2312"/>
          <w:color w:val="000000"/>
          <w:sz w:val="24"/>
        </w:rPr>
      </w:pPr>
      <w:r>
        <w:rPr>
          <w:rFonts w:hint="eastAsia" w:ascii="仿宋_GB2312" w:hAnsi="宋体" w:eastAsia="仿宋_GB2312"/>
          <w:color w:val="000000"/>
          <w:sz w:val="24"/>
        </w:rPr>
        <w:t>地址：</w:t>
      </w:r>
    </w:p>
    <w:p w14:paraId="6BD21401">
      <w:pPr>
        <w:spacing w:line="440" w:lineRule="exact"/>
        <w:ind w:firstLine="1120"/>
        <w:rPr>
          <w:rFonts w:ascii="仿宋_GB2312" w:hAnsi="宋体" w:eastAsia="仿宋_GB2312"/>
          <w:color w:val="000000"/>
          <w:sz w:val="24"/>
        </w:rPr>
      </w:pPr>
      <w:r>
        <w:rPr>
          <w:rFonts w:hint="eastAsia" w:ascii="仿宋_GB2312" w:hAnsi="宋体" w:eastAsia="仿宋_GB2312"/>
          <w:color w:val="000000"/>
          <w:sz w:val="24"/>
        </w:rPr>
        <w:t>电话：</w:t>
      </w:r>
    </w:p>
    <w:p w14:paraId="5F7C06ED">
      <w:pPr>
        <w:spacing w:line="440" w:lineRule="exact"/>
        <w:ind w:firstLine="1120"/>
        <w:rPr>
          <w:rFonts w:ascii="仿宋_GB2312" w:hAnsi="宋体" w:eastAsia="仿宋_GB2312"/>
          <w:color w:val="000000"/>
          <w:sz w:val="24"/>
        </w:rPr>
      </w:pPr>
      <w:r>
        <w:rPr>
          <w:rFonts w:hint="eastAsia" w:ascii="仿宋_GB2312" w:hAnsi="宋体" w:eastAsia="仿宋_GB2312"/>
          <w:color w:val="000000"/>
          <w:sz w:val="24"/>
        </w:rPr>
        <w:t>邮箱：</w:t>
      </w:r>
    </w:p>
    <w:p w14:paraId="310E0531">
      <w:pPr>
        <w:spacing w:line="440" w:lineRule="exact"/>
        <w:ind w:firstLine="1120"/>
        <w:rPr>
          <w:rFonts w:ascii="仿宋_GB2312" w:hAnsi="宋体" w:eastAsia="仿宋_GB2312"/>
          <w:color w:val="000000"/>
          <w:sz w:val="24"/>
        </w:rPr>
      </w:pPr>
      <w:r>
        <w:rPr>
          <w:rFonts w:hint="eastAsia" w:ascii="仿宋_GB2312" w:hAnsi="宋体" w:eastAsia="仿宋_GB2312"/>
          <w:color w:val="000000"/>
          <w:sz w:val="24"/>
        </w:rPr>
        <w:t>联系人：</w:t>
      </w:r>
    </w:p>
    <w:p w14:paraId="228AF69B">
      <w:pPr>
        <w:spacing w:line="440" w:lineRule="exact"/>
        <w:ind w:firstLine="1120"/>
        <w:rPr>
          <w:rFonts w:ascii="仿宋_GB2312" w:hAnsi="宋体" w:eastAsia="仿宋_GB2312"/>
          <w:color w:val="000000"/>
          <w:sz w:val="24"/>
        </w:rPr>
      </w:pPr>
    </w:p>
    <w:p w14:paraId="37C45F58">
      <w:pPr>
        <w:spacing w:line="440" w:lineRule="exact"/>
        <w:ind w:firstLine="1120"/>
        <w:rPr>
          <w:rFonts w:ascii="仿宋_GB2312" w:hAnsi="宋体" w:eastAsia="仿宋_GB2312"/>
          <w:color w:val="000000"/>
          <w:sz w:val="24"/>
        </w:rPr>
      </w:pPr>
    </w:p>
    <w:p w14:paraId="03EDE740">
      <w:pPr>
        <w:spacing w:line="440" w:lineRule="exact"/>
        <w:ind w:firstLine="5829" w:firstLineChars="2429"/>
        <w:rPr>
          <w:rFonts w:ascii="仿宋_GB2312" w:hAnsi="宋体" w:eastAsia="仿宋_GB2312"/>
          <w:color w:val="000000"/>
          <w:sz w:val="24"/>
        </w:rPr>
      </w:pPr>
      <w:r>
        <w:rPr>
          <w:rFonts w:hint="eastAsia" w:ascii="仿宋_GB2312" w:hAnsi="宋体" w:eastAsia="仿宋_GB2312"/>
          <w:color w:val="000000"/>
          <w:sz w:val="24"/>
        </w:rPr>
        <w:t>单位名称（加盖公章）</w:t>
      </w:r>
    </w:p>
    <w:p w14:paraId="7046B513">
      <w:pPr>
        <w:spacing w:line="400" w:lineRule="exact"/>
        <w:ind w:firstLine="6240" w:firstLineChars="2600"/>
        <w:rPr>
          <w:rFonts w:ascii="仿宋_GB2312" w:hAnsi="宋体" w:eastAsia="仿宋_GB2312"/>
          <w:color w:val="000000"/>
          <w:sz w:val="24"/>
        </w:rPr>
      </w:pPr>
    </w:p>
    <w:p w14:paraId="62516AE2">
      <w:pPr>
        <w:spacing w:line="400" w:lineRule="exact"/>
        <w:ind w:firstLine="6240" w:firstLineChars="2600"/>
        <w:rPr>
          <w:rFonts w:ascii="仿宋_GB2312" w:hAnsi="宋体" w:eastAsia="仿宋_GB2312"/>
          <w:color w:val="000000"/>
          <w:sz w:val="24"/>
        </w:rPr>
      </w:pPr>
      <w:r>
        <w:rPr>
          <w:rFonts w:hint="eastAsia" w:ascii="仿宋_GB2312" w:hAnsi="宋体" w:eastAsia="仿宋_GB2312"/>
          <w:color w:val="000000"/>
          <w:sz w:val="24"/>
        </w:rPr>
        <w:t>年   月   日</w:t>
      </w:r>
    </w:p>
    <w:p w14:paraId="05AC7AED">
      <w:pP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br w:type="page"/>
      </w:r>
    </w:p>
    <w:p w14:paraId="404E2865">
      <w:pPr>
        <w:numPr>
          <w:ilvl w:val="0"/>
          <w:numId w:val="0"/>
        </w:numPr>
        <w:spacing w:line="360" w:lineRule="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val="en-US" w:eastAsia="zh-CN"/>
        </w:rPr>
        <w:t>二</w:t>
      </w:r>
      <w:r>
        <w:rPr>
          <w:rFonts w:hint="eastAsia" w:asciiTheme="minorEastAsia" w:hAnsiTheme="minorEastAsia" w:eastAsiaTheme="minorEastAsia" w:cstheme="minorEastAsia"/>
          <w:b/>
          <w:bCs/>
          <w:sz w:val="21"/>
          <w:szCs w:val="21"/>
          <w:lang w:eastAsia="zh-CN"/>
        </w:rPr>
        <w:t>、营业执照</w:t>
      </w:r>
    </w:p>
    <w:p w14:paraId="4AEDBD10">
      <w:pPr>
        <w:numPr>
          <w:ilvl w:val="0"/>
          <w:numId w:val="0"/>
        </w:numPr>
        <w:spacing w:line="360" w:lineRule="auto"/>
        <w:rPr>
          <w:rFonts w:hint="eastAsia" w:asciiTheme="minorEastAsia" w:hAnsiTheme="minorEastAsia" w:eastAsiaTheme="minorEastAsia" w:cstheme="minorEastAsia"/>
          <w:b/>
          <w:bCs/>
          <w:sz w:val="21"/>
          <w:szCs w:val="21"/>
          <w:lang w:eastAsia="zh-CN"/>
        </w:rPr>
      </w:pPr>
    </w:p>
    <w:p w14:paraId="5B5D5035">
      <w:pPr>
        <w:numPr>
          <w:ilvl w:val="0"/>
          <w:numId w:val="0"/>
        </w:numPr>
        <w:spacing w:line="360" w:lineRule="auto"/>
        <w:rPr>
          <w:rFonts w:hint="eastAsia" w:asciiTheme="minorEastAsia" w:hAnsiTheme="minorEastAsia" w:eastAsiaTheme="minorEastAsia" w:cstheme="minorEastAsia"/>
          <w:b/>
          <w:bCs/>
          <w:sz w:val="21"/>
          <w:szCs w:val="21"/>
          <w:lang w:eastAsia="zh-CN"/>
        </w:rPr>
      </w:pPr>
    </w:p>
    <w:p w14:paraId="021C5981">
      <w:pPr>
        <w:numPr>
          <w:ilvl w:val="0"/>
          <w:numId w:val="0"/>
        </w:numPr>
        <w:spacing w:line="360" w:lineRule="auto"/>
        <w:rPr>
          <w:rFonts w:hint="eastAsia" w:asciiTheme="minorEastAsia" w:hAnsiTheme="minorEastAsia" w:eastAsiaTheme="minorEastAsia" w:cstheme="minorEastAsia"/>
          <w:b/>
          <w:bCs/>
          <w:sz w:val="21"/>
          <w:szCs w:val="21"/>
          <w:lang w:val="en-US" w:eastAsia="zh-CN"/>
        </w:rPr>
      </w:pPr>
    </w:p>
    <w:p w14:paraId="242B4D22">
      <w:pPr>
        <w:numPr>
          <w:ilvl w:val="0"/>
          <w:numId w:val="0"/>
        </w:numPr>
        <w:spacing w:line="360" w:lineRule="auto"/>
        <w:rPr>
          <w:rFonts w:hint="eastAsia" w:asciiTheme="minorEastAsia" w:hAnsiTheme="minorEastAsia" w:eastAsiaTheme="minorEastAsia" w:cstheme="minorEastAsia"/>
          <w:b/>
          <w:bCs/>
          <w:sz w:val="21"/>
          <w:szCs w:val="21"/>
          <w:lang w:val="en-US" w:eastAsia="zh-CN"/>
        </w:rPr>
      </w:pPr>
    </w:p>
    <w:p w14:paraId="5487FD54">
      <w:pPr>
        <w:numPr>
          <w:ilvl w:val="0"/>
          <w:numId w:val="0"/>
        </w:numPr>
        <w:spacing w:line="360" w:lineRule="auto"/>
        <w:rPr>
          <w:rFonts w:hint="eastAsia" w:asciiTheme="minorEastAsia" w:hAnsiTheme="minorEastAsia" w:eastAsiaTheme="minorEastAsia" w:cstheme="minorEastAsia"/>
          <w:b/>
          <w:bCs/>
          <w:sz w:val="21"/>
          <w:szCs w:val="21"/>
          <w:lang w:val="en-US" w:eastAsia="zh-CN"/>
        </w:rPr>
      </w:pPr>
    </w:p>
    <w:p w14:paraId="5D726CBD">
      <w:pPr>
        <w:numPr>
          <w:ilvl w:val="0"/>
          <w:numId w:val="0"/>
        </w:numPr>
        <w:spacing w:line="360" w:lineRule="auto"/>
        <w:rPr>
          <w:rFonts w:hint="eastAsia" w:asciiTheme="minorEastAsia" w:hAnsiTheme="minorEastAsia" w:eastAsiaTheme="minorEastAsia" w:cstheme="minorEastAsia"/>
          <w:b/>
          <w:bCs/>
          <w:sz w:val="21"/>
          <w:szCs w:val="21"/>
          <w:lang w:val="en-US" w:eastAsia="zh-CN"/>
        </w:rPr>
      </w:pPr>
    </w:p>
    <w:p w14:paraId="4D05BFC1">
      <w:pPr>
        <w:numPr>
          <w:ilvl w:val="0"/>
          <w:numId w:val="0"/>
        </w:numPr>
        <w:spacing w:line="360" w:lineRule="auto"/>
        <w:rPr>
          <w:rFonts w:hint="eastAsia" w:asciiTheme="minorEastAsia" w:hAnsiTheme="minorEastAsia" w:eastAsiaTheme="minorEastAsia" w:cstheme="minorEastAsia"/>
          <w:b/>
          <w:bCs/>
          <w:sz w:val="21"/>
          <w:szCs w:val="21"/>
          <w:lang w:val="en-US" w:eastAsia="zh-CN"/>
        </w:rPr>
      </w:pPr>
    </w:p>
    <w:p w14:paraId="554FA6C7">
      <w:pPr>
        <w:numPr>
          <w:ilvl w:val="0"/>
          <w:numId w:val="0"/>
        </w:numPr>
        <w:spacing w:line="360" w:lineRule="auto"/>
        <w:rPr>
          <w:rFonts w:hint="eastAsia" w:asciiTheme="minorEastAsia" w:hAnsiTheme="minorEastAsia" w:eastAsiaTheme="minorEastAsia" w:cstheme="minorEastAsia"/>
          <w:b/>
          <w:bCs/>
          <w:sz w:val="21"/>
          <w:szCs w:val="21"/>
          <w:lang w:val="en-US" w:eastAsia="zh-CN"/>
        </w:rPr>
      </w:pPr>
    </w:p>
    <w:p w14:paraId="336966B1">
      <w:pPr>
        <w:numPr>
          <w:ilvl w:val="0"/>
          <w:numId w:val="0"/>
        </w:numPr>
        <w:spacing w:line="360" w:lineRule="auto"/>
        <w:rPr>
          <w:rFonts w:hint="eastAsia" w:asciiTheme="minorEastAsia" w:hAnsiTheme="minorEastAsia" w:eastAsiaTheme="minorEastAsia" w:cstheme="minorEastAsia"/>
          <w:b/>
          <w:bCs/>
          <w:sz w:val="21"/>
          <w:szCs w:val="21"/>
          <w:lang w:val="en-US" w:eastAsia="zh-CN"/>
        </w:rPr>
      </w:pPr>
    </w:p>
    <w:p w14:paraId="1ACDCBDF">
      <w:pPr>
        <w:numPr>
          <w:ilvl w:val="0"/>
          <w:numId w:val="0"/>
        </w:numPr>
        <w:spacing w:line="360" w:lineRule="auto"/>
        <w:rPr>
          <w:rFonts w:hint="eastAsia" w:asciiTheme="minorEastAsia" w:hAnsiTheme="minorEastAsia" w:eastAsiaTheme="minorEastAsia" w:cstheme="minorEastAsia"/>
          <w:b/>
          <w:bCs/>
          <w:sz w:val="21"/>
          <w:szCs w:val="21"/>
          <w:lang w:val="en-US" w:eastAsia="zh-CN"/>
        </w:rPr>
      </w:pPr>
    </w:p>
    <w:p w14:paraId="4301FCA3">
      <w:pPr>
        <w:numPr>
          <w:ilvl w:val="0"/>
          <w:numId w:val="0"/>
        </w:numPr>
        <w:spacing w:line="360" w:lineRule="auto"/>
        <w:rPr>
          <w:rFonts w:hint="eastAsia" w:asciiTheme="minorEastAsia" w:hAnsiTheme="minorEastAsia" w:eastAsiaTheme="minorEastAsia" w:cstheme="minorEastAsia"/>
          <w:b/>
          <w:bCs/>
          <w:sz w:val="21"/>
          <w:szCs w:val="21"/>
          <w:lang w:val="en-US" w:eastAsia="zh-CN"/>
        </w:rPr>
      </w:pPr>
    </w:p>
    <w:p w14:paraId="3AC3E636">
      <w:pPr>
        <w:numPr>
          <w:ilvl w:val="0"/>
          <w:numId w:val="0"/>
        </w:numPr>
        <w:spacing w:line="360" w:lineRule="auto"/>
        <w:rPr>
          <w:rFonts w:hint="eastAsia" w:asciiTheme="minorEastAsia" w:hAnsiTheme="minorEastAsia" w:eastAsiaTheme="minorEastAsia" w:cstheme="minorEastAsia"/>
          <w:b/>
          <w:bCs/>
          <w:sz w:val="21"/>
          <w:szCs w:val="21"/>
          <w:lang w:val="en-US" w:eastAsia="zh-CN"/>
        </w:rPr>
      </w:pPr>
    </w:p>
    <w:p w14:paraId="53550DA0">
      <w:pPr>
        <w:numPr>
          <w:ilvl w:val="0"/>
          <w:numId w:val="0"/>
        </w:numPr>
        <w:spacing w:line="360" w:lineRule="auto"/>
        <w:rPr>
          <w:rFonts w:hint="eastAsia" w:asciiTheme="minorEastAsia" w:hAnsiTheme="minorEastAsia" w:eastAsiaTheme="minorEastAsia" w:cstheme="minorEastAsia"/>
          <w:b/>
          <w:bCs/>
          <w:sz w:val="21"/>
          <w:szCs w:val="21"/>
          <w:lang w:val="en-US" w:eastAsia="zh-CN"/>
        </w:rPr>
      </w:pPr>
    </w:p>
    <w:p w14:paraId="552F1ABF">
      <w:pPr>
        <w:numPr>
          <w:ilvl w:val="0"/>
          <w:numId w:val="0"/>
        </w:numPr>
        <w:spacing w:line="360" w:lineRule="auto"/>
        <w:rPr>
          <w:rFonts w:hint="eastAsia" w:asciiTheme="minorEastAsia" w:hAnsiTheme="minorEastAsia" w:eastAsiaTheme="minorEastAsia" w:cstheme="minorEastAsia"/>
          <w:b/>
          <w:bCs/>
          <w:sz w:val="21"/>
          <w:szCs w:val="21"/>
          <w:lang w:val="en-US" w:eastAsia="zh-CN"/>
        </w:rPr>
      </w:pPr>
    </w:p>
    <w:p w14:paraId="466BB99A">
      <w:pPr>
        <w:numPr>
          <w:ilvl w:val="0"/>
          <w:numId w:val="0"/>
        </w:num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bCs/>
          <w:sz w:val="21"/>
          <w:szCs w:val="21"/>
          <w:lang w:val="en-US" w:eastAsia="zh-CN"/>
        </w:rPr>
        <w:t>三</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rPr>
        <w:t>法定代表人身份证明</w:t>
      </w:r>
      <w:bookmarkEnd w:id="42"/>
      <w:bookmarkEnd w:id="43"/>
      <w:bookmarkEnd w:id="44"/>
      <w:bookmarkEnd w:id="45"/>
      <w:bookmarkEnd w:id="46"/>
    </w:p>
    <w:p w14:paraId="454CEA85">
      <w:pPr>
        <w:spacing w:line="360" w:lineRule="auto"/>
        <w:rPr>
          <w:rFonts w:hint="eastAsia" w:asciiTheme="minorEastAsia" w:hAnsiTheme="minorEastAsia" w:eastAsiaTheme="minorEastAsia" w:cstheme="minorEastAsia"/>
          <w:b w:val="0"/>
          <w:bCs w:val="0"/>
          <w:sz w:val="21"/>
          <w:szCs w:val="21"/>
          <w:u w:val="single"/>
        </w:rPr>
      </w:pPr>
      <w:r>
        <w:rPr>
          <w:rFonts w:hint="eastAsia" w:asciiTheme="minorEastAsia" w:hAnsiTheme="minorEastAsia" w:eastAsiaTheme="minorEastAsia" w:cstheme="minorEastAsia"/>
          <w:b w:val="0"/>
          <w:bCs w:val="0"/>
          <w:sz w:val="21"/>
          <w:szCs w:val="21"/>
        </w:rPr>
        <w:t>投标人名称：</w:t>
      </w:r>
      <w:r>
        <w:rPr>
          <w:rFonts w:hint="eastAsia" w:asciiTheme="minorEastAsia" w:hAnsiTheme="minorEastAsia" w:eastAsiaTheme="minorEastAsia" w:cstheme="minorEastAsia"/>
          <w:b w:val="0"/>
          <w:bCs w:val="0"/>
          <w:sz w:val="21"/>
          <w:szCs w:val="21"/>
          <w:u w:val="single"/>
        </w:rPr>
        <w:t xml:space="preserve">                                 </w:t>
      </w:r>
    </w:p>
    <w:p w14:paraId="79CE158A">
      <w:p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单位性质：</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rPr>
        <w:t xml:space="preserve"> </w:t>
      </w:r>
    </w:p>
    <w:p w14:paraId="1BD9022C">
      <w:pPr>
        <w:spacing w:line="360" w:lineRule="auto"/>
        <w:rPr>
          <w:rFonts w:hint="eastAsia" w:asciiTheme="minorEastAsia" w:hAnsiTheme="minorEastAsia" w:eastAsiaTheme="minorEastAsia" w:cstheme="minorEastAsia"/>
          <w:b w:val="0"/>
          <w:bCs w:val="0"/>
          <w:sz w:val="21"/>
          <w:szCs w:val="21"/>
          <w:u w:val="single"/>
        </w:rPr>
      </w:pPr>
      <w:r>
        <w:rPr>
          <w:rFonts w:hint="eastAsia" w:asciiTheme="minorEastAsia" w:hAnsiTheme="minorEastAsia" w:eastAsiaTheme="minorEastAsia" w:cstheme="minorEastAsia"/>
          <w:b w:val="0"/>
          <w:bCs w:val="0"/>
          <w:sz w:val="21"/>
          <w:szCs w:val="21"/>
        </w:rPr>
        <w:t>地址：</w:t>
      </w:r>
      <w:r>
        <w:rPr>
          <w:rFonts w:hint="eastAsia" w:asciiTheme="minorEastAsia" w:hAnsiTheme="minorEastAsia" w:eastAsiaTheme="minorEastAsia" w:cstheme="minorEastAsia"/>
          <w:b w:val="0"/>
          <w:bCs w:val="0"/>
          <w:sz w:val="21"/>
          <w:szCs w:val="21"/>
          <w:u w:val="single"/>
        </w:rPr>
        <w:t xml:space="preserve">                                      </w:t>
      </w:r>
    </w:p>
    <w:p w14:paraId="28CAC4D0">
      <w:p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成立时间：</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rPr>
        <w:t>年</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rPr>
        <w:t>月</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rPr>
        <w:t>日</w:t>
      </w:r>
    </w:p>
    <w:p w14:paraId="7F0DBB90">
      <w:p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经营期限：                                 </w:t>
      </w:r>
    </w:p>
    <w:p w14:paraId="0FB792B2">
      <w:pPr>
        <w:spacing w:line="360" w:lineRule="auto"/>
        <w:rPr>
          <w:rFonts w:hint="default" w:asciiTheme="minorEastAsia" w:hAnsiTheme="minorEastAsia" w:eastAsiaTheme="minorEastAsia" w:cstheme="minorEastAsia"/>
          <w:b w:val="0"/>
          <w:bCs w:val="0"/>
          <w:sz w:val="21"/>
          <w:szCs w:val="21"/>
          <w:u w:val="single"/>
          <w:lang w:val="en-US" w:eastAsia="zh-CN"/>
        </w:rPr>
      </w:pPr>
      <w:r>
        <w:rPr>
          <w:rFonts w:hint="eastAsia" w:asciiTheme="minorEastAsia" w:hAnsiTheme="minorEastAsia" w:eastAsiaTheme="minorEastAsia" w:cstheme="minorEastAsia"/>
          <w:b w:val="0"/>
          <w:bCs w:val="0"/>
          <w:sz w:val="21"/>
          <w:szCs w:val="21"/>
        </w:rPr>
        <w:t>姓名：</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rPr>
        <w:t>性别：</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rPr>
        <w:t>年龄：</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rPr>
        <w:t>职务：</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u w:val="single"/>
          <w:lang w:val="en-US" w:eastAsia="zh-CN"/>
        </w:rPr>
        <w:t xml:space="preserve">         </w:t>
      </w:r>
    </w:p>
    <w:p w14:paraId="6A76C94A">
      <w:p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系</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rPr>
        <w:t>（投标人名称）的法定代表人。</w:t>
      </w:r>
    </w:p>
    <w:p w14:paraId="1D889AB7">
      <w:p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特此证明。</w:t>
      </w:r>
    </w:p>
    <w:p w14:paraId="56DE49D7">
      <w:pPr>
        <w:adjustRightInd w:val="0"/>
        <w:snapToGrid w:val="0"/>
        <w:spacing w:line="360" w:lineRule="auto"/>
        <w:ind w:firstLine="420" w:firstLineChars="200"/>
        <w:rPr>
          <w:szCs w:val="21"/>
        </w:rPr>
      </w:pPr>
    </w:p>
    <w:p w14:paraId="5D5DA9DD">
      <w:pPr>
        <w:adjustRightInd w:val="0"/>
        <w:snapToGrid w:val="0"/>
        <w:spacing w:line="360" w:lineRule="auto"/>
        <w:ind w:firstLine="420" w:firstLineChars="200"/>
        <w:rPr>
          <w:szCs w:val="21"/>
        </w:rPr>
      </w:pPr>
    </w:p>
    <w:p w14:paraId="638C55AD">
      <w:pPr>
        <w:spacing w:line="360" w:lineRule="auto"/>
        <w:rPr>
          <w:rFonts w:hint="eastAsia" w:asciiTheme="minorEastAsia" w:hAnsiTheme="minorEastAsia" w:eastAsiaTheme="minorEastAsia" w:cstheme="minorEastAsia"/>
          <w:b w:val="0"/>
          <w:bCs w:val="0"/>
          <w:sz w:val="21"/>
          <w:szCs w:val="21"/>
        </w:rPr>
      </w:pPr>
    </w:p>
    <w:p w14:paraId="66109381">
      <w:p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投标人：                      （盖单位章）</w:t>
      </w:r>
    </w:p>
    <w:p w14:paraId="4144CDB6">
      <w:pPr>
        <w:spacing w:line="360" w:lineRule="auto"/>
        <w:rPr>
          <w:rFonts w:hint="eastAsia" w:asciiTheme="minorEastAsia" w:hAnsiTheme="minorEastAsia" w:eastAsiaTheme="minorEastAsia" w:cstheme="minorEastAsia"/>
          <w:b w:val="0"/>
          <w:bCs w:val="0"/>
          <w:sz w:val="21"/>
          <w:szCs w:val="21"/>
        </w:rPr>
      </w:pPr>
    </w:p>
    <w:p w14:paraId="6935F288">
      <w:p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    </w:t>
      </w:r>
      <w:r>
        <w:rPr>
          <w:rFonts w:hint="eastAsia" w:asciiTheme="minorEastAsia" w:hAnsiTheme="minorEastAsia" w:eastAsia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rPr>
        <w:t xml:space="preserve"> </w:t>
      </w:r>
    </w:p>
    <w:p w14:paraId="76D2E823">
      <w:pPr>
        <w:spacing w:line="360" w:lineRule="auto"/>
        <w:ind w:left="0" w:leftChars="0" w:firstLine="6090" w:firstLineChars="29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年        月        日</w:t>
      </w:r>
    </w:p>
    <w:p w14:paraId="5BABA5E2">
      <w:pPr>
        <w:spacing w:line="360" w:lineRule="auto"/>
        <w:rPr>
          <w:rFonts w:hint="eastAsia" w:asciiTheme="minorEastAsia" w:hAnsiTheme="minorEastAsia" w:eastAsiaTheme="minorEastAsia" w:cstheme="minorEastAsia"/>
          <w:b w:val="0"/>
          <w:bCs w:val="0"/>
          <w:sz w:val="21"/>
          <w:szCs w:val="21"/>
        </w:rPr>
      </w:pPr>
    </w:p>
    <w:p w14:paraId="1C5FA6EB">
      <w:pPr>
        <w:spacing w:line="360" w:lineRule="auto"/>
        <w:rPr>
          <w:rFonts w:hint="eastAsia" w:asciiTheme="minorEastAsia" w:hAnsiTheme="minorEastAsia" w:eastAsiaTheme="minorEastAsia" w:cstheme="minorEastAsia"/>
          <w:b w:val="0"/>
          <w:bCs w:val="0"/>
          <w:sz w:val="21"/>
          <w:szCs w:val="21"/>
        </w:rPr>
      </w:pPr>
    </w:p>
    <w:p w14:paraId="3B313663">
      <w:pPr>
        <w:spacing w:line="360" w:lineRule="auto"/>
        <w:rPr>
          <w:rFonts w:hint="eastAsia" w:asciiTheme="minorEastAsia" w:hAnsiTheme="minorEastAsia" w:eastAsiaTheme="minorEastAsia" w:cstheme="minorEastAsia"/>
          <w:b w:val="0"/>
          <w:bCs w:val="0"/>
          <w:sz w:val="21"/>
          <w:szCs w:val="21"/>
        </w:rPr>
      </w:pPr>
    </w:p>
    <w:p w14:paraId="3224F2C0">
      <w:pPr>
        <w:spacing w:line="360" w:lineRule="auto"/>
        <w:rPr>
          <w:rFonts w:hint="eastAsia" w:asciiTheme="minorEastAsia" w:hAnsiTheme="minorEastAsia" w:eastAsiaTheme="minorEastAsia" w:cstheme="minorEastAsia"/>
          <w:b w:val="0"/>
          <w:bCs w:val="0"/>
          <w:sz w:val="21"/>
          <w:szCs w:val="21"/>
        </w:rPr>
      </w:pPr>
    </w:p>
    <w:p w14:paraId="563C1FA6">
      <w:pPr>
        <w:spacing w:line="360" w:lineRule="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t>附：法定代表人</w:t>
      </w:r>
      <w:r>
        <w:rPr>
          <w:rFonts w:hint="eastAsia" w:asciiTheme="minorEastAsia" w:hAnsiTheme="minorEastAsia" w:eastAsiaTheme="minorEastAsia" w:cstheme="minorEastAsia"/>
          <w:b w:val="0"/>
          <w:bCs w:val="0"/>
          <w:sz w:val="21"/>
          <w:szCs w:val="21"/>
          <w:lang w:eastAsia="zh-CN"/>
        </w:rPr>
        <w:t>身份证扫描件</w:t>
      </w:r>
    </w:p>
    <w:tbl>
      <w:tblPr>
        <w:tblStyle w:val="62"/>
        <w:tblpPr w:leftFromText="180" w:rightFromText="180" w:vertAnchor="text" w:horzAnchor="margin" w:tblpXSpec="center" w:tblpY="72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8"/>
        <w:gridCol w:w="4806"/>
      </w:tblGrid>
      <w:tr w14:paraId="3D92C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3" w:hRule="atLeast"/>
        </w:trPr>
        <w:tc>
          <w:tcPr>
            <w:tcW w:w="5048" w:type="dxa"/>
            <w:noWrap w:val="0"/>
            <w:vAlign w:val="center"/>
          </w:tcPr>
          <w:p w14:paraId="5549338F">
            <w:pPr>
              <w:jc w:val="center"/>
              <w:rPr>
                <w:rFonts w:ascii="宋体" w:hAnsi="宋体" w:cs="宋体"/>
                <w:sz w:val="28"/>
                <w:szCs w:val="28"/>
              </w:rPr>
            </w:pPr>
            <w:r>
              <w:rPr>
                <w:rFonts w:hint="eastAsia" w:ascii="宋体" w:hAnsi="宋体" w:eastAsia="宋体" w:cs="宋体"/>
                <w:sz w:val="28"/>
                <w:szCs w:val="28"/>
              </w:rPr>
              <w:t>法定代表人身份证正面</w:t>
            </w:r>
          </w:p>
        </w:tc>
        <w:tc>
          <w:tcPr>
            <w:tcW w:w="4806" w:type="dxa"/>
            <w:noWrap w:val="0"/>
            <w:vAlign w:val="center"/>
          </w:tcPr>
          <w:p w14:paraId="794BC2CD">
            <w:pPr>
              <w:jc w:val="center"/>
              <w:rPr>
                <w:rFonts w:ascii="宋体" w:hAnsi="宋体" w:cs="宋体"/>
                <w:sz w:val="28"/>
                <w:szCs w:val="28"/>
              </w:rPr>
            </w:pPr>
            <w:r>
              <w:rPr>
                <w:rFonts w:hint="eastAsia" w:ascii="宋体" w:hAnsi="宋体" w:eastAsia="宋体" w:cs="宋体"/>
                <w:sz w:val="28"/>
                <w:szCs w:val="28"/>
              </w:rPr>
              <w:t>法定代表人身份证正面</w:t>
            </w:r>
          </w:p>
        </w:tc>
      </w:tr>
    </w:tbl>
    <w:p w14:paraId="6E547C4A">
      <w:pPr>
        <w:spacing w:line="360" w:lineRule="auto"/>
        <w:rPr>
          <w:rFonts w:hint="eastAsia" w:asciiTheme="minorEastAsia" w:hAnsiTheme="minorEastAsia" w:eastAsiaTheme="minorEastAsia" w:cstheme="minorEastAsia"/>
          <w:b w:val="0"/>
          <w:bCs w:val="0"/>
          <w:sz w:val="21"/>
          <w:szCs w:val="21"/>
        </w:rPr>
        <w:sectPr>
          <w:pgSz w:w="11906" w:h="16838"/>
          <w:pgMar w:top="1134" w:right="1134" w:bottom="1134" w:left="1418" w:header="851" w:footer="567" w:gutter="0"/>
          <w:cols w:space="720" w:num="1"/>
          <w:docGrid w:linePitch="312" w:charSpace="0"/>
        </w:sectPr>
      </w:pPr>
    </w:p>
    <w:p w14:paraId="62E12E2C">
      <w:pPr>
        <w:spacing w:line="360" w:lineRule="auto"/>
        <w:ind w:left="0" w:leftChars="0" w:firstLine="0" w:firstLine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四</w:t>
      </w:r>
      <w:r>
        <w:rPr>
          <w:rFonts w:hint="eastAsia" w:asciiTheme="minorEastAsia" w:hAnsiTheme="minorEastAsia" w:eastAsiaTheme="minorEastAsia" w:cstheme="minorEastAsia"/>
          <w:b/>
          <w:bCs/>
          <w:sz w:val="21"/>
          <w:szCs w:val="21"/>
        </w:rPr>
        <w:t>、授权委托书</w:t>
      </w:r>
    </w:p>
    <w:p w14:paraId="276AAC1E">
      <w:pPr>
        <w:spacing w:line="360" w:lineRule="auto"/>
        <w:rPr>
          <w:rFonts w:hint="eastAsia" w:asciiTheme="minorEastAsia" w:hAnsiTheme="minorEastAsia" w:eastAsiaTheme="minorEastAsia" w:cstheme="minorEastAsia"/>
          <w:b w:val="0"/>
          <w:bCs w:val="0"/>
          <w:sz w:val="21"/>
          <w:szCs w:val="21"/>
        </w:rPr>
      </w:pPr>
    </w:p>
    <w:p w14:paraId="5466487B">
      <w:p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本人</w:t>
      </w:r>
      <w:r>
        <w:rPr>
          <w:rFonts w:hint="eastAsia" w:asciiTheme="minorEastAsia" w:hAnsiTheme="minorEastAsia" w:eastAsia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rPr>
        <w:t>（姓名）系</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rPr>
        <w:t>（投标人名称）的法定代表人，现委托</w:t>
      </w:r>
    </w:p>
    <w:p w14:paraId="7A708E2C">
      <w:p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 </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rPr>
        <w:t>（姓名）为我方代理人。代理人根据授权，以我方名义签署、澄清、说明、补正、递交、撤回、修改</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rPr>
        <w:t>（项目名称）投标文件、签订合同和处理有关事宜，其法律后果由我方承担。</w:t>
      </w:r>
    </w:p>
    <w:p w14:paraId="1A60B149">
      <w:p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委托期限：                                </w:t>
      </w:r>
    </w:p>
    <w:p w14:paraId="22460953">
      <w:p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代理人无转委托权。</w:t>
      </w:r>
    </w:p>
    <w:p w14:paraId="2414D829">
      <w:pPr>
        <w:spacing w:line="360" w:lineRule="auto"/>
        <w:rPr>
          <w:rFonts w:hint="eastAsia" w:asciiTheme="minorEastAsia" w:hAnsiTheme="minorEastAsia" w:eastAsiaTheme="minorEastAsia" w:cstheme="minorEastAsia"/>
          <w:b w:val="0"/>
          <w:bCs w:val="0"/>
          <w:sz w:val="21"/>
          <w:szCs w:val="21"/>
        </w:rPr>
      </w:pPr>
    </w:p>
    <w:p w14:paraId="688EEBCC">
      <w:pPr>
        <w:spacing w:line="360" w:lineRule="auto"/>
        <w:rPr>
          <w:rFonts w:hint="eastAsia" w:asciiTheme="minorEastAsia" w:hAnsiTheme="minorEastAsia" w:eastAsiaTheme="minorEastAsia" w:cstheme="minorEastAsia"/>
          <w:b w:val="0"/>
          <w:bCs w:val="0"/>
          <w:sz w:val="21"/>
          <w:szCs w:val="21"/>
        </w:rPr>
      </w:pPr>
    </w:p>
    <w:p w14:paraId="3FD1D743">
      <w:pPr>
        <w:spacing w:line="360" w:lineRule="auto"/>
        <w:rPr>
          <w:rFonts w:hint="eastAsia" w:asciiTheme="minorEastAsia" w:hAnsiTheme="minorEastAsia" w:eastAsiaTheme="minorEastAsia" w:cstheme="minorEastAsia"/>
          <w:b w:val="0"/>
          <w:bCs w:val="0"/>
          <w:sz w:val="21"/>
          <w:szCs w:val="21"/>
        </w:rPr>
      </w:pPr>
    </w:p>
    <w:p w14:paraId="512501B9">
      <w:p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投标人：                          （盖单位章）</w:t>
      </w:r>
    </w:p>
    <w:p w14:paraId="7962E7E4">
      <w:pPr>
        <w:spacing w:line="360" w:lineRule="auto"/>
        <w:rPr>
          <w:rFonts w:hint="eastAsia" w:asciiTheme="minorEastAsia" w:hAnsiTheme="minorEastAsia" w:eastAsiaTheme="minorEastAsia" w:cstheme="minorEastAsia"/>
          <w:b w:val="0"/>
          <w:bCs w:val="0"/>
          <w:sz w:val="21"/>
          <w:szCs w:val="21"/>
        </w:rPr>
      </w:pPr>
    </w:p>
    <w:p w14:paraId="4D5B5A17">
      <w:p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法定代表人：                     </w:t>
      </w:r>
      <w:r>
        <w:rPr>
          <w:rFonts w:hint="eastAsia" w:asciiTheme="minorEastAsia" w:hAnsiTheme="minorEastAsia" w:eastAsia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rPr>
        <w:t>（签字）</w:t>
      </w:r>
    </w:p>
    <w:p w14:paraId="0E585F27">
      <w:pPr>
        <w:spacing w:line="360" w:lineRule="auto"/>
        <w:rPr>
          <w:rFonts w:hint="eastAsia" w:asciiTheme="minorEastAsia" w:hAnsiTheme="minorEastAsia" w:eastAsiaTheme="minorEastAsia" w:cstheme="minorEastAsia"/>
          <w:b w:val="0"/>
          <w:bCs w:val="0"/>
          <w:sz w:val="21"/>
          <w:szCs w:val="21"/>
        </w:rPr>
      </w:pPr>
    </w:p>
    <w:p w14:paraId="6721A018">
      <w:p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身份证号码：                                </w:t>
      </w:r>
    </w:p>
    <w:p w14:paraId="16F241AC">
      <w:pPr>
        <w:spacing w:line="360" w:lineRule="auto"/>
        <w:rPr>
          <w:rFonts w:hint="eastAsia" w:asciiTheme="minorEastAsia" w:hAnsiTheme="minorEastAsia" w:eastAsiaTheme="minorEastAsia" w:cstheme="minorEastAsia"/>
          <w:b w:val="0"/>
          <w:bCs w:val="0"/>
          <w:sz w:val="21"/>
          <w:szCs w:val="21"/>
        </w:rPr>
      </w:pPr>
    </w:p>
    <w:p w14:paraId="2BF55E16">
      <w:p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委托代理人：                      （签字）</w:t>
      </w:r>
    </w:p>
    <w:p w14:paraId="7CFD2F2A">
      <w:pPr>
        <w:spacing w:line="360" w:lineRule="auto"/>
        <w:rPr>
          <w:rFonts w:hint="eastAsia" w:asciiTheme="minorEastAsia" w:hAnsiTheme="minorEastAsia" w:eastAsiaTheme="minorEastAsia" w:cstheme="minorEastAsia"/>
          <w:b w:val="0"/>
          <w:bCs w:val="0"/>
          <w:sz w:val="21"/>
          <w:szCs w:val="21"/>
        </w:rPr>
      </w:pPr>
    </w:p>
    <w:p w14:paraId="2F1C04EA">
      <w:p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身份证号码：                                </w:t>
      </w:r>
    </w:p>
    <w:p w14:paraId="0B438CC1">
      <w:pPr>
        <w:spacing w:line="360" w:lineRule="auto"/>
        <w:rPr>
          <w:rFonts w:hint="eastAsia" w:asciiTheme="minorEastAsia" w:hAnsiTheme="minorEastAsia" w:eastAsiaTheme="minorEastAsia" w:cstheme="minorEastAsia"/>
          <w:b w:val="0"/>
          <w:bCs w:val="0"/>
          <w:sz w:val="21"/>
          <w:szCs w:val="21"/>
        </w:rPr>
      </w:pPr>
    </w:p>
    <w:p w14:paraId="7D98A6C2">
      <w:p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       </w:t>
      </w:r>
      <w:r>
        <w:rPr>
          <w:rFonts w:hint="eastAsia" w:asciiTheme="minorEastAsia" w:hAnsiTheme="minorEastAsia" w:eastAsia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rPr>
        <w:t xml:space="preserve">  年        月        日</w:t>
      </w:r>
    </w:p>
    <w:p w14:paraId="4EF732B3">
      <w:pPr>
        <w:spacing w:line="360" w:lineRule="auto"/>
        <w:ind w:left="0" w:leftChars="0" w:firstLine="0" w:firstLineChars="0"/>
        <w:rPr>
          <w:rFonts w:hint="eastAsia" w:asciiTheme="minorEastAsia" w:hAnsiTheme="minorEastAsia" w:eastAsiaTheme="minorEastAsia" w:cstheme="minorEastAsia"/>
          <w:b w:val="0"/>
          <w:bCs w:val="0"/>
          <w:sz w:val="21"/>
          <w:szCs w:val="21"/>
        </w:rPr>
      </w:pPr>
    </w:p>
    <w:p w14:paraId="29F04991">
      <w:pPr>
        <w:spacing w:line="360" w:lineRule="auto"/>
        <w:ind w:left="0" w:leftChars="0" w:firstLine="0" w:firstLineChars="0"/>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t>附：</w:t>
      </w:r>
      <w:r>
        <w:rPr>
          <w:rFonts w:hint="eastAsia" w:asciiTheme="minorEastAsia" w:hAnsiTheme="minorEastAsia" w:eastAsiaTheme="minorEastAsia" w:cstheme="minorEastAsia"/>
          <w:b w:val="0"/>
          <w:bCs w:val="0"/>
          <w:sz w:val="21"/>
          <w:szCs w:val="21"/>
          <w:lang w:eastAsia="zh-CN"/>
        </w:rPr>
        <w:t>委托代理人身份证扫描件</w:t>
      </w:r>
    </w:p>
    <w:tbl>
      <w:tblPr>
        <w:tblStyle w:val="62"/>
        <w:tblpPr w:leftFromText="180" w:rightFromText="180" w:vertAnchor="text" w:horzAnchor="margin" w:tblpXSpec="center" w:tblpY="725"/>
        <w:tblOverlap w:val="never"/>
        <w:tblW w:w="9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9"/>
        <w:gridCol w:w="4730"/>
      </w:tblGrid>
      <w:tr w14:paraId="3D095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atLeast"/>
        </w:trPr>
        <w:tc>
          <w:tcPr>
            <w:tcW w:w="4969" w:type="dxa"/>
            <w:noWrap w:val="0"/>
            <w:vAlign w:val="center"/>
          </w:tcPr>
          <w:p w14:paraId="5E1BC7CC">
            <w:pPr>
              <w:jc w:val="center"/>
              <w:rPr>
                <w:rFonts w:ascii="宋体" w:hAnsi="宋体" w:cs="宋体"/>
                <w:sz w:val="28"/>
                <w:szCs w:val="28"/>
              </w:rPr>
            </w:pPr>
            <w:r>
              <w:rPr>
                <w:rFonts w:hint="eastAsia" w:ascii="宋体" w:hAnsi="宋体" w:eastAsia="宋体" w:cs="宋体"/>
                <w:sz w:val="28"/>
                <w:szCs w:val="28"/>
                <w:lang w:eastAsia="zh-CN"/>
              </w:rPr>
              <w:t>委托代理</w:t>
            </w:r>
            <w:r>
              <w:rPr>
                <w:rFonts w:hint="eastAsia" w:ascii="宋体" w:hAnsi="宋体" w:eastAsia="宋体" w:cs="宋体"/>
                <w:sz w:val="28"/>
                <w:szCs w:val="28"/>
              </w:rPr>
              <w:t>人身份证正面</w:t>
            </w:r>
          </w:p>
        </w:tc>
        <w:tc>
          <w:tcPr>
            <w:tcW w:w="4730" w:type="dxa"/>
            <w:noWrap w:val="0"/>
            <w:vAlign w:val="center"/>
          </w:tcPr>
          <w:p w14:paraId="5EB73332">
            <w:pPr>
              <w:jc w:val="center"/>
              <w:rPr>
                <w:rFonts w:ascii="宋体" w:hAnsi="宋体" w:cs="宋体"/>
                <w:sz w:val="28"/>
                <w:szCs w:val="28"/>
              </w:rPr>
            </w:pPr>
            <w:r>
              <w:rPr>
                <w:rFonts w:hint="eastAsia" w:ascii="宋体" w:hAnsi="宋体" w:eastAsia="宋体" w:cs="宋体"/>
                <w:sz w:val="28"/>
                <w:szCs w:val="28"/>
                <w:lang w:eastAsia="zh-CN"/>
              </w:rPr>
              <w:t>委托代理</w:t>
            </w:r>
            <w:r>
              <w:rPr>
                <w:rFonts w:hint="eastAsia" w:ascii="宋体" w:hAnsi="宋体" w:eastAsia="宋体" w:cs="宋体"/>
                <w:sz w:val="28"/>
                <w:szCs w:val="28"/>
              </w:rPr>
              <w:t>人身份证正面</w:t>
            </w:r>
          </w:p>
        </w:tc>
      </w:tr>
    </w:tbl>
    <w:p w14:paraId="348CED8E">
      <w:pPr>
        <w:spacing w:line="360" w:lineRule="auto"/>
        <w:rPr>
          <w:rFonts w:hint="eastAsia" w:asciiTheme="minorEastAsia" w:hAnsiTheme="minorEastAsia" w:eastAsiaTheme="minorEastAsia" w:cstheme="minorEastAsia"/>
          <w:b w:val="0"/>
          <w:bCs w:val="0"/>
          <w:sz w:val="21"/>
          <w:szCs w:val="21"/>
        </w:rPr>
        <w:sectPr>
          <w:pgSz w:w="11906" w:h="16838"/>
          <w:pgMar w:top="1418" w:right="1134" w:bottom="1134" w:left="1418" w:header="851" w:footer="567" w:gutter="0"/>
          <w:cols w:space="720" w:num="1"/>
          <w:docGrid w:linePitch="312" w:charSpace="0"/>
        </w:sectPr>
      </w:pPr>
    </w:p>
    <w:p w14:paraId="42648067">
      <w:pPr>
        <w:numPr>
          <w:ilvl w:val="0"/>
          <w:numId w:val="0"/>
        </w:numPr>
        <w:spacing w:line="360" w:lineRule="auto"/>
        <w:ind w:leftChars="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val="en-US" w:eastAsia="zh-CN"/>
        </w:rPr>
        <w:t>五、</w:t>
      </w:r>
      <w:r>
        <w:rPr>
          <w:rFonts w:hint="eastAsia" w:asciiTheme="minorEastAsia" w:hAnsiTheme="minorEastAsia" w:eastAsiaTheme="minorEastAsia" w:cstheme="minorEastAsia"/>
          <w:b/>
          <w:bCs/>
          <w:sz w:val="21"/>
          <w:szCs w:val="21"/>
          <w:lang w:eastAsia="zh-CN"/>
        </w:rPr>
        <w:t>银行开户许可证</w:t>
      </w:r>
    </w:p>
    <w:p w14:paraId="79EF55A7">
      <w:pPr>
        <w:numPr>
          <w:ilvl w:val="0"/>
          <w:numId w:val="0"/>
        </w:numPr>
        <w:spacing w:line="360" w:lineRule="auto"/>
        <w:ind w:leftChars="0"/>
        <w:rPr>
          <w:rFonts w:hint="eastAsia" w:asciiTheme="minorEastAsia" w:hAnsiTheme="minorEastAsia" w:eastAsiaTheme="minorEastAsia" w:cstheme="minorEastAsia"/>
          <w:b/>
          <w:bCs/>
          <w:sz w:val="21"/>
          <w:szCs w:val="21"/>
          <w:lang w:val="en-US" w:eastAsia="zh-CN"/>
        </w:rPr>
      </w:pPr>
    </w:p>
    <w:p w14:paraId="375235EE">
      <w:pPr>
        <w:numPr>
          <w:ilvl w:val="0"/>
          <w:numId w:val="0"/>
        </w:numPr>
        <w:spacing w:line="360" w:lineRule="auto"/>
        <w:ind w:leftChars="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val="en-US" w:eastAsia="zh-CN"/>
        </w:rPr>
        <w:t>六、</w:t>
      </w:r>
      <w:r>
        <w:rPr>
          <w:rFonts w:hint="eastAsia" w:asciiTheme="minorEastAsia" w:hAnsiTheme="minorEastAsia" w:eastAsiaTheme="minorEastAsia" w:cstheme="minorEastAsia"/>
          <w:b/>
          <w:bCs/>
          <w:sz w:val="21"/>
          <w:szCs w:val="21"/>
          <w:lang w:eastAsia="zh-CN"/>
        </w:rPr>
        <w:t>资质、业绩证明</w:t>
      </w:r>
    </w:p>
    <w:p w14:paraId="37B730A6">
      <w:pPr>
        <w:numPr>
          <w:ilvl w:val="0"/>
          <w:numId w:val="0"/>
        </w:numPr>
        <w:spacing w:line="360" w:lineRule="auto"/>
        <w:rPr>
          <w:rFonts w:hint="eastAsia" w:asciiTheme="minorEastAsia" w:hAnsiTheme="minorEastAsia" w:eastAsiaTheme="minorEastAsia" w:cstheme="minorEastAsia"/>
          <w:b/>
          <w:bCs/>
          <w:sz w:val="21"/>
          <w:szCs w:val="21"/>
          <w:lang w:val="en-US" w:eastAsia="zh-CN"/>
        </w:rPr>
      </w:pPr>
    </w:p>
    <w:p w14:paraId="5E4D4C43">
      <w:pPr>
        <w:numPr>
          <w:ilvl w:val="0"/>
          <w:numId w:val="0"/>
        </w:numPr>
        <w:spacing w:line="360" w:lineRule="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val="en-US" w:eastAsia="zh-CN"/>
        </w:rPr>
        <w:t>七</w:t>
      </w:r>
      <w:r>
        <w:rPr>
          <w:rFonts w:hint="eastAsia" w:asciiTheme="minorEastAsia" w:hAnsiTheme="minorEastAsia" w:eastAsiaTheme="minorEastAsia" w:cstheme="minorEastAsia"/>
          <w:b/>
          <w:bCs/>
          <w:sz w:val="21"/>
          <w:szCs w:val="21"/>
          <w:lang w:eastAsia="zh-CN"/>
        </w:rPr>
        <w:t>、六、报价格式</w:t>
      </w:r>
    </w:p>
    <w:p w14:paraId="4AAFA331">
      <w:pPr>
        <w:adjustRightInd w:val="0"/>
        <w:snapToGrid w:val="0"/>
        <w:spacing w:line="360" w:lineRule="auto"/>
        <w:jc w:val="left"/>
        <w:textAlignment w:val="baseline"/>
        <w:rPr>
          <w:rFonts w:asciiTheme="minorEastAsia" w:hAnsiTheme="minorEastAsia" w:eastAsiaTheme="minorEastAsia"/>
          <w:b/>
          <w:kern w:val="0"/>
          <w:szCs w:val="21"/>
        </w:rPr>
      </w:pPr>
      <w:r>
        <w:rPr>
          <w:rFonts w:hint="eastAsia" w:asciiTheme="minorEastAsia" w:hAnsiTheme="minorEastAsia" w:eastAsiaTheme="minorEastAsia"/>
          <w:kern w:val="0"/>
          <w:szCs w:val="21"/>
          <w:lang w:val="en-US" w:eastAsia="zh-CN"/>
        </w:rPr>
        <w:t>1.</w:t>
      </w:r>
      <w:r>
        <w:rPr>
          <w:rFonts w:asciiTheme="minorEastAsia" w:hAnsiTheme="minorEastAsia" w:eastAsiaTheme="minorEastAsia"/>
          <w:kern w:val="0"/>
          <w:szCs w:val="21"/>
        </w:rPr>
        <w:t xml:space="preserve"> </w:t>
      </w:r>
      <w:r>
        <w:rPr>
          <w:rFonts w:hint="eastAsia" w:asciiTheme="minorEastAsia" w:hAnsiTheme="minorEastAsia" w:eastAsiaTheme="minorEastAsia"/>
          <w:kern w:val="0"/>
          <w:szCs w:val="21"/>
        </w:rPr>
        <w:t>投标人应按照下列表格格式进行投标报价。</w:t>
      </w:r>
    </w:p>
    <w:p w14:paraId="24616BB5">
      <w:pPr>
        <w:adjustRightInd w:val="0"/>
        <w:snapToGrid w:val="0"/>
        <w:spacing w:line="360" w:lineRule="auto"/>
        <w:jc w:val="left"/>
        <w:textAlignment w:val="baseline"/>
        <w:rPr>
          <w:rFonts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2.</w:t>
      </w:r>
      <w:r>
        <w:rPr>
          <w:rFonts w:asciiTheme="minorEastAsia" w:hAnsiTheme="minorEastAsia" w:eastAsiaTheme="minorEastAsia"/>
          <w:kern w:val="0"/>
          <w:szCs w:val="21"/>
        </w:rPr>
        <w:t xml:space="preserve"> </w:t>
      </w:r>
      <w:r>
        <w:rPr>
          <w:rFonts w:hint="eastAsia" w:asciiTheme="minorEastAsia" w:hAnsiTheme="minorEastAsia" w:eastAsiaTheme="minorEastAsia"/>
          <w:kern w:val="0"/>
          <w:szCs w:val="21"/>
        </w:rPr>
        <w:t>当分项价之和与总价不符时，以分项价为准。</w:t>
      </w:r>
    </w:p>
    <w:p w14:paraId="6646B029">
      <w:pPr>
        <w:adjustRightInd w:val="0"/>
        <w:snapToGrid w:val="0"/>
        <w:spacing w:line="360" w:lineRule="auto"/>
        <w:jc w:val="left"/>
        <w:textAlignment w:val="baseline"/>
        <w:rPr>
          <w:rFonts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3.</w:t>
      </w:r>
      <w:r>
        <w:rPr>
          <w:rFonts w:hint="eastAsia" w:asciiTheme="minorEastAsia" w:hAnsiTheme="minorEastAsia" w:eastAsiaTheme="minorEastAsia"/>
          <w:kern w:val="0"/>
          <w:szCs w:val="21"/>
        </w:rPr>
        <w:t>价格表中报价为含税价；币种为人民币，进口部分也应以人民币报价。</w:t>
      </w:r>
    </w:p>
    <w:p w14:paraId="237C9129">
      <w:pPr>
        <w:adjustRightInd w:val="0"/>
        <w:snapToGrid w:val="0"/>
        <w:spacing w:line="360" w:lineRule="auto"/>
        <w:jc w:val="left"/>
        <w:textAlignment w:val="baseline"/>
        <w:rPr>
          <w:rFonts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4.</w:t>
      </w:r>
      <w:r>
        <w:rPr>
          <w:rFonts w:asciiTheme="minorEastAsia" w:hAnsiTheme="minorEastAsia" w:eastAsiaTheme="minorEastAsia"/>
          <w:kern w:val="0"/>
          <w:szCs w:val="21"/>
        </w:rPr>
        <w:t xml:space="preserve"> </w:t>
      </w:r>
      <w:r>
        <w:rPr>
          <w:rFonts w:hint="eastAsia" w:asciiTheme="minorEastAsia" w:hAnsiTheme="minorEastAsia" w:eastAsiaTheme="minorEastAsia"/>
          <w:szCs w:val="21"/>
        </w:rPr>
        <w:t>投标报价为闭口价。即在投标有效期和合同有效期内，</w:t>
      </w:r>
      <w:r>
        <w:rPr>
          <w:rFonts w:hint="eastAsia" w:asciiTheme="minorEastAsia" w:hAnsiTheme="minorEastAsia" w:eastAsiaTheme="minorEastAsia"/>
          <w:spacing w:val="-3"/>
          <w:szCs w:val="21"/>
        </w:rPr>
        <w:t>如遇国家增值税税率政策调整，不含增值税金额不变，含增值税金额根据国家政策进行调整。</w:t>
      </w:r>
    </w:p>
    <w:p w14:paraId="6CA20F59">
      <w:pPr>
        <w:adjustRightInd w:val="0"/>
        <w:snapToGrid w:val="0"/>
        <w:spacing w:line="360" w:lineRule="auto"/>
        <w:jc w:val="left"/>
        <w:textAlignment w:val="baseline"/>
        <w:rPr>
          <w:rFonts w:asciiTheme="minorEastAsia" w:hAnsiTheme="minorEastAsia" w:eastAsiaTheme="minorEastAsia"/>
          <w:b/>
          <w:kern w:val="0"/>
          <w:szCs w:val="21"/>
        </w:rPr>
      </w:pPr>
      <w:r>
        <w:rPr>
          <w:rFonts w:hint="eastAsia" w:asciiTheme="minorEastAsia" w:hAnsiTheme="minorEastAsia" w:eastAsiaTheme="minorEastAsia"/>
          <w:kern w:val="0"/>
          <w:szCs w:val="21"/>
          <w:lang w:val="en-US" w:eastAsia="zh-CN"/>
        </w:rPr>
        <w:t>5.</w:t>
      </w:r>
      <w:r>
        <w:rPr>
          <w:rFonts w:asciiTheme="minorEastAsia" w:hAnsiTheme="minorEastAsia" w:eastAsiaTheme="minorEastAsia"/>
          <w:kern w:val="0"/>
          <w:szCs w:val="21"/>
        </w:rPr>
        <w:t xml:space="preserve"> </w:t>
      </w:r>
      <w:r>
        <w:rPr>
          <w:rFonts w:hint="eastAsia" w:asciiTheme="minorEastAsia" w:hAnsiTheme="minorEastAsia" w:eastAsiaTheme="minorEastAsia"/>
          <w:kern w:val="0"/>
          <w:szCs w:val="21"/>
        </w:rPr>
        <w:t>报价表应注明日期、有效期（</w:t>
      </w:r>
      <w:r>
        <w:rPr>
          <w:rFonts w:asciiTheme="minorEastAsia" w:hAnsiTheme="minorEastAsia" w:eastAsiaTheme="minorEastAsia"/>
          <w:kern w:val="0"/>
          <w:szCs w:val="21"/>
          <w:u w:val="single"/>
        </w:rPr>
        <w:t xml:space="preserve">    </w:t>
      </w:r>
      <w:r>
        <w:rPr>
          <w:rFonts w:hint="eastAsia" w:asciiTheme="minorEastAsia" w:hAnsiTheme="minorEastAsia" w:eastAsiaTheme="minorEastAsia"/>
          <w:kern w:val="0"/>
          <w:szCs w:val="21"/>
        </w:rPr>
        <w:t>天）和法定代表人或其授权委托人的签字或加盖公章。</w:t>
      </w:r>
    </w:p>
    <w:p w14:paraId="747F57D9">
      <w:pPr>
        <w:spacing w:line="360" w:lineRule="auto"/>
        <w:rPr>
          <w:rFonts w:asciiTheme="minorEastAsia" w:hAnsiTheme="minorEastAsia" w:eastAsiaTheme="minorEastAsia"/>
          <w:szCs w:val="21"/>
        </w:rPr>
      </w:pPr>
      <w:r>
        <w:rPr>
          <w:rFonts w:asciiTheme="minorEastAsia" w:hAnsiTheme="minorEastAsia" w:eastAsiaTheme="minorEastAsia"/>
          <w:szCs w:val="21"/>
        </w:rPr>
        <w:t xml:space="preserve">2. </w:t>
      </w:r>
      <w:r>
        <w:rPr>
          <w:rFonts w:hint="eastAsia" w:asciiTheme="minorEastAsia" w:hAnsiTheme="minorEastAsia" w:eastAsiaTheme="minorEastAsia"/>
          <w:szCs w:val="21"/>
        </w:rPr>
        <w:t>报价表</w:t>
      </w:r>
    </w:p>
    <w:p w14:paraId="1E833C29">
      <w:pPr>
        <w:adjustRightInd w:val="0"/>
        <w:snapToGrid w:val="0"/>
        <w:spacing w:line="360" w:lineRule="auto"/>
        <w:jc w:val="left"/>
        <w:textAlignment w:val="baseline"/>
        <w:rPr>
          <w:rFonts w:asciiTheme="minorEastAsia" w:hAnsiTheme="minorEastAsia" w:eastAsiaTheme="minorEastAsia"/>
          <w:kern w:val="0"/>
          <w:szCs w:val="21"/>
        </w:rPr>
      </w:pPr>
      <w:r>
        <w:rPr>
          <w:rFonts w:hint="eastAsia" w:asciiTheme="minorEastAsia" w:hAnsiTheme="minorEastAsia" w:eastAsiaTheme="minorEastAsia"/>
          <w:kern w:val="0"/>
          <w:szCs w:val="21"/>
        </w:rPr>
        <w:t>投标总价：</w:t>
      </w:r>
      <w:r>
        <w:rPr>
          <w:rFonts w:asciiTheme="minorEastAsia" w:hAnsiTheme="minorEastAsia" w:eastAsiaTheme="minorEastAsia"/>
          <w:kern w:val="0"/>
          <w:szCs w:val="21"/>
        </w:rPr>
        <w:t xml:space="preserve">__________________                      </w:t>
      </w:r>
      <w:r>
        <w:rPr>
          <w:rFonts w:hint="eastAsia" w:asciiTheme="minorEastAsia" w:hAnsiTheme="minorEastAsia" w:eastAsiaTheme="minorEastAsia"/>
          <w:kern w:val="0"/>
          <w:szCs w:val="21"/>
        </w:rPr>
        <w:t>单位：万元（人民币）</w:t>
      </w:r>
    </w:p>
    <w:tbl>
      <w:tblPr>
        <w:tblStyle w:val="62"/>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525"/>
        <w:gridCol w:w="1663"/>
        <w:gridCol w:w="687"/>
        <w:gridCol w:w="975"/>
        <w:gridCol w:w="1125"/>
        <w:gridCol w:w="1038"/>
        <w:gridCol w:w="974"/>
        <w:gridCol w:w="1003"/>
      </w:tblGrid>
      <w:tr w14:paraId="40A8B3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81" w:type="dxa"/>
            <w:vAlign w:val="center"/>
          </w:tcPr>
          <w:p w14:paraId="25417F28">
            <w:pPr>
              <w:widowControl/>
              <w:jc w:val="center"/>
              <w:rPr>
                <w:rFonts w:ascii="宋体" w:hAnsi="宋体"/>
                <w:b/>
                <w:kern w:val="0"/>
                <w:sz w:val="18"/>
                <w:szCs w:val="18"/>
              </w:rPr>
            </w:pPr>
            <w:r>
              <w:rPr>
                <w:rFonts w:hint="eastAsia" w:ascii="宋体" w:hAnsi="宋体"/>
                <w:b/>
                <w:kern w:val="0"/>
                <w:sz w:val="18"/>
                <w:szCs w:val="18"/>
              </w:rPr>
              <w:t>序号</w:t>
            </w:r>
          </w:p>
        </w:tc>
        <w:tc>
          <w:tcPr>
            <w:tcW w:w="1525" w:type="dxa"/>
            <w:vAlign w:val="center"/>
          </w:tcPr>
          <w:p w14:paraId="7F1E11EB">
            <w:pPr>
              <w:widowControl/>
              <w:jc w:val="center"/>
              <w:rPr>
                <w:rFonts w:ascii="宋体" w:hAnsi="宋体"/>
                <w:b/>
                <w:kern w:val="0"/>
                <w:sz w:val="18"/>
                <w:szCs w:val="18"/>
              </w:rPr>
            </w:pPr>
            <w:r>
              <w:rPr>
                <w:rFonts w:hint="eastAsia" w:ascii="宋体" w:hAnsi="宋体"/>
                <w:b/>
                <w:kern w:val="0"/>
                <w:sz w:val="18"/>
                <w:szCs w:val="18"/>
              </w:rPr>
              <w:t>分项名称</w:t>
            </w:r>
          </w:p>
        </w:tc>
        <w:tc>
          <w:tcPr>
            <w:tcW w:w="1663" w:type="dxa"/>
            <w:vAlign w:val="center"/>
          </w:tcPr>
          <w:p w14:paraId="0D790D6E">
            <w:pPr>
              <w:widowControl/>
              <w:jc w:val="center"/>
              <w:rPr>
                <w:rFonts w:ascii="宋体" w:hAnsi="宋体"/>
                <w:b/>
                <w:kern w:val="0"/>
                <w:sz w:val="18"/>
                <w:szCs w:val="18"/>
              </w:rPr>
            </w:pPr>
            <w:r>
              <w:rPr>
                <w:rFonts w:hint="eastAsia" w:ascii="宋体" w:hAnsi="宋体"/>
                <w:b/>
                <w:kern w:val="0"/>
                <w:sz w:val="18"/>
                <w:szCs w:val="18"/>
              </w:rPr>
              <w:t>单位</w:t>
            </w:r>
          </w:p>
        </w:tc>
        <w:tc>
          <w:tcPr>
            <w:tcW w:w="687" w:type="dxa"/>
            <w:vAlign w:val="center"/>
          </w:tcPr>
          <w:p w14:paraId="30A09F37">
            <w:pPr>
              <w:widowControl/>
              <w:jc w:val="center"/>
              <w:rPr>
                <w:rFonts w:ascii="宋体" w:hAnsi="宋体"/>
                <w:b/>
                <w:kern w:val="0"/>
                <w:sz w:val="18"/>
                <w:szCs w:val="18"/>
              </w:rPr>
            </w:pPr>
            <w:r>
              <w:rPr>
                <w:rFonts w:hint="eastAsia" w:ascii="宋体" w:hAnsi="宋体"/>
                <w:b/>
                <w:kern w:val="0"/>
                <w:sz w:val="18"/>
                <w:szCs w:val="18"/>
              </w:rPr>
              <w:t>数量</w:t>
            </w:r>
          </w:p>
        </w:tc>
        <w:tc>
          <w:tcPr>
            <w:tcW w:w="975" w:type="dxa"/>
            <w:vAlign w:val="center"/>
          </w:tcPr>
          <w:p w14:paraId="610979C5">
            <w:pPr>
              <w:widowControl/>
              <w:jc w:val="center"/>
              <w:rPr>
                <w:rFonts w:ascii="宋体" w:hAnsi="宋体"/>
                <w:b/>
                <w:kern w:val="0"/>
                <w:sz w:val="18"/>
                <w:szCs w:val="18"/>
              </w:rPr>
            </w:pPr>
            <w:r>
              <w:rPr>
                <w:rFonts w:hint="eastAsia" w:ascii="宋体" w:hAnsi="宋体"/>
                <w:b/>
                <w:kern w:val="0"/>
                <w:sz w:val="18"/>
                <w:szCs w:val="18"/>
              </w:rPr>
              <w:t>单价</w:t>
            </w:r>
          </w:p>
        </w:tc>
        <w:tc>
          <w:tcPr>
            <w:tcW w:w="1125" w:type="dxa"/>
            <w:vAlign w:val="center"/>
          </w:tcPr>
          <w:p w14:paraId="3A8E0E95">
            <w:pPr>
              <w:widowControl/>
              <w:jc w:val="center"/>
              <w:rPr>
                <w:rFonts w:ascii="宋体" w:hAnsi="宋体"/>
                <w:b/>
                <w:kern w:val="0"/>
                <w:sz w:val="18"/>
                <w:szCs w:val="18"/>
              </w:rPr>
            </w:pPr>
            <w:r>
              <w:rPr>
                <w:rFonts w:hint="eastAsia" w:ascii="宋体" w:hAnsi="宋体"/>
                <w:b/>
                <w:kern w:val="0"/>
                <w:sz w:val="18"/>
                <w:szCs w:val="18"/>
              </w:rPr>
              <w:t>不含税总价</w:t>
            </w:r>
          </w:p>
        </w:tc>
        <w:tc>
          <w:tcPr>
            <w:tcW w:w="1038" w:type="dxa"/>
            <w:vAlign w:val="center"/>
          </w:tcPr>
          <w:p w14:paraId="5091081E">
            <w:pPr>
              <w:widowControl/>
              <w:jc w:val="left"/>
              <w:rPr>
                <w:rFonts w:ascii="宋体" w:hAnsi="宋体"/>
                <w:b/>
                <w:kern w:val="0"/>
                <w:sz w:val="18"/>
                <w:szCs w:val="18"/>
              </w:rPr>
            </w:pPr>
            <w:r>
              <w:rPr>
                <w:rFonts w:hint="eastAsia" w:ascii="宋体" w:hAnsi="宋体" w:eastAsia="宋体" w:cs="Times New Roman"/>
                <w:b/>
                <w:kern w:val="0"/>
                <w:sz w:val="18"/>
                <w:szCs w:val="18"/>
              </w:rPr>
              <w:t>增值税税率（%）</w:t>
            </w:r>
          </w:p>
        </w:tc>
        <w:tc>
          <w:tcPr>
            <w:tcW w:w="974" w:type="dxa"/>
            <w:vAlign w:val="center"/>
          </w:tcPr>
          <w:p w14:paraId="41E8D0AA">
            <w:pPr>
              <w:widowControl/>
              <w:jc w:val="center"/>
              <w:rPr>
                <w:rFonts w:ascii="宋体" w:hAnsi="宋体"/>
                <w:b/>
                <w:kern w:val="0"/>
                <w:sz w:val="18"/>
                <w:szCs w:val="18"/>
              </w:rPr>
            </w:pPr>
            <w:r>
              <w:rPr>
                <w:rFonts w:hint="eastAsia" w:ascii="宋体" w:hAnsi="宋体"/>
                <w:b/>
                <w:kern w:val="0"/>
                <w:sz w:val="18"/>
                <w:szCs w:val="18"/>
              </w:rPr>
              <w:t>含税总价</w:t>
            </w:r>
          </w:p>
        </w:tc>
        <w:tc>
          <w:tcPr>
            <w:tcW w:w="1003" w:type="dxa"/>
            <w:vAlign w:val="center"/>
          </w:tcPr>
          <w:p w14:paraId="08869BEF">
            <w:pPr>
              <w:widowControl/>
              <w:jc w:val="center"/>
              <w:rPr>
                <w:rFonts w:ascii="宋体" w:hAnsi="宋体"/>
                <w:b/>
                <w:kern w:val="0"/>
                <w:sz w:val="18"/>
                <w:szCs w:val="18"/>
              </w:rPr>
            </w:pPr>
            <w:r>
              <w:rPr>
                <w:rFonts w:hint="eastAsia" w:ascii="宋体" w:hAnsi="宋体"/>
                <w:b/>
                <w:kern w:val="0"/>
                <w:sz w:val="18"/>
                <w:szCs w:val="18"/>
              </w:rPr>
              <w:t>备注</w:t>
            </w:r>
          </w:p>
        </w:tc>
      </w:tr>
      <w:tr w14:paraId="08AC2B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81" w:type="dxa"/>
            <w:vAlign w:val="center"/>
          </w:tcPr>
          <w:p w14:paraId="2B445A1F">
            <w:pPr>
              <w:pStyle w:val="109"/>
              <w:keepNext w:val="0"/>
              <w:keepLines w:val="0"/>
              <w:pageBreakBefore w:val="0"/>
              <w:kinsoku/>
              <w:wordWrap/>
              <w:overflowPunct/>
              <w:topLinePunct w:val="0"/>
              <w:autoSpaceDE/>
              <w:autoSpaceDN/>
              <w:bidi w:val="0"/>
              <w:adjustRightInd/>
              <w:snapToGrid/>
              <w:spacing w:line="288" w:lineRule="auto"/>
              <w:ind w:left="0" w:leftChars="0" w:firstLine="0" w:firstLineChars="0"/>
              <w:jc w:val="center"/>
            </w:pPr>
            <w:r>
              <w:rPr>
                <w:rFonts w:hint="eastAsia" w:ascii="Arial" w:hAnsi="宋体" w:eastAsia="宋体" w:cs="Arial"/>
                <w:szCs w:val="21"/>
              </w:rPr>
              <w:t>1</w:t>
            </w:r>
          </w:p>
        </w:tc>
        <w:tc>
          <w:tcPr>
            <w:tcW w:w="1525" w:type="dxa"/>
            <w:vAlign w:val="center"/>
          </w:tcPr>
          <w:p w14:paraId="7F8FDF68">
            <w:pPr>
              <w:keepNext w:val="0"/>
              <w:keepLines w:val="0"/>
              <w:widowControl/>
              <w:suppressLineNumbers w:val="0"/>
              <w:ind w:left="284" w:leftChars="0" w:hanging="284" w:firstLineChars="0"/>
              <w:jc w:val="left"/>
              <w:textAlignment w:val="center"/>
              <w:rPr>
                <w:rFonts w:hint="eastAsia"/>
              </w:rPr>
            </w:pPr>
            <w:r>
              <w:rPr>
                <w:rFonts w:hint="eastAsia" w:ascii="宋体" w:hAnsi="宋体" w:eastAsia="宋体" w:cs="宋体"/>
                <w:b/>
                <w:bCs/>
                <w:i w:val="0"/>
                <w:iCs w:val="0"/>
                <w:color w:val="000000"/>
                <w:kern w:val="0"/>
                <w:sz w:val="22"/>
                <w:szCs w:val="22"/>
                <w:u w:val="none"/>
                <w:lang w:val="en-US" w:eastAsia="zh-CN" w:bidi="ar"/>
              </w:rPr>
              <w:t>电容式电压互感器</w:t>
            </w:r>
          </w:p>
        </w:tc>
        <w:tc>
          <w:tcPr>
            <w:tcW w:w="1663" w:type="dxa"/>
            <w:vAlign w:val="center"/>
          </w:tcPr>
          <w:p w14:paraId="74AA82AA">
            <w:pPr>
              <w:keepNext w:val="0"/>
              <w:keepLines w:val="0"/>
              <w:widowControl/>
              <w:suppressLineNumbers w:val="0"/>
              <w:spacing w:line="240" w:lineRule="auto"/>
              <w:ind w:left="284" w:leftChars="0" w:hanging="284" w:firstLineChars="0"/>
              <w:jc w:val="center"/>
              <w:textAlignment w:val="center"/>
              <w:rPr>
                <w:rFonts w:hint="eastAsia" w:asciiTheme="minorEastAsia" w:hAnsiTheme="minorEastAsia" w:eastAsiaTheme="minorEastAsia"/>
                <w:kern w:val="0"/>
                <w:szCs w:val="21"/>
                <w:lang w:eastAsia="zh-CN"/>
              </w:rPr>
            </w:pPr>
            <w:r>
              <w:rPr>
                <w:rFonts w:hint="eastAsia" w:ascii="宋体" w:hAnsi="宋体" w:eastAsia="宋体" w:cs="宋体"/>
                <w:b/>
                <w:bCs/>
                <w:i w:val="0"/>
                <w:iCs w:val="0"/>
                <w:color w:val="000000"/>
                <w:kern w:val="0"/>
                <w:sz w:val="22"/>
                <w:szCs w:val="22"/>
                <w:u w:val="none"/>
                <w:lang w:val="en-US" w:eastAsia="zh-CN" w:bidi="ar"/>
              </w:rPr>
              <w:t>500/√3:  0.1/√3:0.1/√3：0.1 :0.1kV</w:t>
            </w:r>
          </w:p>
        </w:tc>
        <w:tc>
          <w:tcPr>
            <w:tcW w:w="687" w:type="dxa"/>
            <w:vAlign w:val="center"/>
          </w:tcPr>
          <w:p w14:paraId="0B3C35EA">
            <w:pPr>
              <w:spacing w:line="360" w:lineRule="auto"/>
              <w:ind w:left="284" w:leftChars="0" w:hanging="284" w:firstLineChars="0"/>
              <w:jc w:val="center"/>
              <w:rPr>
                <w:rFonts w:hint="default" w:asciiTheme="minorEastAsia" w:hAnsiTheme="minorEastAsia" w:eastAsiaTheme="minorEastAsia"/>
                <w:kern w:val="0"/>
                <w:szCs w:val="21"/>
                <w:lang w:val="en-US" w:eastAsia="zh-CN"/>
              </w:rPr>
            </w:pPr>
            <w:r>
              <w:rPr>
                <w:rFonts w:hint="eastAsia" w:ascii="Arial" w:hAnsi="宋体" w:cs="Arial"/>
                <w:kern w:val="2"/>
                <w:sz w:val="21"/>
                <w:szCs w:val="21"/>
                <w:lang w:val="en-US" w:eastAsia="zh-CN" w:bidi="ar-SA"/>
              </w:rPr>
              <w:t>具</w:t>
            </w:r>
          </w:p>
        </w:tc>
        <w:tc>
          <w:tcPr>
            <w:tcW w:w="975" w:type="dxa"/>
            <w:vAlign w:val="center"/>
          </w:tcPr>
          <w:p w14:paraId="04E640D9">
            <w:pPr>
              <w:widowControl/>
              <w:jc w:val="center"/>
              <w:rPr>
                <w:rFonts w:ascii="宋体" w:hAnsi="宋体"/>
                <w:kern w:val="0"/>
                <w:sz w:val="18"/>
                <w:szCs w:val="18"/>
              </w:rPr>
            </w:pPr>
          </w:p>
        </w:tc>
        <w:tc>
          <w:tcPr>
            <w:tcW w:w="1125" w:type="dxa"/>
            <w:vAlign w:val="center"/>
          </w:tcPr>
          <w:p w14:paraId="4A5EBFCB">
            <w:pPr>
              <w:widowControl/>
              <w:jc w:val="center"/>
              <w:rPr>
                <w:rFonts w:ascii="宋体" w:hAnsi="宋体"/>
                <w:kern w:val="0"/>
                <w:sz w:val="18"/>
                <w:szCs w:val="18"/>
              </w:rPr>
            </w:pPr>
          </w:p>
        </w:tc>
        <w:tc>
          <w:tcPr>
            <w:tcW w:w="1038" w:type="dxa"/>
            <w:vAlign w:val="center"/>
          </w:tcPr>
          <w:p w14:paraId="7D4E949E">
            <w:pPr>
              <w:widowControl/>
              <w:jc w:val="center"/>
              <w:rPr>
                <w:rFonts w:ascii="宋体" w:hAnsi="宋体"/>
                <w:kern w:val="0"/>
                <w:sz w:val="18"/>
                <w:szCs w:val="18"/>
              </w:rPr>
            </w:pPr>
          </w:p>
        </w:tc>
        <w:tc>
          <w:tcPr>
            <w:tcW w:w="974" w:type="dxa"/>
            <w:vAlign w:val="center"/>
          </w:tcPr>
          <w:p w14:paraId="5AF4C86C">
            <w:pPr>
              <w:widowControl/>
              <w:jc w:val="center"/>
              <w:rPr>
                <w:rFonts w:ascii="宋体" w:hAnsi="宋体"/>
                <w:kern w:val="0"/>
                <w:sz w:val="18"/>
                <w:szCs w:val="18"/>
              </w:rPr>
            </w:pPr>
          </w:p>
        </w:tc>
        <w:tc>
          <w:tcPr>
            <w:tcW w:w="1003" w:type="dxa"/>
            <w:vAlign w:val="center"/>
          </w:tcPr>
          <w:p w14:paraId="6B657F55">
            <w:pPr>
              <w:widowControl/>
              <w:jc w:val="center"/>
              <w:rPr>
                <w:rFonts w:ascii="宋体" w:hAnsi="宋体"/>
                <w:kern w:val="0"/>
                <w:sz w:val="18"/>
                <w:szCs w:val="18"/>
              </w:rPr>
            </w:pPr>
          </w:p>
        </w:tc>
      </w:tr>
      <w:tr w14:paraId="47869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81" w:type="dxa"/>
            <w:vAlign w:val="center"/>
          </w:tcPr>
          <w:p w14:paraId="2E5DE27E">
            <w:pPr>
              <w:pStyle w:val="109"/>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ascii="宋体" w:hAnsi="宋体"/>
                <w:kern w:val="0"/>
                <w:sz w:val="18"/>
                <w:szCs w:val="18"/>
              </w:rPr>
            </w:pPr>
            <w:r>
              <w:rPr>
                <w:rFonts w:hint="eastAsia" w:ascii="Arial" w:hAnsi="宋体" w:cs="Arial"/>
                <w:szCs w:val="21"/>
                <w:lang w:val="en-US" w:eastAsia="zh-CN"/>
              </w:rPr>
              <w:t>2</w:t>
            </w:r>
          </w:p>
        </w:tc>
        <w:tc>
          <w:tcPr>
            <w:tcW w:w="1525" w:type="dxa"/>
            <w:vAlign w:val="center"/>
          </w:tcPr>
          <w:p w14:paraId="06FEC22E">
            <w:pPr>
              <w:keepNext w:val="0"/>
              <w:keepLines w:val="0"/>
              <w:widowControl/>
              <w:suppressLineNumbers w:val="0"/>
              <w:spacing w:line="240" w:lineRule="auto"/>
              <w:ind w:left="284" w:leftChars="0" w:hanging="284" w:firstLineChars="0"/>
              <w:jc w:val="center"/>
              <w:textAlignment w:val="center"/>
              <w:rPr>
                <w:rFonts w:hint="eastAsia" w:asciiTheme="minorEastAsia" w:hAnsiTheme="minorEastAsia" w:eastAsiaTheme="minorEastAsia"/>
                <w:kern w:val="0"/>
                <w:szCs w:val="21"/>
              </w:rPr>
            </w:pPr>
          </w:p>
        </w:tc>
        <w:tc>
          <w:tcPr>
            <w:tcW w:w="1663" w:type="dxa"/>
            <w:vAlign w:val="center"/>
          </w:tcPr>
          <w:p w14:paraId="4DB26637">
            <w:pPr>
              <w:keepNext w:val="0"/>
              <w:keepLines w:val="0"/>
              <w:widowControl/>
              <w:suppressLineNumbers w:val="0"/>
              <w:spacing w:line="240" w:lineRule="auto"/>
              <w:ind w:left="284" w:leftChars="0" w:hanging="284" w:firstLineChars="0"/>
              <w:jc w:val="center"/>
              <w:textAlignment w:val="center"/>
              <w:rPr>
                <w:rFonts w:hint="eastAsia" w:asciiTheme="minorEastAsia" w:hAnsiTheme="minorEastAsia" w:eastAsiaTheme="minorEastAsia"/>
                <w:kern w:val="0"/>
                <w:szCs w:val="21"/>
              </w:rPr>
            </w:pPr>
          </w:p>
        </w:tc>
        <w:tc>
          <w:tcPr>
            <w:tcW w:w="687" w:type="dxa"/>
            <w:vAlign w:val="center"/>
          </w:tcPr>
          <w:p w14:paraId="658692DD">
            <w:pPr>
              <w:spacing w:line="360" w:lineRule="auto"/>
              <w:ind w:left="284" w:leftChars="0" w:hanging="284" w:firstLineChars="0"/>
              <w:jc w:val="center"/>
              <w:rPr>
                <w:rFonts w:hint="eastAsia" w:asciiTheme="minorEastAsia" w:hAnsiTheme="minorEastAsia" w:eastAsiaTheme="minorEastAsia"/>
                <w:kern w:val="0"/>
                <w:szCs w:val="21"/>
              </w:rPr>
            </w:pPr>
          </w:p>
        </w:tc>
        <w:tc>
          <w:tcPr>
            <w:tcW w:w="975" w:type="dxa"/>
            <w:vAlign w:val="center"/>
          </w:tcPr>
          <w:p w14:paraId="73578AF6">
            <w:pPr>
              <w:widowControl/>
              <w:jc w:val="center"/>
              <w:rPr>
                <w:rFonts w:ascii="宋体" w:hAnsi="宋体"/>
                <w:kern w:val="0"/>
                <w:sz w:val="18"/>
                <w:szCs w:val="18"/>
              </w:rPr>
            </w:pPr>
          </w:p>
        </w:tc>
        <w:tc>
          <w:tcPr>
            <w:tcW w:w="1125" w:type="dxa"/>
            <w:vAlign w:val="center"/>
          </w:tcPr>
          <w:p w14:paraId="2AC93CB1">
            <w:pPr>
              <w:widowControl/>
              <w:jc w:val="center"/>
              <w:rPr>
                <w:rFonts w:ascii="宋体" w:hAnsi="宋体"/>
                <w:kern w:val="0"/>
                <w:sz w:val="18"/>
                <w:szCs w:val="18"/>
              </w:rPr>
            </w:pPr>
          </w:p>
        </w:tc>
        <w:tc>
          <w:tcPr>
            <w:tcW w:w="1038" w:type="dxa"/>
            <w:vAlign w:val="center"/>
          </w:tcPr>
          <w:p w14:paraId="3D16E13E">
            <w:pPr>
              <w:widowControl/>
              <w:jc w:val="center"/>
              <w:rPr>
                <w:rFonts w:ascii="宋体" w:hAnsi="宋体"/>
                <w:kern w:val="0"/>
                <w:sz w:val="18"/>
                <w:szCs w:val="18"/>
              </w:rPr>
            </w:pPr>
          </w:p>
        </w:tc>
        <w:tc>
          <w:tcPr>
            <w:tcW w:w="974" w:type="dxa"/>
            <w:vAlign w:val="center"/>
          </w:tcPr>
          <w:p w14:paraId="7405F5BF">
            <w:pPr>
              <w:widowControl/>
              <w:jc w:val="center"/>
              <w:rPr>
                <w:rFonts w:ascii="宋体" w:hAnsi="宋体"/>
                <w:kern w:val="0"/>
                <w:sz w:val="18"/>
                <w:szCs w:val="18"/>
              </w:rPr>
            </w:pPr>
          </w:p>
        </w:tc>
        <w:tc>
          <w:tcPr>
            <w:tcW w:w="1003" w:type="dxa"/>
            <w:vAlign w:val="center"/>
          </w:tcPr>
          <w:p w14:paraId="44CFF4D9">
            <w:pPr>
              <w:widowControl/>
              <w:spacing w:line="240" w:lineRule="auto"/>
              <w:jc w:val="center"/>
              <w:rPr>
                <w:rFonts w:ascii="宋体" w:hAnsi="宋体"/>
                <w:kern w:val="0"/>
                <w:sz w:val="18"/>
                <w:szCs w:val="18"/>
              </w:rPr>
            </w:pPr>
          </w:p>
        </w:tc>
      </w:tr>
      <w:tr w14:paraId="2BC6B8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81" w:type="dxa"/>
            <w:vAlign w:val="center"/>
          </w:tcPr>
          <w:p w14:paraId="17B8550C">
            <w:pPr>
              <w:widowControl/>
              <w:jc w:val="center"/>
              <w:rPr>
                <w:rFonts w:ascii="宋体" w:hAnsi="宋体"/>
                <w:kern w:val="0"/>
                <w:sz w:val="18"/>
                <w:szCs w:val="18"/>
              </w:rPr>
            </w:pPr>
            <w:r>
              <w:rPr>
                <w:rFonts w:ascii="宋体" w:hAnsi="宋体"/>
                <w:kern w:val="0"/>
                <w:sz w:val="18"/>
                <w:szCs w:val="18"/>
              </w:rPr>
              <w:t>3</w:t>
            </w:r>
          </w:p>
        </w:tc>
        <w:tc>
          <w:tcPr>
            <w:tcW w:w="1525" w:type="dxa"/>
            <w:vAlign w:val="center"/>
          </w:tcPr>
          <w:p w14:paraId="4262012E">
            <w:pPr>
              <w:widowControl/>
              <w:jc w:val="center"/>
              <w:rPr>
                <w:rFonts w:ascii="宋体" w:hAnsi="宋体"/>
                <w:kern w:val="0"/>
                <w:sz w:val="18"/>
                <w:szCs w:val="18"/>
              </w:rPr>
            </w:pPr>
          </w:p>
        </w:tc>
        <w:tc>
          <w:tcPr>
            <w:tcW w:w="1663" w:type="dxa"/>
            <w:vAlign w:val="center"/>
          </w:tcPr>
          <w:p w14:paraId="72860D03">
            <w:pPr>
              <w:jc w:val="center"/>
              <w:rPr>
                <w:rFonts w:ascii="宋体" w:hAnsi="宋体"/>
                <w:kern w:val="0"/>
                <w:sz w:val="18"/>
                <w:szCs w:val="18"/>
              </w:rPr>
            </w:pPr>
          </w:p>
        </w:tc>
        <w:tc>
          <w:tcPr>
            <w:tcW w:w="687" w:type="dxa"/>
            <w:vAlign w:val="center"/>
          </w:tcPr>
          <w:p w14:paraId="3263BE6B">
            <w:pPr>
              <w:jc w:val="center"/>
              <w:rPr>
                <w:rFonts w:ascii="宋体" w:hAnsi="宋体"/>
                <w:kern w:val="0"/>
                <w:sz w:val="18"/>
                <w:szCs w:val="18"/>
              </w:rPr>
            </w:pPr>
          </w:p>
        </w:tc>
        <w:tc>
          <w:tcPr>
            <w:tcW w:w="975" w:type="dxa"/>
            <w:vAlign w:val="center"/>
          </w:tcPr>
          <w:p w14:paraId="1108C7A7">
            <w:pPr>
              <w:widowControl/>
              <w:jc w:val="center"/>
              <w:rPr>
                <w:rFonts w:ascii="宋体" w:hAnsi="宋体"/>
                <w:kern w:val="0"/>
                <w:sz w:val="18"/>
                <w:szCs w:val="18"/>
              </w:rPr>
            </w:pPr>
          </w:p>
        </w:tc>
        <w:tc>
          <w:tcPr>
            <w:tcW w:w="1125" w:type="dxa"/>
            <w:vAlign w:val="center"/>
          </w:tcPr>
          <w:p w14:paraId="224AB937">
            <w:pPr>
              <w:widowControl/>
              <w:jc w:val="center"/>
              <w:rPr>
                <w:rFonts w:ascii="宋体" w:hAnsi="宋体"/>
                <w:kern w:val="0"/>
                <w:sz w:val="18"/>
                <w:szCs w:val="18"/>
              </w:rPr>
            </w:pPr>
          </w:p>
        </w:tc>
        <w:tc>
          <w:tcPr>
            <w:tcW w:w="1038" w:type="dxa"/>
            <w:vAlign w:val="center"/>
          </w:tcPr>
          <w:p w14:paraId="373AAAA8">
            <w:pPr>
              <w:widowControl/>
              <w:jc w:val="center"/>
              <w:rPr>
                <w:rFonts w:ascii="宋体" w:hAnsi="宋体"/>
                <w:kern w:val="0"/>
                <w:sz w:val="18"/>
                <w:szCs w:val="18"/>
              </w:rPr>
            </w:pPr>
          </w:p>
        </w:tc>
        <w:tc>
          <w:tcPr>
            <w:tcW w:w="974" w:type="dxa"/>
            <w:vAlign w:val="center"/>
          </w:tcPr>
          <w:p w14:paraId="7D9BF1D1">
            <w:pPr>
              <w:widowControl/>
              <w:jc w:val="center"/>
              <w:rPr>
                <w:rFonts w:ascii="宋体" w:hAnsi="宋体"/>
                <w:kern w:val="0"/>
                <w:sz w:val="18"/>
                <w:szCs w:val="18"/>
              </w:rPr>
            </w:pPr>
          </w:p>
        </w:tc>
        <w:tc>
          <w:tcPr>
            <w:tcW w:w="1003" w:type="dxa"/>
            <w:vAlign w:val="center"/>
          </w:tcPr>
          <w:p w14:paraId="1E3BB94E">
            <w:pPr>
              <w:widowControl/>
              <w:jc w:val="center"/>
              <w:rPr>
                <w:rFonts w:ascii="宋体" w:hAnsi="宋体"/>
                <w:kern w:val="0"/>
                <w:sz w:val="18"/>
                <w:szCs w:val="18"/>
              </w:rPr>
            </w:pPr>
          </w:p>
        </w:tc>
      </w:tr>
      <w:tr w14:paraId="4DA813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81" w:type="dxa"/>
            <w:vAlign w:val="center"/>
          </w:tcPr>
          <w:p w14:paraId="2AFA1325">
            <w:pPr>
              <w:widowControl/>
              <w:jc w:val="center"/>
              <w:rPr>
                <w:rFonts w:ascii="宋体" w:hAnsi="宋体"/>
                <w:kern w:val="0"/>
                <w:sz w:val="18"/>
                <w:szCs w:val="18"/>
              </w:rPr>
            </w:pPr>
            <w:r>
              <w:rPr>
                <w:rFonts w:ascii="宋体" w:hAnsi="宋体"/>
                <w:kern w:val="0"/>
                <w:sz w:val="18"/>
                <w:szCs w:val="18"/>
              </w:rPr>
              <w:t>4</w:t>
            </w:r>
          </w:p>
        </w:tc>
        <w:tc>
          <w:tcPr>
            <w:tcW w:w="1525" w:type="dxa"/>
            <w:vAlign w:val="center"/>
          </w:tcPr>
          <w:p w14:paraId="38097E36">
            <w:pPr>
              <w:widowControl/>
              <w:jc w:val="center"/>
              <w:rPr>
                <w:rFonts w:ascii="宋体" w:hAnsi="宋体"/>
                <w:kern w:val="0"/>
                <w:sz w:val="18"/>
                <w:szCs w:val="18"/>
              </w:rPr>
            </w:pPr>
          </w:p>
        </w:tc>
        <w:tc>
          <w:tcPr>
            <w:tcW w:w="1663" w:type="dxa"/>
            <w:vAlign w:val="center"/>
          </w:tcPr>
          <w:p w14:paraId="4F0105C9">
            <w:pPr>
              <w:widowControl/>
              <w:jc w:val="center"/>
              <w:rPr>
                <w:rFonts w:ascii="宋体" w:hAnsi="宋体"/>
                <w:kern w:val="0"/>
                <w:sz w:val="18"/>
                <w:szCs w:val="18"/>
              </w:rPr>
            </w:pPr>
          </w:p>
        </w:tc>
        <w:tc>
          <w:tcPr>
            <w:tcW w:w="687" w:type="dxa"/>
            <w:vAlign w:val="center"/>
          </w:tcPr>
          <w:p w14:paraId="56102CED">
            <w:pPr>
              <w:widowControl/>
              <w:jc w:val="center"/>
              <w:rPr>
                <w:rFonts w:ascii="宋体" w:hAnsi="宋体"/>
                <w:kern w:val="0"/>
                <w:sz w:val="18"/>
                <w:szCs w:val="18"/>
              </w:rPr>
            </w:pPr>
          </w:p>
        </w:tc>
        <w:tc>
          <w:tcPr>
            <w:tcW w:w="975" w:type="dxa"/>
            <w:vAlign w:val="center"/>
          </w:tcPr>
          <w:p w14:paraId="151C1223">
            <w:pPr>
              <w:widowControl/>
              <w:jc w:val="center"/>
              <w:rPr>
                <w:rFonts w:ascii="宋体" w:hAnsi="宋体"/>
                <w:kern w:val="0"/>
                <w:sz w:val="18"/>
                <w:szCs w:val="18"/>
              </w:rPr>
            </w:pPr>
          </w:p>
        </w:tc>
        <w:tc>
          <w:tcPr>
            <w:tcW w:w="1125" w:type="dxa"/>
            <w:vAlign w:val="center"/>
          </w:tcPr>
          <w:p w14:paraId="2E69635D">
            <w:pPr>
              <w:widowControl/>
              <w:jc w:val="center"/>
              <w:rPr>
                <w:rFonts w:ascii="宋体" w:hAnsi="宋体"/>
                <w:kern w:val="0"/>
                <w:sz w:val="18"/>
                <w:szCs w:val="18"/>
              </w:rPr>
            </w:pPr>
          </w:p>
        </w:tc>
        <w:tc>
          <w:tcPr>
            <w:tcW w:w="1038" w:type="dxa"/>
            <w:vAlign w:val="center"/>
          </w:tcPr>
          <w:p w14:paraId="5BEA79D6">
            <w:pPr>
              <w:widowControl/>
              <w:jc w:val="center"/>
              <w:rPr>
                <w:rFonts w:ascii="宋体" w:hAnsi="宋体"/>
                <w:kern w:val="0"/>
                <w:sz w:val="18"/>
                <w:szCs w:val="18"/>
              </w:rPr>
            </w:pPr>
          </w:p>
        </w:tc>
        <w:tc>
          <w:tcPr>
            <w:tcW w:w="974" w:type="dxa"/>
            <w:vAlign w:val="center"/>
          </w:tcPr>
          <w:p w14:paraId="064D2116">
            <w:pPr>
              <w:widowControl/>
              <w:jc w:val="center"/>
              <w:rPr>
                <w:rFonts w:ascii="宋体" w:hAnsi="宋体"/>
                <w:kern w:val="0"/>
                <w:sz w:val="18"/>
                <w:szCs w:val="18"/>
              </w:rPr>
            </w:pPr>
          </w:p>
        </w:tc>
        <w:tc>
          <w:tcPr>
            <w:tcW w:w="1003" w:type="dxa"/>
            <w:vAlign w:val="center"/>
          </w:tcPr>
          <w:p w14:paraId="15444836">
            <w:pPr>
              <w:widowControl/>
              <w:jc w:val="center"/>
              <w:rPr>
                <w:rFonts w:ascii="宋体" w:hAnsi="宋体"/>
                <w:kern w:val="0"/>
                <w:sz w:val="18"/>
                <w:szCs w:val="18"/>
              </w:rPr>
            </w:pPr>
          </w:p>
        </w:tc>
      </w:tr>
      <w:tr w14:paraId="4D7970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81" w:type="dxa"/>
            <w:vAlign w:val="center"/>
          </w:tcPr>
          <w:p w14:paraId="6971D24B">
            <w:pPr>
              <w:widowControl/>
              <w:jc w:val="center"/>
              <w:rPr>
                <w:rFonts w:ascii="宋体" w:hAnsi="宋体"/>
                <w:kern w:val="0"/>
                <w:sz w:val="18"/>
                <w:szCs w:val="18"/>
              </w:rPr>
            </w:pPr>
            <w:r>
              <w:rPr>
                <w:rFonts w:ascii="宋体" w:hAnsi="宋体"/>
                <w:kern w:val="0"/>
                <w:sz w:val="18"/>
                <w:szCs w:val="18"/>
              </w:rPr>
              <w:t>5</w:t>
            </w:r>
          </w:p>
        </w:tc>
        <w:tc>
          <w:tcPr>
            <w:tcW w:w="1525" w:type="dxa"/>
            <w:vAlign w:val="center"/>
          </w:tcPr>
          <w:p w14:paraId="161476EC">
            <w:pPr>
              <w:widowControl/>
              <w:jc w:val="center"/>
              <w:rPr>
                <w:rFonts w:ascii="宋体" w:hAnsi="宋体"/>
                <w:kern w:val="0"/>
                <w:sz w:val="18"/>
                <w:szCs w:val="18"/>
              </w:rPr>
            </w:pPr>
          </w:p>
        </w:tc>
        <w:tc>
          <w:tcPr>
            <w:tcW w:w="1663" w:type="dxa"/>
            <w:vAlign w:val="center"/>
          </w:tcPr>
          <w:p w14:paraId="0B736496">
            <w:pPr>
              <w:widowControl/>
              <w:jc w:val="center"/>
              <w:rPr>
                <w:rFonts w:ascii="宋体" w:hAnsi="宋体"/>
                <w:kern w:val="0"/>
                <w:sz w:val="18"/>
                <w:szCs w:val="18"/>
              </w:rPr>
            </w:pPr>
          </w:p>
        </w:tc>
        <w:tc>
          <w:tcPr>
            <w:tcW w:w="687" w:type="dxa"/>
            <w:vAlign w:val="center"/>
          </w:tcPr>
          <w:p w14:paraId="0761E4A7">
            <w:pPr>
              <w:widowControl/>
              <w:jc w:val="center"/>
              <w:rPr>
                <w:rFonts w:ascii="宋体" w:hAnsi="宋体"/>
                <w:kern w:val="0"/>
                <w:sz w:val="18"/>
                <w:szCs w:val="18"/>
              </w:rPr>
            </w:pPr>
          </w:p>
        </w:tc>
        <w:tc>
          <w:tcPr>
            <w:tcW w:w="975" w:type="dxa"/>
            <w:vAlign w:val="center"/>
          </w:tcPr>
          <w:p w14:paraId="56325E6F">
            <w:pPr>
              <w:widowControl/>
              <w:jc w:val="center"/>
              <w:rPr>
                <w:rFonts w:ascii="宋体" w:hAnsi="宋体"/>
                <w:kern w:val="0"/>
                <w:sz w:val="18"/>
                <w:szCs w:val="18"/>
              </w:rPr>
            </w:pPr>
          </w:p>
        </w:tc>
        <w:tc>
          <w:tcPr>
            <w:tcW w:w="1125" w:type="dxa"/>
            <w:vAlign w:val="center"/>
          </w:tcPr>
          <w:p w14:paraId="46CBBA2E">
            <w:pPr>
              <w:widowControl/>
              <w:jc w:val="center"/>
              <w:rPr>
                <w:rFonts w:ascii="宋体" w:hAnsi="宋体"/>
                <w:kern w:val="0"/>
                <w:sz w:val="18"/>
                <w:szCs w:val="18"/>
              </w:rPr>
            </w:pPr>
          </w:p>
        </w:tc>
        <w:tc>
          <w:tcPr>
            <w:tcW w:w="1038" w:type="dxa"/>
            <w:vAlign w:val="center"/>
          </w:tcPr>
          <w:p w14:paraId="798C4809">
            <w:pPr>
              <w:widowControl/>
              <w:jc w:val="center"/>
              <w:rPr>
                <w:rFonts w:ascii="宋体" w:hAnsi="宋体"/>
                <w:kern w:val="0"/>
                <w:sz w:val="18"/>
                <w:szCs w:val="18"/>
              </w:rPr>
            </w:pPr>
          </w:p>
        </w:tc>
        <w:tc>
          <w:tcPr>
            <w:tcW w:w="974" w:type="dxa"/>
            <w:vAlign w:val="center"/>
          </w:tcPr>
          <w:p w14:paraId="4D99BA97">
            <w:pPr>
              <w:widowControl/>
              <w:jc w:val="center"/>
              <w:rPr>
                <w:rFonts w:ascii="宋体" w:hAnsi="宋体"/>
                <w:kern w:val="0"/>
                <w:sz w:val="18"/>
                <w:szCs w:val="18"/>
              </w:rPr>
            </w:pPr>
          </w:p>
        </w:tc>
        <w:tc>
          <w:tcPr>
            <w:tcW w:w="1003" w:type="dxa"/>
            <w:vAlign w:val="center"/>
          </w:tcPr>
          <w:p w14:paraId="44F0305E">
            <w:pPr>
              <w:widowControl/>
              <w:jc w:val="center"/>
              <w:rPr>
                <w:rFonts w:ascii="宋体" w:hAnsi="宋体"/>
                <w:kern w:val="0"/>
                <w:sz w:val="18"/>
                <w:szCs w:val="18"/>
              </w:rPr>
            </w:pPr>
          </w:p>
        </w:tc>
      </w:tr>
      <w:tr w14:paraId="19D2AA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81" w:type="dxa"/>
            <w:vAlign w:val="center"/>
          </w:tcPr>
          <w:p w14:paraId="4F82BAF1">
            <w:pPr>
              <w:widowControl/>
              <w:jc w:val="center"/>
              <w:rPr>
                <w:rFonts w:ascii="宋体" w:hAnsi="宋体"/>
                <w:kern w:val="0"/>
                <w:sz w:val="18"/>
                <w:szCs w:val="18"/>
              </w:rPr>
            </w:pPr>
            <w:r>
              <w:rPr>
                <w:rFonts w:ascii="宋体" w:hAnsi="宋体"/>
                <w:kern w:val="0"/>
                <w:sz w:val="18"/>
                <w:szCs w:val="18"/>
              </w:rPr>
              <w:t>……</w:t>
            </w:r>
          </w:p>
        </w:tc>
        <w:tc>
          <w:tcPr>
            <w:tcW w:w="1525" w:type="dxa"/>
            <w:vAlign w:val="center"/>
          </w:tcPr>
          <w:p w14:paraId="619774EB">
            <w:pPr>
              <w:widowControl/>
              <w:jc w:val="center"/>
              <w:rPr>
                <w:rFonts w:ascii="宋体" w:hAnsi="宋体"/>
                <w:kern w:val="0"/>
                <w:sz w:val="18"/>
                <w:szCs w:val="18"/>
              </w:rPr>
            </w:pPr>
            <w:r>
              <w:rPr>
                <w:rFonts w:ascii="宋体" w:hAnsi="宋体"/>
                <w:kern w:val="0"/>
                <w:sz w:val="18"/>
                <w:szCs w:val="18"/>
              </w:rPr>
              <w:t>……</w:t>
            </w:r>
          </w:p>
        </w:tc>
        <w:tc>
          <w:tcPr>
            <w:tcW w:w="1663" w:type="dxa"/>
            <w:vAlign w:val="center"/>
          </w:tcPr>
          <w:p w14:paraId="6FDD9D9D">
            <w:pPr>
              <w:widowControl/>
              <w:jc w:val="center"/>
              <w:rPr>
                <w:rFonts w:ascii="宋体" w:hAnsi="宋体"/>
                <w:kern w:val="0"/>
                <w:sz w:val="18"/>
                <w:szCs w:val="18"/>
              </w:rPr>
            </w:pPr>
          </w:p>
        </w:tc>
        <w:tc>
          <w:tcPr>
            <w:tcW w:w="687" w:type="dxa"/>
            <w:vAlign w:val="center"/>
          </w:tcPr>
          <w:p w14:paraId="51E5C106">
            <w:pPr>
              <w:widowControl/>
              <w:jc w:val="center"/>
              <w:rPr>
                <w:rFonts w:ascii="宋体" w:hAnsi="宋体"/>
                <w:kern w:val="0"/>
                <w:sz w:val="18"/>
                <w:szCs w:val="18"/>
              </w:rPr>
            </w:pPr>
          </w:p>
        </w:tc>
        <w:tc>
          <w:tcPr>
            <w:tcW w:w="975" w:type="dxa"/>
            <w:vAlign w:val="center"/>
          </w:tcPr>
          <w:p w14:paraId="6BE12114">
            <w:pPr>
              <w:widowControl/>
              <w:jc w:val="center"/>
              <w:rPr>
                <w:rFonts w:ascii="宋体" w:hAnsi="宋体"/>
                <w:kern w:val="0"/>
                <w:sz w:val="18"/>
                <w:szCs w:val="18"/>
              </w:rPr>
            </w:pPr>
          </w:p>
        </w:tc>
        <w:tc>
          <w:tcPr>
            <w:tcW w:w="1125" w:type="dxa"/>
            <w:vAlign w:val="center"/>
          </w:tcPr>
          <w:p w14:paraId="51EF5B47">
            <w:pPr>
              <w:widowControl/>
              <w:jc w:val="center"/>
              <w:rPr>
                <w:rFonts w:ascii="宋体" w:hAnsi="宋体"/>
                <w:kern w:val="0"/>
                <w:sz w:val="18"/>
                <w:szCs w:val="18"/>
              </w:rPr>
            </w:pPr>
          </w:p>
        </w:tc>
        <w:tc>
          <w:tcPr>
            <w:tcW w:w="1038" w:type="dxa"/>
            <w:vAlign w:val="center"/>
          </w:tcPr>
          <w:p w14:paraId="359A3121">
            <w:pPr>
              <w:widowControl/>
              <w:jc w:val="center"/>
              <w:rPr>
                <w:rFonts w:ascii="宋体" w:hAnsi="宋体"/>
                <w:kern w:val="0"/>
                <w:sz w:val="18"/>
                <w:szCs w:val="18"/>
              </w:rPr>
            </w:pPr>
          </w:p>
        </w:tc>
        <w:tc>
          <w:tcPr>
            <w:tcW w:w="974" w:type="dxa"/>
            <w:vAlign w:val="center"/>
          </w:tcPr>
          <w:p w14:paraId="573BA83B">
            <w:pPr>
              <w:widowControl/>
              <w:jc w:val="center"/>
              <w:rPr>
                <w:rFonts w:ascii="宋体" w:hAnsi="宋体"/>
                <w:kern w:val="0"/>
                <w:sz w:val="18"/>
                <w:szCs w:val="18"/>
              </w:rPr>
            </w:pPr>
          </w:p>
        </w:tc>
        <w:tc>
          <w:tcPr>
            <w:tcW w:w="1003" w:type="dxa"/>
            <w:vAlign w:val="center"/>
          </w:tcPr>
          <w:p w14:paraId="75085885">
            <w:pPr>
              <w:widowControl/>
              <w:jc w:val="center"/>
              <w:rPr>
                <w:rFonts w:ascii="宋体" w:hAnsi="宋体"/>
                <w:kern w:val="0"/>
                <w:sz w:val="18"/>
                <w:szCs w:val="18"/>
              </w:rPr>
            </w:pPr>
          </w:p>
        </w:tc>
      </w:tr>
      <w:tr w14:paraId="17DC06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431" w:type="dxa"/>
            <w:gridSpan w:val="5"/>
            <w:vAlign w:val="center"/>
          </w:tcPr>
          <w:p w14:paraId="64902A9C">
            <w:pPr>
              <w:widowControl/>
              <w:jc w:val="center"/>
              <w:rPr>
                <w:rFonts w:ascii="宋体" w:hAnsi="宋体"/>
                <w:kern w:val="0"/>
                <w:sz w:val="18"/>
                <w:szCs w:val="18"/>
              </w:rPr>
            </w:pPr>
            <w:r>
              <w:rPr>
                <w:rFonts w:hint="eastAsia" w:ascii="宋体" w:hAnsi="宋体"/>
                <w:b/>
                <w:kern w:val="0"/>
                <w:sz w:val="18"/>
                <w:szCs w:val="18"/>
              </w:rPr>
              <w:t>合计报价</w:t>
            </w:r>
          </w:p>
        </w:tc>
        <w:tc>
          <w:tcPr>
            <w:tcW w:w="1125" w:type="dxa"/>
            <w:vAlign w:val="center"/>
          </w:tcPr>
          <w:p w14:paraId="1D61B75E">
            <w:pPr>
              <w:widowControl/>
              <w:jc w:val="center"/>
              <w:rPr>
                <w:rFonts w:ascii="宋体" w:hAnsi="宋体"/>
                <w:kern w:val="0"/>
                <w:sz w:val="18"/>
                <w:szCs w:val="18"/>
              </w:rPr>
            </w:pPr>
          </w:p>
        </w:tc>
        <w:tc>
          <w:tcPr>
            <w:tcW w:w="1038" w:type="dxa"/>
            <w:vAlign w:val="center"/>
          </w:tcPr>
          <w:p w14:paraId="65ADB959">
            <w:pPr>
              <w:widowControl/>
              <w:jc w:val="center"/>
              <w:rPr>
                <w:rFonts w:ascii="宋体" w:hAnsi="宋体"/>
                <w:kern w:val="0"/>
                <w:sz w:val="18"/>
                <w:szCs w:val="18"/>
              </w:rPr>
            </w:pPr>
          </w:p>
        </w:tc>
        <w:tc>
          <w:tcPr>
            <w:tcW w:w="974" w:type="dxa"/>
            <w:vAlign w:val="center"/>
          </w:tcPr>
          <w:p w14:paraId="05B919ED">
            <w:pPr>
              <w:widowControl/>
              <w:jc w:val="center"/>
              <w:rPr>
                <w:rFonts w:ascii="宋体" w:hAnsi="宋体"/>
                <w:kern w:val="0"/>
                <w:sz w:val="18"/>
                <w:szCs w:val="18"/>
              </w:rPr>
            </w:pPr>
          </w:p>
        </w:tc>
        <w:tc>
          <w:tcPr>
            <w:tcW w:w="1003" w:type="dxa"/>
            <w:vAlign w:val="center"/>
          </w:tcPr>
          <w:p w14:paraId="294FF2BB">
            <w:pPr>
              <w:widowControl/>
              <w:jc w:val="center"/>
              <w:rPr>
                <w:rFonts w:ascii="宋体" w:hAnsi="宋体"/>
                <w:kern w:val="0"/>
                <w:sz w:val="18"/>
                <w:szCs w:val="18"/>
              </w:rPr>
            </w:pPr>
          </w:p>
        </w:tc>
      </w:tr>
    </w:tbl>
    <w:p w14:paraId="3FCF2A78">
      <w:pPr>
        <w:tabs>
          <w:tab w:val="left" w:pos="600"/>
        </w:tabs>
        <w:adjustRightInd w:val="0"/>
        <w:snapToGrid w:val="0"/>
        <w:spacing w:line="360" w:lineRule="auto"/>
        <w:rPr>
          <w:rFonts w:asciiTheme="minorEastAsia" w:hAnsiTheme="minorEastAsia" w:eastAsiaTheme="minorEastAsia"/>
          <w:szCs w:val="21"/>
        </w:rPr>
      </w:pPr>
    </w:p>
    <w:p w14:paraId="0E866097">
      <w:pPr>
        <w:adjustRightInd w:val="0"/>
        <w:snapToGrid w:val="0"/>
        <w:spacing w:line="360" w:lineRule="auto"/>
        <w:ind w:firstLine="420"/>
        <w:jc w:val="left"/>
        <w:textAlignment w:val="baseline"/>
        <w:rPr>
          <w:rFonts w:asciiTheme="minorEastAsia" w:hAnsiTheme="minorEastAsia" w:eastAsiaTheme="minorEastAsia"/>
          <w:kern w:val="0"/>
          <w:szCs w:val="21"/>
        </w:rPr>
      </w:pPr>
      <w:r>
        <w:rPr>
          <w:rFonts w:hint="eastAsia" w:asciiTheme="minorEastAsia" w:hAnsiTheme="minorEastAsia" w:eastAsiaTheme="minorEastAsia"/>
          <w:kern w:val="0"/>
          <w:szCs w:val="21"/>
        </w:rPr>
        <w:t>报价单位：</w:t>
      </w:r>
      <w:r>
        <w:rPr>
          <w:rFonts w:asciiTheme="minorEastAsia" w:hAnsiTheme="minorEastAsia" w:eastAsiaTheme="minorEastAsia"/>
          <w:kern w:val="0"/>
          <w:szCs w:val="21"/>
        </w:rPr>
        <w:t xml:space="preserve">___________________    </w:t>
      </w:r>
      <w:r>
        <w:rPr>
          <w:rFonts w:hint="eastAsia" w:asciiTheme="minorEastAsia" w:hAnsiTheme="minorEastAsia" w:eastAsiaTheme="minorEastAsia"/>
          <w:kern w:val="0"/>
          <w:szCs w:val="21"/>
        </w:rPr>
        <w:t>报价日期：</w:t>
      </w:r>
      <w:r>
        <w:rPr>
          <w:rFonts w:asciiTheme="minorEastAsia" w:hAnsiTheme="minorEastAsia" w:eastAsiaTheme="minorEastAsia"/>
          <w:kern w:val="0"/>
          <w:szCs w:val="21"/>
        </w:rPr>
        <w:t>__________________</w:t>
      </w:r>
    </w:p>
    <w:p w14:paraId="61486B4F">
      <w:pPr>
        <w:spacing w:line="360" w:lineRule="auto"/>
        <w:ind w:firstLine="420" w:firstLineChars="200"/>
        <w:rPr>
          <w:rFonts w:asciiTheme="minorEastAsia" w:hAnsiTheme="minorEastAsia" w:eastAsiaTheme="minorEastAsia"/>
          <w:color w:val="FFFFFF" w:themeColor="background1"/>
          <w:kern w:val="0"/>
          <w:szCs w:val="21"/>
          <w14:textFill>
            <w14:solidFill>
              <w14:schemeClr w14:val="bg1"/>
            </w14:solidFill>
          </w14:textFill>
        </w:rPr>
      </w:pPr>
      <w:r>
        <w:rPr>
          <w:rFonts w:hint="eastAsia" w:asciiTheme="minorEastAsia" w:hAnsiTheme="minorEastAsia" w:eastAsiaTheme="minorEastAsia"/>
          <w:kern w:val="0"/>
          <w:szCs w:val="21"/>
        </w:rPr>
        <w:t>授权委托人：</w:t>
      </w:r>
      <w:r>
        <w:rPr>
          <w:rFonts w:asciiTheme="minorEastAsia" w:hAnsiTheme="minorEastAsia" w:eastAsiaTheme="minorEastAsia"/>
          <w:kern w:val="0"/>
          <w:szCs w:val="21"/>
        </w:rPr>
        <w:t xml:space="preserve">_________________    </w:t>
      </w:r>
      <w:r>
        <w:rPr>
          <w:rFonts w:hint="eastAsia" w:asciiTheme="minorEastAsia" w:hAnsiTheme="minorEastAsia" w:eastAsiaTheme="minorEastAsia"/>
          <w:kern w:val="0"/>
          <w:szCs w:val="21"/>
        </w:rPr>
        <w:t>报价有效期：</w:t>
      </w:r>
      <w:r>
        <w:rPr>
          <w:rFonts w:asciiTheme="minorEastAsia" w:hAnsiTheme="minorEastAsia" w:eastAsiaTheme="minorEastAsia"/>
          <w:kern w:val="0"/>
          <w:szCs w:val="21"/>
        </w:rPr>
        <w:t>________________</w:t>
      </w:r>
    </w:p>
    <w:p w14:paraId="731B8EA8">
      <w:pPr>
        <w:spacing w:line="360" w:lineRule="auto"/>
        <w:ind w:firstLine="420" w:firstLineChars="200"/>
        <w:rPr>
          <w:rFonts w:asciiTheme="minorEastAsia" w:hAnsiTheme="minorEastAsia" w:eastAsiaTheme="minorEastAsia"/>
          <w:kern w:val="0"/>
          <w:szCs w:val="21"/>
        </w:rPr>
      </w:pPr>
    </w:p>
    <w:p w14:paraId="43FAE3B4">
      <w:pPr>
        <w:wordWrap w:val="0"/>
        <w:jc w:val="both"/>
        <w:rPr>
          <w:rFonts w:ascii="Arial" w:hAnsi="Arial" w:cs="Arial"/>
        </w:rPr>
      </w:pPr>
      <w:r>
        <w:rPr>
          <w:rFonts w:hint="eastAsia" w:ascii="Arial" w:hAnsi="宋体" w:cs="Arial"/>
        </w:rPr>
        <w:t xml:space="preserve">  </w:t>
      </w:r>
      <w:r>
        <w:rPr>
          <w:rFonts w:hint="eastAsia" w:ascii="Arial" w:hAnsi="宋体" w:cs="Arial"/>
          <w:lang w:val="en-US" w:eastAsia="zh-CN"/>
        </w:rPr>
        <w:t xml:space="preserve">                                                                 </w:t>
      </w:r>
      <w:r>
        <w:rPr>
          <w:rFonts w:hint="eastAsia" w:ascii="Arial" w:hAnsi="宋体" w:cs="Arial"/>
        </w:rPr>
        <w:t xml:space="preserve"> </w:t>
      </w:r>
      <w:r>
        <w:rPr>
          <w:rFonts w:ascii="Arial" w:hAnsi="宋体" w:cs="Arial"/>
        </w:rPr>
        <w:t>年</w:t>
      </w:r>
      <w:r>
        <w:rPr>
          <w:rFonts w:hint="eastAsia" w:ascii="Arial" w:hAnsi="宋体" w:cs="Arial"/>
        </w:rPr>
        <w:t xml:space="preserve">   </w:t>
      </w:r>
      <w:r>
        <w:rPr>
          <w:rFonts w:ascii="Arial" w:hAnsi="宋体" w:cs="Arial"/>
        </w:rPr>
        <w:t>月</w:t>
      </w:r>
      <w:r>
        <w:rPr>
          <w:rFonts w:hint="eastAsia" w:ascii="Arial" w:hAnsi="宋体" w:cs="Arial"/>
        </w:rPr>
        <w:t xml:space="preserve">   </w:t>
      </w:r>
      <w:r>
        <w:rPr>
          <w:rFonts w:ascii="Arial" w:hAnsi="宋体" w:cs="Arial"/>
        </w:rPr>
        <w:t>日</w:t>
      </w:r>
    </w:p>
    <w:p w14:paraId="43794575">
      <w:pPr>
        <w:ind w:left="0" w:firstLine="0"/>
        <w:rPr>
          <w:rFonts w:hint="eastAsia" w:ascii="Arial" w:hAnsi="Arial" w:cs="Arial"/>
          <w:lang w:val="en-US" w:eastAsia="zh-CN"/>
        </w:rPr>
      </w:pPr>
    </w:p>
    <w:p w14:paraId="627CCDB7">
      <w:pPr>
        <w:ind w:left="0" w:firstLine="0"/>
        <w:rPr>
          <w:rFonts w:hint="eastAsia" w:ascii="Arial" w:hAnsi="Arial" w:cs="Arial"/>
          <w:lang w:val="en-US" w:eastAsia="zh-CN"/>
        </w:rPr>
      </w:pPr>
    </w:p>
    <w:p w14:paraId="0AC5A264">
      <w:pPr>
        <w:ind w:left="0" w:firstLine="0"/>
        <w:rPr>
          <w:rFonts w:hint="eastAsia" w:ascii="Arial" w:hAnsi="Arial" w:cs="Arial"/>
          <w:lang w:val="en-US" w:eastAsia="zh-CN"/>
        </w:rPr>
      </w:pPr>
    </w:p>
    <w:p w14:paraId="15DA8A3D">
      <w:pPr>
        <w:rPr>
          <w:rFonts w:hint="eastAsia" w:ascii="Arial" w:hAnsi="Arial" w:cs="Arial"/>
          <w:lang w:val="en-US" w:eastAsia="zh-CN"/>
        </w:rPr>
      </w:pPr>
      <w:r>
        <w:rPr>
          <w:rFonts w:hint="eastAsia" w:ascii="Arial" w:hAnsi="Arial" w:cs="Arial"/>
          <w:lang w:val="en-US" w:eastAsia="zh-CN"/>
        </w:rPr>
        <w:br w:type="page"/>
      </w:r>
    </w:p>
    <w:p w14:paraId="0EF4488D">
      <w:pPr>
        <w:ind w:left="0" w:firstLine="0"/>
        <w:rPr>
          <w:rFonts w:ascii="Arial" w:hAnsi="Arial" w:cs="Arial"/>
        </w:rPr>
      </w:pPr>
      <w:r>
        <w:rPr>
          <w:rFonts w:hint="eastAsia" w:ascii="Arial" w:hAnsi="Arial" w:cs="Arial"/>
          <w:lang w:val="en-US" w:eastAsia="zh-CN"/>
        </w:rPr>
        <w:t>七、</w:t>
      </w:r>
      <w:r>
        <w:rPr>
          <w:rFonts w:hint="eastAsia" w:ascii="Arial" w:hAnsi="Arial" w:cs="Arial"/>
        </w:rPr>
        <w:t>报价响应人资格声明函</w:t>
      </w:r>
    </w:p>
    <w:p w14:paraId="5BAC257D">
      <w:pPr>
        <w:widowControl/>
        <w:spacing w:line="240" w:lineRule="auto"/>
        <w:ind w:left="0" w:firstLine="0"/>
        <w:jc w:val="center"/>
        <w:rPr>
          <w:rFonts w:ascii="Arial" w:hAnsi="宋体" w:cs="Arial"/>
          <w:b/>
        </w:rPr>
      </w:pPr>
      <w:r>
        <w:rPr>
          <w:rFonts w:hint="eastAsia" w:ascii="Arial" w:hAnsi="宋体" w:cs="Arial"/>
          <w:b/>
        </w:rPr>
        <w:t>报价响应人资格声明函</w:t>
      </w:r>
    </w:p>
    <w:p w14:paraId="224C1E41">
      <w:pPr>
        <w:rPr>
          <w:rFonts w:ascii="Arial" w:hAnsi="宋体" w:cs="Arial"/>
        </w:rPr>
      </w:pPr>
    </w:p>
    <w:p w14:paraId="43AB0423">
      <w:pPr>
        <w:ind w:left="0" w:firstLine="0"/>
        <w:rPr>
          <w:rFonts w:hint="default" w:ascii="Arial" w:hAnsi="宋体" w:eastAsia="宋体" w:cs="Arial"/>
          <w:lang w:val="en-US" w:eastAsia="zh-CN"/>
        </w:rPr>
      </w:pPr>
      <w:r>
        <w:rPr>
          <w:rFonts w:hint="eastAsia" w:ascii="Arial" w:hAnsi="宋体" w:cs="Arial"/>
        </w:rPr>
        <w:t>项目名称：</w:t>
      </w:r>
      <w:r>
        <w:rPr>
          <w:rFonts w:hint="eastAsia" w:ascii="Arial" w:hAnsi="宋体" w:cs="Arial"/>
          <w:lang w:val="en-US" w:eastAsia="zh-CN"/>
        </w:rPr>
        <w:t>姚孟发电500KV变电站电容式电压互感器采购</w:t>
      </w:r>
    </w:p>
    <w:p w14:paraId="63CC0C50">
      <w:pPr>
        <w:ind w:left="0" w:firstLine="0"/>
        <w:rPr>
          <w:rFonts w:hint="default" w:ascii="Arial" w:hAnsi="宋体" w:eastAsia="宋体" w:cs="Arial"/>
          <w:lang w:val="en-US" w:eastAsia="zh-CN"/>
        </w:rPr>
      </w:pPr>
      <w:r>
        <w:rPr>
          <w:rFonts w:hint="eastAsia" w:ascii="Arial" w:hAnsi="宋体" w:cs="Arial"/>
        </w:rPr>
        <w:t>致：</w:t>
      </w:r>
      <w:r>
        <w:rPr>
          <w:rFonts w:hint="eastAsia" w:ascii="Arial" w:hAnsi="宋体" w:cs="Arial"/>
          <w:lang w:val="en-US" w:eastAsia="zh-CN"/>
        </w:rPr>
        <w:t>平顶山姚孟发电有限责任公司</w:t>
      </w:r>
    </w:p>
    <w:p w14:paraId="44DF29D5">
      <w:pPr>
        <w:ind w:left="0" w:firstLine="420" w:firstLineChars="200"/>
        <w:rPr>
          <w:rFonts w:ascii="Arial" w:hAnsi="宋体" w:cs="Arial"/>
        </w:rPr>
      </w:pPr>
      <w:r>
        <w:rPr>
          <w:rFonts w:hint="eastAsia" w:ascii="Arial" w:hAnsi="宋体" w:cs="Arial"/>
        </w:rPr>
        <w:t>我公司愿意针对上述项目进行报价。报价响应文件中所有关于报价响应人资格、业绩等的文件、证明、陈述均是真实的、准确的。若有违背，我公司承担由此而产生的一切后果。</w:t>
      </w:r>
    </w:p>
    <w:p w14:paraId="433540B3">
      <w:pPr>
        <w:ind w:left="0" w:firstLine="420" w:firstLineChars="200"/>
        <w:rPr>
          <w:rFonts w:ascii="Arial" w:hAnsi="宋体" w:cs="Arial"/>
        </w:rPr>
      </w:pPr>
      <w:r>
        <w:rPr>
          <w:rFonts w:hint="eastAsia" w:ascii="Arial" w:hAnsi="宋体" w:cs="Arial"/>
        </w:rPr>
        <w:t>我公司承诺没有处于被责令停业，财产被接管、冻结及破产状态，最近三年内没有发生骗取中标、严重违约等不良行为。</w:t>
      </w:r>
    </w:p>
    <w:p w14:paraId="7C1C69EC">
      <w:pPr>
        <w:ind w:left="0" w:firstLine="420" w:firstLineChars="200"/>
        <w:rPr>
          <w:rFonts w:ascii="Arial" w:hAnsi="宋体" w:cs="Arial"/>
        </w:rPr>
      </w:pPr>
      <w:r>
        <w:rPr>
          <w:rFonts w:hint="eastAsia" w:ascii="Arial" w:hAnsi="宋体" w:cs="Arial"/>
        </w:rPr>
        <w:t>特此声明！</w:t>
      </w:r>
    </w:p>
    <w:p w14:paraId="3478443C">
      <w:pPr>
        <w:rPr>
          <w:rFonts w:ascii="Arial" w:hAnsi="宋体" w:cs="Arial"/>
        </w:rPr>
      </w:pPr>
    </w:p>
    <w:p w14:paraId="6FC95D25">
      <w:pPr>
        <w:ind w:firstLine="420" w:firstLineChars="200"/>
        <w:jc w:val="right"/>
        <w:rPr>
          <w:rFonts w:ascii="Arial" w:hAnsi="Arial" w:cs="Arial"/>
        </w:rPr>
      </w:pPr>
      <w:r>
        <w:rPr>
          <w:rFonts w:hint="eastAsia" w:ascii="Arial" w:hAnsi="宋体" w:cs="Arial"/>
        </w:rPr>
        <w:t>报价</w:t>
      </w:r>
      <w:r>
        <w:rPr>
          <w:rFonts w:ascii="Arial" w:hAnsi="宋体" w:cs="Arial"/>
        </w:rPr>
        <w:t>单位：（</w:t>
      </w:r>
      <w:r>
        <w:rPr>
          <w:rFonts w:hint="eastAsia" w:ascii="Arial" w:hAnsi="宋体" w:cs="Arial"/>
        </w:rPr>
        <w:t>报价单位</w:t>
      </w:r>
      <w:r>
        <w:rPr>
          <w:rFonts w:ascii="Arial" w:hAnsi="宋体" w:cs="Arial"/>
        </w:rPr>
        <w:t>名称）</w:t>
      </w:r>
    </w:p>
    <w:p w14:paraId="7A09C564">
      <w:pPr>
        <w:widowControl/>
        <w:spacing w:line="240" w:lineRule="auto"/>
        <w:ind w:left="0" w:firstLine="0"/>
        <w:jc w:val="right"/>
        <w:rPr>
          <w:rFonts w:ascii="Arial" w:hAnsi="宋体" w:cs="Arial"/>
        </w:rPr>
      </w:pPr>
    </w:p>
    <w:p w14:paraId="6CFF8B9E">
      <w:pPr>
        <w:widowControl/>
        <w:spacing w:line="240" w:lineRule="auto"/>
        <w:ind w:left="0" w:firstLine="0"/>
        <w:jc w:val="right"/>
        <w:rPr>
          <w:rFonts w:ascii="Arial" w:hAnsi="宋体" w:cs="Arial"/>
        </w:rPr>
      </w:pPr>
    </w:p>
    <w:p w14:paraId="15628A1C">
      <w:pPr>
        <w:widowControl/>
        <w:spacing w:line="240" w:lineRule="auto"/>
        <w:ind w:left="0" w:firstLine="0"/>
        <w:jc w:val="right"/>
        <w:rPr>
          <w:rFonts w:ascii="Arial" w:hAnsi="Arial" w:cs="Arial"/>
        </w:rPr>
      </w:pPr>
      <w:r>
        <w:rPr>
          <w:rFonts w:ascii="Arial" w:hAnsi="宋体" w:cs="Arial"/>
        </w:rPr>
        <w:t>日期：</w:t>
      </w:r>
      <w:r>
        <w:rPr>
          <w:rFonts w:hint="eastAsia" w:ascii="Arial" w:hAnsi="宋体" w:cs="Arial"/>
        </w:rPr>
        <w:t xml:space="preserve">    </w:t>
      </w:r>
      <w:r>
        <w:rPr>
          <w:rFonts w:ascii="Arial" w:hAnsi="宋体" w:cs="Arial"/>
        </w:rPr>
        <w:t>年</w:t>
      </w:r>
      <w:r>
        <w:rPr>
          <w:rFonts w:hint="eastAsia" w:ascii="Arial" w:hAnsi="宋体" w:cs="Arial"/>
        </w:rPr>
        <w:t xml:space="preserve">    </w:t>
      </w:r>
      <w:r>
        <w:rPr>
          <w:rFonts w:ascii="Arial" w:hAnsi="宋体" w:cs="Arial"/>
        </w:rPr>
        <w:t>月</w:t>
      </w:r>
      <w:r>
        <w:rPr>
          <w:rFonts w:hint="eastAsia" w:ascii="Arial" w:hAnsi="宋体" w:cs="Arial"/>
        </w:rPr>
        <w:t xml:space="preserve">    </w:t>
      </w:r>
      <w:r>
        <w:rPr>
          <w:rFonts w:ascii="Arial" w:hAnsi="宋体" w:cs="Arial"/>
        </w:rPr>
        <w:t>日</w:t>
      </w:r>
    </w:p>
    <w:p w14:paraId="22A93D06">
      <w:pPr>
        <w:rPr>
          <w:rFonts w:ascii="Arial" w:hAnsi="宋体" w:cs="Arial"/>
        </w:rPr>
      </w:pPr>
    </w:p>
    <w:p w14:paraId="7F1A464D">
      <w:pPr>
        <w:ind w:left="0" w:firstLine="0"/>
        <w:rPr>
          <w:rFonts w:ascii="Arial" w:hAnsi="宋体" w:cs="Arial"/>
        </w:rPr>
      </w:pPr>
    </w:p>
    <w:p w14:paraId="1AA3355C">
      <w:pPr>
        <w:widowControl/>
        <w:spacing w:line="240" w:lineRule="auto"/>
        <w:ind w:left="0" w:firstLine="0"/>
        <w:jc w:val="left"/>
        <w:rPr>
          <w:rFonts w:ascii="Arial" w:hAnsi="宋体" w:cs="Arial"/>
        </w:rPr>
      </w:pPr>
      <w:r>
        <w:rPr>
          <w:rFonts w:ascii="Arial" w:hAnsi="宋体" w:cs="Arial"/>
        </w:rPr>
        <w:br w:type="page"/>
      </w:r>
    </w:p>
    <w:p w14:paraId="611C304E">
      <w:pPr>
        <w:ind w:left="0" w:firstLine="0"/>
        <w:rPr>
          <w:rFonts w:ascii="Arial" w:hAnsi="Arial" w:cs="Arial"/>
          <w:u w:val="single"/>
        </w:rPr>
      </w:pPr>
      <w:r>
        <w:rPr>
          <w:rFonts w:hint="eastAsia" w:ascii="Arial" w:hAnsi="宋体" w:cs="Arial"/>
          <w:lang w:val="en-US" w:eastAsia="zh-CN"/>
        </w:rPr>
        <w:t>八</w:t>
      </w:r>
      <w:r>
        <w:rPr>
          <w:rFonts w:hint="eastAsia" w:ascii="Arial" w:hAnsi="宋体" w:cs="Arial"/>
        </w:rPr>
        <w:t>、</w:t>
      </w:r>
      <w:r>
        <w:rPr>
          <w:rFonts w:ascii="Arial" w:hAnsi="宋体" w:cs="Arial"/>
        </w:rPr>
        <w:t>合同</w:t>
      </w:r>
      <w:r>
        <w:rPr>
          <w:rFonts w:hint="eastAsia" w:ascii="Arial" w:hAnsi="宋体" w:cs="Arial"/>
        </w:rPr>
        <w:t>条款</w:t>
      </w:r>
      <w:r>
        <w:rPr>
          <w:rFonts w:ascii="Arial" w:hAnsi="宋体" w:cs="Arial"/>
          <w:bCs/>
        </w:rPr>
        <w:t>确认函</w:t>
      </w:r>
    </w:p>
    <w:p w14:paraId="032F4152">
      <w:pPr>
        <w:tabs>
          <w:tab w:val="left" w:pos="630"/>
          <w:tab w:val="left" w:pos="7920"/>
          <w:tab w:val="left" w:pos="8520"/>
        </w:tabs>
        <w:rPr>
          <w:rFonts w:ascii="Arial" w:hAnsi="Arial" w:cs="Arial"/>
        </w:rPr>
      </w:pPr>
    </w:p>
    <w:p w14:paraId="1E165AD2">
      <w:pPr>
        <w:tabs>
          <w:tab w:val="left" w:pos="630"/>
          <w:tab w:val="left" w:pos="7920"/>
          <w:tab w:val="left" w:pos="8520"/>
        </w:tabs>
        <w:jc w:val="center"/>
        <w:rPr>
          <w:rFonts w:ascii="Arial" w:hAnsi="Arial" w:cs="Arial"/>
        </w:rPr>
      </w:pPr>
      <w:r>
        <w:rPr>
          <w:rFonts w:hint="eastAsia" w:ascii="Arial" w:hAnsi="Arial" w:cs="Arial"/>
        </w:rPr>
        <w:t>合同条款确认函</w:t>
      </w:r>
    </w:p>
    <w:p w14:paraId="3CBA4C2C">
      <w:pPr>
        <w:tabs>
          <w:tab w:val="left" w:pos="630"/>
          <w:tab w:val="left" w:pos="7920"/>
          <w:tab w:val="left" w:pos="8520"/>
        </w:tabs>
        <w:rPr>
          <w:rFonts w:ascii="Arial" w:hAnsi="宋体" w:cs="Arial"/>
        </w:rPr>
      </w:pPr>
    </w:p>
    <w:p w14:paraId="7BDD4F42">
      <w:pPr>
        <w:tabs>
          <w:tab w:val="left" w:pos="630"/>
          <w:tab w:val="left" w:pos="7920"/>
          <w:tab w:val="left" w:pos="8520"/>
        </w:tabs>
        <w:rPr>
          <w:rFonts w:ascii="Arial" w:hAnsi="Arial" w:cs="Arial"/>
        </w:rPr>
      </w:pPr>
      <w:r>
        <w:rPr>
          <w:rFonts w:ascii="Arial" w:hAnsi="宋体" w:cs="Arial"/>
        </w:rPr>
        <w:t>项目名称：</w:t>
      </w:r>
      <w:r>
        <w:rPr>
          <w:rFonts w:hint="eastAsia" w:ascii="Arial" w:hAnsi="宋体" w:cs="Arial"/>
        </w:rPr>
        <w:t>姚孟发电500KV变电站电容式电压互感器采购</w:t>
      </w:r>
      <w:bookmarkStart w:id="54" w:name="_GoBack"/>
      <w:bookmarkEnd w:id="54"/>
    </w:p>
    <w:p w14:paraId="2663E4D6">
      <w:pPr>
        <w:tabs>
          <w:tab w:val="left" w:pos="630"/>
        </w:tabs>
        <w:rPr>
          <w:rFonts w:hint="default" w:ascii="Arial" w:hAnsi="Arial" w:eastAsia="宋体" w:cs="Arial"/>
          <w:bCs/>
          <w:lang w:val="en-US" w:eastAsia="zh-CN"/>
        </w:rPr>
      </w:pPr>
      <w:r>
        <w:rPr>
          <w:rFonts w:ascii="Arial" w:hAnsi="宋体" w:cs="Arial"/>
        </w:rPr>
        <w:t>致：</w:t>
      </w:r>
      <w:r>
        <w:rPr>
          <w:rFonts w:hint="eastAsia" w:ascii="Arial" w:hAnsi="宋体" w:cs="Arial"/>
          <w:lang w:val="en-US" w:eastAsia="zh-CN"/>
        </w:rPr>
        <w:t>平顶山姚孟发电有限责任公司</w:t>
      </w:r>
    </w:p>
    <w:p w14:paraId="0D554A19">
      <w:pPr>
        <w:tabs>
          <w:tab w:val="left" w:pos="630"/>
        </w:tabs>
        <w:ind w:left="0" w:firstLine="420" w:firstLineChars="200"/>
        <w:rPr>
          <w:rFonts w:ascii="Arial" w:hAnsi="Arial" w:cs="Arial"/>
        </w:rPr>
      </w:pPr>
      <w:r>
        <w:rPr>
          <w:rFonts w:ascii="Arial" w:hAnsi="宋体" w:cs="Arial"/>
        </w:rPr>
        <w:t>除差异表所列条目内容以外，</w:t>
      </w:r>
      <w:r>
        <w:rPr>
          <w:rFonts w:ascii="Arial" w:hAnsi="宋体" w:cs="Arial"/>
          <w:u w:val="single"/>
        </w:rPr>
        <w:t>（报价响应人名称）</w:t>
      </w:r>
      <w:r>
        <w:rPr>
          <w:rFonts w:ascii="Arial" w:hAnsi="宋体" w:cs="Arial"/>
        </w:rPr>
        <w:t>完全理解和接受采购文件中的全部合同条款，并承诺按此签订合同。</w:t>
      </w:r>
    </w:p>
    <w:p w14:paraId="46FC71BD">
      <w:pPr>
        <w:tabs>
          <w:tab w:val="left" w:pos="4935"/>
          <w:tab w:val="left" w:pos="5040"/>
          <w:tab w:val="left" w:pos="6840"/>
          <w:tab w:val="left" w:pos="7350"/>
          <w:tab w:val="left" w:pos="8160"/>
        </w:tabs>
        <w:ind w:left="0" w:firstLine="0"/>
        <w:jc w:val="left"/>
        <w:rPr>
          <w:rFonts w:ascii="Arial" w:hAnsi="Arial" w:cs="Arial"/>
        </w:rPr>
      </w:pPr>
    </w:p>
    <w:p w14:paraId="4B0149BC">
      <w:pPr>
        <w:ind w:firstLine="420" w:firstLineChars="200"/>
        <w:jc w:val="right"/>
        <w:rPr>
          <w:rFonts w:ascii="Arial" w:hAnsi="Arial" w:cs="Arial"/>
        </w:rPr>
      </w:pPr>
      <w:r>
        <w:rPr>
          <w:rFonts w:hint="eastAsia" w:ascii="Arial" w:hAnsi="宋体" w:cs="Arial"/>
        </w:rPr>
        <w:t>报价</w:t>
      </w:r>
      <w:r>
        <w:rPr>
          <w:rFonts w:ascii="Arial" w:hAnsi="宋体" w:cs="Arial"/>
        </w:rPr>
        <w:t>单位：（</w:t>
      </w:r>
      <w:r>
        <w:rPr>
          <w:rFonts w:hint="eastAsia" w:ascii="Arial" w:hAnsi="宋体" w:cs="Arial"/>
        </w:rPr>
        <w:t>报价单位</w:t>
      </w:r>
      <w:r>
        <w:rPr>
          <w:rFonts w:ascii="Arial" w:hAnsi="宋体" w:cs="Arial"/>
        </w:rPr>
        <w:t>名称）</w:t>
      </w:r>
    </w:p>
    <w:p w14:paraId="0EFE39D9">
      <w:pPr>
        <w:widowControl/>
        <w:spacing w:line="240" w:lineRule="auto"/>
        <w:ind w:left="0" w:firstLine="0"/>
        <w:jc w:val="right"/>
        <w:rPr>
          <w:rFonts w:ascii="Arial" w:hAnsi="宋体" w:cs="Arial"/>
        </w:rPr>
      </w:pPr>
    </w:p>
    <w:p w14:paraId="2CEE1C94">
      <w:pPr>
        <w:widowControl/>
        <w:spacing w:line="240" w:lineRule="auto"/>
        <w:ind w:left="0" w:firstLine="0"/>
        <w:jc w:val="right"/>
        <w:rPr>
          <w:rFonts w:ascii="Arial" w:hAnsi="宋体" w:cs="Arial"/>
        </w:rPr>
      </w:pPr>
    </w:p>
    <w:p w14:paraId="2B0DDE9B">
      <w:pPr>
        <w:widowControl/>
        <w:spacing w:line="240" w:lineRule="auto"/>
        <w:ind w:left="0" w:firstLine="0"/>
        <w:jc w:val="right"/>
        <w:rPr>
          <w:rFonts w:ascii="Arial" w:hAnsi="Arial" w:cs="Arial"/>
        </w:rPr>
      </w:pPr>
      <w:r>
        <w:rPr>
          <w:rFonts w:ascii="Arial" w:hAnsi="宋体" w:cs="Arial"/>
        </w:rPr>
        <w:t>日期：</w:t>
      </w:r>
      <w:r>
        <w:rPr>
          <w:rFonts w:hint="eastAsia" w:ascii="Arial" w:hAnsi="宋体" w:cs="Arial"/>
        </w:rPr>
        <w:t xml:space="preserve">   </w:t>
      </w:r>
      <w:r>
        <w:rPr>
          <w:rFonts w:ascii="Arial" w:hAnsi="宋体" w:cs="Arial"/>
        </w:rPr>
        <w:t>年</w:t>
      </w:r>
      <w:r>
        <w:rPr>
          <w:rFonts w:hint="eastAsia" w:ascii="Arial" w:hAnsi="宋体" w:cs="Arial"/>
        </w:rPr>
        <w:t xml:space="preserve">   </w:t>
      </w:r>
      <w:r>
        <w:rPr>
          <w:rFonts w:ascii="Arial" w:hAnsi="宋体" w:cs="Arial"/>
        </w:rPr>
        <w:t>月</w:t>
      </w:r>
      <w:r>
        <w:rPr>
          <w:rFonts w:hint="eastAsia" w:ascii="Arial" w:hAnsi="宋体" w:cs="Arial"/>
        </w:rPr>
        <w:t xml:space="preserve">   </w:t>
      </w:r>
      <w:r>
        <w:rPr>
          <w:rFonts w:ascii="Arial" w:hAnsi="宋体" w:cs="Arial"/>
        </w:rPr>
        <w:t>日</w:t>
      </w:r>
    </w:p>
    <w:p w14:paraId="64E00697">
      <w:pPr>
        <w:tabs>
          <w:tab w:val="left" w:pos="4935"/>
          <w:tab w:val="left" w:pos="5040"/>
          <w:tab w:val="left" w:pos="6840"/>
          <w:tab w:val="left" w:pos="7350"/>
          <w:tab w:val="left" w:pos="8160"/>
        </w:tabs>
        <w:ind w:left="0" w:firstLine="0"/>
        <w:jc w:val="left"/>
        <w:rPr>
          <w:rFonts w:ascii="Arial" w:hAnsi="Arial" w:cs="Arial"/>
        </w:rPr>
      </w:pPr>
    </w:p>
    <w:p w14:paraId="1DC47408">
      <w:pPr>
        <w:tabs>
          <w:tab w:val="left" w:pos="4935"/>
          <w:tab w:val="left" w:pos="5040"/>
          <w:tab w:val="left" w:pos="6840"/>
          <w:tab w:val="left" w:pos="7350"/>
          <w:tab w:val="left" w:pos="8160"/>
        </w:tabs>
        <w:ind w:left="0" w:firstLine="0"/>
        <w:jc w:val="left"/>
        <w:rPr>
          <w:rFonts w:ascii="Arial" w:hAnsi="Arial" w:cs="Arial"/>
        </w:rPr>
      </w:pPr>
    </w:p>
    <w:p w14:paraId="2A82E78A">
      <w:pPr>
        <w:widowControl/>
        <w:spacing w:line="240" w:lineRule="auto"/>
        <w:ind w:left="0" w:firstLine="0"/>
        <w:jc w:val="left"/>
        <w:rPr>
          <w:rFonts w:ascii="Arial" w:hAnsi="Arial" w:cs="Arial"/>
        </w:rPr>
      </w:pPr>
      <w:r>
        <w:rPr>
          <w:rFonts w:ascii="Arial" w:hAnsi="Arial" w:cs="Arial"/>
        </w:rPr>
        <w:br w:type="page"/>
      </w:r>
    </w:p>
    <w:p w14:paraId="3B3142EF">
      <w:pPr>
        <w:ind w:left="0" w:firstLine="0"/>
        <w:rPr>
          <w:rFonts w:ascii="Arial" w:hAnsi="Arial" w:cs="Arial"/>
        </w:rPr>
      </w:pPr>
      <w:r>
        <w:rPr>
          <w:rFonts w:hint="eastAsia" w:ascii="Arial" w:hAnsi="宋体" w:cs="Arial"/>
          <w:lang w:val="en-US" w:eastAsia="zh-CN"/>
        </w:rPr>
        <w:t>九</w:t>
      </w:r>
      <w:r>
        <w:rPr>
          <w:rFonts w:hint="eastAsia" w:ascii="Arial" w:hAnsi="宋体" w:cs="Arial"/>
        </w:rPr>
        <w:t>、</w:t>
      </w:r>
      <w:r>
        <w:rPr>
          <w:rFonts w:ascii="Arial" w:hAnsi="宋体" w:cs="Arial"/>
        </w:rPr>
        <w:t>差异表</w:t>
      </w:r>
    </w:p>
    <w:p w14:paraId="666DFFBA">
      <w:pPr>
        <w:jc w:val="left"/>
        <w:rPr>
          <w:rFonts w:ascii="Arial" w:hAnsi="Arial" w:cs="Arial"/>
        </w:rPr>
      </w:pPr>
    </w:p>
    <w:p w14:paraId="226962BE">
      <w:pPr>
        <w:ind w:left="420"/>
        <w:jc w:val="center"/>
        <w:rPr>
          <w:rFonts w:ascii="Arial" w:hAnsi="Arial" w:cs="Arial"/>
        </w:rPr>
      </w:pPr>
      <w:r>
        <w:rPr>
          <w:rFonts w:ascii="Arial" w:hAnsi="宋体" w:cs="Arial"/>
        </w:rPr>
        <w:t>差异表</w:t>
      </w:r>
    </w:p>
    <w:tbl>
      <w:tblPr>
        <w:tblStyle w:val="62"/>
        <w:tblW w:w="9126"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41"/>
        <w:gridCol w:w="942"/>
        <w:gridCol w:w="1787"/>
        <w:gridCol w:w="942"/>
        <w:gridCol w:w="1787"/>
        <w:gridCol w:w="2727"/>
      </w:tblGrid>
      <w:tr w14:paraId="1AB3CB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c>
          <w:tcPr>
            <w:tcW w:w="941" w:type="dxa"/>
            <w:vMerge w:val="restart"/>
            <w:tcBorders>
              <w:top w:val="single" w:color="auto" w:sz="4" w:space="0"/>
              <w:left w:val="single" w:color="auto" w:sz="4" w:space="0"/>
              <w:bottom w:val="single" w:color="auto" w:sz="4" w:space="0"/>
              <w:right w:val="single" w:color="auto" w:sz="4" w:space="0"/>
            </w:tcBorders>
            <w:vAlign w:val="center"/>
          </w:tcPr>
          <w:p w14:paraId="7C231D39">
            <w:pPr>
              <w:adjustRightInd w:val="0"/>
              <w:snapToGrid w:val="0"/>
              <w:jc w:val="center"/>
              <w:rPr>
                <w:rFonts w:ascii="宋体" w:hAnsi="宋体" w:cs="Arial"/>
              </w:rPr>
            </w:pPr>
            <w:r>
              <w:rPr>
                <w:rFonts w:hint="eastAsia" w:ascii="宋体" w:hAnsi="宋体" w:cs="Arial"/>
              </w:rPr>
              <w:t>序号</w:t>
            </w:r>
          </w:p>
        </w:tc>
        <w:tc>
          <w:tcPr>
            <w:tcW w:w="2729" w:type="dxa"/>
            <w:gridSpan w:val="2"/>
            <w:tcBorders>
              <w:top w:val="single" w:color="auto" w:sz="4" w:space="0"/>
              <w:left w:val="single" w:color="auto" w:sz="4" w:space="0"/>
              <w:bottom w:val="single" w:color="auto" w:sz="4" w:space="0"/>
              <w:right w:val="single" w:color="auto" w:sz="4" w:space="0"/>
            </w:tcBorders>
            <w:vAlign w:val="center"/>
          </w:tcPr>
          <w:p w14:paraId="3CA3244C">
            <w:pPr>
              <w:adjustRightInd w:val="0"/>
              <w:snapToGrid w:val="0"/>
              <w:jc w:val="center"/>
              <w:rPr>
                <w:rFonts w:ascii="宋体" w:hAnsi="宋体" w:cs="Arial"/>
              </w:rPr>
            </w:pPr>
            <w:r>
              <w:rPr>
                <w:rFonts w:hint="eastAsia" w:ascii="宋体" w:hAnsi="宋体" w:cs="Arial"/>
              </w:rPr>
              <w:t>采购文件</w:t>
            </w:r>
          </w:p>
        </w:tc>
        <w:tc>
          <w:tcPr>
            <w:tcW w:w="2729" w:type="dxa"/>
            <w:gridSpan w:val="2"/>
            <w:tcBorders>
              <w:top w:val="single" w:color="auto" w:sz="4" w:space="0"/>
              <w:left w:val="single" w:color="auto" w:sz="4" w:space="0"/>
              <w:bottom w:val="single" w:color="auto" w:sz="4" w:space="0"/>
              <w:right w:val="single" w:color="auto" w:sz="4" w:space="0"/>
            </w:tcBorders>
            <w:vAlign w:val="center"/>
          </w:tcPr>
          <w:p w14:paraId="226D35A1">
            <w:pPr>
              <w:adjustRightInd w:val="0"/>
              <w:snapToGrid w:val="0"/>
              <w:jc w:val="center"/>
              <w:rPr>
                <w:rFonts w:ascii="宋体" w:hAnsi="宋体" w:cs="Arial"/>
              </w:rPr>
            </w:pPr>
            <w:r>
              <w:rPr>
                <w:rFonts w:hint="eastAsia" w:ascii="宋体" w:hAnsi="宋体" w:cs="Arial"/>
              </w:rPr>
              <w:t>报价响应文件</w:t>
            </w:r>
          </w:p>
        </w:tc>
        <w:tc>
          <w:tcPr>
            <w:tcW w:w="2727" w:type="dxa"/>
            <w:tcBorders>
              <w:top w:val="single" w:color="auto" w:sz="4" w:space="0"/>
              <w:left w:val="single" w:color="auto" w:sz="4" w:space="0"/>
              <w:bottom w:val="single" w:color="auto" w:sz="4" w:space="0"/>
              <w:right w:val="single" w:color="auto" w:sz="4" w:space="0"/>
            </w:tcBorders>
          </w:tcPr>
          <w:p w14:paraId="6095E4EF">
            <w:pPr>
              <w:adjustRightInd w:val="0"/>
              <w:snapToGrid w:val="0"/>
              <w:jc w:val="center"/>
              <w:rPr>
                <w:rFonts w:ascii="宋体" w:hAnsi="宋体" w:cs="Arial"/>
              </w:rPr>
            </w:pPr>
            <w:r>
              <w:rPr>
                <w:rFonts w:hint="eastAsia" w:ascii="宋体" w:hAnsi="宋体" w:cs="Arial"/>
              </w:rPr>
              <w:t>说明</w:t>
            </w:r>
          </w:p>
        </w:tc>
      </w:tr>
      <w:tr w14:paraId="097831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c>
          <w:tcPr>
            <w:tcW w:w="941" w:type="dxa"/>
            <w:vMerge w:val="continue"/>
            <w:tcBorders>
              <w:top w:val="single" w:color="auto" w:sz="4" w:space="0"/>
              <w:left w:val="single" w:color="auto" w:sz="4" w:space="0"/>
              <w:bottom w:val="single" w:color="auto" w:sz="4" w:space="0"/>
              <w:right w:val="single" w:color="auto" w:sz="4" w:space="0"/>
            </w:tcBorders>
            <w:vAlign w:val="center"/>
          </w:tcPr>
          <w:p w14:paraId="666DC9B7">
            <w:pPr>
              <w:adjustRightInd w:val="0"/>
              <w:snapToGrid w:val="0"/>
              <w:jc w:val="center"/>
              <w:rPr>
                <w:rFonts w:ascii="宋体" w:hAnsi="宋体" w:cs="Arial"/>
              </w:rPr>
            </w:pPr>
          </w:p>
        </w:tc>
        <w:tc>
          <w:tcPr>
            <w:tcW w:w="942" w:type="dxa"/>
            <w:tcBorders>
              <w:top w:val="single" w:color="auto" w:sz="4" w:space="0"/>
              <w:left w:val="single" w:color="auto" w:sz="4" w:space="0"/>
              <w:bottom w:val="single" w:color="auto" w:sz="4" w:space="0"/>
              <w:right w:val="single" w:color="auto" w:sz="4" w:space="0"/>
            </w:tcBorders>
            <w:vAlign w:val="center"/>
          </w:tcPr>
          <w:p w14:paraId="3232E8A9">
            <w:pPr>
              <w:adjustRightInd w:val="0"/>
              <w:snapToGrid w:val="0"/>
              <w:jc w:val="center"/>
              <w:rPr>
                <w:rFonts w:ascii="宋体" w:hAnsi="宋体" w:cs="Arial"/>
              </w:rPr>
            </w:pPr>
            <w:r>
              <w:rPr>
                <w:rFonts w:hint="eastAsia" w:ascii="宋体" w:hAnsi="宋体" w:cs="Arial"/>
              </w:rPr>
              <w:t>条目</w:t>
            </w:r>
          </w:p>
        </w:tc>
        <w:tc>
          <w:tcPr>
            <w:tcW w:w="1787" w:type="dxa"/>
            <w:tcBorders>
              <w:top w:val="single" w:color="auto" w:sz="4" w:space="0"/>
              <w:left w:val="single" w:color="auto" w:sz="4" w:space="0"/>
              <w:bottom w:val="single" w:color="auto" w:sz="4" w:space="0"/>
              <w:right w:val="single" w:color="auto" w:sz="4" w:space="0"/>
            </w:tcBorders>
            <w:vAlign w:val="center"/>
          </w:tcPr>
          <w:p w14:paraId="26C1E7B6">
            <w:pPr>
              <w:adjustRightInd w:val="0"/>
              <w:snapToGrid w:val="0"/>
              <w:jc w:val="center"/>
              <w:rPr>
                <w:rFonts w:ascii="宋体" w:hAnsi="宋体" w:cs="Arial"/>
              </w:rPr>
            </w:pPr>
            <w:r>
              <w:rPr>
                <w:rFonts w:hint="eastAsia" w:ascii="宋体" w:hAnsi="宋体" w:cs="Arial"/>
              </w:rPr>
              <w:t>简要内容</w:t>
            </w:r>
          </w:p>
        </w:tc>
        <w:tc>
          <w:tcPr>
            <w:tcW w:w="942" w:type="dxa"/>
            <w:tcBorders>
              <w:top w:val="single" w:color="auto" w:sz="4" w:space="0"/>
              <w:left w:val="single" w:color="auto" w:sz="4" w:space="0"/>
              <w:bottom w:val="single" w:color="auto" w:sz="4" w:space="0"/>
              <w:right w:val="single" w:color="auto" w:sz="4" w:space="0"/>
            </w:tcBorders>
            <w:vAlign w:val="center"/>
          </w:tcPr>
          <w:p w14:paraId="7C061727">
            <w:pPr>
              <w:adjustRightInd w:val="0"/>
              <w:snapToGrid w:val="0"/>
              <w:jc w:val="center"/>
              <w:rPr>
                <w:rFonts w:ascii="宋体" w:hAnsi="宋体" w:cs="Arial"/>
              </w:rPr>
            </w:pPr>
            <w:r>
              <w:rPr>
                <w:rFonts w:hint="eastAsia" w:ascii="宋体" w:hAnsi="宋体" w:cs="Arial"/>
              </w:rPr>
              <w:t>条目</w:t>
            </w:r>
          </w:p>
        </w:tc>
        <w:tc>
          <w:tcPr>
            <w:tcW w:w="1787" w:type="dxa"/>
            <w:tcBorders>
              <w:top w:val="single" w:color="auto" w:sz="4" w:space="0"/>
              <w:left w:val="single" w:color="auto" w:sz="4" w:space="0"/>
              <w:bottom w:val="single" w:color="auto" w:sz="4" w:space="0"/>
              <w:right w:val="single" w:color="auto" w:sz="4" w:space="0"/>
            </w:tcBorders>
            <w:vAlign w:val="center"/>
          </w:tcPr>
          <w:p w14:paraId="3609E8F7">
            <w:pPr>
              <w:adjustRightInd w:val="0"/>
              <w:snapToGrid w:val="0"/>
              <w:jc w:val="center"/>
              <w:rPr>
                <w:rFonts w:ascii="宋体" w:hAnsi="宋体" w:cs="Arial"/>
              </w:rPr>
            </w:pPr>
            <w:r>
              <w:rPr>
                <w:rFonts w:hint="eastAsia" w:ascii="宋体" w:hAnsi="宋体" w:cs="Arial"/>
              </w:rPr>
              <w:t>简要内容</w:t>
            </w:r>
          </w:p>
        </w:tc>
        <w:tc>
          <w:tcPr>
            <w:tcW w:w="2727" w:type="dxa"/>
            <w:tcBorders>
              <w:top w:val="single" w:color="auto" w:sz="4" w:space="0"/>
              <w:left w:val="single" w:color="auto" w:sz="4" w:space="0"/>
              <w:bottom w:val="single" w:color="auto" w:sz="4" w:space="0"/>
              <w:right w:val="single" w:color="auto" w:sz="4" w:space="0"/>
            </w:tcBorders>
          </w:tcPr>
          <w:p w14:paraId="039AD6EE">
            <w:pPr>
              <w:adjustRightInd w:val="0"/>
              <w:snapToGrid w:val="0"/>
              <w:jc w:val="center"/>
              <w:rPr>
                <w:rFonts w:ascii="宋体" w:hAnsi="宋体" w:cs="Arial"/>
              </w:rPr>
            </w:pPr>
          </w:p>
        </w:tc>
      </w:tr>
      <w:tr w14:paraId="347FCE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c>
          <w:tcPr>
            <w:tcW w:w="941" w:type="dxa"/>
            <w:tcBorders>
              <w:top w:val="single" w:color="auto" w:sz="4" w:space="0"/>
              <w:left w:val="single" w:color="auto" w:sz="4" w:space="0"/>
              <w:bottom w:val="single" w:color="auto" w:sz="4" w:space="0"/>
              <w:right w:val="single" w:color="auto" w:sz="4" w:space="0"/>
            </w:tcBorders>
            <w:vAlign w:val="center"/>
          </w:tcPr>
          <w:p w14:paraId="2A204774">
            <w:pPr>
              <w:adjustRightInd w:val="0"/>
              <w:snapToGrid w:val="0"/>
              <w:jc w:val="center"/>
              <w:rPr>
                <w:rFonts w:ascii="宋体" w:hAnsi="宋体" w:cs="Arial"/>
              </w:rPr>
            </w:pPr>
            <w:r>
              <w:rPr>
                <w:rFonts w:hint="eastAsia" w:ascii="宋体" w:hAnsi="宋体" w:cs="Arial"/>
              </w:rPr>
              <w:t>1</w:t>
            </w:r>
          </w:p>
        </w:tc>
        <w:tc>
          <w:tcPr>
            <w:tcW w:w="942" w:type="dxa"/>
            <w:tcBorders>
              <w:top w:val="single" w:color="auto" w:sz="4" w:space="0"/>
              <w:left w:val="single" w:color="auto" w:sz="4" w:space="0"/>
              <w:bottom w:val="single" w:color="auto" w:sz="4" w:space="0"/>
              <w:right w:val="single" w:color="auto" w:sz="4" w:space="0"/>
            </w:tcBorders>
            <w:vAlign w:val="center"/>
          </w:tcPr>
          <w:p w14:paraId="524DA8AE">
            <w:pPr>
              <w:adjustRightInd w:val="0"/>
              <w:snapToGrid w:val="0"/>
              <w:jc w:val="center"/>
              <w:rPr>
                <w:rFonts w:ascii="宋体" w:hAnsi="宋体" w:cs="Arial"/>
              </w:rPr>
            </w:pPr>
          </w:p>
        </w:tc>
        <w:tc>
          <w:tcPr>
            <w:tcW w:w="1787" w:type="dxa"/>
            <w:tcBorders>
              <w:top w:val="single" w:color="auto" w:sz="4" w:space="0"/>
              <w:left w:val="single" w:color="auto" w:sz="4" w:space="0"/>
              <w:bottom w:val="single" w:color="auto" w:sz="4" w:space="0"/>
              <w:right w:val="single" w:color="auto" w:sz="4" w:space="0"/>
            </w:tcBorders>
            <w:vAlign w:val="center"/>
          </w:tcPr>
          <w:p w14:paraId="503C4EFA">
            <w:pPr>
              <w:adjustRightInd w:val="0"/>
              <w:snapToGrid w:val="0"/>
              <w:jc w:val="center"/>
              <w:rPr>
                <w:rFonts w:ascii="宋体" w:hAnsi="宋体" w:cs="Arial"/>
              </w:rPr>
            </w:pPr>
          </w:p>
        </w:tc>
        <w:tc>
          <w:tcPr>
            <w:tcW w:w="942" w:type="dxa"/>
            <w:tcBorders>
              <w:top w:val="single" w:color="auto" w:sz="4" w:space="0"/>
              <w:left w:val="single" w:color="auto" w:sz="4" w:space="0"/>
              <w:bottom w:val="single" w:color="auto" w:sz="4" w:space="0"/>
              <w:right w:val="single" w:color="auto" w:sz="4" w:space="0"/>
            </w:tcBorders>
            <w:vAlign w:val="center"/>
          </w:tcPr>
          <w:p w14:paraId="3D838BE9">
            <w:pPr>
              <w:adjustRightInd w:val="0"/>
              <w:snapToGrid w:val="0"/>
              <w:jc w:val="center"/>
              <w:rPr>
                <w:rFonts w:ascii="宋体" w:hAnsi="宋体" w:cs="Arial"/>
              </w:rPr>
            </w:pPr>
          </w:p>
        </w:tc>
        <w:tc>
          <w:tcPr>
            <w:tcW w:w="1787" w:type="dxa"/>
            <w:tcBorders>
              <w:top w:val="single" w:color="auto" w:sz="4" w:space="0"/>
              <w:left w:val="single" w:color="auto" w:sz="4" w:space="0"/>
              <w:bottom w:val="single" w:color="auto" w:sz="4" w:space="0"/>
              <w:right w:val="single" w:color="auto" w:sz="4" w:space="0"/>
            </w:tcBorders>
            <w:vAlign w:val="center"/>
          </w:tcPr>
          <w:p w14:paraId="6E792EBD">
            <w:pPr>
              <w:adjustRightInd w:val="0"/>
              <w:snapToGrid w:val="0"/>
              <w:jc w:val="center"/>
              <w:rPr>
                <w:rFonts w:ascii="宋体" w:hAnsi="宋体" w:cs="Arial"/>
              </w:rPr>
            </w:pPr>
          </w:p>
        </w:tc>
        <w:tc>
          <w:tcPr>
            <w:tcW w:w="2727" w:type="dxa"/>
            <w:tcBorders>
              <w:top w:val="single" w:color="auto" w:sz="4" w:space="0"/>
              <w:left w:val="single" w:color="auto" w:sz="4" w:space="0"/>
              <w:bottom w:val="single" w:color="auto" w:sz="4" w:space="0"/>
              <w:right w:val="single" w:color="auto" w:sz="4" w:space="0"/>
            </w:tcBorders>
          </w:tcPr>
          <w:p w14:paraId="33148C91">
            <w:pPr>
              <w:adjustRightInd w:val="0"/>
              <w:snapToGrid w:val="0"/>
              <w:jc w:val="center"/>
              <w:rPr>
                <w:rFonts w:ascii="宋体" w:hAnsi="宋体" w:cs="Arial"/>
              </w:rPr>
            </w:pPr>
          </w:p>
        </w:tc>
      </w:tr>
      <w:tr w14:paraId="533446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c>
          <w:tcPr>
            <w:tcW w:w="941" w:type="dxa"/>
            <w:tcBorders>
              <w:top w:val="single" w:color="auto" w:sz="4" w:space="0"/>
              <w:left w:val="single" w:color="auto" w:sz="4" w:space="0"/>
              <w:bottom w:val="single" w:color="auto" w:sz="4" w:space="0"/>
              <w:right w:val="single" w:color="auto" w:sz="4" w:space="0"/>
            </w:tcBorders>
            <w:vAlign w:val="center"/>
          </w:tcPr>
          <w:p w14:paraId="2053A0E2">
            <w:pPr>
              <w:adjustRightInd w:val="0"/>
              <w:snapToGrid w:val="0"/>
              <w:jc w:val="center"/>
              <w:rPr>
                <w:rFonts w:ascii="宋体" w:hAnsi="宋体" w:cs="Arial"/>
              </w:rPr>
            </w:pPr>
            <w:r>
              <w:rPr>
                <w:rFonts w:hint="eastAsia" w:ascii="宋体" w:hAnsi="宋体" w:cs="Arial"/>
              </w:rPr>
              <w:t>2</w:t>
            </w:r>
          </w:p>
        </w:tc>
        <w:tc>
          <w:tcPr>
            <w:tcW w:w="942" w:type="dxa"/>
            <w:tcBorders>
              <w:top w:val="single" w:color="auto" w:sz="4" w:space="0"/>
              <w:left w:val="single" w:color="auto" w:sz="4" w:space="0"/>
              <w:bottom w:val="single" w:color="auto" w:sz="4" w:space="0"/>
              <w:right w:val="single" w:color="auto" w:sz="4" w:space="0"/>
            </w:tcBorders>
            <w:vAlign w:val="center"/>
          </w:tcPr>
          <w:p w14:paraId="66196C84">
            <w:pPr>
              <w:adjustRightInd w:val="0"/>
              <w:snapToGrid w:val="0"/>
              <w:jc w:val="center"/>
              <w:rPr>
                <w:rFonts w:ascii="宋体" w:hAnsi="宋体" w:cs="Arial"/>
              </w:rPr>
            </w:pPr>
          </w:p>
        </w:tc>
        <w:tc>
          <w:tcPr>
            <w:tcW w:w="1787" w:type="dxa"/>
            <w:tcBorders>
              <w:top w:val="single" w:color="auto" w:sz="4" w:space="0"/>
              <w:left w:val="single" w:color="auto" w:sz="4" w:space="0"/>
              <w:bottom w:val="single" w:color="auto" w:sz="4" w:space="0"/>
              <w:right w:val="single" w:color="auto" w:sz="4" w:space="0"/>
            </w:tcBorders>
            <w:vAlign w:val="center"/>
          </w:tcPr>
          <w:p w14:paraId="661DF12F">
            <w:pPr>
              <w:adjustRightInd w:val="0"/>
              <w:snapToGrid w:val="0"/>
              <w:jc w:val="center"/>
              <w:rPr>
                <w:rFonts w:ascii="宋体" w:hAnsi="宋体" w:cs="Arial"/>
              </w:rPr>
            </w:pPr>
          </w:p>
        </w:tc>
        <w:tc>
          <w:tcPr>
            <w:tcW w:w="942" w:type="dxa"/>
            <w:tcBorders>
              <w:top w:val="single" w:color="auto" w:sz="4" w:space="0"/>
              <w:left w:val="single" w:color="auto" w:sz="4" w:space="0"/>
              <w:bottom w:val="single" w:color="auto" w:sz="4" w:space="0"/>
              <w:right w:val="single" w:color="auto" w:sz="4" w:space="0"/>
            </w:tcBorders>
            <w:vAlign w:val="center"/>
          </w:tcPr>
          <w:p w14:paraId="4739D25E">
            <w:pPr>
              <w:adjustRightInd w:val="0"/>
              <w:snapToGrid w:val="0"/>
              <w:jc w:val="center"/>
              <w:rPr>
                <w:rFonts w:ascii="宋体" w:hAnsi="宋体" w:cs="Arial"/>
              </w:rPr>
            </w:pPr>
          </w:p>
        </w:tc>
        <w:tc>
          <w:tcPr>
            <w:tcW w:w="1787" w:type="dxa"/>
            <w:tcBorders>
              <w:top w:val="single" w:color="auto" w:sz="4" w:space="0"/>
              <w:left w:val="single" w:color="auto" w:sz="4" w:space="0"/>
              <w:bottom w:val="single" w:color="auto" w:sz="4" w:space="0"/>
              <w:right w:val="single" w:color="auto" w:sz="4" w:space="0"/>
            </w:tcBorders>
            <w:vAlign w:val="center"/>
          </w:tcPr>
          <w:p w14:paraId="65A9C422">
            <w:pPr>
              <w:adjustRightInd w:val="0"/>
              <w:snapToGrid w:val="0"/>
              <w:jc w:val="center"/>
              <w:rPr>
                <w:rFonts w:ascii="宋体" w:hAnsi="宋体" w:cs="Arial"/>
              </w:rPr>
            </w:pPr>
          </w:p>
        </w:tc>
        <w:tc>
          <w:tcPr>
            <w:tcW w:w="2727" w:type="dxa"/>
            <w:tcBorders>
              <w:top w:val="single" w:color="auto" w:sz="4" w:space="0"/>
              <w:left w:val="single" w:color="auto" w:sz="4" w:space="0"/>
              <w:bottom w:val="single" w:color="auto" w:sz="4" w:space="0"/>
              <w:right w:val="single" w:color="auto" w:sz="4" w:space="0"/>
            </w:tcBorders>
          </w:tcPr>
          <w:p w14:paraId="56E490CC">
            <w:pPr>
              <w:adjustRightInd w:val="0"/>
              <w:snapToGrid w:val="0"/>
              <w:jc w:val="center"/>
              <w:rPr>
                <w:rFonts w:ascii="宋体" w:hAnsi="宋体" w:cs="Arial"/>
              </w:rPr>
            </w:pPr>
          </w:p>
        </w:tc>
      </w:tr>
      <w:tr w14:paraId="34BFB1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c>
          <w:tcPr>
            <w:tcW w:w="941" w:type="dxa"/>
            <w:tcBorders>
              <w:top w:val="single" w:color="auto" w:sz="4" w:space="0"/>
              <w:left w:val="single" w:color="auto" w:sz="4" w:space="0"/>
              <w:bottom w:val="single" w:color="auto" w:sz="4" w:space="0"/>
              <w:right w:val="single" w:color="auto" w:sz="4" w:space="0"/>
            </w:tcBorders>
            <w:vAlign w:val="center"/>
          </w:tcPr>
          <w:p w14:paraId="3B6C3477">
            <w:pPr>
              <w:adjustRightInd w:val="0"/>
              <w:snapToGrid w:val="0"/>
              <w:jc w:val="center"/>
              <w:rPr>
                <w:rFonts w:ascii="宋体" w:hAnsi="宋体" w:cs="Arial"/>
              </w:rPr>
            </w:pPr>
            <w:r>
              <w:rPr>
                <w:rFonts w:hint="eastAsia" w:ascii="宋体" w:hAnsi="宋体" w:cs="Arial"/>
              </w:rPr>
              <w:t>3</w:t>
            </w:r>
          </w:p>
        </w:tc>
        <w:tc>
          <w:tcPr>
            <w:tcW w:w="942" w:type="dxa"/>
            <w:tcBorders>
              <w:top w:val="single" w:color="auto" w:sz="4" w:space="0"/>
              <w:left w:val="single" w:color="auto" w:sz="4" w:space="0"/>
              <w:bottom w:val="single" w:color="auto" w:sz="4" w:space="0"/>
              <w:right w:val="single" w:color="auto" w:sz="4" w:space="0"/>
            </w:tcBorders>
            <w:vAlign w:val="center"/>
          </w:tcPr>
          <w:p w14:paraId="18A8699A">
            <w:pPr>
              <w:adjustRightInd w:val="0"/>
              <w:snapToGrid w:val="0"/>
              <w:jc w:val="center"/>
              <w:rPr>
                <w:rFonts w:ascii="宋体" w:hAnsi="宋体" w:cs="Arial"/>
              </w:rPr>
            </w:pPr>
          </w:p>
        </w:tc>
        <w:tc>
          <w:tcPr>
            <w:tcW w:w="1787" w:type="dxa"/>
            <w:tcBorders>
              <w:top w:val="single" w:color="auto" w:sz="4" w:space="0"/>
              <w:left w:val="single" w:color="auto" w:sz="4" w:space="0"/>
              <w:bottom w:val="single" w:color="auto" w:sz="4" w:space="0"/>
              <w:right w:val="single" w:color="auto" w:sz="4" w:space="0"/>
            </w:tcBorders>
            <w:vAlign w:val="center"/>
          </w:tcPr>
          <w:p w14:paraId="60ACAA04">
            <w:pPr>
              <w:adjustRightInd w:val="0"/>
              <w:snapToGrid w:val="0"/>
              <w:jc w:val="center"/>
              <w:rPr>
                <w:rFonts w:ascii="宋体" w:hAnsi="宋体" w:cs="Arial"/>
              </w:rPr>
            </w:pPr>
          </w:p>
        </w:tc>
        <w:tc>
          <w:tcPr>
            <w:tcW w:w="942" w:type="dxa"/>
            <w:tcBorders>
              <w:top w:val="single" w:color="auto" w:sz="4" w:space="0"/>
              <w:left w:val="single" w:color="auto" w:sz="4" w:space="0"/>
              <w:bottom w:val="single" w:color="auto" w:sz="4" w:space="0"/>
              <w:right w:val="single" w:color="auto" w:sz="4" w:space="0"/>
            </w:tcBorders>
            <w:vAlign w:val="center"/>
          </w:tcPr>
          <w:p w14:paraId="7116F381">
            <w:pPr>
              <w:adjustRightInd w:val="0"/>
              <w:snapToGrid w:val="0"/>
              <w:jc w:val="center"/>
              <w:rPr>
                <w:rFonts w:ascii="宋体" w:hAnsi="宋体" w:cs="Arial"/>
              </w:rPr>
            </w:pPr>
          </w:p>
        </w:tc>
        <w:tc>
          <w:tcPr>
            <w:tcW w:w="1787" w:type="dxa"/>
            <w:tcBorders>
              <w:top w:val="single" w:color="auto" w:sz="4" w:space="0"/>
              <w:left w:val="single" w:color="auto" w:sz="4" w:space="0"/>
              <w:bottom w:val="single" w:color="auto" w:sz="4" w:space="0"/>
              <w:right w:val="single" w:color="auto" w:sz="4" w:space="0"/>
            </w:tcBorders>
            <w:vAlign w:val="center"/>
          </w:tcPr>
          <w:p w14:paraId="230F684F">
            <w:pPr>
              <w:adjustRightInd w:val="0"/>
              <w:snapToGrid w:val="0"/>
              <w:jc w:val="center"/>
              <w:rPr>
                <w:rFonts w:ascii="宋体" w:hAnsi="宋体" w:cs="Arial"/>
              </w:rPr>
            </w:pPr>
          </w:p>
        </w:tc>
        <w:tc>
          <w:tcPr>
            <w:tcW w:w="2727" w:type="dxa"/>
            <w:tcBorders>
              <w:top w:val="single" w:color="auto" w:sz="4" w:space="0"/>
              <w:left w:val="single" w:color="auto" w:sz="4" w:space="0"/>
              <w:bottom w:val="single" w:color="auto" w:sz="4" w:space="0"/>
              <w:right w:val="single" w:color="auto" w:sz="4" w:space="0"/>
            </w:tcBorders>
          </w:tcPr>
          <w:p w14:paraId="2335EC73">
            <w:pPr>
              <w:adjustRightInd w:val="0"/>
              <w:snapToGrid w:val="0"/>
              <w:jc w:val="center"/>
              <w:rPr>
                <w:rFonts w:ascii="宋体" w:hAnsi="宋体" w:cs="Arial"/>
              </w:rPr>
            </w:pPr>
          </w:p>
        </w:tc>
      </w:tr>
      <w:tr w14:paraId="462667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c>
          <w:tcPr>
            <w:tcW w:w="941" w:type="dxa"/>
            <w:tcBorders>
              <w:top w:val="single" w:color="auto" w:sz="4" w:space="0"/>
              <w:left w:val="single" w:color="auto" w:sz="4" w:space="0"/>
              <w:bottom w:val="single" w:color="auto" w:sz="4" w:space="0"/>
              <w:right w:val="single" w:color="auto" w:sz="4" w:space="0"/>
            </w:tcBorders>
            <w:vAlign w:val="center"/>
          </w:tcPr>
          <w:p w14:paraId="053FC7FE">
            <w:pPr>
              <w:adjustRightInd w:val="0"/>
              <w:snapToGrid w:val="0"/>
              <w:jc w:val="center"/>
              <w:rPr>
                <w:rFonts w:ascii="宋体" w:hAnsi="宋体" w:cs="Arial"/>
              </w:rPr>
            </w:pPr>
            <w:r>
              <w:rPr>
                <w:rFonts w:hint="eastAsia" w:ascii="宋体" w:hAnsi="宋体" w:cs="Arial"/>
              </w:rPr>
              <w:t>……</w:t>
            </w:r>
          </w:p>
        </w:tc>
        <w:tc>
          <w:tcPr>
            <w:tcW w:w="942" w:type="dxa"/>
            <w:tcBorders>
              <w:top w:val="single" w:color="auto" w:sz="4" w:space="0"/>
              <w:left w:val="single" w:color="auto" w:sz="4" w:space="0"/>
              <w:bottom w:val="single" w:color="auto" w:sz="4" w:space="0"/>
              <w:right w:val="single" w:color="auto" w:sz="4" w:space="0"/>
            </w:tcBorders>
            <w:vAlign w:val="center"/>
          </w:tcPr>
          <w:p w14:paraId="1941E789">
            <w:pPr>
              <w:adjustRightInd w:val="0"/>
              <w:snapToGrid w:val="0"/>
              <w:jc w:val="center"/>
              <w:rPr>
                <w:rFonts w:ascii="宋体" w:hAnsi="宋体" w:cs="Arial"/>
              </w:rPr>
            </w:pPr>
          </w:p>
        </w:tc>
        <w:tc>
          <w:tcPr>
            <w:tcW w:w="1787" w:type="dxa"/>
            <w:tcBorders>
              <w:top w:val="single" w:color="auto" w:sz="4" w:space="0"/>
              <w:left w:val="single" w:color="auto" w:sz="4" w:space="0"/>
              <w:bottom w:val="single" w:color="auto" w:sz="4" w:space="0"/>
              <w:right w:val="single" w:color="auto" w:sz="4" w:space="0"/>
            </w:tcBorders>
            <w:vAlign w:val="center"/>
          </w:tcPr>
          <w:p w14:paraId="775A74CF">
            <w:pPr>
              <w:adjustRightInd w:val="0"/>
              <w:snapToGrid w:val="0"/>
              <w:jc w:val="center"/>
              <w:rPr>
                <w:rFonts w:ascii="宋体" w:hAnsi="宋体" w:cs="Arial"/>
              </w:rPr>
            </w:pPr>
          </w:p>
        </w:tc>
        <w:tc>
          <w:tcPr>
            <w:tcW w:w="942" w:type="dxa"/>
            <w:tcBorders>
              <w:top w:val="single" w:color="auto" w:sz="4" w:space="0"/>
              <w:left w:val="single" w:color="auto" w:sz="4" w:space="0"/>
              <w:bottom w:val="single" w:color="auto" w:sz="4" w:space="0"/>
              <w:right w:val="single" w:color="auto" w:sz="4" w:space="0"/>
            </w:tcBorders>
            <w:vAlign w:val="center"/>
          </w:tcPr>
          <w:p w14:paraId="46DBA1D9">
            <w:pPr>
              <w:adjustRightInd w:val="0"/>
              <w:snapToGrid w:val="0"/>
              <w:jc w:val="center"/>
              <w:rPr>
                <w:rFonts w:ascii="宋体" w:hAnsi="宋体" w:cs="Arial"/>
              </w:rPr>
            </w:pPr>
          </w:p>
        </w:tc>
        <w:tc>
          <w:tcPr>
            <w:tcW w:w="1787" w:type="dxa"/>
            <w:tcBorders>
              <w:top w:val="single" w:color="auto" w:sz="4" w:space="0"/>
              <w:left w:val="single" w:color="auto" w:sz="4" w:space="0"/>
              <w:bottom w:val="single" w:color="auto" w:sz="4" w:space="0"/>
              <w:right w:val="single" w:color="auto" w:sz="4" w:space="0"/>
            </w:tcBorders>
            <w:vAlign w:val="center"/>
          </w:tcPr>
          <w:p w14:paraId="693FFF0D">
            <w:pPr>
              <w:adjustRightInd w:val="0"/>
              <w:snapToGrid w:val="0"/>
              <w:jc w:val="center"/>
              <w:rPr>
                <w:rFonts w:ascii="宋体" w:hAnsi="宋体" w:cs="Arial"/>
              </w:rPr>
            </w:pPr>
          </w:p>
        </w:tc>
        <w:tc>
          <w:tcPr>
            <w:tcW w:w="2727" w:type="dxa"/>
            <w:tcBorders>
              <w:top w:val="single" w:color="auto" w:sz="4" w:space="0"/>
              <w:left w:val="single" w:color="auto" w:sz="4" w:space="0"/>
              <w:bottom w:val="single" w:color="auto" w:sz="4" w:space="0"/>
              <w:right w:val="single" w:color="auto" w:sz="4" w:space="0"/>
            </w:tcBorders>
          </w:tcPr>
          <w:p w14:paraId="10AF49AC">
            <w:pPr>
              <w:adjustRightInd w:val="0"/>
              <w:snapToGrid w:val="0"/>
              <w:jc w:val="center"/>
              <w:rPr>
                <w:rFonts w:ascii="宋体" w:hAnsi="宋体" w:cs="Arial"/>
              </w:rPr>
            </w:pPr>
          </w:p>
        </w:tc>
      </w:tr>
    </w:tbl>
    <w:p w14:paraId="302F57D3">
      <w:pPr>
        <w:ind w:left="0" w:firstLine="0"/>
        <w:rPr>
          <w:rFonts w:ascii="Arial" w:hAnsi="宋体" w:cs="Arial"/>
        </w:rPr>
      </w:pPr>
      <w:r>
        <w:rPr>
          <w:rFonts w:hint="eastAsia" w:ascii="Arial" w:hAnsi="宋体" w:cs="Arial"/>
        </w:rPr>
        <w:t>我公司已将此次报价的所有差异列于上述表格，除上述表格中的内容再无其它差异。</w:t>
      </w:r>
    </w:p>
    <w:p w14:paraId="0C3C542C">
      <w:pPr>
        <w:ind w:left="0" w:firstLine="0"/>
        <w:rPr>
          <w:rFonts w:ascii="Arial" w:hAnsi="宋体" w:cs="Arial"/>
        </w:rPr>
      </w:pPr>
    </w:p>
    <w:p w14:paraId="605496F1">
      <w:pPr>
        <w:ind w:left="0" w:firstLine="0"/>
        <w:rPr>
          <w:rFonts w:ascii="Arial" w:hAnsi="宋体" w:cs="Arial"/>
          <w:b/>
        </w:rPr>
      </w:pPr>
      <w:r>
        <w:rPr>
          <w:rFonts w:ascii="Arial" w:hAnsi="宋体" w:cs="Arial"/>
          <w:b/>
        </w:rPr>
        <w:t>注：</w:t>
      </w:r>
    </w:p>
    <w:p w14:paraId="62F2334D">
      <w:pPr>
        <w:ind w:left="0" w:firstLine="0"/>
        <w:rPr>
          <w:rFonts w:ascii="Arial" w:hAnsi="Arial" w:cs="Arial"/>
          <w:b/>
        </w:rPr>
      </w:pPr>
      <w:r>
        <w:rPr>
          <w:rFonts w:hint="eastAsia" w:ascii="Arial" w:hAnsi="Arial" w:cs="Arial"/>
          <w:b/>
        </w:rPr>
        <w:t>1、报价响应人要将报价响应文件和采购文件的差异之处汇集成表。报价响应文件对采购文件未提出异议的条款，均被视为接受和同意。报价响应文件与采购文件有差异之处，无论多么微小，均应按采购文件格式要求统一汇总说明。</w:t>
      </w:r>
    </w:p>
    <w:p w14:paraId="4B248738">
      <w:pPr>
        <w:ind w:left="0" w:firstLine="0"/>
        <w:rPr>
          <w:rFonts w:ascii="Arial" w:hAnsi="Arial" w:cs="Arial"/>
          <w:b/>
        </w:rPr>
      </w:pPr>
      <w:r>
        <w:rPr>
          <w:rFonts w:hint="eastAsia" w:ascii="Arial" w:hAnsi="Arial" w:cs="Arial"/>
          <w:b/>
        </w:rPr>
        <w:t>2、对于报价响应人提出的上述差异，如存在重大偏离，导致询价人无法承受，则有可能导致其报价被否决。</w:t>
      </w:r>
    </w:p>
    <w:p w14:paraId="6BACE6A4">
      <w:pPr>
        <w:ind w:left="0" w:firstLine="0"/>
        <w:rPr>
          <w:rFonts w:ascii="Arial" w:hAnsi="宋体" w:cs="Arial"/>
          <w:b/>
        </w:rPr>
      </w:pPr>
      <w:r>
        <w:rPr>
          <w:rFonts w:hint="eastAsia" w:ascii="Arial" w:hAnsi="Arial" w:cs="Arial"/>
          <w:b/>
        </w:rPr>
        <w:t>3</w:t>
      </w:r>
      <w:r>
        <w:rPr>
          <w:rFonts w:ascii="Arial" w:hAnsi="宋体" w:cs="Arial"/>
          <w:b/>
        </w:rPr>
        <w:t>、报价响应人在提出差异时，应考虑所提出的差异可能会被</w:t>
      </w:r>
      <w:r>
        <w:rPr>
          <w:rFonts w:hint="eastAsia" w:ascii="Arial" w:hAnsi="宋体" w:cs="Arial"/>
          <w:b/>
        </w:rPr>
        <w:t>评审小组</w:t>
      </w:r>
      <w:r>
        <w:rPr>
          <w:rFonts w:ascii="Arial" w:hAnsi="宋体" w:cs="Arial"/>
          <w:b/>
        </w:rPr>
        <w:t>认为实质上不响应采购文件要求，而被认定为无效报价。</w:t>
      </w:r>
    </w:p>
    <w:p w14:paraId="7BC34C5A">
      <w:pPr>
        <w:ind w:left="0" w:firstLine="0"/>
        <w:rPr>
          <w:rFonts w:ascii="Arial" w:hAnsi="Arial" w:cs="Arial"/>
        </w:rPr>
      </w:pPr>
      <w:r>
        <w:rPr>
          <w:rFonts w:hint="eastAsia" w:ascii="Arial" w:hAnsi="Arial" w:cs="Arial"/>
          <w:b/>
        </w:rPr>
        <w:t>4</w:t>
      </w:r>
      <w:r>
        <w:rPr>
          <w:rFonts w:ascii="Arial" w:hAnsi="宋体" w:cs="Arial"/>
          <w:b/>
        </w:rPr>
        <w:t>、报价响应人若未填写此表，视为完全响应采购文件。</w:t>
      </w:r>
    </w:p>
    <w:p w14:paraId="508F6920">
      <w:pPr>
        <w:ind w:left="0" w:firstLine="0"/>
        <w:rPr>
          <w:rFonts w:ascii="Arial" w:hAnsi="Arial" w:cs="Arial"/>
        </w:rPr>
      </w:pPr>
    </w:p>
    <w:p w14:paraId="2F88B4CA">
      <w:pPr>
        <w:ind w:firstLine="420" w:firstLineChars="200"/>
        <w:jc w:val="right"/>
        <w:rPr>
          <w:rFonts w:ascii="Arial" w:hAnsi="Arial" w:cs="Arial"/>
        </w:rPr>
      </w:pPr>
      <w:r>
        <w:rPr>
          <w:rFonts w:hint="eastAsia" w:ascii="Arial" w:hAnsi="宋体" w:cs="Arial"/>
        </w:rPr>
        <w:t>报价</w:t>
      </w:r>
      <w:r>
        <w:rPr>
          <w:rFonts w:ascii="Arial" w:hAnsi="宋体" w:cs="Arial"/>
        </w:rPr>
        <w:t>单位：（</w:t>
      </w:r>
      <w:r>
        <w:rPr>
          <w:rFonts w:hint="eastAsia" w:ascii="Arial" w:hAnsi="宋体" w:cs="Arial"/>
        </w:rPr>
        <w:t>报价单位</w:t>
      </w:r>
      <w:r>
        <w:rPr>
          <w:rFonts w:ascii="Arial" w:hAnsi="宋体" w:cs="Arial"/>
        </w:rPr>
        <w:t>名称）</w:t>
      </w:r>
    </w:p>
    <w:p w14:paraId="54BF87EF">
      <w:pPr>
        <w:widowControl/>
        <w:spacing w:line="240" w:lineRule="auto"/>
        <w:ind w:left="0" w:firstLine="0"/>
        <w:jc w:val="right"/>
        <w:rPr>
          <w:rFonts w:ascii="Arial" w:hAnsi="宋体" w:cs="Arial"/>
        </w:rPr>
      </w:pPr>
    </w:p>
    <w:p w14:paraId="78DCA975">
      <w:pPr>
        <w:widowControl/>
        <w:spacing w:line="240" w:lineRule="auto"/>
        <w:ind w:left="0" w:firstLine="0"/>
        <w:jc w:val="right"/>
        <w:rPr>
          <w:rFonts w:ascii="Arial" w:hAnsi="宋体" w:cs="Arial"/>
        </w:rPr>
      </w:pPr>
    </w:p>
    <w:p w14:paraId="6DD13C9F">
      <w:pPr>
        <w:widowControl/>
        <w:spacing w:line="240" w:lineRule="auto"/>
        <w:ind w:left="0" w:firstLine="0"/>
        <w:jc w:val="right"/>
        <w:rPr>
          <w:rFonts w:ascii="Arial" w:hAnsi="Arial" w:cs="Arial"/>
        </w:rPr>
      </w:pPr>
      <w:r>
        <w:rPr>
          <w:rFonts w:ascii="Arial" w:hAnsi="宋体" w:cs="Arial"/>
        </w:rPr>
        <w:t>日期：</w:t>
      </w:r>
      <w:r>
        <w:rPr>
          <w:rFonts w:hint="eastAsia" w:ascii="Arial" w:hAnsi="宋体" w:cs="Arial"/>
        </w:rPr>
        <w:t xml:space="preserve">   </w:t>
      </w:r>
      <w:r>
        <w:rPr>
          <w:rFonts w:ascii="Arial" w:hAnsi="宋体" w:cs="Arial"/>
        </w:rPr>
        <w:t>年</w:t>
      </w:r>
      <w:r>
        <w:rPr>
          <w:rFonts w:hint="eastAsia" w:ascii="Arial" w:hAnsi="宋体" w:cs="Arial"/>
        </w:rPr>
        <w:t xml:space="preserve">   </w:t>
      </w:r>
      <w:r>
        <w:rPr>
          <w:rFonts w:ascii="Arial" w:hAnsi="宋体" w:cs="Arial"/>
        </w:rPr>
        <w:t>月</w:t>
      </w:r>
      <w:r>
        <w:rPr>
          <w:rFonts w:hint="eastAsia" w:ascii="Arial" w:hAnsi="宋体" w:cs="Arial"/>
        </w:rPr>
        <w:t xml:space="preserve">   </w:t>
      </w:r>
      <w:r>
        <w:rPr>
          <w:rFonts w:ascii="Arial" w:hAnsi="宋体" w:cs="Arial"/>
        </w:rPr>
        <w:t>日</w:t>
      </w:r>
    </w:p>
    <w:p w14:paraId="23433FFA">
      <w:pPr>
        <w:ind w:left="0" w:firstLine="0"/>
        <w:rPr>
          <w:rFonts w:ascii="Arial" w:hAnsi="Arial" w:cs="Arial"/>
        </w:rPr>
      </w:pPr>
    </w:p>
    <w:p w14:paraId="0B6FB2DD">
      <w:pPr>
        <w:widowControl/>
        <w:spacing w:line="240" w:lineRule="auto"/>
        <w:ind w:left="0" w:firstLine="0"/>
        <w:jc w:val="left"/>
        <w:rPr>
          <w:rFonts w:ascii="Arial" w:hAnsi="宋体" w:cs="Arial"/>
        </w:rPr>
      </w:pPr>
      <w:r>
        <w:rPr>
          <w:rFonts w:ascii="Arial" w:hAnsi="宋体" w:cs="Arial"/>
        </w:rPr>
        <w:br w:type="page"/>
      </w:r>
    </w:p>
    <w:p w14:paraId="4328741C">
      <w:pPr>
        <w:keepNext/>
        <w:keepLines/>
        <w:spacing w:line="360" w:lineRule="auto"/>
        <w:outlineLvl w:val="2"/>
        <w:rPr>
          <w:rFonts w:ascii="Times New Roman" w:hAnsi="Times New Roman"/>
          <w:b/>
          <w:szCs w:val="21"/>
        </w:rPr>
      </w:pPr>
      <w:bookmarkStart w:id="47" w:name="_Toc6561277"/>
      <w:r>
        <w:rPr>
          <w:rFonts w:hint="eastAsia"/>
          <w:b/>
          <w:szCs w:val="21"/>
          <w:lang w:val="en-US" w:eastAsia="zh-CN"/>
        </w:rPr>
        <w:t>十.</w:t>
      </w:r>
      <w:r>
        <w:rPr>
          <w:rFonts w:ascii="Times New Roman" w:hAnsi="Times New Roman"/>
          <w:b/>
          <w:szCs w:val="21"/>
        </w:rPr>
        <w:t>基本情况表</w:t>
      </w:r>
      <w:bookmarkEnd w:id="47"/>
    </w:p>
    <w:tbl>
      <w:tblPr>
        <w:tblStyle w:val="62"/>
        <w:tblW w:w="957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29"/>
        <w:gridCol w:w="1013"/>
        <w:gridCol w:w="2582"/>
        <w:gridCol w:w="1216"/>
        <w:gridCol w:w="2431"/>
      </w:tblGrid>
      <w:tr w14:paraId="50F544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9" w:type="dxa"/>
            <w:vAlign w:val="center"/>
          </w:tcPr>
          <w:p w14:paraId="38324A49">
            <w:pPr>
              <w:topLinePunct/>
              <w:spacing w:line="240" w:lineRule="auto"/>
              <w:jc w:val="center"/>
              <w:rPr>
                <w:rFonts w:ascii="Times New Roman" w:hAnsi="Times New Roman"/>
                <w:szCs w:val="21"/>
              </w:rPr>
            </w:pPr>
            <w:r>
              <w:rPr>
                <w:rFonts w:ascii="Times New Roman" w:hAnsi="Times New Roman"/>
                <w:szCs w:val="21"/>
              </w:rPr>
              <w:t>投标人名称</w:t>
            </w:r>
          </w:p>
        </w:tc>
        <w:tc>
          <w:tcPr>
            <w:tcW w:w="7242" w:type="dxa"/>
            <w:gridSpan w:val="4"/>
            <w:vAlign w:val="center"/>
          </w:tcPr>
          <w:p w14:paraId="0F950C80">
            <w:pPr>
              <w:topLinePunct/>
              <w:spacing w:line="240" w:lineRule="auto"/>
              <w:jc w:val="center"/>
              <w:rPr>
                <w:rFonts w:ascii="Times New Roman" w:hAnsi="Times New Roman"/>
                <w:szCs w:val="21"/>
              </w:rPr>
            </w:pPr>
          </w:p>
        </w:tc>
      </w:tr>
      <w:tr w14:paraId="3156C9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9" w:type="dxa"/>
            <w:vAlign w:val="center"/>
          </w:tcPr>
          <w:p w14:paraId="3A8571E4">
            <w:pPr>
              <w:topLinePunct/>
              <w:spacing w:line="240" w:lineRule="auto"/>
              <w:jc w:val="center"/>
              <w:rPr>
                <w:rFonts w:ascii="Times New Roman" w:hAnsi="Times New Roman"/>
                <w:szCs w:val="21"/>
              </w:rPr>
            </w:pPr>
            <w:r>
              <w:rPr>
                <w:rFonts w:ascii="Times New Roman" w:hAnsi="Times New Roman"/>
                <w:szCs w:val="21"/>
              </w:rPr>
              <w:t>注册资金</w:t>
            </w:r>
          </w:p>
        </w:tc>
        <w:tc>
          <w:tcPr>
            <w:tcW w:w="3595" w:type="dxa"/>
            <w:gridSpan w:val="2"/>
            <w:vAlign w:val="center"/>
          </w:tcPr>
          <w:p w14:paraId="1583C61D">
            <w:pPr>
              <w:topLinePunct/>
              <w:spacing w:line="240" w:lineRule="auto"/>
              <w:jc w:val="center"/>
              <w:rPr>
                <w:rFonts w:ascii="Times New Roman" w:hAnsi="Times New Roman"/>
                <w:szCs w:val="21"/>
              </w:rPr>
            </w:pPr>
          </w:p>
        </w:tc>
        <w:tc>
          <w:tcPr>
            <w:tcW w:w="1216" w:type="dxa"/>
            <w:vAlign w:val="center"/>
          </w:tcPr>
          <w:p w14:paraId="386833FA">
            <w:pPr>
              <w:topLinePunct/>
              <w:spacing w:line="240" w:lineRule="auto"/>
              <w:jc w:val="center"/>
              <w:rPr>
                <w:rFonts w:ascii="Times New Roman" w:hAnsi="Times New Roman"/>
                <w:szCs w:val="21"/>
              </w:rPr>
            </w:pPr>
            <w:r>
              <w:rPr>
                <w:rFonts w:ascii="Times New Roman" w:hAnsi="Times New Roman"/>
                <w:szCs w:val="21"/>
              </w:rPr>
              <w:t>成立时间</w:t>
            </w:r>
          </w:p>
        </w:tc>
        <w:tc>
          <w:tcPr>
            <w:tcW w:w="2431" w:type="dxa"/>
            <w:vAlign w:val="center"/>
          </w:tcPr>
          <w:p w14:paraId="122FFCB3">
            <w:pPr>
              <w:topLinePunct/>
              <w:spacing w:line="240" w:lineRule="auto"/>
              <w:jc w:val="center"/>
              <w:rPr>
                <w:rFonts w:ascii="Times New Roman" w:hAnsi="Times New Roman"/>
                <w:szCs w:val="21"/>
              </w:rPr>
            </w:pPr>
          </w:p>
        </w:tc>
      </w:tr>
      <w:tr w14:paraId="55FE12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9" w:type="dxa"/>
            <w:vAlign w:val="center"/>
          </w:tcPr>
          <w:p w14:paraId="2C6EA9CE">
            <w:pPr>
              <w:topLinePunct/>
              <w:spacing w:line="240" w:lineRule="auto"/>
              <w:jc w:val="center"/>
              <w:rPr>
                <w:rFonts w:ascii="Times New Roman" w:hAnsi="Times New Roman"/>
                <w:szCs w:val="21"/>
              </w:rPr>
            </w:pPr>
            <w:r>
              <w:rPr>
                <w:rFonts w:ascii="Times New Roman" w:hAnsi="Times New Roman"/>
                <w:szCs w:val="21"/>
              </w:rPr>
              <w:t>注册地址</w:t>
            </w:r>
          </w:p>
        </w:tc>
        <w:tc>
          <w:tcPr>
            <w:tcW w:w="7242" w:type="dxa"/>
            <w:gridSpan w:val="4"/>
            <w:vAlign w:val="center"/>
          </w:tcPr>
          <w:p w14:paraId="49D1197E">
            <w:pPr>
              <w:topLinePunct/>
              <w:spacing w:line="240" w:lineRule="auto"/>
              <w:jc w:val="center"/>
              <w:rPr>
                <w:rFonts w:ascii="Times New Roman" w:hAnsi="Times New Roman"/>
                <w:szCs w:val="21"/>
              </w:rPr>
            </w:pPr>
          </w:p>
        </w:tc>
      </w:tr>
      <w:tr w14:paraId="1AB999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9" w:type="dxa"/>
            <w:vAlign w:val="center"/>
          </w:tcPr>
          <w:p w14:paraId="415A668A">
            <w:pPr>
              <w:topLinePunct/>
              <w:spacing w:line="240" w:lineRule="auto"/>
              <w:jc w:val="center"/>
              <w:rPr>
                <w:rFonts w:ascii="Times New Roman" w:hAnsi="Times New Roman"/>
                <w:szCs w:val="21"/>
              </w:rPr>
            </w:pPr>
            <w:r>
              <w:rPr>
                <w:rFonts w:ascii="Times New Roman" w:hAnsi="Times New Roman"/>
                <w:szCs w:val="21"/>
              </w:rPr>
              <w:t>邮政编码</w:t>
            </w:r>
          </w:p>
        </w:tc>
        <w:tc>
          <w:tcPr>
            <w:tcW w:w="3595" w:type="dxa"/>
            <w:gridSpan w:val="2"/>
            <w:vAlign w:val="center"/>
          </w:tcPr>
          <w:p w14:paraId="1EEA0324">
            <w:pPr>
              <w:topLinePunct/>
              <w:spacing w:line="240" w:lineRule="auto"/>
              <w:jc w:val="center"/>
              <w:rPr>
                <w:rFonts w:ascii="Times New Roman" w:hAnsi="Times New Roman"/>
                <w:szCs w:val="21"/>
              </w:rPr>
            </w:pPr>
          </w:p>
        </w:tc>
        <w:tc>
          <w:tcPr>
            <w:tcW w:w="1216" w:type="dxa"/>
            <w:vAlign w:val="center"/>
          </w:tcPr>
          <w:p w14:paraId="2B52258F">
            <w:pPr>
              <w:topLinePunct/>
              <w:spacing w:line="240" w:lineRule="auto"/>
              <w:jc w:val="center"/>
              <w:rPr>
                <w:rFonts w:ascii="Times New Roman" w:hAnsi="Times New Roman"/>
                <w:szCs w:val="21"/>
              </w:rPr>
            </w:pPr>
            <w:r>
              <w:rPr>
                <w:rFonts w:ascii="Times New Roman" w:hAnsi="Times New Roman"/>
                <w:szCs w:val="21"/>
              </w:rPr>
              <w:t>员工总数</w:t>
            </w:r>
          </w:p>
        </w:tc>
        <w:tc>
          <w:tcPr>
            <w:tcW w:w="2431" w:type="dxa"/>
            <w:vAlign w:val="center"/>
          </w:tcPr>
          <w:p w14:paraId="5E4CF08D">
            <w:pPr>
              <w:topLinePunct/>
              <w:spacing w:line="240" w:lineRule="auto"/>
              <w:jc w:val="center"/>
              <w:rPr>
                <w:rFonts w:ascii="Times New Roman" w:hAnsi="Times New Roman"/>
                <w:szCs w:val="21"/>
              </w:rPr>
            </w:pPr>
          </w:p>
        </w:tc>
      </w:tr>
      <w:tr w14:paraId="0FB2EC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29" w:type="dxa"/>
            <w:vMerge w:val="restart"/>
            <w:vAlign w:val="center"/>
          </w:tcPr>
          <w:p w14:paraId="7B93EA23">
            <w:pPr>
              <w:topLinePunct/>
              <w:spacing w:line="240" w:lineRule="auto"/>
              <w:jc w:val="center"/>
              <w:rPr>
                <w:rFonts w:ascii="Times New Roman" w:hAnsi="Times New Roman"/>
                <w:szCs w:val="21"/>
              </w:rPr>
            </w:pPr>
            <w:r>
              <w:rPr>
                <w:rFonts w:ascii="Times New Roman" w:hAnsi="Times New Roman"/>
                <w:szCs w:val="21"/>
              </w:rPr>
              <w:t>联系方式</w:t>
            </w:r>
          </w:p>
        </w:tc>
        <w:tc>
          <w:tcPr>
            <w:tcW w:w="1013" w:type="dxa"/>
            <w:vAlign w:val="center"/>
          </w:tcPr>
          <w:p w14:paraId="5D3EA08A">
            <w:pPr>
              <w:topLinePunct/>
              <w:spacing w:line="240" w:lineRule="auto"/>
              <w:jc w:val="center"/>
              <w:rPr>
                <w:rFonts w:ascii="Times New Roman" w:hAnsi="Times New Roman"/>
                <w:szCs w:val="21"/>
              </w:rPr>
            </w:pPr>
            <w:r>
              <w:rPr>
                <w:rFonts w:ascii="Times New Roman" w:hAnsi="Times New Roman"/>
                <w:szCs w:val="21"/>
              </w:rPr>
              <w:t>联系人</w:t>
            </w:r>
          </w:p>
        </w:tc>
        <w:tc>
          <w:tcPr>
            <w:tcW w:w="2582" w:type="dxa"/>
            <w:vAlign w:val="center"/>
          </w:tcPr>
          <w:p w14:paraId="726A1FD5">
            <w:pPr>
              <w:topLinePunct/>
              <w:spacing w:line="240" w:lineRule="auto"/>
              <w:jc w:val="center"/>
              <w:rPr>
                <w:rFonts w:ascii="Times New Roman" w:hAnsi="Times New Roman"/>
                <w:szCs w:val="21"/>
              </w:rPr>
            </w:pPr>
          </w:p>
        </w:tc>
        <w:tc>
          <w:tcPr>
            <w:tcW w:w="1216" w:type="dxa"/>
            <w:vAlign w:val="center"/>
          </w:tcPr>
          <w:p w14:paraId="3C251807">
            <w:pPr>
              <w:topLinePunct/>
              <w:spacing w:line="240" w:lineRule="auto"/>
              <w:jc w:val="center"/>
              <w:rPr>
                <w:rFonts w:ascii="Times New Roman" w:hAnsi="Times New Roman"/>
                <w:szCs w:val="21"/>
              </w:rPr>
            </w:pPr>
            <w:r>
              <w:rPr>
                <w:rFonts w:ascii="Times New Roman" w:hAnsi="Times New Roman"/>
                <w:szCs w:val="21"/>
              </w:rPr>
              <w:t>电话</w:t>
            </w:r>
          </w:p>
        </w:tc>
        <w:tc>
          <w:tcPr>
            <w:tcW w:w="2431" w:type="dxa"/>
            <w:vAlign w:val="center"/>
          </w:tcPr>
          <w:p w14:paraId="55A61775">
            <w:pPr>
              <w:topLinePunct/>
              <w:spacing w:line="240" w:lineRule="auto"/>
              <w:jc w:val="center"/>
              <w:rPr>
                <w:rFonts w:ascii="Times New Roman" w:hAnsi="Times New Roman"/>
                <w:szCs w:val="21"/>
              </w:rPr>
            </w:pPr>
          </w:p>
        </w:tc>
      </w:tr>
      <w:tr w14:paraId="2CF9DD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29" w:type="dxa"/>
            <w:vMerge w:val="continue"/>
            <w:vAlign w:val="center"/>
          </w:tcPr>
          <w:p w14:paraId="0338FE35">
            <w:pPr>
              <w:spacing w:line="240" w:lineRule="auto"/>
              <w:rPr>
                <w:rFonts w:ascii="Times New Roman" w:hAnsi="Times New Roman"/>
                <w:szCs w:val="21"/>
              </w:rPr>
            </w:pPr>
          </w:p>
        </w:tc>
        <w:tc>
          <w:tcPr>
            <w:tcW w:w="1013" w:type="dxa"/>
            <w:vAlign w:val="center"/>
          </w:tcPr>
          <w:p w14:paraId="384F6B16">
            <w:pPr>
              <w:topLinePunct/>
              <w:spacing w:line="240" w:lineRule="auto"/>
              <w:jc w:val="center"/>
              <w:rPr>
                <w:rFonts w:ascii="Times New Roman" w:hAnsi="Times New Roman"/>
                <w:szCs w:val="21"/>
              </w:rPr>
            </w:pPr>
            <w:r>
              <w:rPr>
                <w:rFonts w:ascii="Times New Roman" w:hAnsi="Times New Roman"/>
                <w:szCs w:val="21"/>
              </w:rPr>
              <w:t>网址</w:t>
            </w:r>
          </w:p>
        </w:tc>
        <w:tc>
          <w:tcPr>
            <w:tcW w:w="2582" w:type="dxa"/>
            <w:vAlign w:val="center"/>
          </w:tcPr>
          <w:p w14:paraId="49CAA346">
            <w:pPr>
              <w:topLinePunct/>
              <w:spacing w:line="240" w:lineRule="auto"/>
              <w:jc w:val="center"/>
              <w:rPr>
                <w:rFonts w:ascii="Times New Roman" w:hAnsi="Times New Roman"/>
                <w:szCs w:val="21"/>
              </w:rPr>
            </w:pPr>
          </w:p>
        </w:tc>
        <w:tc>
          <w:tcPr>
            <w:tcW w:w="1216" w:type="dxa"/>
            <w:vAlign w:val="center"/>
          </w:tcPr>
          <w:p w14:paraId="125E1CAE">
            <w:pPr>
              <w:topLinePunct/>
              <w:spacing w:line="240" w:lineRule="auto"/>
              <w:jc w:val="center"/>
              <w:rPr>
                <w:rFonts w:ascii="Times New Roman" w:hAnsi="Times New Roman"/>
                <w:szCs w:val="21"/>
              </w:rPr>
            </w:pPr>
            <w:r>
              <w:rPr>
                <w:rFonts w:ascii="Times New Roman" w:hAnsi="Times New Roman"/>
                <w:szCs w:val="21"/>
              </w:rPr>
              <w:t>传真</w:t>
            </w:r>
          </w:p>
        </w:tc>
        <w:tc>
          <w:tcPr>
            <w:tcW w:w="2431" w:type="dxa"/>
            <w:vAlign w:val="center"/>
          </w:tcPr>
          <w:p w14:paraId="20B89362">
            <w:pPr>
              <w:topLinePunct/>
              <w:spacing w:line="240" w:lineRule="auto"/>
              <w:jc w:val="center"/>
              <w:rPr>
                <w:rFonts w:ascii="Times New Roman" w:hAnsi="Times New Roman"/>
                <w:szCs w:val="21"/>
              </w:rPr>
            </w:pPr>
          </w:p>
        </w:tc>
      </w:tr>
      <w:tr w14:paraId="4915B1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9" w:type="dxa"/>
            <w:vAlign w:val="center"/>
          </w:tcPr>
          <w:p w14:paraId="5A346DCE">
            <w:pPr>
              <w:topLinePunct/>
              <w:spacing w:line="240" w:lineRule="auto"/>
              <w:jc w:val="center"/>
              <w:rPr>
                <w:rFonts w:ascii="Times New Roman" w:hAnsi="Times New Roman"/>
                <w:szCs w:val="21"/>
              </w:rPr>
            </w:pPr>
            <w:r>
              <w:rPr>
                <w:rFonts w:ascii="Times New Roman" w:hAnsi="Times New Roman"/>
                <w:szCs w:val="21"/>
              </w:rPr>
              <w:t>法定代表人</w:t>
            </w:r>
          </w:p>
          <w:p w14:paraId="60431B1C">
            <w:pPr>
              <w:topLinePunct/>
              <w:spacing w:line="240" w:lineRule="auto"/>
              <w:jc w:val="center"/>
              <w:rPr>
                <w:rFonts w:ascii="Times New Roman" w:hAnsi="Times New Roman"/>
                <w:szCs w:val="21"/>
              </w:rPr>
            </w:pPr>
            <w:r>
              <w:rPr>
                <w:rFonts w:ascii="Times New Roman" w:hAnsi="Times New Roman"/>
                <w:szCs w:val="21"/>
              </w:rPr>
              <w:t>（单位负责人）</w:t>
            </w:r>
          </w:p>
        </w:tc>
        <w:tc>
          <w:tcPr>
            <w:tcW w:w="1013" w:type="dxa"/>
            <w:vAlign w:val="center"/>
          </w:tcPr>
          <w:p w14:paraId="29386EF2">
            <w:pPr>
              <w:topLinePunct/>
              <w:spacing w:line="240" w:lineRule="auto"/>
              <w:jc w:val="center"/>
              <w:rPr>
                <w:rFonts w:ascii="Times New Roman" w:hAnsi="Times New Roman"/>
                <w:szCs w:val="21"/>
              </w:rPr>
            </w:pPr>
            <w:r>
              <w:rPr>
                <w:rFonts w:ascii="Times New Roman" w:hAnsi="Times New Roman"/>
                <w:szCs w:val="21"/>
              </w:rPr>
              <w:t>姓名</w:t>
            </w:r>
          </w:p>
        </w:tc>
        <w:tc>
          <w:tcPr>
            <w:tcW w:w="2582" w:type="dxa"/>
            <w:vAlign w:val="center"/>
          </w:tcPr>
          <w:p w14:paraId="784A1F16">
            <w:pPr>
              <w:topLinePunct/>
              <w:spacing w:line="240" w:lineRule="auto"/>
              <w:jc w:val="center"/>
              <w:rPr>
                <w:rFonts w:ascii="Times New Roman" w:hAnsi="Times New Roman"/>
                <w:szCs w:val="21"/>
              </w:rPr>
            </w:pPr>
          </w:p>
        </w:tc>
        <w:tc>
          <w:tcPr>
            <w:tcW w:w="1216" w:type="dxa"/>
            <w:vAlign w:val="center"/>
          </w:tcPr>
          <w:p w14:paraId="4214D7B2">
            <w:pPr>
              <w:topLinePunct/>
              <w:spacing w:line="240" w:lineRule="auto"/>
              <w:jc w:val="center"/>
              <w:rPr>
                <w:rFonts w:ascii="Times New Roman" w:hAnsi="Times New Roman"/>
                <w:szCs w:val="21"/>
              </w:rPr>
            </w:pPr>
            <w:r>
              <w:rPr>
                <w:rFonts w:ascii="Times New Roman" w:hAnsi="Times New Roman"/>
                <w:szCs w:val="21"/>
              </w:rPr>
              <w:t>电话</w:t>
            </w:r>
          </w:p>
        </w:tc>
        <w:tc>
          <w:tcPr>
            <w:tcW w:w="2431" w:type="dxa"/>
            <w:vAlign w:val="center"/>
          </w:tcPr>
          <w:p w14:paraId="2915F9FD">
            <w:pPr>
              <w:topLinePunct/>
              <w:spacing w:line="240" w:lineRule="auto"/>
              <w:jc w:val="center"/>
              <w:rPr>
                <w:rFonts w:ascii="Times New Roman" w:hAnsi="Times New Roman"/>
                <w:szCs w:val="21"/>
              </w:rPr>
            </w:pPr>
          </w:p>
        </w:tc>
      </w:tr>
      <w:tr w14:paraId="7EF754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9" w:type="dxa"/>
            <w:vAlign w:val="center"/>
          </w:tcPr>
          <w:p w14:paraId="787FDC29">
            <w:pPr>
              <w:topLinePunct/>
              <w:spacing w:line="240" w:lineRule="auto"/>
              <w:jc w:val="center"/>
              <w:rPr>
                <w:rFonts w:ascii="Times New Roman" w:hAnsi="Times New Roman"/>
                <w:szCs w:val="21"/>
              </w:rPr>
            </w:pPr>
            <w:r>
              <w:rPr>
                <w:rFonts w:ascii="Times New Roman" w:hAnsi="Times New Roman"/>
                <w:szCs w:val="21"/>
              </w:rPr>
              <w:t>投标人须知要求投标人需具有的各类资质证书</w:t>
            </w:r>
          </w:p>
        </w:tc>
        <w:tc>
          <w:tcPr>
            <w:tcW w:w="7242" w:type="dxa"/>
            <w:gridSpan w:val="4"/>
            <w:vAlign w:val="center"/>
          </w:tcPr>
          <w:p w14:paraId="0D80141F">
            <w:pPr>
              <w:topLinePunct/>
              <w:spacing w:line="240" w:lineRule="auto"/>
              <w:ind w:firstLine="105" w:firstLineChars="50"/>
              <w:rPr>
                <w:rFonts w:ascii="Times New Roman" w:hAnsi="Times New Roman"/>
                <w:szCs w:val="21"/>
              </w:rPr>
            </w:pPr>
            <w:r>
              <w:rPr>
                <w:rFonts w:ascii="Times New Roman" w:hAnsi="Times New Roman"/>
                <w:szCs w:val="21"/>
              </w:rPr>
              <w:t>类型：等级：证书号：</w:t>
            </w:r>
          </w:p>
        </w:tc>
      </w:tr>
      <w:tr w14:paraId="4E81C0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9" w:type="dxa"/>
            <w:vAlign w:val="center"/>
          </w:tcPr>
          <w:p w14:paraId="4A671C03">
            <w:pPr>
              <w:topLinePunct/>
              <w:spacing w:line="240" w:lineRule="auto"/>
              <w:jc w:val="center"/>
              <w:rPr>
                <w:rFonts w:ascii="Times New Roman" w:hAnsi="Times New Roman"/>
                <w:szCs w:val="21"/>
              </w:rPr>
            </w:pPr>
            <w:r>
              <w:rPr>
                <w:rFonts w:ascii="Times New Roman" w:hAnsi="Times New Roman"/>
                <w:szCs w:val="21"/>
              </w:rPr>
              <w:t>基本账户开户银行</w:t>
            </w:r>
          </w:p>
        </w:tc>
        <w:tc>
          <w:tcPr>
            <w:tcW w:w="7242" w:type="dxa"/>
            <w:gridSpan w:val="4"/>
            <w:vAlign w:val="center"/>
          </w:tcPr>
          <w:p w14:paraId="77F50C72">
            <w:pPr>
              <w:topLinePunct/>
              <w:spacing w:line="240" w:lineRule="auto"/>
              <w:ind w:firstLine="105" w:firstLineChars="50"/>
              <w:rPr>
                <w:rFonts w:ascii="Times New Roman" w:hAnsi="Times New Roman"/>
                <w:szCs w:val="21"/>
              </w:rPr>
            </w:pPr>
          </w:p>
        </w:tc>
      </w:tr>
      <w:tr w14:paraId="11DF86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9" w:type="dxa"/>
            <w:vAlign w:val="center"/>
          </w:tcPr>
          <w:p w14:paraId="30508B96">
            <w:pPr>
              <w:topLinePunct/>
              <w:spacing w:line="240" w:lineRule="auto"/>
              <w:jc w:val="center"/>
              <w:rPr>
                <w:rFonts w:ascii="Times New Roman" w:hAnsi="Times New Roman"/>
                <w:szCs w:val="21"/>
              </w:rPr>
            </w:pPr>
            <w:r>
              <w:rPr>
                <w:rFonts w:ascii="Times New Roman" w:hAnsi="Times New Roman"/>
                <w:szCs w:val="21"/>
              </w:rPr>
              <w:t>基本账户银行账号</w:t>
            </w:r>
          </w:p>
        </w:tc>
        <w:tc>
          <w:tcPr>
            <w:tcW w:w="7242" w:type="dxa"/>
            <w:gridSpan w:val="4"/>
            <w:vAlign w:val="center"/>
          </w:tcPr>
          <w:p w14:paraId="24035B42">
            <w:pPr>
              <w:topLinePunct/>
              <w:spacing w:line="240" w:lineRule="auto"/>
              <w:rPr>
                <w:rFonts w:ascii="Times New Roman" w:hAnsi="Times New Roman"/>
                <w:szCs w:val="21"/>
              </w:rPr>
            </w:pPr>
          </w:p>
        </w:tc>
      </w:tr>
      <w:tr w14:paraId="1BEB70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9" w:type="dxa"/>
            <w:vAlign w:val="center"/>
          </w:tcPr>
          <w:p w14:paraId="318626A4">
            <w:pPr>
              <w:topLinePunct/>
              <w:spacing w:line="240" w:lineRule="auto"/>
              <w:jc w:val="center"/>
              <w:rPr>
                <w:rFonts w:ascii="Times New Roman" w:hAnsi="Times New Roman"/>
                <w:szCs w:val="21"/>
              </w:rPr>
            </w:pPr>
            <w:r>
              <w:rPr>
                <w:rFonts w:ascii="Times New Roman" w:hAnsi="Times New Roman"/>
                <w:szCs w:val="21"/>
              </w:rPr>
              <w:t>近三年营业额</w:t>
            </w:r>
          </w:p>
        </w:tc>
        <w:tc>
          <w:tcPr>
            <w:tcW w:w="7242" w:type="dxa"/>
            <w:gridSpan w:val="4"/>
            <w:vAlign w:val="center"/>
          </w:tcPr>
          <w:p w14:paraId="215D23D9">
            <w:pPr>
              <w:topLinePunct/>
              <w:spacing w:line="240" w:lineRule="auto"/>
              <w:rPr>
                <w:rFonts w:ascii="Times New Roman" w:hAnsi="Times New Roman"/>
                <w:szCs w:val="21"/>
              </w:rPr>
            </w:pPr>
          </w:p>
        </w:tc>
      </w:tr>
      <w:tr w14:paraId="2AAAF6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9" w:type="dxa"/>
            <w:vAlign w:val="center"/>
          </w:tcPr>
          <w:p w14:paraId="5954A2DF">
            <w:pPr>
              <w:topLinePunct/>
              <w:spacing w:line="240" w:lineRule="auto"/>
              <w:jc w:val="center"/>
              <w:rPr>
                <w:rFonts w:ascii="Times New Roman" w:hAnsi="Times New Roman"/>
                <w:szCs w:val="21"/>
              </w:rPr>
            </w:pPr>
            <w:r>
              <w:rPr>
                <w:rFonts w:ascii="Times New Roman" w:hAnsi="Times New Roman"/>
                <w:szCs w:val="21"/>
              </w:rPr>
              <w:t>投标人关联企业情况（包括但不限于与投标人法定代表人（单位负责人）为同一人或者存在控股、管理关系的不同单位）</w:t>
            </w:r>
          </w:p>
        </w:tc>
        <w:tc>
          <w:tcPr>
            <w:tcW w:w="7242" w:type="dxa"/>
            <w:gridSpan w:val="4"/>
            <w:vAlign w:val="center"/>
          </w:tcPr>
          <w:p w14:paraId="4A27B9A3">
            <w:pPr>
              <w:topLinePunct/>
              <w:spacing w:line="240" w:lineRule="auto"/>
              <w:rPr>
                <w:rFonts w:ascii="Times New Roman" w:hAnsi="Times New Roman"/>
                <w:szCs w:val="21"/>
              </w:rPr>
            </w:pPr>
          </w:p>
        </w:tc>
      </w:tr>
      <w:tr w14:paraId="485AA8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9" w:type="dxa"/>
            <w:vAlign w:val="center"/>
          </w:tcPr>
          <w:p w14:paraId="2F23A850">
            <w:pPr>
              <w:topLinePunct/>
              <w:spacing w:line="240" w:lineRule="auto"/>
              <w:jc w:val="center"/>
              <w:rPr>
                <w:rFonts w:ascii="Times New Roman" w:hAnsi="Times New Roman"/>
                <w:szCs w:val="21"/>
              </w:rPr>
            </w:pPr>
            <w:r>
              <w:rPr>
                <w:rFonts w:ascii="Times New Roman" w:hAnsi="Times New Roman"/>
                <w:szCs w:val="21"/>
              </w:rPr>
              <w:t>投标设备制造商名称</w:t>
            </w:r>
          </w:p>
        </w:tc>
        <w:tc>
          <w:tcPr>
            <w:tcW w:w="7242" w:type="dxa"/>
            <w:gridSpan w:val="4"/>
            <w:vAlign w:val="center"/>
          </w:tcPr>
          <w:p w14:paraId="574F7589">
            <w:pPr>
              <w:topLinePunct/>
              <w:spacing w:line="240" w:lineRule="auto"/>
              <w:rPr>
                <w:rFonts w:ascii="Times New Roman" w:hAnsi="Times New Roman"/>
                <w:szCs w:val="21"/>
              </w:rPr>
            </w:pPr>
          </w:p>
        </w:tc>
      </w:tr>
      <w:tr w14:paraId="427DF6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9" w:type="dxa"/>
            <w:vAlign w:val="center"/>
          </w:tcPr>
          <w:p w14:paraId="6F99F068">
            <w:pPr>
              <w:topLinePunct/>
              <w:spacing w:line="240" w:lineRule="auto"/>
              <w:jc w:val="center"/>
              <w:rPr>
                <w:rFonts w:ascii="Times New Roman" w:hAnsi="Times New Roman"/>
                <w:szCs w:val="21"/>
              </w:rPr>
            </w:pPr>
            <w:r>
              <w:rPr>
                <w:rFonts w:ascii="Times New Roman" w:hAnsi="Times New Roman"/>
                <w:szCs w:val="21"/>
              </w:rPr>
              <w:t>投标人须知要求</w:t>
            </w:r>
          </w:p>
          <w:p w14:paraId="4629D283">
            <w:pPr>
              <w:topLinePunct/>
              <w:spacing w:line="240" w:lineRule="auto"/>
              <w:jc w:val="center"/>
              <w:rPr>
                <w:rFonts w:ascii="Times New Roman" w:hAnsi="Times New Roman"/>
                <w:szCs w:val="21"/>
              </w:rPr>
            </w:pPr>
            <w:r>
              <w:rPr>
                <w:rFonts w:ascii="Times New Roman" w:hAnsi="Times New Roman"/>
                <w:szCs w:val="21"/>
              </w:rPr>
              <w:t>投标设备制造商需具有的资质证书</w:t>
            </w:r>
          </w:p>
        </w:tc>
        <w:tc>
          <w:tcPr>
            <w:tcW w:w="7242" w:type="dxa"/>
            <w:gridSpan w:val="4"/>
            <w:vAlign w:val="center"/>
          </w:tcPr>
          <w:p w14:paraId="5B8E5F7A">
            <w:pPr>
              <w:topLinePunct/>
              <w:spacing w:line="240" w:lineRule="auto"/>
              <w:rPr>
                <w:rFonts w:ascii="Times New Roman" w:hAnsi="Times New Roman"/>
                <w:szCs w:val="21"/>
              </w:rPr>
            </w:pPr>
          </w:p>
        </w:tc>
      </w:tr>
      <w:tr w14:paraId="38F74B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9" w:type="dxa"/>
            <w:vAlign w:val="center"/>
          </w:tcPr>
          <w:p w14:paraId="31D73B86">
            <w:pPr>
              <w:topLinePunct/>
              <w:spacing w:line="240" w:lineRule="auto"/>
              <w:jc w:val="center"/>
              <w:rPr>
                <w:rFonts w:ascii="Times New Roman" w:hAnsi="Times New Roman"/>
                <w:szCs w:val="21"/>
              </w:rPr>
            </w:pPr>
            <w:r>
              <w:rPr>
                <w:rFonts w:ascii="Times New Roman" w:hAnsi="Times New Roman"/>
                <w:szCs w:val="21"/>
              </w:rPr>
              <w:t>备注</w:t>
            </w:r>
          </w:p>
        </w:tc>
        <w:tc>
          <w:tcPr>
            <w:tcW w:w="7242" w:type="dxa"/>
            <w:gridSpan w:val="4"/>
            <w:vAlign w:val="center"/>
          </w:tcPr>
          <w:p w14:paraId="3818B3C0">
            <w:pPr>
              <w:topLinePunct/>
              <w:spacing w:line="240" w:lineRule="auto"/>
              <w:jc w:val="center"/>
              <w:rPr>
                <w:rFonts w:ascii="Times New Roman" w:hAnsi="Times New Roman"/>
                <w:szCs w:val="21"/>
              </w:rPr>
            </w:pPr>
          </w:p>
        </w:tc>
      </w:tr>
    </w:tbl>
    <w:p w14:paraId="14225016">
      <w:pPr>
        <w:rPr>
          <w:rFonts w:ascii="Times New Roman" w:hAnsi="Times New Roman"/>
          <w:szCs w:val="21"/>
        </w:rPr>
      </w:pPr>
      <w:r>
        <w:rPr>
          <w:rFonts w:ascii="Times New Roman" w:hAnsi="Times New Roman"/>
          <w:szCs w:val="21"/>
        </w:rPr>
        <w:t>注：1. 投标人应根据投标人须知第3.5.1项的要求在本表后附相关证明材料，还应附基本账户开户许可证复印件</w:t>
      </w:r>
      <w:r>
        <w:rPr>
          <w:rFonts w:hint="eastAsia" w:ascii="Times New Roman" w:hAnsi="Times New Roman"/>
          <w:szCs w:val="21"/>
        </w:rPr>
        <w:t>；</w:t>
      </w:r>
    </w:p>
    <w:p w14:paraId="22ED1CE7">
      <w:pPr>
        <w:ind w:firstLine="420" w:firstLineChars="200"/>
        <w:rPr>
          <w:rFonts w:ascii="Times New Roman" w:hAnsi="Times New Roman"/>
          <w:szCs w:val="21"/>
        </w:rPr>
      </w:pPr>
      <w:r>
        <w:rPr>
          <w:rFonts w:ascii="Times New Roman" w:hAnsi="Times New Roman"/>
          <w:szCs w:val="21"/>
        </w:rPr>
        <w:t>2. 如果投标人须知第1.4.1项对投标设备制造商的资质提出了要求，投标人应根据投标人须知第3.5.1项的要求在本表后附相关资质证书复印件</w:t>
      </w:r>
      <w:r>
        <w:rPr>
          <w:rFonts w:hint="eastAsia" w:ascii="Times New Roman" w:hAnsi="Times New Roman"/>
          <w:szCs w:val="21"/>
        </w:rPr>
        <w:t>；</w:t>
      </w:r>
    </w:p>
    <w:p w14:paraId="4EA99761">
      <w:pPr>
        <w:ind w:firstLine="420" w:firstLineChars="200"/>
        <w:rPr>
          <w:rFonts w:ascii="Times New Roman" w:hAnsi="Times New Roman"/>
          <w:szCs w:val="21"/>
        </w:rPr>
      </w:pPr>
      <w:r>
        <w:rPr>
          <w:rFonts w:ascii="Times New Roman" w:hAnsi="Times New Roman"/>
          <w:szCs w:val="21"/>
        </w:rPr>
        <w:t>3. 请投标人在基本情况表后提供：</w:t>
      </w:r>
    </w:p>
    <w:p w14:paraId="20F1A7A0">
      <w:pPr>
        <w:ind w:firstLine="420" w:firstLineChars="200"/>
        <w:rPr>
          <w:rFonts w:ascii="Times New Roman" w:hAnsi="Times New Roman"/>
          <w:szCs w:val="21"/>
        </w:rPr>
      </w:pPr>
      <w:r>
        <w:rPr>
          <w:rFonts w:ascii="Times New Roman" w:hAnsi="Times New Roman"/>
          <w:szCs w:val="21"/>
        </w:rPr>
        <w:t>3.1 工厂简介（包括组织机构、生产能力、设备、厂房、人员等）</w:t>
      </w:r>
      <w:r>
        <w:rPr>
          <w:rFonts w:hint="eastAsia" w:ascii="Times New Roman" w:hAnsi="Times New Roman"/>
          <w:szCs w:val="21"/>
        </w:rPr>
        <w:t>；</w:t>
      </w:r>
    </w:p>
    <w:p w14:paraId="278CB029">
      <w:pPr>
        <w:ind w:firstLine="420" w:firstLineChars="200"/>
        <w:rPr>
          <w:rFonts w:ascii="Times New Roman" w:hAnsi="Times New Roman"/>
          <w:szCs w:val="21"/>
        </w:rPr>
      </w:pPr>
      <w:r>
        <w:rPr>
          <w:rFonts w:ascii="Times New Roman" w:hAnsi="Times New Roman"/>
          <w:szCs w:val="21"/>
        </w:rPr>
        <w:t>3.2 质量保证体系及其质量认证证明；</w:t>
      </w:r>
    </w:p>
    <w:p w14:paraId="6732C223">
      <w:pPr>
        <w:ind w:firstLine="420" w:firstLineChars="200"/>
        <w:rPr>
          <w:rFonts w:ascii="Times New Roman" w:hAnsi="Times New Roman"/>
          <w:szCs w:val="21"/>
        </w:rPr>
      </w:pPr>
      <w:r>
        <w:rPr>
          <w:rFonts w:ascii="Times New Roman" w:hAnsi="Times New Roman"/>
          <w:szCs w:val="21"/>
        </w:rPr>
        <w:t>3.3 银行资信证明（含信用等级）</w:t>
      </w:r>
      <w:r>
        <w:rPr>
          <w:rFonts w:hint="eastAsia" w:ascii="Times New Roman" w:hAnsi="Times New Roman"/>
          <w:szCs w:val="21"/>
        </w:rPr>
        <w:t>。</w:t>
      </w:r>
    </w:p>
    <w:p w14:paraId="7088F8A4">
      <w:pPr>
        <w:ind w:firstLine="420" w:firstLineChars="200"/>
        <w:rPr>
          <w:rFonts w:ascii="Times New Roman" w:hAnsi="Times New Roman"/>
          <w:szCs w:val="21"/>
        </w:rPr>
      </w:pPr>
    </w:p>
    <w:p w14:paraId="56255EF5">
      <w:pPr>
        <w:topLinePunct/>
        <w:spacing w:line="440" w:lineRule="exact"/>
        <w:ind w:left="0" w:leftChars="0" w:firstLine="0" w:firstLineChars="0"/>
        <w:rPr>
          <w:rFonts w:ascii="Times New Roman" w:hAnsi="Times New Roman" w:eastAsia="宋体"/>
          <w:sz w:val="21"/>
          <w:szCs w:val="21"/>
        </w:rPr>
      </w:pPr>
      <w:bookmarkStart w:id="48" w:name="_Toc6561283"/>
      <w:bookmarkStart w:id="49" w:name="_Toc18573396"/>
      <w:r>
        <w:rPr>
          <w:rFonts w:hint="eastAsia"/>
          <w:sz w:val="21"/>
          <w:szCs w:val="21"/>
          <w:lang w:val="en-US" w:eastAsia="zh-CN"/>
        </w:rPr>
        <w:t>十一</w:t>
      </w:r>
      <w:r>
        <w:rPr>
          <w:rFonts w:ascii="Times New Roman" w:hAnsi="Times New Roman" w:eastAsia="宋体"/>
          <w:sz w:val="21"/>
          <w:szCs w:val="21"/>
        </w:rPr>
        <w:t>、投标设备技术性能指标的详细描述</w:t>
      </w:r>
      <w:bookmarkEnd w:id="48"/>
      <w:bookmarkEnd w:id="49"/>
    </w:p>
    <w:p w14:paraId="471F0D52"/>
    <w:p w14:paraId="6D19B38B">
      <w:pPr>
        <w:spacing w:line="360" w:lineRule="auto"/>
        <w:ind w:firstLine="420" w:firstLineChars="200"/>
        <w:rPr>
          <w:rFonts w:ascii="Times New Roman" w:hAnsi="Times New Roman"/>
        </w:rPr>
      </w:pPr>
      <w:r>
        <w:rPr>
          <w:rFonts w:ascii="Times New Roman" w:hAnsi="Times New Roman"/>
        </w:rPr>
        <w:t>请投标人对第</w:t>
      </w:r>
      <w:r>
        <w:rPr>
          <w:rFonts w:hint="eastAsia"/>
          <w:lang w:val="en-US" w:eastAsia="zh-CN"/>
        </w:rPr>
        <w:t>四</w:t>
      </w:r>
      <w:r>
        <w:rPr>
          <w:rFonts w:ascii="Times New Roman" w:hAnsi="Times New Roman"/>
        </w:rPr>
        <w:t>章技术规范要求中的有关要求进行响应和完善。</w:t>
      </w:r>
      <w:r>
        <w:rPr>
          <w:rFonts w:ascii="Times New Roman" w:hAnsi="Times New Roman"/>
        </w:rPr>
        <w:br w:type="page"/>
      </w:r>
    </w:p>
    <w:p w14:paraId="6EF1D479">
      <w:pPr>
        <w:pStyle w:val="4"/>
        <w:spacing w:before="0" w:after="0" w:line="360" w:lineRule="auto"/>
        <w:jc w:val="left"/>
        <w:rPr>
          <w:rFonts w:ascii="Times New Roman" w:hAnsi="Times New Roman" w:eastAsia="宋体"/>
          <w:sz w:val="21"/>
          <w:szCs w:val="21"/>
        </w:rPr>
      </w:pPr>
      <w:bookmarkStart w:id="50" w:name="_Toc6561284"/>
      <w:bookmarkStart w:id="51" w:name="_Toc18573397"/>
      <w:r>
        <w:rPr>
          <w:rFonts w:hint="eastAsia"/>
          <w:sz w:val="21"/>
          <w:szCs w:val="21"/>
          <w:lang w:val="en-US" w:eastAsia="zh-CN"/>
        </w:rPr>
        <w:t>十二</w:t>
      </w:r>
      <w:r>
        <w:rPr>
          <w:rFonts w:ascii="Times New Roman" w:hAnsi="Times New Roman" w:eastAsia="宋体"/>
          <w:sz w:val="21"/>
          <w:szCs w:val="21"/>
        </w:rPr>
        <w:t>、技术支持资料</w:t>
      </w:r>
      <w:r>
        <w:rPr>
          <w:rFonts w:hint="eastAsia" w:ascii="Times New Roman" w:hAnsi="Times New Roman" w:eastAsia="宋体"/>
          <w:sz w:val="21"/>
          <w:szCs w:val="21"/>
        </w:rPr>
        <w:t>（如有）</w:t>
      </w:r>
      <w:bookmarkEnd w:id="50"/>
      <w:bookmarkEnd w:id="51"/>
    </w:p>
    <w:p w14:paraId="34E9272D"/>
    <w:p w14:paraId="6FC4DB03">
      <w:pPr>
        <w:spacing w:line="360" w:lineRule="auto"/>
        <w:sectPr>
          <w:pgSz w:w="11907" w:h="16840"/>
          <w:pgMar w:top="1418" w:right="1134" w:bottom="1134" w:left="1418" w:header="567" w:footer="567" w:gutter="0"/>
          <w:cols w:space="720" w:num="1"/>
          <w:docGrid w:linePitch="286" w:charSpace="0"/>
        </w:sectPr>
      </w:pPr>
    </w:p>
    <w:p w14:paraId="5C9E2576">
      <w:pPr>
        <w:pStyle w:val="4"/>
        <w:spacing w:before="0" w:after="0" w:line="360" w:lineRule="auto"/>
        <w:jc w:val="left"/>
        <w:rPr>
          <w:rFonts w:ascii="Times New Roman" w:hAnsi="Times New Roman" w:eastAsia="宋体"/>
          <w:sz w:val="21"/>
          <w:szCs w:val="21"/>
        </w:rPr>
      </w:pPr>
      <w:bookmarkStart w:id="52" w:name="_Toc6561285"/>
      <w:bookmarkStart w:id="53" w:name="_Toc18573398"/>
      <w:r>
        <w:rPr>
          <w:rFonts w:ascii="Times New Roman" w:hAnsi="Times New Roman" w:eastAsia="宋体"/>
          <w:sz w:val="21"/>
          <w:szCs w:val="21"/>
        </w:rPr>
        <w:t>十</w:t>
      </w:r>
      <w:r>
        <w:rPr>
          <w:rFonts w:hint="eastAsia"/>
          <w:sz w:val="21"/>
          <w:szCs w:val="21"/>
          <w:lang w:val="en-US" w:eastAsia="zh-CN"/>
        </w:rPr>
        <w:t>三</w:t>
      </w:r>
      <w:r>
        <w:rPr>
          <w:rFonts w:ascii="Times New Roman" w:hAnsi="Times New Roman" w:eastAsia="宋体"/>
          <w:sz w:val="21"/>
          <w:szCs w:val="21"/>
        </w:rPr>
        <w:t>、技术服务和质保期服务计划</w:t>
      </w:r>
      <w:bookmarkEnd w:id="52"/>
      <w:bookmarkEnd w:id="53"/>
    </w:p>
    <w:p w14:paraId="1D04C70F"/>
    <w:p w14:paraId="3463AFCF"/>
    <w:p w14:paraId="047B77C7">
      <w:pPr>
        <w:spacing w:line="360" w:lineRule="auto"/>
        <w:ind w:firstLine="420" w:firstLineChars="200"/>
        <w:rPr>
          <w:rFonts w:ascii="Times New Roman" w:hAnsi="Times New Roman"/>
        </w:rPr>
      </w:pPr>
      <w:r>
        <w:rPr>
          <w:rFonts w:ascii="Times New Roman" w:hAnsi="Times New Roman"/>
        </w:rPr>
        <w:t>请投标人对第</w:t>
      </w:r>
      <w:r>
        <w:rPr>
          <w:rFonts w:hint="eastAsia"/>
          <w:lang w:val="en-US" w:eastAsia="zh-CN"/>
        </w:rPr>
        <w:t>四</w:t>
      </w:r>
      <w:r>
        <w:rPr>
          <w:rFonts w:ascii="Times New Roman" w:hAnsi="Times New Roman"/>
        </w:rPr>
        <w:t>章技术规范技术规范要求中</w:t>
      </w:r>
      <w:r>
        <w:rPr>
          <w:rFonts w:hint="eastAsia" w:ascii="Times New Roman" w:hAnsi="Times New Roman"/>
        </w:rPr>
        <w:t>的有关要求</w:t>
      </w:r>
      <w:r>
        <w:rPr>
          <w:rFonts w:ascii="Times New Roman" w:hAnsi="Times New Roman"/>
        </w:rPr>
        <w:t>进行响应和完善。</w:t>
      </w:r>
    </w:p>
    <w:p w14:paraId="654C6707">
      <w:pPr>
        <w:pStyle w:val="225"/>
        <w:tabs>
          <w:tab w:val="left" w:pos="573"/>
        </w:tabs>
      </w:pPr>
      <w:r>
        <w:br w:type="page"/>
      </w:r>
    </w:p>
    <w:p w14:paraId="65472149">
      <w:pPr>
        <w:ind w:left="0" w:firstLine="0"/>
        <w:rPr>
          <w:rFonts w:ascii="Arial" w:hAnsi="宋体" w:cs="Arial"/>
        </w:rPr>
      </w:pPr>
      <w:r>
        <w:rPr>
          <w:rFonts w:hint="eastAsia" w:ascii="Arial" w:hAnsi="宋体" w:cs="Arial"/>
          <w:lang w:val="en-US" w:eastAsia="zh-CN"/>
        </w:rPr>
        <w:t>十四</w:t>
      </w:r>
      <w:r>
        <w:rPr>
          <w:rFonts w:hint="eastAsia" w:ascii="Arial" w:hAnsi="宋体" w:cs="Arial"/>
        </w:rPr>
        <w:t>、</w:t>
      </w:r>
      <w:r>
        <w:rPr>
          <w:rFonts w:ascii="Arial" w:hAnsi="宋体" w:cs="Arial"/>
        </w:rPr>
        <w:t>供应商廉洁承诺书</w:t>
      </w:r>
    </w:p>
    <w:p w14:paraId="41B16886">
      <w:pPr>
        <w:ind w:firstLine="379" w:firstLineChars="135"/>
        <w:jc w:val="center"/>
        <w:rPr>
          <w:rFonts w:ascii="宋体" w:hAnsi="宋体" w:cs="宋体"/>
          <w:b/>
          <w:bCs/>
          <w:kern w:val="0"/>
          <w:sz w:val="28"/>
          <w:szCs w:val="28"/>
        </w:rPr>
      </w:pPr>
      <w:r>
        <w:rPr>
          <w:rFonts w:ascii="宋体" w:hAnsi="宋体" w:cs="宋体"/>
          <w:b/>
          <w:bCs/>
          <w:kern w:val="0"/>
          <w:sz w:val="28"/>
          <w:szCs w:val="28"/>
        </w:rPr>
        <w:t>供应商廉洁承诺书</w:t>
      </w:r>
    </w:p>
    <w:p w14:paraId="76E32A8F">
      <w:pPr>
        <w:ind w:firstLine="420" w:firstLineChars="200"/>
      </w:pPr>
      <w:r>
        <w:t>为维护公平竞争的市场秩序，我方自愿在参与贵方组织的商业往来活动中，加强有关人员廉洁从业管理，恪守商业道德，从源头预防和遏制违法、违规、违纪行为发生，特作以下承诺：</w:t>
      </w:r>
    </w:p>
    <w:p w14:paraId="6157571D">
      <w:pPr>
        <w:ind w:firstLine="420" w:firstLineChars="200"/>
      </w:pPr>
      <w:r>
        <w:t>一、严格遵守国家有关法律法规，坚持诚实守信原则，恪守商业道德，规范商务人员廉洁从业行为。</w:t>
      </w:r>
    </w:p>
    <w:p w14:paraId="329A9C29">
      <w:pPr>
        <w:ind w:firstLine="420" w:firstLineChars="200"/>
      </w:pPr>
      <w:r>
        <w:t>二、不伙同他人串标、围标或非法排挤竞争对手，不在商业活动中提供虚假资料，损害贵方合法权益。</w:t>
      </w:r>
    </w:p>
    <w:p w14:paraId="6BD69E01">
      <w:pPr>
        <w:ind w:firstLine="420" w:firstLineChars="200"/>
      </w:pPr>
      <w:r>
        <w:t>三、不为贵方工作人员提供回扣、礼金、有价证券、贵重物品和报销个人费用。</w:t>
      </w:r>
    </w:p>
    <w:p w14:paraId="6E89BD0E">
      <w:pPr>
        <w:ind w:firstLine="420" w:firstLineChars="200"/>
      </w:pPr>
      <w:r>
        <w:t>四、不为贵方工作人员安排有可能影响公平、公正交易的宴请、健身、娱乐等活动。</w:t>
      </w:r>
    </w:p>
    <w:p w14:paraId="52F96E70">
      <w:pPr>
        <w:ind w:firstLine="420" w:firstLineChars="200"/>
      </w:pPr>
      <w:r>
        <w:t>五、不为贵方工作人员投资入股、个人借款或买卖股票、债券等提供方便。</w:t>
      </w:r>
    </w:p>
    <w:p w14:paraId="2BE7E55E">
      <w:pPr>
        <w:ind w:firstLine="420" w:firstLineChars="200"/>
      </w:pPr>
      <w:r>
        <w:t>六、不为贵方工作人员购买或装修住房、婚丧嫁娶、配偶子女上学或工作安排以及出国出境、旅游等提供方便。</w:t>
      </w:r>
    </w:p>
    <w:p w14:paraId="47F423CD">
      <w:pPr>
        <w:ind w:firstLine="420" w:firstLineChars="200"/>
      </w:pPr>
      <w:r>
        <w:t>七、不违反规定为贵方工作人员在我方相关企业挂名兼职、合伙经营、介绍承揽业务等提供方便。</w:t>
      </w:r>
    </w:p>
    <w:p w14:paraId="70BCD5F1">
      <w:pPr>
        <w:ind w:firstLine="420" w:firstLineChars="200"/>
      </w:pPr>
      <w:r>
        <w:t>八、不利用非法手段向贵方工作人员打探有关涉及贵方的商业秘密、业务渠道等。</w:t>
      </w:r>
    </w:p>
    <w:p w14:paraId="41D030D6">
      <w:pPr>
        <w:ind w:firstLine="420" w:firstLineChars="200"/>
      </w:pPr>
      <w:r>
        <w:t>九、贵方对涉嫌不廉洁的商业行为进行调查时，我方有配合提供证据、作证的义务。</w:t>
      </w:r>
    </w:p>
    <w:p w14:paraId="6D6E4421">
      <w:pPr>
        <w:ind w:firstLine="420" w:firstLineChars="200"/>
      </w:pPr>
      <w:r>
        <w:t>十、未经贵方同意，我方不向任何新闻媒体、第三人述及有关贵方工作人员恪守商业道德方面的评价、信息。</w:t>
      </w:r>
    </w:p>
    <w:p w14:paraId="03137852">
      <w:pPr>
        <w:ind w:firstLine="420" w:firstLineChars="200"/>
      </w:pPr>
      <w: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p>
    <w:p w14:paraId="2B3372CD">
      <w:pPr>
        <w:ind w:firstLine="420" w:firstLineChars="200"/>
      </w:pPr>
    </w:p>
    <w:p w14:paraId="53766739">
      <w:pPr>
        <w:ind w:firstLine="420" w:firstLineChars="200"/>
      </w:pPr>
    </w:p>
    <w:p w14:paraId="0B616492">
      <w:pPr>
        <w:ind w:firstLine="420" w:firstLineChars="200"/>
        <w:jc w:val="right"/>
      </w:pPr>
      <w:r>
        <w:t>承诺方：（盖章）</w:t>
      </w:r>
    </w:p>
    <w:p w14:paraId="51C97603">
      <w:pPr>
        <w:jc w:val="right"/>
        <w:rPr>
          <w:rFonts w:ascii="Arial" w:hAnsi="Arial" w:cs="Arial"/>
        </w:rPr>
      </w:pPr>
      <w:r>
        <w:rPr>
          <w:rFonts w:hint="eastAsia" w:ascii="Arial" w:hAnsi="宋体" w:cs="Arial"/>
        </w:rPr>
        <w:t xml:space="preserve">   </w:t>
      </w:r>
      <w:r>
        <w:rPr>
          <w:rFonts w:ascii="Arial" w:hAnsi="宋体" w:cs="Arial"/>
        </w:rPr>
        <w:t>年</w:t>
      </w:r>
      <w:r>
        <w:rPr>
          <w:rFonts w:hint="eastAsia" w:ascii="Arial" w:hAnsi="宋体" w:cs="Arial"/>
        </w:rPr>
        <w:t xml:space="preserve">   </w:t>
      </w:r>
      <w:r>
        <w:rPr>
          <w:rFonts w:ascii="Arial" w:hAnsi="宋体" w:cs="Arial"/>
        </w:rPr>
        <w:t>月</w:t>
      </w:r>
      <w:r>
        <w:rPr>
          <w:rFonts w:hint="eastAsia" w:ascii="Arial" w:hAnsi="宋体" w:cs="Arial"/>
        </w:rPr>
        <w:t xml:space="preserve">   </w:t>
      </w:r>
      <w:r>
        <w:rPr>
          <w:rFonts w:ascii="Arial" w:hAnsi="宋体" w:cs="Arial"/>
        </w:rPr>
        <w:t>日</w:t>
      </w:r>
    </w:p>
    <w:p w14:paraId="3A89578E">
      <w:pPr>
        <w:widowControl/>
        <w:wordWrap w:val="0"/>
        <w:ind w:left="283" w:hanging="283" w:hangingChars="135"/>
        <w:jc w:val="right"/>
        <w:rPr>
          <w:rFonts w:hint="eastAsia" w:ascii="Arial" w:hAnsi="宋体" w:cs="Arial"/>
        </w:rPr>
      </w:pPr>
    </w:p>
    <w:p w14:paraId="28DCEABA">
      <w:pPr>
        <w:spacing w:line="360" w:lineRule="auto"/>
        <w:rPr>
          <w:rFonts w:ascii="Times New Roman" w:hAnsi="Times New Roman"/>
          <w:b/>
          <w:szCs w:val="21"/>
        </w:rPr>
      </w:pPr>
      <w:r>
        <w:rPr>
          <w:rFonts w:hint="eastAsia" w:ascii="Arial" w:hAnsi="宋体" w:cs="Arial"/>
          <w:lang w:val="en-US" w:eastAsia="zh-CN"/>
        </w:rPr>
        <w:t>十五、</w:t>
      </w:r>
      <w:r>
        <w:rPr>
          <w:rFonts w:hint="eastAsia" w:ascii="Times New Roman" w:hAnsi="Times New Roman"/>
          <w:b/>
          <w:szCs w:val="21"/>
        </w:rPr>
        <w:t>投标人需要说明的其他问题</w:t>
      </w:r>
    </w:p>
    <w:p w14:paraId="77B237A1">
      <w:pPr>
        <w:pStyle w:val="15"/>
        <w:wordWrap/>
        <w:ind w:left="0" w:leftChars="0" w:firstLine="0" w:firstLineChars="0"/>
        <w:rPr>
          <w:rFonts w:hint="default" w:eastAsia="宋体"/>
          <w:lang w:val="en-US" w:eastAsia="zh-CN"/>
        </w:rPr>
      </w:pPr>
    </w:p>
    <w:sectPr>
      <w:footerReference r:id="rId12" w:type="first"/>
      <w:headerReference r:id="rId10" w:type="default"/>
      <w:footerReference r:id="rId11" w:type="default"/>
      <w:endnotePr>
        <w:numFmt w:val="decimal"/>
      </w:endnotePr>
      <w:pgSz w:w="11907" w:h="16840"/>
      <w:pgMar w:top="1440" w:right="1134" w:bottom="1134" w:left="1440" w:header="964" w:footer="1134"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w:altName w:val="Arial"/>
    <w:panose1 w:val="00000000000000000000"/>
    <w:charset w:val="00"/>
    <w:family w:val="swiss"/>
    <w:pitch w:val="default"/>
    <w:sig w:usb0="00000000" w:usb1="00000000" w:usb2="00000000" w:usb3="00000000" w:csb0="0000000F" w:csb1="00000000"/>
  </w:font>
  <w:font w:name="Garamond">
    <w:altName w:val="PMingLiU-ExtB"/>
    <w:panose1 w:val="02020404030301010803"/>
    <w:charset w:val="00"/>
    <w:family w:val="roman"/>
    <w:pitch w:val="default"/>
    <w:sig w:usb0="00000000" w:usb1="00000000" w:usb2="00000000" w:usb3="00000000" w:csb0="0000009F" w:csb1="DFD7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0" w:usb3="00000000" w:csb0="0002009F" w:csb1="00000000"/>
  </w:font>
  <w:font w:name="ˎ̥">
    <w:altName w:val="Times New Roman"/>
    <w:panose1 w:val="00000000000000000000"/>
    <w:charset w:val="00"/>
    <w:family w:val="roman"/>
    <w:pitch w:val="default"/>
    <w:sig w:usb0="00000000" w:usb1="00000000" w:usb2="00000000" w:usb3="00000000" w:csb0="00040001" w:csb1="00000000"/>
  </w:font>
  <w:font w:name="方正书宋简体">
    <w:altName w:val="宋体"/>
    <w:panose1 w:val="02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D8E44">
    <w:pPr>
      <w:pStyle w:val="39"/>
      <w:spacing w:line="160" w:lineRule="atLea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7DECD">
    <w:pPr>
      <w:pStyle w:val="3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60340">
    <w:pPr>
      <w:pStyle w:val="3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A6536">
    <w:pPr>
      <w:pStyle w:val="3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7"/>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24E63A7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43</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OqXm5zwAAAAUBAAAPAAAAAAAAAAEAIAAAACIAAABkcnMvZG93bnJldi54bWxQSwECFAAUAAAA&#10;CACHTuJAOUVMFvcBAAARBAAADgAAAAAAAAABACAAAAAeAQAAZHJzL2Uyb0RvYy54bWxQSwUGAAAA&#10;AAYABgBZAQAAhwUAAAAA&#10;">
              <v:fill on="f" focussize="0,0"/>
              <v:stroke on="f"/>
              <v:imagedata o:title=""/>
              <o:lock v:ext="edit" aspectratio="f"/>
              <v:textbox inset="0mm,0mm,0mm,0mm" style="mso-fit-shape-to-text:t;">
                <w:txbxContent>
                  <w:p w14:paraId="24E63A7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43</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695D7">
    <w:pPr>
      <w:pStyle w:val="40"/>
      <w:pBdr>
        <w:bottom w:val="single" w:color="auto" w:sz="4" w:space="1"/>
      </w:pBdr>
      <w:ind w:left="0" w:firstLine="1080" w:firstLineChars="600"/>
      <w:jc w:val="left"/>
      <w:rPr>
        <w:rFonts w:ascii="Arial" w:cs="Arial"/>
      </w:rPr>
    </w:pPr>
    <w:r>
      <w:rPr>
        <w:rFonts w:hint="default" w:ascii="Arial" w:cs="Arial"/>
        <w:lang w:val="en-US"/>
      </w:rPr>
      <w:drawing>
        <wp:anchor distT="0" distB="0" distL="114300" distR="114300" simplePos="0" relativeHeight="251660288" behindDoc="0" locked="0" layoutInCell="1" allowOverlap="1">
          <wp:simplePos x="0" y="0"/>
          <wp:positionH relativeFrom="column">
            <wp:posOffset>118745</wp:posOffset>
          </wp:positionH>
          <wp:positionV relativeFrom="paragraph">
            <wp:posOffset>-92710</wp:posOffset>
          </wp:positionV>
          <wp:extent cx="514350" cy="276225"/>
          <wp:effectExtent l="19050" t="0" r="0" b="0"/>
          <wp:wrapNone/>
          <wp:docPr id="3" name="图片 2" descr="英文标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英文标识"/>
                  <pic:cNvPicPr>
                    <a:picLocks noChangeAspect="1" noChangeArrowheads="1"/>
                  </pic:cNvPicPr>
                </pic:nvPicPr>
                <pic:blipFill>
                  <a:blip r:embed="rId1" cstate="print"/>
                  <a:srcRect/>
                  <a:stretch>
                    <a:fillRect/>
                  </a:stretch>
                </pic:blipFill>
                <pic:spPr>
                  <a:xfrm>
                    <a:off x="0" y="0"/>
                    <a:ext cx="514350" cy="276225"/>
                  </a:xfrm>
                  <a:prstGeom prst="rect">
                    <a:avLst/>
                  </a:prstGeom>
                  <a:noFill/>
                  <a:ln w="9525">
                    <a:noFill/>
                    <a:miter lim="800000"/>
                    <a:headEnd/>
                    <a:tailEnd/>
                  </a:ln>
                </pic:spPr>
              </pic:pic>
            </a:graphicData>
          </a:graphic>
        </wp:anchor>
      </w:drawing>
    </w:r>
    <w:r>
      <w:rPr>
        <w:rFonts w:hint="eastAsia" w:ascii="Arial" w:cs="Arial"/>
        <w:lang w:val="en-US" w:eastAsia="zh-CN"/>
      </w:rPr>
      <w:t>平顶山姚孟发电有限责任公司</w:t>
    </w:r>
    <w:r>
      <w:rPr>
        <w:rFonts w:hint="eastAsia" w:hAnsi="宋体" w:cs="Arial"/>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57A2A">
    <w:pPr>
      <w:pStyle w:val="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6249D">
    <w:pPr>
      <w:pStyle w:val="4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F1D86">
    <w:pPr>
      <w:pStyle w:val="40"/>
      <w:pBdr>
        <w:bottom w:val="single" w:color="auto" w:sz="4" w:space="1"/>
      </w:pBdr>
      <w:ind w:left="0" w:firstLine="1080" w:firstLineChars="600"/>
      <w:jc w:val="left"/>
    </w:pPr>
    <w:r>
      <w:rPr>
        <w:rFonts w:hint="default" w:ascii="Arial" w:cs="Arial"/>
        <w:lang w:val="en-US"/>
      </w:rPr>
      <w:drawing>
        <wp:anchor distT="0" distB="0" distL="114300" distR="114300" simplePos="0" relativeHeight="251662336" behindDoc="0" locked="0" layoutInCell="1" allowOverlap="1">
          <wp:simplePos x="0" y="0"/>
          <wp:positionH relativeFrom="column">
            <wp:posOffset>118745</wp:posOffset>
          </wp:positionH>
          <wp:positionV relativeFrom="paragraph">
            <wp:posOffset>-92710</wp:posOffset>
          </wp:positionV>
          <wp:extent cx="514350" cy="276225"/>
          <wp:effectExtent l="0" t="0" r="0" b="9525"/>
          <wp:wrapNone/>
          <wp:docPr id="2" name="图片 2" descr="英文标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英文标识"/>
                  <pic:cNvPicPr>
                    <a:picLocks noChangeAspect="1" noChangeArrowheads="1"/>
                  </pic:cNvPicPr>
                </pic:nvPicPr>
                <pic:blipFill>
                  <a:blip r:embed="rId1" cstate="print"/>
                  <a:srcRect/>
                  <a:stretch>
                    <a:fillRect/>
                  </a:stretch>
                </pic:blipFill>
                <pic:spPr>
                  <a:xfrm>
                    <a:off x="0" y="0"/>
                    <a:ext cx="514350" cy="276225"/>
                  </a:xfrm>
                  <a:prstGeom prst="rect">
                    <a:avLst/>
                  </a:prstGeom>
                  <a:noFill/>
                  <a:ln w="9525">
                    <a:noFill/>
                    <a:miter lim="800000"/>
                    <a:headEnd/>
                    <a:tailEnd/>
                  </a:ln>
                </pic:spPr>
              </pic:pic>
            </a:graphicData>
          </a:graphic>
        </wp:anchor>
      </w:drawing>
    </w:r>
    <w:r>
      <w:rPr>
        <w:rFonts w:hint="eastAsia" w:ascii="Arial" w:cs="Arial"/>
        <w:lang w:val="en-US" w:eastAsia="zh-CN"/>
      </w:rPr>
      <w:t>平顶山姚孟发电有限责任公司</w:t>
    </w:r>
    <w:r>
      <w:rPr>
        <w:rFonts w:hint="eastAsia" w:hAnsi="宋体" w:cs="Arial"/>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5D86E4"/>
    <w:multiLevelType w:val="singleLevel"/>
    <w:tmpl w:val="8D5D86E4"/>
    <w:lvl w:ilvl="0" w:tentative="0">
      <w:start w:val="1"/>
      <w:numFmt w:val="decimal"/>
      <w:pStyle w:val="47"/>
      <w:lvlText w:val="%1."/>
      <w:lvlJc w:val="left"/>
      <w:pPr>
        <w:tabs>
          <w:tab w:val="left" w:pos="2040"/>
        </w:tabs>
        <w:ind w:left="2040" w:hanging="360"/>
      </w:pPr>
    </w:lvl>
  </w:abstractNum>
  <w:abstractNum w:abstractNumId="1">
    <w:nsid w:val="979DD407"/>
    <w:multiLevelType w:val="singleLevel"/>
    <w:tmpl w:val="979DD407"/>
    <w:lvl w:ilvl="0" w:tentative="0">
      <w:start w:val="1"/>
      <w:numFmt w:val="chineseCounting"/>
      <w:suff w:val="space"/>
      <w:lvlText w:val="第%1章"/>
      <w:lvlJc w:val="left"/>
      <w:rPr>
        <w:rFonts w:hint="eastAsia"/>
      </w:rPr>
    </w:lvl>
  </w:abstractNum>
  <w:abstractNum w:abstractNumId="2">
    <w:nsid w:val="DD49B88E"/>
    <w:multiLevelType w:val="singleLevel"/>
    <w:tmpl w:val="DD49B88E"/>
    <w:lvl w:ilvl="0" w:tentative="0">
      <w:start w:val="5"/>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hideSpellingErrors/>
  <w:hideGrammaticalErrors/>
  <w:documentProtection w:edit="readOnly" w:formatting="1" w:enforcement="0"/>
  <w:defaultTabStop w:val="210"/>
  <w:doNotHyphenateCaps/>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1C"/>
    <w:rsid w:val="00000922"/>
    <w:rsid w:val="00001316"/>
    <w:rsid w:val="00001898"/>
    <w:rsid w:val="00001D0D"/>
    <w:rsid w:val="0000206B"/>
    <w:rsid w:val="000025C8"/>
    <w:rsid w:val="00003195"/>
    <w:rsid w:val="00003D28"/>
    <w:rsid w:val="00003FF8"/>
    <w:rsid w:val="00004C60"/>
    <w:rsid w:val="000054BE"/>
    <w:rsid w:val="000054F2"/>
    <w:rsid w:val="0000567F"/>
    <w:rsid w:val="00005F51"/>
    <w:rsid w:val="00006364"/>
    <w:rsid w:val="000064C3"/>
    <w:rsid w:val="0000688F"/>
    <w:rsid w:val="00006A28"/>
    <w:rsid w:val="00006AE1"/>
    <w:rsid w:val="00006CCE"/>
    <w:rsid w:val="00006FB3"/>
    <w:rsid w:val="00007634"/>
    <w:rsid w:val="000076FB"/>
    <w:rsid w:val="00007878"/>
    <w:rsid w:val="00007B9C"/>
    <w:rsid w:val="00007BF6"/>
    <w:rsid w:val="00010CDB"/>
    <w:rsid w:val="00010CF2"/>
    <w:rsid w:val="000112CC"/>
    <w:rsid w:val="00011407"/>
    <w:rsid w:val="000119DA"/>
    <w:rsid w:val="0001308B"/>
    <w:rsid w:val="00013DEC"/>
    <w:rsid w:val="00013F11"/>
    <w:rsid w:val="00013F21"/>
    <w:rsid w:val="00014430"/>
    <w:rsid w:val="0001445B"/>
    <w:rsid w:val="00014FBA"/>
    <w:rsid w:val="00016263"/>
    <w:rsid w:val="0001642F"/>
    <w:rsid w:val="0001663A"/>
    <w:rsid w:val="000175A2"/>
    <w:rsid w:val="00017824"/>
    <w:rsid w:val="000178F4"/>
    <w:rsid w:val="00020593"/>
    <w:rsid w:val="0002077B"/>
    <w:rsid w:val="00020D62"/>
    <w:rsid w:val="00020E1B"/>
    <w:rsid w:val="00020F97"/>
    <w:rsid w:val="000212F0"/>
    <w:rsid w:val="00021D78"/>
    <w:rsid w:val="00022ADB"/>
    <w:rsid w:val="00022B53"/>
    <w:rsid w:val="00023346"/>
    <w:rsid w:val="00023549"/>
    <w:rsid w:val="00023884"/>
    <w:rsid w:val="00023A2E"/>
    <w:rsid w:val="00023AEB"/>
    <w:rsid w:val="00023CAA"/>
    <w:rsid w:val="00023DF0"/>
    <w:rsid w:val="000241EE"/>
    <w:rsid w:val="00024609"/>
    <w:rsid w:val="0002498D"/>
    <w:rsid w:val="000254BB"/>
    <w:rsid w:val="00025A28"/>
    <w:rsid w:val="00025BD1"/>
    <w:rsid w:val="00025CDE"/>
    <w:rsid w:val="00026306"/>
    <w:rsid w:val="00026EB3"/>
    <w:rsid w:val="00027276"/>
    <w:rsid w:val="000277D5"/>
    <w:rsid w:val="00027B94"/>
    <w:rsid w:val="0003064A"/>
    <w:rsid w:val="00030756"/>
    <w:rsid w:val="00030AFB"/>
    <w:rsid w:val="00030F33"/>
    <w:rsid w:val="0003185C"/>
    <w:rsid w:val="00031C48"/>
    <w:rsid w:val="00031C8A"/>
    <w:rsid w:val="00032186"/>
    <w:rsid w:val="00032731"/>
    <w:rsid w:val="00032C25"/>
    <w:rsid w:val="00033840"/>
    <w:rsid w:val="00033D51"/>
    <w:rsid w:val="00033E4B"/>
    <w:rsid w:val="00033FC1"/>
    <w:rsid w:val="00034728"/>
    <w:rsid w:val="00034928"/>
    <w:rsid w:val="00034A5C"/>
    <w:rsid w:val="000351A4"/>
    <w:rsid w:val="000351BC"/>
    <w:rsid w:val="00035DFC"/>
    <w:rsid w:val="00036421"/>
    <w:rsid w:val="00036587"/>
    <w:rsid w:val="00036597"/>
    <w:rsid w:val="00036BEE"/>
    <w:rsid w:val="00036D00"/>
    <w:rsid w:val="00036F24"/>
    <w:rsid w:val="000370B9"/>
    <w:rsid w:val="000379C0"/>
    <w:rsid w:val="00040548"/>
    <w:rsid w:val="00040881"/>
    <w:rsid w:val="000408B4"/>
    <w:rsid w:val="00040E2D"/>
    <w:rsid w:val="00040F80"/>
    <w:rsid w:val="00041671"/>
    <w:rsid w:val="000417BF"/>
    <w:rsid w:val="00041843"/>
    <w:rsid w:val="000439B6"/>
    <w:rsid w:val="0004492A"/>
    <w:rsid w:val="00044F02"/>
    <w:rsid w:val="000456D7"/>
    <w:rsid w:val="00045A8C"/>
    <w:rsid w:val="00045D76"/>
    <w:rsid w:val="00045E88"/>
    <w:rsid w:val="00046C01"/>
    <w:rsid w:val="0004731C"/>
    <w:rsid w:val="00047498"/>
    <w:rsid w:val="000478B4"/>
    <w:rsid w:val="000479EB"/>
    <w:rsid w:val="00050B50"/>
    <w:rsid w:val="000514DE"/>
    <w:rsid w:val="00051C69"/>
    <w:rsid w:val="00052A6C"/>
    <w:rsid w:val="00052B0E"/>
    <w:rsid w:val="000532CA"/>
    <w:rsid w:val="00053E28"/>
    <w:rsid w:val="0005401F"/>
    <w:rsid w:val="0005442C"/>
    <w:rsid w:val="0005462B"/>
    <w:rsid w:val="00054665"/>
    <w:rsid w:val="00054843"/>
    <w:rsid w:val="00054B04"/>
    <w:rsid w:val="00054B1B"/>
    <w:rsid w:val="00054B58"/>
    <w:rsid w:val="00054B8C"/>
    <w:rsid w:val="00054D72"/>
    <w:rsid w:val="00055593"/>
    <w:rsid w:val="00056016"/>
    <w:rsid w:val="000568DE"/>
    <w:rsid w:val="00056972"/>
    <w:rsid w:val="00057159"/>
    <w:rsid w:val="000571F2"/>
    <w:rsid w:val="00057836"/>
    <w:rsid w:val="000578AC"/>
    <w:rsid w:val="00060117"/>
    <w:rsid w:val="000603CD"/>
    <w:rsid w:val="000604D1"/>
    <w:rsid w:val="0006071A"/>
    <w:rsid w:val="000615D4"/>
    <w:rsid w:val="00062138"/>
    <w:rsid w:val="0006293D"/>
    <w:rsid w:val="0006354F"/>
    <w:rsid w:val="00063E5B"/>
    <w:rsid w:val="0006423B"/>
    <w:rsid w:val="000643FE"/>
    <w:rsid w:val="00064634"/>
    <w:rsid w:val="00064AF4"/>
    <w:rsid w:val="00065134"/>
    <w:rsid w:val="0006598E"/>
    <w:rsid w:val="00065C98"/>
    <w:rsid w:val="00065E43"/>
    <w:rsid w:val="000663DB"/>
    <w:rsid w:val="000671E6"/>
    <w:rsid w:val="0006771C"/>
    <w:rsid w:val="000677DE"/>
    <w:rsid w:val="00067AAE"/>
    <w:rsid w:val="0007052C"/>
    <w:rsid w:val="0007070F"/>
    <w:rsid w:val="00070752"/>
    <w:rsid w:val="0007124E"/>
    <w:rsid w:val="00071994"/>
    <w:rsid w:val="00072216"/>
    <w:rsid w:val="0007234F"/>
    <w:rsid w:val="0007260F"/>
    <w:rsid w:val="00072C1B"/>
    <w:rsid w:val="00073A13"/>
    <w:rsid w:val="00073A87"/>
    <w:rsid w:val="00073BC6"/>
    <w:rsid w:val="00074514"/>
    <w:rsid w:val="0007478F"/>
    <w:rsid w:val="00074D11"/>
    <w:rsid w:val="00074FCE"/>
    <w:rsid w:val="000750B0"/>
    <w:rsid w:val="000765CB"/>
    <w:rsid w:val="00076649"/>
    <w:rsid w:val="00076780"/>
    <w:rsid w:val="00076967"/>
    <w:rsid w:val="00076D6A"/>
    <w:rsid w:val="0007729C"/>
    <w:rsid w:val="0007738D"/>
    <w:rsid w:val="000776F0"/>
    <w:rsid w:val="00077804"/>
    <w:rsid w:val="00077956"/>
    <w:rsid w:val="00077FF3"/>
    <w:rsid w:val="00080873"/>
    <w:rsid w:val="00080BD4"/>
    <w:rsid w:val="00080E8F"/>
    <w:rsid w:val="000813F2"/>
    <w:rsid w:val="0008147D"/>
    <w:rsid w:val="000817F3"/>
    <w:rsid w:val="00081BAE"/>
    <w:rsid w:val="00081CBF"/>
    <w:rsid w:val="00082948"/>
    <w:rsid w:val="00083168"/>
    <w:rsid w:val="000831F1"/>
    <w:rsid w:val="0008383D"/>
    <w:rsid w:val="000840EB"/>
    <w:rsid w:val="00084BC4"/>
    <w:rsid w:val="00084D2D"/>
    <w:rsid w:val="0008537C"/>
    <w:rsid w:val="000853DD"/>
    <w:rsid w:val="0008565D"/>
    <w:rsid w:val="0008588C"/>
    <w:rsid w:val="00085A13"/>
    <w:rsid w:val="00086293"/>
    <w:rsid w:val="000863AD"/>
    <w:rsid w:val="00086480"/>
    <w:rsid w:val="000864D4"/>
    <w:rsid w:val="00086925"/>
    <w:rsid w:val="000869E1"/>
    <w:rsid w:val="000869FA"/>
    <w:rsid w:val="00086C49"/>
    <w:rsid w:val="00086C64"/>
    <w:rsid w:val="00086DF5"/>
    <w:rsid w:val="00087C01"/>
    <w:rsid w:val="00087F68"/>
    <w:rsid w:val="0009014F"/>
    <w:rsid w:val="000901E6"/>
    <w:rsid w:val="000902FD"/>
    <w:rsid w:val="00090FE8"/>
    <w:rsid w:val="000910A6"/>
    <w:rsid w:val="000910CF"/>
    <w:rsid w:val="000917A6"/>
    <w:rsid w:val="00091C79"/>
    <w:rsid w:val="00091D10"/>
    <w:rsid w:val="00091DC1"/>
    <w:rsid w:val="00092721"/>
    <w:rsid w:val="000927DE"/>
    <w:rsid w:val="00092D5E"/>
    <w:rsid w:val="00093225"/>
    <w:rsid w:val="000932DB"/>
    <w:rsid w:val="00093921"/>
    <w:rsid w:val="00093CB4"/>
    <w:rsid w:val="0009418E"/>
    <w:rsid w:val="000950FC"/>
    <w:rsid w:val="0009564C"/>
    <w:rsid w:val="0009592B"/>
    <w:rsid w:val="0009613C"/>
    <w:rsid w:val="00096BD1"/>
    <w:rsid w:val="00096BEE"/>
    <w:rsid w:val="00096DAC"/>
    <w:rsid w:val="0009760D"/>
    <w:rsid w:val="000978DB"/>
    <w:rsid w:val="00097948"/>
    <w:rsid w:val="00097AB3"/>
    <w:rsid w:val="00097CB5"/>
    <w:rsid w:val="000A0FAD"/>
    <w:rsid w:val="000A130D"/>
    <w:rsid w:val="000A29AA"/>
    <w:rsid w:val="000A2A5E"/>
    <w:rsid w:val="000A2F8A"/>
    <w:rsid w:val="000A33D2"/>
    <w:rsid w:val="000A35C4"/>
    <w:rsid w:val="000A36A2"/>
    <w:rsid w:val="000A3732"/>
    <w:rsid w:val="000A382D"/>
    <w:rsid w:val="000A3F02"/>
    <w:rsid w:val="000A40AB"/>
    <w:rsid w:val="000A4E05"/>
    <w:rsid w:val="000A52CE"/>
    <w:rsid w:val="000A56E4"/>
    <w:rsid w:val="000A5A87"/>
    <w:rsid w:val="000A6343"/>
    <w:rsid w:val="000A652A"/>
    <w:rsid w:val="000A68E4"/>
    <w:rsid w:val="000A6C14"/>
    <w:rsid w:val="000A720D"/>
    <w:rsid w:val="000A7745"/>
    <w:rsid w:val="000B0337"/>
    <w:rsid w:val="000B11B2"/>
    <w:rsid w:val="000B15FB"/>
    <w:rsid w:val="000B168D"/>
    <w:rsid w:val="000B1973"/>
    <w:rsid w:val="000B2387"/>
    <w:rsid w:val="000B2614"/>
    <w:rsid w:val="000B2672"/>
    <w:rsid w:val="000B2D7E"/>
    <w:rsid w:val="000B2FF7"/>
    <w:rsid w:val="000B3042"/>
    <w:rsid w:val="000B3090"/>
    <w:rsid w:val="000B30A0"/>
    <w:rsid w:val="000B37E3"/>
    <w:rsid w:val="000B3807"/>
    <w:rsid w:val="000B3AE4"/>
    <w:rsid w:val="000B3B00"/>
    <w:rsid w:val="000B3E5F"/>
    <w:rsid w:val="000B40B4"/>
    <w:rsid w:val="000B4CC4"/>
    <w:rsid w:val="000B5562"/>
    <w:rsid w:val="000B64C2"/>
    <w:rsid w:val="000B65BD"/>
    <w:rsid w:val="000B6A0E"/>
    <w:rsid w:val="000B7158"/>
    <w:rsid w:val="000B76C2"/>
    <w:rsid w:val="000B7986"/>
    <w:rsid w:val="000B79E0"/>
    <w:rsid w:val="000B7A8F"/>
    <w:rsid w:val="000B7AFF"/>
    <w:rsid w:val="000C0400"/>
    <w:rsid w:val="000C05A2"/>
    <w:rsid w:val="000C0A0E"/>
    <w:rsid w:val="000C2732"/>
    <w:rsid w:val="000C2879"/>
    <w:rsid w:val="000C29FF"/>
    <w:rsid w:val="000C469E"/>
    <w:rsid w:val="000C47EE"/>
    <w:rsid w:val="000C4ADE"/>
    <w:rsid w:val="000C606B"/>
    <w:rsid w:val="000C610F"/>
    <w:rsid w:val="000C622D"/>
    <w:rsid w:val="000C64EE"/>
    <w:rsid w:val="000C6DCD"/>
    <w:rsid w:val="000C7266"/>
    <w:rsid w:val="000C7594"/>
    <w:rsid w:val="000C786A"/>
    <w:rsid w:val="000C7C8E"/>
    <w:rsid w:val="000D004D"/>
    <w:rsid w:val="000D01D9"/>
    <w:rsid w:val="000D0C79"/>
    <w:rsid w:val="000D0F73"/>
    <w:rsid w:val="000D102D"/>
    <w:rsid w:val="000D160C"/>
    <w:rsid w:val="000D1A0B"/>
    <w:rsid w:val="000D1D7A"/>
    <w:rsid w:val="000D3328"/>
    <w:rsid w:val="000D35E0"/>
    <w:rsid w:val="000D3766"/>
    <w:rsid w:val="000D3D38"/>
    <w:rsid w:val="000D4653"/>
    <w:rsid w:val="000D4A18"/>
    <w:rsid w:val="000D5017"/>
    <w:rsid w:val="000D53D9"/>
    <w:rsid w:val="000D5419"/>
    <w:rsid w:val="000D546F"/>
    <w:rsid w:val="000D5526"/>
    <w:rsid w:val="000D5978"/>
    <w:rsid w:val="000D5E97"/>
    <w:rsid w:val="000D612A"/>
    <w:rsid w:val="000D654C"/>
    <w:rsid w:val="000D6B88"/>
    <w:rsid w:val="000D7341"/>
    <w:rsid w:val="000D7A49"/>
    <w:rsid w:val="000E0932"/>
    <w:rsid w:val="000E0E02"/>
    <w:rsid w:val="000E0E81"/>
    <w:rsid w:val="000E15E0"/>
    <w:rsid w:val="000E180C"/>
    <w:rsid w:val="000E1D6A"/>
    <w:rsid w:val="000E1F0B"/>
    <w:rsid w:val="000E1F80"/>
    <w:rsid w:val="000E231C"/>
    <w:rsid w:val="000E28C6"/>
    <w:rsid w:val="000E2F90"/>
    <w:rsid w:val="000E2FF8"/>
    <w:rsid w:val="000E3481"/>
    <w:rsid w:val="000E34B0"/>
    <w:rsid w:val="000E3DD0"/>
    <w:rsid w:val="000E3EA7"/>
    <w:rsid w:val="000E4551"/>
    <w:rsid w:val="000E4785"/>
    <w:rsid w:val="000E5330"/>
    <w:rsid w:val="000E5462"/>
    <w:rsid w:val="000E5BEF"/>
    <w:rsid w:val="000E5FEE"/>
    <w:rsid w:val="000E6054"/>
    <w:rsid w:val="000E6C1A"/>
    <w:rsid w:val="000E6E18"/>
    <w:rsid w:val="000E7B44"/>
    <w:rsid w:val="000F00FA"/>
    <w:rsid w:val="000F061B"/>
    <w:rsid w:val="000F076B"/>
    <w:rsid w:val="000F0D73"/>
    <w:rsid w:val="000F1130"/>
    <w:rsid w:val="000F147A"/>
    <w:rsid w:val="000F14E8"/>
    <w:rsid w:val="000F1AFE"/>
    <w:rsid w:val="000F201D"/>
    <w:rsid w:val="000F20FA"/>
    <w:rsid w:val="000F2A87"/>
    <w:rsid w:val="000F2B4C"/>
    <w:rsid w:val="000F2C9D"/>
    <w:rsid w:val="000F390C"/>
    <w:rsid w:val="000F3A72"/>
    <w:rsid w:val="000F3C04"/>
    <w:rsid w:val="000F3C84"/>
    <w:rsid w:val="000F43AE"/>
    <w:rsid w:val="000F4500"/>
    <w:rsid w:val="000F4D66"/>
    <w:rsid w:val="000F4DEF"/>
    <w:rsid w:val="000F53FB"/>
    <w:rsid w:val="000F5ECD"/>
    <w:rsid w:val="000F6CC8"/>
    <w:rsid w:val="000F6FED"/>
    <w:rsid w:val="000F709E"/>
    <w:rsid w:val="000F743B"/>
    <w:rsid w:val="000F789C"/>
    <w:rsid w:val="000F7DDD"/>
    <w:rsid w:val="00100C45"/>
    <w:rsid w:val="00100D53"/>
    <w:rsid w:val="00101644"/>
    <w:rsid w:val="00101B0B"/>
    <w:rsid w:val="00101C0C"/>
    <w:rsid w:val="00101C86"/>
    <w:rsid w:val="001025B2"/>
    <w:rsid w:val="00103BB3"/>
    <w:rsid w:val="00103F27"/>
    <w:rsid w:val="001047D5"/>
    <w:rsid w:val="00104C5C"/>
    <w:rsid w:val="001050E3"/>
    <w:rsid w:val="00105718"/>
    <w:rsid w:val="00105A46"/>
    <w:rsid w:val="00106226"/>
    <w:rsid w:val="001065FA"/>
    <w:rsid w:val="001066DA"/>
    <w:rsid w:val="0010676E"/>
    <w:rsid w:val="00106FEF"/>
    <w:rsid w:val="0010708B"/>
    <w:rsid w:val="0010712C"/>
    <w:rsid w:val="00107177"/>
    <w:rsid w:val="0010793A"/>
    <w:rsid w:val="00107BEE"/>
    <w:rsid w:val="00110341"/>
    <w:rsid w:val="00110515"/>
    <w:rsid w:val="00110C7D"/>
    <w:rsid w:val="001115B4"/>
    <w:rsid w:val="001127FA"/>
    <w:rsid w:val="0011307E"/>
    <w:rsid w:val="0011328B"/>
    <w:rsid w:val="00113E8E"/>
    <w:rsid w:val="00113EE6"/>
    <w:rsid w:val="001143A3"/>
    <w:rsid w:val="00114676"/>
    <w:rsid w:val="00114889"/>
    <w:rsid w:val="0011498F"/>
    <w:rsid w:val="00115362"/>
    <w:rsid w:val="001155D0"/>
    <w:rsid w:val="00115795"/>
    <w:rsid w:val="00115C4B"/>
    <w:rsid w:val="00115DF8"/>
    <w:rsid w:val="00116069"/>
    <w:rsid w:val="0011616D"/>
    <w:rsid w:val="001170D6"/>
    <w:rsid w:val="0011734E"/>
    <w:rsid w:val="001177B7"/>
    <w:rsid w:val="00117F29"/>
    <w:rsid w:val="00120605"/>
    <w:rsid w:val="00120840"/>
    <w:rsid w:val="00120F53"/>
    <w:rsid w:val="00121717"/>
    <w:rsid w:val="00121B56"/>
    <w:rsid w:val="001221E5"/>
    <w:rsid w:val="001224B3"/>
    <w:rsid w:val="00122B17"/>
    <w:rsid w:val="00122E08"/>
    <w:rsid w:val="001230F5"/>
    <w:rsid w:val="0012356D"/>
    <w:rsid w:val="00123BAB"/>
    <w:rsid w:val="00123C69"/>
    <w:rsid w:val="00124570"/>
    <w:rsid w:val="00124F7B"/>
    <w:rsid w:val="001252A3"/>
    <w:rsid w:val="0012531E"/>
    <w:rsid w:val="0012570F"/>
    <w:rsid w:val="00125990"/>
    <w:rsid w:val="0012664F"/>
    <w:rsid w:val="001269AC"/>
    <w:rsid w:val="00127C01"/>
    <w:rsid w:val="00130273"/>
    <w:rsid w:val="00130322"/>
    <w:rsid w:val="001305A0"/>
    <w:rsid w:val="001308E1"/>
    <w:rsid w:val="0013157D"/>
    <w:rsid w:val="00131944"/>
    <w:rsid w:val="00131A83"/>
    <w:rsid w:val="00131B57"/>
    <w:rsid w:val="00131FA4"/>
    <w:rsid w:val="001326F1"/>
    <w:rsid w:val="00132A8F"/>
    <w:rsid w:val="00134511"/>
    <w:rsid w:val="00134774"/>
    <w:rsid w:val="00135047"/>
    <w:rsid w:val="0013516E"/>
    <w:rsid w:val="00135173"/>
    <w:rsid w:val="00135459"/>
    <w:rsid w:val="001372B6"/>
    <w:rsid w:val="00137345"/>
    <w:rsid w:val="00137704"/>
    <w:rsid w:val="0014028A"/>
    <w:rsid w:val="0014057B"/>
    <w:rsid w:val="0014073D"/>
    <w:rsid w:val="001417F5"/>
    <w:rsid w:val="00141BCA"/>
    <w:rsid w:val="001420E8"/>
    <w:rsid w:val="00142212"/>
    <w:rsid w:val="001429AC"/>
    <w:rsid w:val="00142EB6"/>
    <w:rsid w:val="00143000"/>
    <w:rsid w:val="00143279"/>
    <w:rsid w:val="001435CA"/>
    <w:rsid w:val="00143978"/>
    <w:rsid w:val="00143D70"/>
    <w:rsid w:val="001442C8"/>
    <w:rsid w:val="00144616"/>
    <w:rsid w:val="001446BB"/>
    <w:rsid w:val="00144AB4"/>
    <w:rsid w:val="00145601"/>
    <w:rsid w:val="00145B5B"/>
    <w:rsid w:val="001460D8"/>
    <w:rsid w:val="0014621F"/>
    <w:rsid w:val="00146268"/>
    <w:rsid w:val="001463DE"/>
    <w:rsid w:val="001464FB"/>
    <w:rsid w:val="00147345"/>
    <w:rsid w:val="00147B44"/>
    <w:rsid w:val="001507F6"/>
    <w:rsid w:val="001514FB"/>
    <w:rsid w:val="001517ED"/>
    <w:rsid w:val="001522E2"/>
    <w:rsid w:val="0015245A"/>
    <w:rsid w:val="00152777"/>
    <w:rsid w:val="001529EA"/>
    <w:rsid w:val="00152FA0"/>
    <w:rsid w:val="0015360B"/>
    <w:rsid w:val="00153743"/>
    <w:rsid w:val="00153D27"/>
    <w:rsid w:val="00154137"/>
    <w:rsid w:val="00154470"/>
    <w:rsid w:val="001545C3"/>
    <w:rsid w:val="00154AF6"/>
    <w:rsid w:val="00154CB4"/>
    <w:rsid w:val="00154DEA"/>
    <w:rsid w:val="00155319"/>
    <w:rsid w:val="001553E1"/>
    <w:rsid w:val="00155623"/>
    <w:rsid w:val="001559AE"/>
    <w:rsid w:val="00156732"/>
    <w:rsid w:val="00156B46"/>
    <w:rsid w:val="00156E35"/>
    <w:rsid w:val="00157130"/>
    <w:rsid w:val="001576A2"/>
    <w:rsid w:val="001576FB"/>
    <w:rsid w:val="0015783F"/>
    <w:rsid w:val="001578C3"/>
    <w:rsid w:val="00157C7F"/>
    <w:rsid w:val="0016037E"/>
    <w:rsid w:val="001608F8"/>
    <w:rsid w:val="00160A12"/>
    <w:rsid w:val="00161161"/>
    <w:rsid w:val="001613E2"/>
    <w:rsid w:val="001615C6"/>
    <w:rsid w:val="00161B56"/>
    <w:rsid w:val="00161B8D"/>
    <w:rsid w:val="00161FBD"/>
    <w:rsid w:val="00162EEC"/>
    <w:rsid w:val="00163056"/>
    <w:rsid w:val="00163794"/>
    <w:rsid w:val="0016479A"/>
    <w:rsid w:val="00164CE7"/>
    <w:rsid w:val="00165AF8"/>
    <w:rsid w:val="0016629E"/>
    <w:rsid w:val="0016772A"/>
    <w:rsid w:val="0016793D"/>
    <w:rsid w:val="00167A52"/>
    <w:rsid w:val="00167E0D"/>
    <w:rsid w:val="00170715"/>
    <w:rsid w:val="00171D41"/>
    <w:rsid w:val="00172284"/>
    <w:rsid w:val="00172306"/>
    <w:rsid w:val="0017382E"/>
    <w:rsid w:val="001739F7"/>
    <w:rsid w:val="00173B6D"/>
    <w:rsid w:val="0017407C"/>
    <w:rsid w:val="00174107"/>
    <w:rsid w:val="00174AE6"/>
    <w:rsid w:val="00175328"/>
    <w:rsid w:val="001754A4"/>
    <w:rsid w:val="00175CBE"/>
    <w:rsid w:val="00175E8E"/>
    <w:rsid w:val="001764B7"/>
    <w:rsid w:val="001769E8"/>
    <w:rsid w:val="00176C45"/>
    <w:rsid w:val="00176D74"/>
    <w:rsid w:val="00176DA2"/>
    <w:rsid w:val="00176F34"/>
    <w:rsid w:val="00177564"/>
    <w:rsid w:val="0017792D"/>
    <w:rsid w:val="00177F56"/>
    <w:rsid w:val="001803CE"/>
    <w:rsid w:val="00180517"/>
    <w:rsid w:val="001805CD"/>
    <w:rsid w:val="0018094A"/>
    <w:rsid w:val="00180CB9"/>
    <w:rsid w:val="001811EE"/>
    <w:rsid w:val="00181223"/>
    <w:rsid w:val="001816AD"/>
    <w:rsid w:val="001817FE"/>
    <w:rsid w:val="00181944"/>
    <w:rsid w:val="00181A4D"/>
    <w:rsid w:val="00181A62"/>
    <w:rsid w:val="00182108"/>
    <w:rsid w:val="001826B5"/>
    <w:rsid w:val="00182CDF"/>
    <w:rsid w:val="00182CE5"/>
    <w:rsid w:val="00183385"/>
    <w:rsid w:val="00183589"/>
    <w:rsid w:val="00183B40"/>
    <w:rsid w:val="00183CE0"/>
    <w:rsid w:val="001841A6"/>
    <w:rsid w:val="0018440F"/>
    <w:rsid w:val="00184480"/>
    <w:rsid w:val="00184F70"/>
    <w:rsid w:val="00185650"/>
    <w:rsid w:val="00185ABA"/>
    <w:rsid w:val="00185B3D"/>
    <w:rsid w:val="001864C3"/>
    <w:rsid w:val="00186917"/>
    <w:rsid w:val="00186D49"/>
    <w:rsid w:val="00187207"/>
    <w:rsid w:val="0018737F"/>
    <w:rsid w:val="0018783A"/>
    <w:rsid w:val="00187987"/>
    <w:rsid w:val="00187AD9"/>
    <w:rsid w:val="0019038B"/>
    <w:rsid w:val="001906EC"/>
    <w:rsid w:val="0019091F"/>
    <w:rsid w:val="00190AE3"/>
    <w:rsid w:val="00190BD5"/>
    <w:rsid w:val="00190BE0"/>
    <w:rsid w:val="00190E5C"/>
    <w:rsid w:val="00191919"/>
    <w:rsid w:val="00192BD1"/>
    <w:rsid w:val="00192D60"/>
    <w:rsid w:val="00193A9C"/>
    <w:rsid w:val="0019494D"/>
    <w:rsid w:val="00194E92"/>
    <w:rsid w:val="00194FCF"/>
    <w:rsid w:val="001962B7"/>
    <w:rsid w:val="00196FD5"/>
    <w:rsid w:val="001972A6"/>
    <w:rsid w:val="00197683"/>
    <w:rsid w:val="001976A5"/>
    <w:rsid w:val="00197B20"/>
    <w:rsid w:val="001A031F"/>
    <w:rsid w:val="001A0482"/>
    <w:rsid w:val="001A0642"/>
    <w:rsid w:val="001A0905"/>
    <w:rsid w:val="001A0BBE"/>
    <w:rsid w:val="001A0DE4"/>
    <w:rsid w:val="001A0EF2"/>
    <w:rsid w:val="001A1C7B"/>
    <w:rsid w:val="001A1E6C"/>
    <w:rsid w:val="001A2867"/>
    <w:rsid w:val="001A2F40"/>
    <w:rsid w:val="001A30D1"/>
    <w:rsid w:val="001A31A8"/>
    <w:rsid w:val="001A3916"/>
    <w:rsid w:val="001A3C22"/>
    <w:rsid w:val="001A40C1"/>
    <w:rsid w:val="001A44BA"/>
    <w:rsid w:val="001A47BC"/>
    <w:rsid w:val="001A4B7F"/>
    <w:rsid w:val="001A5B92"/>
    <w:rsid w:val="001A6892"/>
    <w:rsid w:val="001A6CB8"/>
    <w:rsid w:val="001A75D0"/>
    <w:rsid w:val="001A78EB"/>
    <w:rsid w:val="001A7BB0"/>
    <w:rsid w:val="001B097A"/>
    <w:rsid w:val="001B0C2C"/>
    <w:rsid w:val="001B0D4B"/>
    <w:rsid w:val="001B0EE2"/>
    <w:rsid w:val="001B14A3"/>
    <w:rsid w:val="001B15E7"/>
    <w:rsid w:val="001B1917"/>
    <w:rsid w:val="001B1CE2"/>
    <w:rsid w:val="001B1ECC"/>
    <w:rsid w:val="001B1F0C"/>
    <w:rsid w:val="001B2522"/>
    <w:rsid w:val="001B26F5"/>
    <w:rsid w:val="001B2856"/>
    <w:rsid w:val="001B2ECA"/>
    <w:rsid w:val="001B341D"/>
    <w:rsid w:val="001B34F7"/>
    <w:rsid w:val="001B355F"/>
    <w:rsid w:val="001B366C"/>
    <w:rsid w:val="001B385B"/>
    <w:rsid w:val="001B3874"/>
    <w:rsid w:val="001B3E3E"/>
    <w:rsid w:val="001B479E"/>
    <w:rsid w:val="001B48C2"/>
    <w:rsid w:val="001B4AEF"/>
    <w:rsid w:val="001B4F2E"/>
    <w:rsid w:val="001B51C7"/>
    <w:rsid w:val="001B569F"/>
    <w:rsid w:val="001B5D5C"/>
    <w:rsid w:val="001B63E8"/>
    <w:rsid w:val="001B63EA"/>
    <w:rsid w:val="001B653A"/>
    <w:rsid w:val="001B65F5"/>
    <w:rsid w:val="001B69A8"/>
    <w:rsid w:val="001B69BF"/>
    <w:rsid w:val="001B6B16"/>
    <w:rsid w:val="001B6C64"/>
    <w:rsid w:val="001B783F"/>
    <w:rsid w:val="001B7B06"/>
    <w:rsid w:val="001C0560"/>
    <w:rsid w:val="001C071D"/>
    <w:rsid w:val="001C0BA7"/>
    <w:rsid w:val="001C14C4"/>
    <w:rsid w:val="001C1535"/>
    <w:rsid w:val="001C1838"/>
    <w:rsid w:val="001C250A"/>
    <w:rsid w:val="001C2C5C"/>
    <w:rsid w:val="001C3DFA"/>
    <w:rsid w:val="001C3E2C"/>
    <w:rsid w:val="001C420A"/>
    <w:rsid w:val="001C423D"/>
    <w:rsid w:val="001C4759"/>
    <w:rsid w:val="001C4C19"/>
    <w:rsid w:val="001C5075"/>
    <w:rsid w:val="001C542C"/>
    <w:rsid w:val="001C547F"/>
    <w:rsid w:val="001C551E"/>
    <w:rsid w:val="001C5595"/>
    <w:rsid w:val="001C5A5F"/>
    <w:rsid w:val="001C6040"/>
    <w:rsid w:val="001C645A"/>
    <w:rsid w:val="001C6993"/>
    <w:rsid w:val="001C6A34"/>
    <w:rsid w:val="001C6EA2"/>
    <w:rsid w:val="001C741B"/>
    <w:rsid w:val="001C749B"/>
    <w:rsid w:val="001C7D7C"/>
    <w:rsid w:val="001C7DBF"/>
    <w:rsid w:val="001D0210"/>
    <w:rsid w:val="001D03F0"/>
    <w:rsid w:val="001D0D5E"/>
    <w:rsid w:val="001D0E52"/>
    <w:rsid w:val="001D117E"/>
    <w:rsid w:val="001D14AC"/>
    <w:rsid w:val="001D14FB"/>
    <w:rsid w:val="001D1567"/>
    <w:rsid w:val="001D16DD"/>
    <w:rsid w:val="001D1753"/>
    <w:rsid w:val="001D19C5"/>
    <w:rsid w:val="001D2092"/>
    <w:rsid w:val="001D213D"/>
    <w:rsid w:val="001D291A"/>
    <w:rsid w:val="001D2A60"/>
    <w:rsid w:val="001D2AC3"/>
    <w:rsid w:val="001D33FF"/>
    <w:rsid w:val="001D3515"/>
    <w:rsid w:val="001D3789"/>
    <w:rsid w:val="001D3C2D"/>
    <w:rsid w:val="001D3D33"/>
    <w:rsid w:val="001D3E93"/>
    <w:rsid w:val="001D4B12"/>
    <w:rsid w:val="001D5077"/>
    <w:rsid w:val="001D572C"/>
    <w:rsid w:val="001D58D4"/>
    <w:rsid w:val="001D59F1"/>
    <w:rsid w:val="001D5C69"/>
    <w:rsid w:val="001D61C0"/>
    <w:rsid w:val="001D6489"/>
    <w:rsid w:val="001D6873"/>
    <w:rsid w:val="001D6B69"/>
    <w:rsid w:val="001E0397"/>
    <w:rsid w:val="001E03D5"/>
    <w:rsid w:val="001E0D8C"/>
    <w:rsid w:val="001E1272"/>
    <w:rsid w:val="001E1832"/>
    <w:rsid w:val="001E1C01"/>
    <w:rsid w:val="001E2127"/>
    <w:rsid w:val="001E21D5"/>
    <w:rsid w:val="001E24C1"/>
    <w:rsid w:val="001E24D1"/>
    <w:rsid w:val="001E2521"/>
    <w:rsid w:val="001E2C4D"/>
    <w:rsid w:val="001E334D"/>
    <w:rsid w:val="001E364E"/>
    <w:rsid w:val="001E3851"/>
    <w:rsid w:val="001E3E37"/>
    <w:rsid w:val="001E4A6D"/>
    <w:rsid w:val="001E4C44"/>
    <w:rsid w:val="001E504D"/>
    <w:rsid w:val="001E50D3"/>
    <w:rsid w:val="001E5146"/>
    <w:rsid w:val="001E55C0"/>
    <w:rsid w:val="001E566A"/>
    <w:rsid w:val="001E5708"/>
    <w:rsid w:val="001E5F3C"/>
    <w:rsid w:val="001E6798"/>
    <w:rsid w:val="001E6A99"/>
    <w:rsid w:val="001E6FA0"/>
    <w:rsid w:val="001E70A4"/>
    <w:rsid w:val="001E78A3"/>
    <w:rsid w:val="001E7C60"/>
    <w:rsid w:val="001E7D60"/>
    <w:rsid w:val="001E7F29"/>
    <w:rsid w:val="001E7FD3"/>
    <w:rsid w:val="001F014B"/>
    <w:rsid w:val="001F1395"/>
    <w:rsid w:val="001F172B"/>
    <w:rsid w:val="001F1823"/>
    <w:rsid w:val="001F1B13"/>
    <w:rsid w:val="001F1BD6"/>
    <w:rsid w:val="001F2778"/>
    <w:rsid w:val="001F3113"/>
    <w:rsid w:val="001F35E5"/>
    <w:rsid w:val="001F3E1D"/>
    <w:rsid w:val="001F3E51"/>
    <w:rsid w:val="001F442E"/>
    <w:rsid w:val="001F4469"/>
    <w:rsid w:val="001F47F7"/>
    <w:rsid w:val="001F4886"/>
    <w:rsid w:val="001F48BE"/>
    <w:rsid w:val="001F50A7"/>
    <w:rsid w:val="001F5415"/>
    <w:rsid w:val="001F5802"/>
    <w:rsid w:val="001F616B"/>
    <w:rsid w:val="001F6F52"/>
    <w:rsid w:val="001F728B"/>
    <w:rsid w:val="001F7474"/>
    <w:rsid w:val="001F7A93"/>
    <w:rsid w:val="002003F3"/>
    <w:rsid w:val="00200B33"/>
    <w:rsid w:val="0020154F"/>
    <w:rsid w:val="002019B2"/>
    <w:rsid w:val="00202621"/>
    <w:rsid w:val="00202EFC"/>
    <w:rsid w:val="00203030"/>
    <w:rsid w:val="0020321D"/>
    <w:rsid w:val="0020368A"/>
    <w:rsid w:val="002036BF"/>
    <w:rsid w:val="00203B1A"/>
    <w:rsid w:val="00203CF3"/>
    <w:rsid w:val="002045A5"/>
    <w:rsid w:val="0020487D"/>
    <w:rsid w:val="00204C23"/>
    <w:rsid w:val="00205025"/>
    <w:rsid w:val="00205516"/>
    <w:rsid w:val="002057BB"/>
    <w:rsid w:val="002059B1"/>
    <w:rsid w:val="00205AEA"/>
    <w:rsid w:val="00205CB6"/>
    <w:rsid w:val="00205DDE"/>
    <w:rsid w:val="00205E98"/>
    <w:rsid w:val="002067F0"/>
    <w:rsid w:val="002067F5"/>
    <w:rsid w:val="00206AAF"/>
    <w:rsid w:val="00206B5A"/>
    <w:rsid w:val="00206DD9"/>
    <w:rsid w:val="002070D9"/>
    <w:rsid w:val="002073DB"/>
    <w:rsid w:val="00210295"/>
    <w:rsid w:val="00210686"/>
    <w:rsid w:val="002110E3"/>
    <w:rsid w:val="00211569"/>
    <w:rsid w:val="00211977"/>
    <w:rsid w:val="00211D1D"/>
    <w:rsid w:val="00211E2B"/>
    <w:rsid w:val="00212AE3"/>
    <w:rsid w:val="00213676"/>
    <w:rsid w:val="00214660"/>
    <w:rsid w:val="00214AD1"/>
    <w:rsid w:val="00214D84"/>
    <w:rsid w:val="00214E1E"/>
    <w:rsid w:val="00214E66"/>
    <w:rsid w:val="00215258"/>
    <w:rsid w:val="002156FE"/>
    <w:rsid w:val="002160F5"/>
    <w:rsid w:val="00216450"/>
    <w:rsid w:val="00216AFA"/>
    <w:rsid w:val="00217221"/>
    <w:rsid w:val="0021754C"/>
    <w:rsid w:val="00217DF5"/>
    <w:rsid w:val="00220948"/>
    <w:rsid w:val="002209DB"/>
    <w:rsid w:val="0022117A"/>
    <w:rsid w:val="0022119F"/>
    <w:rsid w:val="0022157E"/>
    <w:rsid w:val="002216D2"/>
    <w:rsid w:val="00221938"/>
    <w:rsid w:val="00221E53"/>
    <w:rsid w:val="0022232A"/>
    <w:rsid w:val="002228BF"/>
    <w:rsid w:val="00223262"/>
    <w:rsid w:val="00223B56"/>
    <w:rsid w:val="002247A1"/>
    <w:rsid w:val="00225BC1"/>
    <w:rsid w:val="00225C24"/>
    <w:rsid w:val="00226120"/>
    <w:rsid w:val="00226C09"/>
    <w:rsid w:val="00226C56"/>
    <w:rsid w:val="002274F0"/>
    <w:rsid w:val="00227AAE"/>
    <w:rsid w:val="00227BCD"/>
    <w:rsid w:val="002302D4"/>
    <w:rsid w:val="00230681"/>
    <w:rsid w:val="0023113B"/>
    <w:rsid w:val="00231367"/>
    <w:rsid w:val="0023147A"/>
    <w:rsid w:val="002316B7"/>
    <w:rsid w:val="0023193A"/>
    <w:rsid w:val="00231D15"/>
    <w:rsid w:val="00231DC2"/>
    <w:rsid w:val="0023257B"/>
    <w:rsid w:val="002325F4"/>
    <w:rsid w:val="00232BAD"/>
    <w:rsid w:val="0023374F"/>
    <w:rsid w:val="00233ACB"/>
    <w:rsid w:val="00233F47"/>
    <w:rsid w:val="00234371"/>
    <w:rsid w:val="002344D6"/>
    <w:rsid w:val="002349B5"/>
    <w:rsid w:val="00234BA1"/>
    <w:rsid w:val="00235BC3"/>
    <w:rsid w:val="00235FC2"/>
    <w:rsid w:val="0023676D"/>
    <w:rsid w:val="00236C5E"/>
    <w:rsid w:val="00236E15"/>
    <w:rsid w:val="00236F25"/>
    <w:rsid w:val="00237C12"/>
    <w:rsid w:val="00237EA4"/>
    <w:rsid w:val="0024010D"/>
    <w:rsid w:val="00240239"/>
    <w:rsid w:val="0024087F"/>
    <w:rsid w:val="0024109B"/>
    <w:rsid w:val="00241554"/>
    <w:rsid w:val="00241742"/>
    <w:rsid w:val="00241AC9"/>
    <w:rsid w:val="00241B0C"/>
    <w:rsid w:val="00241FF0"/>
    <w:rsid w:val="00242357"/>
    <w:rsid w:val="002423E4"/>
    <w:rsid w:val="00242AA9"/>
    <w:rsid w:val="00242F28"/>
    <w:rsid w:val="0024353F"/>
    <w:rsid w:val="00243899"/>
    <w:rsid w:val="00243E2D"/>
    <w:rsid w:val="00243F03"/>
    <w:rsid w:val="002440D4"/>
    <w:rsid w:val="002440F5"/>
    <w:rsid w:val="00244C44"/>
    <w:rsid w:val="00244DA6"/>
    <w:rsid w:val="00245025"/>
    <w:rsid w:val="00245057"/>
    <w:rsid w:val="00245D88"/>
    <w:rsid w:val="00245E25"/>
    <w:rsid w:val="002474E4"/>
    <w:rsid w:val="0024768D"/>
    <w:rsid w:val="00247C64"/>
    <w:rsid w:val="00247E3F"/>
    <w:rsid w:val="00247F58"/>
    <w:rsid w:val="002504EF"/>
    <w:rsid w:val="00250677"/>
    <w:rsid w:val="002506DF"/>
    <w:rsid w:val="00250727"/>
    <w:rsid w:val="00250D79"/>
    <w:rsid w:val="00250E33"/>
    <w:rsid w:val="00251663"/>
    <w:rsid w:val="00251707"/>
    <w:rsid w:val="00251811"/>
    <w:rsid w:val="00251FDC"/>
    <w:rsid w:val="0025223E"/>
    <w:rsid w:val="00252420"/>
    <w:rsid w:val="00252A02"/>
    <w:rsid w:val="00252B67"/>
    <w:rsid w:val="00252BCB"/>
    <w:rsid w:val="00252C27"/>
    <w:rsid w:val="00253296"/>
    <w:rsid w:val="0025361C"/>
    <w:rsid w:val="002548A3"/>
    <w:rsid w:val="00254B98"/>
    <w:rsid w:val="00254D96"/>
    <w:rsid w:val="00254FE6"/>
    <w:rsid w:val="00255EBC"/>
    <w:rsid w:val="00257A00"/>
    <w:rsid w:val="00257BA0"/>
    <w:rsid w:val="00257F55"/>
    <w:rsid w:val="00260229"/>
    <w:rsid w:val="002604BE"/>
    <w:rsid w:val="002607FA"/>
    <w:rsid w:val="00260FAF"/>
    <w:rsid w:val="002618CF"/>
    <w:rsid w:val="002618EB"/>
    <w:rsid w:val="0026241C"/>
    <w:rsid w:val="00262719"/>
    <w:rsid w:val="00262A71"/>
    <w:rsid w:val="00262C5C"/>
    <w:rsid w:val="0026317F"/>
    <w:rsid w:val="002638C6"/>
    <w:rsid w:val="00263953"/>
    <w:rsid w:val="00264095"/>
    <w:rsid w:val="00264288"/>
    <w:rsid w:val="002644BA"/>
    <w:rsid w:val="00265117"/>
    <w:rsid w:val="0026552F"/>
    <w:rsid w:val="00265BCA"/>
    <w:rsid w:val="00265D31"/>
    <w:rsid w:val="00265F33"/>
    <w:rsid w:val="0026698E"/>
    <w:rsid w:val="00267C5D"/>
    <w:rsid w:val="00270659"/>
    <w:rsid w:val="0027140F"/>
    <w:rsid w:val="002719C2"/>
    <w:rsid w:val="00271B27"/>
    <w:rsid w:val="0027203B"/>
    <w:rsid w:val="002725B3"/>
    <w:rsid w:val="002729EA"/>
    <w:rsid w:val="00272A88"/>
    <w:rsid w:val="00272C2D"/>
    <w:rsid w:val="00272C30"/>
    <w:rsid w:val="00273087"/>
    <w:rsid w:val="00273772"/>
    <w:rsid w:val="00273DED"/>
    <w:rsid w:val="002742CF"/>
    <w:rsid w:val="00274553"/>
    <w:rsid w:val="00274BC0"/>
    <w:rsid w:val="002752D0"/>
    <w:rsid w:val="002756DE"/>
    <w:rsid w:val="00275AC2"/>
    <w:rsid w:val="00275E24"/>
    <w:rsid w:val="0027687C"/>
    <w:rsid w:val="00276B11"/>
    <w:rsid w:val="00277474"/>
    <w:rsid w:val="00277846"/>
    <w:rsid w:val="00277892"/>
    <w:rsid w:val="00277D30"/>
    <w:rsid w:val="002807D8"/>
    <w:rsid w:val="00280907"/>
    <w:rsid w:val="00280C04"/>
    <w:rsid w:val="00281034"/>
    <w:rsid w:val="0028111C"/>
    <w:rsid w:val="0028116C"/>
    <w:rsid w:val="00281333"/>
    <w:rsid w:val="00281F88"/>
    <w:rsid w:val="002821C4"/>
    <w:rsid w:val="00282388"/>
    <w:rsid w:val="0028359C"/>
    <w:rsid w:val="00283F58"/>
    <w:rsid w:val="00283FCC"/>
    <w:rsid w:val="0028497A"/>
    <w:rsid w:val="00284A10"/>
    <w:rsid w:val="002852E1"/>
    <w:rsid w:val="00285378"/>
    <w:rsid w:val="0028618E"/>
    <w:rsid w:val="00286933"/>
    <w:rsid w:val="0028698E"/>
    <w:rsid w:val="002870B6"/>
    <w:rsid w:val="00287377"/>
    <w:rsid w:val="002875C0"/>
    <w:rsid w:val="0028781F"/>
    <w:rsid w:val="00287AB5"/>
    <w:rsid w:val="00287EAF"/>
    <w:rsid w:val="00287FA4"/>
    <w:rsid w:val="00290400"/>
    <w:rsid w:val="00290996"/>
    <w:rsid w:val="00290DE3"/>
    <w:rsid w:val="002911EF"/>
    <w:rsid w:val="002918FE"/>
    <w:rsid w:val="00291A73"/>
    <w:rsid w:val="002921F5"/>
    <w:rsid w:val="002923D1"/>
    <w:rsid w:val="00292506"/>
    <w:rsid w:val="002929B1"/>
    <w:rsid w:val="002933AC"/>
    <w:rsid w:val="00294639"/>
    <w:rsid w:val="00294876"/>
    <w:rsid w:val="002952EF"/>
    <w:rsid w:val="00295341"/>
    <w:rsid w:val="00295802"/>
    <w:rsid w:val="00295827"/>
    <w:rsid w:val="002958FB"/>
    <w:rsid w:val="00295A63"/>
    <w:rsid w:val="00295A7E"/>
    <w:rsid w:val="002966EE"/>
    <w:rsid w:val="00296D62"/>
    <w:rsid w:val="00296D70"/>
    <w:rsid w:val="00296F10"/>
    <w:rsid w:val="002975D5"/>
    <w:rsid w:val="002978CA"/>
    <w:rsid w:val="00297C86"/>
    <w:rsid w:val="00297F4A"/>
    <w:rsid w:val="002A06E8"/>
    <w:rsid w:val="002A0BA8"/>
    <w:rsid w:val="002A1449"/>
    <w:rsid w:val="002A14D5"/>
    <w:rsid w:val="002A154B"/>
    <w:rsid w:val="002A1D28"/>
    <w:rsid w:val="002A2C48"/>
    <w:rsid w:val="002A35D0"/>
    <w:rsid w:val="002A3786"/>
    <w:rsid w:val="002A425D"/>
    <w:rsid w:val="002A4C29"/>
    <w:rsid w:val="002A4C59"/>
    <w:rsid w:val="002A5160"/>
    <w:rsid w:val="002A51AE"/>
    <w:rsid w:val="002A5238"/>
    <w:rsid w:val="002A5433"/>
    <w:rsid w:val="002A5472"/>
    <w:rsid w:val="002A5614"/>
    <w:rsid w:val="002A6AC4"/>
    <w:rsid w:val="002B0085"/>
    <w:rsid w:val="002B05C8"/>
    <w:rsid w:val="002B06CC"/>
    <w:rsid w:val="002B080A"/>
    <w:rsid w:val="002B0936"/>
    <w:rsid w:val="002B0E2B"/>
    <w:rsid w:val="002B0EE4"/>
    <w:rsid w:val="002B1228"/>
    <w:rsid w:val="002B1255"/>
    <w:rsid w:val="002B13B2"/>
    <w:rsid w:val="002B14E1"/>
    <w:rsid w:val="002B1C6D"/>
    <w:rsid w:val="002B1E79"/>
    <w:rsid w:val="002B24AE"/>
    <w:rsid w:val="002B256B"/>
    <w:rsid w:val="002B331B"/>
    <w:rsid w:val="002B489E"/>
    <w:rsid w:val="002B4A9B"/>
    <w:rsid w:val="002B4B51"/>
    <w:rsid w:val="002B52F0"/>
    <w:rsid w:val="002B5802"/>
    <w:rsid w:val="002B5B53"/>
    <w:rsid w:val="002B5C4C"/>
    <w:rsid w:val="002B5F02"/>
    <w:rsid w:val="002B6274"/>
    <w:rsid w:val="002B63D6"/>
    <w:rsid w:val="002B66DB"/>
    <w:rsid w:val="002B74E4"/>
    <w:rsid w:val="002B7EA6"/>
    <w:rsid w:val="002C0749"/>
    <w:rsid w:val="002C0A96"/>
    <w:rsid w:val="002C0C8B"/>
    <w:rsid w:val="002C0FC8"/>
    <w:rsid w:val="002C1545"/>
    <w:rsid w:val="002C15BE"/>
    <w:rsid w:val="002C270D"/>
    <w:rsid w:val="002C27DC"/>
    <w:rsid w:val="002C4444"/>
    <w:rsid w:val="002C45FF"/>
    <w:rsid w:val="002C4671"/>
    <w:rsid w:val="002C4B9B"/>
    <w:rsid w:val="002C51BE"/>
    <w:rsid w:val="002C52D9"/>
    <w:rsid w:val="002C53D6"/>
    <w:rsid w:val="002C592B"/>
    <w:rsid w:val="002C5D45"/>
    <w:rsid w:val="002C5EA5"/>
    <w:rsid w:val="002C5F44"/>
    <w:rsid w:val="002C5F77"/>
    <w:rsid w:val="002C6CD1"/>
    <w:rsid w:val="002D00C2"/>
    <w:rsid w:val="002D04FF"/>
    <w:rsid w:val="002D0655"/>
    <w:rsid w:val="002D1B2C"/>
    <w:rsid w:val="002D1D2C"/>
    <w:rsid w:val="002D1F7D"/>
    <w:rsid w:val="002D2135"/>
    <w:rsid w:val="002D2238"/>
    <w:rsid w:val="002D26D8"/>
    <w:rsid w:val="002D308E"/>
    <w:rsid w:val="002D39E1"/>
    <w:rsid w:val="002D3A5D"/>
    <w:rsid w:val="002D45B9"/>
    <w:rsid w:val="002D489B"/>
    <w:rsid w:val="002D52BC"/>
    <w:rsid w:val="002D5980"/>
    <w:rsid w:val="002D5BB1"/>
    <w:rsid w:val="002D5E51"/>
    <w:rsid w:val="002D5F54"/>
    <w:rsid w:val="002D6098"/>
    <w:rsid w:val="002D6144"/>
    <w:rsid w:val="002D78B7"/>
    <w:rsid w:val="002D7A61"/>
    <w:rsid w:val="002D7C73"/>
    <w:rsid w:val="002D7F72"/>
    <w:rsid w:val="002E012B"/>
    <w:rsid w:val="002E06B8"/>
    <w:rsid w:val="002E14F1"/>
    <w:rsid w:val="002E15ED"/>
    <w:rsid w:val="002E1A90"/>
    <w:rsid w:val="002E1BB8"/>
    <w:rsid w:val="002E1CDD"/>
    <w:rsid w:val="002E2DEC"/>
    <w:rsid w:val="002E2E75"/>
    <w:rsid w:val="002E2F5C"/>
    <w:rsid w:val="002E32DD"/>
    <w:rsid w:val="002E344C"/>
    <w:rsid w:val="002E3A42"/>
    <w:rsid w:val="002E3C03"/>
    <w:rsid w:val="002E3D6E"/>
    <w:rsid w:val="002E424F"/>
    <w:rsid w:val="002E4384"/>
    <w:rsid w:val="002E462A"/>
    <w:rsid w:val="002E4699"/>
    <w:rsid w:val="002E5A8C"/>
    <w:rsid w:val="002E5B92"/>
    <w:rsid w:val="002E63D4"/>
    <w:rsid w:val="002E6689"/>
    <w:rsid w:val="002E677B"/>
    <w:rsid w:val="002E692C"/>
    <w:rsid w:val="002E6ACB"/>
    <w:rsid w:val="002E750A"/>
    <w:rsid w:val="002E77BA"/>
    <w:rsid w:val="002E7B15"/>
    <w:rsid w:val="002E7BBC"/>
    <w:rsid w:val="002F06F3"/>
    <w:rsid w:val="002F0CE5"/>
    <w:rsid w:val="002F0DC7"/>
    <w:rsid w:val="002F1145"/>
    <w:rsid w:val="002F1381"/>
    <w:rsid w:val="002F1447"/>
    <w:rsid w:val="002F1491"/>
    <w:rsid w:val="002F19DF"/>
    <w:rsid w:val="002F1E1F"/>
    <w:rsid w:val="002F1EA8"/>
    <w:rsid w:val="002F2134"/>
    <w:rsid w:val="002F259A"/>
    <w:rsid w:val="002F2B1E"/>
    <w:rsid w:val="002F2D14"/>
    <w:rsid w:val="002F2E46"/>
    <w:rsid w:val="002F2EBE"/>
    <w:rsid w:val="002F31AD"/>
    <w:rsid w:val="002F3D54"/>
    <w:rsid w:val="002F3F16"/>
    <w:rsid w:val="002F41C4"/>
    <w:rsid w:val="002F4C68"/>
    <w:rsid w:val="002F5E78"/>
    <w:rsid w:val="002F63A7"/>
    <w:rsid w:val="002F65CF"/>
    <w:rsid w:val="002F6B81"/>
    <w:rsid w:val="002F6EE2"/>
    <w:rsid w:val="002F6EF5"/>
    <w:rsid w:val="002F7435"/>
    <w:rsid w:val="002F78DB"/>
    <w:rsid w:val="003002E9"/>
    <w:rsid w:val="003005F2"/>
    <w:rsid w:val="003014EE"/>
    <w:rsid w:val="00301595"/>
    <w:rsid w:val="003018C7"/>
    <w:rsid w:val="00301DEA"/>
    <w:rsid w:val="00301E33"/>
    <w:rsid w:val="00302804"/>
    <w:rsid w:val="00302A38"/>
    <w:rsid w:val="00302EC5"/>
    <w:rsid w:val="00302FBA"/>
    <w:rsid w:val="00303A4D"/>
    <w:rsid w:val="00304196"/>
    <w:rsid w:val="00304534"/>
    <w:rsid w:val="00305412"/>
    <w:rsid w:val="00305E7C"/>
    <w:rsid w:val="00305F8C"/>
    <w:rsid w:val="003062BC"/>
    <w:rsid w:val="00306D77"/>
    <w:rsid w:val="0030754A"/>
    <w:rsid w:val="00307607"/>
    <w:rsid w:val="0030776C"/>
    <w:rsid w:val="0030778C"/>
    <w:rsid w:val="00310301"/>
    <w:rsid w:val="0031041C"/>
    <w:rsid w:val="0031043E"/>
    <w:rsid w:val="003104BF"/>
    <w:rsid w:val="003104EB"/>
    <w:rsid w:val="00310A1C"/>
    <w:rsid w:val="00310E55"/>
    <w:rsid w:val="00310FE1"/>
    <w:rsid w:val="003113E2"/>
    <w:rsid w:val="003117C3"/>
    <w:rsid w:val="00311E5F"/>
    <w:rsid w:val="00312084"/>
    <w:rsid w:val="00312552"/>
    <w:rsid w:val="003129EC"/>
    <w:rsid w:val="00312D23"/>
    <w:rsid w:val="00312FA7"/>
    <w:rsid w:val="0031423E"/>
    <w:rsid w:val="00314384"/>
    <w:rsid w:val="003145EA"/>
    <w:rsid w:val="00314677"/>
    <w:rsid w:val="0031536D"/>
    <w:rsid w:val="00315591"/>
    <w:rsid w:val="003159AE"/>
    <w:rsid w:val="0031603B"/>
    <w:rsid w:val="0031695B"/>
    <w:rsid w:val="00316A5C"/>
    <w:rsid w:val="00316F5C"/>
    <w:rsid w:val="0031728F"/>
    <w:rsid w:val="00317564"/>
    <w:rsid w:val="00317BB6"/>
    <w:rsid w:val="00317FD6"/>
    <w:rsid w:val="0032000A"/>
    <w:rsid w:val="0032020C"/>
    <w:rsid w:val="003203F7"/>
    <w:rsid w:val="00320558"/>
    <w:rsid w:val="00320C58"/>
    <w:rsid w:val="0032144C"/>
    <w:rsid w:val="003226DE"/>
    <w:rsid w:val="00322FC5"/>
    <w:rsid w:val="00323303"/>
    <w:rsid w:val="00323EB6"/>
    <w:rsid w:val="0032414C"/>
    <w:rsid w:val="0032426E"/>
    <w:rsid w:val="003247F8"/>
    <w:rsid w:val="0032493A"/>
    <w:rsid w:val="00324D0E"/>
    <w:rsid w:val="003250B9"/>
    <w:rsid w:val="0032513E"/>
    <w:rsid w:val="003253C9"/>
    <w:rsid w:val="003259DF"/>
    <w:rsid w:val="00326215"/>
    <w:rsid w:val="003268AF"/>
    <w:rsid w:val="00327538"/>
    <w:rsid w:val="00327DC5"/>
    <w:rsid w:val="00330613"/>
    <w:rsid w:val="003313BF"/>
    <w:rsid w:val="00331A11"/>
    <w:rsid w:val="00331C7B"/>
    <w:rsid w:val="00331D37"/>
    <w:rsid w:val="00332441"/>
    <w:rsid w:val="00332949"/>
    <w:rsid w:val="003330EA"/>
    <w:rsid w:val="00333AED"/>
    <w:rsid w:val="003349E8"/>
    <w:rsid w:val="00334DF8"/>
    <w:rsid w:val="00335461"/>
    <w:rsid w:val="00335989"/>
    <w:rsid w:val="00335B4F"/>
    <w:rsid w:val="00335BDA"/>
    <w:rsid w:val="00335D59"/>
    <w:rsid w:val="00335D82"/>
    <w:rsid w:val="003366D0"/>
    <w:rsid w:val="00336DDF"/>
    <w:rsid w:val="00337319"/>
    <w:rsid w:val="0034075E"/>
    <w:rsid w:val="00340792"/>
    <w:rsid w:val="00340A05"/>
    <w:rsid w:val="0034198F"/>
    <w:rsid w:val="00342143"/>
    <w:rsid w:val="003426C5"/>
    <w:rsid w:val="0034280D"/>
    <w:rsid w:val="0034311C"/>
    <w:rsid w:val="003438B9"/>
    <w:rsid w:val="00343907"/>
    <w:rsid w:val="00343961"/>
    <w:rsid w:val="003442A8"/>
    <w:rsid w:val="00344421"/>
    <w:rsid w:val="00344489"/>
    <w:rsid w:val="003448E3"/>
    <w:rsid w:val="00345734"/>
    <w:rsid w:val="00345AA1"/>
    <w:rsid w:val="00345D28"/>
    <w:rsid w:val="003460A0"/>
    <w:rsid w:val="00346F8C"/>
    <w:rsid w:val="003500D4"/>
    <w:rsid w:val="00350264"/>
    <w:rsid w:val="003503E0"/>
    <w:rsid w:val="00350553"/>
    <w:rsid w:val="00350583"/>
    <w:rsid w:val="00350D48"/>
    <w:rsid w:val="00351017"/>
    <w:rsid w:val="0035183D"/>
    <w:rsid w:val="00351FBD"/>
    <w:rsid w:val="00351FEC"/>
    <w:rsid w:val="0035217D"/>
    <w:rsid w:val="00352440"/>
    <w:rsid w:val="003526CB"/>
    <w:rsid w:val="00352C31"/>
    <w:rsid w:val="0035313A"/>
    <w:rsid w:val="003535FA"/>
    <w:rsid w:val="00353ABA"/>
    <w:rsid w:val="00353C45"/>
    <w:rsid w:val="00353F06"/>
    <w:rsid w:val="00354734"/>
    <w:rsid w:val="0035482E"/>
    <w:rsid w:val="0035581C"/>
    <w:rsid w:val="003558F6"/>
    <w:rsid w:val="00355EF0"/>
    <w:rsid w:val="00355F1E"/>
    <w:rsid w:val="003568EC"/>
    <w:rsid w:val="00356BB8"/>
    <w:rsid w:val="00356BF2"/>
    <w:rsid w:val="00356E5D"/>
    <w:rsid w:val="00356F32"/>
    <w:rsid w:val="003571C2"/>
    <w:rsid w:val="0035750B"/>
    <w:rsid w:val="003603B2"/>
    <w:rsid w:val="00360AA7"/>
    <w:rsid w:val="00360EB0"/>
    <w:rsid w:val="00361785"/>
    <w:rsid w:val="00362008"/>
    <w:rsid w:val="0036213F"/>
    <w:rsid w:val="00362603"/>
    <w:rsid w:val="00362DC9"/>
    <w:rsid w:val="00363CE0"/>
    <w:rsid w:val="00363D20"/>
    <w:rsid w:val="0036410C"/>
    <w:rsid w:val="00364195"/>
    <w:rsid w:val="00364341"/>
    <w:rsid w:val="003644AC"/>
    <w:rsid w:val="00364576"/>
    <w:rsid w:val="00366731"/>
    <w:rsid w:val="00366B4F"/>
    <w:rsid w:val="00367230"/>
    <w:rsid w:val="0036733E"/>
    <w:rsid w:val="003674EC"/>
    <w:rsid w:val="0036782C"/>
    <w:rsid w:val="00367883"/>
    <w:rsid w:val="00367A78"/>
    <w:rsid w:val="00367DF3"/>
    <w:rsid w:val="0037033C"/>
    <w:rsid w:val="003707C5"/>
    <w:rsid w:val="003708B7"/>
    <w:rsid w:val="00370D8C"/>
    <w:rsid w:val="00371161"/>
    <w:rsid w:val="0037143A"/>
    <w:rsid w:val="00371BAE"/>
    <w:rsid w:val="003725D5"/>
    <w:rsid w:val="00372F0F"/>
    <w:rsid w:val="003731E9"/>
    <w:rsid w:val="003738A1"/>
    <w:rsid w:val="00373A81"/>
    <w:rsid w:val="00373EDF"/>
    <w:rsid w:val="003741E0"/>
    <w:rsid w:val="003746B4"/>
    <w:rsid w:val="00374A5D"/>
    <w:rsid w:val="00374B1D"/>
    <w:rsid w:val="00374B57"/>
    <w:rsid w:val="00374BC4"/>
    <w:rsid w:val="0037568F"/>
    <w:rsid w:val="00375728"/>
    <w:rsid w:val="00376333"/>
    <w:rsid w:val="003765DF"/>
    <w:rsid w:val="00376E0A"/>
    <w:rsid w:val="00376EC6"/>
    <w:rsid w:val="003772FE"/>
    <w:rsid w:val="00377722"/>
    <w:rsid w:val="00377DD4"/>
    <w:rsid w:val="00377F0A"/>
    <w:rsid w:val="003800E2"/>
    <w:rsid w:val="00380D45"/>
    <w:rsid w:val="00380EC3"/>
    <w:rsid w:val="00381A21"/>
    <w:rsid w:val="00382087"/>
    <w:rsid w:val="00382914"/>
    <w:rsid w:val="00382CB8"/>
    <w:rsid w:val="0038356A"/>
    <w:rsid w:val="00383734"/>
    <w:rsid w:val="00383B78"/>
    <w:rsid w:val="003840DD"/>
    <w:rsid w:val="003844C0"/>
    <w:rsid w:val="0038481A"/>
    <w:rsid w:val="00384CD3"/>
    <w:rsid w:val="00384D6E"/>
    <w:rsid w:val="00385903"/>
    <w:rsid w:val="00385DE7"/>
    <w:rsid w:val="00386015"/>
    <w:rsid w:val="003860C2"/>
    <w:rsid w:val="0038618D"/>
    <w:rsid w:val="003861ED"/>
    <w:rsid w:val="00386B9E"/>
    <w:rsid w:val="00386F2D"/>
    <w:rsid w:val="00387501"/>
    <w:rsid w:val="003875BA"/>
    <w:rsid w:val="00387829"/>
    <w:rsid w:val="00387918"/>
    <w:rsid w:val="00387D13"/>
    <w:rsid w:val="00387F6B"/>
    <w:rsid w:val="00390186"/>
    <w:rsid w:val="00390509"/>
    <w:rsid w:val="00390D63"/>
    <w:rsid w:val="00390FFF"/>
    <w:rsid w:val="003910EC"/>
    <w:rsid w:val="0039196E"/>
    <w:rsid w:val="003919C2"/>
    <w:rsid w:val="00391B14"/>
    <w:rsid w:val="003925DF"/>
    <w:rsid w:val="0039321A"/>
    <w:rsid w:val="003936FB"/>
    <w:rsid w:val="00393CFD"/>
    <w:rsid w:val="003944CA"/>
    <w:rsid w:val="003948AE"/>
    <w:rsid w:val="00394935"/>
    <w:rsid w:val="0039539C"/>
    <w:rsid w:val="00395537"/>
    <w:rsid w:val="00395952"/>
    <w:rsid w:val="00395BE1"/>
    <w:rsid w:val="00395D30"/>
    <w:rsid w:val="00396A0E"/>
    <w:rsid w:val="00396C39"/>
    <w:rsid w:val="00396DBD"/>
    <w:rsid w:val="003A0257"/>
    <w:rsid w:val="003A0A8A"/>
    <w:rsid w:val="003A149E"/>
    <w:rsid w:val="003A1908"/>
    <w:rsid w:val="003A1B38"/>
    <w:rsid w:val="003A1D3B"/>
    <w:rsid w:val="003A1FCD"/>
    <w:rsid w:val="003A2304"/>
    <w:rsid w:val="003A2520"/>
    <w:rsid w:val="003A3438"/>
    <w:rsid w:val="003A3BBC"/>
    <w:rsid w:val="003A40D3"/>
    <w:rsid w:val="003A410D"/>
    <w:rsid w:val="003A44B6"/>
    <w:rsid w:val="003A452B"/>
    <w:rsid w:val="003A45EB"/>
    <w:rsid w:val="003A484A"/>
    <w:rsid w:val="003A4F27"/>
    <w:rsid w:val="003A5202"/>
    <w:rsid w:val="003A550F"/>
    <w:rsid w:val="003A59A8"/>
    <w:rsid w:val="003A5C52"/>
    <w:rsid w:val="003A5C58"/>
    <w:rsid w:val="003A612D"/>
    <w:rsid w:val="003A6A34"/>
    <w:rsid w:val="003A7003"/>
    <w:rsid w:val="003A7103"/>
    <w:rsid w:val="003A7DDC"/>
    <w:rsid w:val="003A7E35"/>
    <w:rsid w:val="003B00FB"/>
    <w:rsid w:val="003B184D"/>
    <w:rsid w:val="003B215C"/>
    <w:rsid w:val="003B2D7E"/>
    <w:rsid w:val="003B2E37"/>
    <w:rsid w:val="003B3160"/>
    <w:rsid w:val="003B31D0"/>
    <w:rsid w:val="003B38C0"/>
    <w:rsid w:val="003B3DBD"/>
    <w:rsid w:val="003B3F00"/>
    <w:rsid w:val="003B4650"/>
    <w:rsid w:val="003B4728"/>
    <w:rsid w:val="003B61D0"/>
    <w:rsid w:val="003B6A5F"/>
    <w:rsid w:val="003B6AB3"/>
    <w:rsid w:val="003B6E0D"/>
    <w:rsid w:val="003B6FB4"/>
    <w:rsid w:val="003B7458"/>
    <w:rsid w:val="003B789A"/>
    <w:rsid w:val="003C042A"/>
    <w:rsid w:val="003C08A9"/>
    <w:rsid w:val="003C0FBD"/>
    <w:rsid w:val="003C15BE"/>
    <w:rsid w:val="003C2A47"/>
    <w:rsid w:val="003C37E8"/>
    <w:rsid w:val="003C40B6"/>
    <w:rsid w:val="003C441C"/>
    <w:rsid w:val="003C4652"/>
    <w:rsid w:val="003C4BB2"/>
    <w:rsid w:val="003C52AF"/>
    <w:rsid w:val="003C5B6E"/>
    <w:rsid w:val="003C5C05"/>
    <w:rsid w:val="003C6DCA"/>
    <w:rsid w:val="003D024B"/>
    <w:rsid w:val="003D0718"/>
    <w:rsid w:val="003D08C1"/>
    <w:rsid w:val="003D15BA"/>
    <w:rsid w:val="003D1815"/>
    <w:rsid w:val="003D1CBA"/>
    <w:rsid w:val="003D204A"/>
    <w:rsid w:val="003D2079"/>
    <w:rsid w:val="003D24D6"/>
    <w:rsid w:val="003D275D"/>
    <w:rsid w:val="003D2847"/>
    <w:rsid w:val="003D3791"/>
    <w:rsid w:val="003D3885"/>
    <w:rsid w:val="003D3D84"/>
    <w:rsid w:val="003D3DA0"/>
    <w:rsid w:val="003D440C"/>
    <w:rsid w:val="003D4450"/>
    <w:rsid w:val="003D467F"/>
    <w:rsid w:val="003D46D2"/>
    <w:rsid w:val="003D5533"/>
    <w:rsid w:val="003D5775"/>
    <w:rsid w:val="003D5919"/>
    <w:rsid w:val="003D59D8"/>
    <w:rsid w:val="003D5EB4"/>
    <w:rsid w:val="003D5F1B"/>
    <w:rsid w:val="003D61D9"/>
    <w:rsid w:val="003D650B"/>
    <w:rsid w:val="003D6534"/>
    <w:rsid w:val="003D6CFC"/>
    <w:rsid w:val="003D6E1B"/>
    <w:rsid w:val="003D70D2"/>
    <w:rsid w:val="003D7482"/>
    <w:rsid w:val="003D753B"/>
    <w:rsid w:val="003D77D7"/>
    <w:rsid w:val="003E01E6"/>
    <w:rsid w:val="003E03C4"/>
    <w:rsid w:val="003E0649"/>
    <w:rsid w:val="003E0968"/>
    <w:rsid w:val="003E0973"/>
    <w:rsid w:val="003E0CAE"/>
    <w:rsid w:val="003E155D"/>
    <w:rsid w:val="003E16D1"/>
    <w:rsid w:val="003E2106"/>
    <w:rsid w:val="003E2296"/>
    <w:rsid w:val="003E22B1"/>
    <w:rsid w:val="003E255E"/>
    <w:rsid w:val="003E2590"/>
    <w:rsid w:val="003E313B"/>
    <w:rsid w:val="003E3B26"/>
    <w:rsid w:val="003E3B55"/>
    <w:rsid w:val="003E46CC"/>
    <w:rsid w:val="003E4CB5"/>
    <w:rsid w:val="003E4FAA"/>
    <w:rsid w:val="003E5B4C"/>
    <w:rsid w:val="003E5DDA"/>
    <w:rsid w:val="003E5DF9"/>
    <w:rsid w:val="003E5E7E"/>
    <w:rsid w:val="003E5EBC"/>
    <w:rsid w:val="003E62CA"/>
    <w:rsid w:val="003E656F"/>
    <w:rsid w:val="003E6C5A"/>
    <w:rsid w:val="003E6DE5"/>
    <w:rsid w:val="003E73C2"/>
    <w:rsid w:val="003E7495"/>
    <w:rsid w:val="003E76B2"/>
    <w:rsid w:val="003F000B"/>
    <w:rsid w:val="003F02A3"/>
    <w:rsid w:val="003F02CD"/>
    <w:rsid w:val="003F0525"/>
    <w:rsid w:val="003F053C"/>
    <w:rsid w:val="003F07EA"/>
    <w:rsid w:val="003F0878"/>
    <w:rsid w:val="003F0EA6"/>
    <w:rsid w:val="003F0FFE"/>
    <w:rsid w:val="003F1095"/>
    <w:rsid w:val="003F1273"/>
    <w:rsid w:val="003F1303"/>
    <w:rsid w:val="003F1380"/>
    <w:rsid w:val="003F16D5"/>
    <w:rsid w:val="003F184B"/>
    <w:rsid w:val="003F208F"/>
    <w:rsid w:val="003F2AAD"/>
    <w:rsid w:val="003F3254"/>
    <w:rsid w:val="003F33E2"/>
    <w:rsid w:val="003F3686"/>
    <w:rsid w:val="003F46B6"/>
    <w:rsid w:val="003F4830"/>
    <w:rsid w:val="003F4FC0"/>
    <w:rsid w:val="003F51A8"/>
    <w:rsid w:val="003F5343"/>
    <w:rsid w:val="003F5EB5"/>
    <w:rsid w:val="003F5EC8"/>
    <w:rsid w:val="003F64FC"/>
    <w:rsid w:val="003F6C86"/>
    <w:rsid w:val="003F7268"/>
    <w:rsid w:val="003F77C4"/>
    <w:rsid w:val="003F7C98"/>
    <w:rsid w:val="003F7D7D"/>
    <w:rsid w:val="004000F9"/>
    <w:rsid w:val="004001C3"/>
    <w:rsid w:val="0040045E"/>
    <w:rsid w:val="0040061A"/>
    <w:rsid w:val="00400DBF"/>
    <w:rsid w:val="00401310"/>
    <w:rsid w:val="00401497"/>
    <w:rsid w:val="00401849"/>
    <w:rsid w:val="0040272D"/>
    <w:rsid w:val="00402D73"/>
    <w:rsid w:val="00402E7C"/>
    <w:rsid w:val="004032DD"/>
    <w:rsid w:val="00403818"/>
    <w:rsid w:val="00403B55"/>
    <w:rsid w:val="00403DFA"/>
    <w:rsid w:val="00404E2B"/>
    <w:rsid w:val="0040521D"/>
    <w:rsid w:val="00405CBE"/>
    <w:rsid w:val="00405E34"/>
    <w:rsid w:val="0040636B"/>
    <w:rsid w:val="004064A6"/>
    <w:rsid w:val="00407260"/>
    <w:rsid w:val="004074A3"/>
    <w:rsid w:val="004078D7"/>
    <w:rsid w:val="0041088F"/>
    <w:rsid w:val="00410BD5"/>
    <w:rsid w:val="0041130A"/>
    <w:rsid w:val="004114F5"/>
    <w:rsid w:val="0041156F"/>
    <w:rsid w:val="00411773"/>
    <w:rsid w:val="00411A24"/>
    <w:rsid w:val="00411B51"/>
    <w:rsid w:val="004121D8"/>
    <w:rsid w:val="00412B99"/>
    <w:rsid w:val="00412DBA"/>
    <w:rsid w:val="00412FAB"/>
    <w:rsid w:val="004132AD"/>
    <w:rsid w:val="004136C1"/>
    <w:rsid w:val="00413F69"/>
    <w:rsid w:val="00414FC7"/>
    <w:rsid w:val="00415128"/>
    <w:rsid w:val="00415424"/>
    <w:rsid w:val="004159FD"/>
    <w:rsid w:val="00415F8B"/>
    <w:rsid w:val="00415FF3"/>
    <w:rsid w:val="00416177"/>
    <w:rsid w:val="004171B1"/>
    <w:rsid w:val="004178BC"/>
    <w:rsid w:val="00417BF4"/>
    <w:rsid w:val="0042066E"/>
    <w:rsid w:val="004210E1"/>
    <w:rsid w:val="004222DD"/>
    <w:rsid w:val="00422DAE"/>
    <w:rsid w:val="004233F8"/>
    <w:rsid w:val="00423D8C"/>
    <w:rsid w:val="004243AD"/>
    <w:rsid w:val="00424D84"/>
    <w:rsid w:val="00425C29"/>
    <w:rsid w:val="004260BA"/>
    <w:rsid w:val="00426350"/>
    <w:rsid w:val="004263FD"/>
    <w:rsid w:val="00426401"/>
    <w:rsid w:val="004266AC"/>
    <w:rsid w:val="004273EA"/>
    <w:rsid w:val="004274AF"/>
    <w:rsid w:val="00430293"/>
    <w:rsid w:val="00430466"/>
    <w:rsid w:val="004313AE"/>
    <w:rsid w:val="00431B99"/>
    <w:rsid w:val="00432381"/>
    <w:rsid w:val="0043304C"/>
    <w:rsid w:val="004344A8"/>
    <w:rsid w:val="00435222"/>
    <w:rsid w:val="004355D8"/>
    <w:rsid w:val="00435A32"/>
    <w:rsid w:val="0043608C"/>
    <w:rsid w:val="00436ABD"/>
    <w:rsid w:val="004375E7"/>
    <w:rsid w:val="00437EAE"/>
    <w:rsid w:val="0044001C"/>
    <w:rsid w:val="0044003A"/>
    <w:rsid w:val="00440108"/>
    <w:rsid w:val="00440292"/>
    <w:rsid w:val="00440F07"/>
    <w:rsid w:val="004418A7"/>
    <w:rsid w:val="0044194E"/>
    <w:rsid w:val="00441A42"/>
    <w:rsid w:val="00441BBF"/>
    <w:rsid w:val="00442CD7"/>
    <w:rsid w:val="00443512"/>
    <w:rsid w:val="004438E5"/>
    <w:rsid w:val="00443AB1"/>
    <w:rsid w:val="00443F4E"/>
    <w:rsid w:val="00444461"/>
    <w:rsid w:val="004449C3"/>
    <w:rsid w:val="00444F77"/>
    <w:rsid w:val="00445224"/>
    <w:rsid w:val="004452C3"/>
    <w:rsid w:val="004453FA"/>
    <w:rsid w:val="004455F4"/>
    <w:rsid w:val="004457BB"/>
    <w:rsid w:val="004460DF"/>
    <w:rsid w:val="00446673"/>
    <w:rsid w:val="00446B75"/>
    <w:rsid w:val="00446DC4"/>
    <w:rsid w:val="00446F9D"/>
    <w:rsid w:val="004473EF"/>
    <w:rsid w:val="004479D6"/>
    <w:rsid w:val="00447B66"/>
    <w:rsid w:val="0045050D"/>
    <w:rsid w:val="004508FA"/>
    <w:rsid w:val="00450D91"/>
    <w:rsid w:val="0045172C"/>
    <w:rsid w:val="00451947"/>
    <w:rsid w:val="00451F78"/>
    <w:rsid w:val="00452005"/>
    <w:rsid w:val="004528BC"/>
    <w:rsid w:val="00452E94"/>
    <w:rsid w:val="00453C91"/>
    <w:rsid w:val="00453CF6"/>
    <w:rsid w:val="00453EB5"/>
    <w:rsid w:val="0045492A"/>
    <w:rsid w:val="004549A9"/>
    <w:rsid w:val="00454A29"/>
    <w:rsid w:val="00455023"/>
    <w:rsid w:val="004551FA"/>
    <w:rsid w:val="004552FE"/>
    <w:rsid w:val="00455616"/>
    <w:rsid w:val="0045568F"/>
    <w:rsid w:val="004563CD"/>
    <w:rsid w:val="00456842"/>
    <w:rsid w:val="00456E43"/>
    <w:rsid w:val="00456F32"/>
    <w:rsid w:val="00457199"/>
    <w:rsid w:val="00457B9D"/>
    <w:rsid w:val="00457E25"/>
    <w:rsid w:val="00457F6A"/>
    <w:rsid w:val="004600F4"/>
    <w:rsid w:val="00460126"/>
    <w:rsid w:val="0046030C"/>
    <w:rsid w:val="00461142"/>
    <w:rsid w:val="004615AE"/>
    <w:rsid w:val="0046169C"/>
    <w:rsid w:val="00461D6F"/>
    <w:rsid w:val="00462009"/>
    <w:rsid w:val="00463450"/>
    <w:rsid w:val="00463696"/>
    <w:rsid w:val="004642C4"/>
    <w:rsid w:val="00464A8F"/>
    <w:rsid w:val="00464C76"/>
    <w:rsid w:val="00465CD0"/>
    <w:rsid w:val="004661D7"/>
    <w:rsid w:val="00466320"/>
    <w:rsid w:val="004665F6"/>
    <w:rsid w:val="00467856"/>
    <w:rsid w:val="00470AF9"/>
    <w:rsid w:val="00470D59"/>
    <w:rsid w:val="00470E38"/>
    <w:rsid w:val="00471016"/>
    <w:rsid w:val="00471912"/>
    <w:rsid w:val="00471E24"/>
    <w:rsid w:val="00471EE7"/>
    <w:rsid w:val="004723A9"/>
    <w:rsid w:val="00472458"/>
    <w:rsid w:val="00472A22"/>
    <w:rsid w:val="00472DE8"/>
    <w:rsid w:val="00472EEE"/>
    <w:rsid w:val="0047318A"/>
    <w:rsid w:val="00473ADF"/>
    <w:rsid w:val="00474303"/>
    <w:rsid w:val="00474A57"/>
    <w:rsid w:val="00474AEA"/>
    <w:rsid w:val="004759F1"/>
    <w:rsid w:val="00477082"/>
    <w:rsid w:val="00477428"/>
    <w:rsid w:val="004776CB"/>
    <w:rsid w:val="00477DFA"/>
    <w:rsid w:val="00480988"/>
    <w:rsid w:val="004812D0"/>
    <w:rsid w:val="004812EF"/>
    <w:rsid w:val="00481434"/>
    <w:rsid w:val="0048152A"/>
    <w:rsid w:val="00482013"/>
    <w:rsid w:val="00482141"/>
    <w:rsid w:val="00482526"/>
    <w:rsid w:val="004827A2"/>
    <w:rsid w:val="00482F07"/>
    <w:rsid w:val="00483C27"/>
    <w:rsid w:val="00484011"/>
    <w:rsid w:val="004843E0"/>
    <w:rsid w:val="00484D71"/>
    <w:rsid w:val="00484EAD"/>
    <w:rsid w:val="00484EFA"/>
    <w:rsid w:val="00485293"/>
    <w:rsid w:val="00485B60"/>
    <w:rsid w:val="00485B72"/>
    <w:rsid w:val="00485D04"/>
    <w:rsid w:val="00485D95"/>
    <w:rsid w:val="00485FAA"/>
    <w:rsid w:val="0048677A"/>
    <w:rsid w:val="00487178"/>
    <w:rsid w:val="00487458"/>
    <w:rsid w:val="0048774B"/>
    <w:rsid w:val="0048783D"/>
    <w:rsid w:val="00487867"/>
    <w:rsid w:val="00487A02"/>
    <w:rsid w:val="00487A3F"/>
    <w:rsid w:val="004913CE"/>
    <w:rsid w:val="004913D4"/>
    <w:rsid w:val="004914E5"/>
    <w:rsid w:val="0049180C"/>
    <w:rsid w:val="00491846"/>
    <w:rsid w:val="00491A77"/>
    <w:rsid w:val="00491AE7"/>
    <w:rsid w:val="00492092"/>
    <w:rsid w:val="00492756"/>
    <w:rsid w:val="00492886"/>
    <w:rsid w:val="00492AED"/>
    <w:rsid w:val="004933AF"/>
    <w:rsid w:val="00493B05"/>
    <w:rsid w:val="00493F85"/>
    <w:rsid w:val="00493F98"/>
    <w:rsid w:val="00494104"/>
    <w:rsid w:val="00494559"/>
    <w:rsid w:val="00494AF6"/>
    <w:rsid w:val="0049558B"/>
    <w:rsid w:val="004958E7"/>
    <w:rsid w:val="00495A63"/>
    <w:rsid w:val="00495A64"/>
    <w:rsid w:val="00496088"/>
    <w:rsid w:val="00496AEF"/>
    <w:rsid w:val="00496FC5"/>
    <w:rsid w:val="00497670"/>
    <w:rsid w:val="00497A06"/>
    <w:rsid w:val="004A017A"/>
    <w:rsid w:val="004A072F"/>
    <w:rsid w:val="004A08A7"/>
    <w:rsid w:val="004A1140"/>
    <w:rsid w:val="004A1CCF"/>
    <w:rsid w:val="004A25CC"/>
    <w:rsid w:val="004A25CD"/>
    <w:rsid w:val="004A2841"/>
    <w:rsid w:val="004A2ACF"/>
    <w:rsid w:val="004A2B8F"/>
    <w:rsid w:val="004A3084"/>
    <w:rsid w:val="004A38DA"/>
    <w:rsid w:val="004A3BD7"/>
    <w:rsid w:val="004A40E3"/>
    <w:rsid w:val="004A581F"/>
    <w:rsid w:val="004A6B44"/>
    <w:rsid w:val="004A751A"/>
    <w:rsid w:val="004B0080"/>
    <w:rsid w:val="004B0B6E"/>
    <w:rsid w:val="004B15DF"/>
    <w:rsid w:val="004B1701"/>
    <w:rsid w:val="004B2AB2"/>
    <w:rsid w:val="004B2FDF"/>
    <w:rsid w:val="004B3233"/>
    <w:rsid w:val="004B324C"/>
    <w:rsid w:val="004B3603"/>
    <w:rsid w:val="004B3D7F"/>
    <w:rsid w:val="004B46BD"/>
    <w:rsid w:val="004B533C"/>
    <w:rsid w:val="004B5CC2"/>
    <w:rsid w:val="004B5D7A"/>
    <w:rsid w:val="004B5ECD"/>
    <w:rsid w:val="004B61CD"/>
    <w:rsid w:val="004B6597"/>
    <w:rsid w:val="004B6726"/>
    <w:rsid w:val="004B69D0"/>
    <w:rsid w:val="004B6CB0"/>
    <w:rsid w:val="004B7254"/>
    <w:rsid w:val="004B7363"/>
    <w:rsid w:val="004B73DE"/>
    <w:rsid w:val="004B74EB"/>
    <w:rsid w:val="004B77A2"/>
    <w:rsid w:val="004B7B69"/>
    <w:rsid w:val="004B7EF3"/>
    <w:rsid w:val="004C0791"/>
    <w:rsid w:val="004C0846"/>
    <w:rsid w:val="004C0874"/>
    <w:rsid w:val="004C0B46"/>
    <w:rsid w:val="004C0E28"/>
    <w:rsid w:val="004C11A2"/>
    <w:rsid w:val="004C14AF"/>
    <w:rsid w:val="004C1C88"/>
    <w:rsid w:val="004C2083"/>
    <w:rsid w:val="004C235A"/>
    <w:rsid w:val="004C28ED"/>
    <w:rsid w:val="004C3178"/>
    <w:rsid w:val="004C3CA8"/>
    <w:rsid w:val="004C4267"/>
    <w:rsid w:val="004C4968"/>
    <w:rsid w:val="004C4EB1"/>
    <w:rsid w:val="004C5336"/>
    <w:rsid w:val="004C57D4"/>
    <w:rsid w:val="004C5EEE"/>
    <w:rsid w:val="004C6444"/>
    <w:rsid w:val="004C64B5"/>
    <w:rsid w:val="004C6BB8"/>
    <w:rsid w:val="004C7847"/>
    <w:rsid w:val="004C7ECD"/>
    <w:rsid w:val="004D02EA"/>
    <w:rsid w:val="004D02F3"/>
    <w:rsid w:val="004D054F"/>
    <w:rsid w:val="004D0878"/>
    <w:rsid w:val="004D0978"/>
    <w:rsid w:val="004D0CDF"/>
    <w:rsid w:val="004D12C6"/>
    <w:rsid w:val="004D130A"/>
    <w:rsid w:val="004D13A1"/>
    <w:rsid w:val="004D1530"/>
    <w:rsid w:val="004D177D"/>
    <w:rsid w:val="004D1C87"/>
    <w:rsid w:val="004D1EA2"/>
    <w:rsid w:val="004D2598"/>
    <w:rsid w:val="004D2BD6"/>
    <w:rsid w:val="004D2CCD"/>
    <w:rsid w:val="004D2D96"/>
    <w:rsid w:val="004D3446"/>
    <w:rsid w:val="004D352D"/>
    <w:rsid w:val="004D36AC"/>
    <w:rsid w:val="004D376D"/>
    <w:rsid w:val="004D3FA1"/>
    <w:rsid w:val="004D56AA"/>
    <w:rsid w:val="004D570C"/>
    <w:rsid w:val="004D685D"/>
    <w:rsid w:val="004D7245"/>
    <w:rsid w:val="004D7914"/>
    <w:rsid w:val="004E004C"/>
    <w:rsid w:val="004E0162"/>
    <w:rsid w:val="004E04DA"/>
    <w:rsid w:val="004E06AD"/>
    <w:rsid w:val="004E0FEB"/>
    <w:rsid w:val="004E1A35"/>
    <w:rsid w:val="004E1ECD"/>
    <w:rsid w:val="004E2ED9"/>
    <w:rsid w:val="004E3303"/>
    <w:rsid w:val="004E371B"/>
    <w:rsid w:val="004E39AE"/>
    <w:rsid w:val="004E415F"/>
    <w:rsid w:val="004E42B1"/>
    <w:rsid w:val="004E4317"/>
    <w:rsid w:val="004E4557"/>
    <w:rsid w:val="004E4844"/>
    <w:rsid w:val="004E4D59"/>
    <w:rsid w:val="004E5426"/>
    <w:rsid w:val="004E557B"/>
    <w:rsid w:val="004E66CF"/>
    <w:rsid w:val="004E6A8B"/>
    <w:rsid w:val="004E6EC5"/>
    <w:rsid w:val="004E6FB2"/>
    <w:rsid w:val="004E705A"/>
    <w:rsid w:val="004E7251"/>
    <w:rsid w:val="004E7610"/>
    <w:rsid w:val="004E7CF9"/>
    <w:rsid w:val="004F0FF6"/>
    <w:rsid w:val="004F182F"/>
    <w:rsid w:val="004F1B16"/>
    <w:rsid w:val="004F1BED"/>
    <w:rsid w:val="004F1CE1"/>
    <w:rsid w:val="004F2A50"/>
    <w:rsid w:val="004F2BEA"/>
    <w:rsid w:val="004F3084"/>
    <w:rsid w:val="004F32EA"/>
    <w:rsid w:val="004F33AF"/>
    <w:rsid w:val="004F33C7"/>
    <w:rsid w:val="004F4044"/>
    <w:rsid w:val="004F4696"/>
    <w:rsid w:val="004F4FA1"/>
    <w:rsid w:val="004F5751"/>
    <w:rsid w:val="004F585A"/>
    <w:rsid w:val="004F58A4"/>
    <w:rsid w:val="004F5AC9"/>
    <w:rsid w:val="004F5FE0"/>
    <w:rsid w:val="004F6505"/>
    <w:rsid w:val="004F6BDB"/>
    <w:rsid w:val="004F711B"/>
    <w:rsid w:val="004F7246"/>
    <w:rsid w:val="005002A3"/>
    <w:rsid w:val="00500611"/>
    <w:rsid w:val="00500A70"/>
    <w:rsid w:val="00500B81"/>
    <w:rsid w:val="005013E8"/>
    <w:rsid w:val="0050151D"/>
    <w:rsid w:val="00501A3D"/>
    <w:rsid w:val="00501E82"/>
    <w:rsid w:val="00502175"/>
    <w:rsid w:val="005021CF"/>
    <w:rsid w:val="0050232B"/>
    <w:rsid w:val="0050251A"/>
    <w:rsid w:val="00502686"/>
    <w:rsid w:val="00502AD3"/>
    <w:rsid w:val="00502E89"/>
    <w:rsid w:val="0050318F"/>
    <w:rsid w:val="00503463"/>
    <w:rsid w:val="005044D6"/>
    <w:rsid w:val="00504649"/>
    <w:rsid w:val="005050AD"/>
    <w:rsid w:val="005056A7"/>
    <w:rsid w:val="005058EB"/>
    <w:rsid w:val="00505A3B"/>
    <w:rsid w:val="00505AE1"/>
    <w:rsid w:val="0050649A"/>
    <w:rsid w:val="00506A46"/>
    <w:rsid w:val="005075B3"/>
    <w:rsid w:val="005075F4"/>
    <w:rsid w:val="005102FC"/>
    <w:rsid w:val="0051080A"/>
    <w:rsid w:val="00510D32"/>
    <w:rsid w:val="00511673"/>
    <w:rsid w:val="005119A4"/>
    <w:rsid w:val="00511ABE"/>
    <w:rsid w:val="00511BF0"/>
    <w:rsid w:val="0051247C"/>
    <w:rsid w:val="0051254B"/>
    <w:rsid w:val="00512B4E"/>
    <w:rsid w:val="00512EA9"/>
    <w:rsid w:val="00513636"/>
    <w:rsid w:val="00513961"/>
    <w:rsid w:val="0051550D"/>
    <w:rsid w:val="00515E43"/>
    <w:rsid w:val="00515ED1"/>
    <w:rsid w:val="00516A07"/>
    <w:rsid w:val="005170AD"/>
    <w:rsid w:val="00517A6F"/>
    <w:rsid w:val="0052008A"/>
    <w:rsid w:val="005205BA"/>
    <w:rsid w:val="00520CC0"/>
    <w:rsid w:val="005214A4"/>
    <w:rsid w:val="00521E0C"/>
    <w:rsid w:val="00521EBA"/>
    <w:rsid w:val="005221EF"/>
    <w:rsid w:val="005230A5"/>
    <w:rsid w:val="0052319D"/>
    <w:rsid w:val="005232A1"/>
    <w:rsid w:val="005236E4"/>
    <w:rsid w:val="00523852"/>
    <w:rsid w:val="0052388C"/>
    <w:rsid w:val="00523A9C"/>
    <w:rsid w:val="00523BB8"/>
    <w:rsid w:val="00523CF7"/>
    <w:rsid w:val="00524390"/>
    <w:rsid w:val="00524494"/>
    <w:rsid w:val="00524584"/>
    <w:rsid w:val="005245D0"/>
    <w:rsid w:val="0052460C"/>
    <w:rsid w:val="00524BED"/>
    <w:rsid w:val="00524E31"/>
    <w:rsid w:val="005252C1"/>
    <w:rsid w:val="005252F5"/>
    <w:rsid w:val="005253E2"/>
    <w:rsid w:val="00525526"/>
    <w:rsid w:val="00525C64"/>
    <w:rsid w:val="00525E3D"/>
    <w:rsid w:val="00526409"/>
    <w:rsid w:val="00526455"/>
    <w:rsid w:val="0052665C"/>
    <w:rsid w:val="00526B8D"/>
    <w:rsid w:val="00526C34"/>
    <w:rsid w:val="0052711A"/>
    <w:rsid w:val="00527D7D"/>
    <w:rsid w:val="00530302"/>
    <w:rsid w:val="0053087C"/>
    <w:rsid w:val="00530A25"/>
    <w:rsid w:val="00531213"/>
    <w:rsid w:val="005317F1"/>
    <w:rsid w:val="00531E8E"/>
    <w:rsid w:val="00532584"/>
    <w:rsid w:val="005326DF"/>
    <w:rsid w:val="00532C36"/>
    <w:rsid w:val="005331C8"/>
    <w:rsid w:val="0053386A"/>
    <w:rsid w:val="0053423C"/>
    <w:rsid w:val="005345C2"/>
    <w:rsid w:val="00534A10"/>
    <w:rsid w:val="00535694"/>
    <w:rsid w:val="00535AFB"/>
    <w:rsid w:val="00535E19"/>
    <w:rsid w:val="00535F0F"/>
    <w:rsid w:val="0053600F"/>
    <w:rsid w:val="00536275"/>
    <w:rsid w:val="005363E0"/>
    <w:rsid w:val="005363F4"/>
    <w:rsid w:val="005369D9"/>
    <w:rsid w:val="00536AC0"/>
    <w:rsid w:val="00537206"/>
    <w:rsid w:val="005378D1"/>
    <w:rsid w:val="005410E6"/>
    <w:rsid w:val="005415D3"/>
    <w:rsid w:val="00541BF7"/>
    <w:rsid w:val="00541C18"/>
    <w:rsid w:val="00541CAF"/>
    <w:rsid w:val="00541D7C"/>
    <w:rsid w:val="00541EBB"/>
    <w:rsid w:val="005427E2"/>
    <w:rsid w:val="00542E71"/>
    <w:rsid w:val="00542F83"/>
    <w:rsid w:val="005433F4"/>
    <w:rsid w:val="0054388E"/>
    <w:rsid w:val="0054391D"/>
    <w:rsid w:val="00543AC6"/>
    <w:rsid w:val="00543C5D"/>
    <w:rsid w:val="00543DA3"/>
    <w:rsid w:val="00544633"/>
    <w:rsid w:val="005448A5"/>
    <w:rsid w:val="00544A29"/>
    <w:rsid w:val="00544A34"/>
    <w:rsid w:val="00544C72"/>
    <w:rsid w:val="00544E86"/>
    <w:rsid w:val="00545865"/>
    <w:rsid w:val="005460F6"/>
    <w:rsid w:val="00546F90"/>
    <w:rsid w:val="00547F3B"/>
    <w:rsid w:val="0055034E"/>
    <w:rsid w:val="00550350"/>
    <w:rsid w:val="00550368"/>
    <w:rsid w:val="0055079E"/>
    <w:rsid w:val="005508D0"/>
    <w:rsid w:val="0055136D"/>
    <w:rsid w:val="00551666"/>
    <w:rsid w:val="005521AF"/>
    <w:rsid w:val="0055229E"/>
    <w:rsid w:val="005529F8"/>
    <w:rsid w:val="005531B3"/>
    <w:rsid w:val="005538B4"/>
    <w:rsid w:val="00553CEA"/>
    <w:rsid w:val="005546A7"/>
    <w:rsid w:val="005546E4"/>
    <w:rsid w:val="00554895"/>
    <w:rsid w:val="00554DBC"/>
    <w:rsid w:val="0055555C"/>
    <w:rsid w:val="00557731"/>
    <w:rsid w:val="00557CDB"/>
    <w:rsid w:val="005600A0"/>
    <w:rsid w:val="005600CB"/>
    <w:rsid w:val="005601BD"/>
    <w:rsid w:val="0056053F"/>
    <w:rsid w:val="00560D60"/>
    <w:rsid w:val="00560D82"/>
    <w:rsid w:val="005610CF"/>
    <w:rsid w:val="00561367"/>
    <w:rsid w:val="005618F6"/>
    <w:rsid w:val="00561B00"/>
    <w:rsid w:val="00561CC9"/>
    <w:rsid w:val="00561DE2"/>
    <w:rsid w:val="00562EF8"/>
    <w:rsid w:val="005638C0"/>
    <w:rsid w:val="00563EEE"/>
    <w:rsid w:val="0056453B"/>
    <w:rsid w:val="005652DC"/>
    <w:rsid w:val="00565946"/>
    <w:rsid w:val="00565AF1"/>
    <w:rsid w:val="00565B9F"/>
    <w:rsid w:val="005660B8"/>
    <w:rsid w:val="00566102"/>
    <w:rsid w:val="005661F0"/>
    <w:rsid w:val="0056620D"/>
    <w:rsid w:val="005662A0"/>
    <w:rsid w:val="0056637A"/>
    <w:rsid w:val="005675C1"/>
    <w:rsid w:val="00567A37"/>
    <w:rsid w:val="00567C7A"/>
    <w:rsid w:val="00567DF5"/>
    <w:rsid w:val="0057064C"/>
    <w:rsid w:val="00570E6E"/>
    <w:rsid w:val="00570F4D"/>
    <w:rsid w:val="00571A50"/>
    <w:rsid w:val="00571D9E"/>
    <w:rsid w:val="00571E7E"/>
    <w:rsid w:val="0057236D"/>
    <w:rsid w:val="00572680"/>
    <w:rsid w:val="0057273A"/>
    <w:rsid w:val="005728E4"/>
    <w:rsid w:val="00572F99"/>
    <w:rsid w:val="0057311C"/>
    <w:rsid w:val="0057373C"/>
    <w:rsid w:val="00573AB3"/>
    <w:rsid w:val="00573AD2"/>
    <w:rsid w:val="00574906"/>
    <w:rsid w:val="00574EF3"/>
    <w:rsid w:val="00574EF7"/>
    <w:rsid w:val="0057528F"/>
    <w:rsid w:val="0057573D"/>
    <w:rsid w:val="00576260"/>
    <w:rsid w:val="0057674B"/>
    <w:rsid w:val="005767FC"/>
    <w:rsid w:val="005769D1"/>
    <w:rsid w:val="00576DA8"/>
    <w:rsid w:val="00576F71"/>
    <w:rsid w:val="0058000D"/>
    <w:rsid w:val="00580896"/>
    <w:rsid w:val="00580D6B"/>
    <w:rsid w:val="00581DD5"/>
    <w:rsid w:val="00582362"/>
    <w:rsid w:val="00582559"/>
    <w:rsid w:val="0058277D"/>
    <w:rsid w:val="00583A89"/>
    <w:rsid w:val="00583F33"/>
    <w:rsid w:val="00584392"/>
    <w:rsid w:val="005847AA"/>
    <w:rsid w:val="00584DA6"/>
    <w:rsid w:val="00585304"/>
    <w:rsid w:val="005855B2"/>
    <w:rsid w:val="00585CE0"/>
    <w:rsid w:val="00586859"/>
    <w:rsid w:val="0058698E"/>
    <w:rsid w:val="005871B0"/>
    <w:rsid w:val="005873E6"/>
    <w:rsid w:val="00587609"/>
    <w:rsid w:val="00587761"/>
    <w:rsid w:val="00587CB0"/>
    <w:rsid w:val="00587CDE"/>
    <w:rsid w:val="00587FD6"/>
    <w:rsid w:val="0059025A"/>
    <w:rsid w:val="0059064F"/>
    <w:rsid w:val="0059088D"/>
    <w:rsid w:val="00590E4B"/>
    <w:rsid w:val="00590F4F"/>
    <w:rsid w:val="005913E3"/>
    <w:rsid w:val="005915A9"/>
    <w:rsid w:val="00591EE5"/>
    <w:rsid w:val="0059215C"/>
    <w:rsid w:val="00592604"/>
    <w:rsid w:val="005928BE"/>
    <w:rsid w:val="00592BA8"/>
    <w:rsid w:val="00592D77"/>
    <w:rsid w:val="0059371D"/>
    <w:rsid w:val="00593CA6"/>
    <w:rsid w:val="00593DE5"/>
    <w:rsid w:val="00593F50"/>
    <w:rsid w:val="00594006"/>
    <w:rsid w:val="00594324"/>
    <w:rsid w:val="00594779"/>
    <w:rsid w:val="00594FAF"/>
    <w:rsid w:val="00595E46"/>
    <w:rsid w:val="00596543"/>
    <w:rsid w:val="00596802"/>
    <w:rsid w:val="005971FF"/>
    <w:rsid w:val="005A054B"/>
    <w:rsid w:val="005A0736"/>
    <w:rsid w:val="005A085F"/>
    <w:rsid w:val="005A0E45"/>
    <w:rsid w:val="005A0F2C"/>
    <w:rsid w:val="005A132E"/>
    <w:rsid w:val="005A1853"/>
    <w:rsid w:val="005A1901"/>
    <w:rsid w:val="005A1987"/>
    <w:rsid w:val="005A1B8C"/>
    <w:rsid w:val="005A2036"/>
    <w:rsid w:val="005A2080"/>
    <w:rsid w:val="005A298E"/>
    <w:rsid w:val="005A36B2"/>
    <w:rsid w:val="005A3978"/>
    <w:rsid w:val="005A440D"/>
    <w:rsid w:val="005A4772"/>
    <w:rsid w:val="005A4897"/>
    <w:rsid w:val="005A4974"/>
    <w:rsid w:val="005A5994"/>
    <w:rsid w:val="005A5A55"/>
    <w:rsid w:val="005A61DA"/>
    <w:rsid w:val="005A642B"/>
    <w:rsid w:val="005A6F9E"/>
    <w:rsid w:val="005B0097"/>
    <w:rsid w:val="005B00E8"/>
    <w:rsid w:val="005B05E3"/>
    <w:rsid w:val="005B067E"/>
    <w:rsid w:val="005B0A10"/>
    <w:rsid w:val="005B0CE6"/>
    <w:rsid w:val="005B0D4B"/>
    <w:rsid w:val="005B17F3"/>
    <w:rsid w:val="005B211F"/>
    <w:rsid w:val="005B2606"/>
    <w:rsid w:val="005B2709"/>
    <w:rsid w:val="005B27A8"/>
    <w:rsid w:val="005B2D2F"/>
    <w:rsid w:val="005B38C4"/>
    <w:rsid w:val="005B3A1A"/>
    <w:rsid w:val="005B42B3"/>
    <w:rsid w:val="005B44E5"/>
    <w:rsid w:val="005B5089"/>
    <w:rsid w:val="005B5102"/>
    <w:rsid w:val="005B529A"/>
    <w:rsid w:val="005B62E3"/>
    <w:rsid w:val="005B652F"/>
    <w:rsid w:val="005B671C"/>
    <w:rsid w:val="005B6817"/>
    <w:rsid w:val="005B7C5A"/>
    <w:rsid w:val="005B7F97"/>
    <w:rsid w:val="005C0979"/>
    <w:rsid w:val="005C0EF4"/>
    <w:rsid w:val="005C12B1"/>
    <w:rsid w:val="005C3267"/>
    <w:rsid w:val="005C3488"/>
    <w:rsid w:val="005C34AF"/>
    <w:rsid w:val="005C3B2D"/>
    <w:rsid w:val="005C3BB4"/>
    <w:rsid w:val="005C3F6A"/>
    <w:rsid w:val="005C4391"/>
    <w:rsid w:val="005C4497"/>
    <w:rsid w:val="005C59AF"/>
    <w:rsid w:val="005C62C9"/>
    <w:rsid w:val="005C71E5"/>
    <w:rsid w:val="005C7346"/>
    <w:rsid w:val="005C73FF"/>
    <w:rsid w:val="005D040F"/>
    <w:rsid w:val="005D07A6"/>
    <w:rsid w:val="005D0840"/>
    <w:rsid w:val="005D0C1A"/>
    <w:rsid w:val="005D0DB0"/>
    <w:rsid w:val="005D11E9"/>
    <w:rsid w:val="005D185E"/>
    <w:rsid w:val="005D19FD"/>
    <w:rsid w:val="005D1A66"/>
    <w:rsid w:val="005D1B49"/>
    <w:rsid w:val="005D2382"/>
    <w:rsid w:val="005D26BB"/>
    <w:rsid w:val="005D296B"/>
    <w:rsid w:val="005D2B4F"/>
    <w:rsid w:val="005D30BD"/>
    <w:rsid w:val="005D317D"/>
    <w:rsid w:val="005D41A7"/>
    <w:rsid w:val="005D47B2"/>
    <w:rsid w:val="005D4954"/>
    <w:rsid w:val="005D4A43"/>
    <w:rsid w:val="005D4BE8"/>
    <w:rsid w:val="005D50EF"/>
    <w:rsid w:val="005D5DB3"/>
    <w:rsid w:val="005D5FC1"/>
    <w:rsid w:val="005D6038"/>
    <w:rsid w:val="005D6520"/>
    <w:rsid w:val="005D69A5"/>
    <w:rsid w:val="005D6B44"/>
    <w:rsid w:val="005D6B52"/>
    <w:rsid w:val="005D6EE7"/>
    <w:rsid w:val="005D70CA"/>
    <w:rsid w:val="005D72CD"/>
    <w:rsid w:val="005D7B16"/>
    <w:rsid w:val="005E08EF"/>
    <w:rsid w:val="005E0A8B"/>
    <w:rsid w:val="005E0DC6"/>
    <w:rsid w:val="005E126C"/>
    <w:rsid w:val="005E144F"/>
    <w:rsid w:val="005E1B01"/>
    <w:rsid w:val="005E1BF8"/>
    <w:rsid w:val="005E1DF9"/>
    <w:rsid w:val="005E21BA"/>
    <w:rsid w:val="005E23D3"/>
    <w:rsid w:val="005E3BFC"/>
    <w:rsid w:val="005E41C7"/>
    <w:rsid w:val="005E457F"/>
    <w:rsid w:val="005E45B8"/>
    <w:rsid w:val="005E4DBF"/>
    <w:rsid w:val="005E4E46"/>
    <w:rsid w:val="005E4F28"/>
    <w:rsid w:val="005E4F88"/>
    <w:rsid w:val="005E50A3"/>
    <w:rsid w:val="005E545E"/>
    <w:rsid w:val="005E557F"/>
    <w:rsid w:val="005E5824"/>
    <w:rsid w:val="005E5A2D"/>
    <w:rsid w:val="005E5D12"/>
    <w:rsid w:val="005E6642"/>
    <w:rsid w:val="005E689D"/>
    <w:rsid w:val="005E6956"/>
    <w:rsid w:val="005E702F"/>
    <w:rsid w:val="005E7237"/>
    <w:rsid w:val="005F00F5"/>
    <w:rsid w:val="005F0232"/>
    <w:rsid w:val="005F0464"/>
    <w:rsid w:val="005F0488"/>
    <w:rsid w:val="005F04DC"/>
    <w:rsid w:val="005F0AA7"/>
    <w:rsid w:val="005F12C3"/>
    <w:rsid w:val="005F14BD"/>
    <w:rsid w:val="005F185A"/>
    <w:rsid w:val="005F19B6"/>
    <w:rsid w:val="005F1BD6"/>
    <w:rsid w:val="005F1FCF"/>
    <w:rsid w:val="005F2069"/>
    <w:rsid w:val="005F27ED"/>
    <w:rsid w:val="005F2A5D"/>
    <w:rsid w:val="005F2A90"/>
    <w:rsid w:val="005F2D7F"/>
    <w:rsid w:val="005F2E06"/>
    <w:rsid w:val="005F36A7"/>
    <w:rsid w:val="005F461C"/>
    <w:rsid w:val="005F48AA"/>
    <w:rsid w:val="005F490F"/>
    <w:rsid w:val="005F4BDA"/>
    <w:rsid w:val="005F5A27"/>
    <w:rsid w:val="005F68E9"/>
    <w:rsid w:val="005F6C1D"/>
    <w:rsid w:val="005F7ABD"/>
    <w:rsid w:val="005F7F25"/>
    <w:rsid w:val="00600DB2"/>
    <w:rsid w:val="00600F80"/>
    <w:rsid w:val="0060115F"/>
    <w:rsid w:val="0060164C"/>
    <w:rsid w:val="006018BB"/>
    <w:rsid w:val="00601C05"/>
    <w:rsid w:val="00601EFA"/>
    <w:rsid w:val="0060289A"/>
    <w:rsid w:val="006037AA"/>
    <w:rsid w:val="00603893"/>
    <w:rsid w:val="00603979"/>
    <w:rsid w:val="006040E4"/>
    <w:rsid w:val="006046C9"/>
    <w:rsid w:val="00604C6D"/>
    <w:rsid w:val="00605086"/>
    <w:rsid w:val="0060512B"/>
    <w:rsid w:val="00605AC7"/>
    <w:rsid w:val="00605AD2"/>
    <w:rsid w:val="00605E23"/>
    <w:rsid w:val="00605F47"/>
    <w:rsid w:val="0060699F"/>
    <w:rsid w:val="006069EB"/>
    <w:rsid w:val="00606AE1"/>
    <w:rsid w:val="00606F77"/>
    <w:rsid w:val="00606FFA"/>
    <w:rsid w:val="006073AF"/>
    <w:rsid w:val="0060760D"/>
    <w:rsid w:val="00607662"/>
    <w:rsid w:val="006079AB"/>
    <w:rsid w:val="00607CC3"/>
    <w:rsid w:val="00610851"/>
    <w:rsid w:val="00610C18"/>
    <w:rsid w:val="00610FAC"/>
    <w:rsid w:val="00611170"/>
    <w:rsid w:val="006112B0"/>
    <w:rsid w:val="00611B33"/>
    <w:rsid w:val="006127AD"/>
    <w:rsid w:val="00612C45"/>
    <w:rsid w:val="006130B7"/>
    <w:rsid w:val="0061344B"/>
    <w:rsid w:val="006134B3"/>
    <w:rsid w:val="00613B3B"/>
    <w:rsid w:val="00613BE4"/>
    <w:rsid w:val="00613D56"/>
    <w:rsid w:val="00614A8E"/>
    <w:rsid w:val="00614B83"/>
    <w:rsid w:val="006157F8"/>
    <w:rsid w:val="00615B89"/>
    <w:rsid w:val="00616EC7"/>
    <w:rsid w:val="00616F22"/>
    <w:rsid w:val="006210C8"/>
    <w:rsid w:val="006210EB"/>
    <w:rsid w:val="00621256"/>
    <w:rsid w:val="00621298"/>
    <w:rsid w:val="00621DE9"/>
    <w:rsid w:val="00621ED0"/>
    <w:rsid w:val="0062241B"/>
    <w:rsid w:val="006224B6"/>
    <w:rsid w:val="00622D61"/>
    <w:rsid w:val="0062319A"/>
    <w:rsid w:val="006233B4"/>
    <w:rsid w:val="0062361D"/>
    <w:rsid w:val="00623A52"/>
    <w:rsid w:val="00623DBE"/>
    <w:rsid w:val="00624493"/>
    <w:rsid w:val="00624678"/>
    <w:rsid w:val="00624AE9"/>
    <w:rsid w:val="00624D37"/>
    <w:rsid w:val="00625483"/>
    <w:rsid w:val="00625495"/>
    <w:rsid w:val="0062554A"/>
    <w:rsid w:val="00625E6F"/>
    <w:rsid w:val="00627152"/>
    <w:rsid w:val="0062731C"/>
    <w:rsid w:val="00627320"/>
    <w:rsid w:val="00627E27"/>
    <w:rsid w:val="006304BB"/>
    <w:rsid w:val="00630BE3"/>
    <w:rsid w:val="006311BF"/>
    <w:rsid w:val="006316A9"/>
    <w:rsid w:val="006319A3"/>
    <w:rsid w:val="00631B9E"/>
    <w:rsid w:val="00632C5D"/>
    <w:rsid w:val="0063306B"/>
    <w:rsid w:val="006330D8"/>
    <w:rsid w:val="00633229"/>
    <w:rsid w:val="00633526"/>
    <w:rsid w:val="0063358C"/>
    <w:rsid w:val="00633A2D"/>
    <w:rsid w:val="00633A5B"/>
    <w:rsid w:val="00633AEE"/>
    <w:rsid w:val="00633AFF"/>
    <w:rsid w:val="00633B63"/>
    <w:rsid w:val="006342B9"/>
    <w:rsid w:val="00634B11"/>
    <w:rsid w:val="00634D7A"/>
    <w:rsid w:val="006359BE"/>
    <w:rsid w:val="0063620D"/>
    <w:rsid w:val="00636435"/>
    <w:rsid w:val="006369CC"/>
    <w:rsid w:val="00636BEF"/>
    <w:rsid w:val="00636C00"/>
    <w:rsid w:val="00636F11"/>
    <w:rsid w:val="00637FC4"/>
    <w:rsid w:val="006405CE"/>
    <w:rsid w:val="00640A77"/>
    <w:rsid w:val="00640CEF"/>
    <w:rsid w:val="00640F39"/>
    <w:rsid w:val="0064107C"/>
    <w:rsid w:val="00641083"/>
    <w:rsid w:val="00641211"/>
    <w:rsid w:val="0064173B"/>
    <w:rsid w:val="00641A0B"/>
    <w:rsid w:val="00641E19"/>
    <w:rsid w:val="00642108"/>
    <w:rsid w:val="00642381"/>
    <w:rsid w:val="00642AD0"/>
    <w:rsid w:val="00642AE0"/>
    <w:rsid w:val="00642C47"/>
    <w:rsid w:val="0064316C"/>
    <w:rsid w:val="006434D4"/>
    <w:rsid w:val="006437D2"/>
    <w:rsid w:val="00644170"/>
    <w:rsid w:val="006441A0"/>
    <w:rsid w:val="006449F5"/>
    <w:rsid w:val="00644B87"/>
    <w:rsid w:val="00644EF9"/>
    <w:rsid w:val="00645080"/>
    <w:rsid w:val="00645792"/>
    <w:rsid w:val="006459FB"/>
    <w:rsid w:val="00645D04"/>
    <w:rsid w:val="006460CF"/>
    <w:rsid w:val="00647220"/>
    <w:rsid w:val="0064785D"/>
    <w:rsid w:val="006479AB"/>
    <w:rsid w:val="0065110D"/>
    <w:rsid w:val="006514BD"/>
    <w:rsid w:val="006524A1"/>
    <w:rsid w:val="00652590"/>
    <w:rsid w:val="00652603"/>
    <w:rsid w:val="0065267D"/>
    <w:rsid w:val="00652BF2"/>
    <w:rsid w:val="006531B3"/>
    <w:rsid w:val="0065367C"/>
    <w:rsid w:val="00654957"/>
    <w:rsid w:val="00654B54"/>
    <w:rsid w:val="00654C82"/>
    <w:rsid w:val="00654D95"/>
    <w:rsid w:val="00654EB0"/>
    <w:rsid w:val="00655189"/>
    <w:rsid w:val="00655367"/>
    <w:rsid w:val="0065580D"/>
    <w:rsid w:val="00655DAE"/>
    <w:rsid w:val="00655F6D"/>
    <w:rsid w:val="006567F9"/>
    <w:rsid w:val="00656CD7"/>
    <w:rsid w:val="00657200"/>
    <w:rsid w:val="00657B11"/>
    <w:rsid w:val="006600D9"/>
    <w:rsid w:val="006602E7"/>
    <w:rsid w:val="0066099A"/>
    <w:rsid w:val="00660E6C"/>
    <w:rsid w:val="0066109C"/>
    <w:rsid w:val="006621D2"/>
    <w:rsid w:val="006622B2"/>
    <w:rsid w:val="00662310"/>
    <w:rsid w:val="00662767"/>
    <w:rsid w:val="006631EE"/>
    <w:rsid w:val="00663497"/>
    <w:rsid w:val="00663915"/>
    <w:rsid w:val="00663F58"/>
    <w:rsid w:val="00664084"/>
    <w:rsid w:val="006647E4"/>
    <w:rsid w:val="0066529A"/>
    <w:rsid w:val="00665846"/>
    <w:rsid w:val="00665AFD"/>
    <w:rsid w:val="00665D8C"/>
    <w:rsid w:val="006668CC"/>
    <w:rsid w:val="00666C0A"/>
    <w:rsid w:val="00666C74"/>
    <w:rsid w:val="00667442"/>
    <w:rsid w:val="00667A6D"/>
    <w:rsid w:val="00667A81"/>
    <w:rsid w:val="00667ED6"/>
    <w:rsid w:val="00667FB6"/>
    <w:rsid w:val="006700F0"/>
    <w:rsid w:val="00670CB7"/>
    <w:rsid w:val="0067190D"/>
    <w:rsid w:val="00671922"/>
    <w:rsid w:val="00671B4A"/>
    <w:rsid w:val="00671CF3"/>
    <w:rsid w:val="00671D87"/>
    <w:rsid w:val="00672672"/>
    <w:rsid w:val="00672D88"/>
    <w:rsid w:val="00672DE1"/>
    <w:rsid w:val="006740C5"/>
    <w:rsid w:val="006747B1"/>
    <w:rsid w:val="00675312"/>
    <w:rsid w:val="00676206"/>
    <w:rsid w:val="006767BE"/>
    <w:rsid w:val="006767F4"/>
    <w:rsid w:val="00676AB2"/>
    <w:rsid w:val="006773BA"/>
    <w:rsid w:val="00677BC5"/>
    <w:rsid w:val="00677C24"/>
    <w:rsid w:val="00677C44"/>
    <w:rsid w:val="006806D5"/>
    <w:rsid w:val="006807E2"/>
    <w:rsid w:val="006809EB"/>
    <w:rsid w:val="00680FD9"/>
    <w:rsid w:val="00681137"/>
    <w:rsid w:val="0068186A"/>
    <w:rsid w:val="00681B02"/>
    <w:rsid w:val="00681F39"/>
    <w:rsid w:val="0068219B"/>
    <w:rsid w:val="00682581"/>
    <w:rsid w:val="00682900"/>
    <w:rsid w:val="00682B1C"/>
    <w:rsid w:val="00682CB2"/>
    <w:rsid w:val="00684512"/>
    <w:rsid w:val="0068487D"/>
    <w:rsid w:val="00685573"/>
    <w:rsid w:val="0068593C"/>
    <w:rsid w:val="006863EC"/>
    <w:rsid w:val="006866B2"/>
    <w:rsid w:val="00686BCA"/>
    <w:rsid w:val="00686ED4"/>
    <w:rsid w:val="00687436"/>
    <w:rsid w:val="0069006F"/>
    <w:rsid w:val="00690678"/>
    <w:rsid w:val="0069070E"/>
    <w:rsid w:val="00690FB3"/>
    <w:rsid w:val="006912CE"/>
    <w:rsid w:val="00691C1B"/>
    <w:rsid w:val="0069228A"/>
    <w:rsid w:val="006922E1"/>
    <w:rsid w:val="0069280F"/>
    <w:rsid w:val="00692B8B"/>
    <w:rsid w:val="00692BC1"/>
    <w:rsid w:val="006930FC"/>
    <w:rsid w:val="0069336B"/>
    <w:rsid w:val="00693DB9"/>
    <w:rsid w:val="00693FDB"/>
    <w:rsid w:val="0069419A"/>
    <w:rsid w:val="00694203"/>
    <w:rsid w:val="00694263"/>
    <w:rsid w:val="0069497F"/>
    <w:rsid w:val="00694A3B"/>
    <w:rsid w:val="00694B4F"/>
    <w:rsid w:val="00695211"/>
    <w:rsid w:val="00695237"/>
    <w:rsid w:val="00695314"/>
    <w:rsid w:val="00696073"/>
    <w:rsid w:val="006966F8"/>
    <w:rsid w:val="006967B7"/>
    <w:rsid w:val="006970F1"/>
    <w:rsid w:val="0069796F"/>
    <w:rsid w:val="006A08AE"/>
    <w:rsid w:val="006A090A"/>
    <w:rsid w:val="006A0B8E"/>
    <w:rsid w:val="006A1991"/>
    <w:rsid w:val="006A1D23"/>
    <w:rsid w:val="006A3B2B"/>
    <w:rsid w:val="006A41DB"/>
    <w:rsid w:val="006A48FB"/>
    <w:rsid w:val="006A4BE2"/>
    <w:rsid w:val="006A4DE0"/>
    <w:rsid w:val="006A513D"/>
    <w:rsid w:val="006A53DD"/>
    <w:rsid w:val="006A54DC"/>
    <w:rsid w:val="006A5627"/>
    <w:rsid w:val="006A5EBE"/>
    <w:rsid w:val="006A6344"/>
    <w:rsid w:val="006A64CD"/>
    <w:rsid w:val="006A6AA9"/>
    <w:rsid w:val="006A6DB0"/>
    <w:rsid w:val="006A79AC"/>
    <w:rsid w:val="006A7D36"/>
    <w:rsid w:val="006B0265"/>
    <w:rsid w:val="006B164A"/>
    <w:rsid w:val="006B17AD"/>
    <w:rsid w:val="006B1875"/>
    <w:rsid w:val="006B1A96"/>
    <w:rsid w:val="006B1BA4"/>
    <w:rsid w:val="006B2679"/>
    <w:rsid w:val="006B2B00"/>
    <w:rsid w:val="006B2B7A"/>
    <w:rsid w:val="006B35AC"/>
    <w:rsid w:val="006B360F"/>
    <w:rsid w:val="006B3A97"/>
    <w:rsid w:val="006B3AFB"/>
    <w:rsid w:val="006B3D2A"/>
    <w:rsid w:val="006B3E95"/>
    <w:rsid w:val="006B48AA"/>
    <w:rsid w:val="006B494D"/>
    <w:rsid w:val="006B4F72"/>
    <w:rsid w:val="006B5238"/>
    <w:rsid w:val="006B5280"/>
    <w:rsid w:val="006B532E"/>
    <w:rsid w:val="006B5F7B"/>
    <w:rsid w:val="006B614D"/>
    <w:rsid w:val="006B735B"/>
    <w:rsid w:val="006B7462"/>
    <w:rsid w:val="006B751F"/>
    <w:rsid w:val="006B78F8"/>
    <w:rsid w:val="006B7A42"/>
    <w:rsid w:val="006B7CD1"/>
    <w:rsid w:val="006B7D86"/>
    <w:rsid w:val="006B7E41"/>
    <w:rsid w:val="006C03FD"/>
    <w:rsid w:val="006C052C"/>
    <w:rsid w:val="006C058E"/>
    <w:rsid w:val="006C068C"/>
    <w:rsid w:val="006C0981"/>
    <w:rsid w:val="006C09D0"/>
    <w:rsid w:val="006C0B5F"/>
    <w:rsid w:val="006C0BF0"/>
    <w:rsid w:val="006C13DA"/>
    <w:rsid w:val="006C1467"/>
    <w:rsid w:val="006C1F39"/>
    <w:rsid w:val="006C2378"/>
    <w:rsid w:val="006C2C42"/>
    <w:rsid w:val="006C2F3C"/>
    <w:rsid w:val="006C35E8"/>
    <w:rsid w:val="006C35FC"/>
    <w:rsid w:val="006C3958"/>
    <w:rsid w:val="006C3AB6"/>
    <w:rsid w:val="006C4100"/>
    <w:rsid w:val="006C42D5"/>
    <w:rsid w:val="006C4728"/>
    <w:rsid w:val="006C5198"/>
    <w:rsid w:val="006C5878"/>
    <w:rsid w:val="006C5AA1"/>
    <w:rsid w:val="006C5B36"/>
    <w:rsid w:val="006C5C71"/>
    <w:rsid w:val="006C62F6"/>
    <w:rsid w:val="006C65C8"/>
    <w:rsid w:val="006C6AE8"/>
    <w:rsid w:val="006C6BA9"/>
    <w:rsid w:val="006C6C9B"/>
    <w:rsid w:val="006C6DFE"/>
    <w:rsid w:val="006C7033"/>
    <w:rsid w:val="006C7670"/>
    <w:rsid w:val="006C7AFF"/>
    <w:rsid w:val="006D00C9"/>
    <w:rsid w:val="006D14B2"/>
    <w:rsid w:val="006D15D8"/>
    <w:rsid w:val="006D1BD7"/>
    <w:rsid w:val="006D1F87"/>
    <w:rsid w:val="006D207B"/>
    <w:rsid w:val="006D22A9"/>
    <w:rsid w:val="006D25C9"/>
    <w:rsid w:val="006D28B8"/>
    <w:rsid w:val="006D2D00"/>
    <w:rsid w:val="006D2FB4"/>
    <w:rsid w:val="006D2FF2"/>
    <w:rsid w:val="006D3319"/>
    <w:rsid w:val="006D35D9"/>
    <w:rsid w:val="006D3BFB"/>
    <w:rsid w:val="006D3CBE"/>
    <w:rsid w:val="006D405B"/>
    <w:rsid w:val="006D4339"/>
    <w:rsid w:val="006D440D"/>
    <w:rsid w:val="006D495A"/>
    <w:rsid w:val="006D5C5B"/>
    <w:rsid w:val="006D5F9D"/>
    <w:rsid w:val="006D682A"/>
    <w:rsid w:val="006D6BD0"/>
    <w:rsid w:val="006D7799"/>
    <w:rsid w:val="006E0187"/>
    <w:rsid w:val="006E074F"/>
    <w:rsid w:val="006E0891"/>
    <w:rsid w:val="006E0906"/>
    <w:rsid w:val="006E0BBB"/>
    <w:rsid w:val="006E0C56"/>
    <w:rsid w:val="006E100C"/>
    <w:rsid w:val="006E1E81"/>
    <w:rsid w:val="006E2CDE"/>
    <w:rsid w:val="006E305F"/>
    <w:rsid w:val="006E329C"/>
    <w:rsid w:val="006E4043"/>
    <w:rsid w:val="006E41ED"/>
    <w:rsid w:val="006E4831"/>
    <w:rsid w:val="006E493F"/>
    <w:rsid w:val="006E4A96"/>
    <w:rsid w:val="006E4DB0"/>
    <w:rsid w:val="006E5C18"/>
    <w:rsid w:val="006E5D2A"/>
    <w:rsid w:val="006E6712"/>
    <w:rsid w:val="006E6927"/>
    <w:rsid w:val="006E7090"/>
    <w:rsid w:val="006E748E"/>
    <w:rsid w:val="006E7693"/>
    <w:rsid w:val="006E781D"/>
    <w:rsid w:val="006E78F9"/>
    <w:rsid w:val="006E7B3B"/>
    <w:rsid w:val="006E7DBD"/>
    <w:rsid w:val="006E7E1B"/>
    <w:rsid w:val="006F06F2"/>
    <w:rsid w:val="006F0A1F"/>
    <w:rsid w:val="006F0EA0"/>
    <w:rsid w:val="006F0F4A"/>
    <w:rsid w:val="006F14FB"/>
    <w:rsid w:val="006F19BC"/>
    <w:rsid w:val="006F1AD1"/>
    <w:rsid w:val="006F1CB0"/>
    <w:rsid w:val="006F261D"/>
    <w:rsid w:val="006F27BE"/>
    <w:rsid w:val="006F29F3"/>
    <w:rsid w:val="006F2FAC"/>
    <w:rsid w:val="006F3657"/>
    <w:rsid w:val="006F3AFB"/>
    <w:rsid w:val="006F41D0"/>
    <w:rsid w:val="006F4A32"/>
    <w:rsid w:val="006F50DE"/>
    <w:rsid w:val="006F5D51"/>
    <w:rsid w:val="006F6103"/>
    <w:rsid w:val="006F62C4"/>
    <w:rsid w:val="006F685A"/>
    <w:rsid w:val="006F6A01"/>
    <w:rsid w:val="006F6E3A"/>
    <w:rsid w:val="006F6FA1"/>
    <w:rsid w:val="006F72F1"/>
    <w:rsid w:val="006F7506"/>
    <w:rsid w:val="006F764F"/>
    <w:rsid w:val="006F771C"/>
    <w:rsid w:val="006F7B90"/>
    <w:rsid w:val="007006A2"/>
    <w:rsid w:val="00700D5B"/>
    <w:rsid w:val="00700E27"/>
    <w:rsid w:val="00701076"/>
    <w:rsid w:val="007012A5"/>
    <w:rsid w:val="007013F2"/>
    <w:rsid w:val="00701ECE"/>
    <w:rsid w:val="0070228E"/>
    <w:rsid w:val="00702662"/>
    <w:rsid w:val="007027F4"/>
    <w:rsid w:val="00702940"/>
    <w:rsid w:val="007029D0"/>
    <w:rsid w:val="0070303C"/>
    <w:rsid w:val="007030AF"/>
    <w:rsid w:val="007030EC"/>
    <w:rsid w:val="00703341"/>
    <w:rsid w:val="0070355A"/>
    <w:rsid w:val="00703581"/>
    <w:rsid w:val="007036BD"/>
    <w:rsid w:val="00703872"/>
    <w:rsid w:val="00703898"/>
    <w:rsid w:val="00703941"/>
    <w:rsid w:val="00703C55"/>
    <w:rsid w:val="0070405B"/>
    <w:rsid w:val="007043BA"/>
    <w:rsid w:val="00704455"/>
    <w:rsid w:val="00704BA6"/>
    <w:rsid w:val="00704F87"/>
    <w:rsid w:val="00705122"/>
    <w:rsid w:val="00706690"/>
    <w:rsid w:val="00706FC3"/>
    <w:rsid w:val="00707011"/>
    <w:rsid w:val="007071B4"/>
    <w:rsid w:val="007076E5"/>
    <w:rsid w:val="00707C12"/>
    <w:rsid w:val="00707F69"/>
    <w:rsid w:val="00710459"/>
    <w:rsid w:val="007119B0"/>
    <w:rsid w:val="00711ADD"/>
    <w:rsid w:val="00711BC2"/>
    <w:rsid w:val="00712FC1"/>
    <w:rsid w:val="0071372A"/>
    <w:rsid w:val="007138B3"/>
    <w:rsid w:val="00713965"/>
    <w:rsid w:val="0071423B"/>
    <w:rsid w:val="00714533"/>
    <w:rsid w:val="00714FCD"/>
    <w:rsid w:val="00715BDF"/>
    <w:rsid w:val="00715E60"/>
    <w:rsid w:val="00715F28"/>
    <w:rsid w:val="00716C33"/>
    <w:rsid w:val="00716CCA"/>
    <w:rsid w:val="0071767C"/>
    <w:rsid w:val="00717E7D"/>
    <w:rsid w:val="00720685"/>
    <w:rsid w:val="0072096C"/>
    <w:rsid w:val="00720A34"/>
    <w:rsid w:val="00721517"/>
    <w:rsid w:val="00721C61"/>
    <w:rsid w:val="00721C84"/>
    <w:rsid w:val="00722375"/>
    <w:rsid w:val="00722576"/>
    <w:rsid w:val="00722D58"/>
    <w:rsid w:val="007238C3"/>
    <w:rsid w:val="00723FD6"/>
    <w:rsid w:val="007250A5"/>
    <w:rsid w:val="00725752"/>
    <w:rsid w:val="007257C2"/>
    <w:rsid w:val="00725C21"/>
    <w:rsid w:val="00725ED5"/>
    <w:rsid w:val="007260F7"/>
    <w:rsid w:val="00726877"/>
    <w:rsid w:val="00726BAC"/>
    <w:rsid w:val="00726D48"/>
    <w:rsid w:val="00727243"/>
    <w:rsid w:val="00730225"/>
    <w:rsid w:val="00730553"/>
    <w:rsid w:val="00730633"/>
    <w:rsid w:val="00730B8C"/>
    <w:rsid w:val="00731107"/>
    <w:rsid w:val="00731523"/>
    <w:rsid w:val="00731AFD"/>
    <w:rsid w:val="00731BE2"/>
    <w:rsid w:val="0073228A"/>
    <w:rsid w:val="00732404"/>
    <w:rsid w:val="00732430"/>
    <w:rsid w:val="007325D4"/>
    <w:rsid w:val="0073272E"/>
    <w:rsid w:val="0073276A"/>
    <w:rsid w:val="00732C79"/>
    <w:rsid w:val="00732D8E"/>
    <w:rsid w:val="00733172"/>
    <w:rsid w:val="00734142"/>
    <w:rsid w:val="007342AF"/>
    <w:rsid w:val="007349A4"/>
    <w:rsid w:val="00734BC6"/>
    <w:rsid w:val="00735018"/>
    <w:rsid w:val="007350DD"/>
    <w:rsid w:val="0073524B"/>
    <w:rsid w:val="00735517"/>
    <w:rsid w:val="00735C80"/>
    <w:rsid w:val="0073626C"/>
    <w:rsid w:val="00736465"/>
    <w:rsid w:val="007365BE"/>
    <w:rsid w:val="00736ADF"/>
    <w:rsid w:val="00736D96"/>
    <w:rsid w:val="00737043"/>
    <w:rsid w:val="00737971"/>
    <w:rsid w:val="007379C3"/>
    <w:rsid w:val="00737A6B"/>
    <w:rsid w:val="00737BD8"/>
    <w:rsid w:val="00737EE1"/>
    <w:rsid w:val="00740085"/>
    <w:rsid w:val="007401A5"/>
    <w:rsid w:val="007404C2"/>
    <w:rsid w:val="00740CA5"/>
    <w:rsid w:val="00740D15"/>
    <w:rsid w:val="00741355"/>
    <w:rsid w:val="00741A49"/>
    <w:rsid w:val="00741A61"/>
    <w:rsid w:val="00741B99"/>
    <w:rsid w:val="00741BC6"/>
    <w:rsid w:val="00742180"/>
    <w:rsid w:val="007425B6"/>
    <w:rsid w:val="00742801"/>
    <w:rsid w:val="00742D32"/>
    <w:rsid w:val="00743037"/>
    <w:rsid w:val="007438CB"/>
    <w:rsid w:val="00743DF0"/>
    <w:rsid w:val="00743FF7"/>
    <w:rsid w:val="0074467F"/>
    <w:rsid w:val="00745402"/>
    <w:rsid w:val="00745B6F"/>
    <w:rsid w:val="00745F89"/>
    <w:rsid w:val="0074686A"/>
    <w:rsid w:val="007468FB"/>
    <w:rsid w:val="00746A15"/>
    <w:rsid w:val="00747678"/>
    <w:rsid w:val="00747DBC"/>
    <w:rsid w:val="00750125"/>
    <w:rsid w:val="007507BB"/>
    <w:rsid w:val="00750F2C"/>
    <w:rsid w:val="00750F73"/>
    <w:rsid w:val="0075109C"/>
    <w:rsid w:val="0075131B"/>
    <w:rsid w:val="00751928"/>
    <w:rsid w:val="00751A3F"/>
    <w:rsid w:val="00751E1E"/>
    <w:rsid w:val="0075240E"/>
    <w:rsid w:val="00752950"/>
    <w:rsid w:val="00752D21"/>
    <w:rsid w:val="00752FB2"/>
    <w:rsid w:val="007538EF"/>
    <w:rsid w:val="00753D76"/>
    <w:rsid w:val="00753F50"/>
    <w:rsid w:val="0075403B"/>
    <w:rsid w:val="00754463"/>
    <w:rsid w:val="0075453D"/>
    <w:rsid w:val="00754833"/>
    <w:rsid w:val="007549E3"/>
    <w:rsid w:val="007556A8"/>
    <w:rsid w:val="00755771"/>
    <w:rsid w:val="007559C9"/>
    <w:rsid w:val="00756615"/>
    <w:rsid w:val="00756ABC"/>
    <w:rsid w:val="00756B11"/>
    <w:rsid w:val="00756BD1"/>
    <w:rsid w:val="007572D0"/>
    <w:rsid w:val="00760145"/>
    <w:rsid w:val="007602D2"/>
    <w:rsid w:val="007603E4"/>
    <w:rsid w:val="00761078"/>
    <w:rsid w:val="00761733"/>
    <w:rsid w:val="007620A1"/>
    <w:rsid w:val="00762E5F"/>
    <w:rsid w:val="00763E81"/>
    <w:rsid w:val="00764318"/>
    <w:rsid w:val="007644D0"/>
    <w:rsid w:val="007650AB"/>
    <w:rsid w:val="00765267"/>
    <w:rsid w:val="00765A7B"/>
    <w:rsid w:val="00765D09"/>
    <w:rsid w:val="00766628"/>
    <w:rsid w:val="007666E9"/>
    <w:rsid w:val="007667A6"/>
    <w:rsid w:val="00766A37"/>
    <w:rsid w:val="00766D77"/>
    <w:rsid w:val="00767972"/>
    <w:rsid w:val="00767C9E"/>
    <w:rsid w:val="00770001"/>
    <w:rsid w:val="0077013A"/>
    <w:rsid w:val="007703E1"/>
    <w:rsid w:val="00770A96"/>
    <w:rsid w:val="007713D8"/>
    <w:rsid w:val="00771899"/>
    <w:rsid w:val="00771E6F"/>
    <w:rsid w:val="00772149"/>
    <w:rsid w:val="00772429"/>
    <w:rsid w:val="007724A3"/>
    <w:rsid w:val="007724B4"/>
    <w:rsid w:val="0077375D"/>
    <w:rsid w:val="00773C2A"/>
    <w:rsid w:val="00773C48"/>
    <w:rsid w:val="007740F6"/>
    <w:rsid w:val="00774787"/>
    <w:rsid w:val="0077484B"/>
    <w:rsid w:val="00775002"/>
    <w:rsid w:val="007752A5"/>
    <w:rsid w:val="007752C7"/>
    <w:rsid w:val="00775312"/>
    <w:rsid w:val="007753AB"/>
    <w:rsid w:val="00775443"/>
    <w:rsid w:val="00775763"/>
    <w:rsid w:val="007759BF"/>
    <w:rsid w:val="007768D6"/>
    <w:rsid w:val="007768E8"/>
    <w:rsid w:val="00776C14"/>
    <w:rsid w:val="00776E9E"/>
    <w:rsid w:val="007770D3"/>
    <w:rsid w:val="007770F2"/>
    <w:rsid w:val="00777BE8"/>
    <w:rsid w:val="007808CE"/>
    <w:rsid w:val="00780D06"/>
    <w:rsid w:val="00781BB4"/>
    <w:rsid w:val="00781D14"/>
    <w:rsid w:val="00781E4C"/>
    <w:rsid w:val="00782677"/>
    <w:rsid w:val="007834A9"/>
    <w:rsid w:val="007835F0"/>
    <w:rsid w:val="007836D5"/>
    <w:rsid w:val="00783711"/>
    <w:rsid w:val="00783798"/>
    <w:rsid w:val="00783A8F"/>
    <w:rsid w:val="00783B60"/>
    <w:rsid w:val="00783DCD"/>
    <w:rsid w:val="0078415C"/>
    <w:rsid w:val="00784A86"/>
    <w:rsid w:val="00784A95"/>
    <w:rsid w:val="00785C04"/>
    <w:rsid w:val="0078632B"/>
    <w:rsid w:val="007868FA"/>
    <w:rsid w:val="00786AA6"/>
    <w:rsid w:val="00786EFA"/>
    <w:rsid w:val="007875CE"/>
    <w:rsid w:val="00787E7B"/>
    <w:rsid w:val="00790087"/>
    <w:rsid w:val="00790A3A"/>
    <w:rsid w:val="00790B5D"/>
    <w:rsid w:val="00790B66"/>
    <w:rsid w:val="00790D03"/>
    <w:rsid w:val="00791D99"/>
    <w:rsid w:val="00791E0D"/>
    <w:rsid w:val="0079215D"/>
    <w:rsid w:val="0079256C"/>
    <w:rsid w:val="007925A2"/>
    <w:rsid w:val="00792865"/>
    <w:rsid w:val="00792EC0"/>
    <w:rsid w:val="007936A6"/>
    <w:rsid w:val="0079395B"/>
    <w:rsid w:val="007954B1"/>
    <w:rsid w:val="0079632D"/>
    <w:rsid w:val="0079646A"/>
    <w:rsid w:val="007968BA"/>
    <w:rsid w:val="00796D38"/>
    <w:rsid w:val="00797A37"/>
    <w:rsid w:val="00797A73"/>
    <w:rsid w:val="00797BDE"/>
    <w:rsid w:val="007A02CF"/>
    <w:rsid w:val="007A0430"/>
    <w:rsid w:val="007A068B"/>
    <w:rsid w:val="007A080A"/>
    <w:rsid w:val="007A0B28"/>
    <w:rsid w:val="007A0E80"/>
    <w:rsid w:val="007A1127"/>
    <w:rsid w:val="007A1197"/>
    <w:rsid w:val="007A124A"/>
    <w:rsid w:val="007A1367"/>
    <w:rsid w:val="007A1CF7"/>
    <w:rsid w:val="007A2840"/>
    <w:rsid w:val="007A29B0"/>
    <w:rsid w:val="007A2F8A"/>
    <w:rsid w:val="007A36F1"/>
    <w:rsid w:val="007A39B9"/>
    <w:rsid w:val="007A5024"/>
    <w:rsid w:val="007A52B2"/>
    <w:rsid w:val="007A65E9"/>
    <w:rsid w:val="007A6BE2"/>
    <w:rsid w:val="007A6C26"/>
    <w:rsid w:val="007A6D15"/>
    <w:rsid w:val="007A719F"/>
    <w:rsid w:val="007A75ED"/>
    <w:rsid w:val="007A7876"/>
    <w:rsid w:val="007A7E66"/>
    <w:rsid w:val="007B084D"/>
    <w:rsid w:val="007B0AA1"/>
    <w:rsid w:val="007B0BE2"/>
    <w:rsid w:val="007B0DEB"/>
    <w:rsid w:val="007B1403"/>
    <w:rsid w:val="007B16AA"/>
    <w:rsid w:val="007B2248"/>
    <w:rsid w:val="007B2CEB"/>
    <w:rsid w:val="007B2F38"/>
    <w:rsid w:val="007B305A"/>
    <w:rsid w:val="007B382E"/>
    <w:rsid w:val="007B4BD5"/>
    <w:rsid w:val="007B4CD6"/>
    <w:rsid w:val="007B50BE"/>
    <w:rsid w:val="007B58B5"/>
    <w:rsid w:val="007B5DCB"/>
    <w:rsid w:val="007B5F0D"/>
    <w:rsid w:val="007B700B"/>
    <w:rsid w:val="007B796E"/>
    <w:rsid w:val="007C0028"/>
    <w:rsid w:val="007C0354"/>
    <w:rsid w:val="007C0C4B"/>
    <w:rsid w:val="007C0F4E"/>
    <w:rsid w:val="007C1129"/>
    <w:rsid w:val="007C1408"/>
    <w:rsid w:val="007C146E"/>
    <w:rsid w:val="007C182C"/>
    <w:rsid w:val="007C1862"/>
    <w:rsid w:val="007C2379"/>
    <w:rsid w:val="007C2AF6"/>
    <w:rsid w:val="007C3258"/>
    <w:rsid w:val="007C3B72"/>
    <w:rsid w:val="007C42A1"/>
    <w:rsid w:val="007C491A"/>
    <w:rsid w:val="007C4945"/>
    <w:rsid w:val="007C52E3"/>
    <w:rsid w:val="007C59D1"/>
    <w:rsid w:val="007C5D57"/>
    <w:rsid w:val="007C5E52"/>
    <w:rsid w:val="007C5E91"/>
    <w:rsid w:val="007C6945"/>
    <w:rsid w:val="007C698D"/>
    <w:rsid w:val="007C710E"/>
    <w:rsid w:val="007C75B1"/>
    <w:rsid w:val="007C79B1"/>
    <w:rsid w:val="007C79EB"/>
    <w:rsid w:val="007C7EB5"/>
    <w:rsid w:val="007D01AF"/>
    <w:rsid w:val="007D0862"/>
    <w:rsid w:val="007D0B11"/>
    <w:rsid w:val="007D0B56"/>
    <w:rsid w:val="007D0DDB"/>
    <w:rsid w:val="007D10B3"/>
    <w:rsid w:val="007D1446"/>
    <w:rsid w:val="007D15D6"/>
    <w:rsid w:val="007D1AE5"/>
    <w:rsid w:val="007D1BFA"/>
    <w:rsid w:val="007D254A"/>
    <w:rsid w:val="007D26FE"/>
    <w:rsid w:val="007D36CC"/>
    <w:rsid w:val="007D42BC"/>
    <w:rsid w:val="007D4A3A"/>
    <w:rsid w:val="007D5166"/>
    <w:rsid w:val="007D5BF3"/>
    <w:rsid w:val="007D622D"/>
    <w:rsid w:val="007D6844"/>
    <w:rsid w:val="007D6F13"/>
    <w:rsid w:val="007D7409"/>
    <w:rsid w:val="007E0626"/>
    <w:rsid w:val="007E0C4D"/>
    <w:rsid w:val="007E0EEA"/>
    <w:rsid w:val="007E1587"/>
    <w:rsid w:val="007E1AD8"/>
    <w:rsid w:val="007E1DF3"/>
    <w:rsid w:val="007E20C8"/>
    <w:rsid w:val="007E2899"/>
    <w:rsid w:val="007E3175"/>
    <w:rsid w:val="007E337B"/>
    <w:rsid w:val="007E485B"/>
    <w:rsid w:val="007E5491"/>
    <w:rsid w:val="007E561D"/>
    <w:rsid w:val="007E5798"/>
    <w:rsid w:val="007E5A51"/>
    <w:rsid w:val="007E5F0C"/>
    <w:rsid w:val="007E6258"/>
    <w:rsid w:val="007E626E"/>
    <w:rsid w:val="007E6E30"/>
    <w:rsid w:val="007E734C"/>
    <w:rsid w:val="007E7506"/>
    <w:rsid w:val="007F01B1"/>
    <w:rsid w:val="007F01CD"/>
    <w:rsid w:val="007F05EB"/>
    <w:rsid w:val="007F0E4A"/>
    <w:rsid w:val="007F102C"/>
    <w:rsid w:val="007F1557"/>
    <w:rsid w:val="007F1F47"/>
    <w:rsid w:val="007F1F96"/>
    <w:rsid w:val="007F2307"/>
    <w:rsid w:val="007F2558"/>
    <w:rsid w:val="007F25E1"/>
    <w:rsid w:val="007F269A"/>
    <w:rsid w:val="007F2E3C"/>
    <w:rsid w:val="007F2F0C"/>
    <w:rsid w:val="007F38B3"/>
    <w:rsid w:val="007F3A3E"/>
    <w:rsid w:val="007F4E26"/>
    <w:rsid w:val="007F50DF"/>
    <w:rsid w:val="007F54F3"/>
    <w:rsid w:val="007F5590"/>
    <w:rsid w:val="007F598E"/>
    <w:rsid w:val="007F5D0E"/>
    <w:rsid w:val="007F62A1"/>
    <w:rsid w:val="007F6631"/>
    <w:rsid w:val="007F6761"/>
    <w:rsid w:val="007F6D29"/>
    <w:rsid w:val="007F7BB3"/>
    <w:rsid w:val="007F7EEE"/>
    <w:rsid w:val="00800113"/>
    <w:rsid w:val="00800555"/>
    <w:rsid w:val="00800FC0"/>
    <w:rsid w:val="00801612"/>
    <w:rsid w:val="008023C1"/>
    <w:rsid w:val="00803ED9"/>
    <w:rsid w:val="0080408E"/>
    <w:rsid w:val="00804091"/>
    <w:rsid w:val="0080414B"/>
    <w:rsid w:val="0080475E"/>
    <w:rsid w:val="008049DE"/>
    <w:rsid w:val="00804B1A"/>
    <w:rsid w:val="00804C9D"/>
    <w:rsid w:val="00805B00"/>
    <w:rsid w:val="00805CF0"/>
    <w:rsid w:val="00806157"/>
    <w:rsid w:val="0080626D"/>
    <w:rsid w:val="00806999"/>
    <w:rsid w:val="00807246"/>
    <w:rsid w:val="0080729D"/>
    <w:rsid w:val="00807BFD"/>
    <w:rsid w:val="00807F76"/>
    <w:rsid w:val="0081070F"/>
    <w:rsid w:val="0081089B"/>
    <w:rsid w:val="0081145C"/>
    <w:rsid w:val="008116A4"/>
    <w:rsid w:val="00811DD7"/>
    <w:rsid w:val="00812193"/>
    <w:rsid w:val="0081264E"/>
    <w:rsid w:val="0081297A"/>
    <w:rsid w:val="00812CC9"/>
    <w:rsid w:val="00812D72"/>
    <w:rsid w:val="00812FBA"/>
    <w:rsid w:val="00813125"/>
    <w:rsid w:val="0081357D"/>
    <w:rsid w:val="008135A9"/>
    <w:rsid w:val="008143DE"/>
    <w:rsid w:val="00815D46"/>
    <w:rsid w:val="008164C9"/>
    <w:rsid w:val="00816A06"/>
    <w:rsid w:val="00816BF4"/>
    <w:rsid w:val="00817351"/>
    <w:rsid w:val="0081769C"/>
    <w:rsid w:val="008179F8"/>
    <w:rsid w:val="00817A24"/>
    <w:rsid w:val="00817A85"/>
    <w:rsid w:val="008203B7"/>
    <w:rsid w:val="008205F0"/>
    <w:rsid w:val="00820B5F"/>
    <w:rsid w:val="008214C6"/>
    <w:rsid w:val="008216EB"/>
    <w:rsid w:val="00821D9A"/>
    <w:rsid w:val="008221A3"/>
    <w:rsid w:val="00822CEF"/>
    <w:rsid w:val="00822FE6"/>
    <w:rsid w:val="008235AD"/>
    <w:rsid w:val="00823AB4"/>
    <w:rsid w:val="00823AC1"/>
    <w:rsid w:val="00824050"/>
    <w:rsid w:val="0082436E"/>
    <w:rsid w:val="008245FD"/>
    <w:rsid w:val="008246AF"/>
    <w:rsid w:val="00824718"/>
    <w:rsid w:val="00824D86"/>
    <w:rsid w:val="00825997"/>
    <w:rsid w:val="00825FCF"/>
    <w:rsid w:val="008260CA"/>
    <w:rsid w:val="008261DD"/>
    <w:rsid w:val="008266AD"/>
    <w:rsid w:val="0082698E"/>
    <w:rsid w:val="00826BA0"/>
    <w:rsid w:val="00826C99"/>
    <w:rsid w:val="0082765D"/>
    <w:rsid w:val="0082777F"/>
    <w:rsid w:val="008277D9"/>
    <w:rsid w:val="00827BBE"/>
    <w:rsid w:val="00827D31"/>
    <w:rsid w:val="00827E74"/>
    <w:rsid w:val="008300CE"/>
    <w:rsid w:val="008305E9"/>
    <w:rsid w:val="00830F5B"/>
    <w:rsid w:val="008310A6"/>
    <w:rsid w:val="008317EE"/>
    <w:rsid w:val="00831E55"/>
    <w:rsid w:val="00831EEF"/>
    <w:rsid w:val="008320BB"/>
    <w:rsid w:val="008326C6"/>
    <w:rsid w:val="0083299C"/>
    <w:rsid w:val="00832CCA"/>
    <w:rsid w:val="00832DD6"/>
    <w:rsid w:val="00832E7B"/>
    <w:rsid w:val="008332FD"/>
    <w:rsid w:val="00834380"/>
    <w:rsid w:val="008343B6"/>
    <w:rsid w:val="00835441"/>
    <w:rsid w:val="0083549D"/>
    <w:rsid w:val="008354B1"/>
    <w:rsid w:val="00835652"/>
    <w:rsid w:val="00835ACD"/>
    <w:rsid w:val="00836360"/>
    <w:rsid w:val="00836488"/>
    <w:rsid w:val="00836654"/>
    <w:rsid w:val="00836899"/>
    <w:rsid w:val="008368C2"/>
    <w:rsid w:val="00837628"/>
    <w:rsid w:val="00837DC0"/>
    <w:rsid w:val="0084029D"/>
    <w:rsid w:val="008404D7"/>
    <w:rsid w:val="00840AC8"/>
    <w:rsid w:val="00841787"/>
    <w:rsid w:val="00841880"/>
    <w:rsid w:val="008419E0"/>
    <w:rsid w:val="00842391"/>
    <w:rsid w:val="00842863"/>
    <w:rsid w:val="00842DA7"/>
    <w:rsid w:val="0084306B"/>
    <w:rsid w:val="00843165"/>
    <w:rsid w:val="00843400"/>
    <w:rsid w:val="00843693"/>
    <w:rsid w:val="0084397C"/>
    <w:rsid w:val="00843E94"/>
    <w:rsid w:val="008442B7"/>
    <w:rsid w:val="0084499A"/>
    <w:rsid w:val="008449AD"/>
    <w:rsid w:val="00844C62"/>
    <w:rsid w:val="00844DEC"/>
    <w:rsid w:val="00845189"/>
    <w:rsid w:val="00846AE4"/>
    <w:rsid w:val="00846E21"/>
    <w:rsid w:val="008471F8"/>
    <w:rsid w:val="00847BE6"/>
    <w:rsid w:val="00847FD6"/>
    <w:rsid w:val="008505F8"/>
    <w:rsid w:val="00850CA7"/>
    <w:rsid w:val="008514C8"/>
    <w:rsid w:val="00851798"/>
    <w:rsid w:val="008517CB"/>
    <w:rsid w:val="00851EC8"/>
    <w:rsid w:val="008521E6"/>
    <w:rsid w:val="008525A4"/>
    <w:rsid w:val="008527FD"/>
    <w:rsid w:val="00852BB4"/>
    <w:rsid w:val="00853639"/>
    <w:rsid w:val="00853C94"/>
    <w:rsid w:val="008540B8"/>
    <w:rsid w:val="00855255"/>
    <w:rsid w:val="008558D7"/>
    <w:rsid w:val="00855C67"/>
    <w:rsid w:val="0085645C"/>
    <w:rsid w:val="00856461"/>
    <w:rsid w:val="008569F9"/>
    <w:rsid w:val="00856C57"/>
    <w:rsid w:val="00857508"/>
    <w:rsid w:val="008578DC"/>
    <w:rsid w:val="00857B3B"/>
    <w:rsid w:val="00857DAB"/>
    <w:rsid w:val="00860366"/>
    <w:rsid w:val="00860A28"/>
    <w:rsid w:val="00860A4B"/>
    <w:rsid w:val="00860C80"/>
    <w:rsid w:val="00861879"/>
    <w:rsid w:val="00861897"/>
    <w:rsid w:val="00861FB8"/>
    <w:rsid w:val="00863059"/>
    <w:rsid w:val="008630EA"/>
    <w:rsid w:val="00864022"/>
    <w:rsid w:val="00864D73"/>
    <w:rsid w:val="008651F6"/>
    <w:rsid w:val="00865B5A"/>
    <w:rsid w:val="00865BDF"/>
    <w:rsid w:val="00865DB4"/>
    <w:rsid w:val="00865EE8"/>
    <w:rsid w:val="00866081"/>
    <w:rsid w:val="0086609F"/>
    <w:rsid w:val="0086623F"/>
    <w:rsid w:val="0086692B"/>
    <w:rsid w:val="00866B54"/>
    <w:rsid w:val="00866D3A"/>
    <w:rsid w:val="00867A63"/>
    <w:rsid w:val="00867CB6"/>
    <w:rsid w:val="00867D7E"/>
    <w:rsid w:val="008708F7"/>
    <w:rsid w:val="00870A98"/>
    <w:rsid w:val="00870D6E"/>
    <w:rsid w:val="00870E76"/>
    <w:rsid w:val="0087127E"/>
    <w:rsid w:val="008715FB"/>
    <w:rsid w:val="00871E12"/>
    <w:rsid w:val="00872D01"/>
    <w:rsid w:val="008733BD"/>
    <w:rsid w:val="008736DE"/>
    <w:rsid w:val="00873F27"/>
    <w:rsid w:val="008745CC"/>
    <w:rsid w:val="00874790"/>
    <w:rsid w:val="00874A37"/>
    <w:rsid w:val="00874AF4"/>
    <w:rsid w:val="00875559"/>
    <w:rsid w:val="008755A2"/>
    <w:rsid w:val="00876927"/>
    <w:rsid w:val="00876A10"/>
    <w:rsid w:val="00876B87"/>
    <w:rsid w:val="00876D57"/>
    <w:rsid w:val="0087719C"/>
    <w:rsid w:val="00877645"/>
    <w:rsid w:val="0088030B"/>
    <w:rsid w:val="00880A21"/>
    <w:rsid w:val="00880BFD"/>
    <w:rsid w:val="00880DBE"/>
    <w:rsid w:val="00881559"/>
    <w:rsid w:val="00881740"/>
    <w:rsid w:val="00881C71"/>
    <w:rsid w:val="00881FFD"/>
    <w:rsid w:val="0088220E"/>
    <w:rsid w:val="0088247F"/>
    <w:rsid w:val="008828A8"/>
    <w:rsid w:val="0088299C"/>
    <w:rsid w:val="00882AAA"/>
    <w:rsid w:val="00883310"/>
    <w:rsid w:val="00883528"/>
    <w:rsid w:val="008843A1"/>
    <w:rsid w:val="008843B3"/>
    <w:rsid w:val="00884836"/>
    <w:rsid w:val="00884DE5"/>
    <w:rsid w:val="00885722"/>
    <w:rsid w:val="008857C2"/>
    <w:rsid w:val="00885B19"/>
    <w:rsid w:val="00886477"/>
    <w:rsid w:val="0088656E"/>
    <w:rsid w:val="00886F28"/>
    <w:rsid w:val="008872BB"/>
    <w:rsid w:val="0088745E"/>
    <w:rsid w:val="008877B4"/>
    <w:rsid w:val="008877E5"/>
    <w:rsid w:val="00887E83"/>
    <w:rsid w:val="008903AD"/>
    <w:rsid w:val="00890BF7"/>
    <w:rsid w:val="00890CF7"/>
    <w:rsid w:val="0089124E"/>
    <w:rsid w:val="0089131B"/>
    <w:rsid w:val="0089152B"/>
    <w:rsid w:val="0089165A"/>
    <w:rsid w:val="00891786"/>
    <w:rsid w:val="00892AB4"/>
    <w:rsid w:val="00892C03"/>
    <w:rsid w:val="00893383"/>
    <w:rsid w:val="008936E0"/>
    <w:rsid w:val="008937EC"/>
    <w:rsid w:val="008942A1"/>
    <w:rsid w:val="0089430D"/>
    <w:rsid w:val="00894365"/>
    <w:rsid w:val="008947AE"/>
    <w:rsid w:val="00894F38"/>
    <w:rsid w:val="00895251"/>
    <w:rsid w:val="00895925"/>
    <w:rsid w:val="00895948"/>
    <w:rsid w:val="00896B90"/>
    <w:rsid w:val="00896EC5"/>
    <w:rsid w:val="00897392"/>
    <w:rsid w:val="008973F0"/>
    <w:rsid w:val="0089752A"/>
    <w:rsid w:val="00897BD8"/>
    <w:rsid w:val="008A0162"/>
    <w:rsid w:val="008A01E6"/>
    <w:rsid w:val="008A0EE7"/>
    <w:rsid w:val="008A131A"/>
    <w:rsid w:val="008A1DE2"/>
    <w:rsid w:val="008A1EFB"/>
    <w:rsid w:val="008A2147"/>
    <w:rsid w:val="008A2225"/>
    <w:rsid w:val="008A245E"/>
    <w:rsid w:val="008A2738"/>
    <w:rsid w:val="008A3496"/>
    <w:rsid w:val="008A37EF"/>
    <w:rsid w:val="008A3924"/>
    <w:rsid w:val="008A39AE"/>
    <w:rsid w:val="008A3FEE"/>
    <w:rsid w:val="008A40C1"/>
    <w:rsid w:val="008A40D0"/>
    <w:rsid w:val="008A4130"/>
    <w:rsid w:val="008A484F"/>
    <w:rsid w:val="008A48B4"/>
    <w:rsid w:val="008A492C"/>
    <w:rsid w:val="008A4AE0"/>
    <w:rsid w:val="008A4DBF"/>
    <w:rsid w:val="008A4DC0"/>
    <w:rsid w:val="008A4ED2"/>
    <w:rsid w:val="008A586E"/>
    <w:rsid w:val="008A5A4D"/>
    <w:rsid w:val="008A5D64"/>
    <w:rsid w:val="008A6347"/>
    <w:rsid w:val="008A658F"/>
    <w:rsid w:val="008A667A"/>
    <w:rsid w:val="008A6853"/>
    <w:rsid w:val="008A6C7B"/>
    <w:rsid w:val="008A6F91"/>
    <w:rsid w:val="008A709A"/>
    <w:rsid w:val="008A73FF"/>
    <w:rsid w:val="008A7A9A"/>
    <w:rsid w:val="008A7E64"/>
    <w:rsid w:val="008B0245"/>
    <w:rsid w:val="008B052F"/>
    <w:rsid w:val="008B074F"/>
    <w:rsid w:val="008B0AAD"/>
    <w:rsid w:val="008B0B4F"/>
    <w:rsid w:val="008B0FA6"/>
    <w:rsid w:val="008B1147"/>
    <w:rsid w:val="008B11F8"/>
    <w:rsid w:val="008B15F9"/>
    <w:rsid w:val="008B1608"/>
    <w:rsid w:val="008B1D60"/>
    <w:rsid w:val="008B201D"/>
    <w:rsid w:val="008B3B4A"/>
    <w:rsid w:val="008B3C3F"/>
    <w:rsid w:val="008B412E"/>
    <w:rsid w:val="008B4B6F"/>
    <w:rsid w:val="008B4E7A"/>
    <w:rsid w:val="008B56E1"/>
    <w:rsid w:val="008B5DC8"/>
    <w:rsid w:val="008B7E04"/>
    <w:rsid w:val="008B7F5D"/>
    <w:rsid w:val="008C07F4"/>
    <w:rsid w:val="008C0AA6"/>
    <w:rsid w:val="008C0C9A"/>
    <w:rsid w:val="008C110B"/>
    <w:rsid w:val="008C1233"/>
    <w:rsid w:val="008C137B"/>
    <w:rsid w:val="008C1A99"/>
    <w:rsid w:val="008C1BCD"/>
    <w:rsid w:val="008C2525"/>
    <w:rsid w:val="008C37CE"/>
    <w:rsid w:val="008C4567"/>
    <w:rsid w:val="008C5AF8"/>
    <w:rsid w:val="008C6227"/>
    <w:rsid w:val="008C6CC6"/>
    <w:rsid w:val="008C6E90"/>
    <w:rsid w:val="008C70D9"/>
    <w:rsid w:val="008D0623"/>
    <w:rsid w:val="008D0D81"/>
    <w:rsid w:val="008D1112"/>
    <w:rsid w:val="008D1533"/>
    <w:rsid w:val="008D15AB"/>
    <w:rsid w:val="008D21C0"/>
    <w:rsid w:val="008D243E"/>
    <w:rsid w:val="008D27DF"/>
    <w:rsid w:val="008D2A54"/>
    <w:rsid w:val="008D2C0C"/>
    <w:rsid w:val="008D3140"/>
    <w:rsid w:val="008D33B7"/>
    <w:rsid w:val="008D358B"/>
    <w:rsid w:val="008D3C82"/>
    <w:rsid w:val="008D410E"/>
    <w:rsid w:val="008D433F"/>
    <w:rsid w:val="008D440C"/>
    <w:rsid w:val="008D47C4"/>
    <w:rsid w:val="008D4816"/>
    <w:rsid w:val="008D4B61"/>
    <w:rsid w:val="008D4FA9"/>
    <w:rsid w:val="008D4FC2"/>
    <w:rsid w:val="008D5646"/>
    <w:rsid w:val="008D5677"/>
    <w:rsid w:val="008D5678"/>
    <w:rsid w:val="008D582E"/>
    <w:rsid w:val="008D6029"/>
    <w:rsid w:val="008D6266"/>
    <w:rsid w:val="008D6BCA"/>
    <w:rsid w:val="008D6D98"/>
    <w:rsid w:val="008D7198"/>
    <w:rsid w:val="008D73FC"/>
    <w:rsid w:val="008D75E2"/>
    <w:rsid w:val="008E0165"/>
    <w:rsid w:val="008E0561"/>
    <w:rsid w:val="008E0CFB"/>
    <w:rsid w:val="008E11E9"/>
    <w:rsid w:val="008E15FB"/>
    <w:rsid w:val="008E1AE9"/>
    <w:rsid w:val="008E1B6B"/>
    <w:rsid w:val="008E1E5B"/>
    <w:rsid w:val="008E1FCD"/>
    <w:rsid w:val="008E23D7"/>
    <w:rsid w:val="008E2546"/>
    <w:rsid w:val="008E272A"/>
    <w:rsid w:val="008E2913"/>
    <w:rsid w:val="008E378D"/>
    <w:rsid w:val="008E39A0"/>
    <w:rsid w:val="008E4347"/>
    <w:rsid w:val="008E46E1"/>
    <w:rsid w:val="008E47EA"/>
    <w:rsid w:val="008E4934"/>
    <w:rsid w:val="008E51CC"/>
    <w:rsid w:val="008E567D"/>
    <w:rsid w:val="008E6596"/>
    <w:rsid w:val="008E6717"/>
    <w:rsid w:val="008E69B0"/>
    <w:rsid w:val="008E6FD0"/>
    <w:rsid w:val="008E7AD1"/>
    <w:rsid w:val="008F01DA"/>
    <w:rsid w:val="008F0B5B"/>
    <w:rsid w:val="008F0DE0"/>
    <w:rsid w:val="008F1715"/>
    <w:rsid w:val="008F1B67"/>
    <w:rsid w:val="008F1D39"/>
    <w:rsid w:val="008F25FF"/>
    <w:rsid w:val="008F2713"/>
    <w:rsid w:val="008F2D23"/>
    <w:rsid w:val="008F2ED5"/>
    <w:rsid w:val="008F2EE7"/>
    <w:rsid w:val="008F2FD1"/>
    <w:rsid w:val="008F36F3"/>
    <w:rsid w:val="008F387B"/>
    <w:rsid w:val="008F39EA"/>
    <w:rsid w:val="008F40B9"/>
    <w:rsid w:val="008F45A0"/>
    <w:rsid w:val="008F4904"/>
    <w:rsid w:val="008F4930"/>
    <w:rsid w:val="008F54AF"/>
    <w:rsid w:val="008F5527"/>
    <w:rsid w:val="008F5B3B"/>
    <w:rsid w:val="008F6586"/>
    <w:rsid w:val="008F69E9"/>
    <w:rsid w:val="008F6B7D"/>
    <w:rsid w:val="008F7644"/>
    <w:rsid w:val="008F7663"/>
    <w:rsid w:val="008F7A55"/>
    <w:rsid w:val="008F7AE9"/>
    <w:rsid w:val="008F7EAC"/>
    <w:rsid w:val="0090056E"/>
    <w:rsid w:val="00901AE3"/>
    <w:rsid w:val="0090208B"/>
    <w:rsid w:val="00902254"/>
    <w:rsid w:val="00902891"/>
    <w:rsid w:val="009028DB"/>
    <w:rsid w:val="00902D63"/>
    <w:rsid w:val="00902D84"/>
    <w:rsid w:val="00903553"/>
    <w:rsid w:val="00903738"/>
    <w:rsid w:val="00903DB7"/>
    <w:rsid w:val="009040EE"/>
    <w:rsid w:val="009043C2"/>
    <w:rsid w:val="009045A1"/>
    <w:rsid w:val="009046C2"/>
    <w:rsid w:val="00904EF4"/>
    <w:rsid w:val="009052B1"/>
    <w:rsid w:val="009052BF"/>
    <w:rsid w:val="0090530C"/>
    <w:rsid w:val="009055D7"/>
    <w:rsid w:val="0090576B"/>
    <w:rsid w:val="00905E60"/>
    <w:rsid w:val="009067BF"/>
    <w:rsid w:val="00906C90"/>
    <w:rsid w:val="009071EA"/>
    <w:rsid w:val="0090756C"/>
    <w:rsid w:val="00907FDB"/>
    <w:rsid w:val="0091098B"/>
    <w:rsid w:val="00910C3A"/>
    <w:rsid w:val="00911128"/>
    <w:rsid w:val="00911171"/>
    <w:rsid w:val="0091198E"/>
    <w:rsid w:val="009119C0"/>
    <w:rsid w:val="009120B0"/>
    <w:rsid w:val="0091225B"/>
    <w:rsid w:val="009123DD"/>
    <w:rsid w:val="009126A2"/>
    <w:rsid w:val="00912EDE"/>
    <w:rsid w:val="009131B0"/>
    <w:rsid w:val="00913A9D"/>
    <w:rsid w:val="00913ACD"/>
    <w:rsid w:val="00913BEA"/>
    <w:rsid w:val="00914622"/>
    <w:rsid w:val="00914BBF"/>
    <w:rsid w:val="00914C5A"/>
    <w:rsid w:val="00914FFA"/>
    <w:rsid w:val="00915252"/>
    <w:rsid w:val="00915566"/>
    <w:rsid w:val="009155BA"/>
    <w:rsid w:val="0091622B"/>
    <w:rsid w:val="0091644D"/>
    <w:rsid w:val="00916734"/>
    <w:rsid w:val="0091681B"/>
    <w:rsid w:val="0091716B"/>
    <w:rsid w:val="0092061E"/>
    <w:rsid w:val="00920EB1"/>
    <w:rsid w:val="00920FB0"/>
    <w:rsid w:val="009215F4"/>
    <w:rsid w:val="0092193F"/>
    <w:rsid w:val="0092194A"/>
    <w:rsid w:val="00921EED"/>
    <w:rsid w:val="0092200E"/>
    <w:rsid w:val="0092203B"/>
    <w:rsid w:val="00922516"/>
    <w:rsid w:val="00922593"/>
    <w:rsid w:val="00922810"/>
    <w:rsid w:val="00922C7F"/>
    <w:rsid w:val="00923143"/>
    <w:rsid w:val="00923217"/>
    <w:rsid w:val="00923ACD"/>
    <w:rsid w:val="00924102"/>
    <w:rsid w:val="009248F8"/>
    <w:rsid w:val="0092508C"/>
    <w:rsid w:val="00925672"/>
    <w:rsid w:val="00925D3E"/>
    <w:rsid w:val="00925D43"/>
    <w:rsid w:val="00925D49"/>
    <w:rsid w:val="00926BE4"/>
    <w:rsid w:val="00927AD7"/>
    <w:rsid w:val="00927C39"/>
    <w:rsid w:val="009309C6"/>
    <w:rsid w:val="00930AB5"/>
    <w:rsid w:val="00930F6B"/>
    <w:rsid w:val="009316DD"/>
    <w:rsid w:val="0093242B"/>
    <w:rsid w:val="009326B4"/>
    <w:rsid w:val="00932FCA"/>
    <w:rsid w:val="00933B87"/>
    <w:rsid w:val="00934BA1"/>
    <w:rsid w:val="0093508C"/>
    <w:rsid w:val="009351CF"/>
    <w:rsid w:val="009358B3"/>
    <w:rsid w:val="00935FA2"/>
    <w:rsid w:val="009360D1"/>
    <w:rsid w:val="009363B0"/>
    <w:rsid w:val="00937617"/>
    <w:rsid w:val="0093779D"/>
    <w:rsid w:val="009379A6"/>
    <w:rsid w:val="00937C79"/>
    <w:rsid w:val="00937C86"/>
    <w:rsid w:val="00937ECC"/>
    <w:rsid w:val="0094081E"/>
    <w:rsid w:val="00940B77"/>
    <w:rsid w:val="00941725"/>
    <w:rsid w:val="00941D6E"/>
    <w:rsid w:val="009423DC"/>
    <w:rsid w:val="00942407"/>
    <w:rsid w:val="00942488"/>
    <w:rsid w:val="009430AD"/>
    <w:rsid w:val="009434DA"/>
    <w:rsid w:val="00943514"/>
    <w:rsid w:val="00943757"/>
    <w:rsid w:val="00944266"/>
    <w:rsid w:val="00944441"/>
    <w:rsid w:val="00944ABA"/>
    <w:rsid w:val="00944FDC"/>
    <w:rsid w:val="00945315"/>
    <w:rsid w:val="00945336"/>
    <w:rsid w:val="00945F77"/>
    <w:rsid w:val="009461AC"/>
    <w:rsid w:val="00947E0B"/>
    <w:rsid w:val="00950225"/>
    <w:rsid w:val="00950C39"/>
    <w:rsid w:val="00950F59"/>
    <w:rsid w:val="009512EB"/>
    <w:rsid w:val="009513DB"/>
    <w:rsid w:val="00951725"/>
    <w:rsid w:val="009517AD"/>
    <w:rsid w:val="00951E99"/>
    <w:rsid w:val="00951EEE"/>
    <w:rsid w:val="00952676"/>
    <w:rsid w:val="009528EE"/>
    <w:rsid w:val="00952C34"/>
    <w:rsid w:val="0095301A"/>
    <w:rsid w:val="009531C3"/>
    <w:rsid w:val="009531DD"/>
    <w:rsid w:val="00953370"/>
    <w:rsid w:val="009541D5"/>
    <w:rsid w:val="00954241"/>
    <w:rsid w:val="009544B5"/>
    <w:rsid w:val="00954945"/>
    <w:rsid w:val="00955054"/>
    <w:rsid w:val="009550AF"/>
    <w:rsid w:val="00955C31"/>
    <w:rsid w:val="00955C50"/>
    <w:rsid w:val="00955D86"/>
    <w:rsid w:val="0095639E"/>
    <w:rsid w:val="009565A2"/>
    <w:rsid w:val="00956711"/>
    <w:rsid w:val="0095729A"/>
    <w:rsid w:val="00957B67"/>
    <w:rsid w:val="0096015A"/>
    <w:rsid w:val="00960B4A"/>
    <w:rsid w:val="00961BA5"/>
    <w:rsid w:val="00961BFA"/>
    <w:rsid w:val="009621D1"/>
    <w:rsid w:val="00962A2B"/>
    <w:rsid w:val="009632BF"/>
    <w:rsid w:val="00963739"/>
    <w:rsid w:val="00963A4A"/>
    <w:rsid w:val="00963B28"/>
    <w:rsid w:val="00963DB2"/>
    <w:rsid w:val="0096419B"/>
    <w:rsid w:val="00964440"/>
    <w:rsid w:val="00964473"/>
    <w:rsid w:val="00964512"/>
    <w:rsid w:val="00964786"/>
    <w:rsid w:val="00965671"/>
    <w:rsid w:val="00965CD3"/>
    <w:rsid w:val="00966171"/>
    <w:rsid w:val="009665CA"/>
    <w:rsid w:val="00966683"/>
    <w:rsid w:val="00966E9A"/>
    <w:rsid w:val="00966F6D"/>
    <w:rsid w:val="00966FEA"/>
    <w:rsid w:val="009671D1"/>
    <w:rsid w:val="00967395"/>
    <w:rsid w:val="0096750C"/>
    <w:rsid w:val="00970515"/>
    <w:rsid w:val="00970723"/>
    <w:rsid w:val="009708DD"/>
    <w:rsid w:val="00970D58"/>
    <w:rsid w:val="00971356"/>
    <w:rsid w:val="009716EB"/>
    <w:rsid w:val="00971A95"/>
    <w:rsid w:val="00972018"/>
    <w:rsid w:val="00972285"/>
    <w:rsid w:val="00972D6A"/>
    <w:rsid w:val="00973362"/>
    <w:rsid w:val="009736E1"/>
    <w:rsid w:val="00973794"/>
    <w:rsid w:val="009744BF"/>
    <w:rsid w:val="0097516E"/>
    <w:rsid w:val="009753F0"/>
    <w:rsid w:val="0097568D"/>
    <w:rsid w:val="00975FFB"/>
    <w:rsid w:val="00976597"/>
    <w:rsid w:val="009766C8"/>
    <w:rsid w:val="00976CE3"/>
    <w:rsid w:val="00977222"/>
    <w:rsid w:val="00980101"/>
    <w:rsid w:val="0098027E"/>
    <w:rsid w:val="009805C0"/>
    <w:rsid w:val="009813F9"/>
    <w:rsid w:val="00981FAF"/>
    <w:rsid w:val="009825CC"/>
    <w:rsid w:val="00982711"/>
    <w:rsid w:val="00982EE1"/>
    <w:rsid w:val="00982F48"/>
    <w:rsid w:val="00984047"/>
    <w:rsid w:val="00984058"/>
    <w:rsid w:val="0098514D"/>
    <w:rsid w:val="00986011"/>
    <w:rsid w:val="009862A9"/>
    <w:rsid w:val="00986614"/>
    <w:rsid w:val="00986BE1"/>
    <w:rsid w:val="00986C69"/>
    <w:rsid w:val="0098710F"/>
    <w:rsid w:val="0098735B"/>
    <w:rsid w:val="009873E2"/>
    <w:rsid w:val="009876AD"/>
    <w:rsid w:val="009876B0"/>
    <w:rsid w:val="0098783A"/>
    <w:rsid w:val="0099070C"/>
    <w:rsid w:val="00990A9A"/>
    <w:rsid w:val="00990AFD"/>
    <w:rsid w:val="0099140B"/>
    <w:rsid w:val="009915F8"/>
    <w:rsid w:val="009916B5"/>
    <w:rsid w:val="00991800"/>
    <w:rsid w:val="00991DF2"/>
    <w:rsid w:val="00992094"/>
    <w:rsid w:val="009922B7"/>
    <w:rsid w:val="009932C9"/>
    <w:rsid w:val="009933F9"/>
    <w:rsid w:val="0099389A"/>
    <w:rsid w:val="00993FEA"/>
    <w:rsid w:val="009940E5"/>
    <w:rsid w:val="009944E1"/>
    <w:rsid w:val="009945FF"/>
    <w:rsid w:val="00994AB1"/>
    <w:rsid w:val="00995747"/>
    <w:rsid w:val="00995AE6"/>
    <w:rsid w:val="00995FC3"/>
    <w:rsid w:val="00996175"/>
    <w:rsid w:val="009966A2"/>
    <w:rsid w:val="00996C8F"/>
    <w:rsid w:val="0099705A"/>
    <w:rsid w:val="00997AE4"/>
    <w:rsid w:val="009A0199"/>
    <w:rsid w:val="009A03F5"/>
    <w:rsid w:val="009A073A"/>
    <w:rsid w:val="009A0AF0"/>
    <w:rsid w:val="009A0BA3"/>
    <w:rsid w:val="009A0D61"/>
    <w:rsid w:val="009A1195"/>
    <w:rsid w:val="009A15F4"/>
    <w:rsid w:val="009A19F7"/>
    <w:rsid w:val="009A2244"/>
    <w:rsid w:val="009A26A5"/>
    <w:rsid w:val="009A293A"/>
    <w:rsid w:val="009A2CF7"/>
    <w:rsid w:val="009A3213"/>
    <w:rsid w:val="009A3501"/>
    <w:rsid w:val="009A3987"/>
    <w:rsid w:val="009A3B83"/>
    <w:rsid w:val="009A3BD3"/>
    <w:rsid w:val="009A3C1D"/>
    <w:rsid w:val="009A4F77"/>
    <w:rsid w:val="009A524D"/>
    <w:rsid w:val="009A5315"/>
    <w:rsid w:val="009A5589"/>
    <w:rsid w:val="009A5930"/>
    <w:rsid w:val="009A62F6"/>
    <w:rsid w:val="009A63E3"/>
    <w:rsid w:val="009A67CD"/>
    <w:rsid w:val="009A67EA"/>
    <w:rsid w:val="009B0275"/>
    <w:rsid w:val="009B083C"/>
    <w:rsid w:val="009B0937"/>
    <w:rsid w:val="009B0E48"/>
    <w:rsid w:val="009B12EC"/>
    <w:rsid w:val="009B15DE"/>
    <w:rsid w:val="009B19F7"/>
    <w:rsid w:val="009B1C4F"/>
    <w:rsid w:val="009B218F"/>
    <w:rsid w:val="009B2250"/>
    <w:rsid w:val="009B2289"/>
    <w:rsid w:val="009B255F"/>
    <w:rsid w:val="009B302D"/>
    <w:rsid w:val="009B3254"/>
    <w:rsid w:val="009B4453"/>
    <w:rsid w:val="009B4A63"/>
    <w:rsid w:val="009B4AC0"/>
    <w:rsid w:val="009B4BFB"/>
    <w:rsid w:val="009B54EB"/>
    <w:rsid w:val="009B6222"/>
    <w:rsid w:val="009B6BED"/>
    <w:rsid w:val="009B779A"/>
    <w:rsid w:val="009C0717"/>
    <w:rsid w:val="009C1E67"/>
    <w:rsid w:val="009C23E7"/>
    <w:rsid w:val="009C2432"/>
    <w:rsid w:val="009C29C9"/>
    <w:rsid w:val="009C29EE"/>
    <w:rsid w:val="009C2E5C"/>
    <w:rsid w:val="009C3651"/>
    <w:rsid w:val="009C457C"/>
    <w:rsid w:val="009C467C"/>
    <w:rsid w:val="009C4E9D"/>
    <w:rsid w:val="009C51BA"/>
    <w:rsid w:val="009C5EAB"/>
    <w:rsid w:val="009C5F95"/>
    <w:rsid w:val="009C6011"/>
    <w:rsid w:val="009C6213"/>
    <w:rsid w:val="009C644E"/>
    <w:rsid w:val="009C685C"/>
    <w:rsid w:val="009C6C14"/>
    <w:rsid w:val="009C6D56"/>
    <w:rsid w:val="009C7244"/>
    <w:rsid w:val="009C7D2F"/>
    <w:rsid w:val="009D0521"/>
    <w:rsid w:val="009D06C0"/>
    <w:rsid w:val="009D075F"/>
    <w:rsid w:val="009D0946"/>
    <w:rsid w:val="009D0CF6"/>
    <w:rsid w:val="009D0DD9"/>
    <w:rsid w:val="009D0EDF"/>
    <w:rsid w:val="009D0EF9"/>
    <w:rsid w:val="009D1288"/>
    <w:rsid w:val="009D1632"/>
    <w:rsid w:val="009D19C6"/>
    <w:rsid w:val="009D1C6F"/>
    <w:rsid w:val="009D1E45"/>
    <w:rsid w:val="009D32DE"/>
    <w:rsid w:val="009D3506"/>
    <w:rsid w:val="009D3B50"/>
    <w:rsid w:val="009D446A"/>
    <w:rsid w:val="009D4A4B"/>
    <w:rsid w:val="009D4A8E"/>
    <w:rsid w:val="009D4CCD"/>
    <w:rsid w:val="009D4EF5"/>
    <w:rsid w:val="009D51F5"/>
    <w:rsid w:val="009D5772"/>
    <w:rsid w:val="009D58A0"/>
    <w:rsid w:val="009D5B4F"/>
    <w:rsid w:val="009D5C1F"/>
    <w:rsid w:val="009D6005"/>
    <w:rsid w:val="009D62A7"/>
    <w:rsid w:val="009D63A5"/>
    <w:rsid w:val="009D6634"/>
    <w:rsid w:val="009D667E"/>
    <w:rsid w:val="009D7424"/>
    <w:rsid w:val="009D7431"/>
    <w:rsid w:val="009D7525"/>
    <w:rsid w:val="009D7798"/>
    <w:rsid w:val="009D7B2F"/>
    <w:rsid w:val="009E03EE"/>
    <w:rsid w:val="009E066A"/>
    <w:rsid w:val="009E0758"/>
    <w:rsid w:val="009E0B3F"/>
    <w:rsid w:val="009E0D65"/>
    <w:rsid w:val="009E1F17"/>
    <w:rsid w:val="009E253B"/>
    <w:rsid w:val="009E28A1"/>
    <w:rsid w:val="009E2B62"/>
    <w:rsid w:val="009E30F9"/>
    <w:rsid w:val="009E3E75"/>
    <w:rsid w:val="009E43E6"/>
    <w:rsid w:val="009E4760"/>
    <w:rsid w:val="009E5169"/>
    <w:rsid w:val="009E5474"/>
    <w:rsid w:val="009E58A4"/>
    <w:rsid w:val="009E59ED"/>
    <w:rsid w:val="009E6422"/>
    <w:rsid w:val="009E7070"/>
    <w:rsid w:val="009E785D"/>
    <w:rsid w:val="009F0363"/>
    <w:rsid w:val="009F0879"/>
    <w:rsid w:val="009F0BFF"/>
    <w:rsid w:val="009F0CE4"/>
    <w:rsid w:val="009F18CD"/>
    <w:rsid w:val="009F1A64"/>
    <w:rsid w:val="009F1EF9"/>
    <w:rsid w:val="009F1FF8"/>
    <w:rsid w:val="009F217F"/>
    <w:rsid w:val="009F2ACD"/>
    <w:rsid w:val="009F2E71"/>
    <w:rsid w:val="009F3242"/>
    <w:rsid w:val="009F32DA"/>
    <w:rsid w:val="009F34BB"/>
    <w:rsid w:val="009F3ACB"/>
    <w:rsid w:val="009F3D02"/>
    <w:rsid w:val="009F40B4"/>
    <w:rsid w:val="009F4329"/>
    <w:rsid w:val="009F4B96"/>
    <w:rsid w:val="009F4CDD"/>
    <w:rsid w:val="009F5235"/>
    <w:rsid w:val="009F5ECF"/>
    <w:rsid w:val="009F665F"/>
    <w:rsid w:val="009F6EC5"/>
    <w:rsid w:val="00A0043B"/>
    <w:rsid w:val="00A00E95"/>
    <w:rsid w:val="00A011CB"/>
    <w:rsid w:val="00A012EF"/>
    <w:rsid w:val="00A01558"/>
    <w:rsid w:val="00A01622"/>
    <w:rsid w:val="00A01661"/>
    <w:rsid w:val="00A016ED"/>
    <w:rsid w:val="00A01FC1"/>
    <w:rsid w:val="00A022B1"/>
    <w:rsid w:val="00A02A8A"/>
    <w:rsid w:val="00A02BD6"/>
    <w:rsid w:val="00A0358D"/>
    <w:rsid w:val="00A037F8"/>
    <w:rsid w:val="00A03C79"/>
    <w:rsid w:val="00A04401"/>
    <w:rsid w:val="00A04486"/>
    <w:rsid w:val="00A047DC"/>
    <w:rsid w:val="00A049B4"/>
    <w:rsid w:val="00A04CE9"/>
    <w:rsid w:val="00A04D7F"/>
    <w:rsid w:val="00A04ECF"/>
    <w:rsid w:val="00A05572"/>
    <w:rsid w:val="00A057DD"/>
    <w:rsid w:val="00A06420"/>
    <w:rsid w:val="00A0677F"/>
    <w:rsid w:val="00A0694F"/>
    <w:rsid w:val="00A071DF"/>
    <w:rsid w:val="00A07382"/>
    <w:rsid w:val="00A073AB"/>
    <w:rsid w:val="00A07EFB"/>
    <w:rsid w:val="00A10206"/>
    <w:rsid w:val="00A105DD"/>
    <w:rsid w:val="00A105F7"/>
    <w:rsid w:val="00A10C11"/>
    <w:rsid w:val="00A11424"/>
    <w:rsid w:val="00A11481"/>
    <w:rsid w:val="00A12235"/>
    <w:rsid w:val="00A12726"/>
    <w:rsid w:val="00A128E4"/>
    <w:rsid w:val="00A12B22"/>
    <w:rsid w:val="00A13CEA"/>
    <w:rsid w:val="00A140CF"/>
    <w:rsid w:val="00A15313"/>
    <w:rsid w:val="00A1567D"/>
    <w:rsid w:val="00A1632F"/>
    <w:rsid w:val="00A17519"/>
    <w:rsid w:val="00A1796C"/>
    <w:rsid w:val="00A179AE"/>
    <w:rsid w:val="00A206C2"/>
    <w:rsid w:val="00A21287"/>
    <w:rsid w:val="00A21915"/>
    <w:rsid w:val="00A21F6B"/>
    <w:rsid w:val="00A22A0A"/>
    <w:rsid w:val="00A23042"/>
    <w:rsid w:val="00A23119"/>
    <w:rsid w:val="00A236AA"/>
    <w:rsid w:val="00A23BD4"/>
    <w:rsid w:val="00A23F5E"/>
    <w:rsid w:val="00A23FA9"/>
    <w:rsid w:val="00A23FAD"/>
    <w:rsid w:val="00A243D7"/>
    <w:rsid w:val="00A248B4"/>
    <w:rsid w:val="00A2549C"/>
    <w:rsid w:val="00A255BF"/>
    <w:rsid w:val="00A25A04"/>
    <w:rsid w:val="00A25A09"/>
    <w:rsid w:val="00A25CC3"/>
    <w:rsid w:val="00A25EB0"/>
    <w:rsid w:val="00A268EA"/>
    <w:rsid w:val="00A26A63"/>
    <w:rsid w:val="00A30011"/>
    <w:rsid w:val="00A30423"/>
    <w:rsid w:val="00A304EF"/>
    <w:rsid w:val="00A30A24"/>
    <w:rsid w:val="00A30E7C"/>
    <w:rsid w:val="00A317DA"/>
    <w:rsid w:val="00A31A8E"/>
    <w:rsid w:val="00A31F6D"/>
    <w:rsid w:val="00A321FE"/>
    <w:rsid w:val="00A324C6"/>
    <w:rsid w:val="00A32874"/>
    <w:rsid w:val="00A32997"/>
    <w:rsid w:val="00A32D04"/>
    <w:rsid w:val="00A32EE9"/>
    <w:rsid w:val="00A33A06"/>
    <w:rsid w:val="00A33B87"/>
    <w:rsid w:val="00A348BA"/>
    <w:rsid w:val="00A3534C"/>
    <w:rsid w:val="00A355E5"/>
    <w:rsid w:val="00A356B0"/>
    <w:rsid w:val="00A359C5"/>
    <w:rsid w:val="00A35BB2"/>
    <w:rsid w:val="00A35F0B"/>
    <w:rsid w:val="00A36B85"/>
    <w:rsid w:val="00A36F56"/>
    <w:rsid w:val="00A373CD"/>
    <w:rsid w:val="00A374E4"/>
    <w:rsid w:val="00A40CDD"/>
    <w:rsid w:val="00A411E5"/>
    <w:rsid w:val="00A419BD"/>
    <w:rsid w:val="00A41A91"/>
    <w:rsid w:val="00A4482E"/>
    <w:rsid w:val="00A44B23"/>
    <w:rsid w:val="00A451E4"/>
    <w:rsid w:val="00A45459"/>
    <w:rsid w:val="00A4554E"/>
    <w:rsid w:val="00A45940"/>
    <w:rsid w:val="00A45FE6"/>
    <w:rsid w:val="00A4637E"/>
    <w:rsid w:val="00A463BB"/>
    <w:rsid w:val="00A4642C"/>
    <w:rsid w:val="00A464A7"/>
    <w:rsid w:val="00A47115"/>
    <w:rsid w:val="00A4723B"/>
    <w:rsid w:val="00A47451"/>
    <w:rsid w:val="00A47771"/>
    <w:rsid w:val="00A47929"/>
    <w:rsid w:val="00A47CB4"/>
    <w:rsid w:val="00A47FA9"/>
    <w:rsid w:val="00A50B76"/>
    <w:rsid w:val="00A50BFE"/>
    <w:rsid w:val="00A5134A"/>
    <w:rsid w:val="00A516C8"/>
    <w:rsid w:val="00A51B0D"/>
    <w:rsid w:val="00A5263A"/>
    <w:rsid w:val="00A52B53"/>
    <w:rsid w:val="00A52BFA"/>
    <w:rsid w:val="00A52C76"/>
    <w:rsid w:val="00A53330"/>
    <w:rsid w:val="00A535AF"/>
    <w:rsid w:val="00A53CB1"/>
    <w:rsid w:val="00A53EA6"/>
    <w:rsid w:val="00A54027"/>
    <w:rsid w:val="00A54271"/>
    <w:rsid w:val="00A5446C"/>
    <w:rsid w:val="00A54BA2"/>
    <w:rsid w:val="00A54E41"/>
    <w:rsid w:val="00A54E57"/>
    <w:rsid w:val="00A5572A"/>
    <w:rsid w:val="00A55ADF"/>
    <w:rsid w:val="00A562DA"/>
    <w:rsid w:val="00A565CE"/>
    <w:rsid w:val="00A56A79"/>
    <w:rsid w:val="00A56B3D"/>
    <w:rsid w:val="00A56DBE"/>
    <w:rsid w:val="00A56E3A"/>
    <w:rsid w:val="00A600C2"/>
    <w:rsid w:val="00A6067B"/>
    <w:rsid w:val="00A6089B"/>
    <w:rsid w:val="00A60AF3"/>
    <w:rsid w:val="00A60B5A"/>
    <w:rsid w:val="00A613D8"/>
    <w:rsid w:val="00A61617"/>
    <w:rsid w:val="00A61779"/>
    <w:rsid w:val="00A61F33"/>
    <w:rsid w:val="00A6236E"/>
    <w:rsid w:val="00A630FC"/>
    <w:rsid w:val="00A63445"/>
    <w:rsid w:val="00A634F6"/>
    <w:rsid w:val="00A6356C"/>
    <w:rsid w:val="00A64C76"/>
    <w:rsid w:val="00A64CA6"/>
    <w:rsid w:val="00A64D33"/>
    <w:rsid w:val="00A658DE"/>
    <w:rsid w:val="00A65B95"/>
    <w:rsid w:val="00A66F01"/>
    <w:rsid w:val="00A67523"/>
    <w:rsid w:val="00A67628"/>
    <w:rsid w:val="00A70095"/>
    <w:rsid w:val="00A70139"/>
    <w:rsid w:val="00A7013F"/>
    <w:rsid w:val="00A70B97"/>
    <w:rsid w:val="00A70F0C"/>
    <w:rsid w:val="00A71307"/>
    <w:rsid w:val="00A7137F"/>
    <w:rsid w:val="00A714DC"/>
    <w:rsid w:val="00A71AE8"/>
    <w:rsid w:val="00A72821"/>
    <w:rsid w:val="00A746EC"/>
    <w:rsid w:val="00A74D1C"/>
    <w:rsid w:val="00A74FCF"/>
    <w:rsid w:val="00A752AD"/>
    <w:rsid w:val="00A7602F"/>
    <w:rsid w:val="00A76715"/>
    <w:rsid w:val="00A76DF3"/>
    <w:rsid w:val="00A77397"/>
    <w:rsid w:val="00A77517"/>
    <w:rsid w:val="00A77DCB"/>
    <w:rsid w:val="00A77F3E"/>
    <w:rsid w:val="00A806C9"/>
    <w:rsid w:val="00A80EC6"/>
    <w:rsid w:val="00A814AB"/>
    <w:rsid w:val="00A8195C"/>
    <w:rsid w:val="00A81DC9"/>
    <w:rsid w:val="00A81FBA"/>
    <w:rsid w:val="00A820E0"/>
    <w:rsid w:val="00A82733"/>
    <w:rsid w:val="00A82B64"/>
    <w:rsid w:val="00A835C8"/>
    <w:rsid w:val="00A8401B"/>
    <w:rsid w:val="00A841CC"/>
    <w:rsid w:val="00A84C47"/>
    <w:rsid w:val="00A85436"/>
    <w:rsid w:val="00A85917"/>
    <w:rsid w:val="00A859FE"/>
    <w:rsid w:val="00A85A39"/>
    <w:rsid w:val="00A85C9B"/>
    <w:rsid w:val="00A85EE5"/>
    <w:rsid w:val="00A85F99"/>
    <w:rsid w:val="00A8681B"/>
    <w:rsid w:val="00A869F4"/>
    <w:rsid w:val="00A86B76"/>
    <w:rsid w:val="00A86C7E"/>
    <w:rsid w:val="00A87434"/>
    <w:rsid w:val="00A877B9"/>
    <w:rsid w:val="00A87EE7"/>
    <w:rsid w:val="00A901D2"/>
    <w:rsid w:val="00A9067B"/>
    <w:rsid w:val="00A9102C"/>
    <w:rsid w:val="00A91195"/>
    <w:rsid w:val="00A92941"/>
    <w:rsid w:val="00A933CB"/>
    <w:rsid w:val="00A93C68"/>
    <w:rsid w:val="00A93EEB"/>
    <w:rsid w:val="00A94CE6"/>
    <w:rsid w:val="00A94F09"/>
    <w:rsid w:val="00A9580C"/>
    <w:rsid w:val="00A95BED"/>
    <w:rsid w:val="00A95E5D"/>
    <w:rsid w:val="00A95ECC"/>
    <w:rsid w:val="00A9641E"/>
    <w:rsid w:val="00A967AF"/>
    <w:rsid w:val="00A96896"/>
    <w:rsid w:val="00A96C1E"/>
    <w:rsid w:val="00A96DBE"/>
    <w:rsid w:val="00A9757A"/>
    <w:rsid w:val="00A976AD"/>
    <w:rsid w:val="00A97DD6"/>
    <w:rsid w:val="00AA02BC"/>
    <w:rsid w:val="00AA140E"/>
    <w:rsid w:val="00AA15B5"/>
    <w:rsid w:val="00AA164D"/>
    <w:rsid w:val="00AA16A8"/>
    <w:rsid w:val="00AA19AA"/>
    <w:rsid w:val="00AA19DB"/>
    <w:rsid w:val="00AA2EEF"/>
    <w:rsid w:val="00AA3140"/>
    <w:rsid w:val="00AA34EE"/>
    <w:rsid w:val="00AA35C6"/>
    <w:rsid w:val="00AA4C2B"/>
    <w:rsid w:val="00AA4E5A"/>
    <w:rsid w:val="00AA4EEA"/>
    <w:rsid w:val="00AA562A"/>
    <w:rsid w:val="00AA5718"/>
    <w:rsid w:val="00AA5752"/>
    <w:rsid w:val="00AA57B3"/>
    <w:rsid w:val="00AA668C"/>
    <w:rsid w:val="00AA68CA"/>
    <w:rsid w:val="00AA6A55"/>
    <w:rsid w:val="00AA7659"/>
    <w:rsid w:val="00AA7BD8"/>
    <w:rsid w:val="00AA7C39"/>
    <w:rsid w:val="00AB0506"/>
    <w:rsid w:val="00AB0664"/>
    <w:rsid w:val="00AB0C9A"/>
    <w:rsid w:val="00AB0D00"/>
    <w:rsid w:val="00AB18AC"/>
    <w:rsid w:val="00AB235E"/>
    <w:rsid w:val="00AB2712"/>
    <w:rsid w:val="00AB272F"/>
    <w:rsid w:val="00AB2B28"/>
    <w:rsid w:val="00AB3474"/>
    <w:rsid w:val="00AB3B79"/>
    <w:rsid w:val="00AB41FB"/>
    <w:rsid w:val="00AB4402"/>
    <w:rsid w:val="00AB4764"/>
    <w:rsid w:val="00AB4858"/>
    <w:rsid w:val="00AB4CAE"/>
    <w:rsid w:val="00AB4CB4"/>
    <w:rsid w:val="00AB5031"/>
    <w:rsid w:val="00AB6028"/>
    <w:rsid w:val="00AB6098"/>
    <w:rsid w:val="00AB67F5"/>
    <w:rsid w:val="00AB6CE7"/>
    <w:rsid w:val="00AB7009"/>
    <w:rsid w:val="00AB761C"/>
    <w:rsid w:val="00AB76A2"/>
    <w:rsid w:val="00AB76EC"/>
    <w:rsid w:val="00AB77A6"/>
    <w:rsid w:val="00AB793E"/>
    <w:rsid w:val="00AB795F"/>
    <w:rsid w:val="00AB7B75"/>
    <w:rsid w:val="00AC034B"/>
    <w:rsid w:val="00AC03DD"/>
    <w:rsid w:val="00AC0E25"/>
    <w:rsid w:val="00AC0FB5"/>
    <w:rsid w:val="00AC1230"/>
    <w:rsid w:val="00AC1889"/>
    <w:rsid w:val="00AC196E"/>
    <w:rsid w:val="00AC29C9"/>
    <w:rsid w:val="00AC2B25"/>
    <w:rsid w:val="00AC2C6C"/>
    <w:rsid w:val="00AC33FA"/>
    <w:rsid w:val="00AC35B7"/>
    <w:rsid w:val="00AC3974"/>
    <w:rsid w:val="00AC3CEA"/>
    <w:rsid w:val="00AC43E1"/>
    <w:rsid w:val="00AC4588"/>
    <w:rsid w:val="00AC47F0"/>
    <w:rsid w:val="00AC47FF"/>
    <w:rsid w:val="00AC4AFD"/>
    <w:rsid w:val="00AC522D"/>
    <w:rsid w:val="00AC5315"/>
    <w:rsid w:val="00AC5695"/>
    <w:rsid w:val="00AC593D"/>
    <w:rsid w:val="00AC5B19"/>
    <w:rsid w:val="00AC5B48"/>
    <w:rsid w:val="00AC6308"/>
    <w:rsid w:val="00AC665E"/>
    <w:rsid w:val="00AC6662"/>
    <w:rsid w:val="00AC712F"/>
    <w:rsid w:val="00AC764A"/>
    <w:rsid w:val="00AC78D7"/>
    <w:rsid w:val="00AD02EA"/>
    <w:rsid w:val="00AD03CA"/>
    <w:rsid w:val="00AD0463"/>
    <w:rsid w:val="00AD0735"/>
    <w:rsid w:val="00AD151D"/>
    <w:rsid w:val="00AD1BB6"/>
    <w:rsid w:val="00AD1E4D"/>
    <w:rsid w:val="00AD1E91"/>
    <w:rsid w:val="00AD2162"/>
    <w:rsid w:val="00AD2E0A"/>
    <w:rsid w:val="00AD3241"/>
    <w:rsid w:val="00AD3AD3"/>
    <w:rsid w:val="00AD3D45"/>
    <w:rsid w:val="00AD3D95"/>
    <w:rsid w:val="00AD3FDB"/>
    <w:rsid w:val="00AD43DA"/>
    <w:rsid w:val="00AD56CF"/>
    <w:rsid w:val="00AD6BC9"/>
    <w:rsid w:val="00AD6F92"/>
    <w:rsid w:val="00AD7341"/>
    <w:rsid w:val="00AE012C"/>
    <w:rsid w:val="00AE017C"/>
    <w:rsid w:val="00AE0924"/>
    <w:rsid w:val="00AE0953"/>
    <w:rsid w:val="00AE110E"/>
    <w:rsid w:val="00AE165A"/>
    <w:rsid w:val="00AE1AB7"/>
    <w:rsid w:val="00AE1C41"/>
    <w:rsid w:val="00AE2157"/>
    <w:rsid w:val="00AE2174"/>
    <w:rsid w:val="00AE24F0"/>
    <w:rsid w:val="00AE25FD"/>
    <w:rsid w:val="00AE2723"/>
    <w:rsid w:val="00AE36EE"/>
    <w:rsid w:val="00AE3763"/>
    <w:rsid w:val="00AE4306"/>
    <w:rsid w:val="00AE4AD9"/>
    <w:rsid w:val="00AE5888"/>
    <w:rsid w:val="00AE5BC7"/>
    <w:rsid w:val="00AE5D09"/>
    <w:rsid w:val="00AE5DD9"/>
    <w:rsid w:val="00AE5DF8"/>
    <w:rsid w:val="00AE6218"/>
    <w:rsid w:val="00AE648C"/>
    <w:rsid w:val="00AE6F01"/>
    <w:rsid w:val="00AE76C5"/>
    <w:rsid w:val="00AE79BA"/>
    <w:rsid w:val="00AE7DD1"/>
    <w:rsid w:val="00AE7E49"/>
    <w:rsid w:val="00AF03FD"/>
    <w:rsid w:val="00AF0DE9"/>
    <w:rsid w:val="00AF0FFD"/>
    <w:rsid w:val="00AF11B3"/>
    <w:rsid w:val="00AF1F4E"/>
    <w:rsid w:val="00AF2021"/>
    <w:rsid w:val="00AF208C"/>
    <w:rsid w:val="00AF269A"/>
    <w:rsid w:val="00AF2839"/>
    <w:rsid w:val="00AF2EAE"/>
    <w:rsid w:val="00AF3667"/>
    <w:rsid w:val="00AF3C73"/>
    <w:rsid w:val="00AF40DA"/>
    <w:rsid w:val="00AF411B"/>
    <w:rsid w:val="00AF4132"/>
    <w:rsid w:val="00AF41E2"/>
    <w:rsid w:val="00AF47CE"/>
    <w:rsid w:val="00AF49D5"/>
    <w:rsid w:val="00AF4B02"/>
    <w:rsid w:val="00AF4CA6"/>
    <w:rsid w:val="00AF4E76"/>
    <w:rsid w:val="00AF5417"/>
    <w:rsid w:val="00AF5589"/>
    <w:rsid w:val="00AF5B38"/>
    <w:rsid w:val="00AF6157"/>
    <w:rsid w:val="00AF6378"/>
    <w:rsid w:val="00AF64A5"/>
    <w:rsid w:val="00AF6B3D"/>
    <w:rsid w:val="00AF6FAE"/>
    <w:rsid w:val="00AF75D3"/>
    <w:rsid w:val="00B000C7"/>
    <w:rsid w:val="00B002BA"/>
    <w:rsid w:val="00B00B86"/>
    <w:rsid w:val="00B016A2"/>
    <w:rsid w:val="00B01B9C"/>
    <w:rsid w:val="00B0216C"/>
    <w:rsid w:val="00B02640"/>
    <w:rsid w:val="00B0293C"/>
    <w:rsid w:val="00B0302F"/>
    <w:rsid w:val="00B037B3"/>
    <w:rsid w:val="00B037C6"/>
    <w:rsid w:val="00B03D11"/>
    <w:rsid w:val="00B04F25"/>
    <w:rsid w:val="00B0517E"/>
    <w:rsid w:val="00B0548D"/>
    <w:rsid w:val="00B05941"/>
    <w:rsid w:val="00B05B84"/>
    <w:rsid w:val="00B068B5"/>
    <w:rsid w:val="00B06948"/>
    <w:rsid w:val="00B06BA3"/>
    <w:rsid w:val="00B06D05"/>
    <w:rsid w:val="00B06EB4"/>
    <w:rsid w:val="00B071A6"/>
    <w:rsid w:val="00B07204"/>
    <w:rsid w:val="00B10812"/>
    <w:rsid w:val="00B10858"/>
    <w:rsid w:val="00B10A23"/>
    <w:rsid w:val="00B10BD4"/>
    <w:rsid w:val="00B10CE3"/>
    <w:rsid w:val="00B10E0D"/>
    <w:rsid w:val="00B11527"/>
    <w:rsid w:val="00B11768"/>
    <w:rsid w:val="00B11D34"/>
    <w:rsid w:val="00B12405"/>
    <w:rsid w:val="00B1289D"/>
    <w:rsid w:val="00B12A3C"/>
    <w:rsid w:val="00B12C15"/>
    <w:rsid w:val="00B136CD"/>
    <w:rsid w:val="00B1385D"/>
    <w:rsid w:val="00B1455B"/>
    <w:rsid w:val="00B146A3"/>
    <w:rsid w:val="00B14927"/>
    <w:rsid w:val="00B14A7A"/>
    <w:rsid w:val="00B14DF7"/>
    <w:rsid w:val="00B14F7E"/>
    <w:rsid w:val="00B14FF8"/>
    <w:rsid w:val="00B1516E"/>
    <w:rsid w:val="00B154D7"/>
    <w:rsid w:val="00B15619"/>
    <w:rsid w:val="00B1601C"/>
    <w:rsid w:val="00B1669F"/>
    <w:rsid w:val="00B1673A"/>
    <w:rsid w:val="00B1753A"/>
    <w:rsid w:val="00B17835"/>
    <w:rsid w:val="00B17934"/>
    <w:rsid w:val="00B17C33"/>
    <w:rsid w:val="00B20B3D"/>
    <w:rsid w:val="00B21AF1"/>
    <w:rsid w:val="00B21B80"/>
    <w:rsid w:val="00B21C4C"/>
    <w:rsid w:val="00B220CE"/>
    <w:rsid w:val="00B22169"/>
    <w:rsid w:val="00B2250A"/>
    <w:rsid w:val="00B225BF"/>
    <w:rsid w:val="00B22786"/>
    <w:rsid w:val="00B22F13"/>
    <w:rsid w:val="00B23DCF"/>
    <w:rsid w:val="00B23E18"/>
    <w:rsid w:val="00B247BA"/>
    <w:rsid w:val="00B247C5"/>
    <w:rsid w:val="00B24E3A"/>
    <w:rsid w:val="00B25F6E"/>
    <w:rsid w:val="00B2649D"/>
    <w:rsid w:val="00B268F7"/>
    <w:rsid w:val="00B26970"/>
    <w:rsid w:val="00B26BA6"/>
    <w:rsid w:val="00B26D49"/>
    <w:rsid w:val="00B27464"/>
    <w:rsid w:val="00B2781C"/>
    <w:rsid w:val="00B27B2C"/>
    <w:rsid w:val="00B27FB9"/>
    <w:rsid w:val="00B30037"/>
    <w:rsid w:val="00B3049F"/>
    <w:rsid w:val="00B30E14"/>
    <w:rsid w:val="00B32099"/>
    <w:rsid w:val="00B32263"/>
    <w:rsid w:val="00B3294C"/>
    <w:rsid w:val="00B3315E"/>
    <w:rsid w:val="00B331B4"/>
    <w:rsid w:val="00B33497"/>
    <w:rsid w:val="00B334DB"/>
    <w:rsid w:val="00B33CDE"/>
    <w:rsid w:val="00B33DBF"/>
    <w:rsid w:val="00B3419D"/>
    <w:rsid w:val="00B34377"/>
    <w:rsid w:val="00B3484D"/>
    <w:rsid w:val="00B3507A"/>
    <w:rsid w:val="00B35493"/>
    <w:rsid w:val="00B359CF"/>
    <w:rsid w:val="00B35A30"/>
    <w:rsid w:val="00B3634D"/>
    <w:rsid w:val="00B36A5F"/>
    <w:rsid w:val="00B36D46"/>
    <w:rsid w:val="00B36F19"/>
    <w:rsid w:val="00B37757"/>
    <w:rsid w:val="00B3777B"/>
    <w:rsid w:val="00B377C8"/>
    <w:rsid w:val="00B37B35"/>
    <w:rsid w:val="00B40304"/>
    <w:rsid w:val="00B40385"/>
    <w:rsid w:val="00B40626"/>
    <w:rsid w:val="00B409BA"/>
    <w:rsid w:val="00B41D3C"/>
    <w:rsid w:val="00B41E13"/>
    <w:rsid w:val="00B4224E"/>
    <w:rsid w:val="00B422EB"/>
    <w:rsid w:val="00B42D66"/>
    <w:rsid w:val="00B42E0D"/>
    <w:rsid w:val="00B43229"/>
    <w:rsid w:val="00B4380E"/>
    <w:rsid w:val="00B438C5"/>
    <w:rsid w:val="00B43F3C"/>
    <w:rsid w:val="00B43F9C"/>
    <w:rsid w:val="00B44222"/>
    <w:rsid w:val="00B443E8"/>
    <w:rsid w:val="00B444AB"/>
    <w:rsid w:val="00B44619"/>
    <w:rsid w:val="00B44A5F"/>
    <w:rsid w:val="00B44E20"/>
    <w:rsid w:val="00B45B4F"/>
    <w:rsid w:val="00B45D45"/>
    <w:rsid w:val="00B46115"/>
    <w:rsid w:val="00B46511"/>
    <w:rsid w:val="00B46998"/>
    <w:rsid w:val="00B469F0"/>
    <w:rsid w:val="00B46FBE"/>
    <w:rsid w:val="00B47513"/>
    <w:rsid w:val="00B50458"/>
    <w:rsid w:val="00B50BE4"/>
    <w:rsid w:val="00B50ED2"/>
    <w:rsid w:val="00B51100"/>
    <w:rsid w:val="00B512B8"/>
    <w:rsid w:val="00B519B6"/>
    <w:rsid w:val="00B51DF4"/>
    <w:rsid w:val="00B52396"/>
    <w:rsid w:val="00B52E43"/>
    <w:rsid w:val="00B54389"/>
    <w:rsid w:val="00B54448"/>
    <w:rsid w:val="00B549A5"/>
    <w:rsid w:val="00B54ADD"/>
    <w:rsid w:val="00B54CAA"/>
    <w:rsid w:val="00B55332"/>
    <w:rsid w:val="00B56543"/>
    <w:rsid w:val="00B56587"/>
    <w:rsid w:val="00B56AC5"/>
    <w:rsid w:val="00B57B21"/>
    <w:rsid w:val="00B57CFC"/>
    <w:rsid w:val="00B57D7E"/>
    <w:rsid w:val="00B607D8"/>
    <w:rsid w:val="00B60D09"/>
    <w:rsid w:val="00B60D55"/>
    <w:rsid w:val="00B61278"/>
    <w:rsid w:val="00B618FF"/>
    <w:rsid w:val="00B619D9"/>
    <w:rsid w:val="00B61CE5"/>
    <w:rsid w:val="00B62198"/>
    <w:rsid w:val="00B6242E"/>
    <w:rsid w:val="00B6266D"/>
    <w:rsid w:val="00B62810"/>
    <w:rsid w:val="00B62A48"/>
    <w:rsid w:val="00B62B49"/>
    <w:rsid w:val="00B62BBC"/>
    <w:rsid w:val="00B62E28"/>
    <w:rsid w:val="00B632CA"/>
    <w:rsid w:val="00B639F5"/>
    <w:rsid w:val="00B63A5F"/>
    <w:rsid w:val="00B63E39"/>
    <w:rsid w:val="00B642E9"/>
    <w:rsid w:val="00B6563B"/>
    <w:rsid w:val="00B65768"/>
    <w:rsid w:val="00B65F64"/>
    <w:rsid w:val="00B663A1"/>
    <w:rsid w:val="00B66561"/>
    <w:rsid w:val="00B66737"/>
    <w:rsid w:val="00B66DF2"/>
    <w:rsid w:val="00B6779F"/>
    <w:rsid w:val="00B67D77"/>
    <w:rsid w:val="00B67F77"/>
    <w:rsid w:val="00B704BD"/>
    <w:rsid w:val="00B70568"/>
    <w:rsid w:val="00B70583"/>
    <w:rsid w:val="00B70814"/>
    <w:rsid w:val="00B70C48"/>
    <w:rsid w:val="00B716BC"/>
    <w:rsid w:val="00B71AAD"/>
    <w:rsid w:val="00B71FB0"/>
    <w:rsid w:val="00B724BA"/>
    <w:rsid w:val="00B728F4"/>
    <w:rsid w:val="00B73CE8"/>
    <w:rsid w:val="00B741FC"/>
    <w:rsid w:val="00B7441E"/>
    <w:rsid w:val="00B74A95"/>
    <w:rsid w:val="00B74CD5"/>
    <w:rsid w:val="00B74FC1"/>
    <w:rsid w:val="00B755E0"/>
    <w:rsid w:val="00B7560A"/>
    <w:rsid w:val="00B75624"/>
    <w:rsid w:val="00B75632"/>
    <w:rsid w:val="00B76042"/>
    <w:rsid w:val="00B76288"/>
    <w:rsid w:val="00B76BBD"/>
    <w:rsid w:val="00B76ECE"/>
    <w:rsid w:val="00B7742A"/>
    <w:rsid w:val="00B77839"/>
    <w:rsid w:val="00B8024E"/>
    <w:rsid w:val="00B803DD"/>
    <w:rsid w:val="00B80447"/>
    <w:rsid w:val="00B8046A"/>
    <w:rsid w:val="00B80A4D"/>
    <w:rsid w:val="00B80C14"/>
    <w:rsid w:val="00B8134E"/>
    <w:rsid w:val="00B81D7C"/>
    <w:rsid w:val="00B822ED"/>
    <w:rsid w:val="00B82FAD"/>
    <w:rsid w:val="00B83021"/>
    <w:rsid w:val="00B832DE"/>
    <w:rsid w:val="00B83320"/>
    <w:rsid w:val="00B84138"/>
    <w:rsid w:val="00B8420E"/>
    <w:rsid w:val="00B84483"/>
    <w:rsid w:val="00B847CA"/>
    <w:rsid w:val="00B84A08"/>
    <w:rsid w:val="00B84F60"/>
    <w:rsid w:val="00B85001"/>
    <w:rsid w:val="00B8594B"/>
    <w:rsid w:val="00B85C43"/>
    <w:rsid w:val="00B85D96"/>
    <w:rsid w:val="00B865B8"/>
    <w:rsid w:val="00B865DE"/>
    <w:rsid w:val="00B8681A"/>
    <w:rsid w:val="00B869C1"/>
    <w:rsid w:val="00B86B0A"/>
    <w:rsid w:val="00B86CD6"/>
    <w:rsid w:val="00B86FF0"/>
    <w:rsid w:val="00B8705F"/>
    <w:rsid w:val="00B874BE"/>
    <w:rsid w:val="00B87555"/>
    <w:rsid w:val="00B875D9"/>
    <w:rsid w:val="00B87E1E"/>
    <w:rsid w:val="00B9000E"/>
    <w:rsid w:val="00B90276"/>
    <w:rsid w:val="00B90FD1"/>
    <w:rsid w:val="00B91934"/>
    <w:rsid w:val="00B9280E"/>
    <w:rsid w:val="00B92BF2"/>
    <w:rsid w:val="00B93243"/>
    <w:rsid w:val="00B935A6"/>
    <w:rsid w:val="00B9414B"/>
    <w:rsid w:val="00B944F9"/>
    <w:rsid w:val="00B94990"/>
    <w:rsid w:val="00B94C7A"/>
    <w:rsid w:val="00B95372"/>
    <w:rsid w:val="00B95765"/>
    <w:rsid w:val="00B95959"/>
    <w:rsid w:val="00B962F7"/>
    <w:rsid w:val="00B96BA1"/>
    <w:rsid w:val="00B96DB2"/>
    <w:rsid w:val="00B97115"/>
    <w:rsid w:val="00B97FBC"/>
    <w:rsid w:val="00BA01C0"/>
    <w:rsid w:val="00BA0A2B"/>
    <w:rsid w:val="00BA0C32"/>
    <w:rsid w:val="00BA0EC4"/>
    <w:rsid w:val="00BA1238"/>
    <w:rsid w:val="00BA193F"/>
    <w:rsid w:val="00BA1A96"/>
    <w:rsid w:val="00BA1E17"/>
    <w:rsid w:val="00BA28CA"/>
    <w:rsid w:val="00BA2C90"/>
    <w:rsid w:val="00BA31AF"/>
    <w:rsid w:val="00BA3354"/>
    <w:rsid w:val="00BA33B5"/>
    <w:rsid w:val="00BA35B2"/>
    <w:rsid w:val="00BA399E"/>
    <w:rsid w:val="00BA3E61"/>
    <w:rsid w:val="00BA4339"/>
    <w:rsid w:val="00BA52A7"/>
    <w:rsid w:val="00BA546E"/>
    <w:rsid w:val="00BA5A15"/>
    <w:rsid w:val="00BA5B9D"/>
    <w:rsid w:val="00BA5D42"/>
    <w:rsid w:val="00BA5F26"/>
    <w:rsid w:val="00BA6235"/>
    <w:rsid w:val="00BA636B"/>
    <w:rsid w:val="00BA6DD5"/>
    <w:rsid w:val="00BA7034"/>
    <w:rsid w:val="00BA71CD"/>
    <w:rsid w:val="00BA71E9"/>
    <w:rsid w:val="00BA7B89"/>
    <w:rsid w:val="00BA7E2D"/>
    <w:rsid w:val="00BB0510"/>
    <w:rsid w:val="00BB0853"/>
    <w:rsid w:val="00BB0934"/>
    <w:rsid w:val="00BB0989"/>
    <w:rsid w:val="00BB1260"/>
    <w:rsid w:val="00BB142D"/>
    <w:rsid w:val="00BB2499"/>
    <w:rsid w:val="00BB2648"/>
    <w:rsid w:val="00BB2C64"/>
    <w:rsid w:val="00BB2FE4"/>
    <w:rsid w:val="00BB3150"/>
    <w:rsid w:val="00BB3938"/>
    <w:rsid w:val="00BB404B"/>
    <w:rsid w:val="00BB522E"/>
    <w:rsid w:val="00BB5384"/>
    <w:rsid w:val="00BB5833"/>
    <w:rsid w:val="00BB5A96"/>
    <w:rsid w:val="00BB6406"/>
    <w:rsid w:val="00BB6498"/>
    <w:rsid w:val="00BB6AA7"/>
    <w:rsid w:val="00BB6EE6"/>
    <w:rsid w:val="00BB7370"/>
    <w:rsid w:val="00BC074C"/>
    <w:rsid w:val="00BC07DD"/>
    <w:rsid w:val="00BC0A30"/>
    <w:rsid w:val="00BC0D00"/>
    <w:rsid w:val="00BC0EC9"/>
    <w:rsid w:val="00BC0F23"/>
    <w:rsid w:val="00BC1BCA"/>
    <w:rsid w:val="00BC1EFE"/>
    <w:rsid w:val="00BC2047"/>
    <w:rsid w:val="00BC2375"/>
    <w:rsid w:val="00BC2D8B"/>
    <w:rsid w:val="00BC2E31"/>
    <w:rsid w:val="00BC315B"/>
    <w:rsid w:val="00BC3E5C"/>
    <w:rsid w:val="00BC471A"/>
    <w:rsid w:val="00BC49DB"/>
    <w:rsid w:val="00BC4C72"/>
    <w:rsid w:val="00BC54D0"/>
    <w:rsid w:val="00BC6141"/>
    <w:rsid w:val="00BC6A8B"/>
    <w:rsid w:val="00BC71CE"/>
    <w:rsid w:val="00BC7616"/>
    <w:rsid w:val="00BC7747"/>
    <w:rsid w:val="00BD0004"/>
    <w:rsid w:val="00BD027C"/>
    <w:rsid w:val="00BD052E"/>
    <w:rsid w:val="00BD061B"/>
    <w:rsid w:val="00BD063B"/>
    <w:rsid w:val="00BD0CAB"/>
    <w:rsid w:val="00BD0E9A"/>
    <w:rsid w:val="00BD0EB2"/>
    <w:rsid w:val="00BD0FC8"/>
    <w:rsid w:val="00BD10F9"/>
    <w:rsid w:val="00BD1DFF"/>
    <w:rsid w:val="00BD21FF"/>
    <w:rsid w:val="00BD22EC"/>
    <w:rsid w:val="00BD29C9"/>
    <w:rsid w:val="00BD2B63"/>
    <w:rsid w:val="00BD2C73"/>
    <w:rsid w:val="00BD2DE5"/>
    <w:rsid w:val="00BD32D2"/>
    <w:rsid w:val="00BD3944"/>
    <w:rsid w:val="00BD3A23"/>
    <w:rsid w:val="00BD4469"/>
    <w:rsid w:val="00BD49E5"/>
    <w:rsid w:val="00BD4A03"/>
    <w:rsid w:val="00BD4D54"/>
    <w:rsid w:val="00BD59C8"/>
    <w:rsid w:val="00BD5A84"/>
    <w:rsid w:val="00BD5D7A"/>
    <w:rsid w:val="00BD5F06"/>
    <w:rsid w:val="00BD61B9"/>
    <w:rsid w:val="00BD6D25"/>
    <w:rsid w:val="00BD750B"/>
    <w:rsid w:val="00BD79F0"/>
    <w:rsid w:val="00BE0193"/>
    <w:rsid w:val="00BE0724"/>
    <w:rsid w:val="00BE09CD"/>
    <w:rsid w:val="00BE0E0F"/>
    <w:rsid w:val="00BE12BE"/>
    <w:rsid w:val="00BE13CF"/>
    <w:rsid w:val="00BE1685"/>
    <w:rsid w:val="00BE1C81"/>
    <w:rsid w:val="00BE1C86"/>
    <w:rsid w:val="00BE1F3D"/>
    <w:rsid w:val="00BE21CA"/>
    <w:rsid w:val="00BE29E7"/>
    <w:rsid w:val="00BE322D"/>
    <w:rsid w:val="00BE35C4"/>
    <w:rsid w:val="00BE427A"/>
    <w:rsid w:val="00BE4411"/>
    <w:rsid w:val="00BE5117"/>
    <w:rsid w:val="00BE5671"/>
    <w:rsid w:val="00BE5C48"/>
    <w:rsid w:val="00BE5EE5"/>
    <w:rsid w:val="00BE5F33"/>
    <w:rsid w:val="00BE607E"/>
    <w:rsid w:val="00BE63AB"/>
    <w:rsid w:val="00BE6639"/>
    <w:rsid w:val="00BE7183"/>
    <w:rsid w:val="00BE7939"/>
    <w:rsid w:val="00BE7E52"/>
    <w:rsid w:val="00BE7EB4"/>
    <w:rsid w:val="00BF0A6B"/>
    <w:rsid w:val="00BF0AB7"/>
    <w:rsid w:val="00BF16D5"/>
    <w:rsid w:val="00BF18F3"/>
    <w:rsid w:val="00BF1DB4"/>
    <w:rsid w:val="00BF331E"/>
    <w:rsid w:val="00BF383B"/>
    <w:rsid w:val="00BF3913"/>
    <w:rsid w:val="00BF3CFA"/>
    <w:rsid w:val="00BF3F54"/>
    <w:rsid w:val="00BF4715"/>
    <w:rsid w:val="00BF498D"/>
    <w:rsid w:val="00BF4ACF"/>
    <w:rsid w:val="00BF4EA8"/>
    <w:rsid w:val="00BF54B9"/>
    <w:rsid w:val="00BF55CA"/>
    <w:rsid w:val="00BF5925"/>
    <w:rsid w:val="00BF5C03"/>
    <w:rsid w:val="00BF609C"/>
    <w:rsid w:val="00BF662B"/>
    <w:rsid w:val="00BF6692"/>
    <w:rsid w:val="00BF6788"/>
    <w:rsid w:val="00BF6C2E"/>
    <w:rsid w:val="00BF6D29"/>
    <w:rsid w:val="00BF6FA1"/>
    <w:rsid w:val="00BF70E4"/>
    <w:rsid w:val="00BF7502"/>
    <w:rsid w:val="00BF7611"/>
    <w:rsid w:val="00C00467"/>
    <w:rsid w:val="00C00593"/>
    <w:rsid w:val="00C00986"/>
    <w:rsid w:val="00C00A2F"/>
    <w:rsid w:val="00C00E87"/>
    <w:rsid w:val="00C0115F"/>
    <w:rsid w:val="00C019A5"/>
    <w:rsid w:val="00C0295C"/>
    <w:rsid w:val="00C02B15"/>
    <w:rsid w:val="00C0300A"/>
    <w:rsid w:val="00C03749"/>
    <w:rsid w:val="00C03A6A"/>
    <w:rsid w:val="00C03FEB"/>
    <w:rsid w:val="00C04397"/>
    <w:rsid w:val="00C048F2"/>
    <w:rsid w:val="00C04C8E"/>
    <w:rsid w:val="00C051DD"/>
    <w:rsid w:val="00C057F6"/>
    <w:rsid w:val="00C05E07"/>
    <w:rsid w:val="00C0605C"/>
    <w:rsid w:val="00C065C2"/>
    <w:rsid w:val="00C0680C"/>
    <w:rsid w:val="00C069AA"/>
    <w:rsid w:val="00C06FF1"/>
    <w:rsid w:val="00C07454"/>
    <w:rsid w:val="00C07516"/>
    <w:rsid w:val="00C0783B"/>
    <w:rsid w:val="00C07BDA"/>
    <w:rsid w:val="00C07F8F"/>
    <w:rsid w:val="00C10453"/>
    <w:rsid w:val="00C10581"/>
    <w:rsid w:val="00C11267"/>
    <w:rsid w:val="00C115DA"/>
    <w:rsid w:val="00C1185E"/>
    <w:rsid w:val="00C11A07"/>
    <w:rsid w:val="00C11D44"/>
    <w:rsid w:val="00C121D4"/>
    <w:rsid w:val="00C12204"/>
    <w:rsid w:val="00C12426"/>
    <w:rsid w:val="00C1242C"/>
    <w:rsid w:val="00C12C72"/>
    <w:rsid w:val="00C13CE1"/>
    <w:rsid w:val="00C14825"/>
    <w:rsid w:val="00C14B99"/>
    <w:rsid w:val="00C14C5B"/>
    <w:rsid w:val="00C14F6A"/>
    <w:rsid w:val="00C15244"/>
    <w:rsid w:val="00C154C4"/>
    <w:rsid w:val="00C15A77"/>
    <w:rsid w:val="00C16121"/>
    <w:rsid w:val="00C173F4"/>
    <w:rsid w:val="00C17BB5"/>
    <w:rsid w:val="00C17E4F"/>
    <w:rsid w:val="00C205DF"/>
    <w:rsid w:val="00C214C2"/>
    <w:rsid w:val="00C2156A"/>
    <w:rsid w:val="00C21607"/>
    <w:rsid w:val="00C21674"/>
    <w:rsid w:val="00C21F14"/>
    <w:rsid w:val="00C22748"/>
    <w:rsid w:val="00C22C0A"/>
    <w:rsid w:val="00C234AD"/>
    <w:rsid w:val="00C236F4"/>
    <w:rsid w:val="00C2379F"/>
    <w:rsid w:val="00C23B9A"/>
    <w:rsid w:val="00C23F65"/>
    <w:rsid w:val="00C24A44"/>
    <w:rsid w:val="00C254C8"/>
    <w:rsid w:val="00C25EA7"/>
    <w:rsid w:val="00C2606C"/>
    <w:rsid w:val="00C269AD"/>
    <w:rsid w:val="00C26E10"/>
    <w:rsid w:val="00C26FDE"/>
    <w:rsid w:val="00C273D0"/>
    <w:rsid w:val="00C30156"/>
    <w:rsid w:val="00C30197"/>
    <w:rsid w:val="00C30306"/>
    <w:rsid w:val="00C30354"/>
    <w:rsid w:val="00C30A8E"/>
    <w:rsid w:val="00C30C5B"/>
    <w:rsid w:val="00C3107B"/>
    <w:rsid w:val="00C3107E"/>
    <w:rsid w:val="00C31198"/>
    <w:rsid w:val="00C312A8"/>
    <w:rsid w:val="00C326F2"/>
    <w:rsid w:val="00C327FB"/>
    <w:rsid w:val="00C3281F"/>
    <w:rsid w:val="00C32A68"/>
    <w:rsid w:val="00C3344C"/>
    <w:rsid w:val="00C335E0"/>
    <w:rsid w:val="00C33A4C"/>
    <w:rsid w:val="00C33C05"/>
    <w:rsid w:val="00C340AF"/>
    <w:rsid w:val="00C34D1F"/>
    <w:rsid w:val="00C35214"/>
    <w:rsid w:val="00C35586"/>
    <w:rsid w:val="00C3576B"/>
    <w:rsid w:val="00C35F93"/>
    <w:rsid w:val="00C3616E"/>
    <w:rsid w:val="00C3648E"/>
    <w:rsid w:val="00C36A0F"/>
    <w:rsid w:val="00C36B29"/>
    <w:rsid w:val="00C36D2E"/>
    <w:rsid w:val="00C36EC2"/>
    <w:rsid w:val="00C378F7"/>
    <w:rsid w:val="00C37A21"/>
    <w:rsid w:val="00C40244"/>
    <w:rsid w:val="00C404AE"/>
    <w:rsid w:val="00C41863"/>
    <w:rsid w:val="00C4191E"/>
    <w:rsid w:val="00C41B2A"/>
    <w:rsid w:val="00C41E6A"/>
    <w:rsid w:val="00C41F9D"/>
    <w:rsid w:val="00C4224C"/>
    <w:rsid w:val="00C424DF"/>
    <w:rsid w:val="00C426E7"/>
    <w:rsid w:val="00C42D58"/>
    <w:rsid w:val="00C42EC6"/>
    <w:rsid w:val="00C43082"/>
    <w:rsid w:val="00C431C3"/>
    <w:rsid w:val="00C43950"/>
    <w:rsid w:val="00C44822"/>
    <w:rsid w:val="00C44B6A"/>
    <w:rsid w:val="00C44C5E"/>
    <w:rsid w:val="00C44DE4"/>
    <w:rsid w:val="00C44FE8"/>
    <w:rsid w:val="00C45278"/>
    <w:rsid w:val="00C45606"/>
    <w:rsid w:val="00C45972"/>
    <w:rsid w:val="00C45A4C"/>
    <w:rsid w:val="00C463EA"/>
    <w:rsid w:val="00C46C13"/>
    <w:rsid w:val="00C4703A"/>
    <w:rsid w:val="00C47201"/>
    <w:rsid w:val="00C47F9A"/>
    <w:rsid w:val="00C47FBC"/>
    <w:rsid w:val="00C50182"/>
    <w:rsid w:val="00C502E4"/>
    <w:rsid w:val="00C5076E"/>
    <w:rsid w:val="00C507E9"/>
    <w:rsid w:val="00C50800"/>
    <w:rsid w:val="00C50A3E"/>
    <w:rsid w:val="00C50B92"/>
    <w:rsid w:val="00C51670"/>
    <w:rsid w:val="00C51700"/>
    <w:rsid w:val="00C5191D"/>
    <w:rsid w:val="00C51945"/>
    <w:rsid w:val="00C51C55"/>
    <w:rsid w:val="00C51FFF"/>
    <w:rsid w:val="00C52E59"/>
    <w:rsid w:val="00C5393B"/>
    <w:rsid w:val="00C53DD7"/>
    <w:rsid w:val="00C541FE"/>
    <w:rsid w:val="00C545E7"/>
    <w:rsid w:val="00C54AB1"/>
    <w:rsid w:val="00C54CE8"/>
    <w:rsid w:val="00C54DF1"/>
    <w:rsid w:val="00C54E48"/>
    <w:rsid w:val="00C54FC5"/>
    <w:rsid w:val="00C55070"/>
    <w:rsid w:val="00C550B5"/>
    <w:rsid w:val="00C559FA"/>
    <w:rsid w:val="00C55AF1"/>
    <w:rsid w:val="00C55E4D"/>
    <w:rsid w:val="00C563AB"/>
    <w:rsid w:val="00C5662B"/>
    <w:rsid w:val="00C5670B"/>
    <w:rsid w:val="00C5699A"/>
    <w:rsid w:val="00C56FC5"/>
    <w:rsid w:val="00C57A27"/>
    <w:rsid w:val="00C57C03"/>
    <w:rsid w:val="00C60887"/>
    <w:rsid w:val="00C611EF"/>
    <w:rsid w:val="00C61499"/>
    <w:rsid w:val="00C6165C"/>
    <w:rsid w:val="00C6169C"/>
    <w:rsid w:val="00C61717"/>
    <w:rsid w:val="00C617FB"/>
    <w:rsid w:val="00C61E9B"/>
    <w:rsid w:val="00C6214A"/>
    <w:rsid w:val="00C6276D"/>
    <w:rsid w:val="00C6286E"/>
    <w:rsid w:val="00C62D62"/>
    <w:rsid w:val="00C62E8C"/>
    <w:rsid w:val="00C63337"/>
    <w:rsid w:val="00C63720"/>
    <w:rsid w:val="00C64307"/>
    <w:rsid w:val="00C6454F"/>
    <w:rsid w:val="00C64B91"/>
    <w:rsid w:val="00C64EAB"/>
    <w:rsid w:val="00C657DB"/>
    <w:rsid w:val="00C66396"/>
    <w:rsid w:val="00C66493"/>
    <w:rsid w:val="00C665DD"/>
    <w:rsid w:val="00C666BB"/>
    <w:rsid w:val="00C66754"/>
    <w:rsid w:val="00C66FDA"/>
    <w:rsid w:val="00C70466"/>
    <w:rsid w:val="00C7083C"/>
    <w:rsid w:val="00C709E9"/>
    <w:rsid w:val="00C715F0"/>
    <w:rsid w:val="00C725B0"/>
    <w:rsid w:val="00C7399E"/>
    <w:rsid w:val="00C73C39"/>
    <w:rsid w:val="00C73D58"/>
    <w:rsid w:val="00C73E6D"/>
    <w:rsid w:val="00C74191"/>
    <w:rsid w:val="00C74924"/>
    <w:rsid w:val="00C75867"/>
    <w:rsid w:val="00C75B5A"/>
    <w:rsid w:val="00C7602A"/>
    <w:rsid w:val="00C76E00"/>
    <w:rsid w:val="00C772B5"/>
    <w:rsid w:val="00C80053"/>
    <w:rsid w:val="00C802B2"/>
    <w:rsid w:val="00C814E3"/>
    <w:rsid w:val="00C81E7E"/>
    <w:rsid w:val="00C82527"/>
    <w:rsid w:val="00C827D6"/>
    <w:rsid w:val="00C829C5"/>
    <w:rsid w:val="00C829E4"/>
    <w:rsid w:val="00C82D05"/>
    <w:rsid w:val="00C83275"/>
    <w:rsid w:val="00C83424"/>
    <w:rsid w:val="00C839C7"/>
    <w:rsid w:val="00C83D0F"/>
    <w:rsid w:val="00C840EA"/>
    <w:rsid w:val="00C85082"/>
    <w:rsid w:val="00C857A0"/>
    <w:rsid w:val="00C85C44"/>
    <w:rsid w:val="00C864F6"/>
    <w:rsid w:val="00C8667A"/>
    <w:rsid w:val="00C87223"/>
    <w:rsid w:val="00C875E9"/>
    <w:rsid w:val="00C87BAF"/>
    <w:rsid w:val="00C87D2D"/>
    <w:rsid w:val="00C90362"/>
    <w:rsid w:val="00C91325"/>
    <w:rsid w:val="00C9143E"/>
    <w:rsid w:val="00C9172D"/>
    <w:rsid w:val="00C91730"/>
    <w:rsid w:val="00C9228A"/>
    <w:rsid w:val="00C92C15"/>
    <w:rsid w:val="00C93ADA"/>
    <w:rsid w:val="00C93B06"/>
    <w:rsid w:val="00C944BB"/>
    <w:rsid w:val="00C95441"/>
    <w:rsid w:val="00C95D95"/>
    <w:rsid w:val="00C96083"/>
    <w:rsid w:val="00C96154"/>
    <w:rsid w:val="00C9622A"/>
    <w:rsid w:val="00C96B33"/>
    <w:rsid w:val="00C96B5A"/>
    <w:rsid w:val="00C96E90"/>
    <w:rsid w:val="00C9761A"/>
    <w:rsid w:val="00C97CE5"/>
    <w:rsid w:val="00CA0161"/>
    <w:rsid w:val="00CA062C"/>
    <w:rsid w:val="00CA1C91"/>
    <w:rsid w:val="00CA3B5C"/>
    <w:rsid w:val="00CA4167"/>
    <w:rsid w:val="00CA4295"/>
    <w:rsid w:val="00CA4A9F"/>
    <w:rsid w:val="00CA4D2F"/>
    <w:rsid w:val="00CA5336"/>
    <w:rsid w:val="00CA53CB"/>
    <w:rsid w:val="00CA5459"/>
    <w:rsid w:val="00CA5472"/>
    <w:rsid w:val="00CA5511"/>
    <w:rsid w:val="00CA5991"/>
    <w:rsid w:val="00CA5C5C"/>
    <w:rsid w:val="00CA5E58"/>
    <w:rsid w:val="00CA601B"/>
    <w:rsid w:val="00CA6A5B"/>
    <w:rsid w:val="00CA71E6"/>
    <w:rsid w:val="00CB00AD"/>
    <w:rsid w:val="00CB08F3"/>
    <w:rsid w:val="00CB0A9D"/>
    <w:rsid w:val="00CB0CAE"/>
    <w:rsid w:val="00CB0FA5"/>
    <w:rsid w:val="00CB0FF5"/>
    <w:rsid w:val="00CB1FD5"/>
    <w:rsid w:val="00CB2108"/>
    <w:rsid w:val="00CB2223"/>
    <w:rsid w:val="00CB2275"/>
    <w:rsid w:val="00CB2616"/>
    <w:rsid w:val="00CB2C01"/>
    <w:rsid w:val="00CB320D"/>
    <w:rsid w:val="00CB3623"/>
    <w:rsid w:val="00CB3645"/>
    <w:rsid w:val="00CB37E1"/>
    <w:rsid w:val="00CB3B71"/>
    <w:rsid w:val="00CB3CCE"/>
    <w:rsid w:val="00CB3DE0"/>
    <w:rsid w:val="00CB3F67"/>
    <w:rsid w:val="00CB40E5"/>
    <w:rsid w:val="00CB465F"/>
    <w:rsid w:val="00CB50D0"/>
    <w:rsid w:val="00CB552C"/>
    <w:rsid w:val="00CB5646"/>
    <w:rsid w:val="00CB5E6D"/>
    <w:rsid w:val="00CB6150"/>
    <w:rsid w:val="00CB61B7"/>
    <w:rsid w:val="00CB6BCA"/>
    <w:rsid w:val="00CB710B"/>
    <w:rsid w:val="00CB7209"/>
    <w:rsid w:val="00CB7ADB"/>
    <w:rsid w:val="00CB7C77"/>
    <w:rsid w:val="00CB7D0A"/>
    <w:rsid w:val="00CB7DDA"/>
    <w:rsid w:val="00CB7E1E"/>
    <w:rsid w:val="00CC044E"/>
    <w:rsid w:val="00CC0647"/>
    <w:rsid w:val="00CC075C"/>
    <w:rsid w:val="00CC1440"/>
    <w:rsid w:val="00CC1955"/>
    <w:rsid w:val="00CC208C"/>
    <w:rsid w:val="00CC23DA"/>
    <w:rsid w:val="00CC29E8"/>
    <w:rsid w:val="00CC2B95"/>
    <w:rsid w:val="00CC2D80"/>
    <w:rsid w:val="00CC338C"/>
    <w:rsid w:val="00CC3C22"/>
    <w:rsid w:val="00CC401F"/>
    <w:rsid w:val="00CC4207"/>
    <w:rsid w:val="00CC4546"/>
    <w:rsid w:val="00CC47A1"/>
    <w:rsid w:val="00CC5290"/>
    <w:rsid w:val="00CC582D"/>
    <w:rsid w:val="00CC5907"/>
    <w:rsid w:val="00CC594C"/>
    <w:rsid w:val="00CC5B9E"/>
    <w:rsid w:val="00CC5EA9"/>
    <w:rsid w:val="00CC623F"/>
    <w:rsid w:val="00CC666A"/>
    <w:rsid w:val="00CC68A0"/>
    <w:rsid w:val="00CC6E50"/>
    <w:rsid w:val="00CC7972"/>
    <w:rsid w:val="00CC797E"/>
    <w:rsid w:val="00CC7AA6"/>
    <w:rsid w:val="00CC7C13"/>
    <w:rsid w:val="00CC7DB0"/>
    <w:rsid w:val="00CD0310"/>
    <w:rsid w:val="00CD0697"/>
    <w:rsid w:val="00CD08A8"/>
    <w:rsid w:val="00CD16E9"/>
    <w:rsid w:val="00CD1840"/>
    <w:rsid w:val="00CD1E38"/>
    <w:rsid w:val="00CD1EE7"/>
    <w:rsid w:val="00CD2978"/>
    <w:rsid w:val="00CD2A68"/>
    <w:rsid w:val="00CD30F6"/>
    <w:rsid w:val="00CD322E"/>
    <w:rsid w:val="00CD3456"/>
    <w:rsid w:val="00CD34F4"/>
    <w:rsid w:val="00CD35FE"/>
    <w:rsid w:val="00CD376F"/>
    <w:rsid w:val="00CD3BC6"/>
    <w:rsid w:val="00CD423B"/>
    <w:rsid w:val="00CD4546"/>
    <w:rsid w:val="00CD48D9"/>
    <w:rsid w:val="00CD4A3F"/>
    <w:rsid w:val="00CD4AC9"/>
    <w:rsid w:val="00CD5CB7"/>
    <w:rsid w:val="00CD6AFE"/>
    <w:rsid w:val="00CD72F5"/>
    <w:rsid w:val="00CD7679"/>
    <w:rsid w:val="00CD7B1C"/>
    <w:rsid w:val="00CD7CF2"/>
    <w:rsid w:val="00CE02EC"/>
    <w:rsid w:val="00CE0786"/>
    <w:rsid w:val="00CE07CA"/>
    <w:rsid w:val="00CE08BA"/>
    <w:rsid w:val="00CE1F10"/>
    <w:rsid w:val="00CE210F"/>
    <w:rsid w:val="00CE2AF0"/>
    <w:rsid w:val="00CE2B89"/>
    <w:rsid w:val="00CE2D8C"/>
    <w:rsid w:val="00CE3297"/>
    <w:rsid w:val="00CE3977"/>
    <w:rsid w:val="00CE43DB"/>
    <w:rsid w:val="00CE44CB"/>
    <w:rsid w:val="00CE4643"/>
    <w:rsid w:val="00CE5619"/>
    <w:rsid w:val="00CE5B68"/>
    <w:rsid w:val="00CE63BF"/>
    <w:rsid w:val="00CE6469"/>
    <w:rsid w:val="00CE68B4"/>
    <w:rsid w:val="00CE6B78"/>
    <w:rsid w:val="00CE6C7D"/>
    <w:rsid w:val="00CE6DBB"/>
    <w:rsid w:val="00CE6E66"/>
    <w:rsid w:val="00CE6FCF"/>
    <w:rsid w:val="00CE71D5"/>
    <w:rsid w:val="00CE7538"/>
    <w:rsid w:val="00CE766C"/>
    <w:rsid w:val="00CE798A"/>
    <w:rsid w:val="00CE7CE4"/>
    <w:rsid w:val="00CF05DD"/>
    <w:rsid w:val="00CF112C"/>
    <w:rsid w:val="00CF143E"/>
    <w:rsid w:val="00CF144D"/>
    <w:rsid w:val="00CF151B"/>
    <w:rsid w:val="00CF1819"/>
    <w:rsid w:val="00CF1CF6"/>
    <w:rsid w:val="00CF2339"/>
    <w:rsid w:val="00CF2F22"/>
    <w:rsid w:val="00CF3316"/>
    <w:rsid w:val="00CF3DA4"/>
    <w:rsid w:val="00CF45B2"/>
    <w:rsid w:val="00CF5110"/>
    <w:rsid w:val="00CF5AE5"/>
    <w:rsid w:val="00CF5C96"/>
    <w:rsid w:val="00CF61F6"/>
    <w:rsid w:val="00CF6D2D"/>
    <w:rsid w:val="00CF6D3F"/>
    <w:rsid w:val="00CF72D6"/>
    <w:rsid w:val="00CF779B"/>
    <w:rsid w:val="00D0004F"/>
    <w:rsid w:val="00D00061"/>
    <w:rsid w:val="00D001E6"/>
    <w:rsid w:val="00D00A86"/>
    <w:rsid w:val="00D00E27"/>
    <w:rsid w:val="00D00EE0"/>
    <w:rsid w:val="00D01BA6"/>
    <w:rsid w:val="00D021AB"/>
    <w:rsid w:val="00D025A9"/>
    <w:rsid w:val="00D02A5E"/>
    <w:rsid w:val="00D02BD3"/>
    <w:rsid w:val="00D02EC1"/>
    <w:rsid w:val="00D03326"/>
    <w:rsid w:val="00D0386A"/>
    <w:rsid w:val="00D03A51"/>
    <w:rsid w:val="00D03E65"/>
    <w:rsid w:val="00D047D5"/>
    <w:rsid w:val="00D04E07"/>
    <w:rsid w:val="00D04F42"/>
    <w:rsid w:val="00D050EE"/>
    <w:rsid w:val="00D05639"/>
    <w:rsid w:val="00D0583F"/>
    <w:rsid w:val="00D05E94"/>
    <w:rsid w:val="00D06113"/>
    <w:rsid w:val="00D061CD"/>
    <w:rsid w:val="00D066A5"/>
    <w:rsid w:val="00D06741"/>
    <w:rsid w:val="00D067E9"/>
    <w:rsid w:val="00D06955"/>
    <w:rsid w:val="00D06DF4"/>
    <w:rsid w:val="00D0724A"/>
    <w:rsid w:val="00D079A5"/>
    <w:rsid w:val="00D07EC5"/>
    <w:rsid w:val="00D07F84"/>
    <w:rsid w:val="00D1042F"/>
    <w:rsid w:val="00D105B6"/>
    <w:rsid w:val="00D10672"/>
    <w:rsid w:val="00D10B01"/>
    <w:rsid w:val="00D10BB9"/>
    <w:rsid w:val="00D1100E"/>
    <w:rsid w:val="00D113E6"/>
    <w:rsid w:val="00D11ED7"/>
    <w:rsid w:val="00D122C1"/>
    <w:rsid w:val="00D125B5"/>
    <w:rsid w:val="00D12CC0"/>
    <w:rsid w:val="00D13036"/>
    <w:rsid w:val="00D1344F"/>
    <w:rsid w:val="00D1364D"/>
    <w:rsid w:val="00D13DB8"/>
    <w:rsid w:val="00D140D6"/>
    <w:rsid w:val="00D14190"/>
    <w:rsid w:val="00D147BA"/>
    <w:rsid w:val="00D147CA"/>
    <w:rsid w:val="00D1574E"/>
    <w:rsid w:val="00D16350"/>
    <w:rsid w:val="00D165E8"/>
    <w:rsid w:val="00D166C7"/>
    <w:rsid w:val="00D169C3"/>
    <w:rsid w:val="00D16AED"/>
    <w:rsid w:val="00D17108"/>
    <w:rsid w:val="00D1721A"/>
    <w:rsid w:val="00D17405"/>
    <w:rsid w:val="00D17909"/>
    <w:rsid w:val="00D17AAC"/>
    <w:rsid w:val="00D17C75"/>
    <w:rsid w:val="00D17EDC"/>
    <w:rsid w:val="00D20708"/>
    <w:rsid w:val="00D207B8"/>
    <w:rsid w:val="00D2095B"/>
    <w:rsid w:val="00D20A3C"/>
    <w:rsid w:val="00D20C05"/>
    <w:rsid w:val="00D20F35"/>
    <w:rsid w:val="00D21FD5"/>
    <w:rsid w:val="00D22301"/>
    <w:rsid w:val="00D224F9"/>
    <w:rsid w:val="00D2263F"/>
    <w:rsid w:val="00D22EAD"/>
    <w:rsid w:val="00D23477"/>
    <w:rsid w:val="00D23F6B"/>
    <w:rsid w:val="00D24C3C"/>
    <w:rsid w:val="00D24F9F"/>
    <w:rsid w:val="00D25C84"/>
    <w:rsid w:val="00D25E54"/>
    <w:rsid w:val="00D25FA6"/>
    <w:rsid w:val="00D2672B"/>
    <w:rsid w:val="00D267D1"/>
    <w:rsid w:val="00D27180"/>
    <w:rsid w:val="00D271F0"/>
    <w:rsid w:val="00D2744F"/>
    <w:rsid w:val="00D27C21"/>
    <w:rsid w:val="00D27ED2"/>
    <w:rsid w:val="00D30823"/>
    <w:rsid w:val="00D316B8"/>
    <w:rsid w:val="00D319AD"/>
    <w:rsid w:val="00D319DF"/>
    <w:rsid w:val="00D320A9"/>
    <w:rsid w:val="00D320D9"/>
    <w:rsid w:val="00D32527"/>
    <w:rsid w:val="00D33036"/>
    <w:rsid w:val="00D3374D"/>
    <w:rsid w:val="00D34018"/>
    <w:rsid w:val="00D3564C"/>
    <w:rsid w:val="00D357A0"/>
    <w:rsid w:val="00D358CA"/>
    <w:rsid w:val="00D35E60"/>
    <w:rsid w:val="00D36403"/>
    <w:rsid w:val="00D3655C"/>
    <w:rsid w:val="00D366FE"/>
    <w:rsid w:val="00D36F09"/>
    <w:rsid w:val="00D372DB"/>
    <w:rsid w:val="00D37859"/>
    <w:rsid w:val="00D37BD9"/>
    <w:rsid w:val="00D37E89"/>
    <w:rsid w:val="00D37FCB"/>
    <w:rsid w:val="00D4010C"/>
    <w:rsid w:val="00D401F8"/>
    <w:rsid w:val="00D403E3"/>
    <w:rsid w:val="00D4059C"/>
    <w:rsid w:val="00D40865"/>
    <w:rsid w:val="00D40B53"/>
    <w:rsid w:val="00D40E53"/>
    <w:rsid w:val="00D41688"/>
    <w:rsid w:val="00D41B01"/>
    <w:rsid w:val="00D4220D"/>
    <w:rsid w:val="00D42656"/>
    <w:rsid w:val="00D427AD"/>
    <w:rsid w:val="00D43083"/>
    <w:rsid w:val="00D44346"/>
    <w:rsid w:val="00D4450A"/>
    <w:rsid w:val="00D44591"/>
    <w:rsid w:val="00D451D4"/>
    <w:rsid w:val="00D453C7"/>
    <w:rsid w:val="00D45B29"/>
    <w:rsid w:val="00D46167"/>
    <w:rsid w:val="00D461CE"/>
    <w:rsid w:val="00D465B3"/>
    <w:rsid w:val="00D46A6F"/>
    <w:rsid w:val="00D47AAC"/>
    <w:rsid w:val="00D47B4B"/>
    <w:rsid w:val="00D47BB5"/>
    <w:rsid w:val="00D5017E"/>
    <w:rsid w:val="00D509FB"/>
    <w:rsid w:val="00D50C81"/>
    <w:rsid w:val="00D51134"/>
    <w:rsid w:val="00D52080"/>
    <w:rsid w:val="00D53312"/>
    <w:rsid w:val="00D5339F"/>
    <w:rsid w:val="00D53A4B"/>
    <w:rsid w:val="00D54324"/>
    <w:rsid w:val="00D54404"/>
    <w:rsid w:val="00D54B2D"/>
    <w:rsid w:val="00D54E79"/>
    <w:rsid w:val="00D5566D"/>
    <w:rsid w:val="00D55CF6"/>
    <w:rsid w:val="00D55EBD"/>
    <w:rsid w:val="00D56118"/>
    <w:rsid w:val="00D564C2"/>
    <w:rsid w:val="00D56878"/>
    <w:rsid w:val="00D569F7"/>
    <w:rsid w:val="00D56C00"/>
    <w:rsid w:val="00D56E13"/>
    <w:rsid w:val="00D56E1B"/>
    <w:rsid w:val="00D56E6E"/>
    <w:rsid w:val="00D57157"/>
    <w:rsid w:val="00D57D31"/>
    <w:rsid w:val="00D57D7E"/>
    <w:rsid w:val="00D57ED2"/>
    <w:rsid w:val="00D60ADE"/>
    <w:rsid w:val="00D614F3"/>
    <w:rsid w:val="00D61DBA"/>
    <w:rsid w:val="00D6298C"/>
    <w:rsid w:val="00D62F16"/>
    <w:rsid w:val="00D63088"/>
    <w:rsid w:val="00D63D8D"/>
    <w:rsid w:val="00D64098"/>
    <w:rsid w:val="00D641DA"/>
    <w:rsid w:val="00D64F44"/>
    <w:rsid w:val="00D64F86"/>
    <w:rsid w:val="00D65079"/>
    <w:rsid w:val="00D654CC"/>
    <w:rsid w:val="00D657F8"/>
    <w:rsid w:val="00D65833"/>
    <w:rsid w:val="00D65CB9"/>
    <w:rsid w:val="00D67133"/>
    <w:rsid w:val="00D67B18"/>
    <w:rsid w:val="00D67CEF"/>
    <w:rsid w:val="00D70103"/>
    <w:rsid w:val="00D701BD"/>
    <w:rsid w:val="00D70FD4"/>
    <w:rsid w:val="00D7140C"/>
    <w:rsid w:val="00D71AC7"/>
    <w:rsid w:val="00D71C8E"/>
    <w:rsid w:val="00D71F1A"/>
    <w:rsid w:val="00D72365"/>
    <w:rsid w:val="00D7311A"/>
    <w:rsid w:val="00D73187"/>
    <w:rsid w:val="00D73552"/>
    <w:rsid w:val="00D73721"/>
    <w:rsid w:val="00D738CF"/>
    <w:rsid w:val="00D742D5"/>
    <w:rsid w:val="00D7458D"/>
    <w:rsid w:val="00D746A5"/>
    <w:rsid w:val="00D7514A"/>
    <w:rsid w:val="00D75795"/>
    <w:rsid w:val="00D75E79"/>
    <w:rsid w:val="00D7625D"/>
    <w:rsid w:val="00D7631B"/>
    <w:rsid w:val="00D76A47"/>
    <w:rsid w:val="00D76C58"/>
    <w:rsid w:val="00D77015"/>
    <w:rsid w:val="00D7783C"/>
    <w:rsid w:val="00D77F82"/>
    <w:rsid w:val="00D803BB"/>
    <w:rsid w:val="00D817E0"/>
    <w:rsid w:val="00D82704"/>
    <w:rsid w:val="00D828CF"/>
    <w:rsid w:val="00D82964"/>
    <w:rsid w:val="00D82DCF"/>
    <w:rsid w:val="00D83036"/>
    <w:rsid w:val="00D8471C"/>
    <w:rsid w:val="00D84EE6"/>
    <w:rsid w:val="00D86930"/>
    <w:rsid w:val="00D8723C"/>
    <w:rsid w:val="00D8744F"/>
    <w:rsid w:val="00D874DA"/>
    <w:rsid w:val="00D877E7"/>
    <w:rsid w:val="00D878FD"/>
    <w:rsid w:val="00D87F60"/>
    <w:rsid w:val="00D905F2"/>
    <w:rsid w:val="00D90A31"/>
    <w:rsid w:val="00D90D0F"/>
    <w:rsid w:val="00D90E20"/>
    <w:rsid w:val="00D90EA7"/>
    <w:rsid w:val="00D90EA9"/>
    <w:rsid w:val="00D91183"/>
    <w:rsid w:val="00D91275"/>
    <w:rsid w:val="00D91890"/>
    <w:rsid w:val="00D91A05"/>
    <w:rsid w:val="00D91AC9"/>
    <w:rsid w:val="00D91E47"/>
    <w:rsid w:val="00D92341"/>
    <w:rsid w:val="00D923F1"/>
    <w:rsid w:val="00D92527"/>
    <w:rsid w:val="00D9269A"/>
    <w:rsid w:val="00D92901"/>
    <w:rsid w:val="00D92D77"/>
    <w:rsid w:val="00D92E0E"/>
    <w:rsid w:val="00D93071"/>
    <w:rsid w:val="00D93165"/>
    <w:rsid w:val="00D93370"/>
    <w:rsid w:val="00D938F6"/>
    <w:rsid w:val="00D93A65"/>
    <w:rsid w:val="00D93BAE"/>
    <w:rsid w:val="00D93C42"/>
    <w:rsid w:val="00D940C8"/>
    <w:rsid w:val="00D949A8"/>
    <w:rsid w:val="00D94E5E"/>
    <w:rsid w:val="00D95065"/>
    <w:rsid w:val="00D95584"/>
    <w:rsid w:val="00D957C1"/>
    <w:rsid w:val="00D95F2D"/>
    <w:rsid w:val="00D9638F"/>
    <w:rsid w:val="00D9709F"/>
    <w:rsid w:val="00D975A6"/>
    <w:rsid w:val="00D97C28"/>
    <w:rsid w:val="00DA0058"/>
    <w:rsid w:val="00DA0270"/>
    <w:rsid w:val="00DA0615"/>
    <w:rsid w:val="00DA0740"/>
    <w:rsid w:val="00DA0CA2"/>
    <w:rsid w:val="00DA13FB"/>
    <w:rsid w:val="00DA1934"/>
    <w:rsid w:val="00DA1B89"/>
    <w:rsid w:val="00DA1C1D"/>
    <w:rsid w:val="00DA2298"/>
    <w:rsid w:val="00DA2576"/>
    <w:rsid w:val="00DA257B"/>
    <w:rsid w:val="00DA26E9"/>
    <w:rsid w:val="00DA2892"/>
    <w:rsid w:val="00DA2EEB"/>
    <w:rsid w:val="00DA3111"/>
    <w:rsid w:val="00DA33B1"/>
    <w:rsid w:val="00DA33FA"/>
    <w:rsid w:val="00DA3457"/>
    <w:rsid w:val="00DA4363"/>
    <w:rsid w:val="00DA4606"/>
    <w:rsid w:val="00DA4B1A"/>
    <w:rsid w:val="00DA4EC2"/>
    <w:rsid w:val="00DA53A0"/>
    <w:rsid w:val="00DA53FF"/>
    <w:rsid w:val="00DA5645"/>
    <w:rsid w:val="00DA5F0C"/>
    <w:rsid w:val="00DA62D8"/>
    <w:rsid w:val="00DA672F"/>
    <w:rsid w:val="00DA6B37"/>
    <w:rsid w:val="00DA6EA3"/>
    <w:rsid w:val="00DA7D39"/>
    <w:rsid w:val="00DB01B3"/>
    <w:rsid w:val="00DB057D"/>
    <w:rsid w:val="00DB080F"/>
    <w:rsid w:val="00DB157B"/>
    <w:rsid w:val="00DB19D9"/>
    <w:rsid w:val="00DB1B7F"/>
    <w:rsid w:val="00DB1C48"/>
    <w:rsid w:val="00DB1CF4"/>
    <w:rsid w:val="00DB1D51"/>
    <w:rsid w:val="00DB2448"/>
    <w:rsid w:val="00DB2568"/>
    <w:rsid w:val="00DB271F"/>
    <w:rsid w:val="00DB28E1"/>
    <w:rsid w:val="00DB2AFD"/>
    <w:rsid w:val="00DB3535"/>
    <w:rsid w:val="00DB3DB7"/>
    <w:rsid w:val="00DB484C"/>
    <w:rsid w:val="00DB489A"/>
    <w:rsid w:val="00DB4952"/>
    <w:rsid w:val="00DB4957"/>
    <w:rsid w:val="00DB5065"/>
    <w:rsid w:val="00DB50BE"/>
    <w:rsid w:val="00DB5D1E"/>
    <w:rsid w:val="00DB5F61"/>
    <w:rsid w:val="00DB608D"/>
    <w:rsid w:val="00DB6B33"/>
    <w:rsid w:val="00DB6B72"/>
    <w:rsid w:val="00DB6C29"/>
    <w:rsid w:val="00DB6D1A"/>
    <w:rsid w:val="00DB7063"/>
    <w:rsid w:val="00DB7249"/>
    <w:rsid w:val="00DB72F5"/>
    <w:rsid w:val="00DB75F8"/>
    <w:rsid w:val="00DB77C9"/>
    <w:rsid w:val="00DB7B6C"/>
    <w:rsid w:val="00DC01D8"/>
    <w:rsid w:val="00DC022E"/>
    <w:rsid w:val="00DC02B8"/>
    <w:rsid w:val="00DC19E7"/>
    <w:rsid w:val="00DC1B2C"/>
    <w:rsid w:val="00DC1E9C"/>
    <w:rsid w:val="00DC2023"/>
    <w:rsid w:val="00DC27BB"/>
    <w:rsid w:val="00DC2FC7"/>
    <w:rsid w:val="00DC34BF"/>
    <w:rsid w:val="00DC36CE"/>
    <w:rsid w:val="00DC37DD"/>
    <w:rsid w:val="00DC4BFF"/>
    <w:rsid w:val="00DC4F99"/>
    <w:rsid w:val="00DC5117"/>
    <w:rsid w:val="00DC5218"/>
    <w:rsid w:val="00DC55E9"/>
    <w:rsid w:val="00DC5823"/>
    <w:rsid w:val="00DC5A20"/>
    <w:rsid w:val="00DC5CF5"/>
    <w:rsid w:val="00DC5E94"/>
    <w:rsid w:val="00DC6278"/>
    <w:rsid w:val="00DC650A"/>
    <w:rsid w:val="00DC697D"/>
    <w:rsid w:val="00DC7123"/>
    <w:rsid w:val="00DD0AE7"/>
    <w:rsid w:val="00DD11F7"/>
    <w:rsid w:val="00DD14BD"/>
    <w:rsid w:val="00DD1C0D"/>
    <w:rsid w:val="00DD1F96"/>
    <w:rsid w:val="00DD25E0"/>
    <w:rsid w:val="00DD272C"/>
    <w:rsid w:val="00DD296B"/>
    <w:rsid w:val="00DD32E1"/>
    <w:rsid w:val="00DD38CD"/>
    <w:rsid w:val="00DD39D0"/>
    <w:rsid w:val="00DD3A4B"/>
    <w:rsid w:val="00DD44AB"/>
    <w:rsid w:val="00DD49A7"/>
    <w:rsid w:val="00DD4A59"/>
    <w:rsid w:val="00DD519F"/>
    <w:rsid w:val="00DD58E6"/>
    <w:rsid w:val="00DD5A22"/>
    <w:rsid w:val="00DD5D0A"/>
    <w:rsid w:val="00DD5E51"/>
    <w:rsid w:val="00DD5FE7"/>
    <w:rsid w:val="00DD63AF"/>
    <w:rsid w:val="00DD68D6"/>
    <w:rsid w:val="00DD7547"/>
    <w:rsid w:val="00DD791D"/>
    <w:rsid w:val="00DE02C1"/>
    <w:rsid w:val="00DE06F1"/>
    <w:rsid w:val="00DE07CB"/>
    <w:rsid w:val="00DE083A"/>
    <w:rsid w:val="00DE08BC"/>
    <w:rsid w:val="00DE0CA1"/>
    <w:rsid w:val="00DE108D"/>
    <w:rsid w:val="00DE12A9"/>
    <w:rsid w:val="00DE16EC"/>
    <w:rsid w:val="00DE1967"/>
    <w:rsid w:val="00DE21D6"/>
    <w:rsid w:val="00DE36C1"/>
    <w:rsid w:val="00DE3913"/>
    <w:rsid w:val="00DE399B"/>
    <w:rsid w:val="00DE3ECC"/>
    <w:rsid w:val="00DE3F1D"/>
    <w:rsid w:val="00DE48DD"/>
    <w:rsid w:val="00DE51E7"/>
    <w:rsid w:val="00DE69AE"/>
    <w:rsid w:val="00DE7248"/>
    <w:rsid w:val="00DE72AE"/>
    <w:rsid w:val="00DE7960"/>
    <w:rsid w:val="00DE7F2C"/>
    <w:rsid w:val="00DE7F34"/>
    <w:rsid w:val="00DF05CF"/>
    <w:rsid w:val="00DF078F"/>
    <w:rsid w:val="00DF0D3D"/>
    <w:rsid w:val="00DF1152"/>
    <w:rsid w:val="00DF15E0"/>
    <w:rsid w:val="00DF165A"/>
    <w:rsid w:val="00DF176A"/>
    <w:rsid w:val="00DF1882"/>
    <w:rsid w:val="00DF1ACA"/>
    <w:rsid w:val="00DF1EFC"/>
    <w:rsid w:val="00DF2EF7"/>
    <w:rsid w:val="00DF2F8F"/>
    <w:rsid w:val="00DF304E"/>
    <w:rsid w:val="00DF3F15"/>
    <w:rsid w:val="00DF478E"/>
    <w:rsid w:val="00DF4C75"/>
    <w:rsid w:val="00DF4D87"/>
    <w:rsid w:val="00DF4DD9"/>
    <w:rsid w:val="00DF4EBE"/>
    <w:rsid w:val="00DF5068"/>
    <w:rsid w:val="00DF63C4"/>
    <w:rsid w:val="00DF6C83"/>
    <w:rsid w:val="00DF7736"/>
    <w:rsid w:val="00E00668"/>
    <w:rsid w:val="00E00AE5"/>
    <w:rsid w:val="00E013BD"/>
    <w:rsid w:val="00E01486"/>
    <w:rsid w:val="00E02155"/>
    <w:rsid w:val="00E0270B"/>
    <w:rsid w:val="00E02A7B"/>
    <w:rsid w:val="00E031EB"/>
    <w:rsid w:val="00E03CA6"/>
    <w:rsid w:val="00E04B6E"/>
    <w:rsid w:val="00E04CFF"/>
    <w:rsid w:val="00E05641"/>
    <w:rsid w:val="00E065F9"/>
    <w:rsid w:val="00E07300"/>
    <w:rsid w:val="00E075B8"/>
    <w:rsid w:val="00E1004F"/>
    <w:rsid w:val="00E10154"/>
    <w:rsid w:val="00E10931"/>
    <w:rsid w:val="00E10D4B"/>
    <w:rsid w:val="00E10E96"/>
    <w:rsid w:val="00E11017"/>
    <w:rsid w:val="00E1146D"/>
    <w:rsid w:val="00E1193D"/>
    <w:rsid w:val="00E122C4"/>
    <w:rsid w:val="00E1230C"/>
    <w:rsid w:val="00E1242D"/>
    <w:rsid w:val="00E12F54"/>
    <w:rsid w:val="00E1373F"/>
    <w:rsid w:val="00E13A98"/>
    <w:rsid w:val="00E13ED3"/>
    <w:rsid w:val="00E14364"/>
    <w:rsid w:val="00E14584"/>
    <w:rsid w:val="00E14851"/>
    <w:rsid w:val="00E14C09"/>
    <w:rsid w:val="00E14C12"/>
    <w:rsid w:val="00E15108"/>
    <w:rsid w:val="00E155B5"/>
    <w:rsid w:val="00E16419"/>
    <w:rsid w:val="00E167FA"/>
    <w:rsid w:val="00E16A71"/>
    <w:rsid w:val="00E17BDB"/>
    <w:rsid w:val="00E17D82"/>
    <w:rsid w:val="00E20419"/>
    <w:rsid w:val="00E206D7"/>
    <w:rsid w:val="00E209CD"/>
    <w:rsid w:val="00E20ED5"/>
    <w:rsid w:val="00E211C9"/>
    <w:rsid w:val="00E21290"/>
    <w:rsid w:val="00E21563"/>
    <w:rsid w:val="00E21A8A"/>
    <w:rsid w:val="00E21BB4"/>
    <w:rsid w:val="00E22487"/>
    <w:rsid w:val="00E2268D"/>
    <w:rsid w:val="00E22BBA"/>
    <w:rsid w:val="00E23161"/>
    <w:rsid w:val="00E2365A"/>
    <w:rsid w:val="00E239F7"/>
    <w:rsid w:val="00E2504E"/>
    <w:rsid w:val="00E2583A"/>
    <w:rsid w:val="00E258F6"/>
    <w:rsid w:val="00E25F60"/>
    <w:rsid w:val="00E25FD9"/>
    <w:rsid w:val="00E25FE7"/>
    <w:rsid w:val="00E264BD"/>
    <w:rsid w:val="00E26566"/>
    <w:rsid w:val="00E26983"/>
    <w:rsid w:val="00E27B51"/>
    <w:rsid w:val="00E27BE7"/>
    <w:rsid w:val="00E3036B"/>
    <w:rsid w:val="00E30437"/>
    <w:rsid w:val="00E3048A"/>
    <w:rsid w:val="00E308B4"/>
    <w:rsid w:val="00E30D10"/>
    <w:rsid w:val="00E30E8F"/>
    <w:rsid w:val="00E31447"/>
    <w:rsid w:val="00E31611"/>
    <w:rsid w:val="00E31718"/>
    <w:rsid w:val="00E31A0C"/>
    <w:rsid w:val="00E31C57"/>
    <w:rsid w:val="00E32665"/>
    <w:rsid w:val="00E33604"/>
    <w:rsid w:val="00E340B5"/>
    <w:rsid w:val="00E34BD3"/>
    <w:rsid w:val="00E34D0E"/>
    <w:rsid w:val="00E353AB"/>
    <w:rsid w:val="00E353BE"/>
    <w:rsid w:val="00E353E2"/>
    <w:rsid w:val="00E354CB"/>
    <w:rsid w:val="00E35FDC"/>
    <w:rsid w:val="00E363EB"/>
    <w:rsid w:val="00E364C1"/>
    <w:rsid w:val="00E36536"/>
    <w:rsid w:val="00E37E14"/>
    <w:rsid w:val="00E37EB4"/>
    <w:rsid w:val="00E402A1"/>
    <w:rsid w:val="00E40766"/>
    <w:rsid w:val="00E4167E"/>
    <w:rsid w:val="00E4189A"/>
    <w:rsid w:val="00E41D5B"/>
    <w:rsid w:val="00E42031"/>
    <w:rsid w:val="00E4206D"/>
    <w:rsid w:val="00E422F7"/>
    <w:rsid w:val="00E4231A"/>
    <w:rsid w:val="00E425DB"/>
    <w:rsid w:val="00E426EE"/>
    <w:rsid w:val="00E42898"/>
    <w:rsid w:val="00E43347"/>
    <w:rsid w:val="00E43708"/>
    <w:rsid w:val="00E43B4E"/>
    <w:rsid w:val="00E43C2D"/>
    <w:rsid w:val="00E44774"/>
    <w:rsid w:val="00E44991"/>
    <w:rsid w:val="00E44F06"/>
    <w:rsid w:val="00E44F18"/>
    <w:rsid w:val="00E450AA"/>
    <w:rsid w:val="00E45292"/>
    <w:rsid w:val="00E4546C"/>
    <w:rsid w:val="00E45576"/>
    <w:rsid w:val="00E46129"/>
    <w:rsid w:val="00E463EC"/>
    <w:rsid w:val="00E4651D"/>
    <w:rsid w:val="00E46C18"/>
    <w:rsid w:val="00E46C7C"/>
    <w:rsid w:val="00E46F17"/>
    <w:rsid w:val="00E473B7"/>
    <w:rsid w:val="00E47D11"/>
    <w:rsid w:val="00E47F34"/>
    <w:rsid w:val="00E50249"/>
    <w:rsid w:val="00E50482"/>
    <w:rsid w:val="00E504FC"/>
    <w:rsid w:val="00E50B2D"/>
    <w:rsid w:val="00E50F15"/>
    <w:rsid w:val="00E50F2E"/>
    <w:rsid w:val="00E5159F"/>
    <w:rsid w:val="00E51607"/>
    <w:rsid w:val="00E51876"/>
    <w:rsid w:val="00E51E1F"/>
    <w:rsid w:val="00E51F2C"/>
    <w:rsid w:val="00E52C06"/>
    <w:rsid w:val="00E52F79"/>
    <w:rsid w:val="00E5372E"/>
    <w:rsid w:val="00E54303"/>
    <w:rsid w:val="00E547E3"/>
    <w:rsid w:val="00E54D5D"/>
    <w:rsid w:val="00E54D65"/>
    <w:rsid w:val="00E54E12"/>
    <w:rsid w:val="00E55247"/>
    <w:rsid w:val="00E553BB"/>
    <w:rsid w:val="00E557B0"/>
    <w:rsid w:val="00E55842"/>
    <w:rsid w:val="00E55DC0"/>
    <w:rsid w:val="00E562DB"/>
    <w:rsid w:val="00E569DF"/>
    <w:rsid w:val="00E56AA1"/>
    <w:rsid w:val="00E56C3F"/>
    <w:rsid w:val="00E56D8D"/>
    <w:rsid w:val="00E56EDE"/>
    <w:rsid w:val="00E573D3"/>
    <w:rsid w:val="00E57779"/>
    <w:rsid w:val="00E57861"/>
    <w:rsid w:val="00E604CC"/>
    <w:rsid w:val="00E608DD"/>
    <w:rsid w:val="00E60ACF"/>
    <w:rsid w:val="00E6159E"/>
    <w:rsid w:val="00E6181C"/>
    <w:rsid w:val="00E61D31"/>
    <w:rsid w:val="00E62273"/>
    <w:rsid w:val="00E624D7"/>
    <w:rsid w:val="00E6259C"/>
    <w:rsid w:val="00E62C1A"/>
    <w:rsid w:val="00E62D42"/>
    <w:rsid w:val="00E62E4C"/>
    <w:rsid w:val="00E63436"/>
    <w:rsid w:val="00E636AF"/>
    <w:rsid w:val="00E63839"/>
    <w:rsid w:val="00E646DB"/>
    <w:rsid w:val="00E64730"/>
    <w:rsid w:val="00E64EBB"/>
    <w:rsid w:val="00E656DD"/>
    <w:rsid w:val="00E657B0"/>
    <w:rsid w:val="00E65BAC"/>
    <w:rsid w:val="00E66073"/>
    <w:rsid w:val="00E663A3"/>
    <w:rsid w:val="00E66A90"/>
    <w:rsid w:val="00E6753A"/>
    <w:rsid w:val="00E679F5"/>
    <w:rsid w:val="00E70CEE"/>
    <w:rsid w:val="00E70F91"/>
    <w:rsid w:val="00E71198"/>
    <w:rsid w:val="00E71339"/>
    <w:rsid w:val="00E7162D"/>
    <w:rsid w:val="00E71707"/>
    <w:rsid w:val="00E721BA"/>
    <w:rsid w:val="00E722C1"/>
    <w:rsid w:val="00E72476"/>
    <w:rsid w:val="00E7283F"/>
    <w:rsid w:val="00E7288F"/>
    <w:rsid w:val="00E72EEC"/>
    <w:rsid w:val="00E730AF"/>
    <w:rsid w:val="00E731AB"/>
    <w:rsid w:val="00E73251"/>
    <w:rsid w:val="00E7336A"/>
    <w:rsid w:val="00E73CA5"/>
    <w:rsid w:val="00E744B3"/>
    <w:rsid w:val="00E748A3"/>
    <w:rsid w:val="00E75169"/>
    <w:rsid w:val="00E755DD"/>
    <w:rsid w:val="00E75C38"/>
    <w:rsid w:val="00E75E14"/>
    <w:rsid w:val="00E763A0"/>
    <w:rsid w:val="00E76584"/>
    <w:rsid w:val="00E7683C"/>
    <w:rsid w:val="00E77015"/>
    <w:rsid w:val="00E7762E"/>
    <w:rsid w:val="00E7765B"/>
    <w:rsid w:val="00E77705"/>
    <w:rsid w:val="00E77B57"/>
    <w:rsid w:val="00E80051"/>
    <w:rsid w:val="00E8025D"/>
    <w:rsid w:val="00E80456"/>
    <w:rsid w:val="00E80A0F"/>
    <w:rsid w:val="00E80A82"/>
    <w:rsid w:val="00E80CC9"/>
    <w:rsid w:val="00E80F95"/>
    <w:rsid w:val="00E81A90"/>
    <w:rsid w:val="00E81B0D"/>
    <w:rsid w:val="00E81BA4"/>
    <w:rsid w:val="00E81C38"/>
    <w:rsid w:val="00E81DEC"/>
    <w:rsid w:val="00E81E89"/>
    <w:rsid w:val="00E827E9"/>
    <w:rsid w:val="00E82D4D"/>
    <w:rsid w:val="00E82E79"/>
    <w:rsid w:val="00E836D7"/>
    <w:rsid w:val="00E83789"/>
    <w:rsid w:val="00E83CDF"/>
    <w:rsid w:val="00E84018"/>
    <w:rsid w:val="00E8405E"/>
    <w:rsid w:val="00E8414C"/>
    <w:rsid w:val="00E84165"/>
    <w:rsid w:val="00E8416A"/>
    <w:rsid w:val="00E845E4"/>
    <w:rsid w:val="00E8489E"/>
    <w:rsid w:val="00E848AF"/>
    <w:rsid w:val="00E8499F"/>
    <w:rsid w:val="00E84B2E"/>
    <w:rsid w:val="00E84FF0"/>
    <w:rsid w:val="00E85143"/>
    <w:rsid w:val="00E851A3"/>
    <w:rsid w:val="00E85371"/>
    <w:rsid w:val="00E854D1"/>
    <w:rsid w:val="00E85BB4"/>
    <w:rsid w:val="00E85E62"/>
    <w:rsid w:val="00E86469"/>
    <w:rsid w:val="00E8648F"/>
    <w:rsid w:val="00E864D7"/>
    <w:rsid w:val="00E865F4"/>
    <w:rsid w:val="00E86FE3"/>
    <w:rsid w:val="00E87AE6"/>
    <w:rsid w:val="00E87B58"/>
    <w:rsid w:val="00E87BA6"/>
    <w:rsid w:val="00E9036A"/>
    <w:rsid w:val="00E908EB"/>
    <w:rsid w:val="00E9105A"/>
    <w:rsid w:val="00E9118D"/>
    <w:rsid w:val="00E918CE"/>
    <w:rsid w:val="00E91F19"/>
    <w:rsid w:val="00E92286"/>
    <w:rsid w:val="00E92816"/>
    <w:rsid w:val="00E92AEF"/>
    <w:rsid w:val="00E92C57"/>
    <w:rsid w:val="00E9348F"/>
    <w:rsid w:val="00E939DA"/>
    <w:rsid w:val="00E93B89"/>
    <w:rsid w:val="00E94497"/>
    <w:rsid w:val="00E94F91"/>
    <w:rsid w:val="00E9508B"/>
    <w:rsid w:val="00E95278"/>
    <w:rsid w:val="00E953A4"/>
    <w:rsid w:val="00E95CEE"/>
    <w:rsid w:val="00E96395"/>
    <w:rsid w:val="00E965E1"/>
    <w:rsid w:val="00E96BD1"/>
    <w:rsid w:val="00E96F30"/>
    <w:rsid w:val="00E96F5B"/>
    <w:rsid w:val="00E970FD"/>
    <w:rsid w:val="00E9763F"/>
    <w:rsid w:val="00E97886"/>
    <w:rsid w:val="00E97F1E"/>
    <w:rsid w:val="00E97FE6"/>
    <w:rsid w:val="00EA0011"/>
    <w:rsid w:val="00EA02A8"/>
    <w:rsid w:val="00EA06BE"/>
    <w:rsid w:val="00EA073A"/>
    <w:rsid w:val="00EA0818"/>
    <w:rsid w:val="00EA0DAE"/>
    <w:rsid w:val="00EA1090"/>
    <w:rsid w:val="00EA191E"/>
    <w:rsid w:val="00EA24B3"/>
    <w:rsid w:val="00EA25A2"/>
    <w:rsid w:val="00EA2785"/>
    <w:rsid w:val="00EA2B2B"/>
    <w:rsid w:val="00EA2BA9"/>
    <w:rsid w:val="00EA2C49"/>
    <w:rsid w:val="00EA35D4"/>
    <w:rsid w:val="00EA44AA"/>
    <w:rsid w:val="00EA4EA5"/>
    <w:rsid w:val="00EA4EE0"/>
    <w:rsid w:val="00EA5222"/>
    <w:rsid w:val="00EA548D"/>
    <w:rsid w:val="00EA54E3"/>
    <w:rsid w:val="00EA5AF2"/>
    <w:rsid w:val="00EA5B60"/>
    <w:rsid w:val="00EA5C11"/>
    <w:rsid w:val="00EA66E5"/>
    <w:rsid w:val="00EA6C23"/>
    <w:rsid w:val="00EA7ABE"/>
    <w:rsid w:val="00EB03FE"/>
    <w:rsid w:val="00EB0592"/>
    <w:rsid w:val="00EB0ABF"/>
    <w:rsid w:val="00EB0AD7"/>
    <w:rsid w:val="00EB104A"/>
    <w:rsid w:val="00EB14E7"/>
    <w:rsid w:val="00EB1707"/>
    <w:rsid w:val="00EB172A"/>
    <w:rsid w:val="00EB17B1"/>
    <w:rsid w:val="00EB1B52"/>
    <w:rsid w:val="00EB1E54"/>
    <w:rsid w:val="00EB2159"/>
    <w:rsid w:val="00EB29DF"/>
    <w:rsid w:val="00EB2D41"/>
    <w:rsid w:val="00EB35E8"/>
    <w:rsid w:val="00EB3B35"/>
    <w:rsid w:val="00EB3DEB"/>
    <w:rsid w:val="00EB407D"/>
    <w:rsid w:val="00EB4215"/>
    <w:rsid w:val="00EB439C"/>
    <w:rsid w:val="00EB48E9"/>
    <w:rsid w:val="00EB4C9D"/>
    <w:rsid w:val="00EB5158"/>
    <w:rsid w:val="00EB5759"/>
    <w:rsid w:val="00EB5922"/>
    <w:rsid w:val="00EB5AA6"/>
    <w:rsid w:val="00EB61F9"/>
    <w:rsid w:val="00EB69FE"/>
    <w:rsid w:val="00EB7019"/>
    <w:rsid w:val="00EB734A"/>
    <w:rsid w:val="00EB7464"/>
    <w:rsid w:val="00EB7FAB"/>
    <w:rsid w:val="00EC0396"/>
    <w:rsid w:val="00EC0413"/>
    <w:rsid w:val="00EC050A"/>
    <w:rsid w:val="00EC0D4F"/>
    <w:rsid w:val="00EC18DB"/>
    <w:rsid w:val="00EC1AA8"/>
    <w:rsid w:val="00EC1F7F"/>
    <w:rsid w:val="00EC2F5F"/>
    <w:rsid w:val="00EC2FE4"/>
    <w:rsid w:val="00EC3180"/>
    <w:rsid w:val="00EC393C"/>
    <w:rsid w:val="00EC4F62"/>
    <w:rsid w:val="00EC50A6"/>
    <w:rsid w:val="00EC5506"/>
    <w:rsid w:val="00EC6145"/>
    <w:rsid w:val="00EC6200"/>
    <w:rsid w:val="00EC6703"/>
    <w:rsid w:val="00EC68EF"/>
    <w:rsid w:val="00EC69EE"/>
    <w:rsid w:val="00EC6E27"/>
    <w:rsid w:val="00EC6E68"/>
    <w:rsid w:val="00EC72AD"/>
    <w:rsid w:val="00EC7382"/>
    <w:rsid w:val="00EC76A5"/>
    <w:rsid w:val="00EC7B35"/>
    <w:rsid w:val="00ED01A3"/>
    <w:rsid w:val="00ED0A49"/>
    <w:rsid w:val="00ED0E51"/>
    <w:rsid w:val="00ED1164"/>
    <w:rsid w:val="00ED11DE"/>
    <w:rsid w:val="00ED1283"/>
    <w:rsid w:val="00ED1B91"/>
    <w:rsid w:val="00ED1C28"/>
    <w:rsid w:val="00ED20A2"/>
    <w:rsid w:val="00ED25AF"/>
    <w:rsid w:val="00ED2AA7"/>
    <w:rsid w:val="00ED2AB7"/>
    <w:rsid w:val="00ED2E4A"/>
    <w:rsid w:val="00ED31C7"/>
    <w:rsid w:val="00ED329F"/>
    <w:rsid w:val="00ED332C"/>
    <w:rsid w:val="00ED3598"/>
    <w:rsid w:val="00ED36BC"/>
    <w:rsid w:val="00ED3B3F"/>
    <w:rsid w:val="00ED473A"/>
    <w:rsid w:val="00ED48AB"/>
    <w:rsid w:val="00ED4ECC"/>
    <w:rsid w:val="00ED50A9"/>
    <w:rsid w:val="00ED5D4F"/>
    <w:rsid w:val="00ED5DA6"/>
    <w:rsid w:val="00ED6383"/>
    <w:rsid w:val="00ED7302"/>
    <w:rsid w:val="00ED760E"/>
    <w:rsid w:val="00ED7A62"/>
    <w:rsid w:val="00ED7F5C"/>
    <w:rsid w:val="00EE01D0"/>
    <w:rsid w:val="00EE07FE"/>
    <w:rsid w:val="00EE0BF4"/>
    <w:rsid w:val="00EE1D7E"/>
    <w:rsid w:val="00EE1FBB"/>
    <w:rsid w:val="00EE1FFA"/>
    <w:rsid w:val="00EE20B4"/>
    <w:rsid w:val="00EE20F1"/>
    <w:rsid w:val="00EE2D86"/>
    <w:rsid w:val="00EE3D00"/>
    <w:rsid w:val="00EE4005"/>
    <w:rsid w:val="00EE4712"/>
    <w:rsid w:val="00EE4E6E"/>
    <w:rsid w:val="00EE4F13"/>
    <w:rsid w:val="00EE5383"/>
    <w:rsid w:val="00EE64EE"/>
    <w:rsid w:val="00EE6ABC"/>
    <w:rsid w:val="00EE6B74"/>
    <w:rsid w:val="00EE7197"/>
    <w:rsid w:val="00EE7955"/>
    <w:rsid w:val="00EE7B1D"/>
    <w:rsid w:val="00EE7D52"/>
    <w:rsid w:val="00EE7EDF"/>
    <w:rsid w:val="00EF02CB"/>
    <w:rsid w:val="00EF034C"/>
    <w:rsid w:val="00EF06F4"/>
    <w:rsid w:val="00EF0D84"/>
    <w:rsid w:val="00EF110D"/>
    <w:rsid w:val="00EF14C1"/>
    <w:rsid w:val="00EF1A9E"/>
    <w:rsid w:val="00EF2D20"/>
    <w:rsid w:val="00EF364E"/>
    <w:rsid w:val="00EF3A07"/>
    <w:rsid w:val="00EF3DE3"/>
    <w:rsid w:val="00EF402D"/>
    <w:rsid w:val="00EF4698"/>
    <w:rsid w:val="00EF5078"/>
    <w:rsid w:val="00EF5AF0"/>
    <w:rsid w:val="00EF6242"/>
    <w:rsid w:val="00EF7A36"/>
    <w:rsid w:val="00F0015A"/>
    <w:rsid w:val="00F00213"/>
    <w:rsid w:val="00F00689"/>
    <w:rsid w:val="00F007D3"/>
    <w:rsid w:val="00F00E30"/>
    <w:rsid w:val="00F01653"/>
    <w:rsid w:val="00F01D17"/>
    <w:rsid w:val="00F01D1A"/>
    <w:rsid w:val="00F01E52"/>
    <w:rsid w:val="00F0211A"/>
    <w:rsid w:val="00F0220E"/>
    <w:rsid w:val="00F030A9"/>
    <w:rsid w:val="00F036E6"/>
    <w:rsid w:val="00F03BF1"/>
    <w:rsid w:val="00F0416E"/>
    <w:rsid w:val="00F041AF"/>
    <w:rsid w:val="00F047E3"/>
    <w:rsid w:val="00F0515D"/>
    <w:rsid w:val="00F056BF"/>
    <w:rsid w:val="00F05D73"/>
    <w:rsid w:val="00F05DD6"/>
    <w:rsid w:val="00F05E58"/>
    <w:rsid w:val="00F065BB"/>
    <w:rsid w:val="00F0670D"/>
    <w:rsid w:val="00F06F24"/>
    <w:rsid w:val="00F075B9"/>
    <w:rsid w:val="00F1049C"/>
    <w:rsid w:val="00F10A18"/>
    <w:rsid w:val="00F10B01"/>
    <w:rsid w:val="00F11354"/>
    <w:rsid w:val="00F11590"/>
    <w:rsid w:val="00F1171B"/>
    <w:rsid w:val="00F12262"/>
    <w:rsid w:val="00F122AA"/>
    <w:rsid w:val="00F123F0"/>
    <w:rsid w:val="00F127FC"/>
    <w:rsid w:val="00F13046"/>
    <w:rsid w:val="00F1315D"/>
    <w:rsid w:val="00F13866"/>
    <w:rsid w:val="00F13E3C"/>
    <w:rsid w:val="00F143DE"/>
    <w:rsid w:val="00F14594"/>
    <w:rsid w:val="00F1476A"/>
    <w:rsid w:val="00F14EB6"/>
    <w:rsid w:val="00F15139"/>
    <w:rsid w:val="00F151A8"/>
    <w:rsid w:val="00F1586A"/>
    <w:rsid w:val="00F15C24"/>
    <w:rsid w:val="00F15DD9"/>
    <w:rsid w:val="00F16B05"/>
    <w:rsid w:val="00F174C5"/>
    <w:rsid w:val="00F17656"/>
    <w:rsid w:val="00F179F8"/>
    <w:rsid w:val="00F20661"/>
    <w:rsid w:val="00F206BD"/>
    <w:rsid w:val="00F20D88"/>
    <w:rsid w:val="00F21A82"/>
    <w:rsid w:val="00F22546"/>
    <w:rsid w:val="00F22978"/>
    <w:rsid w:val="00F23B56"/>
    <w:rsid w:val="00F23E48"/>
    <w:rsid w:val="00F241EC"/>
    <w:rsid w:val="00F244E7"/>
    <w:rsid w:val="00F245C9"/>
    <w:rsid w:val="00F246E0"/>
    <w:rsid w:val="00F24A94"/>
    <w:rsid w:val="00F24AA9"/>
    <w:rsid w:val="00F24C79"/>
    <w:rsid w:val="00F2503C"/>
    <w:rsid w:val="00F251BC"/>
    <w:rsid w:val="00F25700"/>
    <w:rsid w:val="00F2588F"/>
    <w:rsid w:val="00F26913"/>
    <w:rsid w:val="00F26A45"/>
    <w:rsid w:val="00F26B30"/>
    <w:rsid w:val="00F26D49"/>
    <w:rsid w:val="00F30257"/>
    <w:rsid w:val="00F30367"/>
    <w:rsid w:val="00F3076A"/>
    <w:rsid w:val="00F30870"/>
    <w:rsid w:val="00F30B28"/>
    <w:rsid w:val="00F30F58"/>
    <w:rsid w:val="00F314E4"/>
    <w:rsid w:val="00F315FA"/>
    <w:rsid w:val="00F31D87"/>
    <w:rsid w:val="00F32126"/>
    <w:rsid w:val="00F32846"/>
    <w:rsid w:val="00F333A0"/>
    <w:rsid w:val="00F33C34"/>
    <w:rsid w:val="00F33F91"/>
    <w:rsid w:val="00F345AA"/>
    <w:rsid w:val="00F34AF4"/>
    <w:rsid w:val="00F3508E"/>
    <w:rsid w:val="00F35119"/>
    <w:rsid w:val="00F35733"/>
    <w:rsid w:val="00F35C7E"/>
    <w:rsid w:val="00F35D9F"/>
    <w:rsid w:val="00F3618C"/>
    <w:rsid w:val="00F36949"/>
    <w:rsid w:val="00F36A54"/>
    <w:rsid w:val="00F37297"/>
    <w:rsid w:val="00F40A6D"/>
    <w:rsid w:val="00F410E3"/>
    <w:rsid w:val="00F42253"/>
    <w:rsid w:val="00F42C37"/>
    <w:rsid w:val="00F42D82"/>
    <w:rsid w:val="00F430A0"/>
    <w:rsid w:val="00F4331D"/>
    <w:rsid w:val="00F436B6"/>
    <w:rsid w:val="00F436BA"/>
    <w:rsid w:val="00F440AB"/>
    <w:rsid w:val="00F44104"/>
    <w:rsid w:val="00F442D7"/>
    <w:rsid w:val="00F44B5D"/>
    <w:rsid w:val="00F4513E"/>
    <w:rsid w:val="00F45883"/>
    <w:rsid w:val="00F45F60"/>
    <w:rsid w:val="00F4637C"/>
    <w:rsid w:val="00F46DCB"/>
    <w:rsid w:val="00F47B65"/>
    <w:rsid w:val="00F47F1A"/>
    <w:rsid w:val="00F502C5"/>
    <w:rsid w:val="00F50353"/>
    <w:rsid w:val="00F50390"/>
    <w:rsid w:val="00F50AC2"/>
    <w:rsid w:val="00F50DDD"/>
    <w:rsid w:val="00F50E63"/>
    <w:rsid w:val="00F50FDC"/>
    <w:rsid w:val="00F511A7"/>
    <w:rsid w:val="00F513A0"/>
    <w:rsid w:val="00F51B01"/>
    <w:rsid w:val="00F5265C"/>
    <w:rsid w:val="00F52BBF"/>
    <w:rsid w:val="00F53187"/>
    <w:rsid w:val="00F53535"/>
    <w:rsid w:val="00F5371E"/>
    <w:rsid w:val="00F54001"/>
    <w:rsid w:val="00F54239"/>
    <w:rsid w:val="00F5449D"/>
    <w:rsid w:val="00F54D0A"/>
    <w:rsid w:val="00F55292"/>
    <w:rsid w:val="00F5572F"/>
    <w:rsid w:val="00F55BB3"/>
    <w:rsid w:val="00F55C0B"/>
    <w:rsid w:val="00F55F63"/>
    <w:rsid w:val="00F5655E"/>
    <w:rsid w:val="00F56569"/>
    <w:rsid w:val="00F5694C"/>
    <w:rsid w:val="00F56BAD"/>
    <w:rsid w:val="00F56C21"/>
    <w:rsid w:val="00F57140"/>
    <w:rsid w:val="00F575C2"/>
    <w:rsid w:val="00F577CA"/>
    <w:rsid w:val="00F601EB"/>
    <w:rsid w:val="00F61946"/>
    <w:rsid w:val="00F619B5"/>
    <w:rsid w:val="00F61B30"/>
    <w:rsid w:val="00F61EAC"/>
    <w:rsid w:val="00F622BD"/>
    <w:rsid w:val="00F623B4"/>
    <w:rsid w:val="00F6256B"/>
    <w:rsid w:val="00F62693"/>
    <w:rsid w:val="00F63594"/>
    <w:rsid w:val="00F63CFA"/>
    <w:rsid w:val="00F64EDC"/>
    <w:rsid w:val="00F64FD0"/>
    <w:rsid w:val="00F65925"/>
    <w:rsid w:val="00F65961"/>
    <w:rsid w:val="00F668BC"/>
    <w:rsid w:val="00F67307"/>
    <w:rsid w:val="00F67616"/>
    <w:rsid w:val="00F67809"/>
    <w:rsid w:val="00F67B3E"/>
    <w:rsid w:val="00F706C7"/>
    <w:rsid w:val="00F70CD6"/>
    <w:rsid w:val="00F711C9"/>
    <w:rsid w:val="00F71795"/>
    <w:rsid w:val="00F71E3C"/>
    <w:rsid w:val="00F71EDD"/>
    <w:rsid w:val="00F72527"/>
    <w:rsid w:val="00F72544"/>
    <w:rsid w:val="00F728AB"/>
    <w:rsid w:val="00F72DC3"/>
    <w:rsid w:val="00F74613"/>
    <w:rsid w:val="00F74D67"/>
    <w:rsid w:val="00F750CE"/>
    <w:rsid w:val="00F7529A"/>
    <w:rsid w:val="00F752DE"/>
    <w:rsid w:val="00F75C00"/>
    <w:rsid w:val="00F75F92"/>
    <w:rsid w:val="00F7604A"/>
    <w:rsid w:val="00F76161"/>
    <w:rsid w:val="00F761D8"/>
    <w:rsid w:val="00F76BA1"/>
    <w:rsid w:val="00F77680"/>
    <w:rsid w:val="00F77886"/>
    <w:rsid w:val="00F77C26"/>
    <w:rsid w:val="00F77D2E"/>
    <w:rsid w:val="00F81351"/>
    <w:rsid w:val="00F8136A"/>
    <w:rsid w:val="00F81B76"/>
    <w:rsid w:val="00F823CA"/>
    <w:rsid w:val="00F8249B"/>
    <w:rsid w:val="00F82BC6"/>
    <w:rsid w:val="00F82C0B"/>
    <w:rsid w:val="00F82E79"/>
    <w:rsid w:val="00F84359"/>
    <w:rsid w:val="00F84565"/>
    <w:rsid w:val="00F84D81"/>
    <w:rsid w:val="00F850E7"/>
    <w:rsid w:val="00F8534E"/>
    <w:rsid w:val="00F85446"/>
    <w:rsid w:val="00F8626D"/>
    <w:rsid w:val="00F8628F"/>
    <w:rsid w:val="00F863FE"/>
    <w:rsid w:val="00F865B0"/>
    <w:rsid w:val="00F867B8"/>
    <w:rsid w:val="00F8695E"/>
    <w:rsid w:val="00F86C44"/>
    <w:rsid w:val="00F86F75"/>
    <w:rsid w:val="00F87B12"/>
    <w:rsid w:val="00F87B67"/>
    <w:rsid w:val="00F90E10"/>
    <w:rsid w:val="00F910A4"/>
    <w:rsid w:val="00F91EF4"/>
    <w:rsid w:val="00F92089"/>
    <w:rsid w:val="00F920E6"/>
    <w:rsid w:val="00F923FB"/>
    <w:rsid w:val="00F92B9D"/>
    <w:rsid w:val="00F92C1D"/>
    <w:rsid w:val="00F92DD2"/>
    <w:rsid w:val="00F93627"/>
    <w:rsid w:val="00F93D19"/>
    <w:rsid w:val="00F941D8"/>
    <w:rsid w:val="00F941DA"/>
    <w:rsid w:val="00F9469D"/>
    <w:rsid w:val="00F94846"/>
    <w:rsid w:val="00F94BEB"/>
    <w:rsid w:val="00F94D0A"/>
    <w:rsid w:val="00F94EDB"/>
    <w:rsid w:val="00F95039"/>
    <w:rsid w:val="00F96212"/>
    <w:rsid w:val="00F964EC"/>
    <w:rsid w:val="00F9664D"/>
    <w:rsid w:val="00F9665E"/>
    <w:rsid w:val="00F96F63"/>
    <w:rsid w:val="00F9706C"/>
    <w:rsid w:val="00F971A7"/>
    <w:rsid w:val="00F976B4"/>
    <w:rsid w:val="00F979C0"/>
    <w:rsid w:val="00F97ED2"/>
    <w:rsid w:val="00FA04B1"/>
    <w:rsid w:val="00FA074B"/>
    <w:rsid w:val="00FA0ABF"/>
    <w:rsid w:val="00FA0DCE"/>
    <w:rsid w:val="00FA1C01"/>
    <w:rsid w:val="00FA22C8"/>
    <w:rsid w:val="00FA27AD"/>
    <w:rsid w:val="00FA2B45"/>
    <w:rsid w:val="00FA2DF7"/>
    <w:rsid w:val="00FA35AC"/>
    <w:rsid w:val="00FA3BCF"/>
    <w:rsid w:val="00FA3F85"/>
    <w:rsid w:val="00FA4136"/>
    <w:rsid w:val="00FA41C9"/>
    <w:rsid w:val="00FA4462"/>
    <w:rsid w:val="00FA4DCC"/>
    <w:rsid w:val="00FA4FA7"/>
    <w:rsid w:val="00FA4FDD"/>
    <w:rsid w:val="00FA5314"/>
    <w:rsid w:val="00FA5836"/>
    <w:rsid w:val="00FA5BA5"/>
    <w:rsid w:val="00FA5F46"/>
    <w:rsid w:val="00FA61DD"/>
    <w:rsid w:val="00FA6804"/>
    <w:rsid w:val="00FA6830"/>
    <w:rsid w:val="00FA6D1E"/>
    <w:rsid w:val="00FA6E8F"/>
    <w:rsid w:val="00FA70E9"/>
    <w:rsid w:val="00FA7320"/>
    <w:rsid w:val="00FA7798"/>
    <w:rsid w:val="00FA7A80"/>
    <w:rsid w:val="00FA7DDC"/>
    <w:rsid w:val="00FB00F9"/>
    <w:rsid w:val="00FB021D"/>
    <w:rsid w:val="00FB07E0"/>
    <w:rsid w:val="00FB1202"/>
    <w:rsid w:val="00FB12B5"/>
    <w:rsid w:val="00FB1908"/>
    <w:rsid w:val="00FB19D5"/>
    <w:rsid w:val="00FB2112"/>
    <w:rsid w:val="00FB2278"/>
    <w:rsid w:val="00FB22D1"/>
    <w:rsid w:val="00FB3A5A"/>
    <w:rsid w:val="00FB4F62"/>
    <w:rsid w:val="00FB567C"/>
    <w:rsid w:val="00FB58C6"/>
    <w:rsid w:val="00FB5C85"/>
    <w:rsid w:val="00FB6C5E"/>
    <w:rsid w:val="00FB6C93"/>
    <w:rsid w:val="00FB6CCF"/>
    <w:rsid w:val="00FB756A"/>
    <w:rsid w:val="00FB7ADB"/>
    <w:rsid w:val="00FB7B5D"/>
    <w:rsid w:val="00FC0AE1"/>
    <w:rsid w:val="00FC0D0F"/>
    <w:rsid w:val="00FC0F26"/>
    <w:rsid w:val="00FC0FF5"/>
    <w:rsid w:val="00FC1112"/>
    <w:rsid w:val="00FC1204"/>
    <w:rsid w:val="00FC196E"/>
    <w:rsid w:val="00FC1D2C"/>
    <w:rsid w:val="00FC25F4"/>
    <w:rsid w:val="00FC2F6F"/>
    <w:rsid w:val="00FC356C"/>
    <w:rsid w:val="00FC369D"/>
    <w:rsid w:val="00FC36AD"/>
    <w:rsid w:val="00FC413F"/>
    <w:rsid w:val="00FC45D5"/>
    <w:rsid w:val="00FC47FA"/>
    <w:rsid w:val="00FC4D91"/>
    <w:rsid w:val="00FC5F48"/>
    <w:rsid w:val="00FC6A26"/>
    <w:rsid w:val="00FC6A41"/>
    <w:rsid w:val="00FC7A5A"/>
    <w:rsid w:val="00FD02CB"/>
    <w:rsid w:val="00FD03D0"/>
    <w:rsid w:val="00FD111D"/>
    <w:rsid w:val="00FD1A26"/>
    <w:rsid w:val="00FD1E45"/>
    <w:rsid w:val="00FD21A0"/>
    <w:rsid w:val="00FD282D"/>
    <w:rsid w:val="00FD2BE9"/>
    <w:rsid w:val="00FD2D06"/>
    <w:rsid w:val="00FD2D81"/>
    <w:rsid w:val="00FD2DA9"/>
    <w:rsid w:val="00FD2DC0"/>
    <w:rsid w:val="00FD3E41"/>
    <w:rsid w:val="00FD4261"/>
    <w:rsid w:val="00FD42DD"/>
    <w:rsid w:val="00FD4E02"/>
    <w:rsid w:val="00FD505C"/>
    <w:rsid w:val="00FD55D0"/>
    <w:rsid w:val="00FD5696"/>
    <w:rsid w:val="00FD595C"/>
    <w:rsid w:val="00FD679F"/>
    <w:rsid w:val="00FD6843"/>
    <w:rsid w:val="00FD699E"/>
    <w:rsid w:val="00FD6BDF"/>
    <w:rsid w:val="00FD6F89"/>
    <w:rsid w:val="00FD7002"/>
    <w:rsid w:val="00FD7C3C"/>
    <w:rsid w:val="00FE0BA4"/>
    <w:rsid w:val="00FE0BAB"/>
    <w:rsid w:val="00FE1A2A"/>
    <w:rsid w:val="00FE1B30"/>
    <w:rsid w:val="00FE20C1"/>
    <w:rsid w:val="00FE242A"/>
    <w:rsid w:val="00FE25DB"/>
    <w:rsid w:val="00FE28FD"/>
    <w:rsid w:val="00FE29FE"/>
    <w:rsid w:val="00FE2B20"/>
    <w:rsid w:val="00FE314A"/>
    <w:rsid w:val="00FE4172"/>
    <w:rsid w:val="00FE42D8"/>
    <w:rsid w:val="00FE48C1"/>
    <w:rsid w:val="00FE4B59"/>
    <w:rsid w:val="00FE4CE8"/>
    <w:rsid w:val="00FE538D"/>
    <w:rsid w:val="00FE5F6A"/>
    <w:rsid w:val="00FE6357"/>
    <w:rsid w:val="00FE651C"/>
    <w:rsid w:val="00FE67A6"/>
    <w:rsid w:val="00FE69D8"/>
    <w:rsid w:val="00FE6B32"/>
    <w:rsid w:val="00FE6C48"/>
    <w:rsid w:val="00FE6CA1"/>
    <w:rsid w:val="00FE71FB"/>
    <w:rsid w:val="00FE7AC8"/>
    <w:rsid w:val="00FE7C3F"/>
    <w:rsid w:val="00FF03DD"/>
    <w:rsid w:val="00FF065C"/>
    <w:rsid w:val="00FF0D1E"/>
    <w:rsid w:val="00FF12A2"/>
    <w:rsid w:val="00FF12E8"/>
    <w:rsid w:val="00FF13C9"/>
    <w:rsid w:val="00FF1572"/>
    <w:rsid w:val="00FF16DB"/>
    <w:rsid w:val="00FF1A8C"/>
    <w:rsid w:val="00FF1AD8"/>
    <w:rsid w:val="00FF23DC"/>
    <w:rsid w:val="00FF29A5"/>
    <w:rsid w:val="00FF2C3A"/>
    <w:rsid w:val="00FF2E44"/>
    <w:rsid w:val="00FF2E6D"/>
    <w:rsid w:val="00FF2EE4"/>
    <w:rsid w:val="00FF2FA6"/>
    <w:rsid w:val="00FF36AF"/>
    <w:rsid w:val="00FF3B59"/>
    <w:rsid w:val="00FF3C2F"/>
    <w:rsid w:val="00FF3C82"/>
    <w:rsid w:val="00FF411D"/>
    <w:rsid w:val="00FF4BDA"/>
    <w:rsid w:val="00FF4BE4"/>
    <w:rsid w:val="00FF544D"/>
    <w:rsid w:val="00FF55B2"/>
    <w:rsid w:val="00FF5B39"/>
    <w:rsid w:val="00FF5EC0"/>
    <w:rsid w:val="00FF60DA"/>
    <w:rsid w:val="00FF620D"/>
    <w:rsid w:val="00FF6C3D"/>
    <w:rsid w:val="00FF728D"/>
    <w:rsid w:val="00FF76E2"/>
    <w:rsid w:val="00FF787B"/>
    <w:rsid w:val="00FF7A57"/>
    <w:rsid w:val="03773FCD"/>
    <w:rsid w:val="038A6A13"/>
    <w:rsid w:val="03A67894"/>
    <w:rsid w:val="0412097F"/>
    <w:rsid w:val="041875F2"/>
    <w:rsid w:val="042A6C7B"/>
    <w:rsid w:val="043C4919"/>
    <w:rsid w:val="04591DDA"/>
    <w:rsid w:val="0578298F"/>
    <w:rsid w:val="058367F3"/>
    <w:rsid w:val="05B70EED"/>
    <w:rsid w:val="06014BB0"/>
    <w:rsid w:val="06287532"/>
    <w:rsid w:val="070446A8"/>
    <w:rsid w:val="07114F2D"/>
    <w:rsid w:val="07503866"/>
    <w:rsid w:val="08555AE0"/>
    <w:rsid w:val="09A74E62"/>
    <w:rsid w:val="09FA34F6"/>
    <w:rsid w:val="0A541B5F"/>
    <w:rsid w:val="0A814DFB"/>
    <w:rsid w:val="0B84667A"/>
    <w:rsid w:val="0B972CF8"/>
    <w:rsid w:val="0BDD6DC2"/>
    <w:rsid w:val="0C3B17FB"/>
    <w:rsid w:val="0D162FB6"/>
    <w:rsid w:val="0D2B5A98"/>
    <w:rsid w:val="0D3E6D60"/>
    <w:rsid w:val="0D520664"/>
    <w:rsid w:val="0F6D3500"/>
    <w:rsid w:val="0F823428"/>
    <w:rsid w:val="0FA61B29"/>
    <w:rsid w:val="0FD94A82"/>
    <w:rsid w:val="106F7F21"/>
    <w:rsid w:val="107906E1"/>
    <w:rsid w:val="10E7098D"/>
    <w:rsid w:val="11634361"/>
    <w:rsid w:val="11DE4EC7"/>
    <w:rsid w:val="12365DDC"/>
    <w:rsid w:val="12B902D7"/>
    <w:rsid w:val="12DA6B61"/>
    <w:rsid w:val="13121BFB"/>
    <w:rsid w:val="13311FEA"/>
    <w:rsid w:val="13522AE4"/>
    <w:rsid w:val="137C371E"/>
    <w:rsid w:val="14DB7E0E"/>
    <w:rsid w:val="15D2385A"/>
    <w:rsid w:val="16643D86"/>
    <w:rsid w:val="166940AF"/>
    <w:rsid w:val="166E5041"/>
    <w:rsid w:val="16FE5D97"/>
    <w:rsid w:val="175F01B5"/>
    <w:rsid w:val="17F0047F"/>
    <w:rsid w:val="19170825"/>
    <w:rsid w:val="191E24C5"/>
    <w:rsid w:val="19324987"/>
    <w:rsid w:val="196128CB"/>
    <w:rsid w:val="198838F7"/>
    <w:rsid w:val="19E10E17"/>
    <w:rsid w:val="19E56655"/>
    <w:rsid w:val="1A246B01"/>
    <w:rsid w:val="1BC95798"/>
    <w:rsid w:val="1C2671EE"/>
    <w:rsid w:val="1C663A84"/>
    <w:rsid w:val="1CEC068B"/>
    <w:rsid w:val="1D227876"/>
    <w:rsid w:val="1D2C6642"/>
    <w:rsid w:val="1D2D1184"/>
    <w:rsid w:val="1D855996"/>
    <w:rsid w:val="1DA964AC"/>
    <w:rsid w:val="1E664FF7"/>
    <w:rsid w:val="1E7C66B7"/>
    <w:rsid w:val="1EA46D49"/>
    <w:rsid w:val="1ECA046A"/>
    <w:rsid w:val="1F056DEF"/>
    <w:rsid w:val="1F3A41EC"/>
    <w:rsid w:val="1F775F43"/>
    <w:rsid w:val="1FC821EB"/>
    <w:rsid w:val="1FE91FC6"/>
    <w:rsid w:val="20A51442"/>
    <w:rsid w:val="210E46F9"/>
    <w:rsid w:val="21104FE2"/>
    <w:rsid w:val="21A042B6"/>
    <w:rsid w:val="21EA16A1"/>
    <w:rsid w:val="22957098"/>
    <w:rsid w:val="2334110D"/>
    <w:rsid w:val="23D21C8C"/>
    <w:rsid w:val="23E96293"/>
    <w:rsid w:val="240D32DE"/>
    <w:rsid w:val="25CE1A1A"/>
    <w:rsid w:val="25F56616"/>
    <w:rsid w:val="266022A9"/>
    <w:rsid w:val="266F774C"/>
    <w:rsid w:val="27060A84"/>
    <w:rsid w:val="27093BA8"/>
    <w:rsid w:val="27805569"/>
    <w:rsid w:val="27DE461E"/>
    <w:rsid w:val="28384AE0"/>
    <w:rsid w:val="28423438"/>
    <w:rsid w:val="28742FCD"/>
    <w:rsid w:val="2A266E5B"/>
    <w:rsid w:val="2AE25CE9"/>
    <w:rsid w:val="2B0407BA"/>
    <w:rsid w:val="2B215C22"/>
    <w:rsid w:val="2B8B5300"/>
    <w:rsid w:val="2C1877B8"/>
    <w:rsid w:val="2C2A545B"/>
    <w:rsid w:val="2C3B4D32"/>
    <w:rsid w:val="2C6F7E16"/>
    <w:rsid w:val="2C802FFA"/>
    <w:rsid w:val="2EDB7B51"/>
    <w:rsid w:val="2F012F42"/>
    <w:rsid w:val="2F0461F6"/>
    <w:rsid w:val="2FCD5B80"/>
    <w:rsid w:val="2FEF34BB"/>
    <w:rsid w:val="30271277"/>
    <w:rsid w:val="30454000"/>
    <w:rsid w:val="305D18CE"/>
    <w:rsid w:val="307E0C7E"/>
    <w:rsid w:val="30963ABE"/>
    <w:rsid w:val="32583595"/>
    <w:rsid w:val="328C28E1"/>
    <w:rsid w:val="33084A91"/>
    <w:rsid w:val="33D90B54"/>
    <w:rsid w:val="33F368F1"/>
    <w:rsid w:val="34074496"/>
    <w:rsid w:val="34234AA3"/>
    <w:rsid w:val="347A1730"/>
    <w:rsid w:val="347F6270"/>
    <w:rsid w:val="34F70F9B"/>
    <w:rsid w:val="34FB41B6"/>
    <w:rsid w:val="35240C16"/>
    <w:rsid w:val="35FC3381"/>
    <w:rsid w:val="375F45F5"/>
    <w:rsid w:val="378E645C"/>
    <w:rsid w:val="37B312C6"/>
    <w:rsid w:val="37CB5AA6"/>
    <w:rsid w:val="37F1789C"/>
    <w:rsid w:val="38261F5C"/>
    <w:rsid w:val="382734FF"/>
    <w:rsid w:val="38487C0A"/>
    <w:rsid w:val="38526DDA"/>
    <w:rsid w:val="385B0683"/>
    <w:rsid w:val="38A07371"/>
    <w:rsid w:val="38A26C50"/>
    <w:rsid w:val="3970769C"/>
    <w:rsid w:val="39DB00A6"/>
    <w:rsid w:val="3AA80A13"/>
    <w:rsid w:val="3B9535C3"/>
    <w:rsid w:val="3BF421C5"/>
    <w:rsid w:val="3C346141"/>
    <w:rsid w:val="3D083809"/>
    <w:rsid w:val="3D0C5A73"/>
    <w:rsid w:val="3D4C23DF"/>
    <w:rsid w:val="3D5E47DA"/>
    <w:rsid w:val="3D6451A4"/>
    <w:rsid w:val="3E0036C1"/>
    <w:rsid w:val="3EDD29FF"/>
    <w:rsid w:val="3FD2770B"/>
    <w:rsid w:val="40F85E65"/>
    <w:rsid w:val="41027849"/>
    <w:rsid w:val="41B46202"/>
    <w:rsid w:val="42322585"/>
    <w:rsid w:val="428211EB"/>
    <w:rsid w:val="42FA7904"/>
    <w:rsid w:val="43366F0B"/>
    <w:rsid w:val="43536A6A"/>
    <w:rsid w:val="43674568"/>
    <w:rsid w:val="43E60EC5"/>
    <w:rsid w:val="445524CC"/>
    <w:rsid w:val="45413425"/>
    <w:rsid w:val="45C557F5"/>
    <w:rsid w:val="466121F1"/>
    <w:rsid w:val="46E1018C"/>
    <w:rsid w:val="471318CD"/>
    <w:rsid w:val="473F5F86"/>
    <w:rsid w:val="47EB610B"/>
    <w:rsid w:val="47EF5C50"/>
    <w:rsid w:val="4891688B"/>
    <w:rsid w:val="49030FE6"/>
    <w:rsid w:val="494C3AA8"/>
    <w:rsid w:val="497C7AE3"/>
    <w:rsid w:val="499D17D4"/>
    <w:rsid w:val="49AC215A"/>
    <w:rsid w:val="49D12602"/>
    <w:rsid w:val="4A0701FA"/>
    <w:rsid w:val="4A854D32"/>
    <w:rsid w:val="4ACB46F9"/>
    <w:rsid w:val="4B92526E"/>
    <w:rsid w:val="4BDB64A9"/>
    <w:rsid w:val="4C3E0869"/>
    <w:rsid w:val="4C4A0C4E"/>
    <w:rsid w:val="4C5C282E"/>
    <w:rsid w:val="4C6908EF"/>
    <w:rsid w:val="4C763761"/>
    <w:rsid w:val="4CA9544A"/>
    <w:rsid w:val="4CBF58F6"/>
    <w:rsid w:val="4CFE5DF2"/>
    <w:rsid w:val="4D2B390F"/>
    <w:rsid w:val="4D784862"/>
    <w:rsid w:val="4DA42B27"/>
    <w:rsid w:val="50191555"/>
    <w:rsid w:val="50366F4E"/>
    <w:rsid w:val="504751B8"/>
    <w:rsid w:val="5085145A"/>
    <w:rsid w:val="50880AD7"/>
    <w:rsid w:val="508833E9"/>
    <w:rsid w:val="509E2F0B"/>
    <w:rsid w:val="50AC7E31"/>
    <w:rsid w:val="515537FA"/>
    <w:rsid w:val="516E0ABD"/>
    <w:rsid w:val="5175691C"/>
    <w:rsid w:val="5180370C"/>
    <w:rsid w:val="518408B4"/>
    <w:rsid w:val="519A6E60"/>
    <w:rsid w:val="51A3710E"/>
    <w:rsid w:val="52234233"/>
    <w:rsid w:val="526A773F"/>
    <w:rsid w:val="52794649"/>
    <w:rsid w:val="528A6C4B"/>
    <w:rsid w:val="53183653"/>
    <w:rsid w:val="54D555C0"/>
    <w:rsid w:val="5538509A"/>
    <w:rsid w:val="555B0361"/>
    <w:rsid w:val="556B77E4"/>
    <w:rsid w:val="559B2C75"/>
    <w:rsid w:val="55D65D20"/>
    <w:rsid w:val="55DC5216"/>
    <w:rsid w:val="56282F29"/>
    <w:rsid w:val="56442777"/>
    <w:rsid w:val="565B4348"/>
    <w:rsid w:val="5668343D"/>
    <w:rsid w:val="56D70B14"/>
    <w:rsid w:val="56DC2DAB"/>
    <w:rsid w:val="574772E8"/>
    <w:rsid w:val="57686875"/>
    <w:rsid w:val="576916BB"/>
    <w:rsid w:val="57A16BF3"/>
    <w:rsid w:val="585869D4"/>
    <w:rsid w:val="588F0D18"/>
    <w:rsid w:val="58AF5264"/>
    <w:rsid w:val="5954172E"/>
    <w:rsid w:val="595654B1"/>
    <w:rsid w:val="5966489B"/>
    <w:rsid w:val="59A7577D"/>
    <w:rsid w:val="5A817EAD"/>
    <w:rsid w:val="5B2F62D8"/>
    <w:rsid w:val="5BE24BB3"/>
    <w:rsid w:val="5C0528AB"/>
    <w:rsid w:val="5C102604"/>
    <w:rsid w:val="5C11095E"/>
    <w:rsid w:val="5C2C5BEC"/>
    <w:rsid w:val="5DE05A52"/>
    <w:rsid w:val="5E2C28AD"/>
    <w:rsid w:val="5E54696F"/>
    <w:rsid w:val="5FAE17A7"/>
    <w:rsid w:val="5FD65F97"/>
    <w:rsid w:val="60322F98"/>
    <w:rsid w:val="6101754C"/>
    <w:rsid w:val="61B34266"/>
    <w:rsid w:val="61BE4CCE"/>
    <w:rsid w:val="61F93F50"/>
    <w:rsid w:val="62085CF4"/>
    <w:rsid w:val="622262CB"/>
    <w:rsid w:val="62306800"/>
    <w:rsid w:val="623A4C3F"/>
    <w:rsid w:val="624A6C49"/>
    <w:rsid w:val="62981682"/>
    <w:rsid w:val="629B5120"/>
    <w:rsid w:val="631519A9"/>
    <w:rsid w:val="63251BEA"/>
    <w:rsid w:val="63846E4A"/>
    <w:rsid w:val="63F956DE"/>
    <w:rsid w:val="64516924"/>
    <w:rsid w:val="649F51E0"/>
    <w:rsid w:val="64DF789C"/>
    <w:rsid w:val="65542518"/>
    <w:rsid w:val="655D0F00"/>
    <w:rsid w:val="659D133A"/>
    <w:rsid w:val="65BC0836"/>
    <w:rsid w:val="66043463"/>
    <w:rsid w:val="665E3B03"/>
    <w:rsid w:val="66EB0467"/>
    <w:rsid w:val="67336A48"/>
    <w:rsid w:val="67AA1CA5"/>
    <w:rsid w:val="686E7CC6"/>
    <w:rsid w:val="689066B9"/>
    <w:rsid w:val="68F456EA"/>
    <w:rsid w:val="68F65DF9"/>
    <w:rsid w:val="69710488"/>
    <w:rsid w:val="69B57CA5"/>
    <w:rsid w:val="69D068DD"/>
    <w:rsid w:val="6A7D4441"/>
    <w:rsid w:val="6A8B3BCE"/>
    <w:rsid w:val="6AB512C9"/>
    <w:rsid w:val="6ABE0B58"/>
    <w:rsid w:val="6BCD19B8"/>
    <w:rsid w:val="6BD8792C"/>
    <w:rsid w:val="6C7C424E"/>
    <w:rsid w:val="6CD430AB"/>
    <w:rsid w:val="6DDC25F1"/>
    <w:rsid w:val="6E22376A"/>
    <w:rsid w:val="6E5737F0"/>
    <w:rsid w:val="6EB20569"/>
    <w:rsid w:val="6ECB41B6"/>
    <w:rsid w:val="6F2A26C8"/>
    <w:rsid w:val="6FBD2953"/>
    <w:rsid w:val="70230F1D"/>
    <w:rsid w:val="716133D5"/>
    <w:rsid w:val="720E3B60"/>
    <w:rsid w:val="726838AA"/>
    <w:rsid w:val="72986066"/>
    <w:rsid w:val="72CE5547"/>
    <w:rsid w:val="730C1F25"/>
    <w:rsid w:val="737076DB"/>
    <w:rsid w:val="74146916"/>
    <w:rsid w:val="7451706C"/>
    <w:rsid w:val="74E257A1"/>
    <w:rsid w:val="755E0478"/>
    <w:rsid w:val="75B4757B"/>
    <w:rsid w:val="76057C0A"/>
    <w:rsid w:val="761B4486"/>
    <w:rsid w:val="76587DE0"/>
    <w:rsid w:val="76B20396"/>
    <w:rsid w:val="76C06A1A"/>
    <w:rsid w:val="778F02C6"/>
    <w:rsid w:val="77F20C5F"/>
    <w:rsid w:val="78B84685"/>
    <w:rsid w:val="78C21157"/>
    <w:rsid w:val="792769C8"/>
    <w:rsid w:val="7A610135"/>
    <w:rsid w:val="7A99612D"/>
    <w:rsid w:val="7A9A42E8"/>
    <w:rsid w:val="7AE959E9"/>
    <w:rsid w:val="7B1A2E87"/>
    <w:rsid w:val="7B2A375A"/>
    <w:rsid w:val="7B5751E3"/>
    <w:rsid w:val="7B8023D5"/>
    <w:rsid w:val="7C1851BC"/>
    <w:rsid w:val="7C1D38D3"/>
    <w:rsid w:val="7CB019E8"/>
    <w:rsid w:val="7CE61684"/>
    <w:rsid w:val="7DA8265A"/>
    <w:rsid w:val="7DE0249D"/>
    <w:rsid w:val="7E5C3E8E"/>
    <w:rsid w:val="7F91218E"/>
    <w:rsid w:val="7FA85A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qFormat="1" w:unhideWhenUsed="0" w:uiPriority="0" w:semiHidden="0" w:name="List 2"/>
    <w:lsdException w:qFormat="1" w:uiPriority="99" w:semiHidden="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qFormat="1"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iPriority="99" w:semiHidden="0" w:name="List Continue"/>
    <w:lsdException w:uiPriority="0" w:name="List Continue 2"/>
    <w:lsdException w:uiPriority="0" w:name="List Continue 3"/>
    <w:lsdException w:qFormat="1" w:unhideWhenUsed="0" w:uiPriority="0" w:semiHidden="0" w:name="List Continue 4"/>
    <w:lsdException w:uiPriority="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qFormat="1"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left="284" w:hanging="284"/>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73"/>
    <w:qFormat/>
    <w:uiPriority w:val="0"/>
    <w:pPr>
      <w:keepNext/>
      <w:jc w:val="center"/>
      <w:outlineLvl w:val="0"/>
    </w:pPr>
    <w:rPr>
      <w:sz w:val="28"/>
      <w:szCs w:val="28"/>
    </w:rPr>
  </w:style>
  <w:style w:type="paragraph" w:styleId="4">
    <w:name w:val="heading 2"/>
    <w:basedOn w:val="1"/>
    <w:next w:val="1"/>
    <w:link w:val="74"/>
    <w:qFormat/>
    <w:uiPriority w:val="0"/>
    <w:pPr>
      <w:keepNext/>
      <w:tabs>
        <w:tab w:val="left" w:pos="1190"/>
      </w:tabs>
      <w:ind w:left="0" w:firstLine="0"/>
      <w:outlineLvl w:val="1"/>
    </w:pPr>
    <w:rPr>
      <w:sz w:val="28"/>
      <w:szCs w:val="20"/>
    </w:rPr>
  </w:style>
  <w:style w:type="paragraph" w:styleId="5">
    <w:name w:val="heading 3"/>
    <w:basedOn w:val="1"/>
    <w:next w:val="1"/>
    <w:link w:val="75"/>
    <w:qFormat/>
    <w:uiPriority w:val="0"/>
    <w:pPr>
      <w:keepNext/>
      <w:keepLines/>
      <w:spacing w:before="260" w:after="260" w:line="416" w:lineRule="auto"/>
      <w:outlineLvl w:val="2"/>
    </w:pPr>
    <w:rPr>
      <w:b/>
      <w:bCs/>
      <w:sz w:val="32"/>
      <w:szCs w:val="32"/>
    </w:rPr>
  </w:style>
  <w:style w:type="paragraph" w:styleId="6">
    <w:name w:val="heading 4"/>
    <w:basedOn w:val="1"/>
    <w:next w:val="1"/>
    <w:link w:val="76"/>
    <w:qFormat/>
    <w:uiPriority w:val="0"/>
    <w:pPr>
      <w:keepNext/>
      <w:keepLines/>
      <w:tabs>
        <w:tab w:val="left" w:pos="1584"/>
      </w:tabs>
      <w:adjustRightInd w:val="0"/>
      <w:spacing w:before="280" w:after="290" w:line="376" w:lineRule="atLeast"/>
      <w:ind w:left="1584" w:hanging="864"/>
      <w:outlineLvl w:val="3"/>
    </w:pPr>
    <w:rPr>
      <w:rFonts w:ascii="Arial" w:hAnsi="Arial" w:eastAsia="黑体"/>
      <w:b/>
      <w:bCs/>
      <w:kern w:val="0"/>
      <w:sz w:val="28"/>
      <w:szCs w:val="28"/>
    </w:rPr>
  </w:style>
  <w:style w:type="paragraph" w:styleId="7">
    <w:name w:val="heading 5"/>
    <w:basedOn w:val="1"/>
    <w:next w:val="1"/>
    <w:link w:val="77"/>
    <w:qFormat/>
    <w:uiPriority w:val="0"/>
    <w:pPr>
      <w:keepNext/>
      <w:keepLines/>
      <w:tabs>
        <w:tab w:val="left" w:pos="1008"/>
      </w:tabs>
      <w:adjustRightInd w:val="0"/>
      <w:spacing w:before="280" w:after="290" w:line="376" w:lineRule="atLeast"/>
      <w:ind w:left="1008" w:hanging="1008"/>
      <w:outlineLvl w:val="4"/>
    </w:pPr>
    <w:rPr>
      <w:b/>
      <w:bCs/>
      <w:kern w:val="0"/>
      <w:sz w:val="28"/>
      <w:szCs w:val="28"/>
    </w:rPr>
  </w:style>
  <w:style w:type="paragraph" w:styleId="8">
    <w:name w:val="heading 6"/>
    <w:basedOn w:val="1"/>
    <w:next w:val="1"/>
    <w:link w:val="78"/>
    <w:qFormat/>
    <w:uiPriority w:val="0"/>
    <w:pPr>
      <w:keepNext/>
      <w:keepLines/>
      <w:tabs>
        <w:tab w:val="left" w:pos="1152"/>
      </w:tabs>
      <w:adjustRightInd w:val="0"/>
      <w:spacing w:before="240" w:after="64" w:line="320" w:lineRule="atLeast"/>
      <w:ind w:left="1152" w:hanging="1152"/>
      <w:outlineLvl w:val="5"/>
    </w:pPr>
    <w:rPr>
      <w:rFonts w:ascii="Arial" w:hAnsi="Arial" w:eastAsia="黑体"/>
      <w:b/>
      <w:bCs/>
      <w:kern w:val="0"/>
      <w:sz w:val="24"/>
      <w:szCs w:val="24"/>
    </w:rPr>
  </w:style>
  <w:style w:type="paragraph" w:styleId="9">
    <w:name w:val="heading 7"/>
    <w:basedOn w:val="1"/>
    <w:next w:val="1"/>
    <w:link w:val="79"/>
    <w:qFormat/>
    <w:uiPriority w:val="0"/>
    <w:pPr>
      <w:keepNext/>
      <w:keepLines/>
      <w:tabs>
        <w:tab w:val="left" w:pos="1296"/>
      </w:tabs>
      <w:adjustRightInd w:val="0"/>
      <w:spacing w:before="240" w:after="64" w:line="320" w:lineRule="atLeast"/>
      <w:ind w:left="1296" w:hanging="1296"/>
      <w:outlineLvl w:val="6"/>
    </w:pPr>
    <w:rPr>
      <w:b/>
      <w:bCs/>
      <w:kern w:val="0"/>
      <w:sz w:val="24"/>
      <w:szCs w:val="24"/>
    </w:rPr>
  </w:style>
  <w:style w:type="paragraph" w:styleId="10">
    <w:name w:val="heading 8"/>
    <w:basedOn w:val="1"/>
    <w:next w:val="1"/>
    <w:link w:val="80"/>
    <w:qFormat/>
    <w:uiPriority w:val="0"/>
    <w:pPr>
      <w:keepNext/>
      <w:keepLines/>
      <w:tabs>
        <w:tab w:val="left" w:pos="1440"/>
      </w:tabs>
      <w:adjustRightInd w:val="0"/>
      <w:spacing w:before="240" w:after="64" w:line="320" w:lineRule="atLeast"/>
      <w:ind w:left="1440" w:hanging="1440"/>
      <w:outlineLvl w:val="7"/>
    </w:pPr>
    <w:rPr>
      <w:rFonts w:ascii="Arial" w:hAnsi="Arial" w:eastAsia="黑体"/>
      <w:kern w:val="0"/>
      <w:sz w:val="24"/>
      <w:szCs w:val="24"/>
    </w:rPr>
  </w:style>
  <w:style w:type="paragraph" w:styleId="11">
    <w:name w:val="heading 9"/>
    <w:basedOn w:val="1"/>
    <w:next w:val="1"/>
    <w:link w:val="81"/>
    <w:qFormat/>
    <w:uiPriority w:val="0"/>
    <w:pPr>
      <w:keepNext/>
      <w:keepLines/>
      <w:tabs>
        <w:tab w:val="left" w:pos="1584"/>
      </w:tabs>
      <w:adjustRightInd w:val="0"/>
      <w:spacing w:before="240" w:after="64" w:line="320" w:lineRule="atLeast"/>
      <w:ind w:left="1584" w:hanging="1584"/>
      <w:outlineLvl w:val="8"/>
    </w:pPr>
    <w:rPr>
      <w:rFonts w:ascii="Arial" w:hAnsi="Arial" w:eastAsia="黑体"/>
      <w:kern w:val="0"/>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customStyle="1" w:styleId="2">
    <w:name w:val="安医附院"/>
    <w:basedOn w:val="1"/>
    <w:qFormat/>
    <w:uiPriority w:val="0"/>
    <w:pPr>
      <w:widowControl/>
      <w:adjustRightInd w:val="0"/>
      <w:snapToGrid w:val="0"/>
      <w:spacing w:line="580" w:lineRule="exact"/>
      <w:ind w:firstLine="200" w:firstLineChars="200"/>
      <w:jc w:val="left"/>
    </w:pPr>
    <w:rPr>
      <w:rFonts w:ascii="仿宋_GB2312" w:hAnsi="宋体"/>
      <w:kern w:val="0"/>
      <w:szCs w:val="22"/>
    </w:rPr>
  </w:style>
  <w:style w:type="paragraph" w:styleId="12">
    <w:name w:val="List 3"/>
    <w:basedOn w:val="1"/>
    <w:unhideWhenUsed/>
    <w:qFormat/>
    <w:uiPriority w:val="99"/>
    <w:pPr>
      <w:spacing w:line="240" w:lineRule="auto"/>
      <w:ind w:left="100" w:leftChars="400" w:hanging="200" w:hangingChars="200"/>
      <w:contextualSpacing/>
    </w:pPr>
    <w:rPr>
      <w:rFonts w:ascii="Calibri" w:hAnsi="Calibri"/>
      <w:szCs w:val="22"/>
    </w:rPr>
  </w:style>
  <w:style w:type="paragraph" w:styleId="13">
    <w:name w:val="toc 7"/>
    <w:basedOn w:val="1"/>
    <w:next w:val="1"/>
    <w:qFormat/>
    <w:uiPriority w:val="0"/>
    <w:pPr>
      <w:ind w:left="1260"/>
      <w:jc w:val="left"/>
    </w:pPr>
    <w:rPr>
      <w:rFonts w:asciiTheme="minorHAnsi" w:hAnsiTheme="minorHAnsi" w:cstheme="minorHAnsi"/>
      <w:sz w:val="18"/>
      <w:szCs w:val="18"/>
    </w:rPr>
  </w:style>
  <w:style w:type="paragraph" w:styleId="14">
    <w:name w:val="index 8"/>
    <w:basedOn w:val="1"/>
    <w:next w:val="1"/>
    <w:qFormat/>
    <w:uiPriority w:val="0"/>
    <w:pPr>
      <w:adjustRightInd w:val="0"/>
      <w:spacing w:line="360" w:lineRule="atLeast"/>
      <w:ind w:left="2940" w:firstLine="0"/>
      <w:jc w:val="left"/>
      <w:textAlignment w:val="baseline"/>
    </w:pPr>
    <w:rPr>
      <w:kern w:val="0"/>
      <w:sz w:val="24"/>
      <w:szCs w:val="24"/>
    </w:rPr>
  </w:style>
  <w:style w:type="paragraph" w:styleId="15">
    <w:name w:val="Normal Indent"/>
    <w:basedOn w:val="1"/>
    <w:qFormat/>
    <w:uiPriority w:val="0"/>
    <w:pPr>
      <w:ind w:firstLine="420" w:firstLineChars="200"/>
    </w:pPr>
  </w:style>
  <w:style w:type="paragraph" w:styleId="16">
    <w:name w:val="caption"/>
    <w:basedOn w:val="1"/>
    <w:next w:val="1"/>
    <w:qFormat/>
    <w:uiPriority w:val="0"/>
    <w:pPr>
      <w:widowControl/>
      <w:spacing w:line="240" w:lineRule="auto"/>
      <w:ind w:left="0" w:firstLine="0"/>
      <w:jc w:val="left"/>
    </w:pPr>
    <w:rPr>
      <w:rFonts w:ascii="Univers" w:hAnsi="Univers"/>
      <w:kern w:val="0"/>
      <w:sz w:val="24"/>
      <w:szCs w:val="24"/>
    </w:rPr>
  </w:style>
  <w:style w:type="paragraph" w:styleId="17">
    <w:name w:val="index 5"/>
    <w:basedOn w:val="1"/>
    <w:next w:val="1"/>
    <w:qFormat/>
    <w:uiPriority w:val="0"/>
    <w:pPr>
      <w:adjustRightInd w:val="0"/>
      <w:spacing w:line="360" w:lineRule="atLeast"/>
      <w:ind w:left="1680" w:firstLine="0"/>
      <w:jc w:val="left"/>
      <w:textAlignment w:val="baseline"/>
    </w:pPr>
    <w:rPr>
      <w:kern w:val="0"/>
      <w:sz w:val="24"/>
      <w:szCs w:val="24"/>
    </w:rPr>
  </w:style>
  <w:style w:type="paragraph" w:styleId="18">
    <w:name w:val="Document Map"/>
    <w:basedOn w:val="1"/>
    <w:link w:val="84"/>
    <w:qFormat/>
    <w:uiPriority w:val="0"/>
    <w:pPr>
      <w:shd w:val="clear" w:color="auto" w:fill="000080"/>
    </w:pPr>
  </w:style>
  <w:style w:type="paragraph" w:styleId="19">
    <w:name w:val="annotation text"/>
    <w:basedOn w:val="1"/>
    <w:link w:val="82"/>
    <w:qFormat/>
    <w:uiPriority w:val="99"/>
    <w:pPr>
      <w:spacing w:line="240" w:lineRule="auto"/>
      <w:ind w:left="0" w:firstLine="0"/>
      <w:jc w:val="left"/>
    </w:pPr>
    <w:rPr>
      <w:szCs w:val="24"/>
    </w:rPr>
  </w:style>
  <w:style w:type="paragraph" w:styleId="20">
    <w:name w:val="index 6"/>
    <w:basedOn w:val="1"/>
    <w:next w:val="1"/>
    <w:qFormat/>
    <w:uiPriority w:val="0"/>
    <w:pPr>
      <w:adjustRightInd w:val="0"/>
      <w:spacing w:line="360" w:lineRule="atLeast"/>
      <w:ind w:left="2100" w:firstLine="0"/>
      <w:jc w:val="left"/>
      <w:textAlignment w:val="baseline"/>
    </w:pPr>
    <w:rPr>
      <w:kern w:val="0"/>
      <w:sz w:val="24"/>
      <w:szCs w:val="24"/>
    </w:rPr>
  </w:style>
  <w:style w:type="paragraph" w:styleId="21">
    <w:name w:val="Salutation"/>
    <w:basedOn w:val="1"/>
    <w:next w:val="1"/>
    <w:link w:val="85"/>
    <w:qFormat/>
    <w:uiPriority w:val="0"/>
    <w:pPr>
      <w:widowControl/>
      <w:spacing w:line="240" w:lineRule="auto"/>
      <w:ind w:left="0" w:firstLine="0"/>
    </w:pPr>
    <w:rPr>
      <w:rFonts w:ascii="Arial" w:hAnsi="Arial"/>
      <w:spacing w:val="-5"/>
      <w:kern w:val="0"/>
      <w:szCs w:val="20"/>
    </w:rPr>
  </w:style>
  <w:style w:type="paragraph" w:styleId="22">
    <w:name w:val="Body Text 3"/>
    <w:basedOn w:val="1"/>
    <w:link w:val="86"/>
    <w:qFormat/>
    <w:uiPriority w:val="0"/>
    <w:pPr>
      <w:snapToGrid w:val="0"/>
      <w:spacing w:beforeLines="50" w:afterLines="50" w:line="240" w:lineRule="auto"/>
      <w:ind w:left="0" w:firstLine="0"/>
    </w:pPr>
    <w:rPr>
      <w:rFonts w:ascii="宋体" w:hAnsi="宋体"/>
      <w:sz w:val="24"/>
      <w:szCs w:val="24"/>
    </w:rPr>
  </w:style>
  <w:style w:type="paragraph" w:styleId="23">
    <w:name w:val="Body Text"/>
    <w:basedOn w:val="1"/>
    <w:next w:val="24"/>
    <w:link w:val="87"/>
    <w:qFormat/>
    <w:uiPriority w:val="0"/>
    <w:pPr>
      <w:ind w:firstLine="200" w:firstLineChars="200"/>
      <w:jc w:val="center"/>
    </w:pPr>
    <w:rPr>
      <w:rFonts w:ascii="宋体" w:hAnsi="宋体"/>
      <w:szCs w:val="24"/>
    </w:rPr>
  </w:style>
  <w:style w:type="paragraph" w:customStyle="1" w:styleId="2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25">
    <w:name w:val="Body Text Indent"/>
    <w:basedOn w:val="1"/>
    <w:next w:val="23"/>
    <w:link w:val="88"/>
    <w:qFormat/>
    <w:uiPriority w:val="0"/>
    <w:pPr>
      <w:ind w:firstLine="560" w:firstLineChars="200"/>
    </w:pPr>
    <w:rPr>
      <w:sz w:val="28"/>
      <w:szCs w:val="28"/>
    </w:rPr>
  </w:style>
  <w:style w:type="paragraph" w:styleId="26">
    <w:name w:val="List 2"/>
    <w:basedOn w:val="1"/>
    <w:qFormat/>
    <w:uiPriority w:val="0"/>
    <w:pPr>
      <w:spacing w:line="240" w:lineRule="auto"/>
      <w:ind w:left="100" w:hanging="200"/>
    </w:pPr>
    <w:rPr>
      <w:szCs w:val="20"/>
    </w:rPr>
  </w:style>
  <w:style w:type="paragraph" w:styleId="27">
    <w:name w:val="List Continue"/>
    <w:basedOn w:val="1"/>
    <w:unhideWhenUsed/>
    <w:qFormat/>
    <w:uiPriority w:val="99"/>
    <w:pPr>
      <w:spacing w:after="120" w:line="240" w:lineRule="auto"/>
      <w:ind w:left="420" w:leftChars="200" w:firstLine="0"/>
      <w:contextualSpacing/>
    </w:pPr>
    <w:rPr>
      <w:rFonts w:ascii="Calibri" w:hAnsi="Calibri"/>
      <w:szCs w:val="22"/>
    </w:rPr>
  </w:style>
  <w:style w:type="paragraph" w:styleId="28">
    <w:name w:val="Block Text"/>
    <w:basedOn w:val="1"/>
    <w:qFormat/>
    <w:uiPriority w:val="0"/>
    <w:pPr>
      <w:tabs>
        <w:tab w:val="left" w:pos="142"/>
      </w:tabs>
      <w:ind w:left="141" w:leftChars="67" w:right="-50" w:rightChars="-24" w:firstLine="96" w:firstLineChars="40"/>
    </w:pPr>
    <w:rPr>
      <w:sz w:val="24"/>
      <w:szCs w:val="24"/>
    </w:rPr>
  </w:style>
  <w:style w:type="paragraph" w:styleId="29">
    <w:name w:val="index 4"/>
    <w:basedOn w:val="1"/>
    <w:next w:val="1"/>
    <w:qFormat/>
    <w:uiPriority w:val="0"/>
    <w:pPr>
      <w:adjustRightInd w:val="0"/>
      <w:spacing w:line="360" w:lineRule="atLeast"/>
      <w:ind w:left="1260" w:firstLine="0"/>
      <w:jc w:val="left"/>
      <w:textAlignment w:val="baseline"/>
    </w:pPr>
    <w:rPr>
      <w:kern w:val="0"/>
      <w:sz w:val="24"/>
      <w:szCs w:val="24"/>
    </w:rPr>
  </w:style>
  <w:style w:type="paragraph" w:styleId="30">
    <w:name w:val="toc 5"/>
    <w:basedOn w:val="1"/>
    <w:next w:val="1"/>
    <w:qFormat/>
    <w:uiPriority w:val="0"/>
    <w:pPr>
      <w:ind w:left="840"/>
      <w:jc w:val="left"/>
    </w:pPr>
    <w:rPr>
      <w:rFonts w:asciiTheme="minorHAnsi" w:hAnsiTheme="minorHAnsi" w:cstheme="minorHAnsi"/>
      <w:sz w:val="18"/>
      <w:szCs w:val="18"/>
    </w:rPr>
  </w:style>
  <w:style w:type="paragraph" w:styleId="31">
    <w:name w:val="toc 3"/>
    <w:basedOn w:val="1"/>
    <w:next w:val="1"/>
    <w:unhideWhenUsed/>
    <w:qFormat/>
    <w:uiPriority w:val="39"/>
    <w:pPr>
      <w:ind w:left="420"/>
      <w:jc w:val="left"/>
    </w:pPr>
    <w:rPr>
      <w:rFonts w:asciiTheme="minorHAnsi" w:hAnsiTheme="minorHAnsi" w:cstheme="minorHAnsi"/>
      <w:i/>
      <w:iCs/>
      <w:sz w:val="20"/>
      <w:szCs w:val="20"/>
    </w:rPr>
  </w:style>
  <w:style w:type="paragraph" w:styleId="32">
    <w:name w:val="Plain Text"/>
    <w:basedOn w:val="1"/>
    <w:link w:val="89"/>
    <w:qFormat/>
    <w:uiPriority w:val="0"/>
    <w:rPr>
      <w:rFonts w:ascii="宋体" w:hAnsi="Courier New"/>
      <w:szCs w:val="20"/>
    </w:rPr>
  </w:style>
  <w:style w:type="paragraph" w:styleId="33">
    <w:name w:val="toc 8"/>
    <w:basedOn w:val="1"/>
    <w:next w:val="1"/>
    <w:qFormat/>
    <w:uiPriority w:val="0"/>
    <w:pPr>
      <w:ind w:left="1470"/>
      <w:jc w:val="left"/>
    </w:pPr>
    <w:rPr>
      <w:rFonts w:asciiTheme="minorHAnsi" w:hAnsiTheme="minorHAnsi" w:cstheme="minorHAnsi"/>
      <w:sz w:val="18"/>
      <w:szCs w:val="18"/>
    </w:rPr>
  </w:style>
  <w:style w:type="paragraph" w:styleId="34">
    <w:name w:val="index 3"/>
    <w:basedOn w:val="1"/>
    <w:next w:val="1"/>
    <w:qFormat/>
    <w:uiPriority w:val="0"/>
    <w:pPr>
      <w:adjustRightInd w:val="0"/>
      <w:spacing w:line="360" w:lineRule="atLeast"/>
      <w:ind w:left="840" w:firstLine="0"/>
      <w:jc w:val="left"/>
      <w:textAlignment w:val="baseline"/>
    </w:pPr>
    <w:rPr>
      <w:kern w:val="0"/>
      <w:sz w:val="24"/>
      <w:szCs w:val="24"/>
    </w:rPr>
  </w:style>
  <w:style w:type="paragraph" w:styleId="35">
    <w:name w:val="Date"/>
    <w:basedOn w:val="1"/>
    <w:next w:val="1"/>
    <w:link w:val="90"/>
    <w:qFormat/>
    <w:uiPriority w:val="99"/>
    <w:pPr>
      <w:ind w:left="100" w:leftChars="2500"/>
    </w:pPr>
  </w:style>
  <w:style w:type="paragraph" w:styleId="36">
    <w:name w:val="Body Text Indent 2"/>
    <w:basedOn w:val="1"/>
    <w:link w:val="91"/>
    <w:qFormat/>
    <w:uiPriority w:val="0"/>
    <w:pPr>
      <w:ind w:firstLine="538" w:firstLineChars="192"/>
    </w:pPr>
    <w:rPr>
      <w:rFonts w:ascii="宋体" w:hAnsi="宋体" w:cs="宋体"/>
      <w:sz w:val="28"/>
      <w:szCs w:val="28"/>
    </w:rPr>
  </w:style>
  <w:style w:type="paragraph" w:styleId="37">
    <w:name w:val="endnote text"/>
    <w:basedOn w:val="1"/>
    <w:link w:val="92"/>
    <w:qFormat/>
    <w:uiPriority w:val="0"/>
    <w:pPr>
      <w:adjustRightInd w:val="0"/>
      <w:snapToGrid w:val="0"/>
      <w:spacing w:line="360" w:lineRule="atLeast"/>
      <w:ind w:left="0" w:firstLine="0"/>
      <w:jc w:val="left"/>
      <w:textAlignment w:val="baseline"/>
    </w:pPr>
    <w:rPr>
      <w:kern w:val="0"/>
      <w:sz w:val="24"/>
      <w:szCs w:val="24"/>
    </w:rPr>
  </w:style>
  <w:style w:type="paragraph" w:styleId="38">
    <w:name w:val="Balloon Text"/>
    <w:basedOn w:val="1"/>
    <w:link w:val="93"/>
    <w:qFormat/>
    <w:uiPriority w:val="0"/>
    <w:rPr>
      <w:sz w:val="18"/>
      <w:szCs w:val="18"/>
    </w:rPr>
  </w:style>
  <w:style w:type="paragraph" w:styleId="39">
    <w:name w:val="footer"/>
    <w:basedOn w:val="1"/>
    <w:link w:val="94"/>
    <w:qFormat/>
    <w:uiPriority w:val="99"/>
    <w:pPr>
      <w:tabs>
        <w:tab w:val="center" w:pos="4153"/>
        <w:tab w:val="right" w:pos="8306"/>
      </w:tabs>
      <w:snapToGrid w:val="0"/>
      <w:jc w:val="left"/>
    </w:pPr>
    <w:rPr>
      <w:sz w:val="18"/>
      <w:szCs w:val="18"/>
    </w:rPr>
  </w:style>
  <w:style w:type="paragraph" w:styleId="40">
    <w:name w:val="header"/>
    <w:basedOn w:val="1"/>
    <w:link w:val="95"/>
    <w:qFormat/>
    <w:uiPriority w:val="99"/>
    <w:pPr>
      <w:pBdr>
        <w:bottom w:val="single" w:color="auto" w:sz="6" w:space="1"/>
      </w:pBdr>
      <w:tabs>
        <w:tab w:val="center" w:pos="4153"/>
        <w:tab w:val="right" w:pos="8306"/>
      </w:tabs>
      <w:snapToGrid w:val="0"/>
      <w:jc w:val="center"/>
    </w:pPr>
    <w:rPr>
      <w:sz w:val="18"/>
      <w:szCs w:val="18"/>
    </w:rPr>
  </w:style>
  <w:style w:type="paragraph" w:styleId="41">
    <w:name w:val="toc 1"/>
    <w:basedOn w:val="1"/>
    <w:next w:val="1"/>
    <w:qFormat/>
    <w:uiPriority w:val="39"/>
    <w:pPr>
      <w:spacing w:before="120" w:after="120"/>
      <w:ind w:left="0"/>
      <w:jc w:val="left"/>
    </w:pPr>
    <w:rPr>
      <w:rFonts w:asciiTheme="minorHAnsi" w:hAnsiTheme="minorHAnsi" w:cstheme="minorHAnsi"/>
      <w:b/>
      <w:bCs/>
      <w:caps/>
      <w:sz w:val="20"/>
      <w:szCs w:val="20"/>
    </w:rPr>
  </w:style>
  <w:style w:type="paragraph" w:styleId="42">
    <w:name w:val="List Continue 4"/>
    <w:basedOn w:val="1"/>
    <w:qFormat/>
    <w:uiPriority w:val="0"/>
    <w:pPr>
      <w:adjustRightInd w:val="0"/>
      <w:spacing w:after="120" w:line="360" w:lineRule="atLeast"/>
      <w:ind w:left="1680" w:leftChars="800" w:firstLine="0"/>
      <w:jc w:val="left"/>
      <w:textAlignment w:val="baseline"/>
    </w:pPr>
    <w:rPr>
      <w:kern w:val="0"/>
      <w:sz w:val="24"/>
      <w:szCs w:val="20"/>
    </w:rPr>
  </w:style>
  <w:style w:type="paragraph" w:styleId="43">
    <w:name w:val="toc 4"/>
    <w:basedOn w:val="1"/>
    <w:next w:val="1"/>
    <w:qFormat/>
    <w:uiPriority w:val="0"/>
    <w:pPr>
      <w:ind w:left="630"/>
      <w:jc w:val="left"/>
    </w:pPr>
    <w:rPr>
      <w:rFonts w:asciiTheme="minorHAnsi" w:hAnsiTheme="minorHAnsi" w:cstheme="minorHAnsi"/>
      <w:sz w:val="18"/>
      <w:szCs w:val="18"/>
    </w:rPr>
  </w:style>
  <w:style w:type="paragraph" w:styleId="44">
    <w:name w:val="index heading"/>
    <w:basedOn w:val="1"/>
    <w:next w:val="45"/>
    <w:qFormat/>
    <w:uiPriority w:val="0"/>
    <w:pPr>
      <w:adjustRightInd w:val="0"/>
      <w:spacing w:line="360" w:lineRule="atLeast"/>
      <w:ind w:left="0" w:firstLine="0"/>
      <w:jc w:val="left"/>
      <w:textAlignment w:val="baseline"/>
    </w:pPr>
    <w:rPr>
      <w:kern w:val="0"/>
      <w:sz w:val="24"/>
      <w:szCs w:val="24"/>
    </w:rPr>
  </w:style>
  <w:style w:type="paragraph" w:styleId="45">
    <w:name w:val="index 1"/>
    <w:basedOn w:val="1"/>
    <w:next w:val="1"/>
    <w:qFormat/>
    <w:uiPriority w:val="0"/>
    <w:pPr>
      <w:tabs>
        <w:tab w:val="left" w:pos="600"/>
        <w:tab w:val="left" w:pos="1050"/>
      </w:tabs>
      <w:adjustRightInd w:val="0"/>
      <w:ind w:left="0" w:firstLine="0" w:firstLineChars="200"/>
      <w:textAlignment w:val="baseline"/>
    </w:pPr>
    <w:rPr>
      <w:rFonts w:ascii="宋体" w:hAnsi="宋体"/>
      <w:kern w:val="11"/>
      <w:sz w:val="24"/>
      <w:szCs w:val="20"/>
    </w:rPr>
  </w:style>
  <w:style w:type="paragraph" w:styleId="46">
    <w:name w:val="Subtitle"/>
    <w:basedOn w:val="1"/>
    <w:link w:val="96"/>
    <w:qFormat/>
    <w:uiPriority w:val="0"/>
    <w:pPr>
      <w:adjustRightInd w:val="0"/>
      <w:spacing w:before="120" w:after="120" w:line="240" w:lineRule="atLeast"/>
      <w:ind w:left="0" w:firstLine="0"/>
      <w:jc w:val="center"/>
      <w:textAlignment w:val="baseline"/>
    </w:pPr>
    <w:rPr>
      <w:b/>
      <w:kern w:val="0"/>
      <w:sz w:val="32"/>
      <w:szCs w:val="20"/>
    </w:rPr>
  </w:style>
  <w:style w:type="paragraph" w:styleId="47">
    <w:name w:val="List Number 5"/>
    <w:basedOn w:val="1"/>
    <w:semiHidden/>
    <w:unhideWhenUsed/>
    <w:qFormat/>
    <w:uiPriority w:val="0"/>
    <w:pPr>
      <w:numPr>
        <w:ilvl w:val="0"/>
        <w:numId w:val="1"/>
      </w:numPr>
    </w:pPr>
  </w:style>
  <w:style w:type="paragraph" w:styleId="48">
    <w:name w:val="toc 6"/>
    <w:basedOn w:val="1"/>
    <w:next w:val="1"/>
    <w:qFormat/>
    <w:uiPriority w:val="0"/>
    <w:pPr>
      <w:ind w:left="1050"/>
      <w:jc w:val="left"/>
    </w:pPr>
    <w:rPr>
      <w:rFonts w:asciiTheme="minorHAnsi" w:hAnsiTheme="minorHAnsi" w:cstheme="minorHAnsi"/>
      <w:sz w:val="18"/>
      <w:szCs w:val="18"/>
    </w:rPr>
  </w:style>
  <w:style w:type="paragraph" w:styleId="49">
    <w:name w:val="Body Text Indent 3"/>
    <w:basedOn w:val="1"/>
    <w:link w:val="97"/>
    <w:qFormat/>
    <w:uiPriority w:val="0"/>
    <w:pPr>
      <w:spacing w:after="120"/>
      <w:ind w:left="420" w:leftChars="200"/>
    </w:pPr>
    <w:rPr>
      <w:sz w:val="16"/>
      <w:szCs w:val="16"/>
    </w:rPr>
  </w:style>
  <w:style w:type="paragraph" w:styleId="50">
    <w:name w:val="index 7"/>
    <w:basedOn w:val="1"/>
    <w:next w:val="1"/>
    <w:qFormat/>
    <w:uiPriority w:val="0"/>
    <w:pPr>
      <w:adjustRightInd w:val="0"/>
      <w:spacing w:line="360" w:lineRule="atLeast"/>
      <w:ind w:left="2520" w:firstLine="0"/>
      <w:jc w:val="left"/>
      <w:textAlignment w:val="baseline"/>
    </w:pPr>
    <w:rPr>
      <w:kern w:val="0"/>
      <w:sz w:val="24"/>
      <w:szCs w:val="24"/>
    </w:rPr>
  </w:style>
  <w:style w:type="paragraph" w:styleId="51">
    <w:name w:val="index 9"/>
    <w:basedOn w:val="1"/>
    <w:next w:val="1"/>
    <w:qFormat/>
    <w:uiPriority w:val="0"/>
    <w:pPr>
      <w:adjustRightInd w:val="0"/>
      <w:spacing w:line="360" w:lineRule="atLeast"/>
      <w:ind w:left="3360" w:firstLine="0"/>
      <w:jc w:val="left"/>
      <w:textAlignment w:val="baseline"/>
    </w:pPr>
    <w:rPr>
      <w:kern w:val="0"/>
      <w:sz w:val="24"/>
      <w:szCs w:val="24"/>
    </w:rPr>
  </w:style>
  <w:style w:type="paragraph" w:styleId="52">
    <w:name w:val="toc 2"/>
    <w:basedOn w:val="1"/>
    <w:next w:val="1"/>
    <w:unhideWhenUsed/>
    <w:qFormat/>
    <w:uiPriority w:val="39"/>
    <w:pPr>
      <w:ind w:left="210"/>
      <w:jc w:val="left"/>
    </w:pPr>
    <w:rPr>
      <w:rFonts w:asciiTheme="minorHAnsi" w:hAnsiTheme="minorHAnsi" w:cstheme="minorHAnsi"/>
      <w:smallCaps/>
      <w:sz w:val="20"/>
      <w:szCs w:val="20"/>
    </w:rPr>
  </w:style>
  <w:style w:type="paragraph" w:styleId="53">
    <w:name w:val="toc 9"/>
    <w:basedOn w:val="1"/>
    <w:next w:val="1"/>
    <w:qFormat/>
    <w:uiPriority w:val="0"/>
    <w:pPr>
      <w:ind w:left="1680"/>
      <w:jc w:val="left"/>
    </w:pPr>
    <w:rPr>
      <w:rFonts w:asciiTheme="minorHAnsi" w:hAnsiTheme="minorHAnsi" w:cstheme="minorHAnsi"/>
      <w:sz w:val="18"/>
      <w:szCs w:val="18"/>
    </w:rPr>
  </w:style>
  <w:style w:type="paragraph" w:styleId="54">
    <w:name w:val="Body Text 2"/>
    <w:basedOn w:val="1"/>
    <w:link w:val="98"/>
    <w:qFormat/>
    <w:uiPriority w:val="0"/>
    <w:rPr>
      <w:color w:val="000000"/>
      <w:szCs w:val="24"/>
    </w:rPr>
  </w:style>
  <w:style w:type="paragraph" w:styleId="55">
    <w:name w:val="Message Header"/>
    <w:basedOn w:val="23"/>
    <w:link w:val="99"/>
    <w:qFormat/>
    <w:uiPriority w:val="0"/>
    <w:pPr>
      <w:keepLines/>
      <w:widowControl/>
      <w:spacing w:after="40" w:line="140" w:lineRule="atLeast"/>
      <w:ind w:left="360" w:firstLine="0" w:firstLineChars="0"/>
      <w:jc w:val="left"/>
    </w:pPr>
    <w:rPr>
      <w:rFonts w:ascii="Garamond" w:hAnsi="Garamond"/>
      <w:spacing w:val="-5"/>
      <w:kern w:val="0"/>
      <w:sz w:val="18"/>
      <w:szCs w:val="20"/>
      <w:lang w:bidi="he-IL"/>
    </w:rPr>
  </w:style>
  <w:style w:type="paragraph" w:styleId="56">
    <w:name w:val="HTML Preformatted"/>
    <w:basedOn w:val="1"/>
    <w:link w:val="26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宋体" w:hAnsi="宋体" w:cs="宋体"/>
      <w:kern w:val="0"/>
      <w:sz w:val="24"/>
      <w:szCs w:val="24"/>
    </w:rPr>
  </w:style>
  <w:style w:type="paragraph" w:styleId="5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8">
    <w:name w:val="index 2"/>
    <w:basedOn w:val="1"/>
    <w:next w:val="1"/>
    <w:qFormat/>
    <w:uiPriority w:val="0"/>
    <w:pPr>
      <w:adjustRightInd w:val="0"/>
      <w:spacing w:line="360" w:lineRule="atLeast"/>
      <w:ind w:left="420" w:firstLine="0"/>
      <w:jc w:val="left"/>
      <w:textAlignment w:val="baseline"/>
    </w:pPr>
    <w:rPr>
      <w:kern w:val="0"/>
      <w:sz w:val="24"/>
      <w:szCs w:val="24"/>
    </w:rPr>
  </w:style>
  <w:style w:type="paragraph" w:styleId="59">
    <w:name w:val="Title"/>
    <w:basedOn w:val="1"/>
    <w:next w:val="1"/>
    <w:link w:val="100"/>
    <w:qFormat/>
    <w:uiPriority w:val="0"/>
    <w:pPr>
      <w:spacing w:before="240" w:after="60"/>
      <w:jc w:val="center"/>
      <w:outlineLvl w:val="0"/>
    </w:pPr>
    <w:rPr>
      <w:rFonts w:ascii="Cambria" w:hAnsi="Cambria"/>
      <w:b/>
      <w:bCs/>
      <w:sz w:val="32"/>
      <w:szCs w:val="32"/>
    </w:rPr>
  </w:style>
  <w:style w:type="paragraph" w:styleId="60">
    <w:name w:val="annotation subject"/>
    <w:basedOn w:val="19"/>
    <w:next w:val="19"/>
    <w:link w:val="83"/>
    <w:qFormat/>
    <w:uiPriority w:val="0"/>
    <w:rPr>
      <w:b/>
      <w:bCs/>
    </w:rPr>
  </w:style>
  <w:style w:type="paragraph" w:styleId="61">
    <w:name w:val="Body Text First Indent 2"/>
    <w:basedOn w:val="25"/>
    <w:next w:val="1"/>
    <w:qFormat/>
    <w:uiPriority w:val="0"/>
    <w:pPr>
      <w:ind w:firstLine="420"/>
    </w:pPr>
    <w:rPr>
      <w:kern w:val="2"/>
      <w:sz w:val="21"/>
    </w:rPr>
  </w:style>
  <w:style w:type="table" w:styleId="63">
    <w:name w:val="Table Grid"/>
    <w:basedOn w:val="6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basedOn w:val="64"/>
    <w:qFormat/>
    <w:uiPriority w:val="0"/>
    <w:rPr>
      <w:b/>
      <w:bCs/>
    </w:rPr>
  </w:style>
  <w:style w:type="character" w:styleId="66">
    <w:name w:val="endnote reference"/>
    <w:qFormat/>
    <w:uiPriority w:val="0"/>
    <w:rPr>
      <w:vertAlign w:val="superscript"/>
    </w:rPr>
  </w:style>
  <w:style w:type="character" w:styleId="67">
    <w:name w:val="page number"/>
    <w:basedOn w:val="64"/>
    <w:qFormat/>
    <w:uiPriority w:val="0"/>
  </w:style>
  <w:style w:type="character" w:styleId="68">
    <w:name w:val="FollowedHyperlink"/>
    <w:basedOn w:val="64"/>
    <w:qFormat/>
    <w:uiPriority w:val="99"/>
    <w:rPr>
      <w:color w:val="800080"/>
      <w:u w:val="single"/>
    </w:rPr>
  </w:style>
  <w:style w:type="character" w:styleId="69">
    <w:name w:val="Emphasis"/>
    <w:basedOn w:val="64"/>
    <w:qFormat/>
    <w:uiPriority w:val="0"/>
    <w:rPr>
      <w:i/>
      <w:iCs/>
    </w:rPr>
  </w:style>
  <w:style w:type="character" w:styleId="70">
    <w:name w:val="HTML Typewriter"/>
    <w:basedOn w:val="64"/>
    <w:qFormat/>
    <w:uiPriority w:val="0"/>
    <w:rPr>
      <w:rFonts w:ascii="宋体" w:hAnsi="宋体" w:eastAsia="宋体" w:cs="宋体"/>
      <w:sz w:val="24"/>
      <w:szCs w:val="24"/>
    </w:rPr>
  </w:style>
  <w:style w:type="character" w:styleId="71">
    <w:name w:val="Hyperlink"/>
    <w:basedOn w:val="64"/>
    <w:qFormat/>
    <w:uiPriority w:val="99"/>
    <w:rPr>
      <w:color w:val="0000FF"/>
      <w:u w:val="single"/>
    </w:rPr>
  </w:style>
  <w:style w:type="character" w:styleId="72">
    <w:name w:val="annotation reference"/>
    <w:basedOn w:val="64"/>
    <w:qFormat/>
    <w:uiPriority w:val="99"/>
    <w:rPr>
      <w:sz w:val="21"/>
      <w:szCs w:val="21"/>
    </w:rPr>
  </w:style>
  <w:style w:type="character" w:customStyle="1" w:styleId="73">
    <w:name w:val="标题 1 Char"/>
    <w:basedOn w:val="64"/>
    <w:link w:val="3"/>
    <w:qFormat/>
    <w:uiPriority w:val="0"/>
    <w:rPr>
      <w:kern w:val="2"/>
      <w:sz w:val="28"/>
      <w:szCs w:val="28"/>
    </w:rPr>
  </w:style>
  <w:style w:type="character" w:customStyle="1" w:styleId="74">
    <w:name w:val="标题 2 Char"/>
    <w:basedOn w:val="64"/>
    <w:link w:val="4"/>
    <w:qFormat/>
    <w:uiPriority w:val="0"/>
    <w:rPr>
      <w:kern w:val="2"/>
      <w:sz w:val="28"/>
    </w:rPr>
  </w:style>
  <w:style w:type="character" w:customStyle="1" w:styleId="75">
    <w:name w:val="标题 3 Char"/>
    <w:basedOn w:val="64"/>
    <w:link w:val="5"/>
    <w:qFormat/>
    <w:uiPriority w:val="0"/>
    <w:rPr>
      <w:b/>
      <w:bCs/>
      <w:kern w:val="2"/>
      <w:sz w:val="32"/>
      <w:szCs w:val="32"/>
    </w:rPr>
  </w:style>
  <w:style w:type="character" w:customStyle="1" w:styleId="76">
    <w:name w:val="标题 4 Char"/>
    <w:basedOn w:val="64"/>
    <w:link w:val="6"/>
    <w:qFormat/>
    <w:uiPriority w:val="0"/>
    <w:rPr>
      <w:rFonts w:ascii="Arial" w:hAnsi="Arial" w:eastAsia="黑体"/>
      <w:b/>
      <w:bCs/>
      <w:sz w:val="28"/>
      <w:szCs w:val="28"/>
    </w:rPr>
  </w:style>
  <w:style w:type="character" w:customStyle="1" w:styleId="77">
    <w:name w:val="标题 5 Char"/>
    <w:basedOn w:val="64"/>
    <w:link w:val="7"/>
    <w:qFormat/>
    <w:uiPriority w:val="0"/>
    <w:rPr>
      <w:b/>
      <w:bCs/>
      <w:sz w:val="28"/>
      <w:szCs w:val="28"/>
    </w:rPr>
  </w:style>
  <w:style w:type="character" w:customStyle="1" w:styleId="78">
    <w:name w:val="标题 6 Char"/>
    <w:basedOn w:val="64"/>
    <w:link w:val="8"/>
    <w:qFormat/>
    <w:uiPriority w:val="0"/>
    <w:rPr>
      <w:rFonts w:ascii="Arial" w:hAnsi="Arial" w:eastAsia="黑体"/>
      <w:b/>
      <w:bCs/>
      <w:sz w:val="24"/>
      <w:szCs w:val="24"/>
    </w:rPr>
  </w:style>
  <w:style w:type="character" w:customStyle="1" w:styleId="79">
    <w:name w:val="标题 7 Char"/>
    <w:basedOn w:val="64"/>
    <w:link w:val="9"/>
    <w:qFormat/>
    <w:uiPriority w:val="0"/>
    <w:rPr>
      <w:b/>
      <w:bCs/>
      <w:sz w:val="24"/>
      <w:szCs w:val="24"/>
    </w:rPr>
  </w:style>
  <w:style w:type="character" w:customStyle="1" w:styleId="80">
    <w:name w:val="标题 8 Char"/>
    <w:basedOn w:val="64"/>
    <w:link w:val="10"/>
    <w:qFormat/>
    <w:uiPriority w:val="0"/>
    <w:rPr>
      <w:rFonts w:ascii="Arial" w:hAnsi="Arial" w:eastAsia="黑体"/>
      <w:sz w:val="24"/>
      <w:szCs w:val="24"/>
    </w:rPr>
  </w:style>
  <w:style w:type="character" w:customStyle="1" w:styleId="81">
    <w:name w:val="标题 9 Char"/>
    <w:basedOn w:val="64"/>
    <w:link w:val="11"/>
    <w:qFormat/>
    <w:uiPriority w:val="0"/>
    <w:rPr>
      <w:rFonts w:ascii="Arial" w:hAnsi="Arial" w:eastAsia="黑体"/>
      <w:sz w:val="21"/>
      <w:szCs w:val="21"/>
    </w:rPr>
  </w:style>
  <w:style w:type="character" w:customStyle="1" w:styleId="82">
    <w:name w:val="批注文字 Char"/>
    <w:basedOn w:val="64"/>
    <w:link w:val="19"/>
    <w:qFormat/>
    <w:uiPriority w:val="99"/>
    <w:rPr>
      <w:kern w:val="2"/>
      <w:sz w:val="21"/>
      <w:szCs w:val="24"/>
    </w:rPr>
  </w:style>
  <w:style w:type="character" w:customStyle="1" w:styleId="83">
    <w:name w:val="批注主题 Char"/>
    <w:basedOn w:val="82"/>
    <w:link w:val="60"/>
    <w:qFormat/>
    <w:uiPriority w:val="0"/>
    <w:rPr>
      <w:b/>
      <w:bCs/>
      <w:kern w:val="2"/>
      <w:sz w:val="21"/>
      <w:szCs w:val="24"/>
    </w:rPr>
  </w:style>
  <w:style w:type="character" w:customStyle="1" w:styleId="84">
    <w:name w:val="文档结构图 Char"/>
    <w:basedOn w:val="64"/>
    <w:link w:val="18"/>
    <w:qFormat/>
    <w:uiPriority w:val="0"/>
    <w:rPr>
      <w:kern w:val="2"/>
      <w:sz w:val="21"/>
      <w:szCs w:val="21"/>
      <w:shd w:val="clear" w:color="auto" w:fill="000080"/>
    </w:rPr>
  </w:style>
  <w:style w:type="character" w:customStyle="1" w:styleId="85">
    <w:name w:val="称呼 Char1"/>
    <w:basedOn w:val="64"/>
    <w:link w:val="21"/>
    <w:qFormat/>
    <w:uiPriority w:val="0"/>
    <w:rPr>
      <w:kern w:val="2"/>
      <w:sz w:val="21"/>
      <w:szCs w:val="21"/>
    </w:rPr>
  </w:style>
  <w:style w:type="character" w:customStyle="1" w:styleId="86">
    <w:name w:val="正文文本 3 Char1"/>
    <w:basedOn w:val="64"/>
    <w:link w:val="22"/>
    <w:qFormat/>
    <w:uiPriority w:val="0"/>
    <w:rPr>
      <w:kern w:val="2"/>
      <w:sz w:val="16"/>
      <w:szCs w:val="16"/>
    </w:rPr>
  </w:style>
  <w:style w:type="character" w:customStyle="1" w:styleId="87">
    <w:name w:val="正文文本 Char"/>
    <w:basedOn w:val="64"/>
    <w:link w:val="23"/>
    <w:qFormat/>
    <w:uiPriority w:val="0"/>
    <w:rPr>
      <w:rFonts w:ascii="宋体" w:hAnsi="宋体"/>
      <w:kern w:val="2"/>
      <w:sz w:val="21"/>
      <w:szCs w:val="24"/>
    </w:rPr>
  </w:style>
  <w:style w:type="character" w:customStyle="1" w:styleId="88">
    <w:name w:val="正文文本缩进 Char"/>
    <w:basedOn w:val="64"/>
    <w:link w:val="25"/>
    <w:qFormat/>
    <w:uiPriority w:val="0"/>
    <w:rPr>
      <w:kern w:val="2"/>
      <w:sz w:val="28"/>
      <w:szCs w:val="28"/>
    </w:rPr>
  </w:style>
  <w:style w:type="character" w:customStyle="1" w:styleId="89">
    <w:name w:val="纯文本 Char1"/>
    <w:basedOn w:val="64"/>
    <w:link w:val="32"/>
    <w:qFormat/>
    <w:uiPriority w:val="0"/>
    <w:rPr>
      <w:rFonts w:ascii="宋体" w:hAnsi="Courier New"/>
      <w:kern w:val="2"/>
      <w:sz w:val="21"/>
    </w:rPr>
  </w:style>
  <w:style w:type="character" w:customStyle="1" w:styleId="90">
    <w:name w:val="日期 Char"/>
    <w:basedOn w:val="64"/>
    <w:link w:val="35"/>
    <w:qFormat/>
    <w:locked/>
    <w:uiPriority w:val="99"/>
    <w:rPr>
      <w:kern w:val="2"/>
      <w:sz w:val="21"/>
      <w:szCs w:val="21"/>
    </w:rPr>
  </w:style>
  <w:style w:type="character" w:customStyle="1" w:styleId="91">
    <w:name w:val="正文文本缩进 2 Char"/>
    <w:basedOn w:val="64"/>
    <w:link w:val="36"/>
    <w:qFormat/>
    <w:uiPriority w:val="0"/>
    <w:rPr>
      <w:rFonts w:ascii="宋体" w:hAnsi="宋体" w:cs="宋体"/>
      <w:kern w:val="2"/>
      <w:sz w:val="28"/>
      <w:szCs w:val="28"/>
    </w:rPr>
  </w:style>
  <w:style w:type="character" w:customStyle="1" w:styleId="92">
    <w:name w:val="尾注文本 Char1"/>
    <w:basedOn w:val="64"/>
    <w:link w:val="37"/>
    <w:qFormat/>
    <w:uiPriority w:val="0"/>
    <w:rPr>
      <w:kern w:val="2"/>
      <w:sz w:val="21"/>
      <w:szCs w:val="21"/>
    </w:rPr>
  </w:style>
  <w:style w:type="character" w:customStyle="1" w:styleId="93">
    <w:name w:val="批注框文本 Char"/>
    <w:basedOn w:val="64"/>
    <w:link w:val="38"/>
    <w:qFormat/>
    <w:uiPriority w:val="0"/>
    <w:rPr>
      <w:kern w:val="2"/>
      <w:sz w:val="18"/>
      <w:szCs w:val="18"/>
    </w:rPr>
  </w:style>
  <w:style w:type="character" w:customStyle="1" w:styleId="94">
    <w:name w:val="页脚 Char"/>
    <w:basedOn w:val="64"/>
    <w:link w:val="39"/>
    <w:qFormat/>
    <w:uiPriority w:val="99"/>
    <w:rPr>
      <w:kern w:val="2"/>
      <w:sz w:val="18"/>
      <w:szCs w:val="18"/>
    </w:rPr>
  </w:style>
  <w:style w:type="character" w:customStyle="1" w:styleId="95">
    <w:name w:val="页眉 Char"/>
    <w:basedOn w:val="64"/>
    <w:link w:val="40"/>
    <w:qFormat/>
    <w:uiPriority w:val="99"/>
    <w:rPr>
      <w:kern w:val="2"/>
      <w:sz w:val="18"/>
      <w:szCs w:val="18"/>
    </w:rPr>
  </w:style>
  <w:style w:type="character" w:customStyle="1" w:styleId="96">
    <w:name w:val="副标题 Char1"/>
    <w:basedOn w:val="64"/>
    <w:link w:val="46"/>
    <w:qFormat/>
    <w:uiPriority w:val="0"/>
    <w:rPr>
      <w:rFonts w:asciiTheme="majorHAnsi" w:hAnsiTheme="majorHAnsi" w:cstheme="majorBidi"/>
      <w:b/>
      <w:bCs/>
      <w:kern w:val="28"/>
      <w:sz w:val="32"/>
      <w:szCs w:val="32"/>
    </w:rPr>
  </w:style>
  <w:style w:type="character" w:customStyle="1" w:styleId="97">
    <w:name w:val="正文文本缩进 3 Char"/>
    <w:basedOn w:val="64"/>
    <w:link w:val="49"/>
    <w:qFormat/>
    <w:uiPriority w:val="0"/>
    <w:rPr>
      <w:kern w:val="2"/>
      <w:sz w:val="16"/>
      <w:szCs w:val="16"/>
    </w:rPr>
  </w:style>
  <w:style w:type="character" w:customStyle="1" w:styleId="98">
    <w:name w:val="正文文本 2 Char"/>
    <w:basedOn w:val="64"/>
    <w:link w:val="54"/>
    <w:qFormat/>
    <w:uiPriority w:val="0"/>
    <w:rPr>
      <w:color w:val="000000"/>
      <w:kern w:val="2"/>
      <w:sz w:val="21"/>
      <w:szCs w:val="24"/>
    </w:rPr>
  </w:style>
  <w:style w:type="character" w:customStyle="1" w:styleId="99">
    <w:name w:val="信息标题 Char1"/>
    <w:basedOn w:val="64"/>
    <w:link w:val="55"/>
    <w:qFormat/>
    <w:uiPriority w:val="0"/>
    <w:rPr>
      <w:rFonts w:ascii="Cambria" w:hAnsi="Cambria" w:eastAsia="宋体" w:cs="Times New Roman"/>
      <w:kern w:val="2"/>
      <w:sz w:val="24"/>
      <w:szCs w:val="24"/>
      <w:shd w:val="pct20" w:color="auto" w:fill="auto"/>
    </w:rPr>
  </w:style>
  <w:style w:type="character" w:customStyle="1" w:styleId="100">
    <w:name w:val="标题 Char"/>
    <w:basedOn w:val="64"/>
    <w:link w:val="59"/>
    <w:qFormat/>
    <w:uiPriority w:val="0"/>
    <w:rPr>
      <w:rFonts w:ascii="Cambria" w:hAnsi="Cambria"/>
      <w:b/>
      <w:bCs/>
      <w:kern w:val="2"/>
      <w:sz w:val="32"/>
      <w:szCs w:val="32"/>
    </w:rPr>
  </w:style>
  <w:style w:type="paragraph" w:customStyle="1" w:styleId="101">
    <w:name w:val="Char Char Char Char"/>
    <w:basedOn w:val="1"/>
    <w:qFormat/>
    <w:uiPriority w:val="0"/>
    <w:rPr>
      <w:rFonts w:ascii="Tahoma" w:hAnsi="Tahoma" w:cs="Tahoma"/>
      <w:sz w:val="24"/>
      <w:szCs w:val="24"/>
    </w:rPr>
  </w:style>
  <w:style w:type="paragraph" w:customStyle="1" w:styleId="102">
    <w:name w:val="封面公司名称"/>
    <w:basedOn w:val="15"/>
    <w:qFormat/>
    <w:uiPriority w:val="0"/>
    <w:pPr>
      <w:pBdr>
        <w:bottom w:val="thinThickSmallGap" w:color="auto" w:sz="24" w:space="13"/>
      </w:pBdr>
      <w:adjustRightInd w:val="0"/>
      <w:snapToGrid w:val="0"/>
      <w:spacing w:line="300" w:lineRule="auto"/>
      <w:ind w:firstLine="0" w:firstLineChars="0"/>
      <w:jc w:val="center"/>
    </w:pPr>
    <w:rPr>
      <w:rFonts w:ascii="黑体" w:eastAsia="黑体"/>
      <w:snapToGrid w:val="0"/>
      <w:color w:val="000000"/>
      <w:kern w:val="0"/>
      <w:sz w:val="52"/>
      <w:szCs w:val="20"/>
    </w:rPr>
  </w:style>
  <w:style w:type="character" w:customStyle="1" w:styleId="103">
    <w:name w:val="纯文本 Char"/>
    <w:basedOn w:val="64"/>
    <w:qFormat/>
    <w:uiPriority w:val="0"/>
    <w:rPr>
      <w:rFonts w:ascii="宋体" w:hAnsi="Courier New" w:cs="Courier New"/>
      <w:kern w:val="2"/>
      <w:sz w:val="21"/>
      <w:szCs w:val="21"/>
    </w:rPr>
  </w:style>
  <w:style w:type="paragraph" w:customStyle="1" w:styleId="104">
    <w:name w:val="北海分级目录"/>
    <w:basedOn w:val="1"/>
    <w:qFormat/>
    <w:uiPriority w:val="0"/>
    <w:pPr>
      <w:tabs>
        <w:tab w:val="left" w:pos="6593"/>
      </w:tabs>
      <w:ind w:left="657" w:hanging="657" w:hangingChars="313"/>
    </w:pPr>
    <w:rPr>
      <w:rFonts w:ascii="宋体" w:hAnsi="宋体"/>
      <w:color w:val="0000FF"/>
      <w:kern w:val="0"/>
    </w:rPr>
  </w:style>
  <w:style w:type="paragraph" w:customStyle="1" w:styleId="105">
    <w:name w:val="1 Char Char Char Char Char Char"/>
    <w:basedOn w:val="1"/>
    <w:qFormat/>
    <w:uiPriority w:val="0"/>
    <w:rPr>
      <w:szCs w:val="24"/>
    </w:rPr>
  </w:style>
  <w:style w:type="paragraph" w:customStyle="1" w:styleId="106">
    <w:name w:val="zhang"/>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7">
    <w:name w:val="TOC 标题1"/>
    <w:basedOn w:val="3"/>
    <w:next w:val="1"/>
    <w:qFormat/>
    <w:uiPriority w:val="39"/>
    <w:pPr>
      <w:keepLines/>
      <w:widowControl/>
      <w:spacing w:before="480" w:line="276" w:lineRule="auto"/>
      <w:jc w:val="left"/>
      <w:outlineLvl w:val="9"/>
    </w:pPr>
    <w:rPr>
      <w:rFonts w:ascii="Cambria" w:hAnsi="Cambria"/>
      <w:b/>
      <w:bCs/>
      <w:color w:val="365F91"/>
      <w:kern w:val="0"/>
    </w:rPr>
  </w:style>
  <w:style w:type="paragraph" w:customStyle="1" w:styleId="108">
    <w:name w:val="表格"/>
    <w:basedOn w:val="1"/>
    <w:qFormat/>
    <w:uiPriority w:val="0"/>
    <w:pPr>
      <w:adjustRightInd w:val="0"/>
      <w:spacing w:before="60" w:after="60"/>
      <w:jc w:val="center"/>
      <w:textAlignment w:val="baseline"/>
    </w:pPr>
    <w:rPr>
      <w:rFonts w:ascii="宋体"/>
      <w:kern w:val="0"/>
      <w:sz w:val="24"/>
      <w:szCs w:val="20"/>
    </w:rPr>
  </w:style>
  <w:style w:type="paragraph" w:customStyle="1" w:styleId="109">
    <w:name w:val="列出段落1"/>
    <w:basedOn w:val="1"/>
    <w:qFormat/>
    <w:uiPriority w:val="0"/>
    <w:pPr>
      <w:ind w:firstLine="420" w:firstLineChars="200"/>
    </w:pPr>
    <w:rPr>
      <w:szCs w:val="24"/>
    </w:rPr>
  </w:style>
  <w:style w:type="paragraph" w:customStyle="1" w:styleId="110">
    <w:name w:val="默认段落字体 Para Char Char Char Char Char Char Char Char Char Char Char Char Char"/>
    <w:basedOn w:val="1"/>
    <w:qFormat/>
    <w:uiPriority w:val="0"/>
    <w:rPr>
      <w:szCs w:val="24"/>
    </w:rPr>
  </w:style>
  <w:style w:type="paragraph" w:customStyle="1" w:styleId="111">
    <w:name w:val="默认段落字体 Para Char Char Char Char"/>
    <w:basedOn w:val="1"/>
    <w:qFormat/>
    <w:uiPriority w:val="99"/>
    <w:rPr>
      <w:szCs w:val="24"/>
    </w:rPr>
  </w:style>
  <w:style w:type="paragraph" w:customStyle="1" w:styleId="112">
    <w:name w:val="样式1"/>
    <w:basedOn w:val="1"/>
    <w:qFormat/>
    <w:uiPriority w:val="0"/>
    <w:pPr>
      <w:adjustRightInd w:val="0"/>
      <w:spacing w:line="420" w:lineRule="auto"/>
      <w:jc w:val="center"/>
    </w:pPr>
    <w:rPr>
      <w:rFonts w:ascii="宋体"/>
      <w:kern w:val="0"/>
      <w:sz w:val="24"/>
      <w:szCs w:val="20"/>
    </w:rPr>
  </w:style>
  <w:style w:type="paragraph" w:customStyle="1" w:styleId="113">
    <w:name w:val="表格居中"/>
    <w:basedOn w:val="1"/>
    <w:qFormat/>
    <w:uiPriority w:val="0"/>
    <w:pPr>
      <w:adjustRightInd w:val="0"/>
      <w:snapToGrid w:val="0"/>
      <w:jc w:val="center"/>
    </w:pPr>
    <w:rPr>
      <w:rFonts w:eastAsia="楷体_GB2312"/>
      <w:szCs w:val="20"/>
    </w:rPr>
  </w:style>
  <w:style w:type="paragraph" w:customStyle="1" w:styleId="114">
    <w:name w:val="正文文本 31"/>
    <w:basedOn w:val="1"/>
    <w:link w:val="115"/>
    <w:qFormat/>
    <w:uiPriority w:val="0"/>
    <w:pPr>
      <w:widowControl/>
      <w:overflowPunct w:val="0"/>
      <w:autoSpaceDE w:val="0"/>
      <w:autoSpaceDN w:val="0"/>
      <w:adjustRightInd w:val="0"/>
    </w:pPr>
    <w:rPr>
      <w:sz w:val="24"/>
      <w:szCs w:val="20"/>
    </w:rPr>
  </w:style>
  <w:style w:type="character" w:customStyle="1" w:styleId="115">
    <w:name w:val="正文文本 3 Char"/>
    <w:basedOn w:val="64"/>
    <w:link w:val="114"/>
    <w:qFormat/>
    <w:uiPriority w:val="0"/>
    <w:rPr>
      <w:kern w:val="2"/>
      <w:sz w:val="24"/>
    </w:rPr>
  </w:style>
  <w:style w:type="paragraph" w:customStyle="1" w:styleId="116">
    <w:name w:val="表格文字"/>
    <w:qFormat/>
    <w:uiPriority w:val="0"/>
    <w:pPr>
      <w:widowControl w:val="0"/>
      <w:adjustRightInd w:val="0"/>
      <w:spacing w:before="76" w:after="76" w:line="360" w:lineRule="auto"/>
      <w:ind w:left="284" w:hanging="284"/>
      <w:jc w:val="center"/>
    </w:pPr>
    <w:rPr>
      <w:rFonts w:ascii="Arial" w:hAnsi="Arial" w:eastAsia="宋体" w:cs="Times New Roman"/>
      <w:sz w:val="24"/>
      <w:lang w:val="en-US" w:eastAsia="zh-CN" w:bidi="ar-SA"/>
    </w:rPr>
  </w:style>
  <w:style w:type="paragraph" w:customStyle="1" w:styleId="117">
    <w:name w:val="样式2"/>
    <w:basedOn w:val="1"/>
    <w:qFormat/>
    <w:uiPriority w:val="0"/>
    <w:pPr>
      <w:adjustRightInd w:val="0"/>
      <w:spacing w:line="410" w:lineRule="atLeast"/>
    </w:pPr>
    <w:rPr>
      <w:kern w:val="0"/>
      <w:sz w:val="24"/>
      <w:szCs w:val="20"/>
    </w:rPr>
  </w:style>
  <w:style w:type="paragraph" w:customStyle="1" w:styleId="118">
    <w:name w:val="正"/>
    <w:basedOn w:val="1"/>
    <w:qFormat/>
    <w:uiPriority w:val="0"/>
    <w:pPr>
      <w:tabs>
        <w:tab w:val="left" w:pos="-120"/>
      </w:tabs>
      <w:adjustRightInd w:val="0"/>
      <w:spacing w:line="560" w:lineRule="exact"/>
      <w:ind w:firstLine="600"/>
    </w:pPr>
    <w:rPr>
      <w:rFonts w:ascii="仿宋_GB2312" w:eastAsia="仿宋_GB2312"/>
      <w:color w:val="000000"/>
      <w:spacing w:val="20"/>
      <w:kern w:val="0"/>
      <w:sz w:val="28"/>
      <w:szCs w:val="20"/>
    </w:rPr>
  </w:style>
  <w:style w:type="paragraph" w:customStyle="1" w:styleId="119">
    <w:name w:val="标准"/>
    <w:basedOn w:val="1"/>
    <w:qFormat/>
    <w:uiPriority w:val="0"/>
    <w:pPr>
      <w:jc w:val="center"/>
    </w:pPr>
    <w:rPr>
      <w:b/>
      <w:sz w:val="24"/>
      <w:szCs w:val="20"/>
    </w:rPr>
  </w:style>
  <w:style w:type="paragraph" w:customStyle="1" w:styleId="120">
    <w:name w:val="Char Char Char Char Char Char Char1"/>
    <w:basedOn w:val="1"/>
    <w:qFormat/>
    <w:uiPriority w:val="0"/>
    <w:rPr>
      <w:szCs w:val="24"/>
    </w:rPr>
  </w:style>
  <w:style w:type="paragraph" w:customStyle="1" w:styleId="121">
    <w:name w:val="默认段落字体 Para Char Char Char Char Char Char Char Char Char1 Char"/>
    <w:basedOn w:val="1"/>
    <w:qFormat/>
    <w:uiPriority w:val="0"/>
    <w:rPr>
      <w:sz w:val="24"/>
      <w:szCs w:val="24"/>
    </w:rPr>
  </w:style>
  <w:style w:type="paragraph" w:customStyle="1" w:styleId="122">
    <w:name w:val="Char"/>
    <w:basedOn w:val="1"/>
    <w:qFormat/>
    <w:uiPriority w:val="0"/>
    <w:pPr>
      <w:snapToGrid w:val="0"/>
      <w:spacing w:line="440" w:lineRule="atLeast"/>
      <w:ind w:firstLine="200" w:firstLineChars="200"/>
    </w:pPr>
    <w:rPr>
      <w:rFonts w:ascii="宋体"/>
      <w:sz w:val="24"/>
      <w:szCs w:val="24"/>
    </w:rPr>
  </w:style>
  <w:style w:type="paragraph" w:customStyle="1" w:styleId="123">
    <w:name w:val="段落"/>
    <w:basedOn w:val="1"/>
    <w:qFormat/>
    <w:uiPriority w:val="0"/>
    <w:pPr>
      <w:adjustRightInd w:val="0"/>
      <w:spacing w:line="400" w:lineRule="atLeast"/>
      <w:ind w:firstLine="482" w:firstLineChars="200"/>
      <w:jc w:val="left"/>
    </w:pPr>
    <w:rPr>
      <w:kern w:val="0"/>
      <w:sz w:val="28"/>
      <w:szCs w:val="24"/>
    </w:rPr>
  </w:style>
  <w:style w:type="paragraph" w:customStyle="1" w:styleId="124">
    <w:name w:val="小节"/>
    <w:basedOn w:val="1"/>
    <w:qFormat/>
    <w:uiPriority w:val="0"/>
    <w:rPr>
      <w:rFonts w:ascii="宋体"/>
      <w:b/>
      <w:szCs w:val="24"/>
    </w:rPr>
  </w:style>
  <w:style w:type="paragraph" w:customStyle="1" w:styleId="125">
    <w:name w:val="标准内容  段"/>
    <w:qFormat/>
    <w:uiPriority w:val="0"/>
    <w:pPr>
      <w:widowControl w:val="0"/>
      <w:spacing w:before="160" w:after="160" w:line="60" w:lineRule="atLeast"/>
      <w:ind w:left="1021" w:hanging="284"/>
      <w:jc w:val="both"/>
    </w:pPr>
    <w:rPr>
      <w:rFonts w:ascii="Arial" w:hAnsi="Arial" w:eastAsia="宋体" w:cs="Times New Roman"/>
      <w:spacing w:val="26"/>
      <w:kern w:val="2"/>
      <w:sz w:val="21"/>
      <w:szCs w:val="24"/>
      <w:lang w:val="en-US" w:eastAsia="zh-CN" w:bidi="ar-SA"/>
    </w:rPr>
  </w:style>
  <w:style w:type="paragraph" w:customStyle="1" w:styleId="126">
    <w:name w:val="font0"/>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127">
    <w:name w:val="font5"/>
    <w:basedOn w:val="1"/>
    <w:qFormat/>
    <w:uiPriority w:val="0"/>
    <w:pPr>
      <w:widowControl/>
      <w:spacing w:before="100" w:beforeAutospacing="1" w:after="100" w:afterAutospacing="1"/>
      <w:jc w:val="left"/>
    </w:pPr>
    <w:rPr>
      <w:kern w:val="0"/>
      <w:sz w:val="24"/>
      <w:szCs w:val="24"/>
    </w:rPr>
  </w:style>
  <w:style w:type="paragraph" w:customStyle="1" w:styleId="128">
    <w:name w:val="font6"/>
    <w:basedOn w:val="1"/>
    <w:qFormat/>
    <w:uiPriority w:val="0"/>
    <w:pPr>
      <w:widowControl/>
      <w:spacing w:before="100" w:beforeAutospacing="1" w:after="100" w:afterAutospacing="1"/>
      <w:jc w:val="left"/>
    </w:pPr>
    <w:rPr>
      <w:kern w:val="0"/>
    </w:rPr>
  </w:style>
  <w:style w:type="paragraph" w:customStyle="1" w:styleId="129">
    <w:name w:val="font7"/>
    <w:basedOn w:val="1"/>
    <w:qFormat/>
    <w:uiPriority w:val="0"/>
    <w:pPr>
      <w:widowControl/>
      <w:spacing w:before="100" w:beforeAutospacing="1" w:after="100" w:afterAutospacing="1"/>
      <w:jc w:val="left"/>
    </w:pPr>
    <w:rPr>
      <w:rFonts w:ascii="宋体" w:hAnsi="宋体"/>
      <w:kern w:val="0"/>
    </w:rPr>
  </w:style>
  <w:style w:type="paragraph" w:customStyle="1" w:styleId="130">
    <w:name w:val="xl26"/>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131">
    <w:name w:val="xl27"/>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32">
    <w:name w:val="xl28"/>
    <w:basedOn w:val="1"/>
    <w:qFormat/>
    <w:uiPriority w:val="99"/>
    <w:pPr>
      <w:widowControl/>
      <w:pBdr>
        <w:top w:val="single" w:color="auto" w:sz="8"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33">
    <w:name w:val="xl29"/>
    <w:basedOn w:val="1"/>
    <w:qFormat/>
    <w:uiPriority w:val="99"/>
    <w:pPr>
      <w:widowControl/>
      <w:pBdr>
        <w:top w:val="single" w:color="auto" w:sz="8" w:space="0"/>
        <w:bottom w:val="single" w:color="auto" w:sz="4" w:space="0"/>
        <w:right w:val="single" w:color="auto" w:sz="8" w:space="0"/>
      </w:pBdr>
      <w:spacing w:before="100" w:beforeAutospacing="1" w:after="100" w:afterAutospacing="1"/>
      <w:jc w:val="left"/>
    </w:pPr>
    <w:rPr>
      <w:rFonts w:ascii="宋体" w:hAnsi="宋体"/>
      <w:kern w:val="0"/>
      <w:sz w:val="24"/>
      <w:szCs w:val="24"/>
    </w:rPr>
  </w:style>
  <w:style w:type="paragraph" w:customStyle="1" w:styleId="134">
    <w:name w:val="xl30"/>
    <w:basedOn w:val="1"/>
    <w:qFormat/>
    <w:uiPriority w:val="99"/>
    <w:pPr>
      <w:widowControl/>
      <w:pBdr>
        <w:left w:val="single" w:color="auto" w:sz="8"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135">
    <w:name w:val="xl31"/>
    <w:basedOn w:val="1"/>
    <w:qFormat/>
    <w:uiPriority w:val="99"/>
    <w:pPr>
      <w:widowControl/>
      <w:pBdr>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36">
    <w:name w:val="xl32"/>
    <w:basedOn w:val="1"/>
    <w:qFormat/>
    <w:uiPriority w:val="99"/>
    <w:pPr>
      <w:widowControl/>
      <w:pBdr>
        <w:bottom w:val="single" w:color="auto" w:sz="4" w:space="0"/>
        <w:right w:val="single" w:color="auto" w:sz="4" w:space="0"/>
      </w:pBdr>
      <w:spacing w:before="100" w:beforeAutospacing="1" w:after="100" w:afterAutospacing="1"/>
      <w:jc w:val="left"/>
    </w:pPr>
    <w:rPr>
      <w:kern w:val="0"/>
      <w:sz w:val="24"/>
      <w:szCs w:val="24"/>
    </w:rPr>
  </w:style>
  <w:style w:type="paragraph" w:customStyle="1" w:styleId="137">
    <w:name w:val="xl33"/>
    <w:basedOn w:val="1"/>
    <w:qFormat/>
    <w:uiPriority w:val="99"/>
    <w:pPr>
      <w:widowControl/>
      <w:pBdr>
        <w:bottom w:val="single" w:color="auto" w:sz="4" w:space="0"/>
        <w:right w:val="single" w:color="auto" w:sz="8" w:space="0"/>
      </w:pBdr>
      <w:spacing w:before="100" w:beforeAutospacing="1" w:after="100" w:afterAutospacing="1"/>
      <w:jc w:val="left"/>
    </w:pPr>
    <w:rPr>
      <w:kern w:val="0"/>
      <w:sz w:val="24"/>
      <w:szCs w:val="24"/>
    </w:rPr>
  </w:style>
  <w:style w:type="paragraph" w:customStyle="1" w:styleId="138">
    <w:name w:val="xl34"/>
    <w:basedOn w:val="1"/>
    <w:qFormat/>
    <w:uiPriority w:val="0"/>
    <w:pPr>
      <w:widowControl/>
      <w:pBdr>
        <w:bottom w:val="single" w:color="auto" w:sz="4" w:space="0"/>
        <w:right w:val="single" w:color="auto" w:sz="4" w:space="0"/>
      </w:pBdr>
      <w:spacing w:before="100" w:beforeAutospacing="1" w:after="100" w:afterAutospacing="1"/>
      <w:jc w:val="left"/>
    </w:pPr>
    <w:rPr>
      <w:kern w:val="0"/>
    </w:rPr>
  </w:style>
  <w:style w:type="paragraph" w:customStyle="1" w:styleId="139">
    <w:name w:val="xl35"/>
    <w:basedOn w:val="1"/>
    <w:qFormat/>
    <w:uiPriority w:val="99"/>
    <w:pPr>
      <w:widowControl/>
      <w:pBdr>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40">
    <w:name w:val="xl36"/>
    <w:basedOn w:val="1"/>
    <w:qFormat/>
    <w:uiPriority w:val="99"/>
    <w:pPr>
      <w:widowControl/>
      <w:pBdr>
        <w:left w:val="single" w:color="auto" w:sz="8" w:space="0"/>
        <w:bottom w:val="single" w:color="auto" w:sz="8" w:space="0"/>
        <w:right w:val="single" w:color="auto" w:sz="4" w:space="0"/>
      </w:pBdr>
      <w:spacing w:before="100" w:beforeAutospacing="1" w:after="100" w:afterAutospacing="1"/>
      <w:jc w:val="left"/>
    </w:pPr>
    <w:rPr>
      <w:kern w:val="0"/>
    </w:rPr>
  </w:style>
  <w:style w:type="paragraph" w:customStyle="1" w:styleId="141">
    <w:name w:val="xl37"/>
    <w:basedOn w:val="1"/>
    <w:qFormat/>
    <w:uiPriority w:val="99"/>
    <w:pPr>
      <w:widowControl/>
      <w:pBdr>
        <w:bottom w:val="single" w:color="auto" w:sz="8" w:space="0"/>
        <w:right w:val="single" w:color="auto" w:sz="4" w:space="0"/>
      </w:pBdr>
      <w:spacing w:before="100" w:beforeAutospacing="1" w:after="100" w:afterAutospacing="1"/>
      <w:jc w:val="left"/>
    </w:pPr>
    <w:rPr>
      <w:kern w:val="0"/>
    </w:rPr>
  </w:style>
  <w:style w:type="paragraph" w:customStyle="1" w:styleId="142">
    <w:name w:val="xl38"/>
    <w:basedOn w:val="1"/>
    <w:qFormat/>
    <w:uiPriority w:val="99"/>
    <w:pPr>
      <w:widowControl/>
      <w:pBdr>
        <w:bottom w:val="single" w:color="auto" w:sz="8" w:space="0"/>
        <w:right w:val="single" w:color="auto" w:sz="8" w:space="0"/>
      </w:pBdr>
      <w:spacing w:before="100" w:beforeAutospacing="1" w:after="100" w:afterAutospacing="1"/>
      <w:jc w:val="left"/>
    </w:pPr>
    <w:rPr>
      <w:kern w:val="0"/>
    </w:rPr>
  </w:style>
  <w:style w:type="paragraph" w:customStyle="1" w:styleId="143">
    <w:name w:val="xl39"/>
    <w:basedOn w:val="1"/>
    <w:qFormat/>
    <w:uiPriority w:val="99"/>
    <w:pPr>
      <w:widowControl/>
      <w:pBdr>
        <w:top w:val="single" w:color="auto" w:sz="8" w:space="0"/>
      </w:pBdr>
      <w:spacing w:before="100" w:beforeAutospacing="1" w:after="100" w:afterAutospacing="1"/>
      <w:jc w:val="left"/>
    </w:pPr>
    <w:rPr>
      <w:kern w:val="0"/>
      <w:sz w:val="28"/>
      <w:szCs w:val="28"/>
    </w:rPr>
  </w:style>
  <w:style w:type="paragraph" w:customStyle="1" w:styleId="144">
    <w:name w:val="xl40"/>
    <w:basedOn w:val="1"/>
    <w:qFormat/>
    <w:uiPriority w:val="99"/>
    <w:pPr>
      <w:widowControl/>
      <w:pBdr>
        <w:bottom w:val="single" w:color="auto" w:sz="4" w:space="0"/>
        <w:right w:val="single" w:color="auto" w:sz="4" w:space="0"/>
      </w:pBdr>
      <w:spacing w:before="100" w:beforeAutospacing="1" w:after="100" w:afterAutospacing="1"/>
      <w:jc w:val="left"/>
    </w:pPr>
    <w:rPr>
      <w:rFonts w:ascii="仿宋_GB2312" w:hAnsi="宋体" w:eastAsia="仿宋_GB2312"/>
      <w:kern w:val="0"/>
    </w:rPr>
  </w:style>
  <w:style w:type="paragraph" w:customStyle="1" w:styleId="145">
    <w:name w:val="font8"/>
    <w:basedOn w:val="1"/>
    <w:qFormat/>
    <w:uiPriority w:val="0"/>
    <w:pPr>
      <w:widowControl/>
      <w:spacing w:before="100" w:beforeAutospacing="1" w:after="100" w:afterAutospacing="1"/>
      <w:jc w:val="left"/>
    </w:pPr>
    <w:rPr>
      <w:rFonts w:ascii="宋体" w:hAnsi="宋体"/>
      <w:kern w:val="0"/>
      <w:sz w:val="20"/>
      <w:szCs w:val="20"/>
    </w:rPr>
  </w:style>
  <w:style w:type="paragraph" w:customStyle="1" w:styleId="146">
    <w:name w:val="封面文件名称"/>
    <w:basedOn w:val="15"/>
    <w:qFormat/>
    <w:uiPriority w:val="0"/>
    <w:pPr>
      <w:adjustRightInd w:val="0"/>
      <w:snapToGrid w:val="0"/>
      <w:spacing w:line="300" w:lineRule="auto"/>
      <w:ind w:firstLine="0" w:firstLineChars="0"/>
      <w:jc w:val="center"/>
    </w:pPr>
    <w:rPr>
      <w:rFonts w:ascii="仿宋_GB2312" w:eastAsia="仿宋_GB2312"/>
      <w:b/>
      <w:bCs/>
      <w:color w:val="000000"/>
      <w:kern w:val="0"/>
      <w:sz w:val="52"/>
      <w:szCs w:val="20"/>
    </w:rPr>
  </w:style>
  <w:style w:type="paragraph" w:customStyle="1" w:styleId="147">
    <w:name w:val="Char Char Char Char Char Char2 Char Char Char Char"/>
    <w:basedOn w:val="1"/>
    <w:qFormat/>
    <w:uiPriority w:val="0"/>
    <w:rPr>
      <w:szCs w:val="24"/>
    </w:rPr>
  </w:style>
  <w:style w:type="paragraph" w:customStyle="1" w:styleId="148">
    <w:name w:val="font9"/>
    <w:basedOn w:val="1"/>
    <w:qFormat/>
    <w:uiPriority w:val="0"/>
    <w:pPr>
      <w:widowControl/>
      <w:spacing w:before="100" w:beforeAutospacing="1" w:after="100" w:afterAutospacing="1"/>
      <w:jc w:val="left"/>
    </w:pPr>
    <w:rPr>
      <w:kern w:val="0"/>
      <w:sz w:val="18"/>
      <w:szCs w:val="18"/>
    </w:rPr>
  </w:style>
  <w:style w:type="paragraph" w:customStyle="1" w:styleId="149">
    <w:name w:val="font10"/>
    <w:basedOn w:val="1"/>
    <w:qFormat/>
    <w:uiPriority w:val="0"/>
    <w:pPr>
      <w:widowControl/>
      <w:spacing w:before="100" w:beforeAutospacing="1" w:after="100" w:afterAutospacing="1"/>
      <w:jc w:val="left"/>
    </w:pPr>
    <w:rPr>
      <w:rFonts w:ascii="楷体_GB2312" w:hAnsi="宋体" w:eastAsia="楷体_GB2312" w:cs="宋体"/>
      <w:kern w:val="0"/>
      <w:sz w:val="20"/>
      <w:szCs w:val="20"/>
    </w:rPr>
  </w:style>
  <w:style w:type="paragraph" w:customStyle="1" w:styleId="150">
    <w:name w:val="font11"/>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51">
    <w:name w:val="font12"/>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152">
    <w:name w:val="font13"/>
    <w:basedOn w:val="1"/>
    <w:qFormat/>
    <w:uiPriority w:val="0"/>
    <w:pPr>
      <w:widowControl/>
      <w:spacing w:before="100" w:beforeAutospacing="1" w:after="100" w:afterAutospacing="1"/>
      <w:jc w:val="left"/>
    </w:pPr>
    <w:rPr>
      <w:rFonts w:ascii="Tahoma" w:hAnsi="Tahoma" w:cs="Tahoma"/>
      <w:kern w:val="0"/>
      <w:sz w:val="18"/>
      <w:szCs w:val="18"/>
    </w:rPr>
  </w:style>
  <w:style w:type="paragraph" w:customStyle="1" w:styleId="15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5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5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56">
    <w:name w:val="xl72"/>
    <w:basedOn w:val="1"/>
    <w:qFormat/>
    <w:uiPriority w:val="0"/>
    <w:pPr>
      <w:widowControl/>
      <w:pBdr>
        <w:top w:val="single" w:color="333333" w:sz="4" w:space="0"/>
        <w:left w:val="single" w:color="333333" w:sz="4" w:space="0"/>
        <w:right w:val="single" w:color="333333" w:sz="4" w:space="0"/>
      </w:pBdr>
      <w:spacing w:before="100" w:beforeAutospacing="1" w:after="100" w:afterAutospacing="1"/>
      <w:jc w:val="left"/>
    </w:pPr>
    <w:rPr>
      <w:rFonts w:ascii="宋体" w:hAnsi="宋体" w:cs="宋体"/>
      <w:kern w:val="0"/>
      <w:sz w:val="18"/>
      <w:szCs w:val="18"/>
    </w:rPr>
  </w:style>
  <w:style w:type="paragraph" w:customStyle="1" w:styleId="15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5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5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6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6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8"/>
      <w:szCs w:val="18"/>
    </w:rPr>
  </w:style>
  <w:style w:type="paragraph" w:customStyle="1" w:styleId="16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楷体_GB2312" w:hAnsi="宋体" w:eastAsia="楷体_GB2312" w:cs="宋体"/>
      <w:kern w:val="0"/>
      <w:sz w:val="18"/>
      <w:szCs w:val="18"/>
    </w:rPr>
  </w:style>
  <w:style w:type="paragraph" w:customStyle="1" w:styleId="16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6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6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6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8"/>
      <w:szCs w:val="18"/>
    </w:rPr>
  </w:style>
  <w:style w:type="paragraph" w:customStyle="1" w:styleId="167">
    <w:name w:val="xl8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68">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69">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70">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71">
    <w:name w:val="xl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172">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173">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174">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175">
    <w:name w:val="xl4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176">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177">
    <w:name w:val="xl4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178">
    <w:name w:val="xl4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179">
    <w:name w:val="Char Char Char Char Char Char Char Char Char"/>
    <w:basedOn w:val="1"/>
    <w:qFormat/>
    <w:uiPriority w:val="99"/>
    <w:pPr>
      <w:ind w:firstLine="200" w:firstLineChars="200"/>
    </w:pPr>
    <w:rPr>
      <w:rFonts w:ascii="宋体" w:hAnsi="宋体" w:cs="宋体"/>
      <w:sz w:val="24"/>
      <w:szCs w:val="24"/>
    </w:rPr>
  </w:style>
  <w:style w:type="paragraph" w:customStyle="1" w:styleId="180">
    <w:name w:val="1 Char"/>
    <w:basedOn w:val="1"/>
    <w:qFormat/>
    <w:uiPriority w:val="99"/>
    <w:pPr>
      <w:snapToGrid w:val="0"/>
    </w:pPr>
    <w:rPr>
      <w:rFonts w:ascii="Arial" w:hAnsi="Arial"/>
    </w:rPr>
  </w:style>
  <w:style w:type="character" w:customStyle="1" w:styleId="181">
    <w:name w:val="ml Char"/>
    <w:basedOn w:val="64"/>
    <w:qFormat/>
    <w:uiPriority w:val="0"/>
    <w:rPr>
      <w:rFonts w:hint="eastAsia" w:ascii="宋体" w:hAnsi="宋体" w:eastAsia="宋体"/>
      <w:sz w:val="28"/>
      <w:szCs w:val="28"/>
      <w:lang w:val="en-US" w:eastAsia="zh-CN" w:bidi="ar-SA"/>
    </w:rPr>
  </w:style>
  <w:style w:type="paragraph" w:customStyle="1" w:styleId="182">
    <w:name w:val="无间隔1"/>
    <w:link w:val="183"/>
    <w:qFormat/>
    <w:uiPriority w:val="1"/>
    <w:pPr>
      <w:spacing w:line="360" w:lineRule="auto"/>
      <w:ind w:left="284" w:hanging="284"/>
      <w:jc w:val="both"/>
    </w:pPr>
    <w:rPr>
      <w:rFonts w:ascii="Calibri" w:hAnsi="Calibri" w:eastAsia="宋体" w:cs="Times New Roman"/>
      <w:sz w:val="22"/>
      <w:szCs w:val="22"/>
      <w:lang w:val="en-US" w:eastAsia="zh-CN" w:bidi="ar-SA"/>
    </w:rPr>
  </w:style>
  <w:style w:type="character" w:customStyle="1" w:styleId="183">
    <w:name w:val="无间隔 Char"/>
    <w:basedOn w:val="64"/>
    <w:link w:val="182"/>
    <w:qFormat/>
    <w:uiPriority w:val="1"/>
    <w:rPr>
      <w:rFonts w:ascii="Calibri" w:hAnsi="Calibri"/>
      <w:sz w:val="22"/>
      <w:szCs w:val="22"/>
      <w:lang w:val="en-US" w:eastAsia="zh-CN" w:bidi="ar-SA"/>
    </w:rPr>
  </w:style>
  <w:style w:type="paragraph" w:customStyle="1" w:styleId="184">
    <w:name w:val="正文文本 21"/>
    <w:basedOn w:val="1"/>
    <w:qFormat/>
    <w:uiPriority w:val="0"/>
    <w:pPr>
      <w:adjustRightInd w:val="0"/>
      <w:ind w:left="0" w:firstLine="480"/>
      <w:textAlignment w:val="baseline"/>
    </w:pPr>
    <w:rPr>
      <w:kern w:val="0"/>
      <w:sz w:val="24"/>
      <w:szCs w:val="20"/>
    </w:rPr>
  </w:style>
  <w:style w:type="paragraph" w:customStyle="1" w:styleId="185">
    <w:name w:val="正文文本缩进 21"/>
    <w:basedOn w:val="1"/>
    <w:qFormat/>
    <w:uiPriority w:val="0"/>
    <w:pPr>
      <w:adjustRightInd w:val="0"/>
      <w:ind w:left="0" w:firstLine="492"/>
      <w:textAlignment w:val="baseline"/>
    </w:pPr>
    <w:rPr>
      <w:rFonts w:ascii="宋体" w:hAnsi="宋体"/>
      <w:spacing w:val="3"/>
      <w:kern w:val="0"/>
      <w:sz w:val="24"/>
      <w:szCs w:val="20"/>
    </w:rPr>
  </w:style>
  <w:style w:type="character" w:customStyle="1" w:styleId="186">
    <w:name w:val="信息标题 Char"/>
    <w:basedOn w:val="64"/>
    <w:qFormat/>
    <w:uiPriority w:val="0"/>
    <w:rPr>
      <w:rFonts w:ascii="Garamond" w:hAnsi="Garamond"/>
      <w:spacing w:val="-5"/>
      <w:sz w:val="18"/>
      <w:lang w:bidi="he-IL"/>
    </w:rPr>
  </w:style>
  <w:style w:type="paragraph" w:customStyle="1" w:styleId="187">
    <w:name w:val="衣服"/>
    <w:qFormat/>
    <w:uiPriority w:val="0"/>
    <w:pPr>
      <w:tabs>
        <w:tab w:val="left" w:pos="840"/>
      </w:tabs>
      <w:ind w:left="840" w:hanging="480"/>
    </w:pPr>
    <w:rPr>
      <w:rFonts w:ascii="宋体" w:hAnsi="宋体" w:eastAsia="宋体" w:cs="Times New Roman"/>
      <w:kern w:val="2"/>
      <w:sz w:val="30"/>
      <w:lang w:val="en-US" w:eastAsia="zh-CN" w:bidi="ar-SA"/>
    </w:rPr>
  </w:style>
  <w:style w:type="paragraph" w:customStyle="1" w:styleId="188">
    <w:name w:val="检修质量"/>
    <w:qFormat/>
    <w:uiPriority w:val="0"/>
    <w:pPr>
      <w:tabs>
        <w:tab w:val="left" w:pos="420"/>
      </w:tabs>
      <w:spacing w:line="360" w:lineRule="auto"/>
      <w:ind w:left="420" w:hanging="420"/>
    </w:pPr>
    <w:rPr>
      <w:rFonts w:ascii="Times New Roman" w:hAnsi="Times New Roman" w:eastAsia="宋体" w:cs="Times New Roman"/>
      <w:kern w:val="2"/>
      <w:sz w:val="24"/>
      <w:lang w:val="en-US" w:eastAsia="zh-CN" w:bidi="ar-SA"/>
    </w:rPr>
  </w:style>
  <w:style w:type="paragraph" w:customStyle="1" w:styleId="189">
    <w:name w:val="嫉妒"/>
    <w:qFormat/>
    <w:uiPriority w:val="0"/>
    <w:pPr>
      <w:tabs>
        <w:tab w:val="left" w:pos="907"/>
      </w:tabs>
      <w:spacing w:line="360" w:lineRule="auto"/>
    </w:pPr>
    <w:rPr>
      <w:rFonts w:ascii="宋体" w:hAnsi="宋体" w:eastAsia="宋体" w:cs="Times New Roman"/>
      <w:kern w:val="2"/>
      <w:sz w:val="30"/>
      <w:lang w:val="en-US" w:eastAsia="zh-CN" w:bidi="ar-SA"/>
    </w:rPr>
  </w:style>
  <w:style w:type="paragraph" w:customStyle="1" w:styleId="190">
    <w:name w:val="客观"/>
    <w:qFormat/>
    <w:uiPriority w:val="0"/>
    <w:pPr>
      <w:tabs>
        <w:tab w:val="left" w:pos="907"/>
      </w:tabs>
      <w:spacing w:line="360" w:lineRule="auto"/>
    </w:pPr>
    <w:rPr>
      <w:rFonts w:ascii="宋体" w:hAnsi="宋体" w:eastAsia="宋体" w:cs="Times New Roman"/>
      <w:kern w:val="2"/>
      <w:sz w:val="30"/>
      <w:lang w:val="en-US" w:eastAsia="zh-CN" w:bidi="ar-SA"/>
    </w:rPr>
  </w:style>
  <w:style w:type="paragraph" w:customStyle="1" w:styleId="191">
    <w:name w:val="立刻"/>
    <w:qFormat/>
    <w:uiPriority w:val="0"/>
    <w:pPr>
      <w:tabs>
        <w:tab w:val="left" w:pos="907"/>
      </w:tabs>
      <w:spacing w:line="360" w:lineRule="auto"/>
    </w:pPr>
    <w:rPr>
      <w:rFonts w:ascii="宋体" w:hAnsi="宋体" w:eastAsia="宋体" w:cs="Times New Roman"/>
      <w:kern w:val="2"/>
      <w:sz w:val="30"/>
      <w:lang w:val="en-US" w:eastAsia="zh-CN" w:bidi="ar-SA"/>
    </w:rPr>
  </w:style>
  <w:style w:type="paragraph" w:customStyle="1" w:styleId="192">
    <w:name w:val="电器"/>
    <w:qFormat/>
    <w:uiPriority w:val="0"/>
    <w:pPr>
      <w:tabs>
        <w:tab w:val="left" w:pos="907"/>
      </w:tabs>
      <w:spacing w:line="360" w:lineRule="auto"/>
    </w:pPr>
    <w:rPr>
      <w:rFonts w:ascii="宋体" w:hAnsi="宋体" w:eastAsia="宋体" w:cs="Times New Roman"/>
      <w:kern w:val="2"/>
      <w:sz w:val="30"/>
      <w:lang w:val="en-US" w:eastAsia="zh-CN" w:bidi="ar-SA"/>
    </w:rPr>
  </w:style>
  <w:style w:type="character" w:customStyle="1" w:styleId="193">
    <w:name w:val="页眉 Char1"/>
    <w:basedOn w:val="64"/>
    <w:qFormat/>
    <w:uiPriority w:val="0"/>
    <w:rPr>
      <w:rFonts w:ascii="宋体" w:eastAsia="宋体"/>
      <w:sz w:val="18"/>
      <w:lang w:val="en-US" w:eastAsia="zh-CN" w:bidi="ar-SA"/>
    </w:rPr>
  </w:style>
  <w:style w:type="paragraph" w:customStyle="1" w:styleId="194">
    <w:name w:val="Char Char Char Char Char Char Char"/>
    <w:basedOn w:val="1"/>
    <w:qFormat/>
    <w:uiPriority w:val="0"/>
    <w:pPr>
      <w:spacing w:line="240" w:lineRule="auto"/>
      <w:ind w:left="0" w:firstLine="0"/>
    </w:pPr>
    <w:rPr>
      <w:szCs w:val="24"/>
    </w:rPr>
  </w:style>
  <w:style w:type="paragraph" w:customStyle="1" w:styleId="195">
    <w:name w:val="2 Char"/>
    <w:basedOn w:val="1"/>
    <w:qFormat/>
    <w:uiPriority w:val="0"/>
    <w:pPr>
      <w:adjustRightInd w:val="0"/>
      <w:spacing w:line="360" w:lineRule="atLeast"/>
      <w:ind w:left="0" w:firstLine="0"/>
      <w:jc w:val="left"/>
      <w:textAlignment w:val="baseline"/>
    </w:pPr>
    <w:rPr>
      <w:kern w:val="0"/>
      <w:sz w:val="24"/>
      <w:szCs w:val="20"/>
    </w:rPr>
  </w:style>
  <w:style w:type="paragraph" w:customStyle="1" w:styleId="196">
    <w:name w:val="正文文本 32"/>
    <w:basedOn w:val="1"/>
    <w:qFormat/>
    <w:uiPriority w:val="0"/>
    <w:pPr>
      <w:widowControl/>
      <w:overflowPunct w:val="0"/>
      <w:autoSpaceDE w:val="0"/>
      <w:autoSpaceDN w:val="0"/>
      <w:adjustRightInd w:val="0"/>
      <w:spacing w:line="240" w:lineRule="auto"/>
      <w:ind w:left="0" w:firstLine="0"/>
    </w:pPr>
    <w:rPr>
      <w:sz w:val="24"/>
      <w:szCs w:val="20"/>
    </w:rPr>
  </w:style>
  <w:style w:type="character" w:customStyle="1" w:styleId="197">
    <w:name w:val="日期 Char1"/>
    <w:basedOn w:val="64"/>
    <w:qFormat/>
    <w:uiPriority w:val="0"/>
    <w:rPr>
      <w:kern w:val="2"/>
      <w:sz w:val="21"/>
      <w:szCs w:val="24"/>
    </w:rPr>
  </w:style>
  <w:style w:type="character" w:customStyle="1" w:styleId="198">
    <w:name w:val="批注框文本 Char1"/>
    <w:basedOn w:val="64"/>
    <w:qFormat/>
    <w:uiPriority w:val="0"/>
    <w:rPr>
      <w:kern w:val="2"/>
      <w:sz w:val="18"/>
      <w:szCs w:val="18"/>
    </w:rPr>
  </w:style>
  <w:style w:type="paragraph" w:customStyle="1" w:styleId="199">
    <w:name w:val="一级条标题"/>
    <w:basedOn w:val="1"/>
    <w:next w:val="1"/>
    <w:qFormat/>
    <w:uiPriority w:val="0"/>
    <w:pPr>
      <w:widowControl/>
      <w:spacing w:line="240" w:lineRule="auto"/>
      <w:ind w:left="540" w:firstLine="0"/>
      <w:outlineLvl w:val="2"/>
    </w:pPr>
    <w:rPr>
      <w:rFonts w:ascii="黑体" w:eastAsia="黑体"/>
      <w:kern w:val="0"/>
      <w:szCs w:val="20"/>
    </w:rPr>
  </w:style>
  <w:style w:type="paragraph" w:customStyle="1" w:styleId="200">
    <w:name w:val="标准书脚_奇数页"/>
    <w:qFormat/>
    <w:uiPriority w:val="0"/>
    <w:pPr>
      <w:spacing w:before="120"/>
      <w:jc w:val="right"/>
    </w:pPr>
    <w:rPr>
      <w:rFonts w:ascii="Times New Roman" w:hAnsi="Times New Roman" w:eastAsia="宋体" w:cs="Times New Roman"/>
      <w:sz w:val="18"/>
      <w:lang w:val="en-US" w:eastAsia="zh-CN" w:bidi="ar-SA"/>
    </w:rPr>
  </w:style>
  <w:style w:type="character" w:customStyle="1" w:styleId="201">
    <w:name w:val="正文1"/>
    <w:basedOn w:val="64"/>
    <w:qFormat/>
    <w:uiPriority w:val="0"/>
    <w:rPr>
      <w:rFonts w:hint="eastAsia" w:ascii="宋体" w:hAnsi="宋体" w:eastAsia="宋体"/>
      <w:color w:val="000000"/>
      <w:spacing w:val="400"/>
      <w:sz w:val="22"/>
      <w:szCs w:val="22"/>
    </w:rPr>
  </w:style>
  <w:style w:type="paragraph" w:customStyle="1" w:styleId="202">
    <w:name w:val="H4"/>
    <w:basedOn w:val="1"/>
    <w:next w:val="1"/>
    <w:qFormat/>
    <w:uiPriority w:val="0"/>
    <w:pPr>
      <w:keepNext/>
      <w:autoSpaceDE w:val="0"/>
      <w:autoSpaceDN w:val="0"/>
      <w:adjustRightInd w:val="0"/>
      <w:spacing w:before="100" w:after="100" w:line="240" w:lineRule="auto"/>
      <w:ind w:left="0" w:firstLine="0"/>
      <w:jc w:val="left"/>
      <w:outlineLvl w:val="4"/>
    </w:pPr>
    <w:rPr>
      <w:b/>
      <w:kern w:val="0"/>
      <w:sz w:val="24"/>
      <w:szCs w:val="20"/>
    </w:rPr>
  </w:style>
  <w:style w:type="paragraph" w:customStyle="1" w:styleId="203">
    <w:name w:val="前言、引言标题"/>
    <w:next w:val="1"/>
    <w:qFormat/>
    <w:uiPriority w:val="0"/>
    <w:pPr>
      <w:shd w:val="clear" w:color="FFFFFF" w:fill="FFFFFF"/>
      <w:tabs>
        <w:tab w:val="left" w:pos="420"/>
      </w:tabs>
      <w:spacing w:before="640" w:after="560"/>
      <w:ind w:left="420" w:hanging="420"/>
      <w:jc w:val="center"/>
      <w:outlineLvl w:val="0"/>
    </w:pPr>
    <w:rPr>
      <w:rFonts w:ascii="黑体" w:hAnsi="Times New Roman" w:eastAsia="黑体" w:cs="Times New Roman"/>
      <w:sz w:val="32"/>
      <w:lang w:val="en-US" w:eastAsia="zh-CN" w:bidi="ar-SA"/>
    </w:rPr>
  </w:style>
  <w:style w:type="paragraph" w:customStyle="1" w:styleId="204">
    <w:name w:val="二级条标题"/>
    <w:basedOn w:val="199"/>
    <w:next w:val="5"/>
    <w:qFormat/>
    <w:uiPriority w:val="0"/>
    <w:pPr>
      <w:ind w:left="0"/>
      <w:jc w:val="left"/>
      <w:outlineLvl w:val="3"/>
    </w:pPr>
    <w:rPr>
      <w:rFonts w:ascii="Times New Roman"/>
    </w:rPr>
  </w:style>
  <w:style w:type="paragraph" w:customStyle="1" w:styleId="205">
    <w:name w:val="三级条标题"/>
    <w:basedOn w:val="204"/>
    <w:next w:val="5"/>
    <w:qFormat/>
    <w:uiPriority w:val="0"/>
    <w:pPr>
      <w:outlineLvl w:val="4"/>
    </w:pPr>
  </w:style>
  <w:style w:type="paragraph" w:customStyle="1" w:styleId="206">
    <w:name w:val="四级条标题"/>
    <w:basedOn w:val="205"/>
    <w:next w:val="5"/>
    <w:qFormat/>
    <w:uiPriority w:val="0"/>
    <w:pPr>
      <w:outlineLvl w:val="5"/>
    </w:pPr>
  </w:style>
  <w:style w:type="paragraph" w:customStyle="1" w:styleId="207">
    <w:name w:val="五级条标题"/>
    <w:basedOn w:val="206"/>
    <w:next w:val="5"/>
    <w:qFormat/>
    <w:uiPriority w:val="0"/>
    <w:pPr>
      <w:outlineLvl w:val="6"/>
    </w:pPr>
  </w:style>
  <w:style w:type="paragraph" w:customStyle="1" w:styleId="20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09">
    <w:name w:val="附录标识"/>
    <w:basedOn w:val="203"/>
    <w:qFormat/>
    <w:uiPriority w:val="0"/>
    <w:pPr>
      <w:tabs>
        <w:tab w:val="left" w:pos="6405"/>
        <w:tab w:val="clear" w:pos="420"/>
      </w:tabs>
      <w:spacing w:after="200" w:line="360" w:lineRule="exact"/>
      <w:ind w:left="0" w:firstLine="0"/>
      <w:jc w:val="both"/>
    </w:pPr>
    <w:rPr>
      <w:rFonts w:ascii="宋体" w:hAnsi="宋体" w:eastAsia="宋体"/>
      <w:b/>
      <w:bCs/>
      <w:sz w:val="21"/>
    </w:rPr>
  </w:style>
  <w:style w:type="character" w:customStyle="1" w:styleId="210">
    <w:name w:val="apple-converted-space"/>
    <w:basedOn w:val="64"/>
    <w:qFormat/>
    <w:uiPriority w:val="0"/>
  </w:style>
  <w:style w:type="paragraph" w:customStyle="1" w:styleId="211">
    <w:name w:val="表格字"/>
    <w:basedOn w:val="1"/>
    <w:qFormat/>
    <w:uiPriority w:val="0"/>
    <w:pPr>
      <w:ind w:left="0" w:firstLine="0"/>
      <w:jc w:val="center"/>
    </w:pPr>
    <w:rPr>
      <w:rFonts w:ascii="Arial" w:hAnsi="Arial" w:cs="Arial"/>
      <w:szCs w:val="24"/>
    </w:rPr>
  </w:style>
  <w:style w:type="paragraph" w:customStyle="1" w:styleId="212">
    <w:name w:val="纯文本1"/>
    <w:basedOn w:val="1"/>
    <w:qFormat/>
    <w:uiPriority w:val="0"/>
    <w:pPr>
      <w:overflowPunct w:val="0"/>
      <w:autoSpaceDE w:val="0"/>
      <w:autoSpaceDN w:val="0"/>
      <w:adjustRightInd w:val="0"/>
      <w:spacing w:line="240" w:lineRule="auto"/>
      <w:ind w:left="0" w:firstLine="0"/>
    </w:pPr>
    <w:rPr>
      <w:rFonts w:ascii="宋体"/>
      <w:sz w:val="28"/>
      <w:szCs w:val="20"/>
    </w:rPr>
  </w:style>
  <w:style w:type="character" w:customStyle="1" w:styleId="213">
    <w:name w:val="Char Char3"/>
    <w:qFormat/>
    <w:uiPriority w:val="0"/>
    <w:rPr>
      <w:rFonts w:ascii="宋体" w:hAnsi="Courier New" w:eastAsia="宋体"/>
      <w:kern w:val="2"/>
      <w:sz w:val="21"/>
      <w:lang w:val="en-US" w:eastAsia="zh-CN" w:bidi="ar-SA"/>
    </w:rPr>
  </w:style>
  <w:style w:type="character" w:customStyle="1" w:styleId="214">
    <w:name w:val="副标题 Char"/>
    <w:qFormat/>
    <w:uiPriority w:val="0"/>
    <w:rPr>
      <w:b/>
      <w:sz w:val="32"/>
    </w:rPr>
  </w:style>
  <w:style w:type="character" w:customStyle="1" w:styleId="215">
    <w:name w:val="尾注文本 Char"/>
    <w:qFormat/>
    <w:uiPriority w:val="0"/>
    <w:rPr>
      <w:sz w:val="24"/>
      <w:szCs w:val="24"/>
    </w:rPr>
  </w:style>
  <w:style w:type="character" w:customStyle="1" w:styleId="216">
    <w:name w:val="标题 2 Char Char"/>
    <w:qFormat/>
    <w:uiPriority w:val="0"/>
    <w:rPr>
      <w:rFonts w:ascii="宋体" w:hAnsi="宋体" w:eastAsia="宋体"/>
      <w:b/>
      <w:bCs/>
      <w:sz w:val="36"/>
      <w:lang w:val="en-US" w:eastAsia="zh-CN" w:bidi="ar-SA"/>
    </w:rPr>
  </w:style>
  <w:style w:type="character" w:customStyle="1" w:styleId="217">
    <w:name w:val="不同e"/>
    <w:qFormat/>
    <w:uiPriority w:val="0"/>
    <w:rPr>
      <w:rFonts w:ascii="宋体" w:hAnsi="宋体" w:eastAsia="宋体"/>
      <w:color w:val="FF0000"/>
      <w:kern w:val="22"/>
      <w:sz w:val="22"/>
    </w:rPr>
  </w:style>
  <w:style w:type="character" w:customStyle="1" w:styleId="218">
    <w:name w:val="称呼 Char"/>
    <w:qFormat/>
    <w:uiPriority w:val="0"/>
    <w:rPr>
      <w:rFonts w:ascii="Arial" w:hAnsi="Arial"/>
      <w:spacing w:val="-5"/>
      <w:sz w:val="21"/>
    </w:rPr>
  </w:style>
  <w:style w:type="paragraph" w:customStyle="1" w:styleId="219">
    <w:name w:val="纯文本3"/>
    <w:basedOn w:val="1"/>
    <w:qFormat/>
    <w:uiPriority w:val="0"/>
    <w:pPr>
      <w:adjustRightInd w:val="0"/>
      <w:spacing w:line="240" w:lineRule="auto"/>
      <w:ind w:left="0" w:firstLine="0"/>
      <w:textAlignment w:val="baseline"/>
    </w:pPr>
    <w:rPr>
      <w:rFonts w:ascii="宋体"/>
      <w:kern w:val="0"/>
      <w:szCs w:val="20"/>
    </w:rPr>
  </w:style>
  <w:style w:type="paragraph" w:customStyle="1" w:styleId="220">
    <w:name w:val="Char Char Char Char Char Char Char Char Char Char Char Char Char Char Char Char"/>
    <w:basedOn w:val="1"/>
    <w:qFormat/>
    <w:uiPriority w:val="0"/>
    <w:pPr>
      <w:spacing w:line="240" w:lineRule="auto"/>
      <w:ind w:left="0" w:firstLine="0"/>
    </w:pPr>
    <w:rPr>
      <w:szCs w:val="24"/>
    </w:rPr>
  </w:style>
  <w:style w:type="paragraph" w:customStyle="1" w:styleId="221">
    <w:name w:val="Char Char Char Char1"/>
    <w:basedOn w:val="1"/>
    <w:qFormat/>
    <w:uiPriority w:val="0"/>
    <w:pPr>
      <w:keepNext/>
      <w:widowControl/>
      <w:tabs>
        <w:tab w:val="left" w:pos="425"/>
      </w:tabs>
      <w:autoSpaceDE w:val="0"/>
      <w:autoSpaceDN w:val="0"/>
      <w:adjustRightInd w:val="0"/>
      <w:spacing w:before="80" w:after="80" w:line="240" w:lineRule="auto"/>
      <w:ind w:left="0" w:hanging="425"/>
    </w:pPr>
    <w:rPr>
      <w:rFonts w:ascii="Arial" w:hAnsi="Arial" w:cs="Arial"/>
      <w:sz w:val="20"/>
      <w:szCs w:val="20"/>
    </w:rPr>
  </w:style>
  <w:style w:type="paragraph" w:customStyle="1" w:styleId="222">
    <w:name w:val="日期3"/>
    <w:basedOn w:val="1"/>
    <w:next w:val="1"/>
    <w:qFormat/>
    <w:uiPriority w:val="0"/>
    <w:pPr>
      <w:autoSpaceDE w:val="0"/>
      <w:autoSpaceDN w:val="0"/>
      <w:adjustRightInd w:val="0"/>
      <w:spacing w:line="360" w:lineRule="atLeast"/>
      <w:ind w:left="0" w:firstLine="0"/>
      <w:textAlignment w:val="baseline"/>
    </w:pPr>
    <w:rPr>
      <w:rFonts w:ascii="宋体"/>
      <w:kern w:val="0"/>
      <w:sz w:val="20"/>
      <w:szCs w:val="20"/>
    </w:rPr>
  </w:style>
  <w:style w:type="paragraph" w:customStyle="1" w:styleId="223">
    <w:name w:val="彩色底纹 - 强调文字颜色 11"/>
    <w:semiHidden/>
    <w:qFormat/>
    <w:uiPriority w:val="99"/>
    <w:rPr>
      <w:rFonts w:ascii="Calibri" w:hAnsi="Calibri" w:eastAsia="宋体" w:cs="Times New Roman"/>
      <w:kern w:val="2"/>
      <w:sz w:val="21"/>
      <w:szCs w:val="22"/>
      <w:lang w:val="en-US" w:eastAsia="zh-CN" w:bidi="ar-SA"/>
    </w:rPr>
  </w:style>
  <w:style w:type="paragraph" w:customStyle="1" w:styleId="224">
    <w:name w:val="样式 首行缩进:  0 厘米 行距: 单倍行距 Char"/>
    <w:basedOn w:val="1"/>
    <w:qFormat/>
    <w:uiPriority w:val="0"/>
    <w:pPr>
      <w:adjustRightInd w:val="0"/>
      <w:spacing w:line="240" w:lineRule="auto"/>
      <w:ind w:left="0" w:firstLine="0"/>
      <w:textAlignment w:val="baseline"/>
    </w:pPr>
    <w:rPr>
      <w:kern w:val="0"/>
      <w:szCs w:val="20"/>
    </w:rPr>
  </w:style>
  <w:style w:type="paragraph" w:customStyle="1" w:styleId="225">
    <w:name w:val="(1)"/>
    <w:basedOn w:val="1"/>
    <w:qFormat/>
    <w:uiPriority w:val="0"/>
    <w:pPr>
      <w:adjustRightInd w:val="0"/>
      <w:spacing w:before="60" w:after="60" w:line="240" w:lineRule="auto"/>
      <w:ind w:left="0" w:firstLine="0"/>
      <w:jc w:val="center"/>
      <w:textAlignment w:val="baseline"/>
    </w:pPr>
    <w:rPr>
      <w:rFonts w:ascii="宋体"/>
      <w:kern w:val="0"/>
      <w:sz w:val="24"/>
      <w:szCs w:val="20"/>
    </w:rPr>
  </w:style>
  <w:style w:type="paragraph" w:customStyle="1" w:styleId="226">
    <w:name w:val="表格侧编号"/>
    <w:next w:val="1"/>
    <w:qFormat/>
    <w:uiPriority w:val="0"/>
    <w:pPr>
      <w:widowControl w:val="0"/>
      <w:spacing w:line="440" w:lineRule="exact"/>
      <w:jc w:val="center"/>
    </w:pPr>
    <w:rPr>
      <w:rFonts w:ascii="宋体" w:hAnsi="宋体" w:eastAsia="宋体" w:cs="Times New Roman"/>
      <w:bCs/>
      <w:iCs/>
      <w:spacing w:val="20"/>
      <w:kern w:val="2"/>
      <w:sz w:val="24"/>
      <w:szCs w:val="24"/>
      <w:lang w:val="en-US" w:eastAsia="zh-CN" w:bidi="ar-SA"/>
    </w:rPr>
  </w:style>
  <w:style w:type="paragraph" w:customStyle="1" w:styleId="227">
    <w:name w:val="日期1"/>
    <w:basedOn w:val="1"/>
    <w:next w:val="1"/>
    <w:qFormat/>
    <w:uiPriority w:val="0"/>
    <w:pPr>
      <w:autoSpaceDE w:val="0"/>
      <w:autoSpaceDN w:val="0"/>
      <w:adjustRightInd w:val="0"/>
      <w:spacing w:line="360" w:lineRule="atLeast"/>
      <w:ind w:left="0" w:firstLine="0"/>
      <w:textAlignment w:val="baseline"/>
    </w:pPr>
    <w:rPr>
      <w:rFonts w:ascii="宋体"/>
      <w:kern w:val="0"/>
      <w:sz w:val="20"/>
      <w:szCs w:val="20"/>
    </w:rPr>
  </w:style>
  <w:style w:type="paragraph" w:customStyle="1" w:styleId="228">
    <w:name w:val="tll"/>
    <w:basedOn w:val="1"/>
    <w:qFormat/>
    <w:uiPriority w:val="0"/>
    <w:pPr>
      <w:autoSpaceDE w:val="0"/>
      <w:autoSpaceDN w:val="0"/>
      <w:adjustRightInd w:val="0"/>
      <w:spacing w:line="240" w:lineRule="auto"/>
      <w:ind w:left="0" w:firstLine="0"/>
      <w:jc w:val="left"/>
      <w:textAlignment w:val="baseline"/>
    </w:pPr>
    <w:rPr>
      <w:rFonts w:ascii="仿宋_GB2312" w:hAnsi="Arial" w:eastAsia="仿宋_GB2312"/>
      <w:kern w:val="0"/>
      <w:szCs w:val="20"/>
    </w:rPr>
  </w:style>
  <w:style w:type="paragraph" w:customStyle="1" w:styleId="229">
    <w:name w:val="正常1"/>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230">
    <w:name w:val="样式 宋体 小四 黑色 行距: 1.5 倍行距"/>
    <w:basedOn w:val="1"/>
    <w:qFormat/>
    <w:uiPriority w:val="0"/>
    <w:pPr>
      <w:ind w:left="0" w:firstLine="0"/>
    </w:pPr>
    <w:rPr>
      <w:rFonts w:ascii="宋体" w:hAnsi="宋体" w:cs="宋体"/>
      <w:color w:val="000000"/>
      <w:sz w:val="24"/>
      <w:szCs w:val="20"/>
    </w:rPr>
  </w:style>
  <w:style w:type="paragraph" w:customStyle="1" w:styleId="231">
    <w:name w:val="Char Char Char Char Char Char1 Char"/>
    <w:basedOn w:val="1"/>
    <w:qFormat/>
    <w:uiPriority w:val="0"/>
    <w:pPr>
      <w:spacing w:line="240" w:lineRule="auto"/>
      <w:ind w:left="0" w:firstLine="0"/>
    </w:pPr>
    <w:rPr>
      <w:szCs w:val="24"/>
    </w:rPr>
  </w:style>
  <w:style w:type="paragraph" w:customStyle="1" w:styleId="232">
    <w:name w:val="_Style 5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3">
    <w:name w:val="Char1"/>
    <w:basedOn w:val="1"/>
    <w:qFormat/>
    <w:uiPriority w:val="0"/>
    <w:pPr>
      <w:spacing w:line="240" w:lineRule="auto"/>
      <w:ind w:left="0" w:firstLine="0"/>
    </w:pPr>
    <w:rPr>
      <w:szCs w:val="24"/>
    </w:rPr>
  </w:style>
  <w:style w:type="paragraph" w:customStyle="1" w:styleId="234">
    <w:name w:val="纯文本2"/>
    <w:basedOn w:val="1"/>
    <w:qFormat/>
    <w:uiPriority w:val="0"/>
    <w:pPr>
      <w:adjustRightInd w:val="0"/>
      <w:spacing w:line="240" w:lineRule="auto"/>
      <w:ind w:left="0" w:firstLine="0"/>
      <w:textAlignment w:val="baseline"/>
    </w:pPr>
    <w:rPr>
      <w:rFonts w:ascii="宋体" w:hAnsi="Courier New"/>
      <w:szCs w:val="20"/>
    </w:rPr>
  </w:style>
  <w:style w:type="paragraph" w:customStyle="1" w:styleId="235">
    <w:name w:val="Char Char Char Char Char"/>
    <w:basedOn w:val="1"/>
    <w:qFormat/>
    <w:uiPriority w:val="0"/>
    <w:pPr>
      <w:spacing w:line="240" w:lineRule="auto"/>
      <w:ind w:left="0" w:firstLine="0"/>
    </w:pPr>
    <w:rPr>
      <w:szCs w:val="24"/>
    </w:rPr>
  </w:style>
  <w:style w:type="paragraph" w:customStyle="1" w:styleId="236">
    <w:name w:val="Char Char Char Char Char Char"/>
    <w:basedOn w:val="1"/>
    <w:qFormat/>
    <w:uiPriority w:val="0"/>
    <w:pPr>
      <w:spacing w:line="240" w:lineRule="auto"/>
      <w:ind w:left="0" w:firstLine="0"/>
    </w:pPr>
    <w:rPr>
      <w:szCs w:val="24"/>
    </w:rPr>
  </w:style>
  <w:style w:type="paragraph" w:customStyle="1" w:styleId="237">
    <w:name w:val="图表题"/>
    <w:qFormat/>
    <w:uiPriority w:val="0"/>
    <w:pPr>
      <w:spacing w:line="460" w:lineRule="exact"/>
      <w:jc w:val="center"/>
    </w:pPr>
    <w:rPr>
      <w:rFonts w:ascii="Times New Roman" w:hAnsi="Times New Roman" w:eastAsia="楷体_GB2312" w:cs="Times New Roman"/>
      <w:kern w:val="2"/>
      <w:sz w:val="24"/>
      <w:szCs w:val="24"/>
      <w:lang w:val="en-US" w:eastAsia="zh-CN" w:bidi="ar-SA"/>
    </w:rPr>
  </w:style>
  <w:style w:type="paragraph" w:customStyle="1" w:styleId="238">
    <w:name w:val="目录1 1"/>
    <w:basedOn w:val="52"/>
    <w:qFormat/>
    <w:uiPriority w:val="0"/>
    <w:pPr>
      <w:tabs>
        <w:tab w:val="right" w:leader="dot" w:pos="9288"/>
      </w:tabs>
      <w:ind w:left="420" w:leftChars="200" w:firstLine="0"/>
      <w:jc w:val="center"/>
    </w:pPr>
    <w:rPr>
      <w:b/>
      <w:bCs/>
      <w:smallCaps w:val="0"/>
      <w:sz w:val="44"/>
      <w:szCs w:val="24"/>
    </w:rPr>
  </w:style>
  <w:style w:type="paragraph" w:customStyle="1" w:styleId="239">
    <w:name w:val="日期2"/>
    <w:basedOn w:val="1"/>
    <w:next w:val="1"/>
    <w:qFormat/>
    <w:uiPriority w:val="0"/>
    <w:pPr>
      <w:autoSpaceDE w:val="0"/>
      <w:autoSpaceDN w:val="0"/>
      <w:adjustRightInd w:val="0"/>
      <w:spacing w:line="240" w:lineRule="auto"/>
      <w:ind w:left="0" w:firstLine="0"/>
      <w:textAlignment w:val="baseline"/>
    </w:pPr>
    <w:rPr>
      <w:spacing w:val="10"/>
      <w:kern w:val="0"/>
      <w:sz w:val="24"/>
      <w:szCs w:val="20"/>
    </w:rPr>
  </w:style>
  <w:style w:type="paragraph" w:customStyle="1" w:styleId="240">
    <w:name w:val="标题4"/>
    <w:basedOn w:val="5"/>
    <w:next w:val="23"/>
    <w:qFormat/>
    <w:uiPriority w:val="0"/>
    <w:pPr>
      <w:keepNext w:val="0"/>
      <w:keepLines w:val="0"/>
      <w:tabs>
        <w:tab w:val="left" w:pos="0"/>
      </w:tabs>
      <w:adjustRightInd w:val="0"/>
      <w:spacing w:before="120" w:after="0" w:line="360" w:lineRule="atLeast"/>
      <w:jc w:val="left"/>
      <w:textAlignment w:val="baseline"/>
    </w:pPr>
    <w:rPr>
      <w:rFonts w:ascii="Arial" w:hAnsi="Arial"/>
      <w:b w:val="0"/>
      <w:bCs w:val="0"/>
      <w:kern w:val="0"/>
      <w:sz w:val="24"/>
      <w:szCs w:val="24"/>
    </w:rPr>
  </w:style>
  <w:style w:type="paragraph" w:customStyle="1" w:styleId="241">
    <w:name w:val="纯文本31"/>
    <w:basedOn w:val="1"/>
    <w:qFormat/>
    <w:uiPriority w:val="0"/>
    <w:pPr>
      <w:adjustRightInd w:val="0"/>
      <w:spacing w:line="240" w:lineRule="auto"/>
      <w:ind w:left="0" w:firstLine="0"/>
      <w:textAlignment w:val="baseline"/>
    </w:pPr>
    <w:rPr>
      <w:rFonts w:ascii="宋体" w:hAnsi="Courier New"/>
      <w:szCs w:val="20"/>
    </w:rPr>
  </w:style>
  <w:style w:type="paragraph" w:customStyle="1" w:styleId="242">
    <w:name w:val="Char Char Char"/>
    <w:basedOn w:val="1"/>
    <w:qFormat/>
    <w:uiPriority w:val="0"/>
    <w:pPr>
      <w:spacing w:line="240" w:lineRule="auto"/>
      <w:ind w:left="0" w:firstLine="0"/>
    </w:pPr>
    <w:rPr>
      <w:szCs w:val="24"/>
    </w:rPr>
  </w:style>
  <w:style w:type="paragraph" w:customStyle="1" w:styleId="243">
    <w:name w:val="4 Char"/>
    <w:basedOn w:val="1"/>
    <w:qFormat/>
    <w:uiPriority w:val="0"/>
    <w:pPr>
      <w:spacing w:line="240" w:lineRule="auto"/>
      <w:ind w:left="0" w:firstLine="0"/>
    </w:pPr>
    <w:rPr>
      <w:szCs w:val="24"/>
    </w:rPr>
  </w:style>
  <w:style w:type="paragraph" w:customStyle="1" w:styleId="244">
    <w:name w:val="彩色列表 - 强调文字颜色 11"/>
    <w:basedOn w:val="1"/>
    <w:qFormat/>
    <w:uiPriority w:val="34"/>
    <w:pPr>
      <w:spacing w:line="240" w:lineRule="auto"/>
      <w:ind w:left="0" w:firstLine="420" w:firstLineChars="200"/>
    </w:pPr>
    <w:rPr>
      <w:rFonts w:ascii="Calibri" w:hAnsi="Calibri"/>
      <w:szCs w:val="22"/>
    </w:rPr>
  </w:style>
  <w:style w:type="paragraph" w:customStyle="1" w:styleId="245">
    <w:name w:val="表格1"/>
    <w:basedOn w:val="1"/>
    <w:qFormat/>
    <w:uiPriority w:val="0"/>
    <w:pPr>
      <w:tabs>
        <w:tab w:val="left" w:pos="737"/>
      </w:tabs>
      <w:adjustRightInd w:val="0"/>
      <w:spacing w:before="120" w:after="120" w:line="240" w:lineRule="auto"/>
      <w:ind w:left="0" w:firstLine="0"/>
      <w:jc w:val="left"/>
      <w:textAlignment w:val="baseline"/>
    </w:pPr>
    <w:rPr>
      <w:rFonts w:ascii="Arial" w:hAnsi="Arial"/>
      <w:kern w:val="24"/>
      <w:sz w:val="24"/>
      <w:szCs w:val="20"/>
    </w:rPr>
  </w:style>
  <w:style w:type="paragraph" w:customStyle="1" w:styleId="246">
    <w:name w:val="正文报告"/>
    <w:basedOn w:val="1"/>
    <w:qFormat/>
    <w:uiPriority w:val="0"/>
    <w:pPr>
      <w:tabs>
        <w:tab w:val="left" w:pos="510"/>
      </w:tabs>
      <w:adjustRightInd w:val="0"/>
      <w:spacing w:line="460" w:lineRule="exact"/>
      <w:ind w:left="0" w:firstLine="482"/>
      <w:textAlignment w:val="baseline"/>
    </w:pPr>
    <w:rPr>
      <w:kern w:val="0"/>
      <w:sz w:val="24"/>
      <w:szCs w:val="20"/>
    </w:rPr>
  </w:style>
  <w:style w:type="paragraph" w:customStyle="1" w:styleId="247">
    <w:name w:val="Fliestext/Aufz."/>
    <w:basedOn w:val="1"/>
    <w:qFormat/>
    <w:uiPriority w:val="0"/>
    <w:pPr>
      <w:widowControl/>
      <w:overflowPunct w:val="0"/>
      <w:autoSpaceDE w:val="0"/>
      <w:autoSpaceDN w:val="0"/>
      <w:adjustRightInd w:val="0"/>
      <w:spacing w:after="120" w:line="240" w:lineRule="auto"/>
      <w:ind w:left="0" w:firstLine="0"/>
      <w:textAlignment w:val="baseline"/>
    </w:pPr>
    <w:rPr>
      <w:rFonts w:ascii="Arial" w:hAnsi="Arial" w:eastAsia="MS Mincho"/>
      <w:kern w:val="0"/>
      <w:sz w:val="22"/>
      <w:szCs w:val="20"/>
      <w:lang w:val="de-DE"/>
    </w:rPr>
  </w:style>
  <w:style w:type="paragraph" w:customStyle="1" w:styleId="248">
    <w:name w:val="Char Char12 Char Char Char Char"/>
    <w:basedOn w:val="1"/>
    <w:qFormat/>
    <w:uiPriority w:val="0"/>
    <w:pPr>
      <w:spacing w:line="240" w:lineRule="auto"/>
      <w:ind w:left="0" w:firstLine="0"/>
    </w:pPr>
    <w:rPr>
      <w:szCs w:val="24"/>
    </w:rPr>
  </w:style>
  <w:style w:type="character" w:customStyle="1" w:styleId="249">
    <w:name w:val="font141"/>
    <w:basedOn w:val="64"/>
    <w:qFormat/>
    <w:uiPriority w:val="0"/>
    <w:rPr>
      <w:rFonts w:hint="eastAsia" w:ascii="宋体" w:hAnsi="宋体" w:eastAsia="宋体" w:cs="宋体"/>
      <w:color w:val="000000"/>
      <w:sz w:val="22"/>
      <w:szCs w:val="22"/>
      <w:u w:val="none"/>
    </w:rPr>
  </w:style>
  <w:style w:type="character" w:customStyle="1" w:styleId="250">
    <w:name w:val="font31"/>
    <w:basedOn w:val="64"/>
    <w:qFormat/>
    <w:uiPriority w:val="0"/>
    <w:rPr>
      <w:rFonts w:hint="default" w:ascii="Tahoma" w:hAnsi="Tahoma" w:eastAsia="Tahoma" w:cs="Tahoma"/>
      <w:color w:val="000000"/>
      <w:sz w:val="22"/>
      <w:szCs w:val="22"/>
      <w:u w:val="none"/>
    </w:rPr>
  </w:style>
  <w:style w:type="character" w:customStyle="1" w:styleId="251">
    <w:name w:val="font01"/>
    <w:basedOn w:val="64"/>
    <w:qFormat/>
    <w:uiPriority w:val="0"/>
    <w:rPr>
      <w:rFonts w:hint="eastAsia" w:ascii="宋体" w:hAnsi="宋体" w:eastAsia="宋体" w:cs="宋体"/>
      <w:color w:val="000000"/>
      <w:sz w:val="22"/>
      <w:szCs w:val="22"/>
      <w:u w:val="none"/>
    </w:rPr>
  </w:style>
  <w:style w:type="character" w:customStyle="1" w:styleId="252">
    <w:name w:val="font91"/>
    <w:basedOn w:val="64"/>
    <w:qFormat/>
    <w:uiPriority w:val="0"/>
    <w:rPr>
      <w:rFonts w:hint="eastAsia" w:ascii="宋体" w:hAnsi="宋体" w:eastAsia="宋体" w:cs="宋体"/>
      <w:color w:val="000000"/>
      <w:sz w:val="21"/>
      <w:szCs w:val="21"/>
      <w:u w:val="none"/>
    </w:rPr>
  </w:style>
  <w:style w:type="character" w:customStyle="1" w:styleId="253">
    <w:name w:val="font61"/>
    <w:basedOn w:val="64"/>
    <w:qFormat/>
    <w:uiPriority w:val="0"/>
    <w:rPr>
      <w:rFonts w:hint="default" w:ascii="Calibri" w:hAnsi="Calibri" w:cs="Calibri"/>
      <w:color w:val="000000"/>
      <w:sz w:val="21"/>
      <w:szCs w:val="21"/>
      <w:u w:val="none"/>
    </w:rPr>
  </w:style>
  <w:style w:type="paragraph" w:customStyle="1" w:styleId="254">
    <w:name w:val="列出段落2"/>
    <w:basedOn w:val="1"/>
    <w:qFormat/>
    <w:uiPriority w:val="34"/>
    <w:pPr>
      <w:ind w:firstLine="420" w:firstLineChars="200"/>
    </w:pPr>
  </w:style>
  <w:style w:type="paragraph" w:styleId="255">
    <w:name w:val="List Paragraph"/>
    <w:basedOn w:val="1"/>
    <w:link w:val="256"/>
    <w:unhideWhenUsed/>
    <w:qFormat/>
    <w:uiPriority w:val="0"/>
    <w:pPr>
      <w:ind w:firstLine="420" w:firstLineChars="200"/>
    </w:pPr>
  </w:style>
  <w:style w:type="character" w:customStyle="1" w:styleId="256">
    <w:name w:val="列出段落 Char"/>
    <w:link w:val="255"/>
    <w:qFormat/>
    <w:uiPriority w:val="34"/>
    <w:rPr>
      <w:kern w:val="2"/>
      <w:sz w:val="21"/>
      <w:szCs w:val="21"/>
    </w:rPr>
  </w:style>
  <w:style w:type="paragraph" w:styleId="257">
    <w:name w:val="No Spacing"/>
    <w:qFormat/>
    <w:uiPriority w:val="1"/>
    <w:rPr>
      <w:rFonts w:ascii="Calibri" w:hAnsi="Calibri" w:eastAsia="宋体" w:cs="Times New Roman"/>
      <w:kern w:val="2"/>
      <w:sz w:val="22"/>
      <w:szCs w:val="22"/>
      <w:lang w:val="en-US" w:eastAsia="zh-CN" w:bidi="ar-SA"/>
    </w:rPr>
  </w:style>
  <w:style w:type="paragraph" w:customStyle="1" w:styleId="258">
    <w:name w:val="段"/>
    <w:link w:val="302"/>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qFormat/>
    <w:uiPriority w:val="0"/>
    <w:pPr>
      <w:tabs>
        <w:tab w:val="left" w:pos="840"/>
      </w:tabs>
      <w:spacing w:beforeLines="50" w:afterLines="50"/>
      <w:ind w:left="840"/>
      <w:jc w:val="both"/>
      <w:outlineLvl w:val="1"/>
    </w:pPr>
    <w:rPr>
      <w:rFonts w:ascii="黑体" w:hAnsi="Times New Roman" w:eastAsia="黑体" w:cs="Times New Roman"/>
      <w:sz w:val="21"/>
      <w:lang w:val="en-US" w:eastAsia="zh-CN" w:bidi="ar-SA"/>
    </w:rPr>
  </w:style>
  <w:style w:type="paragraph" w:customStyle="1" w:styleId="260">
    <w:name w:val="gt4级"/>
    <w:basedOn w:val="1"/>
    <w:qFormat/>
    <w:uiPriority w:val="0"/>
    <w:pPr>
      <w:widowControl/>
      <w:tabs>
        <w:tab w:val="left" w:pos="360"/>
      </w:tabs>
      <w:spacing w:line="240" w:lineRule="auto"/>
      <w:ind w:left="0" w:firstLine="0"/>
      <w:jc w:val="left"/>
      <w:outlineLvl w:val="4"/>
    </w:pPr>
    <w:rPr>
      <w:rFonts w:ascii="宋体" w:hAnsi="宋体"/>
      <w:kern w:val="0"/>
      <w:szCs w:val="20"/>
    </w:rPr>
  </w:style>
  <w:style w:type="paragraph" w:customStyle="1" w:styleId="261">
    <w:name w:val="正文文本 33"/>
    <w:basedOn w:val="1"/>
    <w:qFormat/>
    <w:uiPriority w:val="0"/>
    <w:pPr>
      <w:tabs>
        <w:tab w:val="left" w:pos="510"/>
      </w:tabs>
      <w:adjustRightInd w:val="0"/>
      <w:spacing w:line="430" w:lineRule="atLeast"/>
      <w:ind w:left="0" w:firstLine="0"/>
      <w:jc w:val="center"/>
      <w:textAlignment w:val="baseline"/>
    </w:pPr>
    <w:rPr>
      <w:spacing w:val="16"/>
      <w:kern w:val="0"/>
      <w:szCs w:val="20"/>
    </w:rPr>
  </w:style>
  <w:style w:type="paragraph" w:customStyle="1" w:styleId="262">
    <w:name w:val="表内"/>
    <w:basedOn w:val="1"/>
    <w:qFormat/>
    <w:uiPriority w:val="0"/>
    <w:pPr>
      <w:adjustRightInd w:val="0"/>
      <w:spacing w:line="240" w:lineRule="auto"/>
      <w:ind w:left="-27" w:leftChars="-13" w:firstLine="2"/>
      <w:jc w:val="center"/>
      <w:textAlignment w:val="baseline"/>
    </w:pPr>
    <w:rPr>
      <w:rFonts w:ascii="宋体" w:hAnsi="宋体"/>
    </w:rPr>
  </w:style>
  <w:style w:type="paragraph" w:customStyle="1" w:styleId="263">
    <w:name w:val="Blockquote"/>
    <w:basedOn w:val="1"/>
    <w:qFormat/>
    <w:uiPriority w:val="0"/>
    <w:pPr>
      <w:autoSpaceDE w:val="0"/>
      <w:autoSpaceDN w:val="0"/>
      <w:adjustRightInd w:val="0"/>
      <w:spacing w:before="100" w:after="100" w:line="240" w:lineRule="auto"/>
      <w:ind w:left="360" w:right="360" w:firstLine="0"/>
      <w:jc w:val="left"/>
    </w:pPr>
    <w:rPr>
      <w:kern w:val="0"/>
      <w:sz w:val="24"/>
      <w:szCs w:val="20"/>
    </w:rPr>
  </w:style>
  <w:style w:type="paragraph" w:customStyle="1" w:styleId="264">
    <w:name w:val="正文表标题"/>
    <w:next w:val="1"/>
    <w:qFormat/>
    <w:uiPriority w:val="0"/>
    <w:pPr>
      <w:ind w:left="3960"/>
      <w:jc w:val="center"/>
    </w:pPr>
    <w:rPr>
      <w:rFonts w:ascii="黑体" w:hAnsi="Times New Roman" w:eastAsia="黑体" w:cs="Times New Roman"/>
      <w:bCs/>
      <w:kern w:val="2"/>
      <w:sz w:val="21"/>
      <w:szCs w:val="21"/>
      <w:lang w:val="en-US" w:eastAsia="zh-CN" w:bidi="ar-SA"/>
    </w:rPr>
  </w:style>
  <w:style w:type="paragraph" w:customStyle="1" w:styleId="265">
    <w:name w:val="样式 标题 3 + (中文) 黑体 小四 非加粗 段前: 7.8 磅 段后: 0 磅 行距: 固定值 20 磅"/>
    <w:basedOn w:val="5"/>
    <w:qFormat/>
    <w:uiPriority w:val="0"/>
    <w:pPr>
      <w:spacing w:before="0" w:after="0" w:line="400" w:lineRule="exact"/>
      <w:ind w:left="0" w:firstLine="0"/>
    </w:pPr>
    <w:rPr>
      <w:rFonts w:eastAsia="黑体" w:cs="宋体"/>
      <w:b w:val="0"/>
      <w:bCs w:val="0"/>
      <w:sz w:val="24"/>
      <w:szCs w:val="20"/>
    </w:rPr>
  </w:style>
  <w:style w:type="character" w:customStyle="1" w:styleId="266">
    <w:name w:val="HTML 预设格式 Char"/>
    <w:basedOn w:val="64"/>
    <w:link w:val="56"/>
    <w:qFormat/>
    <w:uiPriority w:val="99"/>
    <w:rPr>
      <w:rFonts w:ascii="宋体" w:hAnsi="宋体" w:cs="宋体"/>
      <w:sz w:val="24"/>
      <w:szCs w:val="24"/>
    </w:rPr>
  </w:style>
  <w:style w:type="paragraph" w:customStyle="1" w:styleId="267">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268">
    <w:name w:val="样式2 Char1"/>
    <w:qFormat/>
    <w:uiPriority w:val="0"/>
    <w:rPr>
      <w:rFonts w:eastAsia="宋体"/>
      <w:sz w:val="24"/>
      <w:lang w:val="en-US" w:eastAsia="zh-CN" w:bidi="ar-SA"/>
    </w:rPr>
  </w:style>
  <w:style w:type="character" w:customStyle="1" w:styleId="269">
    <w:name w:val="ft01"/>
    <w:qFormat/>
    <w:uiPriority w:val="0"/>
    <w:rPr>
      <w:rFonts w:hint="default" w:ascii="Times New Roman" w:hAnsi="Times New Roman" w:cs="Times New Roman"/>
      <w:color w:val="000000"/>
      <w:sz w:val="27"/>
      <w:szCs w:val="27"/>
    </w:rPr>
  </w:style>
  <w:style w:type="character" w:customStyle="1" w:styleId="270">
    <w:name w:val="ft31"/>
    <w:qFormat/>
    <w:uiPriority w:val="0"/>
    <w:rPr>
      <w:rFonts w:hint="default" w:ascii="Wingdings" w:hAnsi="Wingdings"/>
      <w:color w:val="000000"/>
      <w:sz w:val="27"/>
      <w:szCs w:val="27"/>
    </w:rPr>
  </w:style>
  <w:style w:type="character" w:customStyle="1" w:styleId="271">
    <w:name w:val="content11"/>
    <w:qFormat/>
    <w:uiPriority w:val="0"/>
    <w:rPr>
      <w:rFonts w:hint="default" w:ascii="ˎ̥" w:hAnsi="ˎ̥"/>
      <w:color w:val="000000"/>
      <w:sz w:val="18"/>
      <w:szCs w:val="18"/>
    </w:rPr>
  </w:style>
  <w:style w:type="character" w:customStyle="1" w:styleId="272">
    <w:name w:val="样式2 Char"/>
    <w:qFormat/>
    <w:uiPriority w:val="0"/>
    <w:rPr>
      <w:rFonts w:eastAsia="宋体"/>
      <w:sz w:val="24"/>
      <w:lang w:val="en-US" w:eastAsia="zh-CN" w:bidi="ar-SA"/>
    </w:rPr>
  </w:style>
  <w:style w:type="character" w:customStyle="1" w:styleId="273">
    <w:name w:val="ft11"/>
    <w:qFormat/>
    <w:uiPriority w:val="0"/>
    <w:rPr>
      <w:rFonts w:hint="default" w:ascii="Times New Roman" w:hAnsi="Times New Roman" w:cs="Times New Roman"/>
      <w:color w:val="000000"/>
      <w:sz w:val="37"/>
      <w:szCs w:val="37"/>
    </w:rPr>
  </w:style>
  <w:style w:type="paragraph" w:customStyle="1" w:styleId="274">
    <w:name w:val="样式C3"/>
    <w:basedOn w:val="1"/>
    <w:qFormat/>
    <w:uiPriority w:val="0"/>
    <w:pPr>
      <w:snapToGrid w:val="0"/>
      <w:ind w:left="0" w:firstLine="0"/>
      <w:jc w:val="left"/>
    </w:pPr>
    <w:rPr>
      <w:rFonts w:ascii="仿宋_GB2312" w:hAnsi="宋体" w:eastAsia="仿宋_GB2312"/>
      <w:b/>
      <w:kern w:val="44"/>
      <w:sz w:val="28"/>
      <w:szCs w:val="28"/>
    </w:rPr>
  </w:style>
  <w:style w:type="paragraph" w:customStyle="1" w:styleId="275">
    <w:name w:val="È±?"/>
    <w:basedOn w:val="1"/>
    <w:qFormat/>
    <w:uiPriority w:val="0"/>
    <w:pPr>
      <w:widowControl/>
      <w:overflowPunct w:val="0"/>
      <w:autoSpaceDE w:val="0"/>
      <w:autoSpaceDN w:val="0"/>
      <w:adjustRightInd w:val="0"/>
      <w:ind w:left="0" w:firstLine="0"/>
      <w:jc w:val="left"/>
      <w:textAlignment w:val="baseline"/>
    </w:pPr>
    <w:rPr>
      <w:rFonts w:ascii="宋体"/>
      <w:kern w:val="0"/>
      <w:sz w:val="24"/>
      <w:szCs w:val="20"/>
    </w:rPr>
  </w:style>
  <w:style w:type="paragraph" w:customStyle="1" w:styleId="276">
    <w:name w:val="张勋节格式－居中"/>
    <w:basedOn w:val="1"/>
    <w:qFormat/>
    <w:uiPriority w:val="0"/>
    <w:pPr>
      <w:keepNext/>
      <w:keepLines/>
      <w:adjustRightInd w:val="0"/>
      <w:snapToGrid w:val="0"/>
      <w:spacing w:beforeLines="50" w:line="400" w:lineRule="exact"/>
      <w:ind w:left="0" w:firstLine="0"/>
      <w:jc w:val="center"/>
      <w:outlineLvl w:val="3"/>
    </w:pPr>
    <w:rPr>
      <w:rFonts w:ascii="宋体" w:hAnsi="宋体"/>
      <w:b/>
      <w:sz w:val="28"/>
      <w:szCs w:val="28"/>
    </w:rPr>
  </w:style>
  <w:style w:type="paragraph" w:customStyle="1" w:styleId="277">
    <w:name w:val="Char Char Char1 Char Char Char"/>
    <w:basedOn w:val="1"/>
    <w:qFormat/>
    <w:uiPriority w:val="0"/>
    <w:pPr>
      <w:spacing w:line="240" w:lineRule="auto"/>
      <w:ind w:left="0" w:firstLine="0"/>
    </w:pPr>
    <w:rPr>
      <w:szCs w:val="24"/>
    </w:rPr>
  </w:style>
  <w:style w:type="paragraph" w:customStyle="1" w:styleId="278">
    <w:name w:val="Char Char"/>
    <w:basedOn w:val="1"/>
    <w:qFormat/>
    <w:uiPriority w:val="0"/>
    <w:pPr>
      <w:ind w:left="0" w:firstLine="200" w:firstLineChars="200"/>
    </w:pPr>
    <w:rPr>
      <w:rFonts w:ascii="宋体" w:hAnsi="宋体"/>
      <w:sz w:val="24"/>
      <w:szCs w:val="24"/>
    </w:rPr>
  </w:style>
  <w:style w:type="paragraph" w:customStyle="1" w:styleId="279">
    <w:name w:val="表格正文"/>
    <w:basedOn w:val="1"/>
    <w:qFormat/>
    <w:uiPriority w:val="0"/>
    <w:pPr>
      <w:adjustRightInd w:val="0"/>
      <w:spacing w:line="460" w:lineRule="exact"/>
      <w:ind w:left="0" w:firstLine="0"/>
      <w:jc w:val="left"/>
      <w:textAlignment w:val="baseline"/>
    </w:pPr>
    <w:rPr>
      <w:kern w:val="0"/>
      <w:sz w:val="24"/>
      <w:szCs w:val="20"/>
    </w:rPr>
  </w:style>
  <w:style w:type="paragraph" w:customStyle="1" w:styleId="280">
    <w:name w:val="Char Char Char1"/>
    <w:basedOn w:val="1"/>
    <w:qFormat/>
    <w:uiPriority w:val="0"/>
    <w:pPr>
      <w:spacing w:line="240" w:lineRule="auto"/>
      <w:ind w:left="0" w:firstLine="0"/>
    </w:pPr>
    <w:rPr>
      <w:szCs w:val="24"/>
    </w:rPr>
  </w:style>
  <w:style w:type="paragraph" w:customStyle="1" w:styleId="281">
    <w:name w:val="Char Char Char Char Char Char1 Char Char Char Char Char Char"/>
    <w:basedOn w:val="1"/>
    <w:qFormat/>
    <w:uiPriority w:val="0"/>
    <w:pPr>
      <w:spacing w:line="240" w:lineRule="auto"/>
      <w:ind w:left="0" w:firstLine="0"/>
    </w:pPr>
    <w:rPr>
      <w:szCs w:val="24"/>
    </w:rPr>
  </w:style>
  <w:style w:type="paragraph" w:customStyle="1" w:styleId="282">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283">
    <w:name w:val="Char1 Char Char Char"/>
    <w:basedOn w:val="1"/>
    <w:qFormat/>
    <w:uiPriority w:val="0"/>
    <w:pPr>
      <w:spacing w:line="240" w:lineRule="auto"/>
      <w:ind w:left="0" w:firstLine="0"/>
    </w:pPr>
    <w:rPr>
      <w:szCs w:val="24"/>
    </w:rPr>
  </w:style>
  <w:style w:type="paragraph" w:customStyle="1" w:styleId="284">
    <w:name w:val="CM2"/>
    <w:basedOn w:val="24"/>
    <w:next w:val="24"/>
    <w:qFormat/>
    <w:uiPriority w:val="0"/>
    <w:pPr>
      <w:spacing w:after="270"/>
    </w:pPr>
    <w:rPr>
      <w:rFonts w:ascii="黑体" w:eastAsia="黑体"/>
      <w:color w:val="auto"/>
      <w:szCs w:val="24"/>
    </w:rPr>
  </w:style>
  <w:style w:type="paragraph" w:customStyle="1" w:styleId="285">
    <w:name w:val="标题2"/>
    <w:basedOn w:val="1"/>
    <w:next w:val="1"/>
    <w:qFormat/>
    <w:uiPriority w:val="0"/>
    <w:pPr>
      <w:tabs>
        <w:tab w:val="left" w:pos="425"/>
        <w:tab w:val="left" w:pos="600"/>
      </w:tabs>
      <w:adjustRightInd w:val="0"/>
      <w:ind w:left="600" w:right="120" w:rightChars="50" w:hanging="600"/>
      <w:textAlignment w:val="baseline"/>
    </w:pPr>
    <w:rPr>
      <w:kern w:val="0"/>
      <w:sz w:val="24"/>
      <w:szCs w:val="20"/>
    </w:rPr>
  </w:style>
  <w:style w:type="paragraph" w:customStyle="1" w:styleId="286">
    <w:name w:val="Char Char Char2 Char Char Char"/>
    <w:basedOn w:val="1"/>
    <w:qFormat/>
    <w:uiPriority w:val="0"/>
    <w:pPr>
      <w:spacing w:line="240" w:lineRule="auto"/>
      <w:ind w:left="0" w:firstLine="0"/>
    </w:pPr>
    <w:rPr>
      <w:szCs w:val="24"/>
    </w:rPr>
  </w:style>
  <w:style w:type="paragraph" w:customStyle="1" w:styleId="287">
    <w:name w:val="默认段落字体 Para Char"/>
    <w:basedOn w:val="1"/>
    <w:qFormat/>
    <w:uiPriority w:val="0"/>
    <w:pPr>
      <w:spacing w:line="240" w:lineRule="auto"/>
      <w:ind w:left="0" w:firstLine="0"/>
    </w:pPr>
    <w:rPr>
      <w:szCs w:val="24"/>
    </w:rPr>
  </w:style>
  <w:style w:type="paragraph" w:customStyle="1" w:styleId="288">
    <w:name w:val="Char Char Char Char Char Char Char Char Char1 Char Char Char Char Char Char Char"/>
    <w:basedOn w:val="1"/>
    <w:qFormat/>
    <w:uiPriority w:val="0"/>
    <w:pPr>
      <w:spacing w:line="240" w:lineRule="auto"/>
      <w:ind w:left="0" w:firstLine="0"/>
    </w:pPr>
    <w:rPr>
      <w:szCs w:val="24"/>
    </w:rPr>
  </w:style>
  <w:style w:type="paragraph" w:customStyle="1" w:styleId="289">
    <w:name w:val="Title1"/>
    <w:basedOn w:val="1"/>
    <w:qFormat/>
    <w:uiPriority w:val="0"/>
    <w:pPr>
      <w:adjustRightInd w:val="0"/>
      <w:ind w:left="0" w:firstLine="0"/>
      <w:textAlignment w:val="baseline"/>
    </w:pPr>
    <w:rPr>
      <w:rFonts w:ascii="宋体" w:hAnsi="宋体"/>
      <w:b/>
      <w:bCs/>
      <w:kern w:val="0"/>
      <w:sz w:val="32"/>
      <w:szCs w:val="20"/>
    </w:rPr>
  </w:style>
  <w:style w:type="character" w:customStyle="1" w:styleId="290">
    <w:name w:val="标题 2 Char1"/>
    <w:qFormat/>
    <w:uiPriority w:val="0"/>
    <w:rPr>
      <w:rFonts w:ascii="Arial" w:hAnsi="Arial" w:eastAsia="黑体" w:cs="Times New Roman"/>
      <w:b/>
      <w:bCs/>
      <w:kern w:val="0"/>
      <w:sz w:val="32"/>
      <w:szCs w:val="32"/>
    </w:rPr>
  </w:style>
  <w:style w:type="character" w:customStyle="1" w:styleId="291">
    <w:name w:val="表格标题1[858D7CFB-ED40-4347-BF05-701D383B685F]"/>
    <w:link w:val="292"/>
    <w:qFormat/>
    <w:locked/>
    <w:uiPriority w:val="0"/>
    <w:rPr>
      <w:rFonts w:ascii="宋体"/>
    </w:rPr>
  </w:style>
  <w:style w:type="paragraph" w:customStyle="1" w:styleId="292">
    <w:name w:val="表格标题1"/>
    <w:basedOn w:val="1"/>
    <w:link w:val="291"/>
    <w:qFormat/>
    <w:uiPriority w:val="0"/>
    <w:pPr>
      <w:tabs>
        <w:tab w:val="left" w:pos="0"/>
        <w:tab w:val="left" w:pos="1985"/>
      </w:tabs>
      <w:ind w:left="1985" w:hanging="425"/>
      <w:jc w:val="left"/>
    </w:pPr>
    <w:rPr>
      <w:rFonts w:ascii="宋体"/>
      <w:kern w:val="0"/>
      <w:sz w:val="20"/>
      <w:szCs w:val="20"/>
    </w:rPr>
  </w:style>
  <w:style w:type="character" w:customStyle="1" w:styleId="293">
    <w:name w:val="缩进正文 Char"/>
    <w:link w:val="294"/>
    <w:qFormat/>
    <w:locked/>
    <w:uiPriority w:val="0"/>
    <w:rPr>
      <w:rFonts w:ascii="宋体" w:cs="宋体"/>
      <w:szCs w:val="21"/>
      <w:lang w:eastAsia="ja-JP"/>
    </w:rPr>
  </w:style>
  <w:style w:type="paragraph" w:customStyle="1" w:styleId="294">
    <w:name w:val="缩进正文"/>
    <w:basedOn w:val="1"/>
    <w:link w:val="293"/>
    <w:qFormat/>
    <w:uiPriority w:val="0"/>
    <w:pPr>
      <w:ind w:left="0" w:firstLine="200" w:firstLineChars="200"/>
      <w:jc w:val="left"/>
    </w:pPr>
    <w:rPr>
      <w:rFonts w:ascii="宋体" w:cs="宋体"/>
      <w:kern w:val="0"/>
      <w:sz w:val="20"/>
      <w:lang w:eastAsia="ja-JP"/>
    </w:rPr>
  </w:style>
  <w:style w:type="character" w:customStyle="1" w:styleId="295">
    <w:name w:val="图形标题1 Char"/>
    <w:link w:val="296"/>
    <w:qFormat/>
    <w:locked/>
    <w:uiPriority w:val="0"/>
    <w:rPr>
      <w:rFonts w:ascii="宋体" w:cs="宋体"/>
      <w:szCs w:val="21"/>
    </w:rPr>
  </w:style>
  <w:style w:type="paragraph" w:customStyle="1" w:styleId="296">
    <w:name w:val="图形标题1"/>
    <w:basedOn w:val="1"/>
    <w:link w:val="295"/>
    <w:qFormat/>
    <w:uiPriority w:val="0"/>
    <w:pPr>
      <w:tabs>
        <w:tab w:val="left" w:pos="0"/>
        <w:tab w:val="left" w:pos="420"/>
      </w:tabs>
      <w:ind w:left="420" w:hanging="420"/>
      <w:jc w:val="center"/>
    </w:pPr>
    <w:rPr>
      <w:rFonts w:ascii="宋体" w:cs="宋体"/>
      <w:kern w:val="0"/>
      <w:sz w:val="20"/>
    </w:rPr>
  </w:style>
  <w:style w:type="paragraph" w:customStyle="1" w:styleId="297">
    <w:name w:val="四级标题"/>
    <w:basedOn w:val="35"/>
    <w:qFormat/>
    <w:uiPriority w:val="0"/>
    <w:pPr>
      <w:ind w:firstLine="0"/>
    </w:pPr>
    <w:rPr>
      <w:rFonts w:hAnsi="Calibri" w:eastAsia="黑体"/>
      <w:szCs w:val="24"/>
    </w:rPr>
  </w:style>
  <w:style w:type="paragraph" w:customStyle="1" w:styleId="298">
    <w:name w:val="!s_正文"/>
    <w:basedOn w:val="1"/>
    <w:qFormat/>
    <w:uiPriority w:val="99"/>
    <w:pPr>
      <w:spacing w:line="480" w:lineRule="exact"/>
      <w:ind w:left="0" w:firstLine="200" w:firstLineChars="200"/>
    </w:pPr>
    <w:rPr>
      <w:rFonts w:ascii="Calibri" w:hAnsi="Calibri"/>
      <w:sz w:val="28"/>
      <w:szCs w:val="28"/>
    </w:rPr>
  </w:style>
  <w:style w:type="paragraph" w:customStyle="1" w:styleId="299">
    <w:name w:val="国投2"/>
    <w:basedOn w:val="1"/>
    <w:qFormat/>
    <w:uiPriority w:val="0"/>
    <w:pPr>
      <w:ind w:left="0" w:firstLine="482" w:firstLineChars="200"/>
      <w:outlineLvl w:val="1"/>
    </w:pPr>
    <w:rPr>
      <w:rFonts w:ascii="宋体" w:hAnsi="宋体" w:eastAsia="仿宋_GB2312"/>
      <w:b/>
      <w:kern w:val="0"/>
      <w:sz w:val="28"/>
      <w:szCs w:val="24"/>
    </w:rPr>
  </w:style>
  <w:style w:type="character" w:customStyle="1" w:styleId="300">
    <w:name w:val="title-f221"/>
    <w:basedOn w:val="64"/>
    <w:qFormat/>
    <w:uiPriority w:val="0"/>
    <w:rPr>
      <w:b/>
      <w:bCs/>
      <w:color w:val="222222"/>
      <w:sz w:val="28"/>
      <w:szCs w:val="28"/>
    </w:rPr>
  </w:style>
  <w:style w:type="paragraph" w:customStyle="1" w:styleId="301">
    <w:name w:val="reader-word-layer"/>
    <w:basedOn w:val="1"/>
    <w:qFormat/>
    <w:uiPriority w:val="0"/>
    <w:pPr>
      <w:widowControl/>
      <w:spacing w:before="100" w:beforeAutospacing="1" w:after="100" w:afterAutospacing="1" w:line="240" w:lineRule="auto"/>
      <w:ind w:left="0" w:firstLine="0"/>
      <w:jc w:val="left"/>
    </w:pPr>
    <w:rPr>
      <w:rFonts w:ascii="宋体" w:hAnsi="宋体" w:cs="宋体"/>
      <w:kern w:val="0"/>
      <w:sz w:val="24"/>
      <w:szCs w:val="24"/>
    </w:rPr>
  </w:style>
  <w:style w:type="character" w:customStyle="1" w:styleId="302">
    <w:name w:val="段 Char Char"/>
    <w:link w:val="258"/>
    <w:qFormat/>
    <w:locked/>
    <w:uiPriority w:val="99"/>
    <w:rPr>
      <w:rFonts w:ascii="宋体"/>
      <w:sz w:val="21"/>
    </w:rPr>
  </w:style>
  <w:style w:type="paragraph" w:customStyle="1" w:styleId="303">
    <w:name w:val="节3"/>
    <w:basedOn w:val="1"/>
    <w:qFormat/>
    <w:uiPriority w:val="99"/>
    <w:pPr>
      <w:adjustRightInd w:val="0"/>
      <w:snapToGrid w:val="0"/>
      <w:spacing w:line="400" w:lineRule="exact"/>
      <w:ind w:left="0" w:firstLine="200" w:firstLineChars="200"/>
      <w:jc w:val="left"/>
      <w:outlineLvl w:val="2"/>
    </w:pPr>
    <w:rPr>
      <w:rFonts w:ascii="黑体" w:hAnsi="黑体" w:eastAsia="方正书宋简体"/>
      <w:spacing w:val="4"/>
      <w:sz w:val="24"/>
      <w:lang w:val="zh-CN"/>
    </w:rPr>
  </w:style>
  <w:style w:type="character" w:customStyle="1" w:styleId="304">
    <w:name w:val="段 Char"/>
    <w:qFormat/>
    <w:locked/>
    <w:uiPriority w:val="99"/>
    <w:rPr>
      <w:rFonts w:eastAsia="方正书宋简体"/>
      <w:spacing w:val="4"/>
      <w:sz w:val="24"/>
    </w:rPr>
  </w:style>
  <w:style w:type="paragraph" w:customStyle="1" w:styleId="305">
    <w:name w:val="样式 标题 1b1章节标题 + (西文) Arial (中文) 黑体 小四 加粗 居中 行距: 固定值 24 磅"/>
    <w:basedOn w:val="3"/>
    <w:qFormat/>
    <w:uiPriority w:val="0"/>
    <w:pPr>
      <w:keepLines w:val="0"/>
      <w:tabs>
        <w:tab w:val="left" w:pos="980"/>
      </w:tabs>
      <w:adjustRightInd w:val="0"/>
      <w:spacing w:before="0" w:beforeLines="0" w:after="0" w:afterLines="0" w:line="480" w:lineRule="exact"/>
      <w:jc w:val="center"/>
    </w:pPr>
    <w:rPr>
      <w:rFonts w:ascii="Arial" w:hAnsi="Arial" w:eastAsia="黑体" w:cs="宋体"/>
      <w:color w:val="000000"/>
      <w:kern w:val="0"/>
      <w:sz w:val="28"/>
    </w:rPr>
  </w:style>
  <w:style w:type="paragraph" w:customStyle="1" w:styleId="306">
    <w:name w:val="Date"/>
    <w:basedOn w:val="1"/>
    <w:next w:val="1"/>
    <w:qFormat/>
    <w:uiPriority w:val="0"/>
    <w:pPr>
      <w:jc w:val="both"/>
    </w:pPr>
    <w:rPr>
      <w:rFonts w:ascii="宋体" w:eastAsia="Wingding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8.wmf"/><Relationship Id="rId27" Type="http://schemas.openxmlformats.org/officeDocument/2006/relationships/oleObject" Target="embeddings/oleObject7.bin"/><Relationship Id="rId26" Type="http://schemas.openxmlformats.org/officeDocument/2006/relationships/image" Target="media/image7.wmf"/><Relationship Id="rId25" Type="http://schemas.openxmlformats.org/officeDocument/2006/relationships/oleObject" Target="embeddings/oleObject6.bin"/><Relationship Id="rId24" Type="http://schemas.openxmlformats.org/officeDocument/2006/relationships/image" Target="media/image6.wmf"/><Relationship Id="rId23" Type="http://schemas.openxmlformats.org/officeDocument/2006/relationships/oleObject" Target="embeddings/oleObject5.bin"/><Relationship Id="rId22" Type="http://schemas.openxmlformats.org/officeDocument/2006/relationships/image" Target="media/image5.wmf"/><Relationship Id="rId21" Type="http://schemas.openxmlformats.org/officeDocument/2006/relationships/oleObject" Target="embeddings/oleObject4.bin"/><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3.wmf"/><Relationship Id="rId17" Type="http://schemas.openxmlformats.org/officeDocument/2006/relationships/oleObject" Target="embeddings/oleObject2.bin"/><Relationship Id="rId16" Type="http://schemas.openxmlformats.org/officeDocument/2006/relationships/image" Target="media/image2.wmf"/><Relationship Id="rId15" Type="http://schemas.openxmlformats.org/officeDocument/2006/relationships/oleObject" Target="embeddings/oleObject1.bin"/><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0F782C-897A-4245-A41D-DD14AEBDA88E}">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42</Pages>
  <Words>38038</Words>
  <Characters>7569</Characters>
  <Lines>63</Lines>
  <Paragraphs>91</Paragraphs>
  <TotalTime>3</TotalTime>
  <ScaleCrop>false</ScaleCrop>
  <LinksUpToDate>false</LinksUpToDate>
  <CharactersWithSpaces>45516</CharactersWithSpaces>
  <Application>WPS Office_12.8.2.17134_F1E327BC-269C-435d-A152-05C5408002CA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2023-08-09T06:03:00Z</dcterms:created>
  <dc:creator>MC SYSTEM</dc:creator>
  <cp:lastModifiedBy>YM-131F</cp:lastModifiedBy>
  <cp:lastPrinted>2021-11-22T05:17:00Z</cp:lastPrinted>
  <dcterms:modified xsi:type="dcterms:W3CDTF">2024-07-15T08:59:48Z</dcterms:modified>
  <dc:title>合同登记编号：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2052-12.8.2.17134</vt:lpwstr>
  </property>
  <property fmtid="{D5CDD505-2E9C-101B-9397-08002B2CF9AE}" pid="3" name="ICV">
    <vt:lpwstr>07B5C08FDE8D4C7FAEA3C75A0D5E56F1_13</vt:lpwstr>
  </property>
</Properties>
</file>