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19"/>
        <w:jc w:val="center"/>
        <w:rPr>
          <w:rFonts w:hint="default" w:ascii="黑体" w:hAnsi="黑体" w:eastAsia="黑体" w:cs="黑体"/>
          <w:sz w:val="48"/>
          <w:szCs w:val="48"/>
          <w:highlight w:val="none"/>
          <w:lang w:val="en-US"/>
        </w:rPr>
      </w:pPr>
      <w:r>
        <w:rPr>
          <w:rFonts w:hint="eastAsia" w:ascii="黑体" w:hAnsi="黑体" w:eastAsia="黑体" w:cs="黑体"/>
          <w:sz w:val="36"/>
          <w:szCs w:val="36"/>
          <w:highlight w:val="none"/>
          <w:lang w:val="en-US" w:eastAsia="zh-CN"/>
        </w:rPr>
        <w:t>煤炭业务系统联网数据上传运维费项目</w:t>
      </w: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2"/>
        <w:rPr>
          <w:highlight w:val="none"/>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XJ202312HYGC042</w:t>
      </w:r>
    </w:p>
    <w:p>
      <w:pPr>
        <w:autoSpaceDE w:val="0"/>
        <w:autoSpaceDN w:val="0"/>
        <w:adjustRightInd w:val="0"/>
        <w:spacing w:line="240" w:lineRule="atLeast"/>
        <w:ind w:left="259" w:firstLine="1536" w:firstLineChars="480"/>
        <w:rPr>
          <w:rFonts w:hint="default"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eastAsia="宋体" w:cs="宋体"/>
          <w:b w:val="0"/>
          <w:bCs w:val="0"/>
          <w:sz w:val="32"/>
          <w:szCs w:val="32"/>
          <w:highlight w:val="none"/>
        </w:rPr>
        <w:t>：</w:t>
      </w:r>
      <w:r>
        <w:rPr>
          <w:rFonts w:hint="eastAsia" w:ascii="宋体" w:hAnsi="宋体" w:cs="宋体"/>
          <w:b w:val="0"/>
          <w:bCs w:val="0"/>
          <w:sz w:val="32"/>
          <w:szCs w:val="32"/>
          <w:highlight w:val="none"/>
          <w:lang w:val="en-US" w:eastAsia="zh-CN"/>
        </w:rPr>
        <w:t>信息服务中心</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autoSpaceDE w:val="0"/>
        <w:autoSpaceDN w:val="0"/>
        <w:adjustRightInd w:val="0"/>
        <w:spacing w:line="240" w:lineRule="atLeast"/>
        <w:ind w:left="259" w:firstLine="2496" w:firstLineChars="780"/>
        <w:rPr>
          <w:rFonts w:hint="eastAsia" w:ascii="宋体" w:hAnsi="宋体" w:eastAsia="宋体" w:cs="宋体"/>
          <w:b w:val="0"/>
          <w:bCs w:val="0"/>
          <w:sz w:val="32"/>
          <w:szCs w:val="32"/>
          <w:highlight w:val="none"/>
          <w:lang w:eastAsia="zh-CN"/>
        </w:rPr>
      </w:pPr>
    </w:p>
    <w:p>
      <w:pPr>
        <w:autoSpaceDE w:val="0"/>
        <w:autoSpaceDN w:val="0"/>
        <w:adjustRightInd w:val="0"/>
        <w:spacing w:line="240" w:lineRule="atLeast"/>
        <w:ind w:left="259" w:firstLine="2496" w:firstLineChars="780"/>
        <w:rPr>
          <w:rFonts w:hint="eastAsia" w:ascii="宋体" w:hAnsi="宋体" w:eastAsia="宋体" w:cs="宋体"/>
          <w:b w:val="0"/>
          <w:bCs w:val="0"/>
          <w:sz w:val="32"/>
          <w:szCs w:val="32"/>
          <w:highlight w:val="none"/>
          <w:lang w:eastAsia="zh-CN"/>
        </w:rPr>
      </w:pPr>
    </w:p>
    <w:p>
      <w:pPr>
        <w:autoSpaceDE w:val="0"/>
        <w:autoSpaceDN w:val="0"/>
        <w:adjustRightInd w:val="0"/>
        <w:spacing w:line="240" w:lineRule="atLeast"/>
        <w:ind w:left="259" w:firstLine="2496" w:firstLineChars="780"/>
        <w:rPr>
          <w:rFonts w:hint="eastAsia" w:ascii="宋体" w:hAnsi="宋体" w:eastAsia="宋体" w:cs="宋体"/>
          <w:b w:val="0"/>
          <w:bCs w:val="0"/>
          <w:sz w:val="32"/>
          <w:szCs w:val="32"/>
          <w:highlight w:val="none"/>
          <w:lang w:eastAsia="zh-CN"/>
        </w:rPr>
      </w:pPr>
    </w:p>
    <w:p>
      <w:pPr>
        <w:autoSpaceDE w:val="0"/>
        <w:autoSpaceDN w:val="0"/>
        <w:adjustRightInd w:val="0"/>
        <w:spacing w:line="240" w:lineRule="atLeast"/>
        <w:ind w:left="259" w:firstLine="2496" w:firstLineChars="780"/>
        <w:rPr>
          <w:rFonts w:hint="eastAsia" w:ascii="宋体" w:hAnsi="宋体" w:eastAsia="宋体" w:cs="宋体"/>
          <w:b w:val="0"/>
          <w:bCs w:val="0"/>
          <w:sz w:val="32"/>
          <w:szCs w:val="32"/>
          <w:highlight w:val="none"/>
          <w:lang w:eastAsia="zh-CN"/>
        </w:rPr>
      </w:pPr>
    </w:p>
    <w:p>
      <w:pPr>
        <w:autoSpaceDE w:val="0"/>
        <w:autoSpaceDN w:val="0"/>
        <w:adjustRightInd w:val="0"/>
        <w:spacing w:line="240" w:lineRule="atLeast"/>
        <w:ind w:left="259" w:firstLine="2496" w:firstLineChars="780"/>
        <w:rPr>
          <w:rFonts w:hint="eastAsia" w:ascii="宋体" w:hAnsi="宋体" w:eastAsia="宋体" w:cs="宋体"/>
          <w:b w:val="0"/>
          <w:bCs w:val="0"/>
          <w:sz w:val="32"/>
          <w:szCs w:val="32"/>
          <w:highlight w:val="none"/>
          <w:lang w:eastAsia="zh-CN"/>
        </w:rPr>
      </w:pPr>
    </w:p>
    <w:p>
      <w:pPr>
        <w:autoSpaceDE w:val="0"/>
        <w:autoSpaceDN w:val="0"/>
        <w:adjustRightInd w:val="0"/>
        <w:spacing w:line="240" w:lineRule="atLeast"/>
        <w:ind w:left="259" w:firstLine="2496" w:firstLineChars="780"/>
        <w:rPr>
          <w:rFonts w:hint="eastAsia" w:ascii="宋体" w:hAnsi="宋体" w:eastAsia="宋体" w:cs="宋体"/>
          <w:b w:val="0"/>
          <w:bCs w:val="0"/>
          <w:sz w:val="32"/>
          <w:szCs w:val="32"/>
          <w:highlight w:val="none"/>
          <w:lang w:eastAsia="zh-CN"/>
        </w:rPr>
      </w:pPr>
    </w:p>
    <w:p>
      <w:pPr>
        <w:autoSpaceDE w:val="0"/>
        <w:autoSpaceDN w:val="0"/>
        <w:adjustRightInd w:val="0"/>
        <w:spacing w:line="240" w:lineRule="atLeast"/>
        <w:ind w:firstLine="3200" w:firstLineChars="1000"/>
        <w:rPr>
          <w:rFonts w:hint="eastAsia" w:ascii="宋体" w:hAnsi="宋体" w:eastAsia="宋体" w:cs="宋体"/>
          <w:b w:val="0"/>
          <w:bCs w:val="0"/>
          <w:sz w:val="32"/>
          <w:szCs w:val="32"/>
          <w:highlight w:val="none"/>
          <w:lang w:eastAsia="zh-CN"/>
        </w:rPr>
      </w:pPr>
      <w:r>
        <w:rPr>
          <w:rFonts w:hint="eastAsia" w:ascii="宋体" w:hAnsi="宋体" w:eastAsia="宋体" w:cs="宋体"/>
          <w:b w:val="0"/>
          <w:bCs w:val="0"/>
          <w:sz w:val="32"/>
          <w:szCs w:val="32"/>
          <w:highlight w:val="none"/>
          <w:lang w:eastAsia="zh-CN"/>
        </w:rPr>
        <w:t>二零二</w:t>
      </w:r>
      <w:r>
        <w:rPr>
          <w:rFonts w:hint="eastAsia" w:ascii="宋体" w:hAnsi="宋体" w:eastAsia="宋体" w:cs="宋体"/>
          <w:b w:val="0"/>
          <w:bCs w:val="0"/>
          <w:sz w:val="32"/>
          <w:szCs w:val="32"/>
          <w:highlight w:val="none"/>
          <w:lang w:val="en-US" w:eastAsia="zh-CN"/>
        </w:rPr>
        <w:t>三</w:t>
      </w:r>
      <w:r>
        <w:rPr>
          <w:rFonts w:hint="eastAsia" w:ascii="宋体" w:hAnsi="宋体" w:eastAsia="宋体" w:cs="宋体"/>
          <w:b w:val="0"/>
          <w:bCs w:val="0"/>
          <w:sz w:val="32"/>
          <w:szCs w:val="32"/>
          <w:highlight w:val="none"/>
          <w:lang w:eastAsia="zh-CN"/>
        </w:rPr>
        <w:t>年</w:t>
      </w:r>
      <w:r>
        <w:rPr>
          <w:rFonts w:hint="eastAsia" w:ascii="宋体" w:hAnsi="宋体" w:eastAsia="宋体" w:cs="宋体"/>
          <w:b w:val="0"/>
          <w:bCs w:val="0"/>
          <w:sz w:val="32"/>
          <w:szCs w:val="32"/>
          <w:highlight w:val="none"/>
          <w:lang w:val="en-US" w:eastAsia="zh-CN"/>
        </w:rPr>
        <w:t>十二</w:t>
      </w:r>
      <w:r>
        <w:rPr>
          <w:rFonts w:hint="eastAsia" w:ascii="宋体" w:hAnsi="宋体" w:eastAsia="宋体" w:cs="宋体"/>
          <w:b w:val="0"/>
          <w:bCs w:val="0"/>
          <w:sz w:val="32"/>
          <w:szCs w:val="32"/>
          <w:highlight w:val="none"/>
          <w:lang w:eastAsia="zh-CN"/>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2"/>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2"/>
        <w:rPr>
          <w:rFonts w:ascii="宋体" w:hAnsi="宋体" w:eastAsia="黑体" w:cs="宋体"/>
          <w:b w:val="0"/>
          <w:bCs w:val="0"/>
          <w:sz w:val="32"/>
          <w:szCs w:val="32"/>
          <w:highlight w:val="none"/>
        </w:rPr>
      </w:pPr>
    </w:p>
    <w:p>
      <w:pPr>
        <w:rPr>
          <w:highlight w:val="none"/>
        </w:rPr>
      </w:pPr>
    </w:p>
    <w:p>
      <w:pPr>
        <w:pStyle w:val="19"/>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pStyle w:val="19"/>
        <w:ind w:firstLine="480" w:firstLineChars="200"/>
        <w:jc w:val="both"/>
        <w:rPr>
          <w:rFonts w:hint="default" w:ascii="宋体" w:hAnsi="宋体" w:eastAsia="宋体" w:cs="宋体"/>
          <w:b w:val="0"/>
          <w:bCs w:val="0"/>
          <w:kern w:val="2"/>
          <w:sz w:val="24"/>
          <w:szCs w:val="24"/>
          <w:highlight w:val="none"/>
          <w:lang w:val="en-US" w:eastAsia="zh-CN" w:bidi="ar-SA"/>
        </w:rPr>
      </w:pPr>
      <w:r>
        <w:rPr>
          <w:rFonts w:hint="eastAsia" w:ascii="宋体" w:hAnsi="宋体" w:cs="宋体"/>
          <w:b w:val="0"/>
          <w:bCs w:val="0"/>
          <w:sz w:val="24"/>
          <w:szCs w:val="24"/>
          <w:highlight w:val="none"/>
        </w:rPr>
        <w:t>项目名称:</w:t>
      </w:r>
      <w:r>
        <w:rPr>
          <w:rFonts w:hint="eastAsia" w:ascii="宋体" w:hAnsi="宋体" w:eastAsia="宋体" w:cs="宋体"/>
          <w:b w:val="0"/>
          <w:bCs w:val="0"/>
          <w:kern w:val="2"/>
          <w:sz w:val="24"/>
          <w:szCs w:val="24"/>
          <w:highlight w:val="none"/>
          <w:lang w:val="en-US" w:eastAsia="zh-CN" w:bidi="ar-SA"/>
        </w:rPr>
        <w:t>煤炭业务系统联网数据上传运维费项目</w:t>
      </w:r>
    </w:p>
    <w:p>
      <w:pPr>
        <w:spacing w:line="360" w:lineRule="auto"/>
        <w:ind w:firstLine="480" w:firstLineChars="200"/>
        <w:rPr>
          <w:rFonts w:hint="eastAsia"/>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eastAsia="宋体" w:cs="宋体"/>
          <w:b w:val="0"/>
          <w:bCs w:val="0"/>
          <w:sz w:val="24"/>
          <w:szCs w:val="24"/>
          <w:highlight w:val="none"/>
          <w:lang w:eastAsia="zh-CN"/>
        </w:rPr>
        <w:t>公开询比</w:t>
      </w:r>
    </w:p>
    <w:p>
      <w:pPr>
        <w:pStyle w:val="2"/>
        <w:rPr>
          <w:rFonts w:hint="default" w:eastAsia="宋体"/>
          <w:lang w:val="en-US" w:eastAsia="zh-CN"/>
        </w:rPr>
      </w:pPr>
      <w:r>
        <w:rPr>
          <w:rFonts w:hint="eastAsia" w:ascii="宋体" w:hAnsi="宋体" w:cs="宋体"/>
          <w:b w:val="0"/>
          <w:bCs w:val="0"/>
          <w:sz w:val="24"/>
          <w:szCs w:val="24"/>
          <w:highlight w:val="none"/>
          <w:lang w:val="en-US" w:eastAsia="zh-CN"/>
        </w:rPr>
        <w:t xml:space="preserve">    评审方式：</w:t>
      </w:r>
      <w:r>
        <w:rPr>
          <w:rFonts w:hint="eastAsia" w:ascii="宋体" w:hAnsi="宋体" w:eastAsia="宋体" w:cs="宋体"/>
          <w:b w:val="0"/>
          <w:bCs w:val="0"/>
          <w:sz w:val="24"/>
          <w:szCs w:val="24"/>
          <w:highlight w:val="none"/>
          <w:lang w:val="en-US" w:eastAsia="zh-CN"/>
        </w:rPr>
        <w:t>综合评估法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w:t>
      </w:r>
      <w:r>
        <w:rPr>
          <w:rFonts w:hint="eastAsia" w:ascii="宋体" w:hAnsi="宋体" w:cs="宋体"/>
          <w:b w:val="0"/>
          <w:bCs w:val="0"/>
          <w:sz w:val="24"/>
          <w:szCs w:val="24"/>
          <w:highlight w:val="yellow"/>
          <w:lang w:val="en-US" w:eastAsia="zh-CN"/>
        </w:rPr>
        <w:t xml:space="preserve">2023年12月12日 </w:t>
      </w:r>
      <w:r>
        <w:rPr>
          <w:rFonts w:hint="eastAsia" w:ascii="宋体" w:hAnsi="宋体" w:cs="宋体"/>
          <w:b w:val="0"/>
          <w:bCs w:val="0"/>
          <w:sz w:val="24"/>
          <w:szCs w:val="24"/>
          <w:highlight w:val="none"/>
          <w:lang w:val="en-US" w:eastAsia="zh-CN"/>
        </w:rPr>
        <w:t xml:space="preserve">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w:t>
      </w:r>
      <w:r>
        <w:rPr>
          <w:rFonts w:hint="eastAsia" w:ascii="宋体" w:hAnsi="宋体" w:cs="宋体"/>
          <w:b w:val="0"/>
          <w:bCs w:val="0"/>
          <w:sz w:val="24"/>
          <w:szCs w:val="24"/>
          <w:highlight w:val="yellow"/>
          <w:lang w:val="en-US" w:eastAsia="zh-CN"/>
        </w:rPr>
        <w:t>2023年12月19日</w:t>
      </w:r>
      <w:r>
        <w:rPr>
          <w:rFonts w:hint="eastAsia" w:ascii="宋体" w:hAnsi="宋体" w:cs="宋体"/>
          <w:b w:val="0"/>
          <w:bCs w:val="0"/>
          <w:sz w:val="24"/>
          <w:szCs w:val="24"/>
          <w:highlight w:val="none"/>
          <w:lang w:val="en-US" w:eastAsia="zh-CN"/>
        </w:rPr>
        <w:t xml:space="preserve">  07:40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w:t>
      </w:r>
      <w:r>
        <w:rPr>
          <w:rFonts w:hint="eastAsia" w:ascii="宋体" w:hAnsi="宋体" w:cs="宋体"/>
          <w:b w:val="0"/>
          <w:bCs w:val="0"/>
          <w:sz w:val="24"/>
          <w:szCs w:val="24"/>
          <w:highlight w:val="yellow"/>
          <w:lang w:val="en-US" w:eastAsia="zh-CN"/>
        </w:rPr>
        <w:t>2023年12月19日</w:t>
      </w:r>
      <w:r>
        <w:rPr>
          <w:rFonts w:hint="eastAsia" w:ascii="宋体" w:hAnsi="宋体" w:cs="宋体"/>
          <w:b w:val="0"/>
          <w:bCs w:val="0"/>
          <w:sz w:val="24"/>
          <w:szCs w:val="24"/>
          <w:highlight w:val="none"/>
          <w:lang w:val="en-US" w:eastAsia="zh-CN"/>
        </w:rPr>
        <w:t xml:space="preserve">  07:50</w:t>
      </w:r>
      <w:bookmarkStart w:id="1" w:name="_GoBack"/>
      <w:bookmarkEnd w:id="1"/>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w:t>
      </w:r>
      <w:r>
        <w:rPr>
          <w:rFonts w:hint="eastAsia" w:ascii="宋体" w:hAnsi="宋体" w:cs="宋体"/>
          <w:b w:val="0"/>
          <w:bCs w:val="0"/>
          <w:sz w:val="24"/>
          <w:szCs w:val="24"/>
          <w:highlight w:val="yellow"/>
          <w:lang w:val="en-US" w:eastAsia="zh-CN"/>
        </w:rPr>
        <w:t>2023年12月19日</w:t>
      </w:r>
      <w:r>
        <w:rPr>
          <w:rFonts w:hint="eastAsia" w:ascii="宋体" w:hAnsi="宋体" w:cs="宋体"/>
          <w:b w:val="0"/>
          <w:bCs w:val="0"/>
          <w:sz w:val="24"/>
          <w:szCs w:val="24"/>
          <w:highlight w:val="none"/>
          <w:lang w:val="en-US" w:eastAsia="zh-CN"/>
        </w:rPr>
        <w:t xml:space="preserve">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lang w:eastAsia="zh-CN"/>
        </w:rPr>
        <w:t>一、</w:t>
      </w:r>
      <w:r>
        <w:rPr>
          <w:rFonts w:hint="eastAsia" w:ascii="宋体" w:hAnsi="宋体" w:eastAsia="宋体" w:cs="宋体"/>
          <w:b/>
          <w:bCs/>
          <w:sz w:val="24"/>
          <w:szCs w:val="24"/>
          <w:highlight w:val="none"/>
          <w:lang w:val="en-US" w:eastAsia="zh-CN"/>
        </w:rPr>
        <w:t>项目概况及要求：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为华昱公司</w:t>
      </w:r>
      <w:r>
        <w:rPr>
          <w:rFonts w:hint="default" w:ascii="宋体" w:hAnsi="宋体" w:cs="宋体"/>
          <w:b w:val="0"/>
          <w:bCs w:val="0"/>
          <w:sz w:val="24"/>
          <w:szCs w:val="24"/>
          <w:highlight w:val="none"/>
          <w:lang w:val="en-US" w:eastAsia="zh-CN"/>
        </w:rPr>
        <w:t>煤矿</w:t>
      </w:r>
      <w:r>
        <w:rPr>
          <w:rFonts w:hint="eastAsia" w:ascii="宋体" w:hAnsi="宋体" w:cs="宋体"/>
          <w:b w:val="0"/>
          <w:bCs w:val="0"/>
          <w:sz w:val="24"/>
          <w:szCs w:val="24"/>
          <w:highlight w:val="none"/>
          <w:lang w:val="en-US" w:eastAsia="zh-CN"/>
        </w:rPr>
        <w:t>煤炭业务系统联网数据上传提供运维服务，服务内容为：煤矿安全监测监控联网系统、煤矿产量远程监控系统、煤矿井下作业人员管理联网系统、煤矿安全监管执法决策系统（以下称为煤炭业务系统 ）联网数据上传及维护事宜。</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2.资金来源：企业自筹。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w:t>
      </w:r>
      <w:r>
        <w:rPr>
          <w:rFonts w:hint="eastAsia" w:ascii="宋体" w:hAnsi="宋体" w:eastAsia="宋体" w:cs="宋体"/>
          <w:b w:val="0"/>
          <w:bCs w:val="0"/>
          <w:sz w:val="24"/>
          <w:szCs w:val="24"/>
          <w:highlight w:val="none"/>
          <w:lang w:val="en-US" w:eastAsia="zh-CN"/>
        </w:rPr>
        <w:t>合同签订且运维服务满一年。鉴于当前部分煤矿的运维服务尚未到期，待当前运维服务费到期后执行新合同及新资费。</w:t>
      </w:r>
    </w:p>
    <w:p>
      <w:pPr>
        <w:pStyle w:val="4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 w:val="28"/>
          <w:szCs w:val="28"/>
          <w:highlight w:val="none"/>
        </w:rPr>
      </w:pPr>
      <w:r>
        <w:rPr>
          <w:rFonts w:hint="eastAsia" w:ascii="宋体" w:hAnsi="宋体" w:cs="宋体"/>
          <w:b w:val="0"/>
          <w:bCs w:val="0"/>
          <w:sz w:val="24"/>
          <w:szCs w:val="24"/>
          <w:highlight w:val="none"/>
          <w:lang w:val="en-US" w:eastAsia="zh-CN"/>
        </w:rPr>
        <w:t>4</w:t>
      </w:r>
      <w:r>
        <w:rPr>
          <w:rFonts w:hint="eastAsia" w:ascii="宋体" w:hAnsi="宋体" w:eastAsia="宋体" w:cs="宋体"/>
          <w:b w:val="0"/>
          <w:bCs w:val="0"/>
          <w:kern w:val="2"/>
          <w:sz w:val="24"/>
          <w:szCs w:val="24"/>
          <w:highlight w:val="none"/>
          <w:lang w:val="en-US" w:eastAsia="zh-CN" w:bidi="ar-SA"/>
        </w:rPr>
        <w:t>.报价方式：报价单位通过网上报名报底价的方式进行报名。报价单位通过网上报名报底价的方式进行报名。报价格式为：运维费：XX元/矿/年，报价为含税总价（XX元/矿/年*6），税率（6%）。</w:t>
      </w:r>
    </w:p>
    <w:p>
      <w:pPr>
        <w:pStyle w:val="4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sz w:val="24"/>
          <w:szCs w:val="24"/>
          <w:highlight w:val="none"/>
          <w:lang w:val="en-US" w:eastAsia="zh-CN"/>
        </w:rPr>
        <w:t>5.合同签订要求：</w:t>
      </w:r>
      <w:r>
        <w:rPr>
          <w:rFonts w:hint="eastAsia" w:ascii="宋体" w:hAnsi="宋体" w:eastAsia="宋体" w:cs="宋体"/>
          <w:b w:val="0"/>
          <w:bCs w:val="0"/>
          <w:sz w:val="24"/>
          <w:szCs w:val="24"/>
          <w:highlight w:val="none"/>
          <w:lang w:val="en-US" w:eastAsia="zh-CN"/>
        </w:rPr>
        <w:t>运维服务商与华昱公司各矿签订合同。</w:t>
      </w:r>
      <w:r>
        <w:rPr>
          <w:rFonts w:hint="eastAsia" w:ascii="宋体" w:hAnsi="宋体" w:eastAsia="宋体" w:cs="宋体"/>
          <w:b w:val="0"/>
          <w:bCs w:val="0"/>
          <w:kern w:val="2"/>
          <w:sz w:val="24"/>
          <w:szCs w:val="24"/>
          <w:highlight w:val="none"/>
          <w:lang w:val="en-US" w:eastAsia="zh-CN" w:bidi="ar-SA"/>
        </w:rPr>
        <w:t>如若合同期内运维服务中出现重大运维事故或服务质量不符合我公司需求，造成的经济损失、声誉影响由乙方承担，且我公司有权直接解除合同。</w:t>
      </w:r>
    </w:p>
    <w:p>
      <w:pPr>
        <w:pStyle w:val="4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6.付款方式：按年付费。当年服务期满后无考核扣款项一次性付清。</w:t>
      </w:r>
    </w:p>
    <w:p>
      <w:pPr>
        <w:pStyle w:val="4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cs="宋体"/>
          <w:b w:val="0"/>
          <w:bCs w:val="0"/>
          <w:sz w:val="24"/>
          <w:szCs w:val="24"/>
          <w:highlight w:val="none"/>
          <w:lang w:val="en-US" w:eastAsia="zh-CN"/>
        </w:rPr>
      </w:pPr>
      <w:r>
        <w:rPr>
          <w:rFonts w:hint="eastAsia" w:ascii="宋体" w:hAnsi="宋体" w:eastAsia="宋体" w:cs="宋体"/>
          <w:b w:val="0"/>
          <w:bCs w:val="0"/>
          <w:kern w:val="2"/>
          <w:sz w:val="24"/>
          <w:szCs w:val="24"/>
          <w:highlight w:val="none"/>
          <w:lang w:val="en-US" w:eastAsia="zh-CN" w:bidi="ar-SA"/>
        </w:rPr>
        <w:t>8.服务及质量要求：乙方向甲方提供故障申告电话，每天24小时受理甲方的故障申告，30分钟内进行故障处理。除不可抗力情况（地震、台风、洪水、政府行为、甲方问题及其它非人力所能预见或避免的因素）外，在2小时之内不能恢复正常运行的，发生一次甲方扣除质保金的 5 %，累计发生二次扣除质保金的10 %，累计发生三次扣除质保金的20%，全年累计发生十次故障，扣除所有质保金，且甲方有权解除本合同。</w:t>
      </w:r>
    </w:p>
    <w:p>
      <w:pPr>
        <w:spacing w:line="360" w:lineRule="auto"/>
        <w:ind w:firstLine="480" w:firstLineChars="200"/>
        <w:rPr>
          <w:rFonts w:hint="eastAsia" w:ascii="宋体" w:hAnsi="宋体" w:cs="宋体"/>
          <w:b/>
          <w:bCs/>
          <w:sz w:val="24"/>
          <w:szCs w:val="24"/>
          <w:highlight w:val="yellow"/>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pStyle w:val="4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二、报价人的资格要求</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1.报价人须是在中国境内注册并具有独立的法人资格（需提供有效的营业执照）。</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2.报价人须具有良好的商业信誉（需提供被未被国家市场监督管理总局国家企业信用信息公示系统列入严重违法失信企业名单截图）。</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3.报价人应有依法缴纳税收的良好记录（需提供被未被国家市场监督管理总局国家企业信用信息公示系统列入重大税收违法失信主体截图）。</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4.报价人须提供能正常上传朔州市应急局三大系统的系统截图。</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lang w:val="en-US" w:eastAsia="zh-CN"/>
        </w:rPr>
        <w:t>.报价人须提供2020年1月至今至少</w:t>
      </w:r>
      <w:r>
        <w:rPr>
          <w:rFonts w:hint="eastAsia" w:ascii="宋体" w:hAnsi="宋体" w:cs="宋体"/>
          <w:b w:val="0"/>
          <w:bCs w:val="0"/>
          <w:sz w:val="24"/>
          <w:szCs w:val="24"/>
          <w:highlight w:val="none"/>
          <w:lang w:val="en-US" w:eastAsia="zh-CN"/>
        </w:rPr>
        <w:t>一</w:t>
      </w:r>
      <w:r>
        <w:rPr>
          <w:rFonts w:hint="eastAsia" w:ascii="宋体" w:hAnsi="宋体" w:eastAsia="宋体" w:cs="宋体"/>
          <w:b w:val="0"/>
          <w:bCs w:val="0"/>
          <w:sz w:val="24"/>
          <w:szCs w:val="24"/>
          <w:highlight w:val="none"/>
          <w:lang w:val="en-US" w:eastAsia="zh-CN"/>
        </w:rPr>
        <w:t>份同类运维合同业绩。（</w:t>
      </w:r>
      <w:r>
        <w:rPr>
          <w:rFonts w:hint="default" w:ascii="宋体" w:hAnsi="宋体" w:eastAsia="宋体" w:cs="宋体"/>
          <w:b w:val="0"/>
          <w:bCs w:val="0"/>
          <w:sz w:val="24"/>
          <w:szCs w:val="24"/>
          <w:highlight w:val="none"/>
          <w:lang w:val="en-US" w:eastAsia="zh-CN"/>
        </w:rPr>
        <w:t>需提供合同扫描</w:t>
      </w:r>
      <w:r>
        <w:rPr>
          <w:rFonts w:hint="eastAsia" w:ascii="宋体" w:hAnsi="宋体" w:eastAsia="宋体" w:cs="宋体"/>
          <w:b w:val="0"/>
          <w:bCs w:val="0"/>
          <w:sz w:val="24"/>
          <w:szCs w:val="24"/>
          <w:highlight w:val="none"/>
          <w:lang w:val="en-US" w:eastAsia="zh-CN"/>
        </w:rPr>
        <w:t>关键页）</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7.本次询价不接受联合体报价。</w:t>
      </w:r>
    </w:p>
    <w:p>
      <w:pPr>
        <w:pStyle w:val="4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三、技术要求</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1.严格对照数据采集联网协议，分析联网数据上传故障原因，并提供解决办法。</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2.解决联网软件故障。</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3.根据煤炭业务系统的实际运行情况，定期进行现场巡检。</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4.根据政府各类上传文件要求准确无误的上传监测监控、人员定位、产量监控、煤矿安全监管执法决策系统数据并保证实现以下功能：</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4.1实现煤矿各类联网监控系统数据的实时采集、处理、传输及管理；</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4.2实现对多种标准业务数据的采集、验证、解析及处理功能；</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4.3实现对采集数据的校验、错误处理、断线缓存及续传等功能。</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5.系统及所属的软、硬件及网络设备的运维工作必须基于华昱公司的网络安全要求进行部署，如不满足需及时整改，整改不到位将根据安全危险性等级进行考核。</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考核内容</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1.每个月的现场巡检不少于两次，且巡检记录必须有运维公司、矿方信息运维队负责人签字确认。</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2.每个月必须进行一次标定记录，且必须有运维公司、矿方运维队负责人签字确认。</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3.巡检内容</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3.1机房巡检:工控机（主备机）、传输接口、机房环境等是否存在问题，并提出合理化建议以及解决办法；</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3.2地面软件巡检:对安全检查监控、人员定位、产量监控三大系统日报、旬报、月报、年报表（显示异常，数据不准确）以及上传联网等业务是否存在问题，并提出合理化建议以及解决办法；</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3.3对系统数据3个月备份一次，备份保存不少于2年。</w:t>
      </w:r>
    </w:p>
    <w:p>
      <w:pPr>
        <w:spacing w:line="360" w:lineRule="auto"/>
        <w:ind w:firstLine="480" w:firstLineChars="200"/>
        <w:rPr>
          <w:rFonts w:hint="default"/>
          <w:lang w:val="en-US" w:eastAsia="zh-CN"/>
        </w:rPr>
      </w:pPr>
      <w:r>
        <w:rPr>
          <w:rFonts w:hint="eastAsia" w:ascii="宋体" w:hAnsi="宋体" w:eastAsia="宋体" w:cs="宋体"/>
          <w:b w:val="0"/>
          <w:bCs w:val="0"/>
          <w:sz w:val="24"/>
          <w:szCs w:val="24"/>
          <w:highlight w:val="none"/>
          <w:lang w:val="en-US" w:eastAsia="zh-CN"/>
        </w:rPr>
        <w:t>3.4出现网络故障、数据不上传等问题时，应积极组织抢修，并将发生故障时间、现象、原因及处理办法、恢复时间等做好记录。务必开通服务电话，半小时内响应故障，如远程故障解决不了，24小时内维护人员及时到场进行技术指导并作出处理。</w:t>
      </w: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四</w:t>
      </w:r>
      <w:r>
        <w:rPr>
          <w:rFonts w:hint="eastAsia" w:ascii="宋体" w:hAnsi="宋体" w:cs="宋体"/>
          <w:b/>
          <w:bCs/>
          <w:sz w:val="24"/>
          <w:szCs w:val="24"/>
          <w:highlight w:val="none"/>
          <w:lang w:eastAsia="zh-CN"/>
        </w:rPr>
        <w:t>、</w:t>
      </w:r>
      <w:r>
        <w:rPr>
          <w:rFonts w:hint="eastAsia" w:ascii="宋体" w:hAnsi="宋体" w:cs="宋体"/>
          <w:b/>
          <w:bCs/>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联系人：</w:t>
      </w:r>
      <w:r>
        <w:rPr>
          <w:rFonts w:hint="eastAsia" w:ascii="宋体" w:hAnsi="宋体" w:eastAsia="宋体" w:cs="宋体"/>
          <w:b w:val="0"/>
          <w:bCs w:val="0"/>
          <w:sz w:val="24"/>
          <w:szCs w:val="24"/>
          <w:highlight w:val="none"/>
          <w:lang w:val="en-US" w:eastAsia="zh-CN"/>
        </w:rPr>
        <w:t>刘成磊 (13703507677)</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地址：</w:t>
      </w:r>
      <w:r>
        <w:rPr>
          <w:rFonts w:hint="eastAsia" w:ascii="宋体" w:hAnsi="宋体" w:eastAsia="宋体" w:cs="宋体"/>
          <w:b w:val="0"/>
          <w:bCs w:val="0"/>
          <w:sz w:val="24"/>
          <w:szCs w:val="24"/>
          <w:highlight w:val="none"/>
          <w:lang w:val="en-US" w:eastAsia="zh-CN"/>
        </w:rPr>
        <w:t>华昱公司</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电子信箱：</w:t>
      </w:r>
      <w:r>
        <w:rPr>
          <w:rFonts w:hint="eastAsia" w:ascii="宋体" w:hAnsi="宋体" w:eastAsia="宋体" w:cs="宋体"/>
          <w:b w:val="0"/>
          <w:bCs w:val="0"/>
          <w:sz w:val="24"/>
          <w:szCs w:val="24"/>
          <w:highlight w:val="none"/>
          <w:lang w:val="en-US" w:eastAsia="zh-CN"/>
        </w:rPr>
        <w:t>liuchenglei@chiancoal.com</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(1)报价为含税价（</w:t>
      </w:r>
      <w:r>
        <w:rPr>
          <w:rFonts w:hint="eastAsia" w:ascii="宋体" w:hAnsi="宋体" w:eastAsia="宋体" w:cs="宋体"/>
          <w:b w:val="0"/>
          <w:bCs w:val="0"/>
          <w:color w:val="000000"/>
          <w:sz w:val="24"/>
          <w:szCs w:val="24"/>
          <w:highlight w:val="none"/>
          <w:lang w:val="en-US" w:eastAsia="zh-CN"/>
        </w:rPr>
        <w:t>税率6%</w:t>
      </w:r>
      <w:r>
        <w:rPr>
          <w:rFonts w:hint="eastAsia" w:ascii="宋体" w:hAnsi="宋体" w:eastAsia="宋体" w:cs="宋体"/>
          <w:b w:val="0"/>
          <w:bCs w:val="0"/>
          <w:color w:val="000000"/>
          <w:sz w:val="24"/>
          <w:szCs w:val="24"/>
          <w:highlight w:val="none"/>
        </w:rPr>
        <w:t>）。</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20"/>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19"/>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rPr>
          <w:rFonts w:hint="eastAsia" w:ascii="宋体" w:eastAsia="宋体"/>
          <w:b/>
          <w:bCs/>
          <w:sz w:val="24"/>
          <w:szCs w:val="24"/>
          <w:highlight w:val="none"/>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综合评估法</w:t>
      </w:r>
      <w:r>
        <w:rPr>
          <w:rFonts w:hint="eastAsia" w:ascii="宋体" w:hAnsi="宋体" w:eastAsia="宋体" w:cs="宋体"/>
          <w:b/>
          <w:bCs/>
          <w:sz w:val="24"/>
          <w:szCs w:val="24"/>
          <w:highlight w:val="none"/>
          <w:lang w:eastAsia="zh-CN"/>
        </w:rPr>
        <w:t>）</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本次询价内容依据以下评审原则进行综合</w:t>
      </w:r>
      <w:r>
        <w:rPr>
          <w:rFonts w:hint="eastAsia" w:ascii="宋体" w:hAnsi="宋体" w:cs="宋体"/>
          <w:b w:val="0"/>
          <w:bCs w:val="0"/>
          <w:sz w:val="24"/>
          <w:szCs w:val="24"/>
          <w:highlight w:val="none"/>
          <w:lang w:eastAsia="zh-CN"/>
        </w:rPr>
        <w:t>评估法</w:t>
      </w:r>
      <w:r>
        <w:rPr>
          <w:rFonts w:hint="eastAsia" w:ascii="宋体" w:hAnsi="宋体" w:cs="宋体"/>
          <w:b w:val="0"/>
          <w:bCs w:val="0"/>
          <w:sz w:val="24"/>
          <w:szCs w:val="24"/>
          <w:highlight w:val="none"/>
        </w:rPr>
        <w:t>。评审小组对</w:t>
      </w:r>
      <w:r>
        <w:rPr>
          <w:rFonts w:hint="eastAsia" w:ascii="宋体" w:hAnsi="宋体" w:cs="宋体"/>
          <w:b w:val="0"/>
          <w:bCs w:val="0"/>
          <w:sz w:val="24"/>
          <w:szCs w:val="24"/>
          <w:highlight w:val="none"/>
          <w:lang w:eastAsia="zh-CN"/>
        </w:rPr>
        <w:t>满足询价文件要求的所有报价文件的技术、商务分别进行评审评分，对价格进行审核修正并计算评分，按综合评分由高到低的顺序对报价人进行排序，推荐候选成交人。</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A.</w:t>
      </w: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pStyle w:val="2"/>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B.评审内容</w:t>
      </w:r>
    </w:p>
    <w:p>
      <w:pPr>
        <w:spacing w:line="360" w:lineRule="auto"/>
        <w:ind w:firstLine="480" w:firstLineChars="200"/>
        <w:rPr>
          <w:rFonts w:hint="eastAsia" w:ascii="宋体" w:hAnsi="宋体" w:eastAsia="宋体" w:cs="宋体"/>
          <w:b w:val="0"/>
          <w:bCs w:val="0"/>
          <w:sz w:val="24"/>
          <w:szCs w:val="24"/>
          <w:highlight w:val="none"/>
          <w:lang w:val="en-US"/>
        </w:rPr>
      </w:pPr>
      <w:r>
        <w:rPr>
          <w:rFonts w:hint="eastAsia" w:ascii="宋体" w:hAnsi="宋体" w:cs="宋体"/>
          <w:b w:val="0"/>
          <w:bCs w:val="0"/>
          <w:sz w:val="24"/>
          <w:szCs w:val="24"/>
          <w:highlight w:val="none"/>
          <w:lang w:val="en-US" w:eastAsia="zh-CN"/>
        </w:rPr>
        <w:t>1</w:t>
      </w:r>
      <w:r>
        <w:rPr>
          <w:rFonts w:ascii="宋体" w:hAnsi="宋体" w:cs="宋体"/>
          <w:b w:val="0"/>
          <w:bCs w:val="0"/>
          <w:sz w:val="24"/>
          <w:szCs w:val="24"/>
          <w:highlight w:val="none"/>
        </w:rPr>
        <w:t>)</w:t>
      </w:r>
      <w:r>
        <w:rPr>
          <w:rFonts w:hint="eastAsia" w:ascii="宋体" w:hAnsi="宋体" w:eastAsia="宋体" w:cs="宋体"/>
          <w:b w:val="0"/>
          <w:bCs w:val="0"/>
          <w:sz w:val="24"/>
          <w:szCs w:val="24"/>
          <w:highlight w:val="none"/>
          <w:lang w:val="en-US"/>
        </w:rPr>
        <w:t>评标采用百分制打分，总分为100分，其中：</w:t>
      </w:r>
    </w:p>
    <w:p>
      <w:pPr>
        <w:spacing w:line="360" w:lineRule="auto"/>
        <w:ind w:firstLine="480" w:firstLineChars="200"/>
        <w:rPr>
          <w:rFonts w:hint="eastAsia" w:ascii="宋体" w:hAnsi="宋体" w:eastAsia="宋体" w:cs="宋体"/>
          <w:b w:val="0"/>
          <w:bCs w:val="0"/>
          <w:sz w:val="24"/>
          <w:szCs w:val="24"/>
          <w:highlight w:val="none"/>
          <w:lang w:val="en-US"/>
        </w:rPr>
      </w:pPr>
      <w:r>
        <w:rPr>
          <w:rFonts w:hint="eastAsia" w:ascii="宋体" w:hAnsi="宋体" w:eastAsia="宋体" w:cs="宋体"/>
          <w:b w:val="0"/>
          <w:bCs w:val="0"/>
          <w:sz w:val="24"/>
          <w:szCs w:val="24"/>
          <w:highlight w:val="none"/>
          <w:lang w:val="en-US"/>
        </w:rPr>
        <w:t>技术部分（A1）： 3</w:t>
      </w:r>
      <w:r>
        <w:rPr>
          <w:rFonts w:hint="eastAsia" w:ascii="宋体" w:hAnsi="宋体" w:cs="宋体"/>
          <w:b w:val="0"/>
          <w:bCs w:val="0"/>
          <w:sz w:val="24"/>
          <w:szCs w:val="24"/>
          <w:highlight w:val="none"/>
          <w:lang w:val="en-US" w:eastAsia="zh-CN"/>
        </w:rPr>
        <w:t>0</w:t>
      </w:r>
      <w:r>
        <w:rPr>
          <w:rFonts w:hint="eastAsia" w:ascii="宋体" w:hAnsi="宋体" w:eastAsia="宋体" w:cs="宋体"/>
          <w:b w:val="0"/>
          <w:bCs w:val="0"/>
          <w:sz w:val="24"/>
          <w:szCs w:val="24"/>
          <w:highlight w:val="none"/>
          <w:lang w:val="en-US"/>
        </w:rPr>
        <w:t>分</w:t>
      </w:r>
    </w:p>
    <w:p>
      <w:pPr>
        <w:spacing w:line="360" w:lineRule="auto"/>
        <w:ind w:firstLine="480" w:firstLineChars="200"/>
        <w:rPr>
          <w:rFonts w:hint="eastAsia" w:ascii="宋体" w:hAnsi="宋体" w:eastAsia="宋体" w:cs="宋体"/>
          <w:b w:val="0"/>
          <w:bCs w:val="0"/>
          <w:sz w:val="24"/>
          <w:szCs w:val="24"/>
          <w:highlight w:val="none"/>
          <w:lang w:val="en-US"/>
        </w:rPr>
      </w:pPr>
      <w:r>
        <w:rPr>
          <w:rFonts w:hint="eastAsia" w:ascii="宋体" w:hAnsi="宋体" w:eastAsia="宋体" w:cs="宋体"/>
          <w:b w:val="0"/>
          <w:bCs w:val="0"/>
          <w:sz w:val="24"/>
          <w:szCs w:val="24"/>
          <w:highlight w:val="none"/>
          <w:lang w:val="en-US"/>
        </w:rPr>
        <w:t>商务部分（A2）： 1</w:t>
      </w:r>
      <w:r>
        <w:rPr>
          <w:rFonts w:hint="eastAsia" w:ascii="宋体" w:hAnsi="宋体" w:cs="宋体"/>
          <w:b w:val="0"/>
          <w:bCs w:val="0"/>
          <w:sz w:val="24"/>
          <w:szCs w:val="24"/>
          <w:highlight w:val="none"/>
          <w:lang w:val="en-US" w:eastAsia="zh-CN"/>
        </w:rPr>
        <w:t>0</w:t>
      </w:r>
      <w:r>
        <w:rPr>
          <w:rFonts w:hint="eastAsia" w:ascii="宋体" w:hAnsi="宋体" w:eastAsia="宋体" w:cs="宋体"/>
          <w:b w:val="0"/>
          <w:bCs w:val="0"/>
          <w:sz w:val="24"/>
          <w:szCs w:val="24"/>
          <w:highlight w:val="none"/>
          <w:lang w:val="en-US"/>
        </w:rPr>
        <w:t>分</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投标报价</w:t>
      </w:r>
      <w:r>
        <w:rPr>
          <w:rFonts w:hint="eastAsia" w:ascii="宋体" w:hAnsi="宋体" w:eastAsia="宋体" w:cs="宋体"/>
          <w:b w:val="0"/>
          <w:bCs w:val="0"/>
          <w:sz w:val="24"/>
          <w:szCs w:val="24"/>
          <w:highlight w:val="none"/>
          <w:lang w:val="en-US"/>
        </w:rPr>
        <w:t xml:space="preserve">（A3）： </w:t>
      </w:r>
      <w:r>
        <w:rPr>
          <w:rFonts w:hint="eastAsia" w:ascii="宋体" w:hAnsi="宋体" w:cs="宋体"/>
          <w:b w:val="0"/>
          <w:bCs w:val="0"/>
          <w:sz w:val="24"/>
          <w:szCs w:val="24"/>
          <w:highlight w:val="none"/>
          <w:lang w:val="en-US" w:eastAsia="zh-CN"/>
        </w:rPr>
        <w:t>6</w:t>
      </w:r>
      <w:r>
        <w:rPr>
          <w:rFonts w:hint="eastAsia" w:ascii="宋体" w:hAnsi="宋体" w:eastAsia="宋体" w:cs="宋体"/>
          <w:b w:val="0"/>
          <w:bCs w:val="0"/>
          <w:sz w:val="24"/>
          <w:szCs w:val="24"/>
          <w:highlight w:val="none"/>
          <w:lang w:val="en-US"/>
        </w:rPr>
        <w:t>0</w:t>
      </w:r>
      <w:r>
        <w:rPr>
          <w:rFonts w:hint="eastAsia" w:ascii="宋体" w:hAnsi="宋体" w:eastAsia="宋体" w:cs="宋体"/>
          <w:b w:val="0"/>
          <w:bCs w:val="0"/>
          <w:sz w:val="24"/>
          <w:szCs w:val="24"/>
          <w:highlight w:val="none"/>
        </w:rPr>
        <w:t>分</w:t>
      </w:r>
    </w:p>
    <w:p>
      <w:pPr>
        <w:spacing w:line="360" w:lineRule="auto"/>
        <w:ind w:firstLine="480" w:firstLineChars="200"/>
        <w:rPr>
          <w:rFonts w:hint="eastAsia" w:ascii="宋体" w:hAnsi="宋体" w:eastAsia="宋体" w:cs="宋体"/>
          <w:b w:val="0"/>
          <w:bCs w:val="0"/>
          <w:sz w:val="24"/>
          <w:szCs w:val="24"/>
          <w:highlight w:val="none"/>
          <w:lang w:val="en-US"/>
        </w:rPr>
      </w:pPr>
      <w:r>
        <w:rPr>
          <w:rFonts w:hint="eastAsia" w:ascii="宋体" w:hAnsi="宋体" w:eastAsia="宋体" w:cs="宋体"/>
          <w:b w:val="0"/>
          <w:bCs w:val="0"/>
          <w:sz w:val="24"/>
          <w:szCs w:val="24"/>
          <w:highlight w:val="none"/>
        </w:rPr>
        <w:t>投标人得分</w:t>
      </w:r>
      <w:r>
        <w:rPr>
          <w:rFonts w:hint="eastAsia" w:ascii="宋体" w:hAnsi="宋体" w:eastAsia="宋体" w:cs="宋体"/>
          <w:b w:val="0"/>
          <w:bCs w:val="0"/>
          <w:sz w:val="24"/>
          <w:szCs w:val="24"/>
          <w:highlight w:val="none"/>
          <w:lang w:val="en-US"/>
        </w:rPr>
        <w:t>= A1+ A2+ A3</w:t>
      </w:r>
      <w:r>
        <w:rPr>
          <w:rFonts w:hint="eastAsia" w:ascii="宋体" w:hAnsi="宋体" w:eastAsia="宋体" w:cs="宋体"/>
          <w:b w:val="0"/>
          <w:bCs w:val="0"/>
          <w:sz w:val="24"/>
          <w:szCs w:val="24"/>
          <w:highlight w:val="none"/>
        </w:rPr>
        <w:t>。小数点保留位数</w:t>
      </w:r>
      <w:r>
        <w:rPr>
          <w:rFonts w:hint="eastAsia" w:ascii="宋体" w:hAnsi="宋体" w:eastAsia="宋体" w:cs="宋体"/>
          <w:b w:val="0"/>
          <w:bCs w:val="0"/>
          <w:sz w:val="24"/>
          <w:szCs w:val="24"/>
          <w:highlight w:val="none"/>
          <w:lang w:val="en-US"/>
        </w:rPr>
        <w:t>：</w:t>
      </w:r>
      <w:r>
        <w:rPr>
          <w:rFonts w:hint="eastAsia" w:ascii="宋体" w:hAnsi="宋体" w:eastAsia="宋体" w:cs="宋体"/>
          <w:b w:val="0"/>
          <w:bCs w:val="0"/>
          <w:sz w:val="24"/>
          <w:szCs w:val="24"/>
          <w:highlight w:val="none"/>
        </w:rPr>
        <w:t>评分分值计算保留小数点后两位</w:t>
      </w:r>
      <w:r>
        <w:rPr>
          <w:rFonts w:hint="eastAsia" w:ascii="宋体" w:hAnsi="宋体" w:eastAsia="宋体" w:cs="宋体"/>
          <w:b w:val="0"/>
          <w:bCs w:val="0"/>
          <w:sz w:val="24"/>
          <w:szCs w:val="24"/>
          <w:highlight w:val="none"/>
          <w:lang w:val="en-US"/>
        </w:rPr>
        <w:t>，</w:t>
      </w:r>
      <w:r>
        <w:rPr>
          <w:rFonts w:hint="eastAsia" w:ascii="宋体" w:hAnsi="宋体" w:eastAsia="宋体" w:cs="宋体"/>
          <w:b w:val="0"/>
          <w:bCs w:val="0"/>
          <w:sz w:val="24"/>
          <w:szCs w:val="24"/>
          <w:highlight w:val="none"/>
        </w:rPr>
        <w:t>第三位四舍五入。</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w:t>
      </w:r>
      <w:r>
        <w:rPr>
          <w:rFonts w:hint="eastAsia" w:ascii="宋体" w:hAnsi="宋体" w:eastAsia="宋体" w:cs="宋体"/>
          <w:b w:val="0"/>
          <w:bCs w:val="0"/>
          <w:sz w:val="24"/>
          <w:szCs w:val="24"/>
          <w:highlight w:val="none"/>
        </w:rPr>
        <w:t xml:space="preserve"> 针对某一有效投标人，</w:t>
      </w:r>
      <w:r>
        <w:rPr>
          <w:rFonts w:hint="eastAsia" w:ascii="宋体" w:hAnsi="宋体" w:eastAsia="宋体" w:cs="宋体"/>
          <w:b w:val="0"/>
          <w:bCs w:val="0"/>
          <w:sz w:val="24"/>
          <w:szCs w:val="24"/>
          <w:highlight w:val="none"/>
          <w:lang w:eastAsia="zh-CN"/>
        </w:rPr>
        <w:t>评审小组</w:t>
      </w:r>
      <w:r>
        <w:rPr>
          <w:rFonts w:hint="eastAsia" w:ascii="宋体" w:hAnsi="宋体" w:eastAsia="宋体" w:cs="宋体"/>
          <w:b w:val="0"/>
          <w:bCs w:val="0"/>
          <w:sz w:val="24"/>
          <w:szCs w:val="24"/>
          <w:highlight w:val="none"/>
        </w:rPr>
        <w:t>最终评分的算术平均值即为该投标人的最终得分。在分数相同的情况下，投标报价低的投标人排名优先。</w:t>
      </w:r>
    </w:p>
    <w:p>
      <w:pPr>
        <w:spacing w:line="360" w:lineRule="auto"/>
        <w:ind w:firstLine="480" w:firstLineChars="200"/>
        <w:rPr>
          <w:rFonts w:hint="eastAsia" w:ascii="宋体" w:hAnsi="宋体" w:eastAsia="宋体" w:cs="宋体"/>
          <w:b w:val="0"/>
          <w:bCs w:val="0"/>
          <w:sz w:val="24"/>
          <w:szCs w:val="24"/>
          <w:highlight w:val="red"/>
          <w:lang w:eastAsia="zh-CN"/>
        </w:rPr>
      </w:pP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eastAsia="宋体" w:cs="宋体"/>
          <w:b w:val="0"/>
          <w:bCs w:val="0"/>
          <w:sz w:val="24"/>
          <w:szCs w:val="24"/>
          <w:highlight w:val="none"/>
        </w:rPr>
        <w:t xml:space="preserve"> 评分细则</w:t>
      </w:r>
    </w:p>
    <w:p/>
    <w:tbl>
      <w:tblPr>
        <w:tblStyle w:val="45"/>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795"/>
        <w:gridCol w:w="1687"/>
        <w:gridCol w:w="408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val="0"/>
                <w:bCs w:val="0"/>
                <w:sz w:val="24"/>
              </w:rPr>
            </w:pPr>
            <w:r>
              <w:rPr>
                <w:rFonts w:hint="eastAsia" w:ascii="宋体" w:hAnsi="宋体"/>
                <w:b w:val="0"/>
                <w:bCs w:val="0"/>
                <w:sz w:val="24"/>
              </w:rPr>
              <w:t>评分项</w:t>
            </w:r>
          </w:p>
        </w:tc>
        <w:tc>
          <w:tcPr>
            <w:tcW w:w="7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val="0"/>
                <w:bCs w:val="0"/>
                <w:sz w:val="24"/>
              </w:rPr>
            </w:pPr>
            <w:r>
              <w:rPr>
                <w:rFonts w:hint="eastAsia" w:ascii="宋体" w:hAnsi="宋体" w:cs="宋体"/>
                <w:b w:val="0"/>
                <w:bCs w:val="0"/>
                <w:sz w:val="24"/>
              </w:rPr>
              <w:t>分值</w:t>
            </w:r>
          </w:p>
        </w:tc>
        <w:tc>
          <w:tcPr>
            <w:tcW w:w="577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val="0"/>
                <w:bCs w:val="0"/>
                <w:sz w:val="24"/>
              </w:rPr>
            </w:pPr>
            <w:r>
              <w:rPr>
                <w:rFonts w:hint="eastAsia" w:ascii="宋体" w:hAnsi="宋体" w:cs="宋体"/>
                <w:b w:val="0"/>
                <w:bCs w:val="0"/>
                <w:sz w:val="24"/>
              </w:rPr>
              <w:t>评分细则</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val="0"/>
                <w:bCs w:val="0"/>
                <w:sz w:val="24"/>
              </w:rPr>
            </w:pPr>
            <w:r>
              <w:rPr>
                <w:rFonts w:hint="eastAsia" w:ascii="宋体" w:hAnsi="宋体" w:cs="宋体"/>
                <w:b w:val="0"/>
                <w:bCs w:val="0"/>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8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val="0"/>
                <w:bCs w:val="0"/>
                <w:sz w:val="24"/>
              </w:rPr>
            </w:pPr>
            <w:r>
              <w:rPr>
                <w:rFonts w:hint="eastAsia" w:ascii="宋体" w:hAnsi="宋体" w:cs="宋体"/>
                <w:b w:val="0"/>
                <w:bCs w:val="0"/>
                <w:sz w:val="24"/>
              </w:rPr>
              <w:t>技术部分</w:t>
            </w:r>
          </w:p>
        </w:tc>
        <w:tc>
          <w:tcPr>
            <w:tcW w:w="795"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val="0"/>
                <w:bCs w:val="0"/>
                <w:sz w:val="24"/>
              </w:rPr>
            </w:pPr>
            <w:r>
              <w:rPr>
                <w:rFonts w:hint="eastAsia" w:ascii="宋体" w:hAnsi="宋体"/>
                <w:b w:val="0"/>
                <w:bCs w:val="0"/>
                <w:sz w:val="24"/>
                <w:lang w:val="en-US" w:eastAsia="zh-CN"/>
              </w:rPr>
              <w:t>30</w:t>
            </w:r>
            <w:r>
              <w:rPr>
                <w:rFonts w:hint="eastAsia" w:ascii="宋体" w:hAnsi="宋体"/>
                <w:b w:val="0"/>
                <w:bCs w:val="0"/>
                <w:sz w:val="24"/>
              </w:rPr>
              <w:t>分</w:t>
            </w:r>
          </w:p>
        </w:tc>
        <w:tc>
          <w:tcPr>
            <w:tcW w:w="1687" w:type="dxa"/>
            <w:vMerge w:val="restart"/>
            <w:tcBorders>
              <w:top w:val="single" w:color="auto" w:sz="4" w:space="0"/>
              <w:left w:val="single" w:color="auto" w:sz="4" w:space="0"/>
              <w:right w:val="single" w:color="auto" w:sz="4" w:space="0"/>
            </w:tcBorders>
            <w:vAlign w:val="center"/>
          </w:tcPr>
          <w:p>
            <w:pPr>
              <w:spacing w:line="360" w:lineRule="auto"/>
              <w:rPr>
                <w:rFonts w:ascii="宋体" w:hAnsi="宋体"/>
                <w:b w:val="0"/>
                <w:bCs w:val="0"/>
                <w:sz w:val="24"/>
              </w:rPr>
            </w:pPr>
            <w:r>
              <w:rPr>
                <w:rFonts w:hint="eastAsia" w:ascii="宋体" w:hAnsi="宋体"/>
                <w:b w:val="0"/>
                <w:bCs w:val="0"/>
                <w:sz w:val="24"/>
              </w:rPr>
              <w:t>实施方案</w:t>
            </w:r>
            <w:r>
              <w:rPr>
                <w:rFonts w:hint="eastAsia" w:ascii="宋体" w:hAnsi="宋体"/>
                <w:b w:val="0"/>
                <w:bCs w:val="0"/>
                <w:sz w:val="24"/>
                <w:lang w:val="en-US" w:eastAsia="zh-CN"/>
              </w:rPr>
              <w:t>30</w:t>
            </w:r>
            <w:r>
              <w:rPr>
                <w:rFonts w:hint="eastAsia" w:ascii="宋体" w:hAnsi="宋体"/>
                <w:b w:val="0"/>
                <w:bCs w:val="0"/>
                <w:sz w:val="24"/>
              </w:rPr>
              <w:t>分</w:t>
            </w:r>
          </w:p>
        </w:tc>
        <w:tc>
          <w:tcPr>
            <w:tcW w:w="408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 w:val="0"/>
                <w:bCs w:val="0"/>
                <w:sz w:val="24"/>
              </w:rPr>
            </w:pPr>
            <w:r>
              <w:rPr>
                <w:rFonts w:hint="eastAsia" w:ascii="宋体" w:hAnsi="宋体"/>
                <w:b w:val="0"/>
                <w:bCs w:val="0"/>
                <w:sz w:val="24"/>
              </w:rPr>
              <w:t>质量管理计划全面、科学，且有针对性管理措施</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val="0"/>
                <w:bCs w:val="0"/>
                <w:sz w:val="24"/>
              </w:rPr>
            </w:pPr>
            <w:r>
              <w:rPr>
                <w:rFonts w:hint="eastAsia" w:ascii="宋体" w:hAnsi="宋体"/>
                <w:b w:val="0"/>
                <w:bCs w:val="0"/>
                <w:sz w:val="24"/>
              </w:rPr>
              <w:t>0～</w:t>
            </w:r>
            <w:r>
              <w:rPr>
                <w:rFonts w:hint="eastAsia" w:ascii="宋体" w:hAnsi="宋体"/>
                <w:b w:val="0"/>
                <w:bCs w:val="0"/>
                <w:sz w:val="24"/>
                <w:lang w:val="en-US" w:eastAsia="zh-CN"/>
              </w:rPr>
              <w:t>10</w:t>
            </w:r>
            <w:r>
              <w:rPr>
                <w:rFonts w:hint="eastAsia" w:ascii="宋体" w:hAnsi="宋体"/>
                <w:b w:val="0"/>
                <w:bCs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8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val="0"/>
                <w:bCs w:val="0"/>
                <w:sz w:val="24"/>
              </w:rPr>
            </w:pPr>
          </w:p>
        </w:tc>
        <w:tc>
          <w:tcPr>
            <w:tcW w:w="79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val="0"/>
                <w:bCs w:val="0"/>
                <w:sz w:val="24"/>
              </w:rPr>
            </w:pPr>
          </w:p>
        </w:tc>
        <w:tc>
          <w:tcPr>
            <w:tcW w:w="1687" w:type="dxa"/>
            <w:vMerge w:val="continue"/>
            <w:tcBorders>
              <w:left w:val="single" w:color="auto" w:sz="4" w:space="0"/>
              <w:right w:val="single" w:color="auto" w:sz="4" w:space="0"/>
            </w:tcBorders>
            <w:vAlign w:val="center"/>
          </w:tcPr>
          <w:p>
            <w:pPr>
              <w:spacing w:line="360" w:lineRule="auto"/>
              <w:jc w:val="center"/>
              <w:rPr>
                <w:rFonts w:ascii="宋体" w:hAnsi="宋体"/>
                <w:b w:val="0"/>
                <w:bCs w:val="0"/>
                <w:sz w:val="24"/>
              </w:rPr>
            </w:pPr>
          </w:p>
        </w:tc>
        <w:tc>
          <w:tcPr>
            <w:tcW w:w="408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 w:val="0"/>
                <w:bCs w:val="0"/>
                <w:sz w:val="24"/>
              </w:rPr>
            </w:pPr>
            <w:r>
              <w:rPr>
                <w:rFonts w:hint="eastAsia" w:ascii="宋体" w:hAnsi="宋体"/>
                <w:b w:val="0"/>
                <w:bCs w:val="0"/>
                <w:sz w:val="24"/>
              </w:rPr>
              <w:t>安全管理保证措施切实可行</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val="0"/>
                <w:bCs w:val="0"/>
                <w:sz w:val="24"/>
              </w:rPr>
            </w:pPr>
            <w:r>
              <w:rPr>
                <w:rFonts w:hint="eastAsia" w:ascii="宋体" w:hAnsi="宋体"/>
                <w:b w:val="0"/>
                <w:bCs w:val="0"/>
                <w:sz w:val="24"/>
              </w:rPr>
              <w:t>0～</w:t>
            </w:r>
            <w:r>
              <w:rPr>
                <w:rFonts w:hint="eastAsia" w:ascii="宋体" w:hAnsi="宋体"/>
                <w:b w:val="0"/>
                <w:bCs w:val="0"/>
                <w:sz w:val="24"/>
                <w:lang w:val="en-US" w:eastAsia="zh-CN"/>
              </w:rPr>
              <w:t>10</w:t>
            </w:r>
            <w:r>
              <w:rPr>
                <w:rFonts w:hint="eastAsia" w:ascii="宋体" w:hAnsi="宋体"/>
                <w:b w:val="0"/>
                <w:bCs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8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val="0"/>
                <w:bCs w:val="0"/>
                <w:sz w:val="24"/>
              </w:rPr>
            </w:pPr>
          </w:p>
        </w:tc>
        <w:tc>
          <w:tcPr>
            <w:tcW w:w="79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val="0"/>
                <w:bCs w:val="0"/>
                <w:sz w:val="24"/>
              </w:rPr>
            </w:pPr>
          </w:p>
        </w:tc>
        <w:tc>
          <w:tcPr>
            <w:tcW w:w="1687" w:type="dxa"/>
            <w:vMerge w:val="continue"/>
            <w:tcBorders>
              <w:left w:val="single" w:color="auto" w:sz="4" w:space="0"/>
              <w:right w:val="single" w:color="auto" w:sz="4" w:space="0"/>
            </w:tcBorders>
            <w:vAlign w:val="center"/>
          </w:tcPr>
          <w:p>
            <w:pPr>
              <w:spacing w:line="360" w:lineRule="auto"/>
              <w:jc w:val="center"/>
              <w:rPr>
                <w:b w:val="0"/>
                <w:bCs w:val="0"/>
                <w:sz w:val="28"/>
                <w:szCs w:val="28"/>
              </w:rPr>
            </w:pPr>
          </w:p>
        </w:tc>
        <w:tc>
          <w:tcPr>
            <w:tcW w:w="408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 w:val="0"/>
                <w:bCs w:val="0"/>
                <w:sz w:val="24"/>
              </w:rPr>
            </w:pPr>
            <w:r>
              <w:rPr>
                <w:rFonts w:hint="eastAsia" w:ascii="宋体" w:hAnsi="宋体" w:eastAsia="宋体" w:cs="Times New Roman"/>
                <w:b w:val="0"/>
                <w:bCs w:val="0"/>
                <w:sz w:val="24"/>
              </w:rPr>
              <w:t>具备完善的项目组织机构、范围控制、质量保证、沟通管理、配置管理、风险控制、应急方案、保密措施</w:t>
            </w:r>
            <w:r>
              <w:rPr>
                <w:rFonts w:hint="eastAsia" w:ascii="宋体" w:hAnsi="宋体" w:eastAsia="宋体" w:cs="Times New Roman"/>
                <w:b w:val="0"/>
                <w:bCs w:val="0"/>
                <w:sz w:val="24"/>
                <w:lang w:val="en-US" w:eastAsia="zh-CN"/>
              </w:rPr>
              <w:t>等</w:t>
            </w:r>
            <w:r>
              <w:rPr>
                <w:rFonts w:hint="eastAsia" w:ascii="宋体" w:hAnsi="宋体" w:eastAsia="宋体" w:cs="Times New Roman"/>
                <w:b w:val="0"/>
                <w:bCs w:val="0"/>
                <w:sz w:val="24"/>
              </w:rPr>
              <w:t>内容。</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val="0"/>
                <w:bCs w:val="0"/>
                <w:sz w:val="24"/>
              </w:rPr>
            </w:pPr>
            <w:r>
              <w:rPr>
                <w:rFonts w:hint="eastAsia" w:ascii="宋体" w:hAnsi="宋体"/>
                <w:b w:val="0"/>
                <w:bCs w:val="0"/>
                <w:sz w:val="24"/>
              </w:rPr>
              <w:t>0～</w:t>
            </w:r>
            <w:r>
              <w:rPr>
                <w:rFonts w:hint="eastAsia" w:ascii="宋体" w:hAnsi="宋体"/>
                <w:b w:val="0"/>
                <w:bCs w:val="0"/>
                <w:sz w:val="24"/>
                <w:lang w:val="en-US" w:eastAsia="zh-CN"/>
              </w:rPr>
              <w:t>5</w:t>
            </w:r>
            <w:r>
              <w:rPr>
                <w:rFonts w:hint="eastAsia" w:ascii="宋体" w:hAnsi="宋体"/>
                <w:b w:val="0"/>
                <w:bCs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9" w:hRule="atLeast"/>
        </w:trPr>
        <w:tc>
          <w:tcPr>
            <w:tcW w:w="9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 w:val="0"/>
                <w:bCs w:val="0"/>
                <w:sz w:val="24"/>
              </w:rPr>
            </w:pPr>
          </w:p>
        </w:tc>
        <w:tc>
          <w:tcPr>
            <w:tcW w:w="7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 w:val="0"/>
                <w:bCs w:val="0"/>
                <w:sz w:val="24"/>
              </w:rPr>
            </w:pPr>
          </w:p>
        </w:tc>
        <w:tc>
          <w:tcPr>
            <w:tcW w:w="1687"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b w:val="0"/>
                <w:bCs w:val="0"/>
                <w:sz w:val="24"/>
              </w:rPr>
            </w:pPr>
            <w:r>
              <w:rPr>
                <w:rFonts w:hint="eastAsia" w:ascii="宋体" w:hAnsi="宋体"/>
                <w:b w:val="0"/>
                <w:bCs w:val="0"/>
                <w:sz w:val="24"/>
              </w:rPr>
              <w:t>项目组织机构及人员配置1</w:t>
            </w:r>
            <w:r>
              <w:rPr>
                <w:rFonts w:hint="eastAsia" w:ascii="宋体" w:hAnsi="宋体"/>
                <w:b w:val="0"/>
                <w:bCs w:val="0"/>
                <w:sz w:val="24"/>
                <w:lang w:val="en-US" w:eastAsia="zh-CN"/>
              </w:rPr>
              <w:t>0</w:t>
            </w:r>
            <w:r>
              <w:rPr>
                <w:rFonts w:hint="eastAsia" w:ascii="宋体" w:hAnsi="宋体"/>
                <w:b w:val="0"/>
                <w:bCs w:val="0"/>
                <w:sz w:val="24"/>
              </w:rPr>
              <w:t>分</w:t>
            </w:r>
          </w:p>
        </w:tc>
        <w:tc>
          <w:tcPr>
            <w:tcW w:w="408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 w:val="0"/>
                <w:bCs w:val="0"/>
                <w:sz w:val="24"/>
              </w:rPr>
            </w:pPr>
            <w:r>
              <w:rPr>
                <w:rFonts w:hint="eastAsia" w:ascii="宋体" w:hAnsi="宋体" w:eastAsia="宋体" w:cs="Times New Roman"/>
                <w:b w:val="0"/>
                <w:bCs w:val="0"/>
                <w:sz w:val="24"/>
              </w:rPr>
              <w:t>投标单位具有完备的售后服务体系（包括售后服务机构、400服务电话、服务承诺、服务流程、服务内容及响应时间等）</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val="0"/>
                <w:bCs w:val="0"/>
                <w:sz w:val="24"/>
              </w:rPr>
            </w:pPr>
            <w:r>
              <w:rPr>
                <w:rFonts w:hint="eastAsia" w:ascii="宋体" w:hAnsi="宋体"/>
                <w:b w:val="0"/>
                <w:bCs w:val="0"/>
                <w:sz w:val="24"/>
              </w:rPr>
              <w:t>0～</w:t>
            </w:r>
            <w:r>
              <w:rPr>
                <w:rFonts w:hint="eastAsia" w:ascii="宋体" w:hAnsi="宋体"/>
                <w:b w:val="0"/>
                <w:bCs w:val="0"/>
                <w:sz w:val="24"/>
                <w:lang w:val="en-US" w:eastAsia="zh-CN"/>
              </w:rPr>
              <w:t>5</w:t>
            </w:r>
            <w:r>
              <w:rPr>
                <w:rFonts w:hint="eastAsia" w:ascii="宋体" w:hAnsi="宋体"/>
                <w:b w:val="0"/>
                <w:bCs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b w:val="0"/>
                <w:bCs w:val="0"/>
                <w:sz w:val="24"/>
              </w:rPr>
            </w:pPr>
            <w:r>
              <w:rPr>
                <w:rFonts w:hint="eastAsia" w:ascii="宋体" w:hAnsi="宋体" w:cs="宋体"/>
                <w:b w:val="0"/>
                <w:bCs w:val="0"/>
                <w:sz w:val="24"/>
              </w:rPr>
              <w:t>商务部分</w:t>
            </w:r>
          </w:p>
        </w:tc>
        <w:tc>
          <w:tcPr>
            <w:tcW w:w="795"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b w:val="0"/>
                <w:bCs w:val="0"/>
                <w:sz w:val="24"/>
              </w:rPr>
            </w:pPr>
            <w:r>
              <w:rPr>
                <w:rFonts w:hint="eastAsia" w:ascii="宋体" w:hAnsi="宋体"/>
                <w:b w:val="0"/>
                <w:bCs w:val="0"/>
                <w:sz w:val="24"/>
                <w:lang w:val="en-US" w:eastAsia="zh-CN"/>
              </w:rPr>
              <w:t>10</w:t>
            </w:r>
            <w:r>
              <w:rPr>
                <w:rFonts w:hint="eastAsia" w:ascii="宋体" w:hAnsi="宋体"/>
                <w:b w:val="0"/>
                <w:bCs w:val="0"/>
                <w:sz w:val="24"/>
              </w:rPr>
              <w:t>分</w:t>
            </w:r>
          </w:p>
        </w:tc>
        <w:tc>
          <w:tcPr>
            <w:tcW w:w="1687"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b w:val="0"/>
                <w:bCs w:val="0"/>
                <w:sz w:val="24"/>
              </w:rPr>
            </w:pPr>
            <w:r>
              <w:rPr>
                <w:rFonts w:hint="eastAsia" w:ascii="宋体" w:hAnsi="宋体"/>
                <w:b w:val="0"/>
                <w:bCs w:val="0"/>
                <w:sz w:val="24"/>
              </w:rPr>
              <w:t>投标人规模/实力</w:t>
            </w:r>
            <w:r>
              <w:rPr>
                <w:rFonts w:hint="eastAsia" w:ascii="宋体" w:hAnsi="宋体"/>
                <w:b w:val="0"/>
                <w:bCs w:val="0"/>
                <w:sz w:val="24"/>
                <w:lang w:val="en-US" w:eastAsia="zh-CN"/>
              </w:rPr>
              <w:t>20</w:t>
            </w:r>
            <w:r>
              <w:rPr>
                <w:rFonts w:hint="eastAsia" w:ascii="宋体" w:hAnsi="宋体"/>
                <w:b w:val="0"/>
                <w:bCs w:val="0"/>
                <w:sz w:val="24"/>
              </w:rPr>
              <w:t xml:space="preserve">分 </w:t>
            </w:r>
          </w:p>
        </w:tc>
        <w:tc>
          <w:tcPr>
            <w:tcW w:w="408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 w:val="0"/>
                <w:bCs w:val="0"/>
                <w:sz w:val="24"/>
              </w:rPr>
            </w:pPr>
            <w:r>
              <w:rPr>
                <w:rFonts w:hint="eastAsia" w:ascii="宋体" w:hAnsi="宋体"/>
                <w:b w:val="0"/>
                <w:bCs w:val="0"/>
                <w:sz w:val="24"/>
              </w:rPr>
              <w:t>投标人企业资质、管理体系认证、规模、技术实力、市场信誉度</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val="0"/>
                <w:bCs w:val="0"/>
                <w:sz w:val="24"/>
              </w:rPr>
            </w:pPr>
            <w:r>
              <w:rPr>
                <w:rFonts w:hint="eastAsia" w:ascii="宋体" w:hAnsi="宋体"/>
                <w:b w:val="0"/>
                <w:bCs w:val="0"/>
                <w:sz w:val="24"/>
              </w:rPr>
              <w:t>0～</w:t>
            </w:r>
            <w:r>
              <w:rPr>
                <w:rFonts w:hint="eastAsia" w:ascii="宋体" w:hAnsi="宋体"/>
                <w:b w:val="0"/>
                <w:bCs w:val="0"/>
                <w:sz w:val="24"/>
                <w:lang w:val="en-US" w:eastAsia="zh-CN"/>
              </w:rPr>
              <w:t>5</w:t>
            </w:r>
            <w:r>
              <w:rPr>
                <w:rFonts w:hint="eastAsia" w:ascii="宋体" w:hAnsi="宋体"/>
                <w:b w:val="0"/>
                <w:bCs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Merge w:val="continue"/>
            <w:tcBorders>
              <w:top w:val="single" w:color="auto" w:sz="4" w:space="0"/>
              <w:left w:val="single" w:color="auto" w:sz="4" w:space="0"/>
              <w:right w:val="single" w:color="auto" w:sz="4" w:space="0"/>
            </w:tcBorders>
            <w:vAlign w:val="center"/>
          </w:tcPr>
          <w:p>
            <w:pPr>
              <w:spacing w:line="360" w:lineRule="auto"/>
              <w:jc w:val="center"/>
              <w:rPr>
                <w:rFonts w:ascii="宋体" w:hAnsi="宋体" w:cs="宋体"/>
                <w:b w:val="0"/>
                <w:bCs w:val="0"/>
                <w:sz w:val="24"/>
              </w:rPr>
            </w:pPr>
          </w:p>
        </w:tc>
        <w:tc>
          <w:tcPr>
            <w:tcW w:w="795" w:type="dxa"/>
            <w:vMerge w:val="continue"/>
            <w:tcBorders>
              <w:top w:val="single" w:color="auto" w:sz="4" w:space="0"/>
              <w:left w:val="single" w:color="auto" w:sz="4" w:space="0"/>
              <w:right w:val="single" w:color="auto" w:sz="4" w:space="0"/>
            </w:tcBorders>
            <w:vAlign w:val="center"/>
          </w:tcPr>
          <w:p>
            <w:pPr>
              <w:spacing w:line="360" w:lineRule="auto"/>
              <w:jc w:val="center"/>
              <w:rPr>
                <w:rFonts w:ascii="宋体" w:hAnsi="宋体"/>
                <w:b w:val="0"/>
                <w:bCs w:val="0"/>
                <w:sz w:val="24"/>
              </w:rPr>
            </w:pPr>
          </w:p>
        </w:tc>
        <w:tc>
          <w:tcPr>
            <w:tcW w:w="1687" w:type="dxa"/>
            <w:vMerge w:val="continue"/>
            <w:tcBorders>
              <w:left w:val="single" w:color="auto" w:sz="4" w:space="0"/>
              <w:right w:val="single" w:color="auto" w:sz="4" w:space="0"/>
            </w:tcBorders>
            <w:vAlign w:val="center"/>
          </w:tcPr>
          <w:p>
            <w:pPr>
              <w:spacing w:line="360" w:lineRule="auto"/>
              <w:jc w:val="center"/>
              <w:rPr>
                <w:rFonts w:ascii="宋体" w:hAnsi="宋体"/>
                <w:b w:val="0"/>
                <w:bCs w:val="0"/>
                <w:sz w:val="24"/>
              </w:rPr>
            </w:pPr>
          </w:p>
        </w:tc>
        <w:tc>
          <w:tcPr>
            <w:tcW w:w="408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 w:val="0"/>
                <w:bCs w:val="0"/>
                <w:sz w:val="24"/>
              </w:rPr>
            </w:pPr>
            <w:r>
              <w:rPr>
                <w:rFonts w:hint="eastAsia" w:ascii="宋体" w:hAnsi="宋体"/>
                <w:b w:val="0"/>
                <w:bCs w:val="0"/>
                <w:sz w:val="24"/>
              </w:rPr>
              <w:t>投标人具备类似工程的业绩证明</w:t>
            </w:r>
            <w:r>
              <w:rPr>
                <w:rFonts w:hint="eastAsia" w:ascii="宋体" w:hAnsi="宋体"/>
                <w:b w:val="0"/>
                <w:bCs w:val="0"/>
                <w:sz w:val="24"/>
                <w:lang w:eastAsia="zh-CN"/>
              </w:rPr>
              <w:t>，</w:t>
            </w:r>
            <w:r>
              <w:rPr>
                <w:rFonts w:hint="eastAsia" w:ascii="宋体" w:hAnsi="宋体"/>
                <w:b w:val="0"/>
                <w:bCs w:val="0"/>
                <w:sz w:val="24"/>
              </w:rPr>
              <w:t>每增加</w:t>
            </w:r>
            <w:r>
              <w:rPr>
                <w:rFonts w:hint="eastAsia" w:ascii="宋体" w:hAnsi="宋体"/>
                <w:b w:val="0"/>
                <w:bCs w:val="0"/>
                <w:sz w:val="24"/>
                <w:lang w:val="en-US" w:eastAsia="zh-CN"/>
              </w:rPr>
              <w:t>除资格要求业绩外每增加</w:t>
            </w:r>
            <w:r>
              <w:rPr>
                <w:rFonts w:hint="eastAsia" w:ascii="宋体" w:hAnsi="宋体"/>
                <w:b w:val="0"/>
                <w:bCs w:val="0"/>
                <w:sz w:val="24"/>
              </w:rPr>
              <w:t>1例加1分，最多满分）</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val="0"/>
                <w:bCs w:val="0"/>
                <w:sz w:val="24"/>
              </w:rPr>
            </w:pPr>
            <w:r>
              <w:rPr>
                <w:rFonts w:hint="eastAsia" w:ascii="宋体" w:hAnsi="宋体"/>
                <w:b w:val="0"/>
                <w:bCs w:val="0"/>
                <w:sz w:val="24"/>
              </w:rPr>
              <w:t>0～</w:t>
            </w:r>
            <w:r>
              <w:rPr>
                <w:rFonts w:hint="eastAsia" w:ascii="宋体" w:hAnsi="宋体"/>
                <w:b w:val="0"/>
                <w:bCs w:val="0"/>
                <w:sz w:val="24"/>
                <w:lang w:val="en-US" w:eastAsia="zh-CN"/>
              </w:rPr>
              <w:t>5</w:t>
            </w:r>
            <w:r>
              <w:rPr>
                <w:rFonts w:hint="eastAsia" w:ascii="宋体" w:hAnsi="宋体"/>
                <w:b w:val="0"/>
                <w:bCs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val="0"/>
                <w:bCs w:val="0"/>
                <w:sz w:val="24"/>
              </w:rPr>
            </w:pPr>
            <w:r>
              <w:rPr>
                <w:rFonts w:hint="eastAsia" w:ascii="宋体" w:hAnsi="宋体" w:cs="宋体"/>
                <w:b w:val="0"/>
                <w:bCs w:val="0"/>
                <w:sz w:val="24"/>
              </w:rPr>
              <w:t>投标报价</w:t>
            </w:r>
          </w:p>
        </w:tc>
        <w:tc>
          <w:tcPr>
            <w:tcW w:w="7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val="0"/>
                <w:bCs w:val="0"/>
                <w:sz w:val="24"/>
              </w:rPr>
            </w:pPr>
            <w:r>
              <w:rPr>
                <w:rFonts w:hint="eastAsia" w:ascii="宋体" w:hAnsi="宋体"/>
                <w:b w:val="0"/>
                <w:bCs w:val="0"/>
                <w:sz w:val="24"/>
                <w:lang w:val="en-US" w:eastAsia="zh-CN"/>
              </w:rPr>
              <w:t>60</w:t>
            </w:r>
            <w:r>
              <w:rPr>
                <w:rFonts w:hint="eastAsia" w:ascii="宋体" w:hAnsi="宋体"/>
                <w:b w:val="0"/>
                <w:bCs w:val="0"/>
                <w:sz w:val="24"/>
              </w:rPr>
              <w:t>分</w:t>
            </w:r>
          </w:p>
        </w:tc>
        <w:tc>
          <w:tcPr>
            <w:tcW w:w="6993" w:type="dxa"/>
            <w:gridSpan w:val="3"/>
            <w:tcBorders>
              <w:top w:val="single" w:color="auto" w:sz="4" w:space="0"/>
              <w:left w:val="single" w:color="auto" w:sz="4" w:space="0"/>
              <w:bottom w:val="single" w:color="auto" w:sz="4" w:space="0"/>
              <w:right w:val="single" w:color="auto" w:sz="4" w:space="0"/>
            </w:tcBorders>
            <w:vAlign w:val="center"/>
          </w:tcPr>
          <w:p>
            <w:pPr>
              <w:pStyle w:val="215"/>
              <w:numPr>
                <w:ilvl w:val="2"/>
                <w:numId w:val="0"/>
              </w:numPr>
              <w:ind w:right="210"/>
              <w:rPr>
                <w:b w:val="0"/>
                <w:bCs w:val="0"/>
                <w:highlight w:val="yellow"/>
                <w:lang w:val="en-US"/>
              </w:rPr>
            </w:pPr>
            <w:r>
              <w:rPr>
                <w:rFonts w:hint="eastAsia"/>
                <w:b w:val="0"/>
                <w:bCs w:val="0"/>
                <w:kern w:val="15"/>
              </w:rPr>
              <w:t>该项得分满分为</w:t>
            </w:r>
            <w:r>
              <w:rPr>
                <w:rFonts w:hint="eastAsia"/>
                <w:b w:val="0"/>
                <w:bCs w:val="0"/>
                <w:kern w:val="15"/>
                <w:lang w:val="en-US" w:eastAsia="zh-CN"/>
              </w:rPr>
              <w:t>6</w:t>
            </w:r>
            <w:r>
              <w:rPr>
                <w:rFonts w:hint="eastAsia"/>
                <w:b w:val="0"/>
                <w:bCs w:val="0"/>
                <w:kern w:val="15"/>
              </w:rPr>
              <w:t>0分。以</w:t>
            </w:r>
            <w:r>
              <w:rPr>
                <w:rFonts w:hint="eastAsia"/>
                <w:b w:val="0"/>
                <w:bCs w:val="0"/>
                <w:kern w:val="15"/>
                <w:lang w:eastAsia="zh-CN"/>
              </w:rPr>
              <w:t>评审小组</w:t>
            </w:r>
            <w:r>
              <w:rPr>
                <w:rFonts w:hint="eastAsia"/>
                <w:b w:val="0"/>
                <w:bCs w:val="0"/>
                <w:kern w:val="15"/>
              </w:rPr>
              <w:t>评审的各投标人评标价的</w:t>
            </w:r>
            <w:r>
              <w:rPr>
                <w:rFonts w:hint="eastAsia"/>
                <w:b w:val="0"/>
                <w:bCs w:val="0"/>
                <w:kern w:val="15"/>
                <w:lang w:val="en-US" w:eastAsia="zh-CN"/>
              </w:rPr>
              <w:t>最低有效</w:t>
            </w:r>
            <w:r>
              <w:rPr>
                <w:rFonts w:hint="eastAsia"/>
                <w:b w:val="0"/>
                <w:bCs w:val="0"/>
                <w:kern w:val="15"/>
              </w:rPr>
              <w:t>报价为基准报价，</w:t>
            </w:r>
            <w:r>
              <w:rPr>
                <w:rFonts w:hint="eastAsia"/>
                <w:b w:val="0"/>
                <w:bCs w:val="0"/>
                <w:kern w:val="15"/>
                <w:lang w:val="en-US" w:eastAsia="zh-CN"/>
              </w:rPr>
              <w:t>等于基准</w:t>
            </w:r>
            <w:r>
              <w:rPr>
                <w:rFonts w:hint="eastAsia"/>
                <w:b w:val="0"/>
                <w:bCs w:val="0"/>
                <w:kern w:val="15"/>
              </w:rPr>
              <w:t>报价得</w:t>
            </w:r>
            <w:r>
              <w:rPr>
                <w:rFonts w:hint="eastAsia"/>
                <w:b w:val="0"/>
                <w:bCs w:val="0"/>
                <w:kern w:val="15"/>
                <w:lang w:val="en-US" w:eastAsia="zh-CN"/>
              </w:rPr>
              <w:t>60</w:t>
            </w:r>
            <w:r>
              <w:rPr>
                <w:rFonts w:hint="eastAsia"/>
                <w:b w:val="0"/>
                <w:bCs w:val="0"/>
                <w:kern w:val="15"/>
              </w:rPr>
              <w:t>分，每高于基准报价1%，减0.5分，最多可减</w:t>
            </w:r>
            <w:r>
              <w:rPr>
                <w:rFonts w:hint="eastAsia"/>
                <w:b w:val="0"/>
                <w:bCs w:val="0"/>
                <w:kern w:val="15"/>
                <w:lang w:val="en-US" w:eastAsia="zh-CN"/>
              </w:rPr>
              <w:t>10</w:t>
            </w:r>
            <w:r>
              <w:rPr>
                <w:rFonts w:hint="eastAsia"/>
                <w:b w:val="0"/>
                <w:bCs w:val="0"/>
                <w:kern w:val="15"/>
              </w:rPr>
              <w:t>分；</w:t>
            </w:r>
            <w:r>
              <w:rPr>
                <w:rFonts w:hint="eastAsia" w:cs="宋体"/>
                <w:b w:val="0"/>
                <w:bCs w:val="0"/>
              </w:rPr>
              <w:t>不足1%按插入法计算，</w:t>
            </w:r>
            <w:r>
              <w:rPr>
                <w:rFonts w:hint="eastAsia"/>
                <w:b w:val="0"/>
                <w:bCs w:val="0"/>
                <w:kern w:val="15"/>
              </w:rPr>
              <w:t>小数点后保留2位。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val="0"/>
                <w:bCs w:val="0"/>
                <w:sz w:val="24"/>
              </w:rPr>
            </w:pPr>
            <w:r>
              <w:rPr>
                <w:rFonts w:hint="eastAsia" w:ascii="宋体" w:hAnsi="宋体" w:cs="宋体"/>
                <w:b w:val="0"/>
                <w:bCs w:val="0"/>
                <w:sz w:val="24"/>
              </w:rPr>
              <w:t>合计</w:t>
            </w:r>
          </w:p>
        </w:tc>
        <w:tc>
          <w:tcPr>
            <w:tcW w:w="7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val="0"/>
                <w:bCs w:val="0"/>
                <w:sz w:val="24"/>
              </w:rPr>
            </w:pPr>
            <w:r>
              <w:rPr>
                <w:rFonts w:hint="eastAsia" w:ascii="宋体" w:hAnsi="宋体"/>
                <w:b w:val="0"/>
                <w:bCs w:val="0"/>
                <w:sz w:val="24"/>
              </w:rPr>
              <w:t>100分</w:t>
            </w:r>
          </w:p>
        </w:tc>
        <w:tc>
          <w:tcPr>
            <w:tcW w:w="699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val="0"/>
                <w:bCs w:val="0"/>
                <w:sz w:val="24"/>
              </w:rPr>
            </w:pPr>
          </w:p>
        </w:tc>
      </w:tr>
    </w:tbl>
    <w:p>
      <w:pPr>
        <w:rPr>
          <w:rFonts w:hint="eastAsia"/>
          <w:lang w:val="en-US" w:eastAsia="zh-CN"/>
        </w:rPr>
      </w:pP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2"/>
        <w:rPr>
          <w:rFonts w:hint="default"/>
          <w:lang w:val="en-US" w:eastAsia="zh-CN"/>
        </w:rPr>
      </w:pPr>
      <w:r>
        <w:rPr>
          <w:rFonts w:hint="eastAsia"/>
          <w:lang w:val="en-US" w:eastAsia="zh-CN"/>
        </w:rPr>
        <w:t xml:space="preserve">             </w:t>
      </w:r>
    </w:p>
    <w:p>
      <w:pPr>
        <w:rPr>
          <w:rFonts w:hint="eastAsia" w:ascii="黑体" w:hAnsi="黑体" w:eastAsia="黑体" w:cs="黑体"/>
          <w:b w:val="0"/>
          <w:bCs w:val="0"/>
          <w:smallCaps/>
          <w:spacing w:val="14"/>
          <w:kern w:val="20"/>
          <w:highlight w:val="none"/>
          <w:lang w:eastAsia="zh-CN"/>
        </w:rPr>
      </w:pPr>
    </w:p>
    <w:p>
      <w:pPr>
        <w:pStyle w:val="2"/>
      </w:pPr>
    </w:p>
    <w:p>
      <w:pPr>
        <w:pStyle w:val="2"/>
      </w:pPr>
    </w:p>
    <w:p>
      <w:pPr>
        <w:pStyle w:val="2"/>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w:t>
      </w:r>
      <w:r>
        <w:rPr>
          <w:rFonts w:hint="eastAsia" w:ascii="黑体" w:hAnsi="黑体" w:eastAsia="黑体" w:cs="黑体"/>
          <w:b w:val="0"/>
          <w:bCs w:val="0"/>
          <w:smallCaps/>
          <w:spacing w:val="14"/>
          <w:kern w:val="20"/>
          <w:highlight w:val="none"/>
          <w:lang w:val="en-US" w:eastAsia="zh-CN"/>
        </w:rPr>
        <w:t>四</w:t>
      </w:r>
      <w:r>
        <w:rPr>
          <w:rFonts w:hint="eastAsia" w:ascii="黑体" w:hAnsi="黑体" w:eastAsia="黑体" w:cs="黑体"/>
          <w:b w:val="0"/>
          <w:bCs w:val="0"/>
          <w:smallCaps/>
          <w:spacing w:val="14"/>
          <w:kern w:val="20"/>
          <w:highlight w:val="none"/>
          <w:lang w:eastAsia="zh-CN"/>
        </w:rPr>
        <w:t>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6"/>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7"/>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19"/>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2"/>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yellow"/>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w:t>
      </w:r>
      <w:r>
        <w:rPr>
          <w:rFonts w:hint="eastAsia" w:ascii="宋体" w:hAnsi="宋体" w:cs="宋体"/>
          <w:b w:val="0"/>
          <w:bCs w:val="0"/>
          <w:sz w:val="28"/>
          <w:szCs w:val="28"/>
          <w:highlight w:val="yellow"/>
        </w:rPr>
        <w:t>服务</w:t>
      </w:r>
      <w:r>
        <w:rPr>
          <w:rFonts w:hint="eastAsia" w:ascii="宋体" w:hAnsi="宋体" w:cs="宋体"/>
          <w:b w:val="0"/>
          <w:bCs w:val="0"/>
          <w:sz w:val="28"/>
          <w:szCs w:val="28"/>
          <w:highlight w:val="yellow"/>
          <w:lang w:val="en-US" w:eastAsia="zh-CN"/>
        </w:rPr>
        <w:t>/</w:t>
      </w:r>
      <w:r>
        <w:rPr>
          <w:rFonts w:hint="eastAsia" w:ascii="宋体" w:hAnsi="宋体" w:cs="宋体"/>
          <w:b w:val="0"/>
          <w:bCs w:val="0"/>
          <w:sz w:val="28"/>
          <w:szCs w:val="28"/>
          <w:highlight w:val="yellow"/>
        </w:rPr>
        <w:t>总价（</w:t>
      </w:r>
      <w:r>
        <w:rPr>
          <w:rFonts w:hint="eastAsia" w:ascii="宋体" w:hAnsi="宋体" w:cs="宋体"/>
          <w:sz w:val="28"/>
          <w:szCs w:val="28"/>
          <w:highlight w:val="yellow"/>
        </w:rPr>
        <w:t>含税价格</w:t>
      </w:r>
      <w:r>
        <w:rPr>
          <w:rFonts w:hint="eastAsia" w:ascii="宋体" w:hAnsi="宋体" w:cs="宋体"/>
          <w:b w:val="0"/>
          <w:bCs w:val="0"/>
          <w:sz w:val="28"/>
          <w:szCs w:val="28"/>
          <w:highlight w:val="yellow"/>
        </w:rPr>
        <w:t>）为：</w:t>
      </w:r>
      <w:r>
        <w:rPr>
          <w:rFonts w:hint="eastAsia" w:ascii="宋体" w:hAnsi="宋体" w:cs="宋体"/>
          <w:b w:val="0"/>
          <w:bCs w:val="0"/>
          <w:sz w:val="28"/>
          <w:szCs w:val="28"/>
          <w:highlight w:val="yellow"/>
          <w:u w:val="single"/>
        </w:rPr>
        <w:t xml:space="preserve">        </w:t>
      </w:r>
      <w:r>
        <w:rPr>
          <w:rFonts w:hint="eastAsia" w:ascii="宋体" w:hAnsi="宋体" w:cs="宋体"/>
          <w:sz w:val="28"/>
          <w:szCs w:val="28"/>
          <w:highlight w:val="yellow"/>
        </w:rPr>
        <w:t>￥元</w:t>
      </w:r>
      <w:r>
        <w:rPr>
          <w:rFonts w:ascii="宋体" w:hAnsi="宋体" w:cs="宋体"/>
          <w:sz w:val="28"/>
          <w:szCs w:val="28"/>
          <w:highlight w:val="yellow"/>
        </w:rPr>
        <w:t>(</w:t>
      </w:r>
      <w:r>
        <w:rPr>
          <w:rFonts w:hint="eastAsia" w:ascii="宋体" w:hAnsi="宋体" w:cs="宋体"/>
          <w:sz w:val="28"/>
          <w:szCs w:val="28"/>
          <w:highlight w:val="yellow"/>
        </w:rPr>
        <w:t>大写：</w:t>
      </w:r>
      <w:r>
        <w:rPr>
          <w:rFonts w:ascii="宋体" w:hAnsi="宋体" w:cs="宋体"/>
          <w:sz w:val="28"/>
          <w:szCs w:val="28"/>
          <w:highlight w:val="yellow"/>
          <w:u w:val="single"/>
        </w:rPr>
        <w:t xml:space="preserve">                  </w:t>
      </w:r>
      <w:r>
        <w:rPr>
          <w:rFonts w:hint="eastAsia" w:ascii="宋体" w:hAnsi="宋体" w:cs="宋体"/>
          <w:sz w:val="28"/>
          <w:szCs w:val="28"/>
          <w:highlight w:val="yellow"/>
          <w:u w:val="single"/>
        </w:rPr>
        <w:t>元整，税率    %</w:t>
      </w:r>
      <w:r>
        <w:rPr>
          <w:rFonts w:ascii="宋体" w:hAnsi="宋体" w:cs="宋体"/>
          <w:sz w:val="28"/>
          <w:szCs w:val="28"/>
          <w:highlight w:val="yellow"/>
        </w:rPr>
        <w:t>)</w:t>
      </w:r>
      <w:r>
        <w:rPr>
          <w:rFonts w:hint="eastAsia" w:ascii="宋体" w:hAnsi="宋体" w:cs="宋体"/>
          <w:sz w:val="28"/>
          <w:szCs w:val="28"/>
          <w:highlight w:val="yellow"/>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19"/>
        <w:rPr>
          <w:highlight w:val="none"/>
        </w:rPr>
      </w:pPr>
    </w:p>
    <w:p>
      <w:pPr>
        <w:pStyle w:val="19"/>
        <w:rPr>
          <w:highlight w:val="none"/>
        </w:rPr>
      </w:pPr>
    </w:p>
    <w:p>
      <w:pPr>
        <w:pStyle w:val="19"/>
        <w:rPr>
          <w:highlight w:val="none"/>
        </w:rPr>
      </w:pPr>
    </w:p>
    <w:p>
      <w:pPr>
        <w:numPr>
          <w:ilvl w:val="0"/>
          <w:numId w:val="8"/>
        </w:numPr>
        <w:spacing w:line="360" w:lineRule="auto"/>
        <w:jc w:val="center"/>
        <w:rPr>
          <w:rFonts w:hint="eastAsia" w:eastAsia="宋体"/>
          <w:lang w:eastAsia="zh-CN"/>
        </w:rPr>
      </w:pPr>
      <w:r>
        <w:rPr>
          <w:rFonts w:hint="eastAsia" w:ascii="宋体" w:hAnsi="宋体" w:cs="宋体"/>
          <w:b w:val="0"/>
          <w:bCs w:val="0"/>
          <w:highlight w:val="yellow"/>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3"/>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yellow"/>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3"/>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19"/>
        <w:rPr>
          <w:highlight w:val="none"/>
        </w:rPr>
      </w:pPr>
      <w:r>
        <w:rPr>
          <w:highlight w:val="none"/>
        </w:rPr>
        <w:br w:type="page"/>
      </w:r>
    </w:p>
    <w:p>
      <w:pPr>
        <w:pStyle w:val="19"/>
        <w:rPr>
          <w:highlight w:val="none"/>
        </w:rPr>
      </w:pPr>
    </w:p>
    <w:p>
      <w:pPr>
        <w:numPr>
          <w:ilvl w:val="0"/>
          <w:numId w:val="9"/>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2"/>
        <w:rPr>
          <w:rFonts w:hint="eastAsia" w:ascii="宋体" w:hAnsi="宋体" w:cs="宋体"/>
          <w:sz w:val="32"/>
          <w:szCs w:val="32"/>
          <w:highlight w:val="none"/>
        </w:rPr>
      </w:pPr>
    </w:p>
    <w:p>
      <w:pPr>
        <w:rPr>
          <w:rFonts w:hint="eastAsia"/>
          <w:highlight w:val="none"/>
        </w:rPr>
      </w:pPr>
    </w:p>
    <w:p>
      <w:pPr>
        <w:pStyle w:val="2"/>
        <w:rPr>
          <w:rFonts w:hint="default" w:eastAsia="宋体"/>
          <w:highlight w:val="none"/>
          <w:lang w:val="en-US" w:eastAsia="zh-CN"/>
        </w:rPr>
      </w:pPr>
      <w:r>
        <w:rPr>
          <w:rFonts w:hint="eastAsia"/>
          <w:highlight w:val="none"/>
          <w:lang w:val="en-US" w:eastAsia="zh-CN"/>
        </w:rPr>
        <w:t xml:space="preserve">                      六、服务方案</w:t>
      </w:r>
    </w:p>
    <w:p>
      <w:pPr>
        <w:pStyle w:val="2"/>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1"/>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19"/>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19"/>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19"/>
        <w:spacing w:line="360" w:lineRule="auto"/>
        <w:ind w:firstLine="602"/>
        <w:jc w:val="left"/>
        <w:rPr>
          <w:rFonts w:ascii="宋体" w:hAnsi="宋体" w:cs="宋体"/>
          <w:bCs/>
          <w:sz w:val="30"/>
          <w:szCs w:val="30"/>
          <w:highlight w:val="none"/>
        </w:rPr>
      </w:pPr>
    </w:p>
    <w:p>
      <w:pPr>
        <w:pStyle w:val="19"/>
        <w:spacing w:line="360" w:lineRule="auto"/>
        <w:ind w:firstLine="602"/>
        <w:jc w:val="left"/>
        <w:rPr>
          <w:rFonts w:ascii="宋体" w:hAnsi="宋体" w:cs="宋体"/>
          <w:bCs/>
          <w:sz w:val="30"/>
          <w:szCs w:val="30"/>
          <w:highlight w:val="none"/>
        </w:rPr>
      </w:pPr>
    </w:p>
    <w:p>
      <w:pPr>
        <w:pStyle w:val="19"/>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19"/>
        <w:spacing w:line="360" w:lineRule="auto"/>
        <w:jc w:val="left"/>
        <w:rPr>
          <w:rFonts w:ascii="宋体" w:hAnsi="宋体" w:cs="宋体"/>
          <w:bCs/>
          <w:sz w:val="30"/>
          <w:szCs w:val="30"/>
          <w:highlight w:val="none"/>
        </w:rPr>
      </w:pP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19"/>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19"/>
        <w:rPr>
          <w:rFonts w:hint="eastAsia"/>
          <w:highlight w:val="none"/>
          <w:lang w:val="en-US" w:eastAsia="zh-CN"/>
        </w:rPr>
      </w:pPr>
    </w:p>
    <w:p>
      <w:pPr>
        <w:pStyle w:val="19"/>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46E56D3"/>
    <w:rsid w:val="05D52C65"/>
    <w:rsid w:val="061C36BA"/>
    <w:rsid w:val="08A8480D"/>
    <w:rsid w:val="09352049"/>
    <w:rsid w:val="0A912D3C"/>
    <w:rsid w:val="0BF508B4"/>
    <w:rsid w:val="0C215F5C"/>
    <w:rsid w:val="0C297F82"/>
    <w:rsid w:val="0C540FAF"/>
    <w:rsid w:val="0CBF3D62"/>
    <w:rsid w:val="0EB30D0D"/>
    <w:rsid w:val="0F1F36C3"/>
    <w:rsid w:val="0F604FE4"/>
    <w:rsid w:val="0F77472F"/>
    <w:rsid w:val="0FA03417"/>
    <w:rsid w:val="0FFE2944"/>
    <w:rsid w:val="10F27FB9"/>
    <w:rsid w:val="11026497"/>
    <w:rsid w:val="115D0FA0"/>
    <w:rsid w:val="119C2B16"/>
    <w:rsid w:val="130D5D28"/>
    <w:rsid w:val="13D27127"/>
    <w:rsid w:val="13D60078"/>
    <w:rsid w:val="145A4263"/>
    <w:rsid w:val="1477734B"/>
    <w:rsid w:val="14AE38DE"/>
    <w:rsid w:val="15542020"/>
    <w:rsid w:val="168606BF"/>
    <w:rsid w:val="169964AB"/>
    <w:rsid w:val="17D71BD3"/>
    <w:rsid w:val="17DB26E7"/>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21232666"/>
    <w:rsid w:val="21505AF6"/>
    <w:rsid w:val="25653DDF"/>
    <w:rsid w:val="25B924F3"/>
    <w:rsid w:val="273109BD"/>
    <w:rsid w:val="27341C73"/>
    <w:rsid w:val="27F02089"/>
    <w:rsid w:val="280E7427"/>
    <w:rsid w:val="2878694B"/>
    <w:rsid w:val="288202F1"/>
    <w:rsid w:val="28835C82"/>
    <w:rsid w:val="2885643D"/>
    <w:rsid w:val="29F1156B"/>
    <w:rsid w:val="2A9767DF"/>
    <w:rsid w:val="2AC06F9C"/>
    <w:rsid w:val="2B01007D"/>
    <w:rsid w:val="2B4B4303"/>
    <w:rsid w:val="2BB12A90"/>
    <w:rsid w:val="2BD7373B"/>
    <w:rsid w:val="2C3D26A8"/>
    <w:rsid w:val="2C6852C0"/>
    <w:rsid w:val="2D1F5A8A"/>
    <w:rsid w:val="2D59068D"/>
    <w:rsid w:val="2D5D2A09"/>
    <w:rsid w:val="2EB51C5E"/>
    <w:rsid w:val="2EEF2071"/>
    <w:rsid w:val="2FF56584"/>
    <w:rsid w:val="2FF74F52"/>
    <w:rsid w:val="30B20672"/>
    <w:rsid w:val="311E5CBB"/>
    <w:rsid w:val="313C2459"/>
    <w:rsid w:val="321260A3"/>
    <w:rsid w:val="327F64D7"/>
    <w:rsid w:val="3283369C"/>
    <w:rsid w:val="32890F14"/>
    <w:rsid w:val="32D26775"/>
    <w:rsid w:val="334C6D3F"/>
    <w:rsid w:val="33573CB3"/>
    <w:rsid w:val="33843E73"/>
    <w:rsid w:val="34126E2C"/>
    <w:rsid w:val="35731F31"/>
    <w:rsid w:val="35D84E48"/>
    <w:rsid w:val="363B2C08"/>
    <w:rsid w:val="36BA11E5"/>
    <w:rsid w:val="36D735B3"/>
    <w:rsid w:val="37CE6299"/>
    <w:rsid w:val="39101B67"/>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F682D95"/>
    <w:rsid w:val="3F6B02A7"/>
    <w:rsid w:val="3FB47B86"/>
    <w:rsid w:val="3FFE67F3"/>
    <w:rsid w:val="40072003"/>
    <w:rsid w:val="40617FCF"/>
    <w:rsid w:val="40E26CD8"/>
    <w:rsid w:val="412F1C06"/>
    <w:rsid w:val="42744B04"/>
    <w:rsid w:val="42BA317D"/>
    <w:rsid w:val="4351587E"/>
    <w:rsid w:val="44143533"/>
    <w:rsid w:val="445106B7"/>
    <w:rsid w:val="446379AC"/>
    <w:rsid w:val="44746BA8"/>
    <w:rsid w:val="44DE4F77"/>
    <w:rsid w:val="45570670"/>
    <w:rsid w:val="45AB55EF"/>
    <w:rsid w:val="464016F5"/>
    <w:rsid w:val="465F362C"/>
    <w:rsid w:val="46B83B2F"/>
    <w:rsid w:val="46CD09A6"/>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3191992"/>
    <w:rsid w:val="542B3EFB"/>
    <w:rsid w:val="546B0A00"/>
    <w:rsid w:val="549660CB"/>
    <w:rsid w:val="54EA3C55"/>
    <w:rsid w:val="55630A4E"/>
    <w:rsid w:val="557737BB"/>
    <w:rsid w:val="562C37FD"/>
    <w:rsid w:val="56366F6D"/>
    <w:rsid w:val="565C396B"/>
    <w:rsid w:val="59111EFF"/>
    <w:rsid w:val="593C1BF8"/>
    <w:rsid w:val="5A955591"/>
    <w:rsid w:val="5AA9404F"/>
    <w:rsid w:val="5B117071"/>
    <w:rsid w:val="5B260D65"/>
    <w:rsid w:val="5B407C18"/>
    <w:rsid w:val="5B620E84"/>
    <w:rsid w:val="5C411365"/>
    <w:rsid w:val="5D5B577D"/>
    <w:rsid w:val="5DD6583E"/>
    <w:rsid w:val="5DF5739A"/>
    <w:rsid w:val="5EBB05F2"/>
    <w:rsid w:val="5F170D3A"/>
    <w:rsid w:val="5F4712CA"/>
    <w:rsid w:val="5FB312DF"/>
    <w:rsid w:val="60421C7F"/>
    <w:rsid w:val="60667072"/>
    <w:rsid w:val="60870A2D"/>
    <w:rsid w:val="60893EE2"/>
    <w:rsid w:val="60EF445E"/>
    <w:rsid w:val="62D93E68"/>
    <w:rsid w:val="62FF5D54"/>
    <w:rsid w:val="63710868"/>
    <w:rsid w:val="63AC2F92"/>
    <w:rsid w:val="644D0C37"/>
    <w:rsid w:val="647D1DE9"/>
    <w:rsid w:val="64C50123"/>
    <w:rsid w:val="65244228"/>
    <w:rsid w:val="65843D37"/>
    <w:rsid w:val="65F85CC4"/>
    <w:rsid w:val="67431B96"/>
    <w:rsid w:val="67C972BA"/>
    <w:rsid w:val="68767A8D"/>
    <w:rsid w:val="68F4010F"/>
    <w:rsid w:val="692E0A4B"/>
    <w:rsid w:val="69B5367B"/>
    <w:rsid w:val="69CE664B"/>
    <w:rsid w:val="6A4D6295"/>
    <w:rsid w:val="6AA36C78"/>
    <w:rsid w:val="6ADD1BAA"/>
    <w:rsid w:val="6B4C26F3"/>
    <w:rsid w:val="6C195ECD"/>
    <w:rsid w:val="6C2D3162"/>
    <w:rsid w:val="6DEA3D34"/>
    <w:rsid w:val="6E041063"/>
    <w:rsid w:val="6F3921DE"/>
    <w:rsid w:val="6F78727E"/>
    <w:rsid w:val="6F873050"/>
    <w:rsid w:val="6FAA5C3A"/>
    <w:rsid w:val="6FD10D4C"/>
    <w:rsid w:val="7003702D"/>
    <w:rsid w:val="700A103B"/>
    <w:rsid w:val="70572E9C"/>
    <w:rsid w:val="719F5306"/>
    <w:rsid w:val="720F0EDE"/>
    <w:rsid w:val="72A92AFC"/>
    <w:rsid w:val="72AA5F3A"/>
    <w:rsid w:val="72B10F39"/>
    <w:rsid w:val="73137F9A"/>
    <w:rsid w:val="73BD08B4"/>
    <w:rsid w:val="74826C48"/>
    <w:rsid w:val="74F710CB"/>
    <w:rsid w:val="750E0A19"/>
    <w:rsid w:val="757C1CC4"/>
    <w:rsid w:val="75B51DBC"/>
    <w:rsid w:val="76ED6DFD"/>
    <w:rsid w:val="773C0385"/>
    <w:rsid w:val="78100551"/>
    <w:rsid w:val="78877AD1"/>
    <w:rsid w:val="793F533F"/>
    <w:rsid w:val="7A380A89"/>
    <w:rsid w:val="7ABE1DA4"/>
    <w:rsid w:val="7AC86BCE"/>
    <w:rsid w:val="7B2C12FD"/>
    <w:rsid w:val="7B416699"/>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locked/>
    <w:uiPriority w:val="0"/>
    <w:rPr>
      <w:rFonts w:ascii="Arial" w:hAnsi="Arial"/>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2"/>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Document Map"/>
    <w:basedOn w:val="1"/>
    <w:link w:val="69"/>
    <w:semiHidden/>
    <w:qFormat/>
    <w:uiPriority w:val="99"/>
    <w:pPr>
      <w:shd w:val="clear" w:color="auto" w:fill="000080"/>
    </w:pPr>
  </w:style>
  <w:style w:type="paragraph" w:styleId="17">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0"/>
    <w:qFormat/>
    <w:uiPriority w:val="99"/>
    <w:pPr>
      <w:spacing w:after="120"/>
    </w:pPr>
    <w:rPr>
      <w:sz w:val="16"/>
      <w:szCs w:val="16"/>
    </w:rPr>
  </w:style>
  <w:style w:type="paragraph" w:styleId="19">
    <w:name w:val="Body Text"/>
    <w:basedOn w:val="1"/>
    <w:link w:val="64"/>
    <w:qFormat/>
    <w:uiPriority w:val="99"/>
    <w:pPr>
      <w:spacing w:after="120"/>
    </w:pPr>
    <w:rPr>
      <w:b w:val="0"/>
      <w:bCs w:val="0"/>
      <w:sz w:val="21"/>
      <w:szCs w:val="21"/>
    </w:rPr>
  </w:style>
  <w:style w:type="paragraph" w:styleId="20">
    <w:name w:val="Body Text Indent"/>
    <w:basedOn w:val="1"/>
    <w:link w:val="71"/>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link w:val="72"/>
    <w:qFormat/>
    <w:uiPriority w:val="99"/>
    <w:rPr>
      <w:rFonts w:ascii="宋体" w:hAnsi="Courier New" w:cs="宋体"/>
      <w:b w:val="0"/>
      <w:bCs w:val="0"/>
      <w:sz w:val="24"/>
      <w:szCs w:val="24"/>
    </w:rPr>
  </w:style>
  <w:style w:type="paragraph" w:styleId="25">
    <w:name w:val="toc 8"/>
    <w:basedOn w:val="1"/>
    <w:next w:val="1"/>
    <w:semiHidden/>
    <w:qFormat/>
    <w:uiPriority w:val="99"/>
    <w:pPr>
      <w:ind w:left="1470" w:firstLine="200" w:firstLineChars="200"/>
      <w:jc w:val="left"/>
    </w:pPr>
    <w:rPr>
      <w:b w:val="0"/>
      <w:bCs w:val="0"/>
      <w:sz w:val="18"/>
      <w:szCs w:val="18"/>
    </w:rPr>
  </w:style>
  <w:style w:type="paragraph" w:styleId="26">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7">
    <w:name w:val="Body Text Indent 2"/>
    <w:basedOn w:val="1"/>
    <w:link w:val="74"/>
    <w:qFormat/>
    <w:uiPriority w:val="99"/>
    <w:pPr>
      <w:spacing w:after="120" w:line="480" w:lineRule="auto"/>
      <w:ind w:left="420" w:leftChars="200"/>
    </w:pPr>
  </w:style>
  <w:style w:type="paragraph" w:styleId="28">
    <w:name w:val="Balloon Text"/>
    <w:basedOn w:val="1"/>
    <w:link w:val="75"/>
    <w:semiHidden/>
    <w:qFormat/>
    <w:uiPriority w:val="99"/>
    <w:rPr>
      <w:rFonts w:ascii="Calibri" w:hAnsi="Calibri" w:cs="Calibri"/>
      <w:b w:val="0"/>
      <w:bCs w:val="0"/>
      <w:sz w:val="18"/>
      <w:szCs w:val="18"/>
    </w:rPr>
  </w:style>
  <w:style w:type="paragraph" w:styleId="29">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0">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1">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2">
    <w:name w:val="toc 4"/>
    <w:basedOn w:val="1"/>
    <w:next w:val="1"/>
    <w:semiHidden/>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semiHidden/>
    <w:qFormat/>
    <w:uiPriority w:val="99"/>
    <w:pPr>
      <w:ind w:left="1050" w:firstLine="200" w:firstLineChars="200"/>
      <w:jc w:val="left"/>
    </w:pPr>
    <w:rPr>
      <w:b w:val="0"/>
      <w:bCs w:val="0"/>
      <w:sz w:val="18"/>
      <w:szCs w:val="18"/>
    </w:rPr>
  </w:style>
  <w:style w:type="paragraph" w:styleId="35">
    <w:name w:val="Body Text Indent 3"/>
    <w:basedOn w:val="1"/>
    <w:link w:val="78"/>
    <w:qFormat/>
    <w:uiPriority w:val="99"/>
    <w:pPr>
      <w:spacing w:after="120"/>
      <w:ind w:left="420" w:leftChars="200"/>
    </w:pPr>
    <w:rPr>
      <w:sz w:val="16"/>
      <w:szCs w:val="16"/>
    </w:rPr>
  </w:style>
  <w:style w:type="paragraph" w:styleId="36">
    <w:name w:val="toc 2"/>
    <w:basedOn w:val="1"/>
    <w:next w:val="1"/>
    <w:semiHidden/>
    <w:qFormat/>
    <w:uiPriority w:val="99"/>
    <w:pPr>
      <w:ind w:left="420" w:leftChars="200"/>
    </w:pPr>
    <w:rPr>
      <w:b w:val="0"/>
      <w:bCs w:val="0"/>
      <w:sz w:val="21"/>
      <w:szCs w:val="21"/>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7"/>
    <w:next w:val="17"/>
    <w:link w:val="165"/>
    <w:semiHidden/>
    <w:qFormat/>
    <w:uiPriority w:val="99"/>
    <w:pPr>
      <w:adjustRightInd/>
      <w:spacing w:line="240" w:lineRule="auto"/>
      <w:textAlignment w:val="auto"/>
    </w:pPr>
    <w:rPr>
      <w:b/>
      <w:bCs/>
      <w:kern w:val="2"/>
      <w:sz w:val="21"/>
      <w:szCs w:val="21"/>
    </w:rPr>
  </w:style>
  <w:style w:type="paragraph" w:styleId="43">
    <w:name w:val="Body Text First Indent"/>
    <w:basedOn w:val="19"/>
    <w:link w:val="67"/>
    <w:qFormat/>
    <w:uiPriority w:val="99"/>
    <w:pPr>
      <w:ind w:firstLine="420"/>
    </w:pPr>
  </w:style>
  <w:style w:type="paragraph" w:styleId="44">
    <w:name w:val="Body Text First Indent 2"/>
    <w:basedOn w:val="20"/>
    <w:qFormat/>
    <w:locked/>
    <w:uiPriority w:val="99"/>
    <w:pPr>
      <w:tabs>
        <w:tab w:val="left" w:pos="0"/>
      </w:tabs>
      <w:overflowPunct w:val="0"/>
      <w:spacing w:line="500" w:lineRule="exact"/>
      <w:ind w:firstLine="567"/>
    </w:pPr>
    <w:rPr>
      <w:rFonts w:eastAsia="Arial Unicode MS"/>
      <w:sz w:val="28"/>
      <w:szCs w:val="28"/>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3"/>
    <w:qFormat/>
    <w:locked/>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4"/>
    <w:qFormat/>
    <w:locked/>
    <w:uiPriority w:val="99"/>
    <w:rPr>
      <w:rFonts w:eastAsia="仿宋_GB2312" w:cs="Times New Roman"/>
      <w:b/>
      <w:bCs/>
      <w:sz w:val="30"/>
      <w:szCs w:val="30"/>
      <w:lang w:val="en-US" w:eastAsia="zh-CN"/>
    </w:rPr>
  </w:style>
  <w:style w:type="character" w:customStyle="1" w:styleId="57">
    <w:name w:val="标题 3 Char"/>
    <w:basedOn w:val="48"/>
    <w:link w:val="5"/>
    <w:semiHidden/>
    <w:qFormat/>
    <w:locked/>
    <w:uiPriority w:val="99"/>
    <w:rPr>
      <w:rFonts w:cs="Times New Roman"/>
      <w:b/>
      <w:bCs/>
      <w:sz w:val="32"/>
      <w:szCs w:val="32"/>
    </w:rPr>
  </w:style>
  <w:style w:type="character" w:customStyle="1" w:styleId="58">
    <w:name w:val="标题 4 Char"/>
    <w:basedOn w:val="48"/>
    <w:link w:val="6"/>
    <w:qFormat/>
    <w:locked/>
    <w:uiPriority w:val="99"/>
    <w:rPr>
      <w:rFonts w:ascii="Arial" w:hAnsi="Arial" w:eastAsia="黑体" w:cs="Arial"/>
      <w:b/>
      <w:bCs/>
      <w:kern w:val="2"/>
      <w:sz w:val="28"/>
      <w:szCs w:val="28"/>
      <w:lang w:val="en-US" w:eastAsia="zh-CN"/>
    </w:rPr>
  </w:style>
  <w:style w:type="character" w:customStyle="1" w:styleId="59">
    <w:name w:val="标题 5 Char"/>
    <w:basedOn w:val="48"/>
    <w:link w:val="7"/>
    <w:qFormat/>
    <w:locked/>
    <w:uiPriority w:val="99"/>
    <w:rPr>
      <w:rFonts w:eastAsia="宋体" w:cs="Times New Roman"/>
      <w:b/>
      <w:bCs/>
      <w:kern w:val="2"/>
      <w:sz w:val="28"/>
      <w:szCs w:val="28"/>
      <w:lang w:val="en-US" w:eastAsia="zh-CN"/>
    </w:rPr>
  </w:style>
  <w:style w:type="character" w:customStyle="1" w:styleId="60">
    <w:name w:val="标题 6 Char"/>
    <w:basedOn w:val="48"/>
    <w:link w:val="8"/>
    <w:qFormat/>
    <w:locked/>
    <w:uiPriority w:val="99"/>
    <w:rPr>
      <w:rFonts w:ascii="Arial" w:hAnsi="Arial" w:eastAsia="黑体" w:cs="Arial"/>
      <w:b/>
      <w:bCs/>
      <w:kern w:val="2"/>
      <w:sz w:val="24"/>
      <w:szCs w:val="24"/>
      <w:lang w:val="en-US" w:eastAsia="zh-CN"/>
    </w:rPr>
  </w:style>
  <w:style w:type="character" w:customStyle="1" w:styleId="61">
    <w:name w:val="标题 7 Char"/>
    <w:basedOn w:val="48"/>
    <w:link w:val="9"/>
    <w:qFormat/>
    <w:locked/>
    <w:uiPriority w:val="99"/>
    <w:rPr>
      <w:rFonts w:eastAsia="宋体" w:cs="Times New Roman"/>
      <w:b/>
      <w:bCs/>
      <w:kern w:val="2"/>
      <w:sz w:val="24"/>
      <w:szCs w:val="24"/>
      <w:lang w:val="en-US" w:eastAsia="zh-CN"/>
    </w:rPr>
  </w:style>
  <w:style w:type="character" w:customStyle="1" w:styleId="62">
    <w:name w:val="标题 8 Char"/>
    <w:basedOn w:val="48"/>
    <w:link w:val="10"/>
    <w:qFormat/>
    <w:locked/>
    <w:uiPriority w:val="99"/>
    <w:rPr>
      <w:rFonts w:ascii="Arial" w:hAnsi="Arial" w:eastAsia="黑体" w:cs="Arial"/>
      <w:kern w:val="2"/>
      <w:sz w:val="24"/>
      <w:szCs w:val="24"/>
      <w:lang w:val="en-US" w:eastAsia="zh-CN"/>
    </w:rPr>
  </w:style>
  <w:style w:type="character" w:customStyle="1" w:styleId="63">
    <w:name w:val="标题 9 Char"/>
    <w:basedOn w:val="48"/>
    <w:link w:val="11"/>
    <w:qFormat/>
    <w:locked/>
    <w:uiPriority w:val="99"/>
    <w:rPr>
      <w:rFonts w:ascii="Arial" w:hAnsi="Arial" w:eastAsia="黑体" w:cs="Arial"/>
      <w:kern w:val="2"/>
      <w:sz w:val="21"/>
      <w:szCs w:val="21"/>
      <w:lang w:val="en-US" w:eastAsia="zh-CN"/>
    </w:rPr>
  </w:style>
  <w:style w:type="character" w:customStyle="1" w:styleId="64">
    <w:name w:val="正文文本 Char"/>
    <w:basedOn w:val="48"/>
    <w:link w:val="19"/>
    <w:qFormat/>
    <w:locked/>
    <w:uiPriority w:val="99"/>
    <w:rPr>
      <w:rFonts w:cs="Times New Roman"/>
      <w:kern w:val="2"/>
      <w:sz w:val="21"/>
      <w:szCs w:val="21"/>
    </w:rPr>
  </w:style>
  <w:style w:type="character" w:customStyle="1" w:styleId="65">
    <w:name w:val="批注文字 Char"/>
    <w:basedOn w:val="48"/>
    <w:link w:val="17"/>
    <w:qFormat/>
    <w:locked/>
    <w:uiPriority w:val="99"/>
    <w:rPr>
      <w:rFonts w:eastAsia="宋体" w:cs="Times New Roman"/>
      <w:sz w:val="24"/>
      <w:szCs w:val="24"/>
      <w:lang w:val="en-US" w:eastAsia="zh-CN"/>
    </w:rPr>
  </w:style>
  <w:style w:type="character" w:customStyle="1" w:styleId="66">
    <w:name w:val="Comment Subject Char"/>
    <w:basedOn w:val="65"/>
    <w:link w:val="42"/>
    <w:semiHidden/>
    <w:qFormat/>
    <w:locked/>
    <w:uiPriority w:val="99"/>
    <w:rPr>
      <w:b/>
      <w:bCs/>
      <w:sz w:val="30"/>
      <w:szCs w:val="30"/>
    </w:rPr>
  </w:style>
  <w:style w:type="character" w:customStyle="1" w:styleId="67">
    <w:name w:val="正文首行缩进 Char"/>
    <w:basedOn w:val="68"/>
    <w:link w:val="43"/>
    <w:qFormat/>
    <w:locked/>
    <w:uiPriority w:val="99"/>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6"/>
    <w:qFormat/>
    <w:locked/>
    <w:uiPriority w:val="99"/>
    <w:rPr>
      <w:rFonts w:eastAsia="宋体" w:cs="Times New Roman"/>
      <w:b/>
      <w:bCs/>
      <w:kern w:val="2"/>
      <w:sz w:val="30"/>
      <w:szCs w:val="30"/>
      <w:lang w:val="en-US" w:eastAsia="zh-CN"/>
    </w:rPr>
  </w:style>
  <w:style w:type="character" w:customStyle="1" w:styleId="70">
    <w:name w:val="正文文本 3 Char"/>
    <w:basedOn w:val="48"/>
    <w:link w:val="18"/>
    <w:semiHidden/>
    <w:qFormat/>
    <w:locked/>
    <w:uiPriority w:val="99"/>
    <w:rPr>
      <w:rFonts w:cs="Times New Roman"/>
      <w:b/>
      <w:bCs/>
      <w:sz w:val="16"/>
      <w:szCs w:val="16"/>
    </w:rPr>
  </w:style>
  <w:style w:type="character" w:customStyle="1" w:styleId="71">
    <w:name w:val="正文文本缩进 Char"/>
    <w:basedOn w:val="48"/>
    <w:link w:val="20"/>
    <w:semiHidden/>
    <w:qFormat/>
    <w:locked/>
    <w:uiPriority w:val="99"/>
    <w:rPr>
      <w:rFonts w:cs="Times New Roman"/>
      <w:b/>
      <w:bCs/>
      <w:sz w:val="30"/>
      <w:szCs w:val="30"/>
    </w:rPr>
  </w:style>
  <w:style w:type="character" w:customStyle="1" w:styleId="72">
    <w:name w:val="纯文本 Char"/>
    <w:basedOn w:val="48"/>
    <w:link w:val="24"/>
    <w:semiHidden/>
    <w:qFormat/>
    <w:locked/>
    <w:uiPriority w:val="99"/>
    <w:rPr>
      <w:rFonts w:ascii="宋体" w:hAnsi="Courier New" w:cs="Courier New"/>
      <w:b/>
      <w:bCs/>
      <w:sz w:val="21"/>
      <w:szCs w:val="21"/>
    </w:rPr>
  </w:style>
  <w:style w:type="character" w:customStyle="1" w:styleId="73">
    <w:name w:val="日期 Char"/>
    <w:basedOn w:val="48"/>
    <w:link w:val="26"/>
    <w:semiHidden/>
    <w:qFormat/>
    <w:locked/>
    <w:uiPriority w:val="99"/>
    <w:rPr>
      <w:rFonts w:cs="Times New Roman"/>
      <w:b/>
      <w:bCs/>
      <w:sz w:val="30"/>
      <w:szCs w:val="30"/>
    </w:rPr>
  </w:style>
  <w:style w:type="character" w:customStyle="1" w:styleId="74">
    <w:name w:val="正文文本缩进 2 Char"/>
    <w:basedOn w:val="48"/>
    <w:link w:val="27"/>
    <w:semiHidden/>
    <w:qFormat/>
    <w:locked/>
    <w:uiPriority w:val="99"/>
    <w:rPr>
      <w:rFonts w:cs="Times New Roman"/>
      <w:b/>
      <w:bCs/>
      <w:sz w:val="30"/>
      <w:szCs w:val="30"/>
    </w:rPr>
  </w:style>
  <w:style w:type="character" w:customStyle="1" w:styleId="75">
    <w:name w:val="批注框文本 Char"/>
    <w:basedOn w:val="48"/>
    <w:link w:val="28"/>
    <w:semiHidden/>
    <w:qFormat/>
    <w:locked/>
    <w:uiPriority w:val="99"/>
    <w:rPr>
      <w:rFonts w:cs="Times New Roman"/>
      <w:b/>
      <w:bCs/>
      <w:sz w:val="2"/>
    </w:rPr>
  </w:style>
  <w:style w:type="character" w:customStyle="1" w:styleId="76">
    <w:name w:val="页脚 Char"/>
    <w:basedOn w:val="48"/>
    <w:link w:val="29"/>
    <w:qFormat/>
    <w:locked/>
    <w:uiPriority w:val="99"/>
    <w:rPr>
      <w:rFonts w:ascii="仿宋_GB2312" w:eastAsia="仿宋_GB2312" w:cs="仿宋_GB2312"/>
      <w:sz w:val="18"/>
      <w:szCs w:val="18"/>
    </w:rPr>
  </w:style>
  <w:style w:type="character" w:customStyle="1" w:styleId="77">
    <w:name w:val="页眉 Char"/>
    <w:basedOn w:val="48"/>
    <w:link w:val="30"/>
    <w:qFormat/>
    <w:locked/>
    <w:uiPriority w:val="99"/>
    <w:rPr>
      <w:rFonts w:ascii="仿宋_GB2312" w:eastAsia="仿宋_GB2312" w:cs="仿宋_GB2312"/>
      <w:sz w:val="18"/>
      <w:szCs w:val="18"/>
    </w:rPr>
  </w:style>
  <w:style w:type="character" w:customStyle="1" w:styleId="78">
    <w:name w:val="正文文本缩进 3 Char"/>
    <w:basedOn w:val="48"/>
    <w:link w:val="35"/>
    <w:semiHidden/>
    <w:qFormat/>
    <w:locked/>
    <w:uiPriority w:val="99"/>
    <w:rPr>
      <w:rFonts w:cs="Times New Roman"/>
      <w:b/>
      <w:bCs/>
      <w:sz w:val="16"/>
      <w:szCs w:val="16"/>
    </w:rPr>
  </w:style>
  <w:style w:type="character" w:customStyle="1" w:styleId="79">
    <w:name w:val="正文文本 2 Char"/>
    <w:basedOn w:val="48"/>
    <w:link w:val="38"/>
    <w:semiHidden/>
    <w:qFormat/>
    <w:locked/>
    <w:uiPriority w:val="99"/>
    <w:rPr>
      <w:rFonts w:cs="Times New Roman"/>
      <w:b/>
      <w:bCs/>
      <w:sz w:val="30"/>
      <w:szCs w:val="30"/>
    </w:rPr>
  </w:style>
  <w:style w:type="character" w:customStyle="1" w:styleId="80">
    <w:name w:val="HTML 预设格式 Char"/>
    <w:basedOn w:val="48"/>
    <w:link w:val="39"/>
    <w:qFormat/>
    <w:locked/>
    <w:uiPriority w:val="99"/>
    <w:rPr>
      <w:rFonts w:ascii="宋体" w:eastAsia="宋体" w:cs="宋体"/>
      <w:sz w:val="24"/>
      <w:szCs w:val="24"/>
    </w:rPr>
  </w:style>
  <w:style w:type="character" w:customStyle="1" w:styleId="81">
    <w:name w:val="标题 Char"/>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2"/>
    <w:qFormat/>
    <w:locked/>
    <w:uiPriority w:val="99"/>
    <w:rPr>
      <w:b/>
      <w:bCs/>
      <w:kern w:val="2"/>
      <w:sz w:val="21"/>
      <w:szCs w:val="21"/>
    </w:rPr>
  </w:style>
  <w:style w:type="paragraph" w:customStyle="1" w:styleId="166">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b/>
      <w:bCs/>
      <w:kern w:val="2"/>
      <w:sz w:val="30"/>
      <w:szCs w:val="30"/>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b/>
      <w:bCs/>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5"/>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7"/>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3"/>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5"/>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 w:type="paragraph" w:customStyle="1" w:styleId="216">
    <w:name w:val="列出段落1"/>
    <w:basedOn w:val="1"/>
    <w:qFormat/>
    <w:uiPriority w:val="34"/>
    <w:pPr>
      <w:ind w:firstLine="420"/>
    </w:pPr>
    <w:rPr>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23</Pages>
  <Words>1198</Words>
  <Characters>6834</Characters>
  <Lines>56</Lines>
  <Paragraphs>16</Paragraphs>
  <TotalTime>5</TotalTime>
  <ScaleCrop>false</ScaleCrop>
  <LinksUpToDate>false</LinksUpToDate>
  <CharactersWithSpaces>8016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2016-07-22T02:55:00Z</cp:lastPrinted>
  <dcterms:modified xsi:type="dcterms:W3CDTF">2023-12-12T06:33:14Z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3FF583E36A904005B6E120D7F795C49D</vt:lpwstr>
  </property>
</Properties>
</file>