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55"/>
        <w:pageBreakBefore w:val="0"/>
        <w:widowControl w:val="0"/>
        <w:kinsoku/>
        <w:wordWrap/>
        <w:overflowPunct/>
        <w:topLinePunct w:val="0"/>
        <w:autoSpaceDE/>
        <w:autoSpaceDN/>
        <w:bidi w:val="0"/>
        <w:adjustRightInd/>
        <w:spacing w:before="0" w:beforeLines="0" w:after="0" w:afterLines="0" w:line="560" w:lineRule="exact"/>
        <w:jc w:val="left"/>
        <w:textAlignment w:val="auto"/>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项目名称：和翔工贸有限责任公司厂区道路硬化、运煤道路维护项目</w:t>
      </w:r>
    </w:p>
    <w:p>
      <w:pPr>
        <w:pStyle w:val="15"/>
        <w:pageBreakBefore w:val="0"/>
        <w:kinsoku/>
        <w:wordWrap/>
        <w:overflowPunct/>
        <w:bidi w:val="0"/>
        <w:spacing w:line="560" w:lineRule="exact"/>
        <w:ind w:left="0" w:leftChars="0" w:firstLine="0" w:firstLineChars="0"/>
        <w:rPr>
          <w:rFonts w:hint="eastAsia" w:ascii="方正仿宋简体" w:hAnsi="方正仿宋简体" w:eastAsia="方正仿宋简体" w:cs="方正仿宋简体"/>
          <w:color w:val="auto"/>
          <w:highlight w:val="none"/>
          <w:lang w:val="en-US" w:eastAsia="zh-CN"/>
        </w:rPr>
      </w:pPr>
      <w:r>
        <w:rPr>
          <w:rFonts w:hint="eastAsia" w:ascii="方正仿宋简体" w:hAnsi="方正仿宋简体" w:eastAsia="方正仿宋简体" w:cs="方正仿宋简体"/>
          <w:color w:val="auto"/>
          <w:sz w:val="28"/>
          <w:szCs w:val="28"/>
          <w:highlight w:val="none"/>
          <w:lang w:val="en-US" w:eastAsia="zh-CN"/>
        </w:rPr>
        <w:t>项目编号：XJ2024067857</w:t>
      </w:r>
      <w:bookmarkStart w:id="122" w:name="_GoBack"/>
      <w:bookmarkEnd w:id="122"/>
    </w:p>
    <w:p>
      <w:pPr>
        <w:pageBreakBefore w:val="0"/>
        <w:kinsoku/>
        <w:wordWrap/>
        <w:overflowPunct/>
        <w:bidi w:val="0"/>
        <w:adjustRightInd w:val="0"/>
        <w:snapToGrid w:val="0"/>
        <w:spacing w:line="560" w:lineRule="exact"/>
        <w:rPr>
          <w:rFonts w:hint="eastAsia" w:ascii="方正仿宋简体" w:hAnsi="方正仿宋简体" w:eastAsia="方正仿宋简体" w:cs="方正仿宋简体"/>
          <w:color w:val="auto"/>
          <w:sz w:val="28"/>
          <w:szCs w:val="28"/>
          <w:highlight w:val="none"/>
          <w:lang w:val="en-US" w:eastAsia="zh-CN"/>
        </w:rPr>
      </w:pPr>
      <w:r>
        <w:rPr>
          <w:rFonts w:hint="eastAsia" w:ascii="方正仿宋简体" w:hAnsi="方正仿宋简体" w:eastAsia="方正仿宋简体" w:cs="方正仿宋简体"/>
          <w:color w:val="auto"/>
          <w:sz w:val="28"/>
          <w:szCs w:val="28"/>
          <w:highlight w:val="none"/>
        </w:rPr>
        <w:t>招 标 人：</w:t>
      </w:r>
      <w:r>
        <w:rPr>
          <w:rFonts w:hint="eastAsia" w:ascii="方正仿宋简体" w:hAnsi="方正仿宋简体" w:eastAsia="方正仿宋简体" w:cs="方正仿宋简体"/>
          <w:color w:val="auto"/>
          <w:sz w:val="28"/>
          <w:szCs w:val="28"/>
          <w:highlight w:val="none"/>
          <w:lang w:val="en-US" w:eastAsia="zh-CN"/>
        </w:rPr>
        <w:t>哈密市和翔工贸有限责任公司</w:t>
      </w:r>
    </w:p>
    <w:p>
      <w:pPr>
        <w:pageBreakBefore w:val="0"/>
        <w:kinsoku/>
        <w:wordWrap/>
        <w:overflowPunct/>
        <w:bidi w:val="0"/>
        <w:adjustRightInd w:val="0"/>
        <w:snapToGrid w:val="0"/>
        <w:spacing w:line="560" w:lineRule="exact"/>
        <w:rPr>
          <w:rFonts w:hint="eastAsia" w:ascii="方正仿宋简体" w:hAnsi="方正仿宋简体" w:eastAsia="方正仿宋简体" w:cs="方正仿宋简体"/>
          <w:color w:val="auto"/>
          <w:sz w:val="28"/>
          <w:szCs w:val="28"/>
          <w:highlight w:val="none"/>
          <w:lang w:eastAsia="zh-CN"/>
        </w:rPr>
      </w:pPr>
      <w:r>
        <w:rPr>
          <w:rFonts w:hint="eastAsia" w:ascii="方正仿宋简体" w:hAnsi="方正仿宋简体" w:eastAsia="方正仿宋简体" w:cs="方正仿宋简体"/>
          <w:color w:val="auto"/>
          <w:sz w:val="28"/>
          <w:szCs w:val="28"/>
          <w:highlight w:val="none"/>
        </w:rPr>
        <w:t>项目代理机构：中煤华利能源控股有限公司</w:t>
      </w:r>
      <w:r>
        <w:rPr>
          <w:rFonts w:hint="eastAsia" w:ascii="方正仿宋简体" w:hAnsi="方正仿宋简体" w:eastAsia="方正仿宋简体" w:cs="方正仿宋简体"/>
          <w:color w:val="auto"/>
          <w:sz w:val="28"/>
          <w:szCs w:val="28"/>
          <w:highlight w:val="none"/>
          <w:lang w:eastAsia="zh-CN"/>
        </w:rPr>
        <w:t>采购中心</w:t>
      </w:r>
    </w:p>
    <w:p>
      <w:pPr>
        <w:pageBreakBefore w:val="0"/>
        <w:kinsoku/>
        <w:wordWrap/>
        <w:overflowPunct/>
        <w:bidi w:val="0"/>
        <w:spacing w:line="560" w:lineRule="exact"/>
        <w:ind w:firstLine="480"/>
        <w:rPr>
          <w:rFonts w:hint="eastAsia" w:ascii="宋体" w:hAnsi="宋体"/>
          <w:color w:val="auto"/>
          <w:sz w:val="32"/>
          <w:szCs w:val="32"/>
          <w:highlight w:val="none"/>
        </w:rPr>
      </w:pPr>
    </w:p>
    <w:p>
      <w:pPr>
        <w:pageBreakBefore w:val="0"/>
        <w:kinsoku/>
        <w:wordWrap/>
        <w:overflowPunct/>
        <w:bidi w:val="0"/>
        <w:snapToGrid w:val="0"/>
        <w:spacing w:line="560" w:lineRule="exact"/>
        <w:jc w:val="center"/>
        <w:rPr>
          <w:rFonts w:hint="eastAsia" w:ascii="宋体" w:hAnsi="宋体"/>
          <w:color w:val="auto"/>
          <w:sz w:val="28"/>
          <w:szCs w:val="28"/>
          <w:highlight w:val="none"/>
        </w:rPr>
      </w:pPr>
    </w:p>
    <w:p>
      <w:pPr>
        <w:pageBreakBefore w:val="0"/>
        <w:kinsoku/>
        <w:wordWrap/>
        <w:overflowPunct/>
        <w:bidi w:val="0"/>
        <w:snapToGrid w:val="0"/>
        <w:spacing w:line="560" w:lineRule="exact"/>
        <w:rPr>
          <w:rFonts w:hint="eastAsia" w:ascii="宋体" w:hAnsi="宋体"/>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720" w:lineRule="auto"/>
        <w:jc w:val="center"/>
        <w:textAlignment w:val="auto"/>
        <w:rPr>
          <w:rFonts w:hint="eastAsia" w:ascii="黑体" w:hAnsi="黑体" w:eastAsia="黑体"/>
          <w:color w:val="auto"/>
          <w:sz w:val="72"/>
          <w:szCs w:val="72"/>
          <w:highlight w:val="none"/>
        </w:rPr>
      </w:pPr>
      <w:r>
        <w:rPr>
          <w:rFonts w:hint="eastAsia" w:ascii="黑体" w:hAnsi="黑体" w:eastAsia="黑体"/>
          <w:color w:val="auto"/>
          <w:sz w:val="72"/>
          <w:szCs w:val="72"/>
          <w:highlight w:val="none"/>
        </w:rPr>
        <w:t>谈 判 文 件</w:t>
      </w:r>
    </w:p>
    <w:p>
      <w:pPr>
        <w:pageBreakBefore w:val="0"/>
        <w:kinsoku/>
        <w:wordWrap/>
        <w:overflowPunct/>
        <w:bidi w:val="0"/>
        <w:snapToGrid w:val="0"/>
        <w:spacing w:line="560" w:lineRule="exact"/>
        <w:jc w:val="center"/>
        <w:rPr>
          <w:rFonts w:hint="eastAsia" w:ascii="宋体" w:hAnsi="宋体"/>
          <w:color w:val="auto"/>
          <w:sz w:val="28"/>
          <w:szCs w:val="28"/>
          <w:highlight w:val="none"/>
        </w:rPr>
      </w:pPr>
    </w:p>
    <w:p>
      <w:pPr>
        <w:pageBreakBefore w:val="0"/>
        <w:kinsoku/>
        <w:wordWrap/>
        <w:overflowPunct/>
        <w:bidi w:val="0"/>
        <w:snapToGrid w:val="0"/>
        <w:spacing w:line="560" w:lineRule="exact"/>
        <w:jc w:val="center"/>
        <w:rPr>
          <w:rFonts w:hint="eastAsia" w:ascii="宋体" w:hAnsi="宋体"/>
          <w:color w:val="auto"/>
          <w:sz w:val="28"/>
          <w:szCs w:val="28"/>
          <w:highlight w:val="none"/>
        </w:rPr>
      </w:pPr>
    </w:p>
    <w:p>
      <w:pPr>
        <w:pageBreakBefore w:val="0"/>
        <w:kinsoku/>
        <w:wordWrap/>
        <w:overflowPunct/>
        <w:bidi w:val="0"/>
        <w:snapToGrid w:val="0"/>
        <w:spacing w:line="560" w:lineRule="exact"/>
        <w:rPr>
          <w:rFonts w:hint="eastAsia" w:ascii="宋体" w:hAnsi="宋体"/>
          <w:color w:val="auto"/>
          <w:sz w:val="28"/>
          <w:szCs w:val="28"/>
          <w:highlight w:val="none"/>
        </w:rPr>
      </w:pPr>
    </w:p>
    <w:p>
      <w:pPr>
        <w:pageBreakBefore w:val="0"/>
        <w:kinsoku/>
        <w:wordWrap/>
        <w:overflowPunct/>
        <w:bidi w:val="0"/>
        <w:snapToGrid w:val="0"/>
        <w:spacing w:line="560" w:lineRule="exact"/>
        <w:rPr>
          <w:rFonts w:hint="eastAsia" w:ascii="宋体" w:hAnsi="宋体"/>
          <w:color w:val="auto"/>
          <w:sz w:val="28"/>
          <w:szCs w:val="28"/>
          <w:highlight w:val="none"/>
        </w:rPr>
      </w:pPr>
    </w:p>
    <w:p>
      <w:pPr>
        <w:pageBreakBefore w:val="0"/>
        <w:kinsoku/>
        <w:wordWrap/>
        <w:overflowPunct/>
        <w:bidi w:val="0"/>
        <w:snapToGrid w:val="0"/>
        <w:spacing w:line="560" w:lineRule="exact"/>
        <w:rPr>
          <w:rFonts w:hint="eastAsia" w:ascii="宋体" w:hAnsi="宋体"/>
          <w:color w:val="auto"/>
          <w:sz w:val="28"/>
          <w:szCs w:val="28"/>
          <w:highlight w:val="none"/>
        </w:rPr>
      </w:pPr>
    </w:p>
    <w:p>
      <w:pPr>
        <w:pageBreakBefore w:val="0"/>
        <w:kinsoku/>
        <w:wordWrap/>
        <w:overflowPunct/>
        <w:bidi w:val="0"/>
        <w:snapToGrid w:val="0"/>
        <w:spacing w:line="560" w:lineRule="exact"/>
        <w:rPr>
          <w:rFonts w:hint="eastAsia" w:ascii="宋体" w:hAnsi="宋体"/>
          <w:color w:val="auto"/>
          <w:sz w:val="28"/>
          <w:szCs w:val="28"/>
          <w:highlight w:val="none"/>
        </w:rPr>
      </w:pPr>
    </w:p>
    <w:p>
      <w:pPr>
        <w:pageBreakBefore w:val="0"/>
        <w:kinsoku/>
        <w:wordWrap/>
        <w:overflowPunct/>
        <w:bidi w:val="0"/>
        <w:snapToGrid w:val="0"/>
        <w:spacing w:line="560" w:lineRule="exact"/>
        <w:rPr>
          <w:rFonts w:hint="eastAsia" w:ascii="宋体" w:hAnsi="宋体"/>
          <w:color w:val="auto"/>
          <w:sz w:val="28"/>
          <w:szCs w:val="28"/>
          <w:highlight w:val="none"/>
        </w:rPr>
      </w:pPr>
    </w:p>
    <w:p>
      <w:pPr>
        <w:pageBreakBefore w:val="0"/>
        <w:kinsoku/>
        <w:wordWrap/>
        <w:overflowPunct/>
        <w:bidi w:val="0"/>
        <w:spacing w:line="560" w:lineRule="exact"/>
        <w:rPr>
          <w:rFonts w:hint="eastAsia" w:ascii="宋体" w:hAnsi="宋体"/>
          <w:b/>
          <w:color w:val="auto"/>
          <w:sz w:val="32"/>
          <w:szCs w:val="32"/>
          <w:highlight w:val="none"/>
        </w:rPr>
      </w:pPr>
      <w:r>
        <w:rPr>
          <w:rFonts w:hint="eastAsia" w:ascii="宋体" w:hAnsi="宋体"/>
          <w:b/>
          <w:color w:val="auto"/>
          <w:sz w:val="32"/>
          <w:szCs w:val="32"/>
          <w:highlight w:val="none"/>
        </w:rPr>
        <w:t>投标人：</w:t>
      </w:r>
      <w:r>
        <w:rPr>
          <w:rFonts w:hint="eastAsia" w:ascii="宋体" w:hAnsi="宋体"/>
          <w:b/>
          <w:color w:val="auto"/>
          <w:sz w:val="32"/>
          <w:szCs w:val="32"/>
          <w:highlight w:val="none"/>
          <w:u w:val="single"/>
        </w:rPr>
        <w:t xml:space="preserve">                             </w:t>
      </w:r>
      <w:r>
        <w:rPr>
          <w:rFonts w:hint="eastAsia" w:ascii="宋体" w:hAnsi="宋体"/>
          <w:b/>
          <w:color w:val="auto"/>
          <w:sz w:val="32"/>
          <w:szCs w:val="32"/>
          <w:highlight w:val="none"/>
        </w:rPr>
        <w:t>（盖单位章）</w:t>
      </w:r>
    </w:p>
    <w:p>
      <w:pPr>
        <w:pageBreakBefore w:val="0"/>
        <w:kinsoku/>
        <w:wordWrap/>
        <w:overflowPunct/>
        <w:bidi w:val="0"/>
        <w:spacing w:line="560" w:lineRule="exact"/>
        <w:rPr>
          <w:rFonts w:hint="eastAsia" w:ascii="宋体" w:hAnsi="宋体"/>
          <w:b/>
          <w:color w:val="auto"/>
          <w:sz w:val="32"/>
          <w:szCs w:val="32"/>
          <w:highlight w:val="none"/>
        </w:rPr>
      </w:pPr>
      <w:r>
        <w:rPr>
          <w:rFonts w:hint="eastAsia" w:ascii="宋体" w:hAnsi="宋体"/>
          <w:b/>
          <w:color w:val="auto"/>
          <w:sz w:val="32"/>
          <w:szCs w:val="32"/>
          <w:highlight w:val="none"/>
        </w:rPr>
        <w:t>法定代表人或其委托代理人：</w:t>
      </w:r>
      <w:r>
        <w:rPr>
          <w:rFonts w:hint="eastAsia" w:ascii="宋体" w:hAnsi="宋体"/>
          <w:b/>
          <w:color w:val="auto"/>
          <w:sz w:val="32"/>
          <w:szCs w:val="32"/>
          <w:highlight w:val="none"/>
          <w:u w:val="single"/>
        </w:rPr>
        <w:t xml:space="preserve">                </w:t>
      </w:r>
      <w:r>
        <w:rPr>
          <w:rFonts w:hint="eastAsia" w:ascii="宋体" w:hAnsi="宋体"/>
          <w:b/>
          <w:color w:val="auto"/>
          <w:sz w:val="32"/>
          <w:szCs w:val="32"/>
          <w:highlight w:val="none"/>
        </w:rPr>
        <w:t>（签字）</w:t>
      </w:r>
    </w:p>
    <w:p>
      <w:pPr>
        <w:pageBreakBefore w:val="0"/>
        <w:kinsoku/>
        <w:wordWrap/>
        <w:overflowPunct/>
        <w:bidi w:val="0"/>
        <w:spacing w:line="560" w:lineRule="exact"/>
        <w:rPr>
          <w:rFonts w:hint="eastAsia" w:ascii="宋体" w:hAnsi="宋体" w:cs="Arial Unicode MS"/>
          <w:color w:val="auto"/>
          <w:sz w:val="28"/>
          <w:szCs w:val="28"/>
          <w:highlight w:val="none"/>
        </w:rPr>
      </w:pPr>
    </w:p>
    <w:p>
      <w:pPr>
        <w:pStyle w:val="48"/>
        <w:pageBreakBefore w:val="0"/>
        <w:kinsoku/>
        <w:wordWrap/>
        <w:overflowPunct/>
        <w:bidi w:val="0"/>
        <w:spacing w:line="560" w:lineRule="exact"/>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 </w:t>
      </w:r>
      <w:bookmarkStart w:id="0" w:name="CurrentDate_0_451"/>
      <w:bookmarkStart w:id="1" w:name="_Toc24344"/>
      <w:r>
        <w:rPr>
          <w:rFonts w:hint="eastAsia" w:ascii="黑体" w:hAnsi="黑体" w:eastAsia="黑体" w:cs="黑体"/>
          <w:color w:val="auto"/>
          <w:sz w:val="28"/>
          <w:szCs w:val="28"/>
          <w:highlight w:val="none"/>
        </w:rPr>
        <w:t>202</w:t>
      </w:r>
      <w:r>
        <w:rPr>
          <w:rFonts w:hint="eastAsia" w:ascii="黑体" w:hAnsi="黑体" w:eastAsia="黑体" w:cs="黑体"/>
          <w:color w:val="auto"/>
          <w:sz w:val="28"/>
          <w:szCs w:val="28"/>
          <w:highlight w:val="none"/>
          <w:lang w:val="en-US" w:eastAsia="zh-CN"/>
        </w:rPr>
        <w:t>4</w:t>
      </w:r>
      <w:r>
        <w:rPr>
          <w:rFonts w:hint="eastAsia" w:ascii="黑体" w:hAnsi="黑体" w:eastAsia="黑体" w:cs="黑体"/>
          <w:color w:val="auto"/>
          <w:sz w:val="28"/>
          <w:szCs w:val="28"/>
          <w:highlight w:val="none"/>
        </w:rPr>
        <w:t>年</w:t>
      </w:r>
      <w:r>
        <w:rPr>
          <w:rFonts w:hint="eastAsia" w:ascii="黑体" w:hAnsi="黑体" w:cs="黑体"/>
          <w:color w:val="auto"/>
          <w:sz w:val="28"/>
          <w:szCs w:val="28"/>
          <w:highlight w:val="none"/>
          <w:lang w:val="en-US" w:eastAsia="zh-CN"/>
        </w:rPr>
        <w:t>6</w:t>
      </w:r>
      <w:r>
        <w:rPr>
          <w:rFonts w:hint="eastAsia" w:ascii="黑体" w:hAnsi="黑体" w:eastAsia="黑体" w:cs="黑体"/>
          <w:color w:val="auto"/>
          <w:sz w:val="28"/>
          <w:szCs w:val="28"/>
          <w:highlight w:val="none"/>
        </w:rPr>
        <w:t>月</w:t>
      </w:r>
      <w:bookmarkEnd w:id="0"/>
      <w:bookmarkEnd w:id="1"/>
    </w:p>
    <w:p>
      <w:pPr>
        <w:pStyle w:val="4"/>
        <w:pageBreakBefore w:val="0"/>
        <w:numPr>
          <w:ilvl w:val="0"/>
          <w:numId w:val="0"/>
        </w:numPr>
        <w:kinsoku/>
        <w:wordWrap/>
        <w:overflowPunct/>
        <w:bidi w:val="0"/>
        <w:spacing w:line="560" w:lineRule="exact"/>
        <w:ind w:leftChars="0"/>
        <w:jc w:val="both"/>
        <w:rPr>
          <w:rFonts w:hint="eastAsia" w:ascii="黑体" w:hAnsi="黑体" w:eastAsia="黑体"/>
          <w:bCs/>
          <w:color w:val="auto"/>
          <w:sz w:val="24"/>
          <w:szCs w:val="24"/>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bookmarkStart w:id="2" w:name="_Toc405302844"/>
      <w:bookmarkStart w:id="3" w:name="_Toc30841"/>
      <w:bookmarkStart w:id="4" w:name="_Toc405303355"/>
    </w:p>
    <w:p>
      <w:pPr>
        <w:pageBreakBefore w:val="0"/>
        <w:kinsoku/>
        <w:wordWrap/>
        <w:overflowPunct/>
        <w:bidi w:val="0"/>
        <w:spacing w:line="560" w:lineRule="exact"/>
        <w:rPr>
          <w:rFonts w:hint="eastAsia"/>
          <w:color w:val="auto"/>
          <w:highlight w:val="none"/>
        </w:rPr>
      </w:pPr>
    </w:p>
    <w:p>
      <w:pPr>
        <w:pStyle w:val="4"/>
        <w:pageBreakBefore w:val="0"/>
        <w:numPr>
          <w:ilvl w:val="0"/>
          <w:numId w:val="0"/>
        </w:numPr>
        <w:kinsoku/>
        <w:wordWrap/>
        <w:overflowPunct/>
        <w:bidi w:val="0"/>
        <w:spacing w:line="560" w:lineRule="exact"/>
        <w:ind w:leftChars="0"/>
        <w:jc w:val="center"/>
        <w:rPr>
          <w:rFonts w:hint="eastAsia" w:ascii="宋体" w:hAnsi="宋体" w:eastAsia="宋体" w:cs="Times New Roman"/>
          <w:b/>
          <w:color w:val="auto"/>
          <w:kern w:val="2"/>
          <w:sz w:val="32"/>
          <w:szCs w:val="32"/>
          <w:highlight w:val="none"/>
          <w:lang w:val="en-US" w:eastAsia="zh-CN" w:bidi="ar-SA"/>
        </w:rPr>
      </w:pPr>
      <w:r>
        <w:rPr>
          <w:rFonts w:hint="eastAsia" w:ascii="宋体" w:hAnsi="宋体" w:eastAsia="宋体" w:cs="Times New Roman"/>
          <w:b/>
          <w:color w:val="auto"/>
          <w:kern w:val="2"/>
          <w:sz w:val="32"/>
          <w:szCs w:val="32"/>
          <w:highlight w:val="none"/>
          <w:lang w:val="en-US" w:eastAsia="zh-CN" w:bidi="ar-SA"/>
        </w:rPr>
        <w:t>第一章  谈判公告</w:t>
      </w:r>
      <w:bookmarkEnd w:id="2"/>
      <w:bookmarkEnd w:id="3"/>
      <w:bookmarkEnd w:id="4"/>
    </w:p>
    <w:p>
      <w:pPr>
        <w:pStyle w:val="25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jc w:val="both"/>
        <w:textAlignment w:val="auto"/>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中煤华利能源控股有限公司采购中心（以下简称“采购代理机构”受哈密市和翔工贸有限责任公司（以下简称“招标人”）委托，就哈密市和翔工贸有限责任公司厂区道路硬化、运煤道路维护项目进行国内公开竞争性谈判，请合格的潜在投标人参加投标。</w:t>
      </w:r>
    </w:p>
    <w:p>
      <w:pPr>
        <w:pStyle w:val="16"/>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p>
    <w:p>
      <w:pPr>
        <w:pStyle w:val="38"/>
        <w:pageBreakBefore w:val="0"/>
        <w:numPr>
          <w:ilvl w:val="0"/>
          <w:numId w:val="6"/>
        </w:numPr>
        <w:kinsoku/>
        <w:wordWrap/>
        <w:overflowPunct/>
        <w:bidi w:val="0"/>
        <w:spacing w:line="560" w:lineRule="exact"/>
        <w:ind w:left="0" w:leftChars="0" w:right="0" w:rightChars="0" w:firstLine="482" w:firstLineChars="200"/>
        <w:rPr>
          <w:rFonts w:hint="eastAsia" w:ascii="宋体" w:hAnsi="宋体" w:eastAsia="宋体" w:cs="宋体"/>
          <w:b/>
          <w:bCs w:val="0"/>
          <w:color w:val="auto"/>
          <w:sz w:val="24"/>
          <w:szCs w:val="24"/>
          <w:highlight w:val="none"/>
        </w:rPr>
      </w:pPr>
      <w:bookmarkStart w:id="5" w:name="_Toc405303153"/>
      <w:bookmarkStart w:id="6" w:name="_Toc16886"/>
      <w:r>
        <w:rPr>
          <w:rFonts w:hint="eastAsia" w:ascii="宋体" w:hAnsi="宋体" w:eastAsia="宋体" w:cs="宋体"/>
          <w:b/>
          <w:bCs w:val="0"/>
          <w:color w:val="auto"/>
          <w:sz w:val="24"/>
          <w:szCs w:val="24"/>
          <w:highlight w:val="none"/>
        </w:rPr>
        <w:t>项目概况与招标</w:t>
      </w:r>
      <w:bookmarkEnd w:id="5"/>
      <w:r>
        <w:rPr>
          <w:rFonts w:hint="eastAsia" w:ascii="宋体" w:hAnsi="宋体" w:eastAsia="宋体" w:cs="宋体"/>
          <w:b/>
          <w:bCs w:val="0"/>
          <w:color w:val="auto"/>
          <w:sz w:val="24"/>
          <w:szCs w:val="24"/>
          <w:highlight w:val="none"/>
        </w:rPr>
        <w:t>范围</w:t>
      </w:r>
      <w:bookmarkEnd w:id="6"/>
    </w:p>
    <w:p>
      <w:pPr>
        <w:pageBreakBefore w:val="0"/>
        <w:numPr>
          <w:ilvl w:val="0"/>
          <w:numId w:val="0"/>
        </w:numPr>
        <w:kinsoku/>
        <w:wordWrap/>
        <w:overflowPunct/>
        <w:bidi w:val="0"/>
        <w:spacing w:line="560" w:lineRule="exact"/>
        <w:rPr>
          <w:rFonts w:hint="eastAsia"/>
          <w:color w:val="auto"/>
        </w:rPr>
      </w:pPr>
    </w:p>
    <w:p>
      <w:pPr>
        <w:pStyle w:val="23"/>
        <w:pageBreakBefore w:val="0"/>
        <w:kinsoku/>
        <w:wordWrap/>
        <w:overflowPunct/>
        <w:bidi w:val="0"/>
        <w:spacing w:line="560" w:lineRule="exact"/>
        <w:ind w:left="0" w:leftChars="0" w:right="0" w:rightChars="0" w:firstLine="482" w:firstLineChars="200"/>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1.1项目背景：</w:t>
      </w:r>
    </w:p>
    <w:p>
      <w:pPr>
        <w:pageBreakBefore w:val="0"/>
        <w:widowControl w:val="0"/>
        <w:kinsoku/>
        <w:wordWrap/>
        <w:overflowPunct/>
        <w:topLinePunct w:val="0"/>
        <w:autoSpaceDE/>
        <w:autoSpaceDN/>
        <w:bidi w:val="0"/>
        <w:adjustRightInd/>
        <w:spacing w:before="120" w:after="120" w:line="560" w:lineRule="exact"/>
        <w:ind w:firstLine="480"/>
        <w:textAlignment w:val="auto"/>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和翔别矿水处理站设备老化，部分配套设施</w:t>
      </w:r>
      <w:r>
        <w:rPr>
          <w:rFonts w:hint="eastAsia" w:ascii="Times New Roman" w:hAnsi="Times New Roman" w:eastAsia="方正仿宋简体" w:cs="Times New Roman"/>
          <w:color w:val="auto"/>
          <w:sz w:val="30"/>
          <w:szCs w:val="30"/>
          <w:highlight w:val="none"/>
          <w:lang w:val="en-US" w:eastAsia="zh-CN"/>
        </w:rPr>
        <w:t>不满足现行标准要求</w:t>
      </w:r>
      <w:r>
        <w:rPr>
          <w:rFonts w:hint="default" w:ascii="Times New Roman" w:hAnsi="Times New Roman" w:eastAsia="方正仿宋简体" w:cs="Times New Roman"/>
          <w:color w:val="auto"/>
          <w:sz w:val="30"/>
          <w:szCs w:val="30"/>
          <w:highlight w:val="none"/>
          <w:lang w:val="en-US" w:eastAsia="zh-CN"/>
        </w:rPr>
        <w:t>，计划对矿坑水处理站处理能力50m³/h</w:t>
      </w:r>
      <w:r>
        <w:rPr>
          <w:rFonts w:hint="eastAsia" w:ascii="Times New Roman" w:hAnsi="Times New Roman" w:eastAsia="方正仿宋简体" w:cs="Times New Roman"/>
          <w:color w:val="auto"/>
          <w:sz w:val="30"/>
          <w:szCs w:val="30"/>
          <w:highlight w:val="none"/>
          <w:lang w:val="en-US" w:eastAsia="zh-CN"/>
        </w:rPr>
        <w:t>的</w:t>
      </w:r>
      <w:r>
        <w:rPr>
          <w:rFonts w:hint="default" w:ascii="Times New Roman" w:hAnsi="Times New Roman" w:eastAsia="方正仿宋简体" w:cs="Times New Roman"/>
          <w:color w:val="auto"/>
          <w:sz w:val="30"/>
          <w:szCs w:val="30"/>
          <w:highlight w:val="none"/>
          <w:lang w:val="en-US" w:eastAsia="zh-CN"/>
        </w:rPr>
        <w:t>整套设备设施进行更</w:t>
      </w:r>
      <w:r>
        <w:rPr>
          <w:rFonts w:hint="eastAsia" w:ascii="Times New Roman" w:hAnsi="Times New Roman" w:eastAsia="方正仿宋简体" w:cs="Times New Roman"/>
          <w:color w:val="auto"/>
          <w:sz w:val="30"/>
          <w:szCs w:val="30"/>
          <w:highlight w:val="none"/>
          <w:lang w:val="en-US" w:eastAsia="zh-CN"/>
        </w:rPr>
        <w:t>新</w:t>
      </w:r>
      <w:r>
        <w:rPr>
          <w:rFonts w:hint="default" w:ascii="Times New Roman" w:hAnsi="Times New Roman" w:eastAsia="方正仿宋简体" w:cs="Times New Roman"/>
          <w:color w:val="auto"/>
          <w:sz w:val="30"/>
          <w:szCs w:val="30"/>
          <w:highlight w:val="none"/>
          <w:lang w:val="en-US" w:eastAsia="zh-CN"/>
        </w:rPr>
        <w:t>及配套设施进行修缮。</w:t>
      </w:r>
    </w:p>
    <w:p>
      <w:pPr>
        <w:pStyle w:val="86"/>
        <w:pageBreakBefore w:val="0"/>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1.2项目内容：</w:t>
      </w:r>
    </w:p>
    <w:tbl>
      <w:tblPr>
        <w:tblStyle w:val="51"/>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60"/>
        <w:gridCol w:w="7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trPr>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bidi w:val="0"/>
              <w:spacing w:line="560" w:lineRule="exact"/>
              <w:ind w:left="0" w:leftChars="0" w:right="0" w:rightChars="0" w:firstLine="480" w:firstLineChars="200"/>
              <w:jc w:val="center"/>
              <w:textAlignment w:val="center"/>
              <w:rPr>
                <w:rFonts w:hint="eastAsia" w:ascii="宋体" w:hAnsi="宋体" w:eastAsia="宋体" w:cs="宋体"/>
                <w:b w:val="0"/>
                <w:bCs/>
                <w:i w:val="0"/>
                <w:color w:val="auto"/>
                <w:sz w:val="24"/>
                <w:szCs w:val="24"/>
                <w:highlight w:val="none"/>
                <w:u w:val="none"/>
              </w:rPr>
            </w:pPr>
            <w:r>
              <w:rPr>
                <w:rFonts w:hint="eastAsia" w:ascii="宋体" w:hAnsi="宋体" w:eastAsia="宋体" w:cs="宋体"/>
                <w:b w:val="0"/>
                <w:bCs/>
                <w:i w:val="0"/>
                <w:color w:val="auto"/>
                <w:kern w:val="0"/>
                <w:sz w:val="24"/>
                <w:szCs w:val="24"/>
                <w:highlight w:val="none"/>
                <w:u w:val="none"/>
                <w:lang w:val="en-US" w:eastAsia="zh-CN" w:bidi="ar"/>
              </w:rPr>
              <w:t>序号</w:t>
            </w:r>
          </w:p>
        </w:tc>
        <w:tc>
          <w:tcPr>
            <w:tcW w:w="7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bidi w:val="0"/>
              <w:spacing w:line="560" w:lineRule="exact"/>
              <w:ind w:left="0" w:leftChars="0" w:right="0" w:rightChars="0" w:firstLine="480" w:firstLineChars="200"/>
              <w:jc w:val="center"/>
              <w:textAlignment w:val="center"/>
              <w:rPr>
                <w:rFonts w:hint="eastAsia" w:ascii="宋体" w:hAnsi="宋体" w:eastAsia="宋体" w:cs="宋体"/>
                <w:b w:val="0"/>
                <w:bCs/>
                <w:i w:val="0"/>
                <w:color w:val="auto"/>
                <w:sz w:val="24"/>
                <w:szCs w:val="24"/>
                <w:highlight w:val="none"/>
                <w:u w:val="none"/>
              </w:rPr>
            </w:pPr>
            <w:r>
              <w:rPr>
                <w:rFonts w:hint="eastAsia" w:ascii="宋体" w:hAnsi="宋体" w:eastAsia="宋体" w:cs="宋体"/>
                <w:b w:val="0"/>
                <w:bCs/>
                <w:i w:val="0"/>
                <w:color w:val="auto"/>
                <w:kern w:val="0"/>
                <w:sz w:val="24"/>
                <w:szCs w:val="24"/>
                <w:highlight w:val="none"/>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trPr>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bidi w:val="0"/>
              <w:spacing w:line="560" w:lineRule="exact"/>
              <w:ind w:left="0" w:leftChars="0" w:right="0" w:rightChars="0" w:firstLine="480" w:firstLineChars="200"/>
              <w:jc w:val="center"/>
              <w:textAlignment w:val="center"/>
              <w:rPr>
                <w:rFonts w:hint="eastAsia" w:ascii="宋体" w:hAnsi="宋体" w:eastAsia="宋体" w:cs="宋体"/>
                <w:b w:val="0"/>
                <w:bCs/>
                <w:i w:val="0"/>
                <w:color w:val="auto"/>
                <w:sz w:val="24"/>
                <w:szCs w:val="24"/>
                <w:highlight w:val="none"/>
                <w:u w:val="none"/>
              </w:rPr>
            </w:pPr>
            <w:r>
              <w:rPr>
                <w:rFonts w:hint="eastAsia" w:ascii="宋体" w:hAnsi="宋体" w:eastAsia="宋体" w:cs="宋体"/>
                <w:b w:val="0"/>
                <w:bCs/>
                <w:i w:val="0"/>
                <w:color w:val="auto"/>
                <w:kern w:val="0"/>
                <w:sz w:val="24"/>
                <w:szCs w:val="24"/>
                <w:highlight w:val="none"/>
                <w:u w:val="none"/>
                <w:lang w:val="en-US" w:eastAsia="zh-CN" w:bidi="ar"/>
              </w:rPr>
              <w:t>1</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bidi w:val="0"/>
              <w:spacing w:line="560" w:lineRule="exact"/>
              <w:ind w:right="0" w:rightChars="0"/>
              <w:jc w:val="center"/>
              <w:textAlignment w:val="center"/>
              <w:rPr>
                <w:rFonts w:hint="default" w:ascii="宋体" w:hAnsi="宋体" w:eastAsia="宋体" w:cs="宋体"/>
                <w:b w:val="0"/>
                <w:bCs/>
                <w:i w:val="0"/>
                <w:color w:val="auto"/>
                <w:sz w:val="24"/>
                <w:szCs w:val="24"/>
                <w:highlight w:val="none"/>
                <w:u w:val="none"/>
                <w:lang w:val="en-US"/>
              </w:rPr>
            </w:pPr>
            <w:r>
              <w:rPr>
                <w:rFonts w:hint="eastAsia" w:ascii="方正仿宋简体" w:hAnsi="方正仿宋简体" w:eastAsia="方正仿宋简体" w:cs="方正仿宋简体"/>
                <w:b w:val="0"/>
                <w:szCs w:val="30"/>
                <w:highlight w:val="none"/>
              </w:rPr>
              <w:t>和翔吉矿厂区内运煤道路硬化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trPr>
        <w:tc>
          <w:tcPr>
            <w:tcW w:w="1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bidi w:val="0"/>
              <w:spacing w:line="560" w:lineRule="exact"/>
              <w:ind w:left="0" w:leftChars="0" w:right="0" w:rightChars="0" w:firstLine="480" w:firstLineChars="200"/>
              <w:jc w:val="center"/>
              <w:textAlignment w:val="center"/>
              <w:rPr>
                <w:rFonts w:hint="default" w:ascii="宋体" w:hAnsi="宋体" w:eastAsia="宋体" w:cs="宋体"/>
                <w:b w:val="0"/>
                <w:bCs/>
                <w:i w:val="0"/>
                <w:color w:val="auto"/>
                <w:kern w:val="0"/>
                <w:sz w:val="24"/>
                <w:szCs w:val="24"/>
                <w:highlight w:val="none"/>
                <w:u w:val="none"/>
                <w:lang w:val="en-US" w:eastAsia="zh-CN" w:bidi="ar"/>
              </w:rPr>
            </w:pPr>
            <w:r>
              <w:rPr>
                <w:rFonts w:hint="eastAsia" w:ascii="宋体" w:hAnsi="宋体" w:cs="宋体"/>
                <w:b w:val="0"/>
                <w:bCs/>
                <w:i w:val="0"/>
                <w:color w:val="auto"/>
                <w:kern w:val="0"/>
                <w:sz w:val="24"/>
                <w:szCs w:val="24"/>
                <w:highlight w:val="none"/>
                <w:u w:val="none"/>
                <w:lang w:val="en-US" w:eastAsia="zh-CN" w:bidi="ar"/>
              </w:rPr>
              <w:t>2</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bidi w:val="0"/>
              <w:spacing w:line="560" w:lineRule="exact"/>
              <w:ind w:right="0" w:rightChars="0"/>
              <w:jc w:val="center"/>
              <w:textAlignment w:val="center"/>
              <w:rPr>
                <w:rFonts w:hint="default" w:ascii="宋体" w:hAnsi="宋体" w:eastAsia="宋体" w:cs="宋体"/>
                <w:b w:val="0"/>
                <w:bCs/>
                <w:i w:val="0"/>
                <w:color w:val="auto"/>
                <w:sz w:val="24"/>
                <w:szCs w:val="24"/>
                <w:highlight w:val="none"/>
                <w:u w:val="none"/>
                <w:lang w:val="en-US"/>
              </w:rPr>
            </w:pPr>
            <w:r>
              <w:rPr>
                <w:rFonts w:hint="eastAsia" w:ascii="方正仿宋简体" w:hAnsi="方正仿宋简体" w:eastAsia="方正仿宋简体" w:cs="方正仿宋简体"/>
                <w:b w:val="0"/>
                <w:szCs w:val="30"/>
                <w:highlight w:val="none"/>
              </w:rPr>
              <w:t>和翔别矿矿区道路维护</w:t>
            </w:r>
          </w:p>
        </w:tc>
      </w:tr>
    </w:tbl>
    <w:p>
      <w:pPr>
        <w:pStyle w:val="86"/>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lang w:val="en-US" w:eastAsia="zh-CN"/>
        </w:rPr>
      </w:pPr>
    </w:p>
    <w:p>
      <w:pPr>
        <w:pStyle w:val="86"/>
        <w:pageBreakBefore w:val="0"/>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1.3施工要求：详见技术要求。</w:t>
      </w:r>
    </w:p>
    <w:p>
      <w:pPr>
        <w:pStyle w:val="86"/>
        <w:pageBreakBefore w:val="0"/>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1.4资金来源：企业自筹。</w:t>
      </w:r>
    </w:p>
    <w:p>
      <w:pPr>
        <w:pStyle w:val="86"/>
        <w:pageBreakBefore w:val="0"/>
        <w:kinsoku/>
        <w:wordWrap/>
        <w:overflowPunct/>
        <w:bidi w:val="0"/>
        <w:spacing w:line="560" w:lineRule="exact"/>
        <w:ind w:left="0" w:leftChars="0" w:right="0" w:rightChars="0" w:firstLine="560" w:firstLineChars="200"/>
        <w:rPr>
          <w:rFonts w:hint="default"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1.5建设工期：</w:t>
      </w:r>
      <w:r>
        <w:rPr>
          <w:rFonts w:hint="eastAsia" w:eastAsia="方正仿宋简体" w:cs="Times New Roman"/>
          <w:color w:val="auto"/>
          <w:kern w:val="2"/>
          <w:sz w:val="30"/>
          <w:szCs w:val="30"/>
          <w:highlight w:val="none"/>
          <w:lang w:val="en-US" w:eastAsia="zh-CN" w:bidi="ar-SA"/>
        </w:rPr>
        <w:t>详见技术要求</w:t>
      </w:r>
    </w:p>
    <w:p>
      <w:pPr>
        <w:pStyle w:val="86"/>
        <w:pageBreakBefore w:val="0"/>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1.6建设地点：哈密市和翔有限责任公司。</w:t>
      </w:r>
    </w:p>
    <w:p>
      <w:pPr>
        <w:pStyle w:val="86"/>
        <w:pageBreakBefore w:val="0"/>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1.7质保期：质保期为1年（自工程竣工验收合格之日起）。</w:t>
      </w:r>
    </w:p>
    <w:p>
      <w:pPr>
        <w:pStyle w:val="86"/>
        <w:pageBreakBefore w:val="0"/>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1.8付款方式：承包人完成发包人招标项目，验收合格后，提供100%的增值税专用发票（税率9%）后，发包人向承包人支付合同价款的90%；预留10%质保金，质保期内无质量问题支付质保金，合同款支付方式可以采用现汇或承兑。</w:t>
      </w:r>
    </w:p>
    <w:p>
      <w:pPr>
        <w:pStyle w:val="38"/>
        <w:pageBreakBefore w:val="0"/>
        <w:numPr>
          <w:ilvl w:val="0"/>
          <w:numId w:val="0"/>
        </w:numPr>
        <w:kinsoku/>
        <w:wordWrap/>
        <w:overflowPunct/>
        <w:bidi w:val="0"/>
        <w:spacing w:line="560" w:lineRule="exact"/>
        <w:ind w:left="0" w:leftChars="0" w:right="0" w:rightChars="0" w:firstLine="562" w:firstLineChars="200"/>
        <w:rPr>
          <w:rFonts w:hint="eastAsia" w:ascii="方正仿宋简体" w:hAnsi="方正仿宋简体" w:eastAsia="方正仿宋简体" w:cs="方正仿宋简体"/>
          <w:color w:val="auto"/>
          <w:kern w:val="2"/>
          <w:sz w:val="28"/>
          <w:szCs w:val="28"/>
          <w:highlight w:val="none"/>
          <w:lang w:val="en-US" w:eastAsia="zh-CN" w:bidi="ar-SA"/>
        </w:rPr>
      </w:pPr>
      <w:bookmarkStart w:id="7" w:name="_Toc16205"/>
      <w:bookmarkStart w:id="8" w:name="_Toc405303154"/>
      <w:r>
        <w:rPr>
          <w:rFonts w:hint="eastAsia" w:ascii="方正仿宋简体" w:hAnsi="方正仿宋简体" w:eastAsia="方正仿宋简体" w:cs="方正仿宋简体"/>
          <w:color w:val="auto"/>
          <w:kern w:val="2"/>
          <w:sz w:val="28"/>
          <w:szCs w:val="28"/>
          <w:highlight w:val="none"/>
          <w:lang w:val="en-US" w:eastAsia="zh-CN" w:bidi="ar-SA"/>
        </w:rPr>
        <w:t>2.投标人的资格要求</w:t>
      </w:r>
      <w:bookmarkEnd w:id="7"/>
      <w:bookmarkEnd w:id="8"/>
    </w:p>
    <w:p>
      <w:pPr>
        <w:pStyle w:val="256"/>
        <w:pageBreakBefore w:val="0"/>
        <w:numPr>
          <w:ilvl w:val="0"/>
          <w:numId w:val="0"/>
        </w:numPr>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bookmarkStart w:id="9" w:name="_Toc405303155"/>
      <w:bookmarkStart w:id="10" w:name="_Toc17103"/>
      <w:r>
        <w:rPr>
          <w:rFonts w:hint="eastAsia" w:ascii="方正仿宋简体" w:hAnsi="方正仿宋简体" w:eastAsia="方正仿宋简体" w:cs="方正仿宋简体"/>
          <w:color w:val="auto"/>
          <w:kern w:val="2"/>
          <w:sz w:val="28"/>
          <w:szCs w:val="28"/>
          <w:highlight w:val="none"/>
          <w:lang w:val="en-US" w:eastAsia="zh-CN" w:bidi="ar-SA"/>
        </w:rPr>
        <w:t>2.1在中国境内注册、具有独立企业法人资格。</w:t>
      </w:r>
    </w:p>
    <w:p>
      <w:pPr>
        <w:pStyle w:val="256"/>
        <w:pageBreakBefore w:val="0"/>
        <w:numPr>
          <w:ilvl w:val="0"/>
          <w:numId w:val="0"/>
        </w:numPr>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2.2</w:t>
      </w:r>
      <w:r>
        <w:rPr>
          <w:rFonts w:hint="default" w:ascii="方正仿宋简体" w:hAnsi="方正仿宋简体" w:eastAsia="方正仿宋简体" w:cs="方正仿宋简体"/>
          <w:color w:val="auto"/>
          <w:kern w:val="2"/>
          <w:sz w:val="28"/>
          <w:szCs w:val="28"/>
          <w:highlight w:val="none"/>
          <w:lang w:val="en-US" w:eastAsia="zh-CN" w:bidi="ar-SA"/>
        </w:rPr>
        <w:t>具备建筑工程施工总承包叁级或以上资质，有效的安全生产许可证；</w:t>
      </w:r>
    </w:p>
    <w:p>
      <w:pPr>
        <w:pStyle w:val="256"/>
        <w:pageBreakBefore w:val="0"/>
        <w:numPr>
          <w:ilvl w:val="0"/>
          <w:numId w:val="0"/>
        </w:numPr>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2.3报价单位</w:t>
      </w:r>
      <w:r>
        <w:rPr>
          <w:rFonts w:hint="default" w:ascii="方正仿宋简体" w:hAnsi="方正仿宋简体" w:eastAsia="方正仿宋简体" w:cs="方正仿宋简体"/>
          <w:color w:val="auto"/>
          <w:kern w:val="2"/>
          <w:sz w:val="28"/>
          <w:szCs w:val="28"/>
          <w:highlight w:val="none"/>
          <w:lang w:val="en-US" w:eastAsia="zh-CN" w:bidi="ar-SA"/>
        </w:rPr>
        <w:t>近三年具有不少于</w:t>
      </w:r>
      <w:r>
        <w:rPr>
          <w:rFonts w:hint="eastAsia" w:ascii="方正仿宋简体" w:hAnsi="方正仿宋简体" w:eastAsia="方正仿宋简体" w:cs="方正仿宋简体"/>
          <w:color w:val="auto"/>
          <w:kern w:val="2"/>
          <w:sz w:val="28"/>
          <w:szCs w:val="28"/>
          <w:highlight w:val="none"/>
          <w:lang w:val="en-US" w:eastAsia="zh-CN" w:bidi="ar-SA"/>
        </w:rPr>
        <w:t>1</w:t>
      </w:r>
      <w:r>
        <w:rPr>
          <w:rFonts w:hint="default" w:ascii="方正仿宋简体" w:hAnsi="方正仿宋简体" w:eastAsia="方正仿宋简体" w:cs="方正仿宋简体"/>
          <w:color w:val="auto"/>
          <w:kern w:val="2"/>
          <w:sz w:val="28"/>
          <w:szCs w:val="28"/>
          <w:highlight w:val="none"/>
          <w:lang w:val="en-US" w:eastAsia="zh-CN" w:bidi="ar-SA"/>
        </w:rPr>
        <w:t>个同类型的项目业绩（提供合同证明）；</w:t>
      </w:r>
    </w:p>
    <w:p>
      <w:pPr>
        <w:pageBreakBefore w:val="0"/>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2.4投标人应具有良好的商业信誉，未被信用中国网站（www.creditchina.gov.cn）列入失信被执行人、重大税收违法案件等黑名单，没有处于被责令停产、财产被冻结、接管、破产状态，且财务状况良好；在最近三年内没有骗取中标和严重违约及重大工程质量、安全事故，提供近三年的审计公司编制的审计报告（含有资产负债表、利润表）；</w:t>
      </w:r>
    </w:p>
    <w:p>
      <w:pPr>
        <w:pageBreakBefore w:val="0"/>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2.5无违法、违规的不良记录，未列入中煤集团黑名单名录（中煤集团供应商黑名单、禁止合作目录）；</w:t>
      </w:r>
    </w:p>
    <w:p>
      <w:pPr>
        <w:pageBreakBefore w:val="0"/>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2.6本项目不接受联合体投标。</w:t>
      </w:r>
    </w:p>
    <w:p>
      <w:pPr>
        <w:pStyle w:val="38"/>
        <w:pageBreakBefore w:val="0"/>
        <w:numPr>
          <w:ilvl w:val="0"/>
          <w:numId w:val="0"/>
        </w:numPr>
        <w:kinsoku/>
        <w:wordWrap/>
        <w:overflowPunct/>
        <w:bidi w:val="0"/>
        <w:spacing w:line="560" w:lineRule="exact"/>
        <w:ind w:left="0" w:leftChars="0" w:right="0" w:rightChars="0" w:firstLine="562"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3.投标报名</w:t>
      </w:r>
      <w:bookmarkEnd w:id="9"/>
      <w:bookmarkEnd w:id="10"/>
      <w:r>
        <w:rPr>
          <w:rFonts w:hint="eastAsia" w:ascii="方正仿宋简体" w:hAnsi="方正仿宋简体" w:eastAsia="方正仿宋简体" w:cs="方正仿宋简体"/>
          <w:color w:val="auto"/>
          <w:kern w:val="2"/>
          <w:sz w:val="28"/>
          <w:szCs w:val="28"/>
          <w:highlight w:val="none"/>
          <w:lang w:val="en-US" w:eastAsia="zh-CN" w:bidi="ar-SA"/>
        </w:rPr>
        <w:t xml:space="preserve"> </w:t>
      </w:r>
    </w:p>
    <w:p>
      <w:pPr>
        <w:pageBreakBefore w:val="0"/>
        <w:numPr>
          <w:ilvl w:val="0"/>
          <w:numId w:val="0"/>
        </w:numPr>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 xml:space="preserve">3.1在“中煤易购”上报名。 </w:t>
      </w:r>
    </w:p>
    <w:p>
      <w:pPr>
        <w:pStyle w:val="86"/>
        <w:pageBreakBefore w:val="0"/>
        <w:numPr>
          <w:ilvl w:val="0"/>
          <w:numId w:val="0"/>
        </w:numPr>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3.2投标人根据页面提示上传报名资料，并提交项目联系人等信息；</w:t>
      </w:r>
    </w:p>
    <w:p>
      <w:pPr>
        <w:pageBreakBefore w:val="0"/>
        <w:numPr>
          <w:ilvl w:val="0"/>
          <w:numId w:val="0"/>
        </w:numPr>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 xml:space="preserve">3.3报名时间：2024年6月28日-7月2日10:00       </w:t>
      </w:r>
    </w:p>
    <w:p>
      <w:pPr>
        <w:pStyle w:val="38"/>
        <w:pageBreakBefore w:val="0"/>
        <w:numPr>
          <w:ilvl w:val="0"/>
          <w:numId w:val="0"/>
        </w:numPr>
        <w:kinsoku/>
        <w:wordWrap/>
        <w:overflowPunct/>
        <w:bidi w:val="0"/>
        <w:spacing w:line="560" w:lineRule="exact"/>
        <w:ind w:left="0" w:leftChars="0" w:right="0" w:rightChars="0" w:firstLine="562" w:firstLineChars="200"/>
        <w:rPr>
          <w:rFonts w:hint="eastAsia" w:ascii="方正仿宋简体" w:hAnsi="方正仿宋简体" w:eastAsia="方正仿宋简体" w:cs="方正仿宋简体"/>
          <w:color w:val="auto"/>
          <w:kern w:val="2"/>
          <w:sz w:val="28"/>
          <w:szCs w:val="28"/>
          <w:highlight w:val="none"/>
          <w:lang w:val="en-US" w:eastAsia="zh-CN" w:bidi="ar-SA"/>
        </w:rPr>
      </w:pPr>
      <w:bookmarkStart w:id="11" w:name="_Toc27363"/>
      <w:bookmarkStart w:id="12" w:name="_Toc405303156"/>
      <w:r>
        <w:rPr>
          <w:rFonts w:hint="eastAsia" w:ascii="方正仿宋简体" w:hAnsi="方正仿宋简体" w:eastAsia="方正仿宋简体" w:cs="方正仿宋简体"/>
          <w:color w:val="auto"/>
          <w:kern w:val="2"/>
          <w:sz w:val="28"/>
          <w:szCs w:val="28"/>
          <w:highlight w:val="none"/>
          <w:lang w:val="en-US" w:eastAsia="zh-CN" w:bidi="ar-SA"/>
        </w:rPr>
        <w:t>4.谈判文件递交</w:t>
      </w:r>
      <w:bookmarkEnd w:id="11"/>
      <w:bookmarkEnd w:id="12"/>
    </w:p>
    <w:p>
      <w:pPr>
        <w:pageBreakBefore w:val="0"/>
        <w:kinsoku/>
        <w:wordWrap/>
        <w:overflowPunct/>
        <w:bidi w:val="0"/>
        <w:spacing w:line="560" w:lineRule="exact"/>
        <w:ind w:left="0" w:leftChars="0" w:right="0" w:rightChars="0" w:firstLine="560" w:firstLineChars="200"/>
        <w:jc w:val="left"/>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谈判文件应于2024年7月3日10:00之前递交上传到中煤易购系统，未按时递交的谈判文件将被拒绝。</w:t>
      </w:r>
    </w:p>
    <w:p>
      <w:pPr>
        <w:pStyle w:val="21"/>
        <w:pageBreakBefore w:val="0"/>
        <w:kinsoku/>
        <w:wordWrap/>
        <w:overflowPunct/>
        <w:bidi w:val="0"/>
        <w:spacing w:line="560" w:lineRule="exact"/>
        <w:rPr>
          <w:rFonts w:hint="default"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 xml:space="preserve">    所上传投标文件应为PDF电子版且封面加盖公章。</w:t>
      </w:r>
    </w:p>
    <w:p>
      <w:pPr>
        <w:pStyle w:val="38"/>
        <w:pageBreakBefore w:val="0"/>
        <w:numPr>
          <w:ilvl w:val="0"/>
          <w:numId w:val="0"/>
        </w:numPr>
        <w:kinsoku/>
        <w:wordWrap/>
        <w:overflowPunct/>
        <w:bidi w:val="0"/>
        <w:spacing w:line="560" w:lineRule="exact"/>
        <w:ind w:left="0" w:leftChars="0" w:right="0" w:rightChars="0" w:firstLine="562" w:firstLineChars="200"/>
        <w:rPr>
          <w:rFonts w:hint="eastAsia" w:ascii="方正仿宋简体" w:hAnsi="方正仿宋简体" w:eastAsia="方正仿宋简体" w:cs="方正仿宋简体"/>
          <w:color w:val="auto"/>
          <w:kern w:val="2"/>
          <w:sz w:val="28"/>
          <w:szCs w:val="28"/>
          <w:highlight w:val="none"/>
          <w:lang w:val="en-US" w:eastAsia="zh-CN" w:bidi="ar-SA"/>
        </w:rPr>
      </w:pPr>
      <w:bookmarkStart w:id="13" w:name="_Toc11083"/>
      <w:r>
        <w:rPr>
          <w:rFonts w:hint="eastAsia" w:ascii="方正仿宋简体" w:hAnsi="方正仿宋简体" w:eastAsia="方正仿宋简体" w:cs="方正仿宋简体"/>
          <w:color w:val="auto"/>
          <w:kern w:val="2"/>
          <w:sz w:val="28"/>
          <w:szCs w:val="28"/>
          <w:highlight w:val="none"/>
          <w:lang w:val="en-US" w:eastAsia="zh-CN" w:bidi="ar-SA"/>
        </w:rPr>
        <w:t>5.开标</w:t>
      </w:r>
      <w:bookmarkEnd w:id="13"/>
    </w:p>
    <w:p>
      <w:pPr>
        <w:pageBreakBefore w:val="0"/>
        <w:kinsoku/>
        <w:wordWrap/>
        <w:overflowPunct/>
        <w:bidi w:val="0"/>
        <w:spacing w:line="560" w:lineRule="exact"/>
        <w:ind w:left="0" w:leftChars="0" w:right="0" w:rightChars="0" w:firstLine="560" w:firstLineChars="200"/>
        <w:jc w:val="left"/>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定于2024年7月3日11:00 在线上开启竞谈，届时投标人应派代表以腾讯会议线上方式参与竞谈。</w:t>
      </w:r>
    </w:p>
    <w:p>
      <w:pPr>
        <w:pStyle w:val="38"/>
        <w:pageBreakBefore w:val="0"/>
        <w:numPr>
          <w:ilvl w:val="0"/>
          <w:numId w:val="0"/>
        </w:numPr>
        <w:kinsoku/>
        <w:wordWrap/>
        <w:overflowPunct/>
        <w:bidi w:val="0"/>
        <w:spacing w:line="560" w:lineRule="exact"/>
        <w:ind w:left="0" w:leftChars="0" w:right="0" w:rightChars="0" w:firstLine="562" w:firstLineChars="200"/>
        <w:rPr>
          <w:rFonts w:hint="eastAsia" w:ascii="方正仿宋简体" w:hAnsi="方正仿宋简体" w:eastAsia="方正仿宋简体" w:cs="方正仿宋简体"/>
          <w:color w:val="auto"/>
          <w:kern w:val="2"/>
          <w:sz w:val="28"/>
          <w:szCs w:val="28"/>
          <w:highlight w:val="none"/>
          <w:lang w:val="en-US" w:eastAsia="zh-CN" w:bidi="ar-SA"/>
        </w:rPr>
      </w:pPr>
      <w:bookmarkStart w:id="14" w:name="_Toc405303157"/>
      <w:bookmarkStart w:id="15" w:name="_Toc3800"/>
      <w:r>
        <w:rPr>
          <w:rFonts w:hint="eastAsia" w:ascii="方正仿宋简体" w:hAnsi="方正仿宋简体" w:eastAsia="方正仿宋简体" w:cs="方正仿宋简体"/>
          <w:color w:val="auto"/>
          <w:kern w:val="2"/>
          <w:sz w:val="28"/>
          <w:szCs w:val="28"/>
          <w:highlight w:val="none"/>
          <w:lang w:val="en-US" w:eastAsia="zh-CN" w:bidi="ar-SA"/>
        </w:rPr>
        <w:t>6.发布公告的媒介</w:t>
      </w:r>
      <w:bookmarkEnd w:id="14"/>
      <w:bookmarkEnd w:id="15"/>
    </w:p>
    <w:p>
      <w:pPr>
        <w:pageBreakBefore w:val="0"/>
        <w:kinsoku/>
        <w:wordWrap/>
        <w:overflowPunct/>
        <w:bidi w:val="0"/>
        <w:spacing w:line="560" w:lineRule="exact"/>
        <w:ind w:left="0" w:leftChars="0" w:right="0" w:rightChars="0" w:firstLine="560" w:firstLineChars="200"/>
        <w:jc w:val="left"/>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本招标公告在中煤易购网发布。</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方正仿宋简体" w:hAnsi="方正仿宋简体" w:eastAsia="方正仿宋简体" w:cs="方正仿宋简体"/>
          <w:color w:val="auto"/>
          <w:kern w:val="2"/>
          <w:sz w:val="28"/>
          <w:szCs w:val="28"/>
          <w:highlight w:val="none"/>
          <w:lang w:val="en-US" w:eastAsia="zh-CN" w:bidi="ar-SA"/>
        </w:rPr>
      </w:pPr>
      <w:bookmarkStart w:id="16" w:name="_Toc405303158"/>
      <w:bookmarkStart w:id="17" w:name="_Toc18899"/>
      <w:r>
        <w:rPr>
          <w:rFonts w:hint="eastAsia" w:ascii="方正仿宋简体" w:hAnsi="方正仿宋简体" w:eastAsia="方正仿宋简体" w:cs="方正仿宋简体"/>
          <w:color w:val="auto"/>
          <w:kern w:val="2"/>
          <w:sz w:val="28"/>
          <w:szCs w:val="28"/>
          <w:highlight w:val="none"/>
          <w:lang w:val="en-US" w:eastAsia="zh-CN" w:bidi="ar-SA"/>
        </w:rPr>
        <w:t>7.招标人和采购代理机构联系方式</w:t>
      </w:r>
      <w:bookmarkEnd w:id="16"/>
      <w:bookmarkEnd w:id="1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招 标 人：哈密市和翔工贸有限责任公司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地    址：新疆哈密巴里坤县大红柳峡乡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联 系 人：别矿道路维护项目，王童18342830529</w:t>
      </w:r>
    </w:p>
    <w:p>
      <w:pPr>
        <w:pStyle w:val="23"/>
        <w:pageBreakBefore w:val="0"/>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联 系 人：吉矿运煤道路硬化项目17797853583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 xml:space="preserve">代理机构：中煤华利能源控股有限公司物资采购中心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地    址：山西省晋中市灵石县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邮    编：031300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联 系 人：白冰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rPr>
          <w:rFonts w:hint="default"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联系电话：0354-7657690-8829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传    真：0354-7657683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8.监督及其他</w:t>
      </w:r>
      <w:r>
        <w:rPr>
          <w:rFonts w:hint="eastAsia" w:ascii="方正仿宋简体" w:hAnsi="方正仿宋简体" w:eastAsia="方正仿宋简体" w:cs="方正仿宋简体"/>
          <w:color w:val="auto"/>
          <w:kern w:val="2"/>
          <w:sz w:val="28"/>
          <w:szCs w:val="28"/>
          <w:highlight w:val="none"/>
          <w:lang w:val="en-US" w:eastAsia="zh-CN" w:bidi="ar-SA"/>
        </w:rPr>
        <w:br w:type="textWrapping"/>
      </w:r>
      <w:r>
        <w:rPr>
          <w:rFonts w:hint="eastAsia" w:ascii="方正仿宋简体" w:hAnsi="方正仿宋简体" w:eastAsia="方正仿宋简体" w:cs="方正仿宋简体"/>
          <w:color w:val="auto"/>
          <w:kern w:val="2"/>
          <w:sz w:val="28"/>
          <w:szCs w:val="28"/>
          <w:highlight w:val="none"/>
          <w:lang w:val="en-US" w:eastAsia="zh-CN" w:bidi="ar-SA"/>
        </w:rPr>
        <w:t>  8.1询价响应单位负责人为同一人或存在控股、管理关系的不同单位，不得参与同一项目报名、报价。</w:t>
      </w:r>
      <w:r>
        <w:rPr>
          <w:rFonts w:hint="eastAsia" w:ascii="方正仿宋简体" w:hAnsi="方正仿宋简体" w:eastAsia="方正仿宋简体" w:cs="方正仿宋简体"/>
          <w:color w:val="auto"/>
          <w:kern w:val="2"/>
          <w:sz w:val="28"/>
          <w:szCs w:val="28"/>
          <w:highlight w:val="none"/>
          <w:lang w:val="en-US" w:eastAsia="zh-CN" w:bidi="ar-SA"/>
        </w:rPr>
        <w:br w:type="textWrapping"/>
      </w:r>
      <w:r>
        <w:rPr>
          <w:rFonts w:hint="eastAsia" w:ascii="方正仿宋简体" w:hAnsi="方正仿宋简体" w:eastAsia="方正仿宋简体" w:cs="方正仿宋简体"/>
          <w:color w:val="auto"/>
          <w:kern w:val="2"/>
          <w:sz w:val="28"/>
          <w:szCs w:val="28"/>
          <w:highlight w:val="none"/>
          <w:lang w:val="en-US" w:eastAsia="zh-CN" w:bidi="ar-SA"/>
        </w:rPr>
        <w:t>  8.2询价响应单位围标、串标行为一经查实，将被列入不合格供应商，禁止参与本企业任何采购活动。</w:t>
      </w:r>
      <w:r>
        <w:rPr>
          <w:rFonts w:hint="eastAsia" w:ascii="方正仿宋简体" w:hAnsi="方正仿宋简体" w:eastAsia="方正仿宋简体" w:cs="方正仿宋简体"/>
          <w:color w:val="auto"/>
          <w:kern w:val="2"/>
          <w:sz w:val="28"/>
          <w:szCs w:val="28"/>
          <w:highlight w:val="none"/>
          <w:lang w:val="en-US" w:eastAsia="zh-CN" w:bidi="ar-SA"/>
        </w:rPr>
        <w:br w:type="textWrapping"/>
      </w:r>
      <w:r>
        <w:rPr>
          <w:rFonts w:hint="eastAsia" w:ascii="方正仿宋简体" w:hAnsi="方正仿宋简体" w:eastAsia="方正仿宋简体" w:cs="方正仿宋简体"/>
          <w:color w:val="auto"/>
          <w:kern w:val="2"/>
          <w:sz w:val="28"/>
          <w:szCs w:val="28"/>
          <w:highlight w:val="none"/>
          <w:lang w:val="en-US" w:eastAsia="zh-CN" w:bidi="ar-SA"/>
        </w:rPr>
        <w:t>  8.3各报价厂家在参与我公司采购项目过程中，如发现任一环节出现故意刁难等不公平现象和吃、拿、卡、要等违纪行为，可向我公司进行反映，监督电话：13439591866。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rPr>
          <w:rFonts w:hint="eastAsia" w:ascii="方正仿宋简体" w:hAnsi="方正仿宋简体" w:eastAsia="方正仿宋简体" w:cs="方正仿宋简体"/>
          <w:color w:val="auto"/>
          <w:kern w:val="2"/>
          <w:sz w:val="28"/>
          <w:szCs w:val="28"/>
          <w:highlight w:val="none"/>
          <w:lang w:val="en-US" w:eastAsia="zh-CN" w:bidi="ar-SA"/>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pStyle w:val="4"/>
        <w:pageBreakBefore w:val="0"/>
        <w:numPr>
          <w:ilvl w:val="0"/>
          <w:numId w:val="0"/>
        </w:numPr>
        <w:kinsoku/>
        <w:wordWrap/>
        <w:overflowPunct/>
        <w:bidi w:val="0"/>
        <w:spacing w:line="560" w:lineRule="exact"/>
        <w:ind w:right="0" w:rightChars="0"/>
        <w:jc w:val="center"/>
        <w:rPr>
          <w:rFonts w:hint="eastAsia" w:ascii="黑体" w:hAnsi="黑体" w:eastAsia="黑体" w:cs="黑体"/>
          <w:b w:val="0"/>
          <w:bCs/>
          <w:color w:val="auto"/>
          <w:sz w:val="24"/>
          <w:szCs w:val="24"/>
          <w:highlight w:val="none"/>
        </w:rPr>
      </w:pPr>
      <w:bookmarkStart w:id="18" w:name="_Toc11306"/>
      <w:bookmarkStart w:id="19" w:name="_Toc405303363"/>
      <w:bookmarkStart w:id="20" w:name="_Toc405302852"/>
      <w:r>
        <w:rPr>
          <w:rFonts w:hint="eastAsia" w:ascii="黑体" w:hAnsi="黑体" w:eastAsia="黑体" w:cs="黑体"/>
          <w:b w:val="0"/>
          <w:bCs/>
          <w:color w:val="auto"/>
          <w:sz w:val="24"/>
          <w:szCs w:val="24"/>
          <w:highlight w:val="none"/>
          <w:lang w:val="en-US" w:eastAsia="zh-CN"/>
        </w:rPr>
        <w:t xml:space="preserve">第二章  </w:t>
      </w:r>
      <w:r>
        <w:rPr>
          <w:rFonts w:hint="eastAsia" w:ascii="黑体" w:hAnsi="黑体" w:eastAsia="黑体" w:cs="黑体"/>
          <w:b w:val="0"/>
          <w:bCs/>
          <w:color w:val="auto"/>
          <w:sz w:val="24"/>
          <w:szCs w:val="24"/>
          <w:highlight w:val="none"/>
        </w:rPr>
        <w:t>投标人须知</w:t>
      </w:r>
      <w:bookmarkEnd w:id="18"/>
      <w:bookmarkEnd w:id="19"/>
      <w:bookmarkEnd w:id="20"/>
    </w:p>
    <w:p>
      <w:pPr>
        <w:pStyle w:val="90"/>
        <w:pageBreakBefore w:val="0"/>
        <w:numPr>
          <w:ilvl w:val="0"/>
          <w:numId w:val="0"/>
        </w:numPr>
        <w:kinsoku/>
        <w:wordWrap/>
        <w:overflowPunct/>
        <w:bidi w:val="0"/>
        <w:spacing w:line="560" w:lineRule="exact"/>
        <w:ind w:left="0" w:leftChars="0" w:right="0" w:rightChars="0" w:firstLine="480" w:firstLineChars="200"/>
        <w:jc w:val="center"/>
        <w:rPr>
          <w:rFonts w:hint="eastAsia" w:ascii="宋体" w:hAnsi="宋体" w:eastAsia="宋体" w:cs="宋体"/>
          <w:b w:val="0"/>
          <w:bCs/>
          <w:color w:val="auto"/>
          <w:sz w:val="24"/>
          <w:szCs w:val="24"/>
          <w:highlight w:val="none"/>
        </w:rPr>
      </w:pPr>
      <w:bookmarkStart w:id="21" w:name="_Toc473099381"/>
      <w:bookmarkStart w:id="22" w:name="_Toc415819388"/>
      <w:bookmarkStart w:id="23" w:name="_Toc16067"/>
    </w:p>
    <w:p>
      <w:pPr>
        <w:pStyle w:val="90"/>
        <w:pageBreakBefore w:val="0"/>
        <w:numPr>
          <w:ilvl w:val="0"/>
          <w:numId w:val="0"/>
        </w:numPr>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投标人须知前附表</w:t>
      </w:r>
      <w:bookmarkEnd w:id="21"/>
      <w:bookmarkEnd w:id="22"/>
      <w:bookmarkEnd w:id="23"/>
    </w:p>
    <w:tbl>
      <w:tblPr>
        <w:tblStyle w:val="51"/>
        <w:tblW w:w="8498" w:type="dxa"/>
        <w:jc w:val="center"/>
        <w:tblLayout w:type="fixed"/>
        <w:tblCellMar>
          <w:top w:w="0" w:type="dxa"/>
          <w:left w:w="108" w:type="dxa"/>
          <w:bottom w:w="0" w:type="dxa"/>
          <w:right w:w="108" w:type="dxa"/>
        </w:tblCellMar>
      </w:tblPr>
      <w:tblGrid>
        <w:gridCol w:w="1004"/>
        <w:gridCol w:w="1790"/>
        <w:gridCol w:w="5704"/>
      </w:tblGrid>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both"/>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条款号</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both"/>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条 款 名 称</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left="0" w:leftChars="0" w:right="0" w:rightChars="0" w:firstLine="600" w:firstLineChars="200"/>
              <w:jc w:val="center"/>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编  列  内  容</w:t>
            </w:r>
          </w:p>
        </w:tc>
      </w:tr>
      <w:tr>
        <w:tblPrEx>
          <w:tblCellMar>
            <w:top w:w="0" w:type="dxa"/>
            <w:left w:w="108" w:type="dxa"/>
            <w:bottom w:w="0" w:type="dxa"/>
            <w:right w:w="108" w:type="dxa"/>
          </w:tblCellMar>
        </w:tblPrEx>
        <w:trPr>
          <w:trHeight w:val="1219"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1.1.2</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招标人</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rPr>
              <w:t>招 标 人：</w:t>
            </w:r>
            <w:r>
              <w:rPr>
                <w:rFonts w:hint="eastAsia" w:ascii="方正仿宋简体" w:hAnsi="方正仿宋简体" w:eastAsia="方正仿宋简体" w:cs="方正仿宋简体"/>
                <w:b w:val="0"/>
                <w:bCs/>
                <w:color w:val="auto"/>
                <w:sz w:val="30"/>
                <w:szCs w:val="30"/>
                <w:highlight w:val="none"/>
                <w:lang w:val="en-US" w:eastAsia="zh-CN"/>
              </w:rPr>
              <w:t>哈密市和翔工贸有限责任公司</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rPr>
              <w:t>地    址：</w:t>
            </w:r>
            <w:r>
              <w:rPr>
                <w:rFonts w:hint="eastAsia" w:ascii="方正仿宋简体" w:hAnsi="方正仿宋简体" w:eastAsia="方正仿宋简体" w:cs="方正仿宋简体"/>
                <w:b w:val="0"/>
                <w:bCs/>
                <w:color w:val="auto"/>
                <w:sz w:val="30"/>
                <w:szCs w:val="30"/>
                <w:highlight w:val="none"/>
                <w:lang w:val="en-US" w:eastAsia="zh-CN"/>
              </w:rPr>
              <w:t>新疆哈密巴里坤县大红柳峡乡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联 系 人：别矿道路维护项目，王童18342830529</w:t>
            </w:r>
          </w:p>
          <w:p>
            <w:pPr>
              <w:pStyle w:val="23"/>
              <w:pageBreakBefore w:val="0"/>
              <w:kinsoku/>
              <w:wordWrap/>
              <w:overflowPunct/>
              <w:bidi w:val="0"/>
              <w:spacing w:line="560" w:lineRule="exact"/>
              <w:ind w:left="0" w:leftChars="0" w:right="0" w:rightChars="0" w:firstLine="560" w:firstLineChars="200"/>
              <w:rPr>
                <w:rFonts w:hint="eastAsia" w:ascii="方正仿宋简体" w:hAnsi="方正仿宋简体" w:eastAsia="方正仿宋简体" w:cs="方正仿宋简体"/>
                <w:color w:val="auto"/>
                <w:kern w:val="2"/>
                <w:sz w:val="28"/>
                <w:szCs w:val="28"/>
                <w:highlight w:val="none"/>
                <w:lang w:val="en-US" w:eastAsia="zh-CN" w:bidi="ar-SA"/>
              </w:rPr>
            </w:pPr>
            <w:r>
              <w:rPr>
                <w:rFonts w:hint="eastAsia" w:ascii="方正仿宋简体" w:hAnsi="方正仿宋简体" w:eastAsia="方正仿宋简体" w:cs="方正仿宋简体"/>
                <w:color w:val="auto"/>
                <w:kern w:val="2"/>
                <w:sz w:val="28"/>
                <w:szCs w:val="28"/>
                <w:highlight w:val="none"/>
                <w:lang w:val="en-US" w:eastAsia="zh-CN" w:bidi="ar-SA"/>
              </w:rPr>
              <w:t>联 系 人：吉矿运煤道路硬化项目17797853583</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p>
        </w:tc>
      </w:tr>
      <w:tr>
        <w:tblPrEx>
          <w:tblCellMar>
            <w:top w:w="0" w:type="dxa"/>
            <w:left w:w="108" w:type="dxa"/>
            <w:bottom w:w="0" w:type="dxa"/>
            <w:right w:w="108" w:type="dxa"/>
          </w:tblCellMar>
        </w:tblPrEx>
        <w:trPr>
          <w:trHeight w:val="1109"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1.1.3</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eastAsia="zh-CN"/>
              </w:rPr>
              <w:t>采购</w:t>
            </w:r>
            <w:r>
              <w:rPr>
                <w:rFonts w:hint="eastAsia" w:ascii="方正仿宋简体" w:hAnsi="方正仿宋简体" w:eastAsia="方正仿宋简体" w:cs="方正仿宋简体"/>
                <w:b w:val="0"/>
                <w:bCs/>
                <w:color w:val="auto"/>
                <w:sz w:val="30"/>
                <w:szCs w:val="30"/>
                <w:highlight w:val="none"/>
              </w:rPr>
              <w:t>代理机构</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napToGrid w:val="0"/>
              <w:spacing w:line="560" w:lineRule="exact"/>
              <w:ind w:right="0" w:rightChars="0"/>
              <w:jc w:val="left"/>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eastAsia="zh-CN"/>
              </w:rPr>
              <w:t>采购</w:t>
            </w:r>
            <w:r>
              <w:rPr>
                <w:rFonts w:hint="eastAsia" w:ascii="方正仿宋简体" w:hAnsi="方正仿宋简体" w:eastAsia="方正仿宋简体" w:cs="方正仿宋简体"/>
                <w:b w:val="0"/>
                <w:bCs/>
                <w:color w:val="auto"/>
                <w:sz w:val="30"/>
                <w:szCs w:val="30"/>
                <w:highlight w:val="none"/>
              </w:rPr>
              <w:t>代理机构：中煤华利能源</w:t>
            </w:r>
            <w:r>
              <w:rPr>
                <w:rFonts w:hint="eastAsia" w:ascii="方正仿宋简体" w:hAnsi="方正仿宋简体" w:eastAsia="方正仿宋简体" w:cs="方正仿宋简体"/>
                <w:b w:val="0"/>
                <w:bCs/>
                <w:color w:val="auto"/>
                <w:sz w:val="30"/>
                <w:szCs w:val="30"/>
                <w:highlight w:val="none"/>
                <w:lang w:eastAsia="zh-CN"/>
              </w:rPr>
              <w:t>采购中心</w:t>
            </w:r>
            <w:r>
              <w:rPr>
                <w:rFonts w:hint="eastAsia" w:ascii="方正仿宋简体" w:hAnsi="方正仿宋简体" w:eastAsia="方正仿宋简体" w:cs="方正仿宋简体"/>
                <w:b w:val="0"/>
                <w:bCs/>
                <w:color w:val="auto"/>
                <w:sz w:val="30"/>
                <w:szCs w:val="30"/>
                <w:highlight w:val="none"/>
              </w:rPr>
              <w:t xml:space="preserve">                          </w:t>
            </w:r>
          </w:p>
          <w:p>
            <w:pPr>
              <w:pageBreakBefore w:val="0"/>
              <w:kinsoku/>
              <w:wordWrap/>
              <w:overflowPunct/>
              <w:bidi w:val="0"/>
              <w:snapToGrid w:val="0"/>
              <w:spacing w:line="560" w:lineRule="exact"/>
              <w:ind w:right="0" w:rightChars="0"/>
              <w:jc w:val="left"/>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地    址：山西省晋中市灵石县</w:t>
            </w:r>
          </w:p>
          <w:p>
            <w:pPr>
              <w:pageBreakBefore w:val="0"/>
              <w:kinsoku/>
              <w:wordWrap/>
              <w:overflowPunct/>
              <w:bidi w:val="0"/>
              <w:snapToGrid w:val="0"/>
              <w:spacing w:line="560" w:lineRule="exact"/>
              <w:ind w:right="0" w:rightChars="0"/>
              <w:jc w:val="left"/>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邮    编：031300</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1.1.4</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项目名称</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Style w:val="255"/>
              <w:pageBreakBefore w:val="0"/>
              <w:widowControl w:val="0"/>
              <w:kinsoku/>
              <w:wordWrap/>
              <w:overflowPunct/>
              <w:topLinePunct w:val="0"/>
              <w:autoSpaceDE/>
              <w:autoSpaceDN/>
              <w:bidi w:val="0"/>
              <w:adjustRightInd/>
              <w:spacing w:before="0" w:beforeLines="0" w:after="0" w:afterLines="0" w:line="560" w:lineRule="exact"/>
              <w:jc w:val="center"/>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color w:val="auto"/>
                <w:kern w:val="2"/>
                <w:sz w:val="28"/>
                <w:szCs w:val="28"/>
                <w:highlight w:val="none"/>
                <w:lang w:val="en-US" w:eastAsia="zh-CN" w:bidi="ar-SA"/>
              </w:rPr>
              <w:t>厂区道路硬化、运煤道路维护项目</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1.1.5</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建设地点</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新疆哈密巴里坤县大红柳峡乡哈密市和翔工贸有限责任公司</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1.2.1</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资金来源</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bookmarkStart w:id="24" w:name="BIDSourceAmount_0_3714"/>
            <w:r>
              <w:rPr>
                <w:rFonts w:hint="eastAsia" w:ascii="方正仿宋简体" w:hAnsi="方正仿宋简体" w:eastAsia="方正仿宋简体" w:cs="方正仿宋简体"/>
                <w:b w:val="0"/>
                <w:bCs/>
                <w:color w:val="auto"/>
                <w:sz w:val="30"/>
                <w:szCs w:val="30"/>
                <w:highlight w:val="none"/>
              </w:rPr>
              <w:t>企业自筹</w:t>
            </w:r>
            <w:bookmarkEnd w:id="24"/>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1.2.2</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出资比例</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1.2.3</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资金落实情况</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1.3.1</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招标范围</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见谈判公告</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1.3.2</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计划工期</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见谈判公告</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1.3.3</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质量要求</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一）严格按照国家及行业有关施工、验收标准执行。未明确事宜，按国家颁布最新法律法规执行。</w:t>
            </w:r>
          </w:p>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二）质量要求本工程质量达到合格</w:t>
            </w:r>
          </w:p>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990" w:hRule="atLeast"/>
          <w:jc w:val="center"/>
        </w:trPr>
        <w:tc>
          <w:tcPr>
            <w:tcW w:w="1004" w:type="dxa"/>
            <w:tcBorders>
              <w:top w:val="single" w:color="auto" w:sz="4" w:space="0"/>
              <w:left w:val="single" w:color="auto" w:sz="4" w:space="0"/>
              <w:bottom w:val="nil"/>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1.4.1</w:t>
            </w:r>
          </w:p>
        </w:tc>
        <w:tc>
          <w:tcPr>
            <w:tcW w:w="1790" w:type="dxa"/>
            <w:tcBorders>
              <w:top w:val="single" w:color="auto" w:sz="4" w:space="0"/>
              <w:left w:val="single" w:color="auto" w:sz="4" w:space="0"/>
              <w:bottom w:val="nil"/>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投标人资格要求</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见</w:t>
            </w:r>
            <w:r>
              <w:rPr>
                <w:rFonts w:hint="eastAsia" w:ascii="方正仿宋简体" w:hAnsi="方正仿宋简体" w:eastAsia="方正仿宋简体" w:cs="方正仿宋简体"/>
                <w:b w:val="0"/>
                <w:bCs/>
                <w:color w:val="auto"/>
                <w:sz w:val="30"/>
                <w:szCs w:val="30"/>
                <w:highlight w:val="none"/>
                <w:lang w:eastAsia="zh-CN"/>
              </w:rPr>
              <w:t>谈判</w:t>
            </w:r>
            <w:r>
              <w:rPr>
                <w:rFonts w:hint="eastAsia" w:ascii="方正仿宋简体" w:hAnsi="方正仿宋简体" w:eastAsia="方正仿宋简体" w:cs="方正仿宋简体"/>
                <w:b w:val="0"/>
                <w:bCs/>
                <w:color w:val="auto"/>
                <w:sz w:val="30"/>
                <w:szCs w:val="30"/>
                <w:highlight w:val="none"/>
              </w:rPr>
              <w:t>公告</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1.4.2</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是否接受联合体投标</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见谈判公告</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1.9.1</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踏勘现场</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sym w:font="Wingdings 2" w:char="F052"/>
            </w:r>
            <w:r>
              <w:rPr>
                <w:rFonts w:hint="eastAsia" w:ascii="方正仿宋简体" w:hAnsi="方正仿宋简体" w:eastAsia="方正仿宋简体" w:cs="方正仿宋简体"/>
                <w:b w:val="0"/>
                <w:bCs/>
                <w:color w:val="auto"/>
                <w:sz w:val="30"/>
                <w:szCs w:val="30"/>
                <w:highlight w:val="none"/>
              </w:rPr>
              <w:t>不组织，可自行踏勘</w:t>
            </w:r>
          </w:p>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□组织，踏勘时间：</w:t>
            </w:r>
          </w:p>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踏勘集中地点：</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1.10.1</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投标预备会</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sym w:font="Wingdings 2" w:char="F052"/>
            </w:r>
            <w:r>
              <w:rPr>
                <w:rFonts w:hint="eastAsia" w:ascii="方正仿宋简体" w:hAnsi="方正仿宋简体" w:eastAsia="方正仿宋简体" w:cs="方正仿宋简体"/>
                <w:b w:val="0"/>
                <w:bCs/>
                <w:color w:val="auto"/>
                <w:sz w:val="30"/>
                <w:szCs w:val="30"/>
                <w:highlight w:val="none"/>
              </w:rPr>
              <w:t>不召开</w:t>
            </w:r>
          </w:p>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□召开，召开时间：</w:t>
            </w:r>
          </w:p>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召开地点：</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1.10.2</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投标预备会投标人提出问题的截止时间</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1.10.3</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投标预备会招标人书面澄清的时间</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1.11</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分包</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sym w:font="Wingdings 2" w:char="F052"/>
            </w:r>
            <w:r>
              <w:rPr>
                <w:rFonts w:hint="eastAsia" w:ascii="方正仿宋简体" w:hAnsi="方正仿宋简体" w:eastAsia="方正仿宋简体" w:cs="方正仿宋简体"/>
                <w:b w:val="0"/>
                <w:bCs/>
                <w:color w:val="auto"/>
                <w:sz w:val="30"/>
                <w:szCs w:val="30"/>
                <w:highlight w:val="none"/>
              </w:rPr>
              <w:t>不允许</w:t>
            </w:r>
          </w:p>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□允许，分包内容要求：</w:t>
            </w:r>
          </w:p>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分包金额要求：</w:t>
            </w:r>
          </w:p>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接受分包的第三人资质要求：</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2.1</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构成谈判文件的其他材料</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技术附件</w:t>
            </w:r>
          </w:p>
        </w:tc>
      </w:tr>
      <w:tr>
        <w:tblPrEx>
          <w:tblCellMar>
            <w:top w:w="0" w:type="dxa"/>
            <w:left w:w="108" w:type="dxa"/>
            <w:bottom w:w="0" w:type="dxa"/>
            <w:right w:w="108" w:type="dxa"/>
          </w:tblCellMar>
        </w:tblPrEx>
        <w:trPr>
          <w:trHeight w:val="285"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2.2.1</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投标人提出澄清的时间</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投标截止时间</w:t>
            </w:r>
            <w:r>
              <w:rPr>
                <w:rFonts w:hint="eastAsia" w:ascii="方正仿宋简体" w:hAnsi="方正仿宋简体" w:eastAsia="方正仿宋简体" w:cs="方正仿宋简体"/>
                <w:b w:val="0"/>
                <w:bCs/>
                <w:color w:val="auto"/>
                <w:sz w:val="30"/>
                <w:szCs w:val="30"/>
                <w:highlight w:val="none"/>
                <w:u w:val="single"/>
              </w:rPr>
              <w:t xml:space="preserve"> 3 </w:t>
            </w:r>
            <w:r>
              <w:rPr>
                <w:rFonts w:hint="eastAsia" w:ascii="方正仿宋简体" w:hAnsi="方正仿宋简体" w:eastAsia="方正仿宋简体" w:cs="方正仿宋简体"/>
                <w:b w:val="0"/>
                <w:bCs/>
                <w:color w:val="auto"/>
                <w:sz w:val="30"/>
                <w:szCs w:val="30"/>
                <w:highlight w:val="none"/>
              </w:rPr>
              <w:t xml:space="preserve">天前 </w:t>
            </w:r>
          </w:p>
        </w:tc>
      </w:tr>
      <w:tr>
        <w:tblPrEx>
          <w:tblCellMar>
            <w:top w:w="0" w:type="dxa"/>
            <w:left w:w="108" w:type="dxa"/>
            <w:bottom w:w="0" w:type="dxa"/>
            <w:right w:w="108" w:type="dxa"/>
          </w:tblCellMar>
        </w:tblPrEx>
        <w:trPr>
          <w:trHeight w:val="180"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2.2.2</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招标人答复澄清的时间</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投标截止时间</w:t>
            </w:r>
            <w:r>
              <w:rPr>
                <w:rFonts w:hint="eastAsia" w:ascii="方正仿宋简体" w:hAnsi="方正仿宋简体" w:eastAsia="方正仿宋简体" w:cs="方正仿宋简体"/>
                <w:b w:val="0"/>
                <w:bCs/>
                <w:color w:val="auto"/>
                <w:sz w:val="30"/>
                <w:szCs w:val="30"/>
                <w:highlight w:val="none"/>
                <w:u w:val="single"/>
              </w:rPr>
              <w:t xml:space="preserve"> 3 </w:t>
            </w:r>
            <w:r>
              <w:rPr>
                <w:rFonts w:hint="eastAsia" w:ascii="方正仿宋简体" w:hAnsi="方正仿宋简体" w:eastAsia="方正仿宋简体" w:cs="方正仿宋简体"/>
                <w:b w:val="0"/>
                <w:bCs/>
                <w:color w:val="auto"/>
                <w:sz w:val="30"/>
                <w:szCs w:val="30"/>
                <w:highlight w:val="none"/>
              </w:rPr>
              <w:t>天前</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3.1.1</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构成投标文件的其他材料</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3.3.1</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投标有效期</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从开标之日起</w:t>
            </w:r>
            <w:r>
              <w:rPr>
                <w:rFonts w:hint="eastAsia" w:ascii="方正仿宋简体" w:hAnsi="方正仿宋简体" w:eastAsia="方正仿宋简体" w:cs="方正仿宋简体"/>
                <w:b w:val="0"/>
                <w:bCs/>
                <w:color w:val="auto"/>
                <w:sz w:val="30"/>
                <w:szCs w:val="30"/>
                <w:highlight w:val="none"/>
                <w:lang w:val="en-US" w:eastAsia="zh-CN"/>
              </w:rPr>
              <w:t>180</w:t>
            </w:r>
            <w:r>
              <w:rPr>
                <w:rFonts w:hint="eastAsia" w:ascii="方正仿宋简体" w:hAnsi="方正仿宋简体" w:eastAsia="方正仿宋简体" w:cs="方正仿宋简体"/>
                <w:b w:val="0"/>
                <w:bCs/>
                <w:color w:val="auto"/>
                <w:sz w:val="30"/>
                <w:szCs w:val="30"/>
                <w:highlight w:val="none"/>
              </w:rPr>
              <w:t>日历天</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3.3.2</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最高投标限价</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Style w:val="87"/>
              <w:pageBreakBefore w:val="0"/>
              <w:numPr>
                <w:ilvl w:val="0"/>
                <w:numId w:val="7"/>
              </w:numPr>
              <w:kinsoku/>
              <w:wordWrap/>
              <w:overflowPunct/>
              <w:bidi w:val="0"/>
              <w:spacing w:line="560" w:lineRule="exact"/>
              <w:ind w:left="0" w:leftChars="0" w:right="0" w:rightChars="0" w:firstLine="0" w:firstLineChars="0"/>
              <w:rPr>
                <w:rFonts w:hint="eastAsia" w:ascii="方正仿宋简体" w:hAnsi="方正仿宋简体" w:eastAsia="方正仿宋简体" w:cs="方正仿宋简体"/>
                <w:b w:val="0"/>
                <w:szCs w:val="30"/>
                <w:highlight w:val="none"/>
                <w:lang w:val="en-US" w:eastAsia="zh-CN"/>
              </w:rPr>
            </w:pPr>
            <w:r>
              <w:rPr>
                <w:rFonts w:hint="eastAsia" w:ascii="方正仿宋简体" w:hAnsi="方正仿宋简体" w:eastAsia="方正仿宋简体" w:cs="方正仿宋简体"/>
                <w:b w:val="0"/>
                <w:szCs w:val="30"/>
                <w:highlight w:val="none"/>
              </w:rPr>
              <w:t>和翔吉矿厂区内运煤道路硬化</w:t>
            </w:r>
            <w:r>
              <w:rPr>
                <w:rFonts w:hint="eastAsia" w:ascii="方正仿宋简体" w:hAnsi="方正仿宋简体" w:eastAsia="方正仿宋简体" w:cs="方正仿宋简体"/>
                <w:b w:val="0"/>
                <w:szCs w:val="30"/>
                <w:highlight w:val="none"/>
                <w:lang w:val="en-US" w:eastAsia="zh-CN"/>
              </w:rPr>
              <w:t>116万元；</w:t>
            </w:r>
          </w:p>
          <w:p>
            <w:pPr>
              <w:pStyle w:val="87"/>
              <w:pageBreakBefore w:val="0"/>
              <w:numPr>
                <w:ilvl w:val="0"/>
                <w:numId w:val="7"/>
              </w:numPr>
              <w:kinsoku/>
              <w:wordWrap/>
              <w:overflowPunct/>
              <w:bidi w:val="0"/>
              <w:spacing w:line="560" w:lineRule="exact"/>
              <w:ind w:left="0" w:leftChars="0" w:right="0" w:rightChars="0" w:firstLine="0" w:firstLineChars="0"/>
              <w:rPr>
                <w:rFonts w:hint="default" w:ascii="方正仿宋简体" w:hAnsi="方正仿宋简体" w:eastAsia="方正仿宋简体" w:cs="方正仿宋简体"/>
                <w:b w:val="0"/>
                <w:szCs w:val="30"/>
                <w:highlight w:val="none"/>
                <w:lang w:val="en-US" w:eastAsia="zh-CN"/>
              </w:rPr>
            </w:pPr>
            <w:r>
              <w:rPr>
                <w:rFonts w:hint="eastAsia" w:ascii="方正仿宋简体" w:hAnsi="方正仿宋简体" w:eastAsia="方正仿宋简体" w:cs="方正仿宋简体"/>
                <w:b w:val="0"/>
                <w:szCs w:val="30"/>
                <w:highlight w:val="none"/>
              </w:rPr>
              <w:t>和翔别矿矿区道路维护</w:t>
            </w:r>
            <w:r>
              <w:rPr>
                <w:rFonts w:hint="eastAsia" w:ascii="方正仿宋简体" w:hAnsi="方正仿宋简体" w:eastAsia="方正仿宋简体" w:cs="方正仿宋简体"/>
                <w:b w:val="0"/>
                <w:szCs w:val="30"/>
                <w:highlight w:val="none"/>
                <w:lang w:val="en-US" w:eastAsia="zh-CN"/>
              </w:rPr>
              <w:t>149万元；</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3.4.1</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投标保证金</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Style w:val="168"/>
              <w:pageBreakBefore w:val="0"/>
              <w:kinsoku/>
              <w:wordWrap/>
              <w:overflowPunct/>
              <w:bidi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3.5.2</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近年财务状况的年份要求</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财务状况年份要求: 3年</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3.5.3</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近年完成的类似项目的年份要求</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类似项目年份要求：3年</w:t>
            </w:r>
          </w:p>
        </w:tc>
      </w:tr>
      <w:tr>
        <w:tblPrEx>
          <w:tblCellMar>
            <w:top w:w="0" w:type="dxa"/>
            <w:left w:w="108" w:type="dxa"/>
            <w:bottom w:w="0" w:type="dxa"/>
            <w:right w:w="108" w:type="dxa"/>
          </w:tblCellMar>
        </w:tblPrEx>
        <w:trPr>
          <w:trHeight w:val="1075"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3.5.5</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近年发生的诉讼及仲裁情况的年份要求</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近3年未因诉讼及仲裁受到行政处罚</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3.6</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是否允许递交备选投标方案</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不允许</w:t>
            </w:r>
          </w:p>
        </w:tc>
      </w:tr>
      <w:tr>
        <w:tblPrEx>
          <w:tblCellMar>
            <w:top w:w="0" w:type="dxa"/>
            <w:left w:w="108" w:type="dxa"/>
            <w:bottom w:w="0" w:type="dxa"/>
            <w:right w:w="108" w:type="dxa"/>
          </w:tblCellMar>
        </w:tblPrEx>
        <w:trPr>
          <w:trHeight w:val="880" w:hRule="atLeast"/>
          <w:jc w:val="center"/>
        </w:trPr>
        <w:tc>
          <w:tcPr>
            <w:tcW w:w="1004" w:type="dxa"/>
            <w:tcBorders>
              <w:top w:val="single" w:color="auto" w:sz="4" w:space="0"/>
              <w:left w:val="single" w:color="auto" w:sz="4" w:space="0"/>
              <w:bottom w:val="nil"/>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5.1</w:t>
            </w:r>
          </w:p>
        </w:tc>
        <w:tc>
          <w:tcPr>
            <w:tcW w:w="1790" w:type="dxa"/>
            <w:tcBorders>
              <w:top w:val="single" w:color="auto" w:sz="4" w:space="0"/>
              <w:left w:val="single" w:color="auto" w:sz="4" w:space="0"/>
              <w:bottom w:val="nil"/>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开标时间和地点</w:t>
            </w:r>
          </w:p>
        </w:tc>
        <w:tc>
          <w:tcPr>
            <w:tcW w:w="5704" w:type="dxa"/>
            <w:tcBorders>
              <w:top w:val="single" w:color="auto" w:sz="4" w:space="0"/>
              <w:left w:val="single" w:color="auto" w:sz="4" w:space="0"/>
              <w:bottom w:val="nil"/>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rPr>
              <w:t>开标时间：</w:t>
            </w:r>
          </w:p>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开标地点：</w:t>
            </w:r>
          </w:p>
        </w:tc>
      </w:tr>
      <w:tr>
        <w:tblPrEx>
          <w:tblCellMar>
            <w:top w:w="0" w:type="dxa"/>
            <w:left w:w="108" w:type="dxa"/>
            <w:bottom w:w="0" w:type="dxa"/>
            <w:right w:w="108" w:type="dxa"/>
          </w:tblCellMar>
        </w:tblPrEx>
        <w:trPr>
          <w:trHeight w:val="880" w:hRule="atLeast"/>
          <w:jc w:val="center"/>
        </w:trPr>
        <w:tc>
          <w:tcPr>
            <w:tcW w:w="1004" w:type="dxa"/>
            <w:tcBorders>
              <w:top w:val="single" w:color="auto" w:sz="4" w:space="0"/>
              <w:left w:val="single" w:color="auto" w:sz="4" w:space="0"/>
              <w:bottom w:val="nil"/>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7.1</w:t>
            </w:r>
          </w:p>
        </w:tc>
        <w:tc>
          <w:tcPr>
            <w:tcW w:w="1790" w:type="dxa"/>
            <w:tcBorders>
              <w:top w:val="single" w:color="auto" w:sz="4" w:space="0"/>
              <w:left w:val="single" w:color="auto" w:sz="4" w:space="0"/>
              <w:bottom w:val="nil"/>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是否授权评标委员会确定中标人</w:t>
            </w:r>
          </w:p>
        </w:tc>
        <w:tc>
          <w:tcPr>
            <w:tcW w:w="5704" w:type="dxa"/>
            <w:tcBorders>
              <w:top w:val="single" w:color="auto" w:sz="4" w:space="0"/>
              <w:left w:val="single" w:color="auto" w:sz="4" w:space="0"/>
              <w:bottom w:val="nil"/>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否，推荐的中标候选人数：按照得分由高到低的顺序推荐三名中标候选人</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7.3.1</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履约担保</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w:t>
            </w:r>
          </w:p>
        </w:tc>
      </w:tr>
      <w:tr>
        <w:tblPrEx>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right="0" w:rightChars="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10.4</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95"/>
              <w:pageBreakBefore w:val="0"/>
              <w:kinsoku/>
              <w:wordWrap/>
              <w:overflowPunct/>
              <w:bidi w:val="0"/>
              <w:adjustRightInd w:val="0"/>
              <w:snapToGrid w:val="0"/>
              <w:spacing w:line="560" w:lineRule="exact"/>
              <w:ind w:right="0" w:rightChars="0"/>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中标服务费：</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w:t>
            </w:r>
          </w:p>
        </w:tc>
      </w:tr>
    </w:tbl>
    <w:p>
      <w:pPr>
        <w:pageBreakBefore w:val="0"/>
        <w:kinsoku/>
        <w:wordWrap/>
        <w:overflowPunct/>
        <w:bidi w:val="0"/>
        <w:spacing w:line="560" w:lineRule="exact"/>
        <w:ind w:left="0" w:leftChars="0" w:right="0" w:rightChars="0" w:firstLine="594"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w w:val="99"/>
          <w:kern w:val="0"/>
          <w:sz w:val="30"/>
          <w:szCs w:val="30"/>
          <w:highlight w:val="none"/>
        </w:rPr>
        <w:br w:type="page"/>
      </w:r>
    </w:p>
    <w:p>
      <w:pPr>
        <w:pStyle w:val="38"/>
        <w:pageBreakBefore w:val="0"/>
        <w:numPr>
          <w:ilvl w:val="0"/>
          <w:numId w:val="8"/>
        </w:numPr>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bookmarkStart w:id="25" w:name="_Toc405302853"/>
      <w:bookmarkStart w:id="26" w:name="_Toc16333"/>
      <w:bookmarkStart w:id="27" w:name="_Toc405303364"/>
      <w:r>
        <w:rPr>
          <w:rFonts w:hint="eastAsia" w:ascii="方正仿宋简体" w:hAnsi="方正仿宋简体" w:eastAsia="方正仿宋简体" w:cs="方正仿宋简体"/>
          <w:b w:val="0"/>
          <w:bCs/>
          <w:color w:val="auto"/>
          <w:sz w:val="30"/>
          <w:szCs w:val="30"/>
          <w:highlight w:val="none"/>
        </w:rPr>
        <w:t>总则</w:t>
      </w:r>
      <w:bookmarkEnd w:id="25"/>
      <w:bookmarkEnd w:id="26"/>
      <w:bookmarkEnd w:id="27"/>
    </w:p>
    <w:p>
      <w:pPr>
        <w:pStyle w:val="38"/>
        <w:pageBreakBefore w:val="0"/>
        <w:numPr>
          <w:ilvl w:val="0"/>
          <w:numId w:val="0"/>
        </w:numPr>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bookmarkStart w:id="28" w:name="_Toc8476"/>
      <w:r>
        <w:rPr>
          <w:rFonts w:hint="eastAsia" w:ascii="方正仿宋简体" w:hAnsi="方正仿宋简体" w:eastAsia="方正仿宋简体" w:cs="方正仿宋简体"/>
          <w:b w:val="0"/>
          <w:bCs/>
          <w:color w:val="auto"/>
          <w:sz w:val="30"/>
          <w:szCs w:val="30"/>
          <w:highlight w:val="none"/>
        </w:rPr>
        <w:t>1.1 项目概况</w:t>
      </w:r>
      <w:bookmarkEnd w:id="28"/>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29" w:name="_Toc25372"/>
      <w:r>
        <w:rPr>
          <w:rFonts w:hint="eastAsia" w:ascii="方正仿宋简体" w:hAnsi="方正仿宋简体" w:eastAsia="方正仿宋简体" w:cs="方正仿宋简体"/>
          <w:b w:val="0"/>
          <w:bCs/>
          <w:color w:val="auto"/>
          <w:sz w:val="30"/>
          <w:szCs w:val="30"/>
          <w:highlight w:val="none"/>
        </w:rPr>
        <w:t>根据《中华人民共和国招标投标法》等有关法律、法规和规章的规定，本项目已具备谈判条件，现对本项目进行公开竞争性谈判。</w:t>
      </w:r>
      <w:bookmarkEnd w:id="29"/>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30" w:name="_Toc29119"/>
      <w:r>
        <w:rPr>
          <w:rFonts w:hint="eastAsia" w:ascii="方正仿宋简体" w:hAnsi="方正仿宋简体" w:eastAsia="方正仿宋简体" w:cs="方正仿宋简体"/>
          <w:b w:val="0"/>
          <w:bCs/>
          <w:color w:val="auto"/>
          <w:sz w:val="30"/>
          <w:szCs w:val="30"/>
          <w:highlight w:val="none"/>
        </w:rPr>
        <w:t>本项目招标人：见投标人须知前附表。</w:t>
      </w:r>
      <w:bookmarkEnd w:id="30"/>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31" w:name="_Toc29852"/>
      <w:r>
        <w:rPr>
          <w:rFonts w:hint="eastAsia" w:ascii="方正仿宋简体" w:hAnsi="方正仿宋简体" w:eastAsia="方正仿宋简体" w:cs="方正仿宋简体"/>
          <w:b w:val="0"/>
          <w:bCs/>
          <w:color w:val="auto"/>
          <w:sz w:val="30"/>
          <w:szCs w:val="30"/>
          <w:highlight w:val="none"/>
        </w:rPr>
        <w:t>本项目招理机构：见投标人须知前附表。</w:t>
      </w:r>
      <w:bookmarkEnd w:id="31"/>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32" w:name="_Toc6565"/>
      <w:r>
        <w:rPr>
          <w:rFonts w:hint="eastAsia" w:ascii="方正仿宋简体" w:hAnsi="方正仿宋简体" w:eastAsia="方正仿宋简体" w:cs="方正仿宋简体"/>
          <w:b w:val="0"/>
          <w:bCs/>
          <w:color w:val="auto"/>
          <w:sz w:val="30"/>
          <w:szCs w:val="30"/>
          <w:highlight w:val="none"/>
        </w:rPr>
        <w:t>本项目名称：见投标人须知前附表。</w:t>
      </w:r>
      <w:bookmarkEnd w:id="32"/>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33" w:name="_Toc13276"/>
      <w:r>
        <w:rPr>
          <w:rFonts w:hint="eastAsia" w:ascii="方正仿宋简体" w:hAnsi="方正仿宋简体" w:eastAsia="方正仿宋简体" w:cs="方正仿宋简体"/>
          <w:b w:val="0"/>
          <w:bCs/>
          <w:color w:val="auto"/>
          <w:sz w:val="30"/>
          <w:szCs w:val="30"/>
          <w:highlight w:val="none"/>
        </w:rPr>
        <w:t>本项目建设地点：见投标人须知前附表。</w:t>
      </w:r>
      <w:bookmarkEnd w:id="33"/>
    </w:p>
    <w:p>
      <w:pPr>
        <w:pStyle w:val="142"/>
        <w:pageBreakBefore w:val="0"/>
        <w:numPr>
          <w:ilvl w:val="2"/>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34" w:name="_Toc21165"/>
      <w:r>
        <w:rPr>
          <w:rFonts w:hint="eastAsia" w:ascii="方正仿宋简体" w:hAnsi="方正仿宋简体" w:eastAsia="方正仿宋简体" w:cs="方正仿宋简体"/>
          <w:b w:val="0"/>
          <w:bCs/>
          <w:color w:val="auto"/>
          <w:sz w:val="30"/>
          <w:szCs w:val="30"/>
          <w:highlight w:val="none"/>
        </w:rPr>
        <w:t>资金来源和落实情况</w:t>
      </w:r>
      <w:bookmarkEnd w:id="34"/>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35" w:name="_Toc20874"/>
      <w:r>
        <w:rPr>
          <w:rFonts w:hint="eastAsia" w:ascii="方正仿宋简体" w:hAnsi="方正仿宋简体" w:eastAsia="方正仿宋简体" w:cs="方正仿宋简体"/>
          <w:b w:val="0"/>
          <w:bCs/>
          <w:color w:val="auto"/>
          <w:sz w:val="30"/>
          <w:szCs w:val="30"/>
          <w:highlight w:val="none"/>
        </w:rPr>
        <w:t>本项目的资金来源：见投标人须知前附表。</w:t>
      </w:r>
      <w:bookmarkEnd w:id="35"/>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36" w:name="_Toc6130"/>
      <w:r>
        <w:rPr>
          <w:rFonts w:hint="eastAsia" w:ascii="方正仿宋简体" w:hAnsi="方正仿宋简体" w:eastAsia="方正仿宋简体" w:cs="方正仿宋简体"/>
          <w:b w:val="0"/>
          <w:bCs/>
          <w:color w:val="auto"/>
          <w:sz w:val="30"/>
          <w:szCs w:val="30"/>
          <w:highlight w:val="none"/>
        </w:rPr>
        <w:t>本项目的出资比例：见投标人须知前附表。</w:t>
      </w:r>
      <w:bookmarkEnd w:id="36"/>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37" w:name="_Toc15598"/>
      <w:r>
        <w:rPr>
          <w:rFonts w:hint="eastAsia" w:ascii="方正仿宋简体" w:hAnsi="方正仿宋简体" w:eastAsia="方正仿宋简体" w:cs="方正仿宋简体"/>
          <w:b w:val="0"/>
          <w:bCs/>
          <w:color w:val="auto"/>
          <w:sz w:val="30"/>
          <w:szCs w:val="30"/>
          <w:highlight w:val="none"/>
        </w:rPr>
        <w:t>本项目的资金落实情况：见投标人须知前附表。</w:t>
      </w:r>
      <w:bookmarkEnd w:id="37"/>
    </w:p>
    <w:p>
      <w:pPr>
        <w:pStyle w:val="142"/>
        <w:pageBreakBefore w:val="0"/>
        <w:numPr>
          <w:ilvl w:val="2"/>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38" w:name="_Toc25039"/>
      <w:r>
        <w:rPr>
          <w:rFonts w:hint="eastAsia" w:ascii="方正仿宋简体" w:hAnsi="方正仿宋简体" w:eastAsia="方正仿宋简体" w:cs="方正仿宋简体"/>
          <w:b w:val="0"/>
          <w:bCs/>
          <w:color w:val="auto"/>
          <w:sz w:val="30"/>
          <w:szCs w:val="30"/>
          <w:highlight w:val="none"/>
        </w:rPr>
        <w:t>招标范围、计划工期和质量要求</w:t>
      </w:r>
      <w:bookmarkEnd w:id="38"/>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39" w:name="_Toc610"/>
      <w:r>
        <w:rPr>
          <w:rFonts w:hint="eastAsia" w:ascii="方正仿宋简体" w:hAnsi="方正仿宋简体" w:eastAsia="方正仿宋简体" w:cs="方正仿宋简体"/>
          <w:b w:val="0"/>
          <w:bCs/>
          <w:color w:val="auto"/>
          <w:sz w:val="30"/>
          <w:szCs w:val="30"/>
          <w:highlight w:val="none"/>
        </w:rPr>
        <w:t>本次招标范围：见投标人须知前附表。</w:t>
      </w:r>
      <w:bookmarkEnd w:id="39"/>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40" w:name="_Toc21236"/>
      <w:r>
        <w:rPr>
          <w:rFonts w:hint="eastAsia" w:ascii="方正仿宋简体" w:hAnsi="方正仿宋简体" w:eastAsia="方正仿宋简体" w:cs="方正仿宋简体"/>
          <w:b w:val="0"/>
          <w:bCs/>
          <w:color w:val="auto"/>
          <w:sz w:val="30"/>
          <w:szCs w:val="30"/>
          <w:highlight w:val="none"/>
        </w:rPr>
        <w:t>本项目的计划工期：见投标人须知前附表。</w:t>
      </w:r>
      <w:bookmarkEnd w:id="40"/>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41" w:name="_Toc27278"/>
      <w:r>
        <w:rPr>
          <w:rFonts w:hint="eastAsia" w:ascii="方正仿宋简体" w:hAnsi="方正仿宋简体" w:eastAsia="方正仿宋简体" w:cs="方正仿宋简体"/>
          <w:b w:val="0"/>
          <w:bCs/>
          <w:color w:val="auto"/>
          <w:sz w:val="30"/>
          <w:szCs w:val="30"/>
          <w:highlight w:val="none"/>
        </w:rPr>
        <w:t>本项目的质量要求：见投标人须知前附表。</w:t>
      </w:r>
      <w:bookmarkEnd w:id="41"/>
    </w:p>
    <w:p>
      <w:pPr>
        <w:pStyle w:val="142"/>
        <w:pageBreakBefore w:val="0"/>
        <w:numPr>
          <w:ilvl w:val="2"/>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42" w:name="_Toc26430"/>
      <w:r>
        <w:rPr>
          <w:rFonts w:hint="eastAsia" w:ascii="方正仿宋简体" w:hAnsi="方正仿宋简体" w:eastAsia="方正仿宋简体" w:cs="方正仿宋简体"/>
          <w:b w:val="0"/>
          <w:bCs/>
          <w:color w:val="auto"/>
          <w:sz w:val="30"/>
          <w:szCs w:val="30"/>
          <w:highlight w:val="none"/>
        </w:rPr>
        <w:t>投标人资格要求</w:t>
      </w:r>
      <w:bookmarkEnd w:id="42"/>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43" w:name="_Toc18535"/>
      <w:r>
        <w:rPr>
          <w:rFonts w:hint="eastAsia" w:ascii="方正仿宋简体" w:hAnsi="方正仿宋简体" w:eastAsia="方正仿宋简体" w:cs="方正仿宋简体"/>
          <w:b w:val="0"/>
          <w:bCs/>
          <w:color w:val="auto"/>
          <w:sz w:val="30"/>
          <w:szCs w:val="30"/>
          <w:highlight w:val="none"/>
        </w:rPr>
        <w:t>见投标人须知前附表。</w:t>
      </w:r>
      <w:bookmarkEnd w:id="43"/>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44" w:name="_Toc31277"/>
      <w:r>
        <w:rPr>
          <w:rFonts w:hint="eastAsia" w:ascii="方正仿宋简体" w:hAnsi="方正仿宋简体" w:eastAsia="方正仿宋简体" w:cs="方正仿宋简体"/>
          <w:b w:val="0"/>
          <w:bCs/>
          <w:color w:val="auto"/>
          <w:sz w:val="30"/>
          <w:szCs w:val="30"/>
          <w:highlight w:val="none"/>
        </w:rPr>
        <w:t>接受联合体投标的，除应符合本章第 1.4.1 项外，还应遵守以下规定：</w:t>
      </w:r>
      <w:bookmarkEnd w:id="44"/>
    </w:p>
    <w:p>
      <w:pPr>
        <w:pageBreakBefore w:val="0"/>
        <w:numPr>
          <w:ilvl w:val="0"/>
          <w:numId w:val="0"/>
        </w:numPr>
        <w:kinsoku/>
        <w:wordWrap/>
        <w:overflowPunct/>
        <w:autoSpaceDE w:val="0"/>
        <w:autoSpaceDN w:val="0"/>
        <w:bidi w:val="0"/>
        <w:adjustRightInd w:val="0"/>
        <w:snapToGrid w:val="0"/>
        <w:spacing w:line="560" w:lineRule="exact"/>
        <w:ind w:right="0" w:rightChars="0" w:firstLine="600" w:firstLineChars="20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lang w:val="en-US" w:eastAsia="zh-CN"/>
        </w:rPr>
        <w:t xml:space="preserve">1.4.2.1 </w:t>
      </w:r>
      <w:r>
        <w:rPr>
          <w:rFonts w:hint="eastAsia" w:ascii="方正仿宋简体" w:hAnsi="方正仿宋简体" w:eastAsia="方正仿宋简体" w:cs="方正仿宋简体"/>
          <w:b w:val="0"/>
          <w:bCs/>
          <w:color w:val="auto"/>
          <w:kern w:val="0"/>
          <w:position w:val="-1"/>
          <w:sz w:val="30"/>
          <w:szCs w:val="30"/>
          <w:highlight w:val="none"/>
        </w:rPr>
        <w:t>联合体各方应按谈判文件提供的格式签订联合体协议书，明确联合体牵头人和各方权利义务；</w:t>
      </w:r>
    </w:p>
    <w:p>
      <w:pPr>
        <w:pageBreakBefore w:val="0"/>
        <w:numPr>
          <w:ilvl w:val="0"/>
          <w:numId w:val="0"/>
        </w:numPr>
        <w:kinsoku/>
        <w:wordWrap/>
        <w:overflowPunct/>
        <w:autoSpaceDE w:val="0"/>
        <w:autoSpaceDN w:val="0"/>
        <w:bidi w:val="0"/>
        <w:adjustRightInd w:val="0"/>
        <w:snapToGrid w:val="0"/>
        <w:spacing w:line="560" w:lineRule="exact"/>
        <w:ind w:right="0" w:rightChars="0" w:firstLine="600" w:firstLineChars="20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lang w:val="en-US" w:eastAsia="zh-CN"/>
        </w:rPr>
        <w:t xml:space="preserve">1.4.2.2 </w:t>
      </w:r>
      <w:r>
        <w:rPr>
          <w:rFonts w:hint="eastAsia" w:ascii="方正仿宋简体" w:hAnsi="方正仿宋简体" w:eastAsia="方正仿宋简体" w:cs="方正仿宋简体"/>
          <w:b w:val="0"/>
          <w:bCs/>
          <w:color w:val="auto"/>
          <w:kern w:val="0"/>
          <w:position w:val="-1"/>
          <w:sz w:val="30"/>
          <w:szCs w:val="30"/>
          <w:highlight w:val="none"/>
        </w:rPr>
        <w:t>由同一专业的单位组成的联合体，按照资质等级较低的单位确定资质等级；</w:t>
      </w:r>
    </w:p>
    <w:p>
      <w:pPr>
        <w:pageBreakBefore w:val="0"/>
        <w:numPr>
          <w:ilvl w:val="0"/>
          <w:numId w:val="0"/>
        </w:numPr>
        <w:kinsoku/>
        <w:wordWrap/>
        <w:overflowPunct/>
        <w:autoSpaceDE w:val="0"/>
        <w:autoSpaceDN w:val="0"/>
        <w:bidi w:val="0"/>
        <w:adjustRightInd w:val="0"/>
        <w:snapToGrid w:val="0"/>
        <w:spacing w:line="560" w:lineRule="exact"/>
        <w:ind w:right="0" w:rightChars="0" w:firstLine="600" w:firstLineChars="20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lang w:val="en-US" w:eastAsia="zh-CN"/>
        </w:rPr>
        <w:t xml:space="preserve">1.4.2.3 </w:t>
      </w:r>
      <w:r>
        <w:rPr>
          <w:rFonts w:hint="eastAsia" w:ascii="方正仿宋简体" w:hAnsi="方正仿宋简体" w:eastAsia="方正仿宋简体" w:cs="方正仿宋简体"/>
          <w:b w:val="0"/>
          <w:bCs/>
          <w:color w:val="auto"/>
          <w:kern w:val="0"/>
          <w:position w:val="-1"/>
          <w:sz w:val="30"/>
          <w:szCs w:val="30"/>
          <w:highlight w:val="none"/>
        </w:rPr>
        <w:t>联合体各方不得再以自己名义单独或参加其他联合体在同一标段中投标。</w:t>
      </w:r>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45" w:name="_Toc5190"/>
      <w:r>
        <w:rPr>
          <w:rFonts w:hint="eastAsia" w:ascii="方正仿宋简体" w:hAnsi="方正仿宋简体" w:eastAsia="方正仿宋简体" w:cs="方正仿宋简体"/>
          <w:b w:val="0"/>
          <w:bCs/>
          <w:color w:val="auto"/>
          <w:sz w:val="30"/>
          <w:szCs w:val="30"/>
          <w:highlight w:val="none"/>
        </w:rPr>
        <w:t>投标人不得存在下列情形之一：</w:t>
      </w:r>
      <w:bookmarkEnd w:id="45"/>
    </w:p>
    <w:p>
      <w:pPr>
        <w:pageBreakBefore w:val="0"/>
        <w:numPr>
          <w:ilvl w:val="0"/>
          <w:numId w:val="0"/>
        </w:numPr>
        <w:kinsoku/>
        <w:wordWrap/>
        <w:overflowPunct/>
        <w:autoSpaceDE w:val="0"/>
        <w:autoSpaceDN w:val="0"/>
        <w:bidi w:val="0"/>
        <w:adjustRightInd w:val="0"/>
        <w:snapToGrid w:val="0"/>
        <w:spacing w:line="560" w:lineRule="exact"/>
        <w:ind w:leftChars="200" w:right="0" w:rightChars="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lang w:val="en-US" w:eastAsia="zh-CN"/>
        </w:rPr>
        <w:t xml:space="preserve">1.4.3.1 </w:t>
      </w:r>
      <w:r>
        <w:rPr>
          <w:rFonts w:hint="eastAsia" w:ascii="方正仿宋简体" w:hAnsi="方正仿宋简体" w:eastAsia="方正仿宋简体" w:cs="方正仿宋简体"/>
          <w:b w:val="0"/>
          <w:bCs/>
          <w:color w:val="auto"/>
          <w:kern w:val="0"/>
          <w:position w:val="-1"/>
          <w:sz w:val="30"/>
          <w:szCs w:val="30"/>
          <w:highlight w:val="none"/>
        </w:rPr>
        <w:t>为招标人不具有独立法人资格的附属机构（单位）；</w:t>
      </w:r>
    </w:p>
    <w:p>
      <w:pPr>
        <w:pageBreakBefore w:val="0"/>
        <w:numPr>
          <w:ilvl w:val="0"/>
          <w:numId w:val="0"/>
        </w:numPr>
        <w:kinsoku/>
        <w:wordWrap/>
        <w:overflowPunct/>
        <w:autoSpaceDE w:val="0"/>
        <w:autoSpaceDN w:val="0"/>
        <w:bidi w:val="0"/>
        <w:adjustRightInd w:val="0"/>
        <w:snapToGrid w:val="0"/>
        <w:spacing w:line="560" w:lineRule="exact"/>
        <w:ind w:leftChars="200" w:right="0" w:rightChars="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lang w:val="en-US" w:eastAsia="zh-CN"/>
        </w:rPr>
        <w:t xml:space="preserve">1.4.3.2 </w:t>
      </w:r>
      <w:r>
        <w:rPr>
          <w:rFonts w:hint="eastAsia" w:ascii="方正仿宋简体" w:hAnsi="方正仿宋简体" w:eastAsia="方正仿宋简体" w:cs="方正仿宋简体"/>
          <w:b w:val="0"/>
          <w:bCs/>
          <w:color w:val="auto"/>
          <w:kern w:val="0"/>
          <w:position w:val="-1"/>
          <w:sz w:val="30"/>
          <w:szCs w:val="30"/>
          <w:highlight w:val="none"/>
        </w:rPr>
        <w:t>为本项目前期准备提供设计或咨询服务的，但设计施工总承包的除外；</w:t>
      </w:r>
    </w:p>
    <w:p>
      <w:pPr>
        <w:pageBreakBefore w:val="0"/>
        <w:numPr>
          <w:ilvl w:val="0"/>
          <w:numId w:val="0"/>
        </w:numPr>
        <w:kinsoku/>
        <w:wordWrap/>
        <w:overflowPunct/>
        <w:autoSpaceDE w:val="0"/>
        <w:autoSpaceDN w:val="0"/>
        <w:bidi w:val="0"/>
        <w:adjustRightInd w:val="0"/>
        <w:snapToGrid w:val="0"/>
        <w:spacing w:line="560" w:lineRule="exact"/>
        <w:ind w:leftChars="200" w:right="0" w:rightChars="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lang w:val="en-US" w:eastAsia="zh-CN"/>
        </w:rPr>
        <w:t xml:space="preserve">1.4.3.3 </w:t>
      </w:r>
      <w:r>
        <w:rPr>
          <w:rFonts w:hint="eastAsia" w:ascii="方正仿宋简体" w:hAnsi="方正仿宋简体" w:eastAsia="方正仿宋简体" w:cs="方正仿宋简体"/>
          <w:b w:val="0"/>
          <w:bCs/>
          <w:color w:val="auto"/>
          <w:kern w:val="0"/>
          <w:position w:val="-1"/>
          <w:sz w:val="30"/>
          <w:szCs w:val="30"/>
          <w:highlight w:val="none"/>
        </w:rPr>
        <w:t>为本项目的监理人；</w:t>
      </w:r>
    </w:p>
    <w:p>
      <w:pPr>
        <w:pageBreakBefore w:val="0"/>
        <w:numPr>
          <w:ilvl w:val="0"/>
          <w:numId w:val="0"/>
        </w:numPr>
        <w:kinsoku/>
        <w:wordWrap/>
        <w:overflowPunct/>
        <w:autoSpaceDE w:val="0"/>
        <w:autoSpaceDN w:val="0"/>
        <w:bidi w:val="0"/>
        <w:adjustRightInd w:val="0"/>
        <w:snapToGrid w:val="0"/>
        <w:spacing w:line="560" w:lineRule="exact"/>
        <w:ind w:leftChars="200" w:right="0" w:rightChars="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lang w:val="en-US" w:eastAsia="zh-CN"/>
        </w:rPr>
        <w:t>1.4.3.4</w:t>
      </w:r>
      <w:r>
        <w:rPr>
          <w:rFonts w:hint="eastAsia" w:ascii="方正仿宋简体" w:hAnsi="方正仿宋简体" w:eastAsia="方正仿宋简体" w:cs="方正仿宋简体"/>
          <w:b w:val="0"/>
          <w:bCs/>
          <w:color w:val="auto"/>
          <w:kern w:val="0"/>
          <w:position w:val="-1"/>
          <w:sz w:val="30"/>
          <w:szCs w:val="30"/>
          <w:highlight w:val="none"/>
        </w:rPr>
        <w:t>为本项目的代建人；</w:t>
      </w:r>
    </w:p>
    <w:p>
      <w:pPr>
        <w:pageBreakBefore w:val="0"/>
        <w:numPr>
          <w:ilvl w:val="0"/>
          <w:numId w:val="0"/>
        </w:numPr>
        <w:kinsoku/>
        <w:wordWrap/>
        <w:overflowPunct/>
        <w:autoSpaceDE w:val="0"/>
        <w:autoSpaceDN w:val="0"/>
        <w:bidi w:val="0"/>
        <w:adjustRightInd w:val="0"/>
        <w:snapToGrid w:val="0"/>
        <w:spacing w:line="560" w:lineRule="exact"/>
        <w:ind w:leftChars="200" w:right="0" w:rightChars="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lang w:val="en-US" w:eastAsia="zh-CN"/>
        </w:rPr>
        <w:t xml:space="preserve">1.4.3.5 </w:t>
      </w:r>
      <w:r>
        <w:rPr>
          <w:rFonts w:hint="eastAsia" w:ascii="方正仿宋简体" w:hAnsi="方正仿宋简体" w:eastAsia="方正仿宋简体" w:cs="方正仿宋简体"/>
          <w:b w:val="0"/>
          <w:bCs/>
          <w:color w:val="auto"/>
          <w:kern w:val="0"/>
          <w:position w:val="-1"/>
          <w:sz w:val="30"/>
          <w:szCs w:val="30"/>
          <w:highlight w:val="none"/>
        </w:rPr>
        <w:t>为本项目提供招标代理服务的；</w:t>
      </w:r>
    </w:p>
    <w:p>
      <w:pPr>
        <w:pageBreakBefore w:val="0"/>
        <w:numPr>
          <w:ilvl w:val="0"/>
          <w:numId w:val="0"/>
        </w:numPr>
        <w:kinsoku/>
        <w:wordWrap/>
        <w:overflowPunct/>
        <w:autoSpaceDE w:val="0"/>
        <w:autoSpaceDN w:val="0"/>
        <w:bidi w:val="0"/>
        <w:adjustRightInd w:val="0"/>
        <w:snapToGrid w:val="0"/>
        <w:spacing w:line="560" w:lineRule="exact"/>
        <w:ind w:leftChars="200" w:right="0" w:rightChars="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lang w:val="en-US" w:eastAsia="zh-CN"/>
        </w:rPr>
        <w:t xml:space="preserve">1.4.3.6 </w:t>
      </w:r>
      <w:r>
        <w:rPr>
          <w:rFonts w:hint="eastAsia" w:ascii="方正仿宋简体" w:hAnsi="方正仿宋简体" w:eastAsia="方正仿宋简体" w:cs="方正仿宋简体"/>
          <w:b w:val="0"/>
          <w:bCs/>
          <w:color w:val="auto"/>
          <w:kern w:val="0"/>
          <w:position w:val="-1"/>
          <w:sz w:val="30"/>
          <w:szCs w:val="30"/>
          <w:highlight w:val="none"/>
        </w:rPr>
        <w:t>与本项目的监理人或代建人或招标代理机构同为一个法定代表人的；</w:t>
      </w:r>
    </w:p>
    <w:p>
      <w:pPr>
        <w:pageBreakBefore w:val="0"/>
        <w:numPr>
          <w:ilvl w:val="0"/>
          <w:numId w:val="0"/>
        </w:numPr>
        <w:kinsoku/>
        <w:wordWrap/>
        <w:overflowPunct/>
        <w:autoSpaceDE w:val="0"/>
        <w:autoSpaceDN w:val="0"/>
        <w:bidi w:val="0"/>
        <w:adjustRightInd w:val="0"/>
        <w:snapToGrid w:val="0"/>
        <w:spacing w:line="560" w:lineRule="exact"/>
        <w:ind w:leftChars="200" w:right="0" w:rightChars="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lang w:val="en-US" w:eastAsia="zh-CN"/>
        </w:rPr>
        <w:t xml:space="preserve">1.4.3.7 </w:t>
      </w:r>
      <w:r>
        <w:rPr>
          <w:rFonts w:hint="eastAsia" w:ascii="方正仿宋简体" w:hAnsi="方正仿宋简体" w:eastAsia="方正仿宋简体" w:cs="方正仿宋简体"/>
          <w:b w:val="0"/>
          <w:bCs/>
          <w:color w:val="auto"/>
          <w:kern w:val="0"/>
          <w:position w:val="-1"/>
          <w:sz w:val="30"/>
          <w:szCs w:val="30"/>
          <w:highlight w:val="none"/>
        </w:rPr>
        <w:t>与本项目的监理人或代建人或招标代理机构相互控股或参股的；</w:t>
      </w:r>
    </w:p>
    <w:p>
      <w:pPr>
        <w:pageBreakBefore w:val="0"/>
        <w:numPr>
          <w:ilvl w:val="0"/>
          <w:numId w:val="0"/>
        </w:numPr>
        <w:kinsoku/>
        <w:wordWrap/>
        <w:overflowPunct/>
        <w:autoSpaceDE w:val="0"/>
        <w:autoSpaceDN w:val="0"/>
        <w:bidi w:val="0"/>
        <w:adjustRightInd w:val="0"/>
        <w:snapToGrid w:val="0"/>
        <w:spacing w:line="560" w:lineRule="exact"/>
        <w:ind w:leftChars="200" w:right="0" w:rightChars="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lang w:val="en-US" w:eastAsia="zh-CN"/>
        </w:rPr>
        <w:t xml:space="preserve">1.4.3.8 </w:t>
      </w:r>
      <w:r>
        <w:rPr>
          <w:rFonts w:hint="eastAsia" w:ascii="方正仿宋简体" w:hAnsi="方正仿宋简体" w:eastAsia="方正仿宋简体" w:cs="方正仿宋简体"/>
          <w:b w:val="0"/>
          <w:bCs/>
          <w:color w:val="auto"/>
          <w:kern w:val="0"/>
          <w:position w:val="-1"/>
          <w:sz w:val="30"/>
          <w:szCs w:val="30"/>
          <w:highlight w:val="none"/>
        </w:rPr>
        <w:t>与本项目的监理人或代建人或招标代理机构相互任职或工作的；</w:t>
      </w:r>
    </w:p>
    <w:p>
      <w:pPr>
        <w:pageBreakBefore w:val="0"/>
        <w:numPr>
          <w:ilvl w:val="0"/>
          <w:numId w:val="0"/>
        </w:numPr>
        <w:kinsoku/>
        <w:wordWrap/>
        <w:overflowPunct/>
        <w:autoSpaceDE w:val="0"/>
        <w:autoSpaceDN w:val="0"/>
        <w:bidi w:val="0"/>
        <w:adjustRightInd w:val="0"/>
        <w:snapToGrid w:val="0"/>
        <w:spacing w:line="560" w:lineRule="exact"/>
        <w:ind w:leftChars="200" w:right="0" w:rightChars="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rPr>
        <w:t>被责令停业的；</w:t>
      </w:r>
    </w:p>
    <w:p>
      <w:pPr>
        <w:pageBreakBefore w:val="0"/>
        <w:numPr>
          <w:ilvl w:val="0"/>
          <w:numId w:val="0"/>
        </w:numPr>
        <w:kinsoku/>
        <w:wordWrap/>
        <w:overflowPunct/>
        <w:autoSpaceDE w:val="0"/>
        <w:autoSpaceDN w:val="0"/>
        <w:bidi w:val="0"/>
        <w:adjustRightInd w:val="0"/>
        <w:snapToGrid w:val="0"/>
        <w:spacing w:line="560" w:lineRule="exact"/>
        <w:ind w:leftChars="200" w:right="0" w:rightChars="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lang w:val="en-US" w:eastAsia="zh-CN"/>
        </w:rPr>
        <w:t xml:space="preserve">1.4.3.9 </w:t>
      </w:r>
      <w:r>
        <w:rPr>
          <w:rFonts w:hint="eastAsia" w:ascii="方正仿宋简体" w:hAnsi="方正仿宋简体" w:eastAsia="方正仿宋简体" w:cs="方正仿宋简体"/>
          <w:b w:val="0"/>
          <w:bCs/>
          <w:color w:val="auto"/>
          <w:kern w:val="0"/>
          <w:position w:val="-1"/>
          <w:sz w:val="30"/>
          <w:szCs w:val="30"/>
          <w:highlight w:val="none"/>
        </w:rPr>
        <w:t>被暂停或取消投标资格的；</w:t>
      </w:r>
    </w:p>
    <w:p>
      <w:pPr>
        <w:pageBreakBefore w:val="0"/>
        <w:numPr>
          <w:ilvl w:val="0"/>
          <w:numId w:val="0"/>
        </w:numPr>
        <w:kinsoku/>
        <w:wordWrap/>
        <w:overflowPunct/>
        <w:autoSpaceDE w:val="0"/>
        <w:autoSpaceDN w:val="0"/>
        <w:bidi w:val="0"/>
        <w:adjustRightInd w:val="0"/>
        <w:snapToGrid w:val="0"/>
        <w:spacing w:line="560" w:lineRule="exact"/>
        <w:ind w:leftChars="200" w:right="0" w:rightChars="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lang w:val="en-US" w:eastAsia="zh-CN"/>
        </w:rPr>
        <w:t xml:space="preserve">1.4.3.10 </w:t>
      </w:r>
      <w:r>
        <w:rPr>
          <w:rFonts w:hint="eastAsia" w:ascii="方正仿宋简体" w:hAnsi="方正仿宋简体" w:eastAsia="方正仿宋简体" w:cs="方正仿宋简体"/>
          <w:b w:val="0"/>
          <w:bCs/>
          <w:color w:val="auto"/>
          <w:kern w:val="0"/>
          <w:position w:val="-1"/>
          <w:sz w:val="30"/>
          <w:szCs w:val="30"/>
          <w:highlight w:val="none"/>
        </w:rPr>
        <w:t>财产被接管或冻结的；</w:t>
      </w:r>
    </w:p>
    <w:p>
      <w:pPr>
        <w:pageBreakBefore w:val="0"/>
        <w:numPr>
          <w:ilvl w:val="0"/>
          <w:numId w:val="0"/>
        </w:numPr>
        <w:kinsoku/>
        <w:wordWrap/>
        <w:overflowPunct/>
        <w:autoSpaceDE w:val="0"/>
        <w:autoSpaceDN w:val="0"/>
        <w:bidi w:val="0"/>
        <w:adjustRightInd w:val="0"/>
        <w:snapToGrid w:val="0"/>
        <w:spacing w:line="560" w:lineRule="exact"/>
        <w:ind w:leftChars="200" w:right="0" w:rightChars="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lang w:val="en-US" w:eastAsia="zh-CN"/>
        </w:rPr>
        <w:t xml:space="preserve">1.4.3.11 </w:t>
      </w:r>
      <w:r>
        <w:rPr>
          <w:rFonts w:hint="eastAsia" w:ascii="方正仿宋简体" w:hAnsi="方正仿宋简体" w:eastAsia="方正仿宋简体" w:cs="方正仿宋简体"/>
          <w:b w:val="0"/>
          <w:bCs/>
          <w:color w:val="auto"/>
          <w:kern w:val="0"/>
          <w:position w:val="-1"/>
          <w:sz w:val="30"/>
          <w:szCs w:val="30"/>
          <w:highlight w:val="none"/>
        </w:rPr>
        <w:t>在最近三年内有骗取中标或严重违约或重大工程质量问题的。</w:t>
      </w:r>
    </w:p>
    <w:p>
      <w:pPr>
        <w:pStyle w:val="142"/>
        <w:pageBreakBefore w:val="0"/>
        <w:numPr>
          <w:ilvl w:val="2"/>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46" w:name="_Toc27182"/>
      <w:r>
        <w:rPr>
          <w:rFonts w:hint="eastAsia" w:ascii="方正仿宋简体" w:hAnsi="方正仿宋简体" w:eastAsia="方正仿宋简体" w:cs="方正仿宋简体"/>
          <w:b w:val="0"/>
          <w:bCs/>
          <w:color w:val="auto"/>
          <w:sz w:val="30"/>
          <w:szCs w:val="30"/>
          <w:highlight w:val="none"/>
        </w:rPr>
        <w:t>费用承担</w:t>
      </w:r>
      <w:bookmarkEnd w:id="46"/>
    </w:p>
    <w:p>
      <w:pPr>
        <w:pageBreakBefore w:val="0"/>
        <w:kinsoku/>
        <w:wordWrap/>
        <w:overflowPunct/>
        <w:autoSpaceDE w:val="0"/>
        <w:autoSpaceDN w:val="0"/>
        <w:bidi w:val="0"/>
        <w:adjustRightInd w:val="0"/>
        <w:snapToGri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投标人准备和参加投标活动发生的费用自理。</w:t>
      </w:r>
    </w:p>
    <w:p>
      <w:pPr>
        <w:pStyle w:val="142"/>
        <w:pageBreakBefore w:val="0"/>
        <w:numPr>
          <w:ilvl w:val="2"/>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47" w:name="_Toc9358"/>
      <w:r>
        <w:rPr>
          <w:rFonts w:hint="eastAsia" w:ascii="方正仿宋简体" w:hAnsi="方正仿宋简体" w:eastAsia="方正仿宋简体" w:cs="方正仿宋简体"/>
          <w:b w:val="0"/>
          <w:bCs/>
          <w:color w:val="auto"/>
          <w:sz w:val="30"/>
          <w:szCs w:val="30"/>
          <w:highlight w:val="none"/>
        </w:rPr>
        <w:t>保密</w:t>
      </w:r>
      <w:bookmarkEnd w:id="47"/>
    </w:p>
    <w:p>
      <w:pPr>
        <w:pageBreakBefore w:val="0"/>
        <w:kinsoku/>
        <w:wordWrap/>
        <w:overflowPunct/>
        <w:autoSpaceDE w:val="0"/>
        <w:autoSpaceDN w:val="0"/>
        <w:bidi w:val="0"/>
        <w:adjustRightInd w:val="0"/>
        <w:snapToGri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参与招标投标活动的各方应对谈判文件和谈判文件中的商业和技术等秘密保密，违者应对由此造成的后果承担法律责任。</w:t>
      </w:r>
    </w:p>
    <w:p>
      <w:pPr>
        <w:pStyle w:val="142"/>
        <w:pageBreakBefore w:val="0"/>
        <w:numPr>
          <w:ilvl w:val="2"/>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48" w:name="_Toc1813"/>
      <w:r>
        <w:rPr>
          <w:rFonts w:hint="eastAsia" w:ascii="方正仿宋简体" w:hAnsi="方正仿宋简体" w:eastAsia="方正仿宋简体" w:cs="方正仿宋简体"/>
          <w:b w:val="0"/>
          <w:bCs/>
          <w:color w:val="auto"/>
          <w:sz w:val="30"/>
          <w:szCs w:val="30"/>
          <w:highlight w:val="none"/>
        </w:rPr>
        <w:t>语言文字</w:t>
      </w:r>
      <w:bookmarkEnd w:id="48"/>
    </w:p>
    <w:p>
      <w:pPr>
        <w:pageBreakBefore w:val="0"/>
        <w:kinsoku/>
        <w:wordWrap/>
        <w:overflowPunct/>
        <w:autoSpaceDE w:val="0"/>
        <w:autoSpaceDN w:val="0"/>
        <w:bidi w:val="0"/>
        <w:adjustRightInd w:val="0"/>
        <w:snapToGri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除专用术语外，与招标投标有关的语言均使用中文。必要时专用术语应附有中文注释。</w:t>
      </w:r>
    </w:p>
    <w:p>
      <w:pPr>
        <w:pStyle w:val="142"/>
        <w:pageBreakBefore w:val="0"/>
        <w:numPr>
          <w:ilvl w:val="2"/>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49" w:name="_Toc6335"/>
      <w:r>
        <w:rPr>
          <w:rFonts w:hint="eastAsia" w:ascii="方正仿宋简体" w:hAnsi="方正仿宋简体" w:eastAsia="方正仿宋简体" w:cs="方正仿宋简体"/>
          <w:b w:val="0"/>
          <w:bCs/>
          <w:color w:val="auto"/>
          <w:sz w:val="30"/>
          <w:szCs w:val="30"/>
          <w:highlight w:val="none"/>
        </w:rPr>
        <w:t>计量单位</w:t>
      </w:r>
      <w:bookmarkEnd w:id="49"/>
    </w:p>
    <w:p>
      <w:pPr>
        <w:pageBreakBefore w:val="0"/>
        <w:kinsoku/>
        <w:wordWrap/>
        <w:overflowPunct/>
        <w:autoSpaceDE w:val="0"/>
        <w:autoSpaceDN w:val="0"/>
        <w:bidi w:val="0"/>
        <w:adjustRightInd w:val="0"/>
        <w:snapToGri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所有计量均采用中华人民共和国法定计量单位。</w:t>
      </w:r>
    </w:p>
    <w:p>
      <w:pPr>
        <w:pStyle w:val="142"/>
        <w:pageBreakBefore w:val="0"/>
        <w:numPr>
          <w:ilvl w:val="2"/>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50" w:name="_Toc11635"/>
      <w:r>
        <w:rPr>
          <w:rFonts w:hint="eastAsia" w:ascii="方正仿宋简体" w:hAnsi="方正仿宋简体" w:eastAsia="方正仿宋简体" w:cs="方正仿宋简体"/>
          <w:b w:val="0"/>
          <w:bCs/>
          <w:color w:val="auto"/>
          <w:sz w:val="30"/>
          <w:szCs w:val="30"/>
          <w:highlight w:val="none"/>
        </w:rPr>
        <w:t>踏勘现场</w:t>
      </w:r>
      <w:bookmarkEnd w:id="50"/>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51" w:name="_Toc29162"/>
      <w:r>
        <w:rPr>
          <w:rFonts w:hint="eastAsia" w:ascii="方正仿宋简体" w:hAnsi="方正仿宋简体" w:eastAsia="方正仿宋简体" w:cs="方正仿宋简体"/>
          <w:b w:val="0"/>
          <w:bCs/>
          <w:color w:val="auto"/>
          <w:sz w:val="30"/>
          <w:szCs w:val="30"/>
          <w:highlight w:val="none"/>
        </w:rPr>
        <w:t>投标人须知前附表规定组织踏勘现场的，招标人按投标人须知前附表规定的时间、地点组织投标人踏勘项目现场。</w:t>
      </w:r>
      <w:bookmarkEnd w:id="51"/>
    </w:p>
    <w:p>
      <w:pPr>
        <w:pageBreakBefore w:val="0"/>
        <w:numPr>
          <w:ilvl w:val="0"/>
          <w:numId w:val="0"/>
        </w:numPr>
        <w:kinsoku/>
        <w:wordWrap/>
        <w:overflowPunct/>
        <w:autoSpaceDE w:val="0"/>
        <w:autoSpaceDN w:val="0"/>
        <w:bidi w:val="0"/>
        <w:adjustRightInd w:val="0"/>
        <w:snapToGrid w:val="0"/>
        <w:spacing w:line="560" w:lineRule="exact"/>
        <w:ind w:leftChars="200" w:right="0" w:rightChars="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lang w:val="en-US" w:eastAsia="zh-CN"/>
        </w:rPr>
        <w:t xml:space="preserve">1.9.1.1 </w:t>
      </w:r>
      <w:r>
        <w:rPr>
          <w:rFonts w:hint="eastAsia" w:ascii="方正仿宋简体" w:hAnsi="方正仿宋简体" w:eastAsia="方正仿宋简体" w:cs="方正仿宋简体"/>
          <w:b w:val="0"/>
          <w:bCs/>
          <w:color w:val="auto"/>
          <w:kern w:val="0"/>
          <w:position w:val="-1"/>
          <w:sz w:val="30"/>
          <w:szCs w:val="30"/>
          <w:highlight w:val="none"/>
        </w:rPr>
        <w:t>投标人踏勘现场发生的费用自理。</w:t>
      </w:r>
    </w:p>
    <w:p>
      <w:pPr>
        <w:pageBreakBefore w:val="0"/>
        <w:numPr>
          <w:ilvl w:val="0"/>
          <w:numId w:val="0"/>
        </w:numPr>
        <w:kinsoku/>
        <w:wordWrap/>
        <w:overflowPunct/>
        <w:autoSpaceDE w:val="0"/>
        <w:autoSpaceDN w:val="0"/>
        <w:bidi w:val="0"/>
        <w:adjustRightInd w:val="0"/>
        <w:snapToGrid w:val="0"/>
        <w:spacing w:line="560" w:lineRule="exact"/>
        <w:ind w:leftChars="200" w:right="0" w:rightChars="0"/>
        <w:jc w:val="left"/>
        <w:rPr>
          <w:rFonts w:hint="eastAsia" w:ascii="方正仿宋简体" w:hAnsi="方正仿宋简体" w:eastAsia="方正仿宋简体" w:cs="方正仿宋简体"/>
          <w:b w:val="0"/>
          <w:bCs/>
          <w:color w:val="auto"/>
          <w:kern w:val="0"/>
          <w:position w:val="-1"/>
          <w:sz w:val="30"/>
          <w:szCs w:val="30"/>
          <w:highlight w:val="none"/>
        </w:rPr>
      </w:pPr>
      <w:r>
        <w:rPr>
          <w:rFonts w:hint="eastAsia" w:ascii="方正仿宋简体" w:hAnsi="方正仿宋简体" w:eastAsia="方正仿宋简体" w:cs="方正仿宋简体"/>
          <w:b w:val="0"/>
          <w:bCs/>
          <w:color w:val="auto"/>
          <w:kern w:val="0"/>
          <w:position w:val="-1"/>
          <w:sz w:val="30"/>
          <w:szCs w:val="30"/>
          <w:highlight w:val="none"/>
          <w:lang w:val="en-US" w:eastAsia="zh-CN"/>
        </w:rPr>
        <w:t xml:space="preserve">1.9.1.2 </w:t>
      </w:r>
      <w:r>
        <w:rPr>
          <w:rFonts w:hint="eastAsia" w:ascii="方正仿宋简体" w:hAnsi="方正仿宋简体" w:eastAsia="方正仿宋简体" w:cs="方正仿宋简体"/>
          <w:b w:val="0"/>
          <w:bCs/>
          <w:color w:val="auto"/>
          <w:kern w:val="0"/>
          <w:position w:val="-1"/>
          <w:sz w:val="30"/>
          <w:szCs w:val="30"/>
          <w:highlight w:val="none"/>
        </w:rPr>
        <w:t>除招标人的原因外，投标人自行负责在踏勘现场中所发生的人员伤亡和财产损失。</w:t>
      </w:r>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52" w:name="_Toc15803"/>
      <w:r>
        <w:rPr>
          <w:rFonts w:hint="eastAsia" w:ascii="方正仿宋简体" w:hAnsi="方正仿宋简体" w:eastAsia="方正仿宋简体" w:cs="方正仿宋简体"/>
          <w:b w:val="0"/>
          <w:bCs/>
          <w:color w:val="auto"/>
          <w:sz w:val="30"/>
          <w:szCs w:val="30"/>
          <w:highlight w:val="none"/>
        </w:rPr>
        <w:t>招标人在踏勘现场中介绍的工程场地和相关的周边环境情况，供投标人在编制谈判文件时参考，招标人不对投标人据此作出的判断和决策负责。</w:t>
      </w:r>
      <w:bookmarkEnd w:id="52"/>
    </w:p>
    <w:p>
      <w:pPr>
        <w:pStyle w:val="142"/>
        <w:pageBreakBefore w:val="0"/>
        <w:numPr>
          <w:ilvl w:val="2"/>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53" w:name="_Toc27608"/>
      <w:r>
        <w:rPr>
          <w:rFonts w:hint="eastAsia" w:ascii="方正仿宋简体" w:hAnsi="方正仿宋简体" w:eastAsia="方正仿宋简体" w:cs="方正仿宋简体"/>
          <w:b w:val="0"/>
          <w:bCs/>
          <w:color w:val="auto"/>
          <w:sz w:val="30"/>
          <w:szCs w:val="30"/>
          <w:highlight w:val="none"/>
        </w:rPr>
        <w:t>投标预备会(如适用)</w:t>
      </w:r>
      <w:bookmarkEnd w:id="53"/>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54" w:name="_Toc21829"/>
      <w:r>
        <w:rPr>
          <w:rFonts w:hint="eastAsia" w:ascii="方正仿宋简体" w:hAnsi="方正仿宋简体" w:eastAsia="方正仿宋简体" w:cs="方正仿宋简体"/>
          <w:b w:val="0"/>
          <w:bCs/>
          <w:color w:val="auto"/>
          <w:sz w:val="30"/>
          <w:szCs w:val="30"/>
          <w:highlight w:val="none"/>
        </w:rPr>
        <w:t>投标人须知前附表规定召开投标预备会的，招标人按投标人须知前附表规定的时间和地点召开投标预备会，澄清投标人提出的问题。</w:t>
      </w:r>
      <w:bookmarkEnd w:id="54"/>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55" w:name="_Toc1128"/>
      <w:r>
        <w:rPr>
          <w:rFonts w:hint="eastAsia" w:ascii="方正仿宋简体" w:hAnsi="方正仿宋简体" w:eastAsia="方正仿宋简体" w:cs="方正仿宋简体"/>
          <w:b w:val="0"/>
          <w:bCs/>
          <w:color w:val="auto"/>
          <w:sz w:val="30"/>
          <w:szCs w:val="30"/>
          <w:highlight w:val="none"/>
        </w:rPr>
        <w:t>投标人应在投标人须知前附表规定的时间前，以书面形式将提出的问题送达招标人，以便招标人在会议期间澄清。</w:t>
      </w:r>
      <w:bookmarkEnd w:id="55"/>
    </w:p>
    <w:p>
      <w:pPr>
        <w:pStyle w:val="142"/>
        <w:pageBreakBefore w:val="0"/>
        <w:numPr>
          <w:ilvl w:val="3"/>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56" w:name="_Toc8367"/>
      <w:r>
        <w:rPr>
          <w:rFonts w:hint="eastAsia" w:ascii="方正仿宋简体" w:hAnsi="方正仿宋简体" w:eastAsia="方正仿宋简体" w:cs="方正仿宋简体"/>
          <w:b w:val="0"/>
          <w:bCs/>
          <w:color w:val="auto"/>
          <w:sz w:val="30"/>
          <w:szCs w:val="30"/>
          <w:highlight w:val="none"/>
        </w:rPr>
        <w:t>投标预备会后，招标人在投标人须知前附表规定的时间内，将对投标人所提问题的澄清，以书面方式通知所有购买谈判文件的投标人。该澄清内容为谈判文件的组成部分。</w:t>
      </w:r>
      <w:bookmarkEnd w:id="56"/>
    </w:p>
    <w:p>
      <w:pPr>
        <w:pStyle w:val="142"/>
        <w:pageBreakBefore w:val="0"/>
        <w:numPr>
          <w:ilvl w:val="2"/>
          <w:numId w:val="9"/>
        </w:numPr>
        <w:tabs>
          <w:tab w:val="clear" w:pos="360"/>
        </w:tabs>
        <w:kinsoku/>
        <w:wordWrap/>
        <w:overflowPunct/>
        <w:bidi w:val="0"/>
        <w:spacing w:line="560" w:lineRule="exact"/>
        <w:ind w:left="0" w:leftChars="0" w:right="0" w:rightChars="0" w:firstLine="608" w:firstLineChars="200"/>
        <w:rPr>
          <w:rFonts w:hint="eastAsia" w:ascii="方正仿宋简体" w:hAnsi="方正仿宋简体" w:eastAsia="方正仿宋简体" w:cs="方正仿宋简体"/>
          <w:b w:val="0"/>
          <w:bCs/>
          <w:color w:val="auto"/>
          <w:sz w:val="30"/>
          <w:szCs w:val="30"/>
          <w:highlight w:val="none"/>
        </w:rPr>
      </w:pPr>
      <w:bookmarkStart w:id="57" w:name="_Toc19189"/>
      <w:r>
        <w:rPr>
          <w:rFonts w:hint="eastAsia" w:ascii="方正仿宋简体" w:hAnsi="方正仿宋简体" w:eastAsia="方正仿宋简体" w:cs="方正仿宋简体"/>
          <w:b w:val="0"/>
          <w:bCs/>
          <w:color w:val="auto"/>
          <w:sz w:val="30"/>
          <w:szCs w:val="30"/>
          <w:highlight w:val="none"/>
        </w:rPr>
        <w:t>分包</w:t>
      </w:r>
      <w:bookmarkEnd w:id="57"/>
    </w:p>
    <w:p>
      <w:pPr>
        <w:pageBreakBefore w:val="0"/>
        <w:kinsoku/>
        <w:wordWrap/>
        <w:overflowPunct/>
        <w:autoSpaceDE w:val="0"/>
        <w:autoSpaceDN w:val="0"/>
        <w:bidi w:val="0"/>
        <w:adjustRightInd w:val="0"/>
        <w:snapToGri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投标人拟在中标后将中标项目的部分非主体</w:t>
      </w:r>
      <w:r>
        <w:rPr>
          <w:rFonts w:hint="eastAsia" w:ascii="方正仿宋简体" w:hAnsi="方正仿宋简体" w:eastAsia="方正仿宋简体" w:cs="方正仿宋简体"/>
          <w:b w:val="0"/>
          <w:bCs/>
          <w:color w:val="auto"/>
          <w:spacing w:val="-16"/>
          <w:kern w:val="0"/>
          <w:sz w:val="30"/>
          <w:szCs w:val="30"/>
          <w:highlight w:val="none"/>
        </w:rPr>
        <w:t>、</w:t>
      </w:r>
      <w:r>
        <w:rPr>
          <w:rFonts w:hint="eastAsia" w:ascii="方正仿宋简体" w:hAnsi="方正仿宋简体" w:eastAsia="方正仿宋简体" w:cs="方正仿宋简体"/>
          <w:b w:val="0"/>
          <w:bCs/>
          <w:color w:val="auto"/>
          <w:kern w:val="0"/>
          <w:sz w:val="30"/>
          <w:szCs w:val="30"/>
          <w:highlight w:val="none"/>
        </w:rPr>
        <w:t>非关键性工作进行分包的</w:t>
      </w:r>
      <w:r>
        <w:rPr>
          <w:rFonts w:hint="eastAsia" w:ascii="方正仿宋简体" w:hAnsi="方正仿宋简体" w:eastAsia="方正仿宋简体" w:cs="方正仿宋简体"/>
          <w:b w:val="0"/>
          <w:bCs/>
          <w:color w:val="auto"/>
          <w:spacing w:val="-16"/>
          <w:kern w:val="0"/>
          <w:sz w:val="30"/>
          <w:szCs w:val="30"/>
          <w:highlight w:val="none"/>
        </w:rPr>
        <w:t>，</w:t>
      </w:r>
      <w:r>
        <w:rPr>
          <w:rFonts w:hint="eastAsia" w:ascii="方正仿宋简体" w:hAnsi="方正仿宋简体" w:eastAsia="方正仿宋简体" w:cs="方正仿宋简体"/>
          <w:b w:val="0"/>
          <w:bCs/>
          <w:color w:val="auto"/>
          <w:kern w:val="0"/>
          <w:sz w:val="30"/>
          <w:szCs w:val="30"/>
          <w:highlight w:val="none"/>
        </w:rPr>
        <w:t>应符合投标人须知前附表规定的分包内容、分包金额和接受分包的第三人资质要求等限制性条件。</w:t>
      </w:r>
    </w:p>
    <w:p>
      <w:pPr>
        <w:pStyle w:val="38"/>
        <w:pageBreakBefore w:val="0"/>
        <w:numPr>
          <w:ilvl w:val="0"/>
          <w:numId w:val="10"/>
        </w:numPr>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bookmarkStart w:id="58" w:name="_Toc6720"/>
      <w:r>
        <w:rPr>
          <w:rFonts w:hint="eastAsia" w:ascii="方正仿宋简体" w:hAnsi="方正仿宋简体" w:eastAsia="方正仿宋简体" w:cs="方正仿宋简体"/>
          <w:b w:val="0"/>
          <w:bCs/>
          <w:color w:val="auto"/>
          <w:sz w:val="30"/>
          <w:szCs w:val="30"/>
          <w:highlight w:val="none"/>
        </w:rPr>
        <w:t>谈判文件</w:t>
      </w:r>
      <w:bookmarkEnd w:id="58"/>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2.1 谈判文件构成</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谈判文件包括：</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 xml:space="preserve">2.1.1 </w:t>
      </w:r>
      <w:r>
        <w:rPr>
          <w:rFonts w:hint="eastAsia" w:ascii="方正仿宋简体" w:hAnsi="方正仿宋简体" w:eastAsia="方正仿宋简体" w:cs="方正仿宋简体"/>
          <w:b w:val="0"/>
          <w:bCs/>
          <w:color w:val="auto"/>
          <w:sz w:val="30"/>
          <w:szCs w:val="30"/>
          <w:highlight w:val="none"/>
        </w:rPr>
        <w:t>“谈判公告”</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 xml:space="preserve">2.1.2 </w:t>
      </w:r>
      <w:r>
        <w:rPr>
          <w:rFonts w:hint="eastAsia" w:ascii="方正仿宋简体" w:hAnsi="方正仿宋简体" w:eastAsia="方正仿宋简体" w:cs="方正仿宋简体"/>
          <w:b w:val="0"/>
          <w:bCs/>
          <w:color w:val="auto"/>
          <w:sz w:val="30"/>
          <w:szCs w:val="30"/>
          <w:highlight w:val="none"/>
        </w:rPr>
        <w:t>投标人须知</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 xml:space="preserve">2.1.3 </w:t>
      </w:r>
      <w:r>
        <w:rPr>
          <w:rFonts w:hint="eastAsia" w:ascii="方正仿宋简体" w:hAnsi="方正仿宋简体" w:eastAsia="方正仿宋简体" w:cs="方正仿宋简体"/>
          <w:b w:val="0"/>
          <w:bCs/>
          <w:color w:val="auto"/>
          <w:sz w:val="30"/>
          <w:szCs w:val="30"/>
          <w:highlight w:val="none"/>
        </w:rPr>
        <w:t>评标办法</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 xml:space="preserve">2.1.4 </w:t>
      </w:r>
      <w:r>
        <w:rPr>
          <w:rFonts w:hint="eastAsia" w:ascii="方正仿宋简体" w:hAnsi="方正仿宋简体" w:eastAsia="方正仿宋简体" w:cs="方正仿宋简体"/>
          <w:b w:val="0"/>
          <w:bCs/>
          <w:color w:val="auto"/>
          <w:sz w:val="30"/>
          <w:szCs w:val="30"/>
          <w:highlight w:val="none"/>
        </w:rPr>
        <w:t>合同条款及格式</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 xml:space="preserve">2.1.5 </w:t>
      </w:r>
      <w:r>
        <w:rPr>
          <w:rFonts w:hint="eastAsia" w:ascii="方正仿宋简体" w:hAnsi="方正仿宋简体" w:eastAsia="方正仿宋简体" w:cs="方正仿宋简体"/>
          <w:b w:val="0"/>
          <w:bCs/>
          <w:color w:val="auto"/>
          <w:sz w:val="30"/>
          <w:szCs w:val="30"/>
          <w:highlight w:val="none"/>
        </w:rPr>
        <w:t>谈判文件格式</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 xml:space="preserve">2.1.6 </w:t>
      </w:r>
      <w:r>
        <w:rPr>
          <w:rFonts w:hint="eastAsia" w:ascii="方正仿宋简体" w:hAnsi="方正仿宋简体" w:eastAsia="方正仿宋简体" w:cs="方正仿宋简体"/>
          <w:b w:val="0"/>
          <w:bCs/>
          <w:color w:val="auto"/>
          <w:sz w:val="30"/>
          <w:szCs w:val="30"/>
          <w:highlight w:val="none"/>
        </w:rPr>
        <w:t>技术要求</w:t>
      </w:r>
    </w:p>
    <w:p>
      <w:pPr>
        <w:pageBreakBefore w:val="0"/>
        <w:kinsoku/>
        <w:wordWrap/>
        <w:overflowPunct/>
        <w:autoSpaceDE w:val="0"/>
        <w:autoSpaceDN w:val="0"/>
        <w:bidi w:val="0"/>
        <w:adjustRightIn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根据本章规定对谈判文件所做的澄清</w:t>
      </w:r>
      <w:r>
        <w:rPr>
          <w:rFonts w:hint="eastAsia" w:ascii="方正仿宋简体" w:hAnsi="方正仿宋简体" w:eastAsia="方正仿宋简体" w:cs="方正仿宋简体"/>
          <w:b w:val="0"/>
          <w:bCs/>
          <w:color w:val="auto"/>
          <w:spacing w:val="-14"/>
          <w:kern w:val="0"/>
          <w:sz w:val="30"/>
          <w:szCs w:val="30"/>
          <w:highlight w:val="none"/>
        </w:rPr>
        <w:t>、</w:t>
      </w:r>
      <w:r>
        <w:rPr>
          <w:rFonts w:hint="eastAsia" w:ascii="方正仿宋简体" w:hAnsi="方正仿宋简体" w:eastAsia="方正仿宋简体" w:cs="方正仿宋简体"/>
          <w:b w:val="0"/>
          <w:bCs/>
          <w:color w:val="auto"/>
          <w:kern w:val="0"/>
          <w:sz w:val="30"/>
          <w:szCs w:val="30"/>
          <w:highlight w:val="none"/>
        </w:rPr>
        <w:t>修改</w:t>
      </w:r>
      <w:r>
        <w:rPr>
          <w:rFonts w:hint="eastAsia" w:ascii="方正仿宋简体" w:hAnsi="方正仿宋简体" w:eastAsia="方正仿宋简体" w:cs="方正仿宋简体"/>
          <w:b w:val="0"/>
          <w:bCs/>
          <w:color w:val="auto"/>
          <w:spacing w:val="-13"/>
          <w:kern w:val="0"/>
          <w:sz w:val="30"/>
          <w:szCs w:val="30"/>
          <w:highlight w:val="none"/>
        </w:rPr>
        <w:t>，</w:t>
      </w:r>
      <w:r>
        <w:rPr>
          <w:rFonts w:hint="eastAsia" w:ascii="方正仿宋简体" w:hAnsi="方正仿宋简体" w:eastAsia="方正仿宋简体" w:cs="方正仿宋简体"/>
          <w:b w:val="0"/>
          <w:bCs/>
          <w:color w:val="auto"/>
          <w:kern w:val="0"/>
          <w:sz w:val="30"/>
          <w:szCs w:val="30"/>
          <w:highlight w:val="none"/>
        </w:rPr>
        <w:t>构成谈判文件的组成部分。</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2.2 谈判文件的澄清</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2.2.1 投标人应仔细阅读和检查谈判文件的全部内容。如发现缺页或附件不全，应及时 向招标人提出，以便补齐。如有疑问，应在投标截止时间</w:t>
      </w:r>
      <w:r>
        <w:rPr>
          <w:rFonts w:hint="eastAsia" w:ascii="方正仿宋简体" w:hAnsi="方正仿宋简体" w:eastAsia="方正仿宋简体" w:cs="方正仿宋简体"/>
          <w:b w:val="0"/>
          <w:bCs/>
          <w:color w:val="auto"/>
          <w:sz w:val="30"/>
          <w:szCs w:val="30"/>
          <w:highlight w:val="none"/>
          <w:u w:val="single"/>
        </w:rPr>
        <w:t xml:space="preserve"> 5 </w:t>
      </w:r>
      <w:r>
        <w:rPr>
          <w:rFonts w:hint="eastAsia" w:ascii="方正仿宋简体" w:hAnsi="方正仿宋简体" w:eastAsia="方正仿宋简体" w:cs="方正仿宋简体"/>
          <w:b w:val="0"/>
          <w:bCs/>
          <w:color w:val="auto"/>
          <w:sz w:val="30"/>
          <w:szCs w:val="30"/>
          <w:highlight w:val="none"/>
        </w:rPr>
        <w:t>日前在“</w:t>
      </w:r>
      <w:r>
        <w:rPr>
          <w:rFonts w:hint="eastAsia" w:ascii="方正仿宋简体" w:hAnsi="方正仿宋简体" w:eastAsia="方正仿宋简体" w:cs="方正仿宋简体"/>
          <w:b w:val="0"/>
          <w:bCs/>
          <w:color w:val="auto"/>
          <w:sz w:val="30"/>
          <w:szCs w:val="30"/>
          <w:highlight w:val="none"/>
          <w:lang w:val="en-US" w:eastAsia="zh-CN"/>
        </w:rPr>
        <w:t>中煤易购</w:t>
      </w:r>
      <w:r>
        <w:rPr>
          <w:rFonts w:hint="eastAsia" w:ascii="方正仿宋简体" w:hAnsi="方正仿宋简体" w:eastAsia="方正仿宋简体" w:cs="方正仿宋简体"/>
          <w:b w:val="0"/>
          <w:bCs/>
          <w:color w:val="auto"/>
          <w:sz w:val="30"/>
          <w:szCs w:val="30"/>
          <w:highlight w:val="none"/>
        </w:rPr>
        <w:t>”系统澄清管理中提出澄清问题并通知招标人,招标人将在“</w:t>
      </w:r>
      <w:r>
        <w:rPr>
          <w:rFonts w:hint="eastAsia" w:ascii="方正仿宋简体" w:hAnsi="方正仿宋简体" w:eastAsia="方正仿宋简体" w:cs="方正仿宋简体"/>
          <w:b w:val="0"/>
          <w:bCs/>
          <w:color w:val="auto"/>
          <w:sz w:val="30"/>
          <w:szCs w:val="30"/>
          <w:highlight w:val="none"/>
          <w:lang w:val="en-US" w:eastAsia="zh-CN"/>
        </w:rPr>
        <w:t>中煤易购</w:t>
      </w:r>
      <w:r>
        <w:rPr>
          <w:rFonts w:hint="eastAsia" w:ascii="方正仿宋简体" w:hAnsi="方正仿宋简体" w:eastAsia="方正仿宋简体" w:cs="方正仿宋简体"/>
          <w:b w:val="0"/>
          <w:bCs/>
          <w:color w:val="auto"/>
          <w:sz w:val="30"/>
          <w:szCs w:val="30"/>
          <w:highlight w:val="none"/>
        </w:rPr>
        <w:t>”系统澄清管理中予以答复。</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2.2.2 谈判文件的澄清将在“</w:t>
      </w:r>
      <w:r>
        <w:rPr>
          <w:rFonts w:hint="eastAsia" w:ascii="方正仿宋简体" w:hAnsi="方正仿宋简体" w:eastAsia="方正仿宋简体" w:cs="方正仿宋简体"/>
          <w:b w:val="0"/>
          <w:bCs/>
          <w:color w:val="auto"/>
          <w:sz w:val="30"/>
          <w:szCs w:val="30"/>
          <w:highlight w:val="none"/>
          <w:lang w:eastAsia="zh-CN"/>
        </w:rPr>
        <w:t>中煤易购</w:t>
      </w:r>
      <w:r>
        <w:rPr>
          <w:rFonts w:hint="eastAsia" w:ascii="方正仿宋简体" w:hAnsi="方正仿宋简体" w:eastAsia="方正仿宋简体" w:cs="方正仿宋简体"/>
          <w:b w:val="0"/>
          <w:bCs/>
          <w:color w:val="auto"/>
          <w:sz w:val="30"/>
          <w:szCs w:val="30"/>
          <w:highlight w:val="none"/>
        </w:rPr>
        <w:t>”系统澄清管理中发给所有购买谈判文件的投标人，但不指明澄清问题的来源。如果谈判文件的澄清影响了谈判文件的编制，将根据实际情况相应延长投标截止时间。</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2.2.3投标人在收到澄清后，应确认已收到该澄清。</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2.3  谈判文件的修改</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2.3.1 在投标截止时间前，无论出于何种原因,招标人可主动地或在解答投标人提出的澄清问题时对谈判文件进行修改。如果修改谈判文件的时间影响了谈判文件的编制，将根据实际情况相应延长投标截止时间。</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2.3.2 谈判文件的修改将在</w:t>
      </w:r>
      <w:r>
        <w:rPr>
          <w:rFonts w:hint="eastAsia" w:ascii="方正仿宋简体" w:hAnsi="方正仿宋简体" w:eastAsia="方正仿宋简体" w:cs="方正仿宋简体"/>
          <w:b w:val="0"/>
          <w:bCs/>
          <w:color w:val="auto"/>
          <w:sz w:val="30"/>
          <w:szCs w:val="30"/>
          <w:highlight w:val="none"/>
          <w:lang w:eastAsia="zh-CN"/>
        </w:rPr>
        <w:t>中煤易购</w:t>
      </w:r>
      <w:r>
        <w:rPr>
          <w:rFonts w:hint="eastAsia" w:ascii="方正仿宋简体" w:hAnsi="方正仿宋简体" w:eastAsia="方正仿宋简体" w:cs="方正仿宋简体"/>
          <w:b w:val="0"/>
          <w:bCs/>
          <w:color w:val="auto"/>
          <w:sz w:val="30"/>
          <w:szCs w:val="30"/>
          <w:highlight w:val="none"/>
        </w:rPr>
        <w:t>系统澄清管理中予以发布,通知所有购买谈判文件的投标人,并对其具有约束力,投标人应确认已收到修改文件。</w:t>
      </w:r>
    </w:p>
    <w:p>
      <w:pPr>
        <w:pStyle w:val="38"/>
        <w:pageBreakBefore w:val="0"/>
        <w:numPr>
          <w:ilvl w:val="0"/>
          <w:numId w:val="10"/>
        </w:numPr>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bookmarkStart w:id="59" w:name="_Toc8124"/>
      <w:r>
        <w:rPr>
          <w:rFonts w:hint="eastAsia" w:ascii="方正仿宋简体" w:hAnsi="方正仿宋简体" w:eastAsia="方正仿宋简体" w:cs="方正仿宋简体"/>
          <w:b w:val="0"/>
          <w:bCs/>
          <w:color w:val="auto"/>
          <w:sz w:val="30"/>
          <w:szCs w:val="30"/>
          <w:highlight w:val="none"/>
        </w:rPr>
        <w:t>谈判文件</w:t>
      </w:r>
      <w:bookmarkEnd w:id="59"/>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3.1 谈判文件的组成</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3.1.1 谈判文件应包括下列内容：</w:t>
      </w:r>
    </w:p>
    <w:p>
      <w:pPr>
        <w:pageBreakBefore w:val="0"/>
        <w:numPr>
          <w:ilvl w:val="0"/>
          <w:numId w:val="0"/>
        </w:numPr>
        <w:kinsoku/>
        <w:wordWrap/>
        <w:overflowPunct/>
        <w:bidi w:val="0"/>
        <w:spacing w:line="560" w:lineRule="exact"/>
        <w:ind w:left="420" w:leftChars="200" w:right="0" w:rightChars="0" w:firstLine="0" w:firstLine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 xml:space="preserve">3.1.2 </w:t>
      </w:r>
      <w:r>
        <w:rPr>
          <w:rFonts w:hint="eastAsia" w:ascii="方正仿宋简体" w:hAnsi="方正仿宋简体" w:eastAsia="方正仿宋简体" w:cs="方正仿宋简体"/>
          <w:b w:val="0"/>
          <w:bCs/>
          <w:color w:val="auto"/>
          <w:sz w:val="30"/>
          <w:szCs w:val="30"/>
          <w:highlight w:val="none"/>
        </w:rPr>
        <w:t>投标函格式</w:t>
      </w:r>
    </w:p>
    <w:p>
      <w:pPr>
        <w:pageBreakBefore w:val="0"/>
        <w:numPr>
          <w:ilvl w:val="0"/>
          <w:numId w:val="0"/>
        </w:numPr>
        <w:kinsoku/>
        <w:wordWrap/>
        <w:overflowPunct/>
        <w:bidi w:val="0"/>
        <w:spacing w:line="560" w:lineRule="exact"/>
        <w:ind w:left="420" w:leftChars="200" w:right="0" w:rightChars="0" w:firstLine="0" w:firstLine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 xml:space="preserve">3.1.3 </w:t>
      </w:r>
      <w:r>
        <w:rPr>
          <w:rFonts w:hint="eastAsia" w:ascii="方正仿宋简体" w:hAnsi="方正仿宋简体" w:eastAsia="方正仿宋简体" w:cs="方正仿宋简体"/>
          <w:b w:val="0"/>
          <w:bCs/>
          <w:color w:val="auto"/>
          <w:sz w:val="30"/>
          <w:szCs w:val="30"/>
          <w:highlight w:val="none"/>
        </w:rPr>
        <w:t>法定代表人身份证明和法定代表人授权委托书</w:t>
      </w:r>
    </w:p>
    <w:p>
      <w:pPr>
        <w:pageBreakBefore w:val="0"/>
        <w:numPr>
          <w:ilvl w:val="0"/>
          <w:numId w:val="0"/>
        </w:numPr>
        <w:kinsoku/>
        <w:wordWrap/>
        <w:overflowPunct/>
        <w:bidi w:val="0"/>
        <w:spacing w:line="560" w:lineRule="exact"/>
        <w:ind w:left="420" w:leftChars="200" w:right="0" w:rightChars="0" w:firstLine="0" w:firstLine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 xml:space="preserve">3.1.4 </w:t>
      </w:r>
      <w:r>
        <w:rPr>
          <w:rFonts w:hint="eastAsia" w:ascii="方正仿宋简体" w:hAnsi="方正仿宋简体" w:eastAsia="方正仿宋简体" w:cs="方正仿宋简体"/>
          <w:b w:val="0"/>
          <w:bCs/>
          <w:color w:val="auto"/>
          <w:sz w:val="30"/>
          <w:szCs w:val="30"/>
          <w:highlight w:val="none"/>
        </w:rPr>
        <w:t>投标报价部分</w:t>
      </w:r>
    </w:p>
    <w:p>
      <w:pPr>
        <w:pageBreakBefore w:val="0"/>
        <w:numPr>
          <w:ilvl w:val="0"/>
          <w:numId w:val="0"/>
        </w:numPr>
        <w:kinsoku/>
        <w:wordWrap/>
        <w:overflowPunct/>
        <w:bidi w:val="0"/>
        <w:spacing w:line="560" w:lineRule="exact"/>
        <w:ind w:left="420" w:leftChars="200" w:right="0" w:rightChars="0" w:firstLine="0" w:firstLine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 xml:space="preserve">3.1.5 </w:t>
      </w:r>
      <w:r>
        <w:rPr>
          <w:rFonts w:hint="eastAsia" w:ascii="方正仿宋简体" w:hAnsi="方正仿宋简体" w:eastAsia="方正仿宋简体" w:cs="方正仿宋简体"/>
          <w:b w:val="0"/>
          <w:bCs/>
          <w:color w:val="auto"/>
          <w:sz w:val="30"/>
          <w:szCs w:val="30"/>
          <w:highlight w:val="none"/>
        </w:rPr>
        <w:t>谈判文件商务部分</w:t>
      </w:r>
    </w:p>
    <w:p>
      <w:pPr>
        <w:pageBreakBefore w:val="0"/>
        <w:numPr>
          <w:ilvl w:val="0"/>
          <w:numId w:val="0"/>
        </w:numPr>
        <w:kinsoku/>
        <w:wordWrap/>
        <w:overflowPunct/>
        <w:bidi w:val="0"/>
        <w:spacing w:line="560" w:lineRule="exact"/>
        <w:ind w:left="420" w:leftChars="200" w:right="0" w:rightChars="0" w:firstLine="0" w:firstLine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 xml:space="preserve">3.1.6 </w:t>
      </w:r>
      <w:r>
        <w:rPr>
          <w:rFonts w:hint="eastAsia" w:ascii="方正仿宋简体" w:hAnsi="方正仿宋简体" w:eastAsia="方正仿宋简体" w:cs="方正仿宋简体"/>
          <w:b w:val="0"/>
          <w:bCs/>
          <w:color w:val="auto"/>
          <w:sz w:val="30"/>
          <w:szCs w:val="30"/>
          <w:highlight w:val="none"/>
        </w:rPr>
        <w:t>谈判文件技术部分</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3.2 投标报价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3.2.1 合同价格为固定总价，并按不同</w:t>
      </w:r>
      <w:r>
        <w:rPr>
          <w:rFonts w:hint="eastAsia" w:ascii="方正仿宋简体" w:hAnsi="方正仿宋简体" w:eastAsia="方正仿宋简体" w:cs="方正仿宋简体"/>
          <w:b w:val="0"/>
          <w:bCs/>
          <w:color w:val="auto"/>
          <w:sz w:val="30"/>
          <w:szCs w:val="30"/>
          <w:highlight w:val="none"/>
          <w:lang w:val="en-US" w:eastAsia="zh-CN"/>
        </w:rPr>
        <w:t>项目</w:t>
      </w:r>
      <w:r>
        <w:rPr>
          <w:rFonts w:hint="eastAsia" w:ascii="方正仿宋简体" w:hAnsi="方正仿宋简体" w:eastAsia="方正仿宋简体" w:cs="方正仿宋简体"/>
          <w:b w:val="0"/>
          <w:bCs/>
          <w:color w:val="auto"/>
          <w:sz w:val="30"/>
          <w:szCs w:val="30"/>
          <w:highlight w:val="none"/>
        </w:rPr>
        <w:t>分别填报分项明细价格组成。响应人报价时，必须一次报出不得更改的价格，并参考报价一览表逐项报价，原则上不得出现空缺项。报价提供纸质和电子版（用U盘拷贝）两种。所交电子版及其他文件一律不退。</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除下列原因外，不得调整：</w:t>
      </w:r>
    </w:p>
    <w:p>
      <w:pPr>
        <w:pStyle w:val="142"/>
        <w:pageBreakBefore w:val="0"/>
        <w:numPr>
          <w:ilvl w:val="0"/>
          <w:numId w:val="0"/>
        </w:numPr>
        <w:kinsoku/>
        <w:wordWrap/>
        <w:overflowPunct/>
        <w:bidi w:val="0"/>
        <w:snapToGrid/>
        <w:spacing w:line="560" w:lineRule="exact"/>
        <w:ind w:left="0" w:leftChars="0" w:right="0" w:rightChars="0" w:firstLine="600" w:firstLineChars="200"/>
        <w:rPr>
          <w:rFonts w:hint="eastAsia" w:ascii="方正仿宋简体" w:hAnsi="方正仿宋简体" w:eastAsia="方正仿宋简体" w:cs="方正仿宋简体"/>
          <w:b w:val="0"/>
          <w:bCs/>
          <w:color w:val="auto"/>
          <w:spacing w:val="0"/>
          <w:kern w:val="2"/>
          <w:sz w:val="30"/>
          <w:szCs w:val="30"/>
          <w:highlight w:val="none"/>
        </w:rPr>
      </w:pPr>
      <w:bookmarkStart w:id="60" w:name="_Toc23584"/>
      <w:r>
        <w:rPr>
          <w:rFonts w:hint="eastAsia" w:ascii="方正仿宋简体" w:hAnsi="方正仿宋简体" w:eastAsia="方正仿宋简体" w:cs="方正仿宋简体"/>
          <w:b w:val="0"/>
          <w:bCs/>
          <w:color w:val="auto"/>
          <w:spacing w:val="0"/>
          <w:kern w:val="2"/>
          <w:sz w:val="30"/>
          <w:szCs w:val="30"/>
          <w:highlight w:val="none"/>
          <w:lang w:val="en-US" w:eastAsia="zh-CN"/>
        </w:rPr>
        <w:t>3.2.1.1</w:t>
      </w:r>
      <w:r>
        <w:rPr>
          <w:rFonts w:hint="eastAsia" w:ascii="方正仿宋简体" w:hAnsi="方正仿宋简体" w:eastAsia="方正仿宋简体" w:cs="方正仿宋简体"/>
          <w:b w:val="0"/>
          <w:bCs/>
          <w:color w:val="auto"/>
          <w:spacing w:val="0"/>
          <w:kern w:val="2"/>
          <w:sz w:val="30"/>
          <w:szCs w:val="30"/>
          <w:highlight w:val="none"/>
        </w:rPr>
        <w:t>人力不可抗拒的自然灾害造成的重大损失；</w:t>
      </w:r>
      <w:bookmarkEnd w:id="60"/>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3.2.1.2</w:t>
      </w:r>
      <w:r>
        <w:rPr>
          <w:rFonts w:hint="eastAsia" w:ascii="方正仿宋简体" w:hAnsi="方正仿宋简体" w:eastAsia="方正仿宋简体" w:cs="方正仿宋简体"/>
          <w:b w:val="0"/>
          <w:bCs/>
          <w:color w:val="auto"/>
          <w:sz w:val="30"/>
          <w:szCs w:val="30"/>
          <w:highlight w:val="none"/>
        </w:rPr>
        <w:t>招标人变更工作周期或增减项目。</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3.2.2 除非本谈判文件或补充/澄清通知另有规定，招标范围应包括本谈判文件所述的全部内容，投标人的报价应是实施该标段招标范围内所需的全部费用。</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3.2.3 除非合同中另有规定，报价总金额应为完成本项目而发生的所有费用，具体包括人工费、施工机械使用费、工器具使用费、施工措施费、临时设施费、安全文明施工措施费、管理费、财务费用、施工队伍调遣费、利润、税金等及其它可能发生的各种费用。报价须按附表的格式进行报价，如有需要可以进行扩充，但不得改变附表的格式。</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3.2.4 投标人应充分考虑到所有不确定因素导致的工作时间的延长和加班招标单位认为投标人已将此费用考虑在合同总费用中。</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3.2.5 投标以人民币报价。</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3.3 投标有效期</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3.3.1 所投标应从开标之日起（1</w:t>
      </w:r>
      <w:r>
        <w:rPr>
          <w:rFonts w:hint="eastAsia" w:ascii="方正仿宋简体" w:hAnsi="方正仿宋简体" w:eastAsia="方正仿宋简体" w:cs="方正仿宋简体"/>
          <w:b w:val="0"/>
          <w:bCs/>
          <w:color w:val="auto"/>
          <w:sz w:val="30"/>
          <w:szCs w:val="30"/>
          <w:highlight w:val="none"/>
          <w:lang w:val="en-US" w:eastAsia="zh-CN"/>
        </w:rPr>
        <w:t>8</w:t>
      </w:r>
      <w:r>
        <w:rPr>
          <w:rFonts w:hint="eastAsia" w:ascii="方正仿宋简体" w:hAnsi="方正仿宋简体" w:eastAsia="方正仿宋简体" w:cs="方正仿宋简体"/>
          <w:b w:val="0"/>
          <w:bCs/>
          <w:color w:val="auto"/>
          <w:sz w:val="30"/>
          <w:szCs w:val="30"/>
          <w:highlight w:val="none"/>
        </w:rPr>
        <w:t>0）内有效。在投标有效期内，投标人不得要求撤销或修改其谈判文件。</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3.3.2出现特殊情况需要延长投标有效期的，招标人以书面形式通知所有投标人延长投标有效期。投标人同意延长的，应相应延长其投标保证金的有效期，但不得要求或被允许修改或撤销其谈判文件；投标人拒绝延长的，其投标失效，但投标人有权收回其投标保证金。</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3.5 资格审查资料（适用于未进行资格预审的）</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3.5.1 投标人应按照第五章“谈判文件格式”要求填写资格审查资料，证明其具备投标人须知规定的各项资格要求。</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3.5.2 投标人须知规定接受联合体投标的，本章第3.5.1项规定的表格和资料应包括联合体各方相关情况。</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3.6备选投标方案</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投标人不得递交备选投标方案。允许投标人递交备选投标方案的，评标时备选方案不予考虑。</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3.7 谈判文件的编制</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3.7.1 谈判文件应按第五章“谈判文件格式”进行编写，如有必要，可以增加附页，作为谈判文件的组成部分。</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3.7.2 谈判文件应当对谈判文件有关交货期/工期、投标有效期、质量要求、技术标准和要求、招标范围等实质性内容作出响应。</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3.7.3 谈判文件应用不褪色的材料书写或打印，并由投标人的法定代表人或其委托代理人签字或盖单位章。委托代理人签字的，谈判文件应附法定代表人签署的授权委托书。谈判文件应尽量避免涂改、行间插字或删除。如果出现上述情况，改动之处应加盖单位章或由投标人的法定代表人或其授权的代理人签字确认。</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rPr>
        <w:t>3.7.4 谈判文件</w:t>
      </w:r>
      <w:r>
        <w:rPr>
          <w:rFonts w:hint="eastAsia" w:ascii="方正仿宋简体" w:hAnsi="方正仿宋简体" w:eastAsia="方正仿宋简体" w:cs="方正仿宋简体"/>
          <w:b w:val="0"/>
          <w:bCs/>
          <w:color w:val="auto"/>
          <w:sz w:val="30"/>
          <w:szCs w:val="30"/>
          <w:highlight w:val="none"/>
          <w:lang w:val="en-US" w:eastAsia="zh-CN"/>
        </w:rPr>
        <w:t>按要求提供。</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3.7.5 谈判文件的正本与副本应分别装订成册，并编制目录。</w:t>
      </w:r>
    </w:p>
    <w:p>
      <w:pPr>
        <w:pStyle w:val="38"/>
        <w:pageBreakBefore w:val="0"/>
        <w:numPr>
          <w:ilvl w:val="0"/>
          <w:numId w:val="10"/>
        </w:numPr>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bookmarkStart w:id="61" w:name="_Toc2969"/>
      <w:bookmarkStart w:id="62" w:name="_Toc405302856"/>
      <w:bookmarkStart w:id="63" w:name="_Toc405303367"/>
      <w:r>
        <w:rPr>
          <w:rFonts w:hint="eastAsia" w:ascii="方正仿宋简体" w:hAnsi="方正仿宋简体" w:eastAsia="方正仿宋简体" w:cs="方正仿宋简体"/>
          <w:b w:val="0"/>
          <w:bCs/>
          <w:color w:val="auto"/>
          <w:sz w:val="30"/>
          <w:szCs w:val="30"/>
          <w:highlight w:val="none"/>
        </w:rPr>
        <w:t>投标</w:t>
      </w:r>
      <w:bookmarkEnd w:id="61"/>
      <w:bookmarkEnd w:id="62"/>
      <w:bookmarkEnd w:id="63"/>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4.1 谈判文件的密封和标记</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4.1.1 谈判文件的正本与副本应分开包装，加贴封条，并在封套的封口处加盖投标人单位章</w:t>
      </w:r>
      <w:r>
        <w:rPr>
          <w:rFonts w:hint="eastAsia" w:ascii="方正仿宋简体" w:hAnsi="方正仿宋简体" w:eastAsia="方正仿宋简体" w:cs="方正仿宋简体"/>
          <w:b w:val="0"/>
          <w:bCs/>
          <w:i w:val="0"/>
          <w:iCs w:val="0"/>
          <w:color w:val="auto"/>
          <w:sz w:val="30"/>
          <w:szCs w:val="30"/>
          <w:highlight w:val="none"/>
        </w:rPr>
        <w:t>。</w:t>
      </w:r>
      <w:r>
        <w:rPr>
          <w:rFonts w:hint="eastAsia" w:ascii="方正仿宋简体" w:hAnsi="方正仿宋简体" w:eastAsia="方正仿宋简体" w:cs="方正仿宋简体"/>
          <w:b w:val="0"/>
          <w:bCs/>
          <w:color w:val="auto"/>
          <w:sz w:val="30"/>
          <w:szCs w:val="30"/>
          <w:highlight w:val="none"/>
        </w:rPr>
        <w:t>开标一览表及投标保证金须单独密封。</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4.1.2 谈判文件的封套上应清楚地标记“正本”或“副本”字样，封套上还应写明项目名称和招标编号。</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4.1.3 未按本章项要求密封和加写标记的谈判文件，招标人不予受理。</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4.2 谈判文件的递交</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4.2.1 投标人应在投标截止时间前递交谈判文件。</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4.2.2 投标人递交谈判文件的地点：见“第一章招标公告（投标邀请）”。</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4.2.3 除谈判文件另有规定外，投标人所递交的谈判文件不予退还。</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4.2.4 招标人收到谈判文件后，向投标人出具签收凭证。</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4.2.5 逾期送达的或者未送达指定地点的谈判文件，招标人不予受理。</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4.3  谈判文件的修改与撤回</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4.3.1 在投标截止时间前，投标人可以修改或撤回已递交的谈判文件，但应以书面形式通知招标人。</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4.3.2 投标人修改或撤回已递交谈判文件的书面通知应按照本章规定的要求签字或盖章。招标人收到书面通知后，向投标人出具签收凭证。</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4.3.3 修改的内容为谈判文件的组成部分。修改的谈判文件应按照本章规定进行编制、密封、标记和递交，并标明“修改”字样。</w:t>
      </w:r>
    </w:p>
    <w:p>
      <w:pPr>
        <w:pStyle w:val="38"/>
        <w:pageBreakBefore w:val="0"/>
        <w:numPr>
          <w:ilvl w:val="0"/>
          <w:numId w:val="10"/>
        </w:numPr>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bookmarkStart w:id="64" w:name="_Toc405302857"/>
      <w:bookmarkStart w:id="65" w:name="_Toc11694"/>
      <w:bookmarkStart w:id="66" w:name="_Toc405303368"/>
      <w:r>
        <w:rPr>
          <w:rFonts w:hint="eastAsia" w:ascii="方正仿宋简体" w:hAnsi="方正仿宋简体" w:eastAsia="方正仿宋简体" w:cs="方正仿宋简体"/>
          <w:b w:val="0"/>
          <w:bCs/>
          <w:color w:val="auto"/>
          <w:sz w:val="30"/>
          <w:szCs w:val="30"/>
          <w:highlight w:val="none"/>
        </w:rPr>
        <w:t>开标</w:t>
      </w:r>
      <w:bookmarkEnd w:id="64"/>
      <w:bookmarkEnd w:id="65"/>
      <w:bookmarkEnd w:id="66"/>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5.1 开标时间和地点</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招标人在投标截止时间（开标时间）和“第一章招标公告（投标邀请）”规定的地点公开开标，并邀请所有投标人的法定代表人或其委托代理人准时参加。</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5.2 开标程序</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主持人按下列程序进行开标：</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5.2.1</w:t>
      </w:r>
      <w:r>
        <w:rPr>
          <w:rFonts w:hint="eastAsia" w:ascii="方正仿宋简体" w:hAnsi="方正仿宋简体" w:eastAsia="方正仿宋简体" w:cs="方正仿宋简体"/>
          <w:b w:val="0"/>
          <w:bCs/>
          <w:color w:val="auto"/>
          <w:sz w:val="30"/>
          <w:szCs w:val="30"/>
          <w:highlight w:val="none"/>
        </w:rPr>
        <w:t>介绍参加开标会的相关人员</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 xml:space="preserve">5.2.2 </w:t>
      </w:r>
      <w:r>
        <w:rPr>
          <w:rFonts w:hint="eastAsia" w:ascii="方正仿宋简体" w:hAnsi="方正仿宋简体" w:eastAsia="方正仿宋简体" w:cs="方正仿宋简体"/>
          <w:b w:val="0"/>
          <w:bCs/>
          <w:color w:val="auto"/>
          <w:sz w:val="30"/>
          <w:szCs w:val="30"/>
          <w:highlight w:val="none"/>
        </w:rPr>
        <w:t>宣布开标纪律；</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 xml:space="preserve">5.2.3 </w:t>
      </w:r>
      <w:r>
        <w:rPr>
          <w:rFonts w:hint="eastAsia" w:ascii="方正仿宋简体" w:hAnsi="方正仿宋简体" w:eastAsia="方正仿宋简体" w:cs="方正仿宋简体"/>
          <w:b w:val="0"/>
          <w:bCs/>
          <w:color w:val="auto"/>
          <w:sz w:val="30"/>
          <w:szCs w:val="30"/>
          <w:highlight w:val="none"/>
        </w:rPr>
        <w:t>检查谈判文件的密封情况；</w:t>
      </w:r>
    </w:p>
    <w:p>
      <w:pPr>
        <w:pStyle w:val="38"/>
        <w:pageBreakBefore w:val="0"/>
        <w:numPr>
          <w:ilvl w:val="0"/>
          <w:numId w:val="10"/>
        </w:numPr>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bookmarkStart w:id="67" w:name="_Toc405303369"/>
      <w:bookmarkStart w:id="68" w:name="_Toc23195"/>
      <w:bookmarkStart w:id="69" w:name="_Toc405302858"/>
      <w:r>
        <w:rPr>
          <w:rFonts w:hint="eastAsia" w:ascii="方正仿宋简体" w:hAnsi="方正仿宋简体" w:eastAsia="方正仿宋简体" w:cs="方正仿宋简体"/>
          <w:b w:val="0"/>
          <w:bCs/>
          <w:color w:val="auto"/>
          <w:sz w:val="30"/>
          <w:szCs w:val="30"/>
          <w:highlight w:val="none"/>
        </w:rPr>
        <w:t>评标</w:t>
      </w:r>
      <w:bookmarkEnd w:id="67"/>
      <w:bookmarkEnd w:id="68"/>
      <w:bookmarkEnd w:id="69"/>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详见谈判文件第三章评标办法。</w:t>
      </w:r>
    </w:p>
    <w:p>
      <w:pPr>
        <w:pStyle w:val="38"/>
        <w:pageBreakBefore w:val="0"/>
        <w:numPr>
          <w:ilvl w:val="0"/>
          <w:numId w:val="10"/>
        </w:numPr>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bookmarkStart w:id="70" w:name="_Toc405302859"/>
      <w:bookmarkStart w:id="71" w:name="_Toc405303370"/>
      <w:bookmarkStart w:id="72" w:name="_Toc27714"/>
      <w:r>
        <w:rPr>
          <w:rFonts w:hint="eastAsia" w:ascii="方正仿宋简体" w:hAnsi="方正仿宋简体" w:eastAsia="方正仿宋简体" w:cs="方正仿宋简体"/>
          <w:b w:val="0"/>
          <w:bCs/>
          <w:color w:val="auto"/>
          <w:sz w:val="30"/>
          <w:szCs w:val="30"/>
          <w:highlight w:val="none"/>
        </w:rPr>
        <w:t>合同授予</w:t>
      </w:r>
      <w:bookmarkEnd w:id="70"/>
      <w:bookmarkEnd w:id="71"/>
      <w:bookmarkEnd w:id="72"/>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7.1 定标方式</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rPr>
        <w:t>除规定谈判委员会直接确定中标人外，</w:t>
      </w:r>
      <w:r>
        <w:rPr>
          <w:rFonts w:hint="eastAsia" w:ascii="方正仿宋简体" w:hAnsi="方正仿宋简体" w:eastAsia="方正仿宋简体" w:cs="方正仿宋简体"/>
          <w:b w:val="0"/>
          <w:bCs/>
          <w:color w:val="auto"/>
          <w:sz w:val="30"/>
          <w:szCs w:val="30"/>
          <w:highlight w:val="none"/>
        </w:rPr>
        <w:t>招标人依据谈判委员会推荐的中标候选人确定中标人，谈判委员会推荐中标候选人的人数为1到3名。</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7.2 中标通知</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在投标有效期内，招标人以书面形式向中标人发出中标通知书，同时将中标结果通知未中标的投标人。</w:t>
      </w:r>
      <w:bookmarkStart w:id="73" w:name="_Toc405302860"/>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smallCaps/>
          <w:color w:val="auto"/>
          <w:sz w:val="30"/>
          <w:szCs w:val="30"/>
          <w:highlight w:val="none"/>
        </w:rPr>
        <w:t>7.3 签订合同</w:t>
      </w:r>
      <w:bookmarkEnd w:id="73"/>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7.3.1 中标人应当在收到中标通知书后和招标人联系，照谈判文件和中标人的谈判文件订立书面合同。中标人无正当理由拒签合同的，给招标人造成的损失的，中标人还应当予以赔偿。</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4"/>
        <w:pageBreakBefore w:val="0"/>
        <w:numPr>
          <w:ilvl w:val="0"/>
          <w:numId w:val="0"/>
        </w:numPr>
        <w:kinsoku/>
        <w:wordWrap/>
        <w:overflowPunct/>
        <w:bidi w:val="0"/>
        <w:spacing w:line="560" w:lineRule="exact"/>
        <w:ind w:leftChars="200" w:right="0" w:rightChars="0"/>
        <w:jc w:val="center"/>
        <w:rPr>
          <w:rFonts w:hint="eastAsia" w:ascii="方正仿宋简体" w:hAnsi="方正仿宋简体" w:eastAsia="方正仿宋简体" w:cs="方正仿宋简体"/>
          <w:b w:val="0"/>
          <w:bCs/>
          <w:color w:val="auto"/>
          <w:sz w:val="30"/>
          <w:szCs w:val="30"/>
          <w:highlight w:val="none"/>
        </w:rPr>
      </w:pPr>
      <w:bookmarkStart w:id="74" w:name="_Toc405303171"/>
      <w:bookmarkStart w:id="75" w:name="_Toc14392"/>
      <w:bookmarkStart w:id="76" w:name="_Toc405303172"/>
      <w:r>
        <w:rPr>
          <w:rFonts w:hint="eastAsia" w:ascii="方正仿宋简体" w:hAnsi="方正仿宋简体" w:eastAsia="方正仿宋简体" w:cs="方正仿宋简体"/>
          <w:b w:val="0"/>
          <w:bCs/>
          <w:color w:val="auto"/>
          <w:sz w:val="30"/>
          <w:szCs w:val="30"/>
          <w:highlight w:val="none"/>
          <w:lang w:val="en-US" w:eastAsia="zh-CN"/>
        </w:rPr>
        <w:t xml:space="preserve">第三章  </w:t>
      </w:r>
      <w:r>
        <w:rPr>
          <w:rFonts w:hint="eastAsia" w:ascii="方正仿宋简体" w:hAnsi="方正仿宋简体" w:eastAsia="方正仿宋简体" w:cs="方正仿宋简体"/>
          <w:b w:val="0"/>
          <w:bCs/>
          <w:color w:val="auto"/>
          <w:sz w:val="30"/>
          <w:szCs w:val="30"/>
          <w:highlight w:val="none"/>
        </w:rPr>
        <w:t>评</w:t>
      </w:r>
      <w:r>
        <w:rPr>
          <w:rFonts w:hint="eastAsia" w:ascii="方正仿宋简体" w:hAnsi="方正仿宋简体" w:eastAsia="方正仿宋简体" w:cs="方正仿宋简体"/>
          <w:b w:val="0"/>
          <w:bCs/>
          <w:color w:val="auto"/>
          <w:sz w:val="30"/>
          <w:szCs w:val="30"/>
          <w:highlight w:val="none"/>
          <w:lang w:eastAsia="zh-CN"/>
        </w:rPr>
        <w:t>分</w:t>
      </w:r>
      <w:r>
        <w:rPr>
          <w:rFonts w:hint="eastAsia" w:ascii="方正仿宋简体" w:hAnsi="方正仿宋简体" w:eastAsia="方正仿宋简体" w:cs="方正仿宋简体"/>
          <w:b w:val="0"/>
          <w:bCs/>
          <w:color w:val="auto"/>
          <w:sz w:val="30"/>
          <w:szCs w:val="30"/>
          <w:highlight w:val="none"/>
        </w:rPr>
        <w:t>办法</w:t>
      </w:r>
      <w:bookmarkEnd w:id="74"/>
      <w:bookmarkEnd w:id="75"/>
    </w:p>
    <w:p>
      <w:pPr>
        <w:pStyle w:val="38"/>
        <w:pageBreakBefore w:val="0"/>
        <w:numPr>
          <w:ilvl w:val="0"/>
          <w:numId w:val="11"/>
        </w:numPr>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bookmarkStart w:id="77" w:name="_Toc13065"/>
      <w:r>
        <w:rPr>
          <w:rFonts w:hint="eastAsia" w:ascii="方正仿宋简体" w:hAnsi="方正仿宋简体" w:eastAsia="方正仿宋简体" w:cs="方正仿宋简体"/>
          <w:b w:val="0"/>
          <w:bCs/>
          <w:color w:val="auto"/>
          <w:sz w:val="30"/>
          <w:szCs w:val="30"/>
          <w:highlight w:val="none"/>
        </w:rPr>
        <w:t>总则</w:t>
      </w:r>
      <w:bookmarkEnd w:id="76"/>
      <w:bookmarkEnd w:id="77"/>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1.1本办法依据《中华人民共和国招标投标法》、《中华人民共和国招标投标法实施条例》、《谈判委员会和评标办法暂行规定》（2001年第12号令）以及其它相关法律、法规制定。</w:t>
      </w:r>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1.2本办法仅适用于本项目的评标。</w:t>
      </w:r>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1.3本办法以公平、公正、科学、择优为原则。</w:t>
      </w:r>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1.4本办法采用综合评估法。</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1.5参加本次评标的所有人员均须严格遵守有关保密纪律，凡属与评标有关的信息，都不应向投标人或与该过程无公务关系的其他人泄露。任何单位和个人不得非法干预或者影响评标过程和结果。</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1.6谈判委员会完成评标后，应当向招标人提出书面评标报告。</w:t>
      </w:r>
    </w:p>
    <w:p>
      <w:pPr>
        <w:pStyle w:val="38"/>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bookmarkStart w:id="78" w:name="_Toc405303173"/>
      <w:bookmarkStart w:id="79" w:name="_Toc16939"/>
      <w:r>
        <w:rPr>
          <w:rFonts w:hint="eastAsia" w:ascii="方正仿宋简体" w:hAnsi="方正仿宋简体" w:eastAsia="方正仿宋简体" w:cs="方正仿宋简体"/>
          <w:b w:val="0"/>
          <w:bCs/>
          <w:color w:val="auto"/>
          <w:sz w:val="30"/>
          <w:szCs w:val="30"/>
          <w:highlight w:val="none"/>
        </w:rPr>
        <w:t>谈判委员会</w:t>
      </w:r>
      <w:bookmarkEnd w:id="78"/>
      <w:bookmarkEnd w:id="79"/>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2.1招标人依法组建谈判委员会。评标活动由谈判委员会负责，向招标人推荐中标候选人。</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2.2谈判委员会由招标人代表，以及有关技术、经济等方面的专家组成，成员人数为三人以上单数，其中技术、经济等方面的专家不得少于成员总数的三分之二。谈判委员会设负责人的，谈判委员会负责人由谈判委员会成员推举产生或者由招标人确定。</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2.3谈判委员会成员应当客观、公正地履行职责，遵守职业道德，对所提出的评审意见承担个人责任。谈判委员会成员不得与任何投标人或者与招标结果有利害关系的人进行私下接触，不得收受投标人、中介人、其他利害关系人的财物或者其他好处。谈判委员会成员独立评标，任何人不得通过任何方式，干扰谈判委员会的评标。</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2.4谈判委员会成员有下列情形之一的，应当回避：</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2.4.1招标人或投标人的主要负责人的近亲属；</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2.4.2项目主管部门或者行政监督部门的人员；</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2.4.3与投标人有经济利益关系，可能影响对投标公正评审的；</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2.4.4曾因在招标、评标以及其他与招标投标有关活动中从事违法行为而受过行政处罚或刑事处罚的。</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2.4.5 与投标人有其他利害关系。</w:t>
      </w:r>
    </w:p>
    <w:p>
      <w:pPr>
        <w:pStyle w:val="38"/>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bookmarkStart w:id="80" w:name="_Toc754"/>
      <w:bookmarkStart w:id="81" w:name="_Toc405303174"/>
      <w:r>
        <w:rPr>
          <w:rFonts w:hint="eastAsia" w:ascii="方正仿宋简体" w:hAnsi="方正仿宋简体" w:eastAsia="方正仿宋简体" w:cs="方正仿宋简体"/>
          <w:b w:val="0"/>
          <w:bCs/>
          <w:color w:val="auto"/>
          <w:sz w:val="30"/>
          <w:szCs w:val="30"/>
          <w:highlight w:val="none"/>
        </w:rPr>
        <w:t>评标程序</w:t>
      </w:r>
      <w:bookmarkEnd w:id="80"/>
      <w:bookmarkEnd w:id="81"/>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3.1初步评审</w:t>
      </w:r>
    </w:p>
    <w:p>
      <w:pPr>
        <w:pStyle w:val="27"/>
        <w:pageBreakBefore w:val="0"/>
        <w:kinsoku/>
        <w:wordWrap/>
        <w:overflowPunct/>
        <w:bidi w:val="0"/>
        <w:adjustRightInd w:val="0"/>
        <w:snapToGrid w:val="0"/>
        <w:spacing w:line="560" w:lineRule="exact"/>
        <w:ind w:left="0" w:leftChars="0" w:right="0" w:rightChars="0" w:firstLine="600" w:firstLineChars="200"/>
        <w:rPr>
          <w:rStyle w:val="232"/>
          <w:rFonts w:hint="eastAsia" w:ascii="方正仿宋简体" w:hAnsi="方正仿宋简体" w:eastAsia="方正仿宋简体" w:cs="方正仿宋简体"/>
          <w:b w:val="0"/>
          <w:bCs/>
          <w:color w:val="auto"/>
          <w:sz w:val="30"/>
          <w:szCs w:val="30"/>
          <w:highlight w:val="none"/>
        </w:rPr>
      </w:pPr>
      <w:r>
        <w:rPr>
          <w:rStyle w:val="232"/>
          <w:rFonts w:hint="eastAsia" w:ascii="方正仿宋简体" w:hAnsi="方正仿宋简体" w:eastAsia="方正仿宋简体" w:cs="方正仿宋简体"/>
          <w:b w:val="0"/>
          <w:bCs/>
          <w:color w:val="auto"/>
          <w:sz w:val="30"/>
          <w:szCs w:val="30"/>
          <w:highlight w:val="none"/>
        </w:rPr>
        <w:t>3.1.1 谈判委员会应当根据谈判文件规定的评标标准和方法，对谈判文件进行系统的评审和比较。谈判文件中没有规定的标准和方法不得作为评标的依据。</w:t>
      </w:r>
    </w:p>
    <w:p>
      <w:pPr>
        <w:pageBreakBefore w:val="0"/>
        <w:kinsoku/>
        <w:wordWrap/>
        <w:overflowPunct/>
        <w:autoSpaceDE w:val="0"/>
        <w:autoSpaceDN w:val="0"/>
        <w:bidi w:val="0"/>
        <w:adjustRightInd w:val="0"/>
        <w:spacing w:line="560" w:lineRule="exact"/>
        <w:ind w:left="0" w:leftChars="0" w:right="0" w:rightChars="0" w:firstLine="600" w:firstLineChars="200"/>
        <w:jc w:val="left"/>
        <w:rPr>
          <w:rStyle w:val="232"/>
          <w:rFonts w:hint="eastAsia" w:ascii="方正仿宋简体" w:hAnsi="方正仿宋简体" w:eastAsia="方正仿宋简体" w:cs="方正仿宋简体"/>
          <w:b w:val="0"/>
          <w:bCs/>
          <w:color w:val="auto"/>
          <w:sz w:val="30"/>
          <w:szCs w:val="30"/>
          <w:highlight w:val="none"/>
        </w:rPr>
      </w:pPr>
      <w:r>
        <w:rPr>
          <w:rStyle w:val="232"/>
          <w:rFonts w:hint="eastAsia" w:ascii="方正仿宋简体" w:hAnsi="方正仿宋简体" w:eastAsia="方正仿宋简体" w:cs="方正仿宋简体"/>
          <w:b w:val="0"/>
          <w:bCs/>
          <w:color w:val="auto"/>
          <w:sz w:val="30"/>
          <w:szCs w:val="30"/>
          <w:highlight w:val="none"/>
        </w:rPr>
        <w:t>3.1.2 谈判委员会应当审查每一谈判文件是否对谈判文件提出的所有实质性要求和条件作出响应。未能在实质上响应的投标将被否决。</w:t>
      </w:r>
    </w:p>
    <w:p>
      <w:pPr>
        <w:pageBreakBefore w:val="0"/>
        <w:kinsoku/>
        <w:wordWrap/>
        <w:overflowPunct/>
        <w:autoSpaceDE w:val="0"/>
        <w:autoSpaceDN w:val="0"/>
        <w:bidi w:val="0"/>
        <w:adjustRightInd w:val="0"/>
        <w:spacing w:line="560" w:lineRule="exact"/>
        <w:ind w:left="0" w:leftChars="0" w:right="0" w:rightChars="0" w:firstLine="600" w:firstLineChars="200"/>
        <w:jc w:val="left"/>
        <w:rPr>
          <w:rStyle w:val="232"/>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3.1.3</w:t>
      </w:r>
      <w:r>
        <w:rPr>
          <w:rStyle w:val="232"/>
          <w:rFonts w:hint="eastAsia" w:ascii="方正仿宋简体" w:hAnsi="方正仿宋简体" w:eastAsia="方正仿宋简体" w:cs="方正仿宋简体"/>
          <w:b w:val="0"/>
          <w:bCs/>
          <w:color w:val="auto"/>
          <w:sz w:val="30"/>
          <w:szCs w:val="30"/>
          <w:highlight w:val="none"/>
        </w:rPr>
        <w:t>在</w:t>
      </w:r>
      <w:r>
        <w:rPr>
          <w:rStyle w:val="232"/>
          <w:rFonts w:hint="eastAsia" w:ascii="方正仿宋简体" w:hAnsi="方正仿宋简体" w:eastAsia="方正仿宋简体" w:cs="方正仿宋简体"/>
          <w:b w:val="0"/>
          <w:bCs/>
          <w:color w:val="auto"/>
          <w:sz w:val="30"/>
          <w:szCs w:val="30"/>
          <w:highlight w:val="none"/>
          <w:lang w:eastAsia="zh-CN"/>
        </w:rPr>
        <w:t>评审</w:t>
      </w:r>
      <w:r>
        <w:rPr>
          <w:rStyle w:val="232"/>
          <w:rFonts w:hint="eastAsia" w:ascii="方正仿宋简体" w:hAnsi="方正仿宋简体" w:eastAsia="方正仿宋简体" w:cs="方正仿宋简体"/>
          <w:b w:val="0"/>
          <w:bCs/>
          <w:color w:val="auto"/>
          <w:sz w:val="30"/>
          <w:szCs w:val="30"/>
          <w:highlight w:val="none"/>
        </w:rPr>
        <w:t>过程中，谈判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谈判委员会认定该投标人以低于成本报价竞标，其投标将被否决。</w:t>
      </w:r>
    </w:p>
    <w:p>
      <w:pPr>
        <w:pageBreakBefore w:val="0"/>
        <w:kinsoku/>
        <w:wordWrap/>
        <w:overflowPunct/>
        <w:autoSpaceDE w:val="0"/>
        <w:autoSpaceDN w:val="0"/>
        <w:bidi w:val="0"/>
        <w:adjustRightInd w:val="0"/>
        <w:spacing w:line="560" w:lineRule="exact"/>
        <w:ind w:left="0" w:leftChars="0" w:right="0" w:rightChars="0" w:firstLine="600" w:firstLineChars="200"/>
        <w:jc w:val="left"/>
        <w:rPr>
          <w:rStyle w:val="232"/>
          <w:rFonts w:hint="eastAsia" w:ascii="方正仿宋简体" w:hAnsi="方正仿宋简体" w:eastAsia="方正仿宋简体" w:cs="方正仿宋简体"/>
          <w:b w:val="0"/>
          <w:bCs/>
          <w:color w:val="auto"/>
          <w:sz w:val="30"/>
          <w:szCs w:val="30"/>
          <w:highlight w:val="none"/>
        </w:rPr>
      </w:pPr>
      <w:r>
        <w:rPr>
          <w:rStyle w:val="232"/>
          <w:rFonts w:hint="eastAsia" w:ascii="方正仿宋简体" w:hAnsi="方正仿宋简体" w:eastAsia="方正仿宋简体" w:cs="方正仿宋简体"/>
          <w:b w:val="0"/>
          <w:bCs/>
          <w:color w:val="auto"/>
          <w:sz w:val="30"/>
          <w:szCs w:val="30"/>
          <w:highlight w:val="none"/>
        </w:rPr>
        <w:t>3.1.4谈判委员会可以书面方式要求投标人对谈判文件中含义不明确、不一致或者有明显文字和计算错误的内容做必要的澄清、说明或者补正，澄清、说明或者补正应以书面方式进行并不得超出谈判文件的范围或者改变谈判文件的实质性内容。</w:t>
      </w:r>
    </w:p>
    <w:p>
      <w:pPr>
        <w:pageBreakBefore w:val="0"/>
        <w:kinsoku/>
        <w:wordWrap/>
        <w:overflowPunct/>
        <w:autoSpaceDE w:val="0"/>
        <w:autoSpaceDN w:val="0"/>
        <w:bidi w:val="0"/>
        <w:adjustRightInd w:val="0"/>
        <w:spacing w:line="560" w:lineRule="exact"/>
        <w:ind w:left="0" w:leftChars="0" w:right="0" w:rightChars="0" w:firstLine="600" w:firstLineChars="200"/>
        <w:jc w:val="left"/>
        <w:rPr>
          <w:rStyle w:val="232"/>
          <w:rFonts w:hint="eastAsia" w:ascii="方正仿宋简体" w:hAnsi="方正仿宋简体" w:eastAsia="方正仿宋简体" w:cs="方正仿宋简体"/>
          <w:b w:val="0"/>
          <w:bCs/>
          <w:color w:val="auto"/>
          <w:sz w:val="30"/>
          <w:szCs w:val="30"/>
          <w:highlight w:val="none"/>
        </w:rPr>
      </w:pPr>
      <w:r>
        <w:rPr>
          <w:rStyle w:val="232"/>
          <w:rFonts w:hint="eastAsia" w:ascii="方正仿宋简体" w:hAnsi="方正仿宋简体" w:eastAsia="方正仿宋简体" w:cs="方正仿宋简体"/>
          <w:b w:val="0"/>
          <w:bCs/>
          <w:color w:val="auto"/>
          <w:sz w:val="30"/>
          <w:szCs w:val="30"/>
          <w:highlight w:val="none"/>
        </w:rPr>
        <w:t>谈判文件中的大写金额和小写金额不一致的，以大写金额为准；总价金额与单价金额不一致的，以单价金额为准，但单价金额小数点有明显错误的除外。</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3.1.5投标人有下列情况之一的，谈判委员会应当否决其投标：</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（1）不符合“第一章 投标人的资格要求”的；</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（2）不满足技术文件星号条款的；（本如适用）</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（3）投标报价明显低于成本的；</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（4）谈判文件没有对谈判文件的实质性要求和条件做出响应的；</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（5）投标人有相互串通投标、弄虚作假、行贿等违规行为的；</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 (6) 谈判文件中其他否决投标规定的；</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（7）投标人不符合国家相关规定的。</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3.2详细评审</w:t>
      </w:r>
    </w:p>
    <w:p>
      <w:pPr>
        <w:pageBreakBefore w:val="0"/>
        <w:kinsoku/>
        <w:wordWrap/>
        <w:overflowPunct/>
        <w:autoSpaceDE w:val="0"/>
        <w:autoSpaceDN w:val="0"/>
        <w:bidi w:val="0"/>
        <w:adjustRightInd w:val="0"/>
        <w:spacing w:line="560" w:lineRule="exact"/>
        <w:ind w:left="0" w:leftChars="0" w:right="0" w:rightChars="0" w:firstLine="600" w:firstLineChars="200"/>
        <w:jc w:val="left"/>
        <w:rPr>
          <w:rStyle w:val="232"/>
          <w:rFonts w:hint="eastAsia" w:ascii="方正仿宋简体" w:hAnsi="方正仿宋简体" w:eastAsia="方正仿宋简体" w:cs="方正仿宋简体"/>
          <w:b w:val="0"/>
          <w:bCs/>
          <w:color w:val="auto"/>
          <w:sz w:val="30"/>
          <w:szCs w:val="30"/>
          <w:highlight w:val="none"/>
        </w:rPr>
      </w:pPr>
      <w:r>
        <w:rPr>
          <w:rStyle w:val="232"/>
          <w:rFonts w:hint="eastAsia" w:ascii="方正仿宋简体" w:hAnsi="方正仿宋简体" w:eastAsia="方正仿宋简体" w:cs="方正仿宋简体"/>
          <w:b w:val="0"/>
          <w:bCs/>
          <w:color w:val="auto"/>
          <w:sz w:val="30"/>
          <w:szCs w:val="30"/>
          <w:highlight w:val="none"/>
        </w:rPr>
        <w:t>3.2.1 经初步评审合格的谈判文件，谈判委员会应当根据谈判文件确定的评标标准和方法，对其技术部分和商务部分做进一步评审、比较。</w:t>
      </w:r>
    </w:p>
    <w:p>
      <w:pPr>
        <w:pageBreakBefore w:val="0"/>
        <w:kinsoku/>
        <w:wordWrap/>
        <w:overflowPunct/>
        <w:autoSpaceDE w:val="0"/>
        <w:autoSpaceDN w:val="0"/>
        <w:bidi w:val="0"/>
        <w:adjustRightIn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r>
        <w:rPr>
          <w:rStyle w:val="232"/>
          <w:rFonts w:hint="eastAsia" w:ascii="方正仿宋简体" w:hAnsi="方正仿宋简体" w:eastAsia="方正仿宋简体" w:cs="方正仿宋简体"/>
          <w:b w:val="0"/>
          <w:bCs/>
          <w:color w:val="auto"/>
          <w:sz w:val="30"/>
          <w:szCs w:val="30"/>
          <w:highlight w:val="none"/>
        </w:rPr>
        <w:t>3.2.2谈判委员会对谈判文件中各部分进行综合评定，确定投标人对谈判文件的响应情况，谈判委员会将采用百分制打分的办法，根据得分由高向低的顺序推荐中标候选人。</w:t>
      </w:r>
    </w:p>
    <w:p>
      <w:pPr>
        <w:pStyle w:val="27"/>
        <w:pageBreakBefore w:val="0"/>
        <w:kinsoku/>
        <w:wordWrap/>
        <w:overflowPunct/>
        <w:bidi w:val="0"/>
        <w:adjustRightInd w:val="0"/>
        <w:snapToGrid w:val="0"/>
        <w:spacing w:line="560" w:lineRule="exact"/>
        <w:ind w:left="0" w:leftChars="0" w:right="0" w:rightChars="0" w:firstLine="600" w:firstLineChars="200"/>
        <w:rPr>
          <w:rStyle w:val="232"/>
          <w:rFonts w:hint="eastAsia" w:ascii="方正仿宋简体" w:hAnsi="方正仿宋简体" w:eastAsia="方正仿宋简体" w:cs="方正仿宋简体"/>
          <w:b w:val="0"/>
          <w:bCs/>
          <w:color w:val="auto"/>
          <w:sz w:val="30"/>
          <w:szCs w:val="30"/>
          <w:highlight w:val="none"/>
        </w:rPr>
      </w:pPr>
      <w:r>
        <w:rPr>
          <w:rStyle w:val="232"/>
          <w:rFonts w:hint="eastAsia" w:ascii="方正仿宋简体" w:hAnsi="方正仿宋简体" w:eastAsia="方正仿宋简体" w:cs="方正仿宋简体"/>
          <w:b w:val="0"/>
          <w:bCs/>
          <w:color w:val="auto"/>
          <w:sz w:val="30"/>
          <w:szCs w:val="30"/>
          <w:highlight w:val="none"/>
        </w:rPr>
        <w:t>3.3谈判报告</w:t>
      </w:r>
    </w:p>
    <w:p>
      <w:pPr>
        <w:pStyle w:val="27"/>
        <w:pageBreakBefore w:val="0"/>
        <w:kinsoku/>
        <w:wordWrap/>
        <w:overflowPunct/>
        <w:bidi w:val="0"/>
        <w:adjustRightInd w:val="0"/>
        <w:snapToGrid w:val="0"/>
        <w:spacing w:line="560" w:lineRule="exact"/>
        <w:ind w:left="0" w:leftChars="0" w:right="0" w:rightChars="0" w:firstLine="600" w:firstLineChars="200"/>
        <w:rPr>
          <w:rStyle w:val="232"/>
          <w:rFonts w:hint="eastAsia" w:ascii="方正仿宋简体" w:hAnsi="方正仿宋简体" w:eastAsia="方正仿宋简体" w:cs="方正仿宋简体"/>
          <w:b w:val="0"/>
          <w:bCs/>
          <w:color w:val="auto"/>
          <w:sz w:val="30"/>
          <w:szCs w:val="30"/>
          <w:highlight w:val="none"/>
        </w:rPr>
      </w:pPr>
      <w:r>
        <w:rPr>
          <w:rStyle w:val="232"/>
          <w:rFonts w:hint="eastAsia" w:ascii="方正仿宋简体" w:hAnsi="方正仿宋简体" w:eastAsia="方正仿宋简体" w:cs="方正仿宋简体"/>
          <w:b w:val="0"/>
          <w:bCs/>
          <w:color w:val="auto"/>
          <w:sz w:val="30"/>
          <w:szCs w:val="30"/>
          <w:highlight w:val="none"/>
        </w:rPr>
        <w:t>3.3.1谈判委员会完成评标后，应当向招标人提出书面评标报告。</w:t>
      </w:r>
    </w:p>
    <w:p>
      <w:pPr>
        <w:pStyle w:val="27"/>
        <w:pageBreakBefore w:val="0"/>
        <w:kinsoku/>
        <w:wordWrap/>
        <w:overflowPunct/>
        <w:bidi w:val="0"/>
        <w:adjustRightInd w:val="0"/>
        <w:snapToGrid w:val="0"/>
        <w:spacing w:line="560" w:lineRule="exact"/>
        <w:ind w:left="0" w:leftChars="0" w:right="0" w:rightChars="0" w:firstLine="600" w:firstLineChars="200"/>
        <w:rPr>
          <w:rStyle w:val="232"/>
          <w:rFonts w:hint="eastAsia" w:ascii="方正仿宋简体" w:hAnsi="方正仿宋简体" w:eastAsia="方正仿宋简体" w:cs="方正仿宋简体"/>
          <w:b w:val="0"/>
          <w:bCs/>
          <w:color w:val="auto"/>
          <w:sz w:val="30"/>
          <w:szCs w:val="30"/>
          <w:highlight w:val="none"/>
        </w:rPr>
      </w:pPr>
      <w:r>
        <w:rPr>
          <w:rStyle w:val="232"/>
          <w:rFonts w:hint="eastAsia" w:ascii="方正仿宋简体" w:hAnsi="方正仿宋简体" w:eastAsia="方正仿宋简体" w:cs="方正仿宋简体"/>
          <w:b w:val="0"/>
          <w:bCs/>
          <w:color w:val="auto"/>
          <w:sz w:val="30"/>
          <w:szCs w:val="30"/>
          <w:highlight w:val="none"/>
        </w:rPr>
        <w:t>3.3.2评标报告由谈判委员会全体成员签字。对谈判结论持有异议的谈判委员会成员可以书面方式阐述其不同意见和理由。谈判委员会成员拒绝在评标报告上签字且不陈述其不同意见和理由的，视为同意谈判结论。谈判委员会应当对此作出书面说明并记录在案。</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Style w:val="232"/>
          <w:rFonts w:hint="eastAsia" w:ascii="方正仿宋简体" w:hAnsi="方正仿宋简体" w:eastAsia="方正仿宋简体" w:cs="方正仿宋简体"/>
          <w:b w:val="0"/>
          <w:bCs/>
          <w:color w:val="auto"/>
          <w:sz w:val="30"/>
          <w:szCs w:val="30"/>
          <w:highlight w:val="none"/>
        </w:rPr>
        <w:t>3.3.3谈判委员会向招标人提交书面评标报告后，谈判委员会即告解散。</w:t>
      </w:r>
    </w:p>
    <w:p>
      <w:pPr>
        <w:pStyle w:val="38"/>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bookmarkStart w:id="82" w:name="_Toc28486"/>
      <w:r>
        <w:rPr>
          <w:rFonts w:hint="eastAsia" w:ascii="方正仿宋简体" w:hAnsi="方正仿宋简体" w:eastAsia="方正仿宋简体" w:cs="方正仿宋简体"/>
          <w:b w:val="0"/>
          <w:bCs/>
          <w:color w:val="auto"/>
          <w:sz w:val="30"/>
          <w:szCs w:val="30"/>
          <w:highlight w:val="none"/>
        </w:rPr>
        <w:t>评标内容及标准</w:t>
      </w:r>
      <w:bookmarkEnd w:id="82"/>
    </w:p>
    <w:p>
      <w:pPr>
        <w:pageBreakBefore w:val="0"/>
        <w:kinsoku/>
        <w:wordWrap/>
        <w:overflowPunct/>
        <w:bidi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4.1评分内容</w:t>
      </w:r>
    </w:p>
    <w:p>
      <w:pPr>
        <w:pStyle w:val="27"/>
        <w:pageBreakBefore w:val="0"/>
        <w:kinsoku/>
        <w:wordWrap/>
        <w:overflowPunct/>
        <w:bidi w:val="0"/>
        <w:adjustRightInd w:val="0"/>
        <w:snapToGrid w:val="0"/>
        <w:spacing w:line="560" w:lineRule="exact"/>
        <w:ind w:left="0" w:leftChars="0" w:right="0" w:rightChars="0" w:firstLine="600" w:firstLineChars="200"/>
        <w:rPr>
          <w:rStyle w:val="232"/>
          <w:rFonts w:hint="eastAsia" w:ascii="方正仿宋简体" w:hAnsi="方正仿宋简体" w:eastAsia="方正仿宋简体" w:cs="方正仿宋简体"/>
          <w:b w:val="0"/>
          <w:bCs/>
          <w:color w:val="auto"/>
          <w:sz w:val="30"/>
          <w:szCs w:val="30"/>
          <w:highlight w:val="none"/>
        </w:rPr>
      </w:pPr>
      <w:r>
        <w:rPr>
          <w:rStyle w:val="232"/>
          <w:rFonts w:hint="eastAsia" w:ascii="方正仿宋简体" w:hAnsi="方正仿宋简体" w:eastAsia="方正仿宋简体" w:cs="方正仿宋简体"/>
          <w:b w:val="0"/>
          <w:bCs/>
          <w:color w:val="auto"/>
          <w:sz w:val="30"/>
          <w:szCs w:val="30"/>
          <w:highlight w:val="none"/>
        </w:rPr>
        <w:t>评标采用百分制打分，总分为100分，其中：</w:t>
      </w:r>
    </w:p>
    <w:p>
      <w:pPr>
        <w:pStyle w:val="27"/>
        <w:pageBreakBefore w:val="0"/>
        <w:kinsoku/>
        <w:wordWrap/>
        <w:overflowPunct/>
        <w:bidi w:val="0"/>
        <w:adjustRightInd w:val="0"/>
        <w:snapToGrid w:val="0"/>
        <w:spacing w:line="560" w:lineRule="exact"/>
        <w:ind w:left="0" w:leftChars="0" w:right="0" w:rightChars="0" w:firstLine="600" w:firstLineChars="200"/>
        <w:rPr>
          <w:rStyle w:val="232"/>
          <w:rFonts w:hint="eastAsia" w:ascii="方正仿宋简体" w:hAnsi="方正仿宋简体" w:eastAsia="方正仿宋简体" w:cs="方正仿宋简体"/>
          <w:b w:val="0"/>
          <w:bCs/>
          <w:color w:val="auto"/>
          <w:sz w:val="30"/>
          <w:szCs w:val="30"/>
          <w:highlight w:val="none"/>
        </w:rPr>
      </w:pPr>
      <w:r>
        <w:rPr>
          <w:rStyle w:val="232"/>
          <w:rFonts w:hint="eastAsia" w:ascii="方正仿宋简体" w:hAnsi="方正仿宋简体" w:eastAsia="方正仿宋简体" w:cs="方正仿宋简体"/>
          <w:b w:val="0"/>
          <w:bCs/>
          <w:color w:val="auto"/>
          <w:sz w:val="30"/>
          <w:szCs w:val="30"/>
          <w:highlight w:val="none"/>
        </w:rPr>
        <w:t>技术部分（A1）：</w:t>
      </w:r>
      <w:r>
        <w:rPr>
          <w:rStyle w:val="232"/>
          <w:rFonts w:hint="eastAsia" w:ascii="方正仿宋简体" w:hAnsi="方正仿宋简体" w:eastAsia="方正仿宋简体" w:cs="方正仿宋简体"/>
          <w:b w:val="0"/>
          <w:bCs/>
          <w:color w:val="auto"/>
          <w:sz w:val="30"/>
          <w:szCs w:val="30"/>
          <w:highlight w:val="none"/>
          <w:lang w:val="en-US" w:eastAsia="zh-CN"/>
        </w:rPr>
        <w:t>35</w:t>
      </w:r>
      <w:r>
        <w:rPr>
          <w:rStyle w:val="232"/>
          <w:rFonts w:hint="eastAsia" w:ascii="方正仿宋简体" w:hAnsi="方正仿宋简体" w:eastAsia="方正仿宋简体" w:cs="方正仿宋简体"/>
          <w:b w:val="0"/>
          <w:bCs/>
          <w:color w:val="auto"/>
          <w:sz w:val="30"/>
          <w:szCs w:val="30"/>
          <w:highlight w:val="none"/>
        </w:rPr>
        <w:t>分</w:t>
      </w:r>
    </w:p>
    <w:p>
      <w:pPr>
        <w:pStyle w:val="27"/>
        <w:pageBreakBefore w:val="0"/>
        <w:kinsoku/>
        <w:wordWrap/>
        <w:overflowPunct/>
        <w:bidi w:val="0"/>
        <w:adjustRightInd w:val="0"/>
        <w:snapToGrid w:val="0"/>
        <w:spacing w:line="560" w:lineRule="exact"/>
        <w:ind w:left="0" w:leftChars="0" w:right="0" w:rightChars="0" w:firstLine="600" w:firstLineChars="200"/>
        <w:rPr>
          <w:rStyle w:val="232"/>
          <w:rFonts w:hint="eastAsia" w:ascii="方正仿宋简体" w:hAnsi="方正仿宋简体" w:eastAsia="方正仿宋简体" w:cs="方正仿宋简体"/>
          <w:b w:val="0"/>
          <w:bCs/>
          <w:color w:val="auto"/>
          <w:sz w:val="30"/>
          <w:szCs w:val="30"/>
          <w:highlight w:val="none"/>
        </w:rPr>
      </w:pPr>
      <w:r>
        <w:rPr>
          <w:rStyle w:val="232"/>
          <w:rFonts w:hint="eastAsia" w:ascii="方正仿宋简体" w:hAnsi="方正仿宋简体" w:eastAsia="方正仿宋简体" w:cs="方正仿宋简体"/>
          <w:b w:val="0"/>
          <w:bCs/>
          <w:color w:val="auto"/>
          <w:sz w:val="30"/>
          <w:szCs w:val="30"/>
          <w:highlight w:val="none"/>
        </w:rPr>
        <w:t>商务部分（A2）：</w:t>
      </w:r>
      <w:r>
        <w:rPr>
          <w:rStyle w:val="232"/>
          <w:rFonts w:hint="eastAsia" w:ascii="方正仿宋简体" w:hAnsi="方正仿宋简体" w:eastAsia="方正仿宋简体" w:cs="方正仿宋简体"/>
          <w:b w:val="0"/>
          <w:bCs/>
          <w:color w:val="auto"/>
          <w:sz w:val="30"/>
          <w:szCs w:val="30"/>
          <w:highlight w:val="none"/>
          <w:lang w:val="en-US" w:eastAsia="zh-CN"/>
        </w:rPr>
        <w:t>15</w:t>
      </w:r>
      <w:r>
        <w:rPr>
          <w:rStyle w:val="232"/>
          <w:rFonts w:hint="eastAsia" w:ascii="方正仿宋简体" w:hAnsi="方正仿宋简体" w:eastAsia="方正仿宋简体" w:cs="方正仿宋简体"/>
          <w:b w:val="0"/>
          <w:bCs/>
          <w:color w:val="auto"/>
          <w:sz w:val="30"/>
          <w:szCs w:val="30"/>
          <w:highlight w:val="none"/>
        </w:rPr>
        <w:t>分</w:t>
      </w:r>
    </w:p>
    <w:p>
      <w:pPr>
        <w:pStyle w:val="27"/>
        <w:pageBreakBefore w:val="0"/>
        <w:kinsoku/>
        <w:wordWrap/>
        <w:overflowPunct/>
        <w:bidi w:val="0"/>
        <w:adjustRightInd w:val="0"/>
        <w:snapToGrid w:val="0"/>
        <w:spacing w:line="560" w:lineRule="exact"/>
        <w:ind w:left="0" w:leftChars="0" w:right="0" w:rightChars="0" w:firstLine="600" w:firstLineChars="200"/>
        <w:rPr>
          <w:rStyle w:val="232"/>
          <w:rFonts w:hint="eastAsia" w:ascii="方正仿宋简体" w:hAnsi="方正仿宋简体" w:eastAsia="方正仿宋简体" w:cs="方正仿宋简体"/>
          <w:b w:val="0"/>
          <w:bCs/>
          <w:color w:val="auto"/>
          <w:sz w:val="30"/>
          <w:szCs w:val="30"/>
          <w:highlight w:val="none"/>
        </w:rPr>
      </w:pPr>
      <w:r>
        <w:rPr>
          <w:rStyle w:val="232"/>
          <w:rFonts w:hint="eastAsia" w:ascii="方正仿宋简体" w:hAnsi="方正仿宋简体" w:eastAsia="方正仿宋简体" w:cs="方正仿宋简体"/>
          <w:b w:val="0"/>
          <w:bCs/>
          <w:color w:val="auto"/>
          <w:sz w:val="30"/>
          <w:szCs w:val="30"/>
          <w:highlight w:val="none"/>
        </w:rPr>
        <w:t>报价部分（A3）：</w:t>
      </w:r>
      <w:r>
        <w:rPr>
          <w:rStyle w:val="232"/>
          <w:rFonts w:hint="eastAsia" w:ascii="方正仿宋简体" w:hAnsi="方正仿宋简体" w:eastAsia="方正仿宋简体" w:cs="方正仿宋简体"/>
          <w:b w:val="0"/>
          <w:bCs/>
          <w:color w:val="auto"/>
          <w:sz w:val="30"/>
          <w:szCs w:val="30"/>
          <w:highlight w:val="none"/>
          <w:lang w:val="en-US" w:eastAsia="zh-CN"/>
        </w:rPr>
        <w:t>50</w:t>
      </w:r>
      <w:r>
        <w:rPr>
          <w:rStyle w:val="232"/>
          <w:rFonts w:hint="eastAsia" w:ascii="方正仿宋简体" w:hAnsi="方正仿宋简体" w:eastAsia="方正仿宋简体" w:cs="方正仿宋简体"/>
          <w:b w:val="0"/>
          <w:bCs/>
          <w:color w:val="auto"/>
          <w:sz w:val="30"/>
          <w:szCs w:val="30"/>
          <w:highlight w:val="none"/>
        </w:rPr>
        <w:t>分</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Style w:val="232"/>
          <w:rFonts w:hint="eastAsia" w:ascii="方正仿宋简体" w:hAnsi="方正仿宋简体" w:eastAsia="方正仿宋简体" w:cs="方正仿宋简体"/>
          <w:b w:val="0"/>
          <w:bCs/>
          <w:color w:val="auto"/>
          <w:sz w:val="30"/>
          <w:szCs w:val="30"/>
          <w:highlight w:val="none"/>
        </w:rPr>
        <w:t>投标人得分= A1+ A2+ A3。小数点保</w:t>
      </w:r>
      <w:r>
        <w:rPr>
          <w:rFonts w:hint="eastAsia" w:ascii="方正仿宋简体" w:hAnsi="方正仿宋简体" w:eastAsia="方正仿宋简体" w:cs="方正仿宋简体"/>
          <w:b w:val="0"/>
          <w:bCs/>
          <w:color w:val="auto"/>
          <w:sz w:val="30"/>
          <w:szCs w:val="30"/>
          <w:highlight w:val="none"/>
        </w:rPr>
        <w:t>留位数：评分分值计算保留小数点后两位，第三位四舍五入。</w:t>
      </w:r>
    </w:p>
    <w:p>
      <w:pPr>
        <w:pageBreakBefore w:val="0"/>
        <w:kinsoku/>
        <w:wordWrap/>
        <w:overflowPunct/>
        <w:bidi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4.2针对某一有效投标人，所有谈判委员会成员最终评分的算术平均值即为该投标人的最终得分。在分数相同的情况下，投标报价低的投标人排名优先。</w:t>
      </w:r>
    </w:p>
    <w:p>
      <w:pPr>
        <w:pStyle w:val="27"/>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4.3 评分细则</w:t>
      </w:r>
    </w:p>
    <w:tbl>
      <w:tblPr>
        <w:tblStyle w:val="51"/>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763"/>
        <w:gridCol w:w="1323"/>
        <w:gridCol w:w="3955"/>
        <w:gridCol w:w="709"/>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hint="eastAsia" w:ascii="宋体" w:hAnsi="宋体"/>
                <w:color w:val="auto"/>
                <w:szCs w:val="21"/>
                <w:highlight w:val="none"/>
              </w:rPr>
              <w:t>评分项目</w:t>
            </w:r>
          </w:p>
        </w:tc>
        <w:tc>
          <w:tcPr>
            <w:tcW w:w="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hint="eastAsia" w:ascii="宋体" w:hAnsi="宋体" w:cs="宋体"/>
                <w:color w:val="auto"/>
                <w:szCs w:val="21"/>
                <w:highlight w:val="none"/>
              </w:rPr>
              <w:t>分值</w:t>
            </w:r>
          </w:p>
        </w:tc>
        <w:tc>
          <w:tcPr>
            <w:tcW w:w="52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hint="eastAsia" w:ascii="宋体" w:hAnsi="宋体" w:cs="宋体"/>
                <w:color w:val="auto"/>
                <w:szCs w:val="21"/>
                <w:highlight w:val="none"/>
              </w:rPr>
              <w:t>评分细则</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hint="eastAsia" w:ascii="宋体" w:hAnsi="宋体" w:cs="宋体"/>
                <w:color w:val="auto"/>
                <w:szCs w:val="21"/>
                <w:highlight w:val="none"/>
              </w:rPr>
              <w:t>分值</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hint="eastAsia" w:ascii="宋体" w:hAnsi="宋体" w:cs="宋体"/>
                <w:color w:val="auto"/>
                <w:szCs w:val="21"/>
                <w:highlight w:val="none"/>
              </w:rPr>
              <w:t>技术部分</w:t>
            </w:r>
          </w:p>
        </w:tc>
        <w:tc>
          <w:tcPr>
            <w:tcW w:w="7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hint="eastAsia" w:ascii="宋体" w:hAnsi="宋体"/>
                <w:color w:val="auto"/>
                <w:szCs w:val="21"/>
                <w:highlight w:val="none"/>
                <w:lang w:val="en-US" w:eastAsia="zh-CN"/>
              </w:rPr>
              <w:t>35</w:t>
            </w:r>
            <w:r>
              <w:rPr>
                <w:rFonts w:hint="eastAsia" w:ascii="宋体" w:hAnsi="宋体"/>
                <w:color w:val="auto"/>
                <w:szCs w:val="21"/>
                <w:highlight w:val="none"/>
              </w:rPr>
              <w:t>分</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hint="eastAsia" w:ascii="宋体" w:hAnsi="宋体"/>
                <w:color w:val="auto"/>
                <w:szCs w:val="21"/>
                <w:highlight w:val="none"/>
              </w:rPr>
              <w:t>施工方案</w:t>
            </w:r>
          </w:p>
        </w:tc>
        <w:tc>
          <w:tcPr>
            <w:tcW w:w="3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宋体" w:hAnsi="宋体"/>
                <w:color w:val="auto"/>
                <w:szCs w:val="21"/>
                <w:highlight w:val="none"/>
              </w:rPr>
            </w:pPr>
            <w:r>
              <w:rPr>
                <w:rFonts w:hint="eastAsia" w:ascii="宋体" w:hAnsi="宋体"/>
                <w:color w:val="auto"/>
                <w:szCs w:val="21"/>
                <w:highlight w:val="none"/>
              </w:rPr>
              <w:t>1、方案符合本项目特点，有针对性，得15—</w:t>
            </w:r>
            <w:r>
              <w:rPr>
                <w:rFonts w:hint="eastAsia" w:ascii="宋体" w:hAnsi="宋体"/>
                <w:color w:val="auto"/>
                <w:szCs w:val="21"/>
                <w:highlight w:val="none"/>
                <w:lang w:val="en-US" w:eastAsia="zh-CN"/>
              </w:rPr>
              <w:t>18</w:t>
            </w:r>
            <w:r>
              <w:rPr>
                <w:rFonts w:hint="eastAsia" w:ascii="宋体" w:hAnsi="宋体"/>
                <w:color w:val="auto"/>
                <w:szCs w:val="21"/>
                <w:highlight w:val="none"/>
              </w:rPr>
              <w:t>分；</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宋体" w:hAnsi="宋体"/>
                <w:color w:val="auto"/>
                <w:szCs w:val="21"/>
                <w:highlight w:val="none"/>
              </w:rPr>
            </w:pPr>
            <w:r>
              <w:rPr>
                <w:rFonts w:hint="eastAsia" w:ascii="宋体" w:hAnsi="宋体"/>
                <w:color w:val="auto"/>
                <w:szCs w:val="21"/>
                <w:highlight w:val="none"/>
              </w:rPr>
              <w:t>2、方案较好，基本能达到项目要求，得8—14分；</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宋体" w:hAnsi="宋体"/>
                <w:color w:val="auto"/>
                <w:szCs w:val="21"/>
                <w:highlight w:val="none"/>
              </w:rPr>
            </w:pPr>
            <w:r>
              <w:rPr>
                <w:rFonts w:hint="eastAsia" w:ascii="宋体" w:hAnsi="宋体"/>
                <w:color w:val="auto"/>
                <w:szCs w:val="21"/>
                <w:highlight w:val="none"/>
              </w:rPr>
              <w:t>3、其它得0—7分；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宋体" w:hAnsi="宋体" w:eastAsia="宋体"/>
                <w:color w:val="auto"/>
                <w:szCs w:val="21"/>
                <w:highlight w:val="none"/>
                <w:lang w:val="en-US" w:eastAsia="zh-CN"/>
              </w:rPr>
            </w:pPr>
            <w:r>
              <w:rPr>
                <w:rFonts w:ascii="宋体" w:hAnsi="宋体"/>
                <w:color w:val="auto"/>
                <w:szCs w:val="21"/>
                <w:highlight w:val="none"/>
              </w:rPr>
              <w:t>0</w:t>
            </w:r>
            <w:r>
              <w:rPr>
                <w:rFonts w:hint="eastAsia" w:ascii="宋体" w:hAnsi="宋体"/>
                <w:color w:val="auto"/>
                <w:szCs w:val="21"/>
                <w:highlight w:val="none"/>
              </w:rPr>
              <w:t>~</w:t>
            </w:r>
            <w:r>
              <w:rPr>
                <w:rFonts w:hint="eastAsia" w:ascii="宋体" w:hAnsi="宋体"/>
                <w:color w:val="auto"/>
                <w:szCs w:val="21"/>
                <w:highlight w:val="none"/>
                <w:lang w:val="en-US" w:eastAsia="zh-CN"/>
              </w:rPr>
              <w:t>18</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宋体" w:hAnsi="宋体"/>
                <w:color w:val="auto"/>
                <w:szCs w:val="21"/>
                <w:highlight w:val="none"/>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宋体" w:hAnsi="宋体"/>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s="Arial"/>
                <w:color w:val="auto"/>
                <w:szCs w:val="21"/>
                <w:highlight w:val="none"/>
              </w:rPr>
            </w:pPr>
            <w:r>
              <w:rPr>
                <w:rFonts w:hint="eastAsia" w:ascii="宋体" w:hAnsi="宋体"/>
                <w:color w:val="auto"/>
                <w:szCs w:val="21"/>
                <w:highlight w:val="none"/>
              </w:rPr>
              <w:t>质量目标和措施</w:t>
            </w:r>
          </w:p>
        </w:tc>
        <w:tc>
          <w:tcPr>
            <w:tcW w:w="3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12"/>
              </w:numPr>
              <w:kinsoku/>
              <w:wordWrap/>
              <w:overflowPunct/>
              <w:topLinePunct w:val="0"/>
              <w:autoSpaceDE/>
              <w:autoSpaceDN/>
              <w:bidi w:val="0"/>
              <w:adjustRightInd/>
              <w:snapToGrid w:val="0"/>
              <w:spacing w:line="560" w:lineRule="exact"/>
              <w:jc w:val="left"/>
              <w:textAlignment w:val="auto"/>
              <w:rPr>
                <w:rFonts w:hint="eastAsia" w:ascii="宋体" w:hAnsi="宋体"/>
                <w:color w:val="auto"/>
                <w:szCs w:val="21"/>
                <w:highlight w:val="none"/>
              </w:rPr>
            </w:pPr>
            <w:r>
              <w:rPr>
                <w:rFonts w:hint="eastAsia" w:ascii="宋体" w:hAnsi="宋体"/>
                <w:color w:val="auto"/>
                <w:szCs w:val="21"/>
                <w:highlight w:val="none"/>
                <w:lang w:val="en-US" w:eastAsia="zh-CN"/>
              </w:rPr>
              <w:t>根据</w:t>
            </w:r>
            <w:r>
              <w:rPr>
                <w:rFonts w:hint="eastAsia" w:ascii="宋体" w:hAnsi="宋体"/>
                <w:color w:val="auto"/>
                <w:szCs w:val="21"/>
                <w:highlight w:val="none"/>
              </w:rPr>
              <w:t>质量目标和措施</w:t>
            </w:r>
            <w:r>
              <w:rPr>
                <w:rFonts w:hint="eastAsia" w:ascii="宋体" w:hAnsi="宋体"/>
                <w:color w:val="auto"/>
                <w:szCs w:val="21"/>
                <w:highlight w:val="none"/>
                <w:lang w:val="en-US" w:eastAsia="zh-CN"/>
              </w:rPr>
              <w:t>的</w:t>
            </w:r>
            <w:r>
              <w:rPr>
                <w:rFonts w:hint="eastAsia"/>
                <w:color w:val="auto"/>
                <w:highlight w:val="none"/>
              </w:rPr>
              <w:t>具体、明确、标准</w:t>
            </w:r>
            <w:r>
              <w:rPr>
                <w:rFonts w:hint="eastAsia"/>
                <w:color w:val="auto"/>
                <w:highlight w:val="none"/>
                <w:lang w:val="en-US" w:eastAsia="zh-CN"/>
              </w:rPr>
              <w:t>及</w:t>
            </w:r>
            <w:r>
              <w:rPr>
                <w:rFonts w:hint="eastAsia"/>
                <w:color w:val="auto"/>
                <w:highlight w:val="none"/>
              </w:rPr>
              <w:t>切合实际</w:t>
            </w:r>
            <w:r>
              <w:rPr>
                <w:rFonts w:hint="eastAsia"/>
                <w:color w:val="auto"/>
                <w:highlight w:val="none"/>
                <w:lang w:val="en-US" w:eastAsia="zh-CN"/>
              </w:rPr>
              <w:t>情况</w:t>
            </w:r>
            <w:r>
              <w:rPr>
                <w:rFonts w:hint="eastAsia"/>
                <w:color w:val="auto"/>
                <w:highlight w:val="none"/>
              </w:rPr>
              <w:t>，得</w:t>
            </w:r>
            <w:r>
              <w:rPr>
                <w:rFonts w:hint="eastAsia"/>
                <w:color w:val="auto"/>
                <w:highlight w:val="none"/>
                <w:lang w:val="en-US" w:eastAsia="zh-CN"/>
              </w:rPr>
              <w:t>1</w:t>
            </w:r>
            <w:r>
              <w:rPr>
                <w:rFonts w:hint="eastAsia"/>
                <w:color w:val="auto"/>
                <w:highlight w:val="none"/>
              </w:rPr>
              <w:t>~</w:t>
            </w:r>
            <w:r>
              <w:rPr>
                <w:rFonts w:hint="eastAsia"/>
                <w:color w:val="auto"/>
                <w:highlight w:val="none"/>
                <w:lang w:val="en-US" w:eastAsia="zh-CN"/>
              </w:rPr>
              <w:t>2</w:t>
            </w:r>
            <w:r>
              <w:rPr>
                <w:rFonts w:hint="eastAsia"/>
                <w:color w:val="auto"/>
                <w:highlight w:val="none"/>
              </w:rPr>
              <w:t>分</w:t>
            </w:r>
            <w:r>
              <w:rPr>
                <w:rFonts w:hint="eastAsia" w:ascii="宋体" w:hAnsi="宋体"/>
                <w:color w:val="auto"/>
                <w:szCs w:val="21"/>
                <w:highlight w:val="none"/>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1</w:t>
            </w:r>
            <w:r>
              <w:rPr>
                <w:rFonts w:hint="eastAsia" w:ascii="宋体" w:hAnsi="宋体"/>
                <w:color w:val="auto"/>
                <w:szCs w:val="21"/>
                <w:highlight w:val="none"/>
              </w:rPr>
              <w:t>~</w:t>
            </w:r>
            <w:r>
              <w:rPr>
                <w:rFonts w:hint="eastAsia" w:ascii="宋体" w:hAnsi="宋体"/>
                <w:color w:val="auto"/>
                <w:szCs w:val="21"/>
                <w:highlight w:val="none"/>
                <w:lang w:val="en-US" w:eastAsia="zh-CN"/>
              </w:rPr>
              <w:t>2</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宋体" w:hAnsi="宋体"/>
                <w:color w:val="auto"/>
                <w:szCs w:val="21"/>
                <w:highlight w:val="none"/>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宋体" w:hAnsi="宋体"/>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hint="eastAsia" w:ascii="宋体" w:hAnsi="宋体"/>
                <w:color w:val="auto"/>
                <w:szCs w:val="21"/>
                <w:highlight w:val="none"/>
              </w:rPr>
              <w:t>安健保证体系及措施</w:t>
            </w:r>
          </w:p>
        </w:tc>
        <w:tc>
          <w:tcPr>
            <w:tcW w:w="3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宋体" w:hAnsi="宋体"/>
                <w:color w:val="auto"/>
                <w:szCs w:val="21"/>
                <w:highlight w:val="none"/>
              </w:rPr>
            </w:pPr>
            <w:r>
              <w:rPr>
                <w:rFonts w:hint="eastAsia" w:ascii="宋体" w:hAnsi="宋体"/>
                <w:color w:val="auto"/>
                <w:szCs w:val="21"/>
                <w:highlight w:val="none"/>
              </w:rPr>
              <w:t>1、安健环保证体系十分完善，措施可靠，得4分；</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宋体" w:hAnsi="宋体"/>
                <w:color w:val="auto"/>
                <w:szCs w:val="21"/>
                <w:highlight w:val="none"/>
              </w:rPr>
            </w:pPr>
            <w:r>
              <w:rPr>
                <w:rFonts w:hint="eastAsia" w:ascii="宋体" w:hAnsi="宋体"/>
                <w:color w:val="auto"/>
                <w:szCs w:val="21"/>
                <w:highlight w:val="none"/>
              </w:rPr>
              <w:t>2、安健环保证体系基本完善，得2~3分；</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宋体" w:hAnsi="宋体"/>
                <w:color w:val="auto"/>
                <w:szCs w:val="21"/>
                <w:highlight w:val="none"/>
              </w:rPr>
            </w:pPr>
            <w:r>
              <w:rPr>
                <w:rFonts w:hint="eastAsia" w:ascii="宋体" w:hAnsi="宋体"/>
                <w:color w:val="auto"/>
                <w:szCs w:val="21"/>
                <w:highlight w:val="none"/>
              </w:rPr>
              <w:t>3、不完善得0~1分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olor w:val="auto"/>
                <w:szCs w:val="21"/>
                <w:highlight w:val="none"/>
                <w:lang w:val="en-US" w:eastAsia="zh-CN"/>
              </w:rPr>
            </w:pPr>
            <w:r>
              <w:rPr>
                <w:rFonts w:ascii="宋体" w:hAnsi="宋体"/>
                <w:color w:val="auto"/>
                <w:szCs w:val="21"/>
                <w:highlight w:val="none"/>
              </w:rPr>
              <w:t>0</w:t>
            </w:r>
            <w:r>
              <w:rPr>
                <w:rFonts w:hint="eastAsia" w:ascii="宋体" w:hAnsi="宋体"/>
                <w:color w:val="auto"/>
                <w:szCs w:val="21"/>
                <w:highlight w:val="none"/>
              </w:rPr>
              <w:t>~</w:t>
            </w:r>
            <w:r>
              <w:rPr>
                <w:rFonts w:hint="eastAsia" w:ascii="宋体" w:hAnsi="宋体"/>
                <w:color w:val="auto"/>
                <w:szCs w:val="21"/>
                <w:highlight w:val="none"/>
                <w:lang w:val="en-US" w:eastAsia="zh-CN"/>
              </w:rPr>
              <w:t>4</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宋体" w:hAnsi="宋体"/>
                <w:color w:val="auto"/>
                <w:szCs w:val="21"/>
                <w:highlight w:val="none"/>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宋体" w:hAnsi="宋体"/>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hint="eastAsia" w:ascii="宋体" w:hAnsi="宋体"/>
                <w:color w:val="auto"/>
                <w:szCs w:val="21"/>
                <w:highlight w:val="none"/>
              </w:rPr>
              <w:t>机构设置、人员配置及资历水平</w:t>
            </w:r>
          </w:p>
        </w:tc>
        <w:tc>
          <w:tcPr>
            <w:tcW w:w="3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宋体" w:hAnsi="宋体"/>
                <w:color w:val="auto"/>
                <w:szCs w:val="21"/>
                <w:highlight w:val="none"/>
              </w:rPr>
            </w:pPr>
            <w:r>
              <w:rPr>
                <w:rFonts w:hint="eastAsia" w:ascii="宋体" w:hAnsi="宋体"/>
                <w:color w:val="auto"/>
                <w:szCs w:val="21"/>
                <w:highlight w:val="none"/>
              </w:rPr>
              <w:t>1、机构设置及人员配置非常合理，对本项目有针对性，项目经理及</w:t>
            </w:r>
            <w:r>
              <w:rPr>
                <w:rFonts w:hint="eastAsia" w:ascii="宋体" w:hAnsi="宋体" w:cs="Arial"/>
                <w:color w:val="auto"/>
                <w:szCs w:val="21"/>
                <w:highlight w:val="none"/>
              </w:rPr>
              <w:t>各专业技术人员配置较强，有丰富的工作经历和同类型日常维护及检修经验</w:t>
            </w:r>
            <w:r>
              <w:rPr>
                <w:rFonts w:hint="eastAsia" w:ascii="宋体" w:hAnsi="宋体"/>
                <w:color w:val="auto"/>
                <w:szCs w:val="21"/>
                <w:highlight w:val="none"/>
              </w:rPr>
              <w:t>，得6~8分；</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宋体" w:hAnsi="宋体"/>
                <w:color w:val="auto"/>
                <w:szCs w:val="21"/>
                <w:highlight w:val="none"/>
              </w:rPr>
            </w:pPr>
            <w:r>
              <w:rPr>
                <w:rFonts w:hint="eastAsia" w:ascii="宋体" w:hAnsi="宋体"/>
                <w:color w:val="auto"/>
                <w:szCs w:val="21"/>
                <w:highlight w:val="none"/>
              </w:rPr>
              <w:t>2、机构设置及人员配置合理，项目经理及</w:t>
            </w:r>
            <w:r>
              <w:rPr>
                <w:rFonts w:hint="eastAsia" w:ascii="宋体" w:hAnsi="宋体" w:cs="Arial"/>
                <w:color w:val="auto"/>
                <w:szCs w:val="21"/>
                <w:highlight w:val="none"/>
              </w:rPr>
              <w:t>各专业技术人员配置一般，有工作经历和同类型日常维护及检修经验</w:t>
            </w:r>
            <w:r>
              <w:rPr>
                <w:rFonts w:hint="eastAsia" w:ascii="宋体" w:hAnsi="宋体"/>
                <w:color w:val="auto"/>
                <w:szCs w:val="21"/>
                <w:highlight w:val="none"/>
              </w:rPr>
              <w:t>，得3</w:t>
            </w:r>
            <w:r>
              <w:rPr>
                <w:rFonts w:ascii="宋体" w:hAnsi="宋体"/>
                <w:color w:val="auto"/>
                <w:szCs w:val="21"/>
                <w:highlight w:val="none"/>
              </w:rPr>
              <w:t>~</w:t>
            </w:r>
            <w:r>
              <w:rPr>
                <w:rFonts w:hint="eastAsia" w:ascii="宋体" w:hAnsi="宋体"/>
                <w:color w:val="auto"/>
                <w:szCs w:val="21"/>
                <w:highlight w:val="none"/>
              </w:rPr>
              <w:t>5分；</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宋体" w:hAnsi="宋体"/>
                <w:color w:val="auto"/>
                <w:szCs w:val="21"/>
                <w:highlight w:val="none"/>
              </w:rPr>
            </w:pPr>
            <w:r>
              <w:rPr>
                <w:rFonts w:hint="eastAsia" w:ascii="宋体" w:hAnsi="宋体"/>
                <w:color w:val="auto"/>
                <w:szCs w:val="21"/>
                <w:highlight w:val="none"/>
              </w:rPr>
              <w:t>3、机构设置及人员配置不合理，项目经理及</w:t>
            </w:r>
            <w:r>
              <w:rPr>
                <w:rFonts w:hint="eastAsia" w:ascii="宋体" w:hAnsi="宋体" w:cs="Arial"/>
                <w:color w:val="auto"/>
                <w:szCs w:val="21"/>
                <w:highlight w:val="none"/>
              </w:rPr>
              <w:t>各专业技术人员配置差，得</w:t>
            </w:r>
            <w:r>
              <w:rPr>
                <w:rFonts w:hint="eastAsia" w:ascii="宋体" w:hAnsi="宋体" w:cs="Arial"/>
                <w:color w:val="auto"/>
                <w:szCs w:val="21"/>
                <w:highlight w:val="none"/>
                <w:lang w:val="en-US" w:eastAsia="zh-CN"/>
              </w:rPr>
              <w:t>0</w:t>
            </w:r>
            <w:r>
              <w:rPr>
                <w:rFonts w:hint="eastAsia" w:ascii="宋体" w:hAnsi="宋体" w:cs="Arial"/>
                <w:color w:val="auto"/>
                <w:szCs w:val="21"/>
                <w:highlight w:val="none"/>
              </w:rPr>
              <w:t>~2分；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ascii="宋体" w:hAnsi="宋体"/>
                <w:color w:val="auto"/>
                <w:szCs w:val="21"/>
                <w:highlight w:val="none"/>
              </w:rPr>
              <w:t>0</w:t>
            </w:r>
            <w:r>
              <w:rPr>
                <w:rFonts w:hint="eastAsia" w:ascii="宋体" w:hAnsi="宋体"/>
                <w:color w:val="auto"/>
                <w:szCs w:val="21"/>
                <w:highlight w:val="none"/>
              </w:rPr>
              <w:t>~8</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宋体" w:hAnsi="宋体"/>
                <w:color w:val="auto"/>
                <w:szCs w:val="21"/>
                <w:highlight w:val="none"/>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宋体" w:hAnsi="宋体"/>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s="宋体"/>
                <w:color w:val="auto"/>
                <w:szCs w:val="21"/>
                <w:highlight w:val="none"/>
              </w:rPr>
            </w:pPr>
            <w:r>
              <w:rPr>
                <w:rFonts w:hint="eastAsia" w:ascii="宋体" w:hAnsi="宋体"/>
                <w:color w:val="auto"/>
                <w:szCs w:val="21"/>
                <w:highlight w:val="none"/>
              </w:rPr>
              <w:t>主要施工机械及劳动力安排计划</w:t>
            </w:r>
          </w:p>
        </w:tc>
        <w:tc>
          <w:tcPr>
            <w:tcW w:w="3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宋体" w:hAnsi="宋体"/>
                <w:color w:val="auto"/>
                <w:szCs w:val="21"/>
                <w:highlight w:val="none"/>
              </w:rPr>
            </w:pPr>
            <w:r>
              <w:rPr>
                <w:rFonts w:hint="eastAsia" w:ascii="宋体" w:hAnsi="宋体"/>
                <w:color w:val="auto"/>
                <w:szCs w:val="21"/>
                <w:highlight w:val="none"/>
              </w:rPr>
              <w:t>1、配备十分齐全，安排得得当</w:t>
            </w:r>
            <w:r>
              <w:rPr>
                <w:rFonts w:hint="eastAsia" w:ascii="宋体" w:hAnsi="宋体"/>
                <w:color w:val="auto"/>
                <w:szCs w:val="21"/>
                <w:highlight w:val="none"/>
                <w:lang w:val="en-US" w:eastAsia="zh-CN"/>
              </w:rPr>
              <w:t>3</w:t>
            </w:r>
            <w:r>
              <w:rPr>
                <w:rFonts w:hint="eastAsia" w:ascii="宋体" w:hAnsi="宋体"/>
                <w:color w:val="auto"/>
                <w:szCs w:val="21"/>
                <w:highlight w:val="none"/>
              </w:rPr>
              <w:t>分；</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宋体" w:hAnsi="宋体" w:cs="宋体"/>
                <w:color w:val="auto"/>
                <w:szCs w:val="21"/>
                <w:highlight w:val="none"/>
              </w:rPr>
            </w:pPr>
            <w:r>
              <w:rPr>
                <w:rFonts w:hint="eastAsia" w:ascii="宋体" w:hAnsi="宋体"/>
                <w:color w:val="auto"/>
                <w:szCs w:val="21"/>
                <w:highlight w:val="none"/>
              </w:rPr>
              <w:t>2、配备满足要求，劳动力安排一般得1分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1</w:t>
            </w:r>
            <w:r>
              <w:rPr>
                <w:rFonts w:hint="eastAsia" w:ascii="宋体" w:hAnsi="宋体"/>
                <w:color w:val="auto"/>
                <w:szCs w:val="21"/>
                <w:highlight w:val="none"/>
              </w:rPr>
              <w:t>~</w:t>
            </w:r>
            <w:r>
              <w:rPr>
                <w:rFonts w:hint="eastAsia" w:ascii="宋体" w:hAnsi="宋体"/>
                <w:color w:val="auto"/>
                <w:szCs w:val="21"/>
                <w:highlight w:val="none"/>
                <w:lang w:val="en-US" w:eastAsia="zh-CN"/>
              </w:rPr>
              <w:t>3</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hint="eastAsia" w:ascii="宋体" w:hAnsi="宋体" w:cs="Arial"/>
                <w:color w:val="auto"/>
                <w:szCs w:val="21"/>
                <w:highlight w:val="none"/>
              </w:rPr>
              <w:t>商务部分</w:t>
            </w:r>
          </w:p>
        </w:tc>
        <w:tc>
          <w:tcPr>
            <w:tcW w:w="7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分</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hint="eastAsia" w:ascii="宋体" w:hAnsi="宋体"/>
                <w:color w:val="auto"/>
                <w:szCs w:val="21"/>
                <w:highlight w:val="none"/>
              </w:rPr>
              <w:t>企业经营状况</w:t>
            </w:r>
          </w:p>
        </w:tc>
        <w:tc>
          <w:tcPr>
            <w:tcW w:w="3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宋体" w:hAnsi="宋体"/>
                <w:color w:val="auto"/>
                <w:szCs w:val="21"/>
                <w:highlight w:val="none"/>
              </w:rPr>
            </w:pPr>
            <w:r>
              <w:rPr>
                <w:rFonts w:hint="eastAsia" w:ascii="宋体" w:hAnsi="宋体"/>
                <w:color w:val="auto"/>
                <w:szCs w:val="21"/>
                <w:highlight w:val="none"/>
              </w:rPr>
              <w:t>视企业注册资金、财务状况及资信证明情况得</w:t>
            </w:r>
            <w:r>
              <w:rPr>
                <w:rFonts w:ascii="宋体" w:hAnsi="宋体"/>
                <w:color w:val="auto"/>
                <w:szCs w:val="21"/>
                <w:highlight w:val="none"/>
              </w:rPr>
              <w:t>0</w:t>
            </w: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olor w:val="auto"/>
                <w:szCs w:val="21"/>
                <w:highlight w:val="none"/>
                <w:lang w:val="en-US" w:eastAsia="zh-CN"/>
              </w:rPr>
            </w:pPr>
            <w:r>
              <w:rPr>
                <w:rFonts w:ascii="宋体" w:hAnsi="宋体"/>
                <w:color w:val="auto"/>
                <w:szCs w:val="21"/>
                <w:highlight w:val="none"/>
              </w:rPr>
              <w:t>0</w:t>
            </w:r>
            <w:r>
              <w:rPr>
                <w:rFonts w:hint="eastAsia" w:ascii="宋体" w:hAnsi="宋体"/>
                <w:color w:val="auto"/>
                <w:szCs w:val="21"/>
                <w:highlight w:val="none"/>
              </w:rPr>
              <w:t>~</w:t>
            </w:r>
            <w:r>
              <w:rPr>
                <w:rFonts w:hint="eastAsia" w:ascii="宋体" w:hAnsi="宋体"/>
                <w:color w:val="auto"/>
                <w:szCs w:val="21"/>
                <w:highlight w:val="none"/>
                <w:lang w:val="en-US" w:eastAsia="zh-CN"/>
              </w:rPr>
              <w:t>4</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宋体" w:hAnsi="宋体"/>
                <w:color w:val="auto"/>
                <w:szCs w:val="21"/>
                <w:highlight w:val="none"/>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宋体" w:hAnsi="宋体"/>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hint="eastAsia" w:ascii="宋体" w:hAnsi="宋体"/>
                <w:color w:val="auto"/>
                <w:szCs w:val="21"/>
                <w:highlight w:val="none"/>
              </w:rPr>
              <w:t>企业资质及实力</w:t>
            </w:r>
          </w:p>
        </w:tc>
        <w:tc>
          <w:tcPr>
            <w:tcW w:w="3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企业资质高，施工设备齐全先进，在行业内信誉高，得</w:t>
            </w:r>
            <w:r>
              <w:rPr>
                <w:rFonts w:hint="eastAsia" w:ascii="宋体" w:hAnsi="宋体"/>
                <w:color w:val="auto"/>
                <w:szCs w:val="21"/>
                <w:highlight w:val="none"/>
                <w:lang w:val="en-US" w:eastAsia="zh-CN"/>
              </w:rPr>
              <w:t>2~4</w:t>
            </w:r>
            <w:r>
              <w:rPr>
                <w:rFonts w:hint="eastAsia" w:ascii="宋体" w:hAnsi="宋体" w:cs="宋体"/>
                <w:color w:val="auto"/>
                <w:szCs w:val="21"/>
                <w:highlight w:val="none"/>
              </w:rPr>
              <w:t>分；</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企业资质符合要求，施工设备能达到项目要求，在行业内信誉一般，得</w:t>
            </w:r>
            <w:r>
              <w:rPr>
                <w:rFonts w:hint="eastAsia" w:ascii="宋体" w:hAnsi="宋体" w:cs="宋体"/>
                <w:color w:val="auto"/>
                <w:szCs w:val="21"/>
                <w:highlight w:val="none"/>
                <w:lang w:val="en-US" w:eastAsia="zh-CN"/>
              </w:rPr>
              <w:t>1</w:t>
            </w:r>
            <w:r>
              <w:rPr>
                <w:rFonts w:hint="eastAsia" w:ascii="宋体" w:hAnsi="宋体"/>
                <w:color w:val="auto"/>
                <w:szCs w:val="21"/>
                <w:highlight w:val="none"/>
                <w:lang w:val="en-US"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1</w:t>
            </w:r>
            <w:r>
              <w:rPr>
                <w:rFonts w:hint="eastAsia" w:ascii="宋体" w:hAnsi="宋体"/>
                <w:color w:val="auto"/>
                <w:szCs w:val="21"/>
                <w:highlight w:val="none"/>
              </w:rPr>
              <w:t>~</w:t>
            </w:r>
            <w:r>
              <w:rPr>
                <w:rFonts w:hint="eastAsia" w:ascii="宋体" w:hAnsi="宋体"/>
                <w:color w:val="auto"/>
                <w:szCs w:val="21"/>
                <w:highlight w:val="none"/>
                <w:lang w:val="en-US" w:eastAsia="zh-CN"/>
              </w:rPr>
              <w:t>4</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宋体" w:hAnsi="宋体"/>
                <w:color w:val="auto"/>
                <w:szCs w:val="21"/>
                <w:highlight w:val="none"/>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宋体" w:hAnsi="宋体"/>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hint="eastAsia" w:ascii="宋体" w:hAnsi="宋体"/>
                <w:color w:val="auto"/>
                <w:szCs w:val="21"/>
                <w:highlight w:val="none"/>
              </w:rPr>
              <w:t>业绩</w:t>
            </w:r>
          </w:p>
        </w:tc>
        <w:tc>
          <w:tcPr>
            <w:tcW w:w="3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宋体" w:hAnsi="宋体" w:eastAsia="宋体" w:cs="宋体"/>
                <w:color w:val="auto"/>
                <w:szCs w:val="21"/>
                <w:highlight w:val="none"/>
                <w:lang w:val="en-US" w:eastAsia="zh-CN"/>
              </w:rPr>
            </w:pPr>
            <w:r>
              <w:rPr>
                <w:rFonts w:hint="eastAsia" w:ascii="宋体" w:hAnsi="宋体"/>
                <w:color w:val="auto"/>
                <w:szCs w:val="21"/>
                <w:highlight w:val="none"/>
              </w:rPr>
              <w:t>投标人近三年内（20</w:t>
            </w:r>
            <w:r>
              <w:rPr>
                <w:rFonts w:hint="eastAsia" w:ascii="宋体" w:hAnsi="宋体"/>
                <w:color w:val="auto"/>
                <w:szCs w:val="21"/>
                <w:highlight w:val="none"/>
                <w:lang w:val="en-US" w:eastAsia="zh-CN"/>
              </w:rPr>
              <w:t>21</w:t>
            </w:r>
            <w:r>
              <w:rPr>
                <w:rFonts w:hint="eastAsia" w:ascii="宋体" w:hAnsi="宋体"/>
                <w:color w:val="auto"/>
                <w:szCs w:val="21"/>
                <w:highlight w:val="none"/>
              </w:rPr>
              <w:t>年</w:t>
            </w:r>
            <w:r>
              <w:rPr>
                <w:rFonts w:hint="eastAsia" w:ascii="宋体" w:hAnsi="宋体"/>
                <w:color w:val="auto"/>
                <w:szCs w:val="21"/>
                <w:highlight w:val="none"/>
                <w:lang w:val="en-US" w:eastAsia="zh-CN"/>
              </w:rPr>
              <w:t>1月</w:t>
            </w:r>
            <w:r>
              <w:rPr>
                <w:rFonts w:hint="eastAsia" w:ascii="宋体" w:hAnsi="宋体"/>
                <w:color w:val="auto"/>
                <w:szCs w:val="21"/>
                <w:highlight w:val="none"/>
              </w:rPr>
              <w:t>至今）应有同类项目的业绩，</w:t>
            </w:r>
            <w:r>
              <w:rPr>
                <w:rFonts w:hint="eastAsia" w:ascii="宋体" w:hAnsi="宋体"/>
                <w:color w:val="auto"/>
                <w:szCs w:val="21"/>
                <w:highlight w:val="none"/>
                <w:lang w:val="en-US" w:eastAsia="zh-CN"/>
              </w:rPr>
              <w:t>满足资格要求不得分，每增加一份加1分，最高的7分</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宋体" w:hAnsi="宋体" w:cs="宋体"/>
                <w:b/>
                <w:color w:val="auto"/>
                <w:szCs w:val="21"/>
                <w:highlight w:val="none"/>
              </w:rPr>
            </w:pPr>
            <w:r>
              <w:rPr>
                <w:rFonts w:hint="eastAsia" w:ascii="宋体" w:hAnsi="宋体" w:cs="宋体"/>
                <w:b/>
                <w:color w:val="auto"/>
                <w:szCs w:val="21"/>
                <w:highlight w:val="none"/>
              </w:rPr>
              <w:t>注：业绩必须附有业绩证明资料。</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1</w:t>
            </w:r>
            <w:r>
              <w:rPr>
                <w:rFonts w:hint="eastAsia" w:ascii="宋体" w:hAnsi="宋体"/>
                <w:color w:val="auto"/>
                <w:szCs w:val="21"/>
                <w:highlight w:val="none"/>
              </w:rPr>
              <w:t>~</w:t>
            </w:r>
            <w:r>
              <w:rPr>
                <w:rFonts w:hint="eastAsia" w:ascii="宋体" w:hAnsi="宋体"/>
                <w:color w:val="auto"/>
                <w:szCs w:val="21"/>
                <w:highlight w:val="none"/>
                <w:lang w:val="en-US" w:eastAsia="zh-CN"/>
              </w:rPr>
              <w:t>7</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合计</w:t>
            </w:r>
          </w:p>
        </w:tc>
        <w:tc>
          <w:tcPr>
            <w:tcW w:w="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0分</w:t>
            </w:r>
          </w:p>
        </w:tc>
        <w:tc>
          <w:tcPr>
            <w:tcW w:w="52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s="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宋体" w:hAnsi="宋体"/>
                <w:color w:val="auto"/>
                <w:szCs w:val="21"/>
                <w:highlight w:val="none"/>
              </w:rPr>
            </w:pPr>
          </w:p>
        </w:tc>
      </w:tr>
    </w:tbl>
    <w:p>
      <w:pPr>
        <w:keepNext w:val="0"/>
        <w:keepLines w:val="0"/>
        <w:pageBreakBefore w:val="0"/>
        <w:widowControl w:val="0"/>
        <w:kinsoku/>
        <w:wordWrap/>
        <w:overflowPunct/>
        <w:topLinePunct w:val="0"/>
        <w:bidi w:val="0"/>
        <w:spacing w:line="560" w:lineRule="exact"/>
        <w:ind w:left="0" w:leftChars="0" w:right="0" w:rightChars="0" w:firstLine="600" w:firstLineChars="200"/>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4.3.3报价部分（</w:t>
      </w:r>
      <w:r>
        <w:rPr>
          <w:rFonts w:hint="eastAsia" w:ascii="方正仿宋简体" w:hAnsi="方正仿宋简体" w:eastAsia="方正仿宋简体" w:cs="方正仿宋简体"/>
          <w:b w:val="0"/>
          <w:bCs/>
          <w:color w:val="auto"/>
          <w:sz w:val="30"/>
          <w:szCs w:val="30"/>
          <w:highlight w:val="none"/>
          <w:lang w:val="en-US" w:eastAsia="zh-CN"/>
        </w:rPr>
        <w:t>50</w:t>
      </w:r>
      <w:r>
        <w:rPr>
          <w:rFonts w:hint="eastAsia" w:ascii="方正仿宋简体" w:hAnsi="方正仿宋简体" w:eastAsia="方正仿宋简体" w:cs="方正仿宋简体"/>
          <w:b w:val="0"/>
          <w:bCs/>
          <w:color w:val="auto"/>
          <w:sz w:val="30"/>
          <w:szCs w:val="30"/>
          <w:highlight w:val="none"/>
        </w:rPr>
        <w:t>分）</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评标基准价计算方法：</w:t>
      </w:r>
    </w:p>
    <w:p>
      <w:pPr>
        <w:keepNext w:val="0"/>
        <w:keepLines w:val="0"/>
        <w:pageBreakBefore w:val="0"/>
        <w:widowControl w:val="0"/>
        <w:kinsoku/>
        <w:wordWrap/>
        <w:overflowPunct/>
        <w:topLinePunct w:val="0"/>
        <w:bidi w:val="0"/>
        <w:spacing w:line="560" w:lineRule="exact"/>
        <w:ind w:left="0" w:leftChars="0" w:right="0" w:rightChars="0" w:firstLine="600" w:firstLineChars="200"/>
        <w:textAlignment w:val="auto"/>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1、评标基准价为所有有效报价的最低价</w:t>
      </w:r>
    </w:p>
    <w:p>
      <w:pPr>
        <w:keepNext w:val="0"/>
        <w:keepLines w:val="0"/>
        <w:pageBreakBefore w:val="0"/>
        <w:widowControl w:val="0"/>
        <w:kinsoku/>
        <w:wordWrap/>
        <w:overflowPunct/>
        <w:topLinePunct w:val="0"/>
        <w:bidi w:val="0"/>
        <w:spacing w:line="560" w:lineRule="exact"/>
        <w:ind w:left="0" w:leftChars="0" w:right="0" w:rightChars="0" w:firstLine="600" w:firstLineChars="200"/>
        <w:textAlignment w:val="auto"/>
        <w:rPr>
          <w:rFonts w:hint="eastAsia" w:ascii="方正仿宋简体" w:hAnsi="方正仿宋简体" w:eastAsia="方正仿宋简体" w:cs="方正仿宋简体"/>
          <w:b w:val="0"/>
          <w:bCs/>
          <w:color w:val="auto"/>
          <w:kern w:val="0"/>
          <w:sz w:val="30"/>
          <w:szCs w:val="30"/>
          <w:highlight w:val="none"/>
          <w:lang w:val="en-US" w:eastAsia="zh-CN"/>
        </w:rPr>
      </w:pPr>
      <w:r>
        <w:rPr>
          <w:rFonts w:hint="eastAsia" w:ascii="方正仿宋简体" w:hAnsi="方正仿宋简体" w:eastAsia="方正仿宋简体" w:cs="方正仿宋简体"/>
          <w:b w:val="0"/>
          <w:bCs/>
          <w:color w:val="auto"/>
          <w:kern w:val="0"/>
          <w:sz w:val="30"/>
          <w:szCs w:val="30"/>
          <w:highlight w:val="none"/>
        </w:rPr>
        <w:t>2、投标报价得分=评标基准价/投标人报价×</w:t>
      </w:r>
      <w:r>
        <w:rPr>
          <w:rFonts w:hint="eastAsia" w:ascii="方正仿宋简体" w:hAnsi="方正仿宋简体" w:eastAsia="方正仿宋简体" w:cs="方正仿宋简体"/>
          <w:b w:val="0"/>
          <w:bCs/>
          <w:color w:val="auto"/>
          <w:kern w:val="0"/>
          <w:sz w:val="30"/>
          <w:szCs w:val="30"/>
          <w:highlight w:val="none"/>
          <w:lang w:val="en-US" w:eastAsia="zh-CN"/>
        </w:rPr>
        <w:t>50</w:t>
      </w:r>
    </w:p>
    <w:p>
      <w:pPr>
        <w:keepNext w:val="0"/>
        <w:keepLines w:val="0"/>
        <w:pageBreakBefore w:val="0"/>
        <w:widowControl w:val="0"/>
        <w:kinsoku/>
        <w:wordWrap/>
        <w:overflowPunct/>
        <w:topLinePunct w:val="0"/>
        <w:bidi w:val="0"/>
        <w:spacing w:line="560" w:lineRule="exact"/>
        <w:ind w:left="0" w:leftChars="0" w:right="0" w:rightChars="0" w:firstLine="600" w:firstLineChars="200"/>
        <w:textAlignment w:val="auto"/>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3、在价格评议中，谈判委员会如发现投标人的报价明显低于或高于其他投标报价时，投标人必须做出书面说明并提供相关证明材料，否则，将视为低于成本价竞标或扰乱市场竞争，其投标将被拒绝。</w:t>
      </w:r>
    </w:p>
    <w:p>
      <w:pPr>
        <w:keepNext w:val="0"/>
        <w:keepLines w:val="0"/>
        <w:pageBreakBefore w:val="0"/>
        <w:widowControl w:val="0"/>
        <w:kinsoku/>
        <w:wordWrap/>
        <w:overflowPunct/>
        <w:topLinePunct w:val="0"/>
        <w:bidi w:val="0"/>
        <w:spacing w:line="560" w:lineRule="exact"/>
        <w:ind w:left="0" w:leftChars="0" w:right="0" w:rightChars="0" w:firstLine="600" w:firstLineChars="200"/>
        <w:textAlignment w:val="auto"/>
        <w:rPr>
          <w:rFonts w:hint="eastAsia" w:ascii="方正仿宋简体" w:hAnsi="方正仿宋简体" w:eastAsia="方正仿宋简体" w:cs="方正仿宋简体"/>
          <w:b w:val="0"/>
          <w:bCs/>
          <w:color w:val="auto"/>
          <w:kern w:val="0"/>
          <w:sz w:val="30"/>
          <w:szCs w:val="30"/>
          <w:highlight w:val="none"/>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00" w:firstLineChars="200"/>
        <w:textAlignment w:val="auto"/>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评分说明：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00" w:firstLineChars="200"/>
        <w:textAlignment w:val="auto"/>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（1）谈判文件技术规格中一般参数偏离数量超过3项(含3项)的投标视为无效；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00" w:firstLineChars="200"/>
        <w:textAlignment w:val="auto"/>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（2）评标总得分=商务评分+技术评分+价格评分，满分为100分；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00" w:firstLineChars="200"/>
        <w:textAlignment w:val="auto"/>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（3）商务及技术得分由评标专家根据谈判文件第二章供应商须知，谈判文件的综合评审的规定独立打分，将全体专家的打分之和平均，即为该投标人的得分（取小数点后两位）；</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00" w:firstLineChars="200"/>
        <w:textAlignment w:val="auto"/>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（4）价格得分由代理机构在谈判委员会的监督下根据谈判文件第二章投标人须知价格评议的规定计算；</w:t>
      </w:r>
    </w:p>
    <w:p>
      <w:pPr>
        <w:keepNext w:val="0"/>
        <w:keepLines w:val="0"/>
        <w:pageBreakBefore w:val="0"/>
        <w:widowControl w:val="0"/>
        <w:kinsoku/>
        <w:wordWrap/>
        <w:overflowPunct/>
        <w:topLinePunct w:val="0"/>
        <w:bidi w:val="0"/>
        <w:spacing w:line="560" w:lineRule="exact"/>
        <w:ind w:left="0" w:leftChars="0" w:right="0" w:rightChars="0" w:firstLine="600" w:firstLineChars="200"/>
        <w:textAlignment w:val="auto"/>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（5）排序原则：各投标人按总得分由高到低的顺序排列；总得分相同的，按技术得分由高到低的顺序排列；总得分且技术评分相同的，按价格评分由高到低的顺序排列。</w:t>
      </w:r>
    </w:p>
    <w:p>
      <w:pPr>
        <w:pStyle w:val="3"/>
        <w:pageBreakBefore w:val="0"/>
        <w:kinsoku/>
        <w:wordWrap/>
        <w:overflowPunct/>
        <w:bidi w:val="0"/>
        <w:spacing w:line="560" w:lineRule="exact"/>
        <w:ind w:left="0" w:leftChars="0" w:right="0" w:rightChars="0" w:firstLine="480" w:firstLineChars="200"/>
        <w:rPr>
          <w:rFonts w:hint="eastAsia" w:ascii="宋体" w:hAnsi="宋体" w:eastAsia="宋体" w:cs="宋体"/>
          <w:b w:val="0"/>
          <w:bCs/>
          <w:snapToGrid w:val="0"/>
          <w:color w:val="auto"/>
          <w:sz w:val="24"/>
          <w:szCs w:val="24"/>
          <w:highlight w:val="none"/>
        </w:rPr>
      </w:pP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p>
    <w:p>
      <w:pPr>
        <w:pStyle w:val="38"/>
        <w:pageBreakBefore w:val="0"/>
        <w:numPr>
          <w:ilvl w:val="0"/>
          <w:numId w:val="10"/>
        </w:numPr>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4"/>
        <w:pageBreakBefore w:val="0"/>
        <w:numPr>
          <w:ilvl w:val="0"/>
          <w:numId w:val="0"/>
        </w:numPr>
        <w:kinsoku/>
        <w:wordWrap/>
        <w:overflowPunct/>
        <w:bidi w:val="0"/>
        <w:spacing w:line="560" w:lineRule="exact"/>
        <w:ind w:leftChars="200" w:right="0" w:rightChars="0"/>
        <w:jc w:val="center"/>
        <w:rPr>
          <w:rFonts w:hint="eastAsia" w:ascii="方正仿宋简体" w:hAnsi="方正仿宋简体" w:eastAsia="方正仿宋简体" w:cs="方正仿宋简体"/>
          <w:b w:val="0"/>
          <w:bCs/>
          <w:color w:val="auto"/>
          <w:sz w:val="30"/>
          <w:szCs w:val="30"/>
          <w:highlight w:val="none"/>
        </w:rPr>
      </w:pPr>
      <w:bookmarkStart w:id="83" w:name="_Toc20920"/>
      <w:bookmarkStart w:id="84" w:name="_Toc405303379"/>
      <w:bookmarkStart w:id="85" w:name="_Toc405302869"/>
      <w:r>
        <w:rPr>
          <w:rFonts w:hint="eastAsia" w:ascii="方正仿宋简体" w:hAnsi="方正仿宋简体" w:eastAsia="方正仿宋简体" w:cs="方正仿宋简体"/>
          <w:b w:val="0"/>
          <w:bCs/>
          <w:color w:val="auto"/>
          <w:sz w:val="30"/>
          <w:szCs w:val="30"/>
          <w:highlight w:val="none"/>
          <w:lang w:val="en-US" w:eastAsia="zh-CN"/>
        </w:rPr>
        <w:t xml:space="preserve">第四章  </w:t>
      </w:r>
      <w:r>
        <w:rPr>
          <w:rFonts w:hint="eastAsia" w:ascii="方正仿宋简体" w:hAnsi="方正仿宋简体" w:eastAsia="方正仿宋简体" w:cs="方正仿宋简体"/>
          <w:b w:val="0"/>
          <w:bCs/>
          <w:color w:val="auto"/>
          <w:sz w:val="30"/>
          <w:szCs w:val="30"/>
          <w:highlight w:val="none"/>
        </w:rPr>
        <w:t>合同条款</w:t>
      </w:r>
      <w:bookmarkEnd w:id="83"/>
      <w:bookmarkEnd w:id="84"/>
      <w:bookmarkEnd w:id="85"/>
    </w:p>
    <w:p>
      <w:pPr>
        <w:pStyle w:val="255"/>
        <w:pageBreakBefore w:val="0"/>
        <w:widowControl w:val="0"/>
        <w:kinsoku/>
        <w:wordWrap/>
        <w:overflowPunct/>
        <w:topLinePunct w:val="0"/>
        <w:autoSpaceDE/>
        <w:autoSpaceDN/>
        <w:bidi w:val="0"/>
        <w:adjustRightInd/>
        <w:spacing w:before="0" w:beforeLines="0" w:after="0" w:afterLines="0" w:line="560" w:lineRule="exact"/>
        <w:jc w:val="center"/>
        <w:textAlignment w:val="auto"/>
        <w:rPr>
          <w:rFonts w:hint="eastAsia" w:ascii="方正仿宋简体" w:hAnsi="方正仿宋简体" w:eastAsia="方正仿宋简体" w:cs="方正仿宋简体"/>
          <w:b w:val="0"/>
          <w:bCs/>
          <w:color w:val="auto"/>
          <w:sz w:val="30"/>
          <w:szCs w:val="30"/>
          <w:highlight w:val="none"/>
          <w:lang w:val="en-US" w:eastAsia="zh-CN"/>
        </w:rPr>
      </w:pPr>
      <w:bookmarkStart w:id="86" w:name="_Toc438129418"/>
      <w:r>
        <w:rPr>
          <w:rFonts w:hint="eastAsia" w:ascii="方正仿宋简体" w:hAnsi="方正仿宋简体" w:eastAsia="方正仿宋简体" w:cs="方正仿宋简体"/>
          <w:b w:val="0"/>
          <w:bCs/>
          <w:color w:val="auto"/>
          <w:sz w:val="30"/>
          <w:szCs w:val="30"/>
          <w:highlight w:val="none"/>
          <w:lang w:val="en-US" w:eastAsia="zh-CN"/>
        </w:rPr>
        <w:t>合同</w:t>
      </w:r>
      <w:bookmarkEnd w:id="86"/>
      <w:r>
        <w:rPr>
          <w:rFonts w:hint="eastAsia" w:ascii="方正仿宋简体" w:hAnsi="方正仿宋简体" w:eastAsia="方正仿宋简体" w:cs="方正仿宋简体"/>
          <w:b w:val="0"/>
          <w:bCs/>
          <w:color w:val="auto"/>
          <w:sz w:val="30"/>
          <w:szCs w:val="30"/>
          <w:highlight w:val="none"/>
          <w:lang w:val="en-US" w:eastAsia="zh-CN"/>
        </w:rPr>
        <w:t>模板</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发包人：                    （以下简称甲方）</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承包人：                    （以下简称乙方）</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按照《中华人民共和国民法典》和有关法律法规的规定，结合本工程采购谈判情况，双方协商一致，签订本合同。</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一、工程概况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1工程名称：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工程地点：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工程内容：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2.</w:t>
      </w:r>
      <w:r>
        <w:rPr>
          <w:rFonts w:hint="eastAsia" w:ascii="方正仿宋简体" w:hAnsi="方正仿宋简体" w:eastAsia="方正仿宋简体" w:cs="方正仿宋简体"/>
          <w:b w:val="0"/>
          <w:bCs/>
          <w:color w:val="auto"/>
          <w:sz w:val="30"/>
          <w:szCs w:val="30"/>
          <w:highlight w:val="none"/>
        </w:rPr>
        <w:t>开工、竣工日期： 年  月  日—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3.</w:t>
      </w:r>
      <w:r>
        <w:rPr>
          <w:rFonts w:hint="eastAsia" w:ascii="方正仿宋简体" w:hAnsi="方正仿宋简体" w:eastAsia="方正仿宋简体" w:cs="方正仿宋简体"/>
          <w:b w:val="0"/>
          <w:bCs/>
          <w:color w:val="auto"/>
          <w:sz w:val="30"/>
          <w:szCs w:val="30"/>
          <w:highlight w:val="none"/>
        </w:rPr>
        <w:t>质量要求：工程质量达到国家规定的合格标准。</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二、下列文件为本合同的有效组成部分，与本合同具有同等效力，解释效力的先后顺序为：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1.</w:t>
      </w:r>
      <w:r>
        <w:rPr>
          <w:rFonts w:hint="eastAsia" w:ascii="方正仿宋简体" w:hAnsi="方正仿宋简体" w:eastAsia="方正仿宋简体" w:cs="方正仿宋简体"/>
          <w:b w:val="0"/>
          <w:bCs/>
          <w:color w:val="auto"/>
          <w:sz w:val="30"/>
          <w:szCs w:val="30"/>
          <w:highlight w:val="none"/>
        </w:rPr>
        <w:t>本合同条款，如有补充合同，补充合同条款与本合同条款不一致，以补充合同条款为先；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2.</w:t>
      </w:r>
      <w:r>
        <w:rPr>
          <w:rFonts w:hint="eastAsia" w:ascii="方正仿宋简体" w:hAnsi="方正仿宋简体" w:eastAsia="方正仿宋简体" w:cs="方正仿宋简体"/>
          <w:b w:val="0"/>
          <w:bCs/>
          <w:color w:val="auto"/>
          <w:sz w:val="30"/>
          <w:szCs w:val="30"/>
          <w:highlight w:val="none"/>
        </w:rPr>
        <w:t>本合同技术附件、安全生产管理协议书</w:t>
      </w:r>
      <w:r>
        <w:rPr>
          <w:rFonts w:hint="eastAsia" w:ascii="方正仿宋简体" w:hAnsi="方正仿宋简体" w:eastAsia="方正仿宋简体" w:cs="方正仿宋简体"/>
          <w:b w:val="0"/>
          <w:bCs/>
          <w:color w:val="auto"/>
          <w:sz w:val="30"/>
          <w:szCs w:val="30"/>
          <w:highlight w:val="none"/>
          <w:lang w:eastAsia="zh-CN"/>
        </w:rPr>
        <w:t>、</w:t>
      </w:r>
      <w:r>
        <w:rPr>
          <w:rFonts w:hint="eastAsia" w:ascii="方正仿宋简体" w:hAnsi="方正仿宋简体" w:eastAsia="方正仿宋简体" w:cs="方正仿宋简体"/>
          <w:b w:val="0"/>
          <w:bCs/>
          <w:color w:val="auto"/>
          <w:sz w:val="30"/>
          <w:szCs w:val="30"/>
          <w:highlight w:val="none"/>
          <w:lang w:val="en-US" w:eastAsia="zh-CN"/>
        </w:rPr>
        <w:t>廉洁互保协议、</w:t>
      </w:r>
      <w:r>
        <w:rPr>
          <w:rFonts w:hint="eastAsia" w:ascii="方正仿宋简体" w:hAnsi="方正仿宋简体" w:eastAsia="方正仿宋简体" w:cs="方正仿宋简体"/>
          <w:b w:val="0"/>
          <w:bCs/>
          <w:color w:val="auto"/>
          <w:sz w:val="30"/>
          <w:szCs w:val="30"/>
          <w:highlight w:val="none"/>
        </w:rPr>
        <w:t>维护稳定协议</w:t>
      </w:r>
      <w:r>
        <w:rPr>
          <w:rFonts w:hint="eastAsia" w:ascii="方正仿宋简体" w:hAnsi="方正仿宋简体" w:eastAsia="方正仿宋简体" w:cs="方正仿宋简体"/>
          <w:b w:val="0"/>
          <w:bCs/>
          <w:color w:val="auto"/>
          <w:sz w:val="30"/>
          <w:szCs w:val="30"/>
          <w:highlight w:val="none"/>
          <w:lang w:eastAsia="zh-CN"/>
        </w:rPr>
        <w:t>、</w:t>
      </w:r>
      <w:r>
        <w:rPr>
          <w:rFonts w:hint="eastAsia" w:ascii="方正仿宋简体" w:hAnsi="方正仿宋简体" w:eastAsia="方正仿宋简体" w:cs="方正仿宋简体"/>
          <w:b w:val="0"/>
          <w:bCs/>
          <w:color w:val="auto"/>
          <w:sz w:val="30"/>
          <w:szCs w:val="30"/>
          <w:highlight w:val="none"/>
        </w:rPr>
        <w:t>支付施工人员工资承诺书</w:t>
      </w:r>
      <w:r>
        <w:rPr>
          <w:rFonts w:hint="eastAsia" w:ascii="方正仿宋简体" w:hAnsi="方正仿宋简体" w:eastAsia="方正仿宋简体" w:cs="方正仿宋简体"/>
          <w:b w:val="0"/>
          <w:bCs/>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3.</w:t>
      </w:r>
      <w:r>
        <w:rPr>
          <w:rFonts w:hint="eastAsia" w:ascii="方正仿宋简体" w:hAnsi="方正仿宋简体" w:eastAsia="方正仿宋简体" w:cs="方正仿宋简体"/>
          <w:b w:val="0"/>
          <w:bCs/>
          <w:color w:val="auto"/>
          <w:sz w:val="30"/>
          <w:szCs w:val="30"/>
          <w:highlight w:val="none"/>
        </w:rPr>
        <w:t xml:space="preserve">成交通知书、采购文件、响应文件;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4.</w:t>
      </w:r>
      <w:r>
        <w:rPr>
          <w:rFonts w:hint="eastAsia" w:ascii="方正仿宋简体" w:hAnsi="方正仿宋简体" w:eastAsia="方正仿宋简体" w:cs="方正仿宋简体"/>
          <w:b w:val="0"/>
          <w:bCs/>
          <w:color w:val="auto"/>
          <w:sz w:val="30"/>
          <w:szCs w:val="30"/>
          <w:highlight w:val="none"/>
        </w:rPr>
        <w:t>其他有关的标准、规范、技术资料、技术要求。</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三</w:t>
      </w:r>
      <w:r>
        <w:rPr>
          <w:rFonts w:hint="eastAsia" w:ascii="方正仿宋简体" w:hAnsi="方正仿宋简体" w:eastAsia="方正仿宋简体" w:cs="方正仿宋简体"/>
          <w:b w:val="0"/>
          <w:bCs/>
          <w:color w:val="auto"/>
          <w:sz w:val="30"/>
          <w:szCs w:val="30"/>
          <w:highlight w:val="none"/>
        </w:rPr>
        <w:t>、甲方工作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1.</w:t>
      </w:r>
      <w:r>
        <w:rPr>
          <w:rFonts w:hint="eastAsia" w:ascii="方正仿宋简体" w:hAnsi="方正仿宋简体" w:eastAsia="方正仿宋简体" w:cs="方正仿宋简体"/>
          <w:b w:val="0"/>
          <w:bCs/>
          <w:color w:val="auto"/>
          <w:sz w:val="30"/>
          <w:szCs w:val="30"/>
          <w:highlight w:val="none"/>
        </w:rPr>
        <w:t>负责提供施工用</w:t>
      </w:r>
      <w:r>
        <w:rPr>
          <w:rFonts w:hint="eastAsia" w:ascii="方正仿宋简体" w:hAnsi="方正仿宋简体" w:eastAsia="方正仿宋简体" w:cs="方正仿宋简体"/>
          <w:b w:val="0"/>
          <w:bCs/>
          <w:color w:val="auto"/>
          <w:sz w:val="30"/>
          <w:szCs w:val="30"/>
          <w:highlight w:val="none"/>
          <w:lang w:val="en-US" w:eastAsia="zh-CN"/>
        </w:rPr>
        <w:t>水</w:t>
      </w:r>
      <w:r>
        <w:rPr>
          <w:rFonts w:hint="eastAsia" w:ascii="方正仿宋简体" w:hAnsi="方正仿宋简体" w:eastAsia="方正仿宋简体" w:cs="方正仿宋简体"/>
          <w:b w:val="0"/>
          <w:bCs/>
          <w:color w:val="auto"/>
          <w:sz w:val="30"/>
          <w:szCs w:val="30"/>
          <w:highlight w:val="none"/>
        </w:rPr>
        <w:t>水源、电源、临时道路、必要场地。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2.</w:t>
      </w:r>
      <w:r>
        <w:rPr>
          <w:rFonts w:hint="eastAsia" w:ascii="方正仿宋简体" w:hAnsi="方正仿宋简体" w:eastAsia="方正仿宋简体" w:cs="方正仿宋简体"/>
          <w:b w:val="0"/>
          <w:bCs/>
          <w:color w:val="auto"/>
          <w:sz w:val="30"/>
          <w:szCs w:val="30"/>
          <w:highlight w:val="none"/>
        </w:rPr>
        <w:t>做好双方签署的交底纪要等资料；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3.</w:t>
      </w:r>
      <w:r>
        <w:rPr>
          <w:rFonts w:hint="eastAsia" w:ascii="方正仿宋简体" w:hAnsi="方正仿宋简体" w:eastAsia="方正仿宋简体" w:cs="方正仿宋简体"/>
          <w:b w:val="0"/>
          <w:bCs/>
          <w:color w:val="auto"/>
          <w:sz w:val="30"/>
          <w:szCs w:val="30"/>
          <w:highlight w:val="none"/>
        </w:rPr>
        <w:t>甲方代表负责分项工程、隐蔽工程的现场验收及签字，并在接到乙方通知后48小时内给予答复。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4.</w:t>
      </w:r>
      <w:r>
        <w:rPr>
          <w:rFonts w:hint="eastAsia" w:ascii="方正仿宋简体" w:hAnsi="方正仿宋简体" w:eastAsia="方正仿宋简体" w:cs="方正仿宋简体"/>
          <w:b w:val="0"/>
          <w:bCs/>
          <w:color w:val="auto"/>
          <w:sz w:val="30"/>
          <w:szCs w:val="30"/>
          <w:highlight w:val="none"/>
        </w:rPr>
        <w:t>甲方有权对本工程提出合理修改、变更意见，及时解决施工过程中出现的设计修改、工程变更的确认，并监督乙方执行，若乙方拒不执行，甲方有权扣减相应工程费用抵作违约金。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5.</w:t>
      </w:r>
      <w:r>
        <w:rPr>
          <w:rFonts w:hint="eastAsia" w:ascii="方正仿宋简体" w:hAnsi="方正仿宋简体" w:eastAsia="方正仿宋简体" w:cs="方正仿宋简体"/>
          <w:b w:val="0"/>
          <w:bCs/>
          <w:color w:val="auto"/>
          <w:sz w:val="30"/>
          <w:szCs w:val="30"/>
          <w:highlight w:val="none"/>
        </w:rPr>
        <w:t>甲方有权对施工作业计划加以调整，负责对工程使用的构件、材料</w:t>
      </w:r>
      <w:r>
        <w:rPr>
          <w:rFonts w:hint="eastAsia" w:ascii="方正仿宋简体" w:hAnsi="方正仿宋简体" w:eastAsia="方正仿宋简体" w:cs="方正仿宋简体"/>
          <w:b w:val="0"/>
          <w:bCs/>
          <w:color w:val="auto"/>
          <w:sz w:val="30"/>
          <w:szCs w:val="30"/>
          <w:highlight w:val="none"/>
          <w:lang w:eastAsia="zh-CN"/>
        </w:rPr>
        <w:t>、</w:t>
      </w:r>
      <w:r>
        <w:rPr>
          <w:rFonts w:hint="eastAsia" w:ascii="方正仿宋简体" w:hAnsi="方正仿宋简体" w:eastAsia="方正仿宋简体" w:cs="方正仿宋简体"/>
          <w:b w:val="0"/>
          <w:bCs/>
          <w:color w:val="auto"/>
          <w:sz w:val="30"/>
          <w:szCs w:val="30"/>
          <w:highlight w:val="none"/>
          <w:lang w:val="en-US" w:eastAsia="zh-CN"/>
        </w:rPr>
        <w:t>设备</w:t>
      </w:r>
      <w:r>
        <w:rPr>
          <w:rFonts w:hint="eastAsia" w:ascii="方正仿宋简体" w:hAnsi="方正仿宋简体" w:eastAsia="方正仿宋简体" w:cs="方正仿宋简体"/>
          <w:b w:val="0"/>
          <w:bCs/>
          <w:color w:val="auto"/>
          <w:sz w:val="30"/>
          <w:szCs w:val="30"/>
          <w:highlight w:val="none"/>
        </w:rPr>
        <w:t>等进行检验和确认。</w:t>
      </w:r>
    </w:p>
    <w:p>
      <w:pPr>
        <w:pageBreakBefore w:val="0"/>
        <w:numPr>
          <w:ilvl w:val="0"/>
          <w:numId w:val="0"/>
        </w:numPr>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四、</w:t>
      </w:r>
      <w:r>
        <w:rPr>
          <w:rFonts w:hint="eastAsia" w:ascii="方正仿宋简体" w:hAnsi="方正仿宋简体" w:eastAsia="方正仿宋简体" w:cs="方正仿宋简体"/>
          <w:b w:val="0"/>
          <w:bCs/>
          <w:color w:val="auto"/>
          <w:sz w:val="30"/>
          <w:szCs w:val="30"/>
          <w:highlight w:val="none"/>
        </w:rPr>
        <w:t xml:space="preserve">乙方工作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1.</w:t>
      </w:r>
      <w:r>
        <w:rPr>
          <w:rFonts w:hint="eastAsia" w:ascii="方正仿宋简体" w:hAnsi="方正仿宋简体" w:eastAsia="方正仿宋简体" w:cs="方正仿宋简体"/>
          <w:b w:val="0"/>
          <w:bCs/>
          <w:color w:val="auto"/>
          <w:sz w:val="30"/>
          <w:szCs w:val="30"/>
          <w:highlight w:val="none"/>
        </w:rPr>
        <w:t>在本合同有效期内，安全责任主体为乙方。乙方</w:t>
      </w:r>
      <w:r>
        <w:rPr>
          <w:rFonts w:hint="eastAsia" w:ascii="方正仿宋简体" w:hAnsi="方正仿宋简体" w:eastAsia="方正仿宋简体" w:cs="方正仿宋简体"/>
          <w:b w:val="0"/>
          <w:bCs/>
          <w:color w:val="auto"/>
          <w:sz w:val="30"/>
          <w:szCs w:val="30"/>
          <w:highlight w:val="none"/>
          <w:lang w:val="en-US" w:eastAsia="zh-CN"/>
        </w:rPr>
        <w:t>任命</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u w:val="single"/>
          <w:lang w:val="en-US" w:eastAsia="zh-CN"/>
        </w:rPr>
        <w:t xml:space="preserve">  </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u w:val="single"/>
          <w:lang w:val="en-US" w:eastAsia="zh-CN"/>
        </w:rPr>
        <w:t xml:space="preserve"> （身份证号：    ，联系方式：    ）</w:t>
      </w:r>
      <w:r>
        <w:rPr>
          <w:rFonts w:hint="eastAsia" w:ascii="方正仿宋简体" w:hAnsi="方正仿宋简体" w:eastAsia="方正仿宋简体" w:cs="方正仿宋简体"/>
          <w:b w:val="0"/>
          <w:bCs/>
          <w:color w:val="auto"/>
          <w:sz w:val="30"/>
          <w:szCs w:val="30"/>
          <w:highlight w:val="none"/>
          <w:u w:val="none"/>
          <w:lang w:val="en-US" w:eastAsia="zh-CN"/>
        </w:rPr>
        <w:t>为项目</w:t>
      </w:r>
      <w:r>
        <w:rPr>
          <w:rFonts w:hint="eastAsia" w:ascii="方正仿宋简体" w:hAnsi="方正仿宋简体" w:eastAsia="方正仿宋简体" w:cs="方正仿宋简体"/>
          <w:b w:val="0"/>
          <w:bCs/>
          <w:color w:val="auto"/>
          <w:sz w:val="30"/>
          <w:szCs w:val="30"/>
          <w:highlight w:val="none"/>
          <w:lang w:val="en-US" w:eastAsia="zh-CN"/>
        </w:rPr>
        <w:t xml:space="preserve">经理 </w:t>
      </w:r>
      <w:r>
        <w:rPr>
          <w:rFonts w:hint="eastAsia" w:ascii="方正仿宋简体" w:hAnsi="方正仿宋简体" w:eastAsia="方正仿宋简体" w:cs="方正仿宋简体"/>
          <w:b w:val="0"/>
          <w:bCs/>
          <w:color w:val="auto"/>
          <w:sz w:val="30"/>
          <w:szCs w:val="30"/>
          <w:highlight w:val="none"/>
          <w:lang w:eastAsia="zh-CN"/>
        </w:rPr>
        <w:t>，</w:t>
      </w:r>
      <w:r>
        <w:rPr>
          <w:rFonts w:hint="eastAsia" w:ascii="方正仿宋简体" w:hAnsi="方正仿宋简体" w:eastAsia="方正仿宋简体" w:cs="方正仿宋简体"/>
          <w:b w:val="0"/>
          <w:bCs/>
          <w:color w:val="auto"/>
          <w:sz w:val="30"/>
          <w:szCs w:val="30"/>
          <w:highlight w:val="none"/>
        </w:rPr>
        <w:t>对本合同进行全面管理，负责与甲方协调工作，是乙方安全生产管理工作的第一责任人，承担本合同的安全管理责任</w:t>
      </w:r>
      <w:r>
        <w:rPr>
          <w:rFonts w:hint="eastAsia" w:ascii="方正仿宋简体" w:hAnsi="方正仿宋简体" w:eastAsia="方正仿宋简体" w:cs="方正仿宋简体"/>
          <w:b w:val="0"/>
          <w:bCs/>
          <w:color w:val="auto"/>
          <w:sz w:val="30"/>
          <w:szCs w:val="30"/>
          <w:highlight w:val="none"/>
          <w:lang w:eastAsia="zh-CN"/>
        </w:rPr>
        <w:t>，</w:t>
      </w:r>
      <w:r>
        <w:rPr>
          <w:rFonts w:hint="eastAsia" w:ascii="方正仿宋简体" w:hAnsi="方正仿宋简体" w:eastAsia="方正仿宋简体" w:cs="方正仿宋简体"/>
          <w:b w:val="0"/>
          <w:bCs/>
          <w:color w:val="auto"/>
          <w:sz w:val="30"/>
          <w:szCs w:val="30"/>
          <w:highlight w:val="none"/>
          <w:lang w:val="en-US" w:eastAsia="zh-CN"/>
        </w:rPr>
        <w:t>如乙方需更换项目经理，应提前   日以书面形式通知甲方后方可更换</w:t>
      </w:r>
      <w:r>
        <w:rPr>
          <w:rFonts w:hint="eastAsia" w:ascii="方正仿宋简体" w:hAnsi="方正仿宋简体" w:eastAsia="方正仿宋简体" w:cs="方正仿宋简体"/>
          <w:b w:val="0"/>
          <w:bCs/>
          <w:color w:val="auto"/>
          <w:sz w:val="30"/>
          <w:szCs w:val="30"/>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2.</w:t>
      </w:r>
      <w:r>
        <w:rPr>
          <w:rFonts w:hint="eastAsia" w:ascii="方正仿宋简体" w:hAnsi="方正仿宋简体" w:eastAsia="方正仿宋简体" w:cs="方正仿宋简体"/>
          <w:b w:val="0"/>
          <w:bCs/>
          <w:color w:val="auto"/>
          <w:sz w:val="30"/>
          <w:szCs w:val="30"/>
          <w:highlight w:val="none"/>
        </w:rPr>
        <w:t>按工程施工地当地政府或管理部门的规定要求，办理施工所需的相关手续、批准文件等，并交纳费用。乙方配备工程所需的合格的施工机具、设施、人员，自行解决施工驻地和现场用电、用水及施工人员食宿、通勤、劳保等问题，费用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3.</w:t>
      </w:r>
      <w:r>
        <w:rPr>
          <w:rFonts w:hint="eastAsia" w:ascii="方正仿宋简体" w:hAnsi="方正仿宋简体" w:eastAsia="方正仿宋简体" w:cs="方正仿宋简体"/>
          <w:b w:val="0"/>
          <w:bCs/>
          <w:color w:val="auto"/>
          <w:sz w:val="30"/>
          <w:szCs w:val="30"/>
          <w:highlight w:val="none"/>
        </w:rPr>
        <w:t>向甲方代表提供工程进度计划，并按工程进度及时提供关于工程质量的质量保证资料，如材料、试验、试压、测试等报告的原件</w:t>
      </w:r>
      <w:r>
        <w:rPr>
          <w:rFonts w:hint="eastAsia" w:ascii="方正仿宋简体" w:hAnsi="方正仿宋简体" w:eastAsia="方正仿宋简体" w:cs="方正仿宋简体"/>
          <w:b w:val="0"/>
          <w:bCs/>
          <w:color w:val="auto"/>
          <w:sz w:val="30"/>
          <w:szCs w:val="30"/>
          <w:highlight w:val="none"/>
          <w:lang w:val="en-US" w:eastAsia="zh-CN"/>
        </w:rPr>
        <w:t>或扫描件</w:t>
      </w:r>
      <w:r>
        <w:rPr>
          <w:rFonts w:hint="eastAsia" w:ascii="方正仿宋简体" w:hAnsi="方正仿宋简体" w:eastAsia="方正仿宋简体" w:cs="方正仿宋简体"/>
          <w:b w:val="0"/>
          <w:bCs/>
          <w:color w:val="auto"/>
          <w:sz w:val="30"/>
          <w:szCs w:val="30"/>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4.</w:t>
      </w:r>
      <w:r>
        <w:rPr>
          <w:rFonts w:hint="eastAsia" w:ascii="方正仿宋简体" w:hAnsi="方正仿宋简体" w:eastAsia="方正仿宋简体" w:cs="方正仿宋简体"/>
          <w:b w:val="0"/>
          <w:bCs/>
          <w:color w:val="auto"/>
          <w:sz w:val="30"/>
          <w:szCs w:val="30"/>
          <w:highlight w:val="none"/>
        </w:rPr>
        <w:t>乙方必须严格按照甲方批复的施工作业计划、说明文件和国家颁发的最新工程规范、规程和标准进行施工；并接受甲方代表的监督、检查；甲方提出的有关工程质量问题、合理的返工、修改、变更及调整措施，乙方必须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5.</w:t>
      </w:r>
      <w:r>
        <w:rPr>
          <w:rFonts w:hint="eastAsia" w:ascii="方正仿宋简体" w:hAnsi="方正仿宋简体" w:eastAsia="方正仿宋简体" w:cs="方正仿宋简体"/>
          <w:b w:val="0"/>
          <w:bCs/>
          <w:color w:val="auto"/>
          <w:sz w:val="30"/>
          <w:szCs w:val="30"/>
          <w:highlight w:val="none"/>
        </w:rPr>
        <w:t>需要甲方现场验收的分项工程、隐蔽工程，需要试验、试压、测试</w:t>
      </w:r>
      <w:r>
        <w:rPr>
          <w:rFonts w:hint="eastAsia" w:ascii="方正仿宋简体" w:hAnsi="方正仿宋简体" w:eastAsia="方正仿宋简体" w:cs="方正仿宋简体"/>
          <w:b w:val="0"/>
          <w:bCs/>
          <w:color w:val="auto"/>
          <w:sz w:val="30"/>
          <w:szCs w:val="30"/>
          <w:highlight w:val="none"/>
          <w:lang w:val="en-US" w:eastAsia="zh-CN"/>
        </w:rPr>
        <w:t>等</w:t>
      </w:r>
      <w:r>
        <w:rPr>
          <w:rFonts w:hint="eastAsia" w:ascii="方正仿宋简体" w:hAnsi="方正仿宋简体" w:eastAsia="方正仿宋简体" w:cs="方正仿宋简体"/>
          <w:b w:val="0"/>
          <w:bCs/>
          <w:color w:val="auto"/>
          <w:sz w:val="30"/>
          <w:szCs w:val="30"/>
          <w:highlight w:val="none"/>
        </w:rPr>
        <w:t>工程，乙方必须提前24小时通知甲方，如果甲方在规定时间内没有给予答复，乙方可以进行下一道工序。设计变更及材料代用应事先征得甲方同意，取得现场签证后方可施工。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6.</w:t>
      </w:r>
      <w:r>
        <w:rPr>
          <w:rFonts w:hint="eastAsia" w:ascii="方正仿宋简体" w:hAnsi="方正仿宋简体" w:eastAsia="方正仿宋简体" w:cs="方正仿宋简体"/>
          <w:b w:val="0"/>
          <w:bCs/>
          <w:color w:val="auto"/>
          <w:sz w:val="30"/>
          <w:szCs w:val="30"/>
          <w:highlight w:val="none"/>
        </w:rPr>
        <w:t>与其他施工单位互相配合，在需要相互协助时提供方便条件。施工期间，乙方须避免损坏其他单位已完成的工程、材料或等待安装的设备及构件，造成损失的由乙方负责全额赔偿。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7.</w:t>
      </w:r>
      <w:r>
        <w:rPr>
          <w:rFonts w:hint="eastAsia" w:ascii="方正仿宋简体" w:hAnsi="方正仿宋简体" w:eastAsia="方正仿宋简体" w:cs="方正仿宋简体"/>
          <w:b w:val="0"/>
          <w:bCs/>
          <w:color w:val="auto"/>
          <w:sz w:val="30"/>
          <w:szCs w:val="30"/>
          <w:highlight w:val="none"/>
        </w:rPr>
        <w:t>乙方在执行本合同过程中，应做到文明施工、管理有序，工作场所等清洁，遵守地方和国家有关部门对建筑、施工场地交通和施工噪音、消防、化学物品等管理规定，承担因违反有关规定造成的损失。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8.</w:t>
      </w:r>
      <w:r>
        <w:rPr>
          <w:rFonts w:hint="eastAsia" w:ascii="方正仿宋简体" w:hAnsi="方正仿宋简体" w:eastAsia="方正仿宋简体" w:cs="方正仿宋简体"/>
          <w:b w:val="0"/>
          <w:bCs/>
          <w:color w:val="auto"/>
          <w:sz w:val="30"/>
          <w:szCs w:val="30"/>
          <w:highlight w:val="none"/>
        </w:rPr>
        <w:t>竣工移交时应做到工完、料净、场地清</w:t>
      </w:r>
      <w:r>
        <w:rPr>
          <w:rFonts w:hint="eastAsia" w:ascii="方正仿宋简体" w:hAnsi="方正仿宋简体" w:eastAsia="方正仿宋简体" w:cs="方正仿宋简体"/>
          <w:b w:val="0"/>
          <w:bCs/>
          <w:color w:val="auto"/>
          <w:sz w:val="30"/>
          <w:szCs w:val="30"/>
          <w:highlight w:val="none"/>
          <w:lang w:eastAsia="zh-CN"/>
        </w:rPr>
        <w:t>，</w:t>
      </w:r>
      <w:r>
        <w:rPr>
          <w:rFonts w:hint="eastAsia" w:ascii="方正仿宋简体" w:hAnsi="方正仿宋简体" w:eastAsia="方正仿宋简体" w:cs="方正仿宋简体"/>
          <w:b w:val="0"/>
          <w:bCs/>
          <w:color w:val="auto"/>
          <w:sz w:val="30"/>
          <w:szCs w:val="30"/>
          <w:highlight w:val="none"/>
        </w:rPr>
        <w:t>与设备安装有关的接口等必须符合设计要求及有关规定，做好连接及预埋件施工，及时撤离现场并交全竣工资料。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9.</w:t>
      </w:r>
      <w:r>
        <w:rPr>
          <w:rFonts w:hint="eastAsia" w:ascii="方正仿宋简体" w:hAnsi="方正仿宋简体" w:eastAsia="方正仿宋简体" w:cs="方正仿宋简体"/>
          <w:b w:val="0"/>
          <w:bCs/>
          <w:color w:val="auto"/>
          <w:sz w:val="30"/>
          <w:szCs w:val="30"/>
          <w:highlight w:val="none"/>
        </w:rPr>
        <w:t>其他乙方应遵守的规程、规章、规定等。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10</w:t>
      </w:r>
      <w:r>
        <w:rPr>
          <w:rFonts w:hint="eastAsia" w:ascii="方正仿宋简体" w:hAnsi="方正仿宋简体" w:eastAsia="方正仿宋简体" w:cs="方正仿宋简体"/>
          <w:b w:val="0"/>
          <w:bCs/>
          <w:color w:val="auto"/>
          <w:sz w:val="30"/>
          <w:szCs w:val="30"/>
          <w:highlight w:val="none"/>
        </w:rPr>
        <w:t>乙方应与其工作人员签订书面劳动合同，并按国家有关规定为其工作人员缴纳各项社会保险，若因乙方未与其工作人员签订书面劳动合同或缴纳各项社会保险而引起的各种争议，由乙方负责解决并承担全部责任和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11.</w:t>
      </w:r>
      <w:r>
        <w:rPr>
          <w:rFonts w:hint="eastAsia" w:ascii="方正仿宋简体" w:hAnsi="方正仿宋简体" w:eastAsia="方正仿宋简体" w:cs="方正仿宋简体"/>
          <w:b w:val="0"/>
          <w:bCs/>
          <w:color w:val="auto"/>
          <w:sz w:val="30"/>
          <w:szCs w:val="30"/>
          <w:highlight w:val="none"/>
        </w:rPr>
        <w:t>由于乙方或乙方人员的原因，造成的伤、残、亡等事故，由乙方负责并承担全部费用。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12.</w:t>
      </w:r>
      <w:r>
        <w:rPr>
          <w:rFonts w:hint="eastAsia" w:ascii="方正仿宋简体" w:hAnsi="方正仿宋简体" w:eastAsia="方正仿宋简体" w:cs="方正仿宋简体"/>
          <w:b w:val="0"/>
          <w:bCs/>
          <w:color w:val="auto"/>
          <w:sz w:val="30"/>
          <w:szCs w:val="30"/>
          <w:highlight w:val="none"/>
        </w:rPr>
        <w:t>由于乙方或其人员的原因给甲方或第三方造成损失的，由乙方负责并承担全部赔偿责任。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13.</w:t>
      </w:r>
      <w:r>
        <w:rPr>
          <w:rFonts w:hint="eastAsia" w:ascii="方正仿宋简体" w:hAnsi="方正仿宋简体" w:eastAsia="方正仿宋简体" w:cs="方正仿宋简体"/>
          <w:b w:val="0"/>
          <w:bCs/>
          <w:color w:val="auto"/>
          <w:sz w:val="30"/>
          <w:szCs w:val="30"/>
          <w:highlight w:val="none"/>
        </w:rPr>
        <w:t>乙方工作人员发生工伤期间的工资和一次性就业补助金，一次性医疗补助金、一次性伤残补助金等与工伤有关的所有费用均由乙方全部承担并负责支付。</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六、施工组织设计和工期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1.进度计划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乙方应在本合同正式签订之后的3天内提交工程施工组织设计和工程进度计划，甲方应在乙方报送后的3天内组织审批。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2.开工及延期开工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合同签订日即为开工日期，乙方不得延期开工。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3.暂停施工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甲方认为确有必要暂停施工时，应当以书面等形式要求乙方暂停施工。乙方应当按照甲方的要求停止施工，并妥善保护已完工程。实施甲方处理意见后向其提出复工要求，甲方批准后可继续施工。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4.工期延误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以下情况，经甲方签证后，工期作相应顺延，并用书面形式确定顺延期限：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4.1不可抗力因素。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4.2甲方以书面形式正式通知乙方暂停施工，暂停施工责任不在乙方。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4.3非4.1、4.2条款造成得工期延误，每延迟一天扣除合同总价款的千分之三。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5.工程竣工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乙方必须按照本合同约定的竣工日期或甲方同意顺延的工期竣工。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七、 合同价格及支付</w:t>
      </w:r>
    </w:p>
    <w:p>
      <w:pPr>
        <w:pageBreakBefore w:val="0"/>
        <w:kinsoku/>
        <w:wordWrap/>
        <w:overflowPunct/>
        <w:topLinePunct w:val="0"/>
        <w:bidi w:val="0"/>
        <w:snapToGrid w:val="0"/>
        <w:spacing w:beforeAutospacing="0" w:afterAutospacing="0" w:line="560" w:lineRule="exact"/>
        <w:ind w:left="0" w:leftChars="0" w:right="0" w:rightChars="0" w:firstLine="600" w:firstLineChars="200"/>
        <w:textAlignment w:val="auto"/>
        <w:rPr>
          <w:rFonts w:hint="eastAsia" w:ascii="方正仿宋简体" w:hAnsi="方正仿宋简体" w:eastAsia="方正仿宋简体" w:cs="方正仿宋简体"/>
          <w:b w:val="0"/>
          <w:bCs/>
          <w:color w:val="auto"/>
          <w:sz w:val="30"/>
          <w:szCs w:val="30"/>
          <w:highlight w:val="none"/>
          <w:u w:val="singl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1.合同价格：</w:t>
      </w:r>
      <w:r>
        <w:rPr>
          <w:rFonts w:hint="eastAsia" w:ascii="方正仿宋简体" w:hAnsi="方正仿宋简体" w:eastAsia="方正仿宋简体" w:cs="方正仿宋简体"/>
          <w:b w:val="0"/>
          <w:bCs/>
          <w:color w:val="auto"/>
          <w:sz w:val="30"/>
          <w:szCs w:val="30"/>
          <w:highlight w:val="none"/>
        </w:rPr>
        <w:t>本合同</w:t>
      </w:r>
      <w:r>
        <w:rPr>
          <w:rFonts w:hint="eastAsia" w:ascii="方正仿宋简体" w:hAnsi="方正仿宋简体" w:eastAsia="方正仿宋简体" w:cs="方正仿宋简体"/>
          <w:b w:val="0"/>
          <w:bCs/>
          <w:color w:val="auto"/>
          <w:sz w:val="30"/>
          <w:szCs w:val="30"/>
          <w:highlight w:val="none"/>
          <w:lang w:val="en-US" w:eastAsia="zh-CN"/>
        </w:rPr>
        <w:t>不含税</w:t>
      </w:r>
      <w:r>
        <w:rPr>
          <w:rFonts w:hint="eastAsia" w:ascii="方正仿宋简体" w:hAnsi="方正仿宋简体" w:eastAsia="方正仿宋简体" w:cs="方正仿宋简体"/>
          <w:b w:val="0"/>
          <w:bCs/>
          <w:color w:val="auto"/>
          <w:sz w:val="30"/>
          <w:szCs w:val="30"/>
          <w:highlight w:val="none"/>
        </w:rPr>
        <w:t>总价款为</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万元，大写人民币</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w:t>
      </w:r>
      <w:r>
        <w:rPr>
          <w:rFonts w:hint="eastAsia" w:ascii="方正仿宋简体" w:hAnsi="方正仿宋简体" w:eastAsia="方正仿宋简体" w:cs="方正仿宋简体"/>
          <w:b w:val="0"/>
          <w:bCs/>
          <w:color w:val="auto"/>
          <w:sz w:val="30"/>
          <w:szCs w:val="30"/>
          <w:highlight w:val="none"/>
          <w:lang w:val="en-US" w:eastAsia="zh-CN"/>
        </w:rPr>
        <w:t>税率：</w:t>
      </w:r>
      <w:r>
        <w:rPr>
          <w:rFonts w:hint="eastAsia" w:ascii="方正仿宋简体" w:hAnsi="方正仿宋简体" w:eastAsia="方正仿宋简体" w:cs="方正仿宋简体"/>
          <w:b w:val="0"/>
          <w:bCs/>
          <w:color w:val="auto"/>
          <w:sz w:val="30"/>
          <w:szCs w:val="30"/>
          <w:highlight w:val="none"/>
          <w:u w:val="single"/>
          <w:lang w:val="en-US" w:eastAsia="zh-CN"/>
        </w:rPr>
        <w:t xml:space="preserve">      </w:t>
      </w:r>
      <w:r>
        <w:rPr>
          <w:rFonts w:hint="eastAsia" w:ascii="方正仿宋简体" w:hAnsi="方正仿宋简体" w:eastAsia="方正仿宋简体" w:cs="方正仿宋简体"/>
          <w:b w:val="0"/>
          <w:bCs/>
          <w:color w:val="auto"/>
          <w:sz w:val="30"/>
          <w:szCs w:val="30"/>
          <w:highlight w:val="none"/>
          <w:lang w:val="en-US" w:eastAsia="zh-CN"/>
        </w:rPr>
        <w:t>税额：</w:t>
      </w:r>
      <w:r>
        <w:rPr>
          <w:rFonts w:hint="eastAsia" w:ascii="方正仿宋简体" w:hAnsi="方正仿宋简体" w:eastAsia="方正仿宋简体" w:cs="方正仿宋简体"/>
          <w:b w:val="0"/>
          <w:bCs/>
          <w:color w:val="auto"/>
          <w:sz w:val="30"/>
          <w:szCs w:val="30"/>
          <w:highlight w:val="none"/>
          <w:u w:val="single"/>
          <w:lang w:val="en-US" w:eastAsia="zh-CN"/>
        </w:rPr>
        <w:t xml:space="preserve">        </w:t>
      </w:r>
      <w:r>
        <w:rPr>
          <w:rFonts w:hint="eastAsia" w:ascii="方正仿宋简体" w:hAnsi="方正仿宋简体" w:eastAsia="方正仿宋简体" w:cs="方正仿宋简体"/>
          <w:b w:val="0"/>
          <w:bCs/>
          <w:color w:val="auto"/>
          <w:sz w:val="30"/>
          <w:szCs w:val="30"/>
          <w:highlight w:val="none"/>
          <w:lang w:val="en-US" w:eastAsia="zh-CN"/>
        </w:rPr>
        <w:t>含税总价：</w:t>
      </w:r>
      <w:r>
        <w:rPr>
          <w:rFonts w:hint="eastAsia" w:ascii="方正仿宋简体" w:hAnsi="方正仿宋简体" w:eastAsia="方正仿宋简体" w:cs="方正仿宋简体"/>
          <w:b w:val="0"/>
          <w:bCs/>
          <w:color w:val="auto"/>
          <w:sz w:val="30"/>
          <w:szCs w:val="30"/>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2.在本合同执行过程中，如遇国家税收政策变化，涉及到本合同价款及增值税的，应按照本合同约定的不含税价款不变的原则来确定合同税率、合同税额及合同总金额。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3.</w:t>
      </w:r>
      <w:r>
        <w:rPr>
          <w:rFonts w:hint="eastAsia" w:ascii="方正仿宋简体" w:hAnsi="方正仿宋简体" w:eastAsia="方正仿宋简体" w:cs="方正仿宋简体"/>
          <w:b w:val="0"/>
          <w:bCs/>
          <w:color w:val="auto"/>
          <w:sz w:val="30"/>
          <w:szCs w:val="30"/>
          <w:highlight w:val="none"/>
        </w:rPr>
        <w:t xml:space="preserve">如发生设计修改及变更,双方协商确定。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4.</w:t>
      </w:r>
      <w:r>
        <w:rPr>
          <w:rFonts w:hint="eastAsia" w:ascii="方正仿宋简体" w:hAnsi="方正仿宋简体" w:eastAsia="方正仿宋简体" w:cs="方正仿宋简体"/>
          <w:b w:val="0"/>
          <w:bCs/>
          <w:color w:val="auto"/>
          <w:sz w:val="30"/>
          <w:szCs w:val="30"/>
          <w:highlight w:val="none"/>
        </w:rPr>
        <w:t>现场签证单只作为工程施工依据，不作为合同价款变更和结算依据。</w:t>
      </w:r>
    </w:p>
    <w:p>
      <w:pPr>
        <w:pageBreakBefore w:val="0"/>
        <w:tabs>
          <w:tab w:val="left" w:pos="0"/>
        </w:tabs>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5.</w:t>
      </w:r>
      <w:r>
        <w:rPr>
          <w:rFonts w:hint="eastAsia" w:ascii="方正仿宋简体" w:hAnsi="方正仿宋简体" w:eastAsia="方正仿宋简体" w:cs="方正仿宋简体"/>
          <w:b w:val="0"/>
          <w:bCs/>
          <w:color w:val="auto"/>
          <w:sz w:val="30"/>
          <w:szCs w:val="30"/>
          <w:highlight w:val="none"/>
        </w:rPr>
        <w:t>如乙方有漏报工程项，一律不予补找。</w:t>
      </w:r>
    </w:p>
    <w:p>
      <w:pPr>
        <w:pageBreakBefore w:val="0"/>
        <w:tabs>
          <w:tab w:val="left" w:pos="0"/>
        </w:tabs>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6合同支付：</w:t>
      </w:r>
    </w:p>
    <w:p>
      <w:pPr>
        <w:pageBreakBefore w:val="0"/>
        <w:kinsoku/>
        <w:wordWrap/>
        <w:overflowPunct/>
        <w:topLinePunct w:val="0"/>
        <w:autoSpaceDE/>
        <w:autoSpaceDN/>
        <w:bidi w:val="0"/>
        <w:spacing w:line="560" w:lineRule="exact"/>
        <w:ind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承包人完成发包人招标项目，验收合格后，提供100%的增值税专用发票（税率9%）后，次月发包人向承包人支付合同价款的90%；预留10%质保金，质保期内无质量问题支付质保金，合同款支付方式可以采用现金或承兑。</w:t>
      </w:r>
    </w:p>
    <w:p>
      <w:pPr>
        <w:pageBreakBefore w:val="0"/>
        <w:kinsoku/>
        <w:wordWrap/>
        <w:overflowPunct/>
        <w:topLinePunct w:val="0"/>
        <w:autoSpaceDE/>
        <w:autoSpaceDN/>
        <w:bidi w:val="0"/>
        <w:spacing w:line="560" w:lineRule="exact"/>
        <w:ind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七、质量与检验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1.工程质量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因乙方原因达不到约定的工程质量及技术标准，甲方有权拒绝支付乙方工程款。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2.检查和返工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2.1乙方应认真按照标准、规程、规范和技术要求以及甲方依据合同发出的指令施工，随时接受甲方的检查检验，并为检查检验无条件地全力配合。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2.2在所有的工程验收中，乙方负责提供验收所需的劳动力、各类工器具和相应表格，以及施工原始记录、试验报告等。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2.3工程质量达不到约定标准的部分，甲方有权要求拆除和重新施工，直到符合约定标准。因乙方原因达不到约定标准，由乙方承担拆除和重新施工的费用，工期不予顺延。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2.4甲方检查检验不应影响施工正常进行。如影响施工正常进行，且检查检验不合格时，影响正常施工的费用由乙方承担。除此之外影响正常施工的费用由甲方承担，在影响关键线路施工时还可适当顺延工期。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2.5乙方负责采购供应的大宗或特殊材料，必须事先将样品、合格证、质量检验证明及供货厂商资料报甲方审批，经甲方同意后方可订货。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3.隐蔽工程和中间验收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工程具备隐蔽条件，乙方应先进行自检，并在隐蔽前48小时以书面形式通知甲方主持验收。通知包括隐蔽的内容、验收时间和地点。乙方应准备验收记录，验收合格后甲方在验收记录上签字，乙方方可进行隐蔽。验收不合格，乙方应在甲方限定的时间内修改后重新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4.材料验收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由于材料质量原因检验达不到验收要求，由乙方承担修理或重新购置、拆除及重新安装的费用，工期不予顺延。</w:t>
      </w:r>
    </w:p>
    <w:p>
      <w:pPr>
        <w:pageBreakBefore w:val="0"/>
        <w:numPr>
          <w:ilvl w:val="0"/>
          <w:numId w:val="0"/>
        </w:numPr>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八、竣工验收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竣工验收以甲方提供的设计、乙方提供的技术方案及在招标文件中提出的技术标准要求作为验收的依据。</w:t>
      </w:r>
    </w:p>
    <w:p>
      <w:pPr>
        <w:pageBreakBefore w:val="0"/>
        <w:numPr>
          <w:ilvl w:val="0"/>
          <w:numId w:val="0"/>
        </w:numPr>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九、违约、索赔和争议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1.甲、乙双方的任何一方不履行或不完全履行合同中规定的义务则构成违约。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2.出现下列情况时，甲方从应付工程款或质量保证金中扣除相应违约金。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2.1工程质量达不到要求、不符合合同、技术文件等规定，按合同价款的2%作为违约金扣除，同时乙方负责无偿修复或返工。因修复或返工造成工期延误的，不予以顺延。如经修复或返工后仍不符合工程质量要求的，甲方除扣除相应部分的工程款外，还可根据情况处以修复费用的10倍作为违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2.2因乙方原因工程不能按合同规定的工期交付使用或工期延迟，每延迟一天按合同总价款的3‰/天作为违约金，违约金从应付工程款中扣除，不足部分由乙方另行支付。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2.3验收合格后乙方应在7天内撤出施工场地，15天内撤离现场，否则每延迟一天甲方按合同总价款的3‰作为违约金，违约金从应付工程款中扣除。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2.4乙方不得以任何方式将工程分包给第三方，否则，按本合同总价的20%作为违约金并扣付工程进度款，同时，甲方有权终止本合同。因此给甲方造成损失的，乙方负全额赔偿责任。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2.5对于中间验收工程，乙方返工修改三次仍验收不合格时，甲方按本合同总价的10%作为违约金扣除，同时甲方有权解除本合同。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3.包括但不限于上述情况，甲方视乙方违约情节轻重，有权采取处罚措施并可中止或终止合同，乙方对此造成的损失给予全额赔偿。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4.当中止或终止合同时，乙方必须应甲方要求停工整顿或尽快撤出施工场地。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5.因甲方原因造成的窝工、返工，工期适当顺延。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6.在本合同履行过程中，因乙方违反本合同约定，未履行本约定义务的，则由乙方按本协议约定承担支付违约金的法律责任，乙方自愿放弃《中华人民共和国民法典》第114条第2款“……约定的违约金过分高于造成的损失的，当事人可以请求人民法院或者仲裁机构予以适当减少”的抗辩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7.</w:t>
      </w:r>
      <w:r>
        <w:rPr>
          <w:rFonts w:hint="eastAsia" w:ascii="方正仿宋简体" w:hAnsi="方正仿宋简体" w:eastAsia="方正仿宋简体" w:cs="方正仿宋简体"/>
          <w:b w:val="0"/>
          <w:bCs/>
          <w:color w:val="auto"/>
          <w:sz w:val="30"/>
          <w:szCs w:val="30"/>
          <w:highlight w:val="none"/>
        </w:rPr>
        <w:t>一方违约后，另一方应采取适当措施，以防止损失的扩大，否则不能就扩大部分的损失要求赔偿</w:t>
      </w:r>
      <w:r>
        <w:rPr>
          <w:rFonts w:hint="eastAsia" w:ascii="方正仿宋简体" w:hAnsi="方正仿宋简体" w:eastAsia="方正仿宋简体" w:cs="方正仿宋简体"/>
          <w:b w:val="0"/>
          <w:bCs/>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8.在本协议履行过程中，因乙方违反本协议约定，构成违约的，甲方主张权利所产生的包括但不限于诉讼费、律师费、保全费、保险费、鉴定评估费等费用均由乙方承担。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9.在合同执行过程中发生争议，双方应协商解决；协商不成或不愿协商，向项目所在地人民法院提起诉讼。</w:t>
      </w:r>
    </w:p>
    <w:p>
      <w:pPr>
        <w:pageBreakBefore w:val="0"/>
        <w:numPr>
          <w:ilvl w:val="0"/>
          <w:numId w:val="0"/>
        </w:numPr>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十、其他</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1不可抗力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1.1不可抗力包括因战争、动乱、空中飞行物体坠落、或其他非甲方乙方责任造成的爆炸、火灾、洪灾、地震、极端天气、疫情等双方均无法合理预见的情况。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1.2因不可抗力事件导致的费用及延误的工期由双方按以下方法分别承担: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1.2.1工程本身的损害、因工程损害导致第三人人员伤亡和财产损失以及运至施工场地用于施工的材料和待安装的设备的损害，由乙方承担。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1.2.2乙方人员伤亡由其所在单位负责，并承担相应费用。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1.2.3乙方机械设备损坏及停工损失，由乙方承担。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1.2.4延误的工期相应顺延。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1.3因乙方迟延履行合同后发生不可抗力的，不能免除迟延履行方的相应责任。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1.4乙方不可把劳动力、材料或能源的短缺看成是不可抗力，除非是不可抗力原因造成这些短缺。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2.保险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2.1乙方应为从事危险作业的职工办理意外伤害保险，并为施工场地内自有人员及第三人人员生命财产、以及为运到施工场地内用于工程的材料和施工机械设备办理保险，并支付保险费用。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2.2保险事故发生时，甲方乙方有责任尽力采取必要的措施，防止或减少损失。并且应该积极配合，互相提供用于保险理赔的证据和资料。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2.3如发生设备、人身伤亡等事故，</w:t>
      </w:r>
      <w:r>
        <w:rPr>
          <w:rFonts w:hint="eastAsia" w:ascii="方正仿宋简体" w:hAnsi="方正仿宋简体" w:eastAsia="方正仿宋简体" w:cs="方正仿宋简体"/>
          <w:b w:val="0"/>
          <w:bCs/>
          <w:color w:val="auto"/>
          <w:sz w:val="30"/>
          <w:szCs w:val="30"/>
          <w:highlight w:val="none"/>
          <w:lang w:val="zh-CN" w:eastAsia="zh-CN"/>
        </w:rPr>
        <w:t>由乙方通过向保险公司索赔等方式全权处理，甲方不承担任何补偿或连带责任，</w:t>
      </w:r>
      <w:r>
        <w:rPr>
          <w:rFonts w:hint="eastAsia" w:ascii="方正仿宋简体" w:hAnsi="方正仿宋简体" w:eastAsia="方正仿宋简体" w:cs="方正仿宋简体"/>
          <w:b w:val="0"/>
          <w:bCs/>
          <w:color w:val="auto"/>
          <w:sz w:val="30"/>
          <w:szCs w:val="30"/>
          <w:highlight w:val="none"/>
          <w:lang w:val="en-US" w:eastAsia="zh-CN"/>
        </w:rPr>
        <w:t>若因乙方原因造成甲方承担责任，甲方有权向乙方追偿全部损失</w:t>
      </w:r>
      <w:r>
        <w:rPr>
          <w:rFonts w:hint="eastAsia" w:ascii="方正仿宋简体" w:hAnsi="方正仿宋简体" w:eastAsia="方正仿宋简体" w:cs="方正仿宋简体"/>
          <w:b w:val="0"/>
          <w:bCs/>
          <w:color w:val="auto"/>
          <w:sz w:val="30"/>
          <w:szCs w:val="30"/>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2.4如工程遭到损失或损坏，不论是否已获得保险赔偿，乙方都应按甲方的要求以最快的方式对遭到损失或损坏的工程进行更换或修复，其费用可按合同的有关规定处理。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3合同解除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3.1甲方乙方协商一致时，在必要时可以解除合同。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3.2乙方将其承包的全部工程转包给他人或者肢解以后以分包的名义分别转包给他人, 甲方有权解除合同。已经发生的费用均由乙方承担，乙方返还甲方已经支付的全部费用。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3.3有下列情形之一的, 甲方乙方可以解除合同: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（1）因不可抗力致使合同无法履行。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（2）因一方违约(包括因甲方原因造成工程停建或缓建) 致使合同无法履行；</w:t>
      </w:r>
      <w:r>
        <w:rPr>
          <w:rFonts w:hint="eastAsia" w:ascii="方正仿宋简体" w:hAnsi="方正仿宋简体" w:eastAsia="方正仿宋简体" w:cs="方正仿宋简体"/>
          <w:b w:val="0"/>
          <w:bCs/>
          <w:color w:val="auto"/>
          <w:sz w:val="30"/>
          <w:szCs w:val="30"/>
          <w:highlight w:val="none"/>
        </w:rPr>
        <w:t>当乙方延误项目建设期限达</w:t>
      </w:r>
      <w:r>
        <w:rPr>
          <w:rFonts w:hint="eastAsia" w:ascii="方正仿宋简体" w:hAnsi="方正仿宋简体" w:eastAsia="方正仿宋简体" w:cs="方正仿宋简体"/>
          <w:b w:val="0"/>
          <w:bCs/>
          <w:color w:val="auto"/>
          <w:sz w:val="30"/>
          <w:szCs w:val="30"/>
          <w:highlight w:val="none"/>
          <w:u w:val="none"/>
        </w:rPr>
        <w:t>    </w:t>
      </w:r>
      <w:r>
        <w:rPr>
          <w:rFonts w:hint="eastAsia" w:ascii="方正仿宋简体" w:hAnsi="方正仿宋简体" w:eastAsia="方正仿宋简体" w:cs="方正仿宋简体"/>
          <w:b w:val="0"/>
          <w:bCs/>
          <w:color w:val="auto"/>
          <w:sz w:val="30"/>
          <w:szCs w:val="30"/>
          <w:highlight w:val="none"/>
        </w:rPr>
        <w:t>日时，甲方有权书面通知乙方后解除合同</w:t>
      </w:r>
      <w:r>
        <w:rPr>
          <w:rFonts w:hint="eastAsia" w:ascii="方正仿宋简体" w:hAnsi="方正仿宋简体" w:eastAsia="方正仿宋简体" w:cs="方正仿宋简体"/>
          <w:b w:val="0"/>
          <w:bCs/>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4合同生效与终止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4.1 合同经双方盖章后即生效。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4.2 双方履行合同全部义务，竣工结算价款支付完毕，乙方向甲方交付竣工工程后，双方履行质保期条款后本合同即告终止。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4.3合同的权利义务终止后，双方应当遵循诚实信用原则，履行通知、协助、保密等义务。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5合同份数与保密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5.1本合同一式拾贰份，具有同等效力，甲方持陆份，乙方持陆份。</w:t>
      </w:r>
    </w:p>
    <w:p>
      <w:pPr>
        <w:pageBreakBefore w:val="0"/>
        <w:widowControl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5.2</w:t>
      </w:r>
      <w:r>
        <w:rPr>
          <w:rFonts w:hint="eastAsia" w:ascii="方正仿宋简体" w:hAnsi="方正仿宋简体" w:eastAsia="方正仿宋简体" w:cs="方正仿宋简体"/>
          <w:b w:val="0"/>
          <w:bCs/>
          <w:color w:val="auto"/>
          <w:sz w:val="30"/>
          <w:szCs w:val="30"/>
          <w:highlight w:val="none"/>
        </w:rPr>
        <w:t>合同各方保证对在讨论、签订、履行本合同过程中所获悉的属于其他方的且无法自公开渠道获取的保密信息予以保密。未经该信息的披露方同意，信息接收方不得向任何第三方泄露该信息的全部或部分内容。</w:t>
      </w:r>
    </w:p>
    <w:p>
      <w:pPr>
        <w:pageBreakBefore w:val="0"/>
        <w:widowControl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上述保密义务，在本合同终止或解除之后仍需履行。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6.其他规定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6.1在本合同的所述及的文件中，无论何处涉及任何人发出的任何通知、同意、批准、证明或决定，除非合同另有规定，均应以书面形式发出，口头约定对各方都不具约束力。对于任何此类通知、同意、批准、证明或决定，都应在最短时间内送至各自指定的地点，并由指定的人员或值班人员签收；无故拒收、扣压或拖延者应承担其相应的责任和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为更好履行本合同，双方提供如下联系方式：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甲方联系人：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甲方联系地址：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甲方联系电话及邮箱：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乙方联系人：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乙方联系地址：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乙方联系电话及邮箱：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6.2本合同有关各方的通讯地址如有变动，变动方应及时通知另一方，否则另一方仍按原地址递送函件。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6.3本合同未尽事宜，双方应另行协商并签订补充协议。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6.4本合同附件为本合同的有效组成部分，与本合同具有同等法律效力。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6.5本合同未尽事宜，经双方协商后，可进行修改或补充；达成一致意见的修改或补充文件，即可成为本合同的组成部分。</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附件一：技术附件</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附件二：安全生产管理协议书</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附件三：廉洁互保协议</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附件四：</w:t>
      </w:r>
      <w:r>
        <w:rPr>
          <w:rFonts w:hint="eastAsia" w:ascii="方正仿宋简体" w:hAnsi="方正仿宋简体" w:eastAsia="方正仿宋简体" w:cs="方正仿宋简体"/>
          <w:b w:val="0"/>
          <w:bCs/>
          <w:color w:val="auto"/>
          <w:sz w:val="30"/>
          <w:szCs w:val="30"/>
          <w:highlight w:val="none"/>
        </w:rPr>
        <w:t>维护稳定协议</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附件五：</w:t>
      </w:r>
      <w:r>
        <w:rPr>
          <w:rFonts w:hint="eastAsia" w:ascii="方正仿宋简体" w:hAnsi="方正仿宋简体" w:eastAsia="方正仿宋简体" w:cs="方正仿宋简体"/>
          <w:b w:val="0"/>
          <w:bCs/>
          <w:color w:val="auto"/>
          <w:sz w:val="30"/>
          <w:szCs w:val="30"/>
          <w:highlight w:val="none"/>
        </w:rPr>
        <w:t>支付施工人员工资承诺书</w:t>
      </w:r>
    </w:p>
    <w:p>
      <w:pPr>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rPr>
          <w:rFonts w:hint="eastAsia" w:ascii="方正仿宋简体" w:hAnsi="方正仿宋简体" w:eastAsia="方正仿宋简体" w:cs="方正仿宋简体"/>
          <w:b w:val="0"/>
          <w:bCs/>
          <w:color w:val="auto"/>
          <w:kern w:val="2"/>
          <w:sz w:val="30"/>
          <w:szCs w:val="30"/>
          <w:highlight w:val="none"/>
          <w:u w:val="none"/>
          <w:shd w:val="clear" w:color="auto" w:fill="auto"/>
          <w:lang w:val="en-US" w:eastAsia="zh-CN" w:bidi="ar-SA"/>
        </w:rPr>
      </w:pP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甲方：                        （公章）</w:t>
      </w:r>
      <w:r>
        <w:rPr>
          <w:rFonts w:hint="eastAsia" w:ascii="方正仿宋简体" w:hAnsi="方正仿宋简体" w:eastAsia="方正仿宋简体" w:cs="方正仿宋简体"/>
          <w:b w:val="0"/>
          <w:bCs/>
          <w:color w:val="auto"/>
          <w:sz w:val="30"/>
          <w:szCs w:val="30"/>
          <w:highlight w:val="none"/>
          <w:lang w:val="en-US" w:eastAsia="zh-CN"/>
        </w:rPr>
        <w:tab/>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法定代表人/委托代理人：</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地    址：</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电    话：</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传    真：</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邮政编码：</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开户银行：</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帐    号：</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日      期：2024年 月 日</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甲方：                        （公章）</w:t>
      </w:r>
      <w:r>
        <w:rPr>
          <w:rFonts w:hint="eastAsia" w:ascii="方正仿宋简体" w:hAnsi="方正仿宋简体" w:eastAsia="方正仿宋简体" w:cs="方正仿宋简体"/>
          <w:b w:val="0"/>
          <w:bCs/>
          <w:color w:val="auto"/>
          <w:sz w:val="30"/>
          <w:szCs w:val="30"/>
          <w:highlight w:val="none"/>
          <w:lang w:val="en-US" w:eastAsia="zh-CN"/>
        </w:rPr>
        <w:tab/>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法定代表人/委托代理人：</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地    址：</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电    话：</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传    真：</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邮政编码：</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开户银行：</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帐    号：</w:t>
      </w:r>
    </w:p>
    <w:p>
      <w:pPr>
        <w:pageBreakBefore w:val="0"/>
        <w:kinsoku/>
        <w:wordWrap/>
        <w:overflowPunct/>
        <w:topLinePunct w:val="0"/>
        <w:autoSpaceDE/>
        <w:autoSpaceDN/>
        <w:bidi w:val="0"/>
        <w:spacing w:line="560" w:lineRule="exact"/>
        <w:ind w:left="0" w:leftChars="0" w:right="0" w:rightChars="0" w:firstLine="600" w:firstLineChars="200"/>
        <w:jc w:val="left"/>
        <w:textAlignment w:val="auto"/>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日      期：2024年 月 日</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方正仿宋简体" w:hAnsi="方正仿宋简体" w:eastAsia="方正仿宋简体" w:cs="方正仿宋简体"/>
          <w:b/>
          <w:bCs w:val="0"/>
          <w:i w:val="0"/>
          <w:iCs w:val="0"/>
          <w:color w:val="auto"/>
          <w:kern w:val="2"/>
          <w:sz w:val="30"/>
          <w:szCs w:val="30"/>
          <w:highlight w:val="none"/>
          <w:lang w:val="en-US" w:eastAsia="zh-CN" w:bidi="ar-SA"/>
        </w:rPr>
      </w:pPr>
      <w:bookmarkStart w:id="87" w:name="_Toc405303397"/>
      <w:bookmarkStart w:id="88" w:name="_Toc7409"/>
      <w:bookmarkStart w:id="89" w:name="_Toc405302887"/>
    </w:p>
    <w:p>
      <w:pPr>
        <w:pStyle w:val="254"/>
        <w:numPr>
          <w:ilvl w:val="0"/>
          <w:numId w:val="0"/>
        </w:numPr>
        <w:jc w:val="center"/>
        <w:outlineLvl w:val="0"/>
        <w:rPr>
          <w:rFonts w:ascii="方正小标宋简体" w:hAnsi="方正小标宋简体" w:eastAsia="方正小标宋简体" w:cs="方正小标宋简体"/>
          <w:b w:val="0"/>
          <w:bCs/>
          <w:sz w:val="36"/>
          <w:szCs w:val="36"/>
        </w:rPr>
      </w:pPr>
      <w:bookmarkStart w:id="90" w:name="_Toc144974826"/>
      <w:bookmarkStart w:id="91" w:name="_Toc385429487"/>
      <w:bookmarkStart w:id="92" w:name="_Toc1816"/>
      <w:bookmarkStart w:id="93" w:name="_Toc4054489"/>
      <w:bookmarkStart w:id="94" w:name="_Toc385425180"/>
      <w:bookmarkStart w:id="95" w:name="_Toc228101457"/>
      <w:bookmarkStart w:id="96" w:name="_Toc526877069"/>
      <w:bookmarkStart w:id="97" w:name="_Toc100050981"/>
      <w:bookmarkStart w:id="98" w:name="_Toc152045767"/>
      <w:bookmarkStart w:id="99" w:name="_Toc5180643"/>
      <w:bookmarkStart w:id="100" w:name="_Toc179632785"/>
      <w:bookmarkStart w:id="101" w:name="_Toc152042546"/>
      <w:r>
        <w:rPr>
          <w:rFonts w:ascii="方正小标宋简体" w:hAnsi="方正小标宋简体" w:eastAsia="方正小标宋简体" w:cs="方正小标宋简体"/>
          <w:b w:val="0"/>
          <w:bCs/>
          <w:sz w:val="36"/>
          <w:szCs w:val="36"/>
        </w:rPr>
        <w:t>哈密市和翔工贸有限责任公司</w:t>
      </w:r>
    </w:p>
    <w:p>
      <w:pPr>
        <w:pStyle w:val="254"/>
        <w:numPr>
          <w:ilvl w:val="0"/>
          <w:numId w:val="0"/>
        </w:numPr>
        <w:jc w:val="center"/>
        <w:outlineLvl w:val="0"/>
        <w:rPr>
          <w:rFonts w:hint="default" w:ascii="方正小标宋简体" w:hAnsi="方正小标宋简体" w:eastAsia="方正小标宋简体" w:cs="方正小标宋简体"/>
          <w:b w:val="0"/>
          <w:bCs/>
          <w:color w:val="auto"/>
          <w:sz w:val="30"/>
          <w:szCs w:val="30"/>
        </w:rPr>
      </w:pPr>
      <w:r>
        <w:rPr>
          <w:rFonts w:ascii="方正小标宋简体" w:hAnsi="方正小标宋简体" w:eastAsia="方正小标宋简体" w:cs="方正小标宋简体"/>
          <w:b w:val="0"/>
          <w:bCs/>
          <w:sz w:val="36"/>
          <w:szCs w:val="36"/>
        </w:rPr>
        <w:t>吉郎德露天煤矿厂区内运煤道路硬化项目技术规格书</w:t>
      </w:r>
    </w:p>
    <w:p>
      <w:pPr>
        <w:pStyle w:val="254"/>
        <w:numPr>
          <w:ilvl w:val="0"/>
          <w:numId w:val="0"/>
        </w:numPr>
        <w:ind w:firstLine="600" w:firstLineChars="200"/>
        <w:outlineLvl w:val="0"/>
        <w:rPr>
          <w:rFonts w:ascii="楷体" w:hAnsi="楷体" w:eastAsia="楷体" w:cs="楷体"/>
          <w:b w:val="0"/>
          <w:color w:val="FF0000"/>
          <w:sz w:val="30"/>
          <w:szCs w:val="30"/>
        </w:rPr>
      </w:pPr>
    </w:p>
    <w:p>
      <w:pPr>
        <w:pStyle w:val="254"/>
        <w:numPr>
          <w:ilvl w:val="0"/>
          <w:numId w:val="0"/>
        </w:numPr>
        <w:ind w:firstLine="600" w:firstLineChars="200"/>
        <w:outlineLvl w:val="0"/>
        <w:rPr>
          <w:rFonts w:ascii="黑体" w:hAnsi="黑体" w:eastAsia="黑体" w:cs="黑体"/>
          <w:b w:val="0"/>
          <w:color w:val="auto"/>
          <w:sz w:val="30"/>
          <w:szCs w:val="30"/>
        </w:rPr>
      </w:pPr>
      <w:r>
        <w:rPr>
          <w:rFonts w:ascii="黑体" w:hAnsi="黑体" w:eastAsia="黑体" w:cs="黑体"/>
          <w:b w:val="0"/>
          <w:color w:val="auto"/>
          <w:sz w:val="30"/>
          <w:szCs w:val="30"/>
        </w:rPr>
        <w:t>一、总体要求</w:t>
      </w:r>
    </w:p>
    <w:p>
      <w:pPr>
        <w:spacing w:line="560" w:lineRule="exact"/>
        <w:ind w:firstLine="600" w:firstLineChars="200"/>
        <w:jc w:val="left"/>
        <w:rPr>
          <w:rFonts w:hint="eastAsia" w:eastAsia="方正仿宋简体"/>
          <w:kern w:val="0"/>
          <w:sz w:val="30"/>
          <w:szCs w:val="30"/>
          <w:lang w:bidi="ar"/>
        </w:rPr>
      </w:pPr>
      <w:r>
        <w:rPr>
          <w:rFonts w:hint="eastAsia" w:eastAsia="方正仿宋简体"/>
          <w:kern w:val="0"/>
          <w:sz w:val="30"/>
          <w:szCs w:val="30"/>
          <w:lang w:bidi="ar"/>
        </w:rPr>
        <w:t>1.本技术规格书适用于本项目为哈密市和翔工贸有限责任公司吉郎德露天煤矿厂区内运煤道路硬化项目的功能设计、结构、性能、地面硬化、验收等方面的技术要求。</w:t>
      </w:r>
    </w:p>
    <w:p>
      <w:pPr>
        <w:spacing w:line="560" w:lineRule="exact"/>
        <w:ind w:firstLine="600" w:firstLineChars="200"/>
        <w:jc w:val="left"/>
        <w:rPr>
          <w:rFonts w:hint="eastAsia" w:eastAsia="方正仿宋简体"/>
          <w:kern w:val="0"/>
          <w:sz w:val="30"/>
          <w:szCs w:val="30"/>
          <w:lang w:bidi="ar"/>
        </w:rPr>
      </w:pPr>
      <w:r>
        <w:rPr>
          <w:rFonts w:hint="eastAsia" w:eastAsia="方正仿宋简体"/>
          <w:kern w:val="0"/>
          <w:sz w:val="30"/>
          <w:szCs w:val="30"/>
          <w:lang w:bidi="ar"/>
        </w:rPr>
        <w:t>2.本技术规格书所提出的仅是最低限度的技术要求，并未包括所有的技术细节及要求，供方对所提供道路硬化所需的要求性能指标负全责。</w:t>
      </w:r>
    </w:p>
    <w:p>
      <w:pPr>
        <w:spacing w:line="560" w:lineRule="exact"/>
        <w:ind w:firstLine="600" w:firstLineChars="200"/>
        <w:jc w:val="left"/>
        <w:rPr>
          <w:rFonts w:hint="eastAsia" w:eastAsia="方正仿宋简体"/>
          <w:kern w:val="0"/>
          <w:sz w:val="30"/>
          <w:szCs w:val="30"/>
          <w:lang w:bidi="ar"/>
        </w:rPr>
      </w:pPr>
      <w:r>
        <w:rPr>
          <w:rFonts w:hint="eastAsia" w:eastAsia="方正仿宋简体"/>
          <w:kern w:val="0"/>
          <w:sz w:val="30"/>
          <w:szCs w:val="30"/>
          <w:lang w:bidi="ar"/>
        </w:rPr>
        <w:t>3.供方应保证其分包商也遵守本技术要求的约定，对道路硬化等负完全责任。</w:t>
      </w:r>
    </w:p>
    <w:p>
      <w:pPr>
        <w:pStyle w:val="254"/>
        <w:numPr>
          <w:ilvl w:val="0"/>
          <w:numId w:val="0"/>
        </w:numPr>
        <w:ind w:firstLine="600" w:firstLineChars="200"/>
        <w:outlineLvl w:val="0"/>
        <w:rPr>
          <w:rFonts w:hint="default" w:ascii="黑体" w:hAnsi="黑体" w:eastAsia="黑体" w:cs="黑体"/>
          <w:b w:val="0"/>
          <w:bCs/>
          <w:color w:val="auto"/>
          <w:sz w:val="30"/>
          <w:szCs w:val="30"/>
        </w:rPr>
      </w:pPr>
      <w:bookmarkStart w:id="102" w:name="_Toc19491"/>
      <w:bookmarkStart w:id="103" w:name="_Toc23604"/>
      <w:bookmarkStart w:id="104" w:name="_Toc16055"/>
      <w:r>
        <w:rPr>
          <w:rFonts w:ascii="黑体" w:hAnsi="黑体" w:eastAsia="黑体" w:cs="黑体"/>
          <w:b w:val="0"/>
          <w:bCs/>
          <w:color w:val="auto"/>
          <w:sz w:val="30"/>
          <w:szCs w:val="30"/>
        </w:rPr>
        <w:t>二、项目概述</w:t>
      </w:r>
      <w:bookmarkEnd w:id="102"/>
      <w:bookmarkEnd w:id="103"/>
      <w:bookmarkEnd w:id="104"/>
    </w:p>
    <w:p>
      <w:pPr>
        <w:spacing w:line="560" w:lineRule="exact"/>
        <w:ind w:firstLine="600" w:firstLineChars="200"/>
        <w:jc w:val="left"/>
        <w:rPr>
          <w:rFonts w:hint="eastAsia" w:eastAsia="方正仿宋简体"/>
          <w:kern w:val="0"/>
          <w:sz w:val="30"/>
          <w:szCs w:val="30"/>
          <w:lang w:bidi="ar"/>
        </w:rPr>
      </w:pPr>
      <w:r>
        <w:rPr>
          <w:rFonts w:hint="eastAsia" w:eastAsia="方正仿宋简体"/>
          <w:kern w:val="0"/>
          <w:sz w:val="30"/>
          <w:szCs w:val="30"/>
          <w:lang w:bidi="ar"/>
        </w:rPr>
        <w:t>哈密市和翔工贸有限责任公司吉郎德露天煤矿厂区内运煤道路硬化项目包括末煤储煤场东侧、块煤储煤场东侧、风化煤棚北侧、空车等待区两侧和进入空车等待区车道硬化，起到优化煤场车辆通行线路，增大车辆转弯半径，减少车辆路线冲突和运煤车辆轮胎磨损的作用，混凝土硬化厚度不低于280mm，含水稳和路沿石。</w:t>
      </w:r>
    </w:p>
    <w:p>
      <w:pPr>
        <w:pStyle w:val="254"/>
        <w:numPr>
          <w:ilvl w:val="0"/>
          <w:numId w:val="0"/>
        </w:numPr>
        <w:ind w:firstLine="600" w:firstLineChars="200"/>
        <w:outlineLvl w:val="0"/>
        <w:rPr>
          <w:rFonts w:hint="default" w:ascii="黑体" w:hAnsi="黑体" w:eastAsia="黑体" w:cs="黑体"/>
          <w:b w:val="0"/>
          <w:bCs/>
          <w:color w:val="auto"/>
          <w:sz w:val="30"/>
          <w:szCs w:val="30"/>
        </w:rPr>
      </w:pPr>
      <w:r>
        <w:rPr>
          <w:rFonts w:ascii="黑体" w:hAnsi="黑体" w:eastAsia="黑体" w:cs="黑体"/>
          <w:b w:val="0"/>
          <w:bCs/>
          <w:color w:val="auto"/>
          <w:sz w:val="30"/>
          <w:szCs w:val="30"/>
        </w:rPr>
        <w:t>三、遵循的规范、规定</w:t>
      </w:r>
    </w:p>
    <w:p>
      <w:pPr>
        <w:spacing w:line="560" w:lineRule="exact"/>
        <w:ind w:firstLine="600" w:firstLineChars="200"/>
        <w:jc w:val="left"/>
        <w:rPr>
          <w:rFonts w:eastAsia="方正仿宋简体"/>
          <w:kern w:val="0"/>
          <w:sz w:val="30"/>
          <w:szCs w:val="30"/>
          <w:lang w:bidi="ar"/>
        </w:rPr>
      </w:pPr>
      <w:r>
        <w:rPr>
          <w:rFonts w:hint="eastAsia" w:eastAsia="方正仿宋简体"/>
          <w:kern w:val="0"/>
          <w:sz w:val="30"/>
          <w:szCs w:val="30"/>
          <w:lang w:bidi="ar"/>
        </w:rPr>
        <w:t>1.《厂矿道路设计规范》（GBJ22-87）</w:t>
      </w:r>
    </w:p>
    <w:p>
      <w:pPr>
        <w:spacing w:line="560" w:lineRule="exact"/>
        <w:ind w:firstLine="600" w:firstLineChars="200"/>
        <w:jc w:val="left"/>
        <w:rPr>
          <w:rFonts w:eastAsia="方正仿宋简体"/>
          <w:kern w:val="0"/>
          <w:sz w:val="30"/>
          <w:szCs w:val="30"/>
          <w:lang w:bidi="ar"/>
        </w:rPr>
      </w:pPr>
      <w:r>
        <w:rPr>
          <w:rFonts w:hint="eastAsia" w:eastAsia="方正仿宋简体"/>
          <w:kern w:val="0"/>
          <w:sz w:val="30"/>
          <w:szCs w:val="30"/>
          <w:lang w:bidi="ar"/>
        </w:rPr>
        <w:t>2.《公路路线设计规范》（JTG D20-2017）；</w:t>
      </w:r>
    </w:p>
    <w:p>
      <w:pPr>
        <w:spacing w:line="560" w:lineRule="exact"/>
        <w:ind w:firstLine="600" w:firstLineChars="200"/>
        <w:jc w:val="left"/>
        <w:rPr>
          <w:rFonts w:eastAsia="方正仿宋简体"/>
          <w:kern w:val="0"/>
          <w:sz w:val="30"/>
          <w:szCs w:val="30"/>
          <w:lang w:bidi="ar"/>
        </w:rPr>
      </w:pPr>
      <w:r>
        <w:rPr>
          <w:rFonts w:hint="eastAsia" w:eastAsia="方正仿宋简体"/>
          <w:kern w:val="0"/>
          <w:sz w:val="30"/>
          <w:szCs w:val="30"/>
          <w:lang w:bidi="ar"/>
        </w:rPr>
        <w:t>3.《公路工程技术标准》（JTG B01-2014）；</w:t>
      </w:r>
    </w:p>
    <w:p>
      <w:pPr>
        <w:spacing w:line="560" w:lineRule="exact"/>
        <w:ind w:firstLine="600" w:firstLineChars="200"/>
        <w:jc w:val="left"/>
        <w:rPr>
          <w:rFonts w:eastAsia="方正仿宋简体"/>
          <w:kern w:val="0"/>
          <w:sz w:val="30"/>
          <w:szCs w:val="30"/>
          <w:lang w:bidi="ar"/>
        </w:rPr>
      </w:pPr>
      <w:r>
        <w:rPr>
          <w:rFonts w:hint="eastAsia" w:eastAsia="方正仿宋简体"/>
          <w:kern w:val="0"/>
          <w:sz w:val="30"/>
          <w:szCs w:val="30"/>
          <w:lang w:bidi="ar"/>
        </w:rPr>
        <w:t>4.《公路路基设计规范》（JTG D30-2015）；</w:t>
      </w:r>
    </w:p>
    <w:p>
      <w:pPr>
        <w:spacing w:line="560" w:lineRule="exact"/>
        <w:ind w:firstLine="600" w:firstLineChars="200"/>
        <w:jc w:val="left"/>
        <w:rPr>
          <w:rFonts w:eastAsia="方正仿宋简体"/>
          <w:kern w:val="0"/>
          <w:sz w:val="30"/>
          <w:szCs w:val="30"/>
          <w:lang w:bidi="ar"/>
        </w:rPr>
      </w:pPr>
      <w:r>
        <w:rPr>
          <w:rFonts w:hint="eastAsia" w:eastAsia="方正仿宋简体"/>
          <w:kern w:val="0"/>
          <w:sz w:val="30"/>
          <w:szCs w:val="30"/>
          <w:lang w:bidi="ar"/>
        </w:rPr>
        <w:t>5.《公路水泥混凝土路面设计规范》（JTG D40-2011）；</w:t>
      </w:r>
    </w:p>
    <w:p>
      <w:pPr>
        <w:spacing w:line="560" w:lineRule="exact"/>
        <w:ind w:firstLine="600" w:firstLineChars="200"/>
        <w:jc w:val="left"/>
        <w:rPr>
          <w:rFonts w:eastAsia="方正仿宋简体"/>
          <w:kern w:val="0"/>
          <w:sz w:val="30"/>
          <w:szCs w:val="30"/>
          <w:lang w:bidi="ar"/>
        </w:rPr>
      </w:pPr>
      <w:r>
        <w:rPr>
          <w:rFonts w:hint="eastAsia" w:eastAsia="方正仿宋简体"/>
          <w:kern w:val="0"/>
          <w:sz w:val="30"/>
          <w:szCs w:val="30"/>
          <w:lang w:bidi="ar"/>
        </w:rPr>
        <w:t>6.《公路水泥混凝土路面施工技术细则》（JTG/T F30-2014）；</w:t>
      </w:r>
    </w:p>
    <w:p>
      <w:pPr>
        <w:spacing w:line="560" w:lineRule="exact"/>
        <w:ind w:firstLine="600" w:firstLineChars="200"/>
        <w:jc w:val="left"/>
        <w:rPr>
          <w:rFonts w:eastAsia="方正仿宋简体"/>
          <w:kern w:val="0"/>
          <w:sz w:val="30"/>
          <w:szCs w:val="30"/>
          <w:lang w:bidi="ar"/>
        </w:rPr>
      </w:pPr>
      <w:r>
        <w:rPr>
          <w:rFonts w:hint="eastAsia" w:eastAsia="方正仿宋简体"/>
          <w:kern w:val="0"/>
          <w:sz w:val="30"/>
          <w:szCs w:val="30"/>
          <w:lang w:bidi="ar"/>
        </w:rPr>
        <w:t>7.《公路路基施工技术规范》（JTG F10-2006）；</w:t>
      </w:r>
    </w:p>
    <w:p>
      <w:pPr>
        <w:spacing w:line="560" w:lineRule="exact"/>
        <w:ind w:firstLine="600" w:firstLineChars="200"/>
        <w:jc w:val="left"/>
        <w:rPr>
          <w:rFonts w:eastAsia="方正仿宋简体"/>
          <w:kern w:val="0"/>
          <w:sz w:val="30"/>
          <w:szCs w:val="30"/>
          <w:lang w:bidi="ar"/>
        </w:rPr>
      </w:pPr>
      <w:r>
        <w:rPr>
          <w:rFonts w:hint="eastAsia" w:eastAsia="方正仿宋简体"/>
          <w:kern w:val="0"/>
          <w:sz w:val="30"/>
          <w:szCs w:val="30"/>
          <w:lang w:bidi="ar"/>
        </w:rPr>
        <w:t>8.《公路路面基层施工技术细则》（JTG/T F20-2015）；</w:t>
      </w:r>
    </w:p>
    <w:p>
      <w:pPr>
        <w:spacing w:line="560" w:lineRule="exact"/>
        <w:ind w:firstLine="600" w:firstLineChars="200"/>
        <w:jc w:val="left"/>
        <w:rPr>
          <w:rFonts w:eastAsia="仿宋"/>
          <w:bCs/>
          <w:sz w:val="32"/>
        </w:rPr>
      </w:pPr>
      <w:r>
        <w:rPr>
          <w:rFonts w:hint="eastAsia" w:eastAsia="方正仿宋简体"/>
          <w:kern w:val="0"/>
          <w:sz w:val="30"/>
          <w:szCs w:val="30"/>
          <w:lang w:bidi="ar"/>
        </w:rPr>
        <w:t>9.《建筑结构可靠度设计统一标准》   （GB50068-2001）</w:t>
      </w:r>
    </w:p>
    <w:p>
      <w:pPr>
        <w:pStyle w:val="254"/>
        <w:numPr>
          <w:ilvl w:val="0"/>
          <w:numId w:val="0"/>
        </w:numPr>
        <w:ind w:firstLine="600" w:firstLineChars="200"/>
        <w:outlineLvl w:val="0"/>
        <w:rPr>
          <w:rFonts w:hint="default" w:ascii="黑体" w:hAnsi="黑体" w:eastAsia="黑体" w:cs="黑体"/>
          <w:b w:val="0"/>
          <w:bCs/>
          <w:color w:val="auto"/>
          <w:sz w:val="30"/>
          <w:szCs w:val="30"/>
        </w:rPr>
      </w:pPr>
      <w:r>
        <w:rPr>
          <w:rFonts w:ascii="黑体" w:hAnsi="黑体" w:eastAsia="黑体" w:cs="黑体"/>
          <w:b w:val="0"/>
          <w:bCs/>
          <w:color w:val="auto"/>
          <w:sz w:val="30"/>
          <w:szCs w:val="30"/>
        </w:rPr>
        <w:t>四、</w:t>
      </w:r>
      <w:r>
        <w:rPr>
          <w:rFonts w:hint="default" w:ascii="黑体" w:hAnsi="黑体" w:eastAsia="黑体" w:cs="黑体"/>
          <w:b w:val="0"/>
          <w:bCs/>
          <w:color w:val="auto"/>
          <w:sz w:val="30"/>
          <w:szCs w:val="30"/>
        </w:rPr>
        <w:t>工程量</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906"/>
        <w:gridCol w:w="4571"/>
        <w:gridCol w:w="1080"/>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exact"/>
          <w:jc w:val="center"/>
        </w:trPr>
        <w:tc>
          <w:tcPr>
            <w:tcW w:w="714" w:type="dxa"/>
            <w:noWrap w:val="0"/>
            <w:vAlign w:val="center"/>
          </w:tcPr>
          <w:p>
            <w:pPr>
              <w:spacing w:line="560" w:lineRule="exact"/>
              <w:jc w:val="center"/>
              <w:rPr>
                <w:rFonts w:eastAsia="方正仿宋简体"/>
                <w:sz w:val="30"/>
                <w:szCs w:val="30"/>
              </w:rPr>
            </w:pPr>
            <w:r>
              <w:rPr>
                <w:rFonts w:eastAsia="方正仿宋简体"/>
                <w:sz w:val="30"/>
                <w:szCs w:val="30"/>
              </w:rPr>
              <w:t>序号</w:t>
            </w:r>
          </w:p>
        </w:tc>
        <w:tc>
          <w:tcPr>
            <w:tcW w:w="906" w:type="dxa"/>
            <w:noWrap w:val="0"/>
            <w:vAlign w:val="center"/>
          </w:tcPr>
          <w:p>
            <w:pPr>
              <w:spacing w:line="560" w:lineRule="exact"/>
              <w:jc w:val="center"/>
              <w:rPr>
                <w:rFonts w:eastAsia="方正仿宋简体"/>
                <w:sz w:val="30"/>
                <w:szCs w:val="30"/>
              </w:rPr>
            </w:pPr>
            <w:r>
              <w:rPr>
                <w:rFonts w:eastAsia="方正仿宋简体"/>
                <w:sz w:val="30"/>
                <w:szCs w:val="30"/>
              </w:rPr>
              <w:t>名称</w:t>
            </w:r>
          </w:p>
        </w:tc>
        <w:tc>
          <w:tcPr>
            <w:tcW w:w="4571" w:type="dxa"/>
            <w:noWrap w:val="0"/>
            <w:vAlign w:val="center"/>
          </w:tcPr>
          <w:p>
            <w:pPr>
              <w:spacing w:line="560" w:lineRule="exact"/>
              <w:jc w:val="center"/>
              <w:rPr>
                <w:rFonts w:eastAsia="方正仿宋简体"/>
                <w:sz w:val="30"/>
                <w:szCs w:val="30"/>
              </w:rPr>
            </w:pPr>
            <w:r>
              <w:rPr>
                <w:rFonts w:eastAsia="方正仿宋简体"/>
                <w:sz w:val="30"/>
                <w:szCs w:val="30"/>
              </w:rPr>
              <w:t>技术要求</w:t>
            </w:r>
          </w:p>
        </w:tc>
        <w:tc>
          <w:tcPr>
            <w:tcW w:w="1080" w:type="dxa"/>
            <w:noWrap w:val="0"/>
            <w:vAlign w:val="center"/>
          </w:tcPr>
          <w:p>
            <w:pPr>
              <w:spacing w:line="560" w:lineRule="exact"/>
              <w:jc w:val="center"/>
              <w:rPr>
                <w:rFonts w:eastAsia="方正仿宋简体"/>
                <w:sz w:val="30"/>
                <w:szCs w:val="30"/>
              </w:rPr>
            </w:pPr>
            <w:r>
              <w:rPr>
                <w:rFonts w:eastAsia="方正仿宋简体"/>
                <w:sz w:val="30"/>
                <w:szCs w:val="30"/>
              </w:rPr>
              <w:t>面积（㎡）</w:t>
            </w:r>
          </w:p>
        </w:tc>
        <w:tc>
          <w:tcPr>
            <w:tcW w:w="1610" w:type="dxa"/>
            <w:noWrap w:val="0"/>
            <w:vAlign w:val="center"/>
          </w:tcPr>
          <w:p>
            <w:pPr>
              <w:spacing w:line="560" w:lineRule="exact"/>
              <w:ind w:firstLine="600" w:firstLineChars="200"/>
              <w:rPr>
                <w:rFonts w:eastAsia="方正仿宋简体"/>
                <w:sz w:val="30"/>
                <w:szCs w:val="30"/>
              </w:rPr>
            </w:pPr>
            <w:r>
              <w:rPr>
                <w:rFonts w:eastAsia="方正仿宋简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8" w:hRule="exact"/>
          <w:jc w:val="center"/>
        </w:trPr>
        <w:tc>
          <w:tcPr>
            <w:tcW w:w="714" w:type="dxa"/>
            <w:noWrap w:val="0"/>
            <w:vAlign w:val="center"/>
          </w:tcPr>
          <w:p>
            <w:pPr>
              <w:spacing w:line="400" w:lineRule="exact"/>
              <w:ind w:firstLine="420" w:firstLineChars="200"/>
              <w:jc w:val="center"/>
              <w:rPr>
                <w:rFonts w:eastAsia="方正仿宋简体"/>
                <w:szCs w:val="21"/>
              </w:rPr>
            </w:pPr>
            <w:r>
              <w:rPr>
                <w:rFonts w:eastAsia="方正仿宋简体"/>
                <w:szCs w:val="21"/>
              </w:rPr>
              <w:t>1</w:t>
            </w:r>
          </w:p>
        </w:tc>
        <w:tc>
          <w:tcPr>
            <w:tcW w:w="906" w:type="dxa"/>
            <w:noWrap w:val="0"/>
            <w:vAlign w:val="center"/>
          </w:tcPr>
          <w:p>
            <w:pPr>
              <w:spacing w:line="400" w:lineRule="exact"/>
              <w:rPr>
                <w:rFonts w:eastAsia="方正仿宋简体"/>
                <w:szCs w:val="21"/>
              </w:rPr>
            </w:pPr>
            <w:r>
              <w:rPr>
                <w:rFonts w:eastAsia="方正仿宋简体"/>
                <w:szCs w:val="21"/>
              </w:rPr>
              <w:t>地面硬化</w:t>
            </w:r>
          </w:p>
        </w:tc>
        <w:tc>
          <w:tcPr>
            <w:tcW w:w="4571" w:type="dxa"/>
            <w:noWrap w:val="0"/>
            <w:vAlign w:val="center"/>
          </w:tcPr>
          <w:p>
            <w:pPr>
              <w:spacing w:line="400" w:lineRule="exact"/>
              <w:rPr>
                <w:rFonts w:eastAsia="方正仿宋简体"/>
                <w:szCs w:val="21"/>
              </w:rPr>
            </w:pPr>
            <w:r>
              <w:rPr>
                <w:rFonts w:eastAsia="方正仿宋简体"/>
                <w:szCs w:val="21"/>
              </w:rPr>
              <w:t>素土夯实，路面采用混凝土路面。其做法为：基底夯实、20.0cm厚天然级配戈壁砾石（压实度＞0.96）、20.0cm厚水泥稳定戈壁砾石（压实度＞0.98）、28.0cm厚C35混凝土路面，按照规范设置胀缝及沉降缝，两侧安装路沿石。</w:t>
            </w:r>
          </w:p>
        </w:tc>
        <w:tc>
          <w:tcPr>
            <w:tcW w:w="1080" w:type="dxa"/>
            <w:noWrap w:val="0"/>
            <w:vAlign w:val="center"/>
          </w:tcPr>
          <w:p>
            <w:pPr>
              <w:spacing w:line="400" w:lineRule="exact"/>
              <w:rPr>
                <w:rFonts w:eastAsia="方正仿宋简体"/>
                <w:szCs w:val="21"/>
              </w:rPr>
            </w:pPr>
            <w:r>
              <w:rPr>
                <w:rFonts w:hint="eastAsia" w:eastAsia="方正仿宋简体"/>
                <w:szCs w:val="21"/>
              </w:rPr>
              <w:t>3</w:t>
            </w:r>
            <w:r>
              <w:rPr>
                <w:rFonts w:hint="eastAsia" w:eastAsia="方正仿宋简体"/>
                <w:szCs w:val="21"/>
                <w:lang w:val="en-US" w:eastAsia="zh-CN"/>
              </w:rPr>
              <w:t>877</w:t>
            </w:r>
            <w:r>
              <w:rPr>
                <w:rFonts w:eastAsia="方正仿宋简体"/>
                <w:szCs w:val="21"/>
              </w:rPr>
              <w:t>.4</w:t>
            </w:r>
          </w:p>
        </w:tc>
        <w:tc>
          <w:tcPr>
            <w:tcW w:w="1610" w:type="dxa"/>
            <w:noWrap w:val="0"/>
            <w:vAlign w:val="center"/>
          </w:tcPr>
          <w:p>
            <w:pPr>
              <w:spacing w:line="400" w:lineRule="exact"/>
              <w:rPr>
                <w:rFonts w:eastAsia="方正仿宋简体"/>
                <w:szCs w:val="21"/>
              </w:rPr>
            </w:pPr>
            <w:r>
              <w:rPr>
                <w:rFonts w:eastAsia="方正仿宋简体"/>
                <w:szCs w:val="21"/>
              </w:rPr>
              <w:t>块煤储煤场东侧、风化煤棚北侧、空车等待区两侧和进入空车等待区车道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exact"/>
          <w:jc w:val="center"/>
        </w:trPr>
        <w:tc>
          <w:tcPr>
            <w:tcW w:w="714" w:type="dxa"/>
            <w:noWrap w:val="0"/>
            <w:vAlign w:val="center"/>
          </w:tcPr>
          <w:p>
            <w:pPr>
              <w:spacing w:line="400" w:lineRule="exact"/>
              <w:ind w:firstLine="420" w:firstLineChars="200"/>
              <w:jc w:val="center"/>
              <w:rPr>
                <w:rFonts w:eastAsia="方正仿宋简体"/>
                <w:szCs w:val="21"/>
              </w:rPr>
            </w:pPr>
            <w:r>
              <w:rPr>
                <w:rFonts w:eastAsia="方正仿宋简体"/>
                <w:szCs w:val="21"/>
              </w:rPr>
              <w:t>2</w:t>
            </w:r>
          </w:p>
        </w:tc>
        <w:tc>
          <w:tcPr>
            <w:tcW w:w="906" w:type="dxa"/>
            <w:noWrap w:val="0"/>
            <w:vAlign w:val="center"/>
          </w:tcPr>
          <w:p>
            <w:pPr>
              <w:spacing w:line="400" w:lineRule="exact"/>
              <w:rPr>
                <w:rFonts w:eastAsia="方正仿宋简体"/>
                <w:szCs w:val="21"/>
              </w:rPr>
            </w:pPr>
            <w:r>
              <w:rPr>
                <w:rFonts w:eastAsia="方正仿宋简体"/>
                <w:szCs w:val="21"/>
              </w:rPr>
              <w:t>厂区道路硬化</w:t>
            </w:r>
          </w:p>
        </w:tc>
        <w:tc>
          <w:tcPr>
            <w:tcW w:w="4571" w:type="dxa"/>
            <w:noWrap w:val="0"/>
            <w:vAlign w:val="center"/>
          </w:tcPr>
          <w:p>
            <w:pPr>
              <w:spacing w:line="400" w:lineRule="exact"/>
              <w:rPr>
                <w:rFonts w:eastAsia="方正仿宋简体"/>
                <w:szCs w:val="21"/>
              </w:rPr>
            </w:pPr>
            <w:r>
              <w:rPr>
                <w:rFonts w:eastAsia="方正仿宋简体"/>
                <w:szCs w:val="21"/>
              </w:rPr>
              <w:t>道路宽7.0米，路面采用混凝土路面。其做法为：基底夯实、20.0cm厚天然级配戈壁砾石（压实度＞0.96）、20.0cm厚水泥稳定戈壁砾石（压实度＞0.98）、28.0cm厚C35混凝土路面，两侧安装路沿石。</w:t>
            </w:r>
          </w:p>
        </w:tc>
        <w:tc>
          <w:tcPr>
            <w:tcW w:w="1080" w:type="dxa"/>
            <w:noWrap w:val="0"/>
            <w:vAlign w:val="center"/>
          </w:tcPr>
          <w:p>
            <w:pPr>
              <w:spacing w:line="400" w:lineRule="exact"/>
              <w:rPr>
                <w:rFonts w:eastAsia="方正仿宋简体"/>
                <w:szCs w:val="21"/>
              </w:rPr>
            </w:pPr>
            <w:r>
              <w:rPr>
                <w:rFonts w:eastAsia="方正仿宋简体"/>
                <w:szCs w:val="21"/>
              </w:rPr>
              <w:t>1</w:t>
            </w:r>
            <w:r>
              <w:rPr>
                <w:rFonts w:hint="eastAsia" w:eastAsia="方正仿宋简体"/>
                <w:szCs w:val="21"/>
                <w:lang w:val="en-US" w:eastAsia="zh-CN"/>
              </w:rPr>
              <w:t>502</w:t>
            </w:r>
            <w:r>
              <w:rPr>
                <w:rFonts w:eastAsia="方正仿宋简体"/>
                <w:szCs w:val="21"/>
              </w:rPr>
              <w:t>.6</w:t>
            </w:r>
          </w:p>
        </w:tc>
        <w:tc>
          <w:tcPr>
            <w:tcW w:w="1610" w:type="dxa"/>
            <w:noWrap w:val="0"/>
            <w:vAlign w:val="center"/>
          </w:tcPr>
          <w:p>
            <w:pPr>
              <w:spacing w:line="400" w:lineRule="exact"/>
              <w:rPr>
                <w:rFonts w:eastAsia="方正仿宋简体"/>
                <w:szCs w:val="21"/>
              </w:rPr>
            </w:pPr>
            <w:r>
              <w:rPr>
                <w:rFonts w:eastAsia="方正仿宋简体"/>
                <w:szCs w:val="21"/>
              </w:rPr>
              <w:t>末煤储煤场东侧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exact"/>
          <w:jc w:val="center"/>
        </w:trPr>
        <w:tc>
          <w:tcPr>
            <w:tcW w:w="714" w:type="dxa"/>
            <w:noWrap w:val="0"/>
            <w:vAlign w:val="center"/>
          </w:tcPr>
          <w:p>
            <w:pPr>
              <w:spacing w:line="400" w:lineRule="exact"/>
              <w:ind w:firstLine="420" w:firstLineChars="200"/>
              <w:jc w:val="center"/>
              <w:rPr>
                <w:rFonts w:eastAsia="方正仿宋简体"/>
                <w:szCs w:val="21"/>
              </w:rPr>
            </w:pPr>
            <w:r>
              <w:rPr>
                <w:rFonts w:eastAsia="方正仿宋简体"/>
                <w:szCs w:val="21"/>
              </w:rPr>
              <w:t>3</w:t>
            </w:r>
          </w:p>
        </w:tc>
        <w:tc>
          <w:tcPr>
            <w:tcW w:w="906" w:type="dxa"/>
            <w:noWrap w:val="0"/>
            <w:vAlign w:val="center"/>
          </w:tcPr>
          <w:p>
            <w:pPr>
              <w:spacing w:line="400" w:lineRule="exact"/>
              <w:rPr>
                <w:rFonts w:eastAsia="方正仿宋简体"/>
                <w:szCs w:val="21"/>
              </w:rPr>
            </w:pPr>
            <w:r>
              <w:rPr>
                <w:rFonts w:eastAsia="方正仿宋简体"/>
                <w:szCs w:val="21"/>
              </w:rPr>
              <w:t>戈壁料硬化</w:t>
            </w:r>
          </w:p>
        </w:tc>
        <w:tc>
          <w:tcPr>
            <w:tcW w:w="4571" w:type="dxa"/>
            <w:noWrap w:val="0"/>
            <w:vAlign w:val="center"/>
          </w:tcPr>
          <w:p>
            <w:pPr>
              <w:spacing w:line="400" w:lineRule="exact"/>
              <w:rPr>
                <w:rFonts w:eastAsia="方正仿宋简体"/>
                <w:szCs w:val="21"/>
              </w:rPr>
            </w:pPr>
            <w:r>
              <w:rPr>
                <w:rFonts w:eastAsia="方正仿宋简体"/>
                <w:szCs w:val="21"/>
              </w:rPr>
              <w:t>空车等待区转弯硬化每边各10.m，采用天然级配粒料，</w:t>
            </w:r>
            <w:r>
              <w:rPr>
                <w:rFonts w:hint="eastAsia" w:eastAsia="方正仿宋简体"/>
                <w:szCs w:val="21"/>
              </w:rPr>
              <w:t>厚度60.0cm，</w:t>
            </w:r>
            <w:r>
              <w:rPr>
                <w:rFonts w:eastAsia="方正仿宋简体"/>
                <w:szCs w:val="21"/>
              </w:rPr>
              <w:t>干净无杂物，压实度大于0.98，与混凝土硬化顺坡连接。</w:t>
            </w:r>
          </w:p>
        </w:tc>
        <w:tc>
          <w:tcPr>
            <w:tcW w:w="1080" w:type="dxa"/>
            <w:noWrap w:val="0"/>
            <w:vAlign w:val="center"/>
          </w:tcPr>
          <w:p>
            <w:pPr>
              <w:spacing w:line="400" w:lineRule="exact"/>
              <w:rPr>
                <w:rFonts w:hint="default" w:eastAsia="方正仿宋简体"/>
                <w:szCs w:val="21"/>
                <w:lang w:val="en-US" w:eastAsia="zh-CN"/>
              </w:rPr>
            </w:pPr>
            <w:r>
              <w:rPr>
                <w:rFonts w:eastAsia="方正仿宋简体"/>
                <w:szCs w:val="21"/>
              </w:rPr>
              <w:t>2</w:t>
            </w:r>
            <w:r>
              <w:rPr>
                <w:rFonts w:hint="eastAsia" w:eastAsia="方正仿宋简体"/>
                <w:szCs w:val="21"/>
                <w:lang w:val="en-US" w:eastAsia="zh-CN"/>
              </w:rPr>
              <w:t>520</w:t>
            </w:r>
          </w:p>
        </w:tc>
        <w:tc>
          <w:tcPr>
            <w:tcW w:w="1610" w:type="dxa"/>
            <w:noWrap w:val="0"/>
            <w:vAlign w:val="center"/>
          </w:tcPr>
          <w:p>
            <w:pPr>
              <w:spacing w:line="400" w:lineRule="exact"/>
              <w:rPr>
                <w:rFonts w:eastAsia="方正仿宋简体"/>
                <w:szCs w:val="21"/>
              </w:rPr>
            </w:pPr>
            <w:r>
              <w:rPr>
                <w:rFonts w:eastAsia="方正仿宋简体"/>
                <w:szCs w:val="21"/>
              </w:rPr>
              <w:t>空车等待区两侧</w:t>
            </w:r>
          </w:p>
        </w:tc>
      </w:tr>
    </w:tbl>
    <w:p>
      <w:pPr>
        <w:pStyle w:val="254"/>
        <w:numPr>
          <w:ilvl w:val="0"/>
          <w:numId w:val="0"/>
        </w:numPr>
        <w:ind w:firstLine="600" w:firstLineChars="200"/>
        <w:outlineLvl w:val="0"/>
        <w:rPr>
          <w:rFonts w:hint="default" w:ascii="黑体" w:hAnsi="黑体" w:eastAsia="黑体" w:cs="黑体"/>
          <w:b w:val="0"/>
          <w:bCs/>
          <w:color w:val="auto"/>
          <w:sz w:val="30"/>
          <w:szCs w:val="30"/>
        </w:rPr>
      </w:pPr>
      <w:r>
        <w:rPr>
          <w:rFonts w:ascii="黑体" w:hAnsi="黑体" w:eastAsia="黑体" w:cs="黑体"/>
          <w:b w:val="0"/>
          <w:bCs/>
          <w:color w:val="auto"/>
          <w:sz w:val="30"/>
          <w:szCs w:val="30"/>
        </w:rPr>
        <w:t>五、地面硬化一般</w:t>
      </w:r>
      <w:r>
        <w:rPr>
          <w:rFonts w:hint="default" w:ascii="黑体" w:hAnsi="黑体" w:eastAsia="黑体" w:cs="黑体"/>
          <w:b w:val="0"/>
          <w:bCs/>
          <w:color w:val="auto"/>
          <w:sz w:val="30"/>
          <w:szCs w:val="30"/>
        </w:rPr>
        <w:t>技术要求</w:t>
      </w:r>
    </w:p>
    <w:p>
      <w:pPr>
        <w:spacing w:line="560" w:lineRule="exact"/>
        <w:ind w:firstLine="600" w:firstLineChars="200"/>
        <w:jc w:val="left"/>
        <w:rPr>
          <w:rFonts w:eastAsia="方正仿宋简体"/>
          <w:sz w:val="30"/>
          <w:szCs w:val="30"/>
        </w:rPr>
      </w:pPr>
      <w:r>
        <w:rPr>
          <w:rFonts w:hint="eastAsia" w:eastAsia="方正仿宋简体"/>
          <w:sz w:val="30"/>
          <w:szCs w:val="30"/>
        </w:rPr>
        <w:t>1.基底</w:t>
      </w:r>
      <w:r>
        <w:rPr>
          <w:rFonts w:eastAsia="方正仿宋简体"/>
          <w:sz w:val="30"/>
          <w:szCs w:val="30"/>
        </w:rPr>
        <w:t>夯实（压实度不小于97%）；</w:t>
      </w:r>
      <w:r>
        <w:rPr>
          <w:rFonts w:hint="eastAsia" w:eastAsia="方正仿宋简体"/>
          <w:sz w:val="30"/>
          <w:szCs w:val="30"/>
        </w:rPr>
        <w:t>场区内产品煤汽车运输和设备维保车辆使用。本次场区道路设计采用公路型道路。场内道路为：车辆行驶道路路宽</w:t>
      </w:r>
      <w:r>
        <w:rPr>
          <w:rFonts w:eastAsia="方正仿宋简体"/>
          <w:sz w:val="30"/>
          <w:szCs w:val="30"/>
        </w:rPr>
        <w:t>7</w:t>
      </w:r>
      <w:r>
        <w:rPr>
          <w:rFonts w:hint="eastAsia" w:eastAsia="方正仿宋简体"/>
          <w:sz w:val="30"/>
          <w:szCs w:val="30"/>
        </w:rPr>
        <w:t>m，路面采用混凝土路面。其做法为：基底夯实、20.0cm厚天然级配戈壁砾石（压实度＞0.96）、20.0cm厚水泥稳定戈壁砾石（压实度＞0.98）、28.0cm厚C40混凝土路面，两侧安装路沿石。所有原材料需提供完整的合格证及检试验报告，水稳及混凝土需提供配合比，混凝土强度抗折系数不低于5.0。</w:t>
      </w:r>
    </w:p>
    <w:p>
      <w:pPr>
        <w:spacing w:line="560" w:lineRule="exact"/>
        <w:ind w:firstLine="600" w:firstLineChars="200"/>
        <w:jc w:val="left"/>
        <w:rPr>
          <w:rFonts w:eastAsia="方正仿宋简体"/>
          <w:sz w:val="30"/>
          <w:szCs w:val="30"/>
        </w:rPr>
      </w:pPr>
      <w:r>
        <w:rPr>
          <w:rFonts w:hint="eastAsia" w:eastAsia="方正仿宋简体"/>
          <w:sz w:val="30"/>
          <w:szCs w:val="30"/>
        </w:rPr>
        <w:t>2.</w:t>
      </w:r>
      <w:r>
        <w:rPr>
          <w:rFonts w:eastAsia="方正仿宋简体"/>
          <w:sz w:val="30"/>
          <w:szCs w:val="30"/>
        </w:rPr>
        <w:t>新硬化道路、场地与原有场地、道路在同一水平。</w:t>
      </w:r>
    </w:p>
    <w:p>
      <w:pPr>
        <w:spacing w:line="560" w:lineRule="exact"/>
        <w:ind w:firstLine="600" w:firstLineChars="200"/>
        <w:jc w:val="left"/>
        <w:rPr>
          <w:rFonts w:eastAsia="方正仿宋简体"/>
          <w:sz w:val="30"/>
          <w:szCs w:val="30"/>
        </w:rPr>
      </w:pPr>
      <w:r>
        <w:rPr>
          <w:rFonts w:hint="eastAsia" w:eastAsia="方正仿宋简体"/>
          <w:sz w:val="30"/>
          <w:szCs w:val="30"/>
        </w:rPr>
        <w:t>3.路线最大纵坡1.5%，最小坡度0.3%，雨水流向排水沟，沿场区现有状况设计。</w:t>
      </w:r>
    </w:p>
    <w:p>
      <w:pPr>
        <w:spacing w:line="560" w:lineRule="exact"/>
        <w:ind w:firstLine="600" w:firstLineChars="200"/>
        <w:jc w:val="left"/>
        <w:rPr>
          <w:rFonts w:eastAsia="方正仿宋简体"/>
          <w:sz w:val="30"/>
          <w:szCs w:val="30"/>
        </w:rPr>
      </w:pPr>
      <w:r>
        <w:rPr>
          <w:rFonts w:hint="eastAsia" w:eastAsia="方正仿宋简体"/>
          <w:sz w:val="30"/>
          <w:szCs w:val="30"/>
        </w:rPr>
        <w:t>4.应建立控制点精度为1mm的标段范围内的控制网，作好测量放线工作，并采取措施防止测量控制点因施工不慎被损坏。</w:t>
      </w:r>
    </w:p>
    <w:p>
      <w:pPr>
        <w:spacing w:line="560" w:lineRule="exact"/>
        <w:ind w:firstLine="600" w:firstLineChars="200"/>
        <w:jc w:val="left"/>
        <w:rPr>
          <w:rFonts w:eastAsia="方正仿宋简体"/>
          <w:sz w:val="30"/>
          <w:szCs w:val="30"/>
        </w:rPr>
      </w:pPr>
      <w:r>
        <w:rPr>
          <w:rFonts w:hint="eastAsia" w:eastAsia="方正仿宋简体"/>
          <w:sz w:val="30"/>
          <w:szCs w:val="30"/>
        </w:rPr>
        <w:t>5.对土建施工中使用的砂、石、水泥及钢筋等大宗材料严把质量关，不得将不合格的材料用于工程施工，在选择商品砼供应商时应征得发包方的认可（砼拌制方案须经过监理审批）。</w:t>
      </w:r>
    </w:p>
    <w:p>
      <w:pPr>
        <w:spacing w:line="560" w:lineRule="exact"/>
        <w:ind w:firstLine="600" w:firstLineChars="200"/>
        <w:jc w:val="left"/>
        <w:rPr>
          <w:rFonts w:eastAsia="方正仿宋简体"/>
          <w:sz w:val="30"/>
          <w:szCs w:val="30"/>
        </w:rPr>
      </w:pPr>
      <w:r>
        <w:rPr>
          <w:rFonts w:hint="eastAsia" w:eastAsia="方正仿宋简体"/>
          <w:sz w:val="30"/>
          <w:szCs w:val="30"/>
        </w:rPr>
        <w:t>6.空车等待区新硬化场地要与原有戈壁料硬化地面相结合，每边各10m的土方整平及硬化也在本合同中。</w:t>
      </w:r>
    </w:p>
    <w:p>
      <w:pPr>
        <w:spacing w:line="560" w:lineRule="exact"/>
        <w:ind w:firstLine="600" w:firstLineChars="200"/>
        <w:jc w:val="left"/>
        <w:rPr>
          <w:rFonts w:eastAsia="方正仿宋简体"/>
          <w:sz w:val="30"/>
          <w:szCs w:val="30"/>
        </w:rPr>
      </w:pPr>
      <w:r>
        <w:rPr>
          <w:rFonts w:hint="eastAsia" w:eastAsia="方正仿宋简体"/>
          <w:sz w:val="30"/>
          <w:szCs w:val="30"/>
        </w:rPr>
        <w:t>7.原有路灯电缆等硬化前需要穿管，应预留部分管道用于以后电缆施工。</w:t>
      </w:r>
    </w:p>
    <w:p>
      <w:pPr>
        <w:spacing w:line="560" w:lineRule="exact"/>
        <w:ind w:firstLine="600" w:firstLineChars="200"/>
        <w:jc w:val="left"/>
        <w:rPr>
          <w:rFonts w:eastAsia="方正仿宋简体"/>
          <w:sz w:val="30"/>
          <w:szCs w:val="30"/>
        </w:rPr>
      </w:pPr>
      <w:r>
        <w:rPr>
          <w:rFonts w:hint="eastAsia" w:eastAsia="方正仿宋简体"/>
          <w:sz w:val="30"/>
          <w:szCs w:val="30"/>
        </w:rPr>
        <w:t>8.本次硬化路基填料主要来源为外运戈壁料，在填筑过程中，松铺厚度应不大于50cm，填料最大粒径不超过压实厚度的2/3，路堤容许最大粒径为15cm,路床范围内填料粒径不得大于10cm，并需用重型震动压路机分层碾压。为了保证路基路面的整体稳定性， 路基压实度按《公路工程技术标准》（JTG B01-2014）中重型</w:t>
      </w:r>
      <w:r>
        <w:rPr>
          <w:rFonts w:hint="eastAsia" w:eastAsia="方正仿宋简体"/>
          <w:sz w:val="30"/>
          <w:szCs w:val="30"/>
          <w:lang w:eastAsia="zh-CN"/>
        </w:rPr>
        <w:t>压实</w:t>
      </w:r>
      <w:r>
        <w:rPr>
          <w:rFonts w:hint="eastAsia" w:eastAsia="方正仿宋简体"/>
          <w:sz w:val="30"/>
          <w:szCs w:val="30"/>
        </w:rPr>
        <w:t>标准执行。</w:t>
      </w:r>
    </w:p>
    <w:p>
      <w:pPr>
        <w:spacing w:line="560" w:lineRule="exact"/>
        <w:ind w:firstLine="600" w:firstLineChars="200"/>
        <w:jc w:val="left"/>
        <w:rPr>
          <w:rFonts w:hint="eastAsia" w:eastAsia="方正仿宋简体"/>
          <w:sz w:val="30"/>
          <w:szCs w:val="30"/>
        </w:rPr>
      </w:pPr>
      <w:r>
        <w:rPr>
          <w:rFonts w:hint="eastAsia" w:eastAsia="方正仿宋简体"/>
          <w:sz w:val="30"/>
          <w:szCs w:val="30"/>
        </w:rPr>
        <w:t>9.本项目采用水泥混凝土路面，以设计弯拉强度为设计指标计算路面各结构层厚度。</w:t>
      </w:r>
    </w:p>
    <w:p>
      <w:pPr>
        <w:tabs>
          <w:tab w:val="left" w:pos="312"/>
        </w:tabs>
        <w:spacing w:line="560" w:lineRule="exact"/>
        <w:jc w:val="left"/>
        <w:rPr>
          <w:rFonts w:eastAsia="方正仿宋简体"/>
          <w:sz w:val="30"/>
          <w:szCs w:val="30"/>
        </w:rPr>
      </w:pPr>
      <w:r>
        <w:rPr>
          <w:rFonts w:hint="eastAsia" w:eastAsia="方正仿宋简体"/>
          <w:sz w:val="30"/>
          <w:szCs w:val="30"/>
        </w:rPr>
        <w:t>设计采用标准轴载BZZ—100，设计使用年限10年，设计弯拉强度为5.0MPa.</w:t>
      </w:r>
    </w:p>
    <w:p>
      <w:pPr>
        <w:tabs>
          <w:tab w:val="left" w:pos="312"/>
        </w:tabs>
        <w:spacing w:line="560" w:lineRule="exact"/>
        <w:jc w:val="left"/>
        <w:rPr>
          <w:rFonts w:hint="eastAsia" w:eastAsia="方正仿宋简体"/>
          <w:sz w:val="30"/>
          <w:szCs w:val="30"/>
        </w:rPr>
      </w:pPr>
      <w:r>
        <w:rPr>
          <w:rFonts w:hint="eastAsia" w:eastAsia="方正仿宋简体"/>
          <w:sz w:val="30"/>
          <w:szCs w:val="30"/>
        </w:rPr>
        <w:t>混凝土硬化结构如下：</w:t>
      </w:r>
    </w:p>
    <w:p>
      <w:pPr>
        <w:tabs>
          <w:tab w:val="left" w:pos="312"/>
        </w:tabs>
        <w:spacing w:line="560" w:lineRule="exact"/>
        <w:jc w:val="left"/>
        <w:rPr>
          <w:rFonts w:hint="eastAsia" w:eastAsia="方正仿宋简体"/>
          <w:sz w:val="30"/>
          <w:szCs w:val="30"/>
        </w:rPr>
      </w:pPr>
      <w:r>
        <w:rPr>
          <w:rFonts w:hint="eastAsia" w:eastAsia="方正仿宋简体"/>
          <w:sz w:val="30"/>
          <w:szCs w:val="30"/>
        </w:rPr>
        <w:t>面  层：28cm水泥混凝土面板</w:t>
      </w:r>
    </w:p>
    <w:p>
      <w:pPr>
        <w:tabs>
          <w:tab w:val="left" w:pos="312"/>
        </w:tabs>
        <w:spacing w:line="560" w:lineRule="exact"/>
        <w:jc w:val="left"/>
        <w:rPr>
          <w:rFonts w:hint="eastAsia" w:eastAsia="方正仿宋简体"/>
          <w:sz w:val="30"/>
          <w:szCs w:val="30"/>
        </w:rPr>
      </w:pPr>
      <w:r>
        <w:rPr>
          <w:rFonts w:hint="eastAsia" w:eastAsia="方正仿宋简体"/>
          <w:sz w:val="30"/>
          <w:szCs w:val="30"/>
        </w:rPr>
        <w:t>基  层：20cm水泥稳定砂砾（5:95）</w:t>
      </w:r>
    </w:p>
    <w:p>
      <w:pPr>
        <w:tabs>
          <w:tab w:val="left" w:pos="312"/>
        </w:tabs>
        <w:spacing w:line="560" w:lineRule="exact"/>
        <w:jc w:val="left"/>
        <w:rPr>
          <w:rFonts w:hint="eastAsia" w:eastAsia="方正仿宋简体"/>
          <w:sz w:val="30"/>
          <w:szCs w:val="30"/>
        </w:rPr>
      </w:pPr>
      <w:r>
        <w:rPr>
          <w:rFonts w:hint="eastAsia" w:eastAsia="方正仿宋简体"/>
          <w:sz w:val="30"/>
          <w:szCs w:val="30"/>
        </w:rPr>
        <w:t>底基层：20cm 级配砂砾</w:t>
      </w:r>
    </w:p>
    <w:p>
      <w:pPr>
        <w:tabs>
          <w:tab w:val="left" w:pos="312"/>
        </w:tabs>
        <w:spacing w:line="560" w:lineRule="exact"/>
        <w:jc w:val="left"/>
        <w:rPr>
          <w:rFonts w:hint="eastAsia" w:eastAsia="方正仿宋简体"/>
          <w:sz w:val="30"/>
          <w:szCs w:val="30"/>
        </w:rPr>
      </w:pPr>
      <w:r>
        <w:rPr>
          <w:rFonts w:hint="eastAsia" w:eastAsia="方正仿宋简体"/>
          <w:sz w:val="30"/>
          <w:szCs w:val="30"/>
        </w:rPr>
        <w:t>路面总厚度68cm</w:t>
      </w:r>
    </w:p>
    <w:p>
      <w:pPr>
        <w:tabs>
          <w:tab w:val="left" w:pos="312"/>
        </w:tabs>
        <w:spacing w:line="560" w:lineRule="exact"/>
        <w:jc w:val="left"/>
        <w:rPr>
          <w:rFonts w:hint="eastAsia" w:eastAsia="方正仿宋简体"/>
          <w:sz w:val="30"/>
          <w:szCs w:val="30"/>
        </w:rPr>
      </w:pPr>
      <w:r>
        <w:rPr>
          <w:rFonts w:hint="eastAsia" w:eastAsia="方正仿宋简体"/>
          <w:sz w:val="30"/>
          <w:szCs w:val="30"/>
        </w:rPr>
        <w:t>路面各结构层材料回弹模量如下：</w:t>
      </w:r>
    </w:p>
    <w:p>
      <w:pPr>
        <w:tabs>
          <w:tab w:val="left" w:pos="312"/>
        </w:tabs>
        <w:spacing w:line="560" w:lineRule="exact"/>
        <w:jc w:val="left"/>
        <w:rPr>
          <w:rFonts w:hint="eastAsia" w:eastAsia="方正仿宋简体"/>
          <w:sz w:val="30"/>
          <w:szCs w:val="30"/>
        </w:rPr>
      </w:pPr>
      <w:r>
        <w:rPr>
          <w:rFonts w:hint="eastAsia" w:eastAsia="方正仿宋简体"/>
          <w:sz w:val="30"/>
          <w:szCs w:val="30"/>
        </w:rPr>
        <w:t>20cm水泥稳定砂砾（5:95）：1200Mpa</w:t>
      </w:r>
    </w:p>
    <w:p>
      <w:pPr>
        <w:tabs>
          <w:tab w:val="left" w:pos="312"/>
        </w:tabs>
        <w:spacing w:line="560" w:lineRule="exact"/>
        <w:jc w:val="left"/>
        <w:rPr>
          <w:rFonts w:eastAsia="方正仿宋简体"/>
          <w:sz w:val="30"/>
          <w:szCs w:val="30"/>
        </w:rPr>
      </w:pPr>
      <w:r>
        <w:rPr>
          <w:rFonts w:hint="eastAsia" w:eastAsia="方正仿宋简体"/>
          <w:sz w:val="30"/>
          <w:szCs w:val="30"/>
        </w:rPr>
        <w:t>20cm 级配砂砾：          200Mpa</w:t>
      </w:r>
    </w:p>
    <w:p>
      <w:pPr>
        <w:spacing w:line="560" w:lineRule="exact"/>
        <w:ind w:left="420" w:leftChars="200"/>
        <w:jc w:val="left"/>
        <w:rPr>
          <w:rFonts w:hint="eastAsia" w:eastAsia="方正仿宋简体"/>
          <w:sz w:val="30"/>
          <w:szCs w:val="30"/>
        </w:rPr>
      </w:pPr>
      <w:r>
        <w:rPr>
          <w:rFonts w:hint="eastAsia" w:eastAsia="方正仿宋简体"/>
          <w:sz w:val="30"/>
          <w:szCs w:val="30"/>
        </w:rPr>
        <w:t>10.纵向接缝</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（1）纵向接缝的布设应视路面宽度和施工铺筑宽度而定：一次铺筑宽度大于4.5m时，应在道路面板中部设置纵向施工缝，纵向施工缝采用平缝形式，上部应锯切槽口，深度为40mm，宽度为5mm，槽内灌塞填缝料。</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（2）拉杆</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拉杆采用螺纹钢筋，设在板厚中央，并对拉杆中部100mm范围内进行防锈处理，拉杆的直径、长度和距离分别为14mm×700mm×600mm。施工过程中，拉杆间距应按横向接缝的实际位置予以调整，最外侧的拉杆距横向接缝的距离不得小于100mm。</w:t>
      </w:r>
    </w:p>
    <w:p>
      <w:pPr>
        <w:spacing w:line="560" w:lineRule="exact"/>
        <w:ind w:firstLine="600" w:firstLineChars="200"/>
        <w:jc w:val="left"/>
        <w:rPr>
          <w:rFonts w:hint="eastAsia" w:eastAsia="方正仿宋简体"/>
          <w:sz w:val="30"/>
          <w:szCs w:val="30"/>
        </w:rPr>
      </w:pPr>
      <w:r>
        <w:rPr>
          <w:rFonts w:hint="eastAsia" w:eastAsia="方正仿宋简体"/>
          <w:sz w:val="30"/>
          <w:szCs w:val="30"/>
        </w:rPr>
        <w:t>11.横向接缝</w:t>
      </w:r>
    </w:p>
    <w:p>
      <w:pPr>
        <w:tabs>
          <w:tab w:val="left" w:pos="312"/>
        </w:tabs>
        <w:spacing w:line="560" w:lineRule="exact"/>
        <w:ind w:left="-360" w:firstLine="600" w:firstLineChars="200"/>
        <w:jc w:val="left"/>
        <w:rPr>
          <w:rFonts w:hint="eastAsia" w:eastAsia="方正仿宋简体"/>
          <w:sz w:val="30"/>
          <w:szCs w:val="30"/>
        </w:rPr>
      </w:pPr>
      <w:r>
        <w:rPr>
          <w:rFonts w:hint="eastAsia" w:eastAsia="方正仿宋简体"/>
          <w:sz w:val="30"/>
          <w:szCs w:val="30"/>
        </w:rPr>
        <w:t>（1）横向施工缝</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每日施工结束或因临时原因中断施工时，必须设置横向施工缝，其位置应选在缩缝或胀缝处。设在缩缝处的施工缝应采用加传力杆的平缝形式；设在胀缝处的施工缝，其构造与胀缝相同。</w:t>
      </w:r>
    </w:p>
    <w:p>
      <w:pPr>
        <w:tabs>
          <w:tab w:val="left" w:pos="312"/>
        </w:tabs>
        <w:spacing w:line="560" w:lineRule="exact"/>
        <w:ind w:left="-360" w:firstLine="600" w:firstLineChars="200"/>
        <w:jc w:val="left"/>
        <w:rPr>
          <w:rFonts w:hint="eastAsia" w:eastAsia="方正仿宋简体"/>
          <w:sz w:val="30"/>
          <w:szCs w:val="30"/>
        </w:rPr>
      </w:pPr>
      <w:r>
        <w:rPr>
          <w:rFonts w:hint="eastAsia" w:eastAsia="方正仿宋简体"/>
          <w:sz w:val="30"/>
          <w:szCs w:val="30"/>
        </w:rPr>
        <w:t>（2）横向缩缝</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 xml:space="preserve">横向缩缝一般为假缝型式，横向缩缝可等间距或变间距布置，采用假缝形式。本项目交通等级为重交通，除与胀缝相邻的三条横向缩缝采用设传力杆的假缝型式，其余缩缝均采用不设传力杆假缝形式。缩缝顶部应锯切槽口，设传力杆的假缝槽口宽度5mm，深度为80mm；不设传力杆假缝槽口宽度5mm，深度为50mm，槽内填塞填缝料。 </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（3）横向胀缝</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在邻近大门或其他固定的构造物处或与其他道路相交处应设置横向胀缝，胀缝宽20mm，缝内设置填缝板和可滑动的传力杆。</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（4）传力杆</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传力杆应采用光面钢筋，传力杆尺寸为直径32mm，长度450mm，间距300mm，最外侧传力杆距纵向接缝或自由边的距离为150～250mm。</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（5）填缝料</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胀缝接缝采用沥青纤维板作填料。</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（6）刻槽</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为保证水泥混凝土路面有足够的摩擦力,路面表面必须采用拉毛、拉槽、压槽或刻槽等方法筑做表面构造，刻槽间距建议12mm，槽间距最终通过试验段确定。 构造深度应满足下表要求。</w:t>
      </w:r>
    </w:p>
    <w:p>
      <w:pPr>
        <w:spacing w:line="560" w:lineRule="exact"/>
        <w:ind w:firstLine="600" w:firstLineChars="200"/>
        <w:jc w:val="left"/>
        <w:rPr>
          <w:rFonts w:hint="eastAsia" w:eastAsia="方正仿宋简体"/>
          <w:sz w:val="30"/>
          <w:szCs w:val="30"/>
        </w:rPr>
      </w:pPr>
      <w:r>
        <w:rPr>
          <w:rFonts w:hint="eastAsia" w:eastAsia="方正仿宋简体"/>
          <w:sz w:val="30"/>
          <w:szCs w:val="30"/>
        </w:rPr>
        <w:t>12.路面材料要求</w:t>
      </w:r>
    </w:p>
    <w:p>
      <w:pPr>
        <w:spacing w:line="560" w:lineRule="exact"/>
        <w:ind w:firstLine="600" w:firstLineChars="200"/>
        <w:jc w:val="left"/>
        <w:rPr>
          <w:rFonts w:hint="eastAsia" w:eastAsia="方正仿宋简体"/>
          <w:sz w:val="30"/>
          <w:szCs w:val="30"/>
        </w:rPr>
      </w:pPr>
      <w:r>
        <w:rPr>
          <w:rFonts w:hint="eastAsia" w:eastAsia="方正仿宋简体"/>
          <w:sz w:val="30"/>
          <w:szCs w:val="30"/>
        </w:rPr>
        <w:t>（1）水泥</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宜采用旋窑硅酸盐水泥、普通硅酸盐水泥或旋窑道路硅酸盐水泥，水泥强度等级不小于42.5级，水泥用量不得小于300kg/m3，其技术要求应符合《公路水泥混凝土路面施工技术细则》（JTG/T F30-2014）的规定。</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（2）粗集料</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粗集料应质地坚硬、耐久、洁净，符合规定级配，最大粒径不应超过31.5mm(碎石)，或19.0mm（卵石），级别不低于Ⅱ级，其技术要求应符合《公路水泥混凝土路面施工技术细则》（JTG/T F30-2014）的规定。</w:t>
      </w:r>
    </w:p>
    <w:p>
      <w:pPr>
        <w:numPr>
          <w:ilvl w:val="0"/>
          <w:numId w:val="13"/>
        </w:num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细集料</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细集料应采用质地坚硬、洁净，符合规定级配、细度模数在2.5以上的河砂，砂的硅质含量不应低于25%。其技术要求应符合《公路水泥混凝土路面施工技术细则》（JTG/T F30-2014）的规定，级别应不低于II级。</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（4）钢筋</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水泥混凝土路面所用的传力杆、拉杆等钢筋应符合国家有关标准的技术要求。钢筋不得有裂纹、断伤、刻痕、表面油污和锈蚀。</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（5）接缝材料</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应选用能适应混凝土面板膨胀和收缩、施工时不变形、弹性复圆率高、耐久性好的胀缝板。其具体技术要求应符合《公路水泥混凝土路面施工技术细则》（JTG/T F30-2014）中表3.9.4的规定。</w:t>
      </w:r>
    </w:p>
    <w:p>
      <w:pPr>
        <w:tabs>
          <w:tab w:val="left" w:pos="312"/>
        </w:tabs>
        <w:spacing w:line="560" w:lineRule="exact"/>
        <w:ind w:firstLine="600" w:firstLineChars="200"/>
        <w:jc w:val="left"/>
        <w:rPr>
          <w:rFonts w:eastAsia="方正仿宋简体"/>
          <w:sz w:val="30"/>
          <w:szCs w:val="30"/>
        </w:rPr>
      </w:pPr>
      <w:r>
        <w:rPr>
          <w:rFonts w:hint="eastAsia" w:eastAsia="方正仿宋简体"/>
          <w:sz w:val="30"/>
          <w:szCs w:val="30"/>
        </w:rPr>
        <w:t>13.水泥稳定砂砾基层（水泥稳定戈壁砾石基层）</w:t>
      </w:r>
    </w:p>
    <w:p>
      <w:pPr>
        <w:tabs>
          <w:tab w:val="left" w:pos="312"/>
        </w:tabs>
        <w:spacing w:line="560" w:lineRule="exact"/>
        <w:ind w:firstLine="600" w:firstLineChars="200"/>
        <w:jc w:val="left"/>
        <w:rPr>
          <w:rFonts w:hint="eastAsia"/>
          <w:sz w:val="24"/>
        </w:rPr>
      </w:pPr>
      <w:r>
        <w:rPr>
          <w:rFonts w:hint="eastAsia" w:eastAsia="方正仿宋简体"/>
          <w:sz w:val="30"/>
          <w:szCs w:val="30"/>
        </w:rPr>
        <w:t>（1）基层应具备足够的强度和稳定性，路面基层采用水泥稳定砂砾结构。本着就地取材、因地制宜的原则，也可采用戈壁砾石代替砂砾，但戈壁砾石性质差异大，替代时材料指标不低于砂砾材料指标要求。基层采用骨架密实型混合料。</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（2）材料设计配合比及压实度</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设计水泥、砂砾配合比采用5:95，施工中应根据试验确定；基层压实度不小于97％。</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 xml:space="preserve">（3）砂砾（戈壁砾石）                                                                                                                                                                                                                                                                    </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压碎值不大于35％，最大粒径不大于31.5mm，级别不低于Ⅲ级。</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（4）水泥</w:t>
      </w:r>
    </w:p>
    <w:p>
      <w:pPr>
        <w:tabs>
          <w:tab w:val="left" w:pos="312"/>
        </w:tabs>
        <w:spacing w:line="560" w:lineRule="exact"/>
        <w:jc w:val="left"/>
        <w:rPr>
          <w:rFonts w:hint="eastAsia" w:eastAsia="方正仿宋简体"/>
          <w:sz w:val="30"/>
          <w:szCs w:val="30"/>
        </w:rPr>
      </w:pPr>
      <w:r>
        <w:rPr>
          <w:rFonts w:hint="eastAsia" w:eastAsia="方正仿宋简体"/>
          <w:sz w:val="30"/>
          <w:szCs w:val="30"/>
        </w:rPr>
        <w:t>采用普通硅酸盐水泥，所用水泥应符合国家技术标准的要求，初凝时间应大于3h，终凝时间应在6h以上。</w:t>
      </w:r>
    </w:p>
    <w:p>
      <w:pPr>
        <w:tabs>
          <w:tab w:val="left" w:pos="312"/>
        </w:tabs>
        <w:spacing w:line="560" w:lineRule="exact"/>
        <w:ind w:firstLine="600" w:firstLineChars="200"/>
        <w:jc w:val="left"/>
        <w:rPr>
          <w:rFonts w:eastAsia="方正仿宋简体"/>
          <w:sz w:val="30"/>
          <w:szCs w:val="30"/>
        </w:rPr>
      </w:pPr>
      <w:r>
        <w:rPr>
          <w:rFonts w:hint="eastAsia" w:eastAsia="方正仿宋简体"/>
          <w:sz w:val="30"/>
          <w:szCs w:val="30"/>
        </w:rPr>
        <w:t>14.级配砂砾底基层（级配戈壁砾石底基层）</w:t>
      </w:r>
    </w:p>
    <w:p>
      <w:pPr>
        <w:tabs>
          <w:tab w:val="left" w:pos="312"/>
        </w:tabs>
        <w:spacing w:line="560" w:lineRule="exact"/>
        <w:ind w:firstLine="600" w:firstLineChars="200"/>
        <w:jc w:val="left"/>
        <w:rPr>
          <w:rFonts w:eastAsia="方正仿宋简体"/>
          <w:sz w:val="30"/>
          <w:szCs w:val="30"/>
        </w:rPr>
      </w:pPr>
      <w:r>
        <w:rPr>
          <w:rFonts w:hint="eastAsia" w:eastAsia="方正仿宋简体"/>
          <w:sz w:val="30"/>
          <w:szCs w:val="30"/>
        </w:rPr>
        <w:t>级配砂砾底基层也可用级配戈壁砾石底基层代替，但材料性能指标不降低。</w:t>
      </w:r>
    </w:p>
    <w:p>
      <w:pPr>
        <w:tabs>
          <w:tab w:val="left" w:pos="312"/>
        </w:tabs>
        <w:spacing w:line="560" w:lineRule="exact"/>
        <w:ind w:firstLine="600" w:firstLineChars="200"/>
        <w:jc w:val="left"/>
        <w:rPr>
          <w:rFonts w:eastAsia="方正仿宋简体"/>
          <w:sz w:val="30"/>
          <w:szCs w:val="30"/>
        </w:rPr>
      </w:pPr>
      <w:r>
        <w:rPr>
          <w:rFonts w:hint="eastAsia" w:eastAsia="方正仿宋简体"/>
          <w:sz w:val="30"/>
          <w:szCs w:val="30"/>
        </w:rPr>
        <w:t>砾石单个颗粒的最大粒径应小于53</w:t>
      </w:r>
      <w:r>
        <w:rPr>
          <w:rFonts w:eastAsia="方正仿宋简体"/>
          <w:sz w:val="30"/>
          <w:szCs w:val="30"/>
        </w:rPr>
        <w:t>mm</w:t>
      </w:r>
      <w:r>
        <w:rPr>
          <w:rFonts w:hint="eastAsia" w:eastAsia="方正仿宋简体"/>
          <w:sz w:val="30"/>
          <w:szCs w:val="30"/>
        </w:rPr>
        <w:t>，压碎值不大于40％，最大粒径不大于31.5mm，级别不低于Ⅲ级。</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15.施工方法及注意事项</w:t>
      </w:r>
    </w:p>
    <w:p>
      <w:pPr>
        <w:tabs>
          <w:tab w:val="left" w:pos="312"/>
        </w:tabs>
        <w:spacing w:line="560" w:lineRule="exact"/>
        <w:ind w:firstLine="600" w:firstLineChars="200"/>
        <w:jc w:val="left"/>
        <w:rPr>
          <w:rFonts w:hint="eastAsia" w:eastAsia="方正仿宋简体"/>
          <w:sz w:val="30"/>
          <w:szCs w:val="30"/>
        </w:rPr>
      </w:pPr>
      <w:r>
        <w:rPr>
          <w:rFonts w:hint="eastAsia" w:eastAsia="方正仿宋简体"/>
          <w:sz w:val="30"/>
          <w:szCs w:val="30"/>
        </w:rPr>
        <w:t>路面的施工必须按设计要求，严格执行《公路路面基层施工技术细则》（JTG/T F20-2015）、《公路水泥混凝土路面施工技术细则》（JTG/T F30-2014）各条文，质量坚持标准应符合《公路工程质量检验评定标准》（JTG F80/1-2004）和有关施工规范的规定，设计推荐的配合比，仅供施工单位参考。</w:t>
      </w:r>
    </w:p>
    <w:p>
      <w:pPr>
        <w:pStyle w:val="254"/>
        <w:numPr>
          <w:ilvl w:val="0"/>
          <w:numId w:val="0"/>
        </w:numPr>
        <w:ind w:firstLine="600" w:firstLineChars="200"/>
        <w:outlineLvl w:val="0"/>
        <w:rPr>
          <w:rFonts w:ascii="黑体" w:hAnsi="黑体" w:eastAsia="黑体" w:cs="黑体"/>
          <w:b w:val="0"/>
          <w:bCs/>
          <w:color w:val="auto"/>
          <w:sz w:val="30"/>
          <w:szCs w:val="30"/>
        </w:rPr>
      </w:pPr>
      <w:r>
        <w:rPr>
          <w:rFonts w:ascii="黑体" w:hAnsi="黑体" w:eastAsia="黑体" w:cs="黑体"/>
          <w:b w:val="0"/>
          <w:bCs/>
          <w:color w:val="auto"/>
          <w:sz w:val="30"/>
          <w:szCs w:val="30"/>
        </w:rPr>
        <w:t>六、资质要求</w:t>
      </w:r>
    </w:p>
    <w:p>
      <w:pPr>
        <w:spacing w:line="560" w:lineRule="exact"/>
        <w:ind w:firstLine="600" w:firstLineChars="200"/>
        <w:jc w:val="left"/>
        <w:rPr>
          <w:rFonts w:hint="eastAsia" w:eastAsia="方正仿宋简体"/>
          <w:kern w:val="0"/>
          <w:sz w:val="30"/>
          <w:szCs w:val="30"/>
          <w:lang w:eastAsia="zh-CN" w:bidi="ar"/>
        </w:rPr>
      </w:pPr>
      <w:r>
        <w:rPr>
          <w:rFonts w:hint="eastAsia" w:eastAsia="方正仿宋简体"/>
          <w:kern w:val="0"/>
          <w:sz w:val="30"/>
          <w:szCs w:val="30"/>
          <w:lang w:bidi="ar"/>
        </w:rPr>
        <w:t>1.具有独立法人资格，有效营业执照</w:t>
      </w:r>
      <w:r>
        <w:rPr>
          <w:rFonts w:hint="eastAsia" w:eastAsia="方正仿宋简体"/>
          <w:kern w:val="0"/>
          <w:sz w:val="30"/>
          <w:szCs w:val="30"/>
          <w:lang w:eastAsia="zh-CN" w:bidi="ar"/>
        </w:rPr>
        <w:t>。</w:t>
      </w:r>
    </w:p>
    <w:p>
      <w:pPr>
        <w:spacing w:line="560" w:lineRule="exact"/>
        <w:ind w:firstLine="600" w:firstLineChars="200"/>
        <w:jc w:val="left"/>
        <w:rPr>
          <w:rFonts w:hint="eastAsia" w:eastAsia="方正仿宋简体"/>
          <w:kern w:val="0"/>
          <w:sz w:val="30"/>
          <w:szCs w:val="30"/>
          <w:lang w:bidi="ar"/>
        </w:rPr>
      </w:pPr>
      <w:r>
        <w:rPr>
          <w:rFonts w:hint="eastAsia" w:eastAsia="方正仿宋简体"/>
          <w:kern w:val="0"/>
          <w:sz w:val="30"/>
          <w:szCs w:val="30"/>
          <w:lang w:bidi="ar"/>
        </w:rPr>
        <w:t>2.近三年具有不少于3个同类型的项目业绩（提供合同证明）；</w:t>
      </w:r>
    </w:p>
    <w:p>
      <w:pPr>
        <w:spacing w:line="560" w:lineRule="exact"/>
        <w:ind w:firstLine="600" w:firstLineChars="200"/>
        <w:jc w:val="left"/>
        <w:rPr>
          <w:rFonts w:hint="eastAsia" w:eastAsia="方正仿宋简体"/>
          <w:kern w:val="0"/>
          <w:sz w:val="30"/>
          <w:szCs w:val="30"/>
          <w:lang w:bidi="ar"/>
        </w:rPr>
      </w:pPr>
      <w:r>
        <w:rPr>
          <w:rFonts w:hint="eastAsia" w:eastAsia="方正仿宋简体"/>
          <w:kern w:val="0"/>
          <w:sz w:val="30"/>
          <w:szCs w:val="30"/>
          <w:lang w:bidi="ar"/>
        </w:rPr>
        <w:t>3.近三年审计的财务报表；</w:t>
      </w:r>
    </w:p>
    <w:p>
      <w:pPr>
        <w:spacing w:line="560" w:lineRule="exact"/>
        <w:ind w:firstLine="600" w:firstLineChars="200"/>
        <w:jc w:val="left"/>
        <w:rPr>
          <w:rFonts w:hint="eastAsia" w:eastAsia="方正仿宋简体"/>
          <w:kern w:val="0"/>
          <w:sz w:val="30"/>
          <w:szCs w:val="30"/>
          <w:lang w:bidi="ar"/>
        </w:rPr>
      </w:pPr>
      <w:r>
        <w:rPr>
          <w:rFonts w:hint="eastAsia" w:eastAsia="方正仿宋简体"/>
          <w:kern w:val="0"/>
          <w:sz w:val="30"/>
          <w:szCs w:val="30"/>
          <w:lang w:bidi="ar"/>
        </w:rPr>
        <w:t>4.不接受联合体投标；</w:t>
      </w:r>
    </w:p>
    <w:p>
      <w:pPr>
        <w:spacing w:line="560" w:lineRule="exact"/>
        <w:ind w:firstLine="600" w:firstLineChars="200"/>
        <w:jc w:val="left"/>
        <w:rPr>
          <w:rFonts w:eastAsia="方正仿宋简体"/>
          <w:sz w:val="30"/>
          <w:szCs w:val="30"/>
        </w:rPr>
      </w:pPr>
      <w:r>
        <w:rPr>
          <w:rFonts w:hint="eastAsia" w:eastAsia="方正仿宋简体"/>
          <w:kern w:val="0"/>
          <w:sz w:val="30"/>
          <w:szCs w:val="30"/>
          <w:lang w:bidi="ar"/>
        </w:rPr>
        <w:t xml:space="preserve">5.报价单位具备建筑工程施工总承包叁级或以上资质（要求为在疆备案企业或承诺中标后办理在疆备案，满足在疆办理审图及后续施工办理相关手续要求），有效的安全生产许可证；  </w:t>
      </w:r>
      <w:r>
        <w:rPr>
          <w:rFonts w:hint="eastAsia" w:eastAsia="方正仿宋简体"/>
          <w:sz w:val="30"/>
          <w:szCs w:val="30"/>
        </w:rPr>
        <w:t xml:space="preserve">    </w:t>
      </w:r>
    </w:p>
    <w:p>
      <w:pPr>
        <w:pStyle w:val="254"/>
        <w:numPr>
          <w:ilvl w:val="0"/>
          <w:numId w:val="0"/>
        </w:numPr>
        <w:ind w:firstLine="600" w:firstLineChars="200"/>
        <w:outlineLvl w:val="0"/>
        <w:rPr>
          <w:rFonts w:hint="default" w:ascii="黑体" w:hAnsi="黑体" w:eastAsia="黑体" w:cs="黑体"/>
          <w:b w:val="0"/>
          <w:bCs/>
          <w:color w:val="auto"/>
          <w:sz w:val="30"/>
          <w:szCs w:val="30"/>
        </w:rPr>
      </w:pPr>
      <w:r>
        <w:rPr>
          <w:rFonts w:ascii="黑体" w:hAnsi="黑体" w:eastAsia="黑体" w:cs="黑体"/>
          <w:b w:val="0"/>
          <w:bCs/>
          <w:color w:val="auto"/>
          <w:sz w:val="30"/>
          <w:szCs w:val="30"/>
        </w:rPr>
        <w:t>七、</w:t>
      </w:r>
      <w:r>
        <w:rPr>
          <w:rFonts w:hint="default" w:ascii="黑体" w:hAnsi="黑体" w:eastAsia="黑体" w:cs="黑体"/>
          <w:b w:val="0"/>
          <w:bCs/>
          <w:color w:val="auto"/>
          <w:sz w:val="30"/>
          <w:szCs w:val="30"/>
        </w:rPr>
        <w:t>工期、质保期</w:t>
      </w:r>
    </w:p>
    <w:p>
      <w:pPr>
        <w:pStyle w:val="16"/>
        <w:spacing w:line="560" w:lineRule="exact"/>
        <w:ind w:firstLine="600"/>
        <w:rPr>
          <w:rFonts w:eastAsia="方正仿宋简体"/>
          <w:kern w:val="0"/>
          <w:sz w:val="30"/>
          <w:szCs w:val="30"/>
          <w:lang w:bidi="ar"/>
        </w:rPr>
      </w:pPr>
      <w:r>
        <w:rPr>
          <w:rFonts w:eastAsia="方正仿宋简体"/>
          <w:kern w:val="0"/>
          <w:sz w:val="30"/>
          <w:szCs w:val="30"/>
          <w:lang w:bidi="ar"/>
        </w:rPr>
        <w:t>工期：合同签订后60天。</w:t>
      </w:r>
    </w:p>
    <w:p>
      <w:pPr>
        <w:pStyle w:val="16"/>
        <w:spacing w:line="560" w:lineRule="exact"/>
        <w:ind w:firstLine="600"/>
        <w:rPr>
          <w:rFonts w:eastAsia="方正仿宋简体"/>
          <w:kern w:val="0"/>
          <w:sz w:val="30"/>
          <w:szCs w:val="30"/>
          <w:lang w:bidi="ar"/>
        </w:rPr>
      </w:pPr>
      <w:r>
        <w:rPr>
          <w:rFonts w:eastAsia="方正仿宋简体"/>
          <w:kern w:val="0"/>
          <w:sz w:val="30"/>
          <w:szCs w:val="30"/>
          <w:lang w:bidi="ar"/>
        </w:rPr>
        <w:t>以上时间包括人员进场、临设搭设、施工准备至验收合格。承包人必须采取一切有效措施保证竣工日期。</w:t>
      </w:r>
    </w:p>
    <w:p>
      <w:pPr>
        <w:pStyle w:val="16"/>
        <w:spacing w:line="560" w:lineRule="exact"/>
        <w:ind w:firstLine="600"/>
        <w:rPr>
          <w:rFonts w:eastAsia="方正仿宋简体"/>
          <w:kern w:val="0"/>
          <w:sz w:val="30"/>
          <w:szCs w:val="30"/>
          <w:lang w:bidi="ar"/>
        </w:rPr>
      </w:pPr>
      <w:r>
        <w:rPr>
          <w:rFonts w:eastAsia="方正仿宋简体"/>
          <w:kern w:val="0"/>
          <w:sz w:val="30"/>
          <w:szCs w:val="30"/>
          <w:lang w:bidi="ar"/>
        </w:rPr>
        <w:t>承包人需充分了解工程所在地的水、电供应情况及施工环境情况，发包人不考虑因为水、电供应及施工环境情况而给承包人经济补偿及顺延工期。</w:t>
      </w:r>
    </w:p>
    <w:p>
      <w:pPr>
        <w:pStyle w:val="16"/>
        <w:spacing w:line="560" w:lineRule="exact"/>
        <w:ind w:firstLine="600"/>
        <w:rPr>
          <w:rFonts w:hint="eastAsia" w:ascii="楷体" w:hAnsi="楷体" w:eastAsia="楷体" w:cs="楷体"/>
          <w:sz w:val="30"/>
          <w:szCs w:val="30"/>
        </w:rPr>
      </w:pPr>
      <w:r>
        <w:rPr>
          <w:rFonts w:eastAsia="方正仿宋简体"/>
          <w:kern w:val="0"/>
          <w:sz w:val="30"/>
          <w:szCs w:val="30"/>
          <w:lang w:bidi="ar"/>
        </w:rPr>
        <w:t>质保期</w:t>
      </w:r>
      <w:r>
        <w:rPr>
          <w:rFonts w:hint="eastAsia" w:eastAsia="方正仿宋简体"/>
          <w:kern w:val="0"/>
          <w:sz w:val="30"/>
          <w:szCs w:val="30"/>
          <w:lang w:bidi="ar"/>
        </w:rPr>
        <w:t>：</w:t>
      </w:r>
      <w:r>
        <w:rPr>
          <w:rFonts w:eastAsia="方正仿宋简体"/>
          <w:kern w:val="0"/>
          <w:sz w:val="30"/>
          <w:szCs w:val="30"/>
          <w:lang w:bidi="ar"/>
        </w:rPr>
        <w:t>12个月。</w:t>
      </w:r>
    </w:p>
    <w:p>
      <w:pPr>
        <w:pStyle w:val="254"/>
        <w:numPr>
          <w:ilvl w:val="0"/>
          <w:numId w:val="0"/>
        </w:numPr>
        <w:ind w:firstLine="600" w:firstLineChars="200"/>
        <w:outlineLvl w:val="0"/>
        <w:rPr>
          <w:rFonts w:hint="default" w:ascii="黑体" w:hAnsi="黑体" w:eastAsia="黑体" w:cs="黑体"/>
          <w:b w:val="0"/>
          <w:bCs/>
          <w:color w:val="auto"/>
          <w:sz w:val="30"/>
          <w:szCs w:val="30"/>
        </w:rPr>
      </w:pPr>
      <w:r>
        <w:rPr>
          <w:rFonts w:ascii="黑体" w:hAnsi="黑体" w:eastAsia="黑体" w:cs="黑体"/>
          <w:b w:val="0"/>
          <w:bCs/>
          <w:color w:val="auto"/>
          <w:sz w:val="30"/>
          <w:szCs w:val="30"/>
        </w:rPr>
        <w:t>八、</w:t>
      </w:r>
      <w:r>
        <w:rPr>
          <w:rFonts w:hint="default" w:ascii="黑体" w:hAnsi="黑体" w:eastAsia="黑体" w:cs="黑体"/>
          <w:b w:val="0"/>
          <w:bCs/>
          <w:color w:val="auto"/>
          <w:sz w:val="30"/>
          <w:szCs w:val="30"/>
        </w:rPr>
        <w:t>工程质量</w:t>
      </w:r>
    </w:p>
    <w:p>
      <w:pPr>
        <w:pStyle w:val="16"/>
        <w:spacing w:line="560" w:lineRule="exact"/>
        <w:ind w:firstLine="600"/>
        <w:rPr>
          <w:rFonts w:eastAsia="方正仿宋简体"/>
          <w:kern w:val="0"/>
          <w:sz w:val="30"/>
          <w:szCs w:val="30"/>
          <w:lang w:bidi="ar"/>
        </w:rPr>
      </w:pPr>
      <w:r>
        <w:rPr>
          <w:rFonts w:hint="eastAsia" w:eastAsia="方正仿宋简体"/>
          <w:kern w:val="0"/>
          <w:sz w:val="30"/>
          <w:szCs w:val="30"/>
          <w:lang w:bidi="ar"/>
        </w:rPr>
        <w:t>1.</w:t>
      </w:r>
      <w:r>
        <w:rPr>
          <w:rFonts w:eastAsia="方正仿宋简体"/>
          <w:kern w:val="0"/>
          <w:sz w:val="30"/>
          <w:szCs w:val="30"/>
          <w:lang w:bidi="ar"/>
        </w:rPr>
        <w:t>符合</w:t>
      </w:r>
      <w:r>
        <w:rPr>
          <w:rFonts w:hint="eastAsia" w:eastAsia="方正仿宋简体"/>
          <w:kern w:val="0"/>
          <w:sz w:val="30"/>
          <w:szCs w:val="30"/>
          <w:lang w:bidi="ar"/>
        </w:rPr>
        <w:t>地面硬化</w:t>
      </w:r>
      <w:r>
        <w:rPr>
          <w:rFonts w:eastAsia="方正仿宋简体"/>
          <w:kern w:val="0"/>
          <w:sz w:val="30"/>
          <w:szCs w:val="30"/>
          <w:lang w:bidi="ar"/>
        </w:rPr>
        <w:t>施工要求。</w:t>
      </w:r>
    </w:p>
    <w:p>
      <w:pPr>
        <w:pStyle w:val="16"/>
        <w:spacing w:line="560" w:lineRule="exact"/>
        <w:ind w:firstLine="600"/>
        <w:rPr>
          <w:rFonts w:eastAsia="方正仿宋简体"/>
          <w:kern w:val="0"/>
          <w:sz w:val="30"/>
          <w:szCs w:val="30"/>
          <w:lang w:bidi="ar"/>
        </w:rPr>
      </w:pPr>
      <w:r>
        <w:rPr>
          <w:rFonts w:hint="eastAsia" w:eastAsia="方正仿宋简体"/>
          <w:kern w:val="0"/>
          <w:sz w:val="30"/>
          <w:szCs w:val="30"/>
          <w:lang w:bidi="ar"/>
        </w:rPr>
        <w:t>2.</w:t>
      </w:r>
      <w:r>
        <w:rPr>
          <w:rFonts w:eastAsia="方正仿宋简体"/>
          <w:kern w:val="0"/>
          <w:sz w:val="30"/>
          <w:szCs w:val="30"/>
          <w:lang w:bidi="ar"/>
        </w:rPr>
        <w:t>满足技术方案要求。</w:t>
      </w:r>
    </w:p>
    <w:p>
      <w:pPr>
        <w:pStyle w:val="16"/>
        <w:spacing w:line="560" w:lineRule="exact"/>
        <w:ind w:firstLine="600"/>
        <w:rPr>
          <w:rFonts w:eastAsia="方正仿宋简体"/>
          <w:kern w:val="0"/>
          <w:sz w:val="30"/>
          <w:szCs w:val="30"/>
          <w:lang w:bidi="ar"/>
        </w:rPr>
      </w:pPr>
      <w:r>
        <w:rPr>
          <w:rFonts w:hint="eastAsia" w:eastAsia="方正仿宋简体"/>
          <w:kern w:val="0"/>
          <w:sz w:val="30"/>
          <w:szCs w:val="30"/>
          <w:lang w:bidi="ar"/>
        </w:rPr>
        <w:t>3.</w:t>
      </w:r>
      <w:r>
        <w:rPr>
          <w:rFonts w:eastAsia="方正仿宋简体"/>
          <w:kern w:val="0"/>
          <w:sz w:val="30"/>
          <w:szCs w:val="30"/>
          <w:lang w:bidi="ar"/>
        </w:rPr>
        <w:t>验收标准：</w:t>
      </w:r>
    </w:p>
    <w:p>
      <w:pPr>
        <w:pStyle w:val="16"/>
        <w:spacing w:line="560" w:lineRule="exact"/>
        <w:ind w:firstLine="600"/>
        <w:rPr>
          <w:rFonts w:eastAsia="方正仿宋简体"/>
          <w:kern w:val="0"/>
          <w:sz w:val="30"/>
          <w:szCs w:val="30"/>
          <w:lang w:bidi="ar"/>
        </w:rPr>
      </w:pPr>
      <w:r>
        <w:rPr>
          <w:rFonts w:eastAsia="方正仿宋简体"/>
          <w:kern w:val="0"/>
          <w:sz w:val="30"/>
          <w:szCs w:val="30"/>
          <w:lang w:bidi="ar"/>
        </w:rPr>
        <w:t>工程竣工验收以国家最新颁布的验收规范和质量检验标准、本工程施工图纸、技术说明文件、设计变更修改和现场签证等为依据。</w:t>
      </w:r>
    </w:p>
    <w:p>
      <w:pPr>
        <w:pStyle w:val="254"/>
        <w:numPr>
          <w:ilvl w:val="0"/>
          <w:numId w:val="0"/>
        </w:numPr>
        <w:ind w:firstLine="600" w:firstLineChars="200"/>
        <w:outlineLvl w:val="0"/>
        <w:rPr>
          <w:rFonts w:hint="default" w:ascii="黑体" w:hAnsi="黑体" w:eastAsia="黑体" w:cs="黑体"/>
          <w:b w:val="0"/>
          <w:bCs/>
          <w:color w:val="auto"/>
          <w:sz w:val="30"/>
          <w:szCs w:val="30"/>
        </w:rPr>
      </w:pPr>
      <w:r>
        <w:rPr>
          <w:rFonts w:ascii="黑体" w:hAnsi="黑体" w:eastAsia="黑体" w:cs="黑体"/>
          <w:b w:val="0"/>
          <w:bCs/>
          <w:color w:val="auto"/>
          <w:sz w:val="30"/>
          <w:szCs w:val="30"/>
        </w:rPr>
        <w:t>九、</w:t>
      </w:r>
      <w:r>
        <w:rPr>
          <w:rFonts w:hint="default" w:ascii="黑体" w:hAnsi="黑体" w:eastAsia="黑体" w:cs="黑体"/>
          <w:b w:val="0"/>
          <w:bCs/>
          <w:color w:val="auto"/>
          <w:sz w:val="30"/>
          <w:szCs w:val="30"/>
        </w:rPr>
        <w:t>施工安全</w:t>
      </w:r>
    </w:p>
    <w:p>
      <w:pPr>
        <w:pStyle w:val="16"/>
        <w:spacing w:line="560" w:lineRule="exact"/>
        <w:ind w:firstLine="600"/>
        <w:rPr>
          <w:rFonts w:eastAsia="方正仿宋简体"/>
          <w:kern w:val="0"/>
          <w:sz w:val="30"/>
          <w:szCs w:val="30"/>
          <w:lang w:bidi="ar"/>
        </w:rPr>
      </w:pPr>
      <w:r>
        <w:rPr>
          <w:rFonts w:hint="eastAsia" w:eastAsia="方正仿宋简体"/>
          <w:kern w:val="0"/>
          <w:sz w:val="30"/>
          <w:szCs w:val="30"/>
          <w:lang w:bidi="ar"/>
        </w:rPr>
        <w:t>1.</w:t>
      </w:r>
      <w:r>
        <w:rPr>
          <w:rFonts w:eastAsia="方正仿宋简体"/>
          <w:kern w:val="0"/>
          <w:sz w:val="30"/>
          <w:szCs w:val="30"/>
          <w:lang w:bidi="ar"/>
        </w:rPr>
        <w:t>施工时严格按施工组织设计中关于安全技术措施的要求组织施工，并遵守哈密市和翔工贸有限责任公司及</w:t>
      </w:r>
      <w:r>
        <w:rPr>
          <w:rFonts w:hint="eastAsia" w:eastAsia="方正仿宋简体"/>
          <w:kern w:val="0"/>
          <w:sz w:val="30"/>
          <w:szCs w:val="30"/>
          <w:lang w:bidi="ar"/>
        </w:rPr>
        <w:t>吉郎德</w:t>
      </w:r>
      <w:r>
        <w:rPr>
          <w:rFonts w:eastAsia="方正仿宋简体"/>
          <w:kern w:val="0"/>
          <w:sz w:val="30"/>
          <w:szCs w:val="30"/>
          <w:lang w:bidi="ar"/>
        </w:rPr>
        <w:t>煤矿相关规定。</w:t>
      </w:r>
    </w:p>
    <w:p>
      <w:pPr>
        <w:pStyle w:val="16"/>
        <w:spacing w:line="560" w:lineRule="exact"/>
        <w:ind w:firstLine="600"/>
        <w:rPr>
          <w:rFonts w:eastAsia="方正仿宋简体"/>
          <w:kern w:val="0"/>
          <w:sz w:val="30"/>
          <w:szCs w:val="30"/>
          <w:lang w:bidi="ar"/>
        </w:rPr>
      </w:pPr>
      <w:r>
        <w:rPr>
          <w:rFonts w:hint="eastAsia" w:eastAsia="方正仿宋简体"/>
          <w:kern w:val="0"/>
          <w:sz w:val="30"/>
          <w:szCs w:val="30"/>
          <w:lang w:bidi="ar"/>
        </w:rPr>
        <w:t>2.</w:t>
      </w:r>
      <w:r>
        <w:rPr>
          <w:rFonts w:eastAsia="方正仿宋简体"/>
          <w:kern w:val="0"/>
          <w:sz w:val="30"/>
          <w:szCs w:val="30"/>
          <w:lang w:bidi="ar"/>
        </w:rPr>
        <w:t>施工作业现场必须有专职安全管理人员现场专盯，作业人员要做好安全防护用品，特种作业人员必须持证上岗。</w:t>
      </w:r>
    </w:p>
    <w:p>
      <w:pPr>
        <w:pStyle w:val="16"/>
        <w:spacing w:line="560" w:lineRule="exact"/>
        <w:ind w:firstLine="600"/>
        <w:rPr>
          <w:rFonts w:eastAsia="方正仿宋简体"/>
          <w:kern w:val="0"/>
          <w:sz w:val="30"/>
          <w:szCs w:val="30"/>
          <w:lang w:bidi="ar"/>
        </w:rPr>
      </w:pPr>
      <w:r>
        <w:rPr>
          <w:rFonts w:hint="eastAsia" w:eastAsia="方正仿宋简体"/>
          <w:kern w:val="0"/>
          <w:sz w:val="30"/>
          <w:szCs w:val="30"/>
          <w:lang w:bidi="ar"/>
        </w:rPr>
        <w:t>3.</w:t>
      </w:r>
      <w:r>
        <w:rPr>
          <w:rFonts w:eastAsia="方正仿宋简体"/>
          <w:kern w:val="0"/>
          <w:sz w:val="30"/>
          <w:szCs w:val="30"/>
          <w:lang w:bidi="ar"/>
        </w:rPr>
        <w:t>施工作业乙方必须严格执行双方签署的安全生产管理协议。</w:t>
      </w:r>
    </w:p>
    <w:p>
      <w:pPr>
        <w:pStyle w:val="254"/>
        <w:numPr>
          <w:ilvl w:val="0"/>
          <w:numId w:val="0"/>
        </w:numPr>
        <w:ind w:firstLine="600" w:firstLineChars="200"/>
        <w:outlineLvl w:val="0"/>
        <w:rPr>
          <w:rFonts w:hint="default" w:ascii="黑体" w:hAnsi="黑体" w:eastAsia="黑体" w:cs="黑体"/>
          <w:b w:val="0"/>
          <w:bCs/>
          <w:color w:val="auto"/>
          <w:sz w:val="30"/>
          <w:szCs w:val="30"/>
        </w:rPr>
      </w:pPr>
      <w:r>
        <w:rPr>
          <w:rFonts w:ascii="黑体" w:hAnsi="黑体" w:eastAsia="黑体" w:cs="黑体"/>
          <w:b w:val="0"/>
          <w:bCs/>
          <w:color w:val="auto"/>
          <w:sz w:val="30"/>
          <w:szCs w:val="30"/>
        </w:rPr>
        <w:t>十、</w:t>
      </w:r>
      <w:r>
        <w:rPr>
          <w:rFonts w:hint="default" w:ascii="黑体" w:hAnsi="黑体" w:eastAsia="黑体" w:cs="黑体"/>
          <w:b w:val="0"/>
          <w:bCs/>
          <w:color w:val="auto"/>
          <w:sz w:val="30"/>
          <w:szCs w:val="30"/>
        </w:rPr>
        <w:t>环境保护</w:t>
      </w:r>
    </w:p>
    <w:p>
      <w:pPr>
        <w:pStyle w:val="16"/>
        <w:spacing w:line="560" w:lineRule="exact"/>
        <w:ind w:firstLine="600"/>
        <w:rPr>
          <w:rFonts w:eastAsia="方正仿宋简体"/>
          <w:kern w:val="0"/>
          <w:sz w:val="30"/>
          <w:szCs w:val="30"/>
          <w:lang w:bidi="ar"/>
        </w:rPr>
      </w:pPr>
      <w:r>
        <w:rPr>
          <w:rFonts w:hint="eastAsia" w:eastAsia="方正仿宋简体"/>
          <w:kern w:val="0"/>
          <w:sz w:val="30"/>
          <w:szCs w:val="30"/>
          <w:lang w:bidi="ar"/>
        </w:rPr>
        <w:t>1.</w:t>
      </w:r>
      <w:r>
        <w:rPr>
          <w:rFonts w:eastAsia="方正仿宋简体"/>
          <w:kern w:val="0"/>
          <w:sz w:val="30"/>
          <w:szCs w:val="30"/>
          <w:lang w:bidi="ar"/>
        </w:rPr>
        <w:t>乙方在</w:t>
      </w:r>
      <w:r>
        <w:rPr>
          <w:rFonts w:hint="eastAsia" w:eastAsia="方正仿宋简体"/>
          <w:kern w:val="0"/>
          <w:sz w:val="30"/>
          <w:szCs w:val="30"/>
          <w:lang w:bidi="ar"/>
        </w:rPr>
        <w:t>吉郎德露天煤矿厂区内运煤道路硬化项目施工</w:t>
      </w:r>
      <w:r>
        <w:rPr>
          <w:rFonts w:eastAsia="方正仿宋简体"/>
          <w:kern w:val="0"/>
          <w:sz w:val="30"/>
          <w:szCs w:val="30"/>
          <w:lang w:bidi="ar"/>
        </w:rPr>
        <w:t>过程中，应遵守有关环境保护的法律，履行合同约定的环境保护义务，并对违反法律和合同约定义务所造成的环境破坏、人身伤害和财产损失负责。</w:t>
      </w:r>
    </w:p>
    <w:p>
      <w:pPr>
        <w:pStyle w:val="16"/>
        <w:spacing w:line="560" w:lineRule="exact"/>
        <w:ind w:firstLine="600"/>
        <w:rPr>
          <w:rFonts w:eastAsia="方正仿宋简体"/>
          <w:kern w:val="0"/>
          <w:sz w:val="30"/>
          <w:szCs w:val="30"/>
          <w:lang w:bidi="ar"/>
        </w:rPr>
      </w:pPr>
      <w:r>
        <w:rPr>
          <w:rFonts w:hint="eastAsia" w:eastAsia="方正仿宋简体"/>
          <w:kern w:val="0"/>
          <w:sz w:val="30"/>
          <w:szCs w:val="30"/>
          <w:lang w:bidi="ar"/>
        </w:rPr>
        <w:t>2.</w:t>
      </w:r>
      <w:r>
        <w:rPr>
          <w:rFonts w:eastAsia="方正仿宋简体"/>
          <w:kern w:val="0"/>
          <w:sz w:val="30"/>
          <w:szCs w:val="30"/>
          <w:lang w:bidi="ar"/>
        </w:rPr>
        <w:t>乙方应按照批准的</w:t>
      </w:r>
      <w:r>
        <w:rPr>
          <w:rFonts w:hint="eastAsia" w:eastAsia="方正仿宋简体"/>
          <w:kern w:val="0"/>
          <w:sz w:val="30"/>
          <w:szCs w:val="30"/>
          <w:lang w:bidi="ar"/>
        </w:rPr>
        <w:t>吉郎德露天煤矿厂区内运煤道路硬化</w:t>
      </w:r>
      <w:r>
        <w:rPr>
          <w:rFonts w:eastAsia="方正仿宋简体"/>
          <w:kern w:val="0"/>
          <w:sz w:val="30"/>
          <w:szCs w:val="30"/>
          <w:lang w:bidi="ar"/>
        </w:rPr>
        <w:t>项目工程环保措施计划有序地堆放和处理施工废弃物，避免对环境造成破坏。因乙方任意堆放或弃置施工废弃物造成破坏周边环境，或者影响甲方生产等后果的，乙方应承担全部责任。</w:t>
      </w:r>
    </w:p>
    <w:p>
      <w:pPr>
        <w:pStyle w:val="16"/>
        <w:spacing w:line="560" w:lineRule="exact"/>
        <w:ind w:firstLine="600"/>
        <w:rPr>
          <w:rFonts w:eastAsia="方正仿宋简体"/>
          <w:kern w:val="0"/>
          <w:sz w:val="30"/>
          <w:szCs w:val="30"/>
          <w:lang w:bidi="ar"/>
        </w:rPr>
      </w:pPr>
      <w:r>
        <w:rPr>
          <w:rFonts w:hint="eastAsia" w:eastAsia="方正仿宋简体"/>
          <w:kern w:val="0"/>
          <w:sz w:val="30"/>
          <w:szCs w:val="30"/>
          <w:lang w:bidi="ar"/>
        </w:rPr>
        <w:t>3.</w:t>
      </w:r>
      <w:r>
        <w:rPr>
          <w:rFonts w:eastAsia="方正仿宋简体"/>
          <w:kern w:val="0"/>
          <w:sz w:val="30"/>
          <w:szCs w:val="30"/>
          <w:lang w:bidi="ar"/>
        </w:rPr>
        <w:t>乙方应按合同约定，加强对噪声、粉尘、废气、废水和废油的控制，努力降低噪声，控制粉尘和废气浓度，做好废水和废油的治理和排放</w:t>
      </w:r>
    </w:p>
    <w:p>
      <w:pPr>
        <w:pStyle w:val="254"/>
        <w:numPr>
          <w:ilvl w:val="0"/>
          <w:numId w:val="0"/>
        </w:numPr>
        <w:ind w:firstLine="600" w:firstLineChars="200"/>
        <w:outlineLvl w:val="0"/>
        <w:rPr>
          <w:rFonts w:ascii="黑体" w:hAnsi="黑体" w:eastAsia="黑体" w:cs="黑体"/>
          <w:b w:val="0"/>
          <w:bCs/>
          <w:color w:val="auto"/>
          <w:sz w:val="30"/>
          <w:szCs w:val="30"/>
        </w:rPr>
      </w:pPr>
      <w:r>
        <w:rPr>
          <w:rFonts w:ascii="黑体" w:hAnsi="黑体" w:eastAsia="黑体" w:cs="黑体"/>
          <w:b w:val="0"/>
          <w:bCs/>
          <w:color w:val="auto"/>
          <w:sz w:val="30"/>
          <w:szCs w:val="30"/>
        </w:rPr>
        <w:t>十一、其它要求</w:t>
      </w:r>
    </w:p>
    <w:p>
      <w:pPr>
        <w:spacing w:line="560" w:lineRule="exact"/>
        <w:ind w:firstLine="600" w:firstLineChars="200"/>
        <w:jc w:val="left"/>
        <w:rPr>
          <w:rFonts w:hint="eastAsia" w:eastAsia="方正仿宋简体"/>
          <w:kern w:val="0"/>
          <w:sz w:val="30"/>
          <w:szCs w:val="30"/>
          <w:lang w:bidi="ar"/>
        </w:rPr>
      </w:pPr>
      <w:r>
        <w:rPr>
          <w:rFonts w:hint="eastAsia" w:eastAsia="方正仿宋简体"/>
          <w:kern w:val="0"/>
          <w:sz w:val="30"/>
          <w:szCs w:val="30"/>
          <w:lang w:bidi="ar"/>
        </w:rPr>
        <w:t>1.严格按照安全质量标准执行；</w:t>
      </w:r>
    </w:p>
    <w:p>
      <w:pPr>
        <w:spacing w:line="560" w:lineRule="exact"/>
        <w:ind w:firstLine="600" w:firstLineChars="200"/>
        <w:jc w:val="left"/>
        <w:rPr>
          <w:rFonts w:hint="eastAsia" w:eastAsia="方正仿宋简体"/>
          <w:kern w:val="0"/>
          <w:sz w:val="30"/>
          <w:szCs w:val="30"/>
          <w:lang w:bidi="ar"/>
        </w:rPr>
      </w:pPr>
      <w:r>
        <w:rPr>
          <w:rFonts w:hint="eastAsia" w:eastAsia="方正仿宋简体"/>
          <w:kern w:val="0"/>
          <w:sz w:val="30"/>
          <w:szCs w:val="30"/>
          <w:lang w:bidi="ar"/>
        </w:rPr>
        <w:t>2.制定严密的施工措施，保证工程保质保量按期完成；</w:t>
      </w:r>
    </w:p>
    <w:p>
      <w:pPr>
        <w:spacing w:line="560" w:lineRule="exact"/>
        <w:ind w:firstLine="600" w:firstLineChars="200"/>
        <w:jc w:val="left"/>
        <w:rPr>
          <w:rFonts w:hint="eastAsia" w:eastAsia="方正仿宋简体"/>
          <w:kern w:val="0"/>
          <w:sz w:val="30"/>
          <w:szCs w:val="30"/>
          <w:lang w:bidi="ar"/>
        </w:rPr>
      </w:pPr>
      <w:r>
        <w:rPr>
          <w:rFonts w:hint="eastAsia" w:eastAsia="方正仿宋简体"/>
          <w:kern w:val="0"/>
          <w:sz w:val="30"/>
          <w:szCs w:val="30"/>
          <w:lang w:bidi="ar"/>
        </w:rPr>
        <w:t>3.接受甲方的监督、检查，并按其要求返工、修改；</w:t>
      </w:r>
    </w:p>
    <w:p>
      <w:pPr>
        <w:spacing w:line="560" w:lineRule="exact"/>
        <w:ind w:firstLine="600" w:firstLineChars="200"/>
        <w:jc w:val="left"/>
        <w:rPr>
          <w:rFonts w:hint="eastAsia" w:ascii="方正仿宋简体" w:hAnsi="方正仿宋简体" w:eastAsia="方正仿宋简体" w:cs="方正仿宋简体"/>
          <w:sz w:val="30"/>
          <w:szCs w:val="30"/>
        </w:rPr>
      </w:pPr>
      <w:r>
        <w:rPr>
          <w:rFonts w:hint="eastAsia" w:eastAsia="方正仿宋简体"/>
          <w:kern w:val="0"/>
          <w:sz w:val="30"/>
          <w:szCs w:val="30"/>
          <w:lang w:bidi="ar"/>
        </w:rPr>
        <w:t>4.具体的施工方案由投标方设计，满足发标方要求即可。</w:t>
      </w:r>
    </w:p>
    <w:p>
      <w:pPr>
        <w:spacing w:line="560" w:lineRule="exact"/>
        <w:jc w:val="center"/>
        <w:rPr>
          <w:rFonts w:hint="eastAsia" w:ascii="方正小标宋简体" w:hAnsi="方正小标宋简体" w:eastAsia="方正小标宋简体" w:cs="方正小标宋简体"/>
          <w:sz w:val="36"/>
          <w:szCs w:val="36"/>
        </w:rPr>
      </w:pPr>
    </w:p>
    <w:p>
      <w:pPr>
        <w:pStyle w:val="6"/>
        <w:ind w:firstLine="1606" w:firstLineChars="400"/>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哈密市和翔工贸有限责任公司</w:t>
      </w:r>
    </w:p>
    <w:p>
      <w:pPr>
        <w:pStyle w:val="6"/>
        <w:ind w:firstLine="800"/>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别斯库都克露天煤矿矿区道路维护修缮</w:t>
      </w:r>
    </w:p>
    <w:p>
      <w:pPr>
        <w:pStyle w:val="6"/>
        <w:ind w:firstLine="2811" w:firstLineChars="700"/>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技术规格书</w:t>
      </w:r>
    </w:p>
    <w:p>
      <w:pPr>
        <w:pStyle w:val="6"/>
        <w:ind w:firstLine="0" w:firstLineChars="0"/>
        <w:rPr>
          <w:b/>
        </w:rPr>
      </w:pPr>
      <w:r>
        <w:rPr>
          <w:b/>
        </w:rPr>
        <w:t>一、总体要求</w:t>
      </w:r>
    </w:p>
    <w:p>
      <w:pPr>
        <w:pStyle w:val="6"/>
        <w:rPr>
          <w:rFonts w:eastAsia="方正仿宋简体"/>
        </w:rPr>
      </w:pPr>
      <w:r>
        <w:rPr>
          <w:rFonts w:eastAsia="方正仿宋简体"/>
        </w:rPr>
        <w:t>1.本技术规格书适用于哈密市和翔工贸有限责任公司别斯库都克露天煤矿矿区道路维护修缮项目的功能设计、</w:t>
      </w:r>
      <w:r>
        <w:rPr>
          <w:rFonts w:hint="eastAsia" w:eastAsia="方正仿宋简体"/>
        </w:rPr>
        <w:t>施工</w:t>
      </w:r>
      <w:r>
        <w:rPr>
          <w:rFonts w:eastAsia="方正仿宋简体"/>
        </w:rPr>
        <w:t>、</w:t>
      </w:r>
      <w:r>
        <w:rPr>
          <w:rFonts w:hint="eastAsia" w:eastAsia="方正仿宋简体"/>
        </w:rPr>
        <w:t>标准</w:t>
      </w:r>
      <w:r>
        <w:rPr>
          <w:rFonts w:eastAsia="方正仿宋简体"/>
        </w:rPr>
        <w:t>、验收等方面的技术要求。</w:t>
      </w:r>
    </w:p>
    <w:p>
      <w:pPr>
        <w:pStyle w:val="6"/>
        <w:rPr>
          <w:rFonts w:ascii="方正小标宋简体" w:hAnsi="方正小标宋简体" w:eastAsia="方正小标宋简体" w:cs="方正小标宋简体"/>
          <w:sz w:val="36"/>
          <w:szCs w:val="36"/>
        </w:rPr>
      </w:pPr>
      <w:r>
        <w:rPr>
          <w:rFonts w:eastAsia="方正仿宋简体"/>
        </w:rPr>
        <w:t>2.本技术规格书所提出的仅是最低限度的技术要求，并未包括所有的技术细节及要求，供货方需对所提供材料、</w:t>
      </w:r>
      <w:r>
        <w:rPr>
          <w:rFonts w:hint="eastAsia" w:eastAsia="方正仿宋简体"/>
        </w:rPr>
        <w:t>施工</w:t>
      </w:r>
      <w:r>
        <w:rPr>
          <w:rFonts w:eastAsia="方正仿宋简体"/>
        </w:rPr>
        <w:t>服务等所需的要求性能指标负全责。</w:t>
      </w:r>
    </w:p>
    <w:p>
      <w:pPr>
        <w:pStyle w:val="6"/>
        <w:ind w:firstLine="0" w:firstLineChars="0"/>
        <w:rPr>
          <w:b/>
        </w:rPr>
      </w:pPr>
      <w:r>
        <w:rPr>
          <w:rFonts w:hint="eastAsia"/>
          <w:b/>
        </w:rPr>
        <w:t>二、项目概况</w:t>
      </w:r>
    </w:p>
    <w:p>
      <w:pPr>
        <w:adjustRightInd w:val="0"/>
        <w:snapToGrid w:val="0"/>
        <w:spacing w:line="560" w:lineRule="exact"/>
        <w:ind w:firstLine="600"/>
        <w:rPr>
          <w:rFonts w:eastAsia="楷体"/>
          <w:b/>
        </w:rPr>
      </w:pPr>
      <w:r>
        <w:t>哈密市和翔工贸有限责任公司别斯库都克露天煤矿</w:t>
      </w:r>
      <w:r>
        <w:rPr>
          <w:rFonts w:hint="eastAsia"/>
        </w:rPr>
        <w:t>矿区道路使用年限长，年久失修。目前道路已有多处破损严重，车辆行驶存在严重的安全隐患，</w:t>
      </w:r>
      <w:r>
        <w:rPr>
          <w:rFonts w:hint="eastAsia"/>
          <w:kern w:val="0"/>
          <w:lang w:bidi="ar"/>
        </w:rPr>
        <w:t>为提高本矿企业形象，消除安全隐患，提升职工的幸福感，</w:t>
      </w:r>
      <w:r>
        <w:rPr>
          <w:rFonts w:hint="eastAsia"/>
        </w:rPr>
        <w:t>现对矿区内5公里联络道路和厂区内道路进行维护修缮工作。</w:t>
      </w:r>
    </w:p>
    <w:p>
      <w:pPr>
        <w:pStyle w:val="6"/>
        <w:ind w:firstLine="0" w:firstLineChars="0"/>
        <w:rPr>
          <w:b/>
        </w:rPr>
      </w:pPr>
      <w:r>
        <w:rPr>
          <w:rFonts w:hint="eastAsia"/>
          <w:b/>
        </w:rPr>
        <w:t>三、</w:t>
      </w:r>
      <w:r>
        <w:rPr>
          <w:b/>
        </w:rPr>
        <w:t>项目建设地点</w:t>
      </w:r>
    </w:p>
    <w:p>
      <w:pPr>
        <w:spacing w:line="560" w:lineRule="exact"/>
        <w:ind w:firstLine="600"/>
      </w:pPr>
      <w:r>
        <w:t>矿区位于巴里坤县城</w:t>
      </w:r>
      <w:r>
        <w:rPr>
          <w:rFonts w:hint="eastAsia"/>
        </w:rPr>
        <w:t>西北</w:t>
      </w:r>
      <w:r>
        <w:t>方向约150</w:t>
      </w:r>
      <w:r>
        <w:rPr>
          <w:rFonts w:hint="eastAsia"/>
        </w:rPr>
        <w:t>k</w:t>
      </w:r>
      <w:r>
        <w:t>m处，行政区划属巴里坤县大红柳峡乡管辖，巴里坤县位于新疆维吾尔自治区东北部，天山东段北麓，东部与伊吾县交界，西部与昌吉州木垒哈萨克自治县相邻，南部与哈密市隔山（东天山）相望。项目</w:t>
      </w:r>
      <w:r>
        <w:rPr>
          <w:rFonts w:hint="eastAsia"/>
        </w:rPr>
        <w:t>施工位于</w:t>
      </w:r>
      <w:r>
        <w:t>哈密市和翔工贸有限责任公司别斯库都克露天煤矿</w:t>
      </w:r>
      <w:r>
        <w:rPr>
          <w:rFonts w:hint="eastAsia"/>
        </w:rPr>
        <w:t>厂区内及和翔公司至别斯库都克露天煤矿5公里联络道路。</w:t>
      </w:r>
    </w:p>
    <w:p>
      <w:pPr>
        <w:pStyle w:val="2"/>
        <w:ind w:left="600" w:firstLine="600"/>
      </w:pPr>
    </w:p>
    <w:p>
      <w:pPr>
        <w:pStyle w:val="6"/>
        <w:ind w:firstLine="0" w:firstLineChars="0"/>
        <w:rPr>
          <w:b/>
        </w:rPr>
      </w:pPr>
      <w:r>
        <w:rPr>
          <w:rFonts w:hint="eastAsia"/>
          <w:b/>
        </w:rPr>
        <w:t>四、</w:t>
      </w:r>
      <w:r>
        <w:rPr>
          <w:b/>
        </w:rPr>
        <w:t>遵循的规范、规定</w:t>
      </w:r>
    </w:p>
    <w:p>
      <w:pPr>
        <w:pStyle w:val="6"/>
        <w:ind w:firstLine="0" w:firstLineChars="0"/>
        <w:rPr>
          <w:rFonts w:eastAsia="方正仿宋简体"/>
        </w:rPr>
      </w:pPr>
      <w:r>
        <w:rPr>
          <w:rFonts w:hint="eastAsia" w:eastAsia="方正仿宋简体"/>
        </w:rPr>
        <w:t>建筑与市政工程施工质量控制通用规范《GB55032-2022》</w:t>
      </w:r>
    </w:p>
    <w:p>
      <w:pPr>
        <w:pStyle w:val="6"/>
        <w:ind w:firstLine="0" w:firstLineChars="0"/>
        <w:rPr>
          <w:rFonts w:eastAsia="方正仿宋简体"/>
        </w:rPr>
      </w:pPr>
      <w:r>
        <w:fldChar w:fldCharType="begin"/>
      </w:r>
      <w:r>
        <w:instrText xml:space="preserve"> HYPERLINK "http://www.risn.org.cn/Xxbz/ShowForceStandard.aspx?Guid=fa76f879-627b-459f-9496-ff124006cf6b" \t "http://www.risn.org.cn/Xxbz/_blank" </w:instrText>
      </w:r>
      <w:r>
        <w:fldChar w:fldCharType="separate"/>
      </w:r>
      <w:r>
        <w:rPr>
          <w:rFonts w:hint="eastAsia" w:eastAsia="方正仿宋简体"/>
        </w:rPr>
        <w:t>城市道路交通标志和标线设置规范</w:t>
      </w:r>
      <w:r>
        <w:rPr>
          <w:rFonts w:hint="eastAsia" w:eastAsia="方正仿宋简体"/>
        </w:rPr>
        <w:fldChar w:fldCharType="end"/>
      </w:r>
      <w:r>
        <w:rPr>
          <w:rFonts w:hint="eastAsia" w:eastAsia="方正仿宋简体"/>
        </w:rPr>
        <w:t xml:space="preserve">   《GB51038-2015》</w:t>
      </w:r>
    </w:p>
    <w:p>
      <w:pPr>
        <w:pStyle w:val="6"/>
        <w:ind w:firstLine="0" w:firstLineChars="0"/>
        <w:rPr>
          <w:rFonts w:eastAsia="方正仿宋简体"/>
        </w:rPr>
      </w:pPr>
      <w:r>
        <w:rPr>
          <w:rFonts w:hint="eastAsia" w:eastAsia="方正仿宋简体"/>
        </w:rPr>
        <w:t>城镇道路工程技术规范</w:t>
      </w:r>
    </w:p>
    <w:p>
      <w:pPr>
        <w:pStyle w:val="6"/>
        <w:ind w:firstLine="0" w:firstLineChars="0"/>
        <w:rPr>
          <w:rFonts w:eastAsia="方正仿宋简体"/>
        </w:rPr>
      </w:pPr>
      <w:r>
        <w:fldChar w:fldCharType="begin"/>
      </w:r>
      <w:r>
        <w:instrText xml:space="preserve"> HYPERLINK "http://www.risn.org.cn/Xxbz/ShowForceStandard.aspx?Guid=60509" </w:instrText>
      </w:r>
      <w:r>
        <w:fldChar w:fldCharType="separate"/>
      </w:r>
      <w:r>
        <w:rPr>
          <w:rFonts w:eastAsia="方正仿宋简体"/>
        </w:rPr>
        <w:t>城镇道路工程施工与质量验收规范</w:t>
      </w:r>
      <w:r>
        <w:rPr>
          <w:rFonts w:eastAsia="方正仿宋简体"/>
        </w:rPr>
        <w:fldChar w:fldCharType="end"/>
      </w:r>
      <w:r>
        <w:rPr>
          <w:rFonts w:hint="eastAsia" w:eastAsia="方正仿宋简体"/>
        </w:rPr>
        <w:t xml:space="preserve">   《</w:t>
      </w:r>
      <w:r>
        <w:rPr>
          <w:rFonts w:eastAsia="方正仿宋简体"/>
        </w:rPr>
        <w:t>CJJ1-2008</w:t>
      </w:r>
      <w:r>
        <w:rPr>
          <w:rFonts w:hint="eastAsia" w:eastAsia="方正仿宋简体"/>
        </w:rPr>
        <w:t>》</w:t>
      </w:r>
    </w:p>
    <w:p>
      <w:pPr>
        <w:pStyle w:val="6"/>
        <w:ind w:firstLine="0" w:firstLineChars="0"/>
        <w:rPr>
          <w:rFonts w:eastAsia="方正仿宋简体"/>
        </w:rPr>
      </w:pPr>
      <w:r>
        <w:fldChar w:fldCharType="begin"/>
      </w:r>
      <w:r>
        <w:instrText xml:space="preserve"> HYPERLINK "http://www.risn.org.cn/Xxbz/ShowForceStandard.aspx?Guid=4344debd-f8ab-4646-854e-37a4fa08b720" </w:instrText>
      </w:r>
      <w:r>
        <w:fldChar w:fldCharType="separate"/>
      </w:r>
      <w:r>
        <w:rPr>
          <w:rFonts w:eastAsia="方正仿宋简体"/>
        </w:rPr>
        <w:t>城镇道路沥青路面再生利用技术规程</w:t>
      </w:r>
      <w:r>
        <w:rPr>
          <w:rFonts w:eastAsia="方正仿宋简体"/>
        </w:rPr>
        <w:fldChar w:fldCharType="end"/>
      </w:r>
      <w:r>
        <w:rPr>
          <w:rFonts w:hint="eastAsia" w:eastAsia="方正仿宋简体"/>
        </w:rPr>
        <w:t xml:space="preserve"> 《</w:t>
      </w:r>
      <w:r>
        <w:rPr>
          <w:rFonts w:eastAsia="方正仿宋简体"/>
        </w:rPr>
        <w:t>CJJ/T43-2014</w:t>
      </w:r>
      <w:r>
        <w:rPr>
          <w:rFonts w:hint="eastAsia" w:eastAsia="方正仿宋简体"/>
        </w:rPr>
        <w:t>》</w:t>
      </w:r>
    </w:p>
    <w:p>
      <w:pPr>
        <w:pStyle w:val="6"/>
        <w:ind w:firstLine="0" w:firstLineChars="0"/>
        <w:rPr>
          <w:rFonts w:eastAsia="方正仿宋简体"/>
        </w:rPr>
      </w:pPr>
      <w:r>
        <w:rPr>
          <w:rFonts w:hint="eastAsia" w:eastAsia="方正仿宋简体"/>
        </w:rPr>
        <w:t>市政工程施工组织设计规范          《GB/T50903-2013》</w:t>
      </w:r>
    </w:p>
    <w:p>
      <w:pPr>
        <w:pStyle w:val="6"/>
        <w:ind w:firstLine="0" w:firstLineChars="0"/>
        <w:rPr>
          <w:rFonts w:eastAsia="方正仿宋简体"/>
        </w:rPr>
      </w:pPr>
      <w:r>
        <w:rPr>
          <w:rFonts w:hint="eastAsia" w:eastAsia="方正仿宋简体"/>
        </w:rPr>
        <w:t>市政工程施工安全检查标准          《</w:t>
      </w:r>
      <w:r>
        <w:rPr>
          <w:rFonts w:eastAsia="方正仿宋简体"/>
        </w:rPr>
        <w:t>CJJ/T275-2018</w:t>
      </w:r>
      <w:r>
        <w:rPr>
          <w:rFonts w:hint="eastAsia" w:eastAsia="方正仿宋简体"/>
        </w:rPr>
        <w:t>》</w:t>
      </w:r>
    </w:p>
    <w:p>
      <w:pPr>
        <w:pStyle w:val="6"/>
        <w:ind w:firstLine="0" w:firstLineChars="0"/>
        <w:rPr>
          <w:b/>
        </w:rPr>
      </w:pPr>
      <w:r>
        <w:rPr>
          <w:rFonts w:hint="eastAsia"/>
          <w:b/>
        </w:rPr>
        <w:t>五、项目修缮工程量</w:t>
      </w:r>
    </w:p>
    <w:p>
      <w:pPr>
        <w:pStyle w:val="6"/>
        <w:ind w:firstLine="0" w:firstLineChars="0"/>
        <w:rPr>
          <w:rFonts w:hint="eastAsia" w:eastAsia="方正仿宋简体"/>
          <w:lang w:eastAsia="zh-CN"/>
        </w:rPr>
      </w:pPr>
      <w:r>
        <w:rPr>
          <w:rFonts w:hint="eastAsia" w:eastAsia="方正仿宋简体"/>
          <w:highlight w:val="none"/>
        </w:rPr>
        <w:t>（1）别矿厂区沥青道路维修面积</w:t>
      </w:r>
      <w:r>
        <w:rPr>
          <w:rFonts w:hint="eastAsia" w:eastAsia="方正仿宋简体"/>
          <w:highlight w:val="none"/>
          <w:lang w:val="en-US" w:eastAsia="zh-CN"/>
        </w:rPr>
        <w:t>2000</w:t>
      </w:r>
      <w:r>
        <w:rPr>
          <w:rFonts w:hint="eastAsia" w:eastAsia="方正仿宋简体"/>
          <w:highlight w:val="none"/>
        </w:rPr>
        <w:t>m</w:t>
      </w:r>
      <w:r>
        <w:rPr>
          <w:rFonts w:hint="eastAsia" w:eastAsia="方正仿宋简体"/>
          <w:highlight w:val="none"/>
          <w:vertAlign w:val="superscript"/>
        </w:rPr>
        <w:t>2</w:t>
      </w:r>
      <w:r>
        <w:rPr>
          <w:rFonts w:hint="eastAsia" w:eastAsia="方正仿宋简体"/>
          <w:highlight w:val="none"/>
          <w:lang w:eastAsia="zh-CN"/>
        </w:rPr>
        <w:t>；</w:t>
      </w:r>
      <w:r>
        <w:rPr>
          <w:rFonts w:hint="eastAsia" w:eastAsia="方正仿宋简体"/>
        </w:rPr>
        <w:br w:type="textWrapping"/>
      </w:r>
      <w:r>
        <w:rPr>
          <w:rFonts w:hint="eastAsia" w:eastAsia="方正仿宋简体"/>
        </w:rPr>
        <w:t>（2）别矿厂区道路两侧路缘石拆除换新</w:t>
      </w:r>
      <w:r>
        <w:rPr>
          <w:rFonts w:hint="eastAsia" w:eastAsia="方正仿宋简体"/>
          <w:lang w:val="en-US" w:eastAsia="zh-CN"/>
        </w:rPr>
        <w:t>5340</w:t>
      </w:r>
      <w:r>
        <w:rPr>
          <w:rFonts w:hint="eastAsia" w:eastAsia="方正仿宋简体"/>
        </w:rPr>
        <w:t>m</w:t>
      </w:r>
      <w:r>
        <w:rPr>
          <w:rFonts w:hint="eastAsia" w:eastAsia="方正仿宋简体"/>
          <w:lang w:eastAsia="zh-CN"/>
        </w:rPr>
        <w:t>；</w:t>
      </w:r>
    </w:p>
    <w:p>
      <w:pPr>
        <w:pStyle w:val="6"/>
        <w:ind w:firstLine="0" w:firstLineChars="0"/>
        <w:rPr>
          <w:rFonts w:hint="eastAsia" w:eastAsia="方正仿宋简体"/>
          <w:lang w:eastAsia="zh-CN"/>
        </w:rPr>
      </w:pPr>
      <w:r>
        <w:rPr>
          <w:rFonts w:hint="eastAsia" w:eastAsia="方正仿宋简体"/>
        </w:rPr>
        <w:t>（3）别矿厂区道路交通引导标线2100m</w:t>
      </w:r>
      <w:r>
        <w:rPr>
          <w:rFonts w:hint="eastAsia" w:eastAsia="方正仿宋简体"/>
          <w:lang w:eastAsia="zh-CN"/>
        </w:rPr>
        <w:t>；</w:t>
      </w:r>
    </w:p>
    <w:p>
      <w:pPr>
        <w:pStyle w:val="6"/>
        <w:ind w:firstLine="0" w:firstLineChars="0"/>
        <w:rPr>
          <w:rFonts w:hint="eastAsia" w:eastAsia="方正仿宋简体"/>
          <w:lang w:eastAsia="zh-CN"/>
        </w:rPr>
      </w:pPr>
      <w:r>
        <w:rPr>
          <w:rFonts w:hint="eastAsia" w:eastAsia="方正仿宋简体"/>
        </w:rPr>
        <w:t>（4）和翔公司至别矿五公里道路标线5道反光漆25000m</w:t>
      </w:r>
      <w:r>
        <w:rPr>
          <w:rFonts w:hint="eastAsia" w:eastAsia="方正仿宋简体"/>
          <w:lang w:eastAsia="zh-CN"/>
        </w:rPr>
        <w:t>；</w:t>
      </w:r>
    </w:p>
    <w:p>
      <w:pPr>
        <w:pStyle w:val="6"/>
        <w:ind w:firstLine="0" w:firstLineChars="0"/>
        <w:rPr>
          <w:rFonts w:hint="eastAsia" w:eastAsia="方正仿宋简体"/>
          <w:lang w:eastAsia="zh-CN"/>
        </w:rPr>
      </w:pPr>
      <w:r>
        <w:rPr>
          <w:rFonts w:hint="eastAsia" w:eastAsia="方正仿宋简体"/>
        </w:rPr>
        <w:t>（5）别矿厂区内停车场路面硬化</w:t>
      </w:r>
      <w:r>
        <w:rPr>
          <w:rFonts w:eastAsia="方正仿宋简体"/>
        </w:rPr>
        <w:t>及标线3045</w:t>
      </w:r>
      <w:r>
        <w:rPr>
          <w:rFonts w:hint="eastAsia" w:eastAsia="方正仿宋简体"/>
        </w:rPr>
        <w:t>m</w:t>
      </w:r>
      <w:r>
        <w:rPr>
          <w:rFonts w:hint="eastAsia" w:eastAsia="方正仿宋简体"/>
          <w:vertAlign w:val="superscript"/>
        </w:rPr>
        <w:t>2</w:t>
      </w:r>
      <w:r>
        <w:rPr>
          <w:rFonts w:hint="eastAsia" w:eastAsia="方正仿宋简体"/>
          <w:lang w:eastAsia="zh-CN"/>
        </w:rPr>
        <w:t>；</w:t>
      </w:r>
    </w:p>
    <w:p>
      <w:pPr>
        <w:pStyle w:val="6"/>
        <w:ind w:firstLine="0" w:firstLineChars="0"/>
        <w:rPr>
          <w:rFonts w:hint="default" w:eastAsia="方正仿宋简体"/>
          <w:lang w:val="en-US" w:eastAsia="zh-CN"/>
        </w:rPr>
      </w:pPr>
      <w:r>
        <w:rPr>
          <w:rFonts w:hint="eastAsia" w:eastAsia="方正仿宋简体"/>
          <w:lang w:eastAsia="zh-CN"/>
        </w:rPr>
        <w:t>（</w:t>
      </w:r>
      <w:r>
        <w:rPr>
          <w:rFonts w:hint="eastAsia" w:eastAsia="方正仿宋简体"/>
          <w:lang w:val="en-US" w:eastAsia="zh-CN"/>
        </w:rPr>
        <w:t>6</w:t>
      </w:r>
      <w:r>
        <w:rPr>
          <w:rFonts w:hint="eastAsia" w:eastAsia="方正仿宋简体"/>
          <w:lang w:eastAsia="zh-CN"/>
        </w:rPr>
        <w:t>）</w:t>
      </w:r>
      <w:r>
        <w:rPr>
          <w:rFonts w:hint="eastAsia" w:eastAsia="方正仿宋简体"/>
          <w:lang w:val="en-US" w:eastAsia="zh-CN"/>
        </w:rPr>
        <w:t>别矿主要道路铺设人行道砖面积800</w:t>
      </w:r>
      <w:r>
        <w:rPr>
          <w:rFonts w:hint="eastAsia" w:eastAsia="方正仿宋简体"/>
        </w:rPr>
        <w:t>m</w:t>
      </w:r>
      <w:r>
        <w:rPr>
          <w:rFonts w:hint="eastAsia" w:eastAsia="方正仿宋简体"/>
          <w:vertAlign w:val="superscript"/>
        </w:rPr>
        <w:t>2</w:t>
      </w:r>
      <w:r>
        <w:rPr>
          <w:rFonts w:hint="eastAsia" w:eastAsia="方正仿宋简体"/>
          <w:lang w:val="en-US" w:eastAsia="zh-CN"/>
        </w:rPr>
        <w:t>。</w:t>
      </w:r>
    </w:p>
    <w:p>
      <w:pPr>
        <w:ind w:firstLine="600"/>
      </w:pPr>
      <w:r>
        <w:rPr>
          <w:rFonts w:hint="eastAsia"/>
        </w:rPr>
        <w:t>以上修缮量为最低修缮量，包括但不限于对路面破损处、路面裂缝（长度不低于3000m）、路基沉降、路面麻面、路面坑槽、路面啃边等进行修复。</w:t>
      </w:r>
    </w:p>
    <w:p>
      <w:pPr>
        <w:ind w:firstLine="600"/>
      </w:pPr>
      <w:r>
        <w:rPr>
          <w:rFonts w:hint="eastAsia"/>
        </w:rPr>
        <w:t>修缮后道路及场地硬化应大大提高交通出行舒适度及整体形象将得到提升，在施工过程中应制定交通导行方案，保证道路畅通，最大限度减少施工对生活产生的影响。</w:t>
      </w:r>
    </w:p>
    <w:p>
      <w:pPr>
        <w:ind w:firstLine="600"/>
      </w:pPr>
      <w:r>
        <w:rPr>
          <w:rFonts w:hint="eastAsia"/>
        </w:rPr>
        <w:t>修复用沥青采用SMA沥青混凝土AC-16C ，厚度为8+6mm，部分需要重新铺设的水稳层采用20cm 4.5%水泥稳定天然集配砾石，水稳上施工封层，部分特别松散的路基回填厚度大于50cm需要施工土工格栅，施工前应由具有资质的设计院出具具体的设计，经矿方审核通过后实施。</w:t>
      </w:r>
    </w:p>
    <w:p>
      <w:pPr>
        <w:ind w:firstLine="600"/>
      </w:pPr>
      <w:r>
        <w:rPr>
          <w:rFonts w:hint="eastAsia"/>
        </w:rPr>
        <w:t>划线采用热熔划线采用反光热熔标线，在进入门卫和进入矿区十字路口出设置振动凸起标线。</w:t>
      </w:r>
    </w:p>
    <w:p>
      <w:pPr>
        <w:ind w:firstLine="600"/>
      </w:pPr>
      <w:r>
        <w:rPr>
          <w:rFonts w:hint="eastAsia"/>
        </w:rPr>
        <w:t>新铺设路缘石采用</w:t>
      </w:r>
      <w:r>
        <w:rPr>
          <w:rFonts w:hint="eastAsia"/>
          <w:lang w:val="en-US" w:eastAsia="zh-CN"/>
        </w:rPr>
        <w:t>花岗岩类型</w:t>
      </w:r>
      <w:r>
        <w:rPr>
          <w:rFonts w:hint="eastAsia"/>
        </w:rPr>
        <w:t>路缘石，厚度不低于150mm。</w:t>
      </w:r>
    </w:p>
    <w:p>
      <w:pPr>
        <w:pStyle w:val="2"/>
        <w:ind w:left="0" w:leftChars="0" w:firstLine="600"/>
        <w:rPr>
          <w:rFonts w:hint="eastAsia"/>
        </w:rPr>
      </w:pPr>
      <w:r>
        <w:rPr>
          <w:rFonts w:hint="eastAsia"/>
        </w:rPr>
        <w:t>停车场做法为：素土夯实，路面采用混凝土路面。其做法为：</w:t>
      </w:r>
      <w:r>
        <w:rPr>
          <w:rFonts w:hint="eastAsia"/>
          <w:lang w:val="en-US" w:eastAsia="zh-CN"/>
        </w:rPr>
        <w:t>10</w:t>
      </w:r>
      <w:r>
        <w:rPr>
          <w:rFonts w:hint="eastAsia"/>
        </w:rPr>
        <w:t>.0cm厚C3</w:t>
      </w:r>
      <w:r>
        <w:rPr>
          <w:rFonts w:hint="eastAsia"/>
          <w:lang w:val="en-US" w:eastAsia="zh-CN"/>
        </w:rPr>
        <w:t>0</w:t>
      </w:r>
      <w:r>
        <w:rPr>
          <w:rFonts w:hint="eastAsia"/>
        </w:rPr>
        <w:t>混凝土路面，按照规范设置胀缝及沉降缝，两侧安装路沿石，划线做法同上。</w:t>
      </w:r>
    </w:p>
    <w:p>
      <w:pPr>
        <w:pStyle w:val="6"/>
        <w:ind w:firstLine="0" w:firstLineChars="0"/>
        <w:rPr>
          <w:b/>
        </w:rPr>
      </w:pPr>
      <w:r>
        <w:rPr>
          <w:rFonts w:hint="eastAsia"/>
          <w:b/>
        </w:rPr>
        <w:t>六、具体施工技术要求</w:t>
      </w:r>
    </w:p>
    <w:p>
      <w:pPr>
        <w:pStyle w:val="2"/>
        <w:ind w:left="0" w:leftChars="0" w:firstLine="0" w:firstLineChars="0"/>
      </w:pPr>
      <w:r>
        <w:rPr>
          <w:rFonts w:hint="eastAsia"/>
        </w:rPr>
        <w:t>（一）沥青道路维修要求：</w:t>
      </w:r>
    </w:p>
    <w:p>
      <w:pPr>
        <w:pStyle w:val="2"/>
        <w:ind w:left="0" w:leftChars="0" w:firstLine="600"/>
      </w:pPr>
      <w:r>
        <w:rPr>
          <w:rFonts w:hint="eastAsia"/>
        </w:rPr>
        <w:t>裂缝类：采用灌油修补法，处置时，将纵横裂缝处清扫干净，用液化气或喷灯将裂缝壁加热至粘性状态，然后用油壶或专门灌缝设备直接向裂缝内灌入加热的沥青，最后在接口表面撒布热砂或石屑进行养护。对于较宽的裂缝，可用铣刀扩宽，再按上述程序处理。乳化沥青稀浆封层法。可以将级配骨料(50%石屑、30%粗砂、20%细砂)与乳化沥青混合成稀浆，用专门设备进行封层。稀浆油石比最好控制在8%-12%之间。</w:t>
      </w:r>
    </w:p>
    <w:p>
      <w:pPr>
        <w:pStyle w:val="2"/>
        <w:ind w:left="0" w:leftChars="0" w:firstLine="600"/>
      </w:pPr>
      <w:r>
        <w:rPr>
          <w:rFonts w:hint="eastAsia"/>
        </w:rPr>
        <w:t>变形类病害：（1）车辙的处置用平地机或其它剖削设备将面层中油石比偏高、细料过多的经行车荷载挤压到轮迹外侧的隆起部分刮除，然后用小型压路机碾平，最后用沥青石屑或沥青砂填补空隙后碾压密实。注意不能增加刮涂部分的厚度，填补空隙即可。对于表面磨损过度而出现的车辙，可增补磨耗层找平。（2）拥包、波浪、沉陷的处置：对于路面产生的拥包、波浪可采用铣刨设备或人工刨削峰顶，挖出高出路面的峰顶，然后用拌和法和层铺法补低凹处。</w:t>
      </w:r>
    </w:p>
    <w:p>
      <w:pPr>
        <w:pStyle w:val="2"/>
        <w:ind w:left="0" w:leftChars="0" w:firstLine="600"/>
      </w:pPr>
      <w:r>
        <w:rPr>
          <w:rFonts w:hint="eastAsia"/>
        </w:rPr>
        <w:t>松散类病害的处置：（1）松散、脱皮、剥落等病害处置：采用乳化沥青稀浆封层进行处理，一般采用中、粗粒式稀浆进行封层。（2）坑槽、啃边的处置：坑槽大多出现在春融季节和雨季，主要是由于水渗入沥青面层使骨料与沥青失去粘结，散落所致。处置方法：一是槽壁垂直法。这是通常的做法，首先把坑槽的四周修成垂直面且槽壁边线与路中线平行或垂直，然后用集中拌和沥青混凝土混合料填充、压实、封水。这种做法的缺点往往是坑槽边缘接缝处容易出现破损，坑槽的返修率较高。二是槽壁45度法，即将坑槽槽壁挖削成45度角(开口向上)且槽壁喷烧成粗糙形状，然后铺筑沥青混凝土拌和料填充、压实、封水。</w:t>
      </w:r>
    </w:p>
    <w:p>
      <w:pPr>
        <w:pStyle w:val="2"/>
        <w:ind w:left="0" w:leftChars="0" w:firstLine="600"/>
      </w:pPr>
      <w:r>
        <w:rPr>
          <w:rFonts w:hint="eastAsia"/>
        </w:rPr>
        <w:t>坑槽类病害的处置：（1）施工标志设置。在作业现场严格按照《公路养护安全作业规程》设置齐全醒目的施工标志，并有专人指挥交通。（2）清理病害区。在对坑槽、裂缝、油包、车辙等沥青路面病害区加热前，先对旧面层进行观察，判断是否能够再生利用，对不能再生利用的旧面层料进行清除，对可再生利用的旧面层料将病害区的尘土、松散粒料、积水等杂物清扫干净。（3）加热病害区。加热前先打开各液化气罐阀门，再打开各管路开关，为确保作业路面无老化，调好加热定时所需时间（加热方式分断续加热和连续加热两种模式），一般控制在5～10min，加热至所需铺装温度（140～170℃）。具体加热时间可因季节和具体环境条件通过加热试验后确定。（4）翻松。移走加热板后立即对待修补的再生区域进行翻松，可先用齿耙和推板的背边在病害区周围刨出一个四方形。四方形距病害边缘不小于15cm，对加热区域外边缘不小于10cm。（5）再生、整平。原沥青路面被修补再生的沥青混凝土可能已被部分氧化，根据氧化程度在翻松后喷洒少许沥青活化剂或乳化沥青（喷洒须均匀）;根据需要添加新料（可用以前预留块状旧料，块状旧料需打碎加热软化才能用），用齿耙将耙松的沥青混凝土和新料混合均匀、找平，同时将边缘散落的沥青混凝土清除干净。</w:t>
      </w:r>
    </w:p>
    <w:p>
      <w:pPr>
        <w:pStyle w:val="2"/>
        <w:ind w:left="0" w:leftChars="0" w:firstLine="0" w:firstLineChars="0"/>
      </w:pPr>
      <w:r>
        <w:rPr>
          <w:rFonts w:hint="eastAsia"/>
        </w:rPr>
        <w:t>（二）路缘石拆除换新：根据现场实际，施工包括矿内所有路缘石进行拆除后清运处理工作，严禁路缘石材料现场留置，且要求路缘石材质为不低于C30混凝土材质，要求路缘石具有不低于零下45℃的抗冻性，材料进场前需上报建设单位产品质量合格证及材质检测报告，产品不合格严禁进场。石材进场前需校合道路中线，道路两侧按照边线及高程控制桩，砂浆垫层和勾缝砂浆严格按试验室给的配比进行拌和，勾缝砂浆采用细砂。1:5水泥砂浆卧底，严格配比控制。统一采用坐浆法施工，垫层砂浆厚8cm，</w:t>
      </w:r>
    </w:p>
    <w:p>
      <w:pPr>
        <w:pStyle w:val="2"/>
        <w:ind w:left="0" w:leftChars="0" w:firstLine="0" w:firstLineChars="0"/>
      </w:pPr>
      <w:r>
        <w:rPr>
          <w:rFonts w:hint="eastAsia"/>
        </w:rPr>
        <w:t>安装时，先用线绳控制路缘石的直顺度，再用水平尺进行检查，</w:t>
      </w:r>
    </w:p>
    <w:p>
      <w:pPr>
        <w:pStyle w:val="2"/>
        <w:ind w:left="0" w:leftChars="0" w:firstLine="0" w:firstLineChars="0"/>
      </w:pPr>
      <w:r>
        <w:rPr>
          <w:rFonts w:hint="eastAsia"/>
        </w:rPr>
        <w:t>安装合格后及时采用C25混凝土进行后背浇筑和水泥砂浆勾缝。路缘石砌筑应平顺，相邻路缘石的缝隙应均匀一致，路缘石与路面无缝隙、不漏水。具体施工要求出具施工方案，经有关部门审核审批后方可进行施工。</w:t>
      </w:r>
    </w:p>
    <w:p>
      <w:pPr>
        <w:pStyle w:val="2"/>
        <w:ind w:left="0" w:leftChars="0" w:firstLine="0" w:firstLineChars="0"/>
      </w:pPr>
      <w:r>
        <w:rPr>
          <w:rFonts w:hint="eastAsia"/>
        </w:rPr>
        <w:t>（三）别矿厂区道路交通引导标线：到施工现场后，首先要了解道路交通情况与矿内进行沟通，在不影响交通的情况下来安排划线工作，要对交通引导作出局部规划，采取完善和醒目的交通安全措施。把需要划标线的断面保护起来，以便划线工作清洁路面。根据矿内道路条件要求表线材料为丙烯酸树脂热熔涂料，在基准线划定后，即可进行路面清扫工作，为保证标线施工质量，保证标线涂料和沥青路面有效结合，在标线施工前必须用铁锹、扫把清扫路面，必要时用水冲洗，使路面干净无杂物，但须待路面干透以后方可。在涂敷标线前，先对标线涂敷处喷涂底油，充分保证标线与路面的粘合力。在涂底胶的同时，将涂料加入热熔，使之充分熔化，以备涂敷。涂料的加温温度必须超过180度。标线涂敷采用划线机施工。涂料溶好后，将之放入划线机内准备划线。划线前应调整划线机漏斗的流速来保证涂敷厚度，使标线厚度达到设计要求。划线机应沿基准线匀速前进，不得出现弯曲现象。冷膜冷凝后应无皱纹、斑点、气泡、裂纹、脱落及表面无发粘现象。</w:t>
      </w:r>
    </w:p>
    <w:p>
      <w:pPr>
        <w:pStyle w:val="2"/>
        <w:ind w:left="0" w:leftChars="0" w:firstLine="0" w:firstLineChars="0"/>
      </w:pPr>
      <w:r>
        <w:rPr>
          <w:rFonts w:hint="eastAsia"/>
        </w:rPr>
        <w:t>（四）停车场做法</w:t>
      </w:r>
    </w:p>
    <w:p>
      <w:pPr>
        <w:spacing w:line="560" w:lineRule="exact"/>
        <w:ind w:firstLine="600"/>
        <w:jc w:val="left"/>
      </w:pPr>
      <w:r>
        <w:rPr>
          <w:rFonts w:hint="eastAsia"/>
        </w:rPr>
        <w:t>1.基底</w:t>
      </w:r>
      <w:r>
        <w:t>夯实（压实度不小于97%）</w:t>
      </w:r>
      <w:r>
        <w:rPr>
          <w:rFonts w:hint="eastAsia"/>
        </w:rPr>
        <w:t>，其做法为：基底夯实、20.0cm厚天然级配戈壁砾石（压实度＞0.96）、15.0cm厚C35混凝土路面，两侧安装路沿石。所有原材料需提供完整的合格证及检试验报告，水稳及混凝土需提供配合比，混凝土强度抗折系数不低于5.0。</w:t>
      </w:r>
    </w:p>
    <w:p>
      <w:pPr>
        <w:spacing w:line="560" w:lineRule="exact"/>
        <w:ind w:firstLine="600"/>
        <w:jc w:val="left"/>
      </w:pPr>
      <w:r>
        <w:rPr>
          <w:rFonts w:hint="eastAsia"/>
        </w:rPr>
        <w:t>2.</w:t>
      </w:r>
      <w:r>
        <w:t>新硬化</w:t>
      </w:r>
      <w:r>
        <w:rPr>
          <w:rFonts w:hint="eastAsia"/>
        </w:rPr>
        <w:t>停车场</w:t>
      </w:r>
      <w:r>
        <w:t>与原有场地、道路在同一水平。</w:t>
      </w:r>
    </w:p>
    <w:p>
      <w:pPr>
        <w:spacing w:line="560" w:lineRule="exact"/>
        <w:ind w:firstLine="600"/>
        <w:jc w:val="left"/>
      </w:pPr>
      <w:r>
        <w:rPr>
          <w:rFonts w:hint="eastAsia"/>
        </w:rPr>
        <w:t>3.应建立控制点精度为1mm的标段范围内的控制网，作好测量放线工作，并采取措施防止测量控制点因施工不慎被损坏。</w:t>
      </w:r>
    </w:p>
    <w:p>
      <w:pPr>
        <w:spacing w:line="560" w:lineRule="exact"/>
        <w:ind w:firstLine="600"/>
        <w:jc w:val="left"/>
      </w:pPr>
      <w:r>
        <w:rPr>
          <w:rFonts w:hint="eastAsia"/>
        </w:rPr>
        <w:t>4.停车场新硬化场地要与原有戈壁料硬化地面相结合，每边各10m的土方整平及硬化也在本合同中。</w:t>
      </w:r>
    </w:p>
    <w:p>
      <w:pPr>
        <w:spacing w:line="560" w:lineRule="exact"/>
        <w:ind w:firstLine="600"/>
        <w:jc w:val="left"/>
      </w:pPr>
      <w:r>
        <w:rPr>
          <w:rFonts w:hint="eastAsia"/>
        </w:rPr>
        <w:t>5.本次硬化路基填料主要来源为外运戈壁料，在填筑过程中，松铺厚度应不大于50cm，填料最大粒径不超过压实厚度的2/3，并需用重型震动压路机分层碾压。</w:t>
      </w:r>
    </w:p>
    <w:p>
      <w:pPr>
        <w:spacing w:line="560" w:lineRule="exact"/>
        <w:ind w:firstLine="600"/>
        <w:jc w:val="left"/>
        <w:rPr>
          <w:rFonts w:hint="eastAsia"/>
        </w:rPr>
      </w:pPr>
      <w:r>
        <w:rPr>
          <w:rFonts w:hint="eastAsia"/>
        </w:rPr>
        <w:t>6.本项目采用水泥混凝土路面，以设计弯拉强度为设计指标计算路面各结构层厚度。</w:t>
      </w:r>
    </w:p>
    <w:p>
      <w:pPr>
        <w:spacing w:line="560" w:lineRule="exact"/>
        <w:ind w:firstLine="600"/>
        <w:jc w:val="left"/>
        <w:rPr>
          <w:rFonts w:hint="eastAsia"/>
        </w:rPr>
      </w:pPr>
      <w:r>
        <w:rPr>
          <w:rFonts w:hint="eastAsia"/>
        </w:rPr>
        <w:t>7.纵向接缝</w:t>
      </w:r>
    </w:p>
    <w:p>
      <w:pPr>
        <w:tabs>
          <w:tab w:val="left" w:pos="312"/>
        </w:tabs>
        <w:spacing w:line="560" w:lineRule="exact"/>
        <w:ind w:firstLine="600"/>
        <w:jc w:val="left"/>
        <w:rPr>
          <w:rFonts w:hint="eastAsia"/>
        </w:rPr>
      </w:pPr>
      <w:r>
        <w:rPr>
          <w:rFonts w:hint="eastAsia"/>
        </w:rPr>
        <w:t>（1）纵向接缝的布设应视路面宽度和施工铺筑宽度而定：一次铺筑宽度大于4.5m时，应在道路面板中部设置纵向施工缝，纵向施工缝采用平缝形式，上部应锯切槽口，深度为40mm，宽度为5mm，槽内灌塞填缝料。</w:t>
      </w:r>
    </w:p>
    <w:p>
      <w:pPr>
        <w:tabs>
          <w:tab w:val="left" w:pos="312"/>
        </w:tabs>
        <w:spacing w:line="560" w:lineRule="exact"/>
        <w:ind w:firstLine="600"/>
        <w:jc w:val="left"/>
        <w:rPr>
          <w:rFonts w:hint="eastAsia"/>
        </w:rPr>
      </w:pPr>
      <w:r>
        <w:rPr>
          <w:rFonts w:hint="eastAsia"/>
        </w:rPr>
        <w:t>（2）拉杆</w:t>
      </w:r>
    </w:p>
    <w:p>
      <w:pPr>
        <w:tabs>
          <w:tab w:val="left" w:pos="312"/>
        </w:tabs>
        <w:spacing w:line="560" w:lineRule="exact"/>
        <w:ind w:firstLine="600"/>
        <w:jc w:val="left"/>
        <w:rPr>
          <w:rFonts w:hint="eastAsia"/>
        </w:rPr>
      </w:pPr>
      <w:r>
        <w:rPr>
          <w:rFonts w:hint="eastAsia"/>
        </w:rPr>
        <w:t>拉杆采用螺纹钢筋，设在板厚中央，并对拉杆中部100mm范围内进行防锈处理，拉杆的直径、长度和距离分别为14mm×700mm×600mm。施工过程中，拉杆间距应按横向接缝的实际位置予以调整，最外侧的拉杆距横向接缝的距离不得小于100mm。</w:t>
      </w:r>
    </w:p>
    <w:p>
      <w:pPr>
        <w:spacing w:line="560" w:lineRule="exact"/>
        <w:ind w:firstLine="600"/>
        <w:jc w:val="left"/>
        <w:rPr>
          <w:rFonts w:hint="eastAsia"/>
        </w:rPr>
      </w:pPr>
      <w:r>
        <w:rPr>
          <w:rFonts w:hint="eastAsia"/>
        </w:rPr>
        <w:t>8.横向接缝</w:t>
      </w:r>
    </w:p>
    <w:p>
      <w:pPr>
        <w:tabs>
          <w:tab w:val="left" w:pos="312"/>
        </w:tabs>
        <w:spacing w:line="560" w:lineRule="exact"/>
        <w:ind w:left="-360" w:firstLine="600"/>
        <w:jc w:val="left"/>
        <w:rPr>
          <w:rFonts w:hint="eastAsia"/>
        </w:rPr>
      </w:pPr>
      <w:r>
        <w:rPr>
          <w:rFonts w:hint="eastAsia"/>
        </w:rPr>
        <w:t>（1）横向施工缝</w:t>
      </w:r>
    </w:p>
    <w:p>
      <w:pPr>
        <w:tabs>
          <w:tab w:val="left" w:pos="312"/>
        </w:tabs>
        <w:spacing w:line="560" w:lineRule="exact"/>
        <w:ind w:firstLine="600"/>
        <w:jc w:val="left"/>
        <w:rPr>
          <w:rFonts w:hint="eastAsia"/>
        </w:rPr>
      </w:pPr>
      <w:r>
        <w:rPr>
          <w:rFonts w:hint="eastAsia"/>
        </w:rPr>
        <w:t>每日施工结束或因临时原因中断施工时，必须设置横向施工缝，其位置应选在缩缝或胀缝处。设在缩缝处的施工缝应采用加传力杆的平缝形式；设在胀缝处的施工缝，其构造与胀缝相同。</w:t>
      </w:r>
    </w:p>
    <w:p>
      <w:pPr>
        <w:tabs>
          <w:tab w:val="left" w:pos="312"/>
        </w:tabs>
        <w:spacing w:line="560" w:lineRule="exact"/>
        <w:ind w:left="-360" w:firstLine="600"/>
        <w:jc w:val="left"/>
        <w:rPr>
          <w:rFonts w:hint="eastAsia"/>
        </w:rPr>
      </w:pPr>
      <w:r>
        <w:rPr>
          <w:rFonts w:hint="eastAsia"/>
        </w:rPr>
        <w:t>（2）横向缩缝</w:t>
      </w:r>
    </w:p>
    <w:p>
      <w:pPr>
        <w:tabs>
          <w:tab w:val="left" w:pos="312"/>
        </w:tabs>
        <w:spacing w:line="560" w:lineRule="exact"/>
        <w:ind w:firstLine="600"/>
        <w:jc w:val="left"/>
        <w:rPr>
          <w:rFonts w:hint="eastAsia"/>
        </w:rPr>
      </w:pPr>
      <w:r>
        <w:rPr>
          <w:rFonts w:hint="eastAsia"/>
        </w:rPr>
        <w:t xml:space="preserve">横向缩缝一般为假缝型式，横向缩缝可等间距或变间距布置，采用假缝形式。本项目交通等级为重交通，除与胀缝相邻的三条横向缩缝采用设传力杆的假缝型式，其余缩缝均采用不设传力杆假缝形式。缩缝顶部应锯切槽口，设传力杆的假缝槽口宽度5mm，深度为80mm；不设传力杆假缝槽口宽度5mm，深度为50mm，槽内填塞填缝料。 </w:t>
      </w:r>
    </w:p>
    <w:p>
      <w:pPr>
        <w:tabs>
          <w:tab w:val="left" w:pos="312"/>
        </w:tabs>
        <w:spacing w:line="560" w:lineRule="exact"/>
        <w:ind w:firstLine="210" w:firstLineChars="100"/>
        <w:jc w:val="left"/>
        <w:rPr>
          <w:rFonts w:hint="eastAsia"/>
        </w:rPr>
      </w:pPr>
      <w:r>
        <w:rPr>
          <w:rFonts w:hint="eastAsia"/>
        </w:rPr>
        <w:t>（3）横向胀缝</w:t>
      </w:r>
    </w:p>
    <w:p>
      <w:pPr>
        <w:tabs>
          <w:tab w:val="left" w:pos="312"/>
        </w:tabs>
        <w:spacing w:line="560" w:lineRule="exact"/>
        <w:ind w:firstLine="600"/>
        <w:jc w:val="left"/>
        <w:rPr>
          <w:rFonts w:hint="eastAsia"/>
        </w:rPr>
      </w:pPr>
      <w:r>
        <w:rPr>
          <w:rFonts w:hint="eastAsia"/>
        </w:rPr>
        <w:t>在邻近大门或其他固定的构造物处或与其他道路相交处应设置横向胀缝，胀缝宽20mm，缝内设置填缝板和可滑动的传力杆。</w:t>
      </w:r>
    </w:p>
    <w:p>
      <w:pPr>
        <w:tabs>
          <w:tab w:val="left" w:pos="312"/>
        </w:tabs>
        <w:spacing w:line="560" w:lineRule="exact"/>
        <w:ind w:firstLine="210" w:firstLineChars="100"/>
        <w:jc w:val="left"/>
        <w:rPr>
          <w:rFonts w:hint="eastAsia"/>
        </w:rPr>
      </w:pPr>
      <w:r>
        <w:rPr>
          <w:rFonts w:hint="eastAsia"/>
        </w:rPr>
        <w:t>（4）传力杆</w:t>
      </w:r>
    </w:p>
    <w:p>
      <w:pPr>
        <w:tabs>
          <w:tab w:val="left" w:pos="312"/>
        </w:tabs>
        <w:spacing w:line="560" w:lineRule="exact"/>
        <w:ind w:firstLine="600"/>
        <w:jc w:val="left"/>
        <w:rPr>
          <w:rFonts w:hint="eastAsia"/>
        </w:rPr>
      </w:pPr>
      <w:r>
        <w:rPr>
          <w:rFonts w:hint="eastAsia"/>
        </w:rPr>
        <w:t>传力杆应采用光面钢筋，传力杆尺寸为直径32mm，长度450mm，间距300mm，最外侧传力杆距纵向接缝或自由边的距离为150～250mm。</w:t>
      </w:r>
    </w:p>
    <w:p>
      <w:pPr>
        <w:tabs>
          <w:tab w:val="left" w:pos="312"/>
        </w:tabs>
        <w:spacing w:line="560" w:lineRule="exact"/>
        <w:ind w:firstLine="210" w:firstLineChars="100"/>
        <w:jc w:val="left"/>
        <w:rPr>
          <w:rFonts w:hint="eastAsia"/>
        </w:rPr>
      </w:pPr>
      <w:r>
        <w:rPr>
          <w:rFonts w:hint="eastAsia"/>
        </w:rPr>
        <w:t>（5）填缝料</w:t>
      </w:r>
    </w:p>
    <w:p>
      <w:pPr>
        <w:tabs>
          <w:tab w:val="left" w:pos="312"/>
        </w:tabs>
        <w:spacing w:line="560" w:lineRule="exact"/>
        <w:ind w:firstLine="600"/>
        <w:jc w:val="left"/>
        <w:rPr>
          <w:rFonts w:hint="eastAsia"/>
        </w:rPr>
      </w:pPr>
      <w:r>
        <w:rPr>
          <w:rFonts w:hint="eastAsia"/>
        </w:rPr>
        <w:t>胀缝接缝采用沥青纤维板作填料。</w:t>
      </w:r>
    </w:p>
    <w:p>
      <w:pPr>
        <w:tabs>
          <w:tab w:val="left" w:pos="312"/>
        </w:tabs>
        <w:spacing w:line="560" w:lineRule="exact"/>
        <w:ind w:firstLine="210" w:firstLineChars="100"/>
        <w:jc w:val="left"/>
        <w:rPr>
          <w:rFonts w:hint="eastAsia"/>
        </w:rPr>
      </w:pPr>
      <w:r>
        <w:rPr>
          <w:rFonts w:hint="eastAsia"/>
        </w:rPr>
        <w:t>（6）刻槽</w:t>
      </w:r>
    </w:p>
    <w:p>
      <w:pPr>
        <w:tabs>
          <w:tab w:val="left" w:pos="312"/>
        </w:tabs>
        <w:spacing w:line="560" w:lineRule="exact"/>
        <w:ind w:firstLine="600"/>
        <w:jc w:val="left"/>
        <w:rPr>
          <w:rFonts w:hint="eastAsia"/>
        </w:rPr>
      </w:pPr>
      <w:r>
        <w:rPr>
          <w:rFonts w:hint="eastAsia"/>
        </w:rPr>
        <w:t>为保证水泥混凝土路面有足够的摩擦力,路面表面必须采用拉毛、拉槽、压槽或刻槽等方法筑做表面构造，刻槽间距建议12mm，槽间距最终通过试验段确定。 构造深度应满足下表要求。</w:t>
      </w:r>
    </w:p>
    <w:p>
      <w:pPr>
        <w:spacing w:line="560" w:lineRule="exact"/>
        <w:ind w:firstLine="210" w:firstLineChars="100"/>
        <w:jc w:val="left"/>
        <w:rPr>
          <w:rFonts w:hint="eastAsia"/>
        </w:rPr>
      </w:pPr>
      <w:r>
        <w:rPr>
          <w:rFonts w:hint="eastAsia"/>
        </w:rPr>
        <w:t>9.路面材料要求</w:t>
      </w:r>
    </w:p>
    <w:p>
      <w:pPr>
        <w:spacing w:line="560" w:lineRule="exact"/>
        <w:ind w:firstLine="600"/>
        <w:jc w:val="left"/>
        <w:rPr>
          <w:rFonts w:hint="eastAsia"/>
        </w:rPr>
      </w:pPr>
      <w:r>
        <w:rPr>
          <w:rFonts w:hint="eastAsia"/>
        </w:rPr>
        <w:t>（1）水泥</w:t>
      </w:r>
    </w:p>
    <w:p>
      <w:pPr>
        <w:tabs>
          <w:tab w:val="left" w:pos="312"/>
        </w:tabs>
        <w:spacing w:line="560" w:lineRule="exact"/>
        <w:ind w:firstLine="600"/>
        <w:jc w:val="left"/>
        <w:rPr>
          <w:rFonts w:hint="eastAsia"/>
        </w:rPr>
      </w:pPr>
      <w:r>
        <w:rPr>
          <w:rFonts w:hint="eastAsia"/>
        </w:rPr>
        <w:t>宜采用旋窑硅酸盐水泥、普通硅酸盐水泥或旋窑道路硅酸盐水泥，水泥强度等级不小于42.5级，水泥用量不得小于300kg/m3，其技术要求应符合《公路水泥混凝土路面施工技术细则》（JTG/T F30-2014）的规定。</w:t>
      </w:r>
    </w:p>
    <w:p>
      <w:pPr>
        <w:tabs>
          <w:tab w:val="left" w:pos="312"/>
        </w:tabs>
        <w:spacing w:line="560" w:lineRule="exact"/>
        <w:ind w:firstLine="600"/>
        <w:jc w:val="left"/>
        <w:rPr>
          <w:rFonts w:hint="eastAsia"/>
        </w:rPr>
      </w:pPr>
      <w:r>
        <w:rPr>
          <w:rFonts w:hint="eastAsia"/>
        </w:rPr>
        <w:t>（2）粗集料</w:t>
      </w:r>
    </w:p>
    <w:p>
      <w:pPr>
        <w:tabs>
          <w:tab w:val="left" w:pos="312"/>
        </w:tabs>
        <w:spacing w:line="560" w:lineRule="exact"/>
        <w:ind w:firstLine="600"/>
        <w:jc w:val="left"/>
        <w:rPr>
          <w:rFonts w:hint="eastAsia"/>
        </w:rPr>
      </w:pPr>
      <w:r>
        <w:rPr>
          <w:rFonts w:hint="eastAsia"/>
        </w:rPr>
        <w:t>粗集料应质地坚硬、耐久、洁净，符合规定级配，最大粒径不应超过31.5mm(碎石)，或19.0mm（卵石），级别不低于Ⅱ级，其技术要求应符合《公路水泥混凝土路面施工技术细则》（JTG/T F30-2014）的规定。</w:t>
      </w:r>
    </w:p>
    <w:p>
      <w:pPr>
        <w:numPr>
          <w:ilvl w:val="0"/>
          <w:numId w:val="13"/>
        </w:numPr>
        <w:tabs>
          <w:tab w:val="left" w:pos="312"/>
        </w:tabs>
        <w:spacing w:line="560" w:lineRule="exact"/>
        <w:ind w:firstLine="600"/>
        <w:jc w:val="left"/>
        <w:rPr>
          <w:rFonts w:hint="eastAsia"/>
        </w:rPr>
      </w:pPr>
      <w:r>
        <w:rPr>
          <w:rFonts w:hint="eastAsia"/>
        </w:rPr>
        <w:t>细集料</w:t>
      </w:r>
    </w:p>
    <w:p>
      <w:pPr>
        <w:tabs>
          <w:tab w:val="left" w:pos="312"/>
        </w:tabs>
        <w:spacing w:line="560" w:lineRule="exact"/>
        <w:ind w:firstLine="600"/>
        <w:jc w:val="left"/>
        <w:rPr>
          <w:rFonts w:hint="eastAsia"/>
        </w:rPr>
      </w:pPr>
      <w:r>
        <w:rPr>
          <w:rFonts w:hint="eastAsia"/>
        </w:rPr>
        <w:t>细集料应采用质地坚硬、洁净，符合规定级配、细度模数在2.5以上的河砂，砂的硅质含量不应低于25%。其技术要求应符合《公路水泥混凝土路面施工技术细则》（JTG/T F30-2014）的规定，级别应不低于II级。</w:t>
      </w:r>
    </w:p>
    <w:p>
      <w:pPr>
        <w:tabs>
          <w:tab w:val="left" w:pos="312"/>
        </w:tabs>
        <w:spacing w:line="560" w:lineRule="exact"/>
        <w:ind w:firstLine="600"/>
        <w:jc w:val="left"/>
        <w:rPr>
          <w:rFonts w:hint="eastAsia"/>
        </w:rPr>
      </w:pPr>
      <w:r>
        <w:rPr>
          <w:rFonts w:hint="eastAsia"/>
        </w:rPr>
        <w:t>（4）钢筋</w:t>
      </w:r>
    </w:p>
    <w:p>
      <w:pPr>
        <w:tabs>
          <w:tab w:val="left" w:pos="312"/>
        </w:tabs>
        <w:spacing w:line="560" w:lineRule="exact"/>
        <w:ind w:firstLine="600"/>
        <w:jc w:val="left"/>
        <w:rPr>
          <w:rFonts w:hint="eastAsia"/>
        </w:rPr>
      </w:pPr>
      <w:r>
        <w:rPr>
          <w:rFonts w:hint="eastAsia"/>
        </w:rPr>
        <w:t>水泥混凝土路面所用的传力杆、拉杆等钢筋应符合国家有关标准的技术要求。钢筋不得有裂纹、断伤、刻痕、表面油污和锈蚀。</w:t>
      </w:r>
    </w:p>
    <w:p>
      <w:pPr>
        <w:tabs>
          <w:tab w:val="left" w:pos="312"/>
        </w:tabs>
        <w:spacing w:line="560" w:lineRule="exact"/>
        <w:ind w:firstLine="600"/>
        <w:jc w:val="left"/>
        <w:rPr>
          <w:rFonts w:hint="eastAsia"/>
        </w:rPr>
      </w:pPr>
      <w:r>
        <w:rPr>
          <w:rFonts w:hint="eastAsia"/>
        </w:rPr>
        <w:t>（5）接缝材料</w:t>
      </w:r>
    </w:p>
    <w:p>
      <w:pPr>
        <w:tabs>
          <w:tab w:val="left" w:pos="312"/>
        </w:tabs>
        <w:spacing w:line="560" w:lineRule="exact"/>
        <w:ind w:firstLine="600"/>
        <w:jc w:val="left"/>
        <w:rPr>
          <w:rFonts w:hint="eastAsia"/>
        </w:rPr>
      </w:pPr>
      <w:r>
        <w:rPr>
          <w:rFonts w:hint="eastAsia"/>
        </w:rPr>
        <w:t>应选用能适应混凝土面板膨胀和收缩、施工时不变形、弹性复圆率高、耐久性好的胀缝板。其具体技术要求应符合《公路水泥混凝土路面施工技术细则》（JTG/T F30-2014）中表3.9.4的规定。</w:t>
      </w:r>
    </w:p>
    <w:p>
      <w:pPr>
        <w:pStyle w:val="6"/>
        <w:ind w:firstLine="0" w:firstLineChars="0"/>
        <w:rPr>
          <w:b/>
        </w:rPr>
      </w:pPr>
      <w:r>
        <w:rPr>
          <w:rFonts w:hint="eastAsia"/>
          <w:b/>
        </w:rPr>
        <w:t>七、其它要求</w:t>
      </w:r>
    </w:p>
    <w:p>
      <w:pPr>
        <w:spacing w:line="560" w:lineRule="exact"/>
        <w:ind w:firstLine="600"/>
        <w:jc w:val="left"/>
        <w:rPr>
          <w:kern w:val="0"/>
          <w:lang w:bidi="ar"/>
        </w:rPr>
      </w:pPr>
      <w:r>
        <w:rPr>
          <w:rFonts w:hint="eastAsia"/>
          <w:kern w:val="0"/>
          <w:lang w:bidi="ar"/>
        </w:rPr>
        <w:t>1.严格按照安全质量标准执行；</w:t>
      </w:r>
    </w:p>
    <w:p>
      <w:pPr>
        <w:spacing w:line="560" w:lineRule="exact"/>
        <w:ind w:firstLine="600"/>
        <w:jc w:val="left"/>
        <w:rPr>
          <w:kern w:val="0"/>
          <w:lang w:bidi="ar"/>
        </w:rPr>
      </w:pPr>
      <w:r>
        <w:rPr>
          <w:rFonts w:hint="eastAsia"/>
          <w:kern w:val="0"/>
          <w:lang w:bidi="ar"/>
        </w:rPr>
        <w:t>2.制定严密的施工措施，保证工程保质保量按期完成；</w:t>
      </w:r>
    </w:p>
    <w:p>
      <w:pPr>
        <w:spacing w:line="560" w:lineRule="exact"/>
        <w:ind w:firstLine="600"/>
        <w:jc w:val="left"/>
        <w:rPr>
          <w:kern w:val="0"/>
          <w:lang w:bidi="ar"/>
        </w:rPr>
      </w:pPr>
      <w:r>
        <w:rPr>
          <w:rFonts w:hint="eastAsia"/>
          <w:kern w:val="0"/>
          <w:lang w:bidi="ar"/>
        </w:rPr>
        <w:t>3.接受甲方的监督、检查，并按其要求返工、修改；</w:t>
      </w:r>
    </w:p>
    <w:p>
      <w:pPr>
        <w:spacing w:line="560" w:lineRule="exact"/>
        <w:ind w:firstLine="600"/>
        <w:jc w:val="left"/>
      </w:pPr>
      <w:r>
        <w:rPr>
          <w:rFonts w:hint="eastAsia"/>
          <w:kern w:val="0"/>
          <w:lang w:bidi="ar"/>
        </w:rPr>
        <w:t>4.具体的施工方案由投标方设计，满足发标方要求；</w:t>
      </w:r>
    </w:p>
    <w:p>
      <w:pPr>
        <w:adjustRightInd w:val="0"/>
        <w:snapToGrid w:val="0"/>
        <w:spacing w:line="560" w:lineRule="exact"/>
        <w:ind w:firstLine="600"/>
      </w:pPr>
      <w:r>
        <w:rPr>
          <w:rFonts w:hint="eastAsia"/>
        </w:rPr>
        <w:t>5</w:t>
      </w:r>
      <w:r>
        <w:t>.乙方提供所需材料均需鉴定合格，且提供合格证明，供货产品符合国家标准及</w:t>
      </w:r>
      <w:r>
        <w:rPr>
          <w:rFonts w:hint="eastAsia"/>
        </w:rPr>
        <w:t>行业要求；</w:t>
      </w:r>
    </w:p>
    <w:p>
      <w:pPr>
        <w:adjustRightInd w:val="0"/>
        <w:snapToGrid w:val="0"/>
        <w:spacing w:line="560" w:lineRule="exact"/>
        <w:ind w:firstLine="600"/>
      </w:pPr>
      <w:r>
        <w:rPr>
          <w:rFonts w:hint="eastAsia"/>
        </w:rPr>
        <w:t>6</w:t>
      </w:r>
      <w:r>
        <w:t>.乙方需制定施工进度表，经甲方审核后，严格按照施工进度表进行，如出现影响施工进度事件，需向甲方进行书面说明，无故影响施工进度，</w:t>
      </w:r>
      <w:r>
        <w:rPr>
          <w:rFonts w:hint="eastAsia"/>
        </w:rPr>
        <w:t>甲</w:t>
      </w:r>
      <w:r>
        <w:t>方将根据耽误进度对乙方进行考核</w:t>
      </w:r>
      <w:r>
        <w:rPr>
          <w:rFonts w:hint="eastAsia"/>
        </w:rPr>
        <w:t>；</w:t>
      </w:r>
    </w:p>
    <w:p>
      <w:pPr>
        <w:adjustRightInd w:val="0"/>
        <w:snapToGrid w:val="0"/>
        <w:spacing w:line="560" w:lineRule="exact"/>
        <w:ind w:firstLine="600"/>
      </w:pPr>
      <w:r>
        <w:rPr>
          <w:rFonts w:hint="eastAsia"/>
        </w:rPr>
        <w:t>7</w:t>
      </w:r>
      <w:r>
        <w:t>.施工人员</w:t>
      </w:r>
      <w:r>
        <w:rPr>
          <w:rFonts w:hint="eastAsia"/>
        </w:rPr>
        <w:t>年龄不大于55岁，证件</w:t>
      </w:r>
      <w:r>
        <w:t>齐全</w:t>
      </w:r>
      <w:r>
        <w:rPr>
          <w:rFonts w:hint="eastAsia"/>
        </w:rPr>
        <w:t>，</w:t>
      </w:r>
      <w:r>
        <w:t>提供近三个月的体检报告。矿区培训三天，培训合格后方可施工</w:t>
      </w:r>
      <w:r>
        <w:rPr>
          <w:rFonts w:hint="eastAsia"/>
        </w:rPr>
        <w:t>；</w:t>
      </w:r>
    </w:p>
    <w:p>
      <w:pPr>
        <w:adjustRightInd w:val="0"/>
        <w:snapToGrid w:val="0"/>
        <w:spacing w:line="560" w:lineRule="exact"/>
        <w:ind w:firstLine="600"/>
      </w:pPr>
      <w:r>
        <w:rPr>
          <w:rFonts w:hint="eastAsia"/>
        </w:rPr>
        <w:t>8</w:t>
      </w:r>
      <w:r>
        <w:t>.材料定做前，中标方需到现场与发标方进行现场核实，</w:t>
      </w:r>
      <w:r>
        <w:rPr>
          <w:rFonts w:hint="eastAsia"/>
        </w:rPr>
        <w:t>核定</w:t>
      </w:r>
      <w:r>
        <w:t>符合现场实际的材料</w:t>
      </w:r>
      <w:r>
        <w:rPr>
          <w:rFonts w:hint="eastAsia"/>
        </w:rPr>
        <w:t>；</w:t>
      </w:r>
      <w:r>
        <w:t>施工作业前，编写施工技术措施、安全措施</w:t>
      </w:r>
      <w:r>
        <w:rPr>
          <w:rFonts w:hint="eastAsia"/>
        </w:rPr>
        <w:t>。</w:t>
      </w:r>
    </w:p>
    <w:p>
      <w:pPr>
        <w:adjustRightInd w:val="0"/>
        <w:snapToGrid w:val="0"/>
        <w:spacing w:line="560" w:lineRule="exact"/>
        <w:ind w:firstLine="600"/>
        <w:rPr>
          <w:bCs/>
        </w:rPr>
      </w:pPr>
      <w:r>
        <w:rPr>
          <w:rFonts w:hint="eastAsia"/>
        </w:rPr>
        <w:t>9</w:t>
      </w:r>
      <w:r>
        <w:t>.</w:t>
      </w:r>
      <w:r>
        <w:rPr>
          <w:rFonts w:hint="eastAsia"/>
        </w:rPr>
        <w:t>甲方不提供食宿。</w:t>
      </w:r>
    </w:p>
    <w:p>
      <w:pPr>
        <w:pStyle w:val="6"/>
        <w:ind w:firstLine="0" w:firstLineChars="0"/>
        <w:rPr>
          <w:bCs/>
        </w:rPr>
      </w:pPr>
      <w:r>
        <w:rPr>
          <w:rFonts w:hint="eastAsia"/>
          <w:bCs/>
        </w:rPr>
        <w:t>六、</w:t>
      </w:r>
      <w:r>
        <w:rPr>
          <w:bCs/>
        </w:rPr>
        <w:t>项目</w:t>
      </w:r>
      <w:r>
        <w:rPr>
          <w:rFonts w:hint="eastAsia"/>
          <w:bCs/>
        </w:rPr>
        <w:t>工期</w:t>
      </w:r>
    </w:p>
    <w:p>
      <w:pPr>
        <w:pStyle w:val="255"/>
        <w:spacing w:before="0" w:beforeLines="0" w:after="0" w:afterLines="0" w:line="560" w:lineRule="exact"/>
        <w:ind w:firstLine="600" w:firstLineChars="200"/>
        <w:jc w:val="left"/>
        <w:rPr>
          <w:rFonts w:ascii="Times New Roman" w:hAnsi="Times New Roman" w:eastAsia="方正仿宋简体"/>
          <w:sz w:val="30"/>
          <w:szCs w:val="30"/>
        </w:rPr>
      </w:pPr>
      <w:r>
        <w:rPr>
          <w:rFonts w:hint="eastAsia" w:ascii="Times New Roman" w:hAnsi="Times New Roman" w:eastAsia="方正仿宋简体"/>
          <w:sz w:val="30"/>
          <w:szCs w:val="30"/>
        </w:rPr>
        <w:t>自合同签订之日起90天。</w:t>
      </w:r>
    </w:p>
    <w:p>
      <w:pPr>
        <w:pStyle w:val="6"/>
        <w:ind w:firstLine="0" w:firstLineChars="0"/>
        <w:rPr>
          <w:bCs/>
        </w:rPr>
      </w:pPr>
      <w:bookmarkStart w:id="105" w:name="_Toc21390"/>
      <w:r>
        <w:rPr>
          <w:rFonts w:hint="eastAsia"/>
          <w:bCs/>
        </w:rPr>
        <w:t>七</w:t>
      </w:r>
      <w:r>
        <w:rPr>
          <w:bCs/>
        </w:rPr>
        <w:t>、质量与保修</w:t>
      </w:r>
      <w:bookmarkEnd w:id="105"/>
    </w:p>
    <w:p>
      <w:pPr>
        <w:adjustRightInd w:val="0"/>
        <w:snapToGrid w:val="0"/>
        <w:spacing w:line="560" w:lineRule="exact"/>
        <w:ind w:firstLine="600"/>
      </w:pPr>
      <w:r>
        <w:t>质保期：1年。</w:t>
      </w:r>
    </w:p>
    <w:p>
      <w:pPr>
        <w:adjustRightInd w:val="0"/>
        <w:snapToGrid w:val="0"/>
        <w:spacing w:line="560" w:lineRule="exact"/>
        <w:ind w:firstLine="600"/>
      </w:pPr>
      <w:r>
        <w:t>质量保修期内甲方在使用过程中，发生的质量问题可根据合同规定，要求乙方限期进行处理。</w:t>
      </w:r>
    </w:p>
    <w:p>
      <w:pPr>
        <w:pStyle w:val="6"/>
        <w:ind w:firstLine="0" w:firstLineChars="0"/>
        <w:rPr>
          <w:bCs/>
        </w:rPr>
      </w:pPr>
      <w:bookmarkStart w:id="106" w:name="_Toc1157"/>
      <w:r>
        <w:rPr>
          <w:rFonts w:hint="eastAsia"/>
          <w:bCs/>
        </w:rPr>
        <w:t>八</w:t>
      </w:r>
      <w:r>
        <w:rPr>
          <w:bCs/>
        </w:rPr>
        <w:t>、验收标准</w:t>
      </w:r>
      <w:bookmarkEnd w:id="106"/>
    </w:p>
    <w:p>
      <w:pPr>
        <w:adjustRightInd w:val="0"/>
        <w:snapToGrid w:val="0"/>
        <w:spacing w:line="560" w:lineRule="exact"/>
        <w:ind w:firstLine="600"/>
      </w:pPr>
      <w:r>
        <w:t>项目验收遵循国家最新颁布的验收规范和质量检验标准</w:t>
      </w:r>
      <w:r>
        <w:rPr>
          <w:rFonts w:hint="eastAsia"/>
        </w:rPr>
        <w:t>以及本技术规格书技术要求</w:t>
      </w:r>
      <w:r>
        <w:t>。</w:t>
      </w:r>
    </w:p>
    <w:p>
      <w:pPr>
        <w:ind w:firstLine="600"/>
        <w:jc w:val="left"/>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p>
    <w:bookmarkEnd w:id="90"/>
    <w:bookmarkEnd w:id="91"/>
    <w:bookmarkEnd w:id="92"/>
    <w:bookmarkEnd w:id="93"/>
    <w:bookmarkEnd w:id="94"/>
    <w:bookmarkEnd w:id="95"/>
    <w:bookmarkEnd w:id="96"/>
    <w:bookmarkEnd w:id="97"/>
    <w:bookmarkEnd w:id="98"/>
    <w:bookmarkEnd w:id="99"/>
    <w:bookmarkEnd w:id="100"/>
    <w:bookmarkEnd w:id="101"/>
    <w:p/>
    <w:p>
      <w:pPr>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br w:type="page"/>
      </w:r>
    </w:p>
    <w:p>
      <w:pPr>
        <w:pStyle w:val="4"/>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第</w:t>
      </w:r>
      <w:r>
        <w:rPr>
          <w:rFonts w:hint="eastAsia" w:ascii="方正仿宋简体" w:hAnsi="方正仿宋简体" w:eastAsia="方正仿宋简体" w:cs="方正仿宋简体"/>
          <w:b w:val="0"/>
          <w:bCs/>
          <w:color w:val="auto"/>
          <w:sz w:val="30"/>
          <w:szCs w:val="30"/>
          <w:highlight w:val="none"/>
          <w:lang w:val="en-US" w:eastAsia="zh-CN"/>
        </w:rPr>
        <w:t>六</w:t>
      </w:r>
      <w:r>
        <w:rPr>
          <w:rFonts w:hint="eastAsia" w:ascii="方正仿宋简体" w:hAnsi="方正仿宋简体" w:eastAsia="方正仿宋简体" w:cs="方正仿宋简体"/>
          <w:b w:val="0"/>
          <w:bCs/>
          <w:color w:val="auto"/>
          <w:sz w:val="30"/>
          <w:szCs w:val="30"/>
          <w:highlight w:val="none"/>
        </w:rPr>
        <w:t>章 谈判文件相关格式</w:t>
      </w:r>
      <w:bookmarkEnd w:id="87"/>
      <w:bookmarkEnd w:id="88"/>
      <w:bookmarkEnd w:id="89"/>
    </w:p>
    <w:p>
      <w:pPr>
        <w:pageBreakBefore w:val="0"/>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目   录</w:t>
      </w:r>
    </w:p>
    <w:p>
      <w:pPr>
        <w:pageBreakBefore w:val="0"/>
        <w:numPr>
          <w:ilvl w:val="0"/>
          <w:numId w:val="14"/>
        </w:numPr>
        <w:tabs>
          <w:tab w:val="left" w:pos="1440"/>
          <w:tab w:val="clear" w:pos="360"/>
        </w:tabs>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投标函</w:t>
      </w:r>
    </w:p>
    <w:p>
      <w:pPr>
        <w:pageBreakBefore w:val="0"/>
        <w:numPr>
          <w:ilvl w:val="0"/>
          <w:numId w:val="14"/>
        </w:numPr>
        <w:tabs>
          <w:tab w:val="left" w:pos="1440"/>
          <w:tab w:val="clear" w:pos="360"/>
        </w:tabs>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法定代表人身份证明/法定代表人授权委托书</w:t>
      </w:r>
    </w:p>
    <w:p>
      <w:pPr>
        <w:pageBreakBefore w:val="0"/>
        <w:numPr>
          <w:ilvl w:val="0"/>
          <w:numId w:val="14"/>
        </w:numPr>
        <w:tabs>
          <w:tab w:val="left" w:pos="1440"/>
          <w:tab w:val="clear" w:pos="360"/>
        </w:tabs>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投标报价</w:t>
      </w:r>
    </w:p>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（一）投标一览表</w:t>
      </w:r>
    </w:p>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（二）分项报价表</w:t>
      </w:r>
    </w:p>
    <w:p>
      <w:pPr>
        <w:pageBreakBefore w:val="0"/>
        <w:numPr>
          <w:ilvl w:val="0"/>
          <w:numId w:val="14"/>
        </w:numPr>
        <w:tabs>
          <w:tab w:val="left" w:pos="1440"/>
          <w:tab w:val="clear" w:pos="360"/>
        </w:tabs>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谈判文件商务部分</w:t>
      </w:r>
    </w:p>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（一）商务偏离表</w:t>
      </w:r>
    </w:p>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（二）资格证明文件</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1、投标人的企业营业执照、税务登记证、组织机构代码证</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2</w:t>
      </w:r>
      <w:r>
        <w:rPr>
          <w:rFonts w:hint="eastAsia" w:ascii="方正仿宋简体" w:hAnsi="方正仿宋简体" w:eastAsia="方正仿宋简体" w:cs="方正仿宋简体"/>
          <w:b w:val="0"/>
          <w:bCs/>
          <w:color w:val="auto"/>
          <w:sz w:val="30"/>
          <w:szCs w:val="30"/>
          <w:highlight w:val="none"/>
        </w:rPr>
        <w:t>、管理体系认证证书</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3</w:t>
      </w:r>
      <w:r>
        <w:rPr>
          <w:rFonts w:hint="eastAsia" w:ascii="方正仿宋简体" w:hAnsi="方正仿宋简体" w:eastAsia="方正仿宋简体" w:cs="方正仿宋简体"/>
          <w:b w:val="0"/>
          <w:bCs/>
          <w:color w:val="auto"/>
          <w:sz w:val="30"/>
          <w:szCs w:val="30"/>
          <w:highlight w:val="none"/>
        </w:rPr>
        <w:t xml:space="preserve"> 、招标项目的相关生产许可证、检验报告、煤安证书以及防爆合格证书等（如有）</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4</w:t>
      </w:r>
      <w:r>
        <w:rPr>
          <w:rFonts w:hint="eastAsia" w:ascii="方正仿宋简体" w:hAnsi="方正仿宋简体" w:eastAsia="方正仿宋简体" w:cs="方正仿宋简体"/>
          <w:b w:val="0"/>
          <w:bCs/>
          <w:color w:val="auto"/>
          <w:sz w:val="30"/>
          <w:szCs w:val="30"/>
          <w:highlight w:val="none"/>
        </w:rPr>
        <w:t xml:space="preserve"> 、近</w:t>
      </w:r>
      <w:r>
        <w:rPr>
          <w:rFonts w:hint="eastAsia" w:ascii="方正仿宋简体" w:hAnsi="方正仿宋简体" w:eastAsia="方正仿宋简体" w:cs="方正仿宋简体"/>
          <w:b w:val="0"/>
          <w:bCs/>
          <w:color w:val="auto"/>
          <w:sz w:val="30"/>
          <w:szCs w:val="30"/>
          <w:highlight w:val="none"/>
          <w:u w:val="single"/>
        </w:rPr>
        <w:t xml:space="preserve">  3  </w:t>
      </w:r>
      <w:r>
        <w:rPr>
          <w:rFonts w:hint="eastAsia" w:ascii="方正仿宋简体" w:hAnsi="方正仿宋简体" w:eastAsia="方正仿宋简体" w:cs="方正仿宋简体"/>
          <w:b w:val="0"/>
          <w:bCs/>
          <w:color w:val="auto"/>
          <w:sz w:val="30"/>
          <w:szCs w:val="30"/>
          <w:highlight w:val="none"/>
        </w:rPr>
        <w:t>年业绩清单及业绩证明资料</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5</w:t>
      </w:r>
      <w:r>
        <w:rPr>
          <w:rFonts w:hint="eastAsia" w:ascii="方正仿宋简体" w:hAnsi="方正仿宋简体" w:eastAsia="方正仿宋简体" w:cs="方正仿宋简体"/>
          <w:b w:val="0"/>
          <w:bCs/>
          <w:color w:val="auto"/>
          <w:sz w:val="30"/>
          <w:szCs w:val="30"/>
          <w:highlight w:val="none"/>
        </w:rPr>
        <w:t xml:space="preserve"> 、银行资信证明（原件）</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6</w:t>
      </w:r>
      <w:r>
        <w:rPr>
          <w:rFonts w:hint="eastAsia" w:ascii="方正仿宋简体" w:hAnsi="方正仿宋简体" w:eastAsia="方正仿宋简体" w:cs="方正仿宋简体"/>
          <w:b w:val="0"/>
          <w:bCs/>
          <w:color w:val="auto"/>
          <w:sz w:val="30"/>
          <w:szCs w:val="30"/>
          <w:highlight w:val="none"/>
        </w:rPr>
        <w:t xml:space="preserve"> 、近</w:t>
      </w:r>
      <w:r>
        <w:rPr>
          <w:rFonts w:hint="eastAsia" w:ascii="方正仿宋简体" w:hAnsi="方正仿宋简体" w:eastAsia="方正仿宋简体" w:cs="方正仿宋简体"/>
          <w:b w:val="0"/>
          <w:bCs/>
          <w:color w:val="auto"/>
          <w:sz w:val="30"/>
          <w:szCs w:val="30"/>
          <w:highlight w:val="none"/>
          <w:u w:val="single"/>
        </w:rPr>
        <w:t xml:space="preserve">  3  </w:t>
      </w:r>
      <w:r>
        <w:rPr>
          <w:rFonts w:hint="eastAsia" w:ascii="方正仿宋简体" w:hAnsi="方正仿宋简体" w:eastAsia="方正仿宋简体" w:cs="方正仿宋简体"/>
          <w:b w:val="0"/>
          <w:bCs/>
          <w:color w:val="auto"/>
          <w:sz w:val="30"/>
          <w:szCs w:val="30"/>
          <w:highlight w:val="none"/>
        </w:rPr>
        <w:t>年经审计的财务报表及审计报告</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7</w:t>
      </w:r>
      <w:r>
        <w:rPr>
          <w:rFonts w:hint="eastAsia" w:ascii="方正仿宋简体" w:hAnsi="方正仿宋简体" w:eastAsia="方正仿宋简体" w:cs="方正仿宋简体"/>
          <w:b w:val="0"/>
          <w:bCs/>
          <w:color w:val="auto"/>
          <w:sz w:val="30"/>
          <w:szCs w:val="30"/>
          <w:highlight w:val="none"/>
        </w:rPr>
        <w:t xml:space="preserve"> 、谈判文件要求提供的其它文件</w:t>
      </w:r>
    </w:p>
    <w:p>
      <w:pPr>
        <w:pageBreakBefore w:val="0"/>
        <w:numPr>
          <w:ilvl w:val="0"/>
          <w:numId w:val="14"/>
        </w:numPr>
        <w:tabs>
          <w:tab w:val="left" w:pos="1440"/>
          <w:tab w:val="clear" w:pos="360"/>
        </w:tabs>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谈判文件技术部分</w:t>
      </w:r>
    </w:p>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（一）技术偏离表</w:t>
      </w:r>
    </w:p>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（二）主要技术参数响应表（如需要）</w:t>
      </w:r>
    </w:p>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（三）技术响应文件</w:t>
      </w:r>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br w:type="page"/>
      </w: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lang w:val="en-US" w:eastAsia="zh-CN"/>
        </w:rPr>
      </w:pP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lang w:eastAsia="zh-CN"/>
        </w:rPr>
      </w:pPr>
      <w:r>
        <w:rPr>
          <w:rFonts w:hint="eastAsia" w:ascii="方正仿宋简体" w:hAnsi="方正仿宋简体" w:eastAsia="方正仿宋简体" w:cs="方正仿宋简体"/>
          <w:b w:val="0"/>
          <w:bCs/>
          <w:color w:val="auto"/>
          <w:sz w:val="30"/>
          <w:szCs w:val="30"/>
          <w:highlight w:val="none"/>
          <w:lang w:eastAsia="zh-CN"/>
        </w:rPr>
        <w:t>哈密市和翔有限责任公司</w:t>
      </w:r>
      <w:r>
        <w:rPr>
          <w:rFonts w:hint="eastAsia" w:ascii="方正仿宋简体" w:hAnsi="方正仿宋简体" w:eastAsia="方正仿宋简体" w:cs="方正仿宋简体"/>
          <w:b w:val="0"/>
          <w:bCs/>
          <w:color w:val="auto"/>
          <w:sz w:val="30"/>
          <w:szCs w:val="30"/>
          <w:highlight w:val="none"/>
          <w:lang w:val="en-US" w:eastAsia="zh-CN"/>
        </w:rPr>
        <w:t>别斯库都克</w:t>
      </w:r>
      <w:r>
        <w:rPr>
          <w:rFonts w:hint="eastAsia" w:ascii="方正仿宋简体" w:hAnsi="方正仿宋简体" w:eastAsia="方正仿宋简体" w:cs="方正仿宋简体"/>
          <w:b w:val="0"/>
          <w:bCs/>
          <w:color w:val="auto"/>
          <w:sz w:val="30"/>
          <w:szCs w:val="30"/>
          <w:highlight w:val="none"/>
          <w:lang w:eastAsia="zh-CN"/>
        </w:rPr>
        <w:t>露天煤矿</w:t>
      </w: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汽修车间及车间办公室修复项目项目编号：</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 </w:t>
      </w: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lang w:val="en-US" w:eastAsia="zh-CN"/>
        </w:rPr>
      </w:pPr>
      <w:r>
        <w:rPr>
          <w:rFonts w:hint="eastAsia" w:ascii="方正仿宋简体" w:hAnsi="方正仿宋简体" w:eastAsia="方正仿宋简体" w:cs="方正仿宋简体"/>
          <w:b w:val="0"/>
          <w:bCs/>
          <w:color w:val="auto"/>
          <w:sz w:val="30"/>
          <w:szCs w:val="30"/>
          <w:highlight w:val="none"/>
          <w:lang w:val="en-US" w:eastAsia="zh-CN"/>
        </w:rPr>
        <w:t>（仅进行格式说明）</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应  答  文  件</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投标人：</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（盖单位章）</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法定代表人或其委托代理人：</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（签字）</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                             年        月        日</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sz w:val="30"/>
          <w:szCs w:val="30"/>
          <w:highlight w:val="none"/>
        </w:rPr>
        <w:br w:type="page"/>
      </w:r>
      <w:bookmarkStart w:id="107" w:name="_Toc405303398"/>
      <w:bookmarkStart w:id="108" w:name="_Toc405302888"/>
      <w:r>
        <w:rPr>
          <w:rFonts w:hint="eastAsia" w:ascii="方正仿宋简体" w:hAnsi="方正仿宋简体" w:eastAsia="方正仿宋简体" w:cs="方正仿宋简体"/>
          <w:b w:val="0"/>
          <w:bCs/>
          <w:color w:val="auto"/>
          <w:kern w:val="0"/>
          <w:sz w:val="30"/>
          <w:szCs w:val="30"/>
          <w:highlight w:val="none"/>
        </w:rPr>
        <w:t>一、投标函格式</w:t>
      </w:r>
      <w:bookmarkEnd w:id="107"/>
      <w:bookmarkEnd w:id="108"/>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lang w:eastAsia="zh-CN"/>
        </w:rPr>
      </w:pPr>
      <w:r>
        <w:rPr>
          <w:rFonts w:hint="eastAsia" w:ascii="方正仿宋简体" w:hAnsi="方正仿宋简体" w:eastAsia="方正仿宋简体" w:cs="方正仿宋简体"/>
          <w:b w:val="0"/>
          <w:bCs/>
          <w:color w:val="auto"/>
          <w:sz w:val="30"/>
          <w:szCs w:val="30"/>
          <w:highlight w:val="none"/>
        </w:rPr>
        <w:t>致: 中煤华利能源</w:t>
      </w:r>
      <w:r>
        <w:rPr>
          <w:rFonts w:hint="eastAsia" w:ascii="方正仿宋简体" w:hAnsi="方正仿宋简体" w:eastAsia="方正仿宋简体" w:cs="方正仿宋简体"/>
          <w:b w:val="0"/>
          <w:bCs/>
          <w:color w:val="auto"/>
          <w:sz w:val="30"/>
          <w:szCs w:val="30"/>
          <w:highlight w:val="none"/>
          <w:lang w:eastAsia="zh-CN"/>
        </w:rPr>
        <w:t>物资采购中心</w:t>
      </w:r>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根据贵方</w:t>
      </w:r>
      <w:r>
        <w:rPr>
          <w:rFonts w:hint="eastAsia" w:ascii="方正仿宋简体" w:hAnsi="方正仿宋简体" w:eastAsia="方正仿宋简体" w:cs="方正仿宋简体"/>
          <w:b w:val="0"/>
          <w:bCs/>
          <w:color w:val="auto"/>
          <w:sz w:val="30"/>
          <w:szCs w:val="30"/>
          <w:highlight w:val="none"/>
          <w:u w:val="single"/>
        </w:rPr>
        <w:t>(项目名称)</w:t>
      </w:r>
      <w:r>
        <w:rPr>
          <w:rFonts w:hint="eastAsia" w:ascii="方正仿宋简体" w:hAnsi="方正仿宋简体" w:eastAsia="方正仿宋简体" w:cs="方正仿宋简体"/>
          <w:b w:val="0"/>
          <w:bCs/>
          <w:color w:val="auto"/>
          <w:sz w:val="30"/>
          <w:szCs w:val="30"/>
          <w:highlight w:val="none"/>
        </w:rPr>
        <w:t>的竞谈邀请书(招标编号:</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)正式授权下述签字人</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(姓名和职务)代表投标人</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 xml:space="preserve"> </w:t>
      </w:r>
      <w:r>
        <w:rPr>
          <w:rFonts w:hint="eastAsia" w:ascii="方正仿宋简体" w:hAnsi="方正仿宋简体" w:eastAsia="方正仿宋简体" w:cs="方正仿宋简体"/>
          <w:b w:val="0"/>
          <w:bCs/>
          <w:color w:val="auto"/>
          <w:sz w:val="30"/>
          <w:szCs w:val="30"/>
          <w:highlight w:val="none"/>
          <w:u w:val="single"/>
        </w:rPr>
        <w:t>(投标人名称、地点)</w:t>
      </w:r>
      <w:r>
        <w:rPr>
          <w:rFonts w:hint="eastAsia" w:ascii="方正仿宋简体" w:hAnsi="方正仿宋简体" w:eastAsia="方正仿宋简体" w:cs="方正仿宋简体"/>
          <w:b w:val="0"/>
          <w:bCs/>
          <w:color w:val="auto"/>
          <w:sz w:val="30"/>
          <w:szCs w:val="30"/>
          <w:highlight w:val="none"/>
        </w:rPr>
        <w:t>,提交下述文件正本一份,副本</w:t>
      </w:r>
      <w:r>
        <w:rPr>
          <w:rFonts w:hint="eastAsia" w:ascii="方正仿宋简体" w:hAnsi="方正仿宋简体" w:eastAsia="方正仿宋简体" w:cs="方正仿宋简体"/>
          <w:b w:val="0"/>
          <w:bCs/>
          <w:color w:val="auto"/>
          <w:sz w:val="30"/>
          <w:szCs w:val="30"/>
          <w:highlight w:val="none"/>
          <w:lang w:eastAsia="zh-CN"/>
        </w:rPr>
        <w:t>四</w:t>
      </w:r>
      <w:r>
        <w:rPr>
          <w:rFonts w:hint="eastAsia" w:ascii="方正仿宋简体" w:hAnsi="方正仿宋简体" w:eastAsia="方正仿宋简体" w:cs="方正仿宋简体"/>
          <w:b w:val="0"/>
          <w:bCs/>
          <w:color w:val="auto"/>
          <w:sz w:val="30"/>
          <w:szCs w:val="30"/>
          <w:highlight w:val="none"/>
        </w:rPr>
        <w:t>份。</w:t>
      </w:r>
    </w:p>
    <w:p>
      <w:pPr>
        <w:pageBreakBefore w:val="0"/>
        <w:tabs>
          <w:tab w:val="left" w:pos="1435"/>
        </w:tabs>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1.投标函格式</w:t>
      </w:r>
    </w:p>
    <w:p>
      <w:pPr>
        <w:pageBreakBefore w:val="0"/>
        <w:tabs>
          <w:tab w:val="left" w:pos="1435"/>
        </w:tabs>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2.法定代表人身份证明和法定代表人授权委托书</w:t>
      </w:r>
    </w:p>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3.投标报价</w:t>
      </w:r>
    </w:p>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4.谈判文件商务部分</w:t>
      </w:r>
    </w:p>
    <w:p>
      <w:pPr>
        <w:pageBreakBefore w:val="0"/>
        <w:kinsoku/>
        <w:wordWrap/>
        <w:overflowPunct/>
        <w:bidi w:val="0"/>
        <w:adjustRightInd w:val="0"/>
        <w:snapToGrid w:val="0"/>
        <w:spacing w:line="560" w:lineRule="exact"/>
        <w:ind w:left="0" w:leftChars="0" w:right="0" w:rightChars="0" w:firstLine="600" w:firstLineChars="200"/>
        <w:jc w:val="left"/>
        <w:textAlignment w:val="baseline"/>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5.谈判文件技术部分</w:t>
      </w:r>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6. 按谈判文件要求投标人提交的其它文件</w:t>
      </w:r>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据此函,签字人兹宣布同意如下条款:</w:t>
      </w:r>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 所附投标价格表中规定的投标总价为：</w:t>
      </w:r>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（大写）</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），工期为</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天。</w:t>
      </w:r>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 我们将按谈判文件的规定履行合同责任和义务。</w:t>
      </w:r>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 我们已详细审查全部谈判文件,包括修改意见(如有则附)以及全部参考资料和有关附件。我们完全理解并同意放弃对这方面有不明及误解而要求招标方解释和承担责任的权力。</w:t>
      </w:r>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 在投标人须知规定的投标有效期内遵循本投标书,并在投标人须知规定的投标有效期期满之前具有约束力。</w:t>
      </w:r>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(5) 如果在规定的投标有效期内撤回投标,我们的投标保证金可被贵方没收。</w:t>
      </w:r>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(6) 同意提供贵方可能要求的与本投标有关的任何证据或资料。</w:t>
      </w:r>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(7) 我们理解贵方不一定要接受最低报价的投标或收到的任何投标。 </w:t>
      </w:r>
    </w:p>
    <w:p>
      <w:pPr>
        <w:pageBreakBefore w:val="0"/>
        <w:kinsoku/>
        <w:wordWrap/>
        <w:overflowPunct/>
        <w:bidi w:val="0"/>
        <w:adjustRightInd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(8) 与本投标有关的一切正式往来通讯请寄：         </w:t>
      </w:r>
    </w:p>
    <w:p>
      <w:pPr>
        <w:pageBreakBefore w:val="0"/>
        <w:kinsoku/>
        <w:wordWrap/>
        <w:overflowPunct/>
        <w:bidi w:val="0"/>
        <w:spacing w:line="560" w:lineRule="exact"/>
        <w:ind w:left="0" w:leftChars="0" w:right="0" w:rightChars="0" w:firstLine="600" w:firstLineChars="200"/>
        <w:jc w:val="right"/>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 标 人：</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（盖单位章）</w:t>
      </w:r>
    </w:p>
    <w:p>
      <w:pPr>
        <w:pageBreakBefore w:val="0"/>
        <w:kinsoku/>
        <w:wordWrap/>
        <w:overflowPunct/>
        <w:bidi w:val="0"/>
        <w:spacing w:line="560" w:lineRule="exact"/>
        <w:ind w:left="0" w:leftChars="0" w:right="0" w:rightChars="0" w:firstLine="600" w:firstLineChars="200"/>
        <w:jc w:val="right"/>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法定代表人或其委托代理人</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（签字）</w:t>
      </w:r>
    </w:p>
    <w:p>
      <w:pPr>
        <w:pageBreakBefore w:val="0"/>
        <w:kinsoku/>
        <w:wordWrap/>
        <w:overflowPunct/>
        <w:bidi w:val="0"/>
        <w:spacing w:line="560" w:lineRule="exact"/>
        <w:ind w:left="0" w:leftChars="0" w:right="0" w:rightChars="0" w:firstLine="600" w:firstLineChars="200"/>
        <w:jc w:val="right"/>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 年    月     日</w:t>
      </w:r>
    </w:p>
    <w:p>
      <w:pPr>
        <w:keepNext/>
        <w:keepLines/>
        <w:pageBreakBefore w:val="0"/>
        <w:kinsoku/>
        <w:wordWrap/>
        <w:overflowPunct/>
        <w:bidi w:val="0"/>
        <w:adjustRightInd w:val="0"/>
        <w:snapToGrid w:val="0"/>
        <w:spacing w:line="560" w:lineRule="exact"/>
        <w:ind w:left="0" w:leftChars="0" w:right="0" w:rightChars="0" w:firstLine="600" w:firstLineChars="200"/>
        <w:jc w:val="center"/>
        <w:outlineLvl w:val="1"/>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br w:type="page"/>
      </w:r>
      <w:bookmarkStart w:id="109" w:name="_Toc405303399"/>
      <w:bookmarkStart w:id="110" w:name="_Toc405302889"/>
      <w:bookmarkStart w:id="111" w:name="_Toc30897"/>
      <w:r>
        <w:rPr>
          <w:rFonts w:hint="eastAsia" w:ascii="方正仿宋简体" w:hAnsi="方正仿宋简体" w:eastAsia="方正仿宋简体" w:cs="方正仿宋简体"/>
          <w:b w:val="0"/>
          <w:bCs/>
          <w:color w:val="auto"/>
          <w:kern w:val="0"/>
          <w:sz w:val="30"/>
          <w:szCs w:val="30"/>
          <w:highlight w:val="none"/>
        </w:rPr>
        <w:t>二、法定代表人身份证明</w:t>
      </w:r>
      <w:bookmarkEnd w:id="109"/>
      <w:bookmarkEnd w:id="110"/>
      <w:bookmarkEnd w:id="111"/>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投标人名称</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 xml:space="preserve"> </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单位性质：</w:t>
      </w:r>
      <w:r>
        <w:rPr>
          <w:rFonts w:hint="eastAsia" w:ascii="方正仿宋简体" w:hAnsi="方正仿宋简体" w:eastAsia="方正仿宋简体" w:cs="方正仿宋简体"/>
          <w:b w:val="0"/>
          <w:bCs/>
          <w:color w:val="auto"/>
          <w:sz w:val="30"/>
          <w:szCs w:val="30"/>
          <w:highlight w:val="none"/>
          <w:u w:val="single"/>
        </w:rPr>
        <w:t xml:space="preserve">                              </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地址：</w:t>
      </w:r>
      <w:r>
        <w:rPr>
          <w:rFonts w:hint="eastAsia" w:ascii="方正仿宋简体" w:hAnsi="方正仿宋简体" w:eastAsia="方正仿宋简体" w:cs="方正仿宋简体"/>
          <w:b w:val="0"/>
          <w:bCs/>
          <w:color w:val="auto"/>
          <w:sz w:val="30"/>
          <w:szCs w:val="30"/>
          <w:highlight w:val="none"/>
          <w:u w:val="single"/>
        </w:rPr>
        <w:t xml:space="preserve">                                   </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成立时间：          年        月        日</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经营期限：                               </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姓名：</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性别：</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年龄：</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职务：</w:t>
      </w:r>
      <w:r>
        <w:rPr>
          <w:rFonts w:hint="eastAsia" w:ascii="方正仿宋简体" w:hAnsi="方正仿宋简体" w:eastAsia="方正仿宋简体" w:cs="方正仿宋简体"/>
          <w:b w:val="0"/>
          <w:bCs/>
          <w:color w:val="auto"/>
          <w:sz w:val="30"/>
          <w:szCs w:val="30"/>
          <w:highlight w:val="none"/>
          <w:u w:val="single"/>
        </w:rPr>
        <w:t xml:space="preserve">        </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系</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（投标人名称）的法定代表人。</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特此证明。</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                          投标人：</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（盖单位章）</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                                       年    月     日           </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附：法定代表人身份证复印件</w:t>
      </w:r>
      <w:r>
        <w:rPr>
          <w:rFonts w:hint="eastAsia" w:ascii="方正仿宋简体" w:hAnsi="方正仿宋简体" w:eastAsia="方正仿宋简体" w:cs="方正仿宋简体"/>
          <w:b w:val="0"/>
          <w:bCs/>
          <w:color w:val="auto"/>
          <w:sz w:val="30"/>
          <w:szCs w:val="30"/>
          <w:highlight w:val="none"/>
        </w:rPr>
        <w:br w:type="page"/>
      </w:r>
    </w:p>
    <w:p>
      <w:pPr>
        <w:keepNext/>
        <w:keepLines/>
        <w:pageBreakBefore w:val="0"/>
        <w:kinsoku/>
        <w:wordWrap/>
        <w:overflowPunct/>
        <w:bidi w:val="0"/>
        <w:adjustRightInd w:val="0"/>
        <w:snapToGrid w:val="0"/>
        <w:spacing w:line="560" w:lineRule="exact"/>
        <w:ind w:left="0" w:leftChars="0" w:right="0" w:rightChars="0" w:firstLine="600" w:firstLineChars="200"/>
        <w:jc w:val="center"/>
        <w:outlineLvl w:val="1"/>
        <w:rPr>
          <w:rFonts w:hint="eastAsia" w:ascii="方正仿宋简体" w:hAnsi="方正仿宋简体" w:eastAsia="方正仿宋简体" w:cs="方正仿宋简体"/>
          <w:b w:val="0"/>
          <w:bCs/>
          <w:color w:val="auto"/>
          <w:kern w:val="0"/>
          <w:sz w:val="30"/>
          <w:szCs w:val="30"/>
          <w:highlight w:val="none"/>
        </w:rPr>
      </w:pPr>
      <w:bookmarkStart w:id="112" w:name="_Toc5990"/>
      <w:bookmarkStart w:id="113" w:name="_Toc405303180"/>
      <w:r>
        <w:rPr>
          <w:rFonts w:hint="eastAsia" w:ascii="方正仿宋简体" w:hAnsi="方正仿宋简体" w:eastAsia="方正仿宋简体" w:cs="方正仿宋简体"/>
          <w:b w:val="0"/>
          <w:bCs/>
          <w:color w:val="auto"/>
          <w:kern w:val="0"/>
          <w:sz w:val="30"/>
          <w:szCs w:val="30"/>
          <w:highlight w:val="none"/>
        </w:rPr>
        <w:t>法定代表人授权委托书</w:t>
      </w:r>
      <w:bookmarkEnd w:id="112"/>
      <w:bookmarkEnd w:id="113"/>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本人</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（姓名）系</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（投标人名称）的法定代表人，现委托</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（姓名）为我方代理人。代理人根据授权，以我方名义签署、澄清、说明、补正、递交、撤回、修改</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（项目名称）谈判文件、签订合同和处理有关事宜，其法律后果由我方承担。</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    委托期限：</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代理人无转委托权。</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投标人：</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（盖单位章）</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法定代表人：</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（签字）</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u w:val="single"/>
        </w:rPr>
      </w:pPr>
      <w:r>
        <w:rPr>
          <w:rFonts w:hint="eastAsia" w:ascii="方正仿宋简体" w:hAnsi="方正仿宋简体" w:eastAsia="方正仿宋简体" w:cs="方正仿宋简体"/>
          <w:b w:val="0"/>
          <w:bCs/>
          <w:color w:val="auto"/>
          <w:sz w:val="30"/>
          <w:szCs w:val="30"/>
          <w:highlight w:val="none"/>
        </w:rPr>
        <w:t>身份证号码：</w:t>
      </w:r>
      <w:r>
        <w:rPr>
          <w:rFonts w:hint="eastAsia" w:ascii="方正仿宋简体" w:hAnsi="方正仿宋简体" w:eastAsia="方正仿宋简体" w:cs="方正仿宋简体"/>
          <w:b w:val="0"/>
          <w:bCs/>
          <w:color w:val="auto"/>
          <w:sz w:val="30"/>
          <w:szCs w:val="30"/>
          <w:highlight w:val="none"/>
          <w:u w:val="single"/>
        </w:rPr>
        <w:t xml:space="preserve">                                     </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委托代理人：</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 xml:space="preserve">（签字） </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身份证号码：</w:t>
      </w:r>
      <w:r>
        <w:rPr>
          <w:rFonts w:hint="eastAsia" w:ascii="方正仿宋简体" w:hAnsi="方正仿宋简体" w:eastAsia="方正仿宋简体" w:cs="方正仿宋简体"/>
          <w:b w:val="0"/>
          <w:bCs/>
          <w:color w:val="auto"/>
          <w:sz w:val="30"/>
          <w:szCs w:val="30"/>
          <w:highlight w:val="none"/>
          <w:u w:val="single"/>
        </w:rPr>
        <w:t xml:space="preserve">                                      </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       年       月       日</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附：委托代理人身份证明</w:t>
      </w:r>
    </w:p>
    <w:p>
      <w:pPr>
        <w:pageBreakBefore w:val="0"/>
        <w:kinsoku/>
        <w:wordWrap/>
        <w:overflowPunct/>
        <w:bidi w:val="0"/>
        <w:spacing w:line="560" w:lineRule="exact"/>
        <w:ind w:left="0" w:leftChars="0" w:right="0" w:rightChars="0" w:firstLine="616" w:firstLineChars="200"/>
        <w:rPr>
          <w:rFonts w:hint="eastAsia" w:ascii="方正仿宋简体" w:hAnsi="方正仿宋简体" w:eastAsia="方正仿宋简体" w:cs="方正仿宋简体"/>
          <w:b w:val="0"/>
          <w:bCs/>
          <w:color w:val="auto"/>
          <w:spacing w:val="4"/>
          <w:sz w:val="30"/>
          <w:szCs w:val="30"/>
          <w:highlight w:val="none"/>
        </w:rPr>
      </w:pPr>
    </w:p>
    <w:p>
      <w:pPr>
        <w:pageBreakBefore w:val="0"/>
        <w:kinsoku/>
        <w:wordWrap/>
        <w:overflowPunct/>
        <w:bidi w:val="0"/>
        <w:spacing w:line="560" w:lineRule="exact"/>
        <w:ind w:left="0" w:leftChars="0" w:right="0" w:rightChars="0" w:firstLine="616" w:firstLineChars="200"/>
        <w:rPr>
          <w:rFonts w:hint="eastAsia" w:ascii="方正仿宋简体" w:hAnsi="方正仿宋简体" w:eastAsia="方正仿宋简体" w:cs="方正仿宋简体"/>
          <w:b w:val="0"/>
          <w:bCs/>
          <w:color w:val="auto"/>
          <w:spacing w:val="4"/>
          <w:sz w:val="30"/>
          <w:szCs w:val="30"/>
          <w:highlight w:val="none"/>
        </w:rPr>
      </w:pPr>
    </w:p>
    <w:p>
      <w:pPr>
        <w:pageBreakBefore w:val="0"/>
        <w:kinsoku/>
        <w:wordWrap/>
        <w:overflowPunct/>
        <w:bidi w:val="0"/>
        <w:spacing w:line="560" w:lineRule="exact"/>
        <w:ind w:left="0" w:leftChars="0" w:right="0" w:rightChars="0" w:firstLine="616"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pacing w:val="4"/>
          <w:kern w:val="0"/>
          <w:sz w:val="30"/>
          <w:szCs w:val="30"/>
          <w:highlight w:val="none"/>
        </w:rPr>
        <w:br w:type="page"/>
      </w:r>
    </w:p>
    <w:p>
      <w:pPr>
        <w:keepNext/>
        <w:keepLines/>
        <w:pageBreakBefore w:val="0"/>
        <w:kinsoku/>
        <w:wordWrap/>
        <w:overflowPunct/>
        <w:bidi w:val="0"/>
        <w:adjustRightInd w:val="0"/>
        <w:snapToGrid w:val="0"/>
        <w:spacing w:line="560" w:lineRule="exact"/>
        <w:ind w:left="0" w:leftChars="0" w:right="0" w:rightChars="0" w:firstLine="600" w:firstLineChars="200"/>
        <w:jc w:val="center"/>
        <w:outlineLvl w:val="1"/>
        <w:rPr>
          <w:rFonts w:hint="eastAsia" w:ascii="方正仿宋简体" w:hAnsi="方正仿宋简体" w:eastAsia="方正仿宋简体" w:cs="方正仿宋简体"/>
          <w:b w:val="0"/>
          <w:bCs/>
          <w:color w:val="auto"/>
          <w:kern w:val="0"/>
          <w:sz w:val="30"/>
          <w:szCs w:val="30"/>
          <w:highlight w:val="none"/>
        </w:rPr>
      </w:pPr>
      <w:bookmarkStart w:id="114" w:name="_Toc405303401"/>
      <w:bookmarkStart w:id="115" w:name="_Toc19355"/>
      <w:bookmarkStart w:id="116" w:name="_Toc405302891"/>
      <w:r>
        <w:rPr>
          <w:rFonts w:hint="eastAsia" w:ascii="方正仿宋简体" w:hAnsi="方正仿宋简体" w:eastAsia="方正仿宋简体" w:cs="方正仿宋简体"/>
          <w:b w:val="0"/>
          <w:bCs/>
          <w:color w:val="auto"/>
          <w:kern w:val="0"/>
          <w:sz w:val="30"/>
          <w:szCs w:val="30"/>
          <w:highlight w:val="none"/>
        </w:rPr>
        <w:t>三、投标报价</w:t>
      </w:r>
      <w:bookmarkEnd w:id="114"/>
      <w:bookmarkEnd w:id="115"/>
      <w:bookmarkEnd w:id="116"/>
    </w:p>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（一）投标一览表</w:t>
      </w:r>
    </w:p>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项目名称及标段名称：</w:t>
      </w:r>
      <w:r>
        <w:rPr>
          <w:rFonts w:hint="eastAsia" w:ascii="方正仿宋简体" w:hAnsi="方正仿宋简体" w:eastAsia="方正仿宋简体" w:cs="方正仿宋简体"/>
          <w:b w:val="0"/>
          <w:bCs/>
          <w:color w:val="auto"/>
          <w:sz w:val="30"/>
          <w:szCs w:val="30"/>
          <w:highlight w:val="none"/>
          <w:u w:val="single"/>
        </w:rPr>
        <w:t xml:space="preserve">              </w:t>
      </w:r>
    </w:p>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项   目   编   号：</w:t>
      </w:r>
      <w:r>
        <w:rPr>
          <w:rFonts w:hint="eastAsia" w:ascii="方正仿宋简体" w:hAnsi="方正仿宋简体" w:eastAsia="方正仿宋简体" w:cs="方正仿宋简体"/>
          <w:b w:val="0"/>
          <w:bCs/>
          <w:color w:val="auto"/>
          <w:sz w:val="30"/>
          <w:szCs w:val="30"/>
          <w:highlight w:val="none"/>
          <w:u w:val="single"/>
        </w:rPr>
        <w:t xml:space="preserve">               </w:t>
      </w:r>
    </w:p>
    <w:tbl>
      <w:tblPr>
        <w:tblStyle w:val="5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891"/>
        <w:gridCol w:w="694"/>
        <w:gridCol w:w="2422"/>
        <w:gridCol w:w="1282"/>
        <w:gridCol w:w="1186"/>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jc w:val="both"/>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序号</w:t>
            </w:r>
          </w:p>
        </w:tc>
        <w:tc>
          <w:tcPr>
            <w:tcW w:w="8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jc w:val="both"/>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项目</w:t>
            </w:r>
          </w:p>
        </w:tc>
        <w:tc>
          <w:tcPr>
            <w:tcW w:w="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jc w:val="both"/>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单位</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投标报价（万元）</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工期</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投标保证金</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jc w:val="both"/>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投标声明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right="0" w:rightChars="0"/>
              <w:jc w:val="both"/>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一</w:t>
            </w:r>
          </w:p>
        </w:tc>
        <w:tc>
          <w:tcPr>
            <w:tcW w:w="89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right="0" w:rightChars="0"/>
              <w:jc w:val="both"/>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项</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282"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186"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41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right="0" w:rightChars="0"/>
              <w:jc w:val="both"/>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二</w:t>
            </w:r>
          </w:p>
        </w:tc>
        <w:tc>
          <w:tcPr>
            <w:tcW w:w="89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right="0" w:rightChars="0"/>
              <w:jc w:val="both"/>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项</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28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18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41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right="0" w:rightChars="0"/>
              <w:jc w:val="both"/>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三</w:t>
            </w:r>
          </w:p>
        </w:tc>
        <w:tc>
          <w:tcPr>
            <w:tcW w:w="89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right="0" w:rightChars="0"/>
              <w:jc w:val="both"/>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项</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28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18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41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right="0" w:rightChars="0"/>
              <w:jc w:val="both"/>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四</w:t>
            </w:r>
          </w:p>
        </w:tc>
        <w:tc>
          <w:tcPr>
            <w:tcW w:w="89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right="0" w:rightChars="0"/>
              <w:jc w:val="both"/>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项</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282"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186"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41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right="0" w:rightChars="0"/>
              <w:jc w:val="both"/>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w:t>
            </w:r>
          </w:p>
        </w:tc>
        <w:tc>
          <w:tcPr>
            <w:tcW w:w="89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242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28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18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41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right="0" w:rightChars="0"/>
              <w:jc w:val="both"/>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w:t>
            </w:r>
          </w:p>
        </w:tc>
        <w:tc>
          <w:tcPr>
            <w:tcW w:w="89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242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28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18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141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right="0" w:rightChars="0"/>
              <w:jc w:val="both"/>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合计</w:t>
            </w:r>
          </w:p>
        </w:tc>
        <w:tc>
          <w:tcPr>
            <w:tcW w:w="89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p>
        </w:tc>
        <w:tc>
          <w:tcPr>
            <w:tcW w:w="4890"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p>
          <w:p>
            <w:pPr>
              <w:pageBreakBefore w:val="0"/>
              <w:kinsoku/>
              <w:wordWrap/>
              <w:overflowPunct/>
              <w:topLinePunct/>
              <w:bidi w:val="0"/>
              <w:spacing w:line="560" w:lineRule="exact"/>
              <w:ind w:right="0" w:rightChars="0"/>
              <w:jc w:val="left"/>
              <w:rPr>
                <w:rFonts w:hint="eastAsia" w:ascii="方正仿宋简体" w:hAnsi="方正仿宋简体" w:eastAsia="方正仿宋简体" w:cs="方正仿宋简体"/>
                <w:b w:val="0"/>
                <w:bCs/>
                <w:color w:val="auto"/>
                <w:kern w:val="0"/>
                <w:sz w:val="30"/>
                <w:szCs w:val="30"/>
                <w:highlight w:val="none"/>
                <w:u w:val="single"/>
              </w:rPr>
            </w:pPr>
            <w:r>
              <w:rPr>
                <w:rFonts w:hint="eastAsia" w:ascii="方正仿宋简体" w:hAnsi="方正仿宋简体" w:eastAsia="方正仿宋简体" w:cs="方正仿宋简体"/>
                <w:b w:val="0"/>
                <w:bCs/>
                <w:color w:val="auto"/>
                <w:kern w:val="0"/>
                <w:sz w:val="30"/>
                <w:szCs w:val="30"/>
                <w:highlight w:val="none"/>
              </w:rPr>
              <w:t>总报价：</w:t>
            </w:r>
            <w:r>
              <w:rPr>
                <w:rFonts w:hint="eastAsia" w:ascii="方正仿宋简体" w:hAnsi="方正仿宋简体" w:eastAsia="方正仿宋简体" w:cs="方正仿宋简体"/>
                <w:b w:val="0"/>
                <w:bCs/>
                <w:color w:val="auto"/>
                <w:kern w:val="0"/>
                <w:sz w:val="30"/>
                <w:szCs w:val="30"/>
                <w:highlight w:val="none"/>
                <w:u w:val="single"/>
              </w:rPr>
              <w:t xml:space="preserve"> 　            </w:t>
            </w:r>
            <w:r>
              <w:rPr>
                <w:rFonts w:hint="eastAsia" w:ascii="方正仿宋简体" w:hAnsi="方正仿宋简体" w:eastAsia="方正仿宋简体" w:cs="方正仿宋简体"/>
                <w:b w:val="0"/>
                <w:bCs/>
                <w:color w:val="auto"/>
                <w:kern w:val="0"/>
                <w:sz w:val="30"/>
                <w:szCs w:val="30"/>
                <w:highlight w:val="none"/>
              </w:rPr>
              <w:t>元整（大写：</w:t>
            </w:r>
            <w:r>
              <w:rPr>
                <w:rFonts w:hint="eastAsia" w:ascii="方正仿宋简体" w:hAnsi="方正仿宋简体" w:eastAsia="方正仿宋简体" w:cs="方正仿宋简体"/>
                <w:b w:val="0"/>
                <w:bCs/>
                <w:color w:val="auto"/>
                <w:kern w:val="0"/>
                <w:sz w:val="30"/>
                <w:szCs w:val="30"/>
                <w:highlight w:val="none"/>
                <w:u w:val="single"/>
              </w:rPr>
              <w:t xml:space="preserve">            </w:t>
            </w:r>
            <w:r>
              <w:rPr>
                <w:rFonts w:hint="eastAsia" w:ascii="方正仿宋简体" w:hAnsi="方正仿宋简体" w:eastAsia="方正仿宋简体" w:cs="方正仿宋简体"/>
                <w:b w:val="0"/>
                <w:bCs/>
                <w:color w:val="auto"/>
                <w:kern w:val="0"/>
                <w:sz w:val="30"/>
                <w:szCs w:val="30"/>
                <w:highlight w:val="none"/>
              </w:rPr>
              <w:t>元整）</w:t>
            </w:r>
          </w:p>
          <w:p>
            <w:pPr>
              <w:pageBreakBefore w:val="0"/>
              <w:widowControl/>
              <w:kinsoku/>
              <w:wordWrap/>
              <w:overflowPunct/>
              <w:bidi w:val="0"/>
              <w:spacing w:line="560" w:lineRule="exact"/>
              <w:ind w:left="0" w:leftChars="0" w:right="0" w:rightChars="0" w:firstLine="600" w:firstLineChars="200"/>
              <w:jc w:val="right"/>
              <w:rPr>
                <w:rFonts w:hint="eastAsia" w:ascii="方正仿宋简体" w:hAnsi="方正仿宋简体" w:eastAsia="方正仿宋简体" w:cs="方正仿宋简体"/>
                <w:b w:val="0"/>
                <w:bCs/>
                <w:color w:val="auto"/>
                <w:kern w:val="0"/>
                <w:sz w:val="30"/>
                <w:szCs w:val="30"/>
                <w:highlight w:val="none"/>
              </w:rPr>
            </w:pPr>
          </w:p>
        </w:tc>
        <w:tc>
          <w:tcPr>
            <w:tcW w:w="141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wordWrap/>
              <w:overflowPunct/>
              <w:bidi w:val="0"/>
              <w:spacing w:line="560" w:lineRule="exact"/>
              <w:ind w:left="0" w:leftChars="0" w:right="0" w:rightChars="0" w:firstLine="600" w:firstLineChars="200"/>
              <w:jc w:val="right"/>
              <w:rPr>
                <w:rFonts w:hint="eastAsia" w:ascii="方正仿宋简体" w:hAnsi="方正仿宋简体" w:eastAsia="方正仿宋简体" w:cs="方正仿宋简体"/>
                <w:b w:val="0"/>
                <w:bCs/>
                <w:color w:val="auto"/>
                <w:kern w:val="0"/>
                <w:sz w:val="30"/>
                <w:szCs w:val="30"/>
                <w:highlight w:val="none"/>
              </w:rPr>
            </w:pPr>
          </w:p>
        </w:tc>
      </w:tr>
    </w:tbl>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投标人全称（盖章）：</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 xml:space="preserve"> </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u w:val="single"/>
        </w:rPr>
      </w:pPr>
      <w:r>
        <w:rPr>
          <w:rFonts w:hint="eastAsia" w:ascii="方正仿宋简体" w:hAnsi="方正仿宋简体" w:eastAsia="方正仿宋简体" w:cs="方正仿宋简体"/>
          <w:b w:val="0"/>
          <w:bCs/>
          <w:color w:val="auto"/>
          <w:sz w:val="30"/>
          <w:szCs w:val="30"/>
          <w:highlight w:val="none"/>
        </w:rPr>
        <w:t>法定代表人或授权代表人（签字）：</w:t>
      </w:r>
      <w:r>
        <w:rPr>
          <w:rFonts w:hint="eastAsia" w:ascii="方正仿宋简体" w:hAnsi="方正仿宋简体" w:eastAsia="方正仿宋简体" w:cs="方正仿宋简体"/>
          <w:b w:val="0"/>
          <w:bCs/>
          <w:color w:val="auto"/>
          <w:sz w:val="30"/>
          <w:szCs w:val="30"/>
          <w:highlight w:val="none"/>
          <w:u w:val="single"/>
        </w:rPr>
        <w:t xml:space="preserve">　                  </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日期：</w:t>
      </w:r>
    </w:p>
    <w:p>
      <w:pPr>
        <w:pageBreakBefore w:val="0"/>
        <w:kinsoku/>
        <w:wordWrap/>
        <w:overflowPunct/>
        <w:bidi w:val="0"/>
        <w:snapToGrid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sectPr>
          <w:head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（二）分项报价表</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lang w:val="en-US" w:eastAsia="zh-CN"/>
        </w:rPr>
        <w:t>1</w:t>
      </w:r>
      <w:r>
        <w:rPr>
          <w:rFonts w:hint="eastAsia" w:ascii="方正仿宋简体" w:hAnsi="方正仿宋简体" w:eastAsia="方正仿宋简体" w:cs="方正仿宋简体"/>
          <w:b w:val="0"/>
          <w:bCs/>
          <w:color w:val="auto"/>
          <w:sz w:val="30"/>
          <w:szCs w:val="30"/>
          <w:highlight w:val="none"/>
        </w:rPr>
        <w:t>.各投标人应认真研究本谈判文件相关要求，针对本项目招标范围、质量目标，充分考虑到其作为一个有经验且业绩优良的承包商所应合理预见到的各种风险，按照市场竞争的原则，依据本谈判文件要求，对提供所有服务及因此发生的所有费用进行自主报价。除非谈判文件中另有规定，投标报价应为完成本项目施工所发生的各项费用，包括投标范围内的消耗材料费用、人工费、施工机械使用费、工器具使用费、施工措施费、临时设施费、安全文明施工措施费、管理费、财务费用、施工队伍调遣费、利润、增值税及其它可能发生的各种费用。报价须按附表格式进行报价，如有需要可以进行扩充，但不得改变附表的格式。</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2本项目的发包方式为包工包消耗性材料，其范围内所需的设备、</w:t>
      </w:r>
      <w:r>
        <w:rPr>
          <w:rFonts w:hint="eastAsia" w:ascii="方正仿宋简体" w:hAnsi="方正仿宋简体" w:eastAsia="方正仿宋简体" w:cs="方正仿宋简体"/>
          <w:b w:val="0"/>
          <w:bCs/>
          <w:color w:val="auto"/>
          <w:sz w:val="30"/>
          <w:szCs w:val="30"/>
          <w:highlight w:val="none"/>
          <w:lang w:val="en-US" w:eastAsia="zh-CN"/>
        </w:rPr>
        <w:t>材料、</w:t>
      </w:r>
      <w:r>
        <w:rPr>
          <w:rFonts w:hint="eastAsia" w:ascii="方正仿宋简体" w:hAnsi="方正仿宋简体" w:eastAsia="方正仿宋简体" w:cs="方正仿宋简体"/>
          <w:b w:val="0"/>
          <w:bCs/>
          <w:color w:val="auto"/>
          <w:sz w:val="30"/>
          <w:szCs w:val="30"/>
          <w:highlight w:val="none"/>
        </w:rPr>
        <w:t>附在设备上的部分材料均由招标人提供；部分物资及不附在设备上的材料按谈判文件《技术部分》要求由投标人提供。投标人的报价中不应包括招标人提供材料的费用。</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3投标人应根据招标人要求的项目、内容、合同条款规定的付款方式及奖罚措施报价，报价中还应充分考虑到以下3.1至3.8等几方面的因素：</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3.1为完成本项目所需的公用房、材料库、住宿等房屋设施及车辆交通均由投标人自己解决，招标人不负责提供。招标人只负责提供生产厂区值班地点的系统内部电话，其它投标人认为还需要的通信设施由投标人自己解决，其发生的一切费用由投标人承担。</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3.2施工</w:t>
      </w:r>
      <w:r>
        <w:rPr>
          <w:rFonts w:hint="eastAsia" w:ascii="方正仿宋简体" w:hAnsi="方正仿宋简体" w:eastAsia="方正仿宋简体" w:cs="方正仿宋简体"/>
          <w:b w:val="0"/>
          <w:bCs/>
          <w:color w:val="auto"/>
          <w:sz w:val="30"/>
          <w:szCs w:val="30"/>
          <w:highlight w:val="none"/>
          <w:lang w:val="en-US" w:eastAsia="zh-CN"/>
        </w:rPr>
        <w:t>作业</w:t>
      </w:r>
      <w:r>
        <w:rPr>
          <w:rFonts w:hint="eastAsia" w:ascii="方正仿宋简体" w:hAnsi="方正仿宋简体" w:eastAsia="方正仿宋简体" w:cs="方正仿宋简体"/>
          <w:b w:val="0"/>
          <w:bCs/>
          <w:color w:val="auto"/>
          <w:sz w:val="30"/>
          <w:szCs w:val="30"/>
          <w:highlight w:val="none"/>
        </w:rPr>
        <w:t>全部</w:t>
      </w:r>
      <w:r>
        <w:rPr>
          <w:rFonts w:hint="eastAsia" w:ascii="方正仿宋简体" w:hAnsi="方正仿宋简体" w:eastAsia="方正仿宋简体" w:cs="方正仿宋简体"/>
          <w:b w:val="0"/>
          <w:bCs/>
          <w:color w:val="auto"/>
          <w:sz w:val="30"/>
          <w:szCs w:val="30"/>
          <w:highlight w:val="none"/>
          <w:lang w:val="en-US" w:eastAsia="zh-CN"/>
        </w:rPr>
        <w:t>材料、</w:t>
      </w:r>
      <w:r>
        <w:rPr>
          <w:rFonts w:hint="eastAsia" w:ascii="方正仿宋简体" w:hAnsi="方正仿宋简体" w:eastAsia="方正仿宋简体" w:cs="方正仿宋简体"/>
          <w:b w:val="0"/>
          <w:bCs/>
          <w:color w:val="auto"/>
          <w:sz w:val="30"/>
          <w:szCs w:val="30"/>
          <w:highlight w:val="none"/>
        </w:rPr>
        <w:t>设备、工器具、脚手架及附件、办公设备、计算机硬件设备等，均由投标人自备。</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3.3本项目检修施工所需用电源、水源由招标人提供，投标人的投标报价中不应包括此费用。</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3.4投标人按招标人要求进行</w:t>
      </w:r>
      <w:r>
        <w:rPr>
          <w:rFonts w:hint="eastAsia" w:ascii="方正仿宋简体" w:hAnsi="方正仿宋简体" w:eastAsia="方正仿宋简体" w:cs="方正仿宋简体"/>
          <w:b w:val="0"/>
          <w:bCs/>
          <w:color w:val="auto"/>
          <w:sz w:val="30"/>
          <w:szCs w:val="30"/>
          <w:highlight w:val="none"/>
          <w:lang w:val="en-US" w:eastAsia="zh-CN"/>
        </w:rPr>
        <w:t>施工</w:t>
      </w:r>
      <w:r>
        <w:rPr>
          <w:rFonts w:hint="eastAsia" w:ascii="方正仿宋简体" w:hAnsi="方正仿宋简体" w:eastAsia="方正仿宋简体" w:cs="方正仿宋简体"/>
          <w:b w:val="0"/>
          <w:bCs/>
          <w:color w:val="auto"/>
          <w:sz w:val="30"/>
          <w:szCs w:val="30"/>
          <w:highlight w:val="none"/>
        </w:rPr>
        <w:t>、检验、试验等工作的费用在报价范围内。</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3.5作为一个有经验的且业绩优良的承包商所应合理预见到的各种风险，</w:t>
      </w:r>
      <w:r>
        <w:rPr>
          <w:rFonts w:hint="eastAsia" w:ascii="方正仿宋简体" w:hAnsi="方正仿宋简体" w:eastAsia="方正仿宋简体" w:cs="方正仿宋简体"/>
          <w:b w:val="0"/>
          <w:bCs/>
          <w:color w:val="auto"/>
          <w:sz w:val="30"/>
          <w:szCs w:val="30"/>
          <w:highlight w:val="none"/>
          <w:lang w:val="en-US" w:eastAsia="zh-CN"/>
        </w:rPr>
        <w:t>施工项目</w:t>
      </w:r>
      <w:r>
        <w:rPr>
          <w:rFonts w:hint="eastAsia" w:ascii="方正仿宋简体" w:hAnsi="方正仿宋简体" w:eastAsia="方正仿宋简体" w:cs="方正仿宋简体"/>
          <w:b w:val="0"/>
          <w:bCs/>
          <w:color w:val="auto"/>
          <w:sz w:val="30"/>
          <w:szCs w:val="30"/>
          <w:highlight w:val="none"/>
        </w:rPr>
        <w:t>变更所增加的工作量已经包含在投标报价的不可预见费中，无论工作量大小承包方不得要求工日及费用的追加，也不得拒绝执行。</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3.6投标人应充分考虑检修整体结束后全面清扫标段范围内的设备、</w:t>
      </w:r>
      <w:r>
        <w:rPr>
          <w:rFonts w:hint="eastAsia" w:ascii="方正仿宋简体" w:hAnsi="方正仿宋简体" w:eastAsia="方正仿宋简体" w:cs="方正仿宋简体"/>
          <w:b w:val="0"/>
          <w:bCs/>
          <w:color w:val="auto"/>
          <w:sz w:val="30"/>
          <w:szCs w:val="30"/>
          <w:highlight w:val="none"/>
          <w:lang w:val="en-US" w:eastAsia="zh-CN"/>
        </w:rPr>
        <w:t>设施、</w:t>
      </w:r>
      <w:r>
        <w:rPr>
          <w:rFonts w:hint="eastAsia" w:ascii="方正仿宋简体" w:hAnsi="方正仿宋简体" w:eastAsia="方正仿宋简体" w:cs="方正仿宋简体"/>
          <w:b w:val="0"/>
          <w:bCs/>
          <w:color w:val="auto"/>
          <w:sz w:val="30"/>
          <w:szCs w:val="30"/>
          <w:highlight w:val="none"/>
        </w:rPr>
        <w:t>区域卫生费用。</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3.7根据</w:t>
      </w:r>
      <w:r>
        <w:rPr>
          <w:rFonts w:hint="eastAsia" w:ascii="方正仿宋简体" w:hAnsi="方正仿宋简体" w:eastAsia="方正仿宋简体" w:cs="方正仿宋简体"/>
          <w:b w:val="0"/>
          <w:bCs/>
          <w:color w:val="auto"/>
          <w:sz w:val="30"/>
          <w:szCs w:val="30"/>
          <w:highlight w:val="none"/>
          <w:lang w:val="en-US" w:eastAsia="zh-CN"/>
        </w:rPr>
        <w:t>施工</w:t>
      </w:r>
      <w:r>
        <w:rPr>
          <w:rFonts w:hint="eastAsia" w:ascii="方正仿宋简体" w:hAnsi="方正仿宋简体" w:eastAsia="方正仿宋简体" w:cs="方正仿宋简体"/>
          <w:b w:val="0"/>
          <w:bCs/>
          <w:color w:val="auto"/>
          <w:sz w:val="30"/>
          <w:szCs w:val="30"/>
          <w:highlight w:val="none"/>
        </w:rPr>
        <w:t>现场实际情况，本标段范围内的所列</w:t>
      </w:r>
      <w:r>
        <w:rPr>
          <w:rFonts w:hint="eastAsia" w:ascii="方正仿宋简体" w:hAnsi="方正仿宋简体" w:eastAsia="方正仿宋简体" w:cs="方正仿宋简体"/>
          <w:b w:val="0"/>
          <w:bCs/>
          <w:color w:val="auto"/>
          <w:sz w:val="30"/>
          <w:szCs w:val="30"/>
          <w:highlight w:val="none"/>
          <w:lang w:val="en-US" w:eastAsia="zh-CN"/>
        </w:rPr>
        <w:t>施工</w:t>
      </w:r>
      <w:r>
        <w:rPr>
          <w:rFonts w:hint="eastAsia" w:ascii="方正仿宋简体" w:hAnsi="方正仿宋简体" w:eastAsia="方正仿宋简体" w:cs="方正仿宋简体"/>
          <w:b w:val="0"/>
          <w:bCs/>
          <w:color w:val="auto"/>
          <w:sz w:val="30"/>
          <w:szCs w:val="30"/>
          <w:highlight w:val="none"/>
        </w:rPr>
        <w:t>项目若经发标单位确认未能施工的，在合同费用结算时，将作相应的核减。</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3.8为完成本标段项目施工、竣工、保修时，投标人必须采取的有效的各种措施，保证招标人其它</w:t>
      </w:r>
      <w:r>
        <w:rPr>
          <w:rFonts w:hint="eastAsia" w:ascii="方正仿宋简体" w:hAnsi="方正仿宋简体" w:eastAsia="方正仿宋简体" w:cs="方正仿宋简体"/>
          <w:b w:val="0"/>
          <w:bCs/>
          <w:color w:val="auto"/>
          <w:sz w:val="30"/>
          <w:szCs w:val="30"/>
          <w:highlight w:val="none"/>
          <w:lang w:val="en-US" w:eastAsia="zh-CN"/>
        </w:rPr>
        <w:t>设施</w:t>
      </w:r>
      <w:r>
        <w:rPr>
          <w:rFonts w:hint="eastAsia" w:ascii="方正仿宋简体" w:hAnsi="方正仿宋简体" w:eastAsia="方正仿宋简体" w:cs="方正仿宋简体"/>
          <w:b w:val="0"/>
          <w:bCs/>
          <w:color w:val="auto"/>
          <w:sz w:val="30"/>
          <w:szCs w:val="30"/>
          <w:highlight w:val="none"/>
        </w:rPr>
        <w:t>的正常运行，不得影响招标人的正常生产活动。</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2．投标价格采用方式</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本报价为总价承包，报价按报价汇总表与分项报价表分别进行报价。</w:t>
      </w: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br w:type="page"/>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  表1</w:t>
      </w:r>
    </w:p>
    <w:tbl>
      <w:tblPr>
        <w:tblStyle w:val="51"/>
        <w:tblW w:w="9034"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54"/>
        <w:gridCol w:w="2210"/>
        <w:gridCol w:w="1665"/>
        <w:gridCol w:w="975"/>
        <w:gridCol w:w="1200"/>
        <w:gridCol w:w="120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5" w:hRule="atLeast"/>
        </w:trPr>
        <w:tc>
          <w:tcPr>
            <w:tcW w:w="554" w:type="dxa"/>
            <w:noWrap w:val="0"/>
            <w:vAlign w:val="center"/>
          </w:tcPr>
          <w:p>
            <w:pPr>
              <w:pageBreakBefore w:val="0"/>
              <w:widowControl/>
              <w:kinsoku/>
              <w:wordWrap/>
              <w:overflowPunct/>
              <w:bidi w:val="0"/>
              <w:spacing w:line="560" w:lineRule="exact"/>
              <w:ind w:right="0" w:rightChars="0"/>
              <w:jc w:val="both"/>
              <w:textAlignment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lang w:bidi="ar"/>
              </w:rPr>
              <w:t>序号</w:t>
            </w:r>
          </w:p>
        </w:tc>
        <w:tc>
          <w:tcPr>
            <w:tcW w:w="2210"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项目名称</w:t>
            </w:r>
          </w:p>
        </w:tc>
        <w:tc>
          <w:tcPr>
            <w:tcW w:w="1665"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975" w:type="dxa"/>
            <w:noWrap w:val="0"/>
            <w:vAlign w:val="center"/>
          </w:tcPr>
          <w:p>
            <w:pPr>
              <w:pageBreakBefore w:val="0"/>
              <w:widowControl/>
              <w:kinsoku/>
              <w:wordWrap/>
              <w:overflowPunct/>
              <w:bidi w:val="0"/>
              <w:spacing w:line="560" w:lineRule="exact"/>
              <w:ind w:right="0" w:rightChars="0"/>
              <w:jc w:val="both"/>
              <w:textAlignment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lang w:bidi="ar"/>
              </w:rPr>
              <w:t>数量</w:t>
            </w:r>
          </w:p>
        </w:tc>
        <w:tc>
          <w:tcPr>
            <w:tcW w:w="1200" w:type="dxa"/>
            <w:noWrap w:val="0"/>
            <w:vAlign w:val="center"/>
          </w:tcPr>
          <w:p>
            <w:pPr>
              <w:pageBreakBefore w:val="0"/>
              <w:widowControl/>
              <w:kinsoku/>
              <w:wordWrap/>
              <w:overflowPunct/>
              <w:bidi w:val="0"/>
              <w:spacing w:line="560" w:lineRule="exact"/>
              <w:ind w:right="0" w:rightChars="0"/>
              <w:jc w:val="both"/>
              <w:textAlignment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lang w:bidi="ar"/>
              </w:rPr>
              <w:t>单价（元）</w:t>
            </w:r>
          </w:p>
        </w:tc>
        <w:tc>
          <w:tcPr>
            <w:tcW w:w="1200" w:type="dxa"/>
            <w:noWrap w:val="0"/>
            <w:vAlign w:val="center"/>
          </w:tcPr>
          <w:p>
            <w:pPr>
              <w:pageBreakBefore w:val="0"/>
              <w:widowControl/>
              <w:kinsoku/>
              <w:wordWrap/>
              <w:overflowPunct/>
              <w:bidi w:val="0"/>
              <w:spacing w:line="560" w:lineRule="exact"/>
              <w:ind w:right="0" w:rightChars="0"/>
              <w:jc w:val="both"/>
              <w:textAlignment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lang w:bidi="ar"/>
              </w:rPr>
              <w:t>总价（元）</w:t>
            </w:r>
          </w:p>
        </w:tc>
        <w:tc>
          <w:tcPr>
            <w:tcW w:w="1230"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6" w:hRule="atLeast"/>
        </w:trPr>
        <w:tc>
          <w:tcPr>
            <w:tcW w:w="554"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2210"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1665"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975"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3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6" w:hRule="atLeast"/>
        </w:trPr>
        <w:tc>
          <w:tcPr>
            <w:tcW w:w="554"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2210"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1665"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975"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3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6" w:hRule="atLeast"/>
        </w:trPr>
        <w:tc>
          <w:tcPr>
            <w:tcW w:w="554"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2210"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1665"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975"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3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6" w:hRule="atLeast"/>
        </w:trPr>
        <w:tc>
          <w:tcPr>
            <w:tcW w:w="554"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2210"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1665"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975"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3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6" w:hRule="atLeast"/>
        </w:trPr>
        <w:tc>
          <w:tcPr>
            <w:tcW w:w="554"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2210"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1665"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975" w:type="dxa"/>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3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6" w:hRule="atLeast"/>
        </w:trPr>
        <w:tc>
          <w:tcPr>
            <w:tcW w:w="5404" w:type="dxa"/>
            <w:gridSpan w:val="4"/>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lang w:bidi="ar"/>
              </w:rPr>
              <w:t>小  计</w:t>
            </w: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3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6" w:hRule="atLeast"/>
        </w:trPr>
        <w:tc>
          <w:tcPr>
            <w:tcW w:w="5404" w:type="dxa"/>
            <w:gridSpan w:val="4"/>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lang w:bidi="ar"/>
              </w:rPr>
              <w:t>运保费（如有）</w:t>
            </w: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3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6" w:hRule="atLeast"/>
        </w:trPr>
        <w:tc>
          <w:tcPr>
            <w:tcW w:w="5404" w:type="dxa"/>
            <w:gridSpan w:val="4"/>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lang w:bidi="ar"/>
              </w:rPr>
              <w:t>安装调试检验费用（如有）</w:t>
            </w: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3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6" w:hRule="atLeast"/>
        </w:trPr>
        <w:tc>
          <w:tcPr>
            <w:tcW w:w="5404" w:type="dxa"/>
            <w:gridSpan w:val="4"/>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lang w:bidi="ar"/>
              </w:rPr>
              <w:t>其他费用（如有）</w:t>
            </w: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3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6" w:hRule="atLeast"/>
        </w:trPr>
        <w:tc>
          <w:tcPr>
            <w:tcW w:w="5404" w:type="dxa"/>
            <w:gridSpan w:val="4"/>
            <w:noWrap w:val="0"/>
            <w:vAlign w:val="center"/>
          </w:tcPr>
          <w:p>
            <w:pPr>
              <w:pageBreakBefore w:val="0"/>
              <w:widowControl/>
              <w:kinsoku/>
              <w:wordWrap/>
              <w:overflowPunct/>
              <w:bidi w:val="0"/>
              <w:spacing w:line="560" w:lineRule="exact"/>
              <w:ind w:left="0" w:leftChars="0" w:right="0" w:rightChars="0" w:firstLine="600" w:firstLineChars="200"/>
              <w:jc w:val="center"/>
              <w:textAlignment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lang w:bidi="ar"/>
              </w:rPr>
              <w:t>总计</w:t>
            </w: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00" w:type="dxa"/>
            <w:noWrap w:val="0"/>
            <w:vAlign w:val="center"/>
          </w:tcPr>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tc>
        <w:tc>
          <w:tcPr>
            <w:tcW w:w="1230" w:type="dxa"/>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bl>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注：1、</w:t>
      </w:r>
      <w:r>
        <w:rPr>
          <w:rFonts w:hint="eastAsia" w:ascii="方正仿宋简体" w:hAnsi="方正仿宋简体" w:eastAsia="方正仿宋简体" w:cs="方正仿宋简体"/>
          <w:b w:val="0"/>
          <w:bCs/>
          <w:color w:val="auto"/>
          <w:sz w:val="30"/>
          <w:szCs w:val="30"/>
          <w:highlight w:val="none"/>
          <w:lang w:val="en-US" w:eastAsia="zh-CN"/>
        </w:rPr>
        <w:t>材料、设备</w:t>
      </w:r>
      <w:r>
        <w:rPr>
          <w:rFonts w:hint="eastAsia" w:ascii="方正仿宋简体" w:hAnsi="方正仿宋简体" w:eastAsia="方正仿宋简体" w:cs="方正仿宋简体"/>
          <w:b w:val="0"/>
          <w:bCs/>
          <w:color w:val="auto"/>
          <w:sz w:val="30"/>
          <w:szCs w:val="30"/>
          <w:highlight w:val="none"/>
        </w:rPr>
        <w:t>及专用工具须单独列表说明。</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    2、目的地交货价报价表。</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    3、若该项费用为免费请注明“免费”字样，若不存在该项费用请注明“无”字样。</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kern w:val="0"/>
          <w:sz w:val="30"/>
          <w:szCs w:val="30"/>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keepNext/>
        <w:keepLines/>
        <w:pageBreakBefore w:val="0"/>
        <w:kinsoku/>
        <w:wordWrap/>
        <w:overflowPunct/>
        <w:bidi w:val="0"/>
        <w:adjustRightInd w:val="0"/>
        <w:snapToGrid w:val="0"/>
        <w:spacing w:line="560" w:lineRule="exact"/>
        <w:ind w:left="0" w:leftChars="0" w:right="0" w:rightChars="0" w:firstLine="600" w:firstLineChars="200"/>
        <w:jc w:val="center"/>
        <w:outlineLvl w:val="1"/>
        <w:rPr>
          <w:rFonts w:hint="eastAsia" w:ascii="方正仿宋简体" w:hAnsi="方正仿宋简体" w:eastAsia="方正仿宋简体" w:cs="方正仿宋简体"/>
          <w:b w:val="0"/>
          <w:bCs/>
          <w:color w:val="auto"/>
          <w:kern w:val="0"/>
          <w:sz w:val="30"/>
          <w:szCs w:val="30"/>
          <w:highlight w:val="none"/>
        </w:rPr>
      </w:pPr>
      <w:bookmarkStart w:id="117" w:name="_Toc19312"/>
      <w:bookmarkStart w:id="118" w:name="_Toc405302892"/>
      <w:bookmarkStart w:id="119" w:name="_Toc405303402"/>
      <w:r>
        <w:rPr>
          <w:rFonts w:hint="eastAsia" w:ascii="方正仿宋简体" w:hAnsi="方正仿宋简体" w:eastAsia="方正仿宋简体" w:cs="方正仿宋简体"/>
          <w:b w:val="0"/>
          <w:bCs/>
          <w:color w:val="auto"/>
          <w:kern w:val="0"/>
          <w:sz w:val="30"/>
          <w:szCs w:val="30"/>
          <w:highlight w:val="none"/>
        </w:rPr>
        <w:t>四、谈判文件商务部分</w:t>
      </w:r>
      <w:bookmarkEnd w:id="117"/>
      <w:bookmarkEnd w:id="118"/>
      <w:bookmarkEnd w:id="119"/>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（一）商务条款偏离表</w:t>
      </w: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 投标人名称：                         招标编号：</w:t>
      </w:r>
    </w:p>
    <w:tbl>
      <w:tblPr>
        <w:tblStyle w:val="51"/>
        <w:tblW w:w="8743" w:type="dxa"/>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tcBorders>
              <w:top w:val="double" w:color="auto" w:sz="6" w:space="0"/>
              <w:left w:val="double" w:color="auto" w:sz="6" w:space="0"/>
              <w:bottom w:val="single" w:color="000000" w:sz="6" w:space="0"/>
              <w:right w:val="single" w:color="000000" w:sz="6" w:space="0"/>
            </w:tcBorders>
            <w:noWrap w:val="0"/>
            <w:vAlign w:val="center"/>
          </w:tcPr>
          <w:p>
            <w:pPr>
              <w:pageBreakBefore w:val="0"/>
              <w:kinsoku/>
              <w:wordWrap/>
              <w:overflowPunct/>
              <w:bidi w:val="0"/>
              <w:spacing w:line="560" w:lineRule="exact"/>
              <w:ind w:right="0" w:rightChars="0"/>
              <w:jc w:val="both"/>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序号</w:t>
            </w:r>
          </w:p>
        </w:tc>
        <w:tc>
          <w:tcPr>
            <w:tcW w:w="1815" w:type="dxa"/>
            <w:tcBorders>
              <w:top w:val="double" w:color="auto" w:sz="6" w:space="0"/>
              <w:left w:val="single" w:color="000000" w:sz="6" w:space="0"/>
              <w:bottom w:val="single" w:color="000000" w:sz="6" w:space="0"/>
              <w:right w:val="single" w:color="000000" w:sz="6"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谈判文件条目号</w:t>
            </w:r>
          </w:p>
        </w:tc>
        <w:tc>
          <w:tcPr>
            <w:tcW w:w="2520" w:type="dxa"/>
            <w:tcBorders>
              <w:top w:val="double" w:color="auto" w:sz="6" w:space="0"/>
              <w:left w:val="single" w:color="000000" w:sz="6" w:space="0"/>
              <w:bottom w:val="single" w:color="000000" w:sz="6" w:space="0"/>
              <w:right w:val="single" w:color="000000" w:sz="6"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谈判文件的商务条款</w:t>
            </w:r>
          </w:p>
        </w:tc>
        <w:tc>
          <w:tcPr>
            <w:tcW w:w="2415" w:type="dxa"/>
            <w:tcBorders>
              <w:top w:val="double" w:color="auto" w:sz="6" w:space="0"/>
              <w:left w:val="single" w:color="000000" w:sz="6" w:space="0"/>
              <w:bottom w:val="single" w:color="000000" w:sz="6" w:space="0"/>
              <w:right w:val="single" w:color="000000" w:sz="6"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谈判文件的商务条款</w:t>
            </w:r>
          </w:p>
        </w:tc>
        <w:tc>
          <w:tcPr>
            <w:tcW w:w="1365" w:type="dxa"/>
            <w:tcBorders>
              <w:top w:val="double" w:color="auto" w:sz="6" w:space="0"/>
              <w:left w:val="single" w:color="000000" w:sz="6" w:space="0"/>
              <w:bottom w:val="single" w:color="000000" w:sz="6" w:space="0"/>
              <w:right w:val="double" w:color="auto" w:sz="6" w:space="0"/>
            </w:tcBorders>
            <w:noWrap w:val="0"/>
            <w:vAlign w:val="center"/>
          </w:tcPr>
          <w:p>
            <w:pPr>
              <w:pageBreakBefore w:val="0"/>
              <w:kinsoku/>
              <w:wordWrap/>
              <w:overflowPunct/>
              <w:bidi w:val="0"/>
              <w:spacing w:line="560" w:lineRule="exact"/>
              <w:ind w:left="0" w:leftChars="0" w:right="0" w:rightChars="0" w:firstLine="600" w:firstLineChars="200"/>
              <w:jc w:val="both"/>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tcBorders>
              <w:top w:val="single" w:color="000000" w:sz="6" w:space="0"/>
              <w:left w:val="double" w:color="auto"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415"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365" w:type="dxa"/>
            <w:tcBorders>
              <w:top w:val="single" w:color="000000" w:sz="6" w:space="0"/>
              <w:left w:val="single" w:color="000000" w:sz="6" w:space="0"/>
              <w:bottom w:val="single" w:color="000000" w:sz="6" w:space="0"/>
              <w:right w:val="double" w:color="auto"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tcBorders>
              <w:top w:val="single" w:color="000000" w:sz="6" w:space="0"/>
              <w:left w:val="double" w:color="auto"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415"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365" w:type="dxa"/>
            <w:tcBorders>
              <w:top w:val="single" w:color="000000" w:sz="6" w:space="0"/>
              <w:left w:val="single" w:color="000000" w:sz="6" w:space="0"/>
              <w:bottom w:val="single" w:color="000000" w:sz="6" w:space="0"/>
              <w:right w:val="double" w:color="auto"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tcBorders>
              <w:top w:val="single" w:color="000000" w:sz="6" w:space="0"/>
              <w:left w:val="double" w:color="auto"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415"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365" w:type="dxa"/>
            <w:tcBorders>
              <w:top w:val="single" w:color="000000" w:sz="6" w:space="0"/>
              <w:left w:val="single" w:color="000000" w:sz="6" w:space="0"/>
              <w:bottom w:val="single" w:color="000000" w:sz="6" w:space="0"/>
              <w:right w:val="double" w:color="auto"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tcBorders>
              <w:top w:val="single" w:color="000000" w:sz="6" w:space="0"/>
              <w:left w:val="double" w:color="auto"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415"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365" w:type="dxa"/>
            <w:tcBorders>
              <w:top w:val="single" w:color="000000" w:sz="6" w:space="0"/>
              <w:left w:val="single" w:color="000000" w:sz="6" w:space="0"/>
              <w:bottom w:val="single" w:color="000000" w:sz="6" w:space="0"/>
              <w:right w:val="double" w:color="auto"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tcBorders>
              <w:top w:val="single" w:color="000000" w:sz="6" w:space="0"/>
              <w:left w:val="double" w:color="auto"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415"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365" w:type="dxa"/>
            <w:tcBorders>
              <w:top w:val="single" w:color="000000" w:sz="6" w:space="0"/>
              <w:left w:val="single" w:color="000000" w:sz="6" w:space="0"/>
              <w:bottom w:val="single" w:color="000000" w:sz="6" w:space="0"/>
              <w:right w:val="double" w:color="auto"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tcBorders>
              <w:top w:val="single" w:color="000000" w:sz="6" w:space="0"/>
              <w:left w:val="double" w:color="auto"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415"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365" w:type="dxa"/>
            <w:tcBorders>
              <w:top w:val="single" w:color="000000" w:sz="6" w:space="0"/>
              <w:left w:val="single" w:color="000000" w:sz="6" w:space="0"/>
              <w:bottom w:val="single" w:color="000000" w:sz="6" w:space="0"/>
              <w:right w:val="double" w:color="auto"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tcBorders>
              <w:top w:val="single" w:color="000000" w:sz="6" w:space="0"/>
              <w:left w:val="double" w:color="auto"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415"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365" w:type="dxa"/>
            <w:tcBorders>
              <w:top w:val="single" w:color="000000" w:sz="6" w:space="0"/>
              <w:left w:val="single" w:color="000000" w:sz="6" w:space="0"/>
              <w:bottom w:val="single" w:color="000000" w:sz="6" w:space="0"/>
              <w:right w:val="double" w:color="auto"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tcBorders>
              <w:top w:val="single" w:color="000000" w:sz="6" w:space="0"/>
              <w:left w:val="double" w:color="auto" w:sz="6" w:space="0"/>
              <w:bottom w:val="double" w:color="auto"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815" w:type="dxa"/>
            <w:tcBorders>
              <w:top w:val="single" w:color="000000" w:sz="6" w:space="0"/>
              <w:left w:val="single" w:color="000000" w:sz="6" w:space="0"/>
              <w:bottom w:val="double" w:color="auto"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520" w:type="dxa"/>
            <w:tcBorders>
              <w:top w:val="single" w:color="000000" w:sz="6" w:space="0"/>
              <w:left w:val="single" w:color="000000" w:sz="6" w:space="0"/>
              <w:bottom w:val="double" w:color="auto"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415" w:type="dxa"/>
            <w:tcBorders>
              <w:top w:val="single" w:color="000000" w:sz="6" w:space="0"/>
              <w:left w:val="single" w:color="000000" w:sz="6" w:space="0"/>
              <w:bottom w:val="double" w:color="auto"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365" w:type="dxa"/>
            <w:tcBorders>
              <w:top w:val="single" w:color="000000" w:sz="6" w:space="0"/>
              <w:left w:val="single" w:color="000000" w:sz="6" w:space="0"/>
              <w:bottom w:val="double" w:color="auto" w:sz="6" w:space="0"/>
              <w:right w:val="double" w:color="auto"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bl>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注：投标人递交的谈判文件中与谈判文件的商务部分的要求有不同时，应逐条列在商务偏离表中，否则将认为投标人接受谈判文件的要求。</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投标人名称（盖章）： _____________________</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投标人代表签字：________________</w:t>
      </w:r>
    </w:p>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rPr>
        <w:br w:type="page"/>
      </w:r>
    </w:p>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（四）资格证明文件</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1、企业营业执照、税务登记证、组织机构代码证</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附经最新年检的企业营业执照、税务登记证、组织机构代码证（副本）复印件。</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2、企业资质证书（适用本项目）、安全生产许可证</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3、项目管理体系认证书（质量管理体系、环境管理体系、职业健康安全管理体系认证书）（如有） </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附下列证书复印件：</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（1）ISO9000或相当标准的质量管理体系认证证书；</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（2）ISO14000或相当标准的环境管理体系认证证书；</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（3）ISO18000或相当标准的职业健康安全管理体系认证证书。</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4、投标人及项目经理获得的荣誉、奖项</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5 、近</w:t>
      </w:r>
      <w:r>
        <w:rPr>
          <w:rFonts w:hint="eastAsia" w:ascii="方正仿宋简体" w:hAnsi="方正仿宋简体" w:eastAsia="方正仿宋简体" w:cs="方正仿宋简体"/>
          <w:b w:val="0"/>
          <w:bCs/>
          <w:color w:val="auto"/>
          <w:sz w:val="30"/>
          <w:szCs w:val="30"/>
          <w:highlight w:val="none"/>
          <w:u w:val="single"/>
        </w:rPr>
        <w:t xml:space="preserve">  3  </w:t>
      </w:r>
      <w:r>
        <w:rPr>
          <w:rFonts w:hint="eastAsia" w:ascii="方正仿宋简体" w:hAnsi="方正仿宋简体" w:eastAsia="方正仿宋简体" w:cs="方正仿宋简体"/>
          <w:b w:val="0"/>
          <w:bCs/>
          <w:color w:val="auto"/>
          <w:sz w:val="30"/>
          <w:szCs w:val="30"/>
          <w:highlight w:val="none"/>
        </w:rPr>
        <w:t>年已完成的或在建的类似工程项目</w:t>
      </w:r>
    </w:p>
    <w:tbl>
      <w:tblPr>
        <w:tblStyle w:val="51"/>
        <w:tblW w:w="9242" w:type="dxa"/>
        <w:tblInd w:w="0" w:type="dxa"/>
        <w:tblLayout w:type="fixed"/>
        <w:tblCellMar>
          <w:top w:w="0" w:type="dxa"/>
          <w:left w:w="108" w:type="dxa"/>
          <w:bottom w:w="0" w:type="dxa"/>
          <w:right w:w="108" w:type="dxa"/>
        </w:tblCellMar>
      </w:tblPr>
      <w:tblGrid>
        <w:gridCol w:w="754"/>
        <w:gridCol w:w="1298"/>
        <w:gridCol w:w="1022"/>
        <w:gridCol w:w="1022"/>
        <w:gridCol w:w="802"/>
        <w:gridCol w:w="871"/>
        <w:gridCol w:w="871"/>
        <w:gridCol w:w="871"/>
        <w:gridCol w:w="871"/>
        <w:gridCol w:w="860"/>
      </w:tblGrid>
      <w:tr>
        <w:tblPrEx>
          <w:tblCellMar>
            <w:top w:w="0" w:type="dxa"/>
            <w:left w:w="108" w:type="dxa"/>
            <w:bottom w:w="0" w:type="dxa"/>
            <w:right w:w="108" w:type="dxa"/>
          </w:tblCellMar>
        </w:tblPrEx>
        <w:trPr>
          <w:trHeight w:val="567"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序号</w:t>
            </w:r>
          </w:p>
        </w:tc>
        <w:tc>
          <w:tcPr>
            <w:tcW w:w="1298" w:type="dxa"/>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项目名称</w:t>
            </w:r>
          </w:p>
        </w:tc>
        <w:tc>
          <w:tcPr>
            <w:tcW w:w="1022" w:type="dxa"/>
            <w:tcBorders>
              <w:top w:val="single" w:color="auto" w:sz="4" w:space="0"/>
              <w:left w:val="nil"/>
              <w:bottom w:val="single" w:color="auto" w:sz="4" w:space="0"/>
              <w:right w:val="single" w:color="auto" w:sz="4" w:space="0"/>
            </w:tcBorders>
            <w:noWrap w:val="0"/>
            <w:vAlign w:val="top"/>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发包人名称</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项目经理</w:t>
            </w:r>
          </w:p>
        </w:tc>
        <w:tc>
          <w:tcPr>
            <w:tcW w:w="802" w:type="dxa"/>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合同类型</w:t>
            </w:r>
          </w:p>
        </w:tc>
        <w:tc>
          <w:tcPr>
            <w:tcW w:w="871" w:type="dxa"/>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合同金额（万元）</w:t>
            </w:r>
          </w:p>
        </w:tc>
        <w:tc>
          <w:tcPr>
            <w:tcW w:w="871" w:type="dxa"/>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结算金额（万元）</w:t>
            </w:r>
          </w:p>
        </w:tc>
        <w:tc>
          <w:tcPr>
            <w:tcW w:w="87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竣工质量标准</w:t>
            </w:r>
          </w:p>
        </w:tc>
        <w:tc>
          <w:tcPr>
            <w:tcW w:w="87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竣工日期</w:t>
            </w:r>
          </w:p>
        </w:tc>
        <w:tc>
          <w:tcPr>
            <w:tcW w:w="860" w:type="dxa"/>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备注</w:t>
            </w:r>
          </w:p>
        </w:tc>
      </w:tr>
      <w:tr>
        <w:tblPrEx>
          <w:tblCellMar>
            <w:top w:w="0" w:type="dxa"/>
            <w:left w:w="108" w:type="dxa"/>
            <w:bottom w:w="0" w:type="dxa"/>
            <w:right w:w="108" w:type="dxa"/>
          </w:tblCellMar>
        </w:tblPrEx>
        <w:trPr>
          <w:trHeight w:val="567" w:hRule="atLeast"/>
        </w:trPr>
        <w:tc>
          <w:tcPr>
            <w:tcW w:w="754"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w:t>
            </w:r>
          </w:p>
        </w:tc>
        <w:tc>
          <w:tcPr>
            <w:tcW w:w="1298"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22" w:type="dxa"/>
            <w:tcBorders>
              <w:top w:val="single" w:color="auto" w:sz="4" w:space="0"/>
              <w:left w:val="nil"/>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2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02"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single" w:color="auto" w:sz="4" w:space="0"/>
              <w:left w:val="nil"/>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60"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567" w:hRule="atLeast"/>
        </w:trPr>
        <w:tc>
          <w:tcPr>
            <w:tcW w:w="754"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w:t>
            </w:r>
          </w:p>
        </w:tc>
        <w:tc>
          <w:tcPr>
            <w:tcW w:w="1298"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22" w:type="dxa"/>
            <w:tcBorders>
              <w:top w:val="single" w:color="auto" w:sz="4" w:space="0"/>
              <w:left w:val="nil"/>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2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02"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single" w:color="auto" w:sz="4" w:space="0"/>
              <w:left w:val="nil"/>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60"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567" w:hRule="atLeast"/>
        </w:trPr>
        <w:tc>
          <w:tcPr>
            <w:tcW w:w="754"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w:t>
            </w:r>
          </w:p>
        </w:tc>
        <w:tc>
          <w:tcPr>
            <w:tcW w:w="1298"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22" w:type="dxa"/>
            <w:tcBorders>
              <w:top w:val="single" w:color="auto" w:sz="4" w:space="0"/>
              <w:left w:val="nil"/>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2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02"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single" w:color="auto" w:sz="4" w:space="0"/>
              <w:left w:val="nil"/>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60"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567" w:hRule="atLeast"/>
        </w:trPr>
        <w:tc>
          <w:tcPr>
            <w:tcW w:w="754"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4</w:t>
            </w:r>
          </w:p>
        </w:tc>
        <w:tc>
          <w:tcPr>
            <w:tcW w:w="1298"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22" w:type="dxa"/>
            <w:tcBorders>
              <w:top w:val="single" w:color="auto" w:sz="4" w:space="0"/>
              <w:left w:val="nil"/>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2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02"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single" w:color="auto" w:sz="4" w:space="0"/>
              <w:left w:val="nil"/>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60"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567" w:hRule="atLeast"/>
        </w:trPr>
        <w:tc>
          <w:tcPr>
            <w:tcW w:w="754"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5</w:t>
            </w:r>
          </w:p>
        </w:tc>
        <w:tc>
          <w:tcPr>
            <w:tcW w:w="1298"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22" w:type="dxa"/>
            <w:tcBorders>
              <w:top w:val="single" w:color="auto" w:sz="4" w:space="0"/>
              <w:left w:val="nil"/>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2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02"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single" w:color="auto" w:sz="4" w:space="0"/>
              <w:left w:val="nil"/>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60"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567" w:hRule="atLeast"/>
        </w:trPr>
        <w:tc>
          <w:tcPr>
            <w:tcW w:w="754"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w:t>
            </w:r>
          </w:p>
        </w:tc>
        <w:tc>
          <w:tcPr>
            <w:tcW w:w="1298"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22" w:type="dxa"/>
            <w:tcBorders>
              <w:top w:val="single" w:color="auto" w:sz="4" w:space="0"/>
              <w:left w:val="nil"/>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2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02"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nil"/>
              <w:left w:val="nil"/>
              <w:bottom w:val="single" w:color="auto" w:sz="4" w:space="0"/>
              <w:right w:val="nil"/>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nil"/>
              <w:left w:val="nil"/>
              <w:bottom w:val="single" w:color="auto" w:sz="4" w:space="0"/>
              <w:right w:val="nil"/>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60"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567" w:hRule="atLeast"/>
        </w:trPr>
        <w:tc>
          <w:tcPr>
            <w:tcW w:w="754"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w:t>
            </w:r>
          </w:p>
        </w:tc>
        <w:tc>
          <w:tcPr>
            <w:tcW w:w="1298"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22" w:type="dxa"/>
            <w:tcBorders>
              <w:top w:val="single" w:color="auto" w:sz="4" w:space="0"/>
              <w:left w:val="nil"/>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2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02"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nil"/>
              <w:left w:val="nil"/>
              <w:bottom w:val="single" w:color="auto" w:sz="4" w:space="0"/>
              <w:right w:val="nil"/>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nil"/>
              <w:left w:val="nil"/>
              <w:bottom w:val="single" w:color="auto" w:sz="4" w:space="0"/>
              <w:right w:val="nil"/>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7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60"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bl>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投标人代表签字：             </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注：1、投标人应按上表列出业绩清单，并提供业绩证明资料，如合同等（合同应附上首页、标的金额所在页、设备清单页及签字盖章页等关键页）作为证明。</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2、投标人所填销售业绩要真实准确，如发现弄虚作假投标将被否决。</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6 、银行资信证明</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 投标人应提供银行在开标日前三个月内开具或在有效期内的资信证明复印件，如该行对投标人有信用等级评级，请提供信用等级证书复印件。</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投标人还应提供基本账户开户许可证复印件。</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7 、投标人近</w:t>
      </w:r>
      <w:r>
        <w:rPr>
          <w:rFonts w:hint="eastAsia" w:ascii="方正仿宋简体" w:hAnsi="方正仿宋简体" w:eastAsia="方正仿宋简体" w:cs="方正仿宋简体"/>
          <w:b w:val="0"/>
          <w:bCs/>
          <w:color w:val="auto"/>
          <w:sz w:val="30"/>
          <w:szCs w:val="30"/>
          <w:highlight w:val="none"/>
          <w:u w:val="single"/>
        </w:rPr>
        <w:t xml:space="preserve">  3   </w:t>
      </w:r>
      <w:r>
        <w:rPr>
          <w:rFonts w:hint="eastAsia" w:ascii="方正仿宋简体" w:hAnsi="方正仿宋简体" w:eastAsia="方正仿宋简体" w:cs="方正仿宋简体"/>
          <w:b w:val="0"/>
          <w:bCs/>
          <w:color w:val="auto"/>
          <w:sz w:val="30"/>
          <w:szCs w:val="30"/>
          <w:highlight w:val="none"/>
        </w:rPr>
        <w:t>年经审计的财务报表及审计报告</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8 、谈判文件要求提供的其它文件</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p>
      <w:pPr>
        <w:pStyle w:val="16"/>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（六）履约保函（如适用）</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致</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（招标人）：</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鉴于</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（承包人名称，注册地址，以下简称承包人），和你方于</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（签约日期）签订编号为      合同（合同名称），承担实施</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（工程名称）。</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ab/>
      </w:r>
      <w:r>
        <w:rPr>
          <w:rFonts w:hint="eastAsia" w:ascii="方正仿宋简体" w:hAnsi="方正仿宋简体" w:eastAsia="方正仿宋简体" w:cs="方正仿宋简体"/>
          <w:b w:val="0"/>
          <w:bCs/>
          <w:color w:val="auto"/>
          <w:sz w:val="30"/>
          <w:szCs w:val="30"/>
          <w:highlight w:val="none"/>
        </w:rPr>
        <w:t xml:space="preserve">  鉴于你方在上述合同中要求承包人向你方提交下述金额的履约保函，作为承包人履行本合同的保证金。本担保人                （担保人名称，注册地址），同意为承包人出具此项保函。</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在此作为担保人，代表承包人向你方承担支付人民币</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大写）元的责任。当承包人在履行合同中，由于资金、技术、质量或非不可抗力等原因违约而使你方造成经济损失，你方以书面文件提出要求得到上述金额内的任何付款时，本担保人即于支付，不挑剔、不争辩、也不要求你方出具证明或说明背景、理由。</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本担保人放弃你方应先向承包人要求赔偿上述金额然后再向本担保人提出要求的权力。</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本担保人进一步同意你方和承包人之间的合同条件、合同项下的工程或合同发生变化、补充或修改后，本担保人承担保函的责任也不改变，有关上述变化、补充和修改也无须通知本银行。</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本保函直至保修责任证书签发后14天内一直有效。</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担保人：（盖章）</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法定代表人：（签字、盖章）</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地址：</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邮政编码：</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 xml:space="preserve">   日期：      年    月    日</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rPr>
        <w:br w:type="page"/>
      </w: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pacing w:val="1"/>
          <w:sz w:val="30"/>
          <w:szCs w:val="30"/>
          <w:highlight w:val="none"/>
        </w:rPr>
      </w:pPr>
      <w:r>
        <w:rPr>
          <w:rFonts w:hint="eastAsia" w:ascii="方正仿宋简体" w:hAnsi="方正仿宋简体" w:eastAsia="方正仿宋简体" w:cs="方正仿宋简体"/>
          <w:b w:val="0"/>
          <w:bCs/>
          <w:color w:val="auto"/>
          <w:sz w:val="30"/>
          <w:szCs w:val="30"/>
          <w:highlight w:val="none"/>
        </w:rPr>
        <w:t>（七） 联合体投标协议（如适用）</w:t>
      </w:r>
    </w:p>
    <w:p>
      <w:pPr>
        <w:pageBreakBefore w:val="0"/>
        <w:tabs>
          <w:tab w:val="left" w:pos="1260"/>
          <w:tab w:val="left" w:pos="4620"/>
          <w:tab w:val="left" w:pos="8000"/>
        </w:tabs>
        <w:kinsoku/>
        <w:wordWrap/>
        <w:overflowPunct/>
        <w:autoSpaceDE w:val="0"/>
        <w:autoSpaceDN w:val="0"/>
        <w:bidi w:val="0"/>
        <w:adjustRightInd w:val="0"/>
        <w:spacing w:line="560" w:lineRule="exact"/>
        <w:ind w:left="0" w:leftChars="0" w:right="0" w:rightChars="0" w:firstLine="2166"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w w:val="361"/>
          <w:kern w:val="0"/>
          <w:position w:val="1"/>
          <w:sz w:val="30"/>
          <w:szCs w:val="30"/>
          <w:highlight w:val="none"/>
          <w:u w:val="single"/>
        </w:rPr>
        <w:t xml:space="preserve"> </w:t>
      </w:r>
      <w:r>
        <w:rPr>
          <w:rFonts w:hint="eastAsia" w:ascii="方正仿宋简体" w:hAnsi="方正仿宋简体" w:eastAsia="方正仿宋简体" w:cs="方正仿宋简体"/>
          <w:b w:val="0"/>
          <w:bCs/>
          <w:color w:val="auto"/>
          <w:kern w:val="0"/>
          <w:position w:val="1"/>
          <w:sz w:val="30"/>
          <w:szCs w:val="30"/>
          <w:highlight w:val="none"/>
          <w:u w:val="single"/>
        </w:rPr>
        <w:tab/>
      </w:r>
      <w:r>
        <w:rPr>
          <w:rFonts w:hint="eastAsia" w:ascii="方正仿宋简体" w:hAnsi="方正仿宋简体" w:eastAsia="方正仿宋简体" w:cs="方正仿宋简体"/>
          <w:b w:val="0"/>
          <w:bCs/>
          <w:color w:val="auto"/>
          <w:kern w:val="0"/>
          <w:position w:val="1"/>
          <w:sz w:val="30"/>
          <w:szCs w:val="30"/>
          <w:highlight w:val="none"/>
        </w:rPr>
        <w:t>（</w:t>
      </w:r>
      <w:r>
        <w:rPr>
          <w:rFonts w:hint="eastAsia" w:ascii="方正仿宋简体" w:hAnsi="方正仿宋简体" w:eastAsia="方正仿宋简体" w:cs="方正仿宋简体"/>
          <w:b w:val="0"/>
          <w:bCs/>
          <w:color w:val="auto"/>
          <w:spacing w:val="-1"/>
          <w:kern w:val="0"/>
          <w:position w:val="1"/>
          <w:sz w:val="30"/>
          <w:szCs w:val="30"/>
          <w:highlight w:val="none"/>
        </w:rPr>
        <w:t>所</w:t>
      </w:r>
      <w:r>
        <w:rPr>
          <w:rFonts w:hint="eastAsia" w:ascii="方正仿宋简体" w:hAnsi="方正仿宋简体" w:eastAsia="方正仿宋简体" w:cs="方正仿宋简体"/>
          <w:b w:val="0"/>
          <w:bCs/>
          <w:color w:val="auto"/>
          <w:kern w:val="0"/>
          <w:position w:val="1"/>
          <w:sz w:val="30"/>
          <w:szCs w:val="30"/>
          <w:highlight w:val="none"/>
        </w:rPr>
        <w:t>有成员单位名称</w:t>
      </w:r>
      <w:r>
        <w:rPr>
          <w:rFonts w:hint="eastAsia" w:ascii="方正仿宋简体" w:hAnsi="方正仿宋简体" w:eastAsia="方正仿宋简体" w:cs="方正仿宋简体"/>
          <w:b w:val="0"/>
          <w:bCs/>
          <w:color w:val="auto"/>
          <w:spacing w:val="-103"/>
          <w:kern w:val="0"/>
          <w:position w:val="1"/>
          <w:sz w:val="30"/>
          <w:szCs w:val="30"/>
          <w:highlight w:val="none"/>
        </w:rPr>
        <w:t>）</w:t>
      </w:r>
      <w:r>
        <w:rPr>
          <w:rFonts w:hint="eastAsia" w:ascii="方正仿宋简体" w:hAnsi="方正仿宋简体" w:eastAsia="方正仿宋简体" w:cs="方正仿宋简体"/>
          <w:b w:val="0"/>
          <w:bCs/>
          <w:color w:val="auto"/>
          <w:kern w:val="0"/>
          <w:position w:val="1"/>
          <w:sz w:val="30"/>
          <w:szCs w:val="30"/>
          <w:highlight w:val="none"/>
        </w:rPr>
        <w:t>自愿组成</w:t>
      </w:r>
      <w:r>
        <w:rPr>
          <w:rFonts w:hint="eastAsia" w:ascii="方正仿宋简体" w:hAnsi="方正仿宋简体" w:eastAsia="方正仿宋简体" w:cs="方正仿宋简体"/>
          <w:b w:val="0"/>
          <w:bCs/>
          <w:color w:val="auto"/>
          <w:kern w:val="0"/>
          <w:position w:val="1"/>
          <w:sz w:val="30"/>
          <w:szCs w:val="30"/>
          <w:highlight w:val="none"/>
          <w:u w:val="single"/>
        </w:rPr>
        <w:tab/>
      </w:r>
      <w:r>
        <w:rPr>
          <w:rFonts w:hint="eastAsia" w:ascii="方正仿宋简体" w:hAnsi="方正仿宋简体" w:eastAsia="方正仿宋简体" w:cs="方正仿宋简体"/>
          <w:b w:val="0"/>
          <w:bCs/>
          <w:color w:val="auto"/>
          <w:kern w:val="0"/>
          <w:position w:val="1"/>
          <w:sz w:val="30"/>
          <w:szCs w:val="30"/>
          <w:highlight w:val="none"/>
          <w:u w:val="single"/>
        </w:rPr>
        <w:t>（</w:t>
      </w:r>
      <w:r>
        <w:rPr>
          <w:rFonts w:hint="eastAsia" w:ascii="方正仿宋简体" w:hAnsi="方正仿宋简体" w:eastAsia="方正仿宋简体" w:cs="方正仿宋简体"/>
          <w:b w:val="0"/>
          <w:bCs/>
          <w:color w:val="auto"/>
          <w:spacing w:val="-1"/>
          <w:kern w:val="0"/>
          <w:position w:val="1"/>
          <w:sz w:val="30"/>
          <w:szCs w:val="30"/>
          <w:highlight w:val="none"/>
          <w:u w:val="single"/>
        </w:rPr>
        <w:t>联</w:t>
      </w:r>
      <w:r>
        <w:rPr>
          <w:rFonts w:hint="eastAsia" w:ascii="方正仿宋简体" w:hAnsi="方正仿宋简体" w:eastAsia="方正仿宋简体" w:cs="方正仿宋简体"/>
          <w:b w:val="0"/>
          <w:bCs/>
          <w:color w:val="auto"/>
          <w:kern w:val="0"/>
          <w:position w:val="1"/>
          <w:sz w:val="30"/>
          <w:szCs w:val="30"/>
          <w:highlight w:val="none"/>
        </w:rPr>
        <w:t>合体名称</w:t>
      </w:r>
      <w:r>
        <w:rPr>
          <w:rFonts w:hint="eastAsia" w:ascii="方正仿宋简体" w:hAnsi="方正仿宋简体" w:eastAsia="方正仿宋简体" w:cs="方正仿宋简体"/>
          <w:b w:val="0"/>
          <w:bCs/>
          <w:color w:val="auto"/>
          <w:spacing w:val="-103"/>
          <w:kern w:val="0"/>
          <w:position w:val="1"/>
          <w:sz w:val="30"/>
          <w:szCs w:val="30"/>
          <w:highlight w:val="none"/>
        </w:rPr>
        <w:t>）</w:t>
      </w:r>
      <w:r>
        <w:rPr>
          <w:rFonts w:hint="eastAsia" w:ascii="方正仿宋简体" w:hAnsi="方正仿宋简体" w:eastAsia="方正仿宋简体" w:cs="方正仿宋简体"/>
          <w:b w:val="0"/>
          <w:bCs/>
          <w:color w:val="auto"/>
          <w:kern w:val="0"/>
          <w:position w:val="1"/>
          <w:sz w:val="30"/>
          <w:szCs w:val="30"/>
          <w:highlight w:val="none"/>
        </w:rPr>
        <w:t>联合体</w:t>
      </w:r>
      <w:r>
        <w:rPr>
          <w:rFonts w:hint="eastAsia" w:ascii="方正仿宋简体" w:hAnsi="方正仿宋简体" w:eastAsia="方正仿宋简体" w:cs="方正仿宋简体"/>
          <w:b w:val="0"/>
          <w:bCs/>
          <w:color w:val="auto"/>
          <w:spacing w:val="-103"/>
          <w:kern w:val="0"/>
          <w:position w:val="1"/>
          <w:sz w:val="30"/>
          <w:szCs w:val="30"/>
          <w:highlight w:val="none"/>
        </w:rPr>
        <w:t>，</w:t>
      </w:r>
      <w:r>
        <w:rPr>
          <w:rFonts w:hint="eastAsia" w:ascii="方正仿宋简体" w:hAnsi="方正仿宋简体" w:eastAsia="方正仿宋简体" w:cs="方正仿宋简体"/>
          <w:b w:val="0"/>
          <w:bCs/>
          <w:color w:val="auto"/>
          <w:kern w:val="0"/>
          <w:position w:val="1"/>
          <w:sz w:val="30"/>
          <w:szCs w:val="30"/>
          <w:highlight w:val="none"/>
        </w:rPr>
        <w:t>共同参加</w:t>
      </w:r>
      <w:r>
        <w:rPr>
          <w:rFonts w:hint="eastAsia" w:ascii="方正仿宋简体" w:hAnsi="方正仿宋简体" w:eastAsia="方正仿宋简体" w:cs="方正仿宋简体"/>
          <w:b w:val="0"/>
          <w:bCs/>
          <w:color w:val="auto"/>
          <w:kern w:val="0"/>
          <w:position w:val="1"/>
          <w:sz w:val="30"/>
          <w:szCs w:val="30"/>
          <w:highlight w:val="none"/>
          <w:u w:val="single"/>
        </w:rPr>
        <w:tab/>
      </w:r>
      <w:r>
        <w:rPr>
          <w:rFonts w:hint="eastAsia" w:ascii="方正仿宋简体" w:hAnsi="方正仿宋简体" w:eastAsia="方正仿宋简体" w:cs="方正仿宋简体"/>
          <w:b w:val="0"/>
          <w:bCs/>
          <w:color w:val="auto"/>
          <w:spacing w:val="1"/>
          <w:kern w:val="0"/>
          <w:position w:val="1"/>
          <w:sz w:val="30"/>
          <w:szCs w:val="30"/>
          <w:highlight w:val="none"/>
          <w:u w:val="single"/>
        </w:rPr>
        <w:t>（</w:t>
      </w:r>
      <w:r>
        <w:rPr>
          <w:rFonts w:hint="eastAsia" w:ascii="方正仿宋简体" w:hAnsi="方正仿宋简体" w:eastAsia="方正仿宋简体" w:cs="方正仿宋简体"/>
          <w:b w:val="0"/>
          <w:bCs/>
          <w:color w:val="auto"/>
          <w:spacing w:val="1"/>
          <w:kern w:val="0"/>
          <w:position w:val="1"/>
          <w:sz w:val="30"/>
          <w:szCs w:val="30"/>
          <w:highlight w:val="none"/>
        </w:rPr>
        <w:t>项</w:t>
      </w:r>
      <w:r>
        <w:rPr>
          <w:rFonts w:hint="eastAsia" w:ascii="方正仿宋简体" w:hAnsi="方正仿宋简体" w:eastAsia="方正仿宋简体" w:cs="方正仿宋简体"/>
          <w:b w:val="0"/>
          <w:bCs/>
          <w:color w:val="auto"/>
          <w:kern w:val="0"/>
          <w:sz w:val="30"/>
          <w:szCs w:val="30"/>
          <w:highlight w:val="none"/>
        </w:rPr>
        <w:t>目名称）</w:t>
      </w:r>
      <w:r>
        <w:rPr>
          <w:rFonts w:hint="eastAsia" w:ascii="方正仿宋简体" w:hAnsi="方正仿宋简体" w:eastAsia="方正仿宋简体" w:cs="方正仿宋简体"/>
          <w:b w:val="0"/>
          <w:bCs/>
          <w:color w:val="auto"/>
          <w:w w:val="361"/>
          <w:kern w:val="0"/>
          <w:sz w:val="30"/>
          <w:szCs w:val="30"/>
          <w:highlight w:val="none"/>
          <w:u w:val="single"/>
        </w:rPr>
        <w:t xml:space="preserve"> </w:t>
      </w:r>
      <w:r>
        <w:rPr>
          <w:rFonts w:hint="eastAsia" w:ascii="方正仿宋简体" w:hAnsi="方正仿宋简体" w:eastAsia="方正仿宋简体" w:cs="方正仿宋简体"/>
          <w:b w:val="0"/>
          <w:bCs/>
          <w:color w:val="auto"/>
          <w:kern w:val="0"/>
          <w:sz w:val="30"/>
          <w:szCs w:val="30"/>
          <w:highlight w:val="none"/>
          <w:u w:val="single"/>
        </w:rPr>
        <w:tab/>
      </w:r>
      <w:r>
        <w:rPr>
          <w:rFonts w:hint="eastAsia" w:ascii="方正仿宋简体" w:hAnsi="方正仿宋简体" w:eastAsia="方正仿宋简体" w:cs="方正仿宋简体"/>
          <w:b w:val="0"/>
          <w:bCs/>
          <w:color w:val="auto"/>
          <w:kern w:val="0"/>
          <w:sz w:val="30"/>
          <w:szCs w:val="30"/>
          <w:highlight w:val="none"/>
        </w:rPr>
        <w:t>标段施</w:t>
      </w:r>
      <w:r>
        <w:rPr>
          <w:rFonts w:hint="eastAsia" w:ascii="方正仿宋简体" w:hAnsi="方正仿宋简体" w:eastAsia="方正仿宋简体" w:cs="方正仿宋简体"/>
          <w:b w:val="0"/>
          <w:bCs/>
          <w:color w:val="auto"/>
          <w:spacing w:val="-1"/>
          <w:kern w:val="0"/>
          <w:sz w:val="30"/>
          <w:szCs w:val="30"/>
          <w:highlight w:val="none"/>
        </w:rPr>
        <w:t>工</w:t>
      </w:r>
      <w:r>
        <w:rPr>
          <w:rFonts w:hint="eastAsia" w:ascii="方正仿宋简体" w:hAnsi="方正仿宋简体" w:eastAsia="方正仿宋简体" w:cs="方正仿宋简体"/>
          <w:b w:val="0"/>
          <w:bCs/>
          <w:color w:val="auto"/>
          <w:kern w:val="0"/>
          <w:sz w:val="30"/>
          <w:szCs w:val="30"/>
          <w:highlight w:val="none"/>
        </w:rPr>
        <w:t>投标。现就联合体投标事宜订立如下协议。</w:t>
      </w:r>
    </w:p>
    <w:p>
      <w:pPr>
        <w:pageBreakBefore w:val="0"/>
        <w:tabs>
          <w:tab w:val="left" w:pos="1580"/>
          <w:tab w:val="left" w:pos="4200"/>
        </w:tabs>
        <w:kinsoku/>
        <w:wordWrap/>
        <w:overflowPunct/>
        <w:autoSpaceDE w:val="0"/>
        <w:autoSpaceDN w:val="0"/>
        <w:bidi w:val="0"/>
        <w:adjustRightInd w:val="0"/>
        <w:spacing w:line="560" w:lineRule="exact"/>
        <w:ind w:left="0" w:leftChars="0" w:right="0" w:rightChars="0" w:firstLine="604"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spacing w:val="1"/>
          <w:kern w:val="0"/>
          <w:sz w:val="30"/>
          <w:szCs w:val="30"/>
          <w:highlight w:val="none"/>
        </w:rPr>
        <w:t>1</w:t>
      </w:r>
      <w:r>
        <w:rPr>
          <w:rFonts w:hint="eastAsia" w:ascii="方正仿宋简体" w:hAnsi="方正仿宋简体" w:eastAsia="方正仿宋简体" w:cs="方正仿宋简体"/>
          <w:b w:val="0"/>
          <w:bCs/>
          <w:color w:val="auto"/>
          <w:kern w:val="0"/>
          <w:sz w:val="30"/>
          <w:szCs w:val="30"/>
          <w:highlight w:val="none"/>
        </w:rPr>
        <w:t>、</w:t>
      </w:r>
      <w:r>
        <w:rPr>
          <w:rFonts w:hint="eastAsia" w:ascii="方正仿宋简体" w:hAnsi="方正仿宋简体" w:eastAsia="方正仿宋简体" w:cs="方正仿宋简体"/>
          <w:b w:val="0"/>
          <w:bCs/>
          <w:color w:val="auto"/>
          <w:w w:val="361"/>
          <w:kern w:val="0"/>
          <w:sz w:val="30"/>
          <w:szCs w:val="30"/>
          <w:highlight w:val="none"/>
          <w:u w:val="single"/>
        </w:rPr>
        <w:t xml:space="preserve"> </w:t>
      </w:r>
      <w:r>
        <w:rPr>
          <w:rFonts w:hint="eastAsia" w:ascii="方正仿宋简体" w:hAnsi="方正仿宋简体" w:eastAsia="方正仿宋简体" w:cs="方正仿宋简体"/>
          <w:b w:val="0"/>
          <w:bCs/>
          <w:color w:val="auto"/>
          <w:kern w:val="0"/>
          <w:sz w:val="30"/>
          <w:szCs w:val="30"/>
          <w:highlight w:val="none"/>
          <w:u w:val="single"/>
        </w:rPr>
        <w:tab/>
      </w:r>
      <w:r>
        <w:rPr>
          <w:rFonts w:hint="eastAsia" w:ascii="方正仿宋简体" w:hAnsi="方正仿宋简体" w:eastAsia="方正仿宋简体" w:cs="方正仿宋简体"/>
          <w:b w:val="0"/>
          <w:bCs/>
          <w:color w:val="auto"/>
          <w:kern w:val="0"/>
          <w:sz w:val="30"/>
          <w:szCs w:val="30"/>
          <w:highlight w:val="none"/>
        </w:rPr>
        <w:t>（某成员单位名称）为</w:t>
      </w:r>
      <w:r>
        <w:rPr>
          <w:rFonts w:hint="eastAsia" w:ascii="方正仿宋简体" w:hAnsi="方正仿宋简体" w:eastAsia="方正仿宋简体" w:cs="方正仿宋简体"/>
          <w:b w:val="0"/>
          <w:bCs/>
          <w:color w:val="auto"/>
          <w:w w:val="361"/>
          <w:kern w:val="0"/>
          <w:sz w:val="30"/>
          <w:szCs w:val="30"/>
          <w:highlight w:val="none"/>
          <w:u w:val="single"/>
        </w:rPr>
        <w:t xml:space="preserve"> </w:t>
      </w:r>
      <w:r>
        <w:rPr>
          <w:rFonts w:hint="eastAsia" w:ascii="方正仿宋简体" w:hAnsi="方正仿宋简体" w:eastAsia="方正仿宋简体" w:cs="方正仿宋简体"/>
          <w:b w:val="0"/>
          <w:bCs/>
          <w:color w:val="auto"/>
          <w:kern w:val="0"/>
          <w:sz w:val="30"/>
          <w:szCs w:val="30"/>
          <w:highlight w:val="none"/>
          <w:u w:val="single"/>
        </w:rPr>
        <w:tab/>
      </w:r>
      <w:r>
        <w:rPr>
          <w:rFonts w:hint="eastAsia" w:ascii="方正仿宋简体" w:hAnsi="方正仿宋简体" w:eastAsia="方正仿宋简体" w:cs="方正仿宋简体"/>
          <w:b w:val="0"/>
          <w:bCs/>
          <w:color w:val="auto"/>
          <w:kern w:val="0"/>
          <w:sz w:val="30"/>
          <w:szCs w:val="30"/>
          <w:highlight w:val="none"/>
        </w:rPr>
        <w:t>（联</w:t>
      </w:r>
      <w:r>
        <w:rPr>
          <w:rFonts w:hint="eastAsia" w:ascii="方正仿宋简体" w:hAnsi="方正仿宋简体" w:eastAsia="方正仿宋简体" w:cs="方正仿宋简体"/>
          <w:b w:val="0"/>
          <w:bCs/>
          <w:color w:val="auto"/>
          <w:spacing w:val="-1"/>
          <w:kern w:val="0"/>
          <w:sz w:val="30"/>
          <w:szCs w:val="30"/>
          <w:highlight w:val="none"/>
        </w:rPr>
        <w:t>合</w:t>
      </w:r>
      <w:r>
        <w:rPr>
          <w:rFonts w:hint="eastAsia" w:ascii="方正仿宋简体" w:hAnsi="方正仿宋简体" w:eastAsia="方正仿宋简体" w:cs="方正仿宋简体"/>
          <w:b w:val="0"/>
          <w:bCs/>
          <w:color w:val="auto"/>
          <w:kern w:val="0"/>
          <w:sz w:val="30"/>
          <w:szCs w:val="30"/>
          <w:highlight w:val="none"/>
        </w:rPr>
        <w:t>体名称）牵头人。</w:t>
      </w:r>
    </w:p>
    <w:p>
      <w:pPr>
        <w:pageBreakBefore w:val="0"/>
        <w:kinsoku/>
        <w:wordWrap/>
        <w:overflowPunct/>
        <w:autoSpaceDE w:val="0"/>
        <w:autoSpaceDN w:val="0"/>
        <w:bidi w:val="0"/>
        <w:adjustRightInd w:val="0"/>
        <w:spacing w:line="560" w:lineRule="exact"/>
        <w:ind w:left="0" w:leftChars="0" w:right="0" w:rightChars="0" w:firstLine="604" w:firstLineChars="200"/>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spacing w:val="1"/>
          <w:kern w:val="0"/>
          <w:sz w:val="30"/>
          <w:szCs w:val="30"/>
          <w:highlight w:val="none"/>
        </w:rPr>
        <w:t>2</w:t>
      </w:r>
      <w:r>
        <w:rPr>
          <w:rFonts w:hint="eastAsia" w:ascii="方正仿宋简体" w:hAnsi="方正仿宋简体" w:eastAsia="方正仿宋简体" w:cs="方正仿宋简体"/>
          <w:b w:val="0"/>
          <w:bCs/>
          <w:color w:val="auto"/>
          <w:spacing w:val="-94"/>
          <w:kern w:val="0"/>
          <w:sz w:val="30"/>
          <w:szCs w:val="30"/>
          <w:highlight w:val="none"/>
        </w:rPr>
        <w:t>、</w:t>
      </w:r>
      <w:r>
        <w:rPr>
          <w:rFonts w:hint="eastAsia" w:ascii="方正仿宋简体" w:hAnsi="方正仿宋简体" w:eastAsia="方正仿宋简体" w:cs="方正仿宋简体"/>
          <w:b w:val="0"/>
          <w:bCs/>
          <w:color w:val="auto"/>
          <w:kern w:val="0"/>
          <w:sz w:val="30"/>
          <w:szCs w:val="30"/>
          <w:highlight w:val="none"/>
        </w:rPr>
        <w:t>联合体</w:t>
      </w:r>
      <w:r>
        <w:rPr>
          <w:rFonts w:hint="eastAsia" w:ascii="方正仿宋简体" w:hAnsi="方正仿宋简体" w:eastAsia="方正仿宋简体" w:cs="方正仿宋简体"/>
          <w:b w:val="0"/>
          <w:bCs/>
          <w:color w:val="auto"/>
          <w:spacing w:val="-1"/>
          <w:kern w:val="0"/>
          <w:sz w:val="30"/>
          <w:szCs w:val="30"/>
          <w:highlight w:val="none"/>
        </w:rPr>
        <w:t>牵</w:t>
      </w:r>
      <w:r>
        <w:rPr>
          <w:rFonts w:hint="eastAsia" w:ascii="方正仿宋简体" w:hAnsi="方正仿宋简体" w:eastAsia="方正仿宋简体" w:cs="方正仿宋简体"/>
          <w:b w:val="0"/>
          <w:bCs/>
          <w:color w:val="auto"/>
          <w:kern w:val="0"/>
          <w:sz w:val="30"/>
          <w:szCs w:val="30"/>
          <w:highlight w:val="none"/>
        </w:rPr>
        <w:t>头人合法代表联合体各成员负责本项目投标文件编制和合同谈判活动， 并代表联合体提交和接收相关的资料</w:t>
      </w:r>
      <w:r>
        <w:rPr>
          <w:rFonts w:hint="eastAsia" w:ascii="方正仿宋简体" w:hAnsi="方正仿宋简体" w:eastAsia="方正仿宋简体" w:cs="方正仿宋简体"/>
          <w:b w:val="0"/>
          <w:bCs/>
          <w:color w:val="auto"/>
          <w:spacing w:val="-31"/>
          <w:kern w:val="0"/>
          <w:sz w:val="30"/>
          <w:szCs w:val="30"/>
          <w:highlight w:val="none"/>
        </w:rPr>
        <w:t>、</w:t>
      </w:r>
      <w:r>
        <w:rPr>
          <w:rFonts w:hint="eastAsia" w:ascii="方正仿宋简体" w:hAnsi="方正仿宋简体" w:eastAsia="方正仿宋简体" w:cs="方正仿宋简体"/>
          <w:b w:val="0"/>
          <w:bCs/>
          <w:color w:val="auto"/>
          <w:kern w:val="0"/>
          <w:sz w:val="30"/>
          <w:szCs w:val="30"/>
          <w:highlight w:val="none"/>
        </w:rPr>
        <w:t>信息及指示</w:t>
      </w:r>
      <w:r>
        <w:rPr>
          <w:rFonts w:hint="eastAsia" w:ascii="方正仿宋简体" w:hAnsi="方正仿宋简体" w:eastAsia="方正仿宋简体" w:cs="方正仿宋简体"/>
          <w:b w:val="0"/>
          <w:bCs/>
          <w:color w:val="auto"/>
          <w:spacing w:val="-31"/>
          <w:kern w:val="0"/>
          <w:sz w:val="30"/>
          <w:szCs w:val="30"/>
          <w:highlight w:val="none"/>
        </w:rPr>
        <w:t>，</w:t>
      </w:r>
      <w:r>
        <w:rPr>
          <w:rFonts w:hint="eastAsia" w:ascii="方正仿宋简体" w:hAnsi="方正仿宋简体" w:eastAsia="方正仿宋简体" w:cs="方正仿宋简体"/>
          <w:b w:val="0"/>
          <w:bCs/>
          <w:color w:val="auto"/>
          <w:kern w:val="0"/>
          <w:sz w:val="30"/>
          <w:szCs w:val="30"/>
          <w:highlight w:val="none"/>
        </w:rPr>
        <w:t>并处理与之有关的一切事务</w:t>
      </w:r>
      <w:r>
        <w:rPr>
          <w:rFonts w:hint="eastAsia" w:ascii="方正仿宋简体" w:hAnsi="方正仿宋简体" w:eastAsia="方正仿宋简体" w:cs="方正仿宋简体"/>
          <w:b w:val="0"/>
          <w:bCs/>
          <w:color w:val="auto"/>
          <w:spacing w:val="-31"/>
          <w:kern w:val="0"/>
          <w:sz w:val="30"/>
          <w:szCs w:val="30"/>
          <w:highlight w:val="none"/>
        </w:rPr>
        <w:t>，</w:t>
      </w:r>
      <w:r>
        <w:rPr>
          <w:rFonts w:hint="eastAsia" w:ascii="方正仿宋简体" w:hAnsi="方正仿宋简体" w:eastAsia="方正仿宋简体" w:cs="方正仿宋简体"/>
          <w:b w:val="0"/>
          <w:bCs/>
          <w:color w:val="auto"/>
          <w:kern w:val="0"/>
          <w:sz w:val="30"/>
          <w:szCs w:val="30"/>
          <w:highlight w:val="none"/>
        </w:rPr>
        <w:t>负责合同 实施阶段的主办、组织和协调工作。</w:t>
      </w:r>
    </w:p>
    <w:p>
      <w:pPr>
        <w:pageBreakBefore w:val="0"/>
        <w:kinsoku/>
        <w:wordWrap/>
        <w:overflowPunct/>
        <w:autoSpaceDE w:val="0"/>
        <w:autoSpaceDN w:val="0"/>
        <w:bidi w:val="0"/>
        <w:adjustRightInd w:val="0"/>
        <w:spacing w:line="560" w:lineRule="exact"/>
        <w:ind w:left="0" w:leftChars="0" w:right="0" w:rightChars="0" w:firstLine="604" w:firstLineChars="200"/>
        <w:jc w:val="left"/>
        <w:rPr>
          <w:rFonts w:hint="eastAsia" w:ascii="方正仿宋简体" w:hAnsi="方正仿宋简体" w:eastAsia="方正仿宋简体" w:cs="方正仿宋简体"/>
          <w:b w:val="0"/>
          <w:bCs/>
          <w:color w:val="auto"/>
          <w:kern w:val="0"/>
          <w:position w:val="-2"/>
          <w:sz w:val="30"/>
          <w:szCs w:val="30"/>
          <w:highlight w:val="none"/>
        </w:rPr>
      </w:pPr>
      <w:r>
        <w:rPr>
          <w:rFonts w:hint="eastAsia" w:ascii="方正仿宋简体" w:hAnsi="方正仿宋简体" w:eastAsia="方正仿宋简体" w:cs="方正仿宋简体"/>
          <w:b w:val="0"/>
          <w:bCs/>
          <w:color w:val="auto"/>
          <w:spacing w:val="1"/>
          <w:kern w:val="0"/>
          <w:position w:val="-2"/>
          <w:sz w:val="30"/>
          <w:szCs w:val="30"/>
          <w:highlight w:val="none"/>
        </w:rPr>
        <w:t>3</w:t>
      </w:r>
      <w:r>
        <w:rPr>
          <w:rFonts w:hint="eastAsia" w:ascii="方正仿宋简体" w:hAnsi="方正仿宋简体" w:eastAsia="方正仿宋简体" w:cs="方正仿宋简体"/>
          <w:b w:val="0"/>
          <w:bCs/>
          <w:color w:val="auto"/>
          <w:kern w:val="0"/>
          <w:position w:val="-2"/>
          <w:sz w:val="30"/>
          <w:szCs w:val="30"/>
          <w:highlight w:val="none"/>
        </w:rPr>
        <w:t>、联合体</w:t>
      </w:r>
      <w:r>
        <w:rPr>
          <w:rFonts w:hint="eastAsia" w:ascii="方正仿宋简体" w:hAnsi="方正仿宋简体" w:eastAsia="方正仿宋简体" w:cs="方正仿宋简体"/>
          <w:b w:val="0"/>
          <w:bCs/>
          <w:color w:val="auto"/>
          <w:spacing w:val="1"/>
          <w:kern w:val="0"/>
          <w:position w:val="-2"/>
          <w:sz w:val="30"/>
          <w:szCs w:val="30"/>
          <w:highlight w:val="none"/>
        </w:rPr>
        <w:t>将</w:t>
      </w:r>
      <w:r>
        <w:rPr>
          <w:rFonts w:hint="eastAsia" w:ascii="方正仿宋简体" w:hAnsi="方正仿宋简体" w:eastAsia="方正仿宋简体" w:cs="方正仿宋简体"/>
          <w:b w:val="0"/>
          <w:bCs/>
          <w:color w:val="auto"/>
          <w:kern w:val="0"/>
          <w:position w:val="-2"/>
          <w:sz w:val="30"/>
          <w:szCs w:val="30"/>
          <w:highlight w:val="none"/>
        </w:rPr>
        <w:t>严格按照</w:t>
      </w:r>
      <w:r>
        <w:rPr>
          <w:rFonts w:hint="eastAsia" w:ascii="方正仿宋简体" w:hAnsi="方正仿宋简体" w:eastAsia="方正仿宋简体" w:cs="方正仿宋简体"/>
          <w:b w:val="0"/>
          <w:bCs/>
          <w:color w:val="auto"/>
          <w:spacing w:val="1"/>
          <w:kern w:val="0"/>
          <w:position w:val="-2"/>
          <w:sz w:val="30"/>
          <w:szCs w:val="30"/>
          <w:highlight w:val="none"/>
        </w:rPr>
        <w:t>谈判</w:t>
      </w:r>
      <w:r>
        <w:rPr>
          <w:rFonts w:hint="eastAsia" w:ascii="方正仿宋简体" w:hAnsi="方正仿宋简体" w:eastAsia="方正仿宋简体" w:cs="方正仿宋简体"/>
          <w:b w:val="0"/>
          <w:bCs/>
          <w:color w:val="auto"/>
          <w:kern w:val="0"/>
          <w:position w:val="-2"/>
          <w:sz w:val="30"/>
          <w:szCs w:val="30"/>
          <w:highlight w:val="none"/>
        </w:rPr>
        <w:t>文件的</w:t>
      </w:r>
      <w:r>
        <w:rPr>
          <w:rFonts w:hint="eastAsia" w:ascii="方正仿宋简体" w:hAnsi="方正仿宋简体" w:eastAsia="方正仿宋简体" w:cs="方正仿宋简体"/>
          <w:b w:val="0"/>
          <w:bCs/>
          <w:color w:val="auto"/>
          <w:spacing w:val="1"/>
          <w:kern w:val="0"/>
          <w:position w:val="-2"/>
          <w:sz w:val="30"/>
          <w:szCs w:val="30"/>
          <w:highlight w:val="none"/>
        </w:rPr>
        <w:t>各</w:t>
      </w:r>
      <w:r>
        <w:rPr>
          <w:rFonts w:hint="eastAsia" w:ascii="方正仿宋简体" w:hAnsi="方正仿宋简体" w:eastAsia="方正仿宋简体" w:cs="方正仿宋简体"/>
          <w:b w:val="0"/>
          <w:bCs/>
          <w:color w:val="auto"/>
          <w:kern w:val="0"/>
          <w:position w:val="-2"/>
          <w:sz w:val="30"/>
          <w:szCs w:val="30"/>
          <w:highlight w:val="none"/>
        </w:rPr>
        <w:t>项要求，</w:t>
      </w:r>
      <w:r>
        <w:rPr>
          <w:rFonts w:hint="eastAsia" w:ascii="方正仿宋简体" w:hAnsi="方正仿宋简体" w:eastAsia="方正仿宋简体" w:cs="方正仿宋简体"/>
          <w:b w:val="0"/>
          <w:bCs/>
          <w:color w:val="auto"/>
          <w:spacing w:val="1"/>
          <w:kern w:val="0"/>
          <w:position w:val="-2"/>
          <w:sz w:val="30"/>
          <w:szCs w:val="30"/>
          <w:highlight w:val="none"/>
        </w:rPr>
        <w:t>递</w:t>
      </w:r>
      <w:r>
        <w:rPr>
          <w:rFonts w:hint="eastAsia" w:ascii="方正仿宋简体" w:hAnsi="方正仿宋简体" w:eastAsia="方正仿宋简体" w:cs="方正仿宋简体"/>
          <w:b w:val="0"/>
          <w:bCs/>
          <w:color w:val="auto"/>
          <w:kern w:val="0"/>
          <w:position w:val="-2"/>
          <w:sz w:val="30"/>
          <w:szCs w:val="30"/>
          <w:highlight w:val="none"/>
        </w:rPr>
        <w:t>交投标文</w:t>
      </w:r>
      <w:r>
        <w:rPr>
          <w:rFonts w:hint="eastAsia" w:ascii="方正仿宋简体" w:hAnsi="方正仿宋简体" w:eastAsia="方正仿宋简体" w:cs="方正仿宋简体"/>
          <w:b w:val="0"/>
          <w:bCs/>
          <w:color w:val="auto"/>
          <w:spacing w:val="1"/>
          <w:kern w:val="0"/>
          <w:position w:val="-2"/>
          <w:sz w:val="30"/>
          <w:szCs w:val="30"/>
          <w:highlight w:val="none"/>
        </w:rPr>
        <w:t>件</w:t>
      </w:r>
      <w:r>
        <w:rPr>
          <w:rFonts w:hint="eastAsia" w:ascii="方正仿宋简体" w:hAnsi="方正仿宋简体" w:eastAsia="方正仿宋简体" w:cs="方正仿宋简体"/>
          <w:b w:val="0"/>
          <w:bCs/>
          <w:color w:val="auto"/>
          <w:kern w:val="0"/>
          <w:position w:val="-2"/>
          <w:sz w:val="30"/>
          <w:szCs w:val="30"/>
          <w:highlight w:val="none"/>
        </w:rPr>
        <w:t>，履行合</w:t>
      </w:r>
      <w:r>
        <w:rPr>
          <w:rFonts w:hint="eastAsia" w:ascii="方正仿宋简体" w:hAnsi="方正仿宋简体" w:eastAsia="方正仿宋简体" w:cs="方正仿宋简体"/>
          <w:b w:val="0"/>
          <w:bCs/>
          <w:color w:val="auto"/>
          <w:spacing w:val="1"/>
          <w:kern w:val="0"/>
          <w:position w:val="-2"/>
          <w:sz w:val="30"/>
          <w:szCs w:val="30"/>
          <w:highlight w:val="none"/>
        </w:rPr>
        <w:t>同</w:t>
      </w:r>
      <w:r>
        <w:rPr>
          <w:rFonts w:hint="eastAsia" w:ascii="方正仿宋简体" w:hAnsi="方正仿宋简体" w:eastAsia="方正仿宋简体" w:cs="方正仿宋简体"/>
          <w:b w:val="0"/>
          <w:bCs/>
          <w:color w:val="auto"/>
          <w:kern w:val="0"/>
          <w:position w:val="-2"/>
          <w:sz w:val="30"/>
          <w:szCs w:val="30"/>
          <w:highlight w:val="none"/>
        </w:rPr>
        <w:t>，并</w:t>
      </w:r>
    </w:p>
    <w:p>
      <w:pPr>
        <w:pageBreakBefore w:val="0"/>
        <w:kinsoku/>
        <w:wordWrap/>
        <w:overflowPunct/>
        <w:autoSpaceDE w:val="0"/>
        <w:autoSpaceDN w:val="0"/>
        <w:bidi w:val="0"/>
        <w:adjustRightIn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position w:val="-2"/>
          <w:sz w:val="30"/>
          <w:szCs w:val="30"/>
          <w:highlight w:val="none"/>
        </w:rPr>
        <w:t>对外</w:t>
      </w:r>
      <w:r>
        <w:rPr>
          <w:rFonts w:hint="eastAsia" w:ascii="方正仿宋简体" w:hAnsi="方正仿宋简体" w:eastAsia="方正仿宋简体" w:cs="方正仿宋简体"/>
          <w:b w:val="0"/>
          <w:bCs/>
          <w:color w:val="auto"/>
          <w:spacing w:val="1"/>
          <w:kern w:val="0"/>
          <w:position w:val="-2"/>
          <w:sz w:val="30"/>
          <w:szCs w:val="30"/>
          <w:highlight w:val="none"/>
        </w:rPr>
        <w:t>承担</w:t>
      </w:r>
      <w:r>
        <w:rPr>
          <w:rFonts w:hint="eastAsia" w:ascii="方正仿宋简体" w:hAnsi="方正仿宋简体" w:eastAsia="方正仿宋简体" w:cs="方正仿宋简体"/>
          <w:b w:val="0"/>
          <w:bCs/>
          <w:color w:val="auto"/>
          <w:kern w:val="0"/>
          <w:position w:val="-2"/>
          <w:sz w:val="30"/>
          <w:szCs w:val="30"/>
          <w:highlight w:val="none"/>
        </w:rPr>
        <w:t>连</w:t>
      </w:r>
      <w:r>
        <w:rPr>
          <w:rFonts w:hint="eastAsia" w:ascii="方正仿宋简体" w:hAnsi="方正仿宋简体" w:eastAsia="方正仿宋简体" w:cs="方正仿宋简体"/>
          <w:b w:val="0"/>
          <w:bCs/>
          <w:color w:val="auto"/>
          <w:kern w:val="0"/>
          <w:sz w:val="30"/>
          <w:szCs w:val="30"/>
          <w:highlight w:val="none"/>
        </w:rPr>
        <w:t>带责任。</w:t>
      </w:r>
    </w:p>
    <w:p>
      <w:pPr>
        <w:pageBreakBefore w:val="0"/>
        <w:tabs>
          <w:tab w:val="left" w:pos="6400"/>
        </w:tabs>
        <w:kinsoku/>
        <w:wordWrap/>
        <w:overflowPunct/>
        <w:autoSpaceDE w:val="0"/>
        <w:autoSpaceDN w:val="0"/>
        <w:bidi w:val="0"/>
        <w:adjustRightInd w:val="0"/>
        <w:spacing w:line="560" w:lineRule="exact"/>
        <w:ind w:left="0" w:leftChars="0" w:right="0" w:rightChars="0" w:firstLine="604"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spacing w:val="1"/>
          <w:kern w:val="0"/>
          <w:sz w:val="30"/>
          <w:szCs w:val="30"/>
          <w:highlight w:val="none"/>
        </w:rPr>
        <w:t>4</w:t>
      </w:r>
      <w:r>
        <w:rPr>
          <w:rFonts w:hint="eastAsia" w:ascii="方正仿宋简体" w:hAnsi="方正仿宋简体" w:eastAsia="方正仿宋简体" w:cs="方正仿宋简体"/>
          <w:b w:val="0"/>
          <w:bCs/>
          <w:color w:val="auto"/>
          <w:kern w:val="0"/>
          <w:sz w:val="30"/>
          <w:szCs w:val="30"/>
          <w:highlight w:val="none"/>
        </w:rPr>
        <w:t>、联合体</w:t>
      </w:r>
      <w:r>
        <w:rPr>
          <w:rFonts w:hint="eastAsia" w:ascii="方正仿宋简体" w:hAnsi="方正仿宋简体" w:eastAsia="方正仿宋简体" w:cs="方正仿宋简体"/>
          <w:b w:val="0"/>
          <w:bCs/>
          <w:color w:val="auto"/>
          <w:spacing w:val="-1"/>
          <w:kern w:val="0"/>
          <w:sz w:val="30"/>
          <w:szCs w:val="30"/>
          <w:highlight w:val="none"/>
        </w:rPr>
        <w:t>各</w:t>
      </w:r>
      <w:r>
        <w:rPr>
          <w:rFonts w:hint="eastAsia" w:ascii="方正仿宋简体" w:hAnsi="方正仿宋简体" w:eastAsia="方正仿宋简体" w:cs="方正仿宋简体"/>
          <w:b w:val="0"/>
          <w:bCs/>
          <w:color w:val="auto"/>
          <w:kern w:val="0"/>
          <w:sz w:val="30"/>
          <w:szCs w:val="30"/>
          <w:highlight w:val="none"/>
        </w:rPr>
        <w:t>成员单位内部的职责分工如下：</w:t>
      </w:r>
      <w:r>
        <w:rPr>
          <w:rFonts w:hint="eastAsia" w:ascii="方正仿宋简体" w:hAnsi="方正仿宋简体" w:eastAsia="方正仿宋简体" w:cs="方正仿宋简体"/>
          <w:b w:val="0"/>
          <w:bCs/>
          <w:color w:val="auto"/>
          <w:w w:val="361"/>
          <w:kern w:val="0"/>
          <w:sz w:val="30"/>
          <w:szCs w:val="30"/>
          <w:highlight w:val="none"/>
          <w:u w:val="single"/>
        </w:rPr>
        <w:t xml:space="preserve"> </w:t>
      </w:r>
      <w:r>
        <w:rPr>
          <w:rFonts w:hint="eastAsia" w:ascii="方正仿宋简体" w:hAnsi="方正仿宋简体" w:eastAsia="方正仿宋简体" w:cs="方正仿宋简体"/>
          <w:b w:val="0"/>
          <w:bCs/>
          <w:color w:val="auto"/>
          <w:kern w:val="0"/>
          <w:sz w:val="30"/>
          <w:szCs w:val="30"/>
          <w:highlight w:val="none"/>
          <w:u w:val="single"/>
        </w:rPr>
        <w:tab/>
      </w:r>
      <w:r>
        <w:rPr>
          <w:rFonts w:hint="eastAsia" w:ascii="方正仿宋简体" w:hAnsi="方正仿宋简体" w:eastAsia="方正仿宋简体" w:cs="方正仿宋简体"/>
          <w:b w:val="0"/>
          <w:bCs/>
          <w:color w:val="auto"/>
          <w:kern w:val="0"/>
          <w:sz w:val="30"/>
          <w:szCs w:val="30"/>
          <w:highlight w:val="none"/>
        </w:rPr>
        <w:t xml:space="preserve"> 。</w:t>
      </w:r>
    </w:p>
    <w:p>
      <w:pPr>
        <w:pageBreakBefore w:val="0"/>
        <w:kinsoku/>
        <w:wordWrap/>
        <w:overflowPunct/>
        <w:autoSpaceDE w:val="0"/>
        <w:autoSpaceDN w:val="0"/>
        <w:bidi w:val="0"/>
        <w:adjustRightInd w:val="0"/>
        <w:spacing w:line="560" w:lineRule="exact"/>
        <w:ind w:left="0" w:leftChars="0" w:right="0" w:rightChars="0" w:firstLine="604"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spacing w:val="1"/>
          <w:kern w:val="0"/>
          <w:sz w:val="30"/>
          <w:szCs w:val="30"/>
          <w:highlight w:val="none"/>
        </w:rPr>
        <w:t>5</w:t>
      </w:r>
      <w:r>
        <w:rPr>
          <w:rFonts w:hint="eastAsia" w:ascii="方正仿宋简体" w:hAnsi="方正仿宋简体" w:eastAsia="方正仿宋简体" w:cs="方正仿宋简体"/>
          <w:b w:val="0"/>
          <w:bCs/>
          <w:color w:val="auto"/>
          <w:kern w:val="0"/>
          <w:sz w:val="30"/>
          <w:szCs w:val="30"/>
          <w:highlight w:val="none"/>
        </w:rPr>
        <w:t>、本协议</w:t>
      </w:r>
      <w:r>
        <w:rPr>
          <w:rFonts w:hint="eastAsia" w:ascii="方正仿宋简体" w:hAnsi="方正仿宋简体" w:eastAsia="方正仿宋简体" w:cs="方正仿宋简体"/>
          <w:b w:val="0"/>
          <w:bCs/>
          <w:color w:val="auto"/>
          <w:spacing w:val="-1"/>
          <w:kern w:val="0"/>
          <w:sz w:val="30"/>
          <w:szCs w:val="30"/>
          <w:highlight w:val="none"/>
        </w:rPr>
        <w:t>书</w:t>
      </w:r>
      <w:r>
        <w:rPr>
          <w:rFonts w:hint="eastAsia" w:ascii="方正仿宋简体" w:hAnsi="方正仿宋简体" w:eastAsia="方正仿宋简体" w:cs="方正仿宋简体"/>
          <w:b w:val="0"/>
          <w:bCs/>
          <w:color w:val="auto"/>
          <w:kern w:val="0"/>
          <w:sz w:val="30"/>
          <w:szCs w:val="30"/>
          <w:highlight w:val="none"/>
        </w:rPr>
        <w:t>自签署之日起生效，合同履行完毕后自动失效。</w:t>
      </w:r>
    </w:p>
    <w:p>
      <w:pPr>
        <w:pageBreakBefore w:val="0"/>
        <w:kinsoku/>
        <w:wordWrap/>
        <w:overflowPunct/>
        <w:autoSpaceDE w:val="0"/>
        <w:autoSpaceDN w:val="0"/>
        <w:bidi w:val="0"/>
        <w:adjustRightInd w:val="0"/>
        <w:spacing w:line="560" w:lineRule="exact"/>
        <w:ind w:left="0" w:leftChars="0" w:right="0" w:rightChars="0" w:firstLine="604"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spacing w:val="1"/>
          <w:kern w:val="0"/>
          <w:sz w:val="30"/>
          <w:szCs w:val="30"/>
          <w:highlight w:val="none"/>
        </w:rPr>
        <w:t>6</w:t>
      </w:r>
      <w:r>
        <w:rPr>
          <w:rFonts w:hint="eastAsia" w:ascii="方正仿宋简体" w:hAnsi="方正仿宋简体" w:eastAsia="方正仿宋简体" w:cs="方正仿宋简体"/>
          <w:b w:val="0"/>
          <w:bCs/>
          <w:color w:val="auto"/>
          <w:kern w:val="0"/>
          <w:sz w:val="30"/>
          <w:szCs w:val="30"/>
          <w:highlight w:val="none"/>
        </w:rPr>
        <w:t>、本协议</w:t>
      </w:r>
      <w:r>
        <w:rPr>
          <w:rFonts w:hint="eastAsia" w:ascii="方正仿宋简体" w:hAnsi="方正仿宋简体" w:eastAsia="方正仿宋简体" w:cs="方正仿宋简体"/>
          <w:b w:val="0"/>
          <w:bCs/>
          <w:color w:val="auto"/>
          <w:spacing w:val="-1"/>
          <w:kern w:val="0"/>
          <w:sz w:val="30"/>
          <w:szCs w:val="30"/>
          <w:highlight w:val="none"/>
        </w:rPr>
        <w:t>书</w:t>
      </w:r>
      <w:r>
        <w:rPr>
          <w:rFonts w:hint="eastAsia" w:ascii="方正仿宋简体" w:hAnsi="方正仿宋简体" w:eastAsia="方正仿宋简体" w:cs="方正仿宋简体"/>
          <w:b w:val="0"/>
          <w:bCs/>
          <w:color w:val="auto"/>
          <w:kern w:val="0"/>
          <w:sz w:val="30"/>
          <w:szCs w:val="30"/>
          <w:highlight w:val="none"/>
        </w:rPr>
        <w:t>一式</w:t>
      </w:r>
      <w:r>
        <w:rPr>
          <w:rFonts w:hint="eastAsia" w:ascii="方正仿宋简体" w:hAnsi="方正仿宋简体" w:eastAsia="方正仿宋简体" w:cs="方正仿宋简体"/>
          <w:b w:val="0"/>
          <w:bCs/>
          <w:color w:val="auto"/>
          <w:w w:val="361"/>
          <w:kern w:val="0"/>
          <w:sz w:val="30"/>
          <w:szCs w:val="30"/>
          <w:highlight w:val="none"/>
          <w:u w:val="single"/>
        </w:rPr>
        <w:t xml:space="preserve"> </w:t>
      </w:r>
      <w:r>
        <w:rPr>
          <w:rFonts w:hint="eastAsia" w:ascii="方正仿宋简体" w:hAnsi="方正仿宋简体" w:eastAsia="方正仿宋简体" w:cs="方正仿宋简体"/>
          <w:b w:val="0"/>
          <w:bCs/>
          <w:color w:val="auto"/>
          <w:kern w:val="0"/>
          <w:sz w:val="30"/>
          <w:szCs w:val="30"/>
          <w:highlight w:val="none"/>
          <w:u w:val="single"/>
        </w:rPr>
        <w:t xml:space="preserve"> </w:t>
      </w:r>
      <w:r>
        <w:rPr>
          <w:rFonts w:hint="eastAsia" w:ascii="方正仿宋简体" w:hAnsi="方正仿宋简体" w:eastAsia="方正仿宋简体" w:cs="方正仿宋简体"/>
          <w:b w:val="0"/>
          <w:bCs/>
          <w:color w:val="auto"/>
          <w:spacing w:val="1"/>
          <w:kern w:val="0"/>
          <w:sz w:val="30"/>
          <w:szCs w:val="30"/>
          <w:highlight w:val="none"/>
          <w:u w:val="single"/>
        </w:rPr>
        <w:t xml:space="preserve"> </w:t>
      </w:r>
      <w:r>
        <w:rPr>
          <w:rFonts w:hint="eastAsia" w:ascii="方正仿宋简体" w:hAnsi="方正仿宋简体" w:eastAsia="方正仿宋简体" w:cs="方正仿宋简体"/>
          <w:b w:val="0"/>
          <w:bCs/>
          <w:color w:val="auto"/>
          <w:kern w:val="0"/>
          <w:sz w:val="30"/>
          <w:szCs w:val="30"/>
          <w:highlight w:val="none"/>
        </w:rPr>
        <w:t>份</w:t>
      </w:r>
      <w:r>
        <w:rPr>
          <w:rFonts w:hint="eastAsia" w:ascii="方正仿宋简体" w:hAnsi="方正仿宋简体" w:eastAsia="方正仿宋简体" w:cs="方正仿宋简体"/>
          <w:b w:val="0"/>
          <w:bCs/>
          <w:color w:val="auto"/>
          <w:spacing w:val="-1"/>
          <w:kern w:val="0"/>
          <w:sz w:val="30"/>
          <w:szCs w:val="30"/>
          <w:highlight w:val="none"/>
        </w:rPr>
        <w:t>，</w:t>
      </w:r>
      <w:r>
        <w:rPr>
          <w:rFonts w:hint="eastAsia" w:ascii="方正仿宋简体" w:hAnsi="方正仿宋简体" w:eastAsia="方正仿宋简体" w:cs="方正仿宋简体"/>
          <w:b w:val="0"/>
          <w:bCs/>
          <w:color w:val="auto"/>
          <w:kern w:val="0"/>
          <w:sz w:val="30"/>
          <w:szCs w:val="30"/>
          <w:highlight w:val="none"/>
        </w:rPr>
        <w:t>联合体成员和招标人各执一份。</w:t>
      </w:r>
    </w:p>
    <w:p>
      <w:pPr>
        <w:pageBreakBefore w:val="0"/>
        <w:kinsoku/>
        <w:wordWrap/>
        <w:overflowPunct/>
        <w:autoSpaceDE w:val="0"/>
        <w:autoSpaceDN w:val="0"/>
        <w:bidi w:val="0"/>
        <w:adjustRightIn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 xml:space="preserve"> 注：本协议书由委托代理人签字的，应附法定代表人签字的授</w:t>
      </w:r>
    </w:p>
    <w:p>
      <w:pPr>
        <w:pageBreakBefore w:val="0"/>
        <w:kinsoku/>
        <w:wordWrap/>
        <w:overflowPunct/>
        <w:autoSpaceDE w:val="0"/>
        <w:autoSpaceDN w:val="0"/>
        <w:bidi w:val="0"/>
        <w:adjustRightIn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权委托书。</w:t>
      </w:r>
    </w:p>
    <w:p>
      <w:pPr>
        <w:pageBreakBefore w:val="0"/>
        <w:tabs>
          <w:tab w:val="left" w:pos="4605"/>
          <w:tab w:val="left" w:pos="5260"/>
        </w:tabs>
        <w:kinsoku/>
        <w:wordWrap/>
        <w:overflowPunct/>
        <w:autoSpaceDE w:val="0"/>
        <w:autoSpaceDN w:val="0"/>
        <w:bidi w:val="0"/>
        <w:adjustRightIn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牵头人名称：</w:t>
      </w:r>
      <w:r>
        <w:rPr>
          <w:rFonts w:hint="eastAsia" w:ascii="方正仿宋简体" w:hAnsi="方正仿宋简体" w:eastAsia="方正仿宋简体" w:cs="方正仿宋简体"/>
          <w:b w:val="0"/>
          <w:bCs/>
          <w:color w:val="auto"/>
          <w:w w:val="361"/>
          <w:kern w:val="0"/>
          <w:sz w:val="30"/>
          <w:szCs w:val="30"/>
          <w:highlight w:val="none"/>
          <w:u w:val="single"/>
        </w:rPr>
        <w:t xml:space="preserve"> </w:t>
      </w:r>
      <w:r>
        <w:rPr>
          <w:rFonts w:hint="eastAsia" w:ascii="方正仿宋简体" w:hAnsi="方正仿宋简体" w:eastAsia="方正仿宋简体" w:cs="方正仿宋简体"/>
          <w:b w:val="0"/>
          <w:bCs/>
          <w:color w:val="auto"/>
          <w:kern w:val="0"/>
          <w:sz w:val="30"/>
          <w:szCs w:val="30"/>
          <w:highlight w:val="none"/>
          <w:u w:val="single"/>
        </w:rPr>
        <w:tab/>
      </w:r>
      <w:r>
        <w:rPr>
          <w:rFonts w:hint="eastAsia" w:ascii="方正仿宋简体" w:hAnsi="方正仿宋简体" w:eastAsia="方正仿宋简体" w:cs="方正仿宋简体"/>
          <w:b w:val="0"/>
          <w:bCs/>
          <w:color w:val="auto"/>
          <w:kern w:val="0"/>
          <w:sz w:val="30"/>
          <w:szCs w:val="30"/>
          <w:highlight w:val="none"/>
        </w:rPr>
        <w:t>（盖单</w:t>
      </w:r>
      <w:r>
        <w:rPr>
          <w:rFonts w:hint="eastAsia" w:ascii="方正仿宋简体" w:hAnsi="方正仿宋简体" w:eastAsia="方正仿宋简体" w:cs="方正仿宋简体"/>
          <w:b w:val="0"/>
          <w:bCs/>
          <w:color w:val="auto"/>
          <w:spacing w:val="-1"/>
          <w:kern w:val="0"/>
          <w:sz w:val="30"/>
          <w:szCs w:val="30"/>
          <w:highlight w:val="none"/>
        </w:rPr>
        <w:t>位</w:t>
      </w:r>
      <w:r>
        <w:rPr>
          <w:rFonts w:hint="eastAsia" w:ascii="方正仿宋简体" w:hAnsi="方正仿宋简体" w:eastAsia="方正仿宋简体" w:cs="方正仿宋简体"/>
          <w:b w:val="0"/>
          <w:bCs/>
          <w:color w:val="auto"/>
          <w:kern w:val="0"/>
          <w:sz w:val="30"/>
          <w:szCs w:val="30"/>
          <w:highlight w:val="none"/>
        </w:rPr>
        <w:t>章）</w:t>
      </w:r>
    </w:p>
    <w:p>
      <w:pPr>
        <w:pageBreakBefore w:val="0"/>
        <w:tabs>
          <w:tab w:val="left" w:pos="4840"/>
          <w:tab w:val="left" w:pos="5145"/>
        </w:tabs>
        <w:kinsoku/>
        <w:wordWrap/>
        <w:overflowPunct/>
        <w:autoSpaceDE w:val="0"/>
        <w:autoSpaceDN w:val="0"/>
        <w:bidi w:val="0"/>
        <w:adjustRightIn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法定代表人或其委托代理人：</w:t>
      </w:r>
      <w:r>
        <w:rPr>
          <w:rFonts w:hint="eastAsia" w:ascii="方正仿宋简体" w:hAnsi="方正仿宋简体" w:eastAsia="方正仿宋简体" w:cs="方正仿宋简体"/>
          <w:b w:val="0"/>
          <w:bCs/>
          <w:color w:val="auto"/>
          <w:w w:val="361"/>
          <w:kern w:val="0"/>
          <w:sz w:val="30"/>
          <w:szCs w:val="30"/>
          <w:highlight w:val="none"/>
          <w:u w:val="single"/>
        </w:rPr>
        <w:t xml:space="preserve"> </w:t>
      </w:r>
      <w:r>
        <w:rPr>
          <w:rFonts w:hint="eastAsia" w:ascii="方正仿宋简体" w:hAnsi="方正仿宋简体" w:eastAsia="方正仿宋简体" w:cs="方正仿宋简体"/>
          <w:b w:val="0"/>
          <w:bCs/>
          <w:color w:val="auto"/>
          <w:kern w:val="0"/>
          <w:sz w:val="30"/>
          <w:szCs w:val="30"/>
          <w:highlight w:val="none"/>
          <w:u w:val="single"/>
        </w:rPr>
        <w:tab/>
      </w:r>
      <w:r>
        <w:rPr>
          <w:rFonts w:hint="eastAsia" w:ascii="方正仿宋简体" w:hAnsi="方正仿宋简体" w:eastAsia="方正仿宋简体" w:cs="方正仿宋简体"/>
          <w:b w:val="0"/>
          <w:bCs/>
          <w:color w:val="auto"/>
          <w:kern w:val="0"/>
          <w:sz w:val="30"/>
          <w:szCs w:val="30"/>
          <w:highlight w:val="none"/>
          <w:u w:val="single"/>
        </w:rPr>
        <w:tab/>
      </w:r>
      <w:r>
        <w:rPr>
          <w:rFonts w:hint="eastAsia" w:ascii="方正仿宋简体" w:hAnsi="方正仿宋简体" w:eastAsia="方正仿宋简体" w:cs="方正仿宋简体"/>
          <w:b w:val="0"/>
          <w:bCs/>
          <w:color w:val="auto"/>
          <w:kern w:val="0"/>
          <w:sz w:val="30"/>
          <w:szCs w:val="30"/>
          <w:highlight w:val="none"/>
        </w:rPr>
        <w:t>（</w:t>
      </w:r>
      <w:r>
        <w:rPr>
          <w:rFonts w:hint="eastAsia" w:ascii="方正仿宋简体" w:hAnsi="方正仿宋简体" w:eastAsia="方正仿宋简体" w:cs="方正仿宋简体"/>
          <w:b w:val="0"/>
          <w:bCs/>
          <w:color w:val="auto"/>
          <w:spacing w:val="-1"/>
          <w:kern w:val="0"/>
          <w:sz w:val="30"/>
          <w:szCs w:val="30"/>
          <w:highlight w:val="none"/>
        </w:rPr>
        <w:t>签</w:t>
      </w:r>
      <w:r>
        <w:rPr>
          <w:rFonts w:hint="eastAsia" w:ascii="方正仿宋简体" w:hAnsi="方正仿宋简体" w:eastAsia="方正仿宋简体" w:cs="方正仿宋简体"/>
          <w:b w:val="0"/>
          <w:bCs/>
          <w:color w:val="auto"/>
          <w:kern w:val="0"/>
          <w:sz w:val="30"/>
          <w:szCs w:val="30"/>
          <w:highlight w:val="none"/>
        </w:rPr>
        <w:t>字）</w:t>
      </w:r>
    </w:p>
    <w:p>
      <w:pPr>
        <w:pageBreakBefore w:val="0"/>
        <w:kinsoku/>
        <w:wordWrap/>
        <w:overflowPunct/>
        <w:autoSpaceDE w:val="0"/>
        <w:autoSpaceDN w:val="0"/>
        <w:bidi w:val="0"/>
        <w:adjustRightIn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p>
    <w:p>
      <w:pPr>
        <w:pageBreakBefore w:val="0"/>
        <w:tabs>
          <w:tab w:val="left" w:pos="4840"/>
          <w:tab w:val="left" w:pos="5260"/>
        </w:tabs>
        <w:kinsoku/>
        <w:wordWrap/>
        <w:overflowPunct/>
        <w:autoSpaceDE w:val="0"/>
        <w:autoSpaceDN w:val="0"/>
        <w:bidi w:val="0"/>
        <w:adjustRightIn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成员一名称：</w:t>
      </w:r>
      <w:r>
        <w:rPr>
          <w:rFonts w:hint="eastAsia" w:ascii="方正仿宋简体" w:hAnsi="方正仿宋简体" w:eastAsia="方正仿宋简体" w:cs="方正仿宋简体"/>
          <w:b w:val="0"/>
          <w:bCs/>
          <w:color w:val="auto"/>
          <w:w w:val="361"/>
          <w:kern w:val="0"/>
          <w:sz w:val="30"/>
          <w:szCs w:val="30"/>
          <w:highlight w:val="none"/>
          <w:u w:val="single"/>
        </w:rPr>
        <w:t xml:space="preserve">    </w:t>
      </w:r>
      <w:r>
        <w:rPr>
          <w:rFonts w:hint="eastAsia" w:ascii="方正仿宋简体" w:hAnsi="方正仿宋简体" w:eastAsia="方正仿宋简体" w:cs="方正仿宋简体"/>
          <w:b w:val="0"/>
          <w:bCs/>
          <w:color w:val="auto"/>
          <w:kern w:val="0"/>
          <w:sz w:val="30"/>
          <w:szCs w:val="30"/>
          <w:highlight w:val="none"/>
        </w:rPr>
        <w:t>（盖单</w:t>
      </w:r>
      <w:r>
        <w:rPr>
          <w:rFonts w:hint="eastAsia" w:ascii="方正仿宋简体" w:hAnsi="方正仿宋简体" w:eastAsia="方正仿宋简体" w:cs="方正仿宋简体"/>
          <w:b w:val="0"/>
          <w:bCs/>
          <w:color w:val="auto"/>
          <w:spacing w:val="-1"/>
          <w:kern w:val="0"/>
          <w:sz w:val="30"/>
          <w:szCs w:val="30"/>
          <w:highlight w:val="none"/>
        </w:rPr>
        <w:t>位</w:t>
      </w:r>
      <w:r>
        <w:rPr>
          <w:rFonts w:hint="eastAsia" w:ascii="方正仿宋简体" w:hAnsi="方正仿宋简体" w:eastAsia="方正仿宋简体" w:cs="方正仿宋简体"/>
          <w:b w:val="0"/>
          <w:bCs/>
          <w:color w:val="auto"/>
          <w:kern w:val="0"/>
          <w:sz w:val="30"/>
          <w:szCs w:val="30"/>
          <w:highlight w:val="none"/>
        </w:rPr>
        <w:t xml:space="preserve">章） </w:t>
      </w:r>
    </w:p>
    <w:p>
      <w:pPr>
        <w:pageBreakBefore w:val="0"/>
        <w:tabs>
          <w:tab w:val="left" w:pos="4485"/>
          <w:tab w:val="left" w:pos="5145"/>
        </w:tabs>
        <w:kinsoku/>
        <w:wordWrap/>
        <w:overflowPunct/>
        <w:autoSpaceDE w:val="0"/>
        <w:autoSpaceDN w:val="0"/>
        <w:bidi w:val="0"/>
        <w:adjustRightIn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法定代表人或其委托代理人：</w:t>
      </w:r>
      <w:r>
        <w:rPr>
          <w:rFonts w:hint="eastAsia" w:ascii="方正仿宋简体" w:hAnsi="方正仿宋简体" w:eastAsia="方正仿宋简体" w:cs="方正仿宋简体"/>
          <w:b w:val="0"/>
          <w:bCs/>
          <w:color w:val="auto"/>
          <w:w w:val="361"/>
          <w:kern w:val="0"/>
          <w:sz w:val="30"/>
          <w:szCs w:val="30"/>
          <w:highlight w:val="none"/>
          <w:u w:val="single"/>
        </w:rPr>
        <w:t xml:space="preserve"> </w:t>
      </w:r>
      <w:r>
        <w:rPr>
          <w:rFonts w:hint="eastAsia" w:ascii="方正仿宋简体" w:hAnsi="方正仿宋简体" w:eastAsia="方正仿宋简体" w:cs="方正仿宋简体"/>
          <w:b w:val="0"/>
          <w:bCs/>
          <w:color w:val="auto"/>
          <w:kern w:val="0"/>
          <w:sz w:val="30"/>
          <w:szCs w:val="30"/>
          <w:highlight w:val="none"/>
          <w:u w:val="single"/>
        </w:rPr>
        <w:tab/>
      </w:r>
      <w:r>
        <w:rPr>
          <w:rFonts w:hint="eastAsia" w:ascii="方正仿宋简体" w:hAnsi="方正仿宋简体" w:eastAsia="方正仿宋简体" w:cs="方正仿宋简体"/>
          <w:b w:val="0"/>
          <w:bCs/>
          <w:color w:val="auto"/>
          <w:kern w:val="0"/>
          <w:sz w:val="30"/>
          <w:szCs w:val="30"/>
          <w:highlight w:val="none"/>
          <w:u w:val="single"/>
        </w:rPr>
        <w:tab/>
      </w:r>
      <w:r>
        <w:rPr>
          <w:rFonts w:hint="eastAsia" w:ascii="方正仿宋简体" w:hAnsi="方正仿宋简体" w:eastAsia="方正仿宋简体" w:cs="方正仿宋简体"/>
          <w:b w:val="0"/>
          <w:bCs/>
          <w:color w:val="auto"/>
          <w:kern w:val="0"/>
          <w:sz w:val="30"/>
          <w:szCs w:val="30"/>
          <w:highlight w:val="none"/>
        </w:rPr>
        <w:t>（</w:t>
      </w:r>
      <w:r>
        <w:rPr>
          <w:rFonts w:hint="eastAsia" w:ascii="方正仿宋简体" w:hAnsi="方正仿宋简体" w:eastAsia="方正仿宋简体" w:cs="方正仿宋简体"/>
          <w:b w:val="0"/>
          <w:bCs/>
          <w:color w:val="auto"/>
          <w:spacing w:val="-1"/>
          <w:kern w:val="0"/>
          <w:sz w:val="30"/>
          <w:szCs w:val="30"/>
          <w:highlight w:val="none"/>
        </w:rPr>
        <w:t>签</w:t>
      </w:r>
      <w:r>
        <w:rPr>
          <w:rFonts w:hint="eastAsia" w:ascii="方正仿宋简体" w:hAnsi="方正仿宋简体" w:eastAsia="方正仿宋简体" w:cs="方正仿宋简体"/>
          <w:b w:val="0"/>
          <w:bCs/>
          <w:color w:val="auto"/>
          <w:kern w:val="0"/>
          <w:sz w:val="30"/>
          <w:szCs w:val="30"/>
          <w:highlight w:val="none"/>
        </w:rPr>
        <w:t>字）</w:t>
      </w:r>
    </w:p>
    <w:p>
      <w:pPr>
        <w:pageBreakBefore w:val="0"/>
        <w:kinsoku/>
        <w:wordWrap/>
        <w:overflowPunct/>
        <w:autoSpaceDE w:val="0"/>
        <w:autoSpaceDN w:val="0"/>
        <w:bidi w:val="0"/>
        <w:adjustRightIn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p>
    <w:p>
      <w:pPr>
        <w:pageBreakBefore w:val="0"/>
        <w:tabs>
          <w:tab w:val="left" w:pos="4840"/>
          <w:tab w:val="left" w:pos="5260"/>
        </w:tabs>
        <w:kinsoku/>
        <w:wordWrap/>
        <w:overflowPunct/>
        <w:autoSpaceDE w:val="0"/>
        <w:autoSpaceDN w:val="0"/>
        <w:bidi w:val="0"/>
        <w:adjustRightIn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成员二名称：</w:t>
      </w:r>
      <w:r>
        <w:rPr>
          <w:rFonts w:hint="eastAsia" w:ascii="方正仿宋简体" w:hAnsi="方正仿宋简体" w:eastAsia="方正仿宋简体" w:cs="方正仿宋简体"/>
          <w:b w:val="0"/>
          <w:bCs/>
          <w:color w:val="auto"/>
          <w:w w:val="361"/>
          <w:kern w:val="0"/>
          <w:sz w:val="30"/>
          <w:szCs w:val="30"/>
          <w:highlight w:val="none"/>
          <w:u w:val="single"/>
        </w:rPr>
        <w:t xml:space="preserve"> </w:t>
      </w:r>
      <w:r>
        <w:rPr>
          <w:rFonts w:hint="eastAsia" w:ascii="方正仿宋简体" w:hAnsi="方正仿宋简体" w:eastAsia="方正仿宋简体" w:cs="方正仿宋简体"/>
          <w:b w:val="0"/>
          <w:bCs/>
          <w:color w:val="auto"/>
          <w:kern w:val="0"/>
          <w:sz w:val="30"/>
          <w:szCs w:val="30"/>
          <w:highlight w:val="none"/>
          <w:u w:val="single"/>
        </w:rPr>
        <w:t xml:space="preserve">      </w:t>
      </w:r>
      <w:r>
        <w:rPr>
          <w:rFonts w:hint="eastAsia" w:ascii="方正仿宋简体" w:hAnsi="方正仿宋简体" w:eastAsia="方正仿宋简体" w:cs="方正仿宋简体"/>
          <w:b w:val="0"/>
          <w:bCs/>
          <w:color w:val="auto"/>
          <w:kern w:val="0"/>
          <w:sz w:val="30"/>
          <w:szCs w:val="30"/>
          <w:highlight w:val="none"/>
        </w:rPr>
        <w:t>（盖单</w:t>
      </w:r>
      <w:r>
        <w:rPr>
          <w:rFonts w:hint="eastAsia" w:ascii="方正仿宋简体" w:hAnsi="方正仿宋简体" w:eastAsia="方正仿宋简体" w:cs="方正仿宋简体"/>
          <w:b w:val="0"/>
          <w:bCs/>
          <w:color w:val="auto"/>
          <w:spacing w:val="-1"/>
          <w:kern w:val="0"/>
          <w:sz w:val="30"/>
          <w:szCs w:val="30"/>
          <w:highlight w:val="none"/>
        </w:rPr>
        <w:t>位</w:t>
      </w:r>
      <w:r>
        <w:rPr>
          <w:rFonts w:hint="eastAsia" w:ascii="方正仿宋简体" w:hAnsi="方正仿宋简体" w:eastAsia="方正仿宋简体" w:cs="方正仿宋简体"/>
          <w:b w:val="0"/>
          <w:bCs/>
          <w:color w:val="auto"/>
          <w:kern w:val="0"/>
          <w:sz w:val="30"/>
          <w:szCs w:val="30"/>
          <w:highlight w:val="none"/>
        </w:rPr>
        <w:t xml:space="preserve">章） </w:t>
      </w:r>
    </w:p>
    <w:p>
      <w:pPr>
        <w:pageBreakBefore w:val="0"/>
        <w:tabs>
          <w:tab w:val="left" w:pos="4840"/>
          <w:tab w:val="left" w:pos="4905"/>
        </w:tabs>
        <w:kinsoku/>
        <w:wordWrap/>
        <w:overflowPunct/>
        <w:autoSpaceDE w:val="0"/>
        <w:autoSpaceDN w:val="0"/>
        <w:bidi w:val="0"/>
        <w:adjustRightIn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法定代表人或其委托代理人：</w:t>
      </w:r>
      <w:r>
        <w:rPr>
          <w:rFonts w:hint="eastAsia" w:ascii="方正仿宋简体" w:hAnsi="方正仿宋简体" w:eastAsia="方正仿宋简体" w:cs="方正仿宋简体"/>
          <w:b w:val="0"/>
          <w:bCs/>
          <w:color w:val="auto"/>
          <w:w w:val="361"/>
          <w:kern w:val="0"/>
          <w:sz w:val="30"/>
          <w:szCs w:val="30"/>
          <w:highlight w:val="none"/>
          <w:u w:val="single"/>
        </w:rPr>
        <w:t xml:space="preserve"> </w:t>
      </w:r>
      <w:r>
        <w:rPr>
          <w:rFonts w:hint="eastAsia" w:ascii="方正仿宋简体" w:hAnsi="方正仿宋简体" w:eastAsia="方正仿宋简体" w:cs="方正仿宋简体"/>
          <w:b w:val="0"/>
          <w:bCs/>
          <w:color w:val="auto"/>
          <w:kern w:val="0"/>
          <w:sz w:val="30"/>
          <w:szCs w:val="30"/>
          <w:highlight w:val="none"/>
          <w:u w:val="single"/>
        </w:rPr>
        <w:tab/>
      </w:r>
      <w:r>
        <w:rPr>
          <w:rFonts w:hint="eastAsia" w:ascii="方正仿宋简体" w:hAnsi="方正仿宋简体" w:eastAsia="方正仿宋简体" w:cs="方正仿宋简体"/>
          <w:b w:val="0"/>
          <w:bCs/>
          <w:color w:val="auto"/>
          <w:kern w:val="0"/>
          <w:sz w:val="30"/>
          <w:szCs w:val="30"/>
          <w:highlight w:val="none"/>
          <w:u w:val="single"/>
        </w:rPr>
        <w:tab/>
      </w:r>
      <w:r>
        <w:rPr>
          <w:rFonts w:hint="eastAsia" w:ascii="方正仿宋简体" w:hAnsi="方正仿宋简体" w:eastAsia="方正仿宋简体" w:cs="方正仿宋简体"/>
          <w:b w:val="0"/>
          <w:bCs/>
          <w:color w:val="auto"/>
          <w:kern w:val="0"/>
          <w:sz w:val="30"/>
          <w:szCs w:val="30"/>
          <w:highlight w:val="none"/>
        </w:rPr>
        <w:t>（</w:t>
      </w:r>
      <w:r>
        <w:rPr>
          <w:rFonts w:hint="eastAsia" w:ascii="方正仿宋简体" w:hAnsi="方正仿宋简体" w:eastAsia="方正仿宋简体" w:cs="方正仿宋简体"/>
          <w:b w:val="0"/>
          <w:bCs/>
          <w:color w:val="auto"/>
          <w:spacing w:val="-1"/>
          <w:kern w:val="0"/>
          <w:sz w:val="30"/>
          <w:szCs w:val="30"/>
          <w:highlight w:val="none"/>
        </w:rPr>
        <w:t>签</w:t>
      </w:r>
      <w:r>
        <w:rPr>
          <w:rFonts w:hint="eastAsia" w:ascii="方正仿宋简体" w:hAnsi="方正仿宋简体" w:eastAsia="方正仿宋简体" w:cs="方正仿宋简体"/>
          <w:b w:val="0"/>
          <w:bCs/>
          <w:color w:val="auto"/>
          <w:kern w:val="0"/>
          <w:sz w:val="30"/>
          <w:szCs w:val="30"/>
          <w:highlight w:val="none"/>
        </w:rPr>
        <w:t>字）</w:t>
      </w:r>
    </w:p>
    <w:p>
      <w:pPr>
        <w:pageBreakBefore w:val="0"/>
        <w:kinsoku/>
        <w:wordWrap/>
        <w:overflowPunct/>
        <w:autoSpaceDE w:val="0"/>
        <w:autoSpaceDN w:val="0"/>
        <w:bidi w:val="0"/>
        <w:adjustRightIn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p>
    <w:p>
      <w:pPr>
        <w:pageBreakBefore w:val="0"/>
        <w:kinsoku/>
        <w:wordWrap/>
        <w:overflowPunct/>
        <w:autoSpaceDE w:val="0"/>
        <w:autoSpaceDN w:val="0"/>
        <w:bidi w:val="0"/>
        <w:adjustRightInd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w:t>
      </w:r>
    </w:p>
    <w:p>
      <w:pPr>
        <w:pageBreakBefore w:val="0"/>
        <w:tabs>
          <w:tab w:val="left" w:pos="3840"/>
          <w:tab w:val="left" w:pos="4780"/>
          <w:tab w:val="left" w:pos="5720"/>
        </w:tabs>
        <w:kinsoku/>
        <w:wordWrap/>
        <w:overflowPunct/>
        <w:autoSpaceDE w:val="0"/>
        <w:autoSpaceDN w:val="0"/>
        <w:bidi w:val="0"/>
        <w:adjustRightInd w:val="0"/>
        <w:spacing w:line="560" w:lineRule="exact"/>
        <w:ind w:left="0" w:leftChars="0" w:right="0" w:rightChars="0" w:firstLine="2166" w:firstLineChars="200"/>
        <w:jc w:val="left"/>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w w:val="361"/>
          <w:kern w:val="0"/>
          <w:position w:val="1"/>
          <w:sz w:val="30"/>
          <w:szCs w:val="30"/>
          <w:highlight w:val="none"/>
          <w:u w:val="single"/>
        </w:rPr>
        <w:t xml:space="preserve"> </w:t>
      </w:r>
      <w:r>
        <w:rPr>
          <w:rFonts w:hint="eastAsia" w:ascii="方正仿宋简体" w:hAnsi="方正仿宋简体" w:eastAsia="方正仿宋简体" w:cs="方正仿宋简体"/>
          <w:b w:val="0"/>
          <w:bCs/>
          <w:color w:val="auto"/>
          <w:kern w:val="0"/>
          <w:position w:val="1"/>
          <w:sz w:val="30"/>
          <w:szCs w:val="30"/>
          <w:highlight w:val="none"/>
          <w:u w:val="single"/>
        </w:rPr>
        <w:tab/>
      </w:r>
      <w:r>
        <w:rPr>
          <w:rFonts w:hint="eastAsia" w:ascii="方正仿宋简体" w:hAnsi="方正仿宋简体" w:eastAsia="方正仿宋简体" w:cs="方正仿宋简体"/>
          <w:b w:val="0"/>
          <w:bCs/>
          <w:color w:val="auto"/>
          <w:spacing w:val="-1"/>
          <w:kern w:val="0"/>
          <w:position w:val="1"/>
          <w:sz w:val="30"/>
          <w:szCs w:val="30"/>
          <w:highlight w:val="none"/>
        </w:rPr>
        <w:t>年</w:t>
      </w:r>
      <w:r>
        <w:rPr>
          <w:rFonts w:hint="eastAsia" w:ascii="方正仿宋简体" w:hAnsi="方正仿宋简体" w:eastAsia="方正仿宋简体" w:cs="方正仿宋简体"/>
          <w:b w:val="0"/>
          <w:bCs/>
          <w:color w:val="auto"/>
          <w:w w:val="361"/>
          <w:kern w:val="0"/>
          <w:position w:val="1"/>
          <w:sz w:val="30"/>
          <w:szCs w:val="30"/>
          <w:highlight w:val="none"/>
          <w:u w:val="single"/>
        </w:rPr>
        <w:t xml:space="preserve"> </w:t>
      </w:r>
      <w:r>
        <w:rPr>
          <w:rFonts w:hint="eastAsia" w:ascii="方正仿宋简体" w:hAnsi="方正仿宋简体" w:eastAsia="方正仿宋简体" w:cs="方正仿宋简体"/>
          <w:b w:val="0"/>
          <w:bCs/>
          <w:color w:val="auto"/>
          <w:kern w:val="0"/>
          <w:position w:val="1"/>
          <w:sz w:val="30"/>
          <w:szCs w:val="30"/>
          <w:highlight w:val="none"/>
          <w:u w:val="single"/>
        </w:rPr>
        <w:tab/>
      </w:r>
      <w:r>
        <w:rPr>
          <w:rFonts w:hint="eastAsia" w:ascii="方正仿宋简体" w:hAnsi="方正仿宋简体" w:eastAsia="方正仿宋简体" w:cs="方正仿宋简体"/>
          <w:b w:val="0"/>
          <w:bCs/>
          <w:color w:val="auto"/>
          <w:spacing w:val="-1"/>
          <w:kern w:val="0"/>
          <w:position w:val="1"/>
          <w:sz w:val="30"/>
          <w:szCs w:val="30"/>
          <w:highlight w:val="none"/>
        </w:rPr>
        <w:t>月</w:t>
      </w:r>
      <w:r>
        <w:rPr>
          <w:rFonts w:hint="eastAsia" w:ascii="方正仿宋简体" w:hAnsi="方正仿宋简体" w:eastAsia="方正仿宋简体" w:cs="方正仿宋简体"/>
          <w:b w:val="0"/>
          <w:bCs/>
          <w:color w:val="auto"/>
          <w:w w:val="361"/>
          <w:kern w:val="0"/>
          <w:position w:val="1"/>
          <w:sz w:val="30"/>
          <w:szCs w:val="30"/>
          <w:highlight w:val="none"/>
          <w:u w:val="single"/>
        </w:rPr>
        <w:t xml:space="preserve"> </w:t>
      </w:r>
      <w:r>
        <w:rPr>
          <w:rFonts w:hint="eastAsia" w:ascii="方正仿宋简体" w:hAnsi="方正仿宋简体" w:eastAsia="方正仿宋简体" w:cs="方正仿宋简体"/>
          <w:b w:val="0"/>
          <w:bCs/>
          <w:color w:val="auto"/>
          <w:kern w:val="0"/>
          <w:position w:val="1"/>
          <w:sz w:val="30"/>
          <w:szCs w:val="30"/>
          <w:highlight w:val="none"/>
          <w:u w:val="single"/>
        </w:rPr>
        <w:tab/>
      </w:r>
      <w:r>
        <w:rPr>
          <w:rFonts w:hint="eastAsia" w:ascii="方正仿宋简体" w:hAnsi="方正仿宋简体" w:eastAsia="方正仿宋简体" w:cs="方正仿宋简体"/>
          <w:b w:val="0"/>
          <w:bCs/>
          <w:color w:val="auto"/>
          <w:kern w:val="0"/>
          <w:position w:val="1"/>
          <w:sz w:val="30"/>
          <w:szCs w:val="30"/>
          <w:highlight w:val="none"/>
        </w:rPr>
        <w:t>日</w:t>
      </w:r>
    </w:p>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rPr>
        <w:br w:type="page"/>
      </w: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（八） 投标人基本情况表</w:t>
      </w:r>
    </w:p>
    <w:tbl>
      <w:tblPr>
        <w:tblStyle w:val="51"/>
        <w:tblW w:w="8655" w:type="dxa"/>
        <w:tblInd w:w="93" w:type="dxa"/>
        <w:tblLayout w:type="fixed"/>
        <w:tblCellMar>
          <w:top w:w="0" w:type="dxa"/>
          <w:left w:w="108" w:type="dxa"/>
          <w:bottom w:w="0" w:type="dxa"/>
          <w:right w:w="108" w:type="dxa"/>
        </w:tblCellMar>
      </w:tblPr>
      <w:tblGrid>
        <w:gridCol w:w="1716"/>
        <w:gridCol w:w="993"/>
        <w:gridCol w:w="992"/>
        <w:gridCol w:w="1417"/>
        <w:gridCol w:w="1002"/>
        <w:gridCol w:w="915"/>
        <w:gridCol w:w="165"/>
        <w:gridCol w:w="1455"/>
      </w:tblGrid>
      <w:tr>
        <w:tblPrEx>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投标人名称</w:t>
            </w:r>
          </w:p>
        </w:tc>
        <w:tc>
          <w:tcPr>
            <w:tcW w:w="6939" w:type="dxa"/>
            <w:gridSpan w:val="7"/>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注册地址</w:t>
            </w:r>
          </w:p>
        </w:tc>
        <w:tc>
          <w:tcPr>
            <w:tcW w:w="1985"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41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邮政编码</w:t>
            </w:r>
          </w:p>
        </w:tc>
        <w:tc>
          <w:tcPr>
            <w:tcW w:w="3537" w:type="dxa"/>
            <w:gridSpan w:val="4"/>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联系方式</w:t>
            </w:r>
          </w:p>
        </w:tc>
        <w:tc>
          <w:tcPr>
            <w:tcW w:w="993"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联系人</w:t>
            </w:r>
          </w:p>
        </w:tc>
        <w:tc>
          <w:tcPr>
            <w:tcW w:w="992" w:type="dxa"/>
            <w:tcBorders>
              <w:top w:val="nil"/>
              <w:left w:val="nil"/>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41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电话</w:t>
            </w:r>
          </w:p>
        </w:tc>
        <w:tc>
          <w:tcPr>
            <w:tcW w:w="3537" w:type="dxa"/>
            <w:gridSpan w:val="4"/>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组织机构</w:t>
            </w:r>
          </w:p>
        </w:tc>
        <w:tc>
          <w:tcPr>
            <w:tcW w:w="993"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传真</w:t>
            </w:r>
          </w:p>
        </w:tc>
        <w:tc>
          <w:tcPr>
            <w:tcW w:w="992" w:type="dxa"/>
            <w:tcBorders>
              <w:top w:val="nil"/>
              <w:left w:val="nil"/>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41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网址</w:t>
            </w:r>
          </w:p>
        </w:tc>
        <w:tc>
          <w:tcPr>
            <w:tcW w:w="3537" w:type="dxa"/>
            <w:gridSpan w:val="4"/>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法定代表人</w:t>
            </w:r>
          </w:p>
        </w:tc>
        <w:tc>
          <w:tcPr>
            <w:tcW w:w="993"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姓名</w:t>
            </w:r>
          </w:p>
        </w:tc>
        <w:tc>
          <w:tcPr>
            <w:tcW w:w="992" w:type="dxa"/>
            <w:tcBorders>
              <w:top w:val="nil"/>
              <w:left w:val="nil"/>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41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技术职称</w:t>
            </w:r>
          </w:p>
        </w:tc>
        <w:tc>
          <w:tcPr>
            <w:tcW w:w="1002"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080"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电话</w:t>
            </w:r>
          </w:p>
        </w:tc>
        <w:tc>
          <w:tcPr>
            <w:tcW w:w="145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技术负责人</w:t>
            </w:r>
          </w:p>
        </w:tc>
        <w:tc>
          <w:tcPr>
            <w:tcW w:w="993"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姓名</w:t>
            </w:r>
          </w:p>
        </w:tc>
        <w:tc>
          <w:tcPr>
            <w:tcW w:w="992" w:type="dxa"/>
            <w:tcBorders>
              <w:top w:val="nil"/>
              <w:left w:val="nil"/>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41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技术职称</w:t>
            </w:r>
          </w:p>
        </w:tc>
        <w:tc>
          <w:tcPr>
            <w:tcW w:w="1002"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080"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电话</w:t>
            </w:r>
          </w:p>
        </w:tc>
        <w:tc>
          <w:tcPr>
            <w:tcW w:w="145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成立时间</w:t>
            </w:r>
          </w:p>
        </w:tc>
        <w:tc>
          <w:tcPr>
            <w:tcW w:w="1985"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4954" w:type="dxa"/>
            <w:gridSpan w:val="5"/>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员工总数：</w:t>
            </w: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企业资质等级</w:t>
            </w:r>
          </w:p>
        </w:tc>
        <w:tc>
          <w:tcPr>
            <w:tcW w:w="1985"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417" w:type="dxa"/>
            <w:vMerge w:val="restart"/>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其中</w:t>
            </w:r>
          </w:p>
        </w:tc>
        <w:tc>
          <w:tcPr>
            <w:tcW w:w="1917"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项目经理</w:t>
            </w:r>
          </w:p>
        </w:tc>
        <w:tc>
          <w:tcPr>
            <w:tcW w:w="1620"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营业执照号</w:t>
            </w:r>
          </w:p>
        </w:tc>
        <w:tc>
          <w:tcPr>
            <w:tcW w:w="1985"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417"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c>
          <w:tcPr>
            <w:tcW w:w="1917"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高级职称人员</w:t>
            </w:r>
          </w:p>
        </w:tc>
        <w:tc>
          <w:tcPr>
            <w:tcW w:w="1620"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注册资金</w:t>
            </w:r>
          </w:p>
        </w:tc>
        <w:tc>
          <w:tcPr>
            <w:tcW w:w="1985"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417"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c>
          <w:tcPr>
            <w:tcW w:w="1917"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中级职称人员</w:t>
            </w:r>
          </w:p>
        </w:tc>
        <w:tc>
          <w:tcPr>
            <w:tcW w:w="1620"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开户银行</w:t>
            </w:r>
          </w:p>
        </w:tc>
        <w:tc>
          <w:tcPr>
            <w:tcW w:w="1985"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417"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c>
          <w:tcPr>
            <w:tcW w:w="1917"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初级职称人员</w:t>
            </w:r>
          </w:p>
        </w:tc>
        <w:tc>
          <w:tcPr>
            <w:tcW w:w="1620"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489" w:hRule="atLeast"/>
        </w:trPr>
        <w:tc>
          <w:tcPr>
            <w:tcW w:w="1716"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帐号</w:t>
            </w:r>
          </w:p>
        </w:tc>
        <w:tc>
          <w:tcPr>
            <w:tcW w:w="1985"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417"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c>
          <w:tcPr>
            <w:tcW w:w="1917"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技工</w:t>
            </w:r>
          </w:p>
        </w:tc>
        <w:tc>
          <w:tcPr>
            <w:tcW w:w="1620"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1980" w:hRule="atLeast"/>
        </w:trPr>
        <w:tc>
          <w:tcPr>
            <w:tcW w:w="1716"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经营范围</w:t>
            </w:r>
          </w:p>
        </w:tc>
        <w:tc>
          <w:tcPr>
            <w:tcW w:w="6939" w:type="dxa"/>
            <w:gridSpan w:val="7"/>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1710" w:hRule="atLeast"/>
        </w:trPr>
        <w:tc>
          <w:tcPr>
            <w:tcW w:w="1716"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备注</w:t>
            </w:r>
          </w:p>
        </w:tc>
        <w:tc>
          <w:tcPr>
            <w:tcW w:w="6939" w:type="dxa"/>
            <w:gridSpan w:val="7"/>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bl>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rPr>
        <w:br w:type="page"/>
      </w:r>
      <w:bookmarkStart w:id="120" w:name="_Toc405302893"/>
      <w:bookmarkStart w:id="121" w:name="_Toc405303403"/>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kern w:val="0"/>
          <w:sz w:val="30"/>
          <w:szCs w:val="30"/>
          <w:highlight w:val="none"/>
        </w:rPr>
      </w:pPr>
      <w:r>
        <w:rPr>
          <w:rFonts w:hint="eastAsia" w:ascii="方正仿宋简体" w:hAnsi="方正仿宋简体" w:eastAsia="方正仿宋简体" w:cs="方正仿宋简体"/>
          <w:b w:val="0"/>
          <w:bCs/>
          <w:color w:val="auto"/>
          <w:kern w:val="0"/>
          <w:sz w:val="30"/>
          <w:szCs w:val="30"/>
          <w:highlight w:val="none"/>
        </w:rPr>
        <w:t>五  谈判文件技术部分</w:t>
      </w:r>
      <w:bookmarkEnd w:id="120"/>
      <w:bookmarkEnd w:id="121"/>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（一） 技术偏离表</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项目名称：                               招标编号：</w:t>
      </w:r>
    </w:p>
    <w:tbl>
      <w:tblPr>
        <w:tblStyle w:val="51"/>
        <w:tblW w:w="8668" w:type="dxa"/>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243"/>
        <w:gridCol w:w="1843"/>
        <w:gridCol w:w="1417"/>
        <w:gridCol w:w="1276"/>
        <w:gridCol w:w="851"/>
        <w:gridCol w:w="1410"/>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double" w:color="auto" w:sz="6" w:space="0"/>
              <w:left w:val="double" w:color="auto" w:sz="6" w:space="0"/>
              <w:bottom w:val="single" w:color="000000" w:sz="6" w:space="0"/>
              <w:right w:val="single" w:color="000000" w:sz="6" w:space="0"/>
            </w:tcBorders>
            <w:noWrap w:val="0"/>
            <w:vAlign w:val="top"/>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序号     </w:t>
            </w:r>
          </w:p>
        </w:tc>
        <w:tc>
          <w:tcPr>
            <w:tcW w:w="1243" w:type="dxa"/>
            <w:tcBorders>
              <w:top w:val="double" w:color="auto"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分项名称</w:t>
            </w:r>
          </w:p>
        </w:tc>
        <w:tc>
          <w:tcPr>
            <w:tcW w:w="1843" w:type="dxa"/>
            <w:tcBorders>
              <w:top w:val="double" w:color="auto"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谈判文件条目号</w:t>
            </w:r>
          </w:p>
        </w:tc>
        <w:tc>
          <w:tcPr>
            <w:tcW w:w="1417" w:type="dxa"/>
            <w:tcBorders>
              <w:top w:val="double" w:color="auto"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招标规格</w:t>
            </w:r>
          </w:p>
        </w:tc>
        <w:tc>
          <w:tcPr>
            <w:tcW w:w="1276" w:type="dxa"/>
            <w:tcBorders>
              <w:top w:val="double" w:color="auto"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投标规格</w:t>
            </w:r>
          </w:p>
        </w:tc>
        <w:tc>
          <w:tcPr>
            <w:tcW w:w="851" w:type="dxa"/>
            <w:tcBorders>
              <w:top w:val="double" w:color="auto"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偏离</w:t>
            </w:r>
          </w:p>
        </w:tc>
        <w:tc>
          <w:tcPr>
            <w:tcW w:w="1410" w:type="dxa"/>
            <w:tcBorders>
              <w:top w:val="double" w:color="auto" w:sz="6" w:space="0"/>
              <w:left w:val="single" w:color="000000" w:sz="6" w:space="0"/>
              <w:bottom w:val="single" w:color="000000" w:sz="6" w:space="0"/>
              <w:right w:val="double" w:color="auto" w:sz="6" w:space="0"/>
            </w:tcBorders>
            <w:noWrap w:val="0"/>
            <w:vAlign w:val="top"/>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43"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843"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417"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76"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51"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410" w:type="dxa"/>
            <w:tcBorders>
              <w:top w:val="single" w:color="000000" w:sz="6" w:space="0"/>
              <w:left w:val="single" w:color="000000" w:sz="6" w:space="0"/>
              <w:bottom w:val="single" w:color="000000" w:sz="6" w:space="0"/>
              <w:right w:val="double" w:color="auto"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43"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843"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417"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76"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51"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410" w:type="dxa"/>
            <w:tcBorders>
              <w:top w:val="single" w:color="000000" w:sz="6" w:space="0"/>
              <w:left w:val="single" w:color="000000" w:sz="6" w:space="0"/>
              <w:bottom w:val="single" w:color="000000" w:sz="6" w:space="0"/>
              <w:right w:val="double" w:color="auto"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43"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843"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417"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76"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51"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410" w:type="dxa"/>
            <w:tcBorders>
              <w:top w:val="single" w:color="000000" w:sz="6" w:space="0"/>
              <w:left w:val="single" w:color="000000" w:sz="6" w:space="0"/>
              <w:bottom w:val="single" w:color="000000" w:sz="6" w:space="0"/>
              <w:right w:val="double" w:color="auto"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43"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843"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417"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76"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51" w:type="dxa"/>
            <w:tcBorders>
              <w:top w:val="single" w:color="000000" w:sz="6" w:space="0"/>
              <w:left w:val="single" w:color="000000" w:sz="6" w:space="0"/>
              <w:bottom w:val="single" w:color="000000"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410" w:type="dxa"/>
            <w:tcBorders>
              <w:top w:val="single" w:color="000000" w:sz="6" w:space="0"/>
              <w:left w:val="single" w:color="000000" w:sz="6" w:space="0"/>
              <w:bottom w:val="single" w:color="000000" w:sz="6" w:space="0"/>
              <w:right w:val="double" w:color="auto"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double" w:color="auto"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43" w:type="dxa"/>
            <w:tcBorders>
              <w:top w:val="single" w:color="000000" w:sz="6" w:space="0"/>
              <w:left w:val="single" w:color="000000" w:sz="6" w:space="0"/>
              <w:bottom w:val="double" w:color="auto"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843" w:type="dxa"/>
            <w:tcBorders>
              <w:top w:val="single" w:color="000000" w:sz="6" w:space="0"/>
              <w:left w:val="single" w:color="000000" w:sz="6" w:space="0"/>
              <w:bottom w:val="double" w:color="auto"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417" w:type="dxa"/>
            <w:tcBorders>
              <w:top w:val="single" w:color="000000" w:sz="6" w:space="0"/>
              <w:left w:val="single" w:color="000000" w:sz="6" w:space="0"/>
              <w:bottom w:val="double" w:color="auto"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76" w:type="dxa"/>
            <w:tcBorders>
              <w:top w:val="single" w:color="000000" w:sz="6" w:space="0"/>
              <w:left w:val="single" w:color="000000" w:sz="6" w:space="0"/>
              <w:bottom w:val="double" w:color="auto"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851" w:type="dxa"/>
            <w:tcBorders>
              <w:top w:val="single" w:color="000000" w:sz="6" w:space="0"/>
              <w:left w:val="single" w:color="000000" w:sz="6" w:space="0"/>
              <w:bottom w:val="double" w:color="auto" w:sz="6" w:space="0"/>
              <w:right w:val="single" w:color="000000"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 </w:t>
            </w:r>
          </w:p>
        </w:tc>
        <w:tc>
          <w:tcPr>
            <w:tcW w:w="1410" w:type="dxa"/>
            <w:tcBorders>
              <w:top w:val="single" w:color="000000" w:sz="6" w:space="0"/>
              <w:left w:val="single" w:color="000000" w:sz="6" w:space="0"/>
              <w:bottom w:val="double" w:color="auto" w:sz="6" w:space="0"/>
              <w:right w:val="double" w:color="auto" w:sz="6"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bl>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注：投标人应在如投标人递交的技术参数中与谈判文件的技术标准和图纸中的要求有不同时，应逐条列在技术偏离表中，否则将认为投标人接受谈判文件技术标准和图纸中的要求。</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 标 人：</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（盖单位章）</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法定代表人或其委托代理人：</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（签字）</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年</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月</w:t>
      </w:r>
      <w:r>
        <w:rPr>
          <w:rFonts w:hint="eastAsia" w:ascii="方正仿宋简体" w:hAnsi="方正仿宋简体" w:eastAsia="方正仿宋简体" w:cs="方正仿宋简体"/>
          <w:b w:val="0"/>
          <w:bCs/>
          <w:color w:val="auto"/>
          <w:sz w:val="30"/>
          <w:szCs w:val="30"/>
          <w:highlight w:val="none"/>
          <w:u w:val="single"/>
        </w:rPr>
        <w:t xml:space="preserve">        </w:t>
      </w:r>
      <w:r>
        <w:rPr>
          <w:rFonts w:hint="eastAsia" w:ascii="方正仿宋简体" w:hAnsi="方正仿宋简体" w:eastAsia="方正仿宋简体" w:cs="方正仿宋简体"/>
          <w:b w:val="0"/>
          <w:bCs/>
          <w:color w:val="auto"/>
          <w:sz w:val="30"/>
          <w:szCs w:val="30"/>
          <w:highlight w:val="none"/>
        </w:rPr>
        <w:t>日</w:t>
      </w: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rPr>
        <w:br w:type="page"/>
      </w:r>
      <w:r>
        <w:rPr>
          <w:rFonts w:hint="eastAsia" w:ascii="方正仿宋简体" w:hAnsi="方正仿宋简体" w:eastAsia="方正仿宋简体" w:cs="方正仿宋简体"/>
          <w:b w:val="0"/>
          <w:bCs/>
          <w:color w:val="auto"/>
          <w:sz w:val="30"/>
          <w:szCs w:val="30"/>
          <w:highlight w:val="none"/>
        </w:rPr>
        <w:t>（二）项目管理机构</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1、拟投入本工程的人员构成表</w:t>
      </w:r>
    </w:p>
    <w:tbl>
      <w:tblPr>
        <w:tblStyle w:val="51"/>
        <w:tblW w:w="9242" w:type="dxa"/>
        <w:tblInd w:w="0" w:type="dxa"/>
        <w:tblLayout w:type="fixed"/>
        <w:tblCellMar>
          <w:top w:w="0" w:type="dxa"/>
          <w:left w:w="108" w:type="dxa"/>
          <w:bottom w:w="0" w:type="dxa"/>
          <w:right w:w="108" w:type="dxa"/>
        </w:tblCellMar>
      </w:tblPr>
      <w:tblGrid>
        <w:gridCol w:w="1918"/>
        <w:gridCol w:w="579"/>
        <w:gridCol w:w="724"/>
        <w:gridCol w:w="725"/>
        <w:gridCol w:w="908"/>
        <w:gridCol w:w="725"/>
        <w:gridCol w:w="725"/>
        <w:gridCol w:w="909"/>
        <w:gridCol w:w="725"/>
        <w:gridCol w:w="725"/>
        <w:gridCol w:w="579"/>
      </w:tblGrid>
      <w:tr>
        <w:tblPrEx>
          <w:tblCellMar>
            <w:top w:w="0" w:type="dxa"/>
            <w:left w:w="108" w:type="dxa"/>
            <w:bottom w:w="0" w:type="dxa"/>
            <w:right w:w="108" w:type="dxa"/>
          </w:tblCellMar>
        </w:tblPrEx>
        <w:trPr>
          <w:trHeight w:val="787" w:hRule="atLeast"/>
        </w:trPr>
        <w:tc>
          <w:tcPr>
            <w:tcW w:w="2497"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投标人人员总数</w:t>
            </w:r>
          </w:p>
        </w:tc>
        <w:tc>
          <w:tcPr>
            <w:tcW w:w="6745" w:type="dxa"/>
            <w:gridSpan w:val="9"/>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826" w:hRule="atLeast"/>
        </w:trPr>
        <w:tc>
          <w:tcPr>
            <w:tcW w:w="2497"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投入本工程的人员总数</w:t>
            </w:r>
          </w:p>
        </w:tc>
        <w:tc>
          <w:tcPr>
            <w:tcW w:w="6745" w:type="dxa"/>
            <w:gridSpan w:val="9"/>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570" w:hRule="atLeast"/>
        </w:trPr>
        <w:tc>
          <w:tcPr>
            <w:tcW w:w="1918" w:type="dxa"/>
            <w:vMerge w:val="restart"/>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投入本工程的人员类型、数量及比例</w:t>
            </w:r>
          </w:p>
        </w:tc>
        <w:tc>
          <w:tcPr>
            <w:tcW w:w="579" w:type="dxa"/>
            <w:vMerge w:val="restart"/>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人员</w:t>
            </w:r>
          </w:p>
        </w:tc>
        <w:tc>
          <w:tcPr>
            <w:tcW w:w="2357" w:type="dxa"/>
            <w:gridSpan w:val="3"/>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管理人员</w:t>
            </w:r>
          </w:p>
        </w:tc>
        <w:tc>
          <w:tcPr>
            <w:tcW w:w="2359" w:type="dxa"/>
            <w:gridSpan w:val="3"/>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技术人员</w:t>
            </w:r>
          </w:p>
        </w:tc>
        <w:tc>
          <w:tcPr>
            <w:tcW w:w="1450" w:type="dxa"/>
            <w:gridSpan w:val="2"/>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技术工人</w:t>
            </w:r>
          </w:p>
        </w:tc>
        <w:tc>
          <w:tcPr>
            <w:tcW w:w="579" w:type="dxa"/>
            <w:vMerge w:val="restart"/>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其他</w:t>
            </w:r>
          </w:p>
        </w:tc>
      </w:tr>
      <w:tr>
        <w:tblPrEx>
          <w:tblCellMar>
            <w:top w:w="0" w:type="dxa"/>
            <w:left w:w="108" w:type="dxa"/>
            <w:bottom w:w="0" w:type="dxa"/>
            <w:right w:w="108" w:type="dxa"/>
          </w:tblCellMar>
        </w:tblPrEx>
        <w:trPr>
          <w:trHeight w:val="555" w:hRule="atLeast"/>
        </w:trPr>
        <w:tc>
          <w:tcPr>
            <w:tcW w:w="1918"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c>
          <w:tcPr>
            <w:tcW w:w="579"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c>
          <w:tcPr>
            <w:tcW w:w="1449" w:type="dxa"/>
            <w:gridSpan w:val="2"/>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工作经验</w:t>
            </w:r>
          </w:p>
        </w:tc>
        <w:tc>
          <w:tcPr>
            <w:tcW w:w="908" w:type="dxa"/>
            <w:vMerge w:val="restart"/>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具有高级职称</w:t>
            </w:r>
          </w:p>
        </w:tc>
        <w:tc>
          <w:tcPr>
            <w:tcW w:w="1450" w:type="dxa"/>
            <w:gridSpan w:val="2"/>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工作经验</w:t>
            </w:r>
          </w:p>
        </w:tc>
        <w:tc>
          <w:tcPr>
            <w:tcW w:w="909" w:type="dxa"/>
            <w:vMerge w:val="restart"/>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具有高级职称</w:t>
            </w:r>
          </w:p>
        </w:tc>
        <w:tc>
          <w:tcPr>
            <w:tcW w:w="1450" w:type="dxa"/>
            <w:gridSpan w:val="2"/>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工作经验</w:t>
            </w:r>
          </w:p>
        </w:tc>
        <w:tc>
          <w:tcPr>
            <w:tcW w:w="579"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585" w:hRule="atLeast"/>
        </w:trPr>
        <w:tc>
          <w:tcPr>
            <w:tcW w:w="1918"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c>
          <w:tcPr>
            <w:tcW w:w="579"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c>
          <w:tcPr>
            <w:tcW w:w="724"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3年以上</w:t>
            </w:r>
          </w:p>
        </w:tc>
        <w:tc>
          <w:tcPr>
            <w:tcW w:w="72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5年以上</w:t>
            </w:r>
          </w:p>
        </w:tc>
        <w:tc>
          <w:tcPr>
            <w:tcW w:w="908"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c>
          <w:tcPr>
            <w:tcW w:w="72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3年以上</w:t>
            </w:r>
          </w:p>
        </w:tc>
        <w:tc>
          <w:tcPr>
            <w:tcW w:w="72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5年以上</w:t>
            </w:r>
          </w:p>
        </w:tc>
        <w:tc>
          <w:tcPr>
            <w:tcW w:w="909"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c>
          <w:tcPr>
            <w:tcW w:w="72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3年以上</w:t>
            </w:r>
          </w:p>
        </w:tc>
        <w:tc>
          <w:tcPr>
            <w:tcW w:w="72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5年以上</w:t>
            </w:r>
          </w:p>
        </w:tc>
        <w:tc>
          <w:tcPr>
            <w:tcW w:w="579"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1061" w:hRule="atLeast"/>
        </w:trPr>
        <w:tc>
          <w:tcPr>
            <w:tcW w:w="1918"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c>
          <w:tcPr>
            <w:tcW w:w="57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数量</w:t>
            </w:r>
          </w:p>
        </w:tc>
        <w:tc>
          <w:tcPr>
            <w:tcW w:w="724"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72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08"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72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72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0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72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72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57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1413" w:hRule="atLeast"/>
        </w:trPr>
        <w:tc>
          <w:tcPr>
            <w:tcW w:w="1918"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c>
          <w:tcPr>
            <w:tcW w:w="57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比例</w:t>
            </w:r>
          </w:p>
        </w:tc>
        <w:tc>
          <w:tcPr>
            <w:tcW w:w="724"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72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08"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72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72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0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72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72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57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bl>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kern w:val="0"/>
          <w:sz w:val="30"/>
          <w:szCs w:val="30"/>
          <w:highlight w:val="none"/>
        </w:rPr>
        <w:sectPr>
          <w:pgSz w:w="11906" w:h="16838"/>
          <w:pgMar w:top="1440" w:right="1440" w:bottom="1440" w:left="1440" w:header="851" w:footer="992" w:gutter="0"/>
          <w:pgBorders>
            <w:top w:val="none" w:sz="0" w:space="0"/>
            <w:left w:val="none" w:sz="0" w:space="0"/>
            <w:bottom w:val="none" w:sz="0" w:space="0"/>
            <w:right w:val="none" w:sz="0" w:space="0"/>
          </w:pgBorders>
          <w:cols w:space="720" w:num="1"/>
        </w:sect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2、项目管理机构人员组成表</w:t>
      </w:r>
    </w:p>
    <w:tbl>
      <w:tblPr>
        <w:tblStyle w:val="51"/>
        <w:tblW w:w="8522" w:type="dxa"/>
        <w:tblInd w:w="0" w:type="dxa"/>
        <w:tblLayout w:type="fixed"/>
        <w:tblCellMar>
          <w:top w:w="0" w:type="dxa"/>
          <w:left w:w="108" w:type="dxa"/>
          <w:bottom w:w="0" w:type="dxa"/>
          <w:right w:w="108" w:type="dxa"/>
        </w:tblCellMar>
      </w:tblPr>
      <w:tblGrid>
        <w:gridCol w:w="945"/>
        <w:gridCol w:w="947"/>
        <w:gridCol w:w="947"/>
        <w:gridCol w:w="1335"/>
        <w:gridCol w:w="689"/>
        <w:gridCol w:w="689"/>
        <w:gridCol w:w="689"/>
        <w:gridCol w:w="1335"/>
        <w:gridCol w:w="946"/>
      </w:tblGrid>
      <w:tr>
        <w:tblPrEx>
          <w:tblCellMar>
            <w:top w:w="0" w:type="dxa"/>
            <w:left w:w="108" w:type="dxa"/>
            <w:bottom w:w="0" w:type="dxa"/>
            <w:right w:w="108" w:type="dxa"/>
          </w:tblCellMar>
        </w:tblPrEx>
        <w:trPr>
          <w:trHeight w:val="285" w:hRule="atLeast"/>
        </w:trPr>
        <w:tc>
          <w:tcPr>
            <w:tcW w:w="945"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职务</w:t>
            </w:r>
          </w:p>
        </w:tc>
        <w:tc>
          <w:tcPr>
            <w:tcW w:w="947"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姓名</w:t>
            </w:r>
          </w:p>
        </w:tc>
        <w:tc>
          <w:tcPr>
            <w:tcW w:w="947"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职称</w:t>
            </w:r>
          </w:p>
        </w:tc>
        <w:tc>
          <w:tcPr>
            <w:tcW w:w="4737" w:type="dxa"/>
            <w:gridSpan w:val="5"/>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执业或职业资格证明</w:t>
            </w:r>
          </w:p>
        </w:tc>
        <w:tc>
          <w:tcPr>
            <w:tcW w:w="946"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专业</w:t>
            </w:r>
          </w:p>
        </w:tc>
      </w:tr>
      <w:tr>
        <w:tblPrEx>
          <w:tblCellMar>
            <w:top w:w="0" w:type="dxa"/>
            <w:left w:w="108" w:type="dxa"/>
            <w:bottom w:w="0" w:type="dxa"/>
            <w:right w:w="108" w:type="dxa"/>
          </w:tblCellMar>
        </w:tblPrEx>
        <w:trPr>
          <w:trHeight w:val="285" w:hRule="atLeast"/>
        </w:trPr>
        <w:tc>
          <w:tcPr>
            <w:tcW w:w="945"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c>
          <w:tcPr>
            <w:tcW w:w="947"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c>
          <w:tcPr>
            <w:tcW w:w="947"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证书名称</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级别</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证号</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专业</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养老保险</w:t>
            </w:r>
          </w:p>
        </w:tc>
        <w:tc>
          <w:tcPr>
            <w:tcW w:w="946"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bidi w:val="0"/>
              <w:spacing w:line="560" w:lineRule="exact"/>
              <w:ind w:left="0" w:leftChars="0" w:right="0" w:rightChars="0" w:firstLine="600" w:firstLineChars="200"/>
              <w:jc w:val="left"/>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945"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7"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689"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33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946"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bl>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注：本表应至少包括项目经理、副经理、技术负责人、质量负责人、安全负责人、测量员等项目班子管理和技术成员。</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rPr>
        <w:br w:type="page"/>
      </w:r>
      <w:r>
        <w:rPr>
          <w:rFonts w:hint="eastAsia" w:ascii="方正仿宋简体" w:hAnsi="方正仿宋简体" w:eastAsia="方正仿宋简体" w:cs="方正仿宋简体"/>
          <w:b w:val="0"/>
          <w:bCs/>
          <w:color w:val="auto"/>
          <w:sz w:val="30"/>
          <w:szCs w:val="30"/>
          <w:highlight w:val="none"/>
        </w:rPr>
        <w:t>3、拟投入本工程主要人员简历表（至少项目经理、技术负责人）</w:t>
      </w:r>
    </w:p>
    <w:tbl>
      <w:tblPr>
        <w:tblStyle w:val="51"/>
        <w:tblW w:w="8522" w:type="dxa"/>
        <w:tblInd w:w="0" w:type="dxa"/>
        <w:tblLayout w:type="fixed"/>
        <w:tblCellMar>
          <w:top w:w="0" w:type="dxa"/>
          <w:left w:w="108" w:type="dxa"/>
          <w:bottom w:w="0" w:type="dxa"/>
          <w:right w:w="108" w:type="dxa"/>
        </w:tblCellMar>
      </w:tblPr>
      <w:tblGrid>
        <w:gridCol w:w="1042"/>
        <w:gridCol w:w="1601"/>
        <w:gridCol w:w="1583"/>
        <w:gridCol w:w="1041"/>
        <w:gridCol w:w="2040"/>
        <w:gridCol w:w="1215"/>
      </w:tblGrid>
      <w:tr>
        <w:tblPrEx>
          <w:tblCellMar>
            <w:top w:w="0" w:type="dxa"/>
            <w:left w:w="108" w:type="dxa"/>
            <w:bottom w:w="0" w:type="dxa"/>
            <w:right w:w="108" w:type="dxa"/>
          </w:tblCellMar>
        </w:tblPrEx>
        <w:trPr>
          <w:trHeight w:val="681" w:hRule="atLeast"/>
        </w:trPr>
        <w:tc>
          <w:tcPr>
            <w:tcW w:w="10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姓名</w:t>
            </w:r>
          </w:p>
        </w:tc>
        <w:tc>
          <w:tcPr>
            <w:tcW w:w="1601" w:type="dxa"/>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583" w:type="dxa"/>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年龄</w:t>
            </w:r>
          </w:p>
        </w:tc>
        <w:tc>
          <w:tcPr>
            <w:tcW w:w="1041" w:type="dxa"/>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2040" w:type="dxa"/>
            <w:tcBorders>
              <w:top w:val="single" w:color="auto" w:sz="4" w:space="0"/>
              <w:left w:val="nil"/>
              <w:bottom w:val="single" w:color="auto" w:sz="4" w:space="0"/>
              <w:right w:val="single" w:color="000000"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专业</w:t>
            </w:r>
          </w:p>
        </w:tc>
        <w:tc>
          <w:tcPr>
            <w:tcW w:w="1215" w:type="dxa"/>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585" w:hRule="atLeast"/>
        </w:trPr>
        <w:tc>
          <w:tcPr>
            <w:tcW w:w="104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职称</w:t>
            </w:r>
          </w:p>
        </w:tc>
        <w:tc>
          <w:tcPr>
            <w:tcW w:w="160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583"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职务</w:t>
            </w:r>
          </w:p>
        </w:tc>
        <w:tc>
          <w:tcPr>
            <w:tcW w:w="104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2040" w:type="dxa"/>
            <w:tcBorders>
              <w:top w:val="single" w:color="auto" w:sz="4" w:space="0"/>
              <w:left w:val="nil"/>
              <w:bottom w:val="single" w:color="auto" w:sz="4" w:space="0"/>
              <w:right w:val="single" w:color="000000"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拟在本合同工程担任职务</w:t>
            </w:r>
          </w:p>
        </w:tc>
        <w:tc>
          <w:tcPr>
            <w:tcW w:w="121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285" w:hRule="atLeast"/>
        </w:trPr>
        <w:tc>
          <w:tcPr>
            <w:tcW w:w="104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毕业院校</w:t>
            </w:r>
          </w:p>
        </w:tc>
        <w:tc>
          <w:tcPr>
            <w:tcW w:w="7480" w:type="dxa"/>
            <w:gridSpan w:val="5"/>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xml:space="preserve">           年毕业于           学校             专业    </w:t>
            </w:r>
          </w:p>
        </w:tc>
      </w:tr>
      <w:tr>
        <w:tblPrEx>
          <w:tblCellMar>
            <w:top w:w="0" w:type="dxa"/>
            <w:left w:w="108" w:type="dxa"/>
            <w:bottom w:w="0" w:type="dxa"/>
            <w:right w:w="108" w:type="dxa"/>
          </w:tblCellMar>
        </w:tblPrEx>
        <w:trPr>
          <w:trHeight w:val="585" w:hRule="atLeast"/>
        </w:trPr>
        <w:tc>
          <w:tcPr>
            <w:tcW w:w="104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时间</w:t>
            </w:r>
          </w:p>
        </w:tc>
        <w:tc>
          <w:tcPr>
            <w:tcW w:w="3184" w:type="dxa"/>
            <w:gridSpan w:val="2"/>
            <w:tcBorders>
              <w:top w:val="single" w:color="auto" w:sz="4" w:space="0"/>
              <w:left w:val="nil"/>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参加过施工的工程项目名称</w:t>
            </w:r>
          </w:p>
        </w:tc>
        <w:tc>
          <w:tcPr>
            <w:tcW w:w="104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担任何职</w:t>
            </w:r>
          </w:p>
        </w:tc>
        <w:tc>
          <w:tcPr>
            <w:tcW w:w="2040" w:type="dxa"/>
            <w:tcBorders>
              <w:top w:val="single" w:color="auto" w:sz="4" w:space="0"/>
              <w:left w:val="nil"/>
              <w:bottom w:val="single" w:color="auto" w:sz="4" w:space="0"/>
              <w:right w:val="single" w:color="000000"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类似工程管理或施工经验</w:t>
            </w:r>
          </w:p>
        </w:tc>
        <w:tc>
          <w:tcPr>
            <w:tcW w:w="121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资格证书</w:t>
            </w:r>
          </w:p>
        </w:tc>
      </w:tr>
      <w:tr>
        <w:tblPrEx>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3184"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04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2040"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c>
          <w:tcPr>
            <w:tcW w:w="121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　</w:t>
            </w:r>
          </w:p>
        </w:tc>
      </w:tr>
      <w:tr>
        <w:tblPrEx>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3184"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4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040"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1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3184"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4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040"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1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3184"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4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040"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1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3184"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4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040"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1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3184"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4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040"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1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3184"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4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040"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1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3184"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4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040"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1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3184" w:type="dxa"/>
            <w:gridSpan w:val="2"/>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041"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2040"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c>
          <w:tcPr>
            <w:tcW w:w="1215" w:type="dxa"/>
            <w:tcBorders>
              <w:top w:val="nil"/>
              <w:left w:val="nil"/>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bl>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注：1、项目经理应附身份证、项目经理证以及项目业绩证明资料等。</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2、其他技术负责人应附身份证、职称证、建造师证、安全资格证、上岗证、特殊工种操作证等适用于本项目的证件。</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rPr>
        <w:br w:type="page"/>
      </w:r>
      <w:r>
        <w:rPr>
          <w:rFonts w:hint="eastAsia" w:ascii="方正仿宋简体" w:hAnsi="方正仿宋简体" w:eastAsia="方正仿宋简体" w:cs="方正仿宋简体"/>
          <w:b w:val="0"/>
          <w:bCs/>
          <w:color w:val="auto"/>
          <w:sz w:val="30"/>
          <w:szCs w:val="30"/>
          <w:highlight w:val="none"/>
        </w:rPr>
        <w:t>4、拟投入本工程其他人员相关材料</w:t>
      </w:r>
    </w:p>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其他人员应附身份证、职称证、建造师证、安全资格证、上岗证、特殊工种操作证等适用于本项目的证件。</w:t>
      </w:r>
    </w:p>
    <w:p>
      <w:pPr>
        <w:pageBreakBefore w:val="0"/>
        <w:widowControl/>
        <w:kinsoku/>
        <w:wordWrap/>
        <w:overflowPunct/>
        <w:bidi w:val="0"/>
        <w:spacing w:line="560" w:lineRule="exact"/>
        <w:ind w:right="0" w:rightChars="0"/>
        <w:jc w:val="both"/>
        <w:rPr>
          <w:rFonts w:hint="eastAsia" w:ascii="方正仿宋简体" w:hAnsi="方正仿宋简体" w:eastAsia="方正仿宋简体" w:cs="方正仿宋简体"/>
          <w:b w:val="0"/>
          <w:bCs/>
          <w:color w:val="auto"/>
          <w:sz w:val="30"/>
          <w:szCs w:val="30"/>
          <w:highlight w:val="none"/>
        </w:rPr>
      </w:pPr>
    </w:p>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p>
      <w:pPr>
        <w:pageBreakBefore w:val="0"/>
        <w:widowControl/>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jc w:val="center"/>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（三）</w:t>
      </w:r>
      <w:r>
        <w:rPr>
          <w:rFonts w:hint="eastAsia" w:ascii="方正仿宋简体" w:hAnsi="方正仿宋简体" w:eastAsia="方正仿宋简体" w:cs="方正仿宋简体"/>
          <w:b w:val="0"/>
          <w:bCs/>
          <w:color w:val="auto"/>
          <w:kern w:val="0"/>
          <w:sz w:val="30"/>
          <w:szCs w:val="30"/>
          <w:highlight w:val="none"/>
        </w:rPr>
        <w:t>施工组织设计</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1、投标人编制施工组织设计的要求：</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编制时应采用文字结合图表形式说明施工方法；拟投入本项目的主要施工设备情况、拟配备本项目的实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2、施工组织设计除采用文字表述外可附下列图表，图表及格式要求附后。</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表1拟为承包本工程设立的项目实施组织机构图</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表2拟投入本工程的主要施工设备表</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表3计划开、竣工日期和施工进度图</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表4劳动力计划表</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表5施工总平面图</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kern w:val="0"/>
          <w:sz w:val="30"/>
          <w:szCs w:val="30"/>
          <w:highlight w:val="none"/>
        </w:rPr>
        <w:br w:type="page"/>
      </w:r>
      <w:r>
        <w:rPr>
          <w:rFonts w:hint="eastAsia" w:ascii="方正仿宋简体" w:hAnsi="方正仿宋简体" w:eastAsia="方正仿宋简体" w:cs="方正仿宋简体"/>
          <w:b w:val="0"/>
          <w:bCs/>
          <w:color w:val="auto"/>
          <w:sz w:val="30"/>
          <w:szCs w:val="30"/>
          <w:highlight w:val="none"/>
        </w:rPr>
        <w:t>表1   拟为承包本工程设立的项目实施组织机构图</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1"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r>
              <w:rPr>
                <w:rFonts w:hint="eastAsia" w:ascii="方正仿宋简体" w:hAnsi="方正仿宋简体" w:eastAsia="方正仿宋简体" w:cs="方正仿宋简体"/>
                <w:b w:val="0"/>
                <w:bCs/>
                <w:color w:val="auto"/>
                <w:sz w:val="30"/>
                <w:szCs w:val="30"/>
                <w:highlight w:val="none"/>
              </w:rPr>
              <w:t>以框图方式表示</w:t>
            </w: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p>
            <w:pPr>
              <w:pageBreakBefore w:val="0"/>
              <w:kinsoku/>
              <w:wordWrap/>
              <w:overflowPunct/>
              <w:bidi w:val="0"/>
              <w:spacing w:line="560" w:lineRule="exact"/>
              <w:ind w:left="0" w:leftChars="0" w:right="0" w:rightChars="0" w:firstLine="600" w:firstLineChars="200"/>
              <w:rPr>
                <w:rFonts w:hint="eastAsia" w:ascii="方正仿宋简体" w:hAnsi="方正仿宋简体" w:eastAsia="方正仿宋简体" w:cs="方正仿宋简体"/>
                <w:b w:val="0"/>
                <w:bCs/>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说明：</w:t>
            </w: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p>
        </w:tc>
      </w:tr>
    </w:tbl>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br w:type="page"/>
      </w:r>
      <w:r>
        <w:rPr>
          <w:rFonts w:hint="eastAsia" w:ascii="宋体" w:hAnsi="宋体" w:eastAsia="宋体" w:cs="宋体"/>
          <w:b w:val="0"/>
          <w:bCs/>
          <w:color w:val="auto"/>
          <w:sz w:val="24"/>
          <w:szCs w:val="24"/>
          <w:highlight w:val="none"/>
        </w:rPr>
        <w:t>表2   拟投入本工程的主要施工设备表</w:t>
      </w: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973"/>
        <w:gridCol w:w="668"/>
        <w:gridCol w:w="668"/>
        <w:gridCol w:w="668"/>
        <w:gridCol w:w="668"/>
        <w:gridCol w:w="1166"/>
        <w:gridCol w:w="986"/>
        <w:gridCol w:w="113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序 号</w:t>
            </w:r>
          </w:p>
        </w:tc>
        <w:tc>
          <w:tcPr>
            <w:tcW w:w="97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设备名称</w:t>
            </w:r>
          </w:p>
        </w:tc>
        <w:tc>
          <w:tcPr>
            <w:tcW w:w="6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规格</w:t>
            </w:r>
          </w:p>
          <w:p>
            <w:pPr>
              <w:pageBreakBefore w:val="0"/>
              <w:kinsoku/>
              <w:wordWrap/>
              <w:overflowPunct/>
              <w:bidi w:val="0"/>
              <w:spacing w:line="560" w:lineRule="exact"/>
              <w:ind w:right="0" w:rightChars="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型号</w:t>
            </w:r>
          </w:p>
        </w:tc>
        <w:tc>
          <w:tcPr>
            <w:tcW w:w="6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数量</w:t>
            </w:r>
          </w:p>
        </w:tc>
        <w:tc>
          <w:tcPr>
            <w:tcW w:w="6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国别</w:t>
            </w:r>
          </w:p>
          <w:p>
            <w:pPr>
              <w:pageBreakBefore w:val="0"/>
              <w:kinsoku/>
              <w:wordWrap/>
              <w:overflowPunct/>
              <w:bidi w:val="0"/>
              <w:spacing w:line="560" w:lineRule="exact"/>
              <w:ind w:right="0" w:rightChars="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产地</w:t>
            </w:r>
          </w:p>
        </w:tc>
        <w:tc>
          <w:tcPr>
            <w:tcW w:w="6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制造</w:t>
            </w:r>
          </w:p>
          <w:p>
            <w:pPr>
              <w:pageBreakBefore w:val="0"/>
              <w:kinsoku/>
              <w:wordWrap/>
              <w:overflowPunct/>
              <w:bidi w:val="0"/>
              <w:spacing w:line="560" w:lineRule="exact"/>
              <w:ind w:right="0" w:rightChars="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年份</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额定功率</w:t>
            </w:r>
          </w:p>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(kW)</w:t>
            </w:r>
          </w:p>
        </w:tc>
        <w:tc>
          <w:tcPr>
            <w:tcW w:w="98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生产能力</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用于施工</w:t>
            </w:r>
          </w:p>
          <w:p>
            <w:pPr>
              <w:pageBreakBefore w:val="0"/>
              <w:kinsoku/>
              <w:wordWrap/>
              <w:overflowPunct/>
              <w:bidi w:val="0"/>
              <w:spacing w:line="560" w:lineRule="exact"/>
              <w:ind w:right="0" w:rightChars="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部位</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6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6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6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6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6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6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6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6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6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66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6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r>
    </w:tbl>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br w:type="page"/>
      </w: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表3  计划开、竣工日期和施工进度图</w:t>
      </w: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投标人应递交一份施工进度计划，说明为满足合同总工期和阶段工期要求而做出的工程单元划分、施工顺序安排及关键工程控制方案。该计划应该采用网络计划图和横道图的形式编制。</w:t>
      </w: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表4  劳动力计划表</w:t>
      </w: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单位：人</w:t>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061"/>
        <w:gridCol w:w="1061"/>
        <w:gridCol w:w="1060"/>
        <w:gridCol w:w="1060"/>
        <w:gridCol w:w="1060"/>
        <w:gridCol w:w="106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right="0" w:rightChars="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工  种</w:t>
            </w:r>
          </w:p>
        </w:tc>
        <w:tc>
          <w:tcPr>
            <w:tcW w:w="7422" w:type="dxa"/>
            <w:gridSpan w:val="7"/>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1"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spacing w:line="560" w:lineRule="exact"/>
              <w:ind w:left="0" w:leftChars="0" w:right="0" w:rightChars="0" w:firstLine="420" w:firstLineChars="200"/>
              <w:rPr>
                <w:rFonts w:hint="eastAsia" w:ascii="宋体" w:hAnsi="宋体" w:eastAsia="宋体" w:cs="宋体"/>
                <w:b w:val="0"/>
                <w:bCs/>
                <w:color w:val="auto"/>
                <w:sz w:val="21"/>
                <w:szCs w:val="21"/>
                <w:highlight w:val="none"/>
              </w:rPr>
            </w:pPr>
          </w:p>
        </w:tc>
      </w:tr>
    </w:tbl>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表5  施工总平面图</w:t>
      </w: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投标人应递交一份施工总平面图，绘制现场临时设施布置图表并附文字说明，说明临时设施、加工车间、现场办公、设备及仓储、供电、供水、卫生、生活、道路、消防等设施的情况的布置。</w:t>
      </w:r>
    </w:p>
    <w:p>
      <w:pPr>
        <w:pageBreakBefore w:val="0"/>
        <w:kinsoku/>
        <w:wordWrap/>
        <w:overflowPunct/>
        <w:bidi w:val="0"/>
        <w:spacing w:line="560" w:lineRule="exact"/>
        <w:ind w:left="0" w:leftChars="0" w:right="0" w:rightChars="0" w:firstLine="480"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rPr>
        <w:t>投标人不得照抄或复制谈判文件的技术文件作为谈判文件的技术响应文件。否则投标被否决</w:t>
      </w:r>
      <w:r>
        <w:rPr>
          <w:rFonts w:hint="eastAsia" w:ascii="宋体" w:hAnsi="宋体" w:eastAsia="宋体" w:cs="宋体"/>
          <w:b w:val="0"/>
          <w:bCs/>
          <w:color w:val="auto"/>
          <w:sz w:val="24"/>
          <w:szCs w:val="24"/>
          <w:highlight w:val="none"/>
          <w:lang w:eastAsia="zh-CN"/>
        </w:rPr>
        <w:t>。</w:t>
      </w:r>
    </w:p>
    <w:sectPr>
      <w:headerReference r:id="rId6" w:type="default"/>
      <w:footerReference r:id="rId7"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12"/>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D35B022-4AF0-4406-BD1D-B608112E42A5}"/>
  </w:font>
  <w:font w:name="黑体">
    <w:panose1 w:val="02010609060101010101"/>
    <w:charset w:val="86"/>
    <w:family w:val="auto"/>
    <w:pitch w:val="default"/>
    <w:sig w:usb0="800002BF" w:usb1="38CF7CFA" w:usb2="00000016" w:usb3="00000000" w:csb0="00040001" w:csb1="00000000"/>
    <w:embedRegular r:id="rId2" w:fontKey="{9E9AE112-CDD9-48B5-8F48-82AEF0F568D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60A5D20D-A0C8-4E79-832B-75D3FFA2920B}"/>
  </w:font>
  <w:font w:name="Cambria">
    <w:panose1 w:val="02040503050406030204"/>
    <w:charset w:val="00"/>
    <w:family w:val="roman"/>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4" w:fontKey="{23771E17-D53C-4227-94C7-29AB64BDD6AF}"/>
  </w:font>
  <w:font w:name="..ì.">
    <w:altName w:val="宋体"/>
    <w:panose1 w:val="00000000000000000000"/>
    <w:charset w:val="00"/>
    <w:family w:val="auto"/>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方正仿宋简体">
    <w:panose1 w:val="02000000000000000000"/>
    <w:charset w:val="86"/>
    <w:family w:val="auto"/>
    <w:pitch w:val="default"/>
    <w:sig w:usb0="A00002BF" w:usb1="184F6CFA" w:usb2="00000012" w:usb3="00000000" w:csb0="00040001" w:csb1="00000000"/>
    <w:embedRegular r:id="rId5" w:fontKey="{FCBB1FF8-83E3-42BE-BAEA-06D339EF3EB3}"/>
  </w:font>
  <w:font w:name="Arial Unicode MS">
    <w:panose1 w:val="020B0604020202020204"/>
    <w:charset w:val="86"/>
    <w:family w:val="roman"/>
    <w:pitch w:val="default"/>
    <w:sig w:usb0="FFFFFFFF" w:usb1="E9FFFFFF" w:usb2="0000003F" w:usb3="00000000" w:csb0="603F01FF" w:csb1="FFFF0000"/>
    <w:embedRegular r:id="rId6" w:fontKey="{8BC01D50-EBC9-44DF-AA97-DD511FE04D37}"/>
  </w:font>
  <w:font w:name="Wingdings 2">
    <w:panose1 w:val="05020102010507070707"/>
    <w:charset w:val="02"/>
    <w:family w:val="roman"/>
    <w:pitch w:val="default"/>
    <w:sig w:usb0="00000000" w:usb1="00000000" w:usb2="00000000" w:usb3="00000000" w:csb0="80000000" w:csb1="00000000"/>
    <w:embedRegular r:id="rId7" w:fontKey="{71C7FA04-1D80-40C9-912D-B46381E1A883}"/>
  </w:font>
  <w:font w:name="方正小标宋简体">
    <w:panose1 w:val="02000000000000000000"/>
    <w:charset w:val="86"/>
    <w:family w:val="auto"/>
    <w:pitch w:val="default"/>
    <w:sig w:usb0="A00002BF" w:usb1="184F6CFA" w:usb2="00000012" w:usb3="00000000" w:csb0="00040001" w:csb1="00000000"/>
    <w:embedRegular r:id="rId8" w:fontKey="{E57BDBD1-406C-458B-9119-7F4DA827535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jc w:val="center"/>
                          </w:pPr>
                          <w:r>
                            <w:fldChar w:fldCharType="begin"/>
                          </w:r>
                          <w:r>
                            <w:instrText xml:space="preserve"> PAGE   \* MERGEFORMAT </w:instrText>
                          </w:r>
                          <w:r>
                            <w:fldChar w:fldCharType="separate"/>
                          </w:r>
                          <w:r>
                            <w:rPr>
                              <w:lang w:val="zh-CN"/>
                            </w:rP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5"/>
                      <w:jc w:val="center"/>
                    </w:pPr>
                    <w:r>
                      <w:fldChar w:fldCharType="begin"/>
                    </w:r>
                    <w:r>
                      <w:instrText xml:space="preserve"> PAGE   \* MERGEFORMAT </w:instrText>
                    </w:r>
                    <w:r>
                      <w:fldChar w:fldCharType="separate"/>
                    </w:r>
                    <w:r>
                      <w:rPr>
                        <w:lang w:val="zh-CN"/>
                      </w:rPr>
                      <w:t>44</w:t>
                    </w:r>
                    <w:r>
                      <w:fldChar w:fldCharType="end"/>
                    </w:r>
                  </w:p>
                </w:txbxContent>
              </v:textbox>
            </v:shape>
          </w:pict>
        </mc:Fallback>
      </mc:AlternateContent>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52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7404C"/>
    <w:multiLevelType w:val="singleLevel"/>
    <w:tmpl w:val="A887404C"/>
    <w:lvl w:ilvl="0" w:tentative="0">
      <w:start w:val="1"/>
      <w:numFmt w:val="decimal"/>
      <w:suff w:val="nothing"/>
      <w:lvlText w:val="%1、"/>
      <w:lvlJc w:val="left"/>
    </w:lvl>
  </w:abstractNum>
  <w:abstractNum w:abstractNumId="1">
    <w:nsid w:val="ACED0001"/>
    <w:multiLevelType w:val="singleLevel"/>
    <w:tmpl w:val="ACED0001"/>
    <w:lvl w:ilvl="0" w:tentative="0">
      <w:start w:val="1"/>
      <w:numFmt w:val="decimal"/>
      <w:lvlText w:val="%1."/>
      <w:lvlJc w:val="left"/>
      <w:pPr>
        <w:tabs>
          <w:tab w:val="left" w:pos="312"/>
        </w:tabs>
      </w:pPr>
    </w:lvl>
  </w:abstractNum>
  <w:abstractNum w:abstractNumId="2">
    <w:nsid w:val="DBDF11D9"/>
    <w:multiLevelType w:val="singleLevel"/>
    <w:tmpl w:val="DBDF11D9"/>
    <w:lvl w:ilvl="0" w:tentative="0">
      <w:start w:val="1"/>
      <w:numFmt w:val="decimal"/>
      <w:lvlText w:val="%1."/>
      <w:lvlJc w:val="left"/>
      <w:pPr>
        <w:tabs>
          <w:tab w:val="left" w:pos="312"/>
        </w:tabs>
      </w:pPr>
    </w:lvl>
  </w:abstractNum>
  <w:abstractNum w:abstractNumId="3">
    <w:nsid w:val="0E7252E9"/>
    <w:multiLevelType w:val="singleLevel"/>
    <w:tmpl w:val="0E7252E9"/>
    <w:lvl w:ilvl="0" w:tentative="0">
      <w:start w:val="3"/>
      <w:numFmt w:val="decimal"/>
      <w:suff w:val="nothing"/>
      <w:lvlText w:val="（%1）"/>
      <w:lvlJc w:val="left"/>
    </w:lvl>
  </w:abstractNum>
  <w:abstractNum w:abstractNumId="4">
    <w:nsid w:val="0FFFFF81"/>
    <w:multiLevelType w:val="singleLevel"/>
    <w:tmpl w:val="0FFFFF81"/>
    <w:lvl w:ilvl="0" w:tentative="0">
      <w:start w:val="1"/>
      <w:numFmt w:val="bullet"/>
      <w:pStyle w:val="105"/>
      <w:lvlText w:val=""/>
      <w:lvlJc w:val="left"/>
      <w:pPr>
        <w:tabs>
          <w:tab w:val="left" w:pos="1620"/>
        </w:tabs>
        <w:ind w:left="1620" w:hanging="360"/>
      </w:pPr>
      <w:rPr>
        <w:rFonts w:hint="default" w:ascii="Wingdings" w:hAnsi="Wingdings"/>
      </w:rPr>
    </w:lvl>
  </w:abstractNum>
  <w:abstractNum w:abstractNumId="5">
    <w:nsid w:val="0FFFFF88"/>
    <w:multiLevelType w:val="singleLevel"/>
    <w:tmpl w:val="0FFFFF88"/>
    <w:lvl w:ilvl="0" w:tentative="0">
      <w:start w:val="1"/>
      <w:numFmt w:val="decimal"/>
      <w:pStyle w:val="68"/>
      <w:lvlText w:val="%1."/>
      <w:lvlJc w:val="left"/>
      <w:pPr>
        <w:tabs>
          <w:tab w:val="left" w:pos="360"/>
        </w:tabs>
        <w:ind w:left="360" w:hanging="360"/>
      </w:pPr>
    </w:lvl>
  </w:abstractNum>
  <w:abstractNum w:abstractNumId="6">
    <w:nsid w:val="2186D41F"/>
    <w:multiLevelType w:val="singleLevel"/>
    <w:tmpl w:val="2186D41F"/>
    <w:lvl w:ilvl="0" w:tentative="0">
      <w:start w:val="2"/>
      <w:numFmt w:val="decimalFullWidth"/>
      <w:pStyle w:val="254"/>
      <w:lvlText w:val="%1"/>
      <w:lvlJc w:val="left"/>
      <w:pPr>
        <w:tabs>
          <w:tab w:val="left" w:pos="0"/>
        </w:tabs>
        <w:ind w:left="0" w:firstLine="0"/>
      </w:pPr>
      <w:rPr>
        <w:rFonts w:hint="eastAsia" w:ascii="宋体" w:hAnsi="宋体" w:eastAsia="宋体" w:cs="宋体"/>
      </w:rPr>
    </w:lvl>
  </w:abstractNum>
  <w:abstractNum w:abstractNumId="7">
    <w:nsid w:val="2295587B"/>
    <w:multiLevelType w:val="multilevel"/>
    <w:tmpl w:val="2295587B"/>
    <w:lvl w:ilvl="0" w:tentative="0">
      <w:start w:val="1"/>
      <w:numFmt w:val="decimal"/>
      <w:pStyle w:val="108"/>
      <w:lvlText w:val="%1"/>
      <w:lvlJc w:val="left"/>
      <w:pPr>
        <w:ind w:left="0" w:firstLine="0"/>
      </w:pPr>
    </w:lvl>
    <w:lvl w:ilvl="1" w:tentative="0">
      <w:start w:val="1"/>
      <w:numFmt w:val="decimal"/>
      <w:pStyle w:val="90"/>
      <w:lvlText w:val="%2."/>
      <w:lvlJc w:val="left"/>
      <w:pPr>
        <w:ind w:left="0" w:firstLine="0"/>
      </w:pPr>
      <w:rPr>
        <w:rFonts w:hint="eastAsia" w:ascii="宋体" w:hAnsi="宋体" w:eastAsia="宋体"/>
        <w:b w:val="0"/>
      </w:rPr>
    </w:lvl>
    <w:lvl w:ilvl="2" w:tentative="0">
      <w:start w:val="1"/>
      <w:numFmt w:val="decimal"/>
      <w:pStyle w:val="142"/>
      <w:lvlText w:val="%2.%3"/>
      <w:lvlJc w:val="left"/>
      <w:pPr>
        <w:ind w:left="-426" w:firstLine="426"/>
      </w:pPr>
      <w:rPr>
        <w:rFonts w:hint="eastAsia" w:ascii="Times New Roman" w:hAnsi="Times New Roman" w:eastAsia="宋体"/>
        <w:b w:val="0"/>
        <w:i w:val="0"/>
        <w:sz w:val="24"/>
        <w:szCs w:val="24"/>
      </w:rPr>
    </w:lvl>
    <w:lvl w:ilvl="3" w:tentative="0">
      <w:start w:val="1"/>
      <w:numFmt w:val="decimal"/>
      <w:lvlText w:val="%2.%3.%4"/>
      <w:lvlJc w:val="left"/>
      <w:pPr>
        <w:ind w:left="568" w:firstLine="0"/>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8">
    <w:nsid w:val="4F45574C"/>
    <w:multiLevelType w:val="multilevel"/>
    <w:tmpl w:val="4F45574C"/>
    <w:lvl w:ilvl="0" w:tentative="0">
      <w:start w:val="1"/>
      <w:numFmt w:val="decimal"/>
      <w:pStyle w:val="38"/>
      <w:lvlText w:val="%1."/>
      <w:lvlJc w:val="left"/>
      <w:pPr>
        <w:ind w:left="567" w:hanging="56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D342F7A"/>
    <w:multiLevelType w:val="multilevel"/>
    <w:tmpl w:val="6D342F7A"/>
    <w:lvl w:ilvl="0" w:tentative="0">
      <w:start w:val="1"/>
      <w:numFmt w:val="chineseCountingThousand"/>
      <w:lvlText w:val="%1、"/>
      <w:lvlJc w:val="left"/>
      <w:pPr>
        <w:tabs>
          <w:tab w:val="left" w:pos="360"/>
        </w:tabs>
        <w:ind w:left="567" w:hanging="567"/>
      </w:pPr>
      <w:rPr>
        <w:rFonts w:hint="eastAsia"/>
        <w:b w:val="0"/>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1"/>
  </w:num>
  <w:num w:numId="8">
    <w:abstractNumId w:val="8"/>
    <w:lvlOverride w:ilvl="0">
      <w:startOverride w:val="1"/>
    </w:lvlOverride>
  </w:num>
  <w:num w:numId="9">
    <w:abstractNumId w:val="7"/>
  </w:num>
  <w:num w:numId="10">
    <w:abstractNumId w:val="8"/>
    <w:lvlOverride w:ilvl="0">
      <w:startOverride w:val="2"/>
    </w:lvlOverride>
  </w:num>
  <w:num w:numId="11">
    <w:abstractNumId w:val="8"/>
    <w:lvlOverride w:ilvl="0">
      <w:startOverride w:val="1"/>
    </w:lvlOverride>
  </w:num>
  <w:num w:numId="12">
    <w:abstractNumId w:val="0"/>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2MjM1MzdhMGM3OGQ4YjUxNTc0ZDZiZGUwOGM1YTAifQ=="/>
  </w:docVars>
  <w:rsids>
    <w:rsidRoot w:val="00172A27"/>
    <w:rsid w:val="00003763"/>
    <w:rsid w:val="00006333"/>
    <w:rsid w:val="0000698B"/>
    <w:rsid w:val="00034F5D"/>
    <w:rsid w:val="000432DB"/>
    <w:rsid w:val="00044BEB"/>
    <w:rsid w:val="00054B85"/>
    <w:rsid w:val="00062DF7"/>
    <w:rsid w:val="00065563"/>
    <w:rsid w:val="00077203"/>
    <w:rsid w:val="00094115"/>
    <w:rsid w:val="00095EDF"/>
    <w:rsid w:val="000A304B"/>
    <w:rsid w:val="000B3952"/>
    <w:rsid w:val="000B57E1"/>
    <w:rsid w:val="000B5D53"/>
    <w:rsid w:val="000F40AD"/>
    <w:rsid w:val="00112E3C"/>
    <w:rsid w:val="00112FA9"/>
    <w:rsid w:val="0012739F"/>
    <w:rsid w:val="00131636"/>
    <w:rsid w:val="001326CC"/>
    <w:rsid w:val="00142D7C"/>
    <w:rsid w:val="00162F4D"/>
    <w:rsid w:val="00166D15"/>
    <w:rsid w:val="00173D5A"/>
    <w:rsid w:val="00193C0E"/>
    <w:rsid w:val="001A5967"/>
    <w:rsid w:val="001A6BED"/>
    <w:rsid w:val="001B218D"/>
    <w:rsid w:val="001E4DD9"/>
    <w:rsid w:val="001F3503"/>
    <w:rsid w:val="001F736E"/>
    <w:rsid w:val="002037C9"/>
    <w:rsid w:val="002041C0"/>
    <w:rsid w:val="00212365"/>
    <w:rsid w:val="00215FB8"/>
    <w:rsid w:val="002444D9"/>
    <w:rsid w:val="002802D1"/>
    <w:rsid w:val="002A7AD1"/>
    <w:rsid w:val="002B6CA1"/>
    <w:rsid w:val="002C3191"/>
    <w:rsid w:val="002C7E06"/>
    <w:rsid w:val="002F0372"/>
    <w:rsid w:val="003101BF"/>
    <w:rsid w:val="00360159"/>
    <w:rsid w:val="00366484"/>
    <w:rsid w:val="00373C50"/>
    <w:rsid w:val="003911E1"/>
    <w:rsid w:val="00393DF0"/>
    <w:rsid w:val="00395FD6"/>
    <w:rsid w:val="0039783B"/>
    <w:rsid w:val="003A4C8F"/>
    <w:rsid w:val="003A60C5"/>
    <w:rsid w:val="003B12BD"/>
    <w:rsid w:val="003B607F"/>
    <w:rsid w:val="003D76E4"/>
    <w:rsid w:val="003D7709"/>
    <w:rsid w:val="003E0A51"/>
    <w:rsid w:val="003E551A"/>
    <w:rsid w:val="004064B2"/>
    <w:rsid w:val="00430D77"/>
    <w:rsid w:val="004311DF"/>
    <w:rsid w:val="00451EE1"/>
    <w:rsid w:val="0046780B"/>
    <w:rsid w:val="00472D64"/>
    <w:rsid w:val="00487D51"/>
    <w:rsid w:val="00490189"/>
    <w:rsid w:val="004A0F5B"/>
    <w:rsid w:val="004A56FB"/>
    <w:rsid w:val="004A6418"/>
    <w:rsid w:val="004D16AA"/>
    <w:rsid w:val="004D473C"/>
    <w:rsid w:val="004E2039"/>
    <w:rsid w:val="004F097B"/>
    <w:rsid w:val="005038FD"/>
    <w:rsid w:val="005060B4"/>
    <w:rsid w:val="005074B6"/>
    <w:rsid w:val="00522348"/>
    <w:rsid w:val="00530CEC"/>
    <w:rsid w:val="00545098"/>
    <w:rsid w:val="00546C68"/>
    <w:rsid w:val="0056736D"/>
    <w:rsid w:val="005715D6"/>
    <w:rsid w:val="00597C67"/>
    <w:rsid w:val="005A3995"/>
    <w:rsid w:val="005B2A3B"/>
    <w:rsid w:val="005B2C6F"/>
    <w:rsid w:val="005C0B03"/>
    <w:rsid w:val="005D1D3A"/>
    <w:rsid w:val="005D5201"/>
    <w:rsid w:val="005D784A"/>
    <w:rsid w:val="005E2B55"/>
    <w:rsid w:val="005F6674"/>
    <w:rsid w:val="00617DC6"/>
    <w:rsid w:val="00625C88"/>
    <w:rsid w:val="0062736F"/>
    <w:rsid w:val="00627792"/>
    <w:rsid w:val="00632463"/>
    <w:rsid w:val="00654CF9"/>
    <w:rsid w:val="00657B23"/>
    <w:rsid w:val="00663108"/>
    <w:rsid w:val="006640AF"/>
    <w:rsid w:val="00666783"/>
    <w:rsid w:val="0068676A"/>
    <w:rsid w:val="00692BFE"/>
    <w:rsid w:val="006A5BD8"/>
    <w:rsid w:val="006C3E55"/>
    <w:rsid w:val="006C5DCC"/>
    <w:rsid w:val="006D1E60"/>
    <w:rsid w:val="006D4F7A"/>
    <w:rsid w:val="006E2569"/>
    <w:rsid w:val="006F1AC5"/>
    <w:rsid w:val="007314A0"/>
    <w:rsid w:val="00740246"/>
    <w:rsid w:val="00757DE3"/>
    <w:rsid w:val="00760665"/>
    <w:rsid w:val="00792496"/>
    <w:rsid w:val="0079613C"/>
    <w:rsid w:val="007A3C3B"/>
    <w:rsid w:val="007C2032"/>
    <w:rsid w:val="007C3A06"/>
    <w:rsid w:val="007C5F2C"/>
    <w:rsid w:val="007D7C76"/>
    <w:rsid w:val="00812582"/>
    <w:rsid w:val="00854B51"/>
    <w:rsid w:val="00890DDF"/>
    <w:rsid w:val="008A1E92"/>
    <w:rsid w:val="008C3B75"/>
    <w:rsid w:val="008C5C1C"/>
    <w:rsid w:val="008D4A55"/>
    <w:rsid w:val="008F1773"/>
    <w:rsid w:val="008F17DF"/>
    <w:rsid w:val="008F4FA6"/>
    <w:rsid w:val="008F55D9"/>
    <w:rsid w:val="009004B3"/>
    <w:rsid w:val="0091017A"/>
    <w:rsid w:val="00936503"/>
    <w:rsid w:val="00940F31"/>
    <w:rsid w:val="00971A76"/>
    <w:rsid w:val="00974B7D"/>
    <w:rsid w:val="00981AB1"/>
    <w:rsid w:val="00985CF2"/>
    <w:rsid w:val="009A5CD7"/>
    <w:rsid w:val="009A6E9D"/>
    <w:rsid w:val="009C5EF2"/>
    <w:rsid w:val="009D7EA4"/>
    <w:rsid w:val="009E6120"/>
    <w:rsid w:val="009E7245"/>
    <w:rsid w:val="00A0429A"/>
    <w:rsid w:val="00A12DEF"/>
    <w:rsid w:val="00A2379E"/>
    <w:rsid w:val="00A3296E"/>
    <w:rsid w:val="00A43822"/>
    <w:rsid w:val="00A732D6"/>
    <w:rsid w:val="00AA4AC2"/>
    <w:rsid w:val="00AB5EDC"/>
    <w:rsid w:val="00AC350B"/>
    <w:rsid w:val="00AC7DAD"/>
    <w:rsid w:val="00AD126A"/>
    <w:rsid w:val="00AD3CAA"/>
    <w:rsid w:val="00B343A1"/>
    <w:rsid w:val="00B62995"/>
    <w:rsid w:val="00BB0F98"/>
    <w:rsid w:val="00BC2726"/>
    <w:rsid w:val="00BF7464"/>
    <w:rsid w:val="00BF79B3"/>
    <w:rsid w:val="00C24D91"/>
    <w:rsid w:val="00C528FB"/>
    <w:rsid w:val="00C606DF"/>
    <w:rsid w:val="00C75547"/>
    <w:rsid w:val="00C82BF0"/>
    <w:rsid w:val="00C85324"/>
    <w:rsid w:val="00C9280B"/>
    <w:rsid w:val="00C96B7D"/>
    <w:rsid w:val="00CA21C7"/>
    <w:rsid w:val="00CA3354"/>
    <w:rsid w:val="00CA3B67"/>
    <w:rsid w:val="00CB4667"/>
    <w:rsid w:val="00CC0724"/>
    <w:rsid w:val="00D033ED"/>
    <w:rsid w:val="00D235A8"/>
    <w:rsid w:val="00D44ACE"/>
    <w:rsid w:val="00D47051"/>
    <w:rsid w:val="00D71CFA"/>
    <w:rsid w:val="00D85A10"/>
    <w:rsid w:val="00D90318"/>
    <w:rsid w:val="00D91D02"/>
    <w:rsid w:val="00DB77B8"/>
    <w:rsid w:val="00DC5CA6"/>
    <w:rsid w:val="00DD6BB3"/>
    <w:rsid w:val="00DE3EFC"/>
    <w:rsid w:val="00DF17D7"/>
    <w:rsid w:val="00E17BFD"/>
    <w:rsid w:val="00E2057B"/>
    <w:rsid w:val="00E34A6B"/>
    <w:rsid w:val="00E358A9"/>
    <w:rsid w:val="00E64CD4"/>
    <w:rsid w:val="00E659F3"/>
    <w:rsid w:val="00E67E1C"/>
    <w:rsid w:val="00E90B48"/>
    <w:rsid w:val="00EA1A66"/>
    <w:rsid w:val="00EA2A62"/>
    <w:rsid w:val="00EB36A3"/>
    <w:rsid w:val="00EC7A1E"/>
    <w:rsid w:val="00EF322B"/>
    <w:rsid w:val="00F16706"/>
    <w:rsid w:val="00F258DF"/>
    <w:rsid w:val="00F5587A"/>
    <w:rsid w:val="00F575F5"/>
    <w:rsid w:val="00F57DA5"/>
    <w:rsid w:val="00F63BA7"/>
    <w:rsid w:val="00F85E33"/>
    <w:rsid w:val="00F93B23"/>
    <w:rsid w:val="00FC26FC"/>
    <w:rsid w:val="00FD0082"/>
    <w:rsid w:val="00FE0D16"/>
    <w:rsid w:val="00FE6EB0"/>
    <w:rsid w:val="00FF54FA"/>
    <w:rsid w:val="010D1885"/>
    <w:rsid w:val="01823D36"/>
    <w:rsid w:val="02715DFF"/>
    <w:rsid w:val="027734CE"/>
    <w:rsid w:val="02777A7F"/>
    <w:rsid w:val="029E30CB"/>
    <w:rsid w:val="03445BAF"/>
    <w:rsid w:val="03B177EA"/>
    <w:rsid w:val="03E04BC2"/>
    <w:rsid w:val="04406F8D"/>
    <w:rsid w:val="045027CF"/>
    <w:rsid w:val="046E73C1"/>
    <w:rsid w:val="04AC65FA"/>
    <w:rsid w:val="04B014DD"/>
    <w:rsid w:val="04B34ED7"/>
    <w:rsid w:val="04F700E9"/>
    <w:rsid w:val="05DC7364"/>
    <w:rsid w:val="05FB0B46"/>
    <w:rsid w:val="0655011B"/>
    <w:rsid w:val="06787F75"/>
    <w:rsid w:val="068E24E3"/>
    <w:rsid w:val="06AA740B"/>
    <w:rsid w:val="07550CFB"/>
    <w:rsid w:val="075C0C91"/>
    <w:rsid w:val="076F6E74"/>
    <w:rsid w:val="077C1D04"/>
    <w:rsid w:val="0783585C"/>
    <w:rsid w:val="079B2A8A"/>
    <w:rsid w:val="07AD3B52"/>
    <w:rsid w:val="080D6B90"/>
    <w:rsid w:val="08273E74"/>
    <w:rsid w:val="082D7998"/>
    <w:rsid w:val="083302C8"/>
    <w:rsid w:val="08C33EC4"/>
    <w:rsid w:val="093E412C"/>
    <w:rsid w:val="09C533AD"/>
    <w:rsid w:val="0A6240FC"/>
    <w:rsid w:val="0AD71344"/>
    <w:rsid w:val="0AF62770"/>
    <w:rsid w:val="0B040BF8"/>
    <w:rsid w:val="0B1E4F61"/>
    <w:rsid w:val="0B6131F9"/>
    <w:rsid w:val="0B630F44"/>
    <w:rsid w:val="0C0F64D5"/>
    <w:rsid w:val="0CA11220"/>
    <w:rsid w:val="0CB95B5B"/>
    <w:rsid w:val="0CC024FF"/>
    <w:rsid w:val="0CC63180"/>
    <w:rsid w:val="0CDB5359"/>
    <w:rsid w:val="0D262C76"/>
    <w:rsid w:val="0DB456B8"/>
    <w:rsid w:val="0DC46EFE"/>
    <w:rsid w:val="0DC76990"/>
    <w:rsid w:val="0DE314D8"/>
    <w:rsid w:val="0E4F60C7"/>
    <w:rsid w:val="0E7A3C32"/>
    <w:rsid w:val="0EC51ACA"/>
    <w:rsid w:val="0F455BD3"/>
    <w:rsid w:val="0F573FD4"/>
    <w:rsid w:val="0FC265FD"/>
    <w:rsid w:val="10012CC9"/>
    <w:rsid w:val="106033DC"/>
    <w:rsid w:val="10BC7C76"/>
    <w:rsid w:val="11022DC0"/>
    <w:rsid w:val="11333BAA"/>
    <w:rsid w:val="116C6206"/>
    <w:rsid w:val="11D856F6"/>
    <w:rsid w:val="11F611E5"/>
    <w:rsid w:val="125135E9"/>
    <w:rsid w:val="1284309F"/>
    <w:rsid w:val="12AF1625"/>
    <w:rsid w:val="12C32673"/>
    <w:rsid w:val="12FB47D7"/>
    <w:rsid w:val="13432391"/>
    <w:rsid w:val="139F02B3"/>
    <w:rsid w:val="14461872"/>
    <w:rsid w:val="14497940"/>
    <w:rsid w:val="149F1AFE"/>
    <w:rsid w:val="14A82170"/>
    <w:rsid w:val="14AC117B"/>
    <w:rsid w:val="14D30DA0"/>
    <w:rsid w:val="150004A9"/>
    <w:rsid w:val="154D307D"/>
    <w:rsid w:val="15C73099"/>
    <w:rsid w:val="15FF521E"/>
    <w:rsid w:val="16930915"/>
    <w:rsid w:val="16A42650"/>
    <w:rsid w:val="16DB3252"/>
    <w:rsid w:val="16F01724"/>
    <w:rsid w:val="171E3390"/>
    <w:rsid w:val="17337BB9"/>
    <w:rsid w:val="176C78FC"/>
    <w:rsid w:val="17735010"/>
    <w:rsid w:val="17BD3626"/>
    <w:rsid w:val="17CB258D"/>
    <w:rsid w:val="188253C0"/>
    <w:rsid w:val="196B7938"/>
    <w:rsid w:val="197A5E53"/>
    <w:rsid w:val="1A095F62"/>
    <w:rsid w:val="1A38339D"/>
    <w:rsid w:val="1A9377AB"/>
    <w:rsid w:val="1B170205"/>
    <w:rsid w:val="1B3151A9"/>
    <w:rsid w:val="1B794CCB"/>
    <w:rsid w:val="1BC05B40"/>
    <w:rsid w:val="1BFA6BD0"/>
    <w:rsid w:val="1C134D87"/>
    <w:rsid w:val="1C166914"/>
    <w:rsid w:val="1CCE5EAB"/>
    <w:rsid w:val="1D155543"/>
    <w:rsid w:val="1D3E783E"/>
    <w:rsid w:val="1E225FBD"/>
    <w:rsid w:val="1E7A51BA"/>
    <w:rsid w:val="1F1161B7"/>
    <w:rsid w:val="1F242928"/>
    <w:rsid w:val="1F4069F1"/>
    <w:rsid w:val="1F5349DA"/>
    <w:rsid w:val="20046BB4"/>
    <w:rsid w:val="20593321"/>
    <w:rsid w:val="21732749"/>
    <w:rsid w:val="224156DA"/>
    <w:rsid w:val="225F2BAB"/>
    <w:rsid w:val="22655D1C"/>
    <w:rsid w:val="22690F00"/>
    <w:rsid w:val="22DC376E"/>
    <w:rsid w:val="230010F2"/>
    <w:rsid w:val="23056BC7"/>
    <w:rsid w:val="236B6083"/>
    <w:rsid w:val="239408B4"/>
    <w:rsid w:val="23975169"/>
    <w:rsid w:val="23AF6D28"/>
    <w:rsid w:val="23D05CEE"/>
    <w:rsid w:val="23DC41A7"/>
    <w:rsid w:val="23DD6F30"/>
    <w:rsid w:val="24222DF4"/>
    <w:rsid w:val="24293BED"/>
    <w:rsid w:val="24616914"/>
    <w:rsid w:val="25311A36"/>
    <w:rsid w:val="257D289A"/>
    <w:rsid w:val="260637E1"/>
    <w:rsid w:val="261B0D34"/>
    <w:rsid w:val="26360959"/>
    <w:rsid w:val="26730970"/>
    <w:rsid w:val="26813B59"/>
    <w:rsid w:val="26EC3D98"/>
    <w:rsid w:val="27306327"/>
    <w:rsid w:val="2782247B"/>
    <w:rsid w:val="27A53868"/>
    <w:rsid w:val="27B7425A"/>
    <w:rsid w:val="2849581D"/>
    <w:rsid w:val="284F326A"/>
    <w:rsid w:val="285D1EAF"/>
    <w:rsid w:val="28A544D7"/>
    <w:rsid w:val="28B651F2"/>
    <w:rsid w:val="28DA0C27"/>
    <w:rsid w:val="293D7C31"/>
    <w:rsid w:val="295051D0"/>
    <w:rsid w:val="29B61A7F"/>
    <w:rsid w:val="29F64C88"/>
    <w:rsid w:val="29F904FE"/>
    <w:rsid w:val="2A1D5B87"/>
    <w:rsid w:val="2A325EBC"/>
    <w:rsid w:val="2A4B1CF5"/>
    <w:rsid w:val="2A9059A9"/>
    <w:rsid w:val="2B8C6CDE"/>
    <w:rsid w:val="2BA10D4F"/>
    <w:rsid w:val="2BBF2346"/>
    <w:rsid w:val="2BF97558"/>
    <w:rsid w:val="2C055A95"/>
    <w:rsid w:val="2C1E30EA"/>
    <w:rsid w:val="2C64671D"/>
    <w:rsid w:val="2C8B73A6"/>
    <w:rsid w:val="2D2C6EC8"/>
    <w:rsid w:val="2D5E11AE"/>
    <w:rsid w:val="2D8D7673"/>
    <w:rsid w:val="2DFD48D1"/>
    <w:rsid w:val="2E4A4F5C"/>
    <w:rsid w:val="2E650E2E"/>
    <w:rsid w:val="2E895C77"/>
    <w:rsid w:val="2EA31278"/>
    <w:rsid w:val="2EC5179C"/>
    <w:rsid w:val="2F3E290A"/>
    <w:rsid w:val="2F57487B"/>
    <w:rsid w:val="2F79729C"/>
    <w:rsid w:val="2FAE5C12"/>
    <w:rsid w:val="2FB66570"/>
    <w:rsid w:val="30A262C5"/>
    <w:rsid w:val="30F8595F"/>
    <w:rsid w:val="30FB1EEF"/>
    <w:rsid w:val="317F24B6"/>
    <w:rsid w:val="31964701"/>
    <w:rsid w:val="320043AA"/>
    <w:rsid w:val="32A75EAC"/>
    <w:rsid w:val="33546547"/>
    <w:rsid w:val="33BD7AF7"/>
    <w:rsid w:val="33DB2AC7"/>
    <w:rsid w:val="342B6971"/>
    <w:rsid w:val="34523144"/>
    <w:rsid w:val="34833EC5"/>
    <w:rsid w:val="34AA00B0"/>
    <w:rsid w:val="34B72290"/>
    <w:rsid w:val="34D30379"/>
    <w:rsid w:val="35AD29C4"/>
    <w:rsid w:val="3616671A"/>
    <w:rsid w:val="3629686E"/>
    <w:rsid w:val="36474F30"/>
    <w:rsid w:val="366E7283"/>
    <w:rsid w:val="36D42D58"/>
    <w:rsid w:val="36E525E3"/>
    <w:rsid w:val="36EB0280"/>
    <w:rsid w:val="370C3859"/>
    <w:rsid w:val="37822F4E"/>
    <w:rsid w:val="383C3FDF"/>
    <w:rsid w:val="385204E2"/>
    <w:rsid w:val="38937AA0"/>
    <w:rsid w:val="38C70D04"/>
    <w:rsid w:val="38D72C80"/>
    <w:rsid w:val="392567C0"/>
    <w:rsid w:val="393F5286"/>
    <w:rsid w:val="394702F6"/>
    <w:rsid w:val="398556F6"/>
    <w:rsid w:val="39951AD6"/>
    <w:rsid w:val="399E4B7B"/>
    <w:rsid w:val="39AB415A"/>
    <w:rsid w:val="39C443FC"/>
    <w:rsid w:val="39DA4684"/>
    <w:rsid w:val="39EE7769"/>
    <w:rsid w:val="3A16590A"/>
    <w:rsid w:val="3A506DE5"/>
    <w:rsid w:val="3A615F2E"/>
    <w:rsid w:val="3A7367EC"/>
    <w:rsid w:val="3A9B7CB8"/>
    <w:rsid w:val="3A9C6362"/>
    <w:rsid w:val="3B6F3283"/>
    <w:rsid w:val="3B885662"/>
    <w:rsid w:val="3DDF1D43"/>
    <w:rsid w:val="3E0C49C5"/>
    <w:rsid w:val="3E505167"/>
    <w:rsid w:val="3E6A08F3"/>
    <w:rsid w:val="3E6D7F81"/>
    <w:rsid w:val="3E8E1F89"/>
    <w:rsid w:val="3E954CCA"/>
    <w:rsid w:val="3F067519"/>
    <w:rsid w:val="3F3D520C"/>
    <w:rsid w:val="3F6F4F9A"/>
    <w:rsid w:val="3F9B66B7"/>
    <w:rsid w:val="3FAD7E35"/>
    <w:rsid w:val="3FBC4721"/>
    <w:rsid w:val="4024421A"/>
    <w:rsid w:val="405526B6"/>
    <w:rsid w:val="406C050A"/>
    <w:rsid w:val="40D802BB"/>
    <w:rsid w:val="418834DF"/>
    <w:rsid w:val="41927584"/>
    <w:rsid w:val="41FF7FF2"/>
    <w:rsid w:val="42086F4D"/>
    <w:rsid w:val="42490E5B"/>
    <w:rsid w:val="42AF4072"/>
    <w:rsid w:val="42DD7E1C"/>
    <w:rsid w:val="438D7F03"/>
    <w:rsid w:val="439535DC"/>
    <w:rsid w:val="43E318C2"/>
    <w:rsid w:val="443429E9"/>
    <w:rsid w:val="4440521F"/>
    <w:rsid w:val="447C41C3"/>
    <w:rsid w:val="44DD21F5"/>
    <w:rsid w:val="45135983"/>
    <w:rsid w:val="451C693B"/>
    <w:rsid w:val="463C6332"/>
    <w:rsid w:val="46411D26"/>
    <w:rsid w:val="46F21269"/>
    <w:rsid w:val="47420AA3"/>
    <w:rsid w:val="4763592B"/>
    <w:rsid w:val="47723569"/>
    <w:rsid w:val="478C26EF"/>
    <w:rsid w:val="47C7052D"/>
    <w:rsid w:val="47D40D31"/>
    <w:rsid w:val="47EE0AE2"/>
    <w:rsid w:val="48010021"/>
    <w:rsid w:val="48E438E0"/>
    <w:rsid w:val="48E8399D"/>
    <w:rsid w:val="48EE5372"/>
    <w:rsid w:val="494F6C31"/>
    <w:rsid w:val="497432A4"/>
    <w:rsid w:val="4A236CF2"/>
    <w:rsid w:val="4A686C17"/>
    <w:rsid w:val="4ACD70BE"/>
    <w:rsid w:val="4AD86B22"/>
    <w:rsid w:val="4B125CE2"/>
    <w:rsid w:val="4B5D49EC"/>
    <w:rsid w:val="4B606269"/>
    <w:rsid w:val="4B972261"/>
    <w:rsid w:val="4BF26E04"/>
    <w:rsid w:val="4C0554A0"/>
    <w:rsid w:val="4C1B7265"/>
    <w:rsid w:val="4C313A0B"/>
    <w:rsid w:val="4C4C16C8"/>
    <w:rsid w:val="4C4F0870"/>
    <w:rsid w:val="4C5E080D"/>
    <w:rsid w:val="4C77286A"/>
    <w:rsid w:val="4D3A75F9"/>
    <w:rsid w:val="4D450A13"/>
    <w:rsid w:val="4DCF2957"/>
    <w:rsid w:val="4DD86643"/>
    <w:rsid w:val="4E340E7B"/>
    <w:rsid w:val="4E5A531C"/>
    <w:rsid w:val="4E712493"/>
    <w:rsid w:val="4E896D12"/>
    <w:rsid w:val="4ED5417F"/>
    <w:rsid w:val="4EE04CD9"/>
    <w:rsid w:val="4EF554EF"/>
    <w:rsid w:val="4F6F2CBC"/>
    <w:rsid w:val="4F706764"/>
    <w:rsid w:val="4FA10577"/>
    <w:rsid w:val="4FEC5242"/>
    <w:rsid w:val="51291C37"/>
    <w:rsid w:val="514C1108"/>
    <w:rsid w:val="5166772A"/>
    <w:rsid w:val="517266F0"/>
    <w:rsid w:val="51741591"/>
    <w:rsid w:val="523E1E05"/>
    <w:rsid w:val="52A2351D"/>
    <w:rsid w:val="5346672E"/>
    <w:rsid w:val="534D7687"/>
    <w:rsid w:val="5365622D"/>
    <w:rsid w:val="538E1E04"/>
    <w:rsid w:val="53BC5EDB"/>
    <w:rsid w:val="53DA708B"/>
    <w:rsid w:val="54877F69"/>
    <w:rsid w:val="54A006E8"/>
    <w:rsid w:val="54B75720"/>
    <w:rsid w:val="553D7E00"/>
    <w:rsid w:val="55401BEA"/>
    <w:rsid w:val="554B1C5C"/>
    <w:rsid w:val="554D549C"/>
    <w:rsid w:val="555C243F"/>
    <w:rsid w:val="55763EE5"/>
    <w:rsid w:val="559E17D2"/>
    <w:rsid w:val="55C033EC"/>
    <w:rsid w:val="55EB39BF"/>
    <w:rsid w:val="560E36E5"/>
    <w:rsid w:val="56612C07"/>
    <w:rsid w:val="570E1529"/>
    <w:rsid w:val="571B4EFD"/>
    <w:rsid w:val="57403628"/>
    <w:rsid w:val="57582B0C"/>
    <w:rsid w:val="576E18AF"/>
    <w:rsid w:val="57A859DE"/>
    <w:rsid w:val="57B173F9"/>
    <w:rsid w:val="57B52C87"/>
    <w:rsid w:val="57FD5439"/>
    <w:rsid w:val="58230859"/>
    <w:rsid w:val="58D35982"/>
    <w:rsid w:val="58D93391"/>
    <w:rsid w:val="593C68FB"/>
    <w:rsid w:val="59BD0B5F"/>
    <w:rsid w:val="5A583CFA"/>
    <w:rsid w:val="5A9B5311"/>
    <w:rsid w:val="5B1A1838"/>
    <w:rsid w:val="5B4D0910"/>
    <w:rsid w:val="5B742642"/>
    <w:rsid w:val="5B9E7FC9"/>
    <w:rsid w:val="5BF0434E"/>
    <w:rsid w:val="5C211197"/>
    <w:rsid w:val="5C5D19C5"/>
    <w:rsid w:val="5CFB5245"/>
    <w:rsid w:val="5D45418C"/>
    <w:rsid w:val="5D7A303D"/>
    <w:rsid w:val="5DA11FC2"/>
    <w:rsid w:val="5DC5734B"/>
    <w:rsid w:val="5DF47FAC"/>
    <w:rsid w:val="5E2C5653"/>
    <w:rsid w:val="5EA33E7B"/>
    <w:rsid w:val="5EAA376D"/>
    <w:rsid w:val="5ED26DDB"/>
    <w:rsid w:val="5F9E759A"/>
    <w:rsid w:val="5FC40A40"/>
    <w:rsid w:val="5FC853D3"/>
    <w:rsid w:val="5FCD6511"/>
    <w:rsid w:val="601D2C82"/>
    <w:rsid w:val="607F408F"/>
    <w:rsid w:val="60C9664E"/>
    <w:rsid w:val="61FD6A81"/>
    <w:rsid w:val="6240152A"/>
    <w:rsid w:val="628247D3"/>
    <w:rsid w:val="62FC27E3"/>
    <w:rsid w:val="631F0F7F"/>
    <w:rsid w:val="63CD7383"/>
    <w:rsid w:val="641813B5"/>
    <w:rsid w:val="64287B1B"/>
    <w:rsid w:val="645F3040"/>
    <w:rsid w:val="64740392"/>
    <w:rsid w:val="65267133"/>
    <w:rsid w:val="652E557E"/>
    <w:rsid w:val="65C51453"/>
    <w:rsid w:val="65C53832"/>
    <w:rsid w:val="660340BA"/>
    <w:rsid w:val="668C317F"/>
    <w:rsid w:val="66A74720"/>
    <w:rsid w:val="66B96DA9"/>
    <w:rsid w:val="66C57C55"/>
    <w:rsid w:val="672C7E1A"/>
    <w:rsid w:val="67805DD6"/>
    <w:rsid w:val="67BE5469"/>
    <w:rsid w:val="67C91D85"/>
    <w:rsid w:val="67EF41F8"/>
    <w:rsid w:val="6824028F"/>
    <w:rsid w:val="68477112"/>
    <w:rsid w:val="684E46FD"/>
    <w:rsid w:val="68A84071"/>
    <w:rsid w:val="68C005DE"/>
    <w:rsid w:val="69457505"/>
    <w:rsid w:val="696467AE"/>
    <w:rsid w:val="69B46ABF"/>
    <w:rsid w:val="69C40A40"/>
    <w:rsid w:val="6A490A49"/>
    <w:rsid w:val="6B235192"/>
    <w:rsid w:val="6B9041EC"/>
    <w:rsid w:val="6B941A3F"/>
    <w:rsid w:val="6BDF0088"/>
    <w:rsid w:val="6C352D92"/>
    <w:rsid w:val="6D6D7DF8"/>
    <w:rsid w:val="6DDD14CC"/>
    <w:rsid w:val="6DF70F48"/>
    <w:rsid w:val="6E760DBB"/>
    <w:rsid w:val="6E8B7424"/>
    <w:rsid w:val="6EAD30C4"/>
    <w:rsid w:val="6EB0599B"/>
    <w:rsid w:val="6EB41B93"/>
    <w:rsid w:val="6F1C418A"/>
    <w:rsid w:val="6F8170CD"/>
    <w:rsid w:val="70C50304"/>
    <w:rsid w:val="7102647A"/>
    <w:rsid w:val="713F45B4"/>
    <w:rsid w:val="719F6CA9"/>
    <w:rsid w:val="722978BE"/>
    <w:rsid w:val="7241451B"/>
    <w:rsid w:val="727B15C7"/>
    <w:rsid w:val="72D37F69"/>
    <w:rsid w:val="73623E45"/>
    <w:rsid w:val="73981D9B"/>
    <w:rsid w:val="73A248A5"/>
    <w:rsid w:val="73AE00F6"/>
    <w:rsid w:val="73B24391"/>
    <w:rsid w:val="73C03C97"/>
    <w:rsid w:val="740F0F97"/>
    <w:rsid w:val="74D329F4"/>
    <w:rsid w:val="74FF2584"/>
    <w:rsid w:val="75000D16"/>
    <w:rsid w:val="753529D7"/>
    <w:rsid w:val="75463985"/>
    <w:rsid w:val="75AD3C97"/>
    <w:rsid w:val="75EF249B"/>
    <w:rsid w:val="762B3EED"/>
    <w:rsid w:val="76AA786C"/>
    <w:rsid w:val="76F214EB"/>
    <w:rsid w:val="771C606F"/>
    <w:rsid w:val="774C1A9B"/>
    <w:rsid w:val="77724C8B"/>
    <w:rsid w:val="779B121C"/>
    <w:rsid w:val="77DF667C"/>
    <w:rsid w:val="78761079"/>
    <w:rsid w:val="78A944F3"/>
    <w:rsid w:val="78B171E2"/>
    <w:rsid w:val="78C879CB"/>
    <w:rsid w:val="7953229C"/>
    <w:rsid w:val="796D0C75"/>
    <w:rsid w:val="79A71509"/>
    <w:rsid w:val="79C05D08"/>
    <w:rsid w:val="7A5507DB"/>
    <w:rsid w:val="7A817696"/>
    <w:rsid w:val="7AF811C6"/>
    <w:rsid w:val="7B2F5820"/>
    <w:rsid w:val="7C997111"/>
    <w:rsid w:val="7CA22B8B"/>
    <w:rsid w:val="7CE9270B"/>
    <w:rsid w:val="7D220721"/>
    <w:rsid w:val="7D6B10B7"/>
    <w:rsid w:val="7D8A7613"/>
    <w:rsid w:val="7DB658DE"/>
    <w:rsid w:val="7E0C11A1"/>
    <w:rsid w:val="7E7102B2"/>
    <w:rsid w:val="7F285FF8"/>
    <w:rsid w:val="7FA71439"/>
    <w:rsid w:val="7FD560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iPriority="0" w:semiHidden="0" w:name="List"/>
    <w:lsdException w:uiPriority="99" w:name="List Bullet"/>
    <w:lsdException w:uiPriority="99" w:name="List Number"/>
    <w:lsdException w:qFormat="1" w:uiPriority="0" w:semiHidden="0" w:name="List 2"/>
    <w:lsdException w:qFormat="1"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0" w:semiHidden="0" w:name="Date"/>
    <w:lsdException w:qFormat="1" w:uiPriority="0" w:semiHidden="0" w:name="Body Text First Indent"/>
    <w:lsdException w:qFormat="1" w:unhideWhenUsed="0" w:uiPriority="0" w:semiHidden="0"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99"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207"/>
    <w:qFormat/>
    <w:uiPriority w:val="0"/>
    <w:pPr>
      <w:keepNext/>
      <w:keepLines/>
      <w:spacing w:line="576" w:lineRule="auto"/>
      <w:outlineLvl w:val="0"/>
    </w:pPr>
    <w:rPr>
      <w:kern w:val="44"/>
      <w:sz w:val="44"/>
      <w:szCs w:val="44"/>
    </w:rPr>
  </w:style>
  <w:style w:type="paragraph" w:styleId="5">
    <w:name w:val="heading 2"/>
    <w:basedOn w:val="1"/>
    <w:next w:val="1"/>
    <w:link w:val="216"/>
    <w:qFormat/>
    <w:uiPriority w:val="9"/>
    <w:pPr>
      <w:keepNext/>
      <w:keepLines/>
      <w:adjustRightInd w:val="0"/>
      <w:snapToGrid w:val="0"/>
      <w:spacing w:line="336" w:lineRule="auto"/>
      <w:ind w:firstLine="601"/>
      <w:outlineLvl w:val="1"/>
    </w:pPr>
    <w:rPr>
      <w:rFonts w:eastAsia="仿宋_GB2312"/>
      <w:b/>
      <w:kern w:val="0"/>
      <w:sz w:val="30"/>
    </w:rPr>
  </w:style>
  <w:style w:type="paragraph" w:styleId="6">
    <w:name w:val="heading 3"/>
    <w:basedOn w:val="1"/>
    <w:next w:val="1"/>
    <w:link w:val="213"/>
    <w:qFormat/>
    <w:uiPriority w:val="0"/>
    <w:pPr>
      <w:keepNext/>
      <w:keepLines/>
      <w:adjustRightInd w:val="0"/>
      <w:snapToGrid w:val="0"/>
      <w:spacing w:line="336" w:lineRule="auto"/>
      <w:ind w:firstLine="601"/>
      <w:outlineLvl w:val="2"/>
    </w:pPr>
    <w:rPr>
      <w:rFonts w:ascii="仿宋_GB2312" w:hAnsi="宋体" w:eastAsia="仿宋_GB2312"/>
      <w:b/>
      <w:kern w:val="0"/>
      <w:sz w:val="32"/>
    </w:rPr>
  </w:style>
  <w:style w:type="paragraph" w:styleId="7">
    <w:name w:val="heading 4"/>
    <w:basedOn w:val="1"/>
    <w:next w:val="1"/>
    <w:link w:val="192"/>
    <w:qFormat/>
    <w:uiPriority w:val="0"/>
    <w:pPr>
      <w:keepNext/>
      <w:keepLines/>
      <w:tabs>
        <w:tab w:val="left" w:pos="864"/>
      </w:tabs>
      <w:spacing w:before="280" w:after="290" w:line="374" w:lineRule="auto"/>
      <w:ind w:left="864" w:hanging="864"/>
      <w:outlineLvl w:val="3"/>
    </w:pPr>
    <w:rPr>
      <w:rFonts w:ascii="Arial" w:hAnsi="Arial" w:eastAsia="黑体"/>
      <w:b/>
      <w:bCs/>
      <w:sz w:val="28"/>
      <w:szCs w:val="28"/>
    </w:rPr>
  </w:style>
  <w:style w:type="paragraph" w:styleId="8">
    <w:name w:val="heading 5"/>
    <w:basedOn w:val="1"/>
    <w:next w:val="1"/>
    <w:link w:val="199"/>
    <w:qFormat/>
    <w:uiPriority w:val="0"/>
    <w:pPr>
      <w:keepNext/>
      <w:keepLines/>
      <w:tabs>
        <w:tab w:val="left" w:pos="1008"/>
      </w:tabs>
      <w:spacing w:before="280" w:after="290" w:line="374" w:lineRule="auto"/>
      <w:ind w:left="1008" w:hanging="1008"/>
      <w:outlineLvl w:val="4"/>
    </w:pPr>
    <w:rPr>
      <w:b/>
      <w:bCs/>
      <w:sz w:val="28"/>
      <w:szCs w:val="28"/>
    </w:rPr>
  </w:style>
  <w:style w:type="paragraph" w:styleId="9">
    <w:name w:val="heading 6"/>
    <w:basedOn w:val="1"/>
    <w:next w:val="1"/>
    <w:link w:val="184"/>
    <w:qFormat/>
    <w:uiPriority w:val="0"/>
    <w:pPr>
      <w:keepNext/>
      <w:keepLines/>
      <w:tabs>
        <w:tab w:val="left" w:pos="1152"/>
      </w:tabs>
      <w:spacing w:before="240" w:after="64" w:line="319" w:lineRule="auto"/>
      <w:ind w:left="1152" w:hanging="1152"/>
      <w:outlineLvl w:val="5"/>
    </w:pPr>
    <w:rPr>
      <w:rFonts w:ascii="Arial" w:hAnsi="Arial" w:eastAsia="黑体"/>
      <w:b/>
      <w:bCs/>
      <w:sz w:val="24"/>
      <w:szCs w:val="24"/>
    </w:rPr>
  </w:style>
  <w:style w:type="paragraph" w:styleId="10">
    <w:name w:val="heading 7"/>
    <w:basedOn w:val="1"/>
    <w:next w:val="1"/>
    <w:link w:val="238"/>
    <w:qFormat/>
    <w:uiPriority w:val="0"/>
    <w:pPr>
      <w:keepNext/>
      <w:keepLines/>
      <w:tabs>
        <w:tab w:val="left" w:pos="1296"/>
      </w:tabs>
      <w:spacing w:before="240" w:after="64" w:line="319" w:lineRule="auto"/>
      <w:ind w:left="1296" w:hanging="1296"/>
      <w:outlineLvl w:val="6"/>
    </w:pPr>
    <w:rPr>
      <w:b/>
      <w:bCs/>
      <w:sz w:val="24"/>
      <w:szCs w:val="24"/>
    </w:rPr>
  </w:style>
  <w:style w:type="paragraph" w:styleId="11">
    <w:name w:val="heading 8"/>
    <w:basedOn w:val="1"/>
    <w:next w:val="1"/>
    <w:link w:val="235"/>
    <w:qFormat/>
    <w:uiPriority w:val="0"/>
    <w:pPr>
      <w:keepNext/>
      <w:keepLines/>
      <w:tabs>
        <w:tab w:val="left" w:pos="1440"/>
      </w:tabs>
      <w:spacing w:before="240" w:after="64" w:line="319" w:lineRule="auto"/>
      <w:ind w:left="1440" w:hanging="1440"/>
      <w:outlineLvl w:val="7"/>
    </w:pPr>
    <w:rPr>
      <w:rFonts w:ascii="Arial" w:hAnsi="Arial" w:eastAsia="黑体"/>
      <w:sz w:val="24"/>
      <w:szCs w:val="24"/>
    </w:rPr>
  </w:style>
  <w:style w:type="paragraph" w:styleId="12">
    <w:name w:val="heading 9"/>
    <w:basedOn w:val="1"/>
    <w:next w:val="1"/>
    <w:link w:val="240"/>
    <w:qFormat/>
    <w:uiPriority w:val="0"/>
    <w:pPr>
      <w:keepNext/>
      <w:keepLines/>
      <w:tabs>
        <w:tab w:val="left" w:pos="1584"/>
      </w:tabs>
      <w:spacing w:before="240" w:after="64" w:line="319" w:lineRule="auto"/>
      <w:ind w:left="1584" w:hanging="1584"/>
      <w:outlineLvl w:val="8"/>
    </w:pPr>
    <w:rPr>
      <w:rFonts w:ascii="Arial" w:hAnsi="Arial" w:eastAsia="黑体"/>
      <w:szCs w:val="21"/>
    </w:rPr>
  </w:style>
  <w:style w:type="character" w:default="1" w:styleId="54">
    <w:name w:val="Default Paragraph Font"/>
    <w:qFormat/>
    <w:uiPriority w:val="0"/>
  </w:style>
  <w:style w:type="table" w:default="1" w:styleId="51">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link w:val="187"/>
    <w:unhideWhenUsed/>
    <w:qFormat/>
    <w:uiPriority w:val="0"/>
    <w:pPr>
      <w:ind w:firstLine="555"/>
    </w:pPr>
    <w:rPr>
      <w:rFonts w:ascii="仿宋_GB2312" w:eastAsia="仿宋_GB2312"/>
      <w:sz w:val="28"/>
    </w:rPr>
  </w:style>
  <w:style w:type="paragraph" w:styleId="13">
    <w:name w:val="List 3"/>
    <w:basedOn w:val="1"/>
    <w:unhideWhenUsed/>
    <w:qFormat/>
    <w:uiPriority w:val="0"/>
    <w:pPr>
      <w:ind w:left="100" w:leftChars="400" w:hanging="200" w:hangingChars="200"/>
    </w:pPr>
    <w:rPr>
      <w:szCs w:val="24"/>
    </w:rPr>
  </w:style>
  <w:style w:type="paragraph" w:styleId="14">
    <w:name w:val="toc 7"/>
    <w:basedOn w:val="1"/>
    <w:next w:val="1"/>
    <w:unhideWhenUsed/>
    <w:qFormat/>
    <w:uiPriority w:val="0"/>
    <w:pPr>
      <w:ind w:left="1260" w:firstLine="200" w:firstLineChars="200"/>
      <w:jc w:val="left"/>
    </w:pPr>
    <w:rPr>
      <w:sz w:val="18"/>
      <w:szCs w:val="21"/>
    </w:rPr>
  </w:style>
  <w:style w:type="paragraph" w:styleId="15">
    <w:name w:val="table of authorities"/>
    <w:basedOn w:val="1"/>
    <w:next w:val="1"/>
    <w:qFormat/>
    <w:uiPriority w:val="0"/>
    <w:pPr>
      <w:ind w:left="420" w:leftChars="200"/>
    </w:pPr>
    <w:rPr>
      <w:rFonts w:ascii="Calibri" w:hAnsi="Calibri" w:eastAsia="宋体" w:cs="Times New Roman"/>
      <w:szCs w:val="24"/>
    </w:rPr>
  </w:style>
  <w:style w:type="paragraph" w:styleId="16">
    <w:name w:val="Normal Indent"/>
    <w:basedOn w:val="1"/>
    <w:next w:val="1"/>
    <w:unhideWhenUsed/>
    <w:qFormat/>
    <w:uiPriority w:val="0"/>
    <w:pPr>
      <w:ind w:firstLine="420"/>
    </w:pPr>
  </w:style>
  <w:style w:type="paragraph" w:styleId="17">
    <w:name w:val="caption"/>
    <w:basedOn w:val="1"/>
    <w:next w:val="1"/>
    <w:qFormat/>
    <w:uiPriority w:val="0"/>
    <w:rPr>
      <w:rFonts w:ascii="Arial" w:hAnsi="Arial" w:eastAsia="黑体"/>
      <w:sz w:val="20"/>
    </w:rPr>
  </w:style>
  <w:style w:type="paragraph" w:styleId="18">
    <w:name w:val="Document Map"/>
    <w:basedOn w:val="1"/>
    <w:link w:val="181"/>
    <w:unhideWhenUsed/>
    <w:qFormat/>
    <w:uiPriority w:val="0"/>
    <w:pPr>
      <w:shd w:val="clear" w:color="auto" w:fill="000080"/>
    </w:pPr>
    <w:rPr>
      <w:b/>
      <w:sz w:val="30"/>
    </w:rPr>
  </w:style>
  <w:style w:type="paragraph" w:styleId="19">
    <w:name w:val="annotation text"/>
    <w:basedOn w:val="1"/>
    <w:link w:val="234"/>
    <w:unhideWhenUsed/>
    <w:qFormat/>
    <w:uiPriority w:val="0"/>
    <w:pPr>
      <w:adjustRightInd w:val="0"/>
      <w:spacing w:line="360" w:lineRule="atLeast"/>
      <w:jc w:val="left"/>
    </w:pPr>
    <w:rPr>
      <w:kern w:val="0"/>
      <w:sz w:val="24"/>
    </w:rPr>
  </w:style>
  <w:style w:type="paragraph" w:styleId="20">
    <w:name w:val="Body Text 3"/>
    <w:basedOn w:val="1"/>
    <w:link w:val="210"/>
    <w:unhideWhenUsed/>
    <w:qFormat/>
    <w:uiPriority w:val="0"/>
    <w:pPr>
      <w:spacing w:after="120"/>
    </w:pPr>
    <w:rPr>
      <w:b/>
      <w:sz w:val="16"/>
      <w:szCs w:val="16"/>
    </w:rPr>
  </w:style>
  <w:style w:type="paragraph" w:styleId="21">
    <w:name w:val="Body Text"/>
    <w:basedOn w:val="1"/>
    <w:next w:val="1"/>
    <w:link w:val="220"/>
    <w:unhideWhenUsed/>
    <w:qFormat/>
    <w:uiPriority w:val="0"/>
    <w:pPr>
      <w:spacing w:after="120"/>
    </w:pPr>
  </w:style>
  <w:style w:type="paragraph" w:styleId="22">
    <w:name w:val="List 2"/>
    <w:basedOn w:val="1"/>
    <w:unhideWhenUsed/>
    <w:qFormat/>
    <w:uiPriority w:val="0"/>
    <w:pPr>
      <w:ind w:left="100" w:leftChars="200" w:hanging="200" w:hangingChars="200"/>
    </w:pPr>
  </w:style>
  <w:style w:type="paragraph" w:styleId="23">
    <w:name w:val="Block Text"/>
    <w:basedOn w:val="1"/>
    <w:next w:val="24"/>
    <w:unhideWhenUsed/>
    <w:qFormat/>
    <w:uiPriority w:val="99"/>
    <w:pPr>
      <w:ind w:left="1440" w:leftChars="700" w:right="700" w:rightChars="700"/>
    </w:pPr>
  </w:style>
  <w:style w:type="paragraph" w:styleId="24">
    <w:name w:val="header"/>
    <w:basedOn w:val="1"/>
    <w:next w:val="1"/>
    <w:link w:val="24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5">
    <w:name w:val="toc 5"/>
    <w:basedOn w:val="1"/>
    <w:next w:val="1"/>
    <w:unhideWhenUsed/>
    <w:qFormat/>
    <w:uiPriority w:val="0"/>
    <w:pPr>
      <w:ind w:left="840" w:firstLine="200" w:firstLineChars="200"/>
      <w:jc w:val="left"/>
    </w:pPr>
    <w:rPr>
      <w:sz w:val="18"/>
      <w:szCs w:val="21"/>
    </w:rPr>
  </w:style>
  <w:style w:type="paragraph" w:styleId="26">
    <w:name w:val="toc 3"/>
    <w:basedOn w:val="1"/>
    <w:next w:val="1"/>
    <w:unhideWhenUsed/>
    <w:qFormat/>
    <w:uiPriority w:val="39"/>
    <w:pPr>
      <w:tabs>
        <w:tab w:val="right" w:leader="dot" w:pos="9288"/>
      </w:tabs>
      <w:ind w:left="420" w:leftChars="200"/>
    </w:pPr>
  </w:style>
  <w:style w:type="paragraph" w:styleId="27">
    <w:name w:val="Plain Text"/>
    <w:basedOn w:val="1"/>
    <w:next w:val="28"/>
    <w:link w:val="197"/>
    <w:unhideWhenUsed/>
    <w:qFormat/>
    <w:uiPriority w:val="0"/>
    <w:pPr>
      <w:spacing w:line="360" w:lineRule="auto"/>
    </w:pPr>
    <w:rPr>
      <w:rFonts w:ascii="宋体" w:hAnsi="Courier New"/>
      <w:sz w:val="24"/>
    </w:rPr>
  </w:style>
  <w:style w:type="paragraph" w:styleId="28">
    <w:name w:val="index heading"/>
    <w:basedOn w:val="1"/>
    <w:next w:val="29"/>
    <w:qFormat/>
    <w:uiPriority w:val="0"/>
    <w:pPr>
      <w:spacing w:before="120" w:after="120"/>
      <w:jc w:val="center"/>
    </w:pPr>
    <w:rPr>
      <w:rFonts w:ascii="Calibri" w:hAnsi="Calibri" w:eastAsia="宋体" w:cs="Times New Roman"/>
      <w:b/>
      <w:bCs/>
      <w:iCs/>
      <w:szCs w:val="20"/>
    </w:rPr>
  </w:style>
  <w:style w:type="paragraph" w:styleId="29">
    <w:name w:val="index 1"/>
    <w:basedOn w:val="1"/>
    <w:next w:val="30"/>
    <w:qFormat/>
    <w:uiPriority w:val="0"/>
    <w:pPr>
      <w:jc w:val="left"/>
    </w:pPr>
    <w:rPr>
      <w:rFonts w:ascii="宋体" w:hAnsi="Times New Roman" w:eastAsia="宋体" w:cs="Times New Roman"/>
      <w:szCs w:val="21"/>
    </w:rPr>
  </w:style>
  <w:style w:type="paragraph" w:customStyle="1" w:styleId="30">
    <w:name w:val="段"/>
    <w:next w:val="1"/>
    <w:qFormat/>
    <w:uiPriority w:val="0"/>
    <w:pPr>
      <w:autoSpaceDE w:val="0"/>
      <w:autoSpaceDN w:val="0"/>
      <w:ind w:firstLine="200" w:firstLineChars="200"/>
      <w:jc w:val="both"/>
    </w:pPr>
    <w:rPr>
      <w:rFonts w:ascii="宋体" w:hAnsi="Times New Roman" w:eastAsia="宋体" w:cs="Arial"/>
      <w:kern w:val="2"/>
      <w:sz w:val="21"/>
      <w:szCs w:val="22"/>
      <w:lang w:val="en-US" w:eastAsia="zh-CN" w:bidi="ar-SA"/>
    </w:rPr>
  </w:style>
  <w:style w:type="paragraph" w:styleId="31">
    <w:name w:val="toc 8"/>
    <w:basedOn w:val="1"/>
    <w:next w:val="1"/>
    <w:unhideWhenUsed/>
    <w:qFormat/>
    <w:uiPriority w:val="0"/>
    <w:pPr>
      <w:ind w:left="1470" w:firstLine="200" w:firstLineChars="200"/>
      <w:jc w:val="left"/>
    </w:pPr>
    <w:rPr>
      <w:sz w:val="18"/>
      <w:szCs w:val="21"/>
    </w:rPr>
  </w:style>
  <w:style w:type="paragraph" w:styleId="32">
    <w:name w:val="Date"/>
    <w:basedOn w:val="1"/>
    <w:next w:val="1"/>
    <w:link w:val="218"/>
    <w:unhideWhenUsed/>
    <w:qFormat/>
    <w:uiPriority w:val="0"/>
    <w:pPr>
      <w:adjustRightInd w:val="0"/>
      <w:spacing w:line="360" w:lineRule="atLeast"/>
    </w:pPr>
    <w:rPr>
      <w:rFonts w:ascii="宋体"/>
      <w:b/>
      <w:color w:val="0000FF"/>
      <w:kern w:val="0"/>
      <w:sz w:val="24"/>
    </w:rPr>
  </w:style>
  <w:style w:type="paragraph" w:styleId="33">
    <w:name w:val="Body Text Indent 2"/>
    <w:basedOn w:val="1"/>
    <w:link w:val="198"/>
    <w:unhideWhenUsed/>
    <w:qFormat/>
    <w:uiPriority w:val="0"/>
    <w:pPr>
      <w:spacing w:after="120" w:line="480" w:lineRule="auto"/>
      <w:ind w:left="420" w:leftChars="200"/>
    </w:pPr>
    <w:rPr>
      <w:b/>
      <w:sz w:val="30"/>
    </w:rPr>
  </w:style>
  <w:style w:type="paragraph" w:styleId="34">
    <w:name w:val="Balloon Text"/>
    <w:basedOn w:val="1"/>
    <w:link w:val="185"/>
    <w:unhideWhenUsed/>
    <w:qFormat/>
    <w:uiPriority w:val="0"/>
    <w:rPr>
      <w:rFonts w:ascii="Calibri" w:hAnsi="Calibri"/>
      <w:sz w:val="18"/>
      <w:szCs w:val="18"/>
    </w:rPr>
  </w:style>
  <w:style w:type="paragraph" w:styleId="35">
    <w:name w:val="footer"/>
    <w:basedOn w:val="1"/>
    <w:link w:val="242"/>
    <w:qFormat/>
    <w:uiPriority w:val="0"/>
    <w:pPr>
      <w:tabs>
        <w:tab w:val="center" w:pos="4153"/>
        <w:tab w:val="right" w:pos="8306"/>
      </w:tabs>
      <w:snapToGrid w:val="0"/>
      <w:jc w:val="left"/>
    </w:pPr>
    <w:rPr>
      <w:sz w:val="18"/>
    </w:rPr>
  </w:style>
  <w:style w:type="paragraph" w:styleId="36">
    <w:name w:val="toc 1"/>
    <w:basedOn w:val="1"/>
    <w:next w:val="1"/>
    <w:unhideWhenUsed/>
    <w:qFormat/>
    <w:uiPriority w:val="39"/>
    <w:pPr>
      <w:tabs>
        <w:tab w:val="right" w:leader="dot" w:pos="9060"/>
      </w:tabs>
      <w:snapToGrid w:val="0"/>
      <w:spacing w:beforeLines="10" w:afterLines="10" w:line="360" w:lineRule="auto"/>
      <w:jc w:val="left"/>
    </w:pPr>
    <w:rPr>
      <w:rFonts w:ascii="黑体" w:hAnsi="黑体" w:eastAsia="黑体"/>
      <w:b/>
      <w:bCs/>
      <w:caps/>
      <w:smallCaps/>
      <w:sz w:val="24"/>
      <w:szCs w:val="24"/>
    </w:rPr>
  </w:style>
  <w:style w:type="paragraph" w:styleId="37">
    <w:name w:val="toc 4"/>
    <w:basedOn w:val="1"/>
    <w:next w:val="1"/>
    <w:unhideWhenUsed/>
    <w:qFormat/>
    <w:uiPriority w:val="0"/>
    <w:pPr>
      <w:ind w:left="1260" w:leftChars="600"/>
    </w:pPr>
  </w:style>
  <w:style w:type="paragraph" w:styleId="38">
    <w:name w:val="Subtitle"/>
    <w:basedOn w:val="1"/>
    <w:next w:val="1"/>
    <w:link w:val="250"/>
    <w:qFormat/>
    <w:uiPriority w:val="11"/>
    <w:pPr>
      <w:numPr>
        <w:ilvl w:val="0"/>
        <w:numId w:val="1"/>
      </w:numPr>
      <w:spacing w:line="360" w:lineRule="auto"/>
      <w:jc w:val="left"/>
      <w:outlineLvl w:val="1"/>
    </w:pPr>
    <w:rPr>
      <w:rFonts w:ascii="Cambria" w:hAnsi="Cambria"/>
      <w:b/>
      <w:bCs/>
      <w:kern w:val="28"/>
      <w:sz w:val="28"/>
      <w:szCs w:val="32"/>
    </w:rPr>
  </w:style>
  <w:style w:type="paragraph" w:styleId="39">
    <w:name w:val="List"/>
    <w:basedOn w:val="1"/>
    <w:unhideWhenUsed/>
    <w:qFormat/>
    <w:uiPriority w:val="0"/>
    <w:pPr>
      <w:ind w:left="200" w:hanging="200" w:hangingChars="200"/>
    </w:pPr>
    <w:rPr>
      <w:szCs w:val="24"/>
    </w:rPr>
  </w:style>
  <w:style w:type="paragraph" w:styleId="40">
    <w:name w:val="toc 6"/>
    <w:basedOn w:val="1"/>
    <w:next w:val="1"/>
    <w:unhideWhenUsed/>
    <w:qFormat/>
    <w:uiPriority w:val="0"/>
    <w:pPr>
      <w:ind w:left="1050" w:firstLine="200" w:firstLineChars="200"/>
      <w:jc w:val="left"/>
    </w:pPr>
    <w:rPr>
      <w:sz w:val="18"/>
      <w:szCs w:val="21"/>
    </w:rPr>
  </w:style>
  <w:style w:type="paragraph" w:styleId="41">
    <w:name w:val="Body Text Indent 3"/>
    <w:basedOn w:val="1"/>
    <w:link w:val="222"/>
    <w:unhideWhenUsed/>
    <w:qFormat/>
    <w:uiPriority w:val="0"/>
    <w:pPr>
      <w:spacing w:after="120"/>
      <w:ind w:left="420" w:leftChars="200"/>
    </w:pPr>
    <w:rPr>
      <w:b/>
      <w:sz w:val="16"/>
      <w:szCs w:val="16"/>
    </w:rPr>
  </w:style>
  <w:style w:type="paragraph" w:styleId="42">
    <w:name w:val="index 9"/>
    <w:basedOn w:val="1"/>
    <w:next w:val="1"/>
    <w:qFormat/>
    <w:uiPriority w:val="0"/>
    <w:pPr>
      <w:ind w:left="1600" w:leftChars="1600"/>
    </w:pPr>
  </w:style>
  <w:style w:type="paragraph" w:styleId="43">
    <w:name w:val="toc 2"/>
    <w:basedOn w:val="1"/>
    <w:next w:val="1"/>
    <w:unhideWhenUsed/>
    <w:qFormat/>
    <w:uiPriority w:val="39"/>
    <w:pPr>
      <w:ind w:left="420" w:leftChars="200"/>
    </w:pPr>
  </w:style>
  <w:style w:type="paragraph" w:styleId="44">
    <w:name w:val="toc 9"/>
    <w:basedOn w:val="1"/>
    <w:next w:val="1"/>
    <w:unhideWhenUsed/>
    <w:qFormat/>
    <w:uiPriority w:val="0"/>
    <w:pPr>
      <w:ind w:left="1680" w:firstLine="200" w:firstLineChars="200"/>
      <w:jc w:val="left"/>
    </w:pPr>
    <w:rPr>
      <w:sz w:val="18"/>
      <w:szCs w:val="21"/>
    </w:rPr>
  </w:style>
  <w:style w:type="paragraph" w:styleId="45">
    <w:name w:val="Body Text 2"/>
    <w:basedOn w:val="1"/>
    <w:link w:val="233"/>
    <w:unhideWhenUsed/>
    <w:qFormat/>
    <w:uiPriority w:val="0"/>
    <w:rPr>
      <w:rFonts w:ascii="仿宋_GB2312" w:hAnsi="宋体" w:eastAsia="仿宋_GB2312"/>
      <w:sz w:val="28"/>
    </w:rPr>
  </w:style>
  <w:style w:type="paragraph" w:styleId="46">
    <w:name w:val="Message Header"/>
    <w:basedOn w:val="1"/>
    <w:next w:val="27"/>
    <w:qFormat/>
    <w:uiPriority w:val="0"/>
    <w:pPr>
      <w:pBdr>
        <w:top w:val="none" w:color="auto" w:sz="0" w:space="1"/>
        <w:left w:val="none" w:color="auto" w:sz="0" w:space="1"/>
        <w:bottom w:val="none" w:color="auto" w:sz="0" w:space="1"/>
        <w:right w:val="none" w:color="auto" w:sz="0" w:space="1"/>
      </w:pBdr>
      <w:shd w:val="clear" w:color="auto" w:fill="auto"/>
      <w:ind w:left="0" w:leftChars="0" w:firstLine="0" w:firstLineChars="0"/>
      <w:jc w:val="left"/>
    </w:pPr>
    <w:rPr>
      <w:rFonts w:ascii="Cambria" w:hAnsi="Cambria" w:cs="Times New Roman"/>
      <w:sz w:val="21"/>
    </w:rPr>
  </w:style>
  <w:style w:type="paragraph" w:styleId="47">
    <w:name w:val="Normal (Web)"/>
    <w:basedOn w:val="1"/>
    <w:unhideWhenUsed/>
    <w:qFormat/>
    <w:uiPriority w:val="0"/>
    <w:rPr>
      <w:sz w:val="24"/>
      <w:szCs w:val="24"/>
    </w:rPr>
  </w:style>
  <w:style w:type="paragraph" w:styleId="48">
    <w:name w:val="Title"/>
    <w:basedOn w:val="1"/>
    <w:next w:val="1"/>
    <w:link w:val="248"/>
    <w:qFormat/>
    <w:uiPriority w:val="0"/>
    <w:pPr>
      <w:spacing w:line="360" w:lineRule="auto"/>
      <w:jc w:val="center"/>
      <w:outlineLvl w:val="0"/>
    </w:pPr>
    <w:rPr>
      <w:rFonts w:ascii="Cambria" w:hAnsi="Cambria" w:eastAsia="黑体"/>
      <w:bCs/>
      <w:sz w:val="32"/>
      <w:szCs w:val="32"/>
    </w:rPr>
  </w:style>
  <w:style w:type="paragraph" w:styleId="49">
    <w:name w:val="annotation subject"/>
    <w:basedOn w:val="19"/>
    <w:next w:val="19"/>
    <w:link w:val="212"/>
    <w:unhideWhenUsed/>
    <w:qFormat/>
    <w:uiPriority w:val="0"/>
    <w:pPr>
      <w:adjustRightInd/>
      <w:spacing w:line="240" w:lineRule="auto"/>
    </w:pPr>
    <w:rPr>
      <w:b/>
      <w:sz w:val="21"/>
    </w:rPr>
  </w:style>
  <w:style w:type="paragraph" w:styleId="50">
    <w:name w:val="Body Text First Indent"/>
    <w:basedOn w:val="21"/>
    <w:link w:val="186"/>
    <w:unhideWhenUsed/>
    <w:qFormat/>
    <w:uiPriority w:val="0"/>
    <w:pPr>
      <w:ind w:firstLine="420"/>
    </w:p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3">
    <w:name w:val="Table Elegant"/>
    <w:basedOn w:val="51"/>
    <w:unhideWhenUsed/>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op w:val="nil"/>
          <w:left w:val="nil"/>
          <w:bottom w:val="nil"/>
          <w:right w:val="nil"/>
          <w:insideH w:val="nil"/>
          <w:insideV w:val="nil"/>
          <w:tl2br w:val="nil"/>
          <w:tr2bl w:val="nil"/>
        </w:tcBorders>
      </w:tcPr>
    </w:tblStylePr>
  </w:style>
  <w:style w:type="character" w:styleId="55">
    <w:name w:val="Strong"/>
    <w:basedOn w:val="54"/>
    <w:qFormat/>
    <w:uiPriority w:val="22"/>
    <w:rPr>
      <w:b/>
    </w:rPr>
  </w:style>
  <w:style w:type="character" w:styleId="56">
    <w:name w:val="page number"/>
    <w:qFormat/>
    <w:uiPriority w:val="0"/>
  </w:style>
  <w:style w:type="character" w:styleId="57">
    <w:name w:val="FollowedHyperlink"/>
    <w:basedOn w:val="54"/>
    <w:unhideWhenUsed/>
    <w:qFormat/>
    <w:uiPriority w:val="99"/>
    <w:rPr>
      <w:color w:val="333333"/>
      <w:u w:val="none"/>
    </w:rPr>
  </w:style>
  <w:style w:type="character" w:styleId="58">
    <w:name w:val="Emphasis"/>
    <w:qFormat/>
    <w:uiPriority w:val="0"/>
    <w:rPr>
      <w:i/>
    </w:rPr>
  </w:style>
  <w:style w:type="character" w:styleId="59">
    <w:name w:val="HTML Definition"/>
    <w:basedOn w:val="54"/>
    <w:unhideWhenUsed/>
    <w:qFormat/>
    <w:uiPriority w:val="99"/>
  </w:style>
  <w:style w:type="character" w:styleId="60">
    <w:name w:val="HTML Variable"/>
    <w:basedOn w:val="54"/>
    <w:unhideWhenUsed/>
    <w:qFormat/>
    <w:uiPriority w:val="99"/>
  </w:style>
  <w:style w:type="character" w:styleId="61">
    <w:name w:val="Hyperlink"/>
    <w:basedOn w:val="54"/>
    <w:unhideWhenUsed/>
    <w:qFormat/>
    <w:uiPriority w:val="99"/>
    <w:rPr>
      <w:color w:val="333333"/>
      <w:u w:val="none"/>
    </w:rPr>
  </w:style>
  <w:style w:type="character" w:styleId="62">
    <w:name w:val="HTML Code"/>
    <w:basedOn w:val="54"/>
    <w:unhideWhenUsed/>
    <w:qFormat/>
    <w:uiPriority w:val="99"/>
    <w:rPr>
      <w:rFonts w:ascii="Courier New" w:hAnsi="Courier New"/>
      <w:sz w:val="20"/>
    </w:rPr>
  </w:style>
  <w:style w:type="character" w:styleId="63">
    <w:name w:val="annotation reference"/>
    <w:unhideWhenUsed/>
    <w:qFormat/>
    <w:uiPriority w:val="0"/>
    <w:rPr>
      <w:sz w:val="21"/>
    </w:rPr>
  </w:style>
  <w:style w:type="character" w:styleId="64">
    <w:name w:val="HTML Cite"/>
    <w:basedOn w:val="54"/>
    <w:unhideWhenUsed/>
    <w:qFormat/>
    <w:uiPriority w:val="99"/>
  </w:style>
  <w:style w:type="character" w:styleId="65">
    <w:name w:val="HTML Keyboard"/>
    <w:basedOn w:val="54"/>
    <w:unhideWhenUsed/>
    <w:qFormat/>
    <w:uiPriority w:val="99"/>
    <w:rPr>
      <w:rFonts w:ascii="Courier New" w:hAnsi="Courier New"/>
      <w:sz w:val="20"/>
    </w:rPr>
  </w:style>
  <w:style w:type="character" w:styleId="66">
    <w:name w:val="HTML Sample"/>
    <w:basedOn w:val="54"/>
    <w:unhideWhenUsed/>
    <w:qFormat/>
    <w:uiPriority w:val="99"/>
    <w:rPr>
      <w:rFonts w:ascii="Courier New" w:hAnsi="Courier New"/>
    </w:rPr>
  </w:style>
  <w:style w:type="paragraph" w:customStyle="1" w:styleId="67">
    <w:name w:val="Default"/>
    <w:basedOn w:val="48"/>
    <w:next w:val="4"/>
    <w:qFormat/>
    <w:uiPriority w:val="0"/>
    <w:pPr>
      <w:widowControl w:val="0"/>
      <w:autoSpaceDE w:val="0"/>
      <w:autoSpaceDN w:val="0"/>
      <w:adjustRightInd w:val="0"/>
    </w:pPr>
    <w:rPr>
      <w:rFonts w:ascii="宋体" w:hAnsi="Times New Roman" w:cs="宋体"/>
      <w:color w:val="000000"/>
      <w:sz w:val="24"/>
      <w:szCs w:val="24"/>
      <w:lang w:val="en-US" w:eastAsia="zh-CN" w:bidi="ar-SA"/>
    </w:rPr>
  </w:style>
  <w:style w:type="paragraph" w:customStyle="1" w:styleId="68">
    <w:name w:val="普通 (Web)"/>
    <w:basedOn w:val="1"/>
    <w:qFormat/>
    <w:uiPriority w:val="0"/>
    <w:pPr>
      <w:widowControl/>
      <w:numPr>
        <w:ilvl w:val="0"/>
        <w:numId w:val="2"/>
      </w:numPr>
      <w:spacing w:before="100" w:after="100"/>
      <w:ind w:left="0" w:firstLine="0"/>
      <w:jc w:val="left"/>
    </w:pPr>
    <w:rPr>
      <w:rFonts w:ascii="宋体"/>
      <w:kern w:val="0"/>
      <w:sz w:val="24"/>
    </w:rPr>
  </w:style>
  <w:style w:type="paragraph" w:customStyle="1" w:styleId="6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0">
    <w:name w:val="样式 标题 3 + (中文) 黑体 小四 非加粗 段前: 7.8 磅 段后: 0 磅 行距: 固定值 20 磅"/>
    <w:basedOn w:val="6"/>
    <w:qFormat/>
    <w:uiPriority w:val="0"/>
    <w:pPr>
      <w:adjustRightInd/>
      <w:snapToGrid/>
      <w:spacing w:line="400" w:lineRule="exact"/>
      <w:ind w:firstLine="0"/>
    </w:pPr>
    <w:rPr>
      <w:rFonts w:ascii="Times New Roman" w:hAnsi="Times New Roman" w:eastAsia="黑体"/>
      <w:b w:val="0"/>
      <w:kern w:val="2"/>
      <w:sz w:val="24"/>
    </w:rPr>
  </w:style>
  <w:style w:type="paragraph" w:customStyle="1" w:styleId="71">
    <w:name w:val="表文"/>
    <w:basedOn w:val="1"/>
    <w:qFormat/>
    <w:uiPriority w:val="0"/>
    <w:pPr>
      <w:topLinePunct/>
      <w:spacing w:before="40" w:after="40"/>
    </w:pPr>
    <w:rPr>
      <w:sz w:val="18"/>
      <w:szCs w:val="18"/>
    </w:rPr>
  </w:style>
  <w:style w:type="paragraph" w:customStyle="1" w:styleId="72">
    <w:name w:val="xl11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4"/>
      <w:szCs w:val="24"/>
    </w:rPr>
  </w:style>
  <w:style w:type="paragraph" w:customStyle="1" w:styleId="73">
    <w:name w:val="样式 宋体 小四 黑色 行距: 固定值 25 磅"/>
    <w:basedOn w:val="1"/>
    <w:next w:val="1"/>
    <w:qFormat/>
    <w:uiPriority w:val="0"/>
    <w:pPr>
      <w:spacing w:line="500" w:lineRule="exact"/>
    </w:pPr>
    <w:rPr>
      <w:rFonts w:ascii="宋体"/>
      <w:color w:val="000000"/>
      <w:sz w:val="24"/>
    </w:rPr>
  </w:style>
  <w:style w:type="paragraph" w:customStyle="1" w:styleId="7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7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6">
    <w:name w:val="样式 Arial 首行缩进:  2 字符"/>
    <w:basedOn w:val="1"/>
    <w:qFormat/>
    <w:uiPriority w:val="0"/>
    <w:pPr>
      <w:ind w:firstLine="403" w:firstLineChars="200"/>
    </w:pPr>
    <w:rPr>
      <w:rFonts w:cs="华文新魏"/>
      <w:szCs w:val="21"/>
    </w:rPr>
  </w:style>
  <w:style w:type="paragraph" w:customStyle="1" w:styleId="77">
    <w:name w:val="1 Char Char Char Char"/>
    <w:basedOn w:val="1"/>
    <w:qFormat/>
    <w:uiPriority w:val="0"/>
    <w:rPr>
      <w:rFonts w:ascii="Tahoma" w:hAnsi="Tahoma"/>
      <w:sz w:val="24"/>
    </w:rPr>
  </w:style>
  <w:style w:type="paragraph" w:customStyle="1" w:styleId="78">
    <w:name w:val="样式1"/>
    <w:basedOn w:val="3"/>
    <w:qFormat/>
    <w:uiPriority w:val="0"/>
    <w:pPr>
      <w:autoSpaceDE w:val="0"/>
      <w:autoSpaceDN w:val="0"/>
      <w:adjustRightInd w:val="0"/>
      <w:spacing w:line="480" w:lineRule="atLeast"/>
      <w:ind w:firstLine="600"/>
    </w:pPr>
    <w:rPr>
      <w:rFonts w:ascii="楷体_GB2312" w:eastAsia="楷体_GB2312"/>
      <w:kern w:val="0"/>
    </w:rPr>
  </w:style>
  <w:style w:type="paragraph" w:customStyle="1" w:styleId="79">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4"/>
      <w:szCs w:val="24"/>
    </w:rPr>
  </w:style>
  <w:style w:type="paragraph" w:customStyle="1" w:styleId="8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81">
    <w:name w:val="样式 样式 标题 2 + 段前: 0.5 行 段后: 0.5 行 + 首行缩进:  2 字符 段前: 0.5 行 段后: 0..."/>
    <w:basedOn w:val="82"/>
    <w:qFormat/>
    <w:uiPriority w:val="0"/>
    <w:pPr>
      <w:ind w:firstLine="0" w:firstLineChars="0"/>
    </w:pPr>
    <w:rPr>
      <w:bCs w:val="0"/>
      <w:szCs w:val="20"/>
    </w:rPr>
  </w:style>
  <w:style w:type="paragraph" w:customStyle="1" w:styleId="82">
    <w:name w:val="样式 标题 2 + 段前: 0.5 行 段后: 0.5 行"/>
    <w:basedOn w:val="5"/>
    <w:qFormat/>
    <w:uiPriority w:val="0"/>
    <w:pPr>
      <w:snapToGrid/>
      <w:spacing w:beforeLines="50" w:afterLines="50" w:line="240" w:lineRule="auto"/>
      <w:ind w:firstLine="200" w:firstLineChars="200"/>
      <w:jc w:val="left"/>
    </w:pPr>
    <w:rPr>
      <w:rFonts w:eastAsia="黑体" w:cs="宋体"/>
      <w:b w:val="0"/>
      <w:bCs/>
      <w:sz w:val="21"/>
      <w:szCs w:val="21"/>
    </w:rPr>
  </w:style>
  <w:style w:type="paragraph" w:customStyle="1" w:styleId="83">
    <w:name w:val="xl92"/>
    <w:basedOn w:val="1"/>
    <w:qFormat/>
    <w:uiPriority w:val="0"/>
    <w:pPr>
      <w:widowControl/>
      <w:spacing w:before="100" w:beforeAutospacing="1" w:after="100" w:afterAutospacing="1"/>
      <w:jc w:val="left"/>
    </w:pPr>
    <w:rPr>
      <w:rFonts w:ascii="宋体" w:hAnsi="宋体" w:cs="宋体"/>
      <w:b/>
      <w:bCs/>
      <w:kern w:val="0"/>
      <w:sz w:val="24"/>
      <w:szCs w:val="24"/>
    </w:rPr>
  </w:style>
  <w:style w:type="paragraph" w:customStyle="1" w:styleId="84">
    <w:name w:val="样式 宋体 小四 黑色 行距: 固定值 25 磅1 Char"/>
    <w:basedOn w:val="1"/>
    <w:next w:val="1"/>
    <w:qFormat/>
    <w:uiPriority w:val="0"/>
    <w:pPr>
      <w:spacing w:line="500" w:lineRule="exact"/>
    </w:pPr>
    <w:rPr>
      <w:rFonts w:ascii="宋体"/>
      <w:color w:val="000000"/>
      <w:sz w:val="24"/>
      <w:szCs w:val="24"/>
    </w:rPr>
  </w:style>
  <w:style w:type="paragraph" w:customStyle="1" w:styleId="85">
    <w:name w:val="Char"/>
    <w:basedOn w:val="1"/>
    <w:qFormat/>
    <w:uiPriority w:val="0"/>
    <w:rPr>
      <w:szCs w:val="24"/>
    </w:rPr>
  </w:style>
  <w:style w:type="paragraph" w:styleId="86">
    <w:name w:val="List Paragraph"/>
    <w:basedOn w:val="1"/>
    <w:qFormat/>
    <w:uiPriority w:val="0"/>
    <w:pPr>
      <w:ind w:firstLine="420" w:firstLineChars="200"/>
    </w:pPr>
    <w:rPr>
      <w:szCs w:val="24"/>
    </w:rPr>
  </w:style>
  <w:style w:type="paragraph" w:customStyle="1" w:styleId="87">
    <w:name w:val="列出段落1"/>
    <w:basedOn w:val="1"/>
    <w:qFormat/>
    <w:uiPriority w:val="34"/>
    <w:pPr>
      <w:snapToGrid w:val="0"/>
      <w:ind w:firstLine="420" w:firstLineChars="200"/>
    </w:pPr>
    <w:rPr>
      <w:rFonts w:ascii="Calibri" w:hAnsi="Calibri" w:cs="Calibri"/>
      <w:szCs w:val="21"/>
    </w:rPr>
  </w:style>
  <w:style w:type="paragraph" w:customStyle="1" w:styleId="88">
    <w:name w:val="xl8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FF0000"/>
      <w:kern w:val="0"/>
      <w:sz w:val="20"/>
    </w:rPr>
  </w:style>
  <w:style w:type="paragraph" w:customStyle="1" w:styleId="89">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szCs w:val="24"/>
    </w:rPr>
  </w:style>
  <w:style w:type="paragraph" w:customStyle="1" w:styleId="90">
    <w:name w:val="标题2"/>
    <w:basedOn w:val="5"/>
    <w:qFormat/>
    <w:uiPriority w:val="0"/>
    <w:pPr>
      <w:numPr>
        <w:ilvl w:val="1"/>
        <w:numId w:val="3"/>
      </w:numPr>
      <w:tabs>
        <w:tab w:val="left" w:pos="360"/>
        <w:tab w:val="left" w:pos="600"/>
      </w:tabs>
      <w:spacing w:line="240" w:lineRule="auto"/>
      <w:jc w:val="left"/>
    </w:pPr>
    <w:rPr>
      <w:rFonts w:eastAsia="宋体"/>
      <w:sz w:val="24"/>
    </w:rPr>
  </w:style>
  <w:style w:type="paragraph" w:customStyle="1" w:styleId="91">
    <w:name w:val="表名"/>
    <w:basedOn w:val="92"/>
    <w:qFormat/>
    <w:uiPriority w:val="0"/>
    <w:pPr>
      <w:spacing w:before="0" w:after="0" w:line="360" w:lineRule="auto"/>
    </w:pPr>
    <w:rPr>
      <w:sz w:val="28"/>
    </w:rPr>
  </w:style>
  <w:style w:type="paragraph" w:customStyle="1" w:styleId="92">
    <w:name w:val="表格"/>
    <w:qFormat/>
    <w:uiPriority w:val="0"/>
    <w:pPr>
      <w:adjustRightInd w:val="0"/>
      <w:snapToGrid w:val="0"/>
      <w:spacing w:before="40" w:after="40"/>
      <w:jc w:val="center"/>
    </w:pPr>
    <w:rPr>
      <w:rFonts w:ascii="仿宋_GB2312" w:hAnsi="Times New Roman" w:eastAsia="仿宋_GB2312" w:cs="Times New Roman"/>
      <w:sz w:val="24"/>
      <w:lang w:val="en-US" w:eastAsia="zh-CN" w:bidi="ar-SA"/>
    </w:rPr>
  </w:style>
  <w:style w:type="paragraph" w:customStyle="1" w:styleId="9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4">
    <w:name w:val="xl101"/>
    <w:basedOn w:val="1"/>
    <w:qFormat/>
    <w:uiPriority w:val="0"/>
    <w:pPr>
      <w:widowControl/>
      <w:pBdr>
        <w:top w:val="single" w:color="auto" w:sz="4" w:space="0"/>
        <w:left w:val="single" w:color="auto" w:sz="4" w:space="0"/>
        <w:bottom w:val="single" w:color="auto" w:sz="4" w:space="0"/>
      </w:pBdr>
      <w:shd w:val="clear" w:color="auto" w:fill="FFFF00"/>
      <w:spacing w:before="100" w:beforeAutospacing="1" w:after="100" w:afterAutospacing="1"/>
      <w:jc w:val="left"/>
    </w:pPr>
    <w:rPr>
      <w:rFonts w:ascii="宋体" w:hAnsi="宋体" w:cs="宋体"/>
      <w:kern w:val="0"/>
      <w:sz w:val="20"/>
    </w:rPr>
  </w:style>
  <w:style w:type="paragraph" w:customStyle="1" w:styleId="95">
    <w:name w:val="纯文本1"/>
    <w:basedOn w:val="1"/>
    <w:qFormat/>
    <w:uiPriority w:val="0"/>
    <w:rPr>
      <w:rFonts w:ascii="宋体" w:hAnsi="Courier New"/>
    </w:rPr>
  </w:style>
  <w:style w:type="paragraph" w:customStyle="1" w:styleId="9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97">
    <w:name w:val="xl93"/>
    <w:basedOn w:val="1"/>
    <w:qFormat/>
    <w:uiPriority w:val="0"/>
    <w:pPr>
      <w:widowControl/>
      <w:pBdr>
        <w:left w:val="single" w:color="auto" w:sz="4" w:space="0"/>
      </w:pBdr>
      <w:spacing w:before="100" w:beforeAutospacing="1" w:after="100" w:afterAutospacing="1"/>
      <w:jc w:val="left"/>
    </w:pPr>
    <w:rPr>
      <w:rFonts w:ascii="宋体" w:hAnsi="宋体" w:cs="宋体"/>
      <w:b/>
      <w:bCs/>
      <w:kern w:val="0"/>
      <w:sz w:val="20"/>
    </w:rPr>
  </w:style>
  <w:style w:type="paragraph" w:customStyle="1" w:styleId="98">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9">
    <w:name w:val="默认段落字体 Para Char"/>
    <w:basedOn w:val="1"/>
    <w:next w:val="1"/>
    <w:qFormat/>
    <w:uiPriority w:val="0"/>
    <w:pPr>
      <w:spacing w:line="360" w:lineRule="auto"/>
      <w:ind w:firstLine="200" w:firstLineChars="200"/>
    </w:pPr>
    <w:rPr>
      <w:rFonts w:ascii="宋体" w:hAnsi="宋体" w:cs="宋体"/>
      <w:sz w:val="24"/>
      <w:szCs w:val="24"/>
    </w:rPr>
  </w:style>
  <w:style w:type="paragraph" w:customStyle="1" w:styleId="100">
    <w:name w:val="Body Text 2"/>
    <w:basedOn w:val="1"/>
    <w:qFormat/>
    <w:uiPriority w:val="0"/>
    <w:pPr>
      <w:adjustRightInd w:val="0"/>
      <w:ind w:left="630"/>
      <w:jc w:val="left"/>
      <w:textAlignment w:val="baseline"/>
    </w:pPr>
    <w:rPr>
      <w:sz w:val="28"/>
    </w:rPr>
  </w:style>
  <w:style w:type="paragraph" w:customStyle="1" w:styleId="101">
    <w:name w:val="jl 正文 Char Char"/>
    <w:basedOn w:val="1"/>
    <w:link w:val="247"/>
    <w:qFormat/>
    <w:uiPriority w:val="0"/>
    <w:pPr>
      <w:autoSpaceDE w:val="0"/>
      <w:autoSpaceDN w:val="0"/>
      <w:adjustRightInd w:val="0"/>
      <w:ind w:firstLine="200" w:firstLineChars="200"/>
      <w:jc w:val="left"/>
    </w:pPr>
    <w:rPr>
      <w:rFonts w:ascii="宋体" w:hAnsi="宋体"/>
      <w:sz w:val="24"/>
    </w:rPr>
  </w:style>
  <w:style w:type="paragraph" w:customStyle="1" w:styleId="102">
    <w:name w:val="标题1－前"/>
    <w:basedOn w:val="4"/>
    <w:qFormat/>
    <w:uiPriority w:val="0"/>
    <w:pPr>
      <w:keepNext w:val="0"/>
      <w:keepLines w:val="0"/>
      <w:tabs>
        <w:tab w:val="left" w:pos="360"/>
      </w:tabs>
      <w:topLinePunct/>
      <w:snapToGrid w:val="0"/>
      <w:spacing w:line="360" w:lineRule="exact"/>
      <w:ind w:left="420" w:hanging="420"/>
    </w:pPr>
    <w:rPr>
      <w:rFonts w:eastAsia="黑体"/>
      <w:b/>
      <w:kern w:val="28"/>
      <w:sz w:val="28"/>
      <w:szCs w:val="20"/>
    </w:rPr>
  </w:style>
  <w:style w:type="paragraph" w:customStyle="1" w:styleId="103">
    <w:name w:val="样式3"/>
    <w:basedOn w:val="1"/>
    <w:qFormat/>
    <w:uiPriority w:val="0"/>
    <w:pPr>
      <w:topLinePunct/>
      <w:ind w:firstLine="420"/>
    </w:pPr>
    <w:rPr>
      <w:rFonts w:eastAsia="黑体"/>
      <w:szCs w:val="21"/>
    </w:rPr>
  </w:style>
  <w:style w:type="paragraph" w:customStyle="1" w:styleId="104">
    <w:name w:val="样式 标题 1 + 加粗1"/>
    <w:basedOn w:val="4"/>
    <w:qFormat/>
    <w:uiPriority w:val="0"/>
    <w:pPr>
      <w:adjustRightInd w:val="0"/>
      <w:spacing w:beforeLines="100" w:afterLines="100" w:line="240" w:lineRule="auto"/>
      <w:ind w:left="420" w:hanging="420"/>
    </w:pPr>
    <w:rPr>
      <w:rFonts w:eastAsia="黑体"/>
      <w:bCs/>
      <w:sz w:val="28"/>
      <w:szCs w:val="28"/>
    </w:rPr>
  </w:style>
  <w:style w:type="paragraph" w:customStyle="1" w:styleId="105">
    <w:name w:val="jl 正文"/>
    <w:basedOn w:val="1"/>
    <w:qFormat/>
    <w:uiPriority w:val="0"/>
    <w:pPr>
      <w:numPr>
        <w:ilvl w:val="0"/>
        <w:numId w:val="4"/>
      </w:numPr>
      <w:autoSpaceDE w:val="0"/>
      <w:autoSpaceDN w:val="0"/>
      <w:adjustRightInd w:val="0"/>
      <w:ind w:left="0" w:firstLine="200" w:firstLineChars="200"/>
      <w:jc w:val="left"/>
    </w:pPr>
    <w:rPr>
      <w:rFonts w:ascii="宋体"/>
      <w:kern w:val="0"/>
      <w:sz w:val="24"/>
      <w:szCs w:val="24"/>
    </w:rPr>
  </w:style>
  <w:style w:type="paragraph" w:customStyle="1" w:styleId="10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b/>
      <w:bCs/>
      <w:kern w:val="0"/>
      <w:sz w:val="20"/>
    </w:rPr>
  </w:style>
  <w:style w:type="paragraph" w:customStyle="1" w:styleId="107">
    <w:name w:val="Date"/>
    <w:basedOn w:val="1"/>
    <w:next w:val="1"/>
    <w:qFormat/>
    <w:uiPriority w:val="0"/>
    <w:pPr>
      <w:adjustRightInd w:val="0"/>
      <w:spacing w:line="410" w:lineRule="atLeast"/>
      <w:textAlignment w:val="baseline"/>
    </w:pPr>
    <w:rPr>
      <w:rFonts w:ascii="宋体"/>
      <w:kern w:val="0"/>
      <w:position w:val="20"/>
      <w:sz w:val="24"/>
    </w:rPr>
  </w:style>
  <w:style w:type="paragraph" w:customStyle="1" w:styleId="108">
    <w:name w:val="标题1"/>
    <w:basedOn w:val="4"/>
    <w:qFormat/>
    <w:uiPriority w:val="0"/>
    <w:pPr>
      <w:numPr>
        <w:ilvl w:val="0"/>
        <w:numId w:val="3"/>
      </w:numPr>
      <w:tabs>
        <w:tab w:val="left" w:pos="360"/>
      </w:tabs>
      <w:topLinePunct/>
      <w:adjustRightInd w:val="0"/>
      <w:snapToGrid w:val="0"/>
      <w:spacing w:line="360" w:lineRule="auto"/>
      <w:jc w:val="left"/>
    </w:pPr>
    <w:rPr>
      <w:rFonts w:ascii="宋体" w:hAnsi="宋体" w:eastAsia="黑体"/>
      <w:b/>
      <w:bCs/>
      <w:color w:val="000000"/>
      <w:kern w:val="2"/>
      <w:sz w:val="28"/>
      <w:szCs w:val="28"/>
    </w:rPr>
  </w:style>
  <w:style w:type="paragraph" w:customStyle="1" w:styleId="10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20"/>
    </w:rPr>
  </w:style>
  <w:style w:type="paragraph" w:customStyle="1" w:styleId="110">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111">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FF0000"/>
      <w:kern w:val="0"/>
      <w:sz w:val="20"/>
    </w:rPr>
  </w:style>
  <w:style w:type="paragraph" w:customStyle="1" w:styleId="112">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FF0000"/>
      <w:kern w:val="0"/>
      <w:sz w:val="20"/>
    </w:rPr>
  </w:style>
  <w:style w:type="paragraph" w:customStyle="1" w:styleId="11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4">
    <w:name w:val="xl114"/>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rPr>
  </w:style>
  <w:style w:type="paragraph" w:customStyle="1" w:styleId="115">
    <w:name w:val="xl11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FF0000"/>
      <w:kern w:val="0"/>
      <w:sz w:val="20"/>
    </w:rPr>
  </w:style>
  <w:style w:type="paragraph" w:customStyle="1" w:styleId="116">
    <w:name w:val="范本使用说明"/>
    <w:basedOn w:val="1"/>
    <w:qFormat/>
    <w:uiPriority w:val="0"/>
    <w:pPr>
      <w:jc w:val="center"/>
    </w:pPr>
    <w:rPr>
      <w:rFonts w:ascii="黑体" w:eastAsia="黑体"/>
      <w:b/>
      <w:sz w:val="32"/>
    </w:rPr>
  </w:style>
  <w:style w:type="paragraph" w:customStyle="1" w:styleId="11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18">
    <w:name w:val="xl113"/>
    <w:basedOn w:val="1"/>
    <w:qFormat/>
    <w:uiPriority w:val="0"/>
    <w:pPr>
      <w:widowControl/>
      <w:pBdr>
        <w:top w:val="single" w:color="auto" w:sz="4" w:space="0"/>
        <w:left w:val="single" w:color="auto" w:sz="4" w:space="0"/>
        <w:bottom w:val="single" w:color="auto" w:sz="4" w:space="0"/>
      </w:pBdr>
      <w:shd w:val="clear" w:color="auto" w:fill="FFFF00"/>
      <w:spacing w:before="100" w:beforeAutospacing="1" w:after="100" w:afterAutospacing="1"/>
      <w:jc w:val="left"/>
    </w:pPr>
    <w:rPr>
      <w:rFonts w:ascii="宋体" w:hAnsi="宋体" w:cs="宋体"/>
      <w:kern w:val="0"/>
      <w:sz w:val="20"/>
    </w:rPr>
  </w:style>
  <w:style w:type="paragraph" w:customStyle="1" w:styleId="119">
    <w:name w:val="1"/>
    <w:basedOn w:val="1"/>
    <w:qFormat/>
    <w:uiPriority w:val="0"/>
    <w:pPr>
      <w:spacing w:afterLines="50" w:line="360" w:lineRule="auto"/>
      <w:ind w:firstLine="1080" w:firstLineChars="1080"/>
    </w:pPr>
    <w:rPr>
      <w:rFonts w:ascii="宋体"/>
      <w:b/>
      <w:sz w:val="34"/>
      <w:szCs w:val="21"/>
    </w:rPr>
  </w:style>
  <w:style w:type="paragraph" w:customStyle="1" w:styleId="12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21">
    <w:name w:val="xl94"/>
    <w:basedOn w:val="1"/>
    <w:qFormat/>
    <w:uiPriority w:val="0"/>
    <w:pPr>
      <w:widowControl/>
      <w:spacing w:before="100" w:beforeAutospacing="1" w:after="100" w:afterAutospacing="1"/>
      <w:jc w:val="left"/>
    </w:pPr>
    <w:rPr>
      <w:rFonts w:ascii="宋体" w:hAnsi="宋体" w:cs="宋体"/>
      <w:b/>
      <w:bCs/>
      <w:kern w:val="0"/>
      <w:sz w:val="20"/>
    </w:rPr>
  </w:style>
  <w:style w:type="paragraph" w:customStyle="1" w:styleId="122">
    <w:name w:val="xl119"/>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color w:val="FF0000"/>
      <w:kern w:val="0"/>
      <w:sz w:val="20"/>
    </w:rPr>
  </w:style>
  <w:style w:type="paragraph" w:customStyle="1" w:styleId="123">
    <w:name w:val="样式 标题 1 + 四号 居中 段前: 12 磅 段后: 12 磅 行距: 单倍行距"/>
    <w:basedOn w:val="4"/>
    <w:qFormat/>
    <w:uiPriority w:val="0"/>
    <w:pPr>
      <w:adjustRightInd w:val="0"/>
      <w:spacing w:before="240" w:after="240" w:line="240" w:lineRule="auto"/>
      <w:textAlignment w:val="baseline"/>
    </w:pPr>
    <w:rPr>
      <w:rFonts w:eastAsia="黑体"/>
      <w:b/>
      <w:sz w:val="30"/>
      <w:szCs w:val="20"/>
    </w:rPr>
  </w:style>
  <w:style w:type="paragraph" w:customStyle="1" w:styleId="12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25">
    <w:name w:val="样式 标题 1 + 首行缩进:  2 字符 段前: 1 行 段后: 1 行"/>
    <w:basedOn w:val="4"/>
    <w:qFormat/>
    <w:uiPriority w:val="0"/>
    <w:pPr>
      <w:spacing w:beforeLines="100" w:afterLines="100" w:line="240" w:lineRule="auto"/>
      <w:ind w:left="420" w:hanging="420"/>
    </w:pPr>
    <w:rPr>
      <w:rFonts w:eastAsia="黑体"/>
      <w:sz w:val="28"/>
      <w:szCs w:val="20"/>
    </w:rPr>
  </w:style>
  <w:style w:type="paragraph" w:customStyle="1" w:styleId="126">
    <w:name w:val="Char Char Char2"/>
    <w:basedOn w:val="1"/>
    <w:qFormat/>
    <w:uiPriority w:val="0"/>
    <w:rPr>
      <w:szCs w:val="24"/>
    </w:rPr>
  </w:style>
  <w:style w:type="paragraph" w:customStyle="1" w:styleId="12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128">
    <w:name w:val="注标题"/>
    <w:basedOn w:val="1"/>
    <w:qFormat/>
    <w:uiPriority w:val="0"/>
    <w:pPr>
      <w:topLinePunct/>
    </w:pPr>
    <w:rPr>
      <w:sz w:val="18"/>
    </w:rPr>
  </w:style>
  <w:style w:type="paragraph" w:customStyle="1" w:styleId="12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20"/>
    </w:rPr>
  </w:style>
  <w:style w:type="paragraph" w:customStyle="1" w:styleId="130">
    <w:name w:val="样式 首行缩进:  0 厘米 行距: 单倍行距 Char"/>
    <w:basedOn w:val="1"/>
    <w:qFormat/>
    <w:uiPriority w:val="0"/>
    <w:pPr>
      <w:adjustRightInd w:val="0"/>
    </w:pPr>
    <w:rPr>
      <w:kern w:val="0"/>
      <w:szCs w:val="21"/>
    </w:rPr>
  </w:style>
  <w:style w:type="paragraph" w:customStyle="1" w:styleId="131">
    <w:name w:val="xl74"/>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rPr>
  </w:style>
  <w:style w:type="paragraph" w:customStyle="1" w:styleId="132">
    <w:name w:val="CM3"/>
    <w:basedOn w:val="1"/>
    <w:next w:val="1"/>
    <w:qFormat/>
    <w:uiPriority w:val="0"/>
    <w:pPr>
      <w:autoSpaceDE w:val="0"/>
      <w:autoSpaceDN w:val="0"/>
      <w:adjustRightInd w:val="0"/>
      <w:spacing w:after="252"/>
      <w:jc w:val="left"/>
    </w:pPr>
    <w:rPr>
      <w:rFonts w:ascii="..ì." w:hAnsi="..ì." w:eastAsia="..ì." w:cs="..ì."/>
      <w:kern w:val="0"/>
      <w:sz w:val="24"/>
      <w:szCs w:val="24"/>
    </w:rPr>
  </w:style>
  <w:style w:type="paragraph" w:customStyle="1" w:styleId="133">
    <w:name w:val="xl9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黑体" w:hAnsi="宋体" w:eastAsia="黑体" w:cs="宋体"/>
      <w:b/>
      <w:bCs/>
      <w:kern w:val="0"/>
      <w:sz w:val="20"/>
    </w:rPr>
  </w:style>
  <w:style w:type="paragraph" w:customStyle="1" w:styleId="134">
    <w:name w:val="xl10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4"/>
      <w:szCs w:val="24"/>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136">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rPr>
  </w:style>
  <w:style w:type="paragraph" w:customStyle="1" w:styleId="137">
    <w:name w:val="xl10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13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39">
    <w:name w:val="font6"/>
    <w:basedOn w:val="1"/>
    <w:qFormat/>
    <w:uiPriority w:val="0"/>
    <w:pPr>
      <w:widowControl/>
      <w:spacing w:before="100" w:beforeAutospacing="1" w:after="100" w:afterAutospacing="1"/>
      <w:jc w:val="left"/>
    </w:pPr>
    <w:rPr>
      <w:kern w:val="0"/>
      <w:sz w:val="20"/>
    </w:rPr>
  </w:style>
  <w:style w:type="paragraph" w:customStyle="1" w:styleId="140">
    <w:name w:val="xl9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FF0000"/>
      <w:kern w:val="0"/>
      <w:sz w:val="20"/>
    </w:rPr>
  </w:style>
  <w:style w:type="paragraph" w:customStyle="1" w:styleId="141">
    <w:name w:val="xl102"/>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pPr>
    <w:rPr>
      <w:rFonts w:ascii="宋体" w:hAnsi="宋体" w:cs="宋体"/>
      <w:color w:val="FF0000"/>
      <w:kern w:val="0"/>
      <w:sz w:val="20"/>
    </w:rPr>
  </w:style>
  <w:style w:type="paragraph" w:customStyle="1" w:styleId="142">
    <w:name w:val="标题3"/>
    <w:basedOn w:val="6"/>
    <w:qFormat/>
    <w:uiPriority w:val="0"/>
    <w:pPr>
      <w:keepNext w:val="0"/>
      <w:keepLines w:val="0"/>
      <w:numPr>
        <w:ilvl w:val="2"/>
        <w:numId w:val="3"/>
      </w:numPr>
      <w:tabs>
        <w:tab w:val="left" w:pos="360"/>
        <w:tab w:val="left" w:pos="840"/>
      </w:tabs>
      <w:topLinePunct/>
      <w:spacing w:line="360" w:lineRule="auto"/>
      <w:ind w:left="0" w:right="100" w:rightChars="100" w:firstLine="0"/>
      <w:jc w:val="left"/>
      <w:outlineLvl w:val="9"/>
    </w:pPr>
    <w:rPr>
      <w:rFonts w:ascii="宋体" w:eastAsia="宋体"/>
      <w:b w:val="0"/>
      <w:spacing w:val="2"/>
      <w:sz w:val="24"/>
      <w:szCs w:val="24"/>
    </w:rPr>
  </w:style>
  <w:style w:type="paragraph" w:customStyle="1" w:styleId="143">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rPr>
  </w:style>
  <w:style w:type="paragraph" w:customStyle="1" w:styleId="144">
    <w:name w:val="附录"/>
    <w:basedOn w:val="4"/>
    <w:qFormat/>
    <w:uiPriority w:val="0"/>
    <w:pPr>
      <w:topLinePunct/>
      <w:spacing w:line="960" w:lineRule="auto"/>
      <w:ind w:left="420" w:firstLine="420"/>
      <w:jc w:val="center"/>
    </w:pPr>
    <w:rPr>
      <w:rFonts w:eastAsia="黑体"/>
      <w:kern w:val="2"/>
      <w:sz w:val="28"/>
      <w:szCs w:val="28"/>
    </w:rPr>
  </w:style>
  <w:style w:type="paragraph" w:customStyle="1" w:styleId="145">
    <w:name w:val="jl 三级 Char"/>
    <w:basedOn w:val="1"/>
    <w:link w:val="208"/>
    <w:qFormat/>
    <w:uiPriority w:val="0"/>
    <w:pPr>
      <w:autoSpaceDE w:val="0"/>
      <w:autoSpaceDN w:val="0"/>
      <w:adjustRightInd w:val="0"/>
      <w:spacing w:beforeLines="50" w:afterLines="50"/>
      <w:ind w:firstLine="480" w:firstLineChars="200"/>
      <w:jc w:val="left"/>
      <w:outlineLvl w:val="2"/>
    </w:pPr>
    <w:rPr>
      <w:rFonts w:ascii="宋体" w:hAnsi="宋体"/>
      <w:b/>
      <w:color w:val="000000"/>
      <w:sz w:val="24"/>
    </w:rPr>
  </w:style>
  <w:style w:type="paragraph" w:customStyle="1" w:styleId="146">
    <w:name w:val="样式2"/>
    <w:basedOn w:val="1"/>
    <w:qFormat/>
    <w:uiPriority w:val="0"/>
    <w:pPr>
      <w:tabs>
        <w:tab w:val="left" w:pos="2160"/>
      </w:tabs>
      <w:adjustRightInd w:val="0"/>
      <w:spacing w:before="320" w:after="160" w:line="490" w:lineRule="exact"/>
    </w:pPr>
    <w:rPr>
      <w:rFonts w:ascii="黑体" w:eastAsia="黑体"/>
      <w:kern w:val="0"/>
      <w:sz w:val="28"/>
    </w:rPr>
  </w:style>
  <w:style w:type="paragraph" w:customStyle="1" w:styleId="147">
    <w:name w:val="xl8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8">
    <w:name w:val="xl9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9">
    <w:name w:val="Char Char Char Char Char Char Char"/>
    <w:basedOn w:val="1"/>
    <w:qFormat/>
    <w:uiPriority w:val="0"/>
  </w:style>
  <w:style w:type="paragraph" w:customStyle="1" w:styleId="150">
    <w:name w:val="标题 3 + 小四 段前: 0 磅 段后: 0 磅 行距: 1.5 倍行距"/>
    <w:basedOn w:val="6"/>
    <w:next w:val="6"/>
    <w:qFormat/>
    <w:uiPriority w:val="0"/>
    <w:pPr>
      <w:adjustRightInd/>
      <w:snapToGrid/>
      <w:spacing w:line="360" w:lineRule="auto"/>
      <w:ind w:firstLine="0"/>
    </w:pPr>
    <w:rPr>
      <w:rFonts w:ascii="Times New Roman" w:hAnsi="Times New Roman" w:eastAsia="宋体"/>
      <w:bCs/>
      <w:kern w:val="2"/>
      <w:sz w:val="24"/>
    </w:rPr>
  </w:style>
  <w:style w:type="paragraph" w:customStyle="1" w:styleId="151">
    <w:name w:val="正文2"/>
    <w:basedOn w:val="152"/>
    <w:qFormat/>
    <w:uiPriority w:val="0"/>
    <w:pPr>
      <w:spacing w:line="240" w:lineRule="auto"/>
      <w:ind w:left="0" w:firstLine="0"/>
    </w:pPr>
    <w:rPr>
      <w:bCs/>
      <w:spacing w:val="20"/>
      <w:sz w:val="24"/>
    </w:rPr>
  </w:style>
  <w:style w:type="paragraph" w:customStyle="1" w:styleId="152">
    <w:name w:val="正文1"/>
    <w:basedOn w:val="1"/>
    <w:qFormat/>
    <w:uiPriority w:val="0"/>
    <w:pPr>
      <w:snapToGrid w:val="0"/>
      <w:spacing w:before="31" w:after="31" w:line="480" w:lineRule="atLeast"/>
      <w:ind w:left="700" w:hanging="700"/>
    </w:pPr>
    <w:rPr>
      <w:rFonts w:ascii="宋体" w:hAnsi="宋体"/>
      <w:spacing w:val="8"/>
      <w:sz w:val="28"/>
      <w:szCs w:val="24"/>
    </w:rPr>
  </w:style>
  <w:style w:type="paragraph" w:customStyle="1" w:styleId="15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54">
    <w:name w:val="xl60"/>
    <w:basedOn w:val="1"/>
    <w:qFormat/>
    <w:uiPriority w:val="0"/>
    <w:pPr>
      <w:widowControl/>
      <w:pBdr>
        <w:bottom w:val="single" w:color="auto" w:sz="8" w:space="0"/>
        <w:right w:val="single" w:color="auto" w:sz="8" w:space="0"/>
      </w:pBdr>
      <w:spacing w:before="100" w:beforeAutospacing="1" w:after="100" w:afterAutospacing="1"/>
    </w:pPr>
    <w:rPr>
      <w:rFonts w:ascii="宋体" w:hAnsi="宋体"/>
      <w:kern w:val="0"/>
      <w:sz w:val="24"/>
      <w:szCs w:val="24"/>
    </w:rPr>
  </w:style>
  <w:style w:type="paragraph" w:customStyle="1" w:styleId="15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156">
    <w:name w:val="正文格式"/>
    <w:basedOn w:val="1"/>
    <w:link w:val="205"/>
    <w:qFormat/>
    <w:uiPriority w:val="0"/>
    <w:pPr>
      <w:topLinePunct/>
      <w:ind w:firstLine="420" w:firstLineChars="200"/>
    </w:pPr>
    <w:rPr>
      <w:rFonts w:ascii="宋体" w:hAnsi="宋体"/>
    </w:rPr>
  </w:style>
  <w:style w:type="paragraph" w:customStyle="1" w:styleId="15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9">
    <w:name w:val="默认段落字体 Para Char Char Char Char Char"/>
    <w:basedOn w:val="1"/>
    <w:qFormat/>
    <w:uiPriority w:val="0"/>
    <w:rPr>
      <w:rFonts w:ascii="宋体" w:hAnsi="宋体"/>
      <w:b/>
      <w:color w:val="000000"/>
      <w:sz w:val="24"/>
      <w:szCs w:val="24"/>
    </w:rPr>
  </w:style>
  <w:style w:type="paragraph" w:customStyle="1" w:styleId="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6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62">
    <w:name w:val="表正文"/>
    <w:next w:val="33"/>
    <w:qFormat/>
    <w:uiPriority w:val="0"/>
    <w:pPr>
      <w:widowControl w:val="0"/>
      <w:adjustRightInd w:val="0"/>
      <w:spacing w:before="60" w:after="60"/>
      <w:jc w:val="center"/>
    </w:pPr>
    <w:rPr>
      <w:rFonts w:ascii="宋体" w:hAnsi="Times New Roman" w:eastAsia="宋体" w:cs="Times New Roman"/>
      <w:sz w:val="21"/>
      <w:lang w:val="en-US" w:eastAsia="zh-CN" w:bidi="ar-SA"/>
    </w:rPr>
  </w:style>
  <w:style w:type="paragraph" w:customStyle="1" w:styleId="163">
    <w:name w:val="默认段落字体 Para Char Char Char Char"/>
    <w:basedOn w:val="1"/>
    <w:qFormat/>
    <w:uiPriority w:val="0"/>
    <w:rPr>
      <w:rFonts w:ascii="宋体" w:hAnsi="宋体"/>
      <w:b/>
      <w:color w:val="000000"/>
      <w:sz w:val="24"/>
    </w:rPr>
  </w:style>
  <w:style w:type="paragraph" w:customStyle="1" w:styleId="164">
    <w:name w:val="附表"/>
    <w:next w:val="41"/>
    <w:qFormat/>
    <w:uiPriority w:val="0"/>
    <w:pPr>
      <w:widowControl w:val="0"/>
      <w:autoSpaceDE w:val="0"/>
      <w:autoSpaceDN w:val="0"/>
      <w:adjustRightInd w:val="0"/>
      <w:jc w:val="both"/>
    </w:pPr>
    <w:rPr>
      <w:rFonts w:ascii="黑体" w:hAnsi="Times New Roman" w:eastAsia="黑体" w:cs="Times New Roman"/>
      <w:sz w:val="21"/>
      <w:szCs w:val="21"/>
      <w:lang w:val="en-US" w:eastAsia="zh-CN" w:bidi="ar-SA"/>
    </w:rPr>
  </w:style>
  <w:style w:type="paragraph" w:customStyle="1" w:styleId="165">
    <w:name w:val="表头"/>
    <w:basedOn w:val="1"/>
    <w:link w:val="230"/>
    <w:qFormat/>
    <w:uiPriority w:val="0"/>
    <w:pPr>
      <w:topLinePunct/>
      <w:spacing w:before="160" w:after="60"/>
      <w:jc w:val="center"/>
    </w:pPr>
    <w:rPr>
      <w:rFonts w:ascii="黑体" w:hAnsi="黑体" w:eastAsia="黑体"/>
      <w:szCs w:val="21"/>
    </w:rPr>
  </w:style>
  <w:style w:type="paragraph" w:customStyle="1" w:styleId="166">
    <w:name w:val="Char Char Char Char Char Char"/>
    <w:basedOn w:val="1"/>
    <w:qFormat/>
    <w:uiPriority w:val="0"/>
  </w:style>
  <w:style w:type="paragraph" w:customStyle="1" w:styleId="167">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20"/>
    </w:rPr>
  </w:style>
  <w:style w:type="paragraph" w:customStyle="1" w:styleId="168">
    <w:name w:val="_Style 152"/>
    <w:basedOn w:val="1"/>
    <w:next w:val="86"/>
    <w:qFormat/>
    <w:uiPriority w:val="34"/>
    <w:pPr>
      <w:ind w:firstLine="420" w:firstLineChars="200"/>
    </w:pPr>
    <w:rPr>
      <w:szCs w:val="24"/>
    </w:rPr>
  </w:style>
  <w:style w:type="paragraph" w:customStyle="1" w:styleId="169">
    <w:name w:val="xl10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4"/>
      <w:szCs w:val="24"/>
    </w:rPr>
  </w:style>
  <w:style w:type="paragraph" w:customStyle="1" w:styleId="1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71">
    <w:name w:val="xl10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rPr>
  </w:style>
  <w:style w:type="paragraph" w:customStyle="1" w:styleId="172">
    <w:name w:val="_Style 17"/>
    <w:next w:val="1"/>
    <w:unhideWhenUsed/>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7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7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175">
    <w:name w:val="wang正文"/>
    <w:basedOn w:val="1"/>
    <w:qFormat/>
    <w:uiPriority w:val="0"/>
    <w:pPr>
      <w:tabs>
        <w:tab w:val="left" w:pos="6840"/>
      </w:tabs>
      <w:autoSpaceDE w:val="0"/>
      <w:autoSpaceDN w:val="0"/>
      <w:adjustRightInd w:val="0"/>
      <w:ind w:firstLine="480" w:firstLineChars="200"/>
      <w:jc w:val="left"/>
    </w:pPr>
    <w:rPr>
      <w:rFonts w:ascii="宋体"/>
      <w:kern w:val="0"/>
      <w:sz w:val="24"/>
    </w:rPr>
  </w:style>
  <w:style w:type="paragraph" w:customStyle="1" w:styleId="176">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rPr>
  </w:style>
  <w:style w:type="paragraph" w:customStyle="1" w:styleId="177">
    <w:name w:val="样式 标题 1 + 加粗"/>
    <w:basedOn w:val="4"/>
    <w:qFormat/>
    <w:uiPriority w:val="0"/>
    <w:pPr>
      <w:spacing w:beforeLines="100" w:afterLines="100" w:line="240" w:lineRule="auto"/>
      <w:ind w:left="420" w:hanging="420"/>
    </w:pPr>
    <w:rPr>
      <w:rFonts w:eastAsia="黑体"/>
      <w:b/>
      <w:bCs/>
      <w:sz w:val="28"/>
      <w:szCs w:val="28"/>
    </w:rPr>
  </w:style>
  <w:style w:type="paragraph" w:customStyle="1" w:styleId="178">
    <w:name w:val="xl9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17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18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character" w:customStyle="1" w:styleId="181">
    <w:name w:val="文档结构图 字符"/>
    <w:link w:val="18"/>
    <w:semiHidden/>
    <w:qFormat/>
    <w:uiPriority w:val="0"/>
    <w:rPr>
      <w:b/>
      <w:kern w:val="2"/>
      <w:sz w:val="30"/>
      <w:shd w:val="clear" w:color="auto" w:fill="000080"/>
    </w:rPr>
  </w:style>
  <w:style w:type="character" w:customStyle="1" w:styleId="182">
    <w:name w:val="arrow2"/>
    <w:basedOn w:val="54"/>
    <w:qFormat/>
    <w:uiPriority w:val="0"/>
  </w:style>
  <w:style w:type="character" w:customStyle="1" w:styleId="183">
    <w:name w:val="unnamed13"/>
    <w:qFormat/>
    <w:uiPriority w:val="0"/>
    <w:rPr>
      <w:spacing w:val="12"/>
      <w:sz w:val="20"/>
    </w:rPr>
  </w:style>
  <w:style w:type="character" w:customStyle="1" w:styleId="184">
    <w:name w:val="标题 6 字符"/>
    <w:link w:val="9"/>
    <w:semiHidden/>
    <w:qFormat/>
    <w:uiPriority w:val="0"/>
    <w:rPr>
      <w:rFonts w:ascii="Arial" w:hAnsi="Arial" w:eastAsia="黑体"/>
      <w:b/>
      <w:bCs/>
      <w:kern w:val="2"/>
      <w:sz w:val="24"/>
      <w:szCs w:val="24"/>
    </w:rPr>
  </w:style>
  <w:style w:type="character" w:customStyle="1" w:styleId="185">
    <w:name w:val="批注框文本 字符1"/>
    <w:link w:val="34"/>
    <w:semiHidden/>
    <w:qFormat/>
    <w:uiPriority w:val="0"/>
    <w:rPr>
      <w:rFonts w:ascii="Calibri" w:hAnsi="Calibri"/>
      <w:kern w:val="2"/>
      <w:sz w:val="18"/>
      <w:szCs w:val="18"/>
    </w:rPr>
  </w:style>
  <w:style w:type="character" w:customStyle="1" w:styleId="186">
    <w:name w:val="正文文本首行缩进 字符"/>
    <w:link w:val="50"/>
    <w:semiHidden/>
    <w:qFormat/>
    <w:uiPriority w:val="0"/>
    <w:rPr>
      <w:kern w:val="2"/>
      <w:sz w:val="21"/>
    </w:rPr>
  </w:style>
  <w:style w:type="character" w:customStyle="1" w:styleId="187">
    <w:name w:val="正文文本缩进 字符"/>
    <w:link w:val="3"/>
    <w:qFormat/>
    <w:uiPriority w:val="0"/>
    <w:rPr>
      <w:rFonts w:ascii="仿宋_GB2312" w:eastAsia="仿宋_GB2312"/>
      <w:kern w:val="2"/>
      <w:sz w:val="28"/>
    </w:rPr>
  </w:style>
  <w:style w:type="character" w:customStyle="1" w:styleId="188">
    <w:name w:val="custext"/>
    <w:basedOn w:val="54"/>
    <w:qFormat/>
    <w:uiPriority w:val="0"/>
  </w:style>
  <w:style w:type="character" w:customStyle="1" w:styleId="189">
    <w:name w:val="unnamed51"/>
    <w:qFormat/>
    <w:uiPriority w:val="0"/>
    <w:rPr>
      <w:spacing w:val="0"/>
      <w:sz w:val="20"/>
    </w:rPr>
  </w:style>
  <w:style w:type="character" w:customStyle="1" w:styleId="190">
    <w:name w:val="页脚 字符"/>
    <w:qFormat/>
    <w:uiPriority w:val="0"/>
    <w:rPr>
      <w:kern w:val="2"/>
      <w:sz w:val="18"/>
      <w:szCs w:val="18"/>
    </w:rPr>
  </w:style>
  <w:style w:type="character" w:customStyle="1" w:styleId="191">
    <w:name w:val="页码1"/>
    <w:qFormat/>
    <w:uiPriority w:val="0"/>
  </w:style>
  <w:style w:type="character" w:customStyle="1" w:styleId="192">
    <w:name w:val="标题 4 字符"/>
    <w:link w:val="7"/>
    <w:semiHidden/>
    <w:qFormat/>
    <w:uiPriority w:val="0"/>
    <w:rPr>
      <w:rFonts w:ascii="Arial" w:hAnsi="Arial" w:eastAsia="黑体"/>
      <w:b/>
      <w:bCs/>
      <w:kern w:val="2"/>
      <w:sz w:val="28"/>
      <w:szCs w:val="28"/>
    </w:rPr>
  </w:style>
  <w:style w:type="character" w:customStyle="1" w:styleId="193">
    <w:name w:val="num2"/>
    <w:basedOn w:val="54"/>
    <w:qFormat/>
    <w:uiPriority w:val="0"/>
    <w:rPr>
      <w:rFonts w:hint="default" w:ascii="Arial" w:hAnsi="Arial" w:cs="Arial"/>
      <w:color w:val="FF6600"/>
      <w:sz w:val="16"/>
      <w:szCs w:val="16"/>
    </w:rPr>
  </w:style>
  <w:style w:type="character" w:customStyle="1" w:styleId="194">
    <w:name w:val="arrow"/>
    <w:basedOn w:val="54"/>
    <w:qFormat/>
    <w:uiPriority w:val="0"/>
  </w:style>
  <w:style w:type="character" w:customStyle="1" w:styleId="195">
    <w:name w:val="批注框文本 字符"/>
    <w:qFormat/>
    <w:uiPriority w:val="0"/>
    <w:rPr>
      <w:kern w:val="2"/>
      <w:sz w:val="18"/>
      <w:szCs w:val="18"/>
    </w:rPr>
  </w:style>
  <w:style w:type="character" w:customStyle="1" w:styleId="196">
    <w:name w:val="custext1"/>
    <w:basedOn w:val="54"/>
    <w:qFormat/>
    <w:uiPriority w:val="0"/>
  </w:style>
  <w:style w:type="character" w:customStyle="1" w:styleId="197">
    <w:name w:val="纯文本 字符1"/>
    <w:link w:val="27"/>
    <w:qFormat/>
    <w:locked/>
    <w:uiPriority w:val="99"/>
    <w:rPr>
      <w:rFonts w:ascii="宋体" w:hAnsi="Courier New"/>
      <w:kern w:val="2"/>
      <w:sz w:val="24"/>
    </w:rPr>
  </w:style>
  <w:style w:type="character" w:customStyle="1" w:styleId="198">
    <w:name w:val="正文文本缩进 2 字符1"/>
    <w:link w:val="33"/>
    <w:semiHidden/>
    <w:qFormat/>
    <w:uiPriority w:val="0"/>
    <w:rPr>
      <w:b/>
      <w:kern w:val="2"/>
      <w:sz w:val="30"/>
    </w:rPr>
  </w:style>
  <w:style w:type="character" w:customStyle="1" w:styleId="199">
    <w:name w:val="标题 5 字符"/>
    <w:link w:val="8"/>
    <w:semiHidden/>
    <w:qFormat/>
    <w:uiPriority w:val="0"/>
    <w:rPr>
      <w:b/>
      <w:bCs/>
      <w:kern w:val="2"/>
      <w:sz w:val="28"/>
      <w:szCs w:val="28"/>
    </w:rPr>
  </w:style>
  <w:style w:type="character" w:customStyle="1" w:styleId="200">
    <w:name w:val="tmpztreemove_arrow"/>
    <w:basedOn w:val="54"/>
    <w:qFormat/>
    <w:uiPriority w:val="0"/>
  </w:style>
  <w:style w:type="character" w:customStyle="1" w:styleId="201">
    <w:name w:val="sign"/>
    <w:basedOn w:val="54"/>
    <w:qFormat/>
    <w:uiPriority w:val="0"/>
    <w:rPr>
      <w:color w:val="D40000"/>
    </w:rPr>
  </w:style>
  <w:style w:type="character" w:customStyle="1" w:styleId="202">
    <w:name w:val="日期 字符"/>
    <w:qFormat/>
    <w:uiPriority w:val="0"/>
    <w:rPr>
      <w:rFonts w:ascii="宋体" w:hAnsi="宋体"/>
      <w:kern w:val="2"/>
      <w:sz w:val="24"/>
      <w:szCs w:val="24"/>
    </w:rPr>
  </w:style>
  <w:style w:type="character" w:customStyle="1" w:styleId="203">
    <w:name w:val="样式 Arial"/>
    <w:qFormat/>
    <w:uiPriority w:val="0"/>
    <w:rPr>
      <w:rFonts w:hint="default" w:ascii="Times New Roman" w:hAnsi="Times New Roman" w:eastAsia="宋体" w:cs="Times New Roman"/>
      <w:sz w:val="21"/>
      <w:szCs w:val="21"/>
    </w:rPr>
  </w:style>
  <w:style w:type="character" w:customStyle="1" w:styleId="204">
    <w:name w:val="num"/>
    <w:basedOn w:val="54"/>
    <w:qFormat/>
    <w:uiPriority w:val="0"/>
    <w:rPr>
      <w:rFonts w:ascii="Arial" w:hAnsi="Arial" w:cs="Arial"/>
      <w:color w:val="FF6600"/>
      <w:sz w:val="16"/>
      <w:szCs w:val="16"/>
    </w:rPr>
  </w:style>
  <w:style w:type="character" w:customStyle="1" w:styleId="205">
    <w:name w:val="正文格式 Char"/>
    <w:link w:val="156"/>
    <w:qFormat/>
    <w:locked/>
    <w:uiPriority w:val="0"/>
    <w:rPr>
      <w:rFonts w:ascii="宋体" w:hAnsi="宋体"/>
      <w:kern w:val="2"/>
      <w:sz w:val="21"/>
    </w:rPr>
  </w:style>
  <w:style w:type="character" w:customStyle="1" w:styleId="206">
    <w:name w:val="正文文本缩进 2 字符"/>
    <w:qFormat/>
    <w:uiPriority w:val="0"/>
    <w:rPr>
      <w:rFonts w:ascii="宋体" w:hAnsi="宋体"/>
      <w:color w:val="000000"/>
      <w:kern w:val="2"/>
      <w:sz w:val="24"/>
      <w:szCs w:val="24"/>
    </w:rPr>
  </w:style>
  <w:style w:type="character" w:customStyle="1" w:styleId="207">
    <w:name w:val="标题 1 字符"/>
    <w:link w:val="4"/>
    <w:qFormat/>
    <w:uiPriority w:val="0"/>
    <w:rPr>
      <w:kern w:val="44"/>
      <w:sz w:val="44"/>
      <w:szCs w:val="44"/>
    </w:rPr>
  </w:style>
  <w:style w:type="character" w:customStyle="1" w:styleId="208">
    <w:name w:val="jl 三级 Char Char"/>
    <w:link w:val="145"/>
    <w:qFormat/>
    <w:locked/>
    <w:uiPriority w:val="0"/>
    <w:rPr>
      <w:rFonts w:ascii="宋体" w:hAnsi="宋体"/>
      <w:b/>
      <w:color w:val="000000"/>
      <w:kern w:val="2"/>
      <w:sz w:val="24"/>
    </w:rPr>
  </w:style>
  <w:style w:type="character" w:customStyle="1" w:styleId="209">
    <w:name w:val="日期 Char"/>
    <w:semiHidden/>
    <w:qFormat/>
    <w:uiPriority w:val="99"/>
    <w:rPr>
      <w:kern w:val="2"/>
      <w:sz w:val="21"/>
    </w:rPr>
  </w:style>
  <w:style w:type="character" w:customStyle="1" w:styleId="210">
    <w:name w:val="正文文本 3 字符"/>
    <w:link w:val="20"/>
    <w:qFormat/>
    <w:uiPriority w:val="0"/>
    <w:rPr>
      <w:b/>
      <w:kern w:val="2"/>
      <w:sz w:val="16"/>
      <w:szCs w:val="16"/>
    </w:rPr>
  </w:style>
  <w:style w:type="character" w:customStyle="1" w:styleId="211">
    <w:name w:val="font21"/>
    <w:qFormat/>
    <w:uiPriority w:val="0"/>
    <w:rPr>
      <w:rFonts w:hint="eastAsia" w:ascii="宋体" w:hAnsi="宋体" w:eastAsia="宋体" w:cs="宋体"/>
      <w:color w:val="000000"/>
      <w:sz w:val="20"/>
      <w:szCs w:val="20"/>
      <w:u w:val="none"/>
    </w:rPr>
  </w:style>
  <w:style w:type="character" w:customStyle="1" w:styleId="212">
    <w:name w:val="批注主题 字符"/>
    <w:link w:val="49"/>
    <w:semiHidden/>
    <w:qFormat/>
    <w:uiPriority w:val="0"/>
    <w:rPr>
      <w:b/>
      <w:sz w:val="21"/>
    </w:rPr>
  </w:style>
  <w:style w:type="character" w:customStyle="1" w:styleId="213">
    <w:name w:val="标题 3 字符"/>
    <w:link w:val="6"/>
    <w:semiHidden/>
    <w:qFormat/>
    <w:uiPriority w:val="0"/>
    <w:rPr>
      <w:rFonts w:ascii="仿宋_GB2312" w:hAnsi="宋体" w:eastAsia="仿宋_GB2312"/>
      <w:b/>
      <w:sz w:val="32"/>
    </w:rPr>
  </w:style>
  <w:style w:type="character" w:customStyle="1" w:styleId="214">
    <w:name w:val="纯文本 字符"/>
    <w:qFormat/>
    <w:uiPriority w:val="0"/>
    <w:rPr>
      <w:rFonts w:ascii="宋体" w:hAnsi="Courier New" w:cs="Courier New"/>
      <w:kern w:val="2"/>
      <w:sz w:val="21"/>
      <w:szCs w:val="21"/>
    </w:rPr>
  </w:style>
  <w:style w:type="character" w:customStyle="1" w:styleId="215">
    <w:name w:val="样式 宋体 小四 黑色 行距: 固定值 25 磅1 Char Char"/>
    <w:qFormat/>
    <w:uiPriority w:val="0"/>
    <w:rPr>
      <w:rFonts w:hint="eastAsia" w:ascii="宋体" w:hAnsi="宋体" w:eastAsia="宋体" w:cs="宋体"/>
      <w:color w:val="000000"/>
      <w:kern w:val="2"/>
      <w:sz w:val="24"/>
      <w:szCs w:val="24"/>
      <w:lang w:val="en-US" w:eastAsia="zh-CN" w:bidi="ar-SA"/>
    </w:rPr>
  </w:style>
  <w:style w:type="character" w:customStyle="1" w:styleId="216">
    <w:name w:val="标题 2 字符"/>
    <w:link w:val="5"/>
    <w:qFormat/>
    <w:uiPriority w:val="9"/>
    <w:rPr>
      <w:rFonts w:eastAsia="仿宋_GB2312"/>
      <w:b/>
      <w:sz w:val="30"/>
    </w:rPr>
  </w:style>
  <w:style w:type="character" w:customStyle="1" w:styleId="217">
    <w:name w:val="num1"/>
    <w:basedOn w:val="54"/>
    <w:qFormat/>
    <w:uiPriority w:val="0"/>
    <w:rPr>
      <w:color w:val="FFFFFF"/>
      <w:shd w:val="clear" w:color="auto" w:fill="FF6600"/>
    </w:rPr>
  </w:style>
  <w:style w:type="character" w:customStyle="1" w:styleId="218">
    <w:name w:val="日期 字符1"/>
    <w:link w:val="32"/>
    <w:qFormat/>
    <w:locked/>
    <w:uiPriority w:val="0"/>
    <w:rPr>
      <w:rFonts w:ascii="宋体"/>
      <w:b/>
      <w:color w:val="0000FF"/>
      <w:sz w:val="24"/>
    </w:rPr>
  </w:style>
  <w:style w:type="character" w:customStyle="1" w:styleId="219">
    <w:name w:val="font11"/>
    <w:qFormat/>
    <w:uiPriority w:val="0"/>
    <w:rPr>
      <w:rFonts w:hint="eastAsia" w:ascii="宋体" w:hAnsi="宋体" w:eastAsia="宋体" w:cs="宋体"/>
      <w:color w:val="000000"/>
      <w:sz w:val="21"/>
      <w:szCs w:val="21"/>
      <w:u w:val="none"/>
    </w:rPr>
  </w:style>
  <w:style w:type="character" w:customStyle="1" w:styleId="220">
    <w:name w:val="正文文本 字符"/>
    <w:link w:val="21"/>
    <w:qFormat/>
    <w:uiPriority w:val="0"/>
    <w:rPr>
      <w:kern w:val="2"/>
      <w:sz w:val="21"/>
    </w:rPr>
  </w:style>
  <w:style w:type="character" w:customStyle="1" w:styleId="221">
    <w:name w:val="批注主题 Char1"/>
    <w:qFormat/>
    <w:uiPriority w:val="0"/>
    <w:rPr>
      <w:b/>
      <w:bCs/>
      <w:kern w:val="2"/>
      <w:sz w:val="24"/>
    </w:rPr>
  </w:style>
  <w:style w:type="character" w:customStyle="1" w:styleId="222">
    <w:name w:val="正文文本缩进 3 字符"/>
    <w:link w:val="41"/>
    <w:semiHidden/>
    <w:qFormat/>
    <w:uiPriority w:val="0"/>
    <w:rPr>
      <w:b/>
      <w:kern w:val="2"/>
      <w:sz w:val="16"/>
      <w:szCs w:val="16"/>
    </w:rPr>
  </w:style>
  <w:style w:type="character" w:customStyle="1" w:styleId="223">
    <w:name w:val="Char Char2"/>
    <w:qFormat/>
    <w:uiPriority w:val="0"/>
    <w:rPr>
      <w:rFonts w:hint="default" w:ascii="Arial" w:hAnsi="Arial" w:eastAsia="宋体" w:cs="Arial"/>
      <w:b/>
      <w:kern w:val="2"/>
      <w:sz w:val="32"/>
      <w:lang w:val="en-US" w:eastAsia="zh-CN"/>
    </w:rPr>
  </w:style>
  <w:style w:type="character" w:customStyle="1" w:styleId="224">
    <w:name w:val="Char Char6"/>
    <w:qFormat/>
    <w:uiPriority w:val="0"/>
    <w:rPr>
      <w:rFonts w:hint="eastAsia" w:ascii="宋体" w:hAnsi="宋体" w:eastAsia="宋体"/>
      <w:kern w:val="2"/>
      <w:sz w:val="21"/>
      <w:lang w:val="en-US" w:eastAsia="zh-CN" w:bidi="ar-SA"/>
    </w:rPr>
  </w:style>
  <w:style w:type="character" w:customStyle="1" w:styleId="225">
    <w:name w:val="ar_item"/>
    <w:basedOn w:val="54"/>
    <w:qFormat/>
    <w:uiPriority w:val="0"/>
  </w:style>
  <w:style w:type="character" w:customStyle="1" w:styleId="226">
    <w:name w:val="页脚 Char1"/>
    <w:semiHidden/>
    <w:qFormat/>
    <w:uiPriority w:val="0"/>
    <w:rPr>
      <w:b/>
      <w:kern w:val="2"/>
      <w:sz w:val="18"/>
      <w:szCs w:val="18"/>
    </w:rPr>
  </w:style>
  <w:style w:type="character" w:customStyle="1" w:styleId="227">
    <w:name w:val="num3"/>
    <w:basedOn w:val="54"/>
    <w:qFormat/>
    <w:uiPriority w:val="0"/>
    <w:rPr>
      <w:color w:val="FFFFFF"/>
      <w:shd w:val="clear" w:color="auto" w:fill="FF6600"/>
    </w:rPr>
  </w:style>
  <w:style w:type="character" w:customStyle="1" w:styleId="228">
    <w:name w:val="button14"/>
    <w:basedOn w:val="54"/>
    <w:qFormat/>
    <w:uiPriority w:val="0"/>
  </w:style>
  <w:style w:type="character" w:customStyle="1" w:styleId="229">
    <w:name w:val="font01"/>
    <w:qFormat/>
    <w:uiPriority w:val="0"/>
    <w:rPr>
      <w:rFonts w:hint="eastAsia" w:ascii="宋体" w:hAnsi="宋体" w:eastAsia="宋体" w:cs="宋体"/>
      <w:color w:val="000000"/>
      <w:sz w:val="22"/>
      <w:szCs w:val="22"/>
      <w:u w:val="none"/>
    </w:rPr>
  </w:style>
  <w:style w:type="character" w:customStyle="1" w:styleId="230">
    <w:name w:val="表头 Char"/>
    <w:link w:val="165"/>
    <w:qFormat/>
    <w:locked/>
    <w:uiPriority w:val="0"/>
    <w:rPr>
      <w:rFonts w:ascii="黑体" w:hAnsi="黑体" w:eastAsia="黑体"/>
      <w:kern w:val="2"/>
      <w:sz w:val="21"/>
      <w:szCs w:val="21"/>
    </w:rPr>
  </w:style>
  <w:style w:type="character" w:customStyle="1" w:styleId="231">
    <w:name w:val="样式 标题 1 + 加粗1 Char"/>
    <w:qFormat/>
    <w:uiPriority w:val="0"/>
    <w:rPr>
      <w:rFonts w:hint="eastAsia" w:ascii="黑体" w:hAnsi="黑体" w:eastAsia="黑体"/>
      <w:bCs/>
      <w:kern w:val="44"/>
      <w:sz w:val="28"/>
      <w:szCs w:val="28"/>
      <w:lang w:val="en-US" w:eastAsia="zh-CN" w:bidi="ar-SA"/>
    </w:rPr>
  </w:style>
  <w:style w:type="character" w:customStyle="1" w:styleId="232">
    <w:name w:val="lawsitemtext"/>
    <w:qFormat/>
    <w:uiPriority w:val="0"/>
  </w:style>
  <w:style w:type="character" w:customStyle="1" w:styleId="233">
    <w:name w:val="正文文本 2 字符"/>
    <w:link w:val="45"/>
    <w:semiHidden/>
    <w:qFormat/>
    <w:uiPriority w:val="0"/>
    <w:rPr>
      <w:rFonts w:ascii="仿宋_GB2312" w:hAnsi="宋体" w:eastAsia="仿宋_GB2312"/>
      <w:kern w:val="2"/>
      <w:sz w:val="28"/>
    </w:rPr>
  </w:style>
  <w:style w:type="character" w:customStyle="1" w:styleId="234">
    <w:name w:val="批注文字 字符"/>
    <w:link w:val="19"/>
    <w:qFormat/>
    <w:uiPriority w:val="0"/>
    <w:rPr>
      <w:sz w:val="24"/>
    </w:rPr>
  </w:style>
  <w:style w:type="character" w:customStyle="1" w:styleId="235">
    <w:name w:val="标题 8 字符"/>
    <w:link w:val="11"/>
    <w:semiHidden/>
    <w:qFormat/>
    <w:uiPriority w:val="0"/>
    <w:rPr>
      <w:rFonts w:ascii="Arial" w:hAnsi="Arial" w:eastAsia="黑体"/>
      <w:kern w:val="2"/>
      <w:sz w:val="24"/>
      <w:szCs w:val="24"/>
    </w:rPr>
  </w:style>
  <w:style w:type="character" w:customStyle="1" w:styleId="236">
    <w:name w:val="arrow1"/>
    <w:basedOn w:val="54"/>
    <w:qFormat/>
    <w:uiPriority w:val="0"/>
  </w:style>
  <w:style w:type="character" w:customStyle="1" w:styleId="237">
    <w:name w:val="页眉 字符"/>
    <w:qFormat/>
    <w:uiPriority w:val="0"/>
    <w:rPr>
      <w:kern w:val="2"/>
      <w:sz w:val="18"/>
      <w:szCs w:val="18"/>
    </w:rPr>
  </w:style>
  <w:style w:type="character" w:customStyle="1" w:styleId="238">
    <w:name w:val="标题 7 字符"/>
    <w:link w:val="10"/>
    <w:semiHidden/>
    <w:qFormat/>
    <w:uiPriority w:val="0"/>
    <w:rPr>
      <w:b/>
      <w:bCs/>
      <w:kern w:val="2"/>
      <w:sz w:val="24"/>
      <w:szCs w:val="24"/>
    </w:rPr>
  </w:style>
  <w:style w:type="character" w:customStyle="1" w:styleId="239">
    <w:name w:val="NormalCharacter"/>
    <w:semiHidden/>
    <w:qFormat/>
    <w:uiPriority w:val="0"/>
  </w:style>
  <w:style w:type="character" w:customStyle="1" w:styleId="240">
    <w:name w:val="标题 9 字符"/>
    <w:link w:val="12"/>
    <w:semiHidden/>
    <w:qFormat/>
    <w:uiPriority w:val="0"/>
    <w:rPr>
      <w:rFonts w:ascii="Arial" w:hAnsi="Arial" w:eastAsia="黑体"/>
      <w:kern w:val="2"/>
      <w:sz w:val="21"/>
      <w:szCs w:val="21"/>
    </w:rPr>
  </w:style>
  <w:style w:type="character" w:customStyle="1" w:styleId="241">
    <w:name w:val="style2"/>
    <w:qFormat/>
    <w:uiPriority w:val="0"/>
  </w:style>
  <w:style w:type="character" w:customStyle="1" w:styleId="242">
    <w:name w:val="页脚 字符1"/>
    <w:link w:val="35"/>
    <w:qFormat/>
    <w:locked/>
    <w:uiPriority w:val="99"/>
    <w:rPr>
      <w:kern w:val="2"/>
      <w:sz w:val="18"/>
    </w:rPr>
  </w:style>
  <w:style w:type="character" w:customStyle="1" w:styleId="243">
    <w:name w:val="style41"/>
    <w:qFormat/>
    <w:uiPriority w:val="0"/>
    <w:rPr>
      <w:color w:val="000000"/>
    </w:rPr>
  </w:style>
  <w:style w:type="character" w:customStyle="1" w:styleId="244">
    <w:name w:val="纯文本 Char"/>
    <w:semiHidden/>
    <w:qFormat/>
    <w:uiPriority w:val="0"/>
    <w:rPr>
      <w:rFonts w:ascii="宋体" w:hAnsi="Courier New" w:cs="Courier New"/>
      <w:kern w:val="2"/>
      <w:sz w:val="21"/>
      <w:szCs w:val="21"/>
    </w:rPr>
  </w:style>
  <w:style w:type="character" w:customStyle="1" w:styleId="245">
    <w:name w:val="样式 标题 1 + 加粗 Char"/>
    <w:qFormat/>
    <w:uiPriority w:val="0"/>
    <w:rPr>
      <w:rFonts w:hint="eastAsia" w:ascii="黑体" w:hAnsi="黑体" w:eastAsia="黑体"/>
      <w:b/>
      <w:bCs/>
      <w:kern w:val="44"/>
      <w:sz w:val="28"/>
      <w:szCs w:val="28"/>
      <w:lang w:val="en-US" w:eastAsia="zh-CN" w:bidi="ar-SA"/>
    </w:rPr>
  </w:style>
  <w:style w:type="character" w:customStyle="1" w:styleId="246">
    <w:name w:val="wang正文 Char"/>
    <w:qFormat/>
    <w:uiPriority w:val="0"/>
    <w:rPr>
      <w:rFonts w:hint="eastAsia" w:ascii="宋体" w:hAnsi="宋体" w:eastAsia="宋体"/>
      <w:sz w:val="21"/>
      <w:szCs w:val="24"/>
      <w:lang w:val="en-US" w:eastAsia="zh-CN" w:bidi="ar-SA"/>
    </w:rPr>
  </w:style>
  <w:style w:type="character" w:customStyle="1" w:styleId="247">
    <w:name w:val="jl 正文 Char Char Char"/>
    <w:link w:val="101"/>
    <w:qFormat/>
    <w:locked/>
    <w:uiPriority w:val="0"/>
    <w:rPr>
      <w:rFonts w:ascii="宋体" w:hAnsi="宋体"/>
      <w:kern w:val="2"/>
      <w:sz w:val="24"/>
    </w:rPr>
  </w:style>
  <w:style w:type="character" w:customStyle="1" w:styleId="248">
    <w:name w:val="标题 字符"/>
    <w:link w:val="48"/>
    <w:qFormat/>
    <w:uiPriority w:val="0"/>
    <w:rPr>
      <w:rFonts w:ascii="Cambria" w:hAnsi="Cambria" w:eastAsia="黑体"/>
      <w:bCs/>
      <w:kern w:val="2"/>
      <w:sz w:val="32"/>
      <w:szCs w:val="32"/>
    </w:rPr>
  </w:style>
  <w:style w:type="character" w:customStyle="1" w:styleId="249">
    <w:name w:val="页眉 字符1"/>
    <w:link w:val="24"/>
    <w:qFormat/>
    <w:uiPriority w:val="99"/>
    <w:rPr>
      <w:kern w:val="2"/>
      <w:sz w:val="18"/>
    </w:rPr>
  </w:style>
  <w:style w:type="character" w:customStyle="1" w:styleId="250">
    <w:name w:val="副标题 字符"/>
    <w:link w:val="38"/>
    <w:qFormat/>
    <w:uiPriority w:val="11"/>
    <w:rPr>
      <w:rFonts w:ascii="Cambria" w:hAnsi="Cambria"/>
      <w:b/>
      <w:bCs/>
      <w:kern w:val="28"/>
      <w:sz w:val="28"/>
      <w:szCs w:val="32"/>
    </w:rPr>
  </w:style>
  <w:style w:type="character" w:customStyle="1" w:styleId="251">
    <w:name w:val="arrow3"/>
    <w:basedOn w:val="54"/>
    <w:qFormat/>
    <w:uiPriority w:val="0"/>
  </w:style>
  <w:style w:type="character" w:customStyle="1" w:styleId="252">
    <w:name w:val="jl 正文 Char"/>
    <w:qFormat/>
    <w:uiPriority w:val="0"/>
    <w:rPr>
      <w:rFonts w:hint="eastAsia" w:ascii="宋体" w:hAnsi="宋体" w:eastAsia="宋体"/>
      <w:sz w:val="24"/>
      <w:szCs w:val="24"/>
      <w:lang w:val="en-US" w:eastAsia="zh-CN" w:bidi="ar-SA"/>
    </w:rPr>
  </w:style>
  <w:style w:type="paragraph" w:customStyle="1" w:styleId="253">
    <w:name w:val="Body text|1"/>
    <w:basedOn w:val="1"/>
    <w:qFormat/>
    <w:uiPriority w:val="0"/>
    <w:pPr>
      <w:widowControl w:val="0"/>
      <w:shd w:val="clear" w:color="auto" w:fill="auto"/>
      <w:spacing w:line="360" w:lineRule="auto"/>
      <w:ind w:firstLine="400"/>
    </w:pPr>
    <w:rPr>
      <w:rFonts w:ascii="宋体" w:hAnsi="宋体" w:eastAsia="宋体" w:cs="宋体"/>
      <w:sz w:val="26"/>
      <w:szCs w:val="26"/>
      <w:u w:val="none"/>
      <w:shd w:val="clear" w:color="auto" w:fill="auto"/>
      <w:lang w:val="zh-TW" w:eastAsia="zh-TW" w:bidi="zh-TW"/>
    </w:rPr>
  </w:style>
  <w:style w:type="paragraph" w:customStyle="1" w:styleId="254">
    <w:name w:val="二级标题"/>
    <w:basedOn w:val="1"/>
    <w:qFormat/>
    <w:uiPriority w:val="0"/>
    <w:pPr>
      <w:numPr>
        <w:ilvl w:val="0"/>
        <w:numId w:val="5"/>
      </w:numPr>
      <w:spacing w:line="560" w:lineRule="exact"/>
      <w:jc w:val="left"/>
    </w:pPr>
    <w:rPr>
      <w:rFonts w:hint="eastAsia" w:ascii="仿宋" w:hAnsi="仿宋" w:cs="仿宋"/>
      <w:b/>
      <w:color w:val="000000"/>
      <w:sz w:val="28"/>
      <w:szCs w:val="28"/>
    </w:rPr>
  </w:style>
  <w:style w:type="paragraph" w:styleId="255">
    <w:name w:val="No Spacing"/>
    <w:qFormat/>
    <w:uiPriority w:val="1"/>
    <w:pPr>
      <w:widowControl w:val="0"/>
      <w:spacing w:before="50" w:beforeLines="50" w:after="50" w:afterLines="50"/>
      <w:jc w:val="both"/>
    </w:pPr>
    <w:rPr>
      <w:rFonts w:eastAsia="仿宋" w:asciiTheme="minorHAnsi" w:hAnsiTheme="minorHAnsi" w:cstheme="minorBidi"/>
      <w:kern w:val="2"/>
      <w:sz w:val="28"/>
      <w:szCs w:val="22"/>
      <w:lang w:val="en-US" w:eastAsia="zh-CN" w:bidi="ar-SA"/>
    </w:rPr>
  </w:style>
  <w:style w:type="paragraph" w:customStyle="1" w:styleId="256">
    <w:name w:val="正式文本"/>
    <w:basedOn w:val="1"/>
    <w:qFormat/>
    <w:uiPriority w:val="0"/>
    <w:pPr>
      <w:spacing w:line="540" w:lineRule="exact"/>
      <w:ind w:firstLine="200" w:firstLineChars="200"/>
    </w:pPr>
    <w:rPr>
      <w:rFonts w:ascii="宋体" w:hAnsi="Arial Narrow"/>
      <w:sz w:val="28"/>
    </w:rPr>
  </w:style>
  <w:style w:type="paragraph" w:customStyle="1" w:styleId="257">
    <w:name w:val="Table Text"/>
    <w:basedOn w:val="1"/>
    <w:semiHidden/>
    <w:qFormat/>
    <w:uiPriority w:val="0"/>
    <w:rPr>
      <w:rFonts w:ascii="宋体" w:hAnsi="宋体" w:eastAsia="宋体" w:cs="宋体"/>
      <w:sz w:val="24"/>
      <w:szCs w:val="24"/>
      <w:lang w:val="en-US" w:eastAsia="en-US" w:bidi="ar-SA"/>
    </w:rPr>
  </w:style>
  <w:style w:type="table" w:customStyle="1" w:styleId="258">
    <w:name w:val="Table Normal"/>
    <w:unhideWhenUsed/>
    <w:qFormat/>
    <w:uiPriority w:val="0"/>
    <w:tblPr>
      <w:tblCellMar>
        <w:top w:w="0" w:type="dxa"/>
        <w:left w:w="0" w:type="dxa"/>
        <w:bottom w:w="0" w:type="dxa"/>
        <w:right w:w="0" w:type="dxa"/>
      </w:tblCellMar>
    </w:tblPr>
  </w:style>
  <w:style w:type="paragraph" w:customStyle="1" w:styleId="259">
    <w:name w:val=" Char Char Char Char Char Char1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68</Pages>
  <Words>23661</Words>
  <Characters>25783</Characters>
  <Lines>176</Lines>
  <Paragraphs>49</Paragraphs>
  <TotalTime>1</TotalTime>
  <ScaleCrop>false</ScaleCrop>
  <LinksUpToDate>false</LinksUpToDate>
  <CharactersWithSpaces>28323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2020-07-04T08:30:00Z</dcterms:created>
  <dc:creator>Lion</dc:creator>
  <cp:lastModifiedBy>白冰</cp:lastModifiedBy>
  <dcterms:modified xsi:type="dcterms:W3CDTF">2024-06-28T07:31:33Z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52F75A96045644368E7AC45BE33D84D9</vt:lpwstr>
  </property>
</Properties>
</file>