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中煤华昱公司国兴煤业委托第三方承保</w:t>
      </w:r>
    </w:p>
    <w:p>
      <w:pPr>
        <w:pStyle w:val="19"/>
        <w:jc w:val="center"/>
        <w:rPr>
          <w:rFonts w:hint="default"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《环境污染强制责任保险》项目(二次)</w:t>
      </w:r>
    </w:p>
    <w:p>
      <w:pPr>
        <w:pStyle w:val="19"/>
        <w:jc w:val="center"/>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6"/>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询价书编号：XJ20240</w:t>
      </w:r>
      <w:r>
        <w:rPr>
          <w:rFonts w:hint="eastAsia" w:ascii="宋体" w:hAnsi="宋体" w:cs="宋体"/>
          <w:b w:val="0"/>
          <w:bCs w:val="0"/>
          <w:sz w:val="32"/>
          <w:szCs w:val="32"/>
          <w:highlight w:val="none"/>
          <w:lang w:val="en-US" w:eastAsia="zh-CN"/>
        </w:rPr>
        <w:t>6</w:t>
      </w:r>
      <w:r>
        <w:rPr>
          <w:rFonts w:hint="eastAsia" w:ascii="宋体" w:hAnsi="宋体" w:cs="宋体"/>
          <w:b w:val="0"/>
          <w:bCs w:val="0"/>
          <w:sz w:val="32"/>
          <w:szCs w:val="32"/>
          <w:highlight w:val="none"/>
        </w:rPr>
        <w:t>HYGC14</w:t>
      </w:r>
      <w:r>
        <w:rPr>
          <w:rFonts w:hint="eastAsia" w:ascii="宋体" w:hAnsi="宋体" w:cs="宋体"/>
          <w:b w:val="0"/>
          <w:bCs w:val="0"/>
          <w:sz w:val="32"/>
          <w:szCs w:val="32"/>
          <w:highlight w:val="none"/>
          <w:lang w:val="en-US" w:eastAsia="zh-CN"/>
        </w:rPr>
        <w:t>4</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国兴煤业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二零二</w:t>
      </w:r>
      <w:r>
        <w:rPr>
          <w:rFonts w:hint="eastAsia" w:ascii="宋体" w:hAnsi="宋体" w:cs="宋体"/>
          <w:b w:val="0"/>
          <w:bCs w:val="0"/>
          <w:color w:val="000000" w:themeColor="text1"/>
          <w:highlight w:val="none"/>
          <w:lang w:eastAsia="zh-CN"/>
          <w14:textFill>
            <w14:solidFill>
              <w14:schemeClr w14:val="tx1"/>
            </w14:solidFill>
          </w14:textFill>
        </w:rPr>
        <w:t>四</w:t>
      </w:r>
      <w:r>
        <w:rPr>
          <w:rFonts w:hint="eastAsia" w:ascii="宋体" w:hAnsi="宋体" w:cs="宋体"/>
          <w:b w:val="0"/>
          <w:bCs w:val="0"/>
          <w:color w:val="000000" w:themeColor="text1"/>
          <w:highlight w:val="none"/>
          <w14:textFill>
            <w14:solidFill>
              <w14:schemeClr w14:val="tx1"/>
            </w14:solidFill>
          </w14:textFill>
        </w:rPr>
        <w:t>年</w:t>
      </w:r>
      <w:r>
        <w:rPr>
          <w:rFonts w:hint="eastAsia" w:ascii="宋体" w:hAnsi="宋体" w:cs="宋体"/>
          <w:b w:val="0"/>
          <w:bCs w:val="0"/>
          <w:color w:val="000000" w:themeColor="text1"/>
          <w:highlight w:val="none"/>
          <w:lang w:val="en-US" w:eastAsia="zh-CN"/>
          <w14:textFill>
            <w14:solidFill>
              <w14:schemeClr w14:val="tx1"/>
            </w14:solidFill>
          </w14:textFill>
        </w:rPr>
        <w:t>六</w:t>
      </w:r>
      <w:r>
        <w:rPr>
          <w:rFonts w:hint="eastAsia" w:ascii="宋体" w:hAnsi="宋体" w:cs="宋体"/>
          <w:b w:val="0"/>
          <w:bCs w:val="0"/>
          <w:color w:val="000000" w:themeColor="text1"/>
          <w:highlight w:val="none"/>
          <w14:textFill>
            <w14:solidFill>
              <w14:schemeClr w14:val="tx1"/>
            </w14:solidFill>
          </w14:textFill>
        </w:rPr>
        <w:t>月</w:t>
      </w:r>
    </w:p>
    <w:p>
      <w:pPr>
        <w:rPr>
          <w:rFonts w:ascii="仿宋_GB2312" w:eastAsia="仿宋_GB2312"/>
          <w:color w:val="000000" w:themeColor="text1"/>
          <w:highlight w:val="none"/>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6"/>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6"/>
        <w:rPr>
          <w:rFonts w:ascii="宋体" w:hAnsi="宋体" w:eastAsia="黑体" w:cs="宋体"/>
          <w:b w:val="0"/>
          <w:bCs w:val="0"/>
          <w:sz w:val="32"/>
          <w:szCs w:val="32"/>
          <w:highlight w:val="none"/>
        </w:rPr>
      </w:pPr>
    </w:p>
    <w:p>
      <w:pPr>
        <w:rPr>
          <w:highlight w:val="none"/>
        </w:rPr>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pStyle w:val="19"/>
        <w:ind w:firstLine="480" w:firstLineChars="20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项目名称:</w:t>
      </w:r>
      <w:r>
        <w:rPr>
          <w:rFonts w:hint="eastAsia" w:ascii="宋体" w:hAnsi="宋体" w:eastAsia="宋体" w:cs="宋体"/>
          <w:b w:val="0"/>
          <w:bCs w:val="0"/>
          <w:sz w:val="24"/>
          <w:szCs w:val="24"/>
          <w:highlight w:val="none"/>
          <w:lang w:val="en-US" w:eastAsia="zh-CN"/>
        </w:rPr>
        <w:t>中煤华昱公司国兴煤业委托第三方承保《环境污染强制责任保险》项目</w:t>
      </w:r>
      <w:r>
        <w:rPr>
          <w:rFonts w:hint="eastAsia" w:ascii="宋体" w:hAnsi="宋体" w:cs="宋体"/>
          <w:b w:val="0"/>
          <w:bCs w:val="0"/>
          <w:sz w:val="24"/>
          <w:szCs w:val="24"/>
          <w:highlight w:val="none"/>
          <w:lang w:val="en-US" w:eastAsia="zh-CN"/>
        </w:rPr>
        <w:t>（二次）</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spacing w:line="360" w:lineRule="auto"/>
        <w:ind w:firstLine="480" w:firstLineChars="200"/>
        <w:rPr>
          <w:rFonts w:hint="default"/>
          <w:lang w:val="en-US" w:eastAsia="zh-CN"/>
        </w:rPr>
      </w:pPr>
      <w:r>
        <w:rPr>
          <w:rFonts w:hint="eastAsia" w:ascii="宋体" w:hAnsi="宋体" w:cs="宋体"/>
          <w:b w:val="0"/>
          <w:bCs w:val="0"/>
          <w:sz w:val="24"/>
          <w:szCs w:val="24"/>
          <w:highlight w:val="none"/>
          <w:lang w:val="en-US" w:eastAsia="zh-CN"/>
        </w:rPr>
        <w:t>评审方式：综合评估法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2024年6月11日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报名截止日期：2024年6月18日  07:40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报价截止时间：2024年6月18日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报价揭价时间：2024年6月18日  07:50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项目概况：依据《山西省生态环境厅中国银保监会关于印发环境污染强制责任保险试点实施方案（试行）的通知》（晋环法规〔2019〕184号）《山西省生态环境厅关于环境污染强制试点有关工作的通知》（晋环法规〔2020〕41号）和《朔州市生态环境局关于推进环境污染强制责任险试点工作的通知》（朔环发〔2020〕158号）文件精神，必须缴纳环境污染强制责任保险。</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widowControl w:val="0"/>
        <w:wordWrap/>
        <w:adjustRightInd/>
        <w:snapToGrid/>
        <w:spacing w:line="52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eastAsia="宋体" w:cs="宋体"/>
          <w:b w:val="0"/>
          <w:bCs w:val="0"/>
          <w:sz w:val="24"/>
          <w:szCs w:val="24"/>
          <w:highlight w:val="none"/>
          <w:lang w:val="en-US" w:eastAsia="zh-CN"/>
        </w:rPr>
        <w:t>合同签订之日起，5天内完成对环境污染强制责任保险承保，保险期限一年。</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4.服务地点：山西朔州平鲁区国兴煤业有限公司</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5.报价方式：固定总价（含税,税率6%）。</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6.报价要求：报价金额包含人工等一切费用的含税总价（并明确税率）</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7.付款方式：执行山西朔州平鲁区国兴煤业有限公司相关制度流程。</w:t>
      </w:r>
    </w:p>
    <w:p>
      <w:pPr>
        <w:spacing w:line="360" w:lineRule="auto"/>
        <w:ind w:firstLine="480" w:firstLineChars="200"/>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lang w:val="en-US" w:eastAsia="zh-CN"/>
        </w:rPr>
        <w:t>8.验收标准：</w:t>
      </w:r>
      <w:r>
        <w:rPr>
          <w:rFonts w:hint="eastAsia" w:ascii="宋体" w:hAnsi="宋体" w:eastAsia="宋体" w:cs="宋体"/>
          <w:b w:val="0"/>
          <w:bCs w:val="0"/>
          <w:sz w:val="24"/>
          <w:szCs w:val="24"/>
          <w:highlight w:val="none"/>
          <w:lang w:val="en-US" w:eastAsia="zh-CN"/>
        </w:rPr>
        <w:t>环境污染强制责任保单</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lang w:val="en-US" w:eastAsia="zh-CN"/>
        </w:rPr>
        <w:t>1.报价人</w:t>
      </w:r>
      <w:r>
        <w:rPr>
          <w:rFonts w:hint="eastAsia" w:ascii="宋体" w:hAnsi="宋体" w:eastAsia="宋体" w:cs="宋体"/>
          <w:b w:val="0"/>
          <w:bCs w:val="0"/>
          <w:sz w:val="24"/>
          <w:szCs w:val="24"/>
          <w:highlight w:val="none"/>
          <w:lang w:val="en-US" w:eastAsia="zh-CN"/>
        </w:rPr>
        <w:t>具有法人资格的保险公司（提供营业执照扫描件）或其授权的分支机构（提供法人的正式授权书及总部和分支机构营业执照扫描件，其产生的民事责任由法人承担），分支机构和其总部法人不得同时参加本项目。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lang w:val="en-US" w:eastAsia="zh-CN"/>
        </w:rPr>
        <w:t>2.报价人须</w:t>
      </w:r>
      <w:r>
        <w:rPr>
          <w:rFonts w:hint="eastAsia" w:ascii="宋体" w:hAnsi="宋体" w:eastAsia="宋体" w:cs="宋体"/>
          <w:b w:val="0"/>
          <w:bCs w:val="0"/>
          <w:sz w:val="24"/>
          <w:szCs w:val="24"/>
          <w:highlight w:val="none"/>
          <w:lang w:val="en-US" w:eastAsia="zh-CN"/>
        </w:rPr>
        <w:t>具备中国保险监督管理委员会颁发的经营保险业务许可证，许可范围包含责任保险业务。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lang w:val="en-US" w:eastAsia="zh-CN"/>
        </w:rPr>
        <w:t>3.报价人须提供近3年（2021年至今）至少3例同类项目业绩（提供</w:t>
      </w:r>
      <w:r>
        <w:rPr>
          <w:rFonts w:hint="eastAsia" w:ascii="宋体" w:hAnsi="宋体" w:eastAsia="宋体" w:cs="宋体"/>
          <w:b w:val="0"/>
          <w:bCs w:val="0"/>
          <w:sz w:val="24"/>
          <w:szCs w:val="24"/>
          <w:highlight w:val="none"/>
          <w:lang w:val="en-US" w:eastAsia="zh-CN"/>
        </w:rPr>
        <w:t>完整保单扫描件</w:t>
      </w:r>
      <w:r>
        <w:rPr>
          <w:rFonts w:hint="eastAsia" w:ascii="宋体" w:hAnsi="宋体" w:cs="宋体"/>
          <w:b w:val="0"/>
          <w:bCs w:val="0"/>
          <w:sz w:val="24"/>
          <w:szCs w:val="24"/>
          <w:highlight w:val="none"/>
          <w:lang w:val="en-US" w:eastAsia="zh-CN"/>
        </w:rPr>
        <w:t>）。</w:t>
      </w:r>
    </w:p>
    <w:p>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val="0"/>
          <w:sz w:val="24"/>
          <w:szCs w:val="24"/>
          <w:highlight w:val="none"/>
          <w:lang w:val="en-US" w:eastAsia="zh-CN"/>
        </w:rPr>
      </w:pPr>
      <w:r>
        <w:rPr>
          <w:rFonts w:hint="eastAsia"/>
          <w:lang w:val="en-US" w:eastAsia="zh-CN"/>
        </w:rPr>
        <w:t xml:space="preserve">   </w:t>
      </w:r>
      <w:bookmarkStart w:id="1" w:name="_GoBack"/>
      <w:bookmarkEnd w:id="1"/>
      <w:r>
        <w:rPr>
          <w:rFonts w:hint="eastAsia" w:ascii="宋体"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eastAsia="宋体" w:cs="宋体"/>
          <w:i w:val="0"/>
          <w:caps w:val="0"/>
          <w:color w:val="333333"/>
          <w:spacing w:val="0"/>
          <w:sz w:val="24"/>
          <w:szCs w:val="24"/>
          <w:highlight w:val="yellow"/>
          <w:shd w:val="clear" w:color="auto" w:fill="FFFFFF"/>
          <w:lang w:val="en-US" w:eastAsia="zh-CN"/>
        </w:rPr>
      </w:pPr>
      <w:r>
        <w:rPr>
          <w:rFonts w:hint="eastAsia" w:ascii="宋体" w:hAnsi="宋体" w:cs="宋体"/>
          <w:b w:val="0"/>
          <w:bCs w:val="0"/>
          <w:sz w:val="24"/>
          <w:szCs w:val="24"/>
          <w:highlight w:val="yellow"/>
        </w:rPr>
        <w:t>联系人：</w:t>
      </w:r>
      <w:r>
        <w:rPr>
          <w:rFonts w:hint="eastAsia" w:ascii="宋体" w:hAnsi="宋体" w:cs="宋体"/>
          <w:b w:val="0"/>
          <w:bCs w:val="0"/>
          <w:sz w:val="24"/>
          <w:szCs w:val="24"/>
          <w:highlight w:val="yellow"/>
          <w:lang w:val="en-US" w:eastAsia="zh-CN"/>
        </w:rPr>
        <w:t>刘承飞  18234918581</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山西朔州平鲁区国兴煤业有限公司</w:t>
      </w:r>
    </w:p>
    <w:p>
      <w:pPr>
        <w:spacing w:line="360" w:lineRule="auto"/>
        <w:ind w:firstLine="480" w:firstLineChars="200"/>
        <w:rPr>
          <w:rFonts w:hint="default" w:ascii="宋体" w:hAnsi="宋体" w:eastAsia="宋体" w:cs="宋体"/>
          <w:b w:val="0"/>
          <w:bCs w:val="0"/>
          <w:sz w:val="24"/>
          <w:szCs w:val="24"/>
          <w:highlight w:val="yellow"/>
          <w:lang w:val="en-US" w:eastAsia="zh-CN"/>
        </w:rPr>
      </w:pPr>
      <w:r>
        <w:rPr>
          <w:rFonts w:hint="eastAsia" w:ascii="宋体" w:hAnsi="宋体" w:cs="宋体"/>
          <w:b w:val="0"/>
          <w:bCs w:val="0"/>
          <w:sz w:val="24"/>
          <w:szCs w:val="24"/>
          <w:highlight w:val="yellow"/>
        </w:rPr>
        <w:t>电子信箱：</w:t>
      </w:r>
      <w:r>
        <w:rPr>
          <w:rFonts w:hint="eastAsia" w:ascii="宋体" w:hAnsi="宋体" w:cs="宋体"/>
          <w:b w:val="0"/>
          <w:bCs w:val="0"/>
          <w:sz w:val="24"/>
          <w:szCs w:val="24"/>
          <w:highlight w:val="yellow"/>
          <w:lang w:val="en-US" w:eastAsia="zh-CN"/>
        </w:rPr>
        <w:t>804895263@qq.com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hint="eastAsia" w:ascii="宋体" w:eastAsia="宋体"/>
          <w:b w:val="0"/>
          <w:bCs w:val="0"/>
          <w:color w:val="000000"/>
          <w:sz w:val="24"/>
          <w:szCs w:val="24"/>
          <w:highlight w:val="none"/>
          <w:lang w:eastAsia="zh-CN"/>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eastAsia="宋体"/>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本次询价内容依据以下评审原则进行综合</w:t>
      </w:r>
      <w:r>
        <w:rPr>
          <w:rFonts w:hint="eastAsia" w:ascii="宋体" w:hAnsi="宋体" w:cs="宋体"/>
          <w:b w:val="0"/>
          <w:bCs w:val="0"/>
          <w:sz w:val="24"/>
          <w:szCs w:val="24"/>
          <w:highlight w:val="none"/>
          <w:lang w:eastAsia="zh-CN"/>
        </w:rPr>
        <w:t>评估法</w:t>
      </w:r>
      <w:r>
        <w:rPr>
          <w:rFonts w:hint="eastAsia" w:ascii="宋体" w:hAnsi="宋体" w:cs="宋体"/>
          <w:b w:val="0"/>
          <w:bCs w:val="0"/>
          <w:sz w:val="24"/>
          <w:szCs w:val="24"/>
          <w:highlight w:val="none"/>
        </w:rPr>
        <w:t>。评审小组对</w:t>
      </w:r>
      <w:r>
        <w:rPr>
          <w:rFonts w:hint="eastAsia" w:ascii="宋体" w:hAnsi="宋体" w:cs="宋体"/>
          <w:b w:val="0"/>
          <w:bCs w:val="0"/>
          <w:sz w:val="24"/>
          <w:szCs w:val="24"/>
          <w:highlight w:val="none"/>
          <w:lang w:eastAsia="zh-CN"/>
        </w:rPr>
        <w:t>满足询价文件要求的所有报价文件的技术、商务分别进行评审评分，对价格进行审核修正并计算评分，按综合评分由高到低的顺序对报价人进行排序，推荐候选成交人。</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A.</w:t>
      </w: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pStyle w:val="16"/>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B.评审内容</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cs="宋体"/>
          <w:b w:val="0"/>
          <w:bCs w:val="0"/>
          <w:sz w:val="24"/>
          <w:szCs w:val="24"/>
          <w:highlight w:val="none"/>
          <w:lang w:val="en-US" w:eastAsia="zh-CN"/>
        </w:rPr>
        <w:t>1</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lang w:val="en-US"/>
        </w:rPr>
        <w:t>评标采用百分制打分，总分为100分，其中：</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rPr>
        <w:t xml:space="preserve">技术部分（A1）： </w:t>
      </w:r>
      <w:r>
        <w:rPr>
          <w:rFonts w:hint="eastAsia" w:ascii="宋体" w:hAnsi="宋体" w:cs="宋体"/>
          <w:b w:val="0"/>
          <w:bCs w:val="0"/>
          <w:sz w:val="24"/>
          <w:szCs w:val="24"/>
          <w:highlight w:val="none"/>
          <w:lang w:val="en-US" w:eastAsia="zh-CN"/>
        </w:rPr>
        <w:t>20</w:t>
      </w:r>
      <w:r>
        <w:rPr>
          <w:rFonts w:hint="eastAsia" w:ascii="宋体" w:hAnsi="宋体" w:eastAsia="宋体" w:cs="宋体"/>
          <w:b w:val="0"/>
          <w:bCs w:val="0"/>
          <w:sz w:val="24"/>
          <w:szCs w:val="24"/>
          <w:highlight w:val="none"/>
          <w:lang w:val="en-US"/>
        </w:rPr>
        <w:t>分</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rPr>
        <w:t>商务部分（A2）：</w:t>
      </w:r>
      <w:r>
        <w:rPr>
          <w:rFonts w:hint="eastAsia" w:ascii="宋体" w:hAnsi="宋体" w:cs="宋体"/>
          <w:b w:val="0"/>
          <w:bCs w:val="0"/>
          <w:sz w:val="24"/>
          <w:szCs w:val="24"/>
          <w:highlight w:val="none"/>
          <w:lang w:val="en-US" w:eastAsia="zh-CN"/>
        </w:rPr>
        <w:t>30</w:t>
      </w:r>
      <w:r>
        <w:rPr>
          <w:rFonts w:hint="eastAsia" w:ascii="宋体" w:hAnsi="宋体" w:eastAsia="宋体" w:cs="宋体"/>
          <w:b w:val="0"/>
          <w:bCs w:val="0"/>
          <w:sz w:val="24"/>
          <w:szCs w:val="24"/>
          <w:highlight w:val="none"/>
          <w:lang w:val="en-US"/>
        </w:rPr>
        <w:t>分</w:t>
      </w:r>
    </w:p>
    <w:p>
      <w:pPr>
        <w:spacing w:line="360" w:lineRule="auto"/>
        <w:ind w:firstLine="480" w:firstLineChars="200"/>
        <w:rPr>
          <w:rFonts w:hint="eastAsia" w:ascii="宋体" w:hAnsi="宋体" w:eastAsia="宋体" w:cs="宋体"/>
          <w:b w:val="0"/>
          <w:bCs w:val="0"/>
          <w:sz w:val="24"/>
          <w:szCs w:val="24"/>
          <w:highlight w:val="red"/>
          <w:lang w:val="en-US" w:eastAsia="zh-CN"/>
        </w:rPr>
      </w:pPr>
      <w:r>
        <w:rPr>
          <w:rFonts w:hint="eastAsia" w:ascii="宋体" w:hAnsi="宋体" w:eastAsia="宋体" w:cs="宋体"/>
          <w:b w:val="0"/>
          <w:bCs w:val="0"/>
          <w:sz w:val="24"/>
          <w:szCs w:val="24"/>
          <w:highlight w:val="none"/>
        </w:rPr>
        <w:t>投标报价</w:t>
      </w:r>
      <w:r>
        <w:rPr>
          <w:rFonts w:hint="eastAsia" w:ascii="宋体" w:hAnsi="宋体" w:eastAsia="宋体" w:cs="宋体"/>
          <w:b w:val="0"/>
          <w:bCs w:val="0"/>
          <w:sz w:val="24"/>
          <w:szCs w:val="24"/>
          <w:highlight w:val="none"/>
          <w:lang w:val="en-US"/>
        </w:rPr>
        <w:t>（A3）： 50</w:t>
      </w:r>
      <w:r>
        <w:rPr>
          <w:rFonts w:hint="eastAsia" w:ascii="宋体" w:hAnsi="宋体" w:eastAsia="宋体" w:cs="宋体"/>
          <w:b w:val="0"/>
          <w:bCs w:val="0"/>
          <w:sz w:val="24"/>
          <w:szCs w:val="24"/>
          <w:highlight w:val="none"/>
        </w:rPr>
        <w:t>分</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rPr>
        <w:t>投标人得分</w:t>
      </w:r>
      <w:r>
        <w:rPr>
          <w:rFonts w:hint="eastAsia" w:ascii="宋体" w:hAnsi="宋体" w:eastAsia="宋体" w:cs="宋体"/>
          <w:b w:val="0"/>
          <w:bCs w:val="0"/>
          <w:sz w:val="24"/>
          <w:szCs w:val="24"/>
          <w:highlight w:val="none"/>
          <w:lang w:val="en-US"/>
        </w:rPr>
        <w:t>= A1+ A2+ A3</w:t>
      </w:r>
      <w:r>
        <w:rPr>
          <w:rFonts w:hint="eastAsia" w:ascii="宋体" w:hAnsi="宋体" w:eastAsia="宋体" w:cs="宋体"/>
          <w:b w:val="0"/>
          <w:bCs w:val="0"/>
          <w:sz w:val="24"/>
          <w:szCs w:val="24"/>
          <w:highlight w:val="none"/>
        </w:rPr>
        <w:t>。小数点保留位数</w:t>
      </w:r>
      <w:r>
        <w:rPr>
          <w:rFonts w:hint="eastAsia" w:ascii="宋体" w:hAnsi="宋体" w:eastAsia="宋体" w:cs="宋体"/>
          <w:b w:val="0"/>
          <w:bCs w:val="0"/>
          <w:sz w:val="24"/>
          <w:szCs w:val="24"/>
          <w:highlight w:val="none"/>
          <w:lang w:val="en-US"/>
        </w:rPr>
        <w:t>：</w:t>
      </w:r>
      <w:r>
        <w:rPr>
          <w:rFonts w:hint="eastAsia" w:ascii="宋体" w:hAnsi="宋体" w:eastAsia="宋体" w:cs="宋体"/>
          <w:b w:val="0"/>
          <w:bCs w:val="0"/>
          <w:sz w:val="24"/>
          <w:szCs w:val="24"/>
          <w:highlight w:val="none"/>
        </w:rPr>
        <w:t>评分分值计算保留小数点后两位</w:t>
      </w:r>
      <w:r>
        <w:rPr>
          <w:rFonts w:hint="eastAsia" w:ascii="宋体" w:hAnsi="宋体" w:eastAsia="宋体" w:cs="宋体"/>
          <w:b w:val="0"/>
          <w:bCs w:val="0"/>
          <w:sz w:val="24"/>
          <w:szCs w:val="24"/>
          <w:highlight w:val="none"/>
          <w:lang w:val="en-US"/>
        </w:rPr>
        <w:t>，</w:t>
      </w:r>
      <w:r>
        <w:rPr>
          <w:rFonts w:hint="eastAsia" w:ascii="宋体" w:hAnsi="宋体" w:eastAsia="宋体" w:cs="宋体"/>
          <w:b w:val="0"/>
          <w:bCs w:val="0"/>
          <w:sz w:val="24"/>
          <w:szCs w:val="24"/>
          <w:highlight w:val="none"/>
        </w:rPr>
        <w:t>第三位四舍五入。</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rPr>
        <w:t xml:space="preserve"> 针对某一有效投标人，</w:t>
      </w:r>
      <w:r>
        <w:rPr>
          <w:rFonts w:hint="eastAsia" w:ascii="宋体" w:hAnsi="宋体" w:eastAsia="宋体" w:cs="宋体"/>
          <w:b w:val="0"/>
          <w:bCs w:val="0"/>
          <w:sz w:val="24"/>
          <w:szCs w:val="24"/>
          <w:highlight w:val="none"/>
          <w:lang w:eastAsia="zh-CN"/>
        </w:rPr>
        <w:t>评审小组</w:t>
      </w:r>
      <w:r>
        <w:rPr>
          <w:rFonts w:hint="eastAsia" w:ascii="宋体" w:hAnsi="宋体" w:eastAsia="宋体" w:cs="宋体"/>
          <w:b w:val="0"/>
          <w:bCs w:val="0"/>
          <w:sz w:val="24"/>
          <w:szCs w:val="24"/>
          <w:highlight w:val="none"/>
        </w:rPr>
        <w:t>最终评分的算术平均值即为该投标人的最终得分。在分数相同的情况下，投标报价低的投标人排名优先。</w:t>
      </w:r>
    </w:p>
    <w:p>
      <w:pPr>
        <w:spacing w:line="360" w:lineRule="auto"/>
        <w:ind w:firstLine="480" w:firstLineChars="200"/>
        <w:rPr>
          <w:rFonts w:hint="eastAsia" w:ascii="宋体" w:hAnsi="宋体" w:eastAsia="宋体" w:cs="宋体"/>
          <w:b w:val="0"/>
          <w:bCs w:val="0"/>
          <w:sz w:val="24"/>
          <w:szCs w:val="24"/>
          <w:highlight w:val="red"/>
          <w:lang w:eastAsia="zh-CN"/>
        </w:rPr>
      </w:pP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rPr>
        <w:t xml:space="preserve"> 评分细则</w:t>
      </w:r>
    </w:p>
    <w:p/>
    <w:tbl>
      <w:tblPr>
        <w:tblStyle w:val="45"/>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795"/>
        <w:gridCol w:w="5775"/>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wordWrap/>
              <w:spacing w:line="520" w:lineRule="exact"/>
              <w:rPr>
                <w:rFonts w:ascii="宋体" w:hAnsi="宋体"/>
                <w:b w:val="0"/>
                <w:bCs w:val="0"/>
                <w:sz w:val="24"/>
              </w:rPr>
            </w:pPr>
            <w:r>
              <w:rPr>
                <w:rFonts w:hint="eastAsia" w:ascii="宋体" w:hAnsi="宋体"/>
                <w:b w:val="0"/>
                <w:bCs w:val="0"/>
                <w:sz w:val="24"/>
              </w:rPr>
              <w:t>评分项</w:t>
            </w:r>
          </w:p>
        </w:tc>
        <w:tc>
          <w:tcPr>
            <w:tcW w:w="795"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cs="宋体"/>
                <w:b w:val="0"/>
                <w:bCs w:val="0"/>
                <w:sz w:val="24"/>
              </w:rPr>
              <w:t>分值</w:t>
            </w:r>
          </w:p>
        </w:tc>
        <w:tc>
          <w:tcPr>
            <w:tcW w:w="5775"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cs="宋体"/>
                <w:b w:val="0"/>
                <w:bCs w:val="0"/>
                <w:sz w:val="24"/>
              </w:rPr>
              <w:t>评分细则</w:t>
            </w:r>
          </w:p>
        </w:tc>
        <w:tc>
          <w:tcPr>
            <w:tcW w:w="1218"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cs="宋体"/>
                <w:b w:val="0"/>
                <w:bCs w:val="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989" w:type="dxa"/>
            <w:vMerge w:val="restart"/>
            <w:tcBorders>
              <w:top w:val="single" w:color="auto" w:sz="4" w:space="0"/>
              <w:left w:val="single" w:color="auto" w:sz="4" w:space="0"/>
              <w:right w:val="single" w:color="auto" w:sz="4" w:space="0"/>
            </w:tcBorders>
            <w:vAlign w:val="center"/>
          </w:tcPr>
          <w:p>
            <w:pPr>
              <w:wordWrap/>
              <w:spacing w:line="520" w:lineRule="exact"/>
              <w:jc w:val="center"/>
              <w:rPr>
                <w:rFonts w:hint="eastAsia" w:ascii="宋体" w:hAnsi="宋体" w:cs="宋体"/>
                <w:b w:val="0"/>
                <w:bCs w:val="0"/>
                <w:sz w:val="24"/>
              </w:rPr>
            </w:pPr>
            <w:r>
              <w:rPr>
                <w:rFonts w:hint="eastAsia" w:ascii="宋体" w:hAnsi="宋体" w:cs="宋体"/>
                <w:b w:val="0"/>
                <w:bCs w:val="0"/>
                <w:sz w:val="24"/>
              </w:rPr>
              <w:t>商务</w:t>
            </w:r>
          </w:p>
          <w:p>
            <w:pPr>
              <w:wordWrap/>
              <w:spacing w:line="520" w:lineRule="exact"/>
              <w:jc w:val="center"/>
              <w:rPr>
                <w:rFonts w:ascii="宋体" w:hAnsi="宋体"/>
                <w:b w:val="0"/>
                <w:bCs w:val="0"/>
                <w:sz w:val="24"/>
              </w:rPr>
            </w:pPr>
            <w:r>
              <w:rPr>
                <w:rFonts w:hint="eastAsia" w:ascii="宋体" w:hAnsi="宋体" w:cs="宋体"/>
                <w:b w:val="0"/>
                <w:bCs w:val="0"/>
                <w:sz w:val="24"/>
              </w:rPr>
              <w:t>部分</w:t>
            </w:r>
          </w:p>
        </w:tc>
        <w:tc>
          <w:tcPr>
            <w:tcW w:w="795" w:type="dxa"/>
            <w:vMerge w:val="restart"/>
            <w:tcBorders>
              <w:top w:val="single" w:color="auto" w:sz="4" w:space="0"/>
              <w:left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b w:val="0"/>
                <w:bCs w:val="0"/>
                <w:sz w:val="24"/>
                <w:lang w:val="en-US" w:eastAsia="zh-CN"/>
              </w:rPr>
              <w:t>30</w:t>
            </w:r>
            <w:r>
              <w:rPr>
                <w:rFonts w:hint="eastAsia" w:ascii="宋体" w:hAnsi="宋体"/>
                <w:b w:val="0"/>
                <w:bCs w:val="0"/>
                <w:sz w:val="24"/>
              </w:rPr>
              <w:t>分</w:t>
            </w:r>
          </w:p>
        </w:tc>
        <w:tc>
          <w:tcPr>
            <w:tcW w:w="5775" w:type="dxa"/>
            <w:tcBorders>
              <w:top w:val="single" w:color="auto" w:sz="4" w:space="0"/>
              <w:left w:val="single" w:color="auto" w:sz="4" w:space="0"/>
              <w:right w:val="single" w:color="auto" w:sz="4" w:space="0"/>
            </w:tcBorders>
            <w:vAlign w:val="center"/>
          </w:tcPr>
          <w:p>
            <w:pPr>
              <w:wordWrap/>
              <w:spacing w:line="520" w:lineRule="exact"/>
              <w:jc w:val="left"/>
              <w:rPr>
                <w:rFonts w:ascii="宋体" w:hAnsi="宋体"/>
                <w:b w:val="0"/>
                <w:bCs w:val="0"/>
                <w:sz w:val="24"/>
              </w:rPr>
            </w:pPr>
            <w:r>
              <w:rPr>
                <w:rFonts w:hint="eastAsia" w:ascii="宋体" w:hAnsi="宋体"/>
                <w:b w:val="0"/>
                <w:bCs w:val="0"/>
                <w:sz w:val="24"/>
                <w:lang w:eastAsia="zh-CN"/>
              </w:rPr>
              <w:t>报价人</w:t>
            </w:r>
            <w:r>
              <w:rPr>
                <w:rFonts w:hint="eastAsia" w:ascii="宋体" w:hAnsi="宋体"/>
                <w:b w:val="0"/>
                <w:bCs w:val="0"/>
                <w:sz w:val="24"/>
              </w:rPr>
              <w:t>企业资质、规模、技术实力、市场信誉度</w:t>
            </w:r>
          </w:p>
        </w:tc>
        <w:tc>
          <w:tcPr>
            <w:tcW w:w="1218"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b w:val="0"/>
                <w:bCs w:val="0"/>
                <w:sz w:val="24"/>
              </w:rPr>
              <w:t>0～</w:t>
            </w:r>
            <w:r>
              <w:rPr>
                <w:rFonts w:hint="eastAsia" w:ascii="宋体" w:hAnsi="宋体"/>
                <w:b w:val="0"/>
                <w:bCs w:val="0"/>
                <w:sz w:val="24"/>
                <w:lang w:val="en-US" w:eastAsia="zh-CN"/>
              </w:rPr>
              <w:t>10</w:t>
            </w:r>
            <w:r>
              <w:rPr>
                <w:rFonts w:hint="eastAsia" w:ascii="宋体" w:hAnsi="宋体"/>
                <w:b w:val="0"/>
                <w:bCs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6" w:hRule="atLeast"/>
        </w:trPr>
        <w:tc>
          <w:tcPr>
            <w:tcW w:w="989" w:type="dxa"/>
            <w:vMerge w:val="continue"/>
            <w:tcBorders>
              <w:top w:val="single" w:color="auto" w:sz="4" w:space="0"/>
              <w:left w:val="single" w:color="auto" w:sz="4" w:space="0"/>
              <w:right w:val="single" w:color="auto" w:sz="4" w:space="0"/>
            </w:tcBorders>
            <w:vAlign w:val="center"/>
          </w:tcPr>
          <w:p>
            <w:pPr>
              <w:wordWrap/>
              <w:spacing w:line="520" w:lineRule="exact"/>
              <w:jc w:val="center"/>
              <w:rPr>
                <w:rFonts w:ascii="宋体" w:hAnsi="宋体" w:cs="宋体"/>
                <w:b w:val="0"/>
                <w:bCs w:val="0"/>
                <w:sz w:val="24"/>
              </w:rPr>
            </w:pPr>
          </w:p>
        </w:tc>
        <w:tc>
          <w:tcPr>
            <w:tcW w:w="795" w:type="dxa"/>
            <w:vMerge w:val="continue"/>
            <w:tcBorders>
              <w:top w:val="single" w:color="auto" w:sz="4" w:space="0"/>
              <w:left w:val="single" w:color="auto" w:sz="4" w:space="0"/>
              <w:right w:val="single" w:color="auto" w:sz="4" w:space="0"/>
            </w:tcBorders>
            <w:vAlign w:val="center"/>
          </w:tcPr>
          <w:p>
            <w:pPr>
              <w:wordWrap/>
              <w:spacing w:line="520" w:lineRule="exact"/>
              <w:jc w:val="center"/>
              <w:rPr>
                <w:rFonts w:ascii="宋体" w:hAnsi="宋体"/>
                <w:b w:val="0"/>
                <w:bCs w:val="0"/>
                <w:sz w:val="24"/>
              </w:rPr>
            </w:pPr>
          </w:p>
        </w:tc>
        <w:tc>
          <w:tcPr>
            <w:tcW w:w="5775" w:type="dxa"/>
            <w:tcBorders>
              <w:left w:val="single" w:color="auto" w:sz="4" w:space="0"/>
              <w:right w:val="single" w:color="auto" w:sz="4" w:space="0"/>
            </w:tcBorders>
            <w:vAlign w:val="center"/>
          </w:tcPr>
          <w:p>
            <w:pPr>
              <w:wordWrap/>
              <w:spacing w:line="520" w:lineRule="exact"/>
              <w:jc w:val="left"/>
              <w:rPr>
                <w:rFonts w:ascii="宋体" w:hAnsi="宋体"/>
                <w:b w:val="0"/>
                <w:bCs w:val="0"/>
                <w:sz w:val="24"/>
              </w:rPr>
            </w:pPr>
            <w:r>
              <w:rPr>
                <w:rFonts w:hint="eastAsia" w:ascii="宋体" w:hAnsi="宋体"/>
                <w:b w:val="0"/>
                <w:bCs w:val="0"/>
                <w:sz w:val="24"/>
                <w:lang w:eastAsia="zh-CN"/>
              </w:rPr>
              <w:t>报价人</w:t>
            </w:r>
            <w:r>
              <w:rPr>
                <w:rFonts w:hint="eastAsia" w:ascii="宋体" w:hAnsi="宋体"/>
                <w:b w:val="0"/>
                <w:bCs w:val="0"/>
                <w:sz w:val="24"/>
              </w:rPr>
              <w:t>具备类似</w:t>
            </w:r>
            <w:r>
              <w:rPr>
                <w:rFonts w:hint="eastAsia" w:ascii="宋体" w:hAnsi="宋体"/>
                <w:b w:val="0"/>
                <w:bCs w:val="0"/>
                <w:sz w:val="24"/>
                <w:lang w:val="en-US" w:eastAsia="zh-CN"/>
              </w:rPr>
              <w:t>项目</w:t>
            </w:r>
            <w:r>
              <w:rPr>
                <w:rFonts w:hint="eastAsia" w:ascii="宋体" w:hAnsi="宋体"/>
                <w:b w:val="0"/>
                <w:bCs w:val="0"/>
                <w:sz w:val="24"/>
              </w:rPr>
              <w:t>的业绩证明（提供</w:t>
            </w:r>
            <w:r>
              <w:rPr>
                <w:rFonts w:hint="eastAsia" w:ascii="宋体" w:hAnsi="宋体"/>
                <w:b w:val="0"/>
                <w:bCs w:val="0"/>
                <w:sz w:val="24"/>
                <w:lang w:val="en-US" w:eastAsia="zh-CN"/>
              </w:rPr>
              <w:t>3</w:t>
            </w:r>
            <w:r>
              <w:rPr>
                <w:rFonts w:hint="eastAsia" w:ascii="宋体" w:hAnsi="宋体"/>
                <w:b w:val="0"/>
                <w:bCs w:val="0"/>
                <w:sz w:val="24"/>
              </w:rPr>
              <w:t>例业绩得</w:t>
            </w:r>
            <w:r>
              <w:rPr>
                <w:rFonts w:hint="eastAsia" w:ascii="宋体" w:hAnsi="宋体"/>
                <w:b w:val="0"/>
                <w:bCs w:val="0"/>
                <w:sz w:val="24"/>
                <w:lang w:val="en-US" w:eastAsia="zh-CN"/>
              </w:rPr>
              <w:t>15</w:t>
            </w:r>
            <w:r>
              <w:rPr>
                <w:rFonts w:hint="eastAsia" w:ascii="宋体" w:hAnsi="宋体"/>
                <w:b w:val="0"/>
                <w:bCs w:val="0"/>
                <w:sz w:val="24"/>
              </w:rPr>
              <w:t>分，每增加1例加1分，最</w:t>
            </w:r>
            <w:r>
              <w:rPr>
                <w:rFonts w:hint="eastAsia" w:ascii="宋体" w:hAnsi="宋体"/>
                <w:b w:val="0"/>
                <w:bCs w:val="0"/>
                <w:sz w:val="24"/>
                <w:lang w:val="en-US" w:eastAsia="zh-CN"/>
              </w:rPr>
              <w:t>多20</w:t>
            </w:r>
            <w:r>
              <w:rPr>
                <w:rFonts w:hint="eastAsia" w:ascii="宋体" w:hAnsi="宋体"/>
                <w:b w:val="0"/>
                <w:bCs w:val="0"/>
                <w:sz w:val="24"/>
              </w:rPr>
              <w:t>分）</w:t>
            </w:r>
          </w:p>
        </w:tc>
        <w:tc>
          <w:tcPr>
            <w:tcW w:w="1218"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b w:val="0"/>
                <w:bCs w:val="0"/>
                <w:sz w:val="24"/>
              </w:rPr>
              <w:t>0～</w:t>
            </w:r>
            <w:r>
              <w:rPr>
                <w:rFonts w:hint="eastAsia" w:ascii="宋体" w:hAnsi="宋体"/>
                <w:b w:val="0"/>
                <w:bCs w:val="0"/>
                <w:sz w:val="24"/>
                <w:lang w:val="en-US" w:eastAsia="zh-CN"/>
              </w:rPr>
              <w:t>20</w:t>
            </w:r>
            <w:r>
              <w:rPr>
                <w:rFonts w:hint="eastAsia" w:ascii="宋体" w:hAnsi="宋体"/>
                <w:b w:val="0"/>
                <w:bCs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trPr>
        <w:tc>
          <w:tcPr>
            <w:tcW w:w="989" w:type="dxa"/>
            <w:vMerge w:val="restart"/>
            <w:tcBorders>
              <w:top w:val="single" w:color="auto" w:sz="4" w:space="0"/>
              <w:left w:val="single" w:color="auto" w:sz="4" w:space="0"/>
              <w:right w:val="single" w:color="auto" w:sz="4" w:space="0"/>
            </w:tcBorders>
            <w:vAlign w:val="center"/>
          </w:tcPr>
          <w:p>
            <w:pPr>
              <w:wordWrap/>
              <w:spacing w:line="520" w:lineRule="exact"/>
              <w:jc w:val="center"/>
              <w:rPr>
                <w:rFonts w:hint="eastAsia" w:ascii="宋体" w:hAnsi="宋体" w:cs="宋体"/>
                <w:b w:val="0"/>
                <w:bCs w:val="0"/>
                <w:sz w:val="24"/>
                <w:lang w:val="en-US" w:eastAsia="zh-CN"/>
              </w:rPr>
            </w:pPr>
            <w:r>
              <w:rPr>
                <w:rFonts w:hint="eastAsia" w:ascii="宋体" w:hAnsi="宋体" w:cs="宋体"/>
                <w:b w:val="0"/>
                <w:bCs w:val="0"/>
                <w:sz w:val="24"/>
                <w:lang w:val="en-US" w:eastAsia="zh-CN"/>
              </w:rPr>
              <w:t>技术</w:t>
            </w:r>
          </w:p>
          <w:p>
            <w:pPr>
              <w:wordWrap/>
              <w:spacing w:line="520" w:lineRule="exact"/>
              <w:jc w:val="center"/>
              <w:rPr>
                <w:rFonts w:hint="eastAsia" w:ascii="宋体" w:hAnsi="宋体" w:eastAsia="宋体" w:cs="宋体"/>
                <w:b w:val="0"/>
                <w:bCs w:val="0"/>
                <w:sz w:val="24"/>
                <w:lang w:val="en-US" w:eastAsia="zh-CN"/>
              </w:rPr>
            </w:pPr>
            <w:r>
              <w:rPr>
                <w:rFonts w:hint="eastAsia" w:ascii="宋体" w:hAnsi="宋体" w:cs="宋体"/>
                <w:b w:val="0"/>
                <w:bCs w:val="0"/>
                <w:sz w:val="24"/>
                <w:lang w:val="en-US" w:eastAsia="zh-CN"/>
              </w:rPr>
              <w:t>部分</w:t>
            </w:r>
          </w:p>
        </w:tc>
        <w:tc>
          <w:tcPr>
            <w:tcW w:w="795" w:type="dxa"/>
            <w:vMerge w:val="restart"/>
            <w:tcBorders>
              <w:top w:val="single" w:color="auto" w:sz="4" w:space="0"/>
              <w:left w:val="single" w:color="auto" w:sz="4" w:space="0"/>
              <w:right w:val="single" w:color="auto" w:sz="4" w:space="0"/>
            </w:tcBorders>
            <w:vAlign w:val="center"/>
          </w:tcPr>
          <w:p>
            <w:pPr>
              <w:wordWrap/>
              <w:spacing w:line="520" w:lineRule="exact"/>
              <w:jc w:val="center"/>
              <w:rPr>
                <w:rFonts w:hint="default" w:ascii="宋体" w:hAnsi="宋体" w:eastAsia="宋体"/>
                <w:b w:val="0"/>
                <w:bCs w:val="0"/>
                <w:sz w:val="24"/>
                <w:lang w:val="en-US" w:eastAsia="zh-CN"/>
              </w:rPr>
            </w:pPr>
            <w:r>
              <w:rPr>
                <w:rFonts w:hint="eastAsia" w:ascii="宋体" w:hAnsi="宋体"/>
                <w:b w:val="0"/>
                <w:bCs w:val="0"/>
                <w:sz w:val="24"/>
                <w:lang w:val="en-US" w:eastAsia="zh-CN"/>
              </w:rPr>
              <w:t>20分</w:t>
            </w:r>
          </w:p>
        </w:tc>
        <w:tc>
          <w:tcPr>
            <w:tcW w:w="5775" w:type="dxa"/>
            <w:tcBorders>
              <w:left w:val="single" w:color="auto" w:sz="4" w:space="0"/>
              <w:right w:val="single" w:color="auto" w:sz="4" w:space="0"/>
            </w:tcBorders>
            <w:vAlign w:val="center"/>
          </w:tcPr>
          <w:p>
            <w:pPr>
              <w:wordWrap/>
              <w:spacing w:line="520" w:lineRule="exact"/>
              <w:jc w:val="left"/>
              <w:rPr>
                <w:rFonts w:hint="eastAsia" w:ascii="宋体" w:hAnsi="宋体"/>
                <w:b/>
                <w:bCs/>
                <w:sz w:val="24"/>
                <w:lang w:eastAsia="zh-CN"/>
              </w:rPr>
            </w:pPr>
            <w:r>
              <w:rPr>
                <w:rFonts w:hint="eastAsia" w:ascii="宋体" w:hAnsi="宋体" w:eastAsia="宋体" w:cs="Times New Roman"/>
                <w:b w:val="0"/>
                <w:bCs w:val="0"/>
                <w:sz w:val="24"/>
                <w:lang w:val="en-US" w:eastAsia="zh-CN"/>
              </w:rPr>
              <w:t xml:space="preserve">质量管理计划全面、科学，且又针对性管理措施 </w:t>
            </w:r>
          </w:p>
        </w:tc>
        <w:tc>
          <w:tcPr>
            <w:tcW w:w="1218"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hint="eastAsia" w:ascii="宋体" w:hAnsi="宋体"/>
                <w:b w:val="0"/>
                <w:bCs w:val="0"/>
                <w:sz w:val="24"/>
              </w:rPr>
            </w:pPr>
            <w:r>
              <w:rPr>
                <w:rFonts w:hint="eastAsia" w:ascii="宋体" w:hAnsi="宋体" w:eastAsia="宋体" w:cs="Times New Roman"/>
                <w:b w:val="0"/>
                <w:bCs w:val="0"/>
                <w:sz w:val="24"/>
                <w:lang w:val="en-US" w:eastAsia="zh-CN"/>
              </w:rPr>
              <w:t>0-10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6" w:hRule="atLeast"/>
        </w:trPr>
        <w:tc>
          <w:tcPr>
            <w:tcW w:w="989" w:type="dxa"/>
            <w:vMerge w:val="continue"/>
            <w:tcBorders>
              <w:left w:val="single" w:color="auto" w:sz="4" w:space="0"/>
              <w:right w:val="single" w:color="auto" w:sz="4" w:space="0"/>
            </w:tcBorders>
            <w:vAlign w:val="center"/>
          </w:tcPr>
          <w:p>
            <w:pPr>
              <w:wordWrap/>
              <w:spacing w:line="520" w:lineRule="exact"/>
              <w:jc w:val="center"/>
              <w:rPr>
                <w:rFonts w:ascii="宋体" w:hAnsi="宋体" w:cs="宋体"/>
                <w:b w:val="0"/>
                <w:bCs w:val="0"/>
                <w:sz w:val="24"/>
              </w:rPr>
            </w:pPr>
          </w:p>
        </w:tc>
        <w:tc>
          <w:tcPr>
            <w:tcW w:w="795" w:type="dxa"/>
            <w:vMerge w:val="continue"/>
            <w:tcBorders>
              <w:left w:val="single" w:color="auto" w:sz="4" w:space="0"/>
              <w:right w:val="single" w:color="auto" w:sz="4" w:space="0"/>
            </w:tcBorders>
            <w:vAlign w:val="center"/>
          </w:tcPr>
          <w:p>
            <w:pPr>
              <w:wordWrap/>
              <w:spacing w:line="520" w:lineRule="exact"/>
              <w:jc w:val="center"/>
              <w:rPr>
                <w:rFonts w:ascii="宋体" w:hAnsi="宋体"/>
                <w:b w:val="0"/>
                <w:bCs w:val="0"/>
                <w:sz w:val="24"/>
              </w:rPr>
            </w:pPr>
          </w:p>
        </w:tc>
        <w:tc>
          <w:tcPr>
            <w:tcW w:w="5775" w:type="dxa"/>
            <w:tcBorders>
              <w:left w:val="single" w:color="auto" w:sz="4" w:space="0"/>
              <w:right w:val="single" w:color="auto" w:sz="4" w:space="0"/>
            </w:tcBorders>
            <w:vAlign w:val="center"/>
          </w:tcPr>
          <w:p>
            <w:pPr>
              <w:wordWrap/>
              <w:spacing w:line="520" w:lineRule="exact"/>
              <w:jc w:val="left"/>
              <w:rPr>
                <w:rFonts w:hint="eastAsia" w:ascii="宋体" w:hAnsi="宋体"/>
                <w:b w:val="0"/>
                <w:bCs w:val="0"/>
                <w:sz w:val="24"/>
                <w:lang w:eastAsia="zh-CN"/>
              </w:rPr>
            </w:pPr>
            <w:r>
              <w:rPr>
                <w:rFonts w:hint="eastAsia" w:ascii="宋体" w:hAnsi="宋体" w:eastAsia="宋体" w:cs="Times New Roman"/>
                <w:b w:val="0"/>
                <w:bCs w:val="0"/>
                <w:sz w:val="24"/>
                <w:lang w:val="en-US" w:eastAsia="zh-CN"/>
              </w:rPr>
              <w:t xml:space="preserve">报价人的项目经理、人员配置、专业性、 技术力量、行业项目经验、各专业配合协调能力等综合实力进行评审，优良得10-8 分，相对一般得7-5 分，相对较差得4-1分。 </w:t>
            </w:r>
          </w:p>
        </w:tc>
        <w:tc>
          <w:tcPr>
            <w:tcW w:w="1218"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hint="eastAsia" w:ascii="宋体" w:hAnsi="宋体"/>
                <w:b w:val="0"/>
                <w:bCs w:val="0"/>
                <w:sz w:val="24"/>
              </w:rPr>
            </w:pPr>
            <w:r>
              <w:rPr>
                <w:rFonts w:hint="eastAsia" w:ascii="宋体" w:hAnsi="宋体" w:eastAsia="宋体" w:cs="Times New Roman"/>
                <w:b w:val="0"/>
                <w:bCs w:val="0"/>
                <w:sz w:val="24"/>
                <w:lang w:val="en-US" w:eastAsia="zh-CN"/>
              </w:rPr>
              <w:t>0-10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9" w:hRule="atLeast"/>
        </w:trPr>
        <w:tc>
          <w:tcPr>
            <w:tcW w:w="989"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hint="eastAsia" w:ascii="宋体" w:hAnsi="宋体" w:eastAsia="宋体" w:cs="宋体"/>
                <w:b w:val="0"/>
                <w:bCs w:val="0"/>
                <w:sz w:val="24"/>
                <w:lang w:eastAsia="zh-CN"/>
              </w:rPr>
            </w:pPr>
            <w:r>
              <w:rPr>
                <w:rFonts w:hint="eastAsia" w:ascii="宋体" w:hAnsi="宋体" w:cs="宋体"/>
                <w:b w:val="0"/>
                <w:bCs w:val="0"/>
                <w:sz w:val="24"/>
                <w:lang w:eastAsia="zh-CN"/>
              </w:rPr>
              <w:t>报价人</w:t>
            </w:r>
          </w:p>
          <w:p>
            <w:pPr>
              <w:wordWrap/>
              <w:spacing w:line="520" w:lineRule="exact"/>
              <w:jc w:val="center"/>
              <w:rPr>
                <w:rFonts w:ascii="宋体" w:hAnsi="宋体"/>
                <w:b w:val="0"/>
                <w:bCs w:val="0"/>
                <w:sz w:val="24"/>
              </w:rPr>
            </w:pPr>
            <w:r>
              <w:rPr>
                <w:rFonts w:hint="eastAsia" w:ascii="宋体" w:hAnsi="宋体" w:cs="宋体"/>
                <w:b w:val="0"/>
                <w:bCs w:val="0"/>
                <w:sz w:val="24"/>
              </w:rPr>
              <w:t>报价</w:t>
            </w:r>
          </w:p>
        </w:tc>
        <w:tc>
          <w:tcPr>
            <w:tcW w:w="795" w:type="dxa"/>
            <w:tcBorders>
              <w:top w:val="single" w:color="auto" w:sz="4" w:space="0"/>
              <w:left w:val="single" w:color="auto" w:sz="4" w:space="0"/>
              <w:bottom w:val="single" w:color="auto" w:sz="4" w:space="0"/>
              <w:right w:val="single" w:color="auto" w:sz="4" w:space="0"/>
            </w:tcBorders>
            <w:vAlign w:val="center"/>
          </w:tcPr>
          <w:p>
            <w:pPr>
              <w:wordWrap/>
              <w:spacing w:line="520" w:lineRule="exact"/>
              <w:jc w:val="center"/>
              <w:rPr>
                <w:rFonts w:ascii="宋体" w:hAnsi="宋体"/>
                <w:b w:val="0"/>
                <w:bCs w:val="0"/>
                <w:sz w:val="24"/>
              </w:rPr>
            </w:pPr>
            <w:r>
              <w:rPr>
                <w:rFonts w:hint="eastAsia" w:ascii="宋体" w:hAnsi="宋体"/>
                <w:b w:val="0"/>
                <w:bCs w:val="0"/>
                <w:sz w:val="24"/>
                <w:lang w:val="en-US" w:eastAsia="zh-CN"/>
              </w:rPr>
              <w:t>50</w:t>
            </w:r>
            <w:r>
              <w:rPr>
                <w:rFonts w:hint="eastAsia" w:ascii="宋体" w:hAnsi="宋体"/>
                <w:b w:val="0"/>
                <w:bCs w:val="0"/>
                <w:sz w:val="24"/>
              </w:rPr>
              <w:t>分</w:t>
            </w:r>
          </w:p>
        </w:tc>
        <w:tc>
          <w:tcPr>
            <w:tcW w:w="6993" w:type="dxa"/>
            <w:gridSpan w:val="2"/>
            <w:tcBorders>
              <w:top w:val="single" w:color="auto" w:sz="4" w:space="0"/>
              <w:left w:val="single" w:color="auto" w:sz="4" w:space="0"/>
              <w:bottom w:val="single" w:color="auto" w:sz="4" w:space="0"/>
              <w:right w:val="single" w:color="auto" w:sz="4" w:space="0"/>
            </w:tcBorders>
            <w:vAlign w:val="center"/>
          </w:tcPr>
          <w:p>
            <w:pPr>
              <w:pStyle w:val="215"/>
              <w:numPr>
                <w:ilvl w:val="2"/>
                <w:numId w:val="0"/>
              </w:numPr>
              <w:wordWrap/>
              <w:spacing w:line="520" w:lineRule="exact"/>
              <w:ind w:right="210"/>
              <w:rPr>
                <w:rFonts w:hint="eastAsia" w:ascii="仿宋" w:hAnsi="仿宋" w:eastAsia="仿宋" w:cs="仿宋"/>
                <w:b w:val="0"/>
                <w:bCs w:val="0"/>
                <w:highlight w:val="yellow"/>
                <w:lang w:val="en-US"/>
              </w:rPr>
            </w:pPr>
            <w:r>
              <w:rPr>
                <w:rFonts w:hint="eastAsia" w:ascii="宋体" w:hAnsi="宋体" w:eastAsia="宋体" w:cs="Times New Roman"/>
                <w:b w:val="0"/>
                <w:bCs w:val="0"/>
                <w:spacing w:val="0"/>
                <w:kern w:val="2"/>
                <w:sz w:val="24"/>
                <w:szCs w:val="30"/>
                <w:lang w:val="en-US" w:eastAsia="zh-CN" w:bidi="ar-SA"/>
              </w:rPr>
              <w:t>该项得分满分为</w:t>
            </w:r>
            <w:r>
              <w:rPr>
                <w:rFonts w:hint="eastAsia" w:eastAsia="宋体" w:cs="Times New Roman"/>
                <w:b w:val="0"/>
                <w:bCs w:val="0"/>
                <w:spacing w:val="0"/>
                <w:kern w:val="2"/>
                <w:sz w:val="24"/>
                <w:szCs w:val="30"/>
                <w:lang w:val="en-US" w:eastAsia="zh-CN" w:bidi="ar-SA"/>
              </w:rPr>
              <w:t>50</w:t>
            </w:r>
            <w:r>
              <w:rPr>
                <w:rFonts w:hint="eastAsia" w:ascii="宋体" w:hAnsi="宋体" w:eastAsia="宋体" w:cs="Times New Roman"/>
                <w:b w:val="0"/>
                <w:bCs w:val="0"/>
                <w:spacing w:val="0"/>
                <w:kern w:val="2"/>
                <w:sz w:val="24"/>
                <w:szCs w:val="30"/>
                <w:lang w:val="en-US" w:eastAsia="zh-CN" w:bidi="ar-SA"/>
              </w:rPr>
              <w:t>分。</w:t>
            </w:r>
            <w:r>
              <w:rPr>
                <w:rFonts w:hint="eastAsia" w:eastAsia="宋体" w:cs="Times New Roman"/>
                <w:b w:val="0"/>
                <w:bCs w:val="0"/>
                <w:spacing w:val="0"/>
                <w:kern w:val="2"/>
                <w:sz w:val="24"/>
                <w:szCs w:val="30"/>
                <w:lang w:val="en-US" w:eastAsia="zh-CN" w:bidi="ar-SA"/>
              </w:rPr>
              <w:t>以有效报价人的平均价作为</w:t>
            </w:r>
            <w:r>
              <w:rPr>
                <w:rFonts w:hint="eastAsia" w:ascii="宋体" w:hAnsi="宋体" w:eastAsia="宋体" w:cs="Times New Roman"/>
                <w:b w:val="0"/>
                <w:bCs w:val="0"/>
                <w:spacing w:val="0"/>
                <w:kern w:val="2"/>
                <w:sz w:val="24"/>
                <w:szCs w:val="30"/>
                <w:lang w:val="en-US" w:eastAsia="zh-CN" w:bidi="ar-SA"/>
              </w:rPr>
              <w:t>基准报价，</w:t>
            </w:r>
            <w:r>
              <w:rPr>
                <w:rFonts w:hint="eastAsia" w:eastAsia="宋体" w:cs="Times New Roman"/>
                <w:b w:val="0"/>
                <w:bCs w:val="0"/>
                <w:spacing w:val="0"/>
                <w:kern w:val="2"/>
                <w:sz w:val="24"/>
                <w:szCs w:val="30"/>
                <w:lang w:val="en-US" w:eastAsia="zh-CN" w:bidi="ar-SA"/>
              </w:rPr>
              <w:t>报价人的评标价</w:t>
            </w:r>
            <w:r>
              <w:rPr>
                <w:rFonts w:hint="eastAsia" w:ascii="宋体" w:hAnsi="宋体" w:eastAsia="宋体" w:cs="Times New Roman"/>
                <w:b w:val="0"/>
                <w:bCs w:val="0"/>
                <w:spacing w:val="0"/>
                <w:kern w:val="2"/>
                <w:sz w:val="24"/>
                <w:szCs w:val="30"/>
                <w:lang w:val="en-US" w:eastAsia="zh-CN" w:bidi="ar-SA"/>
              </w:rPr>
              <w:t>等于基准价</w:t>
            </w:r>
            <w:r>
              <w:rPr>
                <w:rFonts w:hint="eastAsia" w:eastAsia="宋体" w:cs="Times New Roman"/>
                <w:b w:val="0"/>
                <w:bCs w:val="0"/>
                <w:spacing w:val="0"/>
                <w:kern w:val="2"/>
                <w:sz w:val="24"/>
                <w:szCs w:val="30"/>
                <w:lang w:val="en-US" w:eastAsia="zh-CN" w:bidi="ar-SA"/>
              </w:rPr>
              <w:t>的</w:t>
            </w:r>
            <w:r>
              <w:rPr>
                <w:rFonts w:hint="eastAsia" w:ascii="宋体" w:hAnsi="宋体" w:eastAsia="宋体" w:cs="Times New Roman"/>
                <w:b w:val="0"/>
                <w:bCs w:val="0"/>
                <w:spacing w:val="0"/>
                <w:kern w:val="2"/>
                <w:sz w:val="24"/>
                <w:szCs w:val="30"/>
                <w:lang w:val="en-US" w:eastAsia="zh-CN" w:bidi="ar-SA"/>
              </w:rPr>
              <w:t>得</w:t>
            </w:r>
            <w:r>
              <w:rPr>
                <w:rFonts w:hint="eastAsia" w:eastAsia="宋体" w:cs="Times New Roman"/>
                <w:b w:val="0"/>
                <w:bCs w:val="0"/>
                <w:spacing w:val="0"/>
                <w:kern w:val="2"/>
                <w:sz w:val="24"/>
                <w:szCs w:val="30"/>
                <w:lang w:val="en-US" w:eastAsia="zh-CN" w:bidi="ar-SA"/>
              </w:rPr>
              <w:t>45</w:t>
            </w:r>
            <w:r>
              <w:rPr>
                <w:rFonts w:hint="eastAsia" w:ascii="宋体" w:hAnsi="宋体" w:eastAsia="宋体" w:cs="Times New Roman"/>
                <w:b w:val="0"/>
                <w:bCs w:val="0"/>
                <w:spacing w:val="0"/>
                <w:kern w:val="2"/>
                <w:sz w:val="24"/>
                <w:szCs w:val="30"/>
                <w:lang w:val="en-US" w:eastAsia="zh-CN" w:bidi="ar-SA"/>
              </w:rPr>
              <w:t>分</w:t>
            </w:r>
            <w:r>
              <w:rPr>
                <w:rFonts w:hint="eastAsia" w:eastAsia="宋体" w:cs="Times New Roman"/>
                <w:b w:val="0"/>
                <w:bCs w:val="0"/>
                <w:spacing w:val="0"/>
                <w:kern w:val="2"/>
                <w:sz w:val="24"/>
                <w:szCs w:val="30"/>
                <w:lang w:val="en-US" w:eastAsia="zh-CN" w:bidi="ar-SA"/>
              </w:rPr>
              <w:t>；报价</w:t>
            </w:r>
            <w:r>
              <w:rPr>
                <w:rFonts w:hint="eastAsia" w:ascii="宋体" w:hAnsi="宋体" w:eastAsia="宋体" w:cs="Times New Roman"/>
                <w:b w:val="0"/>
                <w:bCs w:val="0"/>
                <w:spacing w:val="0"/>
                <w:kern w:val="2"/>
                <w:sz w:val="24"/>
                <w:szCs w:val="30"/>
                <w:lang w:val="en-US" w:eastAsia="zh-CN" w:bidi="ar-SA"/>
              </w:rPr>
              <w:t>每高于基准价1%，</w:t>
            </w:r>
            <w:r>
              <w:rPr>
                <w:rFonts w:hint="eastAsia" w:eastAsia="宋体" w:cs="Times New Roman"/>
                <w:b w:val="0"/>
                <w:bCs w:val="0"/>
                <w:spacing w:val="0"/>
                <w:kern w:val="2"/>
                <w:sz w:val="24"/>
                <w:szCs w:val="30"/>
                <w:lang w:val="en-US" w:eastAsia="zh-CN" w:bidi="ar-SA"/>
              </w:rPr>
              <w:t>扣1</w:t>
            </w:r>
            <w:r>
              <w:rPr>
                <w:rFonts w:hint="eastAsia" w:ascii="宋体" w:hAnsi="宋体" w:eastAsia="宋体" w:cs="Times New Roman"/>
                <w:b w:val="0"/>
                <w:bCs w:val="0"/>
                <w:spacing w:val="0"/>
                <w:kern w:val="2"/>
                <w:sz w:val="24"/>
                <w:szCs w:val="30"/>
                <w:lang w:val="en-US" w:eastAsia="zh-CN" w:bidi="ar-SA"/>
              </w:rPr>
              <w:t>分，最多</w:t>
            </w:r>
            <w:r>
              <w:rPr>
                <w:rFonts w:hint="eastAsia" w:eastAsia="宋体" w:cs="Times New Roman"/>
                <w:b w:val="0"/>
                <w:bCs w:val="0"/>
                <w:spacing w:val="0"/>
                <w:kern w:val="2"/>
                <w:sz w:val="24"/>
                <w:szCs w:val="30"/>
                <w:lang w:val="en-US" w:eastAsia="zh-CN" w:bidi="ar-SA"/>
              </w:rPr>
              <w:t>扣5</w:t>
            </w:r>
            <w:r>
              <w:rPr>
                <w:rFonts w:hint="eastAsia" w:ascii="宋体" w:hAnsi="宋体" w:eastAsia="宋体" w:cs="Times New Roman"/>
                <w:b w:val="0"/>
                <w:bCs w:val="0"/>
                <w:spacing w:val="0"/>
                <w:kern w:val="2"/>
                <w:sz w:val="24"/>
                <w:szCs w:val="30"/>
                <w:lang w:val="en-US" w:eastAsia="zh-CN" w:bidi="ar-SA"/>
              </w:rPr>
              <w:t>分；</w:t>
            </w:r>
            <w:r>
              <w:rPr>
                <w:rFonts w:hint="eastAsia" w:eastAsia="宋体" w:cs="Times New Roman"/>
                <w:b w:val="0"/>
                <w:bCs w:val="0"/>
                <w:spacing w:val="0"/>
                <w:kern w:val="2"/>
                <w:sz w:val="24"/>
                <w:szCs w:val="30"/>
                <w:lang w:val="en-US" w:eastAsia="zh-CN" w:bidi="ar-SA"/>
              </w:rPr>
              <w:t>报价</w:t>
            </w:r>
            <w:r>
              <w:rPr>
                <w:rFonts w:hint="eastAsia" w:ascii="宋体" w:hAnsi="宋体" w:eastAsia="宋体" w:cs="Times New Roman"/>
                <w:b w:val="0"/>
                <w:bCs w:val="0"/>
                <w:spacing w:val="0"/>
                <w:kern w:val="2"/>
                <w:sz w:val="24"/>
                <w:szCs w:val="30"/>
                <w:lang w:val="en-US" w:eastAsia="zh-CN" w:bidi="ar-SA"/>
              </w:rPr>
              <w:t>每</w:t>
            </w:r>
            <w:r>
              <w:rPr>
                <w:rFonts w:hint="eastAsia" w:eastAsia="宋体" w:cs="Times New Roman"/>
                <w:b w:val="0"/>
                <w:bCs w:val="0"/>
                <w:spacing w:val="0"/>
                <w:kern w:val="2"/>
                <w:sz w:val="24"/>
                <w:szCs w:val="30"/>
                <w:lang w:val="en-US" w:eastAsia="zh-CN" w:bidi="ar-SA"/>
              </w:rPr>
              <w:t>低</w:t>
            </w:r>
            <w:r>
              <w:rPr>
                <w:rFonts w:hint="eastAsia" w:ascii="宋体" w:hAnsi="宋体" w:eastAsia="宋体" w:cs="Times New Roman"/>
                <w:b w:val="0"/>
                <w:bCs w:val="0"/>
                <w:spacing w:val="0"/>
                <w:kern w:val="2"/>
                <w:sz w:val="24"/>
                <w:szCs w:val="30"/>
                <w:lang w:val="en-US" w:eastAsia="zh-CN" w:bidi="ar-SA"/>
              </w:rPr>
              <w:t>于基准价1%，</w:t>
            </w:r>
            <w:r>
              <w:rPr>
                <w:rFonts w:hint="eastAsia" w:eastAsia="宋体" w:cs="Times New Roman"/>
                <w:b w:val="0"/>
                <w:bCs w:val="0"/>
                <w:spacing w:val="0"/>
                <w:kern w:val="2"/>
                <w:sz w:val="24"/>
                <w:szCs w:val="30"/>
                <w:lang w:val="en-US" w:eastAsia="zh-CN" w:bidi="ar-SA"/>
              </w:rPr>
              <w:t>加1</w:t>
            </w:r>
            <w:r>
              <w:rPr>
                <w:rFonts w:hint="eastAsia" w:ascii="宋体" w:hAnsi="宋体" w:eastAsia="宋体" w:cs="Times New Roman"/>
                <w:b w:val="0"/>
                <w:bCs w:val="0"/>
                <w:spacing w:val="0"/>
                <w:kern w:val="2"/>
                <w:sz w:val="24"/>
                <w:szCs w:val="30"/>
                <w:lang w:val="en-US" w:eastAsia="zh-CN" w:bidi="ar-SA"/>
              </w:rPr>
              <w:t>分，最多</w:t>
            </w:r>
            <w:r>
              <w:rPr>
                <w:rFonts w:hint="eastAsia" w:eastAsia="宋体" w:cs="Times New Roman"/>
                <w:b w:val="0"/>
                <w:bCs w:val="0"/>
                <w:spacing w:val="0"/>
                <w:kern w:val="2"/>
                <w:sz w:val="24"/>
                <w:szCs w:val="30"/>
                <w:lang w:val="en-US" w:eastAsia="zh-CN" w:bidi="ar-SA"/>
              </w:rPr>
              <w:t>5</w:t>
            </w:r>
            <w:r>
              <w:rPr>
                <w:rFonts w:hint="eastAsia" w:ascii="宋体" w:hAnsi="宋体" w:eastAsia="宋体" w:cs="Times New Roman"/>
                <w:b w:val="0"/>
                <w:bCs w:val="0"/>
                <w:spacing w:val="0"/>
                <w:kern w:val="2"/>
                <w:sz w:val="24"/>
                <w:szCs w:val="30"/>
                <w:lang w:val="en-US" w:eastAsia="zh-CN" w:bidi="ar-SA"/>
              </w:rPr>
              <w:t>分</w:t>
            </w:r>
            <w:r>
              <w:rPr>
                <w:rFonts w:hint="eastAsia" w:eastAsia="宋体" w:cs="Times New Roman"/>
                <w:b w:val="0"/>
                <w:bCs w:val="0"/>
                <w:spacing w:val="0"/>
                <w:kern w:val="2"/>
                <w:sz w:val="24"/>
                <w:szCs w:val="30"/>
                <w:lang w:val="en-US" w:eastAsia="zh-CN" w:bidi="ar-SA"/>
              </w:rPr>
              <w:t>；</w:t>
            </w:r>
            <w:r>
              <w:rPr>
                <w:rFonts w:hint="eastAsia" w:ascii="宋体" w:hAnsi="宋体" w:eastAsia="宋体" w:cs="Times New Roman"/>
                <w:b w:val="0"/>
                <w:bCs w:val="0"/>
                <w:spacing w:val="0"/>
                <w:kern w:val="2"/>
                <w:sz w:val="24"/>
                <w:szCs w:val="30"/>
                <w:lang w:val="en-US" w:eastAsia="zh-CN" w:bidi="ar-SA"/>
              </w:rPr>
              <w:t>不足1%按插入法计算，小数点后保留2位。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989" w:type="dxa"/>
            <w:tcBorders>
              <w:top w:val="single" w:color="auto" w:sz="4" w:space="0"/>
              <w:left w:val="single" w:color="auto" w:sz="4" w:space="0"/>
              <w:bottom w:val="single" w:color="auto" w:sz="4" w:space="0"/>
              <w:right w:val="single" w:color="auto" w:sz="4" w:space="0"/>
            </w:tcBorders>
            <w:vAlign w:val="center"/>
          </w:tcPr>
          <w:p>
            <w:pPr>
              <w:widowControl w:val="0"/>
              <w:wordWrap/>
              <w:adjustRightInd/>
              <w:snapToGrid/>
              <w:spacing w:line="520" w:lineRule="exact"/>
              <w:jc w:val="center"/>
              <w:textAlignment w:val="auto"/>
              <w:rPr>
                <w:rFonts w:ascii="宋体" w:hAnsi="宋体" w:cs="宋体"/>
                <w:b w:val="0"/>
                <w:bCs w:val="0"/>
                <w:sz w:val="24"/>
              </w:rPr>
            </w:pPr>
            <w:r>
              <w:rPr>
                <w:rFonts w:hint="eastAsia" w:ascii="宋体" w:hAnsi="宋体" w:cs="宋体"/>
                <w:b w:val="0"/>
                <w:bCs w:val="0"/>
                <w:sz w:val="24"/>
              </w:rPr>
              <w:t>合计</w:t>
            </w:r>
          </w:p>
        </w:tc>
        <w:tc>
          <w:tcPr>
            <w:tcW w:w="795" w:type="dxa"/>
            <w:tcBorders>
              <w:top w:val="single" w:color="auto" w:sz="4" w:space="0"/>
              <w:left w:val="single" w:color="auto" w:sz="4" w:space="0"/>
              <w:bottom w:val="single" w:color="auto" w:sz="4" w:space="0"/>
              <w:right w:val="single" w:color="auto" w:sz="4" w:space="0"/>
            </w:tcBorders>
            <w:vAlign w:val="center"/>
          </w:tcPr>
          <w:p>
            <w:pPr>
              <w:widowControl w:val="0"/>
              <w:wordWrap/>
              <w:adjustRightInd/>
              <w:snapToGrid/>
              <w:spacing w:line="520" w:lineRule="exact"/>
              <w:jc w:val="center"/>
              <w:textAlignment w:val="auto"/>
              <w:rPr>
                <w:rFonts w:ascii="宋体" w:hAnsi="宋体"/>
                <w:b w:val="0"/>
                <w:bCs w:val="0"/>
                <w:sz w:val="24"/>
              </w:rPr>
            </w:pPr>
            <w:r>
              <w:rPr>
                <w:rFonts w:hint="eastAsia" w:ascii="宋体" w:hAnsi="宋体"/>
                <w:b w:val="0"/>
                <w:bCs w:val="0"/>
                <w:sz w:val="24"/>
              </w:rPr>
              <w:t>10</w:t>
            </w:r>
            <w:r>
              <w:rPr>
                <w:rFonts w:hint="eastAsia" w:ascii="宋体" w:hAnsi="宋体"/>
                <w:b w:val="0"/>
                <w:bCs w:val="0"/>
                <w:sz w:val="24"/>
                <w:lang w:val="en-US" w:eastAsia="zh-CN"/>
              </w:rPr>
              <w:t>0</w:t>
            </w:r>
            <w:r>
              <w:rPr>
                <w:rFonts w:hint="eastAsia" w:ascii="宋体" w:hAnsi="宋体"/>
                <w:b w:val="0"/>
                <w:bCs w:val="0"/>
                <w:sz w:val="24"/>
              </w:rPr>
              <w:t>分</w:t>
            </w:r>
          </w:p>
        </w:tc>
        <w:tc>
          <w:tcPr>
            <w:tcW w:w="6993" w:type="dxa"/>
            <w:gridSpan w:val="2"/>
            <w:tcBorders>
              <w:top w:val="single" w:color="auto" w:sz="4" w:space="0"/>
              <w:left w:val="single" w:color="auto" w:sz="4" w:space="0"/>
              <w:bottom w:val="single" w:color="auto" w:sz="4" w:space="0"/>
              <w:right w:val="single" w:color="auto" w:sz="4" w:space="0"/>
            </w:tcBorders>
            <w:vAlign w:val="center"/>
          </w:tcPr>
          <w:p>
            <w:pPr>
              <w:widowControl w:val="0"/>
              <w:wordWrap/>
              <w:adjustRightInd/>
              <w:snapToGrid/>
              <w:spacing w:line="520" w:lineRule="exact"/>
              <w:jc w:val="center"/>
              <w:textAlignment w:val="auto"/>
              <w:rPr>
                <w:rFonts w:ascii="宋体" w:hAnsi="宋体"/>
                <w:b w:val="0"/>
                <w:bCs w:val="0"/>
                <w:sz w:val="24"/>
              </w:rPr>
            </w:pPr>
          </w:p>
        </w:tc>
      </w:tr>
    </w:tbl>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w:t>
      </w:r>
      <w:r>
        <w:rPr>
          <w:rFonts w:hint="eastAsia" w:ascii="宋体" w:hAnsi="宋体" w:cs="宋体"/>
          <w:b w:val="0"/>
          <w:bCs w:val="0"/>
          <w:sz w:val="24"/>
          <w:szCs w:val="24"/>
          <w:highlight w:val="none"/>
          <w:lang w:eastAsia="zh-CN"/>
        </w:rPr>
        <w:t>或</w:t>
      </w:r>
      <w:r>
        <w:rPr>
          <w:rFonts w:hint="eastAsia" w:ascii="宋体" w:hAnsi="宋体" w:cs="宋体"/>
          <w:b w:val="0"/>
          <w:bCs w:val="0"/>
          <w:sz w:val="24"/>
          <w:szCs w:val="24"/>
          <w:highlight w:val="none"/>
        </w:rPr>
        <w:t>传真形式</w:t>
      </w:r>
      <w:r>
        <w:rPr>
          <w:rFonts w:hint="eastAsia" w:ascii="宋体" w:hAnsi="宋体" w:cs="宋体"/>
          <w:b w:val="0"/>
          <w:bCs w:val="0"/>
          <w:sz w:val="24"/>
          <w:szCs w:val="24"/>
          <w:highlight w:val="none"/>
          <w:lang w:eastAsia="zh-CN"/>
        </w:rPr>
        <w:t>等方式</w:t>
      </w:r>
      <w:r>
        <w:rPr>
          <w:rFonts w:hint="eastAsia" w:ascii="宋体" w:hAnsi="宋体" w:cs="宋体"/>
          <w:b w:val="0"/>
          <w:bCs w:val="0"/>
          <w:sz w:val="24"/>
          <w:szCs w:val="24"/>
          <w:highlight w:val="none"/>
        </w:rPr>
        <w:t>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提供环境污染强制责任保险保单</w:t>
      </w:r>
      <w:r>
        <w:rPr>
          <w:rFonts w:hint="eastAsia" w:ascii="宋体" w:hAnsi="宋体" w:eastAsia="宋体" w:cs="宋体"/>
          <w:b w:val="0"/>
          <w:bCs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、支付方式：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（1）乙方提交环境污染强制责任保险保单及增值税发票后，支付费用的100%，一次结清。</w:t>
      </w:r>
    </w:p>
    <w:p>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宋体" w:hAnsi="宋体" w:eastAsia="宋体" w:cs="宋体"/>
          <w:b w:val="0"/>
          <w:bCs w:val="0"/>
          <w:sz w:val="24"/>
          <w:szCs w:val="24"/>
          <w:highlight w:val="none"/>
          <w:lang w:val="en-US" w:eastAsia="zh-CN"/>
        </w:rPr>
        <w:t>（2）甲方付款前，乙方应当按照甲方财务要求提供相应的税务发票和所需的票据，甲、乙双方均认可乙方提供发票为乙方的重大义务，如乙方未能完全履行该等义务，则甲方有权拒付相应款项。</w:t>
      </w:r>
    </w:p>
    <w:p>
      <w:pPr>
        <w:rPr>
          <w:rFonts w:hint="eastAsia" w:ascii="黑体" w:hAnsi="黑体" w:eastAsia="黑体" w:cs="黑体"/>
          <w:b w:val="0"/>
          <w:bCs w:val="0"/>
          <w:smallCaps/>
          <w:spacing w:val="14"/>
          <w:kern w:val="20"/>
          <w:highlight w:val="none"/>
          <w:lang w:eastAsia="zh-CN"/>
        </w:rPr>
      </w:pPr>
    </w:p>
    <w:p>
      <w:pPr>
        <w:pStyle w:val="16"/>
      </w:pPr>
    </w:p>
    <w:p>
      <w:pPr>
        <w:pStyle w:val="16"/>
      </w:pPr>
    </w:p>
    <w:p>
      <w:pPr>
        <w:pStyle w:val="16"/>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spacing w:line="360" w:lineRule="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1、出现保全损失事件后，由保险人组织现场勘查和界定。</w:t>
      </w:r>
    </w:p>
    <w:p>
      <w:pPr>
        <w:spacing w:line="360" w:lineRule="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2、赔偿金额：赔偿限额不低于保全金额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3.服务期间，报价单位对理赔情况进行详细而全面的评估，理赔必须达到或超过本合同约定的标准。</w:t>
      </w:r>
    </w:p>
    <w:p>
      <w:pPr>
        <w:pStyle w:val="16"/>
        <w:numPr>
          <w:ilvl w:val="0"/>
          <w:numId w:val="0"/>
        </w:numPr>
        <w:rPr>
          <w:rFonts w:hint="default" w:eastAsia="宋体"/>
          <w:highlight w:val="red"/>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hint="eastAsia" w:ascii="宋体"/>
          <w:b w:val="0"/>
          <w:bCs w:val="0"/>
          <w:sz w:val="28"/>
          <w:szCs w:val="28"/>
          <w:highlight w:val="yellow"/>
          <w:lang w:eastAsia="zh-CN"/>
        </w:rPr>
        <w:t>备注：报价人请将文件名称设置为</w:t>
      </w:r>
      <w:r>
        <w:rPr>
          <w:rFonts w:hint="eastAsia" w:ascii="宋体"/>
          <w:b w:val="0"/>
          <w:bCs w:val="0"/>
          <w:sz w:val="28"/>
          <w:szCs w:val="28"/>
          <w:highlight w:val="yellow"/>
          <w:lang w:val="en-US" w:eastAsia="zh-CN"/>
        </w:rPr>
        <w:t>XXX单位报价书</w:t>
      </w: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6"/>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9"/>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numPr>
          <w:ilvl w:val="0"/>
          <w:numId w:val="9"/>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b/>
          <w:bCs/>
          <w:smallCaps w:val="0"/>
          <w:spacing w:val="0"/>
          <w:szCs w:val="30"/>
          <w:highlight w:val="none"/>
        </w:rPr>
      </w:pP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6"/>
        <w:rPr>
          <w:rFonts w:hint="eastAsia" w:ascii="宋体" w:hAnsi="宋体" w:cs="宋体"/>
          <w:sz w:val="32"/>
          <w:szCs w:val="32"/>
          <w:highlight w:val="none"/>
        </w:rPr>
      </w:pPr>
    </w:p>
    <w:p>
      <w:pPr>
        <w:rPr>
          <w:rFonts w:hint="eastAsia"/>
          <w:highlight w:val="none"/>
        </w:rPr>
      </w:pPr>
    </w:p>
    <w:p>
      <w:pPr>
        <w:pStyle w:val="16"/>
        <w:rPr>
          <w:rFonts w:hint="default" w:eastAsia="宋体"/>
          <w:highlight w:val="none"/>
          <w:lang w:val="en-US" w:eastAsia="zh-CN"/>
        </w:rPr>
      </w:pPr>
      <w:r>
        <w:rPr>
          <w:rFonts w:hint="eastAsia"/>
          <w:highlight w:val="none"/>
          <w:lang w:val="en-US" w:eastAsia="zh-CN"/>
        </w:rPr>
        <w:t xml:space="preserve">                      六、服务方案</w:t>
      </w:r>
    </w:p>
    <w:p>
      <w:pPr>
        <w:pStyle w:val="16"/>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4F46E"/>
    <w:multiLevelType w:val="singleLevel"/>
    <w:tmpl w:val="EE44F46E"/>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jFhYmY1NjA1MDJhNWMxYTg2NGE1YzRmNDk4NmM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468"/>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4E15802"/>
    <w:rsid w:val="050140F6"/>
    <w:rsid w:val="061C36BA"/>
    <w:rsid w:val="06971860"/>
    <w:rsid w:val="08321601"/>
    <w:rsid w:val="08A8480D"/>
    <w:rsid w:val="09352049"/>
    <w:rsid w:val="0A912D3C"/>
    <w:rsid w:val="0B440B42"/>
    <w:rsid w:val="0B6E1DBA"/>
    <w:rsid w:val="0BCA33E7"/>
    <w:rsid w:val="0BF508B4"/>
    <w:rsid w:val="0C215F5C"/>
    <w:rsid w:val="0C297F82"/>
    <w:rsid w:val="0C540FAF"/>
    <w:rsid w:val="0CBF3D62"/>
    <w:rsid w:val="0CFD33F5"/>
    <w:rsid w:val="0EB30D0D"/>
    <w:rsid w:val="0F604FE4"/>
    <w:rsid w:val="0F77472F"/>
    <w:rsid w:val="0FA03417"/>
    <w:rsid w:val="0FFE2944"/>
    <w:rsid w:val="10D66BB8"/>
    <w:rsid w:val="10F27FB9"/>
    <w:rsid w:val="11026497"/>
    <w:rsid w:val="115D0FA0"/>
    <w:rsid w:val="119C2B16"/>
    <w:rsid w:val="12C17F56"/>
    <w:rsid w:val="130D5D28"/>
    <w:rsid w:val="13D27127"/>
    <w:rsid w:val="13D60078"/>
    <w:rsid w:val="145A4263"/>
    <w:rsid w:val="1477734B"/>
    <w:rsid w:val="14AE38DE"/>
    <w:rsid w:val="15542020"/>
    <w:rsid w:val="168606BF"/>
    <w:rsid w:val="169964AB"/>
    <w:rsid w:val="17D71BD3"/>
    <w:rsid w:val="184F2E7A"/>
    <w:rsid w:val="18E42747"/>
    <w:rsid w:val="1925379B"/>
    <w:rsid w:val="19AF44FD"/>
    <w:rsid w:val="1A63698E"/>
    <w:rsid w:val="1AA90C35"/>
    <w:rsid w:val="1B5C39DD"/>
    <w:rsid w:val="1B635DC8"/>
    <w:rsid w:val="1B972AF7"/>
    <w:rsid w:val="1BA3188A"/>
    <w:rsid w:val="1C4E7265"/>
    <w:rsid w:val="1C6A6063"/>
    <w:rsid w:val="1C844F99"/>
    <w:rsid w:val="1CD8267C"/>
    <w:rsid w:val="1D4F01B5"/>
    <w:rsid w:val="1D8E3BF5"/>
    <w:rsid w:val="1D944498"/>
    <w:rsid w:val="1D9D040F"/>
    <w:rsid w:val="1E165F1B"/>
    <w:rsid w:val="1ECE1A0D"/>
    <w:rsid w:val="1F360E25"/>
    <w:rsid w:val="20032679"/>
    <w:rsid w:val="20D364EF"/>
    <w:rsid w:val="21232666"/>
    <w:rsid w:val="21505AF6"/>
    <w:rsid w:val="218B6DCA"/>
    <w:rsid w:val="22382B76"/>
    <w:rsid w:val="25653DDF"/>
    <w:rsid w:val="25F27417"/>
    <w:rsid w:val="273109BD"/>
    <w:rsid w:val="27341C73"/>
    <w:rsid w:val="27F02089"/>
    <w:rsid w:val="280E7427"/>
    <w:rsid w:val="2878694B"/>
    <w:rsid w:val="288202F1"/>
    <w:rsid w:val="28835C82"/>
    <w:rsid w:val="2885643D"/>
    <w:rsid w:val="29F1156B"/>
    <w:rsid w:val="2A467D32"/>
    <w:rsid w:val="2A9767DF"/>
    <w:rsid w:val="2AC06F9C"/>
    <w:rsid w:val="2B01007D"/>
    <w:rsid w:val="2B4B4303"/>
    <w:rsid w:val="2BB12A90"/>
    <w:rsid w:val="2BD7373B"/>
    <w:rsid w:val="2C3D26A8"/>
    <w:rsid w:val="2C6852C0"/>
    <w:rsid w:val="2D1F5A8A"/>
    <w:rsid w:val="2D59068D"/>
    <w:rsid w:val="2D5D2A09"/>
    <w:rsid w:val="2EB51C5E"/>
    <w:rsid w:val="2EEF2071"/>
    <w:rsid w:val="2FF56584"/>
    <w:rsid w:val="2FF74F52"/>
    <w:rsid w:val="30367B92"/>
    <w:rsid w:val="31083F93"/>
    <w:rsid w:val="311E5CBB"/>
    <w:rsid w:val="313C2459"/>
    <w:rsid w:val="321260A3"/>
    <w:rsid w:val="327F64D7"/>
    <w:rsid w:val="3283369C"/>
    <w:rsid w:val="32890F14"/>
    <w:rsid w:val="32D26775"/>
    <w:rsid w:val="32DB47FF"/>
    <w:rsid w:val="334C6D3F"/>
    <w:rsid w:val="33553887"/>
    <w:rsid w:val="33573CB3"/>
    <w:rsid w:val="33843E73"/>
    <w:rsid w:val="34126E2C"/>
    <w:rsid w:val="35731F31"/>
    <w:rsid w:val="35D84E48"/>
    <w:rsid w:val="36BA11E5"/>
    <w:rsid w:val="36D735B3"/>
    <w:rsid w:val="39101B67"/>
    <w:rsid w:val="393744E7"/>
    <w:rsid w:val="393B2471"/>
    <w:rsid w:val="39B5256A"/>
    <w:rsid w:val="39E552F4"/>
    <w:rsid w:val="39F04960"/>
    <w:rsid w:val="3A0F496A"/>
    <w:rsid w:val="3A4074C6"/>
    <w:rsid w:val="3A873BF5"/>
    <w:rsid w:val="3B33738C"/>
    <w:rsid w:val="3BC04130"/>
    <w:rsid w:val="3C5D21E6"/>
    <w:rsid w:val="3CEC6D03"/>
    <w:rsid w:val="3D206487"/>
    <w:rsid w:val="3DC04D35"/>
    <w:rsid w:val="3DFA2056"/>
    <w:rsid w:val="3E4E000C"/>
    <w:rsid w:val="3EAF3106"/>
    <w:rsid w:val="3F2A0D32"/>
    <w:rsid w:val="3F6B02A7"/>
    <w:rsid w:val="3F86126B"/>
    <w:rsid w:val="3FB47B86"/>
    <w:rsid w:val="3FFE67F3"/>
    <w:rsid w:val="40072003"/>
    <w:rsid w:val="40617FCF"/>
    <w:rsid w:val="40E26CD8"/>
    <w:rsid w:val="412F1C06"/>
    <w:rsid w:val="41696FBA"/>
    <w:rsid w:val="42116A20"/>
    <w:rsid w:val="42744B04"/>
    <w:rsid w:val="42BA317D"/>
    <w:rsid w:val="44143533"/>
    <w:rsid w:val="445106B7"/>
    <w:rsid w:val="446379AC"/>
    <w:rsid w:val="44746BA8"/>
    <w:rsid w:val="44DE4F77"/>
    <w:rsid w:val="45570670"/>
    <w:rsid w:val="45AB55EF"/>
    <w:rsid w:val="464016F5"/>
    <w:rsid w:val="465F362C"/>
    <w:rsid w:val="466E4440"/>
    <w:rsid w:val="467B2DA3"/>
    <w:rsid w:val="46B83B2F"/>
    <w:rsid w:val="46CD09A6"/>
    <w:rsid w:val="46F32B98"/>
    <w:rsid w:val="47BA204A"/>
    <w:rsid w:val="47DE55F6"/>
    <w:rsid w:val="48136576"/>
    <w:rsid w:val="483240A5"/>
    <w:rsid w:val="48465573"/>
    <w:rsid w:val="48A87F7B"/>
    <w:rsid w:val="495C2428"/>
    <w:rsid w:val="4A0F542A"/>
    <w:rsid w:val="4A1319D9"/>
    <w:rsid w:val="4A880307"/>
    <w:rsid w:val="4A8E046C"/>
    <w:rsid w:val="4ACA1D10"/>
    <w:rsid w:val="4B1640CA"/>
    <w:rsid w:val="4B313154"/>
    <w:rsid w:val="4B7474DA"/>
    <w:rsid w:val="4C067859"/>
    <w:rsid w:val="4C5D37E9"/>
    <w:rsid w:val="4C9A24C2"/>
    <w:rsid w:val="4CBB5258"/>
    <w:rsid w:val="4CDF5D99"/>
    <w:rsid w:val="4CE6339D"/>
    <w:rsid w:val="4D0132D1"/>
    <w:rsid w:val="4D3A2111"/>
    <w:rsid w:val="4D5137F6"/>
    <w:rsid w:val="4D8409ED"/>
    <w:rsid w:val="4DC76630"/>
    <w:rsid w:val="4E5D62A1"/>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3EC2E48"/>
    <w:rsid w:val="542B3EFB"/>
    <w:rsid w:val="546B0A00"/>
    <w:rsid w:val="54954804"/>
    <w:rsid w:val="549660CB"/>
    <w:rsid w:val="54EA3C55"/>
    <w:rsid w:val="55630A4E"/>
    <w:rsid w:val="557737BB"/>
    <w:rsid w:val="562C37FD"/>
    <w:rsid w:val="56366F6D"/>
    <w:rsid w:val="565C396B"/>
    <w:rsid w:val="585A2A77"/>
    <w:rsid w:val="59111EFF"/>
    <w:rsid w:val="593C1BF8"/>
    <w:rsid w:val="594E69C4"/>
    <w:rsid w:val="5A931FC5"/>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1857F0D"/>
    <w:rsid w:val="61953D13"/>
    <w:rsid w:val="62D93E68"/>
    <w:rsid w:val="62FF5D54"/>
    <w:rsid w:val="63710868"/>
    <w:rsid w:val="63AC2F92"/>
    <w:rsid w:val="644D0C37"/>
    <w:rsid w:val="64BB489D"/>
    <w:rsid w:val="64C50123"/>
    <w:rsid w:val="65244228"/>
    <w:rsid w:val="65843D37"/>
    <w:rsid w:val="65F85CC4"/>
    <w:rsid w:val="66AD35E6"/>
    <w:rsid w:val="66EF6A80"/>
    <w:rsid w:val="67431B96"/>
    <w:rsid w:val="67801DCE"/>
    <w:rsid w:val="67C972BA"/>
    <w:rsid w:val="68767A8D"/>
    <w:rsid w:val="68E63EB3"/>
    <w:rsid w:val="68F4010F"/>
    <w:rsid w:val="692E0A4B"/>
    <w:rsid w:val="69B5367B"/>
    <w:rsid w:val="69CE664B"/>
    <w:rsid w:val="6A4D6295"/>
    <w:rsid w:val="6A641533"/>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9F5306"/>
    <w:rsid w:val="71F47640"/>
    <w:rsid w:val="720F0EDE"/>
    <w:rsid w:val="728903FA"/>
    <w:rsid w:val="72A92AFC"/>
    <w:rsid w:val="72AA5F3A"/>
    <w:rsid w:val="72B10F39"/>
    <w:rsid w:val="72F07E08"/>
    <w:rsid w:val="73137F9A"/>
    <w:rsid w:val="733E6E4D"/>
    <w:rsid w:val="73BD08B4"/>
    <w:rsid w:val="74826C48"/>
    <w:rsid w:val="74A756F2"/>
    <w:rsid w:val="74F710CB"/>
    <w:rsid w:val="750E0A19"/>
    <w:rsid w:val="757C1CC4"/>
    <w:rsid w:val="7583593C"/>
    <w:rsid w:val="75B51DBC"/>
    <w:rsid w:val="76362AC9"/>
    <w:rsid w:val="7671125F"/>
    <w:rsid w:val="76ED6DFD"/>
    <w:rsid w:val="773C0385"/>
    <w:rsid w:val="77466345"/>
    <w:rsid w:val="78100551"/>
    <w:rsid w:val="78877AD1"/>
    <w:rsid w:val="793F533F"/>
    <w:rsid w:val="7A380A89"/>
    <w:rsid w:val="7A9E283F"/>
    <w:rsid w:val="7ABE1DA4"/>
    <w:rsid w:val="7AC86BCE"/>
    <w:rsid w:val="7B2C12FD"/>
    <w:rsid w:val="7B416699"/>
    <w:rsid w:val="7BE32DA5"/>
    <w:rsid w:val="7C6330D4"/>
    <w:rsid w:val="7C757935"/>
    <w:rsid w:val="7CCF21B9"/>
    <w:rsid w:val="7CE77CAA"/>
    <w:rsid w:val="7DB44FD6"/>
    <w:rsid w:val="7DED1B13"/>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2">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3">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4">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5">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6">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7">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8">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9">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0">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rPr>
      <w:b w:val="0"/>
      <w:bCs w:val="0"/>
      <w:sz w:val="21"/>
      <w:szCs w:val="21"/>
    </w:rPr>
  </w:style>
  <w:style w:type="paragraph" w:styleId="12">
    <w:name w:val="toc 7"/>
    <w:basedOn w:val="1"/>
    <w:next w:val="1"/>
    <w:link w:val="212"/>
    <w:semiHidden/>
    <w:qFormat/>
    <w:uiPriority w:val="99"/>
    <w:pPr>
      <w:ind w:left="1260" w:firstLine="200" w:firstLineChars="200"/>
      <w:jc w:val="left"/>
    </w:pPr>
    <w:rPr>
      <w:b w:val="0"/>
      <w:bCs w:val="0"/>
      <w:sz w:val="18"/>
      <w:szCs w:val="18"/>
    </w:rPr>
  </w:style>
  <w:style w:type="paragraph" w:styleId="13">
    <w:name w:val="Normal Indent"/>
    <w:basedOn w:val="1"/>
    <w:next w:val="1"/>
    <w:qFormat/>
    <w:uiPriority w:val="99"/>
    <w:pPr>
      <w:ind w:firstLine="420"/>
    </w:pPr>
    <w:rPr>
      <w:b w:val="0"/>
      <w:bCs w:val="0"/>
      <w:sz w:val="21"/>
      <w:szCs w:val="21"/>
    </w:rPr>
  </w:style>
  <w:style w:type="paragraph" w:styleId="14">
    <w:name w:val="caption"/>
    <w:basedOn w:val="1"/>
    <w:next w:val="1"/>
    <w:qFormat/>
    <w:uiPriority w:val="99"/>
    <w:rPr>
      <w:rFonts w:ascii="Arial" w:hAnsi="Arial" w:eastAsia="黑体" w:cs="Arial"/>
      <w:b w:val="0"/>
      <w:bCs w:val="0"/>
      <w:sz w:val="20"/>
      <w:szCs w:val="20"/>
    </w:rPr>
  </w:style>
  <w:style w:type="paragraph" w:styleId="15">
    <w:name w:val="Document Map"/>
    <w:basedOn w:val="1"/>
    <w:link w:val="69"/>
    <w:semiHidden/>
    <w:qFormat/>
    <w:uiPriority w:val="99"/>
    <w:pPr>
      <w:shd w:val="clear" w:color="auto" w:fill="000080"/>
    </w:pPr>
  </w:style>
  <w:style w:type="paragraph" w:styleId="16">
    <w:name w:val="toa heading"/>
    <w:basedOn w:val="1"/>
    <w:next w:val="1"/>
    <w:qFormat/>
    <w:locked/>
    <w:uiPriority w:val="0"/>
    <w:rPr>
      <w:rFonts w:ascii="Arial" w:hAnsi="Arial"/>
    </w:r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2"/>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3"/>
    <w:qFormat/>
    <w:locked/>
    <w:uiPriority w:val="99"/>
    <w:rPr>
      <w:rFonts w:eastAsia="仿宋_GB2312" w:cs="Times New Roman"/>
      <w:b/>
      <w:bCs/>
      <w:sz w:val="30"/>
      <w:szCs w:val="30"/>
      <w:lang w:val="en-US" w:eastAsia="zh-CN"/>
    </w:rPr>
  </w:style>
  <w:style w:type="character" w:customStyle="1" w:styleId="57">
    <w:name w:val="标题 3 Char"/>
    <w:basedOn w:val="48"/>
    <w:link w:val="4"/>
    <w:semiHidden/>
    <w:qFormat/>
    <w:locked/>
    <w:uiPriority w:val="99"/>
    <w:rPr>
      <w:rFonts w:cs="Times New Roman"/>
      <w:b/>
      <w:bCs/>
      <w:sz w:val="32"/>
      <w:szCs w:val="32"/>
    </w:rPr>
  </w:style>
  <w:style w:type="character" w:customStyle="1" w:styleId="58">
    <w:name w:val="标题 4 Char"/>
    <w:basedOn w:val="48"/>
    <w:link w:val="5"/>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6"/>
    <w:qFormat/>
    <w:locked/>
    <w:uiPriority w:val="99"/>
    <w:rPr>
      <w:rFonts w:eastAsia="宋体" w:cs="Times New Roman"/>
      <w:b/>
      <w:bCs/>
      <w:kern w:val="2"/>
      <w:sz w:val="28"/>
      <w:szCs w:val="28"/>
      <w:lang w:val="en-US" w:eastAsia="zh-CN"/>
    </w:rPr>
  </w:style>
  <w:style w:type="character" w:customStyle="1" w:styleId="60">
    <w:name w:val="标题 6 Char"/>
    <w:basedOn w:val="48"/>
    <w:link w:val="7"/>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8"/>
    <w:qFormat/>
    <w:locked/>
    <w:uiPriority w:val="99"/>
    <w:rPr>
      <w:rFonts w:eastAsia="宋体" w:cs="Times New Roman"/>
      <w:b/>
      <w:bCs/>
      <w:kern w:val="2"/>
      <w:sz w:val="24"/>
      <w:szCs w:val="24"/>
      <w:lang w:val="en-US" w:eastAsia="zh-CN"/>
    </w:rPr>
  </w:style>
  <w:style w:type="character" w:customStyle="1" w:styleId="62">
    <w:name w:val="标题 8 Char"/>
    <w:basedOn w:val="48"/>
    <w:link w:val="9"/>
    <w:qFormat/>
    <w:locked/>
    <w:uiPriority w:val="99"/>
    <w:rPr>
      <w:rFonts w:ascii="Arial" w:hAnsi="Arial" w:eastAsia="黑体" w:cs="Arial"/>
      <w:kern w:val="2"/>
      <w:sz w:val="24"/>
      <w:szCs w:val="24"/>
      <w:lang w:val="en-US" w:eastAsia="zh-CN"/>
    </w:rPr>
  </w:style>
  <w:style w:type="character" w:customStyle="1" w:styleId="63">
    <w:name w:val="标题 9 Char"/>
    <w:basedOn w:val="48"/>
    <w:link w:val="10"/>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5"/>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2"/>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2"/>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3"/>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2"/>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4"/>
    <w:next w:val="4"/>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2"/>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2"/>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4"/>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2"/>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4"/>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22</Pages>
  <Words>5140</Words>
  <Characters>5450</Characters>
  <Lines>56</Lines>
  <Paragraphs>16</Paragraphs>
  <TotalTime>18</TotalTime>
  <ScaleCrop>false</ScaleCrop>
  <LinksUpToDate>false</LinksUpToDate>
  <CharactersWithSpaces>6054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2024-06-11T03:21:40Z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B8466396811C4C889B1D06ECAB30CEA8_13</vt:lpwstr>
  </property>
</Properties>
</file>