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sz w:val="48"/>
          <w:szCs w:val="48"/>
          <w:highlight w:val="none"/>
          <w:lang w:val="en-US" w:eastAsia="zh-CN"/>
        </w:rPr>
      </w:pPr>
    </w:p>
    <w:p>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0"/>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元宝湾煤业《极近距离煤层跨层高位顶煤冒放控制及高效协同放顶关键技术研究》项目(二次)</w:t>
      </w:r>
    </w:p>
    <w:p>
      <w:pPr>
        <w:pStyle w:val="20"/>
        <w:jc w:val="center"/>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pStyle w:val="20"/>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7"/>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XJ202406HYGC120</w:t>
      </w:r>
    </w:p>
    <w:p>
      <w:pPr>
        <w:keepNext w:val="0"/>
        <w:keepLines w:val="0"/>
        <w:pageBreakBefore w:val="0"/>
        <w:widowControl w:val="0"/>
        <w:kinsoku/>
        <w:wordWrap/>
        <w:overflowPunct/>
        <w:topLinePunct w:val="0"/>
        <w:autoSpaceDE w:val="0"/>
        <w:autoSpaceDN w:val="0"/>
        <w:bidi w:val="0"/>
        <w:adjustRightInd w:val="0"/>
        <w:snapToGrid/>
        <w:spacing w:line="240" w:lineRule="atLeast"/>
        <w:ind w:left="3765" w:leftChars="615" w:hanging="1920" w:hangingChars="600"/>
        <w:textAlignment w:val="auto"/>
        <w:rPr>
          <w:rFonts w:hint="eastAsia" w:ascii="宋体" w:hAnsi="宋体" w:cs="宋体"/>
          <w:b w:val="0"/>
          <w:bCs w:val="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元宝湾煤业</w:t>
      </w:r>
    </w:p>
    <w:p>
      <w:pPr>
        <w:spacing w:line="360" w:lineRule="auto"/>
        <w:jc w:val="both"/>
        <w:rPr>
          <w:rFonts w:ascii="宋体"/>
          <w:b w:val="0"/>
          <w:bCs w:val="0"/>
          <w:color w:val="F2F2F2"/>
          <w:highlight w:val="none"/>
        </w:rPr>
      </w:pPr>
      <w:r>
        <w:rPr>
          <w:rFonts w:hint="eastAsia" w:ascii="宋体" w:hAnsi="宋体" w:cs="宋体"/>
          <w:b w:val="0"/>
          <w:bCs w:val="0"/>
          <w:color w:val="FFFFFF"/>
          <w:sz w:val="32"/>
          <w:szCs w:val="32"/>
          <w:highlight w:val="none"/>
        </w:rPr>
        <w:t>有限责任公司</w:t>
      </w:r>
    </w:p>
    <w:p>
      <w:pPr>
        <w:spacing w:line="360" w:lineRule="auto"/>
        <w:jc w:val="center"/>
        <w:rPr>
          <w:rFonts w:ascii="宋体"/>
          <w:b w:val="0"/>
          <w:bCs w:val="0"/>
          <w:highlight w:val="none"/>
        </w:rPr>
      </w:pPr>
      <w:r>
        <w:rPr>
          <w:rFonts w:hint="eastAsia" w:ascii="宋体" w:hAnsi="宋体" w:cs="宋体"/>
          <w:b w:val="0"/>
          <w:bCs w:val="0"/>
          <w:highlight w:val="none"/>
        </w:rPr>
        <w:t>二○二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六</w:t>
      </w:r>
      <w:r>
        <w:rPr>
          <w:rFonts w:hint="eastAsia" w:ascii="宋体" w:hAnsi="宋体" w:cs="宋体"/>
          <w:b w:val="0"/>
          <w:bCs w:val="0"/>
          <w:highlight w:val="none"/>
        </w:rPr>
        <w:t>月</w:t>
      </w:r>
    </w:p>
    <w:p>
      <w:pPr>
        <w:rPr>
          <w:rFonts w:ascii="仿宋_GB2312" w:eastAsia="仿宋_GB2312"/>
          <w:highlight w:val="none"/>
        </w:rPr>
        <w:sectPr>
          <w:footerReference r:id="rId4" w:type="default"/>
          <w:headerReference r:id="rId3" w:type="even"/>
          <w:footerReference r:id="rId5"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sdt>
      <w:sdtPr>
        <w:rPr>
          <w:rFonts w:ascii="宋体" w:hAnsi="宋体" w:eastAsia="宋体" w:cs="Times New Roman"/>
          <w:b/>
          <w:bCs/>
          <w:kern w:val="2"/>
          <w:sz w:val="21"/>
          <w:szCs w:val="30"/>
          <w:lang w:val="en-US" w:eastAsia="zh-CN" w:bidi="ar-SA"/>
        </w:rPr>
        <w:id w:val="147464259"/>
        <w:docPartObj>
          <w:docPartGallery w:val="Table of Contents"/>
          <w:docPartUnique/>
        </w:docPartObj>
      </w:sdtPr>
      <w:sdtEndPr>
        <w:rPr>
          <w:rFonts w:ascii="Times New Roman" w:hAnsi="Times New Roman" w:eastAsia="宋体" w:cs="Times New Roman"/>
          <w:b/>
          <w:bCs/>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0" w:name="_Toc392_WPSOffice_Type1"/>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_Toc32059_WPSOffice_Level1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fe8d7ff9-6e2b-4cfa-901b-eb5a96d653fb}"/>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第一章 询价公告</w:t>
              </w:r>
            </w:sdtContent>
          </w:sdt>
          <w:r>
            <w:rPr>
              <w:rFonts w:hint="eastAsia" w:asciiTheme="minorEastAsia" w:hAnsiTheme="minorEastAsia" w:eastAsiaTheme="minorEastAsia" w:cstheme="minorEastAsia"/>
              <w:sz w:val="32"/>
              <w:szCs w:val="32"/>
            </w:rPr>
            <w:tab/>
          </w:r>
          <w:bookmarkStart w:id="1" w:name="_Toc32059_WPSOffice_Level1Page"/>
          <w:r>
            <w:rPr>
              <w:rFonts w:hint="eastAsia" w:asciiTheme="minorEastAsia" w:hAnsiTheme="minorEastAsia" w:eastAsiaTheme="minorEastAsia" w:cstheme="minorEastAsia"/>
              <w:sz w:val="32"/>
              <w:szCs w:val="32"/>
            </w:rPr>
            <w:t>1</w:t>
          </w:r>
          <w:bookmarkEnd w:id="1"/>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_Toc392_WPSOffice_Level1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283e3641-ddfd-43d9-82d1-1021bf9878fb}"/>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第二章 报价须知</w:t>
              </w:r>
            </w:sdtContent>
          </w:sdt>
          <w:r>
            <w:rPr>
              <w:rFonts w:hint="eastAsia" w:asciiTheme="minorEastAsia" w:hAnsiTheme="minorEastAsia" w:eastAsiaTheme="minorEastAsia" w:cstheme="minorEastAsia"/>
              <w:sz w:val="32"/>
              <w:szCs w:val="32"/>
            </w:rPr>
            <w:tab/>
          </w:r>
          <w:bookmarkStart w:id="2" w:name="_Toc392_WPSOffice_Level1Page"/>
          <w:r>
            <w:rPr>
              <w:rFonts w:hint="eastAsia" w:asciiTheme="minorEastAsia" w:hAnsiTheme="minorEastAsia" w:eastAsiaTheme="minorEastAsia" w:cstheme="minorEastAsia"/>
              <w:sz w:val="32"/>
              <w:szCs w:val="32"/>
            </w:rPr>
            <w:t>3</w:t>
          </w:r>
          <w:bookmarkEnd w:id="2"/>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_Toc22171_WPSOffice_Level1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59a8af37-2923-43c1-a3f5-9012598a309a}"/>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第三章 合同样本（关键条款）</w:t>
              </w:r>
            </w:sdtContent>
          </w:sdt>
          <w:r>
            <w:rPr>
              <w:rFonts w:hint="eastAsia" w:asciiTheme="minorEastAsia" w:hAnsiTheme="minorEastAsia" w:eastAsiaTheme="minorEastAsia" w:cstheme="minorEastAsia"/>
              <w:sz w:val="32"/>
              <w:szCs w:val="32"/>
            </w:rPr>
            <w:tab/>
          </w:r>
          <w:bookmarkStart w:id="3" w:name="_Toc22171_WPSOffice_Level1Page"/>
          <w:r>
            <w:rPr>
              <w:rFonts w:hint="eastAsia" w:asciiTheme="minorEastAsia" w:hAnsiTheme="minorEastAsia" w:eastAsiaTheme="minorEastAsia" w:cstheme="minorEastAsia"/>
              <w:sz w:val="32"/>
              <w:szCs w:val="32"/>
            </w:rPr>
            <w:t>6</w:t>
          </w:r>
          <w:bookmarkEnd w:id="3"/>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_Toc13481_WPSOffice_Level1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21252a83-4550-4617-bd28-88758e4453e6}"/>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第四章 技术规格和要求</w:t>
              </w:r>
            </w:sdtContent>
          </w:sdt>
          <w:r>
            <w:rPr>
              <w:rFonts w:hint="eastAsia" w:asciiTheme="minorEastAsia" w:hAnsiTheme="minorEastAsia" w:eastAsiaTheme="minorEastAsia" w:cstheme="minorEastAsia"/>
              <w:sz w:val="32"/>
              <w:szCs w:val="32"/>
            </w:rPr>
            <w:tab/>
          </w:r>
          <w:bookmarkStart w:id="4" w:name="_Toc13481_WPSOffice_Level1Page"/>
          <w:r>
            <w:rPr>
              <w:rFonts w:hint="eastAsia" w:asciiTheme="minorEastAsia" w:hAnsiTheme="minorEastAsia" w:eastAsiaTheme="minorEastAsia" w:cstheme="minorEastAsia"/>
              <w:sz w:val="32"/>
              <w:szCs w:val="32"/>
            </w:rPr>
            <w:t>7</w:t>
          </w:r>
          <w:bookmarkEnd w:id="4"/>
          <w:r>
            <w:rPr>
              <w:rFonts w:hint="eastAsia" w:asciiTheme="minorEastAsia" w:hAnsiTheme="minorEastAsia" w:eastAsiaTheme="minorEastAsia" w:cstheme="minorEastAsia"/>
              <w:sz w:val="32"/>
              <w:szCs w:val="32"/>
            </w:rPr>
            <w:fldChar w:fldCharType="end"/>
          </w:r>
        </w:p>
        <w:p>
          <w:pPr>
            <w:pStyle w:val="219"/>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\l _Toc154_WPSOffice_Level1 </w:instrText>
          </w:r>
          <w:r>
            <w:rPr>
              <w:rFonts w:hint="eastAsia" w:asciiTheme="minorEastAsia" w:hAnsiTheme="minorEastAsia" w:eastAsiaTheme="minorEastAsia" w:cstheme="minorEastAsia"/>
              <w:sz w:val="32"/>
              <w:szCs w:val="32"/>
            </w:rPr>
            <w:fldChar w:fldCharType="separate"/>
          </w:r>
          <w:sdt>
            <w:sdtPr>
              <w:rPr>
                <w:rFonts w:hint="eastAsia" w:asciiTheme="minorEastAsia" w:hAnsiTheme="minorEastAsia" w:eastAsiaTheme="minorEastAsia" w:cstheme="minorEastAsia"/>
                <w:b/>
                <w:bCs/>
                <w:kern w:val="2"/>
                <w:sz w:val="32"/>
                <w:szCs w:val="32"/>
                <w:lang w:val="en-US" w:eastAsia="zh-CN" w:bidi="ar-SA"/>
              </w:rPr>
              <w:id w:val="147464259"/>
              <w:placeholder>
                <w:docPart w:val="{3de4e244-e132-448e-8f9c-2d794ca20d28}"/>
              </w:placeholder>
            </w:sdtPr>
            <w:sdtEndPr>
              <w:rPr>
                <w:rFonts w:hint="eastAsia" w:asciiTheme="minorEastAsia" w:hAnsiTheme="minorEastAsia" w:eastAsiaTheme="minorEastAsia" w:cstheme="minorEastAsia"/>
                <w:b/>
                <w:bCs/>
                <w:kern w:val="2"/>
                <w:sz w:val="32"/>
                <w:szCs w:val="32"/>
                <w:lang w:val="en-US" w:eastAsia="zh-CN" w:bidi="ar-SA"/>
              </w:rPr>
            </w:sdtEndPr>
            <w:sdtContent>
              <w:r>
                <w:rPr>
                  <w:rFonts w:hint="eastAsia" w:asciiTheme="minorEastAsia" w:hAnsiTheme="minorEastAsia" w:eastAsiaTheme="minorEastAsia" w:cstheme="minorEastAsia"/>
                  <w:sz w:val="32"/>
                  <w:szCs w:val="32"/>
                </w:rPr>
                <w:t>第五章 报价书相关格式</w:t>
              </w:r>
            </w:sdtContent>
          </w:sdt>
          <w:r>
            <w:rPr>
              <w:rFonts w:hint="eastAsia" w:asciiTheme="minorEastAsia" w:hAnsiTheme="minorEastAsia" w:eastAsiaTheme="minorEastAsia" w:cstheme="minorEastAsia"/>
              <w:sz w:val="32"/>
              <w:szCs w:val="32"/>
            </w:rPr>
            <w:tab/>
          </w:r>
          <w:bookmarkStart w:id="5" w:name="_Toc154_WPSOffice_Level1Page"/>
          <w:r>
            <w:rPr>
              <w:rFonts w:hint="eastAsia" w:asciiTheme="minorEastAsia" w:hAnsiTheme="minorEastAsia" w:eastAsiaTheme="minorEastAsia" w:cstheme="minorEastAsia"/>
              <w:sz w:val="32"/>
              <w:szCs w:val="32"/>
            </w:rPr>
            <w:t>9</w:t>
          </w:r>
          <w:bookmarkEnd w:id="5"/>
          <w:r>
            <w:rPr>
              <w:rFonts w:hint="eastAsia" w:asciiTheme="minorEastAsia" w:hAnsiTheme="minorEastAsia" w:eastAsiaTheme="minorEastAsia" w:cstheme="minorEastAsia"/>
              <w:sz w:val="32"/>
              <w:szCs w:val="32"/>
            </w:rPr>
            <w:fldChar w:fldCharType="end"/>
          </w:r>
        </w:p>
        <w:bookmarkEnd w:id="0"/>
        <w:p>
          <w:pPr>
            <w:pStyle w:val="2"/>
            <w:rPr>
              <w:rFonts w:ascii="宋体" w:hAnsi="宋体" w:eastAsia="黑体" w:cs="宋体"/>
              <w:b w:val="0"/>
              <w:bCs w:val="0"/>
              <w:sz w:val="32"/>
              <w:szCs w:val="32"/>
              <w:highlight w:val="none"/>
            </w:rPr>
          </w:pPr>
        </w:p>
      </w:sdtContent>
    </w:sdt>
    <w:p>
      <w:pPr>
        <w:pStyle w:val="3"/>
        <w:rPr>
          <w:rFonts w:ascii="宋体" w:hAnsi="宋体" w:eastAsia="黑体" w:cs="宋体"/>
          <w:b w:val="0"/>
          <w:bCs w:val="0"/>
          <w:sz w:val="32"/>
          <w:szCs w:val="32"/>
          <w:highlight w:val="none"/>
        </w:rPr>
      </w:pPr>
    </w:p>
    <w:p>
      <w:pPr>
        <w:pStyle w:val="3"/>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rPr>
          <w:rFonts w:ascii="宋体" w:hAnsi="宋体" w:eastAsia="黑体" w:cs="宋体"/>
          <w:b w:val="0"/>
          <w:bCs w:val="0"/>
          <w:sz w:val="32"/>
          <w:szCs w:val="32"/>
          <w:highlight w:val="none"/>
        </w:rPr>
      </w:pPr>
    </w:p>
    <w:p>
      <w:pPr>
        <w:pStyle w:val="3"/>
      </w:pPr>
    </w:p>
    <w:p>
      <w:pPr>
        <w:spacing w:line="360" w:lineRule="auto"/>
        <w:rPr>
          <w:rFonts w:ascii="宋体" w:hAnsi="宋体" w:eastAsia="黑体" w:cs="宋体"/>
          <w:b w:val="0"/>
          <w:bCs w:val="0"/>
          <w:sz w:val="32"/>
          <w:szCs w:val="32"/>
          <w:highlight w:val="none"/>
        </w:rPr>
        <w:sectPr>
          <w:footerReference r:id="rId7" w:type="first"/>
          <w:footerReference r:id="rId6" w:type="default"/>
          <w:pgSz w:w="11907" w:h="16840"/>
          <w:pgMar w:top="1814" w:right="1588" w:bottom="1814" w:left="1701" w:header="851" w:footer="1644" w:gutter="0"/>
          <w:pgNumType w:fmt="decimal" w:start="1"/>
          <w:cols w:space="425" w:num="1"/>
          <w:titlePg/>
        </w:sectPr>
      </w:pPr>
    </w:p>
    <w:p>
      <w:pPr>
        <w:pStyle w:val="2"/>
      </w:pPr>
    </w:p>
    <w:p>
      <w:pPr>
        <w:numPr>
          <w:ilvl w:val="0"/>
          <w:numId w:val="5"/>
        </w:numPr>
        <w:spacing w:line="360" w:lineRule="auto"/>
        <w:jc w:val="center"/>
        <w:outlineLvl w:val="0"/>
        <w:rPr>
          <w:rFonts w:ascii="宋体" w:hAnsi="宋体" w:eastAsia="黑体" w:cs="宋体"/>
          <w:b w:val="0"/>
          <w:bCs w:val="0"/>
          <w:sz w:val="32"/>
          <w:szCs w:val="32"/>
          <w:highlight w:val="none"/>
        </w:rPr>
      </w:pPr>
      <w:bookmarkStart w:id="6" w:name="_Toc32059_WPSOffice_Level1"/>
      <w:bookmarkStart w:id="7" w:name="_Toc12880_WPSOffice_Level1"/>
      <w:r>
        <w:rPr>
          <w:rFonts w:hint="eastAsia" w:ascii="宋体" w:hAnsi="宋体" w:eastAsia="黑体" w:cs="宋体"/>
          <w:b w:val="0"/>
          <w:bCs w:val="0"/>
          <w:sz w:val="32"/>
          <w:szCs w:val="32"/>
          <w:highlight w:val="none"/>
        </w:rPr>
        <w:t>询价公告</w:t>
      </w:r>
      <w:bookmarkEnd w:id="6"/>
      <w:bookmarkEnd w:id="7"/>
    </w:p>
    <w:p>
      <w:pPr>
        <w:spacing w:line="360" w:lineRule="auto"/>
        <w:ind w:left="480" w:leftChars="160" w:firstLine="0" w:firstLineChars="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eastAsia="zh-CN"/>
        </w:rPr>
        <w:t>中煤华昱公司元宝湾煤业</w:t>
      </w:r>
      <w:r>
        <w:rPr>
          <w:rFonts w:hint="eastAsia" w:ascii="宋体" w:hAnsi="宋体" w:cs="宋体"/>
          <w:b w:val="0"/>
          <w:bCs w:val="0"/>
          <w:sz w:val="24"/>
          <w:szCs w:val="24"/>
          <w:highlight w:val="none"/>
          <w:lang w:val="en-US" w:eastAsia="zh-CN"/>
        </w:rPr>
        <w:t>极近距离煤层跨层高位顶煤冒放控制及高效协同放顶关键技术研究（二次）</w:t>
      </w:r>
    </w:p>
    <w:p>
      <w:pPr>
        <w:spacing w:line="360" w:lineRule="auto"/>
        <w:ind w:left="480" w:leftChars="160" w:firstLine="0" w:firstLineChars="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发布公告</w:t>
      </w:r>
      <w:r>
        <w:rPr>
          <w:rFonts w:hint="eastAsia" w:ascii="宋体" w:hAnsi="宋体" w:cs="宋体"/>
          <w:b w:val="0"/>
          <w:bCs w:val="0"/>
          <w:sz w:val="24"/>
          <w:szCs w:val="24"/>
          <w:highlight w:val="none"/>
          <w:lang w:val="en-US" w:eastAsia="zh-CN"/>
        </w:rPr>
        <w:t xml:space="preserve">日期: 2024年6月6日    </w:t>
      </w:r>
      <w:bookmarkStart w:id="110" w:name="_GoBack"/>
      <w:bookmarkEnd w:id="11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报名截止日期：2024年6月13日 07:40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报价截止时间：2024年6月13日 07:50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报价揭价时间：2024年6月13日 07:50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w:t>
      </w:r>
      <w:r>
        <w:rPr>
          <w:rFonts w:hint="eastAsia" w:ascii="宋体" w:hAnsi="宋体" w:eastAsia="宋体" w:cs="宋体"/>
          <w:b w:val="0"/>
          <w:bCs w:val="0"/>
          <w:color w:val="auto"/>
          <w:sz w:val="24"/>
          <w:szCs w:val="24"/>
          <w:highlight w:val="none"/>
          <w:lang w:val="en-US" w:eastAsia="zh-CN"/>
        </w:rPr>
        <w:t>况：元宝湾煤业矿井西部区域6号和9号煤层由北向南逐渐变厚，但层间距从5m逐渐变薄，直至局部合层，其中6号煤厚度3-5m，9号煤厚度9-12m，平均11m，考虑到6号和9号煤层间距较近，煤层厚度较大，拟采用6号和9号煤层合层综放开采。极近距离煤层合层开采，存在较大冒顶、片帮的安全风险。为确保工作面安全高效回采，拟在元宝湾煤业39106工作面开展《极近距离煤层跨层高位顶煤冒放控制及高效协同放顶关键技术研究》科技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cs="宋体"/>
          <w:b w:val="0"/>
          <w:bCs w:val="0"/>
          <w:color w:val="auto"/>
          <w:sz w:val="24"/>
          <w:szCs w:val="24"/>
          <w:highlight w:val="none"/>
          <w:lang w:val="en-US" w:eastAsia="zh-CN"/>
        </w:rPr>
        <w:t>）：合同签订之日起至2025年12月底完成。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ascii="宋体" w:hAnsi="宋体" w:cs="宋体"/>
          <w:b w:val="0"/>
          <w:bCs w:val="0"/>
          <w:sz w:val="24"/>
          <w:szCs w:val="24"/>
          <w:highlight w:val="none"/>
          <w:lang w:val="en-US" w:eastAsia="zh-CN"/>
        </w:rPr>
        <w:t>4.服务地点：山西朔州山阴金海洋元宝湾煤业有限公司。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r>
        <w:rPr>
          <w:rFonts w:hint="eastAsia" w:ascii="宋体" w:hAnsi="宋体" w:cs="宋体"/>
          <w:b w:val="0"/>
          <w:bCs w:val="0"/>
          <w:sz w:val="24"/>
          <w:szCs w:val="24"/>
          <w:highlight w:val="none"/>
          <w:lang w:eastAsia="zh-CN"/>
        </w:rPr>
        <w:t>总价包含研究报告、评审费、项目成果等全部费用</w:t>
      </w:r>
      <w:r>
        <w:rPr>
          <w:rFonts w:hint="eastAsia" w:ascii="宋体" w:hAnsi="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w:t>
      </w:r>
      <w:r>
        <w:rPr>
          <w:rFonts w:hint="eastAsia" w:ascii="宋体" w:hAnsi="宋体" w:eastAsia="宋体" w:cs="宋体"/>
          <w:b w:val="0"/>
          <w:bCs w:val="0"/>
          <w:sz w:val="24"/>
          <w:szCs w:val="24"/>
          <w:highlight w:val="none"/>
          <w:lang w:val="en-US" w:eastAsia="zh-CN"/>
        </w:rPr>
        <w:t>付款方式执行公司相关制度流程</w:t>
      </w:r>
      <w:r>
        <w:rPr>
          <w:rFonts w:hint="eastAsia" w:ascii="宋体" w:hAnsi="宋体" w:cs="宋体"/>
          <w:b w:val="0"/>
          <w:bCs w:val="0"/>
          <w:sz w:val="24"/>
          <w:szCs w:val="24"/>
          <w:highlight w:val="none"/>
          <w:lang w:val="en-US" w:eastAsia="zh-CN"/>
        </w:rPr>
        <w:t>。</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w:t>
      </w:r>
      <w:r>
        <w:rPr>
          <w:rFonts w:hint="eastAsia" w:ascii="宋体" w:hAnsi="宋体" w:eastAsia="宋体" w:cs="宋体"/>
          <w:b w:val="0"/>
          <w:bCs w:val="0"/>
          <w:sz w:val="24"/>
          <w:szCs w:val="24"/>
          <w:highlight w:val="none"/>
          <w:lang w:val="en-US" w:eastAsia="zh-CN"/>
        </w:rPr>
        <w:t>通过华昱公司验收，出具科技项目验收证书。</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eastAsia="zh-CN"/>
        </w:rPr>
        <w:t>二、</w:t>
      </w:r>
      <w:r>
        <w:rPr>
          <w:rFonts w:hint="eastAsia" w:ascii="宋体" w:hAnsi="宋体" w:cs="宋体"/>
          <w:b w:val="0"/>
          <w:bCs w:val="0"/>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1.报价人须具有中华人民共和国境内注册的独立法人资格。</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2.报价人拟派项目负责人须具备</w:t>
      </w:r>
      <w:r>
        <w:rPr>
          <w:rFonts w:hint="eastAsia" w:ascii="宋体" w:hAnsi="宋体" w:cs="宋体"/>
          <w:b w:val="0"/>
          <w:bCs w:val="0"/>
          <w:sz w:val="24"/>
          <w:szCs w:val="24"/>
          <w:highlight w:val="none"/>
          <w:lang w:val="en-US" w:eastAsia="zh-CN"/>
        </w:rPr>
        <w:t>工程系列</w:t>
      </w:r>
      <w:r>
        <w:rPr>
          <w:rFonts w:hint="eastAsia" w:ascii="宋体" w:hAnsi="宋体" w:eastAsia="宋体" w:cs="宋体"/>
          <w:b w:val="0"/>
          <w:bCs w:val="0"/>
          <w:sz w:val="24"/>
          <w:szCs w:val="24"/>
          <w:highlight w:val="none"/>
          <w:lang w:val="en-US" w:eastAsia="zh-CN"/>
        </w:rPr>
        <w:t>高级及以上职称</w:t>
      </w:r>
      <w:r>
        <w:rPr>
          <w:rFonts w:hint="eastAsia" w:ascii="宋体" w:hAnsi="宋体" w:cs="宋体"/>
          <w:b w:val="0"/>
          <w:bCs w:val="0"/>
          <w:sz w:val="24"/>
          <w:szCs w:val="24"/>
          <w:highlight w:val="none"/>
          <w:lang w:val="en-US" w:eastAsia="zh-CN"/>
        </w:rPr>
        <w:t>（副教授或副研究员及以上职称等同于高级职称）</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3.三年内在中煤集团系统内没有发生重大质量问题的投标人（提供承诺书）。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4.报价人需提供近三年（2021年4月至今以合同签订为准）至少2例同类项目的业绩证明（以提供的合同关键页为准）。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.与中煤集团山西华昱能源有限公司不存在未解决的各类纠纷（附承诺书）。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.本次询价不接受联合体报价。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eastAsia="zh-CN"/>
        </w:rPr>
        <w:t>三、</w:t>
      </w:r>
      <w:r>
        <w:rPr>
          <w:rFonts w:hint="eastAsia" w:asciiTheme="minorEastAsia" w:hAnsiTheme="minorEastAsia" w:eastAsiaTheme="minorEastAsia" w:cstheme="minorEastAsia"/>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朱先生15235070272  温先生18234986599</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山西朔州山阴金海洋元宝湾煤业有限公司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color w:val="auto"/>
          <w:sz w:val="24"/>
          <w:szCs w:val="24"/>
          <w:highlight w:val="none"/>
          <w:u w:val="none"/>
        </w:rPr>
        <w:fldChar w:fldCharType="begin"/>
      </w:r>
      <w:r>
        <w:rPr>
          <w:rFonts w:hint="eastAsia" w:ascii="宋体" w:hAnsi="宋体" w:cs="宋体"/>
          <w:b w:val="0"/>
          <w:bCs w:val="0"/>
          <w:color w:val="auto"/>
          <w:sz w:val="24"/>
          <w:szCs w:val="24"/>
          <w:highlight w:val="none"/>
          <w:u w:val="none"/>
        </w:rPr>
        <w:instrText xml:space="preserve"> HYPERLINK "mailto:122314878@qq.com" </w:instrText>
      </w:r>
      <w:r>
        <w:rPr>
          <w:rFonts w:hint="eastAsia" w:ascii="宋体" w:hAnsi="宋体" w:cs="宋体"/>
          <w:b w:val="0"/>
          <w:bCs w:val="0"/>
          <w:color w:val="auto"/>
          <w:sz w:val="24"/>
          <w:szCs w:val="24"/>
          <w:highlight w:val="none"/>
          <w:u w:val="none"/>
        </w:rPr>
        <w:fldChar w:fldCharType="separate"/>
      </w:r>
      <w:r>
        <w:rPr>
          <w:rStyle w:val="54"/>
          <w:rFonts w:hint="eastAsia" w:ascii="宋体" w:hAnsi="宋体" w:cs="宋体"/>
          <w:b w:val="0"/>
          <w:bCs w:val="0"/>
          <w:color w:val="auto"/>
          <w:sz w:val="24"/>
          <w:szCs w:val="24"/>
          <w:highlight w:val="none"/>
          <w:u w:val="none"/>
        </w:rPr>
        <w:t>122314878@qq.com</w:t>
      </w:r>
      <w:r>
        <w:rPr>
          <w:rFonts w:hint="eastAsia" w:ascii="宋体" w:hAnsi="宋体" w:cs="宋体"/>
          <w:b w:val="0"/>
          <w:bCs w:val="0"/>
          <w:color w:val="auto"/>
          <w:sz w:val="24"/>
          <w:szCs w:val="24"/>
          <w:highlight w:val="none"/>
          <w:u w:val="none"/>
        </w:rPr>
        <w:fldChar w:fldCharType="end"/>
      </w:r>
      <w:r>
        <w:rPr>
          <w:rFonts w:hint="eastAsia" w:ascii="宋体" w:hAnsi="宋体" w:cs="宋体"/>
          <w:b w:val="0"/>
          <w:bCs w:val="0"/>
          <w:color w:val="auto"/>
          <w:sz w:val="24"/>
          <w:szCs w:val="24"/>
          <w:highlight w:val="none"/>
          <w:u w:val="none"/>
          <w:lang w:val="en-US" w:eastAsia="zh-CN"/>
        </w:rPr>
        <w:t xml:space="preserve"> </w:t>
      </w:r>
      <w:r>
        <w:rPr>
          <w:rFonts w:hint="eastAsia" w:ascii="宋体" w:hAnsi="宋体" w:cs="宋体"/>
          <w:b w:val="0"/>
          <w:bCs w:val="0"/>
          <w:sz w:val="24"/>
          <w:szCs w:val="24"/>
          <w:highlight w:val="none"/>
          <w:lang w:val="en-US" w:eastAsia="zh-CN"/>
        </w:rPr>
        <w:t xml:space="preserve"> 313066484@qq.com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bookmarkStart w:id="8" w:name="_Toc19735_WPSOffice_Level1"/>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ascii="黑体" w:hAnsi="黑体" w:eastAsia="黑体"/>
          <w:smallCaps/>
          <w:spacing w:val="14"/>
          <w:kern w:val="20"/>
          <w:highlight w:val="none"/>
        </w:rPr>
      </w:pPr>
      <w:bookmarkStart w:id="9" w:name="_Toc392_WPSOffice_Level1"/>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bookmarkEnd w:id="8"/>
      <w:bookmarkEnd w:id="9"/>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询价书构成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询价公告</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报价须知</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合同条款</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技术规格及要求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 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报价书的组成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按询价书要求填报完整的报价函、报价一览表、分项报价表；</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技术规格及商务规格偏离表；</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服务/工程技术规格说明书；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 按要求出具的资格证明文件；</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 其它需要说明的事项。</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报价要求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(1)报价为含税价（税率6%）。</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w:t>
      </w: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)在填报报价时，要列明价格的各组成部分。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 报价书的式样和签署</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3.1电子版命名格式“项目名称+公司名称”。</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 询价方将根据公告规定揭价时间在中煤易购采购一体化平台进行线上报价揭示。</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 询价方评审小组/谈判小组</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(1)由询价方相关部门人员组成。</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(2)从报价截止日起,直到向成交方授予合同时止，凡与审查、澄清、评价和确定成交有关的保密资料，均不得向与评审无关的其他人透露。</w:t>
      </w:r>
    </w:p>
    <w:p>
      <w:pPr>
        <w:spacing w:line="360" w:lineRule="auto"/>
        <w:ind w:firstLine="480" w:firstLineChars="200"/>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ind w:firstLine="482" w:firstLineChars="200"/>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ind w:firstLine="482" w:firstLineChars="200"/>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最低评审价格法，</w:t>
      </w:r>
      <w:r>
        <w:rPr>
          <w:rFonts w:hint="eastAsia" w:ascii="宋体" w:hAnsi="宋体" w:cs="宋体"/>
          <w:b w:val="0"/>
          <w:bCs w:val="0"/>
          <w:sz w:val="24"/>
          <w:szCs w:val="24"/>
          <w:highlight w:val="none"/>
          <w:lang w:val="en-US" w:eastAsia="zh-CN"/>
        </w:rPr>
        <w:t>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确定成交人准则</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(1)合同将授予其报价实质上响应询价书的要求，能最大限度地满足询价书中规定的各项综合评价标准，并能圆满地履行合同的、对买方最为有利的报价方。</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(2)不能保证最低报价的单位最终成交。</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 成交通知书</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在报价有效期期满之前,</w:t>
      </w:r>
      <w:r>
        <w:rPr>
          <w:rFonts w:hint="eastAsia" w:ascii="宋体" w:hAnsi="宋体" w:eastAsia="宋体" w:cs="宋体"/>
          <w:b w:val="0"/>
          <w:bCs w:val="0"/>
          <w:sz w:val="24"/>
          <w:szCs w:val="24"/>
          <w:highlight w:val="none"/>
          <w:lang w:val="en-US" w:eastAsia="zh-CN"/>
        </w:rPr>
        <w:t>报价人可在系统查询成交情况或</w:t>
      </w:r>
      <w:r>
        <w:rPr>
          <w:rFonts w:hint="eastAsia" w:ascii="宋体" w:hAnsi="宋体" w:eastAsia="宋体" w:cs="宋体"/>
          <w:b w:val="0"/>
          <w:bCs w:val="0"/>
          <w:sz w:val="24"/>
          <w:szCs w:val="24"/>
          <w:highlight w:val="none"/>
        </w:rPr>
        <w:t>询价单位以书面</w:t>
      </w:r>
      <w:r>
        <w:rPr>
          <w:rFonts w:hint="eastAsia" w:ascii="宋体" w:hAnsi="宋体" w:eastAsia="宋体" w:cs="宋体"/>
          <w:b w:val="0"/>
          <w:bCs w:val="0"/>
          <w:sz w:val="24"/>
          <w:szCs w:val="24"/>
          <w:highlight w:val="none"/>
          <w:lang w:eastAsia="zh-CN"/>
        </w:rPr>
        <w:t>或</w:t>
      </w:r>
      <w:r>
        <w:rPr>
          <w:rFonts w:hint="eastAsia" w:ascii="宋体" w:hAnsi="宋体" w:eastAsia="宋体" w:cs="宋体"/>
          <w:b w:val="0"/>
          <w:bCs w:val="0"/>
          <w:sz w:val="24"/>
          <w:szCs w:val="24"/>
          <w:highlight w:val="none"/>
        </w:rPr>
        <w:t>传真形式</w:t>
      </w:r>
      <w:r>
        <w:rPr>
          <w:rFonts w:hint="eastAsia" w:ascii="宋体" w:hAnsi="宋体" w:eastAsia="宋体" w:cs="宋体"/>
          <w:b w:val="0"/>
          <w:bCs w:val="0"/>
          <w:sz w:val="24"/>
          <w:szCs w:val="24"/>
          <w:highlight w:val="none"/>
          <w:lang w:eastAsia="zh-CN"/>
        </w:rPr>
        <w:t>等方式</w:t>
      </w:r>
      <w:r>
        <w:rPr>
          <w:rFonts w:hint="eastAsia" w:ascii="宋体" w:hAnsi="宋体" w:eastAsia="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bookmarkStart w:id="10" w:name="_Toc22171_WPSOffice_Level1"/>
      <w:bookmarkStart w:id="11" w:name="_Toc1037_WPSOffice_Level1"/>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bookmarkEnd w:id="10"/>
      <w:bookmarkEnd w:id="11"/>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1.按时</w:t>
      </w:r>
      <w:r>
        <w:rPr>
          <w:rFonts w:hint="eastAsia" w:asciiTheme="minorEastAsia" w:hAnsiTheme="minorEastAsia" w:eastAsiaTheme="minorEastAsia" w:cstheme="minorEastAsia"/>
          <w:b w:val="0"/>
          <w:bCs w:val="0"/>
          <w:sz w:val="24"/>
          <w:szCs w:val="24"/>
        </w:rPr>
        <w:t>提供</w:t>
      </w:r>
      <w:r>
        <w:rPr>
          <w:rFonts w:hint="eastAsia" w:asciiTheme="minorEastAsia" w:hAnsiTheme="minorEastAsia" w:eastAsiaTheme="minorEastAsia" w:cstheme="minorEastAsia"/>
          <w:b w:val="0"/>
          <w:bCs w:val="0"/>
          <w:sz w:val="24"/>
          <w:szCs w:val="24"/>
          <w:lang w:val="en-US" w:eastAsia="zh-CN"/>
        </w:rPr>
        <w:t>《极近距离煤层跨层高位顶煤冒放控制及高效协同放顶关键技术研究》技术</w:t>
      </w:r>
      <w:r>
        <w:rPr>
          <w:rFonts w:hint="eastAsia" w:asciiTheme="minorEastAsia" w:hAnsiTheme="minorEastAsia" w:eastAsiaTheme="minorEastAsia" w:cstheme="minorEastAsia"/>
          <w:b w:val="0"/>
          <w:bCs w:val="0"/>
          <w:sz w:val="24"/>
          <w:szCs w:val="24"/>
        </w:rPr>
        <w:t>服务，</w:t>
      </w:r>
      <w:r>
        <w:rPr>
          <w:rFonts w:hint="eastAsia" w:asciiTheme="minorEastAsia" w:hAnsiTheme="minorEastAsia" w:eastAsiaTheme="minorEastAsia" w:cstheme="minorEastAsia"/>
          <w:b w:val="0"/>
          <w:bCs w:val="0"/>
          <w:sz w:val="24"/>
          <w:szCs w:val="24"/>
          <w:lang w:val="en-US" w:eastAsia="zh-CN"/>
        </w:rPr>
        <w:t>制定项目总体研究报告实施方案，</w:t>
      </w:r>
      <w:r>
        <w:rPr>
          <w:rFonts w:hint="eastAsia" w:asciiTheme="minorEastAsia" w:hAnsiTheme="minorEastAsia" w:eastAsiaTheme="minorEastAsia" w:cstheme="minorEastAsia"/>
          <w:b w:val="0"/>
          <w:bCs w:val="0"/>
          <w:sz w:val="24"/>
          <w:szCs w:val="24"/>
        </w:rPr>
        <w:t>提交项目研究</w:t>
      </w:r>
      <w:r>
        <w:rPr>
          <w:rFonts w:hint="eastAsia" w:asciiTheme="minorEastAsia" w:hAnsiTheme="minorEastAsia" w:eastAsiaTheme="minorEastAsia" w:cstheme="minorEastAsia"/>
          <w:b w:val="0"/>
          <w:bCs w:val="0"/>
          <w:sz w:val="24"/>
          <w:szCs w:val="24"/>
          <w:lang w:val="en-US" w:eastAsia="zh-CN"/>
        </w:rPr>
        <w:t>成果</w:t>
      </w:r>
      <w:r>
        <w:rPr>
          <w:rFonts w:hint="eastAsia" w:asciiTheme="minorEastAsia" w:hAnsiTheme="minorEastAsia" w:eastAsiaTheme="minorEastAsia" w:cstheme="minorEastAsia"/>
          <w:b w:val="0"/>
          <w:bCs w:val="0"/>
          <w:sz w:val="24"/>
          <w:szCs w:val="24"/>
        </w:rPr>
        <w:t>报告</w:t>
      </w:r>
      <w:r>
        <w:rPr>
          <w:rFonts w:hint="eastAsia" w:asciiTheme="minorEastAsia" w:hAnsiTheme="minorEastAsia" w:eastAsiaTheme="minorEastAsia" w:cstheme="minorEastAsia"/>
          <w:b w:val="0"/>
          <w:bCs w:val="0"/>
          <w:sz w:val="24"/>
          <w:szCs w:val="24"/>
          <w:lang w:val="en-US" w:eastAsia="zh-CN"/>
        </w:rPr>
        <w:t>等</w:t>
      </w:r>
      <w:r>
        <w:rPr>
          <w:rFonts w:hint="eastAsia" w:asciiTheme="minorEastAsia" w:hAnsiTheme="minorEastAsia" w:eastAsiaTheme="minorEastAsia" w:cstheme="minorEastAsia"/>
          <w:b w:val="0"/>
          <w:bCs w:val="0"/>
          <w:sz w:val="24"/>
          <w:szCs w:val="24"/>
          <w:lang w:eastAsia="zh-CN"/>
        </w:rPr>
        <w:t>。</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2.发表省部级期刊</w:t>
      </w:r>
      <w:r>
        <w:rPr>
          <w:rFonts w:hint="eastAsia" w:asciiTheme="minorEastAsia" w:hAnsiTheme="minorEastAsia" w:eastAsiaTheme="minorEastAsia" w:cstheme="minorEastAsia"/>
          <w:b w:val="0"/>
          <w:bCs w:val="0"/>
          <w:sz w:val="24"/>
          <w:szCs w:val="24"/>
          <w:highlight w:val="none"/>
          <w:lang w:val="en-US" w:eastAsia="zh-CN"/>
        </w:rPr>
        <w:t>论文</w:t>
      </w:r>
      <w:r>
        <w:rPr>
          <w:rFonts w:hint="eastAsia" w:asciiTheme="minorEastAsia" w:hAnsiTheme="minorEastAsia" w:eastAsiaTheme="minorEastAsia" w:cstheme="minorEastAsia"/>
          <w:b w:val="0"/>
          <w:bCs w:val="0"/>
          <w:sz w:val="24"/>
          <w:szCs w:val="24"/>
          <w:lang w:val="en-US" w:eastAsia="zh-CN"/>
        </w:rPr>
        <w:t>1篇、授权实用新型专利1项、受理发明专利1项。</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3.提供科学技术评奖所需的查新报告、科学技术成果鉴定证书等文件。</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4.根据甲方要求，编制相关报奖资料。</w:t>
      </w:r>
    </w:p>
    <w:p>
      <w:pPr>
        <w:numPr>
          <w:ilvl w:val="0"/>
          <w:numId w:val="0"/>
        </w:numPr>
        <w:spacing w:line="520" w:lineRule="exact"/>
        <w:ind w:leftChars="0" w:firstLine="480" w:firstLineChars="200"/>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5.研究提供特厚煤层（采放比超过1:3）的论证报告。</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 xml:space="preserve">       </w:t>
      </w:r>
    </w:p>
    <w:p>
      <w:pPr>
        <w:pStyle w:val="17"/>
        <w:rPr>
          <w:highlight w:val="none"/>
        </w:rPr>
      </w:pPr>
    </w:p>
    <w:p>
      <w:pPr>
        <w:numPr>
          <w:ilvl w:val="0"/>
          <w:numId w:val="0"/>
        </w:numPr>
        <w:spacing w:line="520" w:lineRule="exact"/>
        <w:ind w:leftChars="0" w:firstLine="602" w:firstLineChars="200"/>
        <w:rPr>
          <w:highlight w:val="none"/>
        </w:rPr>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bookmarkStart w:id="12" w:name="_Toc13481_WPSOffice_Level1"/>
      <w:bookmarkStart w:id="13" w:name="_Toc20986_WPSOffice_Level1"/>
      <w:r>
        <w:rPr>
          <w:rFonts w:hint="eastAsia" w:ascii="黑体" w:hAnsi="黑体" w:eastAsia="黑体"/>
          <w:b w:val="0"/>
          <w:bCs w:val="0"/>
          <w:smallCaps/>
          <w:spacing w:val="14"/>
          <w:kern w:val="20"/>
          <w:highlight w:val="none"/>
          <w:lang w:eastAsia="zh-CN"/>
        </w:rPr>
        <w:t>技术规格和要求</w:t>
      </w:r>
      <w:bookmarkEnd w:id="12"/>
      <w:bookmarkEnd w:id="13"/>
    </w:p>
    <w:p>
      <w:pPr>
        <w:numPr>
          <w:ilvl w:val="0"/>
          <w:numId w:val="0"/>
        </w:numPr>
        <w:spacing w:line="520" w:lineRule="exact"/>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一、项目简介</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本项目以元宝湾煤业6号与9号煤层为研究对象，开展极近距离煤层跨层高位顶煤冒放控制及高效协同放顶关键技术研究，对6号和9号煤层顶板煤岩体进行物理力学性能参数分析，为理论计算及实验室模拟分析提供基础数据，以煤层厚度和层间岩层厚度为指标，对先期开采地段内不同区域进行地层类别划分；分析不同区域近距离煤层合层综放开采覆岩活动规律，掌握6号和9号煤层之间岩层的变形和破坏特征；对比分析不同影响因素条件下的近距离煤层的冒放程度和规模，识别近距离煤层合层综放开采冒放性主控影响因素，确定近距离煤层合层综放开采阈值；划定不同区域煤层合层的分区边界，研究开发适应不同分区特点的综放工艺参与及预处理方法，研究开发出适用于近距离煤层合层综放开采的分区一体化协同控制技术。为元宝湾煤业及类似地质条件煤矿的近距离煤层合层综放顶开采体系构建，提供理论指导与技术支持。主要研究内容包括但不限于：</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1.近距离煤层赋存条件及煤岩物理力学参数</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深入现场开展调研工作，系统分析6号和9号煤层赋存条件并掌握围岩状况，以煤层厚度和层间岩层厚度为指标，对先期开采地段内不同区域进行地层类别划分，为后续研究工作提供地层数据基础。对6号和9号煤层顶板煤岩体进行物理力学性能参数分析，主要包括抗拉、抗压强度、弹性模量、黏聚力、内摩擦角、微裂隙发育特征等，为理论计算及实验室模拟分析提供基础数据。</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2.近距离煤层合层综放开采覆岩活动规律</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运用实验室数值模拟方法来研究矿山岩层移动，观察9号煤层采后岩层移动与破坏情况，分析矿山实际所发生的采动效应，从岩层内部移动和破坏的力学角度揭示深部采煤覆岩位移场、应力场和破坏场，确定出直接顶垮落步距、基本顶初次来压步距、周期来压步距等覆岩变形规律等，分析6号和9号</w:t>
      </w:r>
      <w:bookmarkStart w:id="14" w:name="_Hlk146184649"/>
      <w:r>
        <w:rPr>
          <w:rFonts w:hint="eastAsia" w:asciiTheme="minorEastAsia" w:hAnsiTheme="minorEastAsia" w:eastAsiaTheme="minorEastAsia" w:cstheme="minorEastAsia"/>
          <w:b w:val="0"/>
          <w:bCs w:val="0"/>
          <w:sz w:val="24"/>
          <w:szCs w:val="24"/>
          <w:lang w:val="en-US" w:eastAsia="zh-CN"/>
        </w:rPr>
        <w:t>煤层之间岩层的变形和破坏特征，掌握煤层与层间岩层之间的相互作用和影响。</w:t>
      </w:r>
    </w:p>
    <w:bookmarkEnd w:id="14"/>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3.近距离煤层合层综放开采冒放性主控因素</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基于6号和9号煤层实际赋存工况及煤岩物理力学参数，建立近距离煤层合层综放开采数值计算模型，设计不同煤层厚度、不同顶板条件、不同夹矸赋存条件、不同采放比、不同放煤方式的近距离煤层合层综放开采方案，对比分析不同影响因素条件下的近距离煤层的冒放程度和规模，识别近距离煤层合层综放开采冒放性主控影响因素，确定近距离煤层合层综放开采阈值。</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4.近距离煤层合层综放开采冒放控制技术</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以近距离煤层合层综放开采冒放性主控因素及合层综放开采阈值为基础，开展矿井合层综放开采冒放性分区研究，进而分区优化综放工艺参数与放顶方案，引入改善层间岩层界面黏结状态的预处理方法，分析层间岩石力学性能的弱化后近距离煤层的冒放程度和规模，研究开发出适用于近距离煤层合层综放开采的分区一体化协同控制技术。</w:t>
      </w:r>
    </w:p>
    <w:p>
      <w:pPr>
        <w:numPr>
          <w:ilvl w:val="0"/>
          <w:numId w:val="0"/>
        </w:numPr>
        <w:spacing w:line="520" w:lineRule="exac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二、拟解决的关键技术难题</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1.选定关键指标对不同区域进行地层类别划分，针对不同分区的6号、9号煤层及层间岩石的赋存特征，分析煤层之间岩层的变形和破坏特征，掌握近距离煤层以及层间岩层之间的相互作用和影响。</w:t>
      </w:r>
    </w:p>
    <w:p>
      <w:pPr>
        <w:numPr>
          <w:ilvl w:val="0"/>
          <w:numId w:val="0"/>
        </w:numPr>
        <w:spacing w:line="520" w:lineRule="exact"/>
        <w:ind w:leftChars="0"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2.准确识别不同分区近距离煤层合层综放开采冒放性的主控因素及开采阈值，划定不同区域煤层合层的分区边界，研究开发适应不同分区特点的综放工艺参与及预处理方法。</w:t>
      </w:r>
    </w:p>
    <w:p>
      <w:pPr>
        <w:numPr>
          <w:ilvl w:val="0"/>
          <w:numId w:val="0"/>
        </w:numPr>
        <w:spacing w:line="520" w:lineRule="exact"/>
        <w:ind w:leftChars="0" w:firstLine="480" w:firstLineChars="200"/>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3.特厚煤层采放比超过1:3的安全性、合理性、可靠性论证。</w:t>
      </w:r>
    </w:p>
    <w:p>
      <w:pPr>
        <w:pStyle w:val="2"/>
        <w:rPr>
          <w:rFonts w:hint="eastAsia"/>
        </w:rPr>
      </w:pPr>
    </w:p>
    <w:p>
      <w:pPr>
        <w:rPr>
          <w:rFonts w:hint="default"/>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bookmarkStart w:id="15" w:name="_Toc154_WPSOffice_Level1"/>
      <w:bookmarkStart w:id="16" w:name="_Toc13746_WPSOffice_Level1"/>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bookmarkEnd w:id="15"/>
      <w:bookmarkEnd w:id="16"/>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bookmarkStart w:id="17" w:name="_Toc11927_WPSOffice_Level1"/>
      <w:bookmarkStart w:id="18" w:name="_Toc8679_WPSOffice_Level1"/>
      <w:bookmarkStart w:id="19" w:name="_Toc28738_WPSOffice_Level1"/>
      <w:bookmarkStart w:id="20" w:name="_Toc12453_WPSOffice_Level1"/>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bookmarkEnd w:id="17"/>
      <w:bookmarkEnd w:id="18"/>
      <w:bookmarkEnd w:id="19"/>
      <w:bookmarkEnd w:id="20"/>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1" w:name="_Toc21087_WPSOffice_Level1"/>
      <w:bookmarkStart w:id="22" w:name="_Toc6907_WPSOffice_Level1"/>
      <w:bookmarkStart w:id="23" w:name="_Toc25821_WPSOffice_Level1"/>
      <w:bookmarkStart w:id="24" w:name="_Toc7954_WPSOffice_Level1"/>
      <w:r>
        <w:rPr>
          <w:rFonts w:hint="eastAsia" w:ascii="宋体" w:hAnsi="宋体" w:cs="宋体"/>
          <w:b w:val="0"/>
          <w:bCs w:val="0"/>
          <w:sz w:val="28"/>
          <w:szCs w:val="28"/>
          <w:highlight w:val="none"/>
        </w:rPr>
        <w:t>报价函</w:t>
      </w:r>
      <w:bookmarkEnd w:id="21"/>
      <w:bookmarkEnd w:id="22"/>
      <w:bookmarkEnd w:id="23"/>
      <w:bookmarkEnd w:id="24"/>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5" w:name="_Toc25548_WPSOffice_Level1"/>
      <w:bookmarkStart w:id="26" w:name="_Toc1168_WPSOffice_Level1"/>
      <w:bookmarkStart w:id="27" w:name="_Toc20305_WPSOffice_Level1"/>
      <w:bookmarkStart w:id="28" w:name="_Toc23000_WPSOffice_Level1"/>
      <w:r>
        <w:rPr>
          <w:rFonts w:hint="eastAsia" w:ascii="宋体" w:hAnsi="宋体" w:cs="宋体"/>
          <w:b w:val="0"/>
          <w:bCs w:val="0"/>
          <w:sz w:val="28"/>
          <w:szCs w:val="28"/>
          <w:highlight w:val="none"/>
        </w:rPr>
        <w:t>报价一览表</w:t>
      </w:r>
      <w:bookmarkEnd w:id="25"/>
      <w:bookmarkEnd w:id="26"/>
      <w:bookmarkEnd w:id="27"/>
      <w:bookmarkEnd w:id="28"/>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9" w:name="_Toc8963_WPSOffice_Level1"/>
      <w:bookmarkStart w:id="30" w:name="_Toc25039_WPSOffice_Level1"/>
      <w:bookmarkStart w:id="31" w:name="_Toc2825_WPSOffice_Level1"/>
      <w:bookmarkStart w:id="32" w:name="_Toc885_WPSOffice_Level1"/>
      <w:r>
        <w:rPr>
          <w:rFonts w:hint="eastAsia" w:ascii="宋体" w:hAnsi="宋体" w:cs="宋体"/>
          <w:b w:val="0"/>
          <w:bCs w:val="0"/>
          <w:sz w:val="28"/>
          <w:szCs w:val="28"/>
          <w:highlight w:val="none"/>
        </w:rPr>
        <w:t>分项价格表</w:t>
      </w:r>
      <w:bookmarkEnd w:id="29"/>
      <w:bookmarkEnd w:id="30"/>
      <w:bookmarkEnd w:id="31"/>
      <w:bookmarkEnd w:id="32"/>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3" w:name="_Toc5905_WPSOffice_Level1"/>
      <w:bookmarkStart w:id="34" w:name="_Toc30062_WPSOffice_Level1"/>
      <w:bookmarkStart w:id="35" w:name="_Toc26898_WPSOffice_Level1"/>
      <w:bookmarkStart w:id="36" w:name="_Toc10789_WPSOffice_Level1"/>
      <w:r>
        <w:rPr>
          <w:rFonts w:hint="eastAsia" w:ascii="宋体" w:hAnsi="宋体" w:cs="宋体"/>
          <w:b w:val="0"/>
          <w:bCs w:val="0"/>
          <w:sz w:val="28"/>
          <w:szCs w:val="28"/>
          <w:highlight w:val="none"/>
        </w:rPr>
        <w:t>偏离表</w:t>
      </w:r>
      <w:bookmarkEnd w:id="33"/>
      <w:bookmarkEnd w:id="34"/>
      <w:bookmarkEnd w:id="35"/>
      <w:bookmarkEnd w:id="36"/>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7" w:name="_Toc32597_WPSOffice_Level1"/>
      <w:bookmarkStart w:id="38" w:name="_Toc21487_WPSOffice_Level1"/>
      <w:bookmarkStart w:id="39" w:name="_Toc32261_WPSOffice_Level1"/>
      <w:bookmarkStart w:id="40" w:name="_Toc18465_WPSOffice_Level1"/>
      <w:r>
        <w:rPr>
          <w:rFonts w:hint="eastAsia" w:ascii="宋体" w:hAnsi="宋体" w:cs="宋体"/>
          <w:b w:val="0"/>
          <w:bCs w:val="0"/>
          <w:sz w:val="28"/>
          <w:szCs w:val="28"/>
          <w:highlight w:val="none"/>
        </w:rPr>
        <w:t>资格证明文件</w:t>
      </w:r>
      <w:bookmarkEnd w:id="37"/>
      <w:bookmarkEnd w:id="38"/>
      <w:bookmarkEnd w:id="39"/>
      <w:bookmarkEnd w:id="40"/>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w:t>
      </w:r>
      <w:bookmarkStart w:id="41" w:name="_Toc11420_WPSOffice_Level1"/>
      <w:bookmarkStart w:id="42" w:name="_Toc5870_WPSOffice_Level1"/>
      <w:bookmarkStart w:id="43" w:name="_Toc27544_WPSOffice_Level1"/>
      <w:bookmarkStart w:id="44" w:name="_Toc9139_WPSOffice_Level1"/>
      <w:r>
        <w:rPr>
          <w:rFonts w:hint="eastAsia" w:ascii="宋体" w:hAnsi="宋体" w:cs="宋体"/>
          <w:b w:val="0"/>
          <w:bCs w:val="0"/>
          <w:sz w:val="28"/>
          <w:szCs w:val="28"/>
          <w:highlight w:val="none"/>
          <w:lang w:val="en-US" w:eastAsia="zh-CN"/>
        </w:rPr>
        <w:t>服务方案</w:t>
      </w:r>
      <w:bookmarkEnd w:id="41"/>
      <w:bookmarkEnd w:id="42"/>
      <w:bookmarkEnd w:id="43"/>
      <w:bookmarkEnd w:id="44"/>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bookmarkStart w:id="45" w:name="_Toc14335_WPSOffice_Level1"/>
      <w:bookmarkStart w:id="46" w:name="_Toc12487_WPSOffice_Level1"/>
      <w:bookmarkStart w:id="47" w:name="_Toc6384_WPSOffice_Level1"/>
      <w:bookmarkStart w:id="48" w:name="_Toc10117_WPSOffice_Level1"/>
      <w:r>
        <w:rPr>
          <w:rFonts w:hint="eastAsia" w:ascii="宋体" w:hAnsi="宋体" w:cs="宋体"/>
          <w:color w:val="7030A0"/>
          <w:sz w:val="24"/>
          <w:szCs w:val="24"/>
          <w:highlight w:val="none"/>
        </w:rPr>
        <w:t>（项目名称）</w:t>
      </w:r>
      <w:bookmarkEnd w:id="45"/>
      <w:bookmarkEnd w:id="46"/>
      <w:bookmarkEnd w:id="47"/>
      <w:bookmarkEnd w:id="48"/>
    </w:p>
    <w:p>
      <w:pPr>
        <w:jc w:val="center"/>
        <w:rPr>
          <w:rFonts w:hint="eastAsia" w:eastAsia="宋体"/>
          <w:highlight w:val="none"/>
          <w:lang w:val="en-US" w:eastAsia="zh-CN"/>
        </w:rPr>
      </w:pPr>
      <w:bookmarkStart w:id="49" w:name="_Toc26573_WPSOffice_Level1"/>
      <w:bookmarkStart w:id="50" w:name="_Toc2997_WPSOffice_Level1"/>
      <w:bookmarkStart w:id="51" w:name="_Toc31738_WPSOffice_Level1"/>
      <w:bookmarkStart w:id="52" w:name="_Toc19423_WPSOffice_Level1"/>
      <w:r>
        <w:rPr>
          <w:rFonts w:hint="eastAsia" w:ascii="宋体" w:hAnsi="宋体" w:cs="宋体"/>
          <w:color w:val="7030A0"/>
          <w:sz w:val="24"/>
          <w:szCs w:val="24"/>
          <w:highlight w:val="none"/>
          <w:lang w:eastAsia="zh-CN"/>
        </w:rPr>
        <w:t>（询价书编号）</w:t>
      </w:r>
      <w:bookmarkEnd w:id="49"/>
      <w:bookmarkEnd w:id="50"/>
      <w:bookmarkEnd w:id="51"/>
      <w:bookmarkEnd w:id="52"/>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0"/>
        <w:rPr>
          <w:highlight w:val="none"/>
        </w:rPr>
      </w:pPr>
    </w:p>
    <w:p>
      <w:pPr>
        <w:jc w:val="center"/>
        <w:rPr>
          <w:rFonts w:ascii="黑体" w:hAnsi="黑体" w:eastAsia="黑体" w:cs="黑体"/>
          <w:b w:val="0"/>
          <w:bCs w:val="0"/>
          <w:sz w:val="72"/>
          <w:szCs w:val="72"/>
          <w:highlight w:val="none"/>
        </w:rPr>
      </w:pPr>
      <w:bookmarkStart w:id="53" w:name="_Toc24345_WPSOffice_Level1"/>
      <w:bookmarkStart w:id="54" w:name="_Toc13412_WPSOffice_Level1"/>
      <w:bookmarkStart w:id="55" w:name="_Toc16109_WPSOffice_Level1"/>
      <w:bookmarkStart w:id="56" w:name="_Toc6889_WPSOffice_Level1"/>
      <w:r>
        <w:rPr>
          <w:rFonts w:hint="eastAsia" w:ascii="黑体" w:hAnsi="黑体" w:eastAsia="黑体" w:cs="黑体"/>
          <w:b w:val="0"/>
          <w:bCs w:val="0"/>
          <w:sz w:val="72"/>
          <w:szCs w:val="72"/>
          <w:highlight w:val="none"/>
        </w:rPr>
        <w:t>报</w:t>
      </w:r>
      <w:bookmarkEnd w:id="53"/>
      <w:bookmarkEnd w:id="54"/>
      <w:bookmarkEnd w:id="55"/>
      <w:bookmarkEnd w:id="56"/>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bookmarkStart w:id="57" w:name="_Toc9743_WPSOffice_Level1"/>
      <w:bookmarkStart w:id="58" w:name="_Toc20599_WPSOffice_Level1"/>
      <w:bookmarkStart w:id="59" w:name="_Toc20208_WPSOffice_Level1"/>
      <w:bookmarkStart w:id="60" w:name="_Toc24617_WPSOffice_Level1"/>
      <w:r>
        <w:rPr>
          <w:rFonts w:hint="eastAsia" w:ascii="黑体" w:hAnsi="黑体" w:eastAsia="黑体" w:cs="黑体"/>
          <w:b w:val="0"/>
          <w:bCs w:val="0"/>
          <w:sz w:val="72"/>
          <w:szCs w:val="72"/>
          <w:highlight w:val="none"/>
        </w:rPr>
        <w:t>价</w:t>
      </w:r>
      <w:bookmarkEnd w:id="57"/>
      <w:bookmarkEnd w:id="58"/>
      <w:bookmarkEnd w:id="59"/>
      <w:bookmarkEnd w:id="60"/>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bookmarkStart w:id="61" w:name="_Toc214_WPSOffice_Level1"/>
      <w:bookmarkStart w:id="62" w:name="_Toc18354_WPSOffice_Level1"/>
      <w:bookmarkStart w:id="63" w:name="_Toc14391_WPSOffice_Level1"/>
      <w:bookmarkStart w:id="64" w:name="_Toc31642_WPSOffice_Level1"/>
      <w:r>
        <w:rPr>
          <w:rFonts w:hint="eastAsia" w:ascii="黑体" w:hAnsi="黑体" w:eastAsia="黑体" w:cs="黑体"/>
          <w:b w:val="0"/>
          <w:bCs w:val="0"/>
          <w:sz w:val="72"/>
          <w:szCs w:val="72"/>
          <w:highlight w:val="none"/>
        </w:rPr>
        <w:t>书</w:t>
      </w:r>
      <w:bookmarkEnd w:id="61"/>
      <w:bookmarkEnd w:id="62"/>
      <w:bookmarkEnd w:id="63"/>
      <w:bookmarkEnd w:id="64"/>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7"/>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first"/>
          <w:footerReference r:id="rId8" w:type="default"/>
          <w:pgSz w:w="11907" w:h="16840"/>
          <w:pgMar w:top="1814" w:right="1588" w:bottom="1814" w:left="1701" w:header="851" w:footer="1644" w:gutter="0"/>
          <w:pgNumType w:fmt="decimal" w:start="1"/>
          <w:cols w:space="425" w:num="1"/>
          <w:titlePg/>
        </w:sectPr>
      </w:pPr>
    </w:p>
    <w:p>
      <w:pPr>
        <w:jc w:val="center"/>
        <w:rPr>
          <w:rFonts w:ascii="宋体"/>
          <w:highlight w:val="none"/>
        </w:rPr>
      </w:pPr>
      <w:bookmarkStart w:id="65" w:name="_Toc21990_WPSOffice_Level1"/>
      <w:bookmarkStart w:id="66" w:name="_Toc26940_WPSOffice_Level1"/>
      <w:bookmarkStart w:id="67" w:name="_Toc26757_WPSOffice_Level1"/>
      <w:bookmarkStart w:id="68" w:name="_Toc4837_WPSOffice_Level1"/>
      <w:r>
        <w:rPr>
          <w:rFonts w:hint="eastAsia" w:ascii="宋体" w:hAnsi="宋体" w:cs="宋体"/>
          <w:highlight w:val="none"/>
          <w:lang w:val="en-US" w:eastAsia="zh-CN"/>
        </w:rPr>
        <w:t>一</w:t>
      </w:r>
      <w:r>
        <w:rPr>
          <w:rFonts w:hint="eastAsia" w:ascii="宋体" w:hAnsi="宋体" w:cs="宋体"/>
          <w:highlight w:val="none"/>
        </w:rPr>
        <w:t>、报价函（格式）</w:t>
      </w:r>
      <w:bookmarkEnd w:id="65"/>
      <w:bookmarkEnd w:id="66"/>
      <w:bookmarkEnd w:id="67"/>
      <w:bookmarkEnd w:id="68"/>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0"/>
        <w:rPr>
          <w:highlight w:val="none"/>
        </w:rPr>
      </w:pPr>
    </w:p>
    <w:p>
      <w:pPr>
        <w:pStyle w:val="20"/>
        <w:rPr>
          <w:highlight w:val="none"/>
        </w:rPr>
      </w:pPr>
    </w:p>
    <w:p>
      <w:pPr>
        <w:pStyle w:val="20"/>
        <w:rPr>
          <w:highlight w:val="none"/>
        </w:rPr>
      </w:pPr>
    </w:p>
    <w:p>
      <w:pPr>
        <w:numPr>
          <w:ilvl w:val="0"/>
          <w:numId w:val="9"/>
        </w:numPr>
        <w:spacing w:line="360" w:lineRule="auto"/>
        <w:jc w:val="center"/>
        <w:rPr>
          <w:rFonts w:hint="eastAsia" w:eastAsia="宋体"/>
          <w:highlight w:val="none"/>
          <w:lang w:eastAsia="zh-CN"/>
        </w:rPr>
      </w:pPr>
      <w:bookmarkStart w:id="69" w:name="_Toc3551_WPSOffice_Level1"/>
      <w:bookmarkStart w:id="70" w:name="_Toc2256_WPSOffice_Level1"/>
      <w:bookmarkStart w:id="71" w:name="_Toc4033_WPSOffice_Level1"/>
      <w:bookmarkStart w:id="72" w:name="_Toc20126_WPSOffice_Level1"/>
      <w:r>
        <w:rPr>
          <w:rFonts w:hint="eastAsia" w:ascii="宋体" w:hAnsi="宋体" w:cs="宋体"/>
          <w:b w:val="0"/>
          <w:bCs w:val="0"/>
          <w:highlight w:val="none"/>
        </w:rPr>
        <w:t>报价一览表（含税报价）</w:t>
      </w:r>
      <w:bookmarkEnd w:id="69"/>
      <w:bookmarkEnd w:id="70"/>
      <w:bookmarkEnd w:id="71"/>
      <w:bookmarkEnd w:id="72"/>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0"/>
        <w:rPr>
          <w:rFonts w:ascii="宋体" w:hAnsi="宋体" w:cs="宋体"/>
          <w:b/>
          <w:bCs/>
          <w:szCs w:val="30"/>
          <w:highlight w:val="none"/>
        </w:rPr>
      </w:pPr>
    </w:p>
    <w:p>
      <w:pPr>
        <w:pStyle w:val="20"/>
        <w:rPr>
          <w:rFonts w:ascii="宋体" w:hAnsi="宋体" w:cs="宋体"/>
          <w:b/>
          <w:bCs/>
          <w:szCs w:val="30"/>
          <w:highlight w:val="none"/>
        </w:rPr>
      </w:pPr>
    </w:p>
    <w:p>
      <w:pPr>
        <w:pStyle w:val="20"/>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bookmarkStart w:id="73" w:name="_Toc4056_WPSOffice_Level1"/>
      <w:bookmarkStart w:id="74" w:name="_Toc19045_WPSOffice_Level1"/>
      <w:bookmarkStart w:id="75" w:name="_Toc6999_WPSOffice_Level1"/>
      <w:bookmarkStart w:id="76" w:name="_Toc15333_WPSOffice_Level1"/>
      <w:r>
        <w:rPr>
          <w:rFonts w:hint="eastAsia" w:ascii="宋体" w:hAnsi="宋体" w:eastAsia="宋体" w:cs="宋体"/>
          <w:b/>
          <w:bCs/>
          <w:smallCaps w:val="0"/>
          <w:spacing w:val="0"/>
          <w:szCs w:val="30"/>
          <w:highlight w:val="none"/>
        </w:rPr>
        <w:t>分项报价表</w:t>
      </w:r>
      <w:bookmarkEnd w:id="73"/>
      <w:bookmarkEnd w:id="74"/>
      <w:bookmarkEnd w:id="75"/>
      <w:bookmarkEnd w:id="76"/>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pgNumType w:fmt="decimal"/>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bookmarkStart w:id="77" w:name="_Toc4193_WPSOffice_Level1"/>
      <w:bookmarkStart w:id="78" w:name="_Toc755_WPSOffice_Level1"/>
      <w:bookmarkStart w:id="79" w:name="_Toc26480_WPSOffice_Level1"/>
      <w:bookmarkStart w:id="80" w:name="_Toc23518_WPSOffice_Level1"/>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bookmarkEnd w:id="77"/>
      <w:bookmarkEnd w:id="78"/>
      <w:bookmarkEnd w:id="79"/>
      <w:bookmarkEnd w:id="80"/>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0"/>
        <w:rPr>
          <w:highlight w:val="none"/>
        </w:rPr>
      </w:pPr>
      <w:r>
        <w:rPr>
          <w:highlight w:val="none"/>
        </w:rPr>
        <w:br w:type="page"/>
      </w:r>
    </w:p>
    <w:p>
      <w:pPr>
        <w:pStyle w:val="20"/>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bookmarkStart w:id="81" w:name="_Toc31897_WPSOffice_Level1"/>
      <w:bookmarkStart w:id="82" w:name="_Toc5767_WPSOffice_Level1"/>
      <w:bookmarkStart w:id="83" w:name="_Toc14611_WPSOffice_Level1"/>
      <w:bookmarkStart w:id="84" w:name="_Toc12538_WPSOffice_Level1"/>
      <w:r>
        <w:rPr>
          <w:rFonts w:hint="eastAsia" w:ascii="Arial" w:hAnsi="Arial" w:eastAsia="宋体" w:cs="Times New Roman"/>
          <w:b/>
          <w:bCs/>
          <w:kern w:val="2"/>
          <w:sz w:val="30"/>
          <w:szCs w:val="30"/>
          <w:highlight w:val="none"/>
          <w:lang w:val="en-US" w:eastAsia="zh-CN" w:bidi="ar-SA"/>
        </w:rPr>
        <w:t>资质证明材料</w:t>
      </w:r>
      <w:bookmarkEnd w:id="81"/>
      <w:bookmarkEnd w:id="82"/>
      <w:bookmarkEnd w:id="83"/>
      <w:bookmarkEnd w:id="84"/>
    </w:p>
    <w:p>
      <w:pPr>
        <w:pStyle w:val="17"/>
        <w:rPr>
          <w:rFonts w:hint="eastAsia" w:ascii="宋体" w:hAnsi="宋体" w:cs="宋体"/>
          <w:sz w:val="32"/>
          <w:szCs w:val="32"/>
          <w:highlight w:val="none"/>
        </w:rPr>
      </w:pPr>
    </w:p>
    <w:p>
      <w:pPr>
        <w:rPr>
          <w:rFonts w:hint="eastAsia"/>
          <w:highlight w:val="none"/>
        </w:rPr>
      </w:pPr>
    </w:p>
    <w:p>
      <w:pPr>
        <w:pStyle w:val="17"/>
        <w:rPr>
          <w:rFonts w:hint="default" w:eastAsia="宋体"/>
          <w:highlight w:val="none"/>
          <w:lang w:val="en-US" w:eastAsia="zh-CN"/>
        </w:rPr>
      </w:pPr>
      <w:r>
        <w:rPr>
          <w:rFonts w:hint="eastAsia"/>
          <w:highlight w:val="none"/>
          <w:lang w:val="en-US" w:eastAsia="zh-CN"/>
        </w:rPr>
        <w:t xml:space="preserve">                      </w:t>
      </w:r>
      <w:bookmarkStart w:id="85" w:name="_Toc7332_WPSOffice_Level1"/>
      <w:bookmarkStart w:id="86" w:name="_Toc4237_WPSOffice_Level1"/>
      <w:bookmarkStart w:id="87" w:name="_Toc16008_WPSOffice_Level1"/>
      <w:bookmarkStart w:id="88" w:name="_Toc27646_WPSOffice_Level1"/>
      <w:r>
        <w:rPr>
          <w:rFonts w:hint="eastAsia"/>
          <w:highlight w:val="none"/>
          <w:lang w:val="en-US" w:eastAsia="zh-CN"/>
        </w:rPr>
        <w:t>六、服务方案</w:t>
      </w:r>
      <w:bookmarkEnd w:id="85"/>
      <w:bookmarkEnd w:id="86"/>
      <w:bookmarkEnd w:id="87"/>
      <w:bookmarkEnd w:id="88"/>
    </w:p>
    <w:p>
      <w:pPr>
        <w:pStyle w:val="17"/>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7"/>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bookmarkStart w:id="89" w:name="_Toc28861_WPSOffice_Level1"/>
      <w:bookmarkStart w:id="90" w:name="_Toc29758_WPSOffice_Level1"/>
      <w:bookmarkStart w:id="91" w:name="_Toc2122_WPSOffice_Level1"/>
      <w:bookmarkStart w:id="92" w:name="_Toc16280_WPSOffice_Level1"/>
      <w:r>
        <w:rPr>
          <w:rFonts w:hint="eastAsia" w:ascii="宋体" w:hAnsi="宋体" w:cs="宋体"/>
          <w:color w:val="000000"/>
          <w:highlight w:val="none"/>
        </w:rPr>
        <w:t>法定代表人授权书（格式）</w:t>
      </w:r>
      <w:bookmarkEnd w:id="89"/>
      <w:bookmarkEnd w:id="90"/>
      <w:bookmarkEnd w:id="91"/>
      <w:bookmarkEnd w:id="92"/>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bookmarkStart w:id="93" w:name="_Toc15511_WPSOffice_Level1"/>
      <w:bookmarkStart w:id="94" w:name="_Toc1591_WPSOffice_Level1"/>
      <w:bookmarkStart w:id="95" w:name="_Toc29393_WPSOffice_Level1"/>
      <w:bookmarkStart w:id="96" w:name="_Toc23501_WPSOffice_Level1"/>
      <w:r>
        <w:rPr>
          <w:rFonts w:hint="eastAsia" w:ascii="宋体" w:hAnsi="宋体" w:cs="宋体"/>
          <w:highlight w:val="none"/>
        </w:rPr>
        <w:t>业绩（格式）</w:t>
      </w:r>
      <w:bookmarkEnd w:id="93"/>
      <w:bookmarkEnd w:id="94"/>
      <w:bookmarkEnd w:id="95"/>
      <w:bookmarkEnd w:id="96"/>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97" w:name="_Toc9810_WPSOffice_Level1"/>
      <w:bookmarkStart w:id="98" w:name="_Toc17704_WPSOffice_Level1"/>
      <w:bookmarkStart w:id="99" w:name="_Toc553_WPSOffice_Level1"/>
      <w:bookmarkStart w:id="100" w:name="_Toc4950_WPSOffice_Level1"/>
      <w:bookmarkStart w:id="101" w:name="OLE_LINK1"/>
      <w:r>
        <w:rPr>
          <w:rFonts w:hint="eastAsia" w:ascii="宋体" w:hAnsi="宋体" w:cs="宋体"/>
          <w:highlight w:val="none"/>
          <w:lang w:eastAsia="zh-CN"/>
        </w:rPr>
        <w:t>附业绩证明材料</w:t>
      </w:r>
      <w:bookmarkEnd w:id="97"/>
      <w:bookmarkEnd w:id="98"/>
      <w:bookmarkEnd w:id="99"/>
      <w:bookmarkEnd w:id="100"/>
      <w:r>
        <w:rPr>
          <w:rFonts w:hint="eastAsia" w:ascii="宋体" w:hAnsi="宋体" w:cs="宋体"/>
          <w:highlight w:val="none"/>
        </w:rPr>
        <w:br w:type="page"/>
      </w:r>
    </w:p>
    <w:p>
      <w:pPr>
        <w:pStyle w:val="20"/>
        <w:spacing w:line="360" w:lineRule="auto"/>
        <w:jc w:val="center"/>
        <w:rPr>
          <w:rFonts w:ascii="宋体" w:hAnsi="宋体" w:cs="宋体"/>
          <w:bCs/>
          <w:sz w:val="30"/>
          <w:szCs w:val="30"/>
          <w:highlight w:val="none"/>
        </w:rPr>
      </w:pPr>
      <w:bookmarkStart w:id="102" w:name="_Toc2474_WPSOffice_Level1"/>
      <w:bookmarkStart w:id="103" w:name="_Toc11304_WPSOffice_Level1"/>
      <w:bookmarkStart w:id="104" w:name="_Toc5296_WPSOffice_Level1"/>
      <w:bookmarkStart w:id="105" w:name="_Toc13403_WPSOffice_Level1"/>
      <w:r>
        <w:rPr>
          <w:rFonts w:hint="eastAsia" w:ascii="宋体" w:hAnsi="宋体" w:cs="宋体"/>
          <w:bCs/>
          <w:sz w:val="30"/>
          <w:szCs w:val="30"/>
          <w:highlight w:val="none"/>
        </w:rPr>
        <w:t>企业经营、资信状况承诺书（格式）</w:t>
      </w:r>
      <w:bookmarkEnd w:id="102"/>
      <w:bookmarkEnd w:id="103"/>
      <w:bookmarkEnd w:id="104"/>
      <w:bookmarkEnd w:id="105"/>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0"/>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sz w:val="30"/>
          <w:szCs w:val="30"/>
          <w:highlight w:val="none"/>
        </w:rPr>
      </w:pPr>
    </w:p>
    <w:p>
      <w:pPr>
        <w:pStyle w:val="20"/>
        <w:spacing w:line="360" w:lineRule="auto"/>
        <w:ind w:firstLine="602"/>
        <w:jc w:val="left"/>
        <w:rPr>
          <w:rFonts w:ascii="宋体" w:hAnsi="宋体" w:cs="宋体"/>
          <w:bCs/>
          <w:sz w:val="30"/>
          <w:szCs w:val="30"/>
          <w:highlight w:val="none"/>
        </w:rPr>
      </w:pPr>
    </w:p>
    <w:p>
      <w:pPr>
        <w:pStyle w:val="20"/>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0"/>
        <w:spacing w:line="360" w:lineRule="auto"/>
        <w:jc w:val="left"/>
        <w:rPr>
          <w:rFonts w:ascii="宋体" w:hAnsi="宋体" w:cs="宋体"/>
          <w:bCs/>
          <w:sz w:val="30"/>
          <w:szCs w:val="30"/>
          <w:highlight w:val="none"/>
        </w:rPr>
      </w:pPr>
    </w:p>
    <w:p>
      <w:pPr>
        <w:pStyle w:val="20"/>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101"/>
    <w:p>
      <w:pPr>
        <w:pStyle w:val="20"/>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pgNumType w:fmt="decimal"/>
          <w:cols w:space="0" w:num="1"/>
          <w:docGrid w:type="lines" w:linePitch="429" w:charSpace="0"/>
        </w:sectPr>
      </w:pPr>
    </w:p>
    <w:p>
      <w:pPr>
        <w:widowControl/>
        <w:jc w:val="center"/>
        <w:rPr>
          <w:rFonts w:ascii="宋体" w:hAnsi="宋体" w:cs="宋体"/>
          <w:b w:val="0"/>
          <w:highlight w:val="none"/>
        </w:rPr>
      </w:pPr>
      <w:bookmarkStart w:id="106" w:name="_Toc26085_WPSOffice_Level1"/>
      <w:bookmarkStart w:id="107" w:name="_Toc14533_WPSOffice_Level1"/>
      <w:bookmarkStart w:id="108" w:name="_Toc8374_WPSOffice_Level1"/>
      <w:bookmarkStart w:id="109" w:name="_Toc29551_WPSOffice_Level1"/>
      <w:r>
        <w:rPr>
          <w:rFonts w:hint="eastAsia" w:ascii="宋体" w:hAnsi="宋体" w:cs="宋体"/>
          <w:b w:val="0"/>
          <w:highlight w:val="none"/>
        </w:rPr>
        <w:t>供应商廉洁承诺书（格式）</w:t>
      </w:r>
      <w:bookmarkEnd w:id="106"/>
      <w:bookmarkEnd w:id="107"/>
      <w:bookmarkEnd w:id="108"/>
      <w:bookmarkEnd w:id="109"/>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0"/>
        <w:rPr>
          <w:rFonts w:hint="eastAsia"/>
          <w:highlight w:val="none"/>
          <w:lang w:val="en-US" w:eastAsia="zh-CN"/>
        </w:rPr>
      </w:pPr>
    </w:p>
    <w:p>
      <w:pPr>
        <w:pStyle w:val="20"/>
        <w:rPr>
          <w:rFonts w:hint="eastAsia" w:eastAsia="宋体"/>
          <w:b w:val="0"/>
          <w:bCs w:val="0"/>
          <w:highlight w:val="none"/>
          <w:lang w:val="en-US" w:eastAsia="zh-CN"/>
        </w:rPr>
      </w:pPr>
    </w:p>
    <w:sectPr>
      <w:pgSz w:w="11906" w:h="16838"/>
      <w:pgMar w:top="1083" w:right="1440" w:bottom="1083" w:left="1440" w:header="851" w:footer="992" w:gutter="0"/>
      <w:pgNumType w:fmt="decimal"/>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098" o:spid="_x0000_s409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r>
      <w:rPr>
        <w:sz w:val="18"/>
      </w:rPr>
      <w:pict>
        <v:shape id="_x0000_s4097" o:spid="_x0000_s4097"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75F"/>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379EC"/>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E05A2E"/>
    <w:rsid w:val="02276F88"/>
    <w:rsid w:val="02954528"/>
    <w:rsid w:val="02A006D1"/>
    <w:rsid w:val="0307166D"/>
    <w:rsid w:val="030C630A"/>
    <w:rsid w:val="031C6E32"/>
    <w:rsid w:val="0348259E"/>
    <w:rsid w:val="03C760C4"/>
    <w:rsid w:val="03E72BFB"/>
    <w:rsid w:val="04377DA6"/>
    <w:rsid w:val="044955CA"/>
    <w:rsid w:val="04AD5120"/>
    <w:rsid w:val="061C36BA"/>
    <w:rsid w:val="06971860"/>
    <w:rsid w:val="08321601"/>
    <w:rsid w:val="08A8480D"/>
    <w:rsid w:val="09352049"/>
    <w:rsid w:val="09F6188D"/>
    <w:rsid w:val="0A912D3C"/>
    <w:rsid w:val="0B440B42"/>
    <w:rsid w:val="0B6E0461"/>
    <w:rsid w:val="0BB923B8"/>
    <w:rsid w:val="0BCA33E7"/>
    <w:rsid w:val="0BF508B4"/>
    <w:rsid w:val="0C215F5C"/>
    <w:rsid w:val="0C297F82"/>
    <w:rsid w:val="0C540FAF"/>
    <w:rsid w:val="0CBE2D77"/>
    <w:rsid w:val="0CBF3D62"/>
    <w:rsid w:val="0DB770AF"/>
    <w:rsid w:val="0EB30D0D"/>
    <w:rsid w:val="0EFD714D"/>
    <w:rsid w:val="0F604FE4"/>
    <w:rsid w:val="0F77472F"/>
    <w:rsid w:val="0FA03417"/>
    <w:rsid w:val="0FFE2944"/>
    <w:rsid w:val="101A355A"/>
    <w:rsid w:val="101B319E"/>
    <w:rsid w:val="102B2D43"/>
    <w:rsid w:val="10DE601A"/>
    <w:rsid w:val="10F27FB9"/>
    <w:rsid w:val="11026497"/>
    <w:rsid w:val="115D0FA0"/>
    <w:rsid w:val="119C2B16"/>
    <w:rsid w:val="11F702E2"/>
    <w:rsid w:val="130D5D28"/>
    <w:rsid w:val="13D27127"/>
    <w:rsid w:val="13D60078"/>
    <w:rsid w:val="14271435"/>
    <w:rsid w:val="145A4263"/>
    <w:rsid w:val="1477734B"/>
    <w:rsid w:val="14AE38DE"/>
    <w:rsid w:val="14BA389A"/>
    <w:rsid w:val="15542020"/>
    <w:rsid w:val="168606BF"/>
    <w:rsid w:val="169964AB"/>
    <w:rsid w:val="16BA4E85"/>
    <w:rsid w:val="178A0158"/>
    <w:rsid w:val="17D71BD3"/>
    <w:rsid w:val="184F2E7A"/>
    <w:rsid w:val="18E42747"/>
    <w:rsid w:val="1925379B"/>
    <w:rsid w:val="195604F2"/>
    <w:rsid w:val="198D4075"/>
    <w:rsid w:val="19AF44FD"/>
    <w:rsid w:val="1A12401D"/>
    <w:rsid w:val="1A63698E"/>
    <w:rsid w:val="1AA90C35"/>
    <w:rsid w:val="1B635DC8"/>
    <w:rsid w:val="1B972AF7"/>
    <w:rsid w:val="1BA3188A"/>
    <w:rsid w:val="1C6A6063"/>
    <w:rsid w:val="1C844F99"/>
    <w:rsid w:val="1CD8267C"/>
    <w:rsid w:val="1D4F01B5"/>
    <w:rsid w:val="1D944498"/>
    <w:rsid w:val="1D9D040F"/>
    <w:rsid w:val="1D9D6BC1"/>
    <w:rsid w:val="1E165F1B"/>
    <w:rsid w:val="1F360E25"/>
    <w:rsid w:val="1F505500"/>
    <w:rsid w:val="1F6024DA"/>
    <w:rsid w:val="21021C1F"/>
    <w:rsid w:val="21232666"/>
    <w:rsid w:val="21505AF6"/>
    <w:rsid w:val="21F06785"/>
    <w:rsid w:val="24B9677F"/>
    <w:rsid w:val="25653DDF"/>
    <w:rsid w:val="26756390"/>
    <w:rsid w:val="273109BD"/>
    <w:rsid w:val="27341C73"/>
    <w:rsid w:val="27F02089"/>
    <w:rsid w:val="280E7427"/>
    <w:rsid w:val="2878694B"/>
    <w:rsid w:val="288202F1"/>
    <w:rsid w:val="28835C82"/>
    <w:rsid w:val="2885643D"/>
    <w:rsid w:val="299C4534"/>
    <w:rsid w:val="29F1156B"/>
    <w:rsid w:val="2A467D32"/>
    <w:rsid w:val="2A76313F"/>
    <w:rsid w:val="2A9767DF"/>
    <w:rsid w:val="2AC06F9C"/>
    <w:rsid w:val="2B01007D"/>
    <w:rsid w:val="2B312938"/>
    <w:rsid w:val="2B4B4303"/>
    <w:rsid w:val="2BB12A90"/>
    <w:rsid w:val="2BD7373B"/>
    <w:rsid w:val="2BDA76F1"/>
    <w:rsid w:val="2C3D26A8"/>
    <w:rsid w:val="2C6852C0"/>
    <w:rsid w:val="2CB90650"/>
    <w:rsid w:val="2D1F5A8A"/>
    <w:rsid w:val="2D59068D"/>
    <w:rsid w:val="2D5D2A09"/>
    <w:rsid w:val="2DD27602"/>
    <w:rsid w:val="2E4847C8"/>
    <w:rsid w:val="2EB51C5E"/>
    <w:rsid w:val="2EEF2071"/>
    <w:rsid w:val="2EEF27D6"/>
    <w:rsid w:val="2F490223"/>
    <w:rsid w:val="2F5A259B"/>
    <w:rsid w:val="2F946AA4"/>
    <w:rsid w:val="2FB2153C"/>
    <w:rsid w:val="2FF56584"/>
    <w:rsid w:val="2FF74F52"/>
    <w:rsid w:val="304A5AAB"/>
    <w:rsid w:val="311E5CBB"/>
    <w:rsid w:val="313C2459"/>
    <w:rsid w:val="321260A3"/>
    <w:rsid w:val="327F64D7"/>
    <w:rsid w:val="3283369C"/>
    <w:rsid w:val="32890F14"/>
    <w:rsid w:val="32D26775"/>
    <w:rsid w:val="32DB47FF"/>
    <w:rsid w:val="334C6D3F"/>
    <w:rsid w:val="33573CB3"/>
    <w:rsid w:val="33654C18"/>
    <w:rsid w:val="33843E73"/>
    <w:rsid w:val="33F81901"/>
    <w:rsid w:val="34126E2C"/>
    <w:rsid w:val="35731F31"/>
    <w:rsid w:val="35D84E48"/>
    <w:rsid w:val="36BA11E5"/>
    <w:rsid w:val="36D735B3"/>
    <w:rsid w:val="38766EBA"/>
    <w:rsid w:val="38EC2DDC"/>
    <w:rsid w:val="39101B67"/>
    <w:rsid w:val="393744E7"/>
    <w:rsid w:val="393B2471"/>
    <w:rsid w:val="39B5256A"/>
    <w:rsid w:val="39E552F4"/>
    <w:rsid w:val="39F04960"/>
    <w:rsid w:val="3A0F496A"/>
    <w:rsid w:val="3A4074C6"/>
    <w:rsid w:val="3A873BF5"/>
    <w:rsid w:val="3B33738C"/>
    <w:rsid w:val="3BC04130"/>
    <w:rsid w:val="3C5D21E6"/>
    <w:rsid w:val="3C865392"/>
    <w:rsid w:val="3CEC6D03"/>
    <w:rsid w:val="3D206487"/>
    <w:rsid w:val="3D2D5A4B"/>
    <w:rsid w:val="3DC04D35"/>
    <w:rsid w:val="3DFA2056"/>
    <w:rsid w:val="3E4E000C"/>
    <w:rsid w:val="3EAF3106"/>
    <w:rsid w:val="3F2A0D32"/>
    <w:rsid w:val="3F677FEA"/>
    <w:rsid w:val="3F6B02A7"/>
    <w:rsid w:val="3FB47B86"/>
    <w:rsid w:val="3FFE67F3"/>
    <w:rsid w:val="40072003"/>
    <w:rsid w:val="40617FCF"/>
    <w:rsid w:val="40E26CD8"/>
    <w:rsid w:val="412F1C06"/>
    <w:rsid w:val="414018AE"/>
    <w:rsid w:val="42744B04"/>
    <w:rsid w:val="42BA317D"/>
    <w:rsid w:val="44143533"/>
    <w:rsid w:val="445106B7"/>
    <w:rsid w:val="446379AC"/>
    <w:rsid w:val="44746BA8"/>
    <w:rsid w:val="44DE4F77"/>
    <w:rsid w:val="45570670"/>
    <w:rsid w:val="45AB55EF"/>
    <w:rsid w:val="45CA7058"/>
    <w:rsid w:val="464016F5"/>
    <w:rsid w:val="465F362C"/>
    <w:rsid w:val="46B83B2F"/>
    <w:rsid w:val="46CD09A6"/>
    <w:rsid w:val="48136576"/>
    <w:rsid w:val="48262BDB"/>
    <w:rsid w:val="483240A5"/>
    <w:rsid w:val="48465573"/>
    <w:rsid w:val="48A87F7B"/>
    <w:rsid w:val="495C2428"/>
    <w:rsid w:val="49EA7818"/>
    <w:rsid w:val="4A0F542A"/>
    <w:rsid w:val="4A1319D9"/>
    <w:rsid w:val="4A8E046C"/>
    <w:rsid w:val="4ACA1D10"/>
    <w:rsid w:val="4B1640CA"/>
    <w:rsid w:val="4B313154"/>
    <w:rsid w:val="4B7474DA"/>
    <w:rsid w:val="4C0060ED"/>
    <w:rsid w:val="4C067859"/>
    <w:rsid w:val="4C5D37E9"/>
    <w:rsid w:val="4C9A24C2"/>
    <w:rsid w:val="4CBB5258"/>
    <w:rsid w:val="4CE6339D"/>
    <w:rsid w:val="4D0132D1"/>
    <w:rsid w:val="4D3A2111"/>
    <w:rsid w:val="4D5137F6"/>
    <w:rsid w:val="4DC76630"/>
    <w:rsid w:val="4E5D62A1"/>
    <w:rsid w:val="4E907ECE"/>
    <w:rsid w:val="4EB20011"/>
    <w:rsid w:val="4EEE3A0D"/>
    <w:rsid w:val="4EF331A7"/>
    <w:rsid w:val="4EF96179"/>
    <w:rsid w:val="4F352D5C"/>
    <w:rsid w:val="4FED650B"/>
    <w:rsid w:val="501830EF"/>
    <w:rsid w:val="503838B2"/>
    <w:rsid w:val="505F601F"/>
    <w:rsid w:val="506F0CC5"/>
    <w:rsid w:val="5087415E"/>
    <w:rsid w:val="511B3417"/>
    <w:rsid w:val="511D2CEB"/>
    <w:rsid w:val="514F03CE"/>
    <w:rsid w:val="51AC651C"/>
    <w:rsid w:val="521D425C"/>
    <w:rsid w:val="522A0567"/>
    <w:rsid w:val="529C7A2E"/>
    <w:rsid w:val="52FA264F"/>
    <w:rsid w:val="542B3EFB"/>
    <w:rsid w:val="546B0A00"/>
    <w:rsid w:val="54954804"/>
    <w:rsid w:val="549660CB"/>
    <w:rsid w:val="54EA3C55"/>
    <w:rsid w:val="54F0794D"/>
    <w:rsid w:val="55630A4E"/>
    <w:rsid w:val="557737BB"/>
    <w:rsid w:val="562C37FD"/>
    <w:rsid w:val="56366F6D"/>
    <w:rsid w:val="565C396B"/>
    <w:rsid w:val="58EC557A"/>
    <w:rsid w:val="59111EFF"/>
    <w:rsid w:val="593C1BF8"/>
    <w:rsid w:val="5A180CDF"/>
    <w:rsid w:val="5A955591"/>
    <w:rsid w:val="5AA9404F"/>
    <w:rsid w:val="5B117071"/>
    <w:rsid w:val="5B260D65"/>
    <w:rsid w:val="5B407C18"/>
    <w:rsid w:val="5B620E84"/>
    <w:rsid w:val="5C411365"/>
    <w:rsid w:val="5CD9674A"/>
    <w:rsid w:val="5D5B577D"/>
    <w:rsid w:val="5DD6583E"/>
    <w:rsid w:val="5DF5739A"/>
    <w:rsid w:val="5E9C309A"/>
    <w:rsid w:val="5EBB05F2"/>
    <w:rsid w:val="5F170D3A"/>
    <w:rsid w:val="5F3F4BF8"/>
    <w:rsid w:val="5F896068"/>
    <w:rsid w:val="5FB312DF"/>
    <w:rsid w:val="5FB610B0"/>
    <w:rsid w:val="5FDC5305"/>
    <w:rsid w:val="60421C7F"/>
    <w:rsid w:val="60870A2D"/>
    <w:rsid w:val="60893EE2"/>
    <w:rsid w:val="60E87BBF"/>
    <w:rsid w:val="60EF445E"/>
    <w:rsid w:val="61505093"/>
    <w:rsid w:val="61857F0D"/>
    <w:rsid w:val="61953D13"/>
    <w:rsid w:val="62D93E68"/>
    <w:rsid w:val="62FF5D54"/>
    <w:rsid w:val="63710868"/>
    <w:rsid w:val="63AC2F92"/>
    <w:rsid w:val="641F47CA"/>
    <w:rsid w:val="644D0C37"/>
    <w:rsid w:val="64C50123"/>
    <w:rsid w:val="65244228"/>
    <w:rsid w:val="65843D37"/>
    <w:rsid w:val="65F85CC4"/>
    <w:rsid w:val="67431B96"/>
    <w:rsid w:val="67451C4E"/>
    <w:rsid w:val="67672422"/>
    <w:rsid w:val="67C972BA"/>
    <w:rsid w:val="68752416"/>
    <w:rsid w:val="68767A8D"/>
    <w:rsid w:val="68F4010F"/>
    <w:rsid w:val="692E0A4B"/>
    <w:rsid w:val="698F6617"/>
    <w:rsid w:val="69B5367B"/>
    <w:rsid w:val="69CE664B"/>
    <w:rsid w:val="6A4D6295"/>
    <w:rsid w:val="6AA36C78"/>
    <w:rsid w:val="6ADD1BAA"/>
    <w:rsid w:val="6AEC25EF"/>
    <w:rsid w:val="6B4C26F3"/>
    <w:rsid w:val="6C195ECD"/>
    <w:rsid w:val="6C2D3162"/>
    <w:rsid w:val="6C8C326A"/>
    <w:rsid w:val="6DEA3D34"/>
    <w:rsid w:val="6E041063"/>
    <w:rsid w:val="6E225696"/>
    <w:rsid w:val="6E997FB9"/>
    <w:rsid w:val="6F3921DE"/>
    <w:rsid w:val="6F78727E"/>
    <w:rsid w:val="6F873050"/>
    <w:rsid w:val="6FAA5C3A"/>
    <w:rsid w:val="6FD10D4C"/>
    <w:rsid w:val="6FDD786C"/>
    <w:rsid w:val="7003702D"/>
    <w:rsid w:val="700A103B"/>
    <w:rsid w:val="70572E9C"/>
    <w:rsid w:val="70B375B2"/>
    <w:rsid w:val="716F4A5C"/>
    <w:rsid w:val="719F5306"/>
    <w:rsid w:val="720F0EDE"/>
    <w:rsid w:val="72A92AFC"/>
    <w:rsid w:val="72AA5F3A"/>
    <w:rsid w:val="72B10F39"/>
    <w:rsid w:val="73137F9A"/>
    <w:rsid w:val="733E6E4D"/>
    <w:rsid w:val="73BD08B4"/>
    <w:rsid w:val="74826C48"/>
    <w:rsid w:val="74A756F2"/>
    <w:rsid w:val="74B26E5E"/>
    <w:rsid w:val="74F710CB"/>
    <w:rsid w:val="750E0A19"/>
    <w:rsid w:val="757C1CC4"/>
    <w:rsid w:val="7583593C"/>
    <w:rsid w:val="75B51DBC"/>
    <w:rsid w:val="76321964"/>
    <w:rsid w:val="76362AC9"/>
    <w:rsid w:val="76CE512D"/>
    <w:rsid w:val="76ED6DFD"/>
    <w:rsid w:val="773C0385"/>
    <w:rsid w:val="78100551"/>
    <w:rsid w:val="7847692A"/>
    <w:rsid w:val="78877AD1"/>
    <w:rsid w:val="793F533F"/>
    <w:rsid w:val="7A380A89"/>
    <w:rsid w:val="7ABE1DA4"/>
    <w:rsid w:val="7AC86BCE"/>
    <w:rsid w:val="7B2C12FD"/>
    <w:rsid w:val="7B416699"/>
    <w:rsid w:val="7B9A7DDF"/>
    <w:rsid w:val="7BE32DA5"/>
    <w:rsid w:val="7C6330D4"/>
    <w:rsid w:val="7C757935"/>
    <w:rsid w:val="7CCF21B9"/>
    <w:rsid w:val="7CE77CAA"/>
    <w:rsid w:val="7D346B79"/>
    <w:rsid w:val="7D453F7B"/>
    <w:rsid w:val="7DB44FD6"/>
    <w:rsid w:val="7DF91649"/>
    <w:rsid w:val="7E3360F2"/>
    <w:rsid w:val="7F99733B"/>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3">
    <w:name w:val="Normal Indent"/>
    <w:basedOn w:val="1"/>
    <w:qFormat/>
    <w:uiPriority w:val="99"/>
    <w:pPr>
      <w:ind w:firstLine="420"/>
    </w:pPr>
    <w:rPr>
      <w:b w:val="0"/>
      <w:bCs w:val="0"/>
      <w:sz w:val="21"/>
      <w:szCs w:val="21"/>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3"/>
    <w:semiHidden/>
    <w:qFormat/>
    <w:uiPriority w:val="99"/>
    <w:pPr>
      <w:ind w:left="1260" w:firstLine="200" w:firstLineChars="200"/>
      <w:jc w:val="left"/>
    </w:pPr>
    <w:rPr>
      <w:b w:val="0"/>
      <w:bCs w:val="0"/>
      <w:sz w:val="18"/>
      <w:szCs w:val="18"/>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4"/>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5"/>
    <w:qFormat/>
    <w:locked/>
    <w:uiPriority w:val="99"/>
    <w:rPr>
      <w:rFonts w:eastAsia="仿宋_GB2312" w:cs="Times New Roman"/>
      <w:b/>
      <w:bCs/>
      <w:sz w:val="30"/>
      <w:szCs w:val="30"/>
      <w:lang w:val="en-US" w:eastAsia="zh-CN"/>
    </w:rPr>
  </w:style>
  <w:style w:type="character" w:customStyle="1" w:styleId="58">
    <w:name w:val="标题 3 Char"/>
    <w:basedOn w:val="49"/>
    <w:link w:val="6"/>
    <w:semiHidden/>
    <w:qFormat/>
    <w:locked/>
    <w:uiPriority w:val="99"/>
    <w:rPr>
      <w:rFonts w:cs="Times New Roman"/>
      <w:b/>
      <w:bCs/>
      <w:sz w:val="32"/>
      <w:szCs w:val="32"/>
    </w:rPr>
  </w:style>
  <w:style w:type="character" w:customStyle="1" w:styleId="59">
    <w:name w:val="标题 4 Char"/>
    <w:basedOn w:val="49"/>
    <w:link w:val="7"/>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8"/>
    <w:qFormat/>
    <w:locked/>
    <w:uiPriority w:val="99"/>
    <w:rPr>
      <w:rFonts w:eastAsia="宋体" w:cs="Times New Roman"/>
      <w:b/>
      <w:bCs/>
      <w:kern w:val="2"/>
      <w:sz w:val="28"/>
      <w:szCs w:val="28"/>
      <w:lang w:val="en-US" w:eastAsia="zh-CN"/>
    </w:rPr>
  </w:style>
  <w:style w:type="character" w:customStyle="1" w:styleId="61">
    <w:name w:val="标题 6 Char"/>
    <w:basedOn w:val="49"/>
    <w:link w:val="9"/>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0"/>
    <w:qFormat/>
    <w:locked/>
    <w:uiPriority w:val="99"/>
    <w:rPr>
      <w:rFonts w:eastAsia="宋体" w:cs="Times New Roman"/>
      <w:b/>
      <w:bCs/>
      <w:kern w:val="2"/>
      <w:sz w:val="24"/>
      <w:szCs w:val="24"/>
      <w:lang w:val="en-US" w:eastAsia="zh-CN"/>
    </w:rPr>
  </w:style>
  <w:style w:type="character" w:customStyle="1" w:styleId="63">
    <w:name w:val="标题 8 Char"/>
    <w:basedOn w:val="49"/>
    <w:link w:val="11"/>
    <w:qFormat/>
    <w:locked/>
    <w:uiPriority w:val="99"/>
    <w:rPr>
      <w:rFonts w:ascii="Arial" w:hAnsi="Arial" w:eastAsia="黑体" w:cs="Arial"/>
      <w:kern w:val="2"/>
      <w:sz w:val="24"/>
      <w:szCs w:val="24"/>
      <w:lang w:val="en-US" w:eastAsia="zh-CN"/>
    </w:rPr>
  </w:style>
  <w:style w:type="character" w:customStyle="1" w:styleId="64">
    <w:name w:val="标题 9 Char"/>
    <w:basedOn w:val="49"/>
    <w:link w:val="12"/>
    <w:qFormat/>
    <w:locked/>
    <w:uiPriority w:val="99"/>
    <w:rPr>
      <w:rFonts w:ascii="Arial" w:hAnsi="Arial" w:eastAsia="黑体" w:cs="Arial"/>
      <w:kern w:val="2"/>
      <w:sz w:val="21"/>
      <w:szCs w:val="21"/>
      <w:lang w:val="en-US" w:eastAsia="zh-CN"/>
    </w:rPr>
  </w:style>
  <w:style w:type="character" w:customStyle="1" w:styleId="65">
    <w:name w:val="正文文本 Char"/>
    <w:basedOn w:val="49"/>
    <w:link w:val="20"/>
    <w:qFormat/>
    <w:locked/>
    <w:uiPriority w:val="99"/>
    <w:rPr>
      <w:rFonts w:cs="Times New Roman"/>
      <w:kern w:val="2"/>
      <w:sz w:val="21"/>
      <w:szCs w:val="21"/>
    </w:rPr>
  </w:style>
  <w:style w:type="character" w:customStyle="1" w:styleId="66">
    <w:name w:val="批注文字 Char"/>
    <w:basedOn w:val="49"/>
    <w:link w:val="18"/>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6"/>
    <w:qFormat/>
    <w:locked/>
    <w:uiPriority w:val="99"/>
    <w:rPr>
      <w:rFonts w:eastAsia="宋体" w:cs="Times New Roman"/>
      <w:b/>
      <w:bCs/>
      <w:kern w:val="2"/>
      <w:sz w:val="30"/>
      <w:szCs w:val="30"/>
      <w:lang w:val="en-US" w:eastAsia="zh-CN"/>
    </w:rPr>
  </w:style>
  <w:style w:type="character" w:customStyle="1" w:styleId="71">
    <w:name w:val="正文文本 3 Char"/>
    <w:basedOn w:val="49"/>
    <w:link w:val="19"/>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4"/>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7">
    <w:name w:val="样式2级"/>
    <w:basedOn w:val="218"/>
    <w:qFormat/>
    <w:uiPriority w:val="0"/>
    <w:pPr>
      <w:ind w:firstLine="200" w:firstLineChars="200"/>
      <w:jc w:val="left"/>
      <w:outlineLvl w:val="1"/>
    </w:pPr>
  </w:style>
  <w:style w:type="paragraph" w:customStyle="1" w:styleId="218">
    <w:name w:val="样式1级"/>
    <w:basedOn w:val="1"/>
    <w:qFormat/>
    <w:uiPriority w:val="0"/>
    <w:pPr>
      <w:spacing w:line="360" w:lineRule="auto"/>
      <w:jc w:val="center"/>
      <w:outlineLvl w:val="0"/>
    </w:pPr>
    <w:rPr>
      <w:rFonts w:eastAsia="黑体"/>
      <w:sz w:val="28"/>
    </w:rPr>
  </w:style>
  <w:style w:type="paragraph" w:customStyle="1" w:styleId="21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e8d7ff9-6e2b-4cfa-901b-eb5a96d653fb}"/>
        <w:style w:val=""/>
        <w:category>
          <w:name w:val="常规"/>
          <w:gallery w:val="placeholder"/>
        </w:category>
        <w:types>
          <w:type w:val="bbPlcHdr"/>
        </w:types>
        <w:behaviors>
          <w:behavior w:val="content"/>
        </w:behaviors>
        <w:description w:val=""/>
        <w:guid w:val="{fe8d7ff9-6e2b-4cfa-901b-eb5a96d653fb}"/>
      </w:docPartPr>
      <w:docPartBody>
        <w:p>
          <w:r>
            <w:rPr>
              <w:color w:val="808080"/>
            </w:rPr>
            <w:t>单击此处输入文字。</w:t>
          </w:r>
        </w:p>
      </w:docPartBody>
    </w:docPart>
    <w:docPart>
      <w:docPartPr>
        <w:name w:val="{283e3641-ddfd-43d9-82d1-1021bf9878fb}"/>
        <w:style w:val=""/>
        <w:category>
          <w:name w:val="常规"/>
          <w:gallery w:val="placeholder"/>
        </w:category>
        <w:types>
          <w:type w:val="bbPlcHdr"/>
        </w:types>
        <w:behaviors>
          <w:behavior w:val="content"/>
        </w:behaviors>
        <w:description w:val=""/>
        <w:guid w:val="{283e3641-ddfd-43d9-82d1-1021bf9878fb}"/>
      </w:docPartPr>
      <w:docPartBody>
        <w:p>
          <w:r>
            <w:rPr>
              <w:color w:val="808080"/>
            </w:rPr>
            <w:t>单击此处输入文字。</w:t>
          </w:r>
        </w:p>
      </w:docPartBody>
    </w:docPart>
    <w:docPart>
      <w:docPartPr>
        <w:name w:val="{59a8af37-2923-43c1-a3f5-9012598a309a}"/>
        <w:style w:val=""/>
        <w:category>
          <w:name w:val="常规"/>
          <w:gallery w:val="placeholder"/>
        </w:category>
        <w:types>
          <w:type w:val="bbPlcHdr"/>
        </w:types>
        <w:behaviors>
          <w:behavior w:val="content"/>
        </w:behaviors>
        <w:description w:val=""/>
        <w:guid w:val="{59a8af37-2923-43c1-a3f5-9012598a309a}"/>
      </w:docPartPr>
      <w:docPartBody>
        <w:p>
          <w:r>
            <w:rPr>
              <w:color w:val="808080"/>
            </w:rPr>
            <w:t>单击此处输入文字。</w:t>
          </w:r>
        </w:p>
      </w:docPartBody>
    </w:docPart>
    <w:docPart>
      <w:docPartPr>
        <w:name w:val="{21252a83-4550-4617-bd28-88758e4453e6}"/>
        <w:style w:val=""/>
        <w:category>
          <w:name w:val="常规"/>
          <w:gallery w:val="placeholder"/>
        </w:category>
        <w:types>
          <w:type w:val="bbPlcHdr"/>
        </w:types>
        <w:behaviors>
          <w:behavior w:val="content"/>
        </w:behaviors>
        <w:description w:val=""/>
        <w:guid w:val="{21252a83-4550-4617-bd28-88758e4453e6}"/>
      </w:docPartPr>
      <w:docPartBody>
        <w:p>
          <w:r>
            <w:rPr>
              <w:color w:val="808080"/>
            </w:rPr>
            <w:t>单击此处输入文字。</w:t>
          </w:r>
        </w:p>
      </w:docPartBody>
    </w:docPart>
    <w:docPart>
      <w:docPartPr>
        <w:name w:val="{3de4e244-e132-448e-8f9c-2d794ca20d28}"/>
        <w:style w:val=""/>
        <w:category>
          <w:name w:val="常规"/>
          <w:gallery w:val="placeholder"/>
        </w:category>
        <w:types>
          <w:type w:val="bbPlcHdr"/>
        </w:types>
        <w:behaviors>
          <w:behavior w:val="content"/>
        </w:behaviors>
        <w:description w:val=""/>
        <w:guid w:val="{3de4e244-e132-448e-8f9c-2d794ca20d2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8" textRotate="1"/>
    <customShpInfo spid="_x0000_s4097" textRotate="1"/>
    <customShpInfo spid="_x0000_s4099" textRotate="1"/>
    <customShpInfo spid="_x0000_s4100"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5</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2024-04-16T01:16:00Z</cp:lastPrinted>
  <dcterms:modified xsi:type="dcterms:W3CDTF">2024-06-06T01:05:44Z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