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白芦煤业3T以上油罐车租赁（六次）</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XJ202405HYGC033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w:t>
      </w:r>
      <w:r>
        <w:rPr>
          <w:rFonts w:hint="eastAsia" w:ascii="宋体" w:hAnsi="宋体" w:cs="宋体"/>
          <w:b w:val="0"/>
          <w:bCs w:val="0"/>
          <w:highlight w:val="none"/>
          <w:lang w:eastAsia="zh-CN"/>
        </w:rPr>
        <w:t>二四</w:t>
      </w:r>
      <w:r>
        <w:rPr>
          <w:rFonts w:hint="eastAsia" w:ascii="宋体" w:hAnsi="宋体" w:cs="宋体"/>
          <w:b w:val="0"/>
          <w:bCs w:val="0"/>
          <w:highlight w:val="none"/>
        </w:rPr>
        <w:t>年</w:t>
      </w:r>
      <w:r>
        <w:rPr>
          <w:rFonts w:hint="eastAsia" w:ascii="宋体" w:hAnsi="宋体" w:cs="宋体"/>
          <w:b w:val="0"/>
          <w:bCs w:val="0"/>
          <w:highlight w:val="none"/>
          <w:lang w:val="en-US" w:eastAsia="zh-CN"/>
        </w:rPr>
        <w:t>五</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pgNumType w:fmt="decimal" w:start="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sectPr>
          <w:footerReference r:id="rId10" w:type="first"/>
          <w:footerReference r:id="rId9" w:type="default"/>
          <w:pgSz w:w="11907" w:h="16840"/>
          <w:pgMar w:top="1814" w:right="1588" w:bottom="1814" w:left="1701" w:header="851" w:footer="1644" w:gutter="0"/>
          <w:pgNumType w:fmt="decimal" w:start="1"/>
          <w:cols w:space="425" w:num="1"/>
          <w:titlePg/>
        </w:sectPr>
      </w:pPr>
    </w:p>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kern w:val="0"/>
          <w:sz w:val="30"/>
          <w:szCs w:val="30"/>
          <w:shd w:val="clear" w:color="auto" w:fill="FFFFFF"/>
          <w:lang w:val="en-US" w:eastAsia="zh-CN" w:bidi="ar"/>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r>
        <w:rPr>
          <w:rFonts w:hint="eastAsia" w:ascii="宋体" w:hAnsi="宋体" w:eastAsia="宋体" w:cs="宋体"/>
          <w:b w:val="0"/>
          <w:bCs w:val="0"/>
          <w:sz w:val="24"/>
          <w:szCs w:val="24"/>
          <w:highlight w:val="none"/>
          <w:lang w:val="en-US" w:eastAsia="zh-CN"/>
        </w:rPr>
        <w:t>白芦煤业</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油罐车租赁</w:t>
      </w:r>
      <w:r>
        <w:rPr>
          <w:rFonts w:hint="eastAsia" w:ascii="宋体" w:hAnsi="宋体" w:cs="宋体"/>
          <w:b w:val="0"/>
          <w:bCs w:val="0"/>
          <w:sz w:val="24"/>
          <w:szCs w:val="24"/>
          <w:highlight w:val="none"/>
          <w:lang w:val="en-US" w:eastAsia="zh-CN"/>
        </w:rPr>
        <w:t>项目（六次）</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2024年5月30日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报名截止日期：2024年6月5日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报价截止时间：2024年6月6日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报价揭价时间：2024年6月5日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一、项目概况及技术要求：</w:t>
      </w:r>
      <w:bookmarkStart w:id="1" w:name="_GoBack"/>
      <w:bookmarkEnd w:id="1"/>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白芦煤矿现井下辅助运输已完成改造，井下已实现无轨胶轮车运输，运行无轨胶轮车6辆，即将投运9辆，届时井下共计15辆胶轮车，国强、国兴矿有不同程度用油需求，合计所需柴油约28万升/年。油罐车加油点为中煤华昱公司指定加油点，为山阴县中石化（中石油），因白芦矿较其他两矿用油量较大，所以油罐车需长期存放于白芦矿，白芦矿距加油点约70公里，如国强、国兴矿有用油需求时，油罐车需及时到国强、国兴卸油，满足各矿的用油需求。白芦矿距国强约2.5公里，距国兴矿约8.5公里。</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3.工期（服务期）：三年（一年一签）</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山西朔州平鲁区中煤华昱所属各矿</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.报价方式</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固定总价</w:t>
      </w:r>
      <w:r>
        <w:rPr>
          <w:rFonts w:hint="eastAsia" w:ascii="宋体" w:hAnsi="宋体" w:cs="宋体"/>
          <w:b w:val="0"/>
          <w:bCs w:val="0"/>
          <w:sz w:val="24"/>
          <w:szCs w:val="24"/>
          <w:highlight w:val="none"/>
          <w:lang w:val="en-US" w:eastAsia="zh-CN"/>
        </w:rPr>
        <w:t>**万元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.报价要求：本次询比价报价方式以年报价</w:t>
      </w:r>
      <w:r>
        <w:rPr>
          <w:rFonts w:hint="eastAsia" w:ascii="宋体" w:hAnsi="宋体" w:cs="宋体"/>
          <w:b w:val="0"/>
          <w:bCs w:val="0"/>
          <w:sz w:val="24"/>
          <w:szCs w:val="24"/>
          <w:highlight w:val="none"/>
          <w:lang w:val="en-US" w:eastAsia="zh-CN"/>
        </w:rPr>
        <w:t>包含人工等一切费用</w:t>
      </w:r>
      <w:r>
        <w:rPr>
          <w:rFonts w:hint="eastAsia" w:ascii="宋体" w:hAnsi="宋体" w:eastAsia="宋体" w:cs="宋体"/>
          <w:b w:val="0"/>
          <w:bCs w:val="0"/>
          <w:sz w:val="24"/>
          <w:szCs w:val="24"/>
          <w:highlight w:val="none"/>
          <w:lang w:val="en-US" w:eastAsia="zh-CN"/>
        </w:rPr>
        <w:t>（不含税）</w:t>
      </w:r>
      <w:r>
        <w:rPr>
          <w:rFonts w:hint="eastAsia" w:ascii="宋体" w:hAnsi="宋体" w:cs="宋体"/>
          <w:b w:val="0"/>
          <w:bCs w:val="0"/>
          <w:sz w:val="24"/>
          <w:szCs w:val="24"/>
          <w:highlight w:val="none"/>
          <w:lang w:val="en-US" w:eastAsia="zh-CN"/>
        </w:rPr>
        <w:t>，另需报单价**万元/年。</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.付款方式：中煤集团山西华昱能源有限公司相关制度流程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8.验收标准：根据技术要求进行验收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eastAsia="zh-CN"/>
        </w:rPr>
        <w:sectPr>
          <w:footerReference r:id="rId12" w:type="first"/>
          <w:footerReference r:id="rId11" w:type="default"/>
          <w:pgSz w:w="11907" w:h="16840"/>
          <w:pgMar w:top="1814" w:right="1588" w:bottom="1814" w:left="1701" w:header="851" w:footer="1644" w:gutter="0"/>
          <w:pgNumType w:fmt="decimal" w:start="1"/>
          <w:cols w:space="425" w:num="1"/>
          <w:titlePg/>
        </w:sectPr>
      </w:pP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2.报价人所提供油罐车具备危险品运输资质，车辆行驶证，车辆含加油机，加油机必须经过市场局效验，并出具效验报告。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3.报价人须提供近3年（2021年至今）至少1例类似项目业绩（提供合同关键页）</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杨泉</w:t>
      </w:r>
      <w:r>
        <w:rPr>
          <w:rFonts w:hint="eastAsia" w:ascii="宋体" w:hAnsi="宋体" w:cs="宋体"/>
          <w:i w:val="0"/>
          <w:caps w:val="0"/>
          <w:color w:val="333333"/>
          <w:spacing w:val="0"/>
          <w:sz w:val="24"/>
          <w:szCs w:val="24"/>
          <w:highlight w:val="none"/>
          <w:shd w:val="clear" w:color="auto" w:fill="FFFFFF"/>
          <w:lang w:val="en-US" w:eastAsia="zh-CN"/>
        </w:rPr>
        <w:t>(13703509991)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电子邮箱：476242306@qq.com</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朔州市平鲁区白芦煤矿</w:t>
      </w:r>
    </w:p>
    <w:p>
      <w:pPr>
        <w:spacing w:line="360" w:lineRule="auto"/>
        <w:ind w:firstLine="480" w:firstLineChars="200"/>
        <w:rPr>
          <w:rFonts w:hint="default" w:ascii="宋体" w:hAnsi="宋体" w:eastAsia="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sectPr>
          <w:footerReference r:id="rId14" w:type="first"/>
          <w:footerReference r:id="rId13" w:type="default"/>
          <w:pgSz w:w="11907" w:h="16840"/>
          <w:pgMar w:top="1814" w:right="1588" w:bottom="1814" w:left="1701" w:header="851" w:footer="1644" w:gutter="0"/>
          <w:pgNumType w:fmt="decimal" w:start="1"/>
          <w:cols w:space="425" w:num="1"/>
          <w:titlePg/>
        </w:sectPr>
      </w:pP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sectPr>
          <w:footerReference r:id="rId16" w:type="first"/>
          <w:footerReference r:id="rId15" w:type="default"/>
          <w:pgSz w:w="11907" w:h="16840"/>
          <w:pgMar w:top="1814" w:right="1588" w:bottom="1814" w:left="1701" w:header="851" w:footer="1644" w:gutter="0"/>
          <w:pgNumType w:fmt="decimal"/>
          <w:cols w:space="425" w:num="1"/>
        </w:sectPr>
      </w:pP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7"/>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7"/>
      </w:pPr>
    </w:p>
    <w:p>
      <w:pPr>
        <w:pStyle w:val="17"/>
      </w:pPr>
    </w:p>
    <w:p>
      <w:pPr>
        <w:pStyle w:val="17"/>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1）全手续</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油罐车，含加油机，加油机为大流量加油机，且必须经市场局效验，并附带效验报告，加油机配置15米自动回位卷盘和加油枪，油罐车的油量损耗不大于±1%每罐。</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2）注油处设置流量计，流量计应满足下列要求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a加油软管流量的125%瞬时超量而无机械损坏和精度的降低；</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b计量燃油精度不低于0.5级；</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c适用于计量柴油；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d计量数值显示清晰，便于观察统计；</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e计量器应有单次加油量与累计加油量。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3）驾驶员及油罐车由中标方负责，具备危险品运输从业资格证、押运员资格证</w:t>
      </w:r>
      <w:r>
        <w:rPr>
          <w:rFonts w:hint="eastAsia" w:ascii="宋体" w:hAnsi="宋体" w:cs="宋体"/>
          <w:b w:val="0"/>
          <w:bCs w:val="0"/>
          <w:sz w:val="24"/>
          <w:szCs w:val="24"/>
          <w:highlight w:val="none"/>
          <w:lang w:val="en-US" w:eastAsia="zh-CN"/>
        </w:rPr>
        <w:t>，驾驶员有与车辆想符的驾驶证</w:t>
      </w:r>
      <w:r>
        <w:rPr>
          <w:rFonts w:hint="eastAsia" w:ascii="宋体" w:hAnsi="宋体" w:eastAsia="宋体" w:cs="宋体"/>
          <w:b w:val="0"/>
          <w:bCs w:val="0"/>
          <w:sz w:val="24"/>
          <w:szCs w:val="24"/>
          <w:highlight w:val="none"/>
          <w:lang w:val="en-US" w:eastAsia="zh-CN"/>
        </w:rPr>
        <w:t>，必须24小时响应矿方用油需求。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4）所租赁油罐车由中标方负责日常维护保养，车辆及附属设施发生故障后，中标方必须在12小时内维修处理完善。</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所租赁油罐车以及驾驶员在日常运行以及住矿服务时出现任何安全事故或意外情况均由中标方自行承担负责。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6）所租赁油罐车在政府单位以及上级单位检查出现的所有问题由中标方自行</w:t>
      </w:r>
    </w:p>
    <w:p>
      <w:pPr>
        <w:spacing w:line="360" w:lineRule="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整改处理。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）服务期限为三年，合同一年一签，第二、三年甲方可根据第一、二年的实际承包运营情况决定是否续签。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）中标方如在合同期限内未严格履行合同约定，甲方可单方面解除合同。</w:t>
      </w:r>
    </w:p>
    <w:p>
      <w:pPr>
        <w:ind w:firstLine="602" w:firstLineChars="200"/>
        <w:rPr>
          <w:rFonts w:hint="default"/>
          <w:lang w:val="en-US"/>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8" w:type="first"/>
          <w:footerReference r:id="rId17" w:type="default"/>
          <w:pgSz w:w="11907" w:h="16840"/>
          <w:pgMar w:top="1814" w:right="1588" w:bottom="1814" w:left="1701" w:header="851" w:footer="1644" w:gutter="0"/>
          <w:pgNumType w:fmt="decimal"/>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b w:val="0"/>
          <w:bCs w:val="0"/>
          <w:sz w:val="28"/>
          <w:szCs w:val="28"/>
          <w:highlight w:val="yellow"/>
          <w:lang w:val="en-US" w:eastAsia="zh-CN"/>
        </w:rPr>
        <w:t>不</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w:t>
      </w:r>
      <w:r>
        <w:rPr>
          <w:rFonts w:hint="eastAsia" w:ascii="宋体" w:hAnsi="宋体" w:cs="宋体"/>
          <w:b w:val="0"/>
          <w:bCs w:val="0"/>
          <w:highlight w:val="yellow"/>
          <w:lang w:val="en-US" w:eastAsia="zh-CN"/>
        </w:rPr>
        <w:t>不</w:t>
      </w:r>
      <w:r>
        <w:rPr>
          <w:rFonts w:hint="eastAsia" w:ascii="宋体" w:hAnsi="宋体" w:cs="宋体"/>
          <w:b w:val="0"/>
          <w:bCs w:val="0"/>
          <w:highlight w:val="yellow"/>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val="en-US"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9" w:type="default"/>
          <w:footerReference r:id="rId20" w:type="default"/>
          <w:pgSz w:w="16838" w:h="11906" w:orient="landscape"/>
          <w:pgMar w:top="1440" w:right="1080" w:bottom="1440" w:left="1080" w:header="851" w:footer="992" w:gutter="0"/>
          <w:pgNumType w:fmt="decimal"/>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21" w:type="default"/>
          <w:footerReference r:id="rId22" w:type="default"/>
          <w:pgSz w:w="11906" w:h="16838"/>
          <w:pgMar w:top="1083" w:right="1440" w:bottom="1083" w:left="1440" w:header="851" w:footer="992" w:gutter="0"/>
          <w:pgNumType w:fmt="decimal"/>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pgNumType w:fmt="decimal"/>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leftChars="0" w:firstLine="0" w:firstLineChars="0"/>
      <w:rPr>
        <w:rFonts w:hint="eastAsia" w:eastAsia="仿宋_GB231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JhY2Y2Y2VmNzM1ZmY5MmUxNDJjZWUyMmRiN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6C1E3B"/>
    <w:rsid w:val="04377DA6"/>
    <w:rsid w:val="044955CA"/>
    <w:rsid w:val="061C36BA"/>
    <w:rsid w:val="08A8480D"/>
    <w:rsid w:val="09352049"/>
    <w:rsid w:val="0A912D3C"/>
    <w:rsid w:val="0B440B42"/>
    <w:rsid w:val="0BF508B4"/>
    <w:rsid w:val="0C215F5C"/>
    <w:rsid w:val="0C297F82"/>
    <w:rsid w:val="0C540FAF"/>
    <w:rsid w:val="0CBF3D62"/>
    <w:rsid w:val="0EB30D0D"/>
    <w:rsid w:val="0F604FE4"/>
    <w:rsid w:val="0F77472F"/>
    <w:rsid w:val="0FA03417"/>
    <w:rsid w:val="0FBB434C"/>
    <w:rsid w:val="0FFE2944"/>
    <w:rsid w:val="10F27FB9"/>
    <w:rsid w:val="11026497"/>
    <w:rsid w:val="115D0FA0"/>
    <w:rsid w:val="119C2B16"/>
    <w:rsid w:val="130D5D28"/>
    <w:rsid w:val="13A46977"/>
    <w:rsid w:val="13D27127"/>
    <w:rsid w:val="13D60078"/>
    <w:rsid w:val="145A4263"/>
    <w:rsid w:val="1477734B"/>
    <w:rsid w:val="14AE38DE"/>
    <w:rsid w:val="14E66AFD"/>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89A7B6F"/>
    <w:rsid w:val="29A156C0"/>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679CB"/>
    <w:rsid w:val="32890F14"/>
    <w:rsid w:val="32D26775"/>
    <w:rsid w:val="32F75E1F"/>
    <w:rsid w:val="334C6D3F"/>
    <w:rsid w:val="33573CB3"/>
    <w:rsid w:val="33843E73"/>
    <w:rsid w:val="34126E2C"/>
    <w:rsid w:val="34CF08AA"/>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5A52367"/>
    <w:rsid w:val="55D556E0"/>
    <w:rsid w:val="562C37FD"/>
    <w:rsid w:val="56366F6D"/>
    <w:rsid w:val="565C396B"/>
    <w:rsid w:val="586127F9"/>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E7F9A"/>
    <w:rsid w:val="60EF445E"/>
    <w:rsid w:val="62126E0E"/>
    <w:rsid w:val="62AE3598"/>
    <w:rsid w:val="62D93E68"/>
    <w:rsid w:val="62FF5D54"/>
    <w:rsid w:val="63710868"/>
    <w:rsid w:val="63AC2F92"/>
    <w:rsid w:val="644D0C37"/>
    <w:rsid w:val="64C50123"/>
    <w:rsid w:val="65244228"/>
    <w:rsid w:val="65843D37"/>
    <w:rsid w:val="659A40E4"/>
    <w:rsid w:val="65F85CC4"/>
    <w:rsid w:val="67431B96"/>
    <w:rsid w:val="67C972BA"/>
    <w:rsid w:val="68767A8D"/>
    <w:rsid w:val="68F4010F"/>
    <w:rsid w:val="692E0A4B"/>
    <w:rsid w:val="69B5367B"/>
    <w:rsid w:val="69CE664B"/>
    <w:rsid w:val="6A4D6295"/>
    <w:rsid w:val="6AA36C78"/>
    <w:rsid w:val="6ADD1BAA"/>
    <w:rsid w:val="6AEC25EF"/>
    <w:rsid w:val="6B4C26F3"/>
    <w:rsid w:val="6B601888"/>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2A6238"/>
    <w:rsid w:val="73BD08B4"/>
    <w:rsid w:val="74826C48"/>
    <w:rsid w:val="74F710CB"/>
    <w:rsid w:val="750E0A19"/>
    <w:rsid w:val="757C1CC4"/>
    <w:rsid w:val="759318E8"/>
    <w:rsid w:val="75B51DBC"/>
    <w:rsid w:val="75C7236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320274"/>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99"/>
    <w:pPr>
      <w:ind w:left="420" w:leftChars="20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0"/>
    <w:qFormat/>
    <w:uiPriority w:val="99"/>
    <w:pPr>
      <w:spacing w:after="120"/>
    </w:pPr>
    <w:rPr>
      <w:sz w:val="16"/>
      <w:szCs w:val="16"/>
    </w:rPr>
  </w:style>
  <w:style w:type="paragraph" w:styleId="20">
    <w:name w:val="Body Text"/>
    <w:basedOn w:val="1"/>
    <w:link w:val="64"/>
    <w:qFormat/>
    <w:uiPriority w:val="99"/>
    <w:pPr>
      <w:spacing w:after="120"/>
    </w:pPr>
    <w:rPr>
      <w:b w:val="0"/>
      <w:bCs w:val="0"/>
      <w:sz w:val="21"/>
      <w:szCs w:val="21"/>
    </w:rPr>
  </w:style>
  <w:style w:type="paragraph" w:styleId="21">
    <w:name w:val="Body Text Indent"/>
    <w:basedOn w:val="1"/>
    <w:link w:val="71"/>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8"/>
    <w:next w:val="18"/>
    <w:link w:val="165"/>
    <w:semiHidden/>
    <w:qFormat/>
    <w:uiPriority w:val="99"/>
    <w:pPr>
      <w:adjustRightInd/>
      <w:spacing w:line="240" w:lineRule="auto"/>
      <w:textAlignment w:val="auto"/>
    </w:pPr>
    <w:rPr>
      <w:b/>
      <w:bCs/>
      <w:kern w:val="2"/>
      <w:sz w:val="21"/>
      <w:szCs w:val="21"/>
    </w:rPr>
  </w:style>
  <w:style w:type="paragraph" w:styleId="43">
    <w:name w:val="Body Text First Indent"/>
    <w:basedOn w:val="20"/>
    <w:link w:val="67"/>
    <w:qFormat/>
    <w:uiPriority w:val="99"/>
    <w:pPr>
      <w:ind w:firstLine="420"/>
    </w:pPr>
  </w:style>
  <w:style w:type="paragraph" w:styleId="44">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20"/>
    <w:qFormat/>
    <w:locked/>
    <w:uiPriority w:val="99"/>
    <w:rPr>
      <w:rFonts w:cs="Times New Roman"/>
      <w:kern w:val="2"/>
      <w:sz w:val="21"/>
      <w:szCs w:val="21"/>
    </w:rPr>
  </w:style>
  <w:style w:type="character" w:customStyle="1" w:styleId="65">
    <w:name w:val="批注文字 Char"/>
    <w:basedOn w:val="48"/>
    <w:link w:val="18"/>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9"/>
    <w:semiHidden/>
    <w:qFormat/>
    <w:locked/>
    <w:uiPriority w:val="99"/>
    <w:rPr>
      <w:rFonts w:cs="Times New Roman"/>
      <w:b/>
      <w:bCs/>
      <w:sz w:val="16"/>
      <w:szCs w:val="16"/>
    </w:rPr>
  </w:style>
  <w:style w:type="character" w:customStyle="1" w:styleId="71">
    <w:name w:val="正文文本缩进 Char"/>
    <w:basedOn w:val="48"/>
    <w:link w:val="21"/>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4808</Words>
  <Characters>5051</Characters>
  <Lines>56</Lines>
  <Paragraphs>16</Paragraphs>
  <TotalTime>5</TotalTime>
  <ScaleCrop>false</ScaleCrop>
  <LinksUpToDate>false</LinksUpToDate>
  <CharactersWithSpaces>5647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小猪佩奇我配琪</cp:lastModifiedBy>
  <cp:lastPrinted>2024-01-29T02:31:00Z</cp:lastPrinted>
  <dcterms:modified xsi:type="dcterms:W3CDTF">2024-05-30T10:17:24Z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2F0ED1DB138A4DD7B305E156BD3B638B_13</vt:lpwstr>
  </property>
</Properties>
</file>