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pStyle w:val="20"/>
        <w:jc w:val="center"/>
        <w:rPr>
          <w:rFonts w:hint="default" w:ascii="黑体" w:hAnsi="黑体" w:eastAsia="黑体" w:cs="黑体"/>
          <w:sz w:val="48"/>
          <w:szCs w:val="48"/>
          <w:lang w:val="en-US" w:eastAsia="zh-CN"/>
        </w:rPr>
      </w:pPr>
      <w:r>
        <w:rPr>
          <w:rFonts w:hint="eastAsia" w:ascii="黑体" w:hAnsi="黑体" w:eastAsia="黑体" w:cs="黑体"/>
          <w:sz w:val="48"/>
          <w:szCs w:val="48"/>
        </w:rPr>
        <w:t>国兴煤业《矿井防灭火设计》</w:t>
      </w:r>
      <w:r>
        <w:rPr>
          <w:rFonts w:hint="eastAsia" w:ascii="黑体" w:hAnsi="黑体" w:eastAsia="黑体" w:cs="黑体"/>
          <w:sz w:val="48"/>
          <w:szCs w:val="48"/>
          <w:lang w:val="en-US" w:eastAsia="zh-CN"/>
        </w:rPr>
        <w:t>(二次)</w:t>
      </w:r>
    </w:p>
    <w:p>
      <w:pPr>
        <w:pStyle w:val="20"/>
        <w:rPr>
          <w:rFonts w:ascii="黑体" w:hAnsi="黑体" w:eastAsia="黑体" w:cs="黑体"/>
          <w:sz w:val="48"/>
          <w:szCs w:val="48"/>
        </w:rPr>
      </w:pPr>
    </w:p>
    <w:p>
      <w:pPr>
        <w:pStyle w:val="20"/>
        <w:rPr>
          <w:rFonts w:ascii="黑体" w:hAnsi="黑体" w:eastAsia="黑体" w:cs="黑体"/>
          <w:sz w:val="48"/>
          <w:szCs w:val="48"/>
        </w:rPr>
      </w:pPr>
    </w:p>
    <w:p>
      <w:pPr>
        <w:pStyle w:val="20"/>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7"/>
      </w:pPr>
    </w:p>
    <w:p>
      <w:pPr>
        <w:ind w:firstLine="3015" w:firstLineChars="1001"/>
        <w:rPr>
          <w:rFonts w:ascii="仿宋_GB2312" w:eastAsia="仿宋_GB2312"/>
          <w:color w:val="FF0000"/>
        </w:rPr>
      </w:pPr>
    </w:p>
    <w:p>
      <w:pPr>
        <w:ind w:left="259" w:firstLine="1536" w:firstLineChars="480"/>
        <w:rPr>
          <w:rFonts w:hint="default" w:ascii="宋体" w:eastAsia="宋体" w:cs="宋体"/>
          <w:b w:val="0"/>
          <w:bCs w:val="0"/>
          <w:sz w:val="32"/>
          <w:szCs w:val="32"/>
          <w:lang w:val="en-US" w:eastAsia="zh-CN"/>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XJ202405HYGC131</w:t>
      </w:r>
    </w:p>
    <w:p>
      <w:pPr>
        <w:autoSpaceDE w:val="0"/>
        <w:autoSpaceDN w:val="0"/>
        <w:adjustRightInd w:val="0"/>
        <w:spacing w:line="240" w:lineRule="atLeast"/>
        <w:ind w:left="259" w:firstLine="1536" w:firstLineChars="480"/>
        <w:rPr>
          <w:rFonts w:ascii="宋体"/>
          <w:b w:val="0"/>
          <w:bCs w:val="0"/>
          <w:color w:val="FF000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：中煤华昱公司国兴煤业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rPr>
      </w:pPr>
      <w:r>
        <w:rPr>
          <w:rFonts w:hint="eastAsia" w:ascii="宋体" w:hAnsi="宋体" w:cs="宋体"/>
          <w:b w:val="0"/>
          <w:bCs w:val="0"/>
        </w:rPr>
        <w:t>二零二四年</w:t>
      </w:r>
      <w:r>
        <w:rPr>
          <w:rFonts w:hint="eastAsia" w:ascii="宋体" w:hAnsi="宋体" w:cs="宋体"/>
          <w:b w:val="0"/>
          <w:bCs w:val="0"/>
          <w:lang w:val="en-US" w:eastAsia="zh-CN"/>
        </w:rPr>
        <w:t>五</w:t>
      </w:r>
      <w:r>
        <w:rPr>
          <w:rFonts w:hint="eastAsia" w:ascii="宋体" w:hAnsi="宋体" w:cs="宋体"/>
          <w:b w:val="0"/>
          <w:bCs w:val="0"/>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7"/>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项目名称:</w:t>
      </w:r>
      <w:r>
        <w:rPr>
          <w:rFonts w:hint="eastAsia" w:ascii="宋体" w:hAnsi="宋体" w:cs="宋体"/>
          <w:b w:val="0"/>
          <w:bCs w:val="0"/>
          <w:sz w:val="24"/>
          <w:szCs w:val="24"/>
          <w:lang w:eastAsia="zh-CN"/>
        </w:rPr>
        <w:t>中煤华昱公司</w:t>
      </w:r>
      <w:r>
        <w:rPr>
          <w:rFonts w:hint="eastAsia" w:ascii="宋体" w:hAnsi="宋体" w:cs="宋体"/>
          <w:b w:val="0"/>
          <w:bCs w:val="0"/>
          <w:sz w:val="24"/>
          <w:szCs w:val="24"/>
        </w:rPr>
        <w:t>国兴煤业委托相关单位编制《矿井防灭火设计》</w:t>
      </w:r>
    </w:p>
    <w:p>
      <w:pPr>
        <w:spacing w:line="360" w:lineRule="auto"/>
        <w:ind w:firstLine="480" w:firstLineChars="200"/>
      </w:pPr>
      <w:r>
        <w:rPr>
          <w:rFonts w:hint="eastAsia" w:ascii="宋体" w:hAnsi="宋体" w:cs="宋体"/>
          <w:b w:val="0"/>
          <w:bCs w:val="0"/>
          <w:sz w:val="24"/>
          <w:szCs w:val="24"/>
        </w:rPr>
        <w:t>询价方式:公开询比</w:t>
      </w:r>
    </w:p>
    <w:p>
      <w:pPr>
        <w:pStyle w:val="17"/>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2024年5月22日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 29日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 29日  07:50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highlight w:val="none"/>
          <w:lang w:val="en-US" w:eastAsia="zh-CN"/>
        </w:rPr>
        <w:t>报价揭价时间：2024年5月 29</w:t>
      </w:r>
      <w:bookmarkStart w:id="1" w:name="_GoBack"/>
      <w:bookmarkEnd w:id="1"/>
      <w:r>
        <w:rPr>
          <w:rFonts w:hint="eastAsia" w:ascii="宋体" w:hAnsi="宋体" w:cs="宋体"/>
          <w:b w:val="0"/>
          <w:bCs w:val="0"/>
          <w:sz w:val="24"/>
          <w:szCs w:val="24"/>
          <w:highlight w:val="none"/>
          <w:lang w:val="en-US" w:eastAsia="zh-CN"/>
        </w:rPr>
        <w:t>日  08:00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项目概况：根据《煤矿安全规程》、《煤矿防灭火细则》中相关规定要求，开采容易自燃和自燃煤层的矿井，必须编制矿井防灭火设计，采取综合预防煤层自然发火的措施，保障矿井安全生产。国兴煤业现采4#、9#煤层均属于自燃煤层，且矿井采购制氮设备即将到场安装，矿井防灭火措施发生重大改变，为确保矿井防灭火设计具备专业性和科学性，经华昱公司会议研究决定，从技术方面指导我矿防灭火工作，国兴煤业需委托相关单位编制《矿井防灭火设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2.资金来源：</w:t>
      </w:r>
      <w:r>
        <w:rPr>
          <w:rFonts w:hint="eastAsia" w:ascii="宋体" w:hAnsi="宋体" w:cs="宋体"/>
          <w:b w:val="0"/>
          <w:bCs w:val="0"/>
          <w:sz w:val="24"/>
          <w:szCs w:val="24"/>
          <w:lang w:val="en-GB"/>
        </w:rPr>
        <w:t>企业自筹</w:t>
      </w:r>
    </w:p>
    <w:p>
      <w:pPr>
        <w:spacing w:line="360" w:lineRule="auto"/>
        <w:ind w:firstLine="480" w:firstLineChars="200"/>
        <w:rPr>
          <w:rFonts w:ascii="宋体" w:hAnsi="宋体" w:cs="宋体"/>
          <w:b w:val="0"/>
          <w:bCs w:val="0"/>
          <w:sz w:val="24"/>
          <w:szCs w:val="24"/>
        </w:rPr>
      </w:pPr>
      <w:r>
        <w:rPr>
          <w:rFonts w:hint="eastAsia" w:ascii="宋体" w:hAnsi="宋体" w:cs="宋体"/>
          <w:b w:val="0"/>
          <w:bCs w:val="0"/>
          <w:color w:val="000000" w:themeColor="text1"/>
          <w:sz w:val="24"/>
          <w:szCs w:val="24"/>
          <w14:textFill>
            <w14:solidFill>
              <w14:schemeClr w14:val="tx1"/>
            </w14:solidFill>
          </w14:textFill>
        </w:rPr>
        <w:t>3.</w:t>
      </w:r>
      <w:r>
        <w:rPr>
          <w:rFonts w:hint="eastAsia" w:ascii="宋体" w:hAnsi="宋体" w:cs="宋体"/>
          <w:b w:val="0"/>
          <w:bCs w:val="0"/>
          <w:sz w:val="24"/>
          <w:szCs w:val="24"/>
        </w:rPr>
        <w:t>工期（服务期）：合同签订之日起90日内完成《矿井防灭火设计》编制。</w:t>
      </w:r>
    </w:p>
    <w:p>
      <w:pPr>
        <w:spacing w:line="360" w:lineRule="auto"/>
        <w:ind w:firstLine="480" w:firstLineChars="200"/>
      </w:pPr>
      <w:r>
        <w:rPr>
          <w:rFonts w:hint="eastAsia" w:ascii="宋体" w:hAnsi="宋体" w:cs="宋体"/>
          <w:b w:val="0"/>
          <w:bCs w:val="0"/>
          <w:sz w:val="24"/>
          <w:szCs w:val="24"/>
        </w:rPr>
        <w:t>4.服务地点：山西朔州平鲁区国兴煤业有限公司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5.报价方式：固定总价**万元（含税,税率6%）。</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6.报价要求：报价金额包含报告编制费等一切费用的含税总价。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7.付款方式：执行山西朔州平鲁区国兴煤业有限公司相关付款流程。</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8.验收标准：甲方对乙方编制的报告质量有审查的权利，如果不能达到甲方要求，甲方有权不予结算。</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9.报价人在提交报价文件时需附《供应商廉洁承诺书》。</w:t>
      </w:r>
    </w:p>
    <w:p>
      <w:pPr>
        <w:spacing w:line="360" w:lineRule="auto"/>
        <w:ind w:firstLine="482" w:firstLineChars="200"/>
        <w:rPr>
          <w:rFonts w:ascii="宋体" w:hAnsi="宋体" w:cs="宋体"/>
          <w:sz w:val="24"/>
          <w:szCs w:val="24"/>
          <w:highlight w:val="yellow"/>
        </w:rPr>
      </w:pPr>
      <w:r>
        <w:rPr>
          <w:rFonts w:hint="eastAsia" w:ascii="宋体" w:hAnsi="宋体" w:cs="宋体"/>
          <w:sz w:val="24"/>
          <w:szCs w:val="24"/>
        </w:rPr>
        <w:t>二、资质要求</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1、</w:t>
      </w:r>
      <w:r>
        <w:rPr>
          <w:rFonts w:hint="eastAsia" w:ascii="宋体" w:hAnsi="宋体" w:cs="宋体"/>
          <w:b w:val="0"/>
          <w:bCs w:val="0"/>
          <w:sz w:val="24"/>
          <w:szCs w:val="24"/>
        </w:rPr>
        <w:t>报价人应具有中华人民共和国境内注册的独立法人资格。</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2</w:t>
      </w:r>
      <w:r>
        <w:rPr>
          <w:rFonts w:hint="eastAsia" w:ascii="宋体" w:hAnsi="宋体" w:cs="宋体"/>
          <w:b w:val="0"/>
          <w:bCs w:val="0"/>
          <w:sz w:val="24"/>
          <w:szCs w:val="24"/>
          <w:lang w:val="en-GB"/>
        </w:rPr>
        <w:t>、</w:t>
      </w:r>
      <w:r>
        <w:rPr>
          <w:rFonts w:hint="eastAsia" w:ascii="宋体" w:hAnsi="宋体" w:cs="宋体"/>
          <w:b w:val="0"/>
          <w:bCs w:val="0"/>
          <w:sz w:val="24"/>
          <w:szCs w:val="24"/>
        </w:rPr>
        <w:t>报价人须提供近三年（2021年至今，以合同签订时间为准）至少三例类似项目业绩（提供合同关键页，包含合同封面、服务内容、合同双方签字页）。</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3</w:t>
      </w:r>
      <w:r>
        <w:rPr>
          <w:rFonts w:hint="eastAsia" w:ascii="宋体" w:hAnsi="宋体" w:cs="宋体"/>
          <w:b w:val="0"/>
          <w:bCs w:val="0"/>
          <w:sz w:val="24"/>
          <w:szCs w:val="24"/>
          <w:lang w:val="en-GB"/>
        </w:rPr>
        <w:t>、报价人与中煤集团山西华昱能源有限公司不存在未解决的各类纠纷（附承诺函，格式自拟）。</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4、报价人未被列入“信用中国”网站（www.creditchina.gov.cn）中失信被执行人和重大税收违法案件当事人名单（提供对应网站截图）。</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5</w:t>
      </w:r>
      <w:r>
        <w:rPr>
          <w:rFonts w:hint="eastAsia" w:ascii="宋体" w:hAnsi="宋体" w:cs="宋体"/>
          <w:b w:val="0"/>
          <w:bCs w:val="0"/>
          <w:sz w:val="24"/>
          <w:szCs w:val="24"/>
          <w:lang w:val="en-GB"/>
        </w:rPr>
        <w:t>、</w:t>
      </w:r>
      <w:r>
        <w:rPr>
          <w:rFonts w:hint="eastAsia" w:ascii="宋体" w:hAnsi="宋体" w:cs="宋体"/>
          <w:b w:val="0"/>
          <w:bCs w:val="0"/>
          <w:sz w:val="24"/>
          <w:szCs w:val="24"/>
        </w:rPr>
        <w:t>.报价人须具有良好的银行资信（提供开标前6个月内银行开具的资信证明）。</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6、本项目不接受联合体投标。</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highlight w:val="green"/>
        </w:rPr>
      </w:pPr>
      <w:r>
        <w:rPr>
          <w:rFonts w:hint="eastAsia" w:ascii="宋体" w:hAnsi="宋体" w:cs="宋体"/>
          <w:b w:val="0"/>
          <w:bCs w:val="0"/>
          <w:sz w:val="24"/>
          <w:szCs w:val="24"/>
        </w:rPr>
        <w:t>四、联系方式</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联系人：弓疆       联系电话15110853578</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地址：山西朔州平鲁区国兴煤业有限公司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电子信箱：505948313@qq.com</w:t>
      </w:r>
    </w:p>
    <w:p>
      <w:pPr>
        <w:spacing w:line="360" w:lineRule="auto"/>
        <w:jc w:val="center"/>
        <w:rPr>
          <w:rFonts w:ascii="宋体" w:hAnsi="宋体" w:eastAsia="黑体" w:cs="宋体"/>
          <w:b w:val="0"/>
          <w:bCs w:val="0"/>
          <w:sz w:val="32"/>
          <w:szCs w:val="32"/>
        </w:rPr>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b w:val="0"/>
          <w:bCs w:val="0"/>
          <w:color w:val="000000"/>
          <w:sz w:val="24"/>
          <w:szCs w:val="24"/>
        </w:rPr>
      </w:pPr>
      <w:r>
        <w:rPr>
          <w:rFonts w:ascii="宋体" w:hAnsi="宋体" w:cs="宋体"/>
          <w:b w:val="0"/>
          <w:bCs w:val="0"/>
          <w:sz w:val="24"/>
          <w:szCs w:val="24"/>
        </w:rPr>
        <w:t>(1)</w:t>
      </w:r>
      <w:r>
        <w:rPr>
          <w:rFonts w:hint="eastAsia" w:ascii="宋体" w:hAnsi="宋体" w:cs="宋体"/>
          <w:b w:val="0"/>
          <w:color w:val="000000"/>
          <w:sz w:val="24"/>
          <w:szCs w:val="24"/>
        </w:rPr>
        <w:t>报价为含税价（</w:t>
      </w:r>
      <w:r>
        <w:rPr>
          <w:rFonts w:hint="eastAsia" w:ascii="宋体" w:hAnsi="宋体" w:cs="宋体"/>
          <w:b w:val="0"/>
          <w:bCs w:val="0"/>
          <w:sz w:val="24"/>
          <w:szCs w:val="24"/>
        </w:rPr>
        <w:t>注明税率</w:t>
      </w:r>
      <w:r>
        <w:rPr>
          <w:rFonts w:hint="eastAsia" w:ascii="宋体" w:hAnsi="宋体" w:cs="宋体"/>
          <w:b w:val="0"/>
          <w:color w:val="000000"/>
          <w:sz w:val="24"/>
          <w:szCs w:val="24"/>
        </w:rPr>
        <w:t>）。</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1"/>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20"/>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Pr>
        <w:spacing w:line="360" w:lineRule="auto"/>
        <w:ind w:firstLine="480" w:firstLineChars="200"/>
        <w:rPr>
          <w:rFonts w:ascii="宋体" w:hAnsi="宋体" w:cs="宋体"/>
          <w:b w:val="0"/>
          <w:bCs w:val="0"/>
          <w:sz w:val="24"/>
          <w:szCs w:val="24"/>
        </w:rPr>
      </w:pP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spacing w:line="360" w:lineRule="auto"/>
        <w:rPr>
          <w:rFonts w:ascii="宋体" w:hAnsi="宋体" w:cs="宋体"/>
          <w:b w:val="0"/>
          <w:bCs w:val="0"/>
          <w:sz w:val="24"/>
          <w:szCs w:val="24"/>
        </w:rPr>
      </w:pPr>
      <w:r>
        <w:rPr>
          <w:rFonts w:hint="eastAsia" w:ascii="宋体" w:hAnsi="宋体" w:cs="宋体"/>
          <w:b w:val="0"/>
          <w:bCs w:val="0"/>
          <w:sz w:val="24"/>
          <w:szCs w:val="24"/>
        </w:rPr>
        <w:t>1.服务内容: 《矿井防灭火设计》编制，并进行编制所需的收集资料，现场调研工作。</w:t>
      </w:r>
    </w:p>
    <w:p>
      <w:pPr>
        <w:spacing w:line="360" w:lineRule="auto"/>
        <w:rPr>
          <w:rFonts w:ascii="宋体" w:hAnsi="宋体" w:cs="宋体"/>
          <w:b w:val="0"/>
          <w:bCs w:val="0"/>
          <w:sz w:val="24"/>
          <w:szCs w:val="24"/>
        </w:rPr>
      </w:pPr>
      <w:r>
        <w:rPr>
          <w:rFonts w:hint="eastAsia" w:ascii="宋体" w:hAnsi="宋体" w:cs="宋体"/>
          <w:b w:val="0"/>
          <w:bCs w:val="0"/>
          <w:sz w:val="24"/>
          <w:szCs w:val="24"/>
        </w:rPr>
        <w:t>2.服务要求:乙方依据国家、省、市有关的技术标准规范和甲方提出的具体情况，进行调查和报告修编工作，并对报告书的修编质量负全责。完成本项目所需的各项调查和资料收集工作，保质按时修编完成报告。</w:t>
      </w:r>
    </w:p>
    <w:p>
      <w:pPr>
        <w:spacing w:line="360" w:lineRule="auto"/>
        <w:rPr>
          <w:rFonts w:ascii="宋体" w:hAnsi="宋体" w:cs="宋体"/>
          <w:b w:val="0"/>
          <w:bCs w:val="0"/>
          <w:sz w:val="24"/>
          <w:szCs w:val="24"/>
        </w:rPr>
      </w:pPr>
      <w:r>
        <w:rPr>
          <w:rFonts w:hint="eastAsia" w:ascii="宋体" w:hAnsi="宋体" w:cs="宋体"/>
          <w:b w:val="0"/>
          <w:bCs w:val="0"/>
          <w:sz w:val="24"/>
          <w:szCs w:val="24"/>
        </w:rPr>
        <w:t>3.乙方进行工作时，要做到数据准确，内容详实，结论明确，符合技术要求。</w:t>
      </w:r>
    </w:p>
    <w:p>
      <w:pPr>
        <w:spacing w:line="360" w:lineRule="auto"/>
        <w:rPr>
          <w:rFonts w:ascii="宋体" w:hAnsi="宋体" w:cs="宋体"/>
          <w:b w:val="0"/>
          <w:bCs w:val="0"/>
          <w:sz w:val="24"/>
          <w:szCs w:val="24"/>
        </w:rPr>
      </w:pPr>
      <w:r>
        <w:rPr>
          <w:rFonts w:hint="eastAsia" w:ascii="宋体" w:hAnsi="宋体" w:cs="宋体"/>
          <w:b w:val="0"/>
          <w:bCs w:val="0"/>
          <w:sz w:val="24"/>
          <w:szCs w:val="24"/>
        </w:rPr>
        <w:t>4.服务方式: 交付甲方《矿井防灭火设计》报告资料，完成报告的评审工作，并负责报告的修改、完善和补充。</w:t>
      </w:r>
    </w:p>
    <w:p>
      <w:pPr>
        <w:spacing w:line="360" w:lineRule="auto"/>
        <w:rPr>
          <w:rFonts w:ascii="宋体" w:hAnsi="宋体" w:cs="宋体"/>
          <w:b w:val="0"/>
          <w:bCs w:val="0"/>
          <w:sz w:val="24"/>
          <w:szCs w:val="24"/>
        </w:rPr>
      </w:pPr>
      <w:r>
        <w:rPr>
          <w:rFonts w:hint="eastAsia" w:ascii="宋体" w:hAnsi="宋体" w:cs="宋体"/>
          <w:b w:val="0"/>
          <w:bCs w:val="0"/>
          <w:sz w:val="24"/>
          <w:szCs w:val="24"/>
        </w:rPr>
        <w:t>5. 甲方付款前，乙方应当按照甲方财务要求提供相应的增值税专用发票，并按照甲方主管部门的规定履行相应的付款审批程序。乙方未能完全履行该义务，则甲方有权拒付相应款项。</w:t>
      </w:r>
    </w:p>
    <w:p>
      <w:pPr>
        <w:spacing w:line="360" w:lineRule="auto"/>
        <w:rPr>
          <w:rFonts w:ascii="宋体" w:hAnsi="宋体" w:cs="宋体"/>
          <w:b w:val="0"/>
          <w:bCs w:val="0"/>
          <w:sz w:val="24"/>
          <w:szCs w:val="24"/>
        </w:rPr>
      </w:pPr>
      <w:r>
        <w:rPr>
          <w:rFonts w:hint="eastAsia" w:ascii="宋体" w:hAnsi="宋体" w:cs="宋体"/>
          <w:b w:val="0"/>
          <w:bCs w:val="0"/>
          <w:sz w:val="24"/>
          <w:szCs w:val="24"/>
        </w:rPr>
        <w:t>6. 合同工期及工期延误</w:t>
      </w:r>
    </w:p>
    <w:p>
      <w:pPr>
        <w:spacing w:line="360" w:lineRule="auto"/>
        <w:rPr>
          <w:rFonts w:ascii="宋体" w:hAnsi="宋体" w:cs="宋体"/>
          <w:b w:val="0"/>
          <w:bCs w:val="0"/>
          <w:sz w:val="24"/>
          <w:szCs w:val="24"/>
        </w:rPr>
      </w:pPr>
      <w:r>
        <w:rPr>
          <w:rFonts w:hint="eastAsia" w:ascii="宋体" w:hAnsi="宋体" w:cs="宋体"/>
          <w:b w:val="0"/>
          <w:bCs w:val="0"/>
          <w:sz w:val="24"/>
          <w:szCs w:val="24"/>
        </w:rPr>
        <w:t>工程起止日期：合同签订之日起，90天内完工。因由于甲方原因导致乙方无法按时完成工作，经甲方书面同意，工作完成时间相应顺延。</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spacing w:line="360" w:lineRule="auto"/>
        <w:rPr>
          <w:rFonts w:ascii="宋体" w:hAnsi="宋体" w:cs="宋体"/>
          <w:b w:val="0"/>
          <w:bCs w:val="0"/>
          <w:sz w:val="24"/>
          <w:szCs w:val="24"/>
        </w:rPr>
      </w:pPr>
      <w:r>
        <w:rPr>
          <w:rFonts w:hint="eastAsia" w:ascii="宋体" w:hAnsi="宋体" w:cs="宋体"/>
          <w:b w:val="0"/>
          <w:bCs w:val="0"/>
          <w:sz w:val="24"/>
          <w:szCs w:val="24"/>
        </w:rPr>
        <w:t>1.乙方应收集矿井基本概况与采掘规划资料，实地了解矿井防灭火现状，结合目前煤矿防灭火行业先进经验，从专业技术方面科学的指导矿井防灭火工作。</w:t>
      </w:r>
    </w:p>
    <w:p>
      <w:pPr>
        <w:spacing w:line="360" w:lineRule="auto"/>
        <w:rPr>
          <w:rFonts w:ascii="宋体" w:hAnsi="宋体" w:cs="宋体"/>
          <w:b w:val="0"/>
          <w:bCs w:val="0"/>
          <w:sz w:val="24"/>
          <w:szCs w:val="24"/>
        </w:rPr>
      </w:pPr>
      <w:r>
        <w:rPr>
          <w:rFonts w:hint="eastAsia" w:ascii="宋体" w:hAnsi="宋体" w:cs="宋体"/>
          <w:b w:val="0"/>
          <w:bCs w:val="0"/>
          <w:sz w:val="24"/>
          <w:szCs w:val="24"/>
        </w:rPr>
        <w:t>2.乙方应根据防灭火相关规定，针对矿井实际情况，重点对黄泥灌浆、注氮及喷洒阻化剂等防灭火措施进行专项设计，根据计算结果，确定防灭火工程量。</w:t>
      </w:r>
    </w:p>
    <w:p>
      <w:pPr>
        <w:spacing w:line="360" w:lineRule="auto"/>
        <w:rPr>
          <w:rFonts w:ascii="宋体" w:hAnsi="宋体" w:cs="宋体"/>
          <w:b w:val="0"/>
          <w:bCs w:val="0"/>
          <w:sz w:val="24"/>
          <w:szCs w:val="24"/>
        </w:rPr>
      </w:pPr>
      <w:r>
        <w:rPr>
          <w:rFonts w:hint="eastAsia" w:ascii="宋体" w:hAnsi="宋体" w:cs="宋体"/>
          <w:b w:val="0"/>
          <w:bCs w:val="0"/>
          <w:sz w:val="24"/>
          <w:szCs w:val="24"/>
        </w:rPr>
        <w:t>3.乙方应严格按照《煤矿防灭火细则》要求，矿井防灭火专项设计应当包含以下内容，可根据矿井实际情况予以增减。</w:t>
      </w:r>
    </w:p>
    <w:p>
      <w:pPr>
        <w:spacing w:line="360" w:lineRule="auto"/>
        <w:rPr>
          <w:rFonts w:ascii="宋体" w:hAnsi="宋体" w:cs="宋体"/>
          <w:b w:val="0"/>
          <w:bCs w:val="0"/>
          <w:sz w:val="24"/>
          <w:szCs w:val="24"/>
        </w:rPr>
      </w:pPr>
      <w:r>
        <w:rPr>
          <w:rFonts w:hint="eastAsia" w:ascii="宋体" w:hAnsi="宋体" w:cs="宋体"/>
          <w:b w:val="0"/>
          <w:bCs w:val="0"/>
          <w:sz w:val="24"/>
          <w:szCs w:val="24"/>
        </w:rPr>
        <w:t>（一）矿井概况（重点说明地质构造、煤层赋存、煤质、瓦斯、煤尘、煤的自燃倾向性、自然发火期、地温、开拓开采情况、矿井通风、历史发火情况、火区、矿井周边煤矿等）。</w:t>
      </w:r>
    </w:p>
    <w:p>
      <w:pPr>
        <w:spacing w:line="360" w:lineRule="auto"/>
        <w:rPr>
          <w:rFonts w:ascii="宋体" w:hAnsi="宋体" w:cs="宋体"/>
          <w:b w:val="0"/>
          <w:bCs w:val="0"/>
          <w:sz w:val="24"/>
          <w:szCs w:val="24"/>
        </w:rPr>
      </w:pPr>
      <w:r>
        <w:rPr>
          <w:rFonts w:hint="eastAsia" w:ascii="宋体" w:hAnsi="宋体" w:cs="宋体"/>
          <w:b w:val="0"/>
          <w:bCs w:val="0"/>
          <w:sz w:val="24"/>
          <w:szCs w:val="24"/>
        </w:rPr>
        <w:t>（二）矿井火灾危险性分析（包括内因火灾危险性分析和外因火灾危险性分析）。</w:t>
      </w:r>
    </w:p>
    <w:p>
      <w:pPr>
        <w:spacing w:line="360" w:lineRule="auto"/>
        <w:rPr>
          <w:rFonts w:ascii="宋体" w:hAnsi="宋体" w:cs="宋体"/>
          <w:b w:val="0"/>
          <w:bCs w:val="0"/>
          <w:sz w:val="24"/>
          <w:szCs w:val="24"/>
        </w:rPr>
      </w:pPr>
      <w:r>
        <w:rPr>
          <w:rFonts w:hint="eastAsia" w:ascii="宋体" w:hAnsi="宋体" w:cs="宋体"/>
          <w:b w:val="0"/>
          <w:bCs w:val="0"/>
          <w:sz w:val="24"/>
          <w:szCs w:val="24"/>
        </w:rPr>
        <w:t>（三）煤层自然发火预测预报指标体系（包括煤层自燃倾向性、煤层自然发火期、煤层自然发火标志气体及临界值、煤层自然发火预兆预警值的确定）。</w:t>
      </w:r>
    </w:p>
    <w:p>
      <w:pPr>
        <w:spacing w:line="360" w:lineRule="auto"/>
        <w:rPr>
          <w:rFonts w:ascii="宋体" w:hAnsi="宋体" w:cs="宋体"/>
          <w:b w:val="0"/>
          <w:bCs w:val="0"/>
          <w:sz w:val="24"/>
          <w:szCs w:val="24"/>
        </w:rPr>
      </w:pPr>
      <w:r>
        <w:rPr>
          <w:rFonts w:hint="eastAsia" w:ascii="宋体" w:hAnsi="宋体" w:cs="宋体"/>
          <w:b w:val="0"/>
          <w:bCs w:val="0"/>
          <w:sz w:val="24"/>
          <w:szCs w:val="24"/>
        </w:rPr>
        <w:t>（四）矿井火灾监测系统（包括束管火灾监测系统、人工采样监测系统、安全监控系统和其他监测系统）。</w:t>
      </w:r>
    </w:p>
    <w:p>
      <w:pPr>
        <w:spacing w:line="360" w:lineRule="auto"/>
        <w:rPr>
          <w:rFonts w:ascii="宋体" w:hAnsi="宋体" w:cs="宋体"/>
          <w:b w:val="0"/>
          <w:bCs w:val="0"/>
          <w:sz w:val="24"/>
          <w:szCs w:val="24"/>
        </w:rPr>
      </w:pPr>
      <w:r>
        <w:rPr>
          <w:rFonts w:hint="eastAsia" w:ascii="宋体" w:hAnsi="宋体" w:cs="宋体"/>
          <w:b w:val="0"/>
          <w:bCs w:val="0"/>
          <w:sz w:val="24"/>
          <w:szCs w:val="24"/>
        </w:rPr>
        <w:t>（五）矿井防灭火系统及设施（包括自然发火综合防治系统、消防洒水系统、井上、下消防材料库和防火构筑物）。</w:t>
      </w:r>
    </w:p>
    <w:p>
      <w:pPr>
        <w:spacing w:line="360" w:lineRule="auto"/>
        <w:rPr>
          <w:rFonts w:ascii="宋体" w:hAnsi="宋体" w:cs="宋体"/>
          <w:b w:val="0"/>
          <w:bCs w:val="0"/>
          <w:sz w:val="24"/>
          <w:szCs w:val="24"/>
        </w:rPr>
      </w:pPr>
      <w:r>
        <w:rPr>
          <w:rFonts w:hint="eastAsia" w:ascii="宋体" w:hAnsi="宋体" w:cs="宋体"/>
          <w:b w:val="0"/>
          <w:bCs w:val="0"/>
          <w:sz w:val="24"/>
          <w:szCs w:val="24"/>
        </w:rPr>
        <w:t>（六）内因火灾防治技术方案（包括工作面“进回风巷道”防灭火技术方案、工作面安装期间防灭火技术方案、工作面回采期间防灭火技术方案、工作面回撤期间防灭火技术方案、工作面推进缓慢期间防灭火技术方案和已封闭采空区自然发火防治方案）。</w:t>
      </w:r>
    </w:p>
    <w:p>
      <w:pPr>
        <w:spacing w:line="360" w:lineRule="auto"/>
        <w:rPr>
          <w:rFonts w:ascii="宋体" w:hAnsi="宋体" w:cs="宋体"/>
          <w:b w:val="0"/>
          <w:bCs w:val="0"/>
          <w:sz w:val="24"/>
          <w:szCs w:val="24"/>
        </w:rPr>
      </w:pPr>
      <w:r>
        <w:rPr>
          <w:rFonts w:hint="eastAsia" w:ascii="宋体" w:hAnsi="宋体" w:cs="宋体"/>
          <w:b w:val="0"/>
          <w:bCs w:val="0"/>
          <w:sz w:val="24"/>
          <w:szCs w:val="24"/>
        </w:rPr>
        <w:t>（七）外因火灾防治技术方案（包括机电设备火灾防治方案、电缆火灾防治方案、带式输送机火灾防治方案、油脂及其他可燃物品火灾防治方案、电气焊及火工品火灾防治方案、井下爆破引发火灾防治方案、无轨胶轮车火灾防治方案和其他外因火灾防治方案）。</w:t>
      </w:r>
    </w:p>
    <w:p>
      <w:pPr>
        <w:spacing w:line="360" w:lineRule="auto"/>
        <w:rPr>
          <w:rFonts w:ascii="宋体" w:hAnsi="宋体" w:cs="宋体"/>
          <w:b w:val="0"/>
          <w:bCs w:val="0"/>
          <w:sz w:val="24"/>
          <w:szCs w:val="24"/>
        </w:rPr>
      </w:pPr>
      <w:r>
        <w:rPr>
          <w:rFonts w:hint="eastAsia" w:ascii="宋体" w:hAnsi="宋体" w:cs="宋体"/>
          <w:b w:val="0"/>
          <w:bCs w:val="0"/>
          <w:sz w:val="24"/>
          <w:szCs w:val="24"/>
        </w:rPr>
        <w:t>（八）火区治理（包括火区治理技术方案、井下封闭火区日常管理和火区启封）。</w:t>
      </w:r>
    </w:p>
    <w:p>
      <w:pPr>
        <w:spacing w:line="360" w:lineRule="auto"/>
        <w:rPr>
          <w:rFonts w:ascii="宋体" w:hAnsi="宋体" w:cs="宋体"/>
          <w:b w:val="0"/>
          <w:bCs w:val="0"/>
          <w:sz w:val="24"/>
          <w:szCs w:val="24"/>
        </w:rPr>
      </w:pPr>
      <w:r>
        <w:rPr>
          <w:rFonts w:hint="eastAsia" w:ascii="宋体" w:hAnsi="宋体" w:cs="宋体"/>
          <w:b w:val="0"/>
          <w:bCs w:val="0"/>
          <w:sz w:val="24"/>
          <w:szCs w:val="24"/>
        </w:rPr>
        <w:t>（九）矿井防灭火管理制度（包括组织机构和规章制度）。</w:t>
      </w:r>
    </w:p>
    <w:p>
      <w:pPr>
        <w:spacing w:line="360" w:lineRule="auto"/>
        <w:rPr>
          <w:rFonts w:ascii="宋体" w:hAnsi="宋体" w:cs="宋体"/>
          <w:b w:val="0"/>
          <w:bCs w:val="0"/>
          <w:sz w:val="24"/>
          <w:szCs w:val="24"/>
        </w:rPr>
      </w:pPr>
      <w:r>
        <w:rPr>
          <w:rFonts w:hint="eastAsia" w:ascii="宋体" w:hAnsi="宋体" w:cs="宋体"/>
          <w:b w:val="0"/>
          <w:bCs w:val="0"/>
          <w:sz w:val="24"/>
          <w:szCs w:val="24"/>
        </w:rPr>
        <w:t>（十）火灾应急救援预案。</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6"/>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hint="eastAsia" w:ascii="宋体"/>
          <w:b w:val="0"/>
          <w:bCs w:val="0"/>
          <w:sz w:val="28"/>
          <w:szCs w:val="28"/>
        </w:rPr>
        <w:t>备注：报价人请将文件名称设置为XXX单位报价书</w:t>
      </w: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7"/>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的公开询比公告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所附价格表中规定的应提供的服务/总价（</w:t>
      </w:r>
      <w:r>
        <w:rPr>
          <w:rFonts w:hint="eastAsia" w:ascii="宋体" w:hAnsi="宋体" w:cs="宋体"/>
          <w:sz w:val="28"/>
          <w:szCs w:val="28"/>
        </w:rPr>
        <w:t>含税价格</w:t>
      </w:r>
      <w:r>
        <w:rPr>
          <w:rFonts w:hint="eastAsia" w:ascii="宋体" w:hAnsi="宋体" w:cs="宋体"/>
          <w:b w:val="0"/>
          <w:bCs w:val="0"/>
          <w:sz w:val="28"/>
          <w:szCs w:val="28"/>
        </w:rPr>
        <w:t>）为：</w:t>
      </w:r>
      <w:r>
        <w:rPr>
          <w:rFonts w:hint="eastAsia" w:ascii="宋体" w:hAnsi="宋体" w:cs="宋体"/>
          <w:b w:val="0"/>
          <w:bCs w:val="0"/>
          <w:sz w:val="28"/>
          <w:szCs w:val="28"/>
          <w:u w:val="single"/>
        </w:rPr>
        <w:t xml:space="preserve">        </w:t>
      </w:r>
      <w:r>
        <w:rPr>
          <w:rFonts w:hint="eastAsia" w:ascii="宋体" w:hAnsi="宋体" w:cs="宋体"/>
          <w:sz w:val="28"/>
          <w:szCs w:val="28"/>
        </w:rPr>
        <w:t>￥元</w:t>
      </w:r>
      <w:r>
        <w:rPr>
          <w:rFonts w:ascii="宋体" w:hAnsi="宋体" w:cs="宋体"/>
          <w:sz w:val="28"/>
          <w:szCs w:val="28"/>
        </w:rPr>
        <w:t>(</w:t>
      </w:r>
      <w:r>
        <w:rPr>
          <w:rFonts w:hint="eastAsia" w:ascii="宋体" w:hAnsi="宋体" w:cs="宋体"/>
          <w:sz w:val="28"/>
          <w:szCs w:val="28"/>
        </w:rPr>
        <w:t>大写：</w:t>
      </w:r>
      <w:r>
        <w:rPr>
          <w:rFonts w:ascii="宋体" w:hAnsi="宋体" w:cs="宋体"/>
          <w:sz w:val="28"/>
          <w:szCs w:val="28"/>
          <w:u w:val="single"/>
        </w:rPr>
        <w:t xml:space="preserve">                  </w:t>
      </w:r>
      <w:r>
        <w:rPr>
          <w:rFonts w:hint="eastAsia" w:ascii="宋体" w:hAnsi="宋体" w:cs="宋体"/>
          <w:sz w:val="28"/>
          <w:szCs w:val="28"/>
          <w:u w:val="single"/>
        </w:rPr>
        <w:t>元整，税率    %</w:t>
      </w:r>
      <w:r>
        <w:rPr>
          <w:rFonts w:ascii="宋体" w:hAnsi="宋体" w:cs="宋体"/>
          <w:sz w:val="28"/>
          <w:szCs w:val="28"/>
        </w:rPr>
        <w:t>)</w:t>
      </w:r>
      <w:r>
        <w:rPr>
          <w:rFonts w:hint="eastAsia" w:ascii="宋体" w:hAnsi="宋体" w:cs="宋体"/>
          <w:sz w:val="28"/>
          <w:szCs w:val="28"/>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0"/>
      </w:pPr>
    </w:p>
    <w:p>
      <w:pPr>
        <w:pStyle w:val="20"/>
      </w:pPr>
    </w:p>
    <w:p>
      <w:pPr>
        <w:pStyle w:val="20"/>
      </w:pPr>
    </w:p>
    <w:p>
      <w:pPr>
        <w:numPr>
          <w:ilvl w:val="0"/>
          <w:numId w:val="8"/>
        </w:numPr>
        <w:spacing w:line="360" w:lineRule="auto"/>
        <w:jc w:val="center"/>
      </w:pPr>
      <w:r>
        <w:rPr>
          <w:rFonts w:hint="eastAsia" w:ascii="宋体" w:hAnsi="宋体" w:cs="宋体"/>
          <w:b w:val="0"/>
          <w:bCs w:val="0"/>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5"/>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5"/>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numPr>
          <w:ilvl w:val="0"/>
          <w:numId w:val="9"/>
        </w:numPr>
        <w:tabs>
          <w:tab w:val="left" w:pos="1435"/>
        </w:tabs>
        <w:jc w:val="center"/>
        <w:rPr>
          <w:rFonts w:ascii="Arial" w:hAnsi="Arial"/>
        </w:rPr>
      </w:pPr>
      <w:r>
        <w:rPr>
          <w:rFonts w:hint="eastAsia" w:ascii="Arial" w:hAnsi="Arial"/>
        </w:rPr>
        <w:t>资质证明材料</w:t>
      </w:r>
    </w:p>
    <w:p>
      <w:pPr>
        <w:pStyle w:val="17"/>
        <w:rPr>
          <w:rFonts w:ascii="宋体" w:hAnsi="宋体" w:cs="宋体"/>
          <w:b w:val="0"/>
          <w:bCs w:val="0"/>
          <w:sz w:val="28"/>
          <w:szCs w:val="28"/>
        </w:rPr>
      </w:pPr>
    </w:p>
    <w:p>
      <w:pPr>
        <w:pStyle w:val="17"/>
        <w:rPr>
          <w:rFonts w:ascii="宋体" w:hAnsi="宋体" w:cs="宋体"/>
          <w:b w:val="0"/>
          <w:bCs w:val="0"/>
          <w:sz w:val="28"/>
          <w:szCs w:val="28"/>
        </w:rPr>
      </w:pPr>
      <w:r>
        <w:rPr>
          <w:rFonts w:hint="eastAsia" w:ascii="宋体" w:hAnsi="宋体" w:cs="宋体"/>
          <w:b w:val="0"/>
          <w:bCs w:val="0"/>
          <w:sz w:val="28"/>
          <w:szCs w:val="28"/>
        </w:rPr>
        <w:t>附与中煤集团山西华昱能源有限公司不存在未解决的各类纠纷的承诺函（格式自拟）。</w:t>
      </w:r>
    </w:p>
    <w:p/>
    <w:p>
      <w:pPr>
        <w:pStyle w:val="17"/>
      </w:pPr>
      <w:r>
        <w:rPr>
          <w:rFonts w:hint="eastAsia"/>
        </w:rPr>
        <w:t xml:space="preserve">                      六、服务方案</w:t>
      </w:r>
    </w:p>
    <w:p>
      <w:pPr>
        <w:pStyle w:val="17"/>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3"/>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r>
        <w:rPr>
          <w:rFonts w:hint="eastAsia" w:ascii="宋体" w:hAnsi="宋体" w:cs="宋体"/>
          <w:b w:val="0"/>
          <w:sz w:val="24"/>
          <w:szCs w:val="24"/>
        </w:rPr>
        <w:br w:type="textWrapping"/>
      </w:r>
      <w:r>
        <w:rPr>
          <w:rFonts w:hint="eastAsia" w:ascii="宋体" w:hAnsi="宋体" w:cs="宋体"/>
          <w:b w:val="0"/>
          <w:sz w:val="24"/>
          <w:szCs w:val="24"/>
        </w:rPr>
        <w:t>为维护公平竞争的市场秩序，我方自愿在参与贵方组织的商业往来活动中，加强</w:t>
      </w:r>
      <w:r>
        <w:rPr>
          <w:rFonts w:hint="eastAsia" w:ascii="宋体" w:hAnsi="宋体" w:cs="宋体"/>
          <w:b w:val="0"/>
          <w:sz w:val="24"/>
          <w:szCs w:val="24"/>
        </w:rPr>
        <w:br w:type="textWrapping"/>
      </w:r>
      <w:r>
        <w:rPr>
          <w:rFonts w:hint="eastAsia" w:ascii="宋体" w:hAnsi="宋体" w:cs="宋体"/>
          <w:b w:val="0"/>
          <w:sz w:val="24"/>
          <w:szCs w:val="24"/>
        </w:rPr>
        <w:t>有关人员廉清从业管理，恪守商业道德，从源头预防和遏制违法、违规，违纪行为发生，特作以下承诺：</w:t>
      </w:r>
      <w:r>
        <w:rPr>
          <w:rFonts w:hint="eastAsia" w:ascii="宋体" w:hAnsi="宋体" w:cs="宋体"/>
          <w:b w:val="0"/>
          <w:sz w:val="24"/>
          <w:szCs w:val="24"/>
        </w:rPr>
        <w:br w:type="textWrapping"/>
      </w:r>
      <w:r>
        <w:rPr>
          <w:rFonts w:hint="eastAsia" w:ascii="宋体" w:hAnsi="宋体" w:cs="宋体"/>
          <w:b w:val="0"/>
          <w:sz w:val="24"/>
          <w:szCs w:val="24"/>
        </w:rPr>
        <w:t>一、严格遵守国家有关法律法规，坚持诚实守信原则，恪守商业道德，规范商务人员廉洁从业行为。</w:t>
      </w:r>
      <w:r>
        <w:rPr>
          <w:rFonts w:hint="eastAsia" w:ascii="宋体" w:hAnsi="宋体" w:cs="宋体"/>
          <w:b w:val="0"/>
          <w:sz w:val="24"/>
          <w:szCs w:val="24"/>
        </w:rPr>
        <w:br w:type="textWrapping"/>
      </w:r>
      <w:r>
        <w:rPr>
          <w:rFonts w:hint="eastAsia" w:ascii="宋体" w:hAnsi="宋体" w:cs="宋体"/>
          <w:b w:val="0"/>
          <w:sz w:val="24"/>
          <w:szCs w:val="24"/>
        </w:rPr>
        <w:t>二、不伙同他人串标、围标或非法排挤竞争对手，不在商业活动中提供虚假资料，损害贵方合法权益。</w:t>
      </w:r>
      <w:r>
        <w:rPr>
          <w:rFonts w:hint="eastAsia" w:ascii="宋体" w:hAnsi="宋体" w:cs="宋体"/>
          <w:b w:val="0"/>
          <w:sz w:val="24"/>
          <w:szCs w:val="24"/>
        </w:rPr>
        <w:br w:type="textWrapping"/>
      </w:r>
      <w:r>
        <w:rPr>
          <w:rFonts w:hint="eastAsia" w:ascii="宋体" w:hAnsi="宋体" w:cs="宋体"/>
          <w:b w:val="0"/>
          <w:sz w:val="24"/>
          <w:szCs w:val="24"/>
        </w:rPr>
        <w:t>三、不为贵方工作人员提供回扣、礼金、有价证券、贵重物品和报销个人费用。</w:t>
      </w:r>
      <w:r>
        <w:rPr>
          <w:rFonts w:hint="eastAsia" w:ascii="宋体" w:hAnsi="宋体" w:cs="宋体"/>
          <w:b w:val="0"/>
          <w:sz w:val="24"/>
          <w:szCs w:val="24"/>
        </w:rPr>
        <w:br w:type="textWrapping"/>
      </w:r>
      <w:r>
        <w:rPr>
          <w:rFonts w:hint="eastAsia" w:ascii="宋体" w:hAnsi="宋体" w:cs="宋体"/>
          <w:b w:val="0"/>
          <w:sz w:val="24"/>
          <w:szCs w:val="24"/>
        </w:rPr>
        <w:t>四、不为贵方工作人员安排有可能影响公平、公正交易的宴请、健身、娱乐等活动。</w:t>
      </w:r>
      <w:r>
        <w:rPr>
          <w:rFonts w:hint="eastAsia" w:ascii="宋体" w:hAnsi="宋体" w:cs="宋体"/>
          <w:b w:val="0"/>
          <w:sz w:val="24"/>
          <w:szCs w:val="24"/>
        </w:rPr>
        <w:br w:type="textWrapping"/>
      </w:r>
      <w:r>
        <w:rPr>
          <w:rFonts w:hint="eastAsia" w:ascii="宋体" w:hAnsi="宋体" w:cs="宋体"/>
          <w:b w:val="0"/>
          <w:sz w:val="24"/>
          <w:szCs w:val="24"/>
        </w:rPr>
        <w:t>五、不为贵方工作人员投资入股、个人借款或买卖股票、债券等提供方便。</w:t>
      </w:r>
      <w:r>
        <w:rPr>
          <w:rFonts w:hint="eastAsia" w:ascii="宋体" w:hAnsi="宋体" w:cs="宋体"/>
          <w:b w:val="0"/>
          <w:sz w:val="24"/>
          <w:szCs w:val="24"/>
        </w:rPr>
        <w:br w:type="textWrapping"/>
      </w:r>
      <w:r>
        <w:rPr>
          <w:rFonts w:hint="eastAsia" w:ascii="宋体" w:hAnsi="宋体" w:cs="宋体"/>
          <w:b w:val="0"/>
          <w:sz w:val="24"/>
          <w:szCs w:val="24"/>
        </w:rPr>
        <w:t>六、不为贵方工作人员购买或装修住房、婚丧嫁娶、配偶子女上学或工作安排以及出国出境、旅游等提供方便。</w:t>
      </w:r>
      <w:r>
        <w:rPr>
          <w:rFonts w:hint="eastAsia" w:ascii="宋体" w:hAnsi="宋体" w:cs="宋体"/>
          <w:b w:val="0"/>
          <w:sz w:val="24"/>
          <w:szCs w:val="24"/>
        </w:rPr>
        <w:br w:type="textWrapping"/>
      </w:r>
      <w:r>
        <w:rPr>
          <w:rFonts w:hint="eastAsia" w:ascii="宋体" w:hAnsi="宋体" w:cs="宋体"/>
          <w:b w:val="0"/>
          <w:sz w:val="24"/>
          <w:szCs w:val="24"/>
        </w:rPr>
        <w:t>七、不违反规定为贵方工作人员在我方相关企业挂名兼职、合伙经营、介绍承揽业务等提供方便。</w:t>
      </w:r>
      <w:r>
        <w:rPr>
          <w:rFonts w:hint="eastAsia" w:ascii="宋体" w:hAnsi="宋体" w:cs="宋体"/>
          <w:b w:val="0"/>
          <w:sz w:val="24"/>
          <w:szCs w:val="24"/>
        </w:rPr>
        <w:br w:type="textWrapping"/>
      </w:r>
      <w:r>
        <w:rPr>
          <w:rFonts w:hint="eastAsia" w:ascii="宋体" w:hAnsi="宋体" w:cs="宋体"/>
          <w:b w:val="0"/>
          <w:sz w:val="24"/>
          <w:szCs w:val="24"/>
        </w:rPr>
        <w:t>八、不利用非法手段向贵方工作人员打探有关涉及贵方的商业秘密、业务渠道等。</w:t>
      </w:r>
      <w:r>
        <w:rPr>
          <w:rFonts w:hint="eastAsia" w:ascii="宋体" w:hAnsi="宋体" w:cs="宋体"/>
          <w:b w:val="0"/>
          <w:sz w:val="24"/>
          <w:szCs w:val="24"/>
        </w:rPr>
        <w:br w:type="textWrapping"/>
      </w:r>
      <w:r>
        <w:rPr>
          <w:rFonts w:hint="eastAsia" w:ascii="宋体" w:hAnsi="宋体" w:cs="宋体"/>
          <w:b w:val="0"/>
          <w:sz w:val="24"/>
          <w:szCs w:val="24"/>
        </w:rPr>
        <w:t>九、贵方对涉嫌不廉洁的商业行为进行调查时，我方有配合提供证据、作证的义务。</w:t>
      </w:r>
      <w:r>
        <w:rPr>
          <w:rFonts w:hint="eastAsia" w:ascii="宋体" w:hAnsi="宋体" w:cs="宋体"/>
          <w:b w:val="0"/>
          <w:sz w:val="24"/>
          <w:szCs w:val="24"/>
        </w:rPr>
        <w:br w:type="textWrapping"/>
      </w:r>
      <w:r>
        <w:rPr>
          <w:rFonts w:hint="eastAsia" w:ascii="宋体" w:hAnsi="宋体" w:cs="宋体"/>
          <w:b w:val="0"/>
          <w:sz w:val="24"/>
          <w:szCs w:val="24"/>
        </w:rPr>
        <w:t>十、未经贵方同意，我方不向任何新闻媒体、第三人述及有关贵方工作人员恪守商业道德方面的评价、信息。</w:t>
      </w:r>
      <w:r>
        <w:rPr>
          <w:rFonts w:hint="eastAsia" w:ascii="宋体" w:hAnsi="宋体" w:cs="宋体"/>
          <w:b w:val="0"/>
          <w:sz w:val="24"/>
          <w:szCs w:val="24"/>
        </w:rPr>
        <w:br w:type="textWrapping"/>
      </w: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rPr>
        <w:br w:type="textWrapping"/>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20"/>
      </w:pPr>
    </w:p>
    <w:p>
      <w:pPr>
        <w:pStyle w:val="20"/>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Segoe Print"/>
    <w:panose1 w:val="00000000000000000000"/>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4</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21</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highlight w:val="none"/>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jUwNGQ2MGQwNzY1MDhiNzFiNzhlMWQ4ZDU1YW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0EA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561A"/>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2E98"/>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033E"/>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3EF7"/>
    <w:rsid w:val="00BF458F"/>
    <w:rsid w:val="00BF603F"/>
    <w:rsid w:val="00BF65A9"/>
    <w:rsid w:val="00BF7E88"/>
    <w:rsid w:val="00C00802"/>
    <w:rsid w:val="00C017D5"/>
    <w:rsid w:val="00C0383B"/>
    <w:rsid w:val="00C049E7"/>
    <w:rsid w:val="00C07216"/>
    <w:rsid w:val="00C07F31"/>
    <w:rsid w:val="00C116A5"/>
    <w:rsid w:val="00C14338"/>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572E9"/>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68E2"/>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C3"/>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5B66"/>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49D3"/>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1215DC2"/>
    <w:rsid w:val="02276F88"/>
    <w:rsid w:val="02954528"/>
    <w:rsid w:val="030C630A"/>
    <w:rsid w:val="031C6E32"/>
    <w:rsid w:val="0348259E"/>
    <w:rsid w:val="03C26651"/>
    <w:rsid w:val="04377DA6"/>
    <w:rsid w:val="044955CA"/>
    <w:rsid w:val="04A071A7"/>
    <w:rsid w:val="053A64A9"/>
    <w:rsid w:val="055977EB"/>
    <w:rsid w:val="061C36BA"/>
    <w:rsid w:val="06302517"/>
    <w:rsid w:val="07026064"/>
    <w:rsid w:val="08A8480D"/>
    <w:rsid w:val="09352049"/>
    <w:rsid w:val="0A912D3C"/>
    <w:rsid w:val="0AAE3EA6"/>
    <w:rsid w:val="0B440B42"/>
    <w:rsid w:val="0BF508B4"/>
    <w:rsid w:val="0C215F5C"/>
    <w:rsid w:val="0C297F82"/>
    <w:rsid w:val="0C540FAF"/>
    <w:rsid w:val="0C5B52AD"/>
    <w:rsid w:val="0CBF3D62"/>
    <w:rsid w:val="0D802B51"/>
    <w:rsid w:val="0E1B5BD9"/>
    <w:rsid w:val="0EB30D0D"/>
    <w:rsid w:val="0F604FE4"/>
    <w:rsid w:val="0F77472F"/>
    <w:rsid w:val="0FA03417"/>
    <w:rsid w:val="0FFE2944"/>
    <w:rsid w:val="10F27FB9"/>
    <w:rsid w:val="11026497"/>
    <w:rsid w:val="115D0FA0"/>
    <w:rsid w:val="119C2B16"/>
    <w:rsid w:val="130D5D28"/>
    <w:rsid w:val="13D27127"/>
    <w:rsid w:val="13D60078"/>
    <w:rsid w:val="145A4263"/>
    <w:rsid w:val="1477734B"/>
    <w:rsid w:val="14AE38DE"/>
    <w:rsid w:val="15542020"/>
    <w:rsid w:val="15BC2418"/>
    <w:rsid w:val="15E06B4D"/>
    <w:rsid w:val="16730056"/>
    <w:rsid w:val="168606BF"/>
    <w:rsid w:val="169964AB"/>
    <w:rsid w:val="17AB443C"/>
    <w:rsid w:val="17D71BD3"/>
    <w:rsid w:val="182353BA"/>
    <w:rsid w:val="184F2E7A"/>
    <w:rsid w:val="18E42747"/>
    <w:rsid w:val="1925379B"/>
    <w:rsid w:val="19AF44FD"/>
    <w:rsid w:val="1A63698E"/>
    <w:rsid w:val="1AA90C35"/>
    <w:rsid w:val="1B635DC8"/>
    <w:rsid w:val="1B972AF7"/>
    <w:rsid w:val="1BA3188A"/>
    <w:rsid w:val="1BA33196"/>
    <w:rsid w:val="1C6A6063"/>
    <w:rsid w:val="1C844F99"/>
    <w:rsid w:val="1CD8267C"/>
    <w:rsid w:val="1D4F01B5"/>
    <w:rsid w:val="1D944498"/>
    <w:rsid w:val="1D9D040F"/>
    <w:rsid w:val="1E165F1B"/>
    <w:rsid w:val="1F360E25"/>
    <w:rsid w:val="21232666"/>
    <w:rsid w:val="21505AF6"/>
    <w:rsid w:val="216F6A75"/>
    <w:rsid w:val="229A4182"/>
    <w:rsid w:val="235F7AA7"/>
    <w:rsid w:val="25232124"/>
    <w:rsid w:val="25653DDF"/>
    <w:rsid w:val="25B05295"/>
    <w:rsid w:val="261C180E"/>
    <w:rsid w:val="261F54D2"/>
    <w:rsid w:val="273109BD"/>
    <w:rsid w:val="27341C73"/>
    <w:rsid w:val="27F02089"/>
    <w:rsid w:val="27FB0A82"/>
    <w:rsid w:val="280E7427"/>
    <w:rsid w:val="2878694B"/>
    <w:rsid w:val="288202F1"/>
    <w:rsid w:val="28835C82"/>
    <w:rsid w:val="2885643D"/>
    <w:rsid w:val="28FA631A"/>
    <w:rsid w:val="29F1156B"/>
    <w:rsid w:val="2A9767DF"/>
    <w:rsid w:val="2AC06F9C"/>
    <w:rsid w:val="2B01007D"/>
    <w:rsid w:val="2B4B4303"/>
    <w:rsid w:val="2B4E71D1"/>
    <w:rsid w:val="2BB12A90"/>
    <w:rsid w:val="2BD7373B"/>
    <w:rsid w:val="2C3D26A8"/>
    <w:rsid w:val="2C6852C0"/>
    <w:rsid w:val="2D1F5A8A"/>
    <w:rsid w:val="2D59068D"/>
    <w:rsid w:val="2D5D2A09"/>
    <w:rsid w:val="2D7057C7"/>
    <w:rsid w:val="2EB51C5E"/>
    <w:rsid w:val="2EEF2071"/>
    <w:rsid w:val="2FF56584"/>
    <w:rsid w:val="2FF74F52"/>
    <w:rsid w:val="310D64A5"/>
    <w:rsid w:val="311E5CBB"/>
    <w:rsid w:val="313C2459"/>
    <w:rsid w:val="31866232"/>
    <w:rsid w:val="321260A3"/>
    <w:rsid w:val="327F64D7"/>
    <w:rsid w:val="3283369C"/>
    <w:rsid w:val="32890F14"/>
    <w:rsid w:val="32D26775"/>
    <w:rsid w:val="32DA196B"/>
    <w:rsid w:val="334C6D3F"/>
    <w:rsid w:val="33573CB3"/>
    <w:rsid w:val="33843E73"/>
    <w:rsid w:val="34126E2C"/>
    <w:rsid w:val="34D26C39"/>
    <w:rsid w:val="35731F31"/>
    <w:rsid w:val="35D84E48"/>
    <w:rsid w:val="36BA11E5"/>
    <w:rsid w:val="36D735B3"/>
    <w:rsid w:val="39101B67"/>
    <w:rsid w:val="393744E7"/>
    <w:rsid w:val="393B2471"/>
    <w:rsid w:val="39B5256A"/>
    <w:rsid w:val="39E552F4"/>
    <w:rsid w:val="39F04960"/>
    <w:rsid w:val="3A0F496A"/>
    <w:rsid w:val="3A4074C6"/>
    <w:rsid w:val="3A873BF5"/>
    <w:rsid w:val="3B303FAA"/>
    <w:rsid w:val="3B33738C"/>
    <w:rsid w:val="3BC04130"/>
    <w:rsid w:val="3C5D21E6"/>
    <w:rsid w:val="3CB31CAD"/>
    <w:rsid w:val="3CEC6D03"/>
    <w:rsid w:val="3D206487"/>
    <w:rsid w:val="3D86149A"/>
    <w:rsid w:val="3DC04D35"/>
    <w:rsid w:val="3DFA2056"/>
    <w:rsid w:val="3E4E000C"/>
    <w:rsid w:val="3EAF3106"/>
    <w:rsid w:val="3F6B02A7"/>
    <w:rsid w:val="3FB47B86"/>
    <w:rsid w:val="3FFE67F3"/>
    <w:rsid w:val="40072003"/>
    <w:rsid w:val="40617FCF"/>
    <w:rsid w:val="40E26CD8"/>
    <w:rsid w:val="40E7344F"/>
    <w:rsid w:val="412F1C06"/>
    <w:rsid w:val="42744B04"/>
    <w:rsid w:val="42BA317D"/>
    <w:rsid w:val="431421AB"/>
    <w:rsid w:val="431649C3"/>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996376B"/>
    <w:rsid w:val="4A1319D9"/>
    <w:rsid w:val="4A8E046C"/>
    <w:rsid w:val="4ACA1D10"/>
    <w:rsid w:val="4B156787"/>
    <w:rsid w:val="4B1640CA"/>
    <w:rsid w:val="4B313154"/>
    <w:rsid w:val="4B7474DA"/>
    <w:rsid w:val="4C067859"/>
    <w:rsid w:val="4C141A63"/>
    <w:rsid w:val="4C5D37E9"/>
    <w:rsid w:val="4C9A24C2"/>
    <w:rsid w:val="4CBB5258"/>
    <w:rsid w:val="4CE6339D"/>
    <w:rsid w:val="4D0132D1"/>
    <w:rsid w:val="4D3A2111"/>
    <w:rsid w:val="4D5137F6"/>
    <w:rsid w:val="4DC76630"/>
    <w:rsid w:val="4E907ECE"/>
    <w:rsid w:val="4EEE3A0D"/>
    <w:rsid w:val="4EF331A7"/>
    <w:rsid w:val="4EF96179"/>
    <w:rsid w:val="4F352D5C"/>
    <w:rsid w:val="4F9D1299"/>
    <w:rsid w:val="4FBC34B4"/>
    <w:rsid w:val="4FED650B"/>
    <w:rsid w:val="501830EF"/>
    <w:rsid w:val="50210691"/>
    <w:rsid w:val="50331DAC"/>
    <w:rsid w:val="503838B2"/>
    <w:rsid w:val="505F601F"/>
    <w:rsid w:val="511B3417"/>
    <w:rsid w:val="511D2CEB"/>
    <w:rsid w:val="51AC651C"/>
    <w:rsid w:val="51AF2D69"/>
    <w:rsid w:val="521D425C"/>
    <w:rsid w:val="522A0567"/>
    <w:rsid w:val="529C7A2E"/>
    <w:rsid w:val="52FA264F"/>
    <w:rsid w:val="53315089"/>
    <w:rsid w:val="542B3EFB"/>
    <w:rsid w:val="546B0A00"/>
    <w:rsid w:val="54954804"/>
    <w:rsid w:val="549660CB"/>
    <w:rsid w:val="54BB0498"/>
    <w:rsid w:val="54EA3C55"/>
    <w:rsid w:val="55630A4E"/>
    <w:rsid w:val="557737BB"/>
    <w:rsid w:val="558E737F"/>
    <w:rsid w:val="562C37FD"/>
    <w:rsid w:val="56366F6D"/>
    <w:rsid w:val="565C396B"/>
    <w:rsid w:val="57A1211A"/>
    <w:rsid w:val="59111EFF"/>
    <w:rsid w:val="593A31DD"/>
    <w:rsid w:val="593C1BF8"/>
    <w:rsid w:val="598C00C2"/>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0FD7D87"/>
    <w:rsid w:val="62D93E68"/>
    <w:rsid w:val="62FF5D54"/>
    <w:rsid w:val="63710868"/>
    <w:rsid w:val="639765FA"/>
    <w:rsid w:val="63AC2F92"/>
    <w:rsid w:val="644D0C37"/>
    <w:rsid w:val="645C2030"/>
    <w:rsid w:val="64C50123"/>
    <w:rsid w:val="651B3082"/>
    <w:rsid w:val="65244228"/>
    <w:rsid w:val="65843D37"/>
    <w:rsid w:val="65F85CC4"/>
    <w:rsid w:val="667A39E2"/>
    <w:rsid w:val="67431B96"/>
    <w:rsid w:val="67C972BA"/>
    <w:rsid w:val="68767A8D"/>
    <w:rsid w:val="68F4010F"/>
    <w:rsid w:val="692E0A4B"/>
    <w:rsid w:val="69B5367B"/>
    <w:rsid w:val="69CE664B"/>
    <w:rsid w:val="6A4D6295"/>
    <w:rsid w:val="6AA36C78"/>
    <w:rsid w:val="6ADD1BAA"/>
    <w:rsid w:val="6AEC25EF"/>
    <w:rsid w:val="6B4C26F3"/>
    <w:rsid w:val="6BB76C72"/>
    <w:rsid w:val="6C195ECD"/>
    <w:rsid w:val="6C2D3162"/>
    <w:rsid w:val="6D7B120B"/>
    <w:rsid w:val="6DEA3D34"/>
    <w:rsid w:val="6E041063"/>
    <w:rsid w:val="6F3921DE"/>
    <w:rsid w:val="6F78727E"/>
    <w:rsid w:val="6F873050"/>
    <w:rsid w:val="6FAA5C3A"/>
    <w:rsid w:val="6FD10D4C"/>
    <w:rsid w:val="7003702D"/>
    <w:rsid w:val="700A103B"/>
    <w:rsid w:val="70572E9C"/>
    <w:rsid w:val="70CF0092"/>
    <w:rsid w:val="719F5306"/>
    <w:rsid w:val="71A93E62"/>
    <w:rsid w:val="720F0EDE"/>
    <w:rsid w:val="72201C09"/>
    <w:rsid w:val="722F1637"/>
    <w:rsid w:val="72A92AFC"/>
    <w:rsid w:val="72AA5F3A"/>
    <w:rsid w:val="72B10F39"/>
    <w:rsid w:val="73137F9A"/>
    <w:rsid w:val="73BD08B4"/>
    <w:rsid w:val="74826C48"/>
    <w:rsid w:val="74F710CB"/>
    <w:rsid w:val="750E0A19"/>
    <w:rsid w:val="757C1CC4"/>
    <w:rsid w:val="75B51DBC"/>
    <w:rsid w:val="76ED6DFD"/>
    <w:rsid w:val="773C0385"/>
    <w:rsid w:val="78100551"/>
    <w:rsid w:val="785A6F73"/>
    <w:rsid w:val="78877AD1"/>
    <w:rsid w:val="793F533F"/>
    <w:rsid w:val="7A380A89"/>
    <w:rsid w:val="7ABE1DA4"/>
    <w:rsid w:val="7AC86BCE"/>
    <w:rsid w:val="7B2C12FD"/>
    <w:rsid w:val="7B416699"/>
    <w:rsid w:val="7B513BA3"/>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uiPriority w:val="1"/>
  </w:style>
  <w:style w:type="table" w:default="1" w:styleId="46">
    <w:name w:val="Normal Table"/>
    <w:semiHidden/>
    <w:unhideWhenUsed/>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2"/>
    <w:qFormat/>
    <w:uiPriority w:val="99"/>
    <w:pPr>
      <w:spacing w:after="120"/>
    </w:pPr>
    <w:rPr>
      <w:sz w:val="16"/>
      <w:szCs w:val="16"/>
    </w:rPr>
  </w:style>
  <w:style w:type="paragraph" w:styleId="20">
    <w:name w:val="Body Text"/>
    <w:basedOn w:val="1"/>
    <w:next w:val="21"/>
    <w:link w:val="66"/>
    <w:qFormat/>
    <w:uiPriority w:val="99"/>
    <w:pPr>
      <w:spacing w:after="120"/>
    </w:pPr>
    <w:rPr>
      <w:b w:val="0"/>
      <w:bCs w:val="0"/>
      <w:sz w:val="21"/>
      <w:szCs w:val="21"/>
    </w:rPr>
  </w:style>
  <w:style w:type="paragraph" w:styleId="21">
    <w:name w:val="Body Text Indent"/>
    <w:basedOn w:val="1"/>
    <w:link w:val="73"/>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4"/>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7"/>
    <w:semiHidden/>
    <w:qFormat/>
    <w:uiPriority w:val="99"/>
    <w:pPr>
      <w:adjustRightInd/>
      <w:spacing w:line="240" w:lineRule="auto"/>
      <w:textAlignment w:val="auto"/>
    </w:pPr>
    <w:rPr>
      <w:b/>
      <w:bCs/>
      <w:kern w:val="2"/>
      <w:sz w:val="21"/>
      <w:szCs w:val="21"/>
    </w:rPr>
  </w:style>
  <w:style w:type="paragraph" w:styleId="44">
    <w:name w:val="Body Text First Indent"/>
    <w:basedOn w:val="20"/>
    <w:link w:val="69"/>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正式文本"/>
    <w:basedOn w:val="1"/>
    <w:qFormat/>
    <w:uiPriority w:val="0"/>
    <w:pPr>
      <w:spacing w:line="540" w:lineRule="exact"/>
    </w:pPr>
    <w:rPr>
      <w:rFonts w:ascii="宋体" w:hAnsi="Arial Narrow"/>
      <w:sz w:val="28"/>
      <w:szCs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20"/>
    <w:qFormat/>
    <w:locked/>
    <w:uiPriority w:val="99"/>
    <w:rPr>
      <w:rFonts w:cs="Times New Roman"/>
      <w:kern w:val="2"/>
      <w:sz w:val="21"/>
      <w:szCs w:val="21"/>
    </w:rPr>
  </w:style>
  <w:style w:type="character" w:customStyle="1" w:styleId="67">
    <w:name w:val="批注文字 Char"/>
    <w:basedOn w:val="49"/>
    <w:link w:val="18"/>
    <w:qFormat/>
    <w:locked/>
    <w:uiPriority w:val="99"/>
    <w:rPr>
      <w:rFonts w:eastAsia="宋体" w:cs="Times New Roman"/>
      <w:sz w:val="24"/>
      <w:szCs w:val="24"/>
      <w:lang w:val="en-US" w:eastAsia="zh-CN"/>
    </w:rPr>
  </w:style>
  <w:style w:type="character" w:customStyle="1" w:styleId="68">
    <w:name w:val="Comment Subject Char"/>
    <w:basedOn w:val="67"/>
    <w:semiHidden/>
    <w:qFormat/>
    <w:locked/>
    <w:uiPriority w:val="99"/>
    <w:rPr>
      <w:rFonts w:eastAsia="宋体" w:cs="Times New Roman"/>
      <w:b/>
      <w:bCs/>
      <w:sz w:val="30"/>
      <w:szCs w:val="30"/>
      <w:lang w:val="en-US" w:eastAsia="zh-CN"/>
    </w:rPr>
  </w:style>
  <w:style w:type="character" w:customStyle="1" w:styleId="69">
    <w:name w:val="正文首行缩进 Char"/>
    <w:basedOn w:val="70"/>
    <w:link w:val="44"/>
    <w:qFormat/>
    <w:locked/>
    <w:uiPriority w:val="99"/>
    <w:rPr>
      <w:rFonts w:eastAsia="宋体" w:cs="Times New Roman"/>
      <w:kern w:val="2"/>
      <w:sz w:val="21"/>
      <w:szCs w:val="21"/>
      <w:lang w:val="en-US" w:eastAsia="zh-CN"/>
    </w:rPr>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9"/>
    <w:semiHidden/>
    <w:qFormat/>
    <w:locked/>
    <w:uiPriority w:val="99"/>
    <w:rPr>
      <w:rFonts w:cs="Times New Roman"/>
      <w:b/>
      <w:bCs/>
      <w:sz w:val="16"/>
      <w:szCs w:val="16"/>
    </w:rPr>
  </w:style>
  <w:style w:type="character" w:customStyle="1" w:styleId="73">
    <w:name w:val="正文文本缩进 Char"/>
    <w:basedOn w:val="49"/>
    <w:link w:val="21"/>
    <w:semiHidden/>
    <w:qFormat/>
    <w:locked/>
    <w:uiPriority w:val="99"/>
    <w:rPr>
      <w:rFonts w:cs="Times New Roman"/>
      <w:b/>
      <w:bCs/>
      <w:sz w:val="30"/>
      <w:szCs w:val="30"/>
    </w:rPr>
  </w:style>
  <w:style w:type="character" w:customStyle="1" w:styleId="74">
    <w:name w:val="纯文本 Char"/>
    <w:basedOn w:val="49"/>
    <w:link w:val="25"/>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rFonts w:eastAsia="宋体" w:cs="Times New Roman"/>
      <w:b/>
      <w:bCs/>
      <w:kern w:val="2"/>
      <w:sz w:val="21"/>
      <w:szCs w:val="21"/>
      <w:lang w:val="en-US" w:eastAsia="zh-CN"/>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rFonts w:eastAsia="宋体" w:cs="Times New Roman"/>
      <w:b/>
      <w:bCs/>
      <w:kern w:val="2"/>
      <w:sz w:val="30"/>
      <w:szCs w:val="30"/>
      <w:lang w:val="en-US" w:eastAsia="zh-CN"/>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rFonts w:eastAsia="黑体" w:cs="Times New Roman"/>
      <w:b/>
      <w:bCs/>
      <w:kern w:val="44"/>
      <w:sz w:val="28"/>
      <w:szCs w:val="28"/>
      <w:lang w:val="en-US" w:eastAsia="zh-CN"/>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rPr>
      <w:rFonts w:eastAsia="黑体" w:cs="Times New Roman"/>
      <w:kern w:val="44"/>
      <w:sz w:val="28"/>
      <w:szCs w:val="28"/>
      <w:lang w:val="en-US" w:eastAsia="zh-CN"/>
    </w:rPr>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AFEDF9-969D-4CBD-AC33-83EC1F1E1556}">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1</Pages>
  <Words>1060</Words>
  <Characters>6048</Characters>
  <Lines>50</Lines>
  <Paragraphs>14</Paragraphs>
  <TotalTime>0</TotalTime>
  <ScaleCrop>false</ScaleCrop>
  <LinksUpToDate>false</LinksUpToDate>
  <CharactersWithSpaces>7094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2024-05-22T06:17:10Z</dcterms:modified>
  <dc:title>中煤招标</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66B5A5DFF5E948F9B3869658B579F5FF_13</vt:lpwstr>
  </property>
</Properties>
</file>