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jc w:val="center"/>
        <w:rPr>
          <w:rFonts w:hint="eastAsia" w:ascii="宋体" w:hAnsi="宋体"/>
          <w:b/>
          <w:sz w:val="44"/>
          <w:szCs w:val="44"/>
        </w:rPr>
      </w:pPr>
      <w:r>
        <w:rPr>
          <w:rFonts w:hint="eastAsia" w:ascii="宋体" w:hAnsi="宋体"/>
          <w:b/>
          <w:sz w:val="44"/>
          <w:szCs w:val="44"/>
        </w:rPr>
        <w:t>技 术 附 件</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rPr>
        <w:t>一、工程内容</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现有旧车库10间、地面起皮翻砂，重做地面硬化约500㎡（采用自流平固化材料进行修复）：10间车库照明电路改造线路160m（主线采用4平方全铜电线、铺线采用2.5平方全铜电线）：内外墙体修复起皮开裂处、粉刷防水涂料两次约2100㎡。</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二、工程说明</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3、验收标准：以国家颁发的最新施工验收规范和质量标准为依据，并严格按中煤平朔集团有限公司和中煤能源集团公司的相关验收制度及行业其它相关规定执行。</w:t>
      </w:r>
    </w:p>
    <w:p>
      <w:pPr>
        <w:pStyle w:val="2"/>
        <w:pageBreakBefore w:val="0"/>
        <w:kinsoku/>
        <w:wordWrap/>
        <w:overflowPunct/>
        <w:topLinePunct w:val="0"/>
        <w:autoSpaceDE/>
        <w:autoSpaceDN/>
        <w:bidi w:val="0"/>
        <w:adjustRightInd/>
        <w:snapToGrid/>
        <w:spacing w:line="400" w:lineRule="atLeast"/>
        <w:textAlignment w:val="auto"/>
        <w:rPr>
          <w:rFonts w:hint="eastAsia" w:eastAsia="宋体"/>
          <w:lang w:val="en-US" w:eastAsia="zh-CN"/>
        </w:rPr>
      </w:pPr>
      <w:r>
        <w:rPr>
          <w:rFonts w:hint="eastAsia" w:ascii="宋体" w:hAnsi="宋体" w:eastAsia="宋体" w:cs="宋体"/>
          <w:sz w:val="24"/>
          <w:szCs w:val="24"/>
          <w:lang w:val="en-US" w:eastAsia="zh-CN"/>
        </w:rPr>
        <w:t>4、工程最终合同价为不超报价基础上以建筑公司分包结算核准价为准。</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三、其他注意事项</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3、乙方材料购置时提前与甲方沟通确认，材料质量必须满足使用要求。</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4、</w:t>
      </w:r>
      <w:r>
        <w:rPr>
          <w:rFonts w:hint="eastAsia" w:ascii="宋体" w:hAnsi="宋体" w:eastAsia="宋体" w:cs="宋体"/>
          <w:sz w:val="24"/>
          <w:szCs w:val="24"/>
          <w:lang w:val="en-US" w:eastAsia="zh-CN"/>
        </w:rPr>
        <w:t>工程最终合同价为不超报价基础上以建筑公司分包结算核准价为准。</w:t>
      </w:r>
    </w:p>
    <w:p>
      <w:pPr>
        <w:keepNext w:val="0"/>
        <w:keepLines w:val="0"/>
        <w:pageBreakBefore w:val="0"/>
        <w:widowControl w:val="0"/>
        <w:tabs>
          <w:tab w:val="left" w:pos="7643"/>
        </w:tabs>
        <w:kinsoku/>
        <w:wordWrap/>
        <w:overflowPunct/>
        <w:topLinePunct w:val="0"/>
        <w:autoSpaceDE/>
        <w:autoSpaceDN/>
        <w:bidi w:val="0"/>
        <w:adjustRightInd/>
        <w:snapToGrid/>
        <w:spacing w:line="400" w:lineRule="atLeast"/>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四</w:t>
      </w:r>
      <w:r>
        <w:rPr>
          <w:rFonts w:hint="eastAsia" w:ascii="宋体" w:hAnsi="宋体" w:eastAsia="宋体" w:cs="宋体"/>
          <w:b/>
          <w:sz w:val="24"/>
          <w:szCs w:val="24"/>
        </w:rPr>
        <w:t>、通用技术说明</w:t>
      </w:r>
      <w:r>
        <w:rPr>
          <w:rFonts w:hint="eastAsia" w:ascii="宋体" w:hAnsi="宋体" w:eastAsia="宋体" w:cs="宋体"/>
          <w:b/>
          <w:sz w:val="24"/>
          <w:szCs w:val="24"/>
          <w:lang w:eastAsia="zh-CN"/>
        </w:rPr>
        <w:tab/>
      </w:r>
    </w:p>
    <w:p>
      <w:pPr>
        <w:keepNext w:val="0"/>
        <w:keepLines w:val="0"/>
        <w:pageBreakBefore w:val="0"/>
        <w:widowControl w:val="0"/>
        <w:tabs>
          <w:tab w:val="left" w:pos="7630"/>
        </w:tabs>
        <w:kinsoku/>
        <w:wordWrap/>
        <w:overflowPunct/>
        <w:topLinePunct w:val="0"/>
        <w:autoSpaceDE/>
        <w:autoSpaceDN/>
        <w:bidi w:val="0"/>
        <w:adjustRightInd/>
        <w:snapToGrid/>
        <w:spacing w:line="400" w:lineRule="atLeast"/>
        <w:ind w:firstLine="360" w:firstLineChars="150"/>
        <w:textAlignment w:val="auto"/>
        <w:rPr>
          <w:rFonts w:hint="eastAsia" w:ascii="宋体" w:hAnsi="宋体" w:eastAsia="宋体" w:cs="宋体"/>
          <w:sz w:val="24"/>
          <w:szCs w:val="24"/>
          <w:lang w:eastAsia="zh-CN"/>
        </w:rPr>
      </w:pPr>
      <w:r>
        <w:rPr>
          <w:rFonts w:hint="eastAsia" w:ascii="宋体" w:hAnsi="宋体" w:eastAsia="宋体" w:cs="宋体"/>
          <w:sz w:val="24"/>
          <w:szCs w:val="24"/>
        </w:rPr>
        <w:t>1、严格执行“平朔在建工程项目考核实施细则”。</w:t>
      </w:r>
      <w:r>
        <w:rPr>
          <w:rFonts w:hint="eastAsia" w:ascii="宋体" w:hAnsi="宋体" w:eastAsia="宋体" w:cs="宋体"/>
          <w:sz w:val="24"/>
          <w:szCs w:val="24"/>
          <w:lang w:eastAsia="zh-CN"/>
        </w:rPr>
        <w:tab/>
      </w:r>
    </w:p>
    <w:p>
      <w:pPr>
        <w:keepNext w:val="0"/>
        <w:keepLines w:val="0"/>
        <w:pageBreakBefore w:val="0"/>
        <w:widowControl w:val="0"/>
        <w:kinsoku/>
        <w:wordWrap/>
        <w:overflowPunct/>
        <w:topLinePunct w:val="0"/>
        <w:autoSpaceDE/>
        <w:autoSpaceDN/>
        <w:bidi w:val="0"/>
        <w:adjustRightInd/>
        <w:snapToGrid/>
        <w:spacing w:line="400" w:lineRule="atLeas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400" w:lineRule="atLeas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400" w:lineRule="atLeas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400" w:lineRule="atLeas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400" w:lineRule="atLeas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五、甲供设备及材料明细</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无。</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六、施工工期及质保</w:t>
      </w:r>
      <w:r>
        <w:rPr>
          <w:rFonts w:hint="eastAsia" w:ascii="宋体" w:hAnsi="宋体" w:eastAsia="宋体" w:cs="宋体"/>
          <w:sz w:val="24"/>
          <w:szCs w:val="24"/>
          <w:lang w:val="en-US" w:eastAsia="zh-CN"/>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default"/>
          <w:lang w:val="en-US" w:eastAsia="zh-CN"/>
        </w:rPr>
      </w:pPr>
      <w:r>
        <w:rPr>
          <w:rFonts w:hint="eastAsia" w:ascii="宋体" w:hAnsi="宋体" w:eastAsia="宋体" w:cs="宋体"/>
          <w:sz w:val="24"/>
          <w:szCs w:val="24"/>
          <w:lang w:val="en-US" w:eastAsia="zh-CN"/>
        </w:rPr>
        <w:t xml:space="preserve">  施工工期：30天。质保1年。</w:t>
      </w:r>
    </w:p>
    <w:p>
      <w:pPr>
        <w:pageBreakBefore w:val="0"/>
        <w:kinsoku/>
        <w:wordWrap/>
        <w:overflowPunct/>
        <w:topLinePunct w:val="0"/>
        <w:autoSpaceDE/>
        <w:autoSpaceDN/>
        <w:bidi w:val="0"/>
        <w:adjustRightInd/>
        <w:snapToGrid/>
        <w:spacing w:line="400" w:lineRule="atLeas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DejaVu Serif">
    <w:altName w:val="Cambria"/>
    <w:panose1 w:val="00000000000000000000"/>
    <w:charset w:val="00"/>
    <w:family w:val="modern"/>
    <w:pitch w:val="default"/>
    <w:sig w:usb0="00000000" w:usb1="00000000" w:usb2="00000000" w:usb3="00000000" w:csb0="00040001" w:csb1="00000000"/>
  </w:font>
  <w:font w:name="DejaVu Sans">
    <w:altName w:val="Verdana"/>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NTdkZDZlYmY5YTYyNjg3MmJmMzk1ZDZkZTY2MzEifQ=="/>
  </w:docVars>
  <w:rsids>
    <w:rsidRoot w:val="2584053B"/>
    <w:rsid w:val="25840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spacing w:line="560" w:lineRule="exact"/>
      <w:ind w:firstLine="720" w:firstLineChars="200"/>
      <w:jc w:val="left"/>
      <w:outlineLvl w:val="0"/>
    </w:pPr>
    <w:rPr>
      <w:rFonts w:ascii="Cambria" w:hAnsi="Cambria" w:eastAsia="黑体"/>
      <w:bCs/>
      <w:kern w:val="0"/>
      <w:sz w:val="30"/>
      <w:szCs w:val="28"/>
      <w:lang w:eastAsia="en-US" w:bidi="en-US"/>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5">
    <w:name w:val="正式文本"/>
    <w:basedOn w:val="6"/>
    <w:autoRedefine/>
    <w:qFormat/>
    <w:uiPriority w:val="0"/>
    <w:pPr>
      <w:spacing w:line="540" w:lineRule="exact"/>
      <w:ind w:firstLine="200" w:firstLineChars="200"/>
    </w:pPr>
    <w:rPr>
      <w:rFonts w:ascii="宋体"/>
      <w:szCs w:val="20"/>
    </w:rPr>
  </w:style>
  <w:style w:type="paragraph" w:customStyle="1" w:styleId="6">
    <w:name w:val="Standard"/>
    <w:autoRedefine/>
    <w:qFormat/>
    <w:uiPriority w:val="0"/>
    <w:pPr>
      <w:suppressAutoHyphens/>
      <w:autoSpaceDN w:val="0"/>
      <w:textAlignment w:val="baseline"/>
    </w:pPr>
    <w:rPr>
      <w:rFonts w:ascii="DejaVu Serif" w:hAnsi="DejaVu Serif" w:eastAsia="宋体" w:cs="DejaVu Sans"/>
      <w:kern w:val="3"/>
      <w:sz w:val="24"/>
      <w:szCs w:val="24"/>
      <w:lang w:val="en-US" w:eastAsia="zh-CN" w:bidi="hi-I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2024-03-29T02:19:00Z</dcterms:created>
  <dc:creator>韩鹏</dc:creator>
  <cp:lastModifiedBy>韩鹏</cp:lastModifiedBy>
  <dcterms:modified xsi:type="dcterms:W3CDTF">2024-03-29T02:21:25Z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0069355EB9B9422CB071BE087F3A4C27_11</vt:lpwstr>
  </property>
</Properties>
</file>