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ind w:firstLine="880"/>
        <w:jc w:val="left"/>
        <w:rPr>
          <w:rFonts w:cs="Arial"/>
          <w:bCs/>
          <w:sz w:val="28"/>
          <w:szCs w:val="28"/>
          <w:highlight w:val="none"/>
        </w:rPr>
      </w:pPr>
    </w:p>
    <w:p>
      <w:pPr>
        <w:spacing w:line="760" w:lineRule="exact"/>
        <w:ind w:firstLine="880"/>
        <w:rPr>
          <w:color w:val="000000"/>
          <w:sz w:val="44"/>
          <w:highlight w:val="none"/>
        </w:rPr>
      </w:pPr>
    </w:p>
    <w:p>
      <w:pPr>
        <w:spacing w:line="400" w:lineRule="exact"/>
        <w:ind w:firstLine="480"/>
        <w:jc w:val="center"/>
        <w:rPr>
          <w:color w:val="000000"/>
          <w:highlight w:val="none"/>
        </w:rPr>
      </w:pPr>
    </w:p>
    <w:p>
      <w:pPr>
        <w:adjustRightInd/>
        <w:snapToGrid/>
        <w:spacing w:line="240" w:lineRule="auto"/>
        <w:ind w:firstLine="0" w:firstLineChars="0"/>
        <w:jc w:val="center"/>
        <w:rPr>
          <w:rFonts w:eastAsia="黑体"/>
          <w:sz w:val="56"/>
          <w:szCs w:val="22"/>
          <w:highlight w:val="none"/>
        </w:rPr>
      </w:pPr>
      <w:r>
        <w:rPr>
          <w:rFonts w:hint="eastAsia" w:eastAsia="黑体"/>
          <w:sz w:val="56"/>
          <w:szCs w:val="22"/>
          <w:highlight w:val="none"/>
        </w:rPr>
        <w:t>中国煤炭开发有限责任公司</w:t>
      </w:r>
    </w:p>
    <w:p>
      <w:pPr>
        <w:adjustRightInd/>
        <w:snapToGrid/>
        <w:spacing w:line="240" w:lineRule="auto"/>
        <w:ind w:firstLine="0" w:firstLineChars="0"/>
        <w:jc w:val="center"/>
        <w:rPr>
          <w:rFonts w:eastAsia="黑体"/>
          <w:sz w:val="56"/>
          <w:szCs w:val="22"/>
          <w:highlight w:val="none"/>
        </w:rPr>
      </w:pPr>
      <w:r>
        <w:rPr>
          <w:rFonts w:hint="eastAsia" w:eastAsia="黑体"/>
          <w:sz w:val="56"/>
          <w:szCs w:val="22"/>
          <w:highlight w:val="none"/>
        </w:rPr>
        <w:t>竞争谈判采购询价文件</w:t>
      </w:r>
    </w:p>
    <w:p>
      <w:pPr>
        <w:spacing w:line="240" w:lineRule="auto"/>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color w:val="000000"/>
          <w:highlight w:val="none"/>
        </w:rPr>
      </w:pPr>
    </w:p>
    <w:p>
      <w:pPr>
        <w:spacing w:line="400" w:lineRule="exact"/>
        <w:ind w:firstLine="0" w:firstLineChars="0"/>
        <w:jc w:val="center"/>
        <w:rPr>
          <w:rFonts w:eastAsia="黑体"/>
          <w:color w:val="000000"/>
          <w:highlight w:val="none"/>
        </w:rPr>
      </w:pPr>
    </w:p>
    <w:p>
      <w:pPr>
        <w:pStyle w:val="8"/>
        <w:ind w:firstLine="1198" w:firstLineChars="428"/>
        <w:rPr>
          <w:rFonts w:ascii="黑体" w:hAnsi="黑体" w:eastAsia="黑体" w:cs="黑体"/>
          <w:color w:val="000000" w:themeColor="text1"/>
          <w:sz w:val="28"/>
          <w:szCs w:val="28"/>
          <w:highlight w:val="none"/>
          <w14:textFill>
            <w14:solidFill>
              <w14:schemeClr w14:val="tx1"/>
            </w14:solidFill>
          </w14:textFill>
        </w:rPr>
      </w:pPr>
      <w:bookmarkStart w:id="0" w:name="_Toc525134786"/>
      <w:r>
        <w:rPr>
          <w:rFonts w:hint="eastAsia" w:ascii="黑体" w:hAnsi="黑体" w:eastAsia="黑体" w:cs="黑体"/>
          <w:sz w:val="28"/>
          <w:szCs w:val="28"/>
          <w:highlight w:val="none"/>
        </w:rPr>
        <w:t>采 购 人：</w:t>
      </w:r>
      <w:r>
        <w:rPr>
          <w:rFonts w:hint="eastAsia" w:ascii="黑体" w:hAnsi="黑体" w:eastAsia="黑体" w:cs="黑体"/>
          <w:sz w:val="28"/>
          <w:szCs w:val="28"/>
          <w:highlight w:val="none"/>
          <w:u w:val="single"/>
        </w:rPr>
        <w:t xml:space="preserve"> </w:t>
      </w:r>
      <w:r>
        <w:rPr>
          <w:rFonts w:hint="eastAsia" w:ascii="黑体" w:hAnsi="黑体" w:eastAsia="黑体" w:cs="黑体"/>
          <w:sz w:val="28"/>
          <w:szCs w:val="28"/>
          <w:highlight w:val="none"/>
          <w:u w:val="single"/>
          <w:lang w:val="en-US" w:eastAsia="zh-CN"/>
        </w:rPr>
        <w:t xml:space="preserve">    </w:t>
      </w:r>
      <w:r>
        <w:rPr>
          <w:rFonts w:hint="eastAsia" w:ascii="黑体" w:hAnsi="黑体" w:eastAsia="黑体" w:cs="黑体"/>
          <w:color w:val="000000" w:themeColor="text1"/>
          <w:sz w:val="28"/>
          <w:szCs w:val="28"/>
          <w:highlight w:val="none"/>
          <w:u w:val="single"/>
          <w14:textFill>
            <w14:solidFill>
              <w14:schemeClr w14:val="tx1"/>
            </w14:solidFill>
          </w14:textFill>
        </w:rPr>
        <w:t xml:space="preserve">中国煤炭开发有限责任公司          </w:t>
      </w:r>
    </w:p>
    <w:p>
      <w:pPr>
        <w:pStyle w:val="8"/>
        <w:ind w:firstLine="1198" w:firstLineChars="428"/>
        <w:rPr>
          <w:rFonts w:ascii="黑体" w:hAnsi="黑体" w:eastAsia="黑体" w:cs="黑体"/>
          <w:color w:val="000000" w:themeColor="text1"/>
          <w:sz w:val="28"/>
          <w:szCs w:val="28"/>
          <w:highlight w:val="none"/>
          <w14:textFill>
            <w14:solidFill>
              <w14:schemeClr w14:val="tx1"/>
            </w14:solidFill>
          </w14:textFill>
        </w:rPr>
      </w:pPr>
    </w:p>
    <w:p>
      <w:pPr>
        <w:pStyle w:val="8"/>
        <w:ind w:firstLine="1198" w:firstLineChars="428"/>
        <w:rPr>
          <w:rFonts w:ascii="黑体" w:hAnsi="黑体" w:eastAsia="黑体" w:cs="黑体"/>
          <w:color w:val="000000" w:themeColor="text1"/>
          <w:sz w:val="28"/>
          <w:szCs w:val="28"/>
          <w:highlight w:val="none"/>
          <w14:textFill>
            <w14:solidFill>
              <w14:schemeClr w14:val="tx1"/>
            </w14:solidFill>
          </w14:textFill>
        </w:rPr>
      </w:pPr>
    </w:p>
    <w:p>
      <w:pPr>
        <w:pStyle w:val="8"/>
        <w:ind w:firstLine="1198" w:firstLineChars="428"/>
        <w:rPr>
          <w:rFonts w:ascii="黑体" w:hAnsi="黑体" w:eastAsia="黑体" w:cs="黑体"/>
          <w:sz w:val="28"/>
          <w:szCs w:val="28"/>
          <w:highlight w:val="none"/>
        </w:rPr>
      </w:pPr>
      <w:r>
        <w:rPr>
          <w:rFonts w:hint="eastAsia" w:ascii="黑体" w:hAnsi="黑体" w:eastAsia="黑体" w:cs="黑体"/>
          <w:color w:val="000000" w:themeColor="text1"/>
          <w:sz w:val="28"/>
          <w:szCs w:val="28"/>
          <w:highlight w:val="none"/>
          <w14:textFill>
            <w14:solidFill>
              <w14:schemeClr w14:val="tx1"/>
            </w14:solidFill>
          </w14:textFill>
        </w:rPr>
        <w:t>日    期：</w:t>
      </w:r>
      <w:r>
        <w:rPr>
          <w:rFonts w:hint="eastAsia" w:ascii="黑体" w:hAnsi="黑体" w:eastAsia="黑体" w:cs="黑体"/>
          <w:color w:val="000000" w:themeColor="text1"/>
          <w:sz w:val="28"/>
          <w:szCs w:val="28"/>
          <w:highlight w:val="none"/>
          <w:u w:val="single"/>
          <w14:textFill>
            <w14:solidFill>
              <w14:schemeClr w14:val="tx1"/>
            </w14:solidFill>
          </w14:textFill>
        </w:rPr>
        <w:t xml:space="preserve"> </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28"/>
          <w:szCs w:val="28"/>
          <w:highlight w:val="none"/>
          <w:u w:val="single"/>
          <w14:textFill>
            <w14:solidFill>
              <w14:schemeClr w14:val="tx1"/>
            </w14:solidFill>
          </w14:textFill>
        </w:rPr>
        <w:t>202</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4</w:t>
      </w:r>
      <w:r>
        <w:rPr>
          <w:rFonts w:hint="eastAsia" w:ascii="黑体" w:hAnsi="黑体" w:eastAsia="黑体" w:cs="黑体"/>
          <w:color w:val="000000" w:themeColor="text1"/>
          <w:sz w:val="28"/>
          <w:szCs w:val="28"/>
          <w:highlight w:val="none"/>
          <w:u w:val="single"/>
          <w14:textFill>
            <w14:solidFill>
              <w14:schemeClr w14:val="tx1"/>
            </w14:solidFill>
          </w14:textFill>
        </w:rPr>
        <w:t xml:space="preserve">年 </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5</w:t>
      </w:r>
      <w:r>
        <w:rPr>
          <w:rFonts w:hint="eastAsia" w:ascii="黑体" w:hAnsi="黑体" w:eastAsia="黑体" w:cs="黑体"/>
          <w:color w:val="000000" w:themeColor="text1"/>
          <w:sz w:val="28"/>
          <w:szCs w:val="28"/>
          <w:highlight w:val="none"/>
          <w:u w:val="single"/>
          <w14:textFill>
            <w14:solidFill>
              <w14:schemeClr w14:val="tx1"/>
            </w14:solidFill>
          </w14:textFill>
        </w:rPr>
        <w:t>月</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16</w:t>
      </w:r>
      <w:r>
        <w:rPr>
          <w:rFonts w:hint="eastAsia" w:ascii="黑体" w:hAnsi="黑体" w:eastAsia="黑体" w:cs="黑体"/>
          <w:color w:val="000000" w:themeColor="text1"/>
          <w:sz w:val="28"/>
          <w:szCs w:val="28"/>
          <w:highlight w:val="none"/>
          <w:u w:val="single"/>
          <w14:textFill>
            <w14:solidFill>
              <w14:schemeClr w14:val="tx1"/>
            </w14:solidFill>
          </w14:textFill>
        </w:rPr>
        <w:t xml:space="preserve">日 </w:t>
      </w:r>
      <w:r>
        <w:rPr>
          <w:rFonts w:hint="eastAsia" w:ascii="黑体" w:hAnsi="黑体" w:eastAsia="黑体" w:cs="黑体"/>
          <w:sz w:val="28"/>
          <w:szCs w:val="28"/>
          <w:highlight w:val="none"/>
          <w:u w:val="single"/>
        </w:rPr>
        <w:t xml:space="preserve">             </w:t>
      </w:r>
    </w:p>
    <w:p>
      <w:pPr>
        <w:pStyle w:val="8"/>
        <w:ind w:firstLine="480"/>
        <w:rPr>
          <w:rFonts w:eastAsia="黑体"/>
          <w:szCs w:val="32"/>
          <w:highlight w:val="none"/>
        </w:rPr>
      </w:pPr>
    </w:p>
    <w:p>
      <w:pPr>
        <w:ind w:firstLine="480"/>
        <w:rPr>
          <w:rFonts w:eastAsia="黑体"/>
          <w:szCs w:val="32"/>
          <w:highlight w:val="none"/>
        </w:rPr>
      </w:pPr>
    </w:p>
    <w:p>
      <w:pPr>
        <w:pStyle w:val="8"/>
        <w:ind w:firstLine="480"/>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797" w:right="1440" w:bottom="1797" w:left="1440" w:header="851" w:footer="992" w:gutter="0"/>
          <w:pgBorders>
            <w:top w:val="none" w:sz="0" w:space="0"/>
            <w:left w:val="none" w:sz="0" w:space="0"/>
            <w:bottom w:val="none" w:sz="0" w:space="0"/>
            <w:right w:val="none" w:sz="0" w:space="0"/>
          </w:pgBorders>
          <w:pgNumType w:start="0"/>
          <w:cols w:space="720" w:num="1"/>
          <w:titlePg/>
          <w:docGrid w:linePitch="326" w:charSpace="0"/>
        </w:sectPr>
      </w:pPr>
    </w:p>
    <w:p>
      <w:pPr>
        <w:pStyle w:val="3"/>
        <w:spacing w:before="120" w:after="120" w:line="360" w:lineRule="auto"/>
        <w:ind w:firstLine="0" w:firstLineChars="0"/>
        <w:jc w:val="center"/>
        <w:rPr>
          <w:rFonts w:eastAsia="黑体"/>
          <w:b w:val="0"/>
          <w:sz w:val="48"/>
          <w:highlight w:val="none"/>
        </w:rPr>
      </w:pPr>
      <w:bookmarkStart w:id="1" w:name="_Toc9040"/>
      <w:bookmarkStart w:id="2" w:name="_Toc29672"/>
      <w:bookmarkStart w:id="3" w:name="_Toc527708219"/>
      <w:bookmarkStart w:id="4" w:name="_Toc23056"/>
      <w:bookmarkStart w:id="5" w:name="_Toc527120202"/>
      <w:bookmarkStart w:id="6" w:name="_Toc527616316"/>
      <w:bookmarkStart w:id="7" w:name="_Toc16453"/>
      <w:bookmarkStart w:id="8" w:name="_Toc527531642"/>
      <w:bookmarkStart w:id="9" w:name="_Toc18976"/>
      <w:bookmarkStart w:id="10" w:name="_Toc19026"/>
      <w:bookmarkStart w:id="11" w:name="_Toc5091"/>
      <w:r>
        <w:rPr>
          <w:rFonts w:hint="eastAsia" w:eastAsia="黑体"/>
          <w:b w:val="0"/>
          <w:sz w:val="36"/>
          <w:szCs w:val="32"/>
          <w:highlight w:val="none"/>
        </w:rPr>
        <w:t>使 用 说 明</w:t>
      </w:r>
      <w:bookmarkEnd w:id="0"/>
      <w:bookmarkEnd w:id="1"/>
      <w:bookmarkEnd w:id="2"/>
      <w:bookmarkEnd w:id="3"/>
      <w:bookmarkEnd w:id="4"/>
      <w:bookmarkEnd w:id="5"/>
      <w:bookmarkEnd w:id="6"/>
      <w:bookmarkEnd w:id="7"/>
      <w:bookmarkEnd w:id="8"/>
      <w:bookmarkEnd w:id="9"/>
      <w:bookmarkEnd w:id="10"/>
      <w:bookmarkEnd w:id="11"/>
    </w:p>
    <w:p>
      <w:pPr>
        <w:ind w:firstLine="480"/>
        <w:rPr>
          <w:highlight w:val="none"/>
        </w:rPr>
      </w:pPr>
      <w:r>
        <w:rPr>
          <w:rFonts w:hint="eastAsia"/>
          <w:highlight w:val="none"/>
        </w:rPr>
        <w:t>一、根据《中国中煤能源集团有限公司供应商廉洁合规管理办法》规定，集团公司及所属企业在开展供应商准入、招标、询价、竞争性谈判和单一来源活动时，必须要求供应商事先签订《供应商廉洁承诺书》；集团公司及所属企业在与供应商缔结商务合作合同时，必须同时签订《供需双方廉洁互保协议》。</w:t>
      </w:r>
    </w:p>
    <w:p>
      <w:pPr>
        <w:ind w:firstLine="480"/>
        <w:rPr>
          <w:highlight w:val="none"/>
        </w:rPr>
      </w:pPr>
      <w:r>
        <w:rPr>
          <w:rFonts w:hint="eastAsia"/>
          <w:highlight w:val="none"/>
          <w:lang w:val="en-US" w:eastAsia="zh-CN"/>
        </w:rPr>
        <w:t>二</w:t>
      </w:r>
      <w:r>
        <w:rPr>
          <w:rFonts w:hint="eastAsia"/>
          <w:highlight w:val="none"/>
        </w:rPr>
        <w:t>、采购人将在中煤易购采购一体化平台上发布采购公告，发布的采购公告作为询价文件的一部分。</w:t>
      </w:r>
    </w:p>
    <w:p>
      <w:pPr>
        <w:ind w:firstLine="480"/>
        <w:rPr>
          <w:highlight w:val="none"/>
        </w:rPr>
      </w:pPr>
      <w:r>
        <w:rPr>
          <w:rFonts w:hint="eastAsia"/>
          <w:highlight w:val="none"/>
          <w:lang w:val="en-US" w:eastAsia="zh-CN"/>
        </w:rPr>
        <w:t>三</w:t>
      </w:r>
      <w:r>
        <w:rPr>
          <w:rFonts w:hint="eastAsia"/>
          <w:highlight w:val="none"/>
        </w:rPr>
        <w:t>、供应商须知前附表、供应商须知正文中对于同一表述的内容、使用了相同的条款号，便于条款前后对应，避免条款前后不一致。</w:t>
      </w:r>
    </w:p>
    <w:p>
      <w:pPr>
        <w:spacing w:line="360" w:lineRule="auto"/>
        <w:ind w:firstLine="0" w:firstLineChars="0"/>
        <w:jc w:val="center"/>
        <w:rPr>
          <w:highlight w:val="none"/>
          <w:lang w:val="zh-CN"/>
        </w:rPr>
      </w:pPr>
      <w:r>
        <w:rPr>
          <w:highlight w:val="none"/>
          <w:lang w:val="zh-CN"/>
        </w:rPr>
        <w:br w:type="page"/>
      </w:r>
      <w:r>
        <w:rPr>
          <w:rFonts w:eastAsia="黑体"/>
          <w:sz w:val="36"/>
          <w:szCs w:val="32"/>
          <w:highlight w:val="none"/>
        </w:rPr>
        <w:t>目 录</w:t>
      </w:r>
    </w:p>
    <w:p>
      <w:pPr>
        <w:pStyle w:val="21"/>
        <w:tabs>
          <w:tab w:val="right" w:leader="dot" w:pos="9027"/>
        </w:tabs>
        <w:rPr>
          <w:highlight w:val="none"/>
        </w:rPr>
      </w:pPr>
      <w:r>
        <w:rPr>
          <w:rFonts w:cs="Arial"/>
          <w:b/>
          <w:sz w:val="22"/>
          <w:szCs w:val="22"/>
          <w:highlight w:val="none"/>
        </w:rPr>
        <w:fldChar w:fldCharType="begin"/>
      </w:r>
      <w:r>
        <w:rPr>
          <w:rFonts w:cs="Arial"/>
          <w:sz w:val="22"/>
          <w:szCs w:val="22"/>
          <w:highlight w:val="none"/>
        </w:rPr>
        <w:instrText xml:space="preserve"> TOC \o "1-3" \h \z </w:instrText>
      </w:r>
      <w:r>
        <w:rPr>
          <w:rFonts w:cs="Arial"/>
          <w:b/>
          <w:sz w:val="22"/>
          <w:szCs w:val="22"/>
          <w:highlight w:val="none"/>
        </w:rPr>
        <w:fldChar w:fldCharType="separate"/>
      </w:r>
      <w:r>
        <w:rPr>
          <w:rFonts w:cs="Arial"/>
          <w:bCs/>
          <w:szCs w:val="22"/>
          <w:highlight w:val="none"/>
        </w:rPr>
        <w:fldChar w:fldCharType="begin"/>
      </w:r>
      <w:r>
        <w:rPr>
          <w:rFonts w:cs="Arial"/>
          <w:bCs/>
          <w:szCs w:val="22"/>
          <w:highlight w:val="none"/>
        </w:rPr>
        <w:instrText xml:space="preserve"> HYPERLINK \l _Toc10598 </w:instrText>
      </w:r>
      <w:r>
        <w:rPr>
          <w:rFonts w:cs="Arial"/>
          <w:bCs/>
          <w:szCs w:val="22"/>
          <w:highlight w:val="none"/>
        </w:rPr>
        <w:fldChar w:fldCharType="separate"/>
      </w:r>
      <w:r>
        <w:rPr>
          <w:rFonts w:ascii="Times New Roman" w:hAnsi="Times New Roman"/>
          <w:highlight w:val="none"/>
        </w:rPr>
        <w:t xml:space="preserve">第一章 </w:t>
      </w:r>
      <w:r>
        <w:rPr>
          <w:rFonts w:hint="eastAsia" w:ascii="Times New Roman" w:hAnsi="Times New Roman"/>
          <w:highlight w:val="none"/>
        </w:rPr>
        <w:t>采购公告</w:t>
      </w:r>
      <w:r>
        <w:rPr>
          <w:highlight w:val="none"/>
        </w:rPr>
        <w:tab/>
      </w:r>
      <w:r>
        <w:rPr>
          <w:highlight w:val="none"/>
        </w:rPr>
        <w:fldChar w:fldCharType="begin"/>
      </w:r>
      <w:r>
        <w:rPr>
          <w:highlight w:val="none"/>
        </w:rPr>
        <w:instrText xml:space="preserve"> PAGEREF _Toc10598 \h </w:instrText>
      </w:r>
      <w:r>
        <w:rPr>
          <w:highlight w:val="none"/>
        </w:rPr>
        <w:fldChar w:fldCharType="separate"/>
      </w:r>
      <w:r>
        <w:rPr>
          <w:highlight w:val="none"/>
        </w:rPr>
        <w:t>4</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_Toc4612 </w:instrText>
      </w:r>
      <w:r>
        <w:rPr>
          <w:rFonts w:cs="Arial"/>
          <w:bCs/>
          <w:szCs w:val="22"/>
          <w:highlight w:val="none"/>
        </w:rPr>
        <w:fldChar w:fldCharType="separate"/>
      </w:r>
      <w:r>
        <w:rPr>
          <w:rFonts w:ascii="Times New Roman" w:hAnsi="Times New Roman"/>
          <w:highlight w:val="none"/>
        </w:rPr>
        <w:t xml:space="preserve">1. </w:t>
      </w:r>
      <w:r>
        <w:rPr>
          <w:rFonts w:hint="eastAsia" w:ascii="Times New Roman" w:hAnsi="Times New Roman"/>
          <w:highlight w:val="none"/>
        </w:rPr>
        <w:t>采购</w:t>
      </w:r>
      <w:r>
        <w:rPr>
          <w:rFonts w:ascii="Times New Roman" w:hAnsi="Times New Roman"/>
          <w:highlight w:val="none"/>
        </w:rPr>
        <w:t>条件</w:t>
      </w:r>
      <w:r>
        <w:rPr>
          <w:highlight w:val="none"/>
        </w:rPr>
        <w:tab/>
      </w:r>
      <w:r>
        <w:rPr>
          <w:highlight w:val="none"/>
        </w:rPr>
        <w:fldChar w:fldCharType="begin"/>
      </w:r>
      <w:r>
        <w:rPr>
          <w:highlight w:val="none"/>
        </w:rPr>
        <w:instrText xml:space="preserve"> PAGEREF _Toc4612 \h </w:instrText>
      </w:r>
      <w:r>
        <w:rPr>
          <w:highlight w:val="none"/>
        </w:rPr>
        <w:fldChar w:fldCharType="separate"/>
      </w:r>
      <w:r>
        <w:rPr>
          <w:highlight w:val="none"/>
        </w:rPr>
        <w:t>4</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_Toc24346 </w:instrText>
      </w:r>
      <w:r>
        <w:rPr>
          <w:rFonts w:cs="Arial"/>
          <w:bCs/>
          <w:szCs w:val="22"/>
          <w:highlight w:val="none"/>
        </w:rPr>
        <w:fldChar w:fldCharType="separate"/>
      </w:r>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项目概况与</w:t>
      </w:r>
      <w:r>
        <w:rPr>
          <w:rFonts w:hint="eastAsia" w:ascii="Times New Roman" w:hAnsi="Times New Roman"/>
          <w:highlight w:val="none"/>
          <w:lang w:val="en-US" w:eastAsia="zh-CN"/>
        </w:rPr>
        <w:t>服务</w:t>
      </w:r>
      <w:r>
        <w:rPr>
          <w:rFonts w:hint="eastAsia" w:ascii="Times New Roman" w:hAnsi="Times New Roman"/>
          <w:highlight w:val="none"/>
        </w:rPr>
        <w:t>范围</w:t>
      </w:r>
      <w:r>
        <w:rPr>
          <w:highlight w:val="none"/>
        </w:rPr>
        <w:tab/>
      </w:r>
      <w:r>
        <w:rPr>
          <w:highlight w:val="none"/>
        </w:rPr>
        <w:fldChar w:fldCharType="begin"/>
      </w:r>
      <w:r>
        <w:rPr>
          <w:highlight w:val="none"/>
        </w:rPr>
        <w:instrText xml:space="preserve"> PAGEREF _Toc24346 \h </w:instrText>
      </w:r>
      <w:r>
        <w:rPr>
          <w:highlight w:val="none"/>
        </w:rPr>
        <w:fldChar w:fldCharType="separate"/>
      </w:r>
      <w:r>
        <w:rPr>
          <w:highlight w:val="none"/>
        </w:rPr>
        <w:t>4</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_Toc19000 </w:instrText>
      </w:r>
      <w:r>
        <w:rPr>
          <w:rFonts w:cs="Arial"/>
          <w:bCs/>
          <w:szCs w:val="22"/>
          <w:highlight w:val="none"/>
        </w:rPr>
        <w:fldChar w:fldCharType="separate"/>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供应商资格要求</w:t>
      </w:r>
      <w:r>
        <w:rPr>
          <w:highlight w:val="none"/>
        </w:rPr>
        <w:tab/>
      </w:r>
      <w:r>
        <w:rPr>
          <w:highlight w:val="none"/>
        </w:rPr>
        <w:fldChar w:fldCharType="begin"/>
      </w:r>
      <w:r>
        <w:rPr>
          <w:highlight w:val="none"/>
        </w:rPr>
        <w:instrText xml:space="preserve"> PAGEREF _Toc19000 \h </w:instrText>
      </w:r>
      <w:r>
        <w:rPr>
          <w:highlight w:val="none"/>
        </w:rPr>
        <w:fldChar w:fldCharType="separate"/>
      </w:r>
      <w:r>
        <w:rPr>
          <w:highlight w:val="none"/>
        </w:rPr>
        <w:t>5</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_Toc7215 </w:instrText>
      </w:r>
      <w:r>
        <w:rPr>
          <w:rFonts w:cs="Arial"/>
          <w:bCs/>
          <w:szCs w:val="22"/>
          <w:highlight w:val="none"/>
        </w:rPr>
        <w:fldChar w:fldCharType="separate"/>
      </w:r>
      <w:r>
        <w:rPr>
          <w:rFonts w:hint="eastAsia" w:ascii="Times New Roman" w:hAnsi="Times New Roman"/>
          <w:highlight w:val="none"/>
        </w:rPr>
        <w:t>4. 报价方式</w:t>
      </w:r>
      <w:r>
        <w:rPr>
          <w:highlight w:val="none"/>
        </w:rPr>
        <w:tab/>
      </w:r>
      <w:r>
        <w:rPr>
          <w:highlight w:val="none"/>
        </w:rPr>
        <w:fldChar w:fldCharType="begin"/>
      </w:r>
      <w:r>
        <w:rPr>
          <w:highlight w:val="none"/>
        </w:rPr>
        <w:instrText xml:space="preserve"> PAGEREF _Toc7215 \h </w:instrText>
      </w:r>
      <w:r>
        <w:rPr>
          <w:highlight w:val="none"/>
        </w:rPr>
        <w:fldChar w:fldCharType="separate"/>
      </w:r>
      <w:r>
        <w:rPr>
          <w:highlight w:val="none"/>
        </w:rPr>
        <w:t>6</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_Toc3337 </w:instrText>
      </w:r>
      <w:r>
        <w:rPr>
          <w:rFonts w:cs="Arial"/>
          <w:bCs/>
          <w:szCs w:val="22"/>
          <w:highlight w:val="none"/>
        </w:rPr>
        <w:fldChar w:fldCharType="separate"/>
      </w:r>
      <w:r>
        <w:rPr>
          <w:rFonts w:hint="eastAsia" w:ascii="Times New Roman" w:hAnsi="Times New Roman"/>
          <w:highlight w:val="none"/>
        </w:rPr>
        <w:t>5</w:t>
      </w:r>
      <w:r>
        <w:rPr>
          <w:rFonts w:ascii="Times New Roman" w:hAnsi="Times New Roman"/>
          <w:highlight w:val="none"/>
        </w:rPr>
        <w:t xml:space="preserve">. </w:t>
      </w:r>
      <w:r>
        <w:rPr>
          <w:rFonts w:hint="eastAsia" w:ascii="Times New Roman" w:hAnsi="Times New Roman"/>
          <w:highlight w:val="none"/>
        </w:rPr>
        <w:t>报价时间安排</w:t>
      </w:r>
      <w:r>
        <w:rPr>
          <w:highlight w:val="none"/>
        </w:rPr>
        <w:tab/>
      </w:r>
      <w:r>
        <w:rPr>
          <w:highlight w:val="none"/>
        </w:rPr>
        <w:fldChar w:fldCharType="begin"/>
      </w:r>
      <w:r>
        <w:rPr>
          <w:highlight w:val="none"/>
        </w:rPr>
        <w:instrText xml:space="preserve"> PAGEREF _Toc3337 \h </w:instrText>
      </w:r>
      <w:r>
        <w:rPr>
          <w:highlight w:val="none"/>
        </w:rPr>
        <w:fldChar w:fldCharType="separate"/>
      </w:r>
      <w:r>
        <w:rPr>
          <w:highlight w:val="none"/>
        </w:rPr>
        <w:t>6</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_Toc25646 </w:instrText>
      </w:r>
      <w:r>
        <w:rPr>
          <w:rFonts w:cs="Arial"/>
          <w:bCs/>
          <w:szCs w:val="22"/>
          <w:highlight w:val="none"/>
        </w:rPr>
        <w:fldChar w:fldCharType="separate"/>
      </w:r>
      <w:r>
        <w:rPr>
          <w:rFonts w:hint="eastAsia" w:ascii="Times New Roman" w:hAnsi="Times New Roman"/>
          <w:highlight w:val="none"/>
        </w:rPr>
        <w:t>6. 发布媒介</w:t>
      </w:r>
      <w:r>
        <w:rPr>
          <w:highlight w:val="none"/>
        </w:rPr>
        <w:tab/>
      </w:r>
      <w:r>
        <w:rPr>
          <w:highlight w:val="none"/>
        </w:rPr>
        <w:fldChar w:fldCharType="begin"/>
      </w:r>
      <w:r>
        <w:rPr>
          <w:highlight w:val="none"/>
        </w:rPr>
        <w:instrText xml:space="preserve"> PAGEREF _Toc25646 \h </w:instrText>
      </w:r>
      <w:r>
        <w:rPr>
          <w:highlight w:val="none"/>
        </w:rPr>
        <w:fldChar w:fldCharType="separate"/>
      </w:r>
      <w:r>
        <w:rPr>
          <w:highlight w:val="none"/>
        </w:rPr>
        <w:t>6</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_Toc2004 </w:instrText>
      </w:r>
      <w:r>
        <w:rPr>
          <w:rFonts w:cs="Arial"/>
          <w:bCs/>
          <w:szCs w:val="22"/>
          <w:highlight w:val="none"/>
        </w:rPr>
        <w:fldChar w:fldCharType="separate"/>
      </w:r>
      <w:r>
        <w:rPr>
          <w:rFonts w:hint="eastAsia" w:ascii="Times New Roman" w:hAnsi="Times New Roman"/>
          <w:highlight w:val="none"/>
        </w:rPr>
        <w:t>7</w:t>
      </w:r>
      <w:r>
        <w:rPr>
          <w:rFonts w:ascii="Times New Roman" w:hAnsi="Times New Roman"/>
          <w:highlight w:val="none"/>
        </w:rPr>
        <w:t>. 联系方式</w:t>
      </w:r>
      <w:r>
        <w:rPr>
          <w:highlight w:val="none"/>
        </w:rPr>
        <w:tab/>
      </w:r>
      <w:r>
        <w:rPr>
          <w:highlight w:val="none"/>
        </w:rPr>
        <w:fldChar w:fldCharType="begin"/>
      </w:r>
      <w:r>
        <w:rPr>
          <w:highlight w:val="none"/>
        </w:rPr>
        <w:instrText xml:space="preserve"> PAGEREF _Toc2004 \h </w:instrText>
      </w:r>
      <w:r>
        <w:rPr>
          <w:highlight w:val="none"/>
        </w:rPr>
        <w:fldChar w:fldCharType="separate"/>
      </w:r>
      <w:r>
        <w:rPr>
          <w:highlight w:val="none"/>
        </w:rPr>
        <w:t>6</w:t>
      </w:r>
      <w:r>
        <w:rPr>
          <w:highlight w:val="none"/>
        </w:rPr>
        <w:fldChar w:fldCharType="end"/>
      </w:r>
      <w:r>
        <w:rPr>
          <w:rFonts w:cs="Arial"/>
          <w:bCs/>
          <w:szCs w:val="22"/>
          <w:highlight w:val="none"/>
        </w:rPr>
        <w:fldChar w:fldCharType="end"/>
      </w:r>
    </w:p>
    <w:p>
      <w:pPr>
        <w:pStyle w:val="21"/>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_Toc28434 </w:instrText>
      </w:r>
      <w:r>
        <w:rPr>
          <w:rFonts w:cs="Arial"/>
          <w:bCs/>
          <w:szCs w:val="22"/>
          <w:highlight w:val="none"/>
        </w:rPr>
        <w:fldChar w:fldCharType="separate"/>
      </w:r>
      <w:r>
        <w:rPr>
          <w:rFonts w:hint="eastAsia" w:ascii="Times New Roman" w:hAnsi="Times New Roman"/>
          <w:highlight w:val="none"/>
        </w:rPr>
        <w:t>第二章 供应商须知及前附表</w:t>
      </w:r>
      <w:r>
        <w:rPr>
          <w:highlight w:val="none"/>
        </w:rPr>
        <w:tab/>
      </w:r>
      <w:r>
        <w:rPr>
          <w:highlight w:val="none"/>
        </w:rPr>
        <w:fldChar w:fldCharType="begin"/>
      </w:r>
      <w:r>
        <w:rPr>
          <w:highlight w:val="none"/>
        </w:rPr>
        <w:instrText xml:space="preserve"> PAGEREF _Toc28434 \h </w:instrText>
      </w:r>
      <w:r>
        <w:rPr>
          <w:highlight w:val="none"/>
        </w:rPr>
        <w:fldChar w:fldCharType="separate"/>
      </w:r>
      <w:r>
        <w:rPr>
          <w:highlight w:val="none"/>
        </w:rPr>
        <w:t>8</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_Toc6770 </w:instrText>
      </w:r>
      <w:r>
        <w:rPr>
          <w:rFonts w:cs="Arial"/>
          <w:bCs/>
          <w:szCs w:val="22"/>
          <w:highlight w:val="none"/>
        </w:rPr>
        <w:fldChar w:fldCharType="separate"/>
      </w:r>
      <w:r>
        <w:rPr>
          <w:rFonts w:hint="eastAsia" w:ascii="Times New Roman" w:hAnsi="Times New Roman"/>
          <w:highlight w:val="none"/>
        </w:rPr>
        <w:t>供应商须知前附表</w:t>
      </w:r>
      <w:r>
        <w:rPr>
          <w:highlight w:val="none"/>
        </w:rPr>
        <w:tab/>
      </w:r>
      <w:r>
        <w:rPr>
          <w:highlight w:val="none"/>
        </w:rPr>
        <w:fldChar w:fldCharType="begin"/>
      </w:r>
      <w:r>
        <w:rPr>
          <w:highlight w:val="none"/>
        </w:rPr>
        <w:instrText xml:space="preserve"> PAGEREF _Toc6770 \h </w:instrText>
      </w:r>
      <w:r>
        <w:rPr>
          <w:highlight w:val="none"/>
        </w:rPr>
        <w:fldChar w:fldCharType="separate"/>
      </w:r>
      <w:r>
        <w:rPr>
          <w:highlight w:val="none"/>
        </w:rPr>
        <w:t>8</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_Toc11768 </w:instrText>
      </w:r>
      <w:r>
        <w:rPr>
          <w:rFonts w:cs="Arial"/>
          <w:bCs/>
          <w:szCs w:val="22"/>
          <w:highlight w:val="none"/>
        </w:rPr>
        <w:fldChar w:fldCharType="separate"/>
      </w:r>
      <w:r>
        <w:rPr>
          <w:rFonts w:hint="eastAsia" w:ascii="Times New Roman" w:hAnsi="Times New Roman"/>
          <w:highlight w:val="none"/>
        </w:rPr>
        <w:t>1.</w:t>
      </w:r>
      <w:r>
        <w:rPr>
          <w:rFonts w:ascii="Times New Roman" w:hAnsi="Times New Roman"/>
          <w:highlight w:val="none"/>
        </w:rPr>
        <w:t xml:space="preserve"> </w:t>
      </w:r>
      <w:r>
        <w:rPr>
          <w:rFonts w:hint="eastAsia" w:ascii="Times New Roman" w:hAnsi="Times New Roman"/>
          <w:highlight w:val="none"/>
        </w:rPr>
        <w:t>适用范围</w:t>
      </w:r>
      <w:r>
        <w:rPr>
          <w:highlight w:val="none"/>
        </w:rPr>
        <w:tab/>
      </w:r>
      <w:r>
        <w:rPr>
          <w:highlight w:val="none"/>
        </w:rPr>
        <w:fldChar w:fldCharType="begin"/>
      </w:r>
      <w:r>
        <w:rPr>
          <w:highlight w:val="none"/>
        </w:rPr>
        <w:instrText xml:space="preserve"> PAGEREF _Toc11768 \h </w:instrText>
      </w:r>
      <w:r>
        <w:rPr>
          <w:highlight w:val="none"/>
        </w:rPr>
        <w:fldChar w:fldCharType="separate"/>
      </w:r>
      <w:r>
        <w:rPr>
          <w:highlight w:val="none"/>
        </w:rPr>
        <w:t>9</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_Toc18346 </w:instrText>
      </w:r>
      <w:r>
        <w:rPr>
          <w:rFonts w:cs="Arial"/>
          <w:bCs/>
          <w:szCs w:val="22"/>
          <w:highlight w:val="none"/>
        </w:rPr>
        <w:fldChar w:fldCharType="separate"/>
      </w:r>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定义</w:t>
      </w:r>
      <w:r>
        <w:rPr>
          <w:highlight w:val="none"/>
        </w:rPr>
        <w:tab/>
      </w:r>
      <w:r>
        <w:rPr>
          <w:highlight w:val="none"/>
        </w:rPr>
        <w:fldChar w:fldCharType="begin"/>
      </w:r>
      <w:r>
        <w:rPr>
          <w:highlight w:val="none"/>
        </w:rPr>
        <w:instrText xml:space="preserve"> PAGEREF _Toc18346 \h </w:instrText>
      </w:r>
      <w:r>
        <w:rPr>
          <w:highlight w:val="none"/>
        </w:rPr>
        <w:fldChar w:fldCharType="separate"/>
      </w:r>
      <w:r>
        <w:rPr>
          <w:highlight w:val="none"/>
        </w:rPr>
        <w:t>9</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_Toc32306 </w:instrText>
      </w:r>
      <w:r>
        <w:rPr>
          <w:rFonts w:cs="Arial"/>
          <w:bCs/>
          <w:szCs w:val="22"/>
          <w:highlight w:val="none"/>
        </w:rPr>
        <w:fldChar w:fldCharType="separate"/>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报价费用</w:t>
      </w:r>
      <w:r>
        <w:rPr>
          <w:highlight w:val="none"/>
        </w:rPr>
        <w:tab/>
      </w:r>
      <w:r>
        <w:rPr>
          <w:highlight w:val="none"/>
        </w:rPr>
        <w:fldChar w:fldCharType="begin"/>
      </w:r>
      <w:r>
        <w:rPr>
          <w:highlight w:val="none"/>
        </w:rPr>
        <w:instrText xml:space="preserve"> PAGEREF _Toc32306 \h </w:instrText>
      </w:r>
      <w:r>
        <w:rPr>
          <w:highlight w:val="none"/>
        </w:rPr>
        <w:fldChar w:fldCharType="separate"/>
      </w:r>
      <w:r>
        <w:rPr>
          <w:highlight w:val="none"/>
        </w:rPr>
        <w:t>9</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_Toc3691 </w:instrText>
      </w:r>
      <w:r>
        <w:rPr>
          <w:rFonts w:cs="Arial"/>
          <w:bCs/>
          <w:szCs w:val="22"/>
          <w:highlight w:val="none"/>
        </w:rPr>
        <w:fldChar w:fldCharType="separate"/>
      </w:r>
      <w:r>
        <w:rPr>
          <w:rFonts w:hint="eastAsia" w:ascii="Times New Roman" w:hAnsi="Times New Roman"/>
          <w:highlight w:val="none"/>
          <w:lang w:val="en-US" w:eastAsia="zh-CN"/>
        </w:rPr>
        <w:t>4</w:t>
      </w:r>
      <w:r>
        <w:rPr>
          <w:rFonts w:ascii="Times New Roman" w:hAnsi="Times New Roman"/>
          <w:highlight w:val="none"/>
        </w:rPr>
        <w:t xml:space="preserve">. </w:t>
      </w:r>
      <w:r>
        <w:rPr>
          <w:rFonts w:hint="eastAsia" w:ascii="Times New Roman" w:hAnsi="Times New Roman"/>
          <w:highlight w:val="none"/>
        </w:rPr>
        <w:t>询价文件的构成</w:t>
      </w:r>
      <w:r>
        <w:rPr>
          <w:highlight w:val="none"/>
        </w:rPr>
        <w:tab/>
      </w:r>
      <w:r>
        <w:rPr>
          <w:highlight w:val="none"/>
        </w:rPr>
        <w:fldChar w:fldCharType="begin"/>
      </w:r>
      <w:r>
        <w:rPr>
          <w:highlight w:val="none"/>
        </w:rPr>
        <w:instrText xml:space="preserve"> PAGEREF _Toc3691 \h </w:instrText>
      </w:r>
      <w:r>
        <w:rPr>
          <w:highlight w:val="none"/>
        </w:rPr>
        <w:fldChar w:fldCharType="separate"/>
      </w:r>
      <w:r>
        <w:rPr>
          <w:highlight w:val="none"/>
        </w:rPr>
        <w:t>9</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_Toc17984 </w:instrText>
      </w:r>
      <w:r>
        <w:rPr>
          <w:rFonts w:cs="Arial"/>
          <w:bCs/>
          <w:szCs w:val="22"/>
          <w:highlight w:val="none"/>
        </w:rPr>
        <w:fldChar w:fldCharType="separate"/>
      </w:r>
      <w:r>
        <w:rPr>
          <w:rFonts w:hint="eastAsia" w:ascii="Times New Roman" w:hAnsi="Times New Roman"/>
          <w:highlight w:val="none"/>
          <w:lang w:val="en-US" w:eastAsia="zh-CN"/>
        </w:rPr>
        <w:t>5</w:t>
      </w:r>
      <w:r>
        <w:rPr>
          <w:rFonts w:hint="eastAsia" w:ascii="Times New Roman" w:hAnsi="Times New Roman"/>
          <w:highlight w:val="none"/>
        </w:rPr>
        <w:t>. 询价文件的澄清、修改、补充</w:t>
      </w:r>
      <w:r>
        <w:rPr>
          <w:highlight w:val="none"/>
        </w:rPr>
        <w:tab/>
      </w:r>
      <w:r>
        <w:rPr>
          <w:highlight w:val="none"/>
        </w:rPr>
        <w:fldChar w:fldCharType="begin"/>
      </w:r>
      <w:r>
        <w:rPr>
          <w:highlight w:val="none"/>
        </w:rPr>
        <w:instrText xml:space="preserve"> PAGEREF _Toc17984 \h </w:instrText>
      </w:r>
      <w:r>
        <w:rPr>
          <w:highlight w:val="none"/>
        </w:rPr>
        <w:fldChar w:fldCharType="separate"/>
      </w:r>
      <w:r>
        <w:rPr>
          <w:highlight w:val="none"/>
        </w:rPr>
        <w:t>10</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_Toc6514 </w:instrText>
      </w:r>
      <w:r>
        <w:rPr>
          <w:rFonts w:cs="Arial"/>
          <w:bCs/>
          <w:szCs w:val="22"/>
          <w:highlight w:val="none"/>
        </w:rPr>
        <w:fldChar w:fldCharType="separate"/>
      </w:r>
      <w:r>
        <w:rPr>
          <w:rFonts w:hint="eastAsia" w:ascii="Times New Roman" w:hAnsi="Times New Roman"/>
          <w:highlight w:val="none"/>
          <w:lang w:val="en-US" w:eastAsia="zh-CN"/>
        </w:rPr>
        <w:t>6</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编制基本要求</w:t>
      </w:r>
      <w:r>
        <w:rPr>
          <w:highlight w:val="none"/>
        </w:rPr>
        <w:tab/>
      </w:r>
      <w:r>
        <w:rPr>
          <w:highlight w:val="none"/>
        </w:rPr>
        <w:fldChar w:fldCharType="begin"/>
      </w:r>
      <w:r>
        <w:rPr>
          <w:highlight w:val="none"/>
        </w:rPr>
        <w:instrText xml:space="preserve"> PAGEREF _Toc6514 \h </w:instrText>
      </w:r>
      <w:r>
        <w:rPr>
          <w:highlight w:val="none"/>
        </w:rPr>
        <w:fldChar w:fldCharType="separate"/>
      </w:r>
      <w:r>
        <w:rPr>
          <w:highlight w:val="none"/>
        </w:rPr>
        <w:t>10</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_Toc21302 </w:instrText>
      </w:r>
      <w:r>
        <w:rPr>
          <w:rFonts w:cs="Arial"/>
          <w:bCs/>
          <w:szCs w:val="22"/>
          <w:highlight w:val="none"/>
        </w:rPr>
        <w:fldChar w:fldCharType="separate"/>
      </w:r>
      <w:r>
        <w:rPr>
          <w:rFonts w:hint="eastAsia" w:ascii="Times New Roman" w:hAnsi="Times New Roman"/>
          <w:highlight w:val="none"/>
          <w:lang w:val="en-US" w:eastAsia="zh-CN"/>
        </w:rPr>
        <w:t>7</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语言和计量单位</w:t>
      </w:r>
      <w:r>
        <w:rPr>
          <w:highlight w:val="none"/>
        </w:rPr>
        <w:tab/>
      </w:r>
      <w:r>
        <w:rPr>
          <w:highlight w:val="none"/>
        </w:rPr>
        <w:fldChar w:fldCharType="begin"/>
      </w:r>
      <w:r>
        <w:rPr>
          <w:highlight w:val="none"/>
        </w:rPr>
        <w:instrText xml:space="preserve"> PAGEREF _Toc21302 \h </w:instrText>
      </w:r>
      <w:r>
        <w:rPr>
          <w:highlight w:val="none"/>
        </w:rPr>
        <w:fldChar w:fldCharType="separate"/>
      </w:r>
      <w:r>
        <w:rPr>
          <w:highlight w:val="none"/>
        </w:rPr>
        <w:t>10</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_Toc24973 </w:instrText>
      </w:r>
      <w:r>
        <w:rPr>
          <w:rFonts w:cs="Arial"/>
          <w:bCs/>
          <w:szCs w:val="22"/>
          <w:highlight w:val="none"/>
        </w:rPr>
        <w:fldChar w:fldCharType="separate"/>
      </w:r>
      <w:r>
        <w:rPr>
          <w:rFonts w:hint="eastAsia" w:ascii="Times New Roman" w:hAnsi="Times New Roman"/>
          <w:highlight w:val="none"/>
          <w:lang w:val="en-US" w:eastAsia="zh-CN"/>
        </w:rPr>
        <w:t>8</w:t>
      </w:r>
      <w:r>
        <w:rPr>
          <w:rFonts w:hint="eastAsia" w:ascii="Times New Roman" w:hAnsi="Times New Roman"/>
          <w:highlight w:val="none"/>
        </w:rPr>
        <w:t>. 报价</w:t>
      </w:r>
      <w:r>
        <w:rPr>
          <w:highlight w:val="none"/>
        </w:rPr>
        <w:tab/>
      </w:r>
      <w:r>
        <w:rPr>
          <w:highlight w:val="none"/>
        </w:rPr>
        <w:fldChar w:fldCharType="begin"/>
      </w:r>
      <w:r>
        <w:rPr>
          <w:highlight w:val="none"/>
        </w:rPr>
        <w:instrText xml:space="preserve"> PAGEREF _Toc24973 \h </w:instrText>
      </w:r>
      <w:r>
        <w:rPr>
          <w:highlight w:val="none"/>
        </w:rPr>
        <w:fldChar w:fldCharType="separate"/>
      </w:r>
      <w:r>
        <w:rPr>
          <w:highlight w:val="none"/>
        </w:rPr>
        <w:t>10</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_Toc17041 </w:instrText>
      </w:r>
      <w:r>
        <w:rPr>
          <w:rFonts w:cs="Arial"/>
          <w:bCs/>
          <w:szCs w:val="22"/>
          <w:highlight w:val="none"/>
        </w:rPr>
        <w:fldChar w:fldCharType="separate"/>
      </w:r>
      <w:r>
        <w:rPr>
          <w:rFonts w:hint="eastAsia" w:ascii="Times New Roman" w:hAnsi="Times New Roman"/>
          <w:highlight w:val="none"/>
          <w:lang w:val="en-US" w:eastAsia="zh-CN"/>
        </w:rPr>
        <w:t>9</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报价货币</w:t>
      </w:r>
      <w:r>
        <w:rPr>
          <w:highlight w:val="none"/>
        </w:rPr>
        <w:tab/>
      </w:r>
      <w:r>
        <w:rPr>
          <w:highlight w:val="none"/>
        </w:rPr>
        <w:fldChar w:fldCharType="begin"/>
      </w:r>
      <w:r>
        <w:rPr>
          <w:highlight w:val="none"/>
        </w:rPr>
        <w:instrText xml:space="preserve"> PAGEREF _Toc17041 \h </w:instrText>
      </w:r>
      <w:r>
        <w:rPr>
          <w:highlight w:val="none"/>
        </w:rPr>
        <w:fldChar w:fldCharType="separate"/>
      </w:r>
      <w:r>
        <w:rPr>
          <w:highlight w:val="none"/>
        </w:rPr>
        <w:t>11</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_Toc32416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0</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报价有效期</w:t>
      </w:r>
      <w:r>
        <w:rPr>
          <w:highlight w:val="none"/>
        </w:rPr>
        <w:tab/>
      </w:r>
      <w:r>
        <w:rPr>
          <w:highlight w:val="none"/>
        </w:rPr>
        <w:fldChar w:fldCharType="begin"/>
      </w:r>
      <w:r>
        <w:rPr>
          <w:highlight w:val="none"/>
        </w:rPr>
        <w:instrText xml:space="preserve"> PAGEREF _Toc32416 \h </w:instrText>
      </w:r>
      <w:r>
        <w:rPr>
          <w:highlight w:val="none"/>
        </w:rPr>
        <w:fldChar w:fldCharType="separate"/>
      </w:r>
      <w:r>
        <w:rPr>
          <w:highlight w:val="none"/>
        </w:rPr>
        <w:t>11</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_Toc25490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1</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报价文件递交截止时间及地点</w:t>
      </w:r>
      <w:r>
        <w:rPr>
          <w:highlight w:val="none"/>
        </w:rPr>
        <w:tab/>
      </w:r>
      <w:r>
        <w:rPr>
          <w:highlight w:val="none"/>
        </w:rPr>
        <w:fldChar w:fldCharType="begin"/>
      </w:r>
      <w:r>
        <w:rPr>
          <w:highlight w:val="none"/>
        </w:rPr>
        <w:instrText xml:space="preserve"> PAGEREF _Toc25490 \h </w:instrText>
      </w:r>
      <w:r>
        <w:rPr>
          <w:highlight w:val="none"/>
        </w:rPr>
        <w:fldChar w:fldCharType="separate"/>
      </w:r>
      <w:r>
        <w:rPr>
          <w:highlight w:val="none"/>
        </w:rPr>
        <w:t>11</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_Toc1549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2</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报价文件的修改和撤销</w:t>
      </w:r>
      <w:r>
        <w:rPr>
          <w:highlight w:val="none"/>
        </w:rPr>
        <w:tab/>
      </w:r>
      <w:r>
        <w:rPr>
          <w:highlight w:val="none"/>
        </w:rPr>
        <w:fldChar w:fldCharType="begin"/>
      </w:r>
      <w:r>
        <w:rPr>
          <w:highlight w:val="none"/>
        </w:rPr>
        <w:instrText xml:space="preserve"> PAGEREF _Toc1549 \h </w:instrText>
      </w:r>
      <w:r>
        <w:rPr>
          <w:highlight w:val="none"/>
        </w:rPr>
        <w:fldChar w:fldCharType="separate"/>
      </w:r>
      <w:r>
        <w:rPr>
          <w:highlight w:val="none"/>
        </w:rPr>
        <w:t>11</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_Toc5271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3</w:t>
      </w:r>
      <w:r>
        <w:rPr>
          <w:rFonts w:hint="eastAsia" w:ascii="Times New Roman" w:hAnsi="Times New Roman"/>
          <w:highlight w:val="none"/>
        </w:rPr>
        <w:t>. 谈判小组</w:t>
      </w:r>
      <w:r>
        <w:rPr>
          <w:highlight w:val="none"/>
        </w:rPr>
        <w:tab/>
      </w:r>
      <w:r>
        <w:rPr>
          <w:highlight w:val="none"/>
        </w:rPr>
        <w:fldChar w:fldCharType="begin"/>
      </w:r>
      <w:r>
        <w:rPr>
          <w:highlight w:val="none"/>
        </w:rPr>
        <w:instrText xml:space="preserve"> PAGEREF _Toc5271 \h </w:instrText>
      </w:r>
      <w:r>
        <w:rPr>
          <w:highlight w:val="none"/>
        </w:rPr>
        <w:fldChar w:fldCharType="separate"/>
      </w:r>
      <w:r>
        <w:rPr>
          <w:highlight w:val="none"/>
        </w:rPr>
        <w:t>11</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_Toc2360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4</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开启报价文件</w:t>
      </w:r>
      <w:r>
        <w:rPr>
          <w:highlight w:val="none"/>
        </w:rPr>
        <w:tab/>
      </w:r>
      <w:r>
        <w:rPr>
          <w:highlight w:val="none"/>
        </w:rPr>
        <w:fldChar w:fldCharType="begin"/>
      </w:r>
      <w:r>
        <w:rPr>
          <w:highlight w:val="none"/>
        </w:rPr>
        <w:instrText xml:space="preserve"> PAGEREF _Toc2360 \h </w:instrText>
      </w:r>
      <w:r>
        <w:rPr>
          <w:highlight w:val="none"/>
        </w:rPr>
        <w:fldChar w:fldCharType="separate"/>
      </w:r>
      <w:r>
        <w:rPr>
          <w:highlight w:val="none"/>
        </w:rPr>
        <w:t>11</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_Toc1032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5</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确定成交供应商</w:t>
      </w:r>
      <w:r>
        <w:rPr>
          <w:highlight w:val="none"/>
        </w:rPr>
        <w:tab/>
      </w:r>
      <w:r>
        <w:rPr>
          <w:highlight w:val="none"/>
        </w:rPr>
        <w:fldChar w:fldCharType="begin"/>
      </w:r>
      <w:r>
        <w:rPr>
          <w:highlight w:val="none"/>
        </w:rPr>
        <w:instrText xml:space="preserve"> PAGEREF _Toc1032 \h </w:instrText>
      </w:r>
      <w:r>
        <w:rPr>
          <w:highlight w:val="none"/>
        </w:rPr>
        <w:fldChar w:fldCharType="separate"/>
      </w:r>
      <w:r>
        <w:rPr>
          <w:highlight w:val="none"/>
        </w:rPr>
        <w:t>12</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_Toc7475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6</w:t>
      </w:r>
      <w:r>
        <w:rPr>
          <w:rFonts w:hint="eastAsia" w:ascii="Times New Roman" w:hAnsi="Times New Roman"/>
          <w:highlight w:val="none"/>
        </w:rPr>
        <w:t>. 签订合同</w:t>
      </w:r>
      <w:r>
        <w:rPr>
          <w:highlight w:val="none"/>
        </w:rPr>
        <w:tab/>
      </w:r>
      <w:r>
        <w:rPr>
          <w:highlight w:val="none"/>
        </w:rPr>
        <w:fldChar w:fldCharType="begin"/>
      </w:r>
      <w:r>
        <w:rPr>
          <w:highlight w:val="none"/>
        </w:rPr>
        <w:instrText xml:space="preserve"> PAGEREF _Toc7475 \h </w:instrText>
      </w:r>
      <w:r>
        <w:rPr>
          <w:highlight w:val="none"/>
        </w:rPr>
        <w:fldChar w:fldCharType="separate"/>
      </w:r>
      <w:r>
        <w:rPr>
          <w:highlight w:val="none"/>
        </w:rPr>
        <w:t>12</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_Toc14796 </w:instrText>
      </w:r>
      <w:r>
        <w:rPr>
          <w:rFonts w:cs="Arial"/>
          <w:bCs/>
          <w:szCs w:val="22"/>
          <w:highlight w:val="none"/>
        </w:rPr>
        <w:fldChar w:fldCharType="separate"/>
      </w:r>
      <w:r>
        <w:rPr>
          <w:rFonts w:hint="eastAsia" w:ascii="Times New Roman" w:hAnsi="Times New Roman"/>
          <w:highlight w:val="none"/>
        </w:rPr>
        <w:t>1</w:t>
      </w:r>
      <w:r>
        <w:rPr>
          <w:rFonts w:hint="eastAsia" w:ascii="Times New Roman" w:hAnsi="Times New Roman"/>
          <w:highlight w:val="none"/>
          <w:lang w:val="en-US" w:eastAsia="zh-CN"/>
        </w:rPr>
        <w:t>7</w:t>
      </w:r>
      <w:r>
        <w:rPr>
          <w:rFonts w:hint="eastAsia" w:ascii="Times New Roman" w:hAnsi="Times New Roman"/>
          <w:highlight w:val="none"/>
        </w:rPr>
        <w:t>. 供应商失信行为管理</w:t>
      </w:r>
      <w:r>
        <w:rPr>
          <w:highlight w:val="none"/>
        </w:rPr>
        <w:tab/>
      </w:r>
      <w:r>
        <w:rPr>
          <w:highlight w:val="none"/>
        </w:rPr>
        <w:fldChar w:fldCharType="begin"/>
      </w:r>
      <w:r>
        <w:rPr>
          <w:highlight w:val="none"/>
        </w:rPr>
        <w:instrText xml:space="preserve"> PAGEREF _Toc14796 \h </w:instrText>
      </w:r>
      <w:r>
        <w:rPr>
          <w:highlight w:val="none"/>
        </w:rPr>
        <w:fldChar w:fldCharType="separate"/>
      </w:r>
      <w:r>
        <w:rPr>
          <w:highlight w:val="none"/>
        </w:rPr>
        <w:t>12</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_Toc23778 </w:instrText>
      </w:r>
      <w:r>
        <w:rPr>
          <w:rFonts w:cs="Arial"/>
          <w:bCs/>
          <w:szCs w:val="22"/>
          <w:highlight w:val="none"/>
        </w:rPr>
        <w:fldChar w:fldCharType="separate"/>
      </w:r>
      <w:r>
        <w:rPr>
          <w:rFonts w:hint="eastAsia" w:ascii="Times New Roman" w:hAnsi="Times New Roman"/>
          <w:highlight w:val="none"/>
          <w:lang w:val="en-US" w:eastAsia="zh-CN"/>
        </w:rPr>
        <w:t>18</w:t>
      </w:r>
      <w:r>
        <w:rPr>
          <w:rFonts w:hint="eastAsia" w:ascii="Times New Roman" w:hAnsi="Times New Roman"/>
          <w:highlight w:val="none"/>
        </w:rPr>
        <w:t>. 其他需要补充的内容</w:t>
      </w:r>
      <w:r>
        <w:rPr>
          <w:highlight w:val="none"/>
        </w:rPr>
        <w:tab/>
      </w:r>
      <w:r>
        <w:rPr>
          <w:highlight w:val="none"/>
        </w:rPr>
        <w:fldChar w:fldCharType="begin"/>
      </w:r>
      <w:r>
        <w:rPr>
          <w:highlight w:val="none"/>
        </w:rPr>
        <w:instrText xml:space="preserve"> PAGEREF _Toc23778 \h </w:instrText>
      </w:r>
      <w:r>
        <w:rPr>
          <w:highlight w:val="none"/>
        </w:rPr>
        <w:fldChar w:fldCharType="separate"/>
      </w:r>
      <w:r>
        <w:rPr>
          <w:highlight w:val="none"/>
        </w:rPr>
        <w:t>12</w:t>
      </w:r>
      <w:r>
        <w:rPr>
          <w:highlight w:val="none"/>
        </w:rPr>
        <w:fldChar w:fldCharType="end"/>
      </w:r>
      <w:r>
        <w:rPr>
          <w:rFonts w:cs="Arial"/>
          <w:bCs/>
          <w:szCs w:val="22"/>
          <w:highlight w:val="none"/>
        </w:rPr>
        <w:fldChar w:fldCharType="end"/>
      </w:r>
    </w:p>
    <w:p>
      <w:pPr>
        <w:pStyle w:val="21"/>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_Toc13678 </w:instrText>
      </w:r>
      <w:r>
        <w:rPr>
          <w:rFonts w:cs="Arial"/>
          <w:bCs/>
          <w:szCs w:val="22"/>
          <w:highlight w:val="none"/>
        </w:rPr>
        <w:fldChar w:fldCharType="separate"/>
      </w:r>
      <w:r>
        <w:rPr>
          <w:rFonts w:hint="eastAsia"/>
          <w:highlight w:val="none"/>
        </w:rPr>
        <w:t>第三章 评审办法</w:t>
      </w:r>
      <w:r>
        <w:rPr>
          <w:highlight w:val="none"/>
        </w:rPr>
        <w:tab/>
      </w:r>
      <w:r>
        <w:rPr>
          <w:highlight w:val="none"/>
        </w:rPr>
        <w:fldChar w:fldCharType="begin"/>
      </w:r>
      <w:r>
        <w:rPr>
          <w:highlight w:val="none"/>
        </w:rPr>
        <w:instrText xml:space="preserve"> PAGEREF _Toc13678 \h </w:instrText>
      </w:r>
      <w:r>
        <w:rPr>
          <w:highlight w:val="none"/>
        </w:rPr>
        <w:fldChar w:fldCharType="separate"/>
      </w:r>
      <w:r>
        <w:rPr>
          <w:highlight w:val="none"/>
        </w:rPr>
        <w:t>13</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_Toc8462 </w:instrText>
      </w:r>
      <w:r>
        <w:rPr>
          <w:rFonts w:cs="Arial"/>
          <w:bCs/>
          <w:szCs w:val="22"/>
          <w:highlight w:val="none"/>
        </w:rPr>
        <w:fldChar w:fldCharType="separate"/>
      </w:r>
      <w:r>
        <w:rPr>
          <w:rFonts w:hint="eastAsia"/>
          <w:highlight w:val="none"/>
        </w:rPr>
        <w:t>一、</w:t>
      </w:r>
      <w:r>
        <w:rPr>
          <w:rFonts w:hint="eastAsia"/>
          <w:highlight w:val="none"/>
          <w:lang w:val="en-US" w:eastAsia="zh-CN"/>
        </w:rPr>
        <w:t>评审方法</w:t>
      </w:r>
      <w:r>
        <w:rPr>
          <w:highlight w:val="none"/>
        </w:rPr>
        <w:tab/>
      </w:r>
      <w:r>
        <w:rPr>
          <w:highlight w:val="none"/>
        </w:rPr>
        <w:fldChar w:fldCharType="begin"/>
      </w:r>
      <w:r>
        <w:rPr>
          <w:highlight w:val="none"/>
        </w:rPr>
        <w:instrText xml:space="preserve"> PAGEREF _Toc8462 \h </w:instrText>
      </w:r>
      <w:r>
        <w:rPr>
          <w:highlight w:val="none"/>
        </w:rPr>
        <w:fldChar w:fldCharType="separate"/>
      </w:r>
      <w:r>
        <w:rPr>
          <w:highlight w:val="none"/>
        </w:rPr>
        <w:t>13</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_Toc17985 </w:instrText>
      </w:r>
      <w:r>
        <w:rPr>
          <w:rFonts w:cs="Arial"/>
          <w:bCs/>
          <w:szCs w:val="22"/>
          <w:highlight w:val="none"/>
        </w:rPr>
        <w:fldChar w:fldCharType="separate"/>
      </w:r>
      <w:r>
        <w:rPr>
          <w:rFonts w:hint="eastAsia"/>
          <w:highlight w:val="none"/>
          <w:lang w:val="en-US" w:eastAsia="zh-CN"/>
        </w:rPr>
        <w:t>二</w:t>
      </w:r>
      <w:r>
        <w:rPr>
          <w:rFonts w:hint="eastAsia"/>
          <w:highlight w:val="none"/>
        </w:rPr>
        <w:t>、评审程序</w:t>
      </w:r>
      <w:r>
        <w:rPr>
          <w:highlight w:val="none"/>
        </w:rPr>
        <w:tab/>
      </w:r>
      <w:r>
        <w:rPr>
          <w:highlight w:val="none"/>
        </w:rPr>
        <w:fldChar w:fldCharType="begin"/>
      </w:r>
      <w:r>
        <w:rPr>
          <w:highlight w:val="none"/>
        </w:rPr>
        <w:instrText xml:space="preserve"> PAGEREF _Toc17985 \h </w:instrText>
      </w:r>
      <w:r>
        <w:rPr>
          <w:highlight w:val="none"/>
        </w:rPr>
        <w:fldChar w:fldCharType="separate"/>
      </w:r>
      <w:r>
        <w:rPr>
          <w:highlight w:val="none"/>
        </w:rPr>
        <w:t>13</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_Toc11953 </w:instrText>
      </w:r>
      <w:r>
        <w:rPr>
          <w:rFonts w:cs="Arial"/>
          <w:bCs/>
          <w:szCs w:val="22"/>
          <w:highlight w:val="none"/>
        </w:rPr>
        <w:fldChar w:fldCharType="separate"/>
      </w:r>
      <w:r>
        <w:rPr>
          <w:rFonts w:hint="eastAsia"/>
          <w:highlight w:val="none"/>
          <w:lang w:val="en-US" w:eastAsia="zh-CN"/>
        </w:rPr>
        <w:t>三</w:t>
      </w:r>
      <w:r>
        <w:rPr>
          <w:rFonts w:hint="eastAsia"/>
          <w:highlight w:val="none"/>
        </w:rPr>
        <w:t>、推荐成交供应商</w:t>
      </w:r>
      <w:r>
        <w:rPr>
          <w:highlight w:val="none"/>
        </w:rPr>
        <w:tab/>
      </w:r>
      <w:r>
        <w:rPr>
          <w:highlight w:val="none"/>
        </w:rPr>
        <w:fldChar w:fldCharType="begin"/>
      </w:r>
      <w:r>
        <w:rPr>
          <w:highlight w:val="none"/>
        </w:rPr>
        <w:instrText xml:space="preserve"> PAGEREF _Toc11953 \h </w:instrText>
      </w:r>
      <w:r>
        <w:rPr>
          <w:highlight w:val="none"/>
        </w:rPr>
        <w:fldChar w:fldCharType="separate"/>
      </w:r>
      <w:r>
        <w:rPr>
          <w:highlight w:val="none"/>
        </w:rPr>
        <w:t>14</w:t>
      </w:r>
      <w:r>
        <w:rPr>
          <w:highlight w:val="none"/>
        </w:rPr>
        <w:fldChar w:fldCharType="end"/>
      </w:r>
      <w:r>
        <w:rPr>
          <w:rFonts w:cs="Arial"/>
          <w:bCs/>
          <w:szCs w:val="22"/>
          <w:highlight w:val="none"/>
        </w:rPr>
        <w:fldChar w:fldCharType="end"/>
      </w:r>
    </w:p>
    <w:p>
      <w:pPr>
        <w:pStyle w:val="21"/>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_Toc22119 </w:instrText>
      </w:r>
      <w:r>
        <w:rPr>
          <w:rFonts w:cs="Arial"/>
          <w:bCs/>
          <w:szCs w:val="22"/>
          <w:highlight w:val="none"/>
        </w:rPr>
        <w:fldChar w:fldCharType="separate"/>
      </w:r>
      <w:r>
        <w:rPr>
          <w:rFonts w:hint="eastAsia" w:ascii="Times New Roman" w:hAnsi="Times New Roman"/>
          <w:highlight w:val="none"/>
        </w:rPr>
        <w:t>第四章 合同条款及格式</w:t>
      </w:r>
      <w:r>
        <w:rPr>
          <w:highlight w:val="none"/>
        </w:rPr>
        <w:tab/>
      </w:r>
      <w:r>
        <w:rPr>
          <w:highlight w:val="none"/>
        </w:rPr>
        <w:fldChar w:fldCharType="begin"/>
      </w:r>
      <w:r>
        <w:rPr>
          <w:highlight w:val="none"/>
        </w:rPr>
        <w:instrText xml:space="preserve"> PAGEREF _Toc22119 \h </w:instrText>
      </w:r>
      <w:r>
        <w:rPr>
          <w:highlight w:val="none"/>
        </w:rPr>
        <w:fldChar w:fldCharType="separate"/>
      </w:r>
      <w:r>
        <w:rPr>
          <w:highlight w:val="none"/>
        </w:rPr>
        <w:t>16</w:t>
      </w:r>
      <w:r>
        <w:rPr>
          <w:highlight w:val="none"/>
        </w:rPr>
        <w:fldChar w:fldCharType="end"/>
      </w:r>
      <w:r>
        <w:rPr>
          <w:rFonts w:cs="Arial"/>
          <w:bCs/>
          <w:szCs w:val="22"/>
          <w:highlight w:val="none"/>
        </w:rPr>
        <w:fldChar w:fldCharType="end"/>
      </w:r>
    </w:p>
    <w:p>
      <w:pPr>
        <w:pStyle w:val="21"/>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_Toc23681 </w:instrText>
      </w:r>
      <w:r>
        <w:rPr>
          <w:rFonts w:cs="Arial"/>
          <w:bCs/>
          <w:szCs w:val="22"/>
          <w:highlight w:val="none"/>
        </w:rPr>
        <w:fldChar w:fldCharType="separate"/>
      </w:r>
      <w:r>
        <w:rPr>
          <w:rFonts w:hint="eastAsia" w:ascii="Times New Roman" w:hAnsi="Times New Roman"/>
          <w:highlight w:val="none"/>
        </w:rPr>
        <w:t>第五章 采购需求</w:t>
      </w:r>
      <w:r>
        <w:rPr>
          <w:highlight w:val="none"/>
        </w:rPr>
        <w:tab/>
      </w:r>
      <w:r>
        <w:rPr>
          <w:highlight w:val="none"/>
        </w:rPr>
        <w:fldChar w:fldCharType="begin"/>
      </w:r>
      <w:r>
        <w:rPr>
          <w:highlight w:val="none"/>
        </w:rPr>
        <w:instrText xml:space="preserve"> PAGEREF _Toc23681 \h </w:instrText>
      </w:r>
      <w:r>
        <w:rPr>
          <w:highlight w:val="none"/>
        </w:rPr>
        <w:fldChar w:fldCharType="separate"/>
      </w:r>
      <w:r>
        <w:rPr>
          <w:highlight w:val="none"/>
        </w:rPr>
        <w:t>31</w:t>
      </w:r>
      <w:r>
        <w:rPr>
          <w:highlight w:val="none"/>
        </w:rPr>
        <w:fldChar w:fldCharType="end"/>
      </w:r>
      <w:r>
        <w:rPr>
          <w:rFonts w:cs="Arial"/>
          <w:bCs/>
          <w:szCs w:val="22"/>
          <w:highlight w:val="none"/>
        </w:rPr>
        <w:fldChar w:fldCharType="end"/>
      </w:r>
    </w:p>
    <w:p>
      <w:pPr>
        <w:pStyle w:val="21"/>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_Toc18458 </w:instrText>
      </w:r>
      <w:r>
        <w:rPr>
          <w:rFonts w:cs="Arial"/>
          <w:bCs/>
          <w:szCs w:val="22"/>
          <w:highlight w:val="none"/>
        </w:rPr>
        <w:fldChar w:fldCharType="separate"/>
      </w:r>
      <w:r>
        <w:rPr>
          <w:rFonts w:ascii="Times New Roman" w:hAnsi="Times New Roman"/>
          <w:highlight w:val="none"/>
        </w:rPr>
        <w:t>第</w:t>
      </w:r>
      <w:r>
        <w:rPr>
          <w:rFonts w:hint="eastAsia" w:ascii="Times New Roman" w:hAnsi="Times New Roman"/>
          <w:highlight w:val="none"/>
        </w:rPr>
        <w:t>六</w:t>
      </w:r>
      <w:r>
        <w:rPr>
          <w:rFonts w:ascii="Times New Roman" w:hAnsi="Times New Roman"/>
          <w:highlight w:val="none"/>
        </w:rPr>
        <w:t xml:space="preserve">章 </w:t>
      </w:r>
      <w:r>
        <w:rPr>
          <w:rFonts w:hint="eastAsia" w:ascii="Times New Roman" w:hAnsi="Times New Roman"/>
          <w:highlight w:val="none"/>
        </w:rPr>
        <w:t>报价文件</w:t>
      </w:r>
      <w:r>
        <w:rPr>
          <w:rFonts w:ascii="Times New Roman" w:hAnsi="Times New Roman"/>
          <w:highlight w:val="none"/>
        </w:rPr>
        <w:t>格式</w:t>
      </w:r>
      <w:r>
        <w:rPr>
          <w:highlight w:val="none"/>
        </w:rPr>
        <w:tab/>
      </w:r>
      <w:r>
        <w:rPr>
          <w:highlight w:val="none"/>
        </w:rPr>
        <w:fldChar w:fldCharType="begin"/>
      </w:r>
      <w:r>
        <w:rPr>
          <w:highlight w:val="none"/>
        </w:rPr>
        <w:instrText xml:space="preserve"> PAGEREF _Toc18458 \h </w:instrText>
      </w:r>
      <w:r>
        <w:rPr>
          <w:highlight w:val="none"/>
        </w:rPr>
        <w:fldChar w:fldCharType="separate"/>
      </w:r>
      <w:r>
        <w:rPr>
          <w:highlight w:val="none"/>
        </w:rPr>
        <w:t>34</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_Toc6899 </w:instrText>
      </w:r>
      <w:r>
        <w:rPr>
          <w:rFonts w:cs="Arial"/>
          <w:bCs/>
          <w:szCs w:val="22"/>
          <w:highlight w:val="none"/>
        </w:rPr>
        <w:fldChar w:fldCharType="separate"/>
      </w:r>
      <w:r>
        <w:rPr>
          <w:rFonts w:hint="eastAsia" w:ascii="Times New Roman" w:hAnsi="Times New Roman"/>
          <w:highlight w:val="none"/>
        </w:rPr>
        <w:t>一</w:t>
      </w:r>
      <w:r>
        <w:rPr>
          <w:rFonts w:ascii="Times New Roman" w:hAnsi="Times New Roman"/>
          <w:highlight w:val="none"/>
        </w:rPr>
        <w:t>、授权委托书</w:t>
      </w:r>
      <w:r>
        <w:rPr>
          <w:highlight w:val="none"/>
        </w:rPr>
        <w:tab/>
      </w:r>
      <w:r>
        <w:rPr>
          <w:highlight w:val="none"/>
        </w:rPr>
        <w:fldChar w:fldCharType="begin"/>
      </w:r>
      <w:r>
        <w:rPr>
          <w:highlight w:val="none"/>
        </w:rPr>
        <w:instrText xml:space="preserve"> PAGEREF _Toc6899 \h </w:instrText>
      </w:r>
      <w:r>
        <w:rPr>
          <w:highlight w:val="none"/>
        </w:rPr>
        <w:fldChar w:fldCharType="separate"/>
      </w:r>
      <w:r>
        <w:rPr>
          <w:highlight w:val="none"/>
        </w:rPr>
        <w:t>36</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_Toc22378 </w:instrText>
      </w:r>
      <w:r>
        <w:rPr>
          <w:rFonts w:cs="Arial"/>
          <w:bCs/>
          <w:szCs w:val="22"/>
          <w:highlight w:val="none"/>
        </w:rPr>
        <w:fldChar w:fldCharType="separate"/>
      </w:r>
      <w:r>
        <w:rPr>
          <w:rFonts w:hint="eastAsia" w:ascii="Times New Roman" w:hAnsi="Times New Roman"/>
          <w:highlight w:val="none"/>
        </w:rPr>
        <w:t>二、报价部分</w:t>
      </w:r>
      <w:r>
        <w:rPr>
          <w:highlight w:val="none"/>
        </w:rPr>
        <w:tab/>
      </w:r>
      <w:r>
        <w:rPr>
          <w:highlight w:val="none"/>
        </w:rPr>
        <w:fldChar w:fldCharType="begin"/>
      </w:r>
      <w:r>
        <w:rPr>
          <w:highlight w:val="none"/>
        </w:rPr>
        <w:instrText xml:space="preserve"> PAGEREF _Toc22378 \h </w:instrText>
      </w:r>
      <w:r>
        <w:rPr>
          <w:highlight w:val="none"/>
        </w:rPr>
        <w:fldChar w:fldCharType="separate"/>
      </w:r>
      <w:r>
        <w:rPr>
          <w:highlight w:val="none"/>
        </w:rPr>
        <w:t>37</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_Toc24879 </w:instrText>
      </w:r>
      <w:r>
        <w:rPr>
          <w:rFonts w:cs="Arial"/>
          <w:bCs/>
          <w:szCs w:val="22"/>
          <w:highlight w:val="none"/>
        </w:rPr>
        <w:fldChar w:fldCharType="separate"/>
      </w:r>
      <w:r>
        <w:rPr>
          <w:rFonts w:hint="eastAsia" w:ascii="Times New Roman" w:hAnsi="Times New Roman"/>
          <w:highlight w:val="none"/>
        </w:rPr>
        <w:t>三、商务部分</w:t>
      </w:r>
      <w:r>
        <w:rPr>
          <w:rFonts w:hint="eastAsia" w:ascii="Times New Roman" w:hAnsi="Times New Roman"/>
          <w:highlight w:val="none"/>
          <w:lang w:eastAsia="zh-CN"/>
        </w:rPr>
        <w:t>（</w:t>
      </w:r>
      <w:r>
        <w:rPr>
          <w:rFonts w:hint="eastAsia" w:ascii="Times New Roman" w:hAnsi="Times New Roman"/>
          <w:highlight w:val="none"/>
          <w:lang w:val="en-US" w:eastAsia="zh-CN"/>
        </w:rPr>
        <w:t>工作团队及业绩</w:t>
      </w:r>
      <w:r>
        <w:rPr>
          <w:rFonts w:hint="eastAsia" w:ascii="Times New Roman" w:hAnsi="Times New Roman"/>
          <w:highlight w:val="none"/>
          <w:lang w:eastAsia="zh-CN"/>
        </w:rPr>
        <w:t>）</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38</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_Toc11216 </w:instrText>
      </w:r>
      <w:r>
        <w:rPr>
          <w:rFonts w:cs="Arial"/>
          <w:bCs/>
          <w:szCs w:val="22"/>
          <w:highlight w:val="none"/>
        </w:rPr>
        <w:fldChar w:fldCharType="separate"/>
      </w:r>
      <w:r>
        <w:rPr>
          <w:rFonts w:hint="eastAsia" w:ascii="Times New Roman" w:hAnsi="Times New Roman"/>
          <w:highlight w:val="none"/>
        </w:rPr>
        <w:t>四、技术部分（工作方案、专项服务建议及商务响应）</w:t>
      </w:r>
      <w:r>
        <w:rPr>
          <w:highlight w:val="none"/>
        </w:rPr>
        <w:tab/>
      </w:r>
      <w:r>
        <w:rPr>
          <w:highlight w:val="none"/>
        </w:rPr>
        <w:fldChar w:fldCharType="begin"/>
      </w:r>
      <w:r>
        <w:rPr>
          <w:highlight w:val="none"/>
        </w:rPr>
        <w:instrText xml:space="preserve"> PAGEREF _Toc11216 \h </w:instrText>
      </w:r>
      <w:r>
        <w:rPr>
          <w:highlight w:val="none"/>
        </w:rPr>
        <w:fldChar w:fldCharType="separate"/>
      </w:r>
      <w:r>
        <w:rPr>
          <w:highlight w:val="none"/>
        </w:rPr>
        <w:t>39</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_Toc25548 </w:instrText>
      </w:r>
      <w:r>
        <w:rPr>
          <w:rFonts w:cs="Arial"/>
          <w:bCs/>
          <w:szCs w:val="22"/>
          <w:highlight w:val="none"/>
        </w:rPr>
        <w:fldChar w:fldCharType="separate"/>
      </w:r>
      <w:r>
        <w:rPr>
          <w:rFonts w:hint="eastAsia"/>
          <w:highlight w:val="none"/>
        </w:rPr>
        <w:t>五、偏离表</w:t>
      </w:r>
      <w:r>
        <w:rPr>
          <w:highlight w:val="none"/>
        </w:rPr>
        <w:tab/>
      </w:r>
      <w:r>
        <w:rPr>
          <w:highlight w:val="none"/>
        </w:rPr>
        <w:fldChar w:fldCharType="begin"/>
      </w:r>
      <w:r>
        <w:rPr>
          <w:highlight w:val="none"/>
        </w:rPr>
        <w:instrText xml:space="preserve"> PAGEREF _Toc25548 \h </w:instrText>
      </w:r>
      <w:r>
        <w:rPr>
          <w:highlight w:val="none"/>
        </w:rPr>
        <w:fldChar w:fldCharType="separate"/>
      </w:r>
      <w:r>
        <w:rPr>
          <w:highlight w:val="none"/>
        </w:rPr>
        <w:t>40</w:t>
      </w:r>
      <w:r>
        <w:rPr>
          <w:highlight w:val="none"/>
        </w:rPr>
        <w:fldChar w:fldCharType="end"/>
      </w:r>
      <w:r>
        <w:rPr>
          <w:rFonts w:cs="Arial"/>
          <w:bCs/>
          <w:szCs w:val="22"/>
          <w:highlight w:val="none"/>
        </w:rPr>
        <w:fldChar w:fldCharType="end"/>
      </w:r>
    </w:p>
    <w:p>
      <w:pPr>
        <w:pStyle w:val="23"/>
        <w:tabs>
          <w:tab w:val="right" w:leader="dot" w:pos="9027"/>
        </w:tabs>
        <w:rPr>
          <w:highlight w:val="none"/>
        </w:rPr>
      </w:pPr>
      <w:r>
        <w:rPr>
          <w:rFonts w:cs="Arial"/>
          <w:bCs/>
          <w:szCs w:val="22"/>
          <w:highlight w:val="none"/>
        </w:rPr>
        <w:fldChar w:fldCharType="begin"/>
      </w:r>
      <w:r>
        <w:rPr>
          <w:rFonts w:cs="Arial"/>
          <w:bCs/>
          <w:szCs w:val="22"/>
          <w:highlight w:val="none"/>
        </w:rPr>
        <w:instrText xml:space="preserve"> HYPERLINK \l _Toc17705 </w:instrText>
      </w:r>
      <w:r>
        <w:rPr>
          <w:rFonts w:cs="Arial"/>
          <w:bCs/>
          <w:szCs w:val="22"/>
          <w:highlight w:val="none"/>
        </w:rPr>
        <w:fldChar w:fldCharType="separate"/>
      </w:r>
      <w:r>
        <w:rPr>
          <w:rFonts w:hint="eastAsia"/>
          <w:highlight w:val="none"/>
        </w:rPr>
        <w:t>六、供应商廉洁承诺书</w:t>
      </w:r>
      <w:r>
        <w:rPr>
          <w:highlight w:val="none"/>
        </w:rPr>
        <w:tab/>
      </w:r>
      <w:r>
        <w:rPr>
          <w:highlight w:val="none"/>
        </w:rPr>
        <w:fldChar w:fldCharType="begin"/>
      </w:r>
      <w:r>
        <w:rPr>
          <w:highlight w:val="none"/>
        </w:rPr>
        <w:instrText xml:space="preserve"> PAGEREF _Toc17705 \h </w:instrText>
      </w:r>
      <w:r>
        <w:rPr>
          <w:highlight w:val="none"/>
        </w:rPr>
        <w:fldChar w:fldCharType="separate"/>
      </w:r>
      <w:r>
        <w:rPr>
          <w:highlight w:val="none"/>
        </w:rPr>
        <w:t>41</w:t>
      </w:r>
      <w:r>
        <w:rPr>
          <w:highlight w:val="none"/>
        </w:rPr>
        <w:fldChar w:fldCharType="end"/>
      </w:r>
      <w:r>
        <w:rPr>
          <w:rFonts w:cs="Arial"/>
          <w:bCs/>
          <w:szCs w:val="22"/>
          <w:highlight w:val="none"/>
        </w:rPr>
        <w:fldChar w:fldCharType="end"/>
      </w:r>
    </w:p>
    <w:p>
      <w:pPr>
        <w:spacing w:line="276" w:lineRule="auto"/>
        <w:ind w:left="284" w:firstLineChars="0"/>
        <w:jc w:val="left"/>
        <w:rPr>
          <w:highlight w:val="none"/>
        </w:rPr>
      </w:pPr>
      <w:r>
        <w:rPr>
          <w:rFonts w:cs="Arial"/>
          <w:bCs/>
          <w:szCs w:val="22"/>
          <w:highlight w:val="none"/>
        </w:rPr>
        <w:fldChar w:fldCharType="end"/>
      </w:r>
      <w:bookmarkStart w:id="12" w:name="_Toc233104896"/>
    </w:p>
    <w:p>
      <w:pPr>
        <w:ind w:firstLine="480"/>
        <w:rPr>
          <w:highlight w:val="none"/>
        </w:rPr>
      </w:pPr>
      <w:bookmarkStart w:id="13" w:name="_Toc527120203"/>
      <w:bookmarkStart w:id="14" w:name="_Toc527045600"/>
      <w:r>
        <w:rPr>
          <w:highlight w:val="none"/>
        </w:rPr>
        <w:br w:type="page"/>
      </w:r>
    </w:p>
    <w:bookmarkEnd w:id="12"/>
    <w:bookmarkEnd w:id="13"/>
    <w:bookmarkEnd w:id="14"/>
    <w:p>
      <w:pPr>
        <w:pStyle w:val="25"/>
        <w:spacing w:before="120"/>
        <w:rPr>
          <w:rFonts w:ascii="Times New Roman" w:hAnsi="Times New Roman"/>
          <w:highlight w:val="none"/>
        </w:rPr>
      </w:pPr>
      <w:bookmarkStart w:id="15" w:name="_Toc49019215"/>
      <w:bookmarkStart w:id="16" w:name="_Toc47261049"/>
      <w:bookmarkStart w:id="17" w:name="_Toc47418234"/>
      <w:bookmarkStart w:id="18" w:name="_Toc47262048"/>
      <w:bookmarkStart w:id="19" w:name="_Toc47261669"/>
      <w:bookmarkStart w:id="20" w:name="_Toc48995830"/>
      <w:bookmarkStart w:id="21" w:name="_Toc47261864"/>
      <w:bookmarkStart w:id="22" w:name="_Toc47418710"/>
      <w:bookmarkStart w:id="23" w:name="_Toc48791214"/>
      <w:bookmarkStart w:id="24" w:name="_Toc47418917"/>
      <w:bookmarkStart w:id="25" w:name="_Toc10598"/>
      <w:bookmarkStart w:id="26" w:name="_Toc19426"/>
      <w:r>
        <w:rPr>
          <w:rFonts w:ascii="Times New Roman" w:hAnsi="Times New Roman"/>
          <w:highlight w:val="none"/>
        </w:rPr>
        <w:t>第一章</w:t>
      </w:r>
      <w:bookmarkEnd w:id="15"/>
      <w:bookmarkEnd w:id="16"/>
      <w:bookmarkEnd w:id="17"/>
      <w:bookmarkEnd w:id="18"/>
      <w:bookmarkEnd w:id="19"/>
      <w:bookmarkEnd w:id="20"/>
      <w:bookmarkEnd w:id="21"/>
      <w:bookmarkEnd w:id="22"/>
      <w:bookmarkEnd w:id="23"/>
      <w:bookmarkEnd w:id="24"/>
      <w:r>
        <w:rPr>
          <w:rFonts w:ascii="Times New Roman" w:hAnsi="Times New Roman"/>
          <w:highlight w:val="none"/>
        </w:rPr>
        <w:t xml:space="preserve"> </w:t>
      </w:r>
      <w:r>
        <w:rPr>
          <w:rFonts w:hint="eastAsia" w:ascii="Times New Roman" w:hAnsi="Times New Roman"/>
          <w:highlight w:val="none"/>
        </w:rPr>
        <w:t>采购公告</w:t>
      </w:r>
      <w:bookmarkEnd w:id="25"/>
      <w:bookmarkEnd w:id="26"/>
    </w:p>
    <w:p>
      <w:pPr>
        <w:spacing w:line="360" w:lineRule="auto"/>
        <w:ind w:firstLine="2440" w:firstLineChars="0"/>
        <w:rPr>
          <w:rFonts w:eastAsia="黑体"/>
          <w:sz w:val="20"/>
          <w:highlight w:val="none"/>
          <w:u w:val="single"/>
        </w:rPr>
      </w:pPr>
      <w:bookmarkStart w:id="27" w:name="_Toc352691465"/>
      <w:bookmarkEnd w:id="27"/>
      <w:bookmarkStart w:id="28" w:name="_Toc384308199"/>
      <w:bookmarkEnd w:id="28"/>
      <w:bookmarkStart w:id="29" w:name="_Toc361508574"/>
      <w:bookmarkEnd w:id="29"/>
      <w:bookmarkStart w:id="30" w:name="_Toc369531507"/>
      <w:bookmarkEnd w:id="30"/>
      <w:bookmarkStart w:id="31" w:name="_Toc18885"/>
      <w:bookmarkEnd w:id="31"/>
      <w:bookmarkStart w:id="32" w:name="_Toc384308200"/>
      <w:bookmarkStart w:id="33" w:name="_Toc361508575"/>
    </w:p>
    <w:p>
      <w:pPr>
        <w:pStyle w:val="2"/>
        <w:spacing w:before="240"/>
        <w:rPr>
          <w:rFonts w:ascii="Times New Roman" w:hAnsi="Times New Roman"/>
          <w:highlight w:val="none"/>
        </w:rPr>
      </w:pPr>
      <w:bookmarkStart w:id="34" w:name="_Toc15454"/>
      <w:bookmarkStart w:id="35" w:name="_Toc4612"/>
      <w:r>
        <w:rPr>
          <w:rFonts w:ascii="Times New Roman" w:hAnsi="Times New Roman"/>
          <w:highlight w:val="none"/>
        </w:rPr>
        <w:t xml:space="preserve">1. </w:t>
      </w:r>
      <w:r>
        <w:rPr>
          <w:rFonts w:hint="eastAsia" w:ascii="Times New Roman" w:hAnsi="Times New Roman"/>
          <w:highlight w:val="none"/>
        </w:rPr>
        <w:t>采购</w:t>
      </w:r>
      <w:r>
        <w:rPr>
          <w:rFonts w:ascii="Times New Roman" w:hAnsi="Times New Roman"/>
          <w:highlight w:val="none"/>
        </w:rPr>
        <w:t>条件</w:t>
      </w:r>
      <w:bookmarkEnd w:id="34"/>
      <w:bookmarkEnd w:id="35"/>
    </w:p>
    <w:p>
      <w:pPr>
        <w:ind w:firstLine="480"/>
        <w:rPr>
          <w:highlight w:val="none"/>
        </w:rPr>
      </w:pPr>
      <w:r>
        <w:rPr>
          <w:highlight w:val="none"/>
        </w:rPr>
        <w:t>本项目</w:t>
      </w:r>
      <w:r>
        <w:rPr>
          <w:rFonts w:hint="eastAsia" w:eastAsia="宋体"/>
          <w:highlight w:val="none"/>
          <w:u w:val="none"/>
        </w:rPr>
        <w:t>中国煤炭开发有限责任公司</w:t>
      </w:r>
      <w:r>
        <w:rPr>
          <w:rFonts w:hint="eastAsia" w:eastAsia="宋体"/>
          <w:highlight w:val="none"/>
          <w:u w:val="none"/>
          <w:lang w:val="en-US" w:eastAsia="zh-CN"/>
        </w:rPr>
        <w:t>常年法律顾问选聘</w:t>
      </w:r>
      <w:r>
        <w:rPr>
          <w:rFonts w:hint="eastAsia" w:eastAsia="宋体"/>
          <w:highlight w:val="none"/>
          <w:u w:val="none"/>
        </w:rPr>
        <w:t>项目</w:t>
      </w:r>
      <w:r>
        <w:rPr>
          <w:rFonts w:hint="eastAsia"/>
          <w:highlight w:val="none"/>
        </w:rPr>
        <w:t>采购人</w:t>
      </w:r>
      <w:r>
        <w:rPr>
          <w:highlight w:val="none"/>
        </w:rPr>
        <w:t>为</w:t>
      </w:r>
      <w:r>
        <w:rPr>
          <w:rFonts w:hint="eastAsia" w:eastAsia="宋体"/>
          <w:highlight w:val="none"/>
          <w:u w:val="none"/>
        </w:rPr>
        <w:t>中国煤炭开发有限责任公司（以下简称“开发公司”）</w:t>
      </w:r>
      <w:r>
        <w:rPr>
          <w:rFonts w:hint="eastAsia"/>
          <w:highlight w:val="none"/>
        </w:rPr>
        <w:t>，</w:t>
      </w:r>
      <w:r>
        <w:rPr>
          <w:highlight w:val="none"/>
        </w:rPr>
        <w:t>项目已</w:t>
      </w:r>
      <w:r>
        <w:rPr>
          <w:rFonts w:hint="eastAsia"/>
          <w:highlight w:val="none"/>
        </w:rPr>
        <w:t>具备采购</w:t>
      </w:r>
      <w:r>
        <w:rPr>
          <w:highlight w:val="none"/>
        </w:rPr>
        <w:t>条件，现</w:t>
      </w:r>
      <w:r>
        <w:rPr>
          <w:rFonts w:hint="eastAsia"/>
          <w:highlight w:val="none"/>
        </w:rPr>
        <w:t>对本项目实施公开竞谈采购，请合格供应商参加本项目采购竞争</w:t>
      </w:r>
      <w:r>
        <w:rPr>
          <w:highlight w:val="none"/>
        </w:rPr>
        <w:t>。</w:t>
      </w:r>
    </w:p>
    <w:p>
      <w:pPr>
        <w:pStyle w:val="2"/>
        <w:spacing w:before="240"/>
        <w:rPr>
          <w:rFonts w:ascii="Times New Roman" w:hAnsi="Times New Roman"/>
          <w:highlight w:val="none"/>
        </w:rPr>
      </w:pPr>
      <w:bookmarkStart w:id="36" w:name="_Toc504312942"/>
      <w:bookmarkStart w:id="37" w:name="_Toc24346"/>
      <w:bookmarkStart w:id="38" w:name="_Toc29909"/>
      <w:r>
        <w:rPr>
          <w:rFonts w:hint="eastAsia" w:ascii="Times New Roman" w:hAnsi="Times New Roman"/>
          <w:highlight w:val="none"/>
        </w:rPr>
        <w:t>2</w:t>
      </w:r>
      <w:r>
        <w:rPr>
          <w:rFonts w:ascii="Times New Roman" w:hAnsi="Times New Roman"/>
          <w:highlight w:val="none"/>
        </w:rPr>
        <w:t xml:space="preserve">. </w:t>
      </w:r>
      <w:bookmarkEnd w:id="36"/>
      <w:r>
        <w:rPr>
          <w:rFonts w:hint="eastAsia" w:ascii="Times New Roman" w:hAnsi="Times New Roman"/>
          <w:highlight w:val="none"/>
        </w:rPr>
        <w:t>项目概况与</w:t>
      </w:r>
      <w:r>
        <w:rPr>
          <w:rFonts w:hint="eastAsia" w:ascii="Times New Roman" w:hAnsi="Times New Roman"/>
          <w:highlight w:val="none"/>
          <w:lang w:val="en-US" w:eastAsia="zh-CN"/>
        </w:rPr>
        <w:t>服务</w:t>
      </w:r>
      <w:r>
        <w:rPr>
          <w:rFonts w:hint="eastAsia" w:ascii="Times New Roman" w:hAnsi="Times New Roman"/>
          <w:highlight w:val="none"/>
        </w:rPr>
        <w:t>范围</w:t>
      </w:r>
      <w:bookmarkEnd w:id="37"/>
      <w:bookmarkEnd w:id="38"/>
    </w:p>
    <w:p>
      <w:pPr>
        <w:ind w:firstLine="480"/>
        <w:rPr>
          <w:highlight w:val="none"/>
        </w:rPr>
      </w:pPr>
      <w:bookmarkStart w:id="39" w:name="_Toc504312943"/>
      <w:r>
        <w:rPr>
          <w:highlight w:val="none"/>
        </w:rPr>
        <w:t>项目地点：</w:t>
      </w:r>
      <w:bookmarkStart w:id="40" w:name="_Hlk132637554"/>
      <w:bookmarkStart w:id="41" w:name="_Hlk132637589"/>
      <w:r>
        <w:rPr>
          <w:rFonts w:hint="eastAsia"/>
          <w:highlight w:val="none"/>
        </w:rPr>
        <w:t>北京市东城区蒋宅口中煤大厦</w:t>
      </w:r>
      <w:bookmarkEnd w:id="40"/>
    </w:p>
    <w:bookmarkEnd w:id="41"/>
    <w:p>
      <w:pPr>
        <w:pStyle w:val="8"/>
        <w:ind w:firstLine="480"/>
        <w:rPr>
          <w:highlight w:val="none"/>
        </w:rPr>
      </w:pPr>
      <w:r>
        <w:rPr>
          <w:rFonts w:hint="eastAsia"/>
          <w:highlight w:val="none"/>
        </w:rPr>
        <w:t>采购人简介：</w:t>
      </w:r>
    </w:p>
    <w:p>
      <w:pPr>
        <w:pStyle w:val="91"/>
        <w:tabs>
          <w:tab w:val="left" w:pos="401"/>
        </w:tabs>
        <w:spacing w:line="440" w:lineRule="exact"/>
        <w:ind w:firstLine="480" w:firstLineChars="200"/>
        <w:jc w:val="both"/>
        <w:rPr>
          <w:rFonts w:hint="eastAsia"/>
          <w:highlight w:val="none"/>
        </w:rPr>
      </w:pPr>
      <w:r>
        <w:rPr>
          <w:rFonts w:hint="eastAsia"/>
          <w:highlight w:val="none"/>
        </w:rPr>
        <w:t>中国煤炭开发有限责任公司（简称：开发公司）隶属于中国中煤能源集团有限公司（以下简称中国中煤），是中国中煤能源股份有限公司的全资子公司，前身是1981年成立的中国煤炭开发总公司。2021年9月，开发公司经与中国中煤采购中心整合重组，构建成为中国中煤公司层面“统一标准、统一规范、统一流程”的集中采购平台。2022年12月，开发公司顺应集团公司管理体制改革的大势，与招标公司进行管理重构，高效搭建起中国中煤集中招标采购保障平台。公司注册资本金10.45亿元，现有员工211人，全资子公司3家。</w:t>
      </w:r>
    </w:p>
    <w:p>
      <w:pPr>
        <w:pStyle w:val="91"/>
        <w:tabs>
          <w:tab w:val="left" w:pos="401"/>
        </w:tabs>
        <w:spacing w:line="440" w:lineRule="exact"/>
        <w:ind w:firstLine="480" w:firstLineChars="200"/>
        <w:jc w:val="both"/>
        <w:rPr>
          <w:rFonts w:hint="eastAsia"/>
          <w:highlight w:val="none"/>
        </w:rPr>
      </w:pPr>
      <w:r>
        <w:rPr>
          <w:rFonts w:hint="eastAsia"/>
          <w:highlight w:val="none"/>
        </w:rPr>
        <w:t>开发公司作为中国中煤集中招标采购经营实体，履行集团公司重要大宗通用物资、重大工程建设项目的集中招标采购实施，保障招标采购平台稳定运行等职能，为集团所属企业提供集中寻源、集中供给及统谈分签服务，为集团所属企业采购实施提供指导，为总部及所属企业提供规范高效、收费公允合理的有偿服务。</w:t>
      </w:r>
    </w:p>
    <w:p>
      <w:pPr>
        <w:pStyle w:val="91"/>
        <w:tabs>
          <w:tab w:val="left" w:pos="401"/>
        </w:tabs>
        <w:spacing w:line="440" w:lineRule="exact"/>
        <w:ind w:firstLine="480" w:firstLineChars="200"/>
        <w:jc w:val="both"/>
        <w:rPr>
          <w:rFonts w:hint="eastAsia"/>
          <w:highlight w:val="none"/>
        </w:rPr>
      </w:pPr>
      <w:r>
        <w:rPr>
          <w:rFonts w:hint="eastAsia"/>
          <w:highlight w:val="none"/>
        </w:rPr>
        <w:t>“十四五”时期，开发公司肩负着“精准服务、提高效率、降低成本、保证质量、防范风险”五大保障职能，确定了“自营、服务、进口代理”三种业务模式为主的业务群，规划了“集采集供核心业务、招标代理业务、非招标采购代理业务、进口代理及贸易、大宗材料贸易、易购商城及设备监造”等7项主营业务。以高质量采购、高端化服务为主线，致力打造中国中煤大采购供应中心，推动中国中煤采购管理更加专业化、标准化、规范化，引领采购创新发展、助力企业降本增效，实现供应链价值采购。</w:t>
      </w:r>
    </w:p>
    <w:p>
      <w:pPr>
        <w:spacing w:line="440" w:lineRule="exact"/>
        <w:ind w:firstLine="480" w:firstLineChars="200"/>
        <w:jc w:val="both"/>
        <w:rPr>
          <w:rFonts w:hint="eastAsia"/>
          <w:color w:val="auto"/>
          <w:highlight w:val="none"/>
          <w:lang w:val="en-US" w:eastAsia="zh-CN"/>
        </w:rPr>
      </w:pPr>
      <w:r>
        <w:rPr>
          <w:rFonts w:hint="eastAsia"/>
          <w:color w:val="auto"/>
          <w:highlight w:val="none"/>
          <w:lang w:val="en-US" w:eastAsia="zh-CN"/>
        </w:rPr>
        <w:br w:type="page"/>
      </w:r>
    </w:p>
    <w:p>
      <w:pPr>
        <w:pStyle w:val="91"/>
        <w:tabs>
          <w:tab w:val="left" w:pos="401"/>
        </w:tabs>
        <w:spacing w:line="440" w:lineRule="exact"/>
        <w:ind w:firstLine="480" w:firstLineChars="200"/>
        <w:jc w:val="both"/>
        <w:rPr>
          <w:color w:val="auto"/>
          <w:highlight w:val="none"/>
        </w:rPr>
      </w:pPr>
      <w:r>
        <w:rPr>
          <w:rFonts w:hint="eastAsia"/>
          <w:color w:val="auto"/>
          <w:highlight w:val="none"/>
          <w:lang w:val="en-US" w:eastAsia="zh-CN"/>
        </w:rPr>
        <w:t>服务范围</w:t>
      </w:r>
      <w:r>
        <w:rPr>
          <w:color w:val="auto"/>
          <w:highlight w:val="none"/>
        </w:rPr>
        <w:t>：</w:t>
      </w:r>
    </w:p>
    <w:p>
      <w:pPr>
        <w:widowControl/>
        <w:tabs>
          <w:tab w:val="left" w:pos="360"/>
        </w:tabs>
        <w:snapToGrid w:val="0"/>
        <w:spacing w:line="480" w:lineRule="exact"/>
        <w:ind w:firstLine="480" w:firstLineChars="200"/>
        <w:jc w:val="left"/>
        <w:rPr>
          <w:kern w:val="0"/>
          <w:sz w:val="24"/>
          <w:highlight w:val="none"/>
        </w:rPr>
      </w:pPr>
      <w:bookmarkStart w:id="42" w:name="_Toc11289"/>
      <w:r>
        <w:rPr>
          <w:kern w:val="0"/>
          <w:sz w:val="24"/>
          <w:highlight w:val="none"/>
        </w:rPr>
        <w:t>为中国煤炭开发有限责任公司</w:t>
      </w:r>
      <w:r>
        <w:rPr>
          <w:rFonts w:hint="eastAsia"/>
          <w:kern w:val="0"/>
          <w:sz w:val="24"/>
          <w:highlight w:val="none"/>
        </w:rPr>
        <w:t>及所属企业</w:t>
      </w:r>
      <w:r>
        <w:rPr>
          <w:kern w:val="0"/>
          <w:sz w:val="24"/>
          <w:highlight w:val="none"/>
        </w:rPr>
        <w:t>提供</w:t>
      </w:r>
      <w:r>
        <w:rPr>
          <w:rFonts w:hint="eastAsia"/>
          <w:sz w:val="24"/>
          <w:highlight w:val="none"/>
        </w:rPr>
        <w:t>常年法律顾问</w:t>
      </w:r>
      <w:r>
        <w:rPr>
          <w:sz w:val="24"/>
          <w:highlight w:val="none"/>
        </w:rPr>
        <w:t>服务</w:t>
      </w:r>
      <w:r>
        <w:rPr>
          <w:rFonts w:hint="eastAsia"/>
          <w:sz w:val="24"/>
          <w:highlight w:val="none"/>
          <w:lang w:eastAsia="zh-CN"/>
        </w:rPr>
        <w:t>，</w:t>
      </w:r>
      <w:r>
        <w:rPr>
          <w:rFonts w:hint="eastAsia"/>
          <w:sz w:val="24"/>
          <w:highlight w:val="none"/>
          <w:lang w:val="en-US" w:eastAsia="zh-CN"/>
        </w:rPr>
        <w:t>为中国中煤采购管理有关任务提供常年法律顾问服务</w:t>
      </w:r>
      <w:r>
        <w:rPr>
          <w:kern w:val="0"/>
          <w:sz w:val="24"/>
          <w:highlight w:val="none"/>
        </w:rPr>
        <w:t>。</w:t>
      </w:r>
    </w:p>
    <w:p>
      <w:pPr>
        <w:spacing w:line="520" w:lineRule="exact"/>
        <w:ind w:firstLine="480" w:firstLineChars="200"/>
        <w:rPr>
          <w:kern w:val="0"/>
          <w:sz w:val="24"/>
          <w:highlight w:val="none"/>
        </w:rPr>
      </w:pPr>
      <w:r>
        <w:rPr>
          <w:kern w:val="0"/>
          <w:sz w:val="24"/>
          <w:highlight w:val="none"/>
        </w:rPr>
        <w:t>服务期：自</w:t>
      </w:r>
      <w:r>
        <w:rPr>
          <w:rFonts w:hint="eastAsia"/>
          <w:kern w:val="0"/>
          <w:sz w:val="24"/>
          <w:highlight w:val="none"/>
        </w:rPr>
        <w:t>合同签订之日起</w:t>
      </w:r>
      <w:r>
        <w:rPr>
          <w:rFonts w:hint="eastAsia"/>
          <w:kern w:val="0"/>
          <w:sz w:val="24"/>
          <w:highlight w:val="none"/>
          <w:lang w:val="en-US" w:eastAsia="zh-CN"/>
        </w:rPr>
        <w:t>18个月</w:t>
      </w:r>
      <w:r>
        <w:rPr>
          <w:kern w:val="0"/>
          <w:sz w:val="24"/>
          <w:highlight w:val="none"/>
        </w:rPr>
        <w:t>。</w:t>
      </w:r>
    </w:p>
    <w:p>
      <w:pPr>
        <w:widowControl/>
        <w:tabs>
          <w:tab w:val="left" w:pos="360"/>
        </w:tabs>
        <w:snapToGrid w:val="0"/>
        <w:spacing w:line="480" w:lineRule="exact"/>
        <w:ind w:firstLine="480" w:firstLineChars="200"/>
        <w:jc w:val="left"/>
        <w:rPr>
          <w:kern w:val="0"/>
          <w:sz w:val="24"/>
          <w:highlight w:val="none"/>
        </w:rPr>
      </w:pPr>
      <w:r>
        <w:rPr>
          <w:kern w:val="0"/>
          <w:sz w:val="24"/>
          <w:highlight w:val="none"/>
        </w:rPr>
        <w:t>服务地点：北京市东城区安外大街乙88号</w:t>
      </w:r>
      <w:r>
        <w:rPr>
          <w:rFonts w:hint="eastAsia"/>
          <w:kern w:val="0"/>
          <w:sz w:val="24"/>
          <w:highlight w:val="none"/>
          <w:lang w:val="en-US" w:eastAsia="zh-CN"/>
        </w:rPr>
        <w:t>中煤大厦</w:t>
      </w:r>
      <w:r>
        <w:rPr>
          <w:kern w:val="0"/>
          <w:sz w:val="24"/>
          <w:highlight w:val="none"/>
        </w:rPr>
        <w:t>。</w:t>
      </w:r>
    </w:p>
    <w:p>
      <w:pPr>
        <w:pStyle w:val="2"/>
        <w:spacing w:before="240"/>
        <w:rPr>
          <w:rFonts w:ascii="Times New Roman" w:hAnsi="Times New Roman"/>
          <w:highlight w:val="none"/>
        </w:rPr>
      </w:pPr>
      <w:bookmarkStart w:id="43" w:name="_Toc19000"/>
      <w:r>
        <w:rPr>
          <w:rFonts w:hint="eastAsia" w:ascii="Times New Roman" w:hAnsi="Times New Roman"/>
          <w:highlight w:val="none"/>
        </w:rPr>
        <w:t>3</w:t>
      </w:r>
      <w:r>
        <w:rPr>
          <w:rFonts w:ascii="Times New Roman" w:hAnsi="Times New Roman"/>
          <w:highlight w:val="none"/>
        </w:rPr>
        <w:t xml:space="preserve">. </w:t>
      </w:r>
      <w:bookmarkEnd w:id="39"/>
      <w:r>
        <w:rPr>
          <w:rFonts w:hint="eastAsia" w:ascii="Times New Roman" w:hAnsi="Times New Roman"/>
          <w:highlight w:val="none"/>
        </w:rPr>
        <w:t>供应商资格要求</w:t>
      </w:r>
      <w:bookmarkEnd w:id="42"/>
      <w:bookmarkEnd w:id="43"/>
    </w:p>
    <w:p>
      <w:pPr>
        <w:ind w:firstLine="480"/>
        <w:rPr>
          <w:highlight w:val="none"/>
        </w:rPr>
      </w:pPr>
      <w:bookmarkStart w:id="44" w:name="_Toc504312944"/>
      <w:r>
        <w:rPr>
          <w:rFonts w:hint="eastAsia"/>
          <w:highlight w:val="none"/>
        </w:rPr>
        <w:t>3.1 供应商资格要求</w:t>
      </w:r>
    </w:p>
    <w:p>
      <w:pPr>
        <w:pStyle w:val="8"/>
        <w:ind w:firstLine="480"/>
        <w:rPr>
          <w:highlight w:val="none"/>
        </w:rPr>
      </w:pPr>
      <w:r>
        <w:rPr>
          <w:rFonts w:hint="eastAsia"/>
          <w:highlight w:val="none"/>
        </w:rPr>
        <w:t>参与本项目采购活动的供应商应当是中华人民共和国境内的组织，同时还应具备如下条件：</w:t>
      </w:r>
    </w:p>
    <w:p>
      <w:pPr>
        <w:pStyle w:val="8"/>
        <w:ind w:firstLine="480"/>
        <w:rPr>
          <w:rFonts w:hint="eastAsia"/>
          <w:highlight w:val="none"/>
        </w:rPr>
      </w:pPr>
      <w:r>
        <w:rPr>
          <w:rFonts w:hint="eastAsia"/>
          <w:highlight w:val="none"/>
          <w:lang w:val="en-US" w:eastAsia="zh-CN"/>
        </w:rPr>
        <w:t>3.1.1</w:t>
      </w:r>
      <w:r>
        <w:rPr>
          <w:rFonts w:hint="eastAsia"/>
          <w:highlight w:val="none"/>
        </w:rPr>
        <w:t xml:space="preserve"> 须在中华人民共和国境内合法注册，具有国家主管部门颁发的律师事务所执业许可证书，并按规定通过年检；</w:t>
      </w:r>
    </w:p>
    <w:p>
      <w:pPr>
        <w:pStyle w:val="8"/>
        <w:ind w:firstLine="480"/>
        <w:rPr>
          <w:rFonts w:hint="eastAsia"/>
          <w:highlight w:val="none"/>
        </w:rPr>
      </w:pPr>
      <w:r>
        <w:rPr>
          <w:rFonts w:hint="eastAsia"/>
          <w:highlight w:val="none"/>
          <w:lang w:val="en-US" w:eastAsia="zh-CN"/>
        </w:rPr>
        <w:t xml:space="preserve">3.1.2 </w:t>
      </w:r>
      <w:r>
        <w:rPr>
          <w:rFonts w:hint="eastAsia"/>
          <w:highlight w:val="none"/>
        </w:rPr>
        <w:t>有为能源类央企及所属企业提供常年法律服务的良好业绩；</w:t>
      </w:r>
    </w:p>
    <w:p>
      <w:pPr>
        <w:pStyle w:val="8"/>
        <w:ind w:firstLine="480"/>
        <w:rPr>
          <w:rFonts w:hint="eastAsia"/>
          <w:highlight w:val="none"/>
        </w:rPr>
      </w:pPr>
      <w:r>
        <w:rPr>
          <w:rFonts w:hint="eastAsia"/>
          <w:highlight w:val="none"/>
          <w:lang w:val="en-US" w:eastAsia="zh-CN"/>
        </w:rPr>
        <w:t xml:space="preserve">3.1.3 </w:t>
      </w:r>
      <w:r>
        <w:rPr>
          <w:rFonts w:hint="eastAsia"/>
          <w:highlight w:val="none"/>
        </w:rPr>
        <w:t>有优秀、稳定、合格的律师服务团队；</w:t>
      </w:r>
    </w:p>
    <w:p>
      <w:pPr>
        <w:pStyle w:val="8"/>
        <w:ind w:firstLine="480"/>
        <w:rPr>
          <w:rFonts w:hint="eastAsia"/>
          <w:highlight w:val="none"/>
        </w:rPr>
      </w:pPr>
      <w:r>
        <w:rPr>
          <w:rFonts w:hint="eastAsia"/>
          <w:highlight w:val="none"/>
          <w:lang w:val="en-US" w:eastAsia="zh-CN"/>
        </w:rPr>
        <w:t xml:space="preserve">3.1.4 </w:t>
      </w:r>
      <w:r>
        <w:rPr>
          <w:rFonts w:hint="eastAsia"/>
          <w:highlight w:val="none"/>
        </w:rPr>
        <w:t>近三年（2021年至今）内未因重大案件受到过行政处罚，并在承担企业法律咨询、诉讼等方面未出现重大问题和不良记录；</w:t>
      </w:r>
    </w:p>
    <w:p>
      <w:pPr>
        <w:pStyle w:val="8"/>
        <w:ind w:firstLine="480"/>
        <w:rPr>
          <w:rFonts w:hint="eastAsia"/>
          <w:highlight w:val="none"/>
        </w:rPr>
      </w:pPr>
      <w:r>
        <w:rPr>
          <w:rFonts w:hint="eastAsia"/>
          <w:highlight w:val="none"/>
          <w:lang w:val="en-US" w:eastAsia="zh-CN"/>
        </w:rPr>
        <w:t xml:space="preserve">3.1.5 </w:t>
      </w:r>
      <w:r>
        <w:rPr>
          <w:rFonts w:hint="eastAsia"/>
          <w:highlight w:val="none"/>
        </w:rPr>
        <w:t>具有较高的社会认可度，曾获得“钱伯斯”、“Legal Band”“商法”“《亚洲法律杂志》”“Global Law Experts”之一的奖项或提名；</w:t>
      </w:r>
    </w:p>
    <w:p>
      <w:pPr>
        <w:pStyle w:val="8"/>
        <w:ind w:firstLine="480"/>
        <w:rPr>
          <w:rFonts w:hint="eastAsia"/>
          <w:highlight w:val="none"/>
        </w:rPr>
      </w:pPr>
      <w:r>
        <w:rPr>
          <w:rFonts w:hint="eastAsia"/>
          <w:highlight w:val="none"/>
          <w:lang w:val="en-US" w:eastAsia="zh-CN"/>
        </w:rPr>
        <w:t xml:space="preserve">3.1.6 </w:t>
      </w:r>
      <w:r>
        <w:rPr>
          <w:rFonts w:hint="eastAsia"/>
          <w:highlight w:val="none"/>
        </w:rPr>
        <w:t>委派的服务团队，应至少含一名合伙人律师（十年以上执业经验）及两名律师；</w:t>
      </w:r>
    </w:p>
    <w:p>
      <w:pPr>
        <w:pStyle w:val="8"/>
        <w:ind w:firstLine="480"/>
        <w:rPr>
          <w:rFonts w:hint="eastAsia"/>
          <w:highlight w:val="none"/>
        </w:rPr>
      </w:pPr>
      <w:r>
        <w:rPr>
          <w:rFonts w:hint="eastAsia"/>
          <w:highlight w:val="none"/>
          <w:lang w:val="en-US" w:eastAsia="zh-CN"/>
        </w:rPr>
        <w:t xml:space="preserve">3.1.7 </w:t>
      </w:r>
      <w:r>
        <w:rPr>
          <w:rFonts w:hint="eastAsia"/>
          <w:highlight w:val="none"/>
        </w:rPr>
        <w:t>须提供以下至少1个国家的境外法律服务相关案例：</w:t>
      </w:r>
    </w:p>
    <w:p>
      <w:pPr>
        <w:pStyle w:val="8"/>
        <w:ind w:firstLine="480"/>
        <w:rPr>
          <w:rFonts w:hint="eastAsia"/>
          <w:highlight w:val="none"/>
        </w:rPr>
      </w:pPr>
      <w:r>
        <w:rPr>
          <w:rFonts w:hint="eastAsia"/>
          <w:highlight w:val="none"/>
        </w:rPr>
        <w:t>美国、俄罗斯、英国、德国、日本、瑞士、瑞典、奥地利；</w:t>
      </w:r>
    </w:p>
    <w:p>
      <w:pPr>
        <w:pStyle w:val="8"/>
        <w:ind w:firstLine="480"/>
        <w:rPr>
          <w:rFonts w:hint="eastAsia"/>
          <w:highlight w:val="none"/>
        </w:rPr>
      </w:pPr>
      <w:r>
        <w:rPr>
          <w:rFonts w:hint="eastAsia"/>
          <w:highlight w:val="none"/>
          <w:lang w:val="en-US" w:eastAsia="zh-CN"/>
        </w:rPr>
        <w:t xml:space="preserve">3.1.8 </w:t>
      </w:r>
      <w:r>
        <w:rPr>
          <w:rFonts w:hint="eastAsia"/>
          <w:highlight w:val="none"/>
        </w:rPr>
        <w:t>响应人须按询价人业务范围（集采集供业务、招标代理业务、非招标采购代理业务、进口代理及贸易、大宗材料贸易、电子商城及设备监造），提供至少2个相关案例；</w:t>
      </w:r>
    </w:p>
    <w:p>
      <w:pPr>
        <w:pStyle w:val="8"/>
        <w:ind w:firstLine="480"/>
        <w:rPr>
          <w:rFonts w:hint="eastAsia"/>
          <w:highlight w:val="none"/>
        </w:rPr>
      </w:pPr>
      <w:r>
        <w:rPr>
          <w:rFonts w:hint="eastAsia"/>
          <w:highlight w:val="none"/>
          <w:lang w:val="en-US" w:eastAsia="zh-CN"/>
        </w:rPr>
        <w:t xml:space="preserve">3.1.9 </w:t>
      </w:r>
      <w:r>
        <w:rPr>
          <w:rFonts w:hint="eastAsia"/>
          <w:highlight w:val="none"/>
        </w:rPr>
        <w:t>本项目报价单位不接受联合体形式。</w:t>
      </w:r>
    </w:p>
    <w:p>
      <w:pPr>
        <w:pStyle w:val="8"/>
        <w:ind w:firstLine="480"/>
        <w:rPr>
          <w:rFonts w:hint="eastAsia"/>
          <w:highlight w:val="none"/>
        </w:rPr>
      </w:pPr>
    </w:p>
    <w:p>
      <w:pPr>
        <w:pStyle w:val="8"/>
        <w:ind w:firstLine="480"/>
        <w:rPr>
          <w:highlight w:val="none"/>
        </w:rPr>
      </w:pPr>
      <w:r>
        <w:rPr>
          <w:rFonts w:hint="eastAsia"/>
          <w:highlight w:val="none"/>
        </w:rPr>
        <w:t>3.2 供应商不得存在下列情形之一</w:t>
      </w:r>
    </w:p>
    <w:p>
      <w:pPr>
        <w:pStyle w:val="8"/>
        <w:ind w:firstLine="480"/>
        <w:rPr>
          <w:highlight w:val="none"/>
        </w:rPr>
      </w:pPr>
      <w:r>
        <w:rPr>
          <w:rFonts w:hint="eastAsia"/>
          <w:highlight w:val="none"/>
        </w:rPr>
        <w:t>3.2.1 与本项目其他供应商的单位负责人为同一人。</w:t>
      </w:r>
    </w:p>
    <w:p>
      <w:pPr>
        <w:pStyle w:val="8"/>
        <w:ind w:firstLine="480"/>
        <w:rPr>
          <w:highlight w:val="none"/>
        </w:rPr>
      </w:pPr>
      <w:r>
        <w:rPr>
          <w:rFonts w:hint="eastAsia"/>
          <w:highlight w:val="none"/>
        </w:rPr>
        <w:t>3.2.2 与本项目其他供应商存在直接控股关系。</w:t>
      </w:r>
    </w:p>
    <w:p>
      <w:pPr>
        <w:pStyle w:val="8"/>
        <w:ind w:firstLine="480"/>
        <w:rPr>
          <w:highlight w:val="none"/>
        </w:rPr>
      </w:pPr>
      <w:r>
        <w:rPr>
          <w:rFonts w:hint="eastAsia"/>
          <w:highlight w:val="none"/>
        </w:rPr>
        <w:t>3.2.3 与本项目其他供应商存在管理关系。</w:t>
      </w:r>
    </w:p>
    <w:p>
      <w:pPr>
        <w:pStyle w:val="8"/>
        <w:ind w:firstLine="480"/>
        <w:rPr>
          <w:highlight w:val="none"/>
        </w:rPr>
      </w:pPr>
      <w:r>
        <w:rPr>
          <w:rFonts w:hint="eastAsia"/>
          <w:highlight w:val="none"/>
        </w:rPr>
        <w:t>3.2.4 近三年内在经营活动中存在以下严重不良情形：</w:t>
      </w:r>
    </w:p>
    <w:p>
      <w:pPr>
        <w:pStyle w:val="8"/>
        <w:ind w:firstLine="480"/>
        <w:rPr>
          <w:highlight w:val="none"/>
        </w:rPr>
      </w:pPr>
      <w:r>
        <w:rPr>
          <w:rFonts w:hint="eastAsia"/>
          <w:highlight w:val="none"/>
        </w:rPr>
        <w:t>①被本项目所在地省级以上行业主管部门依法暂停、取消投标或禁止参加采购活动的。</w:t>
      </w:r>
    </w:p>
    <w:p>
      <w:pPr>
        <w:pStyle w:val="8"/>
        <w:ind w:firstLine="480"/>
        <w:rPr>
          <w:highlight w:val="none"/>
        </w:rPr>
      </w:pPr>
      <w:r>
        <w:rPr>
          <w:rFonts w:hint="eastAsia"/>
          <w:highlight w:val="none"/>
        </w:rPr>
        <w:t>②处于被责令停产停业、暂扣或者吊销执照、暂扣或者吊销许可证、吊销资质证书状态。</w:t>
      </w:r>
    </w:p>
    <w:p>
      <w:pPr>
        <w:pStyle w:val="8"/>
        <w:ind w:firstLine="480"/>
        <w:rPr>
          <w:highlight w:val="none"/>
        </w:rPr>
      </w:pPr>
      <w:r>
        <w:rPr>
          <w:rFonts w:hint="eastAsia"/>
          <w:highlight w:val="none"/>
        </w:rPr>
        <w:t>③进入清算程序，或被宣告破产，或其他丧失履约能力情形的。</w:t>
      </w:r>
    </w:p>
    <w:p>
      <w:pPr>
        <w:pStyle w:val="8"/>
        <w:ind w:firstLine="480"/>
        <w:rPr>
          <w:highlight w:val="none"/>
        </w:rPr>
      </w:pPr>
      <w:r>
        <w:rPr>
          <w:rFonts w:hint="eastAsia"/>
          <w:highlight w:val="none"/>
        </w:rPr>
        <w:t>④其他禁止情形：</w:t>
      </w:r>
      <w:r>
        <w:rPr>
          <w:rFonts w:hint="eastAsia" w:ascii="楷体" w:hAnsi="楷体" w:eastAsia="楷体"/>
          <w:highlight w:val="none"/>
          <w:u w:val="single"/>
        </w:rPr>
        <w:t xml:space="preserve"> 无  </w:t>
      </w:r>
      <w:r>
        <w:rPr>
          <w:rFonts w:hint="eastAsia"/>
          <w:highlight w:val="none"/>
        </w:rPr>
        <w:t>。</w:t>
      </w:r>
    </w:p>
    <w:bookmarkEnd w:id="44"/>
    <w:p>
      <w:pPr>
        <w:pStyle w:val="2"/>
        <w:spacing w:before="240"/>
        <w:rPr>
          <w:highlight w:val="none"/>
        </w:rPr>
      </w:pPr>
      <w:bookmarkStart w:id="45" w:name="_Toc7215"/>
      <w:bookmarkStart w:id="46" w:name="_Toc10499"/>
      <w:r>
        <w:rPr>
          <w:rFonts w:hint="eastAsia" w:ascii="Times New Roman" w:hAnsi="Times New Roman"/>
          <w:highlight w:val="none"/>
        </w:rPr>
        <w:t>4. 报价方式</w:t>
      </w:r>
      <w:bookmarkEnd w:id="45"/>
      <w:bookmarkEnd w:id="46"/>
    </w:p>
    <w:p>
      <w:pPr>
        <w:wordWrap w:val="0"/>
        <w:ind w:firstLine="480"/>
        <w:rPr>
          <w:highlight w:val="none"/>
        </w:rPr>
      </w:pPr>
      <w:r>
        <w:rPr>
          <w:rFonts w:hint="eastAsia"/>
          <w:highlight w:val="none"/>
        </w:rPr>
        <w:t>参与公开竞谈业务的报价单位，请登录或注册中煤易购采购一体化平台（http://ego.chinacoal.com）后，进行在线报名、报价及上传响应文件。</w:t>
      </w:r>
    </w:p>
    <w:p>
      <w:pPr>
        <w:pStyle w:val="2"/>
        <w:spacing w:before="240"/>
        <w:rPr>
          <w:rFonts w:ascii="Times New Roman" w:hAnsi="Times New Roman"/>
          <w:highlight w:val="none"/>
        </w:rPr>
      </w:pPr>
      <w:bookmarkStart w:id="47" w:name="_Toc504312945"/>
      <w:bookmarkStart w:id="48" w:name="_Toc15386"/>
      <w:bookmarkStart w:id="49" w:name="_Toc3337"/>
      <w:r>
        <w:rPr>
          <w:rFonts w:hint="eastAsia" w:ascii="Times New Roman" w:hAnsi="Times New Roman"/>
          <w:highlight w:val="none"/>
        </w:rPr>
        <w:t>5</w:t>
      </w:r>
      <w:r>
        <w:rPr>
          <w:rFonts w:ascii="Times New Roman" w:hAnsi="Times New Roman"/>
          <w:highlight w:val="none"/>
        </w:rPr>
        <w:t xml:space="preserve">. </w:t>
      </w:r>
      <w:bookmarkEnd w:id="47"/>
      <w:r>
        <w:rPr>
          <w:rFonts w:hint="eastAsia" w:ascii="Times New Roman" w:hAnsi="Times New Roman"/>
          <w:highlight w:val="none"/>
        </w:rPr>
        <w:t>报价时间安排</w:t>
      </w:r>
      <w:bookmarkEnd w:id="48"/>
      <w:bookmarkEnd w:id="49"/>
    </w:p>
    <w:p>
      <w:pPr>
        <w:ind w:firstLine="480"/>
        <w:rPr>
          <w:highlight w:val="none"/>
        </w:rPr>
      </w:pPr>
      <w:r>
        <w:rPr>
          <w:highlight w:val="none"/>
        </w:rPr>
        <w:t>报价</w:t>
      </w:r>
      <w:r>
        <w:rPr>
          <w:rFonts w:hint="eastAsia"/>
          <w:highlight w:val="none"/>
          <w:lang w:val="en-US" w:eastAsia="zh-CN"/>
        </w:rPr>
        <w:t>及上传响应文件</w:t>
      </w:r>
      <w:r>
        <w:rPr>
          <w:highlight w:val="none"/>
        </w:rPr>
        <w:t>开始时间：202</w:t>
      </w:r>
      <w:r>
        <w:rPr>
          <w:rFonts w:hint="eastAsia"/>
          <w:highlight w:val="none"/>
          <w:lang w:val="en-US" w:eastAsia="zh-CN"/>
        </w:rPr>
        <w:t>4</w:t>
      </w:r>
      <w:r>
        <w:rPr>
          <w:highlight w:val="none"/>
        </w:rPr>
        <w:t>年</w:t>
      </w:r>
      <w:r>
        <w:rPr>
          <w:rFonts w:hint="eastAsia"/>
          <w:highlight w:val="none"/>
          <w:lang w:val="en-US" w:eastAsia="zh-CN"/>
        </w:rPr>
        <w:t>5</w:t>
      </w:r>
      <w:r>
        <w:rPr>
          <w:highlight w:val="none"/>
        </w:rPr>
        <w:t>月</w:t>
      </w:r>
      <w:r>
        <w:rPr>
          <w:rFonts w:hint="eastAsia"/>
          <w:highlight w:val="none"/>
          <w:lang w:val="en-US" w:eastAsia="zh-CN"/>
        </w:rPr>
        <w:t xml:space="preserve">16 </w:t>
      </w:r>
      <w:r>
        <w:rPr>
          <w:highlight w:val="none"/>
        </w:rPr>
        <w:t xml:space="preserve">日 </w:t>
      </w:r>
      <w:r>
        <w:rPr>
          <w:rFonts w:hint="eastAsia"/>
          <w:highlight w:val="none"/>
          <w:lang w:val="en-US" w:eastAsia="zh-CN"/>
        </w:rPr>
        <w:t>11:00</w:t>
      </w:r>
      <w:r>
        <w:rPr>
          <w:highlight w:val="none"/>
        </w:rPr>
        <w:t>（北京时间）</w:t>
      </w:r>
    </w:p>
    <w:p>
      <w:pPr>
        <w:ind w:firstLine="480"/>
        <w:rPr>
          <w:highlight w:val="none"/>
        </w:rPr>
      </w:pPr>
      <w:r>
        <w:rPr>
          <w:highlight w:val="none"/>
        </w:rPr>
        <w:t>报价</w:t>
      </w:r>
      <w:r>
        <w:rPr>
          <w:rFonts w:hint="eastAsia"/>
          <w:highlight w:val="none"/>
          <w:lang w:val="en-US" w:eastAsia="zh-CN"/>
        </w:rPr>
        <w:t>及上传响应文件</w:t>
      </w:r>
      <w:r>
        <w:rPr>
          <w:highlight w:val="none"/>
        </w:rPr>
        <w:t>截止时间：202</w:t>
      </w:r>
      <w:r>
        <w:rPr>
          <w:rFonts w:hint="eastAsia"/>
          <w:highlight w:val="none"/>
          <w:lang w:val="en-US" w:eastAsia="zh-CN"/>
        </w:rPr>
        <w:t>4</w:t>
      </w:r>
      <w:r>
        <w:rPr>
          <w:highlight w:val="none"/>
        </w:rPr>
        <w:t>年</w:t>
      </w:r>
      <w:r>
        <w:rPr>
          <w:rFonts w:hint="eastAsia"/>
          <w:highlight w:val="none"/>
          <w:lang w:val="en-US" w:eastAsia="zh-CN"/>
        </w:rPr>
        <w:t>5</w:t>
      </w:r>
      <w:r>
        <w:rPr>
          <w:highlight w:val="none"/>
        </w:rPr>
        <w:t>月</w:t>
      </w:r>
      <w:r>
        <w:rPr>
          <w:rFonts w:hint="eastAsia"/>
          <w:highlight w:val="none"/>
          <w:lang w:val="en-US" w:eastAsia="zh-CN"/>
        </w:rPr>
        <w:t xml:space="preserve"> 20</w:t>
      </w:r>
      <w:r>
        <w:rPr>
          <w:highlight w:val="none"/>
        </w:rPr>
        <w:t xml:space="preserve">日 </w:t>
      </w:r>
      <w:r>
        <w:rPr>
          <w:rFonts w:hint="eastAsia"/>
          <w:highlight w:val="none"/>
          <w:lang w:val="en-US" w:eastAsia="zh-CN"/>
        </w:rPr>
        <w:t>11:00</w:t>
      </w:r>
      <w:r>
        <w:rPr>
          <w:highlight w:val="none"/>
        </w:rPr>
        <w:t>（北京时间）</w:t>
      </w:r>
    </w:p>
    <w:p>
      <w:pPr>
        <w:ind w:firstLine="480"/>
        <w:rPr>
          <w:highlight w:val="none"/>
        </w:rPr>
      </w:pPr>
      <w:r>
        <w:rPr>
          <w:highlight w:val="none"/>
        </w:rPr>
        <w:t>报价</w:t>
      </w:r>
      <w:r>
        <w:rPr>
          <w:rFonts w:hint="eastAsia"/>
          <w:highlight w:val="none"/>
          <w:lang w:val="en-US" w:eastAsia="zh-CN"/>
        </w:rPr>
        <w:t>及上传响应文件</w:t>
      </w:r>
      <w:r>
        <w:rPr>
          <w:highlight w:val="none"/>
        </w:rPr>
        <w:t>揭示时间：202</w:t>
      </w:r>
      <w:r>
        <w:rPr>
          <w:rFonts w:hint="eastAsia"/>
          <w:highlight w:val="none"/>
          <w:lang w:val="en-US" w:eastAsia="zh-CN"/>
        </w:rPr>
        <w:t>4</w:t>
      </w:r>
      <w:r>
        <w:rPr>
          <w:highlight w:val="none"/>
        </w:rPr>
        <w:t>年</w:t>
      </w:r>
      <w:r>
        <w:rPr>
          <w:rFonts w:hint="eastAsia"/>
          <w:highlight w:val="none"/>
          <w:lang w:val="en-US" w:eastAsia="zh-CN"/>
        </w:rPr>
        <w:t>5</w:t>
      </w:r>
      <w:r>
        <w:rPr>
          <w:highlight w:val="none"/>
        </w:rPr>
        <w:t>月</w:t>
      </w:r>
      <w:r>
        <w:rPr>
          <w:rFonts w:hint="eastAsia"/>
          <w:highlight w:val="none"/>
          <w:lang w:val="en-US" w:eastAsia="zh-CN"/>
        </w:rPr>
        <w:t xml:space="preserve"> 20</w:t>
      </w:r>
      <w:r>
        <w:rPr>
          <w:highlight w:val="none"/>
        </w:rPr>
        <w:t xml:space="preserve">日 </w:t>
      </w:r>
      <w:r>
        <w:rPr>
          <w:rFonts w:hint="eastAsia"/>
          <w:highlight w:val="none"/>
          <w:lang w:val="en-US" w:eastAsia="zh-CN"/>
        </w:rPr>
        <w:t>11:01</w:t>
      </w:r>
      <w:bookmarkStart w:id="165" w:name="_GoBack"/>
      <w:bookmarkEnd w:id="165"/>
      <w:r>
        <w:rPr>
          <w:highlight w:val="none"/>
        </w:rPr>
        <w:t>（北京时间）</w:t>
      </w:r>
    </w:p>
    <w:p>
      <w:pPr>
        <w:ind w:firstLine="480"/>
        <w:rPr>
          <w:highlight w:val="none"/>
        </w:rPr>
      </w:pPr>
      <w:r>
        <w:rPr>
          <w:highlight w:val="none"/>
        </w:rPr>
        <w:t>请</w:t>
      </w:r>
      <w:r>
        <w:rPr>
          <w:rFonts w:hint="eastAsia"/>
          <w:highlight w:val="none"/>
        </w:rPr>
        <w:t>各</w:t>
      </w:r>
      <w:r>
        <w:rPr>
          <w:highlight w:val="none"/>
        </w:rPr>
        <w:t>单位务必按报价要求进行报价</w:t>
      </w:r>
      <w:r>
        <w:rPr>
          <w:rFonts w:hint="eastAsia"/>
          <w:highlight w:val="none"/>
        </w:rPr>
        <w:t>，报价截止时间前未完成报价文件递交的视为放弃报价资格。</w:t>
      </w:r>
    </w:p>
    <w:p>
      <w:pPr>
        <w:pStyle w:val="2"/>
        <w:spacing w:before="240"/>
        <w:rPr>
          <w:rFonts w:ascii="Times New Roman" w:hAnsi="Times New Roman"/>
          <w:highlight w:val="none"/>
        </w:rPr>
      </w:pPr>
      <w:bookmarkStart w:id="50" w:name="_Toc20358"/>
      <w:bookmarkStart w:id="51" w:name="_Toc504312947"/>
      <w:bookmarkStart w:id="52" w:name="_Toc25646"/>
      <w:r>
        <w:rPr>
          <w:rFonts w:hint="eastAsia" w:ascii="Times New Roman" w:hAnsi="Times New Roman"/>
          <w:highlight w:val="none"/>
        </w:rPr>
        <w:t>6. 发布媒介</w:t>
      </w:r>
      <w:bookmarkEnd w:id="50"/>
      <w:bookmarkEnd w:id="51"/>
      <w:bookmarkEnd w:id="52"/>
    </w:p>
    <w:p>
      <w:pPr>
        <w:wordWrap w:val="0"/>
        <w:ind w:firstLine="480"/>
        <w:rPr>
          <w:rFonts w:hint="eastAsia"/>
          <w:highlight w:val="none"/>
        </w:rPr>
      </w:pPr>
      <w:r>
        <w:rPr>
          <w:rFonts w:hint="eastAsia"/>
          <w:highlight w:val="none"/>
        </w:rPr>
        <w:t>本次采购公告在中煤易购采购一体化平台（http://ego.chinacoal.com）上发布。</w:t>
      </w:r>
    </w:p>
    <w:p>
      <w:pPr>
        <w:pStyle w:val="2"/>
        <w:spacing w:before="240"/>
        <w:rPr>
          <w:rFonts w:ascii="Times New Roman" w:hAnsi="Times New Roman"/>
          <w:highlight w:val="none"/>
        </w:rPr>
      </w:pPr>
      <w:bookmarkStart w:id="53" w:name="_Toc2004"/>
      <w:bookmarkStart w:id="54" w:name="_Toc504312948"/>
      <w:bookmarkStart w:id="55" w:name="_Toc12443"/>
      <w:r>
        <w:rPr>
          <w:rFonts w:hint="eastAsia" w:ascii="Times New Roman" w:hAnsi="Times New Roman"/>
          <w:highlight w:val="none"/>
          <w:lang w:val="en-US" w:eastAsia="zh-CN"/>
        </w:rPr>
        <w:t>7</w:t>
      </w:r>
      <w:r>
        <w:rPr>
          <w:rFonts w:ascii="Times New Roman" w:hAnsi="Times New Roman"/>
          <w:highlight w:val="none"/>
        </w:rPr>
        <w:t>. 联系方式</w:t>
      </w:r>
      <w:bookmarkEnd w:id="53"/>
      <w:bookmarkEnd w:id="54"/>
      <w:bookmarkEnd w:id="55"/>
    </w:p>
    <w:p>
      <w:pPr>
        <w:adjustRightInd/>
        <w:snapToGrid/>
        <w:ind w:firstLine="480"/>
        <w:jc w:val="left"/>
        <w:rPr>
          <w:rFonts w:ascii="宋体" w:hAnsi="宋体" w:cs="宋体"/>
          <w:bCs/>
          <w:szCs w:val="24"/>
          <w:highlight w:val="none"/>
        </w:rPr>
      </w:pPr>
      <w:bookmarkStart w:id="56" w:name="_Toc144974481"/>
      <w:bookmarkEnd w:id="56"/>
      <w:bookmarkStart w:id="57" w:name="_Toc384308188"/>
      <w:bookmarkEnd w:id="57"/>
      <w:bookmarkStart w:id="58" w:name="_Toc300834930"/>
      <w:bookmarkEnd w:id="58"/>
      <w:bookmarkStart w:id="59" w:name="_Toc152045513"/>
      <w:bookmarkEnd w:id="59"/>
      <w:bookmarkStart w:id="60" w:name="_Toc17972"/>
      <w:bookmarkEnd w:id="60"/>
      <w:bookmarkStart w:id="61" w:name="_Toc369531498"/>
      <w:bookmarkEnd w:id="61"/>
      <w:bookmarkStart w:id="62" w:name="_Toc361508563"/>
      <w:bookmarkEnd w:id="62"/>
      <w:bookmarkStart w:id="63" w:name="_Toc352691456"/>
      <w:bookmarkEnd w:id="63"/>
      <w:bookmarkStart w:id="64" w:name="_Toc152042289"/>
      <w:bookmarkEnd w:id="64"/>
      <w:bookmarkStart w:id="65" w:name="_Toc247527536"/>
      <w:bookmarkEnd w:id="65"/>
      <w:bookmarkStart w:id="66" w:name="_Toc247513935"/>
      <w:bookmarkEnd w:id="66"/>
      <w:r>
        <w:rPr>
          <w:rFonts w:hint="eastAsia" w:ascii="宋体" w:hAnsi="宋体" w:cs="宋体"/>
          <w:bCs/>
          <w:szCs w:val="24"/>
          <w:highlight w:val="none"/>
        </w:rPr>
        <w:t>采 购 人：中国煤炭开发有限责任公司</w:t>
      </w:r>
    </w:p>
    <w:p>
      <w:pPr>
        <w:adjustRightInd/>
        <w:snapToGrid/>
        <w:ind w:firstLine="480"/>
        <w:jc w:val="left"/>
        <w:rPr>
          <w:rFonts w:ascii="宋体" w:hAnsi="宋体" w:cs="宋体"/>
          <w:bCs/>
          <w:szCs w:val="24"/>
          <w:highlight w:val="none"/>
        </w:rPr>
      </w:pPr>
      <w:r>
        <w:rPr>
          <w:rFonts w:hint="eastAsia" w:ascii="宋体" w:hAnsi="宋体" w:cs="宋体"/>
          <w:bCs/>
          <w:szCs w:val="24"/>
          <w:highlight w:val="none"/>
        </w:rPr>
        <w:t>地    址：北京市东城区安定门外大街乙88号中煤大厦</w:t>
      </w:r>
    </w:p>
    <w:p>
      <w:pPr>
        <w:pStyle w:val="8"/>
        <w:adjustRightInd/>
        <w:snapToGrid/>
        <w:ind w:firstLine="480"/>
        <w:rPr>
          <w:rFonts w:ascii="宋体" w:hAnsi="宋体" w:cs="宋体"/>
          <w:szCs w:val="24"/>
          <w:highlight w:val="none"/>
        </w:rPr>
      </w:pPr>
      <w:r>
        <w:rPr>
          <w:rFonts w:hint="eastAsia" w:ascii="宋体" w:hAnsi="宋体" w:cs="宋体"/>
          <w:szCs w:val="24"/>
          <w:highlight w:val="none"/>
        </w:rPr>
        <w:t>邮编：100011</w:t>
      </w:r>
    </w:p>
    <w:p>
      <w:pPr>
        <w:adjustRightInd/>
        <w:snapToGrid/>
        <w:ind w:firstLine="480"/>
        <w:jc w:val="left"/>
        <w:rPr>
          <w:rFonts w:ascii="宋体" w:hAnsi="宋体" w:cs="宋体"/>
          <w:bCs/>
          <w:szCs w:val="24"/>
          <w:highlight w:val="none"/>
        </w:rPr>
      </w:pPr>
      <w:r>
        <w:rPr>
          <w:rFonts w:hint="eastAsia" w:ascii="宋体" w:hAnsi="宋体" w:cs="宋体"/>
          <w:bCs/>
          <w:szCs w:val="24"/>
          <w:highlight w:val="none"/>
        </w:rPr>
        <w:t>联 系 人：杨洁、皮耸</w:t>
      </w:r>
    </w:p>
    <w:p>
      <w:pPr>
        <w:adjustRightInd/>
        <w:snapToGrid/>
        <w:ind w:firstLine="480"/>
        <w:jc w:val="left"/>
        <w:rPr>
          <w:rFonts w:ascii="宋体" w:hAnsi="宋体" w:cs="宋体"/>
          <w:bCs/>
          <w:szCs w:val="24"/>
          <w:highlight w:val="none"/>
        </w:rPr>
      </w:pPr>
      <w:r>
        <w:rPr>
          <w:rFonts w:hint="eastAsia" w:ascii="宋体" w:hAnsi="宋体" w:cs="宋体"/>
          <w:bCs/>
          <w:szCs w:val="24"/>
          <w:highlight w:val="none"/>
        </w:rPr>
        <w:t>电    话：13811440128、18618228796</w:t>
      </w:r>
    </w:p>
    <w:p>
      <w:pPr>
        <w:adjustRightInd/>
        <w:snapToGrid/>
        <w:ind w:firstLine="480"/>
        <w:jc w:val="left"/>
        <w:rPr>
          <w:rFonts w:ascii="宋体" w:hAnsi="宋体" w:cs="宋体"/>
          <w:bCs/>
          <w:szCs w:val="24"/>
          <w:highlight w:val="none"/>
        </w:rPr>
      </w:pPr>
    </w:p>
    <w:p>
      <w:pPr>
        <w:ind w:firstLine="480"/>
        <w:rPr>
          <w:rFonts w:ascii="宋体" w:hAnsi="宋体" w:cs="宋体"/>
          <w:bCs/>
          <w:szCs w:val="21"/>
          <w:highlight w:val="none"/>
        </w:rPr>
      </w:pPr>
      <w:r>
        <w:rPr>
          <w:rFonts w:hint="eastAsia" w:ascii="宋体" w:hAnsi="宋体" w:cs="宋体"/>
          <w:bCs/>
          <w:szCs w:val="21"/>
          <w:highlight w:val="none"/>
        </w:rPr>
        <w:t>报价过程中如有项目信息疑问，请与项目联系人沟通。如有操作疑问，请咨询平台客户服务中心，联系方式如下：</w:t>
      </w:r>
    </w:p>
    <w:p>
      <w:pPr>
        <w:ind w:firstLine="480"/>
        <w:rPr>
          <w:rFonts w:ascii="宋体" w:hAnsi="宋体" w:cs="宋体"/>
          <w:bCs/>
          <w:szCs w:val="21"/>
          <w:highlight w:val="none"/>
        </w:rPr>
      </w:pPr>
      <w:r>
        <w:rPr>
          <w:rFonts w:hint="eastAsia" w:ascii="宋体" w:hAnsi="宋体" w:cs="宋体"/>
          <w:bCs/>
          <w:szCs w:val="21"/>
          <w:highlight w:val="none"/>
        </w:rPr>
        <w:t>地址：北京市东城区安定门外大街乙88号中煤大厦</w:t>
      </w:r>
    </w:p>
    <w:p>
      <w:pPr>
        <w:ind w:firstLine="480"/>
        <w:rPr>
          <w:rFonts w:ascii="宋体" w:hAnsi="宋体" w:cs="宋体"/>
          <w:bCs/>
          <w:szCs w:val="21"/>
          <w:highlight w:val="none"/>
        </w:rPr>
      </w:pPr>
      <w:r>
        <w:rPr>
          <w:rFonts w:hint="eastAsia" w:ascii="宋体" w:hAnsi="宋体" w:cs="宋体"/>
          <w:bCs/>
          <w:szCs w:val="21"/>
          <w:highlight w:val="none"/>
        </w:rPr>
        <w:t>工作时间：工作日 8:30-11:30  13:30-17:00</w:t>
      </w:r>
    </w:p>
    <w:p>
      <w:pPr>
        <w:ind w:firstLine="480"/>
        <w:rPr>
          <w:rFonts w:ascii="宋体" w:hAnsi="宋体" w:cs="宋体"/>
          <w:bCs/>
          <w:szCs w:val="21"/>
          <w:highlight w:val="none"/>
        </w:rPr>
      </w:pPr>
      <w:r>
        <w:rPr>
          <w:rFonts w:hint="eastAsia" w:ascii="宋体" w:hAnsi="宋体" w:cs="宋体"/>
          <w:bCs/>
          <w:szCs w:val="21"/>
          <w:highlight w:val="none"/>
        </w:rPr>
        <w:t>客服联系电话：400-003-6677</w:t>
      </w:r>
    </w:p>
    <w:p>
      <w:pPr>
        <w:ind w:firstLine="480"/>
        <w:rPr>
          <w:rFonts w:ascii="宋体" w:hAnsi="宋体" w:cs="宋体"/>
          <w:bCs/>
          <w:szCs w:val="21"/>
          <w:highlight w:val="none"/>
        </w:rPr>
      </w:pPr>
      <w:r>
        <w:rPr>
          <w:rFonts w:hint="eastAsia" w:ascii="宋体" w:hAnsi="宋体" w:cs="宋体"/>
          <w:bCs/>
          <w:szCs w:val="21"/>
          <w:highlight w:val="none"/>
        </w:rPr>
        <w:t>客服联系QQ：8000-34808</w:t>
      </w:r>
    </w:p>
    <w:p>
      <w:pPr>
        <w:ind w:firstLine="480"/>
        <w:rPr>
          <w:rFonts w:ascii="宋体" w:hAnsi="宋体" w:cs="宋体"/>
          <w:bCs/>
          <w:szCs w:val="21"/>
          <w:highlight w:val="none"/>
        </w:rPr>
      </w:pPr>
      <w:r>
        <w:rPr>
          <w:rFonts w:hint="eastAsia" w:ascii="宋体" w:hAnsi="宋体" w:cs="宋体"/>
          <w:bCs/>
          <w:szCs w:val="21"/>
          <w:highlight w:val="none"/>
        </w:rPr>
        <w:t>CA联系电话：021-962600</w:t>
      </w:r>
    </w:p>
    <w:bookmarkEnd w:id="32"/>
    <w:bookmarkEnd w:id="33"/>
    <w:p>
      <w:pPr>
        <w:pStyle w:val="89"/>
        <w:ind w:firstLine="482"/>
        <w:jc w:val="center"/>
        <w:rPr>
          <w:rFonts w:ascii="Times New Roman" w:cs="宋体"/>
          <w:b/>
          <w:bCs/>
          <w:kern w:val="0"/>
          <w:sz w:val="24"/>
          <w:szCs w:val="24"/>
          <w:highlight w:val="none"/>
        </w:rPr>
      </w:pPr>
      <w:r>
        <w:rPr>
          <w:rFonts w:ascii="Times New Roman" w:cs="宋体"/>
          <w:b/>
          <w:bCs/>
          <w:kern w:val="0"/>
          <w:sz w:val="24"/>
          <w:szCs w:val="24"/>
          <w:highlight w:val="none"/>
        </w:rPr>
        <w:br w:type="page"/>
      </w:r>
      <w:bookmarkStart w:id="67" w:name="_Toc47416177"/>
      <w:bookmarkStart w:id="68" w:name="_Toc47415923"/>
      <w:bookmarkStart w:id="69" w:name="_Toc49019216"/>
    </w:p>
    <w:p>
      <w:pPr>
        <w:pStyle w:val="25"/>
        <w:keepNext/>
        <w:keepLines/>
        <w:pageBreakBefore w:val="0"/>
        <w:widowControl w:val="0"/>
        <w:numPr>
          <w:ilvl w:val="0"/>
          <w:numId w:val="1"/>
        </w:numPr>
        <w:kinsoku/>
        <w:wordWrap/>
        <w:overflowPunct/>
        <w:topLinePunct w:val="0"/>
        <w:autoSpaceDE/>
        <w:autoSpaceDN/>
        <w:bidi w:val="0"/>
        <w:adjustRightInd w:val="0"/>
        <w:snapToGrid w:val="0"/>
        <w:spacing w:before="0" w:beforeLines="0" w:line="560" w:lineRule="exact"/>
        <w:textAlignment w:val="auto"/>
        <w:rPr>
          <w:rFonts w:ascii="Times New Roman" w:hAnsi="Times New Roman"/>
          <w:highlight w:val="none"/>
        </w:rPr>
      </w:pPr>
      <w:bookmarkStart w:id="70" w:name="_Toc15939"/>
      <w:bookmarkStart w:id="71" w:name="_Toc28434"/>
      <w:r>
        <w:rPr>
          <w:rFonts w:hint="eastAsia" w:ascii="Times New Roman" w:hAnsi="Times New Roman"/>
          <w:highlight w:val="none"/>
        </w:rPr>
        <w:t>供应商须知</w:t>
      </w:r>
      <w:bookmarkEnd w:id="67"/>
      <w:bookmarkEnd w:id="68"/>
      <w:bookmarkEnd w:id="69"/>
      <w:r>
        <w:rPr>
          <w:rFonts w:hint="eastAsia" w:ascii="Times New Roman" w:hAnsi="Times New Roman"/>
          <w:highlight w:val="none"/>
        </w:rPr>
        <w:t>及前附表</w:t>
      </w:r>
      <w:bookmarkEnd w:id="70"/>
      <w:bookmarkEnd w:id="71"/>
    </w:p>
    <w:p>
      <w:pPr>
        <w:pStyle w:val="2"/>
        <w:keepNext/>
        <w:keepLines/>
        <w:pageBreakBefore w:val="0"/>
        <w:widowControl w:val="0"/>
        <w:kinsoku/>
        <w:wordWrap/>
        <w:overflowPunct/>
        <w:topLinePunct w:val="0"/>
        <w:autoSpaceDE/>
        <w:autoSpaceDN/>
        <w:bidi w:val="0"/>
        <w:adjustRightInd w:val="0"/>
        <w:snapToGrid w:val="0"/>
        <w:spacing w:before="0" w:beforeLines="0" w:after="164" w:afterLines="50"/>
        <w:jc w:val="center"/>
        <w:textAlignment w:val="auto"/>
        <w:rPr>
          <w:rFonts w:ascii="Times New Roman" w:hAnsi="Times New Roman"/>
          <w:highlight w:val="none"/>
        </w:rPr>
      </w:pPr>
      <w:bookmarkStart w:id="72" w:name="_Toc6770"/>
      <w:bookmarkStart w:id="73" w:name="_Toc19875"/>
      <w:r>
        <w:rPr>
          <w:rFonts w:hint="eastAsia" w:ascii="Times New Roman" w:hAnsi="Times New Roman"/>
          <w:highlight w:val="none"/>
        </w:rPr>
        <w:t>供应商须知前附表</w:t>
      </w:r>
      <w:bookmarkEnd w:id="72"/>
      <w:bookmarkEnd w:id="73"/>
    </w:p>
    <w:tbl>
      <w:tblPr>
        <w:tblStyle w:val="27"/>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4"/>
        <w:gridCol w:w="183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jc w:val="center"/>
              <w:rPr>
                <w:rFonts w:ascii="Times New Roman" w:hAnsi="Times New Roman"/>
                <w:highlight w:val="none"/>
              </w:rPr>
            </w:pPr>
            <w:r>
              <w:rPr>
                <w:rFonts w:hint="eastAsia" w:ascii="Times New Roman" w:hAnsi="Times New Roman"/>
                <w:highlight w:val="none"/>
              </w:rPr>
              <w:t>条款号</w:t>
            </w:r>
          </w:p>
        </w:tc>
        <w:tc>
          <w:tcPr>
            <w:tcW w:w="1832" w:type="dxa"/>
            <w:vAlign w:val="center"/>
          </w:tcPr>
          <w:p>
            <w:pPr>
              <w:pStyle w:val="81"/>
              <w:jc w:val="center"/>
              <w:rPr>
                <w:rFonts w:ascii="Times New Roman" w:hAnsi="Times New Roman"/>
                <w:highlight w:val="none"/>
              </w:rPr>
            </w:pPr>
            <w:r>
              <w:rPr>
                <w:rFonts w:hint="eastAsia" w:ascii="Times New Roman" w:hAnsi="Times New Roman"/>
                <w:highlight w:val="none"/>
              </w:rPr>
              <w:t>条款名称</w:t>
            </w:r>
          </w:p>
        </w:tc>
        <w:tc>
          <w:tcPr>
            <w:tcW w:w="6463" w:type="dxa"/>
            <w:vAlign w:val="center"/>
          </w:tcPr>
          <w:p>
            <w:pPr>
              <w:pStyle w:val="81"/>
              <w:jc w:val="center"/>
              <w:rPr>
                <w:rFonts w:ascii="Times New Roman" w:hAnsi="Times New Roman"/>
                <w:highlight w:val="none"/>
              </w:rPr>
            </w:pPr>
            <w:r>
              <w:rPr>
                <w:rFonts w:hint="eastAsia" w:ascii="Times New Roman" w:hAnsi="Times New Roman"/>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jc w:val="center"/>
              <w:rPr>
                <w:rFonts w:ascii="Times New Roman" w:hAnsi="Times New Roman"/>
                <w:highlight w:val="none"/>
              </w:rPr>
            </w:pPr>
            <w:r>
              <w:rPr>
                <w:rFonts w:hint="eastAsia" w:ascii="Times New Roman" w:hAnsi="Times New Roman"/>
                <w:highlight w:val="none"/>
              </w:rPr>
              <w:t>2.1</w:t>
            </w:r>
          </w:p>
        </w:tc>
        <w:tc>
          <w:tcPr>
            <w:tcW w:w="1832" w:type="dxa"/>
            <w:vAlign w:val="center"/>
          </w:tcPr>
          <w:p>
            <w:pPr>
              <w:pStyle w:val="81"/>
              <w:rPr>
                <w:rFonts w:ascii="Times New Roman" w:hAnsi="Times New Roman" w:cs="Arial"/>
                <w:highlight w:val="none"/>
              </w:rPr>
            </w:pPr>
            <w:r>
              <w:rPr>
                <w:rFonts w:hint="eastAsia" w:ascii="Times New Roman" w:hAnsi="Times New Roman" w:cs="Arial"/>
                <w:highlight w:val="none"/>
              </w:rPr>
              <w:t>采购人及联系方式</w:t>
            </w:r>
          </w:p>
        </w:tc>
        <w:tc>
          <w:tcPr>
            <w:tcW w:w="6463" w:type="dxa"/>
            <w:vAlign w:val="center"/>
          </w:tcPr>
          <w:p>
            <w:pPr>
              <w:pStyle w:val="81"/>
              <w:rPr>
                <w:rFonts w:ascii="Times New Roman" w:hAnsi="Times New Roman" w:cs="Arial"/>
                <w:highlight w:val="none"/>
              </w:rPr>
            </w:pPr>
            <w:r>
              <w:rPr>
                <w:rFonts w:hint="eastAsia" w:ascii="Times New Roman" w:hAnsi="Times New Roman" w:cs="Arial"/>
                <w:highlight w:val="none"/>
              </w:rPr>
              <w:t>详见第一章采购公告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spacing w:line="240" w:lineRule="exact"/>
              <w:jc w:val="center"/>
              <w:rPr>
                <w:rFonts w:ascii="Times New Roman" w:hAnsi="Times New Roman"/>
                <w:highlight w:val="none"/>
              </w:rPr>
            </w:pPr>
            <w:r>
              <w:rPr>
                <w:rFonts w:hint="eastAsia" w:ascii="Times New Roman" w:hAnsi="Times New Roman"/>
                <w:highlight w:val="none"/>
              </w:rPr>
              <w:t>4.1</w:t>
            </w:r>
          </w:p>
        </w:tc>
        <w:tc>
          <w:tcPr>
            <w:tcW w:w="1832" w:type="dxa"/>
            <w:vAlign w:val="center"/>
          </w:tcPr>
          <w:p>
            <w:pPr>
              <w:pStyle w:val="81"/>
              <w:spacing w:line="240" w:lineRule="exact"/>
              <w:rPr>
                <w:rFonts w:ascii="Times New Roman" w:hAnsi="Times New Roman" w:cs="宋体"/>
                <w:color w:val="000000"/>
                <w:highlight w:val="none"/>
              </w:rPr>
            </w:pPr>
            <w:r>
              <w:rPr>
                <w:rFonts w:hint="eastAsia" w:ascii="Times New Roman" w:hAnsi="Times New Roman" w:cs="宋体"/>
                <w:color w:val="000000"/>
                <w:highlight w:val="none"/>
              </w:rPr>
              <w:t>踏勘现场</w:t>
            </w:r>
          </w:p>
        </w:tc>
        <w:tc>
          <w:tcPr>
            <w:tcW w:w="6463" w:type="dxa"/>
            <w:vAlign w:val="center"/>
          </w:tcPr>
          <w:p>
            <w:pPr>
              <w:pStyle w:val="81"/>
              <w:spacing w:line="240" w:lineRule="exact"/>
              <w:rPr>
                <w:rFonts w:ascii="Times New Roman" w:hAnsi="Times New Roman" w:cs="宋体"/>
                <w:color w:val="000000"/>
                <w:highlight w:val="none"/>
              </w:rPr>
            </w:pPr>
            <w:r>
              <w:rPr>
                <w:rFonts w:ascii="Times New Roman" w:hAnsi="Times New Roman"/>
                <w:highlight w:val="none"/>
              </w:rPr>
              <w:sym w:font="Wingdings 2" w:char="0052"/>
            </w:r>
            <w:r>
              <w:rPr>
                <w:rFonts w:hint="eastAsia" w:ascii="Times New Roman" w:hAnsi="Times New Roman" w:cs="宋体"/>
                <w:color w:val="000000"/>
                <w:highlight w:val="none"/>
              </w:rPr>
              <w:t>不组织</w:t>
            </w:r>
          </w:p>
          <w:p>
            <w:pPr>
              <w:pStyle w:val="81"/>
              <w:spacing w:line="240" w:lineRule="exact"/>
              <w:rPr>
                <w:rFonts w:ascii="Times New Roman" w:hAnsi="Times New Roman" w:cs="宋体"/>
                <w:color w:val="000000"/>
                <w:highlight w:val="none"/>
              </w:rPr>
            </w:pPr>
            <w:r>
              <w:rPr>
                <w:rFonts w:ascii="Times New Roman" w:hAnsi="Times New Roman"/>
                <w:highlight w:val="none"/>
              </w:rPr>
              <w:sym w:font="Wingdings 2" w:char="00A3"/>
            </w:r>
            <w:r>
              <w:rPr>
                <w:rFonts w:hint="eastAsia" w:ascii="Times New Roman" w:hAnsi="Times New Roman" w:cs="宋体"/>
                <w:color w:val="000000"/>
                <w:highlight w:val="none"/>
              </w:rPr>
              <w:t>组织，踏勘时间：</w:t>
            </w:r>
            <w:r>
              <w:rPr>
                <w:rFonts w:hint="eastAsia" w:ascii="Times New Roman" w:hAnsi="Times New Roman" w:cs="宋体"/>
                <w:color w:val="000000"/>
                <w:highlight w:val="none"/>
                <w:u w:val="single"/>
              </w:rPr>
              <w:t>项目期间</w:t>
            </w:r>
          </w:p>
          <w:p>
            <w:pPr>
              <w:pStyle w:val="81"/>
              <w:spacing w:line="240" w:lineRule="exact"/>
              <w:rPr>
                <w:rFonts w:ascii="Times New Roman" w:hAnsi="Times New Roman" w:cs="宋体"/>
                <w:color w:val="000000"/>
                <w:highlight w:val="none"/>
              </w:rPr>
            </w:pPr>
            <w:r>
              <w:rPr>
                <w:rFonts w:hint="eastAsia" w:ascii="Times New Roman" w:hAnsi="Times New Roman" w:cs="宋体"/>
                <w:color w:val="000000"/>
                <w:highlight w:val="none"/>
              </w:rPr>
              <w:t>踏勘集中地点：</w:t>
            </w:r>
            <w:r>
              <w:rPr>
                <w:rFonts w:hint="eastAsia" w:ascii="Times New Roman" w:hAnsi="Times New Roman" w:cs="宋体"/>
                <w:color w:val="000000"/>
                <w:highlight w:val="none"/>
                <w:u w:val="single"/>
                <w:lang w:val="en-US" w:eastAsia="zh-CN"/>
              </w:rPr>
              <w:t xml:space="preserve"> </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highlight w:val="none"/>
              </w:rPr>
            </w:pPr>
            <w:r>
              <w:rPr>
                <w:rFonts w:hint="eastAsia" w:ascii="Times New Roman" w:hAnsi="Times New Roman"/>
                <w:highlight w:val="none"/>
              </w:rPr>
              <w:t>9.5</w:t>
            </w:r>
          </w:p>
        </w:tc>
        <w:tc>
          <w:tcPr>
            <w:tcW w:w="1832" w:type="dxa"/>
            <w:vAlign w:val="center"/>
          </w:tcPr>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t>最高限价</w:t>
            </w:r>
          </w:p>
        </w:tc>
        <w:tc>
          <w:tcPr>
            <w:tcW w:w="6463" w:type="dxa"/>
            <w:vAlign w:val="center"/>
          </w:tcPr>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sym w:font="Wingdings 2" w:char="0052"/>
            </w:r>
            <w:r>
              <w:rPr>
                <w:rFonts w:ascii="Times New Roman" w:hAnsi="Times New Roman"/>
                <w:highlight w:val="none"/>
              </w:rPr>
              <w:t>无</w:t>
            </w:r>
          </w:p>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sym w:font="Wingdings 2" w:char="00A3"/>
            </w:r>
            <w:r>
              <w:rPr>
                <w:rFonts w:ascii="Times New Roman" w:hAnsi="Times New Roman"/>
                <w:highlight w:val="none"/>
              </w:rPr>
              <w:t>有，最高限价：</w:t>
            </w:r>
            <w:r>
              <w:rPr>
                <w:rFonts w:hint="eastAsia" w:ascii="Times New Roman" w:hAnsi="Times New Roman"/>
                <w:highlight w:val="none"/>
                <w:u w:val="single"/>
              </w:rPr>
              <w:t xml:space="preserve">            </w:t>
            </w:r>
            <w:r>
              <w:rPr>
                <w:rFonts w:ascii="Times New Roman" w:hAnsi="Times New Roman"/>
                <w:highlight w:val="none"/>
                <w:u w:val="single"/>
              </w:rPr>
              <w:t xml:space="preserve">       </w:t>
            </w:r>
            <w:r>
              <w:rPr>
                <w:rFonts w:hint="eastAsia" w:ascii="Times New Roman" w:hAnsi="Times New Roman"/>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highlight w:val="none"/>
              </w:rPr>
            </w:pPr>
            <w:r>
              <w:rPr>
                <w:rFonts w:hint="eastAsia" w:ascii="Times New Roman" w:hAnsi="Times New Roman"/>
                <w:highlight w:val="none"/>
              </w:rPr>
              <w:t>9.6</w:t>
            </w:r>
          </w:p>
        </w:tc>
        <w:tc>
          <w:tcPr>
            <w:tcW w:w="1832" w:type="dxa"/>
            <w:vAlign w:val="center"/>
          </w:tcPr>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ascii="Times New Roman" w:hAnsi="Times New Roman" w:cs="宋体"/>
                <w:szCs w:val="24"/>
                <w:highlight w:val="none"/>
              </w:rPr>
              <w:t>采购代理服务费</w:t>
            </w:r>
          </w:p>
        </w:tc>
        <w:tc>
          <w:tcPr>
            <w:tcW w:w="6463" w:type="dxa"/>
            <w:vAlign w:val="center"/>
          </w:tcPr>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ascii="Times New Roman" w:hAnsi="Times New Roman"/>
                <w:highlight w:val="none"/>
              </w:rPr>
              <w:sym w:font="Wingdings 2" w:char="0052"/>
            </w:r>
            <w:r>
              <w:rPr>
                <w:rFonts w:ascii="Times New Roman" w:hAnsi="Times New Roman"/>
                <w:highlight w:val="none"/>
              </w:rPr>
              <w:t>无</w:t>
            </w:r>
            <w:r>
              <w:rPr>
                <w:rFonts w:ascii="Times New Roman" w:hAnsi="Times New Roman"/>
                <w:highlight w:val="none"/>
              </w:rPr>
              <w:br w:type="textWrapping"/>
            </w:r>
            <w:r>
              <w:rPr>
                <w:rFonts w:ascii="Times New Roman" w:hAnsi="Times New Roman"/>
                <w:highlight w:val="none"/>
              </w:rPr>
              <w:sym w:font="Wingdings 2" w:char="00A3"/>
            </w:r>
            <w:r>
              <w:rPr>
                <w:rFonts w:ascii="Times New Roman" w:hAnsi="Times New Roman"/>
                <w:highlight w:val="none"/>
              </w:rPr>
              <w:t xml:space="preserve">有，服务费收取标准： </w:t>
            </w:r>
            <w:r>
              <w:rPr>
                <w:rFonts w:hint="eastAsia" w:ascii="Times New Roman" w:hAnsi="Times New Roman"/>
                <w:highlight w:val="none"/>
                <w:u w:val="single"/>
              </w:rPr>
              <w:t xml:space="preserve">      </w:t>
            </w:r>
            <w:r>
              <w:rPr>
                <w:rFonts w:ascii="Times New Roman" w:hAnsi="Times New Roman"/>
                <w:highlight w:val="none"/>
                <w:u w:val="single"/>
              </w:rPr>
              <w:t xml:space="preserve"> </w:t>
            </w:r>
            <w:r>
              <w:rPr>
                <w:rFonts w:hint="eastAsia" w:ascii="Times New Roman" w:hAnsi="Times New Roman"/>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spacing w:line="240" w:lineRule="exact"/>
              <w:jc w:val="center"/>
              <w:rPr>
                <w:rFonts w:ascii="Times New Roman" w:hAnsi="Times New Roman"/>
                <w:highlight w:val="none"/>
              </w:rPr>
            </w:pPr>
            <w:r>
              <w:rPr>
                <w:rFonts w:hint="eastAsia" w:ascii="Times New Roman" w:hAnsi="Times New Roman"/>
                <w:highlight w:val="none"/>
              </w:rPr>
              <w:t>9.7</w:t>
            </w:r>
          </w:p>
        </w:tc>
        <w:tc>
          <w:tcPr>
            <w:tcW w:w="1832" w:type="dxa"/>
            <w:vAlign w:val="center"/>
          </w:tcPr>
          <w:p>
            <w:pPr>
              <w:pStyle w:val="81"/>
              <w:spacing w:line="240" w:lineRule="exact"/>
              <w:rPr>
                <w:rFonts w:ascii="Times New Roman" w:hAnsi="Times New Roman"/>
                <w:highlight w:val="none"/>
              </w:rPr>
            </w:pPr>
            <w:r>
              <w:rPr>
                <w:rFonts w:hint="eastAsia" w:ascii="Times New Roman" w:hAnsi="Times New Roman" w:cs="宋体"/>
                <w:szCs w:val="24"/>
                <w:highlight w:val="none"/>
              </w:rPr>
              <w:t>供应商报价的其他要求</w:t>
            </w:r>
          </w:p>
        </w:tc>
        <w:tc>
          <w:tcPr>
            <w:tcW w:w="6463" w:type="dxa"/>
            <w:vAlign w:val="center"/>
          </w:tcPr>
          <w:p>
            <w:pPr>
              <w:pStyle w:val="81"/>
              <w:spacing w:line="240" w:lineRule="exact"/>
              <w:rPr>
                <w:rFonts w:ascii="Times New Roman" w:hAnsi="Times New Roman"/>
                <w:highlight w:val="none"/>
              </w:rPr>
            </w:pPr>
            <w:r>
              <w:rPr>
                <w:rFonts w:hint="eastAsia" w:ascii="Times New Roman" w:hAnsi="Times New Roman"/>
                <w:highlight w:val="none"/>
              </w:rPr>
              <w:t>采购人指定的增值税税种：</w:t>
            </w:r>
          </w:p>
          <w:p>
            <w:pPr>
              <w:pStyle w:val="81"/>
              <w:spacing w:line="240" w:lineRule="exact"/>
              <w:rPr>
                <w:rFonts w:ascii="Times New Roman" w:hAnsi="Times New Roman"/>
                <w:highlight w:val="none"/>
              </w:rPr>
            </w:pPr>
            <w:r>
              <w:rPr>
                <w:rFonts w:hint="eastAsia" w:ascii="Times New Roman" w:hAnsi="Times New Roman"/>
                <w:highlight w:val="none"/>
              </w:rPr>
              <w:sym w:font="Wingdings 2" w:char="0052"/>
            </w:r>
            <w:r>
              <w:rPr>
                <w:rFonts w:hint="eastAsia" w:ascii="Times New Roman" w:hAnsi="Times New Roman"/>
                <w:highlight w:val="none"/>
              </w:rPr>
              <w:t>提供增值税专用发票；</w:t>
            </w:r>
          </w:p>
          <w:p>
            <w:pPr>
              <w:pStyle w:val="81"/>
              <w:spacing w:line="240" w:lineRule="exact"/>
              <w:rPr>
                <w:rFonts w:ascii="Times New Roman" w:hAnsi="Times New Roman"/>
                <w:highlight w:val="none"/>
              </w:rPr>
            </w:pPr>
            <w:r>
              <w:rPr>
                <w:rFonts w:hint="eastAsia" w:ascii="Times New Roman" w:hAnsi="Times New Roman"/>
                <w:highlight w:val="none"/>
              </w:rPr>
              <w:t>□提供增值税普通发票；</w:t>
            </w:r>
          </w:p>
          <w:p>
            <w:pPr>
              <w:pStyle w:val="81"/>
              <w:spacing w:line="240" w:lineRule="exact"/>
              <w:rPr>
                <w:rFonts w:ascii="Times New Roman" w:hAnsi="Times New Roman"/>
                <w:highlight w:val="none"/>
              </w:rPr>
            </w:pPr>
            <w:r>
              <w:rPr>
                <w:rFonts w:hint="eastAsia" w:ascii="Times New Roman" w:hAnsi="Times New Roman"/>
                <w:highlight w:val="none"/>
              </w:rPr>
              <w:t>□不限制。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spacing w:line="240" w:lineRule="exact"/>
              <w:jc w:val="center"/>
              <w:rPr>
                <w:rFonts w:ascii="Times New Roman" w:hAnsi="Times New Roman"/>
                <w:highlight w:val="none"/>
              </w:rPr>
            </w:pPr>
            <w:r>
              <w:rPr>
                <w:rFonts w:hint="eastAsia" w:ascii="Times New Roman" w:hAnsi="Times New Roman"/>
                <w:highlight w:val="none"/>
              </w:rPr>
              <w:t>10</w:t>
            </w:r>
          </w:p>
        </w:tc>
        <w:tc>
          <w:tcPr>
            <w:tcW w:w="1832" w:type="dxa"/>
            <w:vAlign w:val="center"/>
          </w:tcPr>
          <w:p>
            <w:pPr>
              <w:pStyle w:val="81"/>
              <w:spacing w:line="240" w:lineRule="exact"/>
              <w:rPr>
                <w:rFonts w:ascii="Times New Roman" w:hAnsi="Times New Roman"/>
                <w:highlight w:val="none"/>
              </w:rPr>
            </w:pPr>
            <w:r>
              <w:rPr>
                <w:rFonts w:hint="eastAsia" w:ascii="Times New Roman" w:hAnsi="Times New Roman"/>
                <w:highlight w:val="none"/>
              </w:rPr>
              <w:t>报价货币</w:t>
            </w:r>
          </w:p>
        </w:tc>
        <w:tc>
          <w:tcPr>
            <w:tcW w:w="6463" w:type="dxa"/>
            <w:vAlign w:val="center"/>
          </w:tcPr>
          <w:p>
            <w:pPr>
              <w:pStyle w:val="81"/>
              <w:spacing w:line="240" w:lineRule="exact"/>
              <w:rPr>
                <w:rFonts w:ascii="Times New Roman" w:hAnsi="Times New Roman"/>
                <w:highlight w:val="none"/>
              </w:rPr>
            </w:pPr>
            <w:r>
              <w:rPr>
                <w:rFonts w:hint="eastAsia" w:ascii="Times New Roman" w:hAnsi="Times New Roman"/>
                <w:highlight w:val="none"/>
              </w:rPr>
              <w:sym w:font="Wingdings 2" w:char="0052"/>
            </w:r>
            <w:r>
              <w:rPr>
                <w:rFonts w:hint="eastAsia" w:ascii="Times New Roman" w:hAnsi="Times New Roman"/>
                <w:highlight w:val="none"/>
              </w:rPr>
              <w:t>人民币</w:t>
            </w:r>
          </w:p>
          <w:p>
            <w:pPr>
              <w:pStyle w:val="81"/>
              <w:spacing w:line="240" w:lineRule="exact"/>
              <w:rPr>
                <w:rFonts w:ascii="Times New Roman" w:hAnsi="Times New Roman"/>
                <w:highlight w:val="none"/>
              </w:rPr>
            </w:pPr>
            <w:r>
              <w:rPr>
                <w:rFonts w:hint="eastAsia" w:ascii="Times New Roman" w:hAnsi="Times New Roman"/>
                <w:highlight w:val="none"/>
              </w:rPr>
              <w:t>□其他：</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spacing w:line="240" w:lineRule="exact"/>
              <w:jc w:val="center"/>
              <w:rPr>
                <w:rFonts w:ascii="Times New Roman" w:hAnsi="Times New Roman"/>
                <w:highlight w:val="none"/>
              </w:rPr>
            </w:pPr>
            <w:r>
              <w:rPr>
                <w:rFonts w:hint="eastAsia" w:ascii="Times New Roman" w:hAnsi="Times New Roman"/>
                <w:highlight w:val="none"/>
              </w:rPr>
              <w:t>11.1</w:t>
            </w:r>
          </w:p>
        </w:tc>
        <w:tc>
          <w:tcPr>
            <w:tcW w:w="1832" w:type="dxa"/>
            <w:vAlign w:val="center"/>
          </w:tcPr>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Arial"/>
                <w:highlight w:val="none"/>
              </w:rPr>
            </w:pPr>
            <w:r>
              <w:rPr>
                <w:rFonts w:hint="eastAsia" w:ascii="Times New Roman" w:hAnsi="Times New Roman" w:cs="Arial"/>
                <w:highlight w:val="none"/>
              </w:rPr>
              <w:t>报价保证金</w:t>
            </w:r>
          </w:p>
        </w:tc>
        <w:tc>
          <w:tcPr>
            <w:tcW w:w="6463" w:type="dxa"/>
            <w:vAlign w:val="center"/>
          </w:tcPr>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sym w:font="Wingdings 2" w:char="0052"/>
            </w:r>
            <w:r>
              <w:rPr>
                <w:rFonts w:hint="eastAsia" w:ascii="Times New Roman" w:hAnsi="Times New Roman"/>
                <w:highlight w:val="none"/>
              </w:rPr>
              <w:t>无</w:t>
            </w:r>
          </w:p>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highlight w:val="none"/>
              </w:rPr>
              <w:t>□有</w:t>
            </w:r>
            <w:r>
              <w:rPr>
                <w:rFonts w:ascii="Times New Roman" w:hAnsi="Times New Roman" w:cs="宋体"/>
                <w:color w:val="000000"/>
                <w:highlight w:val="none"/>
              </w:rPr>
              <w:t>，</w:t>
            </w:r>
            <w:r>
              <w:rPr>
                <w:rFonts w:hint="eastAsia" w:ascii="Times New Roman" w:hAnsi="Times New Roman" w:cs="宋体"/>
                <w:color w:val="000000"/>
                <w:highlight w:val="none"/>
              </w:rPr>
              <w:t>按照以下</w:t>
            </w:r>
            <w:r>
              <w:rPr>
                <w:rFonts w:ascii="Times New Roman" w:hAnsi="Times New Roman" w:cs="宋体"/>
                <w:color w:val="000000"/>
                <w:highlight w:val="none"/>
              </w:rPr>
              <w:t>方式：</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保证金的金额：</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保证金的形式：</w:t>
            </w:r>
            <w:r>
              <w:rPr>
                <w:rFonts w:hint="eastAsia" w:ascii="Times New Roman" w:hAnsi="Times New Roman" w:cs="宋体"/>
                <w:color w:val="000000"/>
                <w:highlight w:val="none"/>
                <w:u w:val="single"/>
              </w:rPr>
              <w:t xml:space="preserve">       </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 xml:space="preserve">     </w:t>
            </w:r>
          </w:p>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保证金的递交截止时间为：</w:t>
            </w:r>
            <w:r>
              <w:rPr>
                <w:rFonts w:hint="eastAsia" w:ascii="Times New Roman" w:hAnsi="Times New Roman" w:cs="宋体"/>
                <w:color w:val="000000"/>
                <w:highlight w:val="none"/>
                <w:u w:val="single"/>
              </w:rPr>
              <w:t>__</w:t>
            </w:r>
            <w:r>
              <w:rPr>
                <w:rFonts w:ascii="Times New Roman" w:hAnsi="Times New Roman" w:cs="宋体"/>
                <w:color w:val="000000"/>
                <w:highlight w:val="none"/>
                <w:u w:val="single"/>
              </w:rPr>
              <w:t xml:space="preserve">  </w:t>
            </w:r>
            <w:r>
              <w:rPr>
                <w:rFonts w:hint="eastAsia" w:ascii="Times New Roman" w:hAnsi="Times New Roman" w:cs="宋体"/>
                <w:color w:val="000000"/>
                <w:highlight w:val="none"/>
                <w:u w:val="single"/>
              </w:rPr>
              <w:t>__</w:t>
            </w:r>
            <w:r>
              <w:rPr>
                <w:rFonts w:hint="eastAsia" w:ascii="Times New Roman" w:hAnsi="Times New Roman" w:cs="宋体"/>
                <w:color w:val="000000"/>
                <w:highlight w:val="none"/>
              </w:rPr>
              <w:t>年</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rPr>
              <w:t>月</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rPr>
              <w:t>日</w:t>
            </w:r>
            <w:r>
              <w:rPr>
                <w:rFonts w:hint="eastAsia" w:ascii="Times New Roman" w:hAnsi="Times New Roman" w:cs="宋体"/>
                <w:color w:val="000000"/>
                <w:highlight w:val="none"/>
                <w:u w:val="single"/>
              </w:rPr>
              <w:t xml:space="preserve">    </w:t>
            </w:r>
            <w:r>
              <w:rPr>
                <w:rFonts w:hint="eastAsia" w:ascii="Times New Roman" w:hAnsi="Times New Roman" w:cs="宋体"/>
                <w:color w:val="000000"/>
                <w:highlight w:val="none"/>
              </w:rPr>
              <w:t>时之前</w:t>
            </w:r>
          </w:p>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开户银行及账号如下：</w:t>
            </w:r>
          </w:p>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账户名称：</w:t>
            </w:r>
            <w:r>
              <w:rPr>
                <w:rFonts w:hint="eastAsia" w:ascii="Times New Roman" w:hAnsi="Times New Roman" w:cs="宋体"/>
                <w:color w:val="000000"/>
                <w:highlight w:val="none"/>
                <w:u w:val="single"/>
              </w:rPr>
              <w:t xml:space="preserve">                    </w:t>
            </w:r>
          </w:p>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宋体"/>
                <w:color w:val="000000"/>
                <w:highlight w:val="none"/>
                <w:u w:val="single"/>
              </w:rPr>
            </w:pPr>
            <w:r>
              <w:rPr>
                <w:rFonts w:hint="eastAsia" w:ascii="Times New Roman" w:hAnsi="Times New Roman" w:cs="宋体"/>
                <w:color w:val="000000"/>
                <w:highlight w:val="none"/>
              </w:rPr>
              <w:t>开户银行：</w:t>
            </w:r>
            <w:r>
              <w:rPr>
                <w:rFonts w:hint="eastAsia" w:ascii="Times New Roman" w:hAnsi="Times New Roman" w:cs="宋体"/>
                <w:color w:val="000000"/>
                <w:highlight w:val="none"/>
                <w:u w:val="single"/>
              </w:rPr>
              <w:t xml:space="preserve">                    </w:t>
            </w:r>
          </w:p>
          <w:p>
            <w:pPr>
              <w:pStyle w:val="81"/>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highlight w:val="none"/>
              </w:rPr>
            </w:pPr>
            <w:r>
              <w:rPr>
                <w:rFonts w:hint="eastAsia" w:ascii="Times New Roman" w:hAnsi="Times New Roman" w:cs="宋体"/>
                <w:color w:val="000000"/>
                <w:highlight w:val="none"/>
              </w:rPr>
              <w:t>账</w:t>
            </w:r>
            <w:r>
              <w:rPr>
                <w:rFonts w:ascii="Times New Roman" w:hAnsi="Times New Roman" w:cs="宋体"/>
                <w:color w:val="000000"/>
                <w:highlight w:val="none"/>
              </w:rPr>
              <w:t xml:space="preserve">  </w:t>
            </w:r>
            <w:r>
              <w:rPr>
                <w:rFonts w:hint="eastAsia" w:ascii="Times New Roman" w:hAnsi="Times New Roman" w:cs="宋体"/>
                <w:color w:val="000000"/>
                <w:highlight w:val="none"/>
              </w:rPr>
              <w:t xml:space="preserve">  号：</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jc w:val="center"/>
              <w:rPr>
                <w:rFonts w:ascii="Times New Roman" w:hAnsi="Times New Roman"/>
                <w:highlight w:val="none"/>
              </w:rPr>
            </w:pPr>
            <w:r>
              <w:rPr>
                <w:rFonts w:hint="eastAsia" w:ascii="Times New Roman" w:hAnsi="Times New Roman"/>
                <w:highlight w:val="none"/>
              </w:rPr>
              <w:t>12.1</w:t>
            </w:r>
          </w:p>
        </w:tc>
        <w:tc>
          <w:tcPr>
            <w:tcW w:w="1832" w:type="dxa"/>
            <w:vAlign w:val="center"/>
          </w:tcPr>
          <w:p>
            <w:pPr>
              <w:pStyle w:val="81"/>
              <w:rPr>
                <w:rFonts w:ascii="Times New Roman" w:hAnsi="Times New Roman"/>
                <w:highlight w:val="none"/>
              </w:rPr>
            </w:pPr>
            <w:r>
              <w:rPr>
                <w:rFonts w:hint="eastAsia" w:ascii="Times New Roman" w:hAnsi="Times New Roman"/>
                <w:highlight w:val="none"/>
              </w:rPr>
              <w:t>报价有效期</w:t>
            </w:r>
          </w:p>
        </w:tc>
        <w:tc>
          <w:tcPr>
            <w:tcW w:w="6463" w:type="dxa"/>
            <w:vAlign w:val="center"/>
          </w:tcPr>
          <w:p>
            <w:pPr>
              <w:pStyle w:val="81"/>
              <w:rPr>
                <w:rFonts w:ascii="Times New Roman" w:hAnsi="Times New Roman"/>
                <w:highlight w:val="none"/>
              </w:rPr>
            </w:pPr>
            <w:r>
              <w:rPr>
                <w:rFonts w:hint="eastAsia" w:ascii="Times New Roman" w:hAnsi="Times New Roman"/>
                <w:highlight w:val="none"/>
              </w:rPr>
              <w:t>自报价文件递交截止时间起</w:t>
            </w:r>
            <w:r>
              <w:rPr>
                <w:rFonts w:hint="eastAsia" w:ascii="Times New Roman" w:hAnsi="Times New Roman"/>
                <w:highlight w:val="none"/>
                <w:u w:val="single"/>
              </w:rPr>
              <w:t xml:space="preserve">    </w:t>
            </w:r>
            <w:r>
              <w:rPr>
                <w:rFonts w:hint="eastAsia" w:ascii="Times New Roman" w:hAnsi="Times New Roman"/>
                <w:highlight w:val="none"/>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jc w:val="center"/>
              <w:rPr>
                <w:rFonts w:ascii="Times New Roman" w:hAnsi="Times New Roman"/>
                <w:highlight w:val="none"/>
              </w:rPr>
            </w:pPr>
            <w:r>
              <w:rPr>
                <w:rFonts w:hint="eastAsia" w:ascii="Times New Roman" w:hAnsi="Times New Roman"/>
                <w:highlight w:val="none"/>
              </w:rPr>
              <w:t>16.2</w:t>
            </w:r>
          </w:p>
        </w:tc>
        <w:tc>
          <w:tcPr>
            <w:tcW w:w="1832" w:type="dxa"/>
            <w:vAlign w:val="center"/>
          </w:tcPr>
          <w:p>
            <w:pPr>
              <w:pStyle w:val="81"/>
              <w:rPr>
                <w:rFonts w:ascii="Times New Roman" w:hAnsi="Times New Roman"/>
                <w:highlight w:val="none"/>
              </w:rPr>
            </w:pPr>
            <w:r>
              <w:rPr>
                <w:rFonts w:hint="eastAsia" w:ascii="Times New Roman" w:hAnsi="Times New Roman"/>
                <w:highlight w:val="none"/>
              </w:rPr>
              <w:t>谈判时间及地点</w:t>
            </w:r>
          </w:p>
        </w:tc>
        <w:tc>
          <w:tcPr>
            <w:tcW w:w="6463" w:type="dxa"/>
            <w:vAlign w:val="center"/>
          </w:tcPr>
          <w:p>
            <w:pPr>
              <w:pStyle w:val="81"/>
              <w:rPr>
                <w:rFonts w:hint="eastAsia" w:ascii="Times New Roman" w:hAnsi="Times New Roman" w:cs="宋体"/>
                <w:color w:val="000000"/>
                <w:highlight w:val="none"/>
                <w:u w:val="single"/>
              </w:rPr>
            </w:pPr>
            <w:r>
              <w:rPr>
                <w:rFonts w:hint="eastAsia" w:ascii="Times New Roman" w:hAnsi="Times New Roman"/>
                <w:highlight w:val="none"/>
              </w:rPr>
              <w:t xml:space="preserve">谈判开始时间： </w:t>
            </w:r>
            <w:r>
              <w:rPr>
                <w:rFonts w:hint="eastAsia" w:ascii="Times New Roman" w:hAnsi="Times New Roman"/>
                <w:color w:val="auto"/>
                <w:highlight w:val="none"/>
              </w:rPr>
              <w:t>暂定202</w:t>
            </w:r>
            <w:r>
              <w:rPr>
                <w:rFonts w:hint="eastAsia" w:ascii="Times New Roman" w:hAnsi="Times New Roman"/>
                <w:color w:val="auto"/>
                <w:highlight w:val="none"/>
                <w:lang w:val="en-US" w:eastAsia="zh-CN"/>
              </w:rPr>
              <w:t>4</w:t>
            </w:r>
            <w:r>
              <w:rPr>
                <w:rFonts w:hint="eastAsia" w:ascii="Times New Roman" w:hAnsi="Times New Roman" w:cs="宋体"/>
                <w:color w:val="000000"/>
                <w:highlight w:val="none"/>
                <w:u w:val="single"/>
              </w:rPr>
              <w:t>年5月</w:t>
            </w:r>
            <w:r>
              <w:rPr>
                <w:rFonts w:hint="eastAsia" w:ascii="Times New Roman" w:hAnsi="Times New Roman" w:cs="宋体"/>
                <w:color w:val="000000"/>
                <w:highlight w:val="none"/>
                <w:u w:val="single"/>
                <w:lang w:val="en-US" w:eastAsia="zh-CN"/>
              </w:rPr>
              <w:t>22</w:t>
            </w:r>
            <w:r>
              <w:rPr>
                <w:rFonts w:hint="eastAsia" w:ascii="Times New Roman" w:hAnsi="Times New Roman" w:cs="宋体"/>
                <w:color w:val="000000"/>
                <w:highlight w:val="none"/>
                <w:u w:val="single"/>
              </w:rPr>
              <w:t>日上午</w:t>
            </w:r>
            <w:r>
              <w:rPr>
                <w:rFonts w:hint="eastAsia" w:ascii="Times New Roman" w:hAnsi="Times New Roman" w:cs="宋体"/>
                <w:color w:val="000000"/>
                <w:highlight w:val="none"/>
                <w:u w:val="single"/>
                <w:lang w:val="en-US" w:eastAsia="zh-CN"/>
              </w:rPr>
              <w:t>9</w:t>
            </w:r>
            <w:r>
              <w:rPr>
                <w:rFonts w:hint="eastAsia" w:ascii="Times New Roman" w:hAnsi="Times New Roman" w:cs="宋体"/>
                <w:color w:val="000000"/>
                <w:highlight w:val="none"/>
                <w:u w:val="single"/>
              </w:rPr>
              <w:t>点开始（谈判前，需要供应商</w:t>
            </w:r>
            <w:r>
              <w:rPr>
                <w:rFonts w:hint="eastAsia" w:ascii="Times New Roman" w:hAnsi="Times New Roman" w:cs="宋体"/>
                <w:color w:val="000000"/>
                <w:highlight w:val="none"/>
                <w:u w:val="single"/>
                <w:lang w:val="en-US" w:eastAsia="zh-CN"/>
              </w:rPr>
              <w:t>项目负责人</w:t>
            </w:r>
            <w:r>
              <w:rPr>
                <w:rFonts w:hint="eastAsia" w:ascii="Times New Roman" w:hAnsi="Times New Roman" w:cs="宋体"/>
                <w:color w:val="000000"/>
                <w:highlight w:val="none"/>
                <w:u w:val="single"/>
              </w:rPr>
              <w:t>先进行述标，述标时长控制在5分钟左右</w:t>
            </w:r>
            <w:r>
              <w:rPr>
                <w:rFonts w:hint="eastAsia" w:ascii="Times New Roman" w:hAnsi="Times New Roman" w:cs="宋体"/>
                <w:color w:val="000000"/>
                <w:highlight w:val="none"/>
                <w:u w:val="single"/>
                <w:lang w:val="en-US" w:eastAsia="zh-CN"/>
              </w:rPr>
              <w:t>。</w:t>
            </w:r>
            <w:r>
              <w:rPr>
                <w:rFonts w:hint="eastAsia" w:ascii="Times New Roman" w:hAnsi="Times New Roman" w:cs="宋体"/>
                <w:color w:val="000000"/>
                <w:highlight w:val="none"/>
                <w:u w:val="single"/>
              </w:rPr>
              <w:t>）</w:t>
            </w:r>
          </w:p>
          <w:p>
            <w:pPr>
              <w:pStyle w:val="81"/>
              <w:rPr>
                <w:rFonts w:ascii="Times New Roman" w:hAnsi="Times New Roman" w:cs="宋体"/>
                <w:color w:val="000000"/>
                <w:highlight w:val="none"/>
                <w:u w:val="single"/>
              </w:rPr>
            </w:pPr>
            <w:r>
              <w:rPr>
                <w:rFonts w:hint="eastAsia" w:ascii="Times New Roman" w:hAnsi="Times New Roman" w:cs="宋体"/>
                <w:color w:val="000000"/>
                <w:highlight w:val="none"/>
                <w:u w:val="single"/>
              </w:rPr>
              <w:t xml:space="preserve">谈判方式：  </w:t>
            </w:r>
            <w:r>
              <w:rPr>
                <w:rFonts w:hint="eastAsia" w:ascii="Times New Roman" w:hAnsi="Times New Roman" w:cs="宋体"/>
                <w:color w:val="000000"/>
                <w:highlight w:val="none"/>
                <w:u w:val="single"/>
                <w:lang w:val="en-US" w:eastAsia="zh-CN"/>
              </w:rPr>
              <w:t>腾讯会议视频谈判</w:t>
            </w:r>
            <w:r>
              <w:rPr>
                <w:rFonts w:hint="eastAsia" w:ascii="Times New Roman" w:hAnsi="Times New Roman" w:cs="宋体"/>
                <w:color w:val="000000"/>
                <w:highlight w:val="none"/>
                <w:u w:val="single"/>
              </w:rPr>
              <w:t xml:space="preserve"> </w:t>
            </w:r>
            <w:r>
              <w:rPr>
                <w:rFonts w:ascii="Times New Roman" w:hAnsi="Times New Roman" w:cs="宋体"/>
                <w:color w:val="auto"/>
                <w:highlight w:val="none"/>
                <w:u w:val="single"/>
              </w:rPr>
              <w:t xml:space="preserve">               </w:t>
            </w:r>
            <w:r>
              <w:rPr>
                <w:rFonts w:ascii="Times New Roman" w:hAnsi="Times New Roman" w:cs="宋体"/>
                <w:color w:val="000000"/>
                <w:highlight w:val="none"/>
                <w:u w:val="single"/>
              </w:rPr>
              <w:t xml:space="preserve">          </w:t>
            </w:r>
          </w:p>
          <w:p>
            <w:pPr>
              <w:pStyle w:val="81"/>
              <w:rPr>
                <w:rFonts w:ascii="Times New Roman" w:hAnsi="Times New Roman"/>
                <w:highlight w:val="none"/>
              </w:rPr>
            </w:pPr>
            <w:r>
              <w:rPr>
                <w:rFonts w:hint="eastAsia" w:ascii="Times New Roman" w:hAnsi="Times New Roman" w:cs="宋体"/>
                <w:color w:val="000000"/>
                <w:highlight w:val="none"/>
                <w:u w:val="single"/>
                <w:lang w:val="en-US" w:eastAsia="zh-CN"/>
              </w:rPr>
              <w:t>谈判地点：北京市东城区安定门外大街乙88号中煤大厦</w:t>
            </w:r>
            <w:r>
              <w:rPr>
                <w:rFonts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jc w:val="center"/>
              <w:rPr>
                <w:rFonts w:ascii="Times New Roman" w:hAnsi="Times New Roman"/>
                <w:highlight w:val="none"/>
              </w:rPr>
            </w:pPr>
            <w:r>
              <w:rPr>
                <w:rFonts w:hint="eastAsia" w:ascii="Times New Roman" w:hAnsi="Times New Roman"/>
                <w:highlight w:val="none"/>
              </w:rPr>
              <w:t>17</w:t>
            </w:r>
          </w:p>
        </w:tc>
        <w:tc>
          <w:tcPr>
            <w:tcW w:w="1832" w:type="dxa"/>
            <w:vAlign w:val="center"/>
          </w:tcPr>
          <w:p>
            <w:pPr>
              <w:pStyle w:val="81"/>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ghlight w:val="none"/>
              </w:rPr>
            </w:pPr>
            <w:r>
              <w:rPr>
                <w:rFonts w:hint="eastAsia" w:ascii="Times New Roman" w:hAnsi="Times New Roman"/>
                <w:highlight w:val="none"/>
              </w:rPr>
              <w:t>成交供应商的推荐原则</w:t>
            </w:r>
          </w:p>
        </w:tc>
        <w:tc>
          <w:tcPr>
            <w:tcW w:w="6463" w:type="dxa"/>
            <w:vAlign w:val="center"/>
          </w:tcPr>
          <w:p>
            <w:pPr>
              <w:pStyle w:val="81"/>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☑一个采购项目，只能推荐一个成交供应商。</w:t>
            </w:r>
          </w:p>
          <w:p>
            <w:pPr>
              <w:pStyle w:val="81"/>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ghlight w:val="none"/>
              </w:rPr>
            </w:pPr>
            <w:r>
              <w:rPr>
                <w:rFonts w:hint="eastAsia" w:ascii="Times New Roman" w:hAnsi="Times New Roman" w:cs="宋体"/>
                <w:color w:val="000000"/>
                <w:highlight w:val="none"/>
              </w:rPr>
              <w:t>□一个采购项目，按照物料行，可以推荐多个成交供应商。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jc w:val="center"/>
              <w:rPr>
                <w:rFonts w:ascii="Times New Roman" w:hAnsi="Times New Roman"/>
                <w:highlight w:val="none"/>
              </w:rPr>
            </w:pPr>
            <w:r>
              <w:rPr>
                <w:rFonts w:hint="eastAsia" w:ascii="Times New Roman" w:hAnsi="Times New Roman"/>
                <w:highlight w:val="none"/>
              </w:rPr>
              <w:t>18.3</w:t>
            </w:r>
          </w:p>
        </w:tc>
        <w:tc>
          <w:tcPr>
            <w:tcW w:w="1832" w:type="dxa"/>
            <w:vAlign w:val="center"/>
          </w:tcPr>
          <w:p>
            <w:pPr>
              <w:pStyle w:val="81"/>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highlight w:val="none"/>
              </w:rPr>
            </w:pPr>
            <w:r>
              <w:rPr>
                <w:rFonts w:hint="eastAsia" w:ascii="Times New Roman" w:hAnsi="Times New Roman"/>
                <w:highlight w:val="none"/>
              </w:rPr>
              <w:t>履约担保</w:t>
            </w:r>
          </w:p>
        </w:tc>
        <w:tc>
          <w:tcPr>
            <w:tcW w:w="6463" w:type="dxa"/>
            <w:vAlign w:val="center"/>
          </w:tcPr>
          <w:p>
            <w:pPr>
              <w:pStyle w:val="81"/>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sym w:font="Wingdings 2" w:char="0052"/>
            </w:r>
            <w:r>
              <w:rPr>
                <w:rFonts w:hint="eastAsia" w:ascii="Times New Roman" w:hAnsi="Times New Roman" w:cs="宋体"/>
                <w:color w:val="000000"/>
                <w:highlight w:val="none"/>
              </w:rPr>
              <w:t>不提供</w:t>
            </w:r>
          </w:p>
          <w:p>
            <w:pPr>
              <w:pStyle w:val="81"/>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cs="宋体"/>
                <w:color w:val="000000"/>
                <w:highlight w:val="none"/>
              </w:rPr>
            </w:pPr>
            <w:r>
              <w:rPr>
                <w:rFonts w:hint="eastAsia" w:ascii="Times New Roman" w:hAnsi="Times New Roman" w:cs="宋体"/>
                <w:color w:val="000000"/>
                <w:highlight w:val="none"/>
              </w:rPr>
              <w:t>□提供，履约担保金额：</w:t>
            </w:r>
            <w:r>
              <w:rPr>
                <w:rFonts w:hint="eastAsia" w:ascii="Times New Roman" w:hAnsi="Times New Roman" w:cs="宋体"/>
                <w:color w:val="000000"/>
                <w:highlight w:val="none"/>
                <w:u w:val="single"/>
              </w:rPr>
              <w:t xml:space="preserve">                    </w:t>
            </w:r>
          </w:p>
          <w:p>
            <w:pPr>
              <w:pStyle w:val="81"/>
              <w:keepNext w:val="0"/>
              <w:keepLines w:val="0"/>
              <w:pageBreakBefore w:val="0"/>
              <w:widowControl/>
              <w:kinsoku/>
              <w:wordWrap/>
              <w:overflowPunct/>
              <w:topLinePunct w:val="0"/>
              <w:autoSpaceDE/>
              <w:autoSpaceDN/>
              <w:bidi w:val="0"/>
              <w:adjustRightInd/>
              <w:snapToGrid/>
              <w:spacing w:line="260" w:lineRule="exact"/>
              <w:ind w:firstLine="880" w:firstLineChars="400"/>
              <w:textAlignment w:val="auto"/>
              <w:rPr>
                <w:rFonts w:ascii="Times New Roman" w:hAnsi="Times New Roman"/>
                <w:highlight w:val="none"/>
              </w:rPr>
            </w:pPr>
            <w:r>
              <w:rPr>
                <w:rFonts w:hint="eastAsia" w:ascii="Times New Roman" w:hAnsi="Times New Roman" w:cs="宋体"/>
                <w:color w:val="000000"/>
                <w:highlight w:val="none"/>
              </w:rPr>
              <w:t>履约担保形式：</w:t>
            </w:r>
            <w:r>
              <w:rPr>
                <w:rFonts w:hint="eastAsia" w:ascii="Times New Roman" w:hAnsi="Times New Roman" w:cs="宋体"/>
                <w:color w:val="00000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724" w:type="dxa"/>
            <w:vAlign w:val="center"/>
          </w:tcPr>
          <w:p>
            <w:pPr>
              <w:pStyle w:val="81"/>
              <w:jc w:val="center"/>
              <w:rPr>
                <w:rFonts w:ascii="Times New Roman" w:hAnsi="Times New Roman"/>
                <w:highlight w:val="none"/>
              </w:rPr>
            </w:pPr>
            <w:r>
              <w:rPr>
                <w:rFonts w:hint="eastAsia" w:ascii="Times New Roman" w:hAnsi="Times New Roman"/>
                <w:highlight w:val="none"/>
              </w:rPr>
              <w:t>20</w:t>
            </w:r>
          </w:p>
        </w:tc>
        <w:tc>
          <w:tcPr>
            <w:tcW w:w="1832" w:type="dxa"/>
            <w:vAlign w:val="center"/>
          </w:tcPr>
          <w:p>
            <w:pPr>
              <w:pStyle w:val="81"/>
              <w:rPr>
                <w:rFonts w:ascii="Times New Roman" w:hAnsi="Times New Roman"/>
                <w:highlight w:val="none"/>
              </w:rPr>
            </w:pPr>
            <w:r>
              <w:rPr>
                <w:rFonts w:hint="eastAsia" w:ascii="Times New Roman" w:hAnsi="Times New Roman"/>
                <w:highlight w:val="none"/>
              </w:rPr>
              <w:t>其他需要补充的内容</w:t>
            </w:r>
          </w:p>
        </w:tc>
        <w:tc>
          <w:tcPr>
            <w:tcW w:w="6463" w:type="dxa"/>
            <w:vAlign w:val="center"/>
          </w:tcPr>
          <w:p>
            <w:pPr>
              <w:pStyle w:val="81"/>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1.报价函；</w:t>
            </w:r>
          </w:p>
          <w:p>
            <w:pPr>
              <w:pStyle w:val="81"/>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2.报价人执业许可证；</w:t>
            </w:r>
          </w:p>
          <w:p>
            <w:pPr>
              <w:pStyle w:val="81"/>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3.报价人为央企能源公司常年法律顾问服务业绩证明材料</w:t>
            </w:r>
            <w:r>
              <w:rPr>
                <w:rFonts w:hint="eastAsia" w:ascii="Times New Roman" w:hAnsi="Times New Roman" w:cs="宋体"/>
                <w:color w:val="000000"/>
                <w:highlight w:val="none"/>
                <w:lang w:val="en-US" w:eastAsia="zh-CN"/>
              </w:rPr>
              <w:t>；</w:t>
            </w:r>
          </w:p>
          <w:p>
            <w:pPr>
              <w:pStyle w:val="81"/>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4.报价人所获荣誉证明材料；</w:t>
            </w:r>
          </w:p>
          <w:p>
            <w:pPr>
              <w:pStyle w:val="81"/>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5.报价人委派服务团队的介绍材料；</w:t>
            </w:r>
          </w:p>
          <w:p>
            <w:pPr>
              <w:pStyle w:val="81"/>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6.至少1个国家的境外法律服务相关案例证明；</w:t>
            </w:r>
          </w:p>
          <w:p>
            <w:pPr>
              <w:pStyle w:val="81"/>
              <w:rPr>
                <w:rFonts w:hint="eastAsia" w:ascii="Times New Roman" w:hAnsi="Times New Roman" w:eastAsia="宋体" w:cs="宋体"/>
                <w:color w:val="000000"/>
                <w:highlight w:val="none"/>
                <w:lang w:val="en-US" w:eastAsia="zh-CN"/>
              </w:rPr>
            </w:pPr>
            <w:r>
              <w:rPr>
                <w:rFonts w:hint="eastAsia" w:ascii="Times New Roman" w:hAnsi="Times New Roman" w:eastAsia="宋体" w:cs="宋体"/>
                <w:color w:val="000000"/>
                <w:highlight w:val="none"/>
                <w:lang w:val="en-US" w:eastAsia="zh-CN"/>
              </w:rPr>
              <w:t>7.至少2个与询价人业务相关的案例；</w:t>
            </w:r>
          </w:p>
          <w:p>
            <w:pPr>
              <w:pStyle w:val="81"/>
              <w:rPr>
                <w:rFonts w:hint="eastAsia" w:ascii="Times New Roman" w:hAnsi="Times New Roman" w:cs="宋体"/>
                <w:color w:val="000000"/>
                <w:highlight w:val="none"/>
                <w:lang w:val="en-US" w:eastAsia="zh-CN"/>
              </w:rPr>
            </w:pPr>
            <w:r>
              <w:rPr>
                <w:rFonts w:hint="eastAsia" w:ascii="Times New Roman" w:hAnsi="Times New Roman" w:eastAsia="宋体" w:cs="宋体"/>
                <w:color w:val="000000"/>
                <w:highlight w:val="none"/>
                <w:lang w:val="en-US" w:eastAsia="zh-CN"/>
              </w:rPr>
              <w:t>8.</w:t>
            </w:r>
            <w:r>
              <w:rPr>
                <w:rFonts w:hint="eastAsia" w:ascii="Times New Roman" w:hAnsi="Times New Roman" w:cs="宋体"/>
                <w:color w:val="000000"/>
                <w:highlight w:val="none"/>
                <w:lang w:val="en-US" w:eastAsia="zh-CN"/>
              </w:rPr>
              <w:t>工作方案、专项服务建议；</w:t>
            </w:r>
          </w:p>
          <w:p>
            <w:pPr>
              <w:pStyle w:val="81"/>
              <w:rPr>
                <w:rFonts w:ascii="Times New Roman" w:hAnsi="Times New Roman"/>
                <w:highlight w:val="none"/>
              </w:rPr>
            </w:pPr>
            <w:r>
              <w:rPr>
                <w:rFonts w:hint="eastAsia" w:ascii="Times New Roman" w:hAnsi="Times New Roman" w:cs="宋体"/>
                <w:color w:val="000000"/>
                <w:highlight w:val="none"/>
                <w:lang w:val="en-US" w:eastAsia="zh-CN"/>
              </w:rPr>
              <w:t>9.</w:t>
            </w:r>
            <w:r>
              <w:rPr>
                <w:rFonts w:hint="eastAsia" w:ascii="Times New Roman" w:hAnsi="Times New Roman" w:eastAsia="宋体" w:cs="宋体"/>
                <w:color w:val="000000"/>
                <w:highlight w:val="none"/>
                <w:lang w:val="en-US" w:eastAsia="zh-CN"/>
              </w:rPr>
              <w:t>其他（报价人认为有提交必要的材料）。</w:t>
            </w:r>
          </w:p>
        </w:tc>
      </w:tr>
    </w:tbl>
    <w:p>
      <w:pPr>
        <w:ind w:firstLine="0" w:firstLineChars="0"/>
        <w:rPr>
          <w:highlight w:val="none"/>
        </w:rPr>
      </w:pPr>
      <w:r>
        <w:rPr>
          <w:rFonts w:hint="eastAsia"/>
          <w:kern w:val="0"/>
          <w:highlight w:val="none"/>
        </w:rPr>
        <w:t>备注：供应商须知前附表是对</w:t>
      </w:r>
      <w:r>
        <w:rPr>
          <w:rFonts w:hint="eastAsia"/>
          <w:highlight w:val="none"/>
        </w:rPr>
        <w:t>供应商须知的具体补充和修改，如有矛盾，应以本表为准。</w:t>
      </w:r>
    </w:p>
    <w:p>
      <w:pPr>
        <w:ind w:firstLine="480"/>
        <w:rPr>
          <w:highlight w:val="none"/>
        </w:rPr>
      </w:pPr>
      <w:r>
        <w:rPr>
          <w:highlight w:val="none"/>
        </w:rPr>
        <w:br w:type="page"/>
      </w:r>
    </w:p>
    <w:p>
      <w:pPr>
        <w:pStyle w:val="2"/>
        <w:spacing w:before="240"/>
        <w:rPr>
          <w:rFonts w:ascii="Times New Roman" w:hAnsi="Times New Roman"/>
          <w:highlight w:val="none"/>
        </w:rPr>
      </w:pPr>
      <w:bookmarkStart w:id="74" w:name="_Toc5532"/>
      <w:bookmarkStart w:id="75" w:name="_Toc11768"/>
      <w:r>
        <w:rPr>
          <w:rFonts w:hint="eastAsia" w:ascii="Times New Roman" w:hAnsi="Times New Roman"/>
          <w:highlight w:val="none"/>
        </w:rPr>
        <w:t>1.</w:t>
      </w:r>
      <w:r>
        <w:rPr>
          <w:rFonts w:ascii="Times New Roman" w:hAnsi="Times New Roman"/>
          <w:highlight w:val="none"/>
        </w:rPr>
        <w:t xml:space="preserve"> </w:t>
      </w:r>
      <w:r>
        <w:rPr>
          <w:rFonts w:hint="eastAsia" w:ascii="Times New Roman" w:hAnsi="Times New Roman"/>
          <w:highlight w:val="none"/>
        </w:rPr>
        <w:t>适用范围</w:t>
      </w:r>
      <w:bookmarkEnd w:id="74"/>
      <w:bookmarkEnd w:id="75"/>
    </w:p>
    <w:p>
      <w:pPr>
        <w:ind w:firstLine="480"/>
        <w:rPr>
          <w:highlight w:val="none"/>
        </w:rPr>
      </w:pPr>
      <w:r>
        <w:rPr>
          <w:rFonts w:hint="eastAsia"/>
          <w:highlight w:val="none"/>
        </w:rPr>
        <w:t>本询价文件仅适用于本项目采购公告中所述项目。</w:t>
      </w:r>
    </w:p>
    <w:p>
      <w:pPr>
        <w:pStyle w:val="2"/>
        <w:spacing w:before="240"/>
        <w:rPr>
          <w:rFonts w:ascii="Times New Roman" w:hAnsi="Times New Roman"/>
          <w:highlight w:val="none"/>
        </w:rPr>
      </w:pPr>
      <w:bookmarkStart w:id="76" w:name="_Toc18346"/>
      <w:bookmarkStart w:id="77" w:name="_Toc25241"/>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定义</w:t>
      </w:r>
      <w:bookmarkEnd w:id="76"/>
      <w:bookmarkEnd w:id="77"/>
    </w:p>
    <w:p>
      <w:pPr>
        <w:ind w:firstLine="480"/>
        <w:rPr>
          <w:highlight w:val="none"/>
        </w:rPr>
      </w:pPr>
      <w:r>
        <w:rPr>
          <w:rFonts w:hint="eastAsia"/>
          <w:highlight w:val="none"/>
        </w:rPr>
        <w:t>2.1</w:t>
      </w:r>
      <w:r>
        <w:rPr>
          <w:highlight w:val="none"/>
        </w:rPr>
        <w:t xml:space="preserve"> </w:t>
      </w:r>
      <w:r>
        <w:rPr>
          <w:rFonts w:hint="eastAsia"/>
          <w:highlight w:val="none"/>
        </w:rPr>
        <w:t>采购人：指依法提出采购项目进行采购的法人或其他组织，采购人及联系方式见前附表。</w:t>
      </w:r>
    </w:p>
    <w:p>
      <w:pPr>
        <w:ind w:firstLine="480"/>
        <w:rPr>
          <w:highlight w:val="none"/>
        </w:rPr>
      </w:pPr>
      <w:r>
        <w:rPr>
          <w:rFonts w:hint="eastAsia"/>
          <w:highlight w:val="none"/>
        </w:rPr>
        <w:t>2.2 供应商：指响应本次采购，参与报价的法人或其他组织。</w:t>
      </w:r>
    </w:p>
    <w:p>
      <w:pPr>
        <w:ind w:firstLine="480"/>
        <w:rPr>
          <w:highlight w:val="none"/>
        </w:rPr>
      </w:pPr>
      <w:r>
        <w:rPr>
          <w:rFonts w:hint="eastAsia"/>
          <w:highlight w:val="none"/>
        </w:rPr>
        <w:t>2.3</w:t>
      </w:r>
      <w:r>
        <w:rPr>
          <w:highlight w:val="none"/>
        </w:rPr>
        <w:t xml:space="preserve"> </w:t>
      </w:r>
      <w:r>
        <w:rPr>
          <w:rFonts w:hint="eastAsia"/>
          <w:highlight w:val="none"/>
        </w:rPr>
        <w:t>成交供应商：指最终被授予合同的供应商。</w:t>
      </w:r>
    </w:p>
    <w:p>
      <w:pPr>
        <w:pStyle w:val="2"/>
        <w:spacing w:before="240"/>
        <w:rPr>
          <w:rFonts w:ascii="Times New Roman" w:hAnsi="Times New Roman"/>
          <w:highlight w:val="none"/>
        </w:rPr>
      </w:pPr>
      <w:bookmarkStart w:id="78" w:name="_Toc14170"/>
      <w:bookmarkStart w:id="79" w:name="_Toc32306"/>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报价费用</w:t>
      </w:r>
      <w:bookmarkEnd w:id="78"/>
      <w:bookmarkEnd w:id="79"/>
    </w:p>
    <w:p>
      <w:pPr>
        <w:ind w:firstLine="480"/>
        <w:rPr>
          <w:highlight w:val="none"/>
        </w:rPr>
      </w:pPr>
      <w:r>
        <w:rPr>
          <w:rFonts w:hint="eastAsia"/>
          <w:highlight w:val="none"/>
        </w:rPr>
        <w:t>供应商应承担与其报价有关的所有费用。不论采购过程和结果如何，供应商应自行承担所有与参加报价有关的费用，采购人在任何情况下均无义务和责任承担这些费用。</w:t>
      </w:r>
    </w:p>
    <w:p>
      <w:pPr>
        <w:pStyle w:val="2"/>
        <w:spacing w:before="240"/>
        <w:rPr>
          <w:rFonts w:ascii="Times New Roman" w:hAnsi="Times New Roman"/>
          <w:highlight w:val="none"/>
        </w:rPr>
      </w:pPr>
      <w:bookmarkStart w:id="80" w:name="_Toc3691"/>
      <w:bookmarkStart w:id="81" w:name="_Toc28212"/>
      <w:r>
        <w:rPr>
          <w:rFonts w:hint="eastAsia" w:ascii="Times New Roman" w:hAnsi="Times New Roman"/>
          <w:highlight w:val="none"/>
          <w:lang w:val="en-US" w:eastAsia="zh-CN"/>
        </w:rPr>
        <w:t>4</w:t>
      </w:r>
      <w:r>
        <w:rPr>
          <w:rFonts w:ascii="Times New Roman" w:hAnsi="Times New Roman"/>
          <w:highlight w:val="none"/>
        </w:rPr>
        <w:t xml:space="preserve">. </w:t>
      </w:r>
      <w:r>
        <w:rPr>
          <w:rFonts w:hint="eastAsia" w:ascii="Times New Roman" w:hAnsi="Times New Roman"/>
          <w:highlight w:val="none"/>
        </w:rPr>
        <w:t>询价文件的构成</w:t>
      </w:r>
      <w:bookmarkEnd w:id="80"/>
      <w:bookmarkEnd w:id="81"/>
    </w:p>
    <w:p>
      <w:pPr>
        <w:ind w:firstLine="480"/>
        <w:rPr>
          <w:highlight w:val="none"/>
        </w:rPr>
      </w:pPr>
      <w:r>
        <w:rPr>
          <w:rFonts w:hint="eastAsia"/>
          <w:kern w:val="0"/>
          <w:highlight w:val="none"/>
        </w:rPr>
        <w:t xml:space="preserve">5.1 </w:t>
      </w:r>
      <w:r>
        <w:rPr>
          <w:rFonts w:hint="eastAsia"/>
          <w:highlight w:val="none"/>
        </w:rPr>
        <w:t>询价文件由下列文件以及在采购过程中发出的修正和补充文件组成：</w:t>
      </w:r>
    </w:p>
    <w:p>
      <w:pPr>
        <w:ind w:firstLine="480"/>
        <w:rPr>
          <w:highlight w:val="none"/>
        </w:rPr>
      </w:pPr>
      <w:r>
        <w:rPr>
          <w:rFonts w:hint="eastAsia"/>
          <w:highlight w:val="none"/>
        </w:rPr>
        <w:t>第一章 采购公告</w:t>
      </w:r>
    </w:p>
    <w:p>
      <w:pPr>
        <w:ind w:firstLine="480"/>
        <w:rPr>
          <w:highlight w:val="none"/>
        </w:rPr>
      </w:pPr>
      <w:r>
        <w:rPr>
          <w:rFonts w:hint="eastAsia"/>
          <w:highlight w:val="none"/>
        </w:rPr>
        <w:t>第二章 供应商须知及前附表</w:t>
      </w:r>
    </w:p>
    <w:p>
      <w:pPr>
        <w:pStyle w:val="8"/>
        <w:ind w:firstLine="480"/>
        <w:rPr>
          <w:highlight w:val="none"/>
        </w:rPr>
      </w:pPr>
      <w:r>
        <w:rPr>
          <w:rFonts w:hint="eastAsia"/>
          <w:highlight w:val="none"/>
        </w:rPr>
        <w:t>第三章 评审办法</w:t>
      </w:r>
    </w:p>
    <w:p>
      <w:pPr>
        <w:ind w:firstLine="480"/>
        <w:rPr>
          <w:highlight w:val="none"/>
        </w:rPr>
      </w:pPr>
      <w:r>
        <w:rPr>
          <w:rFonts w:hint="eastAsia"/>
          <w:highlight w:val="none"/>
        </w:rPr>
        <w:t>第四章 合同条款及格式</w:t>
      </w:r>
    </w:p>
    <w:p>
      <w:pPr>
        <w:ind w:firstLine="480"/>
        <w:rPr>
          <w:highlight w:val="none"/>
        </w:rPr>
      </w:pPr>
      <w:r>
        <w:rPr>
          <w:rFonts w:hint="eastAsia"/>
          <w:highlight w:val="none"/>
        </w:rPr>
        <w:t>第五章 采购需求</w:t>
      </w:r>
    </w:p>
    <w:p>
      <w:pPr>
        <w:ind w:firstLine="480"/>
        <w:rPr>
          <w:highlight w:val="none"/>
        </w:rPr>
      </w:pPr>
      <w:r>
        <w:rPr>
          <w:rFonts w:hint="eastAsia"/>
          <w:highlight w:val="none"/>
        </w:rPr>
        <w:t>第六章 报价文件格式</w:t>
      </w:r>
    </w:p>
    <w:p>
      <w:pPr>
        <w:ind w:firstLine="480"/>
        <w:rPr>
          <w:highlight w:val="none"/>
        </w:rPr>
      </w:pPr>
      <w:r>
        <w:rPr>
          <w:rFonts w:hint="eastAsia"/>
          <w:highlight w:val="none"/>
          <w:lang w:val="en-US" w:eastAsia="zh-CN"/>
        </w:rPr>
        <w:t>4</w:t>
      </w:r>
      <w:r>
        <w:rPr>
          <w:rFonts w:hint="eastAsia"/>
          <w:highlight w:val="none"/>
        </w:rPr>
        <w:t>.2 供应商下载询价文件过程中，如发现下载不成功或下载的文件格式有误等问题请务必于询价文件发售期内联系中煤易购采购一体化平台客服热线。如果供应商不按上述要求提出而造成不良后果，由供应商自行承担。</w:t>
      </w:r>
    </w:p>
    <w:p>
      <w:pPr>
        <w:ind w:firstLine="480"/>
        <w:rPr>
          <w:highlight w:val="none"/>
        </w:rPr>
      </w:pPr>
      <w:r>
        <w:rPr>
          <w:rFonts w:hint="eastAsia"/>
          <w:highlight w:val="none"/>
          <w:lang w:val="en-US" w:eastAsia="zh-CN"/>
        </w:rPr>
        <w:t>4</w:t>
      </w:r>
      <w:r>
        <w:rPr>
          <w:rFonts w:hint="eastAsia"/>
          <w:highlight w:val="none"/>
        </w:rPr>
        <w:t>.3 供应商应认真阅读询价文件中所有的事项、格式、条款和要求等。供应商没有按照询价文件要求提交全部资料，或者报价文件没有对询价文件在各方面都做出实质性响应，可能导致其报价被否决。</w:t>
      </w:r>
    </w:p>
    <w:p>
      <w:pPr>
        <w:ind w:firstLine="480"/>
        <w:rPr>
          <w:highlight w:val="none"/>
        </w:rPr>
      </w:pPr>
      <w:r>
        <w:rPr>
          <w:rFonts w:hint="eastAsia"/>
          <w:highlight w:val="none"/>
          <w:lang w:val="en-US" w:eastAsia="zh-CN"/>
        </w:rPr>
        <w:t>4</w:t>
      </w:r>
      <w:r>
        <w:rPr>
          <w:rFonts w:hint="eastAsia"/>
          <w:highlight w:val="none"/>
        </w:rPr>
        <w:t>.4 报价文件一经递交成功即表示供应商确认询价文件的法律效力，并对此询价文件提出的要求做出相应的响应，承担与询价文件要求相适应的民事、经济和法律责任。</w:t>
      </w:r>
    </w:p>
    <w:p>
      <w:pPr>
        <w:ind w:firstLine="480"/>
        <w:rPr>
          <w:highlight w:val="none"/>
        </w:rPr>
      </w:pPr>
      <w:r>
        <w:rPr>
          <w:rFonts w:hint="eastAsia"/>
          <w:highlight w:val="none"/>
          <w:lang w:val="en-US" w:eastAsia="zh-CN"/>
        </w:rPr>
        <w:t>4</w:t>
      </w:r>
      <w:r>
        <w:rPr>
          <w:rFonts w:hint="eastAsia"/>
          <w:highlight w:val="none"/>
        </w:rPr>
        <w:t>.5 由于供应商对询价文件的误解与疏忽或报价误差，而导致采购失败或成交后的任何风险，其责任均由供应商自负。</w:t>
      </w:r>
    </w:p>
    <w:p>
      <w:pPr>
        <w:pStyle w:val="2"/>
        <w:spacing w:before="240"/>
        <w:rPr>
          <w:rFonts w:ascii="Times New Roman" w:hAnsi="Times New Roman"/>
          <w:highlight w:val="none"/>
        </w:rPr>
      </w:pPr>
      <w:bookmarkStart w:id="82" w:name="_Toc17984"/>
      <w:bookmarkStart w:id="83" w:name="_Toc15752"/>
      <w:r>
        <w:rPr>
          <w:rFonts w:hint="eastAsia" w:ascii="Times New Roman" w:hAnsi="Times New Roman"/>
          <w:highlight w:val="none"/>
          <w:lang w:val="en-US" w:eastAsia="zh-CN"/>
        </w:rPr>
        <w:t>5</w:t>
      </w:r>
      <w:r>
        <w:rPr>
          <w:rFonts w:hint="eastAsia" w:ascii="Times New Roman" w:hAnsi="Times New Roman"/>
          <w:highlight w:val="none"/>
        </w:rPr>
        <w:t>. 询价文件的澄清、修改、补充</w:t>
      </w:r>
      <w:bookmarkEnd w:id="82"/>
      <w:bookmarkEnd w:id="83"/>
    </w:p>
    <w:p>
      <w:pPr>
        <w:ind w:firstLine="480"/>
        <w:rPr>
          <w:highlight w:val="none"/>
        </w:rPr>
      </w:pPr>
      <w:r>
        <w:rPr>
          <w:rFonts w:hint="eastAsia"/>
          <w:highlight w:val="none"/>
          <w:lang w:val="en-US" w:eastAsia="zh-CN"/>
        </w:rPr>
        <w:t>5</w:t>
      </w:r>
      <w:r>
        <w:rPr>
          <w:rFonts w:hint="eastAsia"/>
          <w:highlight w:val="none"/>
        </w:rPr>
        <w:t>.1任何要求对询价文件进行澄清的供应商，均应在提交报价文件截止时间一日前提出。在询比截止期前的任何时候，无论出于何种原因，采购人可主动地对询价文件进行修改、补充。</w:t>
      </w:r>
    </w:p>
    <w:p>
      <w:pPr>
        <w:ind w:firstLine="480"/>
        <w:rPr>
          <w:highlight w:val="none"/>
        </w:rPr>
      </w:pPr>
      <w:r>
        <w:rPr>
          <w:rFonts w:hint="eastAsia"/>
          <w:highlight w:val="none"/>
          <w:lang w:val="en-US" w:eastAsia="zh-CN"/>
        </w:rPr>
        <w:t>5</w:t>
      </w:r>
      <w:r>
        <w:rPr>
          <w:rFonts w:hint="eastAsia"/>
          <w:highlight w:val="none"/>
        </w:rPr>
        <w:t>.2询价文件的澄清和修改将以书面形式通知供应商。询价文件的澄清和修改均作为询价文件的组成部分，对供应商具有约束力。供应商应在收到通知后进行确认。如果供应商不予确认，引起的后果由供应商自行承担。</w:t>
      </w:r>
    </w:p>
    <w:p>
      <w:pPr>
        <w:ind w:firstLine="480"/>
        <w:rPr>
          <w:highlight w:val="none"/>
        </w:rPr>
      </w:pPr>
      <w:r>
        <w:rPr>
          <w:rFonts w:hint="eastAsia"/>
          <w:highlight w:val="none"/>
          <w:lang w:val="en-US" w:eastAsia="zh-CN"/>
        </w:rPr>
        <w:t>5</w:t>
      </w:r>
      <w:r>
        <w:rPr>
          <w:rFonts w:hint="eastAsia"/>
          <w:highlight w:val="none"/>
        </w:rPr>
        <w:t>.3</w:t>
      </w:r>
      <w:r>
        <w:rPr>
          <w:highlight w:val="none"/>
        </w:rPr>
        <w:t xml:space="preserve"> </w:t>
      </w:r>
      <w:r>
        <w:rPr>
          <w:rFonts w:hint="eastAsia"/>
          <w:highlight w:val="none"/>
        </w:rPr>
        <w:t>询价文件的澄清或修改内容可能影响报价文件编制的，距离提交报价文件截止时间不足二日的，应当顺延截止时间至二日。</w:t>
      </w:r>
    </w:p>
    <w:p>
      <w:pPr>
        <w:pStyle w:val="2"/>
        <w:spacing w:before="240"/>
        <w:rPr>
          <w:rFonts w:ascii="Times New Roman" w:hAnsi="Times New Roman"/>
          <w:highlight w:val="none"/>
        </w:rPr>
      </w:pPr>
      <w:bookmarkStart w:id="84" w:name="_Toc27302"/>
      <w:bookmarkStart w:id="85" w:name="_Toc6514"/>
      <w:r>
        <w:rPr>
          <w:rFonts w:hint="eastAsia" w:ascii="Times New Roman" w:hAnsi="Times New Roman"/>
          <w:highlight w:val="none"/>
          <w:lang w:val="en-US" w:eastAsia="zh-CN"/>
        </w:rPr>
        <w:t>6</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编制基本要求</w:t>
      </w:r>
      <w:bookmarkEnd w:id="84"/>
      <w:bookmarkEnd w:id="85"/>
    </w:p>
    <w:p>
      <w:pPr>
        <w:ind w:firstLine="480"/>
        <w:rPr>
          <w:highlight w:val="none"/>
        </w:rPr>
      </w:pPr>
      <w:r>
        <w:rPr>
          <w:rFonts w:hint="eastAsia"/>
          <w:highlight w:val="none"/>
          <w:lang w:val="en-US" w:eastAsia="zh-CN"/>
        </w:rPr>
        <w:t>6</w:t>
      </w:r>
      <w:r>
        <w:rPr>
          <w:rFonts w:hint="eastAsia"/>
          <w:highlight w:val="none"/>
        </w:rPr>
        <w:t>.1</w:t>
      </w:r>
      <w:r>
        <w:rPr>
          <w:rFonts w:hint="eastAsia"/>
          <w:b/>
          <w:highlight w:val="none"/>
        </w:rPr>
        <w:t xml:space="preserve"> </w:t>
      </w:r>
      <w:r>
        <w:rPr>
          <w:rFonts w:hint="eastAsia"/>
          <w:highlight w:val="none"/>
        </w:rPr>
        <w:t>供应商应在认真阅读，充分理解本询价文件所有内容（包括所有的澄清、修改、补充内容）的基础上，按照“第六章报价文件格式”的要求编制完整的报价文件。</w:t>
      </w:r>
    </w:p>
    <w:p>
      <w:pPr>
        <w:ind w:firstLine="480"/>
        <w:rPr>
          <w:highlight w:val="none"/>
        </w:rPr>
      </w:pPr>
      <w:r>
        <w:rPr>
          <w:rFonts w:hint="eastAsia"/>
          <w:highlight w:val="none"/>
          <w:lang w:val="en-US" w:eastAsia="zh-CN"/>
        </w:rPr>
        <w:t>6</w:t>
      </w:r>
      <w:r>
        <w:rPr>
          <w:rFonts w:hint="eastAsia"/>
          <w:highlight w:val="none"/>
        </w:rPr>
        <w:t>.2 供应商必须保证报价文件所提供的全部资料真实可信，并接受采购人对其中任何资料在合同最终授予前进一步审查的要求，如若存在供应商利用弄虚作假等不当手段谋取成交的，一经查实，采购人有权予以否决，并保留进一步追究其责任的权利。</w:t>
      </w:r>
    </w:p>
    <w:p>
      <w:pPr>
        <w:ind w:firstLine="480"/>
        <w:rPr>
          <w:highlight w:val="none"/>
        </w:rPr>
      </w:pPr>
      <w:r>
        <w:rPr>
          <w:rFonts w:hint="eastAsia"/>
          <w:highlight w:val="none"/>
          <w:lang w:val="en-US" w:eastAsia="zh-CN"/>
        </w:rPr>
        <w:t>6</w:t>
      </w:r>
      <w:r>
        <w:rPr>
          <w:rFonts w:hint="eastAsia"/>
          <w:highlight w:val="none"/>
        </w:rPr>
        <w:t>.3 如果报价文件填报的内容不详，或没有提供询价文件中所要求的全部资料及数据，给评审造成困难，责任由供应商自行承担。</w:t>
      </w:r>
    </w:p>
    <w:p>
      <w:pPr>
        <w:ind w:firstLine="480"/>
        <w:rPr>
          <w:highlight w:val="none"/>
        </w:rPr>
      </w:pPr>
      <w:r>
        <w:rPr>
          <w:rFonts w:hint="eastAsia"/>
          <w:highlight w:val="none"/>
          <w:lang w:val="en-US" w:eastAsia="zh-CN"/>
        </w:rPr>
        <w:t>6</w:t>
      </w:r>
      <w:r>
        <w:rPr>
          <w:rFonts w:hint="eastAsia"/>
          <w:highlight w:val="none"/>
        </w:rPr>
        <w:t>.4如供应商没有对本询价文件的要求提出偏离，采购人可认为供应商完全接受和同意本询价文件的要求。报价文件对询价文件未提出偏离条款的，均被视为接受和同意。</w:t>
      </w:r>
    </w:p>
    <w:p>
      <w:pPr>
        <w:pStyle w:val="2"/>
        <w:spacing w:before="240"/>
        <w:rPr>
          <w:rFonts w:ascii="Times New Roman" w:hAnsi="Times New Roman"/>
          <w:highlight w:val="none"/>
        </w:rPr>
      </w:pPr>
      <w:bookmarkStart w:id="86" w:name="_Toc2475"/>
      <w:bookmarkStart w:id="87" w:name="_Toc21302"/>
      <w:r>
        <w:rPr>
          <w:rFonts w:hint="eastAsia" w:ascii="Times New Roman" w:hAnsi="Times New Roman"/>
          <w:highlight w:val="none"/>
          <w:lang w:val="en-US" w:eastAsia="zh-CN"/>
        </w:rPr>
        <w:t>7</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语言和计量单位</w:t>
      </w:r>
      <w:bookmarkEnd w:id="86"/>
      <w:bookmarkEnd w:id="87"/>
    </w:p>
    <w:p>
      <w:pPr>
        <w:ind w:firstLine="480"/>
        <w:rPr>
          <w:highlight w:val="none"/>
        </w:rPr>
      </w:pPr>
      <w:r>
        <w:rPr>
          <w:rFonts w:hint="eastAsia"/>
          <w:highlight w:val="none"/>
          <w:lang w:val="en-US" w:eastAsia="zh-CN"/>
        </w:rPr>
        <w:t>7</w:t>
      </w:r>
      <w:r>
        <w:rPr>
          <w:rFonts w:hint="eastAsia"/>
          <w:highlight w:val="none"/>
        </w:rPr>
        <w:t>.1</w:t>
      </w:r>
      <w:r>
        <w:rPr>
          <w:highlight w:val="none"/>
        </w:rPr>
        <w:t xml:space="preserve"> </w:t>
      </w:r>
      <w:r>
        <w:rPr>
          <w:rFonts w:hint="eastAsia"/>
          <w:highlight w:val="none"/>
          <w:lang w:val="zh-CN"/>
        </w:rPr>
        <w:t>报价文件及供应商与</w:t>
      </w:r>
      <w:r>
        <w:rPr>
          <w:rFonts w:hint="eastAsia"/>
          <w:highlight w:val="none"/>
        </w:rPr>
        <w:t>采购人</w:t>
      </w:r>
      <w:r>
        <w:rPr>
          <w:rFonts w:hint="eastAsia"/>
          <w:highlight w:val="none"/>
          <w:lang w:val="zh-CN"/>
        </w:rPr>
        <w:t>之间的凡与采购有关的来往信函和文件均使用中文，若其中有其他语言的书面材料，则应附有中文译文，并以中文译文为准。</w:t>
      </w:r>
    </w:p>
    <w:p>
      <w:pPr>
        <w:ind w:firstLine="480"/>
        <w:rPr>
          <w:highlight w:val="none"/>
        </w:rPr>
      </w:pPr>
      <w:r>
        <w:rPr>
          <w:rFonts w:hint="eastAsia"/>
          <w:highlight w:val="none"/>
          <w:lang w:val="en-US" w:eastAsia="zh-CN"/>
        </w:rPr>
        <w:t>7</w:t>
      </w:r>
      <w:r>
        <w:rPr>
          <w:rFonts w:hint="eastAsia"/>
          <w:highlight w:val="none"/>
        </w:rPr>
        <w:t>.2</w:t>
      </w:r>
      <w:r>
        <w:rPr>
          <w:highlight w:val="none"/>
        </w:rPr>
        <w:t xml:space="preserve"> </w:t>
      </w:r>
      <w:r>
        <w:rPr>
          <w:rFonts w:hint="eastAsia"/>
          <w:highlight w:val="none"/>
        </w:rPr>
        <w:t>除非询价文件中另有规定，计量单位均采用中华人民共和国法定的计量单位。</w:t>
      </w:r>
    </w:p>
    <w:p>
      <w:pPr>
        <w:pStyle w:val="2"/>
        <w:spacing w:before="240"/>
        <w:rPr>
          <w:rFonts w:ascii="Times New Roman" w:hAnsi="Times New Roman"/>
          <w:highlight w:val="none"/>
        </w:rPr>
      </w:pPr>
      <w:bookmarkStart w:id="88" w:name="_Toc24973"/>
      <w:bookmarkStart w:id="89" w:name="_Toc4712"/>
      <w:r>
        <w:rPr>
          <w:rFonts w:hint="eastAsia" w:ascii="Times New Roman" w:hAnsi="Times New Roman"/>
          <w:highlight w:val="none"/>
          <w:lang w:val="en-US" w:eastAsia="zh-CN"/>
        </w:rPr>
        <w:t>8</w:t>
      </w:r>
      <w:r>
        <w:rPr>
          <w:rFonts w:hint="eastAsia" w:ascii="Times New Roman" w:hAnsi="Times New Roman"/>
          <w:highlight w:val="none"/>
        </w:rPr>
        <w:t>. 报价</w:t>
      </w:r>
      <w:bookmarkEnd w:id="88"/>
      <w:bookmarkEnd w:id="89"/>
    </w:p>
    <w:p>
      <w:pPr>
        <w:ind w:firstLine="480"/>
        <w:rPr>
          <w:highlight w:val="none"/>
        </w:rPr>
      </w:pPr>
      <w:r>
        <w:rPr>
          <w:rFonts w:hint="eastAsia"/>
          <w:highlight w:val="none"/>
          <w:lang w:val="en-US" w:eastAsia="zh-CN"/>
        </w:rPr>
        <w:t>8</w:t>
      </w:r>
      <w:r>
        <w:rPr>
          <w:rFonts w:hint="eastAsia"/>
          <w:highlight w:val="none"/>
        </w:rPr>
        <w:t xml:space="preserve">.1 </w:t>
      </w:r>
      <w:r>
        <w:rPr>
          <w:rFonts w:hint="eastAsia" w:cs="Arial"/>
          <w:kern w:val="0"/>
          <w:szCs w:val="24"/>
          <w:highlight w:val="none"/>
        </w:rPr>
        <w:t>供应商</w:t>
      </w:r>
      <w:r>
        <w:rPr>
          <w:rFonts w:hint="eastAsia"/>
          <w:highlight w:val="none"/>
        </w:rPr>
        <w:t>应按照询价文件规定的内容、责任范围以及技术要求条件进行报价。并按报价部分规定的格式报出分项价格和总价。</w:t>
      </w:r>
    </w:p>
    <w:p>
      <w:pPr>
        <w:ind w:firstLine="480"/>
        <w:rPr>
          <w:highlight w:val="none"/>
        </w:rPr>
      </w:pPr>
      <w:r>
        <w:rPr>
          <w:rFonts w:hint="eastAsia"/>
          <w:highlight w:val="none"/>
          <w:lang w:val="en-US" w:eastAsia="zh-CN"/>
        </w:rPr>
        <w:t>8</w:t>
      </w:r>
      <w:r>
        <w:rPr>
          <w:rFonts w:hint="eastAsia"/>
          <w:highlight w:val="none"/>
        </w:rPr>
        <w:t xml:space="preserve">.2 </w:t>
      </w:r>
      <w:r>
        <w:rPr>
          <w:rFonts w:hint="eastAsia" w:cs="Arial"/>
          <w:kern w:val="0"/>
          <w:szCs w:val="24"/>
          <w:highlight w:val="none"/>
        </w:rPr>
        <w:t>供应商</w:t>
      </w:r>
      <w:r>
        <w:rPr>
          <w:rFonts w:hint="eastAsia"/>
          <w:highlight w:val="none"/>
        </w:rPr>
        <w:t>报价应包括</w:t>
      </w:r>
      <w:r>
        <w:rPr>
          <w:rFonts w:hint="eastAsia" w:cs="Arial"/>
          <w:kern w:val="0"/>
          <w:szCs w:val="24"/>
          <w:highlight w:val="none"/>
        </w:rPr>
        <w:t>供应商</w:t>
      </w:r>
      <w:r>
        <w:rPr>
          <w:rFonts w:hint="eastAsia"/>
          <w:highlight w:val="none"/>
        </w:rPr>
        <w:t>成交后为完成采购项目规定的全部工作需支付的一切费用和拟获得的利润，并考虑了应承担的风险。</w:t>
      </w:r>
    </w:p>
    <w:p>
      <w:pPr>
        <w:ind w:firstLine="480"/>
        <w:rPr>
          <w:highlight w:val="none"/>
        </w:rPr>
      </w:pPr>
      <w:r>
        <w:rPr>
          <w:rFonts w:hint="eastAsia"/>
          <w:highlight w:val="none"/>
          <w:lang w:val="en-US" w:eastAsia="zh-CN"/>
        </w:rPr>
        <w:t>8</w:t>
      </w:r>
      <w:r>
        <w:rPr>
          <w:rFonts w:hint="eastAsia"/>
          <w:highlight w:val="none"/>
        </w:rPr>
        <w:t xml:space="preserve">.3 </w:t>
      </w:r>
      <w:r>
        <w:rPr>
          <w:rFonts w:hint="eastAsia" w:cs="Arial"/>
          <w:kern w:val="0"/>
          <w:szCs w:val="24"/>
          <w:highlight w:val="none"/>
        </w:rPr>
        <w:t>供应商</w:t>
      </w:r>
      <w:r>
        <w:rPr>
          <w:rFonts w:hint="eastAsia"/>
          <w:highlight w:val="none"/>
        </w:rPr>
        <w:t>必须根据询价文件报价格式进行报价，若</w:t>
      </w:r>
      <w:r>
        <w:rPr>
          <w:rFonts w:hint="eastAsia" w:cs="Arial"/>
          <w:kern w:val="0"/>
          <w:szCs w:val="24"/>
          <w:highlight w:val="none"/>
        </w:rPr>
        <w:t>供应商</w:t>
      </w:r>
      <w:r>
        <w:rPr>
          <w:rFonts w:hint="eastAsia"/>
          <w:highlight w:val="none"/>
        </w:rPr>
        <w:t>提供免费服务，应在报价文件中说明或在报价表中填“免费”，否则视为已包含在总报价中。</w:t>
      </w:r>
    </w:p>
    <w:p>
      <w:pPr>
        <w:ind w:firstLine="480"/>
        <w:rPr>
          <w:highlight w:val="none"/>
        </w:rPr>
      </w:pPr>
      <w:r>
        <w:rPr>
          <w:rFonts w:hint="eastAsia"/>
          <w:highlight w:val="none"/>
          <w:lang w:val="en-US" w:eastAsia="zh-CN"/>
        </w:rPr>
        <w:t>8</w:t>
      </w:r>
      <w:r>
        <w:rPr>
          <w:rFonts w:hint="eastAsia"/>
          <w:highlight w:val="none"/>
        </w:rPr>
        <w:t>.4 供应商不得以低于成本报价。</w:t>
      </w:r>
    </w:p>
    <w:p>
      <w:pPr>
        <w:ind w:firstLine="480"/>
        <w:rPr>
          <w:highlight w:val="none"/>
        </w:rPr>
      </w:pPr>
      <w:r>
        <w:rPr>
          <w:rFonts w:hint="eastAsia"/>
          <w:highlight w:val="none"/>
          <w:lang w:val="en-US" w:eastAsia="zh-CN"/>
        </w:rPr>
        <w:t>8</w:t>
      </w:r>
      <w:r>
        <w:rPr>
          <w:rFonts w:hint="eastAsia"/>
          <w:highlight w:val="none"/>
        </w:rPr>
        <w:t>.5 供应商报价的其他要求见供应商须知前附表。</w:t>
      </w:r>
    </w:p>
    <w:p>
      <w:pPr>
        <w:pStyle w:val="2"/>
        <w:spacing w:before="240"/>
        <w:rPr>
          <w:rFonts w:ascii="Times New Roman" w:hAnsi="Times New Roman"/>
          <w:highlight w:val="none"/>
        </w:rPr>
      </w:pPr>
      <w:bookmarkStart w:id="90" w:name="_Toc17041"/>
      <w:bookmarkStart w:id="91" w:name="_Toc31744"/>
      <w:r>
        <w:rPr>
          <w:rFonts w:hint="eastAsia" w:ascii="Times New Roman" w:hAnsi="Times New Roman"/>
          <w:highlight w:val="none"/>
          <w:lang w:val="en-US" w:eastAsia="zh-CN"/>
        </w:rPr>
        <w:t>9</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报价货币</w:t>
      </w:r>
      <w:bookmarkEnd w:id="90"/>
      <w:bookmarkEnd w:id="91"/>
    </w:p>
    <w:p>
      <w:pPr>
        <w:ind w:firstLine="480"/>
        <w:rPr>
          <w:highlight w:val="none"/>
        </w:rPr>
      </w:pPr>
      <w:r>
        <w:rPr>
          <w:rFonts w:hint="eastAsia"/>
          <w:highlight w:val="none"/>
        </w:rPr>
        <w:t>采用人民币报价，供应商须知前附表有明确规定的除外。</w:t>
      </w:r>
    </w:p>
    <w:p>
      <w:pPr>
        <w:pStyle w:val="2"/>
        <w:spacing w:before="240"/>
        <w:rPr>
          <w:rFonts w:ascii="Times New Roman" w:hAnsi="Times New Roman"/>
          <w:highlight w:val="none"/>
        </w:rPr>
      </w:pPr>
      <w:bookmarkStart w:id="92" w:name="_Toc32416"/>
      <w:bookmarkStart w:id="93" w:name="_Toc27416"/>
      <w:r>
        <w:rPr>
          <w:rFonts w:hint="eastAsia" w:ascii="Times New Roman" w:hAnsi="Times New Roman"/>
          <w:highlight w:val="none"/>
        </w:rPr>
        <w:t>1</w:t>
      </w:r>
      <w:r>
        <w:rPr>
          <w:rFonts w:hint="eastAsia" w:ascii="Times New Roman" w:hAnsi="Times New Roman"/>
          <w:highlight w:val="none"/>
          <w:lang w:val="en-US" w:eastAsia="zh-CN"/>
        </w:rPr>
        <w:t>0</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报价有效期</w:t>
      </w:r>
      <w:bookmarkEnd w:id="92"/>
      <w:bookmarkEnd w:id="93"/>
    </w:p>
    <w:p>
      <w:pPr>
        <w:ind w:firstLine="480"/>
        <w:rPr>
          <w:highlight w:val="none"/>
        </w:rPr>
      </w:pPr>
      <w:r>
        <w:rPr>
          <w:rFonts w:hint="eastAsia"/>
          <w:highlight w:val="none"/>
        </w:rPr>
        <w:t>1</w:t>
      </w:r>
      <w:r>
        <w:rPr>
          <w:rFonts w:hint="eastAsia"/>
          <w:highlight w:val="none"/>
          <w:lang w:val="en-US" w:eastAsia="zh-CN"/>
        </w:rPr>
        <w:t>0</w:t>
      </w:r>
      <w:r>
        <w:rPr>
          <w:rFonts w:hint="eastAsia"/>
          <w:highlight w:val="none"/>
        </w:rPr>
        <w:t>.1 报价有效期自本询价文件规定的报价文件递交截止时间起生效，并在供应商须知前附表中规定报价有效期内保持有效。报价有效期短于这个规定期限的报价文件将被视为非实质性响应而予以拒绝。</w:t>
      </w:r>
    </w:p>
    <w:p>
      <w:pPr>
        <w:ind w:firstLine="480"/>
        <w:rPr>
          <w:highlight w:val="none"/>
        </w:rPr>
      </w:pPr>
      <w:r>
        <w:rPr>
          <w:rFonts w:hint="eastAsia"/>
          <w:highlight w:val="none"/>
        </w:rPr>
        <w:t>1</w:t>
      </w:r>
      <w:r>
        <w:rPr>
          <w:rFonts w:hint="eastAsia"/>
          <w:highlight w:val="none"/>
          <w:lang w:val="en-US" w:eastAsia="zh-CN"/>
        </w:rPr>
        <w:t>0</w:t>
      </w:r>
      <w:r>
        <w:rPr>
          <w:rFonts w:hint="eastAsia"/>
          <w:highlight w:val="none"/>
        </w:rPr>
        <w:t>.2</w:t>
      </w:r>
      <w:r>
        <w:rPr>
          <w:highlight w:val="none"/>
        </w:rPr>
        <w:t xml:space="preserve"> </w:t>
      </w:r>
      <w:r>
        <w:rPr>
          <w:rFonts w:hint="eastAsia"/>
          <w:highlight w:val="none"/>
        </w:rPr>
        <w:t>采购人可于报价有效期截止之前要求供应商同意延长有效期。供应商应在规定的时间内以书面答复表示同意，此时供应商不能对报价文件进行任何修改；供应商若不同意延长报价有效期，则应在规定的时间内以书面形式给予明确答复，此时供应商被视为自动退出采购活动。</w:t>
      </w:r>
    </w:p>
    <w:p>
      <w:pPr>
        <w:pStyle w:val="2"/>
        <w:spacing w:before="240"/>
        <w:rPr>
          <w:rFonts w:ascii="Times New Roman" w:hAnsi="Times New Roman"/>
          <w:highlight w:val="none"/>
        </w:rPr>
      </w:pPr>
      <w:bookmarkStart w:id="94" w:name="_Toc25490"/>
      <w:bookmarkStart w:id="95" w:name="_Toc27576"/>
      <w:r>
        <w:rPr>
          <w:rFonts w:hint="eastAsia" w:ascii="Times New Roman" w:hAnsi="Times New Roman"/>
          <w:highlight w:val="none"/>
        </w:rPr>
        <w:t>1</w:t>
      </w:r>
      <w:r>
        <w:rPr>
          <w:rFonts w:hint="eastAsia" w:ascii="Times New Roman" w:hAnsi="Times New Roman"/>
          <w:highlight w:val="none"/>
          <w:lang w:val="en-US" w:eastAsia="zh-CN"/>
        </w:rPr>
        <w:t>1</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报价文件递交截止时间及地点</w:t>
      </w:r>
      <w:bookmarkEnd w:id="94"/>
      <w:bookmarkEnd w:id="95"/>
    </w:p>
    <w:p>
      <w:pPr>
        <w:ind w:firstLine="480"/>
        <w:rPr>
          <w:highlight w:val="none"/>
        </w:rPr>
      </w:pPr>
      <w:r>
        <w:rPr>
          <w:rFonts w:hint="eastAsia"/>
          <w:highlight w:val="none"/>
        </w:rPr>
        <w:t>供应商应在报价文件递交截止时间前将报价文件递交至中煤易购采购一体化平台。</w:t>
      </w:r>
    </w:p>
    <w:p>
      <w:pPr>
        <w:pStyle w:val="2"/>
        <w:spacing w:before="240"/>
        <w:rPr>
          <w:rFonts w:ascii="Times New Roman" w:hAnsi="Times New Roman"/>
          <w:highlight w:val="none"/>
        </w:rPr>
      </w:pPr>
      <w:bookmarkStart w:id="96" w:name="_Toc1549"/>
      <w:bookmarkStart w:id="97" w:name="_Toc28305"/>
      <w:r>
        <w:rPr>
          <w:rFonts w:hint="eastAsia" w:ascii="Times New Roman" w:hAnsi="Times New Roman"/>
          <w:highlight w:val="none"/>
        </w:rPr>
        <w:t>1</w:t>
      </w:r>
      <w:r>
        <w:rPr>
          <w:rFonts w:hint="eastAsia" w:ascii="Times New Roman" w:hAnsi="Times New Roman"/>
          <w:highlight w:val="none"/>
          <w:lang w:val="en-US" w:eastAsia="zh-CN"/>
        </w:rPr>
        <w:t>2</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报价文件的修改和撤销</w:t>
      </w:r>
      <w:bookmarkEnd w:id="96"/>
      <w:bookmarkEnd w:id="97"/>
    </w:p>
    <w:p>
      <w:pPr>
        <w:ind w:firstLine="480"/>
        <w:rPr>
          <w:kern w:val="0"/>
          <w:highlight w:val="none"/>
        </w:rPr>
      </w:pPr>
      <w:r>
        <w:rPr>
          <w:rFonts w:hint="eastAsia"/>
          <w:kern w:val="0"/>
          <w:highlight w:val="none"/>
        </w:rPr>
        <w:t>1</w:t>
      </w:r>
      <w:r>
        <w:rPr>
          <w:rFonts w:hint="eastAsia"/>
          <w:kern w:val="0"/>
          <w:highlight w:val="none"/>
          <w:lang w:val="en-US" w:eastAsia="zh-CN"/>
        </w:rPr>
        <w:t>2</w:t>
      </w:r>
      <w:r>
        <w:rPr>
          <w:rFonts w:hint="eastAsia"/>
          <w:kern w:val="0"/>
          <w:highlight w:val="none"/>
        </w:rPr>
        <w:t xml:space="preserve">.1 </w:t>
      </w:r>
      <w:r>
        <w:rPr>
          <w:rFonts w:hint="eastAsia"/>
          <w:highlight w:val="none"/>
        </w:rPr>
        <w:t>供应商在递交报价文件后，可以在规定的报价文件递交截止时间之前修改或撤回其报价文件</w:t>
      </w:r>
      <w:r>
        <w:rPr>
          <w:rFonts w:hint="eastAsia"/>
          <w:kern w:val="0"/>
          <w:highlight w:val="none"/>
        </w:rPr>
        <w:t>。</w:t>
      </w:r>
    </w:p>
    <w:p>
      <w:pPr>
        <w:ind w:firstLine="480"/>
        <w:rPr>
          <w:kern w:val="0"/>
          <w:highlight w:val="none"/>
        </w:rPr>
      </w:pPr>
      <w:r>
        <w:rPr>
          <w:rFonts w:hint="eastAsia"/>
          <w:kern w:val="0"/>
          <w:highlight w:val="none"/>
        </w:rPr>
        <w:t>1</w:t>
      </w:r>
      <w:r>
        <w:rPr>
          <w:rFonts w:hint="eastAsia"/>
          <w:kern w:val="0"/>
          <w:highlight w:val="none"/>
          <w:lang w:val="en-US" w:eastAsia="zh-CN"/>
        </w:rPr>
        <w:t>2</w:t>
      </w:r>
      <w:r>
        <w:rPr>
          <w:rFonts w:hint="eastAsia"/>
          <w:kern w:val="0"/>
          <w:highlight w:val="none"/>
        </w:rPr>
        <w:t>.2</w:t>
      </w:r>
      <w:r>
        <w:rPr>
          <w:kern w:val="0"/>
          <w:highlight w:val="none"/>
        </w:rPr>
        <w:t xml:space="preserve"> </w:t>
      </w:r>
      <w:r>
        <w:rPr>
          <w:rFonts w:hint="eastAsia"/>
          <w:highlight w:val="none"/>
        </w:rPr>
        <w:t>供应商不得在报价有效期内撤销报价文件</w:t>
      </w:r>
      <w:r>
        <w:rPr>
          <w:rFonts w:hint="eastAsia"/>
          <w:kern w:val="0"/>
          <w:highlight w:val="none"/>
        </w:rPr>
        <w:t>。</w:t>
      </w:r>
    </w:p>
    <w:p>
      <w:pPr>
        <w:pStyle w:val="2"/>
        <w:spacing w:before="240"/>
        <w:rPr>
          <w:rFonts w:ascii="Times New Roman" w:hAnsi="Times New Roman"/>
          <w:highlight w:val="none"/>
        </w:rPr>
      </w:pPr>
      <w:bookmarkStart w:id="98" w:name="_Toc6983"/>
      <w:bookmarkStart w:id="99" w:name="_Toc5271"/>
      <w:r>
        <w:rPr>
          <w:rFonts w:hint="eastAsia" w:ascii="Times New Roman" w:hAnsi="Times New Roman"/>
          <w:highlight w:val="none"/>
        </w:rPr>
        <w:t>1</w:t>
      </w:r>
      <w:r>
        <w:rPr>
          <w:rFonts w:hint="eastAsia" w:ascii="Times New Roman" w:hAnsi="Times New Roman"/>
          <w:highlight w:val="none"/>
          <w:lang w:val="en-US" w:eastAsia="zh-CN"/>
        </w:rPr>
        <w:t>3</w:t>
      </w:r>
      <w:r>
        <w:rPr>
          <w:rFonts w:hint="eastAsia" w:ascii="Times New Roman" w:hAnsi="Times New Roman"/>
          <w:highlight w:val="none"/>
        </w:rPr>
        <w:t>. 谈判小组</w:t>
      </w:r>
      <w:bookmarkEnd w:id="98"/>
      <w:bookmarkEnd w:id="99"/>
    </w:p>
    <w:p>
      <w:pPr>
        <w:ind w:firstLine="480"/>
        <w:rPr>
          <w:highlight w:val="none"/>
        </w:rPr>
      </w:pPr>
      <w:r>
        <w:rPr>
          <w:rFonts w:hint="eastAsia" w:cs="Arial"/>
          <w:highlight w:val="none"/>
        </w:rPr>
        <w:t>1</w:t>
      </w:r>
      <w:r>
        <w:rPr>
          <w:rFonts w:hint="eastAsia" w:cs="Arial"/>
          <w:highlight w:val="none"/>
          <w:lang w:val="en-US" w:eastAsia="zh-CN"/>
        </w:rPr>
        <w:t>3</w:t>
      </w:r>
      <w:r>
        <w:rPr>
          <w:rFonts w:hint="eastAsia" w:cs="Arial"/>
          <w:highlight w:val="none"/>
        </w:rPr>
        <w:t xml:space="preserve">.1 </w:t>
      </w:r>
      <w:r>
        <w:rPr>
          <w:rFonts w:hint="eastAsia"/>
          <w:highlight w:val="none"/>
        </w:rPr>
        <w:t>采购人将</w:t>
      </w:r>
      <w:r>
        <w:rPr>
          <w:rFonts w:hint="eastAsia"/>
          <w:highlight w:val="none"/>
          <w:lang w:val="en-US" w:eastAsia="zh-CN"/>
        </w:rPr>
        <w:t>按</w:t>
      </w:r>
      <w:r>
        <w:rPr>
          <w:rFonts w:hint="eastAsia"/>
          <w:highlight w:val="none"/>
        </w:rPr>
        <w:t>规定组建谈判小组。</w:t>
      </w:r>
    </w:p>
    <w:p>
      <w:pPr>
        <w:ind w:firstLine="480"/>
        <w:rPr>
          <w:highlight w:val="none"/>
        </w:rPr>
      </w:pPr>
      <w:r>
        <w:rPr>
          <w:rFonts w:hint="eastAsia"/>
          <w:highlight w:val="none"/>
        </w:rPr>
        <w:t>1</w:t>
      </w:r>
      <w:r>
        <w:rPr>
          <w:rFonts w:hint="eastAsia"/>
          <w:highlight w:val="none"/>
          <w:lang w:val="en-US" w:eastAsia="zh-CN"/>
        </w:rPr>
        <w:t>3</w:t>
      </w:r>
      <w:r>
        <w:rPr>
          <w:rFonts w:hint="eastAsia"/>
          <w:highlight w:val="none"/>
        </w:rPr>
        <w:t>.2 谈判小组负责评审工作，根据询价文件的要求对报价文件进行审查、质疑、评估和比较，出具评审报告（如需要），推荐成交候选供应商。</w:t>
      </w:r>
    </w:p>
    <w:p>
      <w:pPr>
        <w:pStyle w:val="2"/>
        <w:spacing w:before="240"/>
        <w:rPr>
          <w:rFonts w:ascii="Times New Roman" w:hAnsi="Times New Roman"/>
          <w:highlight w:val="none"/>
        </w:rPr>
      </w:pPr>
      <w:bookmarkStart w:id="100" w:name="_Toc2360"/>
      <w:bookmarkStart w:id="101" w:name="_Toc27408"/>
      <w:r>
        <w:rPr>
          <w:rFonts w:hint="eastAsia" w:ascii="Times New Roman" w:hAnsi="Times New Roman"/>
          <w:highlight w:val="none"/>
        </w:rPr>
        <w:t>1</w:t>
      </w:r>
      <w:r>
        <w:rPr>
          <w:rFonts w:hint="eastAsia" w:ascii="Times New Roman" w:hAnsi="Times New Roman"/>
          <w:highlight w:val="none"/>
          <w:lang w:val="en-US" w:eastAsia="zh-CN"/>
        </w:rPr>
        <w:t>4</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开启报价文件</w:t>
      </w:r>
      <w:bookmarkEnd w:id="100"/>
      <w:bookmarkEnd w:id="101"/>
    </w:p>
    <w:p>
      <w:pPr>
        <w:ind w:firstLine="480"/>
        <w:rPr>
          <w:highlight w:val="none"/>
        </w:rPr>
      </w:pPr>
      <w:r>
        <w:rPr>
          <w:rFonts w:hint="eastAsia"/>
          <w:highlight w:val="none"/>
        </w:rPr>
        <w:t>1</w:t>
      </w:r>
      <w:r>
        <w:rPr>
          <w:rFonts w:hint="eastAsia"/>
          <w:highlight w:val="none"/>
          <w:lang w:val="en-US" w:eastAsia="zh-CN"/>
        </w:rPr>
        <w:t>4</w:t>
      </w:r>
      <w:r>
        <w:rPr>
          <w:rFonts w:hint="eastAsia"/>
          <w:highlight w:val="none"/>
        </w:rPr>
        <w:t>.1 在询价文件规定的报价揭示时间开启报价文件。</w:t>
      </w:r>
    </w:p>
    <w:p>
      <w:pPr>
        <w:pStyle w:val="8"/>
        <w:ind w:firstLine="480"/>
        <w:rPr>
          <w:highlight w:val="none"/>
        </w:rPr>
      </w:pPr>
      <w:r>
        <w:rPr>
          <w:rFonts w:hint="eastAsia"/>
          <w:highlight w:val="none"/>
        </w:rPr>
        <w:t>1</w:t>
      </w:r>
      <w:r>
        <w:rPr>
          <w:rFonts w:hint="eastAsia"/>
          <w:highlight w:val="none"/>
          <w:lang w:val="en-US" w:eastAsia="zh-CN"/>
        </w:rPr>
        <w:t>4</w:t>
      </w:r>
      <w:r>
        <w:rPr>
          <w:rFonts w:hint="eastAsia"/>
          <w:highlight w:val="none"/>
        </w:rPr>
        <w:t>.2 供应商须根据供应商须知前附表规定的谈判时间及地点参加谈判。</w:t>
      </w:r>
    </w:p>
    <w:p>
      <w:pPr>
        <w:pStyle w:val="2"/>
        <w:spacing w:before="240"/>
        <w:rPr>
          <w:rFonts w:ascii="Times New Roman" w:hAnsi="Times New Roman"/>
          <w:highlight w:val="none"/>
        </w:rPr>
      </w:pPr>
      <w:bookmarkStart w:id="102" w:name="_Toc22757"/>
      <w:bookmarkStart w:id="103" w:name="_Toc22099"/>
      <w:bookmarkStart w:id="104" w:name="_Toc1032"/>
      <w:r>
        <w:rPr>
          <w:rFonts w:hint="eastAsia" w:ascii="Times New Roman" w:hAnsi="Times New Roman"/>
          <w:highlight w:val="none"/>
        </w:rPr>
        <w:t>1</w:t>
      </w:r>
      <w:r>
        <w:rPr>
          <w:rFonts w:hint="eastAsia" w:ascii="Times New Roman" w:hAnsi="Times New Roman"/>
          <w:highlight w:val="none"/>
          <w:lang w:val="en-US" w:eastAsia="zh-CN"/>
        </w:rPr>
        <w:t>5</w:t>
      </w:r>
      <w:r>
        <w:rPr>
          <w:rFonts w:hint="eastAsia" w:ascii="Times New Roman" w:hAnsi="Times New Roman"/>
          <w:highlight w:val="none"/>
        </w:rPr>
        <w:t>.</w:t>
      </w:r>
      <w:r>
        <w:rPr>
          <w:rFonts w:ascii="Times New Roman" w:hAnsi="Times New Roman"/>
          <w:highlight w:val="none"/>
        </w:rPr>
        <w:t xml:space="preserve"> </w:t>
      </w:r>
      <w:r>
        <w:rPr>
          <w:rFonts w:hint="eastAsia" w:ascii="Times New Roman" w:hAnsi="Times New Roman"/>
          <w:highlight w:val="none"/>
        </w:rPr>
        <w:t>确定成交供应商</w:t>
      </w:r>
      <w:bookmarkEnd w:id="102"/>
      <w:bookmarkEnd w:id="103"/>
      <w:bookmarkEnd w:id="104"/>
    </w:p>
    <w:p>
      <w:pPr>
        <w:pStyle w:val="8"/>
        <w:ind w:firstLine="480"/>
        <w:rPr>
          <w:highlight w:val="none"/>
        </w:rPr>
      </w:pPr>
      <w:r>
        <w:rPr>
          <w:rFonts w:hint="eastAsia"/>
          <w:highlight w:val="none"/>
        </w:rPr>
        <w:t>采购人按推荐的成交候选供应商名单确定成交供应商。成交候选供应商的推荐原则，见供应商须知前附表。</w:t>
      </w:r>
    </w:p>
    <w:p>
      <w:pPr>
        <w:pStyle w:val="2"/>
        <w:spacing w:before="240"/>
        <w:rPr>
          <w:rFonts w:ascii="Times New Roman" w:hAnsi="Times New Roman"/>
          <w:highlight w:val="none"/>
        </w:rPr>
      </w:pPr>
      <w:bookmarkStart w:id="105" w:name="_Toc7475"/>
      <w:bookmarkStart w:id="106" w:name="_Toc6920"/>
      <w:r>
        <w:rPr>
          <w:rFonts w:hint="eastAsia" w:ascii="Times New Roman" w:hAnsi="Times New Roman"/>
          <w:highlight w:val="none"/>
        </w:rPr>
        <w:t>1</w:t>
      </w:r>
      <w:r>
        <w:rPr>
          <w:rFonts w:hint="eastAsia" w:ascii="Times New Roman" w:hAnsi="Times New Roman"/>
          <w:highlight w:val="none"/>
          <w:lang w:val="en-US" w:eastAsia="zh-CN"/>
        </w:rPr>
        <w:t>6</w:t>
      </w:r>
      <w:r>
        <w:rPr>
          <w:rFonts w:hint="eastAsia" w:ascii="Times New Roman" w:hAnsi="Times New Roman"/>
          <w:highlight w:val="none"/>
        </w:rPr>
        <w:t>. 签订合同</w:t>
      </w:r>
      <w:bookmarkEnd w:id="105"/>
      <w:bookmarkEnd w:id="106"/>
    </w:p>
    <w:p>
      <w:pPr>
        <w:ind w:firstLine="480"/>
        <w:rPr>
          <w:highlight w:val="none"/>
        </w:rPr>
      </w:pPr>
      <w:r>
        <w:rPr>
          <w:rFonts w:hint="eastAsia"/>
          <w:highlight w:val="none"/>
        </w:rPr>
        <w:t>1</w:t>
      </w:r>
      <w:r>
        <w:rPr>
          <w:rFonts w:hint="eastAsia"/>
          <w:highlight w:val="none"/>
          <w:lang w:val="en-US" w:eastAsia="zh-CN"/>
        </w:rPr>
        <w:t>6</w:t>
      </w:r>
      <w:r>
        <w:rPr>
          <w:rFonts w:hint="eastAsia"/>
          <w:highlight w:val="none"/>
        </w:rPr>
        <w:t>.1 成交供应商应使用CA证书的电子签章与采购人签署电子合同。有关电子合同的相关解释权归采购人，以采购人解释为准。</w:t>
      </w:r>
    </w:p>
    <w:p>
      <w:pPr>
        <w:ind w:firstLine="480"/>
        <w:rPr>
          <w:highlight w:val="none"/>
        </w:rPr>
      </w:pPr>
      <w:r>
        <w:rPr>
          <w:rFonts w:hint="eastAsia"/>
          <w:highlight w:val="none"/>
        </w:rPr>
        <w:t>1</w:t>
      </w:r>
      <w:r>
        <w:rPr>
          <w:rFonts w:hint="eastAsia"/>
          <w:highlight w:val="none"/>
          <w:lang w:val="en-US" w:eastAsia="zh-CN"/>
        </w:rPr>
        <w:t>6</w:t>
      </w:r>
      <w:r>
        <w:rPr>
          <w:rFonts w:hint="eastAsia"/>
          <w:highlight w:val="none"/>
        </w:rPr>
        <w:t>.2 成交供应商须在规定的时间内</w:t>
      </w:r>
      <w:r>
        <w:rPr>
          <w:rFonts w:hint="eastAsia"/>
          <w:highlight w:val="none"/>
          <w:lang w:val="en-US" w:eastAsia="zh-CN"/>
        </w:rPr>
        <w:t>要求</w:t>
      </w:r>
      <w:r>
        <w:rPr>
          <w:rFonts w:hint="eastAsia"/>
          <w:highlight w:val="none"/>
        </w:rPr>
        <w:t>法定代表人或其授权人按双方最终确认的合同条款与采购人签订合同。</w:t>
      </w:r>
    </w:p>
    <w:p>
      <w:pPr>
        <w:ind w:firstLine="480"/>
        <w:rPr>
          <w:highlight w:val="none"/>
        </w:rPr>
      </w:pPr>
      <w:r>
        <w:rPr>
          <w:rFonts w:hint="eastAsia"/>
          <w:highlight w:val="none"/>
        </w:rPr>
        <w:t>1</w:t>
      </w:r>
      <w:r>
        <w:rPr>
          <w:rFonts w:hint="eastAsia"/>
          <w:highlight w:val="none"/>
          <w:lang w:val="en-US" w:eastAsia="zh-CN"/>
        </w:rPr>
        <w:t>6</w:t>
      </w:r>
      <w:r>
        <w:rPr>
          <w:rFonts w:hint="eastAsia"/>
          <w:highlight w:val="none"/>
        </w:rPr>
        <w:t>.3 询价文件、成交供应商的报价文件及采购过程中的有关澄清或修改文件均为签订合同的依据。</w:t>
      </w:r>
    </w:p>
    <w:p>
      <w:pPr>
        <w:pStyle w:val="2"/>
        <w:spacing w:before="240"/>
        <w:rPr>
          <w:rFonts w:ascii="Times New Roman" w:hAnsi="Times New Roman"/>
          <w:highlight w:val="none"/>
        </w:rPr>
      </w:pPr>
      <w:bookmarkStart w:id="107" w:name="_Toc14796"/>
      <w:bookmarkStart w:id="108" w:name="_Toc2088"/>
      <w:r>
        <w:rPr>
          <w:rFonts w:hint="eastAsia" w:ascii="Times New Roman" w:hAnsi="Times New Roman"/>
          <w:highlight w:val="none"/>
        </w:rPr>
        <w:t>1</w:t>
      </w:r>
      <w:r>
        <w:rPr>
          <w:rFonts w:hint="eastAsia" w:ascii="Times New Roman" w:hAnsi="Times New Roman"/>
          <w:highlight w:val="none"/>
          <w:lang w:val="en-US" w:eastAsia="zh-CN"/>
        </w:rPr>
        <w:t>7</w:t>
      </w:r>
      <w:r>
        <w:rPr>
          <w:rFonts w:hint="eastAsia" w:ascii="Times New Roman" w:hAnsi="Times New Roman"/>
          <w:highlight w:val="none"/>
        </w:rPr>
        <w:t>. 供应商失信行为管理</w:t>
      </w:r>
      <w:bookmarkEnd w:id="107"/>
      <w:bookmarkEnd w:id="108"/>
    </w:p>
    <w:p>
      <w:pPr>
        <w:ind w:firstLine="480"/>
        <w:rPr>
          <w:highlight w:val="none"/>
        </w:rPr>
      </w:pPr>
      <w:r>
        <w:rPr>
          <w:rFonts w:hint="eastAsia"/>
          <w:highlight w:val="none"/>
        </w:rPr>
        <w:t>1</w:t>
      </w:r>
      <w:r>
        <w:rPr>
          <w:rFonts w:hint="eastAsia"/>
          <w:highlight w:val="none"/>
          <w:lang w:val="en-US" w:eastAsia="zh-CN"/>
        </w:rPr>
        <w:t>7</w:t>
      </w:r>
      <w:r>
        <w:rPr>
          <w:highlight w:val="none"/>
        </w:rPr>
        <w:t xml:space="preserve">.1 </w:t>
      </w:r>
      <w:r>
        <w:rPr>
          <w:rFonts w:hint="eastAsia"/>
          <w:highlight w:val="none"/>
          <w:lang w:eastAsia="zh-CN"/>
        </w:rPr>
        <w:t>中国中煤</w:t>
      </w:r>
      <w:r>
        <w:rPr>
          <w:highlight w:val="none"/>
        </w:rPr>
        <w:t>对存在违反法律法规、违反</w:t>
      </w:r>
      <w:r>
        <w:rPr>
          <w:rFonts w:hint="eastAsia"/>
          <w:highlight w:val="none"/>
          <w:lang w:eastAsia="zh-CN"/>
        </w:rPr>
        <w:t>中国中煤</w:t>
      </w:r>
      <w:r>
        <w:rPr>
          <w:highlight w:val="none"/>
        </w:rPr>
        <w:t>管理规定、违背商业道德、违反合同约定和相关承诺等失信行为的</w:t>
      </w:r>
      <w:r>
        <w:rPr>
          <w:rFonts w:hint="eastAsia"/>
          <w:highlight w:val="none"/>
        </w:rPr>
        <w:t>供应商</w:t>
      </w:r>
      <w:r>
        <w:rPr>
          <w:highlight w:val="none"/>
        </w:rPr>
        <w:t>进行失信管理，视情节严重程度予以相应的处置。</w:t>
      </w:r>
    </w:p>
    <w:p>
      <w:pPr>
        <w:ind w:firstLine="480"/>
        <w:rPr>
          <w:highlight w:val="none"/>
        </w:rPr>
      </w:pPr>
      <w:r>
        <w:rPr>
          <w:rFonts w:hint="eastAsia"/>
          <w:highlight w:val="none"/>
        </w:rPr>
        <w:t>1</w:t>
      </w:r>
      <w:r>
        <w:rPr>
          <w:rFonts w:hint="eastAsia"/>
          <w:highlight w:val="none"/>
          <w:lang w:val="en-US" w:eastAsia="zh-CN"/>
        </w:rPr>
        <w:t>7</w:t>
      </w:r>
      <w:r>
        <w:rPr>
          <w:rFonts w:hint="eastAsia"/>
          <w:highlight w:val="none"/>
        </w:rPr>
        <w:t xml:space="preserve">.2 </w:t>
      </w:r>
      <w:r>
        <w:rPr>
          <w:rFonts w:hint="eastAsia"/>
          <w:highlight w:val="none"/>
          <w:lang w:eastAsia="zh-CN"/>
        </w:rPr>
        <w:t>中国中煤</w:t>
      </w:r>
      <w:r>
        <w:rPr>
          <w:highlight w:val="none"/>
        </w:rPr>
        <w:t>对失信行为的</w:t>
      </w:r>
      <w:r>
        <w:rPr>
          <w:rFonts w:hint="eastAsia"/>
          <w:highlight w:val="none"/>
        </w:rPr>
        <w:t>供应商</w:t>
      </w:r>
      <w:r>
        <w:rPr>
          <w:highlight w:val="none"/>
        </w:rPr>
        <w:t>实施失信惩戒，属于集团级的失信行为，实施全集团联合惩戒，禁止参加</w:t>
      </w:r>
      <w:r>
        <w:rPr>
          <w:rFonts w:hint="eastAsia"/>
          <w:highlight w:val="none"/>
          <w:lang w:eastAsia="zh-CN"/>
        </w:rPr>
        <w:t>中国中煤</w:t>
      </w:r>
      <w:r>
        <w:rPr>
          <w:highlight w:val="none"/>
        </w:rPr>
        <w:t>采购业务；属于企业级的失信行为，禁止参加实施惩戒的企业的采购业务。</w:t>
      </w:r>
    </w:p>
    <w:p>
      <w:pPr>
        <w:pStyle w:val="2"/>
        <w:spacing w:before="240"/>
        <w:rPr>
          <w:rFonts w:ascii="Times New Roman" w:hAnsi="Times New Roman"/>
          <w:highlight w:val="none"/>
        </w:rPr>
      </w:pPr>
      <w:bookmarkStart w:id="109" w:name="_Toc25314"/>
      <w:bookmarkStart w:id="110" w:name="_Toc23778"/>
      <w:r>
        <w:rPr>
          <w:rFonts w:hint="eastAsia" w:ascii="Times New Roman" w:hAnsi="Times New Roman"/>
          <w:highlight w:val="none"/>
          <w:lang w:val="en-US" w:eastAsia="zh-CN"/>
        </w:rPr>
        <w:t>18</w:t>
      </w:r>
      <w:r>
        <w:rPr>
          <w:rFonts w:hint="eastAsia" w:ascii="Times New Roman" w:hAnsi="Times New Roman"/>
          <w:highlight w:val="none"/>
        </w:rPr>
        <w:t>. 其他需要补充的内容</w:t>
      </w:r>
      <w:bookmarkEnd w:id="109"/>
      <w:bookmarkEnd w:id="110"/>
    </w:p>
    <w:p>
      <w:pPr>
        <w:ind w:firstLine="640"/>
        <w:rPr>
          <w:rFonts w:hint="eastAsia"/>
          <w:highlight w:val="none"/>
        </w:rPr>
      </w:pPr>
      <w:bookmarkStart w:id="111" w:name="_Toc525134808"/>
      <w:r>
        <w:rPr>
          <w:rFonts w:hint="eastAsia"/>
          <w:highlight w:val="none"/>
          <w:lang w:val="en-US" w:eastAsia="zh-CN"/>
        </w:rPr>
        <w:t>18.</w:t>
      </w:r>
      <w:r>
        <w:rPr>
          <w:rFonts w:hint="eastAsia"/>
          <w:highlight w:val="none"/>
        </w:rPr>
        <w:t>1</w:t>
      </w:r>
      <w:r>
        <w:rPr>
          <w:rFonts w:hint="eastAsia"/>
          <w:highlight w:val="none"/>
          <w:lang w:val="en-US" w:eastAsia="zh-CN"/>
        </w:rPr>
        <w:t xml:space="preserve"> </w:t>
      </w:r>
      <w:r>
        <w:rPr>
          <w:rFonts w:hint="eastAsia"/>
          <w:highlight w:val="none"/>
        </w:rPr>
        <w:t>报价函；</w:t>
      </w:r>
    </w:p>
    <w:p>
      <w:pPr>
        <w:ind w:firstLine="640"/>
        <w:rPr>
          <w:rFonts w:hint="eastAsia"/>
          <w:highlight w:val="none"/>
        </w:rPr>
      </w:pPr>
      <w:r>
        <w:rPr>
          <w:rFonts w:hint="eastAsia"/>
          <w:highlight w:val="none"/>
          <w:lang w:val="en-US" w:eastAsia="zh-CN"/>
        </w:rPr>
        <w:t xml:space="preserve">18.2 </w:t>
      </w:r>
      <w:r>
        <w:rPr>
          <w:rFonts w:hint="eastAsia"/>
          <w:highlight w:val="none"/>
        </w:rPr>
        <w:t>报价人执业许可证；</w:t>
      </w:r>
    </w:p>
    <w:p>
      <w:pPr>
        <w:ind w:firstLine="640"/>
        <w:rPr>
          <w:rFonts w:hint="eastAsia" w:eastAsia="宋体"/>
          <w:highlight w:val="none"/>
          <w:lang w:eastAsia="zh-CN"/>
        </w:rPr>
      </w:pPr>
      <w:r>
        <w:rPr>
          <w:rFonts w:hint="eastAsia"/>
          <w:highlight w:val="none"/>
          <w:lang w:val="en-US" w:eastAsia="zh-CN"/>
        </w:rPr>
        <w:t xml:space="preserve">18.3 </w:t>
      </w:r>
      <w:r>
        <w:rPr>
          <w:rFonts w:hint="eastAsia"/>
          <w:highlight w:val="none"/>
        </w:rPr>
        <w:t>报价人为央企能源公司常年法律顾问服务业绩证明材料</w:t>
      </w:r>
      <w:r>
        <w:rPr>
          <w:rFonts w:hint="eastAsia"/>
          <w:highlight w:val="none"/>
          <w:lang w:eastAsia="zh-CN"/>
        </w:rPr>
        <w:t>；</w:t>
      </w:r>
    </w:p>
    <w:p>
      <w:pPr>
        <w:ind w:firstLine="640"/>
        <w:rPr>
          <w:rFonts w:hint="eastAsia"/>
          <w:highlight w:val="none"/>
        </w:rPr>
      </w:pPr>
      <w:r>
        <w:rPr>
          <w:rFonts w:hint="eastAsia"/>
          <w:highlight w:val="none"/>
          <w:lang w:val="en-US" w:eastAsia="zh-CN"/>
        </w:rPr>
        <w:t xml:space="preserve">18.4 </w:t>
      </w:r>
      <w:r>
        <w:rPr>
          <w:rFonts w:hint="eastAsia"/>
          <w:highlight w:val="none"/>
        </w:rPr>
        <w:t>报价人所获荣誉证明材料；</w:t>
      </w:r>
    </w:p>
    <w:p>
      <w:pPr>
        <w:ind w:firstLine="640"/>
        <w:rPr>
          <w:rFonts w:hint="eastAsia"/>
          <w:highlight w:val="none"/>
        </w:rPr>
      </w:pPr>
      <w:r>
        <w:rPr>
          <w:rFonts w:hint="eastAsia"/>
          <w:highlight w:val="none"/>
          <w:lang w:val="en-US" w:eastAsia="zh-CN"/>
        </w:rPr>
        <w:t xml:space="preserve">18.5 </w:t>
      </w:r>
      <w:r>
        <w:rPr>
          <w:rFonts w:hint="eastAsia"/>
          <w:highlight w:val="none"/>
        </w:rPr>
        <w:t>报价人委派服务团队的介绍材料；</w:t>
      </w:r>
    </w:p>
    <w:p>
      <w:pPr>
        <w:ind w:firstLine="640"/>
        <w:rPr>
          <w:rFonts w:hint="eastAsia"/>
          <w:highlight w:val="none"/>
        </w:rPr>
      </w:pPr>
      <w:r>
        <w:rPr>
          <w:rFonts w:hint="eastAsia"/>
          <w:highlight w:val="none"/>
          <w:lang w:val="en-US" w:eastAsia="zh-CN"/>
        </w:rPr>
        <w:t xml:space="preserve">18.6 </w:t>
      </w:r>
      <w:r>
        <w:rPr>
          <w:rFonts w:hint="eastAsia"/>
          <w:highlight w:val="none"/>
        </w:rPr>
        <w:t>至少1个国家的境外法律服务相关案例证明；</w:t>
      </w:r>
    </w:p>
    <w:p>
      <w:pPr>
        <w:ind w:firstLine="640"/>
        <w:rPr>
          <w:rFonts w:hint="eastAsia"/>
          <w:highlight w:val="none"/>
        </w:rPr>
      </w:pPr>
      <w:r>
        <w:rPr>
          <w:rFonts w:hint="eastAsia"/>
          <w:highlight w:val="none"/>
          <w:lang w:val="en-US" w:eastAsia="zh-CN"/>
        </w:rPr>
        <w:t xml:space="preserve">18.7 </w:t>
      </w:r>
      <w:r>
        <w:rPr>
          <w:rFonts w:hint="eastAsia"/>
          <w:highlight w:val="none"/>
        </w:rPr>
        <w:t>至少2个与询价人业务相关的案例；</w:t>
      </w:r>
    </w:p>
    <w:p>
      <w:pPr>
        <w:ind w:firstLine="640"/>
        <w:rPr>
          <w:rFonts w:hint="eastAsia"/>
          <w:highlight w:val="none"/>
        </w:rPr>
      </w:pPr>
      <w:r>
        <w:rPr>
          <w:rFonts w:hint="eastAsia"/>
          <w:highlight w:val="none"/>
          <w:lang w:val="en-US" w:eastAsia="zh-CN"/>
        </w:rPr>
        <w:t xml:space="preserve">18.8 </w:t>
      </w:r>
      <w:r>
        <w:rPr>
          <w:rFonts w:hint="eastAsia"/>
          <w:highlight w:val="none"/>
        </w:rPr>
        <w:t>工作方案、专项服务建议；</w:t>
      </w:r>
    </w:p>
    <w:p>
      <w:pPr>
        <w:ind w:firstLine="640"/>
        <w:rPr>
          <w:sz w:val="32"/>
          <w:szCs w:val="32"/>
          <w:highlight w:val="none"/>
        </w:rPr>
      </w:pPr>
      <w:r>
        <w:rPr>
          <w:rFonts w:hint="eastAsia"/>
          <w:highlight w:val="none"/>
          <w:lang w:val="en-US" w:eastAsia="zh-CN"/>
        </w:rPr>
        <w:t xml:space="preserve">18.9 </w:t>
      </w:r>
      <w:r>
        <w:rPr>
          <w:rFonts w:hint="eastAsia"/>
          <w:highlight w:val="none"/>
        </w:rPr>
        <w:t>其他（报价人认为有提交必要的材料）。</w:t>
      </w:r>
      <w:r>
        <w:rPr>
          <w:sz w:val="32"/>
          <w:szCs w:val="32"/>
          <w:highlight w:val="none"/>
        </w:rPr>
        <w:br w:type="page"/>
      </w:r>
    </w:p>
    <w:p>
      <w:pPr>
        <w:pStyle w:val="25"/>
        <w:spacing w:before="120"/>
        <w:rPr>
          <w:highlight w:val="none"/>
        </w:rPr>
      </w:pPr>
      <w:bookmarkStart w:id="112" w:name="_Toc28219"/>
      <w:bookmarkStart w:id="113" w:name="_Toc13678"/>
      <w:r>
        <w:rPr>
          <w:rFonts w:hint="eastAsia"/>
          <w:highlight w:val="none"/>
        </w:rPr>
        <w:t>第三章 评审办法</w:t>
      </w:r>
      <w:bookmarkEnd w:id="112"/>
      <w:bookmarkEnd w:id="113"/>
    </w:p>
    <w:p>
      <w:pPr>
        <w:pStyle w:val="2"/>
        <w:spacing w:before="240"/>
        <w:ind w:firstLine="478" w:firstLineChars="171"/>
        <w:rPr>
          <w:highlight w:val="none"/>
        </w:rPr>
      </w:pPr>
      <w:bookmarkStart w:id="114" w:name="_Toc31218"/>
      <w:bookmarkStart w:id="115" w:name="_Toc8462"/>
      <w:r>
        <w:rPr>
          <w:rFonts w:hint="eastAsia"/>
          <w:highlight w:val="none"/>
        </w:rPr>
        <w:t>一、</w:t>
      </w:r>
      <w:bookmarkEnd w:id="114"/>
      <w:bookmarkEnd w:id="115"/>
      <w:bookmarkStart w:id="116" w:name="_Toc8665"/>
      <w:bookmarkStart w:id="117" w:name="_Toc3668"/>
      <w:r>
        <w:rPr>
          <w:rFonts w:hint="eastAsia"/>
          <w:highlight w:val="none"/>
        </w:rPr>
        <w:t>评审方法</w:t>
      </w:r>
      <w:bookmarkEnd w:id="116"/>
      <w:bookmarkEnd w:id="117"/>
    </w:p>
    <w:p>
      <w:pPr>
        <w:ind w:firstLine="480"/>
        <w:rPr>
          <w:highlight w:val="none"/>
        </w:rPr>
      </w:pPr>
      <w:r>
        <w:rPr>
          <w:rFonts w:hint="eastAsia"/>
          <w:highlight w:val="none"/>
        </w:rPr>
        <w:t>本项目采用综合评估法。</w:t>
      </w:r>
    </w:p>
    <w:p>
      <w:pPr>
        <w:pStyle w:val="2"/>
        <w:spacing w:before="240"/>
        <w:ind w:firstLine="478" w:firstLineChars="171"/>
        <w:rPr>
          <w:highlight w:val="none"/>
        </w:rPr>
      </w:pPr>
      <w:bookmarkStart w:id="118" w:name="_Toc17985"/>
      <w:bookmarkStart w:id="119" w:name="_Toc30960"/>
      <w:r>
        <w:rPr>
          <w:rFonts w:hint="eastAsia"/>
          <w:highlight w:val="none"/>
          <w:lang w:val="en-US" w:eastAsia="zh-CN"/>
        </w:rPr>
        <w:t>二</w:t>
      </w:r>
      <w:r>
        <w:rPr>
          <w:rFonts w:hint="eastAsia"/>
          <w:highlight w:val="none"/>
        </w:rPr>
        <w:t>、评审程序</w:t>
      </w:r>
      <w:bookmarkEnd w:id="118"/>
      <w:bookmarkEnd w:id="119"/>
    </w:p>
    <w:p>
      <w:pPr>
        <w:ind w:firstLine="480"/>
        <w:rPr>
          <w:highlight w:val="none"/>
        </w:rPr>
      </w:pPr>
      <w:r>
        <w:rPr>
          <w:rFonts w:hint="eastAsia"/>
          <w:highlight w:val="none"/>
        </w:rPr>
        <w:t>1.</w:t>
      </w:r>
      <w:r>
        <w:rPr>
          <w:highlight w:val="none"/>
        </w:rPr>
        <w:t xml:space="preserve"> </w:t>
      </w:r>
      <w:r>
        <w:rPr>
          <w:rFonts w:hint="eastAsia"/>
          <w:highlight w:val="none"/>
        </w:rPr>
        <w:t>初步评审</w:t>
      </w:r>
    </w:p>
    <w:p>
      <w:pPr>
        <w:ind w:firstLine="480"/>
        <w:rPr>
          <w:highlight w:val="none"/>
        </w:rPr>
      </w:pPr>
      <w:r>
        <w:rPr>
          <w:rFonts w:hint="eastAsia"/>
          <w:highlight w:val="none"/>
        </w:rPr>
        <w:t>评审小组对报价文件进行初步评审，评审内容如下：</w:t>
      </w:r>
    </w:p>
    <w:p>
      <w:pPr>
        <w:pStyle w:val="21"/>
        <w:ind w:firstLine="480"/>
        <w:rPr>
          <w:highlight w:val="none"/>
        </w:rPr>
      </w:pPr>
      <w:r>
        <w:rPr>
          <w:rFonts w:hint="eastAsia"/>
          <w:highlight w:val="none"/>
        </w:rPr>
        <w:t>1.1 供应商名称与营业执照（事业单位法人证书）、资质证书、银行资信证明等证明性证书不一致；</w:t>
      </w:r>
    </w:p>
    <w:p>
      <w:pPr>
        <w:ind w:firstLine="480"/>
        <w:rPr>
          <w:highlight w:val="none"/>
        </w:rPr>
      </w:pPr>
      <w:r>
        <w:rPr>
          <w:rFonts w:hint="eastAsia"/>
          <w:highlight w:val="none"/>
        </w:rPr>
        <w:t>1.2 报价文件格式不符合询价文件“报价文件格式”要求；</w:t>
      </w:r>
    </w:p>
    <w:p>
      <w:pPr>
        <w:pStyle w:val="21"/>
        <w:ind w:firstLine="480"/>
        <w:rPr>
          <w:highlight w:val="none"/>
        </w:rPr>
      </w:pPr>
      <w:r>
        <w:rPr>
          <w:rFonts w:hint="eastAsia"/>
          <w:highlight w:val="none"/>
        </w:rPr>
        <w:t>1.3 报价不唯一（按询价文件规定提交备选方案的除外）；</w:t>
      </w:r>
    </w:p>
    <w:p>
      <w:pPr>
        <w:ind w:firstLine="480"/>
        <w:rPr>
          <w:highlight w:val="none"/>
        </w:rPr>
      </w:pPr>
      <w:r>
        <w:rPr>
          <w:rFonts w:hint="eastAsia"/>
          <w:highlight w:val="none"/>
        </w:rPr>
        <w:t>1.4 法定代表人授权委托书未按要求签字并加盖单位公章；</w:t>
      </w:r>
    </w:p>
    <w:p>
      <w:pPr>
        <w:ind w:firstLine="480"/>
        <w:rPr>
          <w:highlight w:val="none"/>
        </w:rPr>
      </w:pPr>
      <w:r>
        <w:rPr>
          <w:rFonts w:hint="eastAsia"/>
          <w:highlight w:val="none"/>
        </w:rPr>
        <w:t>1</w:t>
      </w:r>
      <w:r>
        <w:rPr>
          <w:highlight w:val="none"/>
        </w:rPr>
        <w:t>.</w:t>
      </w:r>
      <w:r>
        <w:rPr>
          <w:rFonts w:hint="eastAsia"/>
          <w:highlight w:val="none"/>
        </w:rPr>
        <w:t>5</w:t>
      </w:r>
      <w:r>
        <w:rPr>
          <w:highlight w:val="none"/>
        </w:rPr>
        <w:t xml:space="preserve"> </w:t>
      </w:r>
      <w:r>
        <w:rPr>
          <w:rFonts w:hint="eastAsia"/>
          <w:highlight w:val="none"/>
        </w:rPr>
        <w:t>供应商资格条件不满足询价文件要求；</w:t>
      </w:r>
    </w:p>
    <w:p>
      <w:pPr>
        <w:pStyle w:val="21"/>
        <w:ind w:firstLine="480"/>
        <w:rPr>
          <w:highlight w:val="none"/>
        </w:rPr>
      </w:pPr>
      <w:r>
        <w:rPr>
          <w:rFonts w:hint="eastAsia"/>
          <w:highlight w:val="none"/>
        </w:rPr>
        <w:t>1.</w:t>
      </w:r>
      <w:r>
        <w:rPr>
          <w:highlight w:val="none"/>
        </w:rPr>
        <w:t>6</w:t>
      </w:r>
      <w:r>
        <w:rPr>
          <w:rFonts w:hint="eastAsia"/>
          <w:highlight w:val="none"/>
        </w:rPr>
        <w:t xml:space="preserve"> 报价文件有效期不满足询价文件要求；</w:t>
      </w:r>
    </w:p>
    <w:p>
      <w:pPr>
        <w:ind w:firstLine="480"/>
        <w:rPr>
          <w:highlight w:val="none"/>
        </w:rPr>
      </w:pPr>
      <w:r>
        <w:rPr>
          <w:rFonts w:hint="eastAsia"/>
          <w:highlight w:val="none"/>
        </w:rPr>
        <w:t>1</w:t>
      </w:r>
      <w:r>
        <w:rPr>
          <w:highlight w:val="none"/>
        </w:rPr>
        <w:t xml:space="preserve">.7 </w:t>
      </w:r>
      <w:r>
        <w:rPr>
          <w:rFonts w:hint="eastAsia"/>
          <w:highlight w:val="none"/>
        </w:rPr>
        <w:t>报价文件附有采购人不能接受的条件；</w:t>
      </w:r>
    </w:p>
    <w:p>
      <w:pPr>
        <w:pStyle w:val="8"/>
        <w:ind w:firstLine="480"/>
        <w:rPr>
          <w:highlight w:val="none"/>
        </w:rPr>
      </w:pPr>
      <w:r>
        <w:rPr>
          <w:rFonts w:hint="eastAsia"/>
          <w:highlight w:val="none"/>
        </w:rPr>
        <w:t>1.</w:t>
      </w:r>
      <w:r>
        <w:rPr>
          <w:highlight w:val="none"/>
        </w:rPr>
        <w:t>8</w:t>
      </w:r>
      <w:r>
        <w:rPr>
          <w:rFonts w:hint="eastAsia"/>
          <w:highlight w:val="none"/>
        </w:rPr>
        <w:t>有下列情形之一的，视为供应商相互串通：</w:t>
      </w:r>
    </w:p>
    <w:p>
      <w:pPr>
        <w:pStyle w:val="8"/>
        <w:ind w:firstLine="480"/>
        <w:rPr>
          <w:highlight w:val="none"/>
        </w:rPr>
      </w:pPr>
      <w:r>
        <w:rPr>
          <w:rFonts w:hint="eastAsia"/>
          <w:highlight w:val="none"/>
        </w:rPr>
        <w:t>(1) 不同供应商的报价文件由同一单位或者个人编制；</w:t>
      </w:r>
    </w:p>
    <w:p>
      <w:pPr>
        <w:pStyle w:val="8"/>
        <w:ind w:firstLine="480"/>
        <w:rPr>
          <w:highlight w:val="none"/>
        </w:rPr>
      </w:pPr>
      <w:r>
        <w:rPr>
          <w:rFonts w:hint="eastAsia"/>
          <w:highlight w:val="none"/>
        </w:rPr>
        <w:t>(2) 不同供应商委托同一单位或者个人办理报价事宜；</w:t>
      </w:r>
    </w:p>
    <w:p>
      <w:pPr>
        <w:pStyle w:val="8"/>
        <w:ind w:firstLine="480"/>
        <w:rPr>
          <w:highlight w:val="none"/>
        </w:rPr>
      </w:pPr>
      <w:r>
        <w:rPr>
          <w:rFonts w:hint="eastAsia"/>
          <w:highlight w:val="none"/>
        </w:rPr>
        <w:t>(3) 不同供应商的报价文件载明的项目管理成员为同一人；</w:t>
      </w:r>
    </w:p>
    <w:p>
      <w:pPr>
        <w:pStyle w:val="8"/>
        <w:ind w:firstLine="480"/>
        <w:rPr>
          <w:highlight w:val="none"/>
        </w:rPr>
      </w:pPr>
      <w:r>
        <w:rPr>
          <w:rFonts w:hint="eastAsia"/>
          <w:highlight w:val="none"/>
        </w:rPr>
        <w:t>(4) 不同供应商的报价文件异常一致或者报价呈规律性差异；</w:t>
      </w:r>
    </w:p>
    <w:p>
      <w:pPr>
        <w:pStyle w:val="8"/>
        <w:ind w:firstLine="480"/>
        <w:rPr>
          <w:highlight w:val="none"/>
        </w:rPr>
      </w:pPr>
      <w:r>
        <w:rPr>
          <w:rFonts w:hint="eastAsia"/>
          <w:highlight w:val="none"/>
        </w:rPr>
        <w:t>(5) 不同供应商的报价文件相互混装；</w:t>
      </w:r>
    </w:p>
    <w:p>
      <w:pPr>
        <w:ind w:firstLine="480"/>
        <w:rPr>
          <w:highlight w:val="none"/>
        </w:rPr>
      </w:pPr>
      <w:r>
        <w:rPr>
          <w:rFonts w:hint="eastAsia"/>
          <w:highlight w:val="none"/>
        </w:rPr>
        <w:t>1</w:t>
      </w:r>
      <w:r>
        <w:rPr>
          <w:highlight w:val="none"/>
        </w:rPr>
        <w:t xml:space="preserve">.9 </w:t>
      </w:r>
      <w:r>
        <w:rPr>
          <w:rFonts w:hint="eastAsia"/>
          <w:highlight w:val="none"/>
        </w:rPr>
        <w:t>国家相关法规规定的</w:t>
      </w:r>
      <w:r>
        <w:rPr>
          <w:rFonts w:hint="eastAsia"/>
          <w:highlight w:val="none"/>
          <w:lang w:eastAsia="zh-CN"/>
        </w:rPr>
        <w:t>其他</w:t>
      </w:r>
      <w:r>
        <w:rPr>
          <w:rFonts w:hint="eastAsia"/>
          <w:highlight w:val="none"/>
        </w:rPr>
        <w:t>否决条款。</w:t>
      </w:r>
    </w:p>
    <w:p>
      <w:pPr>
        <w:ind w:firstLine="480"/>
        <w:rPr>
          <w:highlight w:val="none"/>
        </w:rPr>
      </w:pPr>
      <w:r>
        <w:rPr>
          <w:rFonts w:hint="eastAsia"/>
          <w:highlight w:val="none"/>
        </w:rPr>
        <w:t>如发生上述条款中的任何一项，初步审查将视为不合格，供应商只有通过初步评审，才能进入</w:t>
      </w:r>
      <w:r>
        <w:rPr>
          <w:rFonts w:hint="eastAsia" w:ascii="宋体" w:hAnsi="宋体"/>
          <w:highlight w:val="none"/>
        </w:rPr>
        <w:t>下一步具体谈判过程</w:t>
      </w:r>
      <w:r>
        <w:rPr>
          <w:rFonts w:hint="eastAsia"/>
          <w:highlight w:val="none"/>
        </w:rPr>
        <w:t>。</w:t>
      </w:r>
    </w:p>
    <w:p>
      <w:pPr>
        <w:pStyle w:val="8"/>
        <w:ind w:firstLine="480"/>
        <w:rPr>
          <w:highlight w:val="none"/>
        </w:rPr>
      </w:pPr>
      <w:r>
        <w:rPr>
          <w:rFonts w:hint="eastAsia"/>
          <w:highlight w:val="none"/>
        </w:rPr>
        <w:t>2.</w:t>
      </w:r>
      <w:r>
        <w:rPr>
          <w:highlight w:val="none"/>
        </w:rPr>
        <w:t xml:space="preserve"> </w:t>
      </w:r>
      <w:r>
        <w:rPr>
          <w:rFonts w:hint="eastAsia"/>
          <w:highlight w:val="none"/>
        </w:rPr>
        <w:t>谈判过程</w:t>
      </w:r>
    </w:p>
    <w:p>
      <w:pPr>
        <w:pStyle w:val="8"/>
        <w:ind w:firstLine="480"/>
        <w:rPr>
          <w:highlight w:val="none"/>
        </w:rPr>
      </w:pPr>
      <w:r>
        <w:rPr>
          <w:rFonts w:hint="eastAsia"/>
          <w:highlight w:val="none"/>
        </w:rPr>
        <w:t>2.1 谈判小组与所有通过初步评审的供应商分别进行谈判。</w:t>
      </w:r>
    </w:p>
    <w:p>
      <w:pPr>
        <w:pStyle w:val="8"/>
        <w:ind w:firstLine="480"/>
        <w:rPr>
          <w:highlight w:val="none"/>
        </w:rPr>
      </w:pPr>
      <w:r>
        <w:rPr>
          <w:rFonts w:hint="eastAsia"/>
          <w:highlight w:val="none"/>
        </w:rPr>
        <w:t>2.2 谈判小组可与供应商进行多轮谈判，可要求供应商进行多次报价，并确保所有具有继续谈判资格的供应商得到均等的谈判和报价机会。</w:t>
      </w:r>
    </w:p>
    <w:p>
      <w:pPr>
        <w:pStyle w:val="8"/>
        <w:ind w:firstLine="480"/>
        <w:rPr>
          <w:highlight w:val="none"/>
        </w:rPr>
      </w:pPr>
      <w:r>
        <w:rPr>
          <w:rFonts w:hint="eastAsia"/>
          <w:highlight w:val="none"/>
        </w:rPr>
        <w:t>2.3 谈判结束后，谈判小组应当要求所有具有最终报价资格的供应商限期以书面形式提交最终报价。</w:t>
      </w:r>
    </w:p>
    <w:p>
      <w:pPr>
        <w:pStyle w:val="8"/>
        <w:ind w:firstLine="480"/>
        <w:rPr>
          <w:highlight w:val="none"/>
        </w:rPr>
      </w:pPr>
      <w:r>
        <w:rPr>
          <w:rFonts w:hint="eastAsia"/>
          <w:highlight w:val="none"/>
        </w:rPr>
        <w:t>2.4 供应商在谈判期间作出的对报价文件的澄清、修改、补充、最终报价等，作为报价文件的组成部分。</w:t>
      </w:r>
    </w:p>
    <w:p>
      <w:pPr>
        <w:ind w:firstLine="480"/>
        <w:rPr>
          <w:highlight w:val="none"/>
        </w:rPr>
      </w:pPr>
      <w:r>
        <w:rPr>
          <w:rFonts w:hint="eastAsia"/>
          <w:highlight w:val="none"/>
        </w:rPr>
        <w:t>3.</w:t>
      </w:r>
      <w:r>
        <w:rPr>
          <w:highlight w:val="none"/>
        </w:rPr>
        <w:t xml:space="preserve"> </w:t>
      </w:r>
      <w:r>
        <w:rPr>
          <w:rFonts w:hint="eastAsia"/>
          <w:highlight w:val="none"/>
        </w:rPr>
        <w:t>详细评审：详细评审包括商务、技术和价格评审。</w:t>
      </w:r>
    </w:p>
    <w:p>
      <w:pPr>
        <w:ind w:firstLine="480"/>
        <w:rPr>
          <w:rFonts w:ascii="宋体" w:hAnsi="宋体"/>
          <w:highlight w:val="none"/>
        </w:rPr>
      </w:pPr>
      <w:bookmarkStart w:id="120" w:name="_Toc386046234"/>
      <w:bookmarkStart w:id="121" w:name="_Toc386358396"/>
      <w:r>
        <w:rPr>
          <w:highlight w:val="none"/>
        </w:rPr>
        <w:t>评</w:t>
      </w:r>
      <w:r>
        <w:rPr>
          <w:rFonts w:hint="eastAsia"/>
          <w:highlight w:val="none"/>
        </w:rPr>
        <w:t>审</w:t>
      </w:r>
      <w:r>
        <w:rPr>
          <w:highlight w:val="none"/>
        </w:rPr>
        <w:t>委员会按</w:t>
      </w:r>
      <w:r>
        <w:rPr>
          <w:rFonts w:hint="eastAsia"/>
          <w:highlight w:val="none"/>
        </w:rPr>
        <w:t>详细评审评分标准（详见附表1）</w:t>
      </w:r>
      <w:r>
        <w:rPr>
          <w:highlight w:val="none"/>
        </w:rPr>
        <w:t>规定的量化因素和分值进行打分，并计算出综合评估得分。</w:t>
      </w:r>
      <w:r>
        <w:rPr>
          <w:rFonts w:hint="eastAsia" w:ascii="宋体" w:hAnsi="宋体"/>
          <w:highlight w:val="none"/>
        </w:rPr>
        <w:t>综合得分按下面公式计算</w:t>
      </w:r>
      <w:bookmarkEnd w:id="120"/>
      <w:bookmarkEnd w:id="121"/>
      <w:r>
        <w:rPr>
          <w:rFonts w:hint="eastAsia" w:ascii="宋体" w:hAnsi="宋体"/>
          <w:highlight w:val="none"/>
        </w:rPr>
        <w:t>：</w:t>
      </w:r>
    </w:p>
    <w:p>
      <w:pPr>
        <w:ind w:firstLine="480"/>
        <w:rPr>
          <w:rFonts w:ascii="宋体" w:hAnsi="宋体"/>
          <w:highlight w:val="none"/>
        </w:rPr>
      </w:pPr>
      <w:r>
        <w:rPr>
          <w:rFonts w:hint="eastAsia" w:ascii="宋体" w:hAnsi="宋体"/>
          <w:highlight w:val="none"/>
          <w:lang w:val="en-US" w:eastAsia="zh-CN"/>
        </w:rPr>
        <w:t>业绩</w:t>
      </w:r>
      <w:r>
        <w:rPr>
          <w:rFonts w:ascii="宋体" w:hAnsi="宋体"/>
          <w:highlight w:val="none"/>
        </w:rPr>
        <w:t>A：满分</w:t>
      </w:r>
      <w:r>
        <w:rPr>
          <w:rFonts w:ascii="宋体" w:hAnsi="宋体"/>
          <w:highlight w:val="none"/>
          <w:u w:val="single"/>
        </w:rPr>
        <w:t>20</w:t>
      </w:r>
      <w:r>
        <w:rPr>
          <w:rFonts w:hint="eastAsia" w:ascii="宋体" w:hAnsi="宋体"/>
          <w:highlight w:val="none"/>
        </w:rPr>
        <w:t>分，权重</w:t>
      </w:r>
      <w:r>
        <w:rPr>
          <w:rFonts w:ascii="宋体" w:hAnsi="宋体"/>
          <w:highlight w:val="none"/>
        </w:rPr>
        <w:t xml:space="preserve">K1 </w:t>
      </w:r>
      <w:r>
        <w:rPr>
          <w:rFonts w:ascii="宋体" w:hAnsi="宋体"/>
          <w:highlight w:val="none"/>
          <w:u w:val="single"/>
        </w:rPr>
        <w:t>100</w:t>
      </w:r>
      <w:r>
        <w:rPr>
          <w:rFonts w:ascii="宋体" w:hAnsi="宋体"/>
          <w:highlight w:val="none"/>
        </w:rPr>
        <w:t xml:space="preserve">% </w:t>
      </w:r>
      <w:r>
        <w:rPr>
          <w:rFonts w:hint="eastAsia" w:ascii="宋体" w:hAnsi="宋体"/>
          <w:highlight w:val="none"/>
        </w:rPr>
        <w:t>；</w:t>
      </w:r>
    </w:p>
    <w:p>
      <w:pPr>
        <w:ind w:firstLine="480"/>
        <w:rPr>
          <w:rFonts w:ascii="宋体" w:hAnsi="宋体"/>
          <w:highlight w:val="none"/>
        </w:rPr>
      </w:pPr>
      <w:r>
        <w:rPr>
          <w:rFonts w:hint="eastAsia" w:ascii="宋体" w:hAnsi="宋体"/>
          <w:highlight w:val="none"/>
          <w:lang w:val="en-US" w:eastAsia="zh-CN"/>
        </w:rPr>
        <w:t>工作方案、专项服务建议及商务响应程度</w:t>
      </w:r>
      <w:r>
        <w:rPr>
          <w:rFonts w:ascii="宋体" w:hAnsi="宋体"/>
          <w:highlight w:val="none"/>
        </w:rPr>
        <w:t>B：满分</w:t>
      </w:r>
      <w:r>
        <w:rPr>
          <w:rFonts w:hint="eastAsia" w:ascii="宋体" w:hAnsi="宋体"/>
          <w:highlight w:val="none"/>
          <w:u w:val="single"/>
          <w:lang w:val="en-US" w:eastAsia="zh-CN"/>
        </w:rPr>
        <w:t>3</w:t>
      </w:r>
      <w:r>
        <w:rPr>
          <w:rFonts w:ascii="宋体" w:hAnsi="宋体"/>
          <w:highlight w:val="none"/>
          <w:u w:val="single"/>
        </w:rPr>
        <w:t>0</w:t>
      </w:r>
      <w:r>
        <w:rPr>
          <w:rFonts w:hint="eastAsia" w:ascii="宋体" w:hAnsi="宋体"/>
          <w:highlight w:val="none"/>
        </w:rPr>
        <w:t>分，权重</w:t>
      </w:r>
      <w:r>
        <w:rPr>
          <w:rFonts w:ascii="宋体" w:hAnsi="宋体"/>
          <w:highlight w:val="none"/>
        </w:rPr>
        <w:t xml:space="preserve">K2 </w:t>
      </w:r>
      <w:r>
        <w:rPr>
          <w:rFonts w:ascii="宋体" w:hAnsi="宋体"/>
          <w:highlight w:val="none"/>
          <w:u w:val="single"/>
        </w:rPr>
        <w:t>100</w:t>
      </w:r>
      <w:r>
        <w:rPr>
          <w:rFonts w:ascii="宋体" w:hAnsi="宋体"/>
          <w:highlight w:val="none"/>
        </w:rPr>
        <w:t xml:space="preserve">% </w:t>
      </w:r>
      <w:r>
        <w:rPr>
          <w:rFonts w:hint="eastAsia" w:ascii="宋体" w:hAnsi="宋体"/>
          <w:highlight w:val="none"/>
        </w:rPr>
        <w:t>；</w:t>
      </w:r>
    </w:p>
    <w:p>
      <w:pPr>
        <w:ind w:firstLine="480"/>
        <w:rPr>
          <w:rFonts w:hint="eastAsia" w:ascii="宋体" w:hAnsi="宋体"/>
          <w:highlight w:val="none"/>
        </w:rPr>
      </w:pPr>
      <w:r>
        <w:rPr>
          <w:rFonts w:hint="eastAsia" w:ascii="宋体" w:hAnsi="宋体"/>
          <w:highlight w:val="none"/>
          <w:lang w:val="en-US" w:eastAsia="zh-CN"/>
        </w:rPr>
        <w:t>工作团队</w:t>
      </w:r>
      <w:r>
        <w:rPr>
          <w:rFonts w:ascii="宋体" w:hAnsi="宋体"/>
          <w:highlight w:val="none"/>
        </w:rPr>
        <w:t>C：满分</w:t>
      </w:r>
      <w:r>
        <w:rPr>
          <w:rFonts w:hint="eastAsia" w:ascii="宋体" w:hAnsi="宋体"/>
          <w:highlight w:val="none"/>
          <w:u w:val="single"/>
          <w:lang w:val="en-US" w:eastAsia="zh-CN"/>
        </w:rPr>
        <w:t>2</w:t>
      </w:r>
      <w:r>
        <w:rPr>
          <w:rFonts w:ascii="宋体" w:hAnsi="宋体"/>
          <w:highlight w:val="none"/>
          <w:u w:val="single"/>
        </w:rPr>
        <w:t>0</w:t>
      </w:r>
      <w:r>
        <w:rPr>
          <w:rFonts w:hint="eastAsia" w:ascii="宋体" w:hAnsi="宋体"/>
          <w:highlight w:val="none"/>
        </w:rPr>
        <w:t>分，权重</w:t>
      </w:r>
      <w:r>
        <w:rPr>
          <w:rFonts w:ascii="宋体" w:hAnsi="宋体"/>
          <w:highlight w:val="none"/>
        </w:rPr>
        <w:t xml:space="preserve">K3 </w:t>
      </w:r>
      <w:r>
        <w:rPr>
          <w:rFonts w:ascii="宋体" w:hAnsi="宋体"/>
          <w:highlight w:val="none"/>
          <w:u w:val="single"/>
        </w:rPr>
        <w:t>100</w:t>
      </w:r>
      <w:r>
        <w:rPr>
          <w:rFonts w:ascii="宋体" w:hAnsi="宋体"/>
          <w:highlight w:val="none"/>
        </w:rPr>
        <w:t xml:space="preserve">% </w:t>
      </w:r>
      <w:r>
        <w:rPr>
          <w:rFonts w:hint="eastAsia" w:ascii="宋体" w:hAnsi="宋体"/>
          <w:highlight w:val="none"/>
        </w:rPr>
        <w:t>；</w:t>
      </w:r>
    </w:p>
    <w:p>
      <w:pPr>
        <w:pStyle w:val="8"/>
        <w:rPr>
          <w:rFonts w:hint="default" w:eastAsia="宋体"/>
          <w:highlight w:val="none"/>
          <w:lang w:val="en-US" w:eastAsia="zh-CN"/>
        </w:rPr>
      </w:pPr>
      <w:r>
        <w:rPr>
          <w:rFonts w:hint="eastAsia" w:ascii="宋体" w:hAnsi="宋体"/>
          <w:highlight w:val="none"/>
          <w:lang w:val="en-US" w:eastAsia="zh-CN"/>
        </w:rPr>
        <w:t>报价D：</w:t>
      </w:r>
      <w:r>
        <w:rPr>
          <w:rFonts w:ascii="宋体" w:hAnsi="宋体"/>
          <w:highlight w:val="none"/>
        </w:rPr>
        <w:t>满分</w:t>
      </w:r>
      <w:r>
        <w:rPr>
          <w:rFonts w:hint="eastAsia" w:ascii="宋体" w:hAnsi="宋体"/>
          <w:highlight w:val="none"/>
          <w:u w:val="single"/>
          <w:lang w:val="en-US" w:eastAsia="zh-CN"/>
        </w:rPr>
        <w:t>3</w:t>
      </w:r>
      <w:r>
        <w:rPr>
          <w:rFonts w:ascii="宋体" w:hAnsi="宋体"/>
          <w:highlight w:val="none"/>
          <w:u w:val="single"/>
        </w:rPr>
        <w:t>0</w:t>
      </w:r>
      <w:r>
        <w:rPr>
          <w:rFonts w:hint="eastAsia" w:ascii="宋体" w:hAnsi="宋体"/>
          <w:highlight w:val="none"/>
        </w:rPr>
        <w:t>分，权重</w:t>
      </w:r>
      <w:r>
        <w:rPr>
          <w:rFonts w:ascii="宋体" w:hAnsi="宋体"/>
          <w:highlight w:val="none"/>
        </w:rPr>
        <w:t>K</w:t>
      </w:r>
      <w:r>
        <w:rPr>
          <w:rFonts w:hint="eastAsia" w:ascii="宋体" w:hAnsi="宋体"/>
          <w:highlight w:val="none"/>
          <w:lang w:val="en-US" w:eastAsia="zh-CN"/>
        </w:rPr>
        <w:t>4</w:t>
      </w:r>
      <w:r>
        <w:rPr>
          <w:rFonts w:ascii="宋体" w:hAnsi="宋体"/>
          <w:highlight w:val="none"/>
        </w:rPr>
        <w:t xml:space="preserve"> </w:t>
      </w:r>
      <w:r>
        <w:rPr>
          <w:rFonts w:ascii="宋体" w:hAnsi="宋体"/>
          <w:highlight w:val="none"/>
          <w:u w:val="single"/>
        </w:rPr>
        <w:t>100</w:t>
      </w:r>
      <w:r>
        <w:rPr>
          <w:rFonts w:ascii="宋体" w:hAnsi="宋体"/>
          <w:highlight w:val="none"/>
        </w:rPr>
        <w:t xml:space="preserve">% </w:t>
      </w:r>
      <w:r>
        <w:rPr>
          <w:rFonts w:hint="eastAsia" w:ascii="宋体" w:hAnsi="宋体"/>
          <w:highlight w:val="none"/>
        </w:rPr>
        <w:t>；</w:t>
      </w:r>
    </w:p>
    <w:p>
      <w:pPr>
        <w:ind w:firstLine="480"/>
        <w:rPr>
          <w:rFonts w:hint="eastAsia" w:eastAsia="宋体"/>
          <w:highlight w:val="none"/>
          <w:lang w:val="en-US" w:eastAsia="zh-CN"/>
        </w:rPr>
      </w:pPr>
      <w:r>
        <w:rPr>
          <w:rFonts w:hint="eastAsia" w:ascii="宋体" w:hAnsi="宋体"/>
          <w:highlight w:val="none"/>
        </w:rPr>
        <w:t>综合得分</w:t>
      </w:r>
      <w:r>
        <w:rPr>
          <w:rFonts w:ascii="宋体" w:hAnsi="宋体"/>
          <w:highlight w:val="none"/>
        </w:rPr>
        <w:t>=A×K1＋B×K2＋C×K3</w:t>
      </w:r>
      <w:r>
        <w:rPr>
          <w:rFonts w:hint="eastAsia" w:ascii="宋体" w:hAnsi="宋体"/>
          <w:highlight w:val="none"/>
          <w:lang w:val="en-US" w:eastAsia="zh-CN"/>
        </w:rPr>
        <w:t>+D</w:t>
      </w:r>
      <w:r>
        <w:rPr>
          <w:rFonts w:ascii="宋体" w:hAnsi="宋体"/>
          <w:highlight w:val="none"/>
        </w:rPr>
        <w:t>×K</w:t>
      </w:r>
      <w:r>
        <w:rPr>
          <w:rFonts w:hint="eastAsia" w:ascii="宋体" w:hAnsi="宋体"/>
          <w:highlight w:val="none"/>
          <w:lang w:val="en-US" w:eastAsia="zh-CN"/>
        </w:rPr>
        <w:t>4</w:t>
      </w:r>
    </w:p>
    <w:p>
      <w:pPr>
        <w:ind w:firstLine="480"/>
        <w:rPr>
          <w:highlight w:val="none"/>
        </w:rPr>
      </w:pPr>
      <w:r>
        <w:rPr>
          <w:rFonts w:hint="eastAsia"/>
          <w:highlight w:val="none"/>
        </w:rPr>
        <w:t>4</w:t>
      </w:r>
      <w:r>
        <w:rPr>
          <w:highlight w:val="none"/>
        </w:rPr>
        <w:t xml:space="preserve">. </w:t>
      </w:r>
      <w:r>
        <w:rPr>
          <w:rFonts w:hint="eastAsia"/>
          <w:highlight w:val="none"/>
        </w:rPr>
        <w:t>评审</w:t>
      </w:r>
      <w:r>
        <w:rPr>
          <w:highlight w:val="none"/>
        </w:rPr>
        <w:t>报告</w:t>
      </w:r>
    </w:p>
    <w:p>
      <w:pPr>
        <w:ind w:firstLine="480"/>
        <w:rPr>
          <w:highlight w:val="none"/>
        </w:rPr>
      </w:pPr>
      <w:r>
        <w:rPr>
          <w:rFonts w:hint="eastAsia" w:ascii="宋体" w:hAnsi="宋体"/>
          <w:szCs w:val="24"/>
          <w:highlight w:val="none"/>
        </w:rPr>
        <w:t>评审报告应由谈判小组全体成员签字确认。成员对评审报告有异议的，可提出意见，按照少数服从多数的原则做出结论；有异议的成员，应在报告上签署不同意见并说明理由，拒绝在报告上签字又不书面说明理由的，视为同意评审报告。</w:t>
      </w:r>
    </w:p>
    <w:p>
      <w:pPr>
        <w:pStyle w:val="2"/>
        <w:spacing w:before="240"/>
        <w:ind w:firstLine="478" w:firstLineChars="171"/>
        <w:rPr>
          <w:highlight w:val="none"/>
        </w:rPr>
      </w:pPr>
      <w:bookmarkStart w:id="122" w:name="_Toc14193"/>
      <w:bookmarkStart w:id="123" w:name="_Toc11953"/>
      <w:r>
        <w:rPr>
          <w:rFonts w:hint="eastAsia"/>
          <w:highlight w:val="none"/>
          <w:lang w:val="en-US" w:eastAsia="zh-CN"/>
        </w:rPr>
        <w:t>三</w:t>
      </w:r>
      <w:r>
        <w:rPr>
          <w:rFonts w:hint="eastAsia"/>
          <w:highlight w:val="none"/>
        </w:rPr>
        <w:t>、推荐成交供应商</w:t>
      </w:r>
      <w:bookmarkEnd w:id="122"/>
      <w:bookmarkEnd w:id="123"/>
    </w:p>
    <w:p>
      <w:pPr>
        <w:ind w:firstLine="480"/>
        <w:rPr>
          <w:highlight w:val="none"/>
        </w:rPr>
      </w:pPr>
      <w:r>
        <w:rPr>
          <w:rFonts w:hint="eastAsia"/>
          <w:highlight w:val="none"/>
        </w:rPr>
        <w:t>谈判小组</w:t>
      </w:r>
      <w:r>
        <w:rPr>
          <w:highlight w:val="none"/>
        </w:rPr>
        <w:t>按照得分由高到低的顺序推荐</w:t>
      </w:r>
      <w:r>
        <w:rPr>
          <w:rFonts w:hint="eastAsia"/>
          <w:highlight w:val="none"/>
        </w:rPr>
        <w:t>成交候选供应商</w:t>
      </w:r>
      <w:r>
        <w:rPr>
          <w:highlight w:val="none"/>
        </w:rPr>
        <w:t>，</w:t>
      </w:r>
      <w:r>
        <w:rPr>
          <w:rFonts w:hint="eastAsia"/>
          <w:highlight w:val="none"/>
        </w:rPr>
        <w:t>一般推荐前三名</w:t>
      </w:r>
      <w:r>
        <w:rPr>
          <w:highlight w:val="none"/>
        </w:rPr>
        <w:t>并标明排序。</w:t>
      </w:r>
      <w:r>
        <w:rPr>
          <w:rFonts w:hint="eastAsia"/>
          <w:highlight w:val="none"/>
        </w:rPr>
        <w:t>综合评分相等时，以报价低的优先；报价也相等的，以</w:t>
      </w:r>
      <w:r>
        <w:rPr>
          <w:rFonts w:hint="eastAsia"/>
          <w:highlight w:val="none"/>
          <w:lang w:val="en-US" w:eastAsia="zh-CN"/>
        </w:rPr>
        <w:t>前三项总分</w:t>
      </w:r>
      <w:r>
        <w:rPr>
          <w:rFonts w:hint="eastAsia"/>
          <w:highlight w:val="none"/>
        </w:rPr>
        <w:t>高的优先；如果</w:t>
      </w:r>
      <w:r>
        <w:rPr>
          <w:rFonts w:hint="eastAsia"/>
          <w:highlight w:val="none"/>
          <w:lang w:val="en-US" w:eastAsia="zh-CN"/>
        </w:rPr>
        <w:t>前三项总</w:t>
      </w:r>
      <w:r>
        <w:rPr>
          <w:rFonts w:hint="eastAsia"/>
          <w:highlight w:val="none"/>
        </w:rPr>
        <w:t>分也相等，由采购人自行决定。</w:t>
      </w:r>
    </w:p>
    <w:p>
      <w:pPr>
        <w:ind w:firstLine="480"/>
        <w:rPr>
          <w:highlight w:val="none"/>
        </w:rPr>
      </w:pPr>
      <w:r>
        <w:rPr>
          <w:rFonts w:hint="eastAsia"/>
          <w:highlight w:val="none"/>
        </w:rPr>
        <w:br w:type="page"/>
      </w:r>
    </w:p>
    <w:p>
      <w:pPr>
        <w:ind w:firstLine="480"/>
        <w:rPr>
          <w:highlight w:val="none"/>
        </w:rPr>
      </w:pPr>
      <w:r>
        <w:rPr>
          <w:rFonts w:hint="eastAsia"/>
          <w:highlight w:val="none"/>
        </w:rPr>
        <w:t>附表1 详细评审标准表</w:t>
      </w:r>
    </w:p>
    <w:tbl>
      <w:tblPr>
        <w:tblStyle w:val="27"/>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81"/>
        <w:gridCol w:w="1414"/>
        <w:gridCol w:w="1855"/>
        <w:gridCol w:w="4511"/>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jc w:val="center"/>
        </w:trPr>
        <w:tc>
          <w:tcPr>
            <w:tcW w:w="581"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序号</w:t>
            </w:r>
          </w:p>
        </w:tc>
        <w:tc>
          <w:tcPr>
            <w:tcW w:w="1414"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评审内容</w:t>
            </w:r>
          </w:p>
        </w:tc>
        <w:tc>
          <w:tcPr>
            <w:tcW w:w="1855"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评审细项</w:t>
            </w:r>
          </w:p>
        </w:tc>
        <w:tc>
          <w:tcPr>
            <w:tcW w:w="4511"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评审标准</w:t>
            </w:r>
          </w:p>
        </w:tc>
        <w:tc>
          <w:tcPr>
            <w:tcW w:w="890" w:type="dxa"/>
            <w:shd w:val="clear" w:color="auto" w:fill="C7DAF1" w:themeFill="text2" w:themeFillTint="32"/>
            <w:noWrap w:val="0"/>
            <w:vAlign w:val="center"/>
          </w:tcPr>
          <w:p>
            <w:pPr>
              <w:spacing w:line="260" w:lineRule="exact"/>
              <w:ind w:left="0" w:leftChars="0"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0" w:hRule="atLeast"/>
          <w:jc w:val="center"/>
        </w:trPr>
        <w:tc>
          <w:tcPr>
            <w:tcW w:w="581" w:type="dxa"/>
            <w:noWrap w:val="0"/>
            <w:vAlign w:val="center"/>
          </w:tcPr>
          <w:p>
            <w:pPr>
              <w:spacing w:line="260" w:lineRule="exact"/>
              <w:ind w:firstLine="105" w:firstLineChars="5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 xml:space="preserve">1  </w:t>
            </w:r>
          </w:p>
        </w:tc>
        <w:tc>
          <w:tcPr>
            <w:tcW w:w="1414" w:type="dxa"/>
            <w:noWrap w:val="0"/>
            <w:vAlign w:val="center"/>
          </w:tcPr>
          <w:p>
            <w:pPr>
              <w:spacing w:line="260" w:lineRule="exact"/>
              <w:ind w:firstLine="420" w:firstLineChars="200"/>
              <w:jc w:val="both"/>
              <w:rPr>
                <w:rFonts w:hint="eastAsia"/>
                <w:sz w:val="21"/>
                <w:szCs w:val="21"/>
                <w:highlight w:val="none"/>
                <w:lang w:val="en-US" w:eastAsia="zh-CN"/>
              </w:rPr>
            </w:pPr>
            <w:r>
              <w:rPr>
                <w:rFonts w:hint="eastAsia"/>
                <w:sz w:val="21"/>
                <w:szCs w:val="21"/>
                <w:highlight w:val="none"/>
                <w:lang w:val="en-US" w:eastAsia="zh-CN"/>
              </w:rPr>
              <w:t>业 绩</w:t>
            </w:r>
          </w:p>
          <w:p>
            <w:pPr>
              <w:pStyle w:val="8"/>
              <w:spacing w:line="260" w:lineRule="exact"/>
              <w:ind w:firstLine="420" w:firstLineChars="200"/>
              <w:jc w:val="both"/>
              <w:rPr>
                <w:rFonts w:hint="eastAsia"/>
                <w:sz w:val="21"/>
                <w:szCs w:val="21"/>
                <w:highlight w:val="none"/>
                <w:lang w:val="en-US" w:eastAsia="zh-CN"/>
              </w:rPr>
            </w:pPr>
            <w:r>
              <w:rPr>
                <w:rFonts w:hint="eastAsia" w:ascii="Times New Roman" w:hAnsi="Times New Roman"/>
                <w:sz w:val="21"/>
                <w:szCs w:val="21"/>
                <w:highlight w:val="none"/>
                <w:lang w:val="en-US" w:eastAsia="zh-CN"/>
              </w:rPr>
              <w:t>（20）</w:t>
            </w:r>
          </w:p>
        </w:tc>
        <w:tc>
          <w:tcPr>
            <w:tcW w:w="1855" w:type="dxa"/>
            <w:noWrap w:val="0"/>
            <w:vAlign w:val="center"/>
          </w:tcPr>
          <w:p>
            <w:pPr>
              <w:spacing w:line="260" w:lineRule="exact"/>
              <w:ind w:firstLine="105" w:firstLineChars="50"/>
              <w:rPr>
                <w:rFonts w:ascii="Times New Roman" w:hAnsi="Times New Roman"/>
                <w:sz w:val="21"/>
                <w:szCs w:val="21"/>
                <w:highlight w:val="none"/>
              </w:rPr>
            </w:pPr>
            <w:r>
              <w:rPr>
                <w:rFonts w:ascii="Times New Roman" w:hAnsi="Times New Roman"/>
                <w:sz w:val="21"/>
                <w:szCs w:val="21"/>
                <w:highlight w:val="none"/>
              </w:rPr>
              <w:t>近</w:t>
            </w:r>
            <w:r>
              <w:rPr>
                <w:rFonts w:hint="eastAsia" w:ascii="Times New Roman" w:hAnsi="Times New Roman"/>
                <w:sz w:val="21"/>
                <w:szCs w:val="21"/>
                <w:highlight w:val="none"/>
                <w:lang w:val="en-US" w:eastAsia="zh-CN"/>
              </w:rPr>
              <w:t>3</w:t>
            </w:r>
            <w:r>
              <w:rPr>
                <w:rFonts w:ascii="Times New Roman" w:hAnsi="Times New Roman"/>
                <w:sz w:val="21"/>
                <w:szCs w:val="21"/>
                <w:highlight w:val="none"/>
              </w:rPr>
              <w:t>年（</w:t>
            </w:r>
            <w:r>
              <w:rPr>
                <w:rFonts w:hint="eastAsia" w:ascii="Times New Roman" w:hAnsi="Times New Roman"/>
                <w:sz w:val="21"/>
                <w:szCs w:val="21"/>
                <w:highlight w:val="none"/>
              </w:rPr>
              <w:t>20</w:t>
            </w:r>
            <w:r>
              <w:rPr>
                <w:rFonts w:hint="eastAsia" w:ascii="Times New Roman" w:hAnsi="Times New Roman"/>
                <w:sz w:val="21"/>
                <w:szCs w:val="21"/>
                <w:highlight w:val="none"/>
                <w:lang w:val="en-US" w:eastAsia="zh-CN"/>
              </w:rPr>
              <w:t>21</w:t>
            </w:r>
            <w:r>
              <w:rPr>
                <w:rFonts w:ascii="Times New Roman" w:hAnsi="Times New Roman"/>
                <w:sz w:val="21"/>
                <w:szCs w:val="21"/>
                <w:highlight w:val="none"/>
              </w:rPr>
              <w:t>年至今）类似项目业绩（</w:t>
            </w:r>
            <w:r>
              <w:rPr>
                <w:rFonts w:hint="eastAsia" w:ascii="Times New Roman" w:hAnsi="Times New Roman"/>
                <w:sz w:val="21"/>
                <w:szCs w:val="21"/>
                <w:highlight w:val="none"/>
                <w:lang w:val="en-US" w:eastAsia="zh-CN"/>
              </w:rPr>
              <w:t>报价</w:t>
            </w:r>
            <w:r>
              <w:rPr>
                <w:rFonts w:ascii="Times New Roman" w:hAnsi="Times New Roman"/>
                <w:sz w:val="21"/>
                <w:szCs w:val="21"/>
                <w:highlight w:val="none"/>
              </w:rPr>
              <w:t>人提供相关证明文件，包括但不限于合同、</w:t>
            </w:r>
            <w:r>
              <w:rPr>
                <w:rFonts w:hint="eastAsia" w:ascii="Times New Roman" w:hAnsi="Times New Roman"/>
                <w:sz w:val="21"/>
                <w:szCs w:val="21"/>
                <w:highlight w:val="none"/>
                <w:lang w:val="en-US" w:eastAsia="zh-CN"/>
              </w:rPr>
              <w:t>司法文书</w:t>
            </w:r>
            <w:r>
              <w:rPr>
                <w:rFonts w:ascii="Times New Roman" w:hAnsi="Times New Roman"/>
                <w:sz w:val="21"/>
                <w:szCs w:val="21"/>
                <w:highlight w:val="none"/>
              </w:rPr>
              <w:t>）</w:t>
            </w:r>
          </w:p>
        </w:tc>
        <w:tc>
          <w:tcPr>
            <w:tcW w:w="4511" w:type="dxa"/>
            <w:noWrap w:val="0"/>
            <w:vAlign w:val="center"/>
          </w:tcPr>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left="0" w:leftChars="0" w:firstLine="420"/>
              <w:textAlignment w:val="auto"/>
              <w:rPr>
                <w:rFonts w:ascii="Times New Roman" w:hAnsi="Times New Roman"/>
                <w:sz w:val="21"/>
                <w:szCs w:val="21"/>
                <w:highlight w:val="none"/>
              </w:rPr>
            </w:pPr>
            <w:r>
              <w:rPr>
                <w:rFonts w:hint="eastAsia"/>
                <w:kern w:val="0"/>
                <w:sz w:val="21"/>
                <w:szCs w:val="21"/>
                <w:highlight w:val="none"/>
                <w:lang w:val="en-US" w:eastAsia="zh-CN"/>
              </w:rPr>
              <w:t>1.报价人</w:t>
            </w:r>
            <w:r>
              <w:rPr>
                <w:rFonts w:hint="eastAsia"/>
                <w:kern w:val="0"/>
                <w:sz w:val="21"/>
                <w:szCs w:val="21"/>
                <w:highlight w:val="none"/>
                <w:lang w:eastAsia="zh-CN"/>
              </w:rPr>
              <w:t>有</w:t>
            </w:r>
            <w:r>
              <w:rPr>
                <w:rFonts w:hint="eastAsia"/>
                <w:kern w:val="0"/>
                <w:sz w:val="21"/>
                <w:szCs w:val="21"/>
                <w:highlight w:val="none"/>
                <w:lang w:val="en-US" w:eastAsia="zh-CN"/>
              </w:rPr>
              <w:t>2项煤炭</w:t>
            </w:r>
            <w:r>
              <w:rPr>
                <w:rFonts w:hint="eastAsia"/>
                <w:kern w:val="0"/>
                <w:sz w:val="21"/>
                <w:szCs w:val="21"/>
                <w:highlight w:val="none"/>
              </w:rPr>
              <w:t>、</w:t>
            </w:r>
            <w:r>
              <w:rPr>
                <w:rFonts w:hint="eastAsia"/>
                <w:kern w:val="0"/>
                <w:sz w:val="21"/>
                <w:szCs w:val="21"/>
                <w:highlight w:val="none"/>
                <w:lang w:eastAsia="zh-CN"/>
              </w:rPr>
              <w:t>电力、</w:t>
            </w:r>
            <w:r>
              <w:rPr>
                <w:rFonts w:hint="eastAsia"/>
                <w:kern w:val="0"/>
                <w:sz w:val="21"/>
                <w:szCs w:val="21"/>
                <w:highlight w:val="none"/>
                <w:lang w:val="en-US" w:eastAsia="zh-CN"/>
              </w:rPr>
              <w:t>新能源、</w:t>
            </w:r>
            <w:r>
              <w:rPr>
                <w:rFonts w:hint="eastAsia"/>
                <w:kern w:val="0"/>
                <w:sz w:val="21"/>
                <w:szCs w:val="21"/>
                <w:highlight w:val="none"/>
                <w:lang w:eastAsia="zh-CN"/>
              </w:rPr>
              <w:t>机电设备</w:t>
            </w:r>
            <w:r>
              <w:rPr>
                <w:rFonts w:hint="eastAsia"/>
                <w:kern w:val="0"/>
                <w:sz w:val="21"/>
                <w:szCs w:val="21"/>
                <w:highlight w:val="none"/>
              </w:rPr>
              <w:t>、建设工程、大宗</w:t>
            </w:r>
            <w:r>
              <w:rPr>
                <w:rFonts w:hint="eastAsia"/>
                <w:kern w:val="0"/>
                <w:sz w:val="21"/>
                <w:szCs w:val="21"/>
                <w:highlight w:val="none"/>
                <w:lang w:val="en-US" w:eastAsia="zh-CN"/>
              </w:rPr>
              <w:t>材料、物资贸易、电子商务、设备监造</w:t>
            </w:r>
            <w:r>
              <w:rPr>
                <w:rFonts w:hint="eastAsia"/>
                <w:kern w:val="0"/>
                <w:sz w:val="21"/>
                <w:szCs w:val="21"/>
                <w:highlight w:val="none"/>
              </w:rPr>
              <w:t>行业领域的</w:t>
            </w:r>
            <w:r>
              <w:rPr>
                <w:rFonts w:hint="eastAsia"/>
                <w:kern w:val="0"/>
                <w:sz w:val="21"/>
                <w:szCs w:val="21"/>
                <w:highlight w:val="none"/>
                <w:lang w:eastAsia="zh-CN"/>
              </w:rPr>
              <w:t>服务经验，</w:t>
            </w:r>
            <w:r>
              <w:rPr>
                <w:rFonts w:hint="eastAsia"/>
                <w:kern w:val="0"/>
                <w:sz w:val="21"/>
                <w:szCs w:val="21"/>
                <w:highlight w:val="none"/>
                <w:lang w:val="en-US" w:eastAsia="zh-CN"/>
              </w:rPr>
              <w:t>得2分</w:t>
            </w:r>
            <w:r>
              <w:rPr>
                <w:rFonts w:hint="eastAsia"/>
                <w:kern w:val="0"/>
                <w:sz w:val="21"/>
                <w:szCs w:val="21"/>
                <w:highlight w:val="none"/>
                <w:lang w:eastAsia="zh-CN"/>
              </w:rPr>
              <w:t>。按照行业领域划分，每</w:t>
            </w:r>
            <w:r>
              <w:rPr>
                <w:rFonts w:hint="eastAsia"/>
                <w:kern w:val="0"/>
                <w:sz w:val="21"/>
                <w:szCs w:val="21"/>
                <w:highlight w:val="none"/>
                <w:lang w:val="en-US" w:eastAsia="zh-CN"/>
              </w:rPr>
              <w:t>增加</w:t>
            </w:r>
            <w:r>
              <w:rPr>
                <w:rFonts w:hint="eastAsia"/>
                <w:kern w:val="0"/>
                <w:sz w:val="21"/>
                <w:szCs w:val="21"/>
                <w:highlight w:val="none"/>
                <w:lang w:eastAsia="zh-CN"/>
              </w:rPr>
              <w:t>一项</w:t>
            </w:r>
            <w:r>
              <w:rPr>
                <w:rFonts w:hint="eastAsia"/>
                <w:kern w:val="0"/>
                <w:sz w:val="21"/>
                <w:szCs w:val="21"/>
                <w:highlight w:val="none"/>
                <w:lang w:val="en-US" w:eastAsia="zh-CN"/>
              </w:rPr>
              <w:t>加1</w:t>
            </w:r>
            <w:r>
              <w:rPr>
                <w:rFonts w:hint="eastAsia"/>
                <w:kern w:val="0"/>
                <w:sz w:val="21"/>
                <w:szCs w:val="21"/>
                <w:highlight w:val="none"/>
                <w:lang w:eastAsia="zh-CN"/>
              </w:rPr>
              <w:t>分。最高</w:t>
            </w:r>
            <w:r>
              <w:rPr>
                <w:rFonts w:hint="eastAsia"/>
                <w:kern w:val="0"/>
                <w:sz w:val="21"/>
                <w:szCs w:val="21"/>
                <w:highlight w:val="none"/>
                <w:lang w:val="en-US" w:eastAsia="zh-CN"/>
              </w:rPr>
              <w:t>8分。</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left="0" w:leftChars="0" w:firstLine="420"/>
              <w:textAlignment w:val="auto"/>
              <w:rPr>
                <w:rFonts w:ascii="Times New Roman" w:hAnsi="Times New Roman"/>
                <w:sz w:val="21"/>
                <w:szCs w:val="21"/>
                <w:highlight w:val="none"/>
              </w:rPr>
            </w:pPr>
            <w:r>
              <w:rPr>
                <w:rFonts w:hint="eastAsia"/>
                <w:kern w:val="0"/>
                <w:sz w:val="21"/>
                <w:szCs w:val="21"/>
                <w:highlight w:val="none"/>
                <w:lang w:val="en-US" w:eastAsia="zh-CN"/>
              </w:rPr>
              <w:t>2.报价人有为央企专门招标采购供应链企业的服务经验，得3分；担任过央企专门招标采购供应链企业常年法律顾问的，</w:t>
            </w:r>
            <w:r>
              <w:rPr>
                <w:rFonts w:hint="eastAsia" w:ascii="Times New Roman" w:hAnsi="Times New Roman"/>
                <w:sz w:val="21"/>
                <w:szCs w:val="21"/>
                <w:highlight w:val="none"/>
                <w:lang w:val="en-US" w:eastAsia="zh-CN"/>
              </w:rPr>
              <w:t>得</w:t>
            </w:r>
            <w:r>
              <w:rPr>
                <w:rFonts w:hint="eastAsia"/>
                <w:sz w:val="21"/>
                <w:szCs w:val="21"/>
                <w:highlight w:val="none"/>
                <w:lang w:val="en-US" w:eastAsia="zh-CN"/>
              </w:rPr>
              <w:t>3</w:t>
            </w:r>
            <w:r>
              <w:rPr>
                <w:rFonts w:hint="eastAsia" w:ascii="Times New Roman" w:hAnsi="Times New Roman"/>
                <w:sz w:val="21"/>
                <w:szCs w:val="21"/>
                <w:highlight w:val="none"/>
                <w:lang w:val="en-US" w:eastAsia="zh-CN"/>
              </w:rPr>
              <w:t>分。最高</w:t>
            </w:r>
            <w:r>
              <w:rPr>
                <w:rFonts w:hint="eastAsia"/>
                <w:sz w:val="21"/>
                <w:szCs w:val="21"/>
                <w:highlight w:val="none"/>
                <w:lang w:val="en-US" w:eastAsia="zh-CN"/>
              </w:rPr>
              <w:t>6</w:t>
            </w:r>
            <w:r>
              <w:rPr>
                <w:rFonts w:hint="eastAsia" w:ascii="Times New Roman" w:hAnsi="Times New Roman"/>
                <w:sz w:val="21"/>
                <w:szCs w:val="21"/>
                <w:highlight w:val="none"/>
                <w:lang w:val="en-US" w:eastAsia="zh-CN"/>
              </w:rPr>
              <w:t>分。</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left="0" w:leftChars="0" w:firstLine="420"/>
              <w:textAlignment w:val="auto"/>
              <w:rPr>
                <w:rFonts w:hint="eastAsia"/>
                <w:kern w:val="0"/>
                <w:sz w:val="21"/>
                <w:szCs w:val="21"/>
                <w:highlight w:val="none"/>
                <w:lang w:eastAsia="zh-CN"/>
              </w:rPr>
            </w:pPr>
            <w:r>
              <w:rPr>
                <w:rFonts w:hint="eastAsia"/>
                <w:kern w:val="0"/>
                <w:sz w:val="21"/>
                <w:szCs w:val="21"/>
                <w:highlight w:val="none"/>
                <w:lang w:val="en-US" w:eastAsia="zh-CN"/>
              </w:rPr>
              <w:t>3.</w:t>
            </w:r>
            <w:r>
              <w:rPr>
                <w:kern w:val="0"/>
                <w:sz w:val="21"/>
                <w:szCs w:val="21"/>
                <w:highlight w:val="none"/>
              </w:rPr>
              <w:t>提供</w:t>
            </w:r>
            <w:r>
              <w:rPr>
                <w:rFonts w:hint="eastAsia"/>
                <w:kern w:val="0"/>
                <w:sz w:val="21"/>
                <w:szCs w:val="21"/>
                <w:highlight w:val="none"/>
                <w:lang w:val="en-US" w:eastAsia="zh-CN"/>
              </w:rPr>
              <w:t>下述</w:t>
            </w:r>
            <w:r>
              <w:rPr>
                <w:kern w:val="0"/>
                <w:sz w:val="21"/>
                <w:szCs w:val="21"/>
                <w:highlight w:val="none"/>
              </w:rPr>
              <w:t>至少</w:t>
            </w:r>
            <w:r>
              <w:rPr>
                <w:rFonts w:hint="eastAsia"/>
                <w:kern w:val="0"/>
                <w:sz w:val="21"/>
                <w:szCs w:val="21"/>
                <w:highlight w:val="none"/>
                <w:lang w:val="en-US" w:eastAsia="zh-CN"/>
              </w:rPr>
              <w:t>1</w:t>
            </w:r>
            <w:r>
              <w:rPr>
                <w:kern w:val="0"/>
                <w:sz w:val="21"/>
                <w:szCs w:val="21"/>
                <w:highlight w:val="none"/>
              </w:rPr>
              <w:t>个国家的境外法律服务相关案例</w:t>
            </w:r>
            <w:r>
              <w:rPr>
                <w:rFonts w:hint="eastAsia"/>
                <w:kern w:val="0"/>
                <w:sz w:val="21"/>
                <w:szCs w:val="21"/>
                <w:highlight w:val="none"/>
              </w:rPr>
              <w:t>，得</w:t>
            </w:r>
            <w:r>
              <w:rPr>
                <w:rFonts w:hint="eastAsia"/>
                <w:kern w:val="0"/>
                <w:sz w:val="21"/>
                <w:szCs w:val="21"/>
                <w:highlight w:val="none"/>
                <w:lang w:val="en-US" w:eastAsia="zh-CN"/>
              </w:rPr>
              <w:t>1</w:t>
            </w:r>
            <w:r>
              <w:rPr>
                <w:rFonts w:hint="eastAsia"/>
                <w:kern w:val="0"/>
                <w:sz w:val="21"/>
                <w:szCs w:val="21"/>
                <w:highlight w:val="none"/>
              </w:rPr>
              <w:t>分</w:t>
            </w:r>
            <w:r>
              <w:rPr>
                <w:rFonts w:hint="eastAsia"/>
                <w:kern w:val="0"/>
                <w:sz w:val="21"/>
                <w:szCs w:val="21"/>
                <w:highlight w:val="none"/>
                <w:lang w:eastAsia="zh-CN"/>
              </w:rPr>
              <w:t>；</w:t>
            </w:r>
            <w:r>
              <w:rPr>
                <w:rFonts w:hint="eastAsia"/>
                <w:kern w:val="0"/>
                <w:sz w:val="21"/>
                <w:szCs w:val="21"/>
                <w:highlight w:val="none"/>
                <w:lang w:val="en-US" w:eastAsia="zh-CN"/>
              </w:rPr>
              <w:t>分别是</w:t>
            </w:r>
            <w:r>
              <w:rPr>
                <w:rFonts w:hint="eastAsia" w:ascii="Calibri" w:hAnsi="Calibri" w:eastAsia="宋体" w:cs="Times New Roman"/>
                <w:kern w:val="0"/>
                <w:sz w:val="21"/>
                <w:szCs w:val="21"/>
                <w:highlight w:val="none"/>
              </w:rPr>
              <w:t>美国、俄罗斯、英国、德国、</w:t>
            </w:r>
            <w:r>
              <w:rPr>
                <w:rFonts w:hint="eastAsia" w:ascii="Calibri" w:hAnsi="Calibri" w:eastAsia="宋体" w:cs="Times New Roman"/>
                <w:kern w:val="0"/>
                <w:sz w:val="21"/>
                <w:szCs w:val="21"/>
                <w:highlight w:val="none"/>
                <w:lang w:val="en-US" w:eastAsia="zh-CN"/>
              </w:rPr>
              <w:t>日本、瑞士、瑞典、奥地利</w:t>
            </w:r>
            <w:r>
              <w:rPr>
                <w:rFonts w:hint="eastAsia"/>
                <w:kern w:val="0"/>
                <w:sz w:val="21"/>
                <w:szCs w:val="21"/>
                <w:highlight w:val="none"/>
              </w:rPr>
              <w:t>仲裁（诉讼）的，每</w:t>
            </w:r>
            <w:r>
              <w:rPr>
                <w:rFonts w:hint="eastAsia"/>
                <w:kern w:val="0"/>
                <w:sz w:val="21"/>
                <w:szCs w:val="21"/>
                <w:highlight w:val="none"/>
                <w:lang w:val="en-US" w:eastAsia="zh-CN"/>
              </w:rPr>
              <w:t>增加</w:t>
            </w:r>
            <w:r>
              <w:rPr>
                <w:rFonts w:hint="eastAsia"/>
                <w:kern w:val="0"/>
                <w:sz w:val="21"/>
                <w:szCs w:val="21"/>
                <w:highlight w:val="none"/>
              </w:rPr>
              <w:t>一个国</w:t>
            </w:r>
            <w:r>
              <w:rPr>
                <w:rFonts w:hint="eastAsia"/>
                <w:kern w:val="0"/>
                <w:sz w:val="21"/>
                <w:szCs w:val="21"/>
                <w:highlight w:val="none"/>
                <w:lang w:val="en-US" w:eastAsia="zh-CN"/>
              </w:rPr>
              <w:t>家</w:t>
            </w:r>
            <w:r>
              <w:rPr>
                <w:rFonts w:hint="eastAsia"/>
                <w:kern w:val="0"/>
                <w:sz w:val="21"/>
                <w:szCs w:val="21"/>
                <w:highlight w:val="none"/>
              </w:rPr>
              <w:t>案例可加</w:t>
            </w:r>
            <w:r>
              <w:rPr>
                <w:rFonts w:hint="eastAsia"/>
                <w:kern w:val="0"/>
                <w:sz w:val="21"/>
                <w:szCs w:val="21"/>
                <w:highlight w:val="none"/>
                <w:lang w:val="en-US" w:eastAsia="zh-CN"/>
              </w:rPr>
              <w:t>1</w:t>
            </w:r>
            <w:r>
              <w:rPr>
                <w:rFonts w:hint="eastAsia"/>
                <w:kern w:val="0"/>
                <w:sz w:val="21"/>
                <w:szCs w:val="21"/>
                <w:highlight w:val="none"/>
              </w:rPr>
              <w:t>分</w:t>
            </w:r>
            <w:r>
              <w:rPr>
                <w:rFonts w:hint="eastAsia"/>
                <w:kern w:val="0"/>
                <w:sz w:val="21"/>
                <w:szCs w:val="21"/>
                <w:highlight w:val="none"/>
                <w:lang w:eastAsia="zh-CN"/>
              </w:rPr>
              <w:t>。</w:t>
            </w:r>
            <w:r>
              <w:rPr>
                <w:rFonts w:hint="eastAsia"/>
                <w:kern w:val="0"/>
                <w:sz w:val="21"/>
                <w:szCs w:val="21"/>
                <w:highlight w:val="none"/>
                <w:lang w:val="en-US" w:eastAsia="zh-CN"/>
              </w:rPr>
              <w:t>最高3分</w:t>
            </w:r>
            <w:r>
              <w:rPr>
                <w:rFonts w:hint="eastAsia"/>
                <w:kern w:val="0"/>
                <w:sz w:val="21"/>
                <w:szCs w:val="21"/>
                <w:highlight w:val="none"/>
                <w:lang w:eastAsia="zh-CN"/>
              </w:rPr>
              <w:t>；</w:t>
            </w:r>
          </w:p>
          <w:p>
            <w:pPr>
              <w:keepNext w:val="0"/>
              <w:keepLines w:val="0"/>
              <w:pageBreakBefore w:val="0"/>
              <w:widowControl w:val="0"/>
              <w:numPr>
                <w:ilvl w:val="-1"/>
                <w:numId w:val="0"/>
              </w:numPr>
              <w:tabs>
                <w:tab w:val="left" w:pos="220"/>
              </w:tabs>
              <w:kinsoku/>
              <w:wordWrap/>
              <w:overflowPunct/>
              <w:topLinePunct w:val="0"/>
              <w:autoSpaceDE/>
              <w:autoSpaceDN/>
              <w:bidi w:val="0"/>
              <w:adjustRightInd/>
              <w:snapToGrid/>
              <w:spacing w:line="260" w:lineRule="exact"/>
              <w:ind w:left="0" w:leftChars="0" w:firstLine="420" w:firstLineChars="200"/>
              <w:textAlignment w:val="auto"/>
              <w:rPr>
                <w:rFonts w:hint="eastAsia"/>
                <w:kern w:val="0"/>
                <w:sz w:val="21"/>
                <w:szCs w:val="21"/>
                <w:highlight w:val="none"/>
                <w:lang w:val="en-US" w:eastAsia="zh-CN"/>
              </w:rPr>
            </w:pPr>
            <w:r>
              <w:rPr>
                <w:rFonts w:hint="eastAsia"/>
                <w:kern w:val="0"/>
                <w:sz w:val="21"/>
                <w:szCs w:val="21"/>
                <w:highlight w:val="none"/>
                <w:lang w:val="en-US" w:eastAsia="zh-CN"/>
              </w:rPr>
              <w:t>4,.</w:t>
            </w:r>
            <w:r>
              <w:rPr>
                <w:rFonts w:hint="eastAsia"/>
                <w:kern w:val="0"/>
                <w:sz w:val="21"/>
                <w:szCs w:val="21"/>
                <w:highlight w:val="none"/>
              </w:rPr>
              <w:t>提供案例为在中国国际经济贸易仲裁委员会</w:t>
            </w:r>
            <w:r>
              <w:rPr>
                <w:rFonts w:hint="eastAsia"/>
                <w:kern w:val="0"/>
                <w:sz w:val="21"/>
                <w:szCs w:val="21"/>
                <w:highlight w:val="none"/>
                <w:lang w:eastAsia="zh-CN"/>
              </w:rPr>
              <w:t>、</w:t>
            </w:r>
            <w:r>
              <w:rPr>
                <w:rFonts w:hint="eastAsia"/>
                <w:kern w:val="0"/>
                <w:sz w:val="21"/>
                <w:szCs w:val="21"/>
                <w:highlight w:val="none"/>
              </w:rPr>
              <w:t>高级及最高人民法院诉讼的，</w:t>
            </w:r>
            <w:r>
              <w:rPr>
                <w:rFonts w:hint="eastAsia"/>
                <w:kern w:val="0"/>
                <w:sz w:val="21"/>
                <w:szCs w:val="21"/>
                <w:highlight w:val="none"/>
                <w:lang w:val="en-US" w:eastAsia="zh-CN"/>
              </w:rPr>
              <w:t>得1分，</w:t>
            </w:r>
            <w:r>
              <w:rPr>
                <w:rFonts w:hint="eastAsia"/>
                <w:kern w:val="0"/>
                <w:sz w:val="21"/>
                <w:szCs w:val="21"/>
                <w:highlight w:val="none"/>
              </w:rPr>
              <w:t>每</w:t>
            </w:r>
            <w:r>
              <w:rPr>
                <w:rFonts w:hint="eastAsia"/>
                <w:kern w:val="0"/>
                <w:sz w:val="21"/>
                <w:szCs w:val="21"/>
                <w:highlight w:val="none"/>
                <w:lang w:val="en-US" w:eastAsia="zh-CN"/>
              </w:rPr>
              <w:t>增加一个</w:t>
            </w:r>
            <w:r>
              <w:rPr>
                <w:rFonts w:hint="eastAsia"/>
                <w:kern w:val="0"/>
                <w:sz w:val="21"/>
                <w:szCs w:val="21"/>
                <w:highlight w:val="none"/>
              </w:rPr>
              <w:t>可加1分</w:t>
            </w:r>
            <w:r>
              <w:rPr>
                <w:rFonts w:hint="eastAsia"/>
                <w:kern w:val="0"/>
                <w:sz w:val="21"/>
                <w:szCs w:val="21"/>
                <w:highlight w:val="none"/>
                <w:lang w:eastAsia="zh-CN"/>
              </w:rPr>
              <w:t>。</w:t>
            </w:r>
            <w:r>
              <w:rPr>
                <w:rFonts w:hint="eastAsia"/>
                <w:kern w:val="0"/>
                <w:sz w:val="21"/>
                <w:szCs w:val="21"/>
                <w:highlight w:val="none"/>
                <w:lang w:val="en-US" w:eastAsia="zh-CN"/>
              </w:rPr>
              <w:t>最高3分。</w:t>
            </w:r>
          </w:p>
        </w:tc>
        <w:tc>
          <w:tcPr>
            <w:tcW w:w="890" w:type="dxa"/>
            <w:noWrap w:val="0"/>
            <w:vAlign w:val="center"/>
          </w:tcPr>
          <w:p>
            <w:pPr>
              <w:spacing w:line="260" w:lineRule="exact"/>
              <w:ind w:left="0" w:leftChars="0" w:firstLine="0" w:firstLineChars="0"/>
              <w:jc w:val="center"/>
              <w:rPr>
                <w:rFonts w:hint="default"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581" w:type="dxa"/>
            <w:vMerge w:val="restart"/>
            <w:noWrap w:val="0"/>
            <w:vAlign w:val="center"/>
          </w:tcPr>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2</w:t>
            </w:r>
          </w:p>
        </w:tc>
        <w:tc>
          <w:tcPr>
            <w:tcW w:w="1414" w:type="dxa"/>
            <w:vMerge w:val="restart"/>
            <w:noWrap w:val="0"/>
            <w:vAlign w:val="center"/>
          </w:tcPr>
          <w:p>
            <w:pPr>
              <w:spacing w:line="260" w:lineRule="exact"/>
              <w:ind w:left="0" w:leftChars="0" w:firstLine="0" w:firstLineChars="0"/>
              <w:jc w:val="center"/>
              <w:rPr>
                <w:rFonts w:ascii="Times New Roman" w:hAnsi="Times New Roman"/>
                <w:sz w:val="21"/>
                <w:szCs w:val="21"/>
                <w:highlight w:val="none"/>
              </w:rPr>
            </w:pPr>
            <w:r>
              <w:rPr>
                <w:rFonts w:ascii="Times New Roman" w:hAnsi="Times New Roman"/>
                <w:sz w:val="21"/>
                <w:szCs w:val="21"/>
                <w:highlight w:val="none"/>
              </w:rPr>
              <w:t>工作方案</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专项服务建议</w:t>
            </w:r>
            <w:r>
              <w:rPr>
                <w:rFonts w:ascii="Times New Roman" w:hAnsi="Times New Roman"/>
                <w:sz w:val="21"/>
                <w:szCs w:val="21"/>
                <w:highlight w:val="none"/>
              </w:rPr>
              <w:t>及商务响应程度</w:t>
            </w:r>
            <w:r>
              <w:rPr>
                <w:rFonts w:hint="eastAsia"/>
                <w:sz w:val="21"/>
                <w:szCs w:val="21"/>
                <w:highlight w:val="none"/>
                <w:lang w:val="en-US" w:eastAsia="zh-CN"/>
              </w:rPr>
              <w:t xml:space="preserve">      </w:t>
            </w:r>
            <w:r>
              <w:rPr>
                <w:rFonts w:ascii="Times New Roman" w:hAnsi="Times New Roman"/>
                <w:sz w:val="21"/>
                <w:szCs w:val="21"/>
                <w:highlight w:val="none"/>
              </w:rPr>
              <w:t>（</w:t>
            </w:r>
            <w:r>
              <w:rPr>
                <w:rFonts w:hint="eastAsia" w:ascii="Times New Roman" w:hAnsi="Times New Roman"/>
                <w:sz w:val="21"/>
                <w:szCs w:val="21"/>
                <w:highlight w:val="none"/>
                <w:lang w:val="en-US" w:eastAsia="zh-CN"/>
              </w:rPr>
              <w:t>30</w:t>
            </w:r>
            <w:r>
              <w:rPr>
                <w:rFonts w:ascii="Times New Roman" w:hAnsi="Times New Roman"/>
                <w:sz w:val="21"/>
                <w:szCs w:val="21"/>
                <w:highlight w:val="none"/>
              </w:rPr>
              <w:t>）</w:t>
            </w:r>
          </w:p>
        </w:tc>
        <w:tc>
          <w:tcPr>
            <w:tcW w:w="1855" w:type="dxa"/>
            <w:noWrap w:val="0"/>
            <w:vAlign w:val="center"/>
          </w:tcPr>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工作方案</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sz w:val="21"/>
                <w:szCs w:val="21"/>
                <w:highlight w:val="none"/>
                <w:lang w:val="en-US" w:eastAsia="zh-CN"/>
              </w:rPr>
            </w:pPr>
            <w:r>
              <w:rPr>
                <w:rFonts w:ascii="Times New Roman" w:hAnsi="Times New Roman"/>
                <w:sz w:val="21"/>
                <w:szCs w:val="21"/>
                <w:highlight w:val="none"/>
              </w:rPr>
              <w:t>详细陈述整体方案、团队组织、服务流程、风险控制；横向比较进行打分。</w:t>
            </w:r>
          </w:p>
        </w:tc>
        <w:tc>
          <w:tcPr>
            <w:tcW w:w="890" w:type="dxa"/>
            <w:noWrap w:val="0"/>
            <w:vAlign w:val="center"/>
          </w:tcPr>
          <w:p>
            <w:pPr>
              <w:spacing w:line="260" w:lineRule="exact"/>
              <w:ind w:left="0" w:leftChars="0" w:firstLine="0" w:firstLineChars="0"/>
              <w:jc w:val="center"/>
              <w:rPr>
                <w:rFonts w:hint="default"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81"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414"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855" w:type="dxa"/>
            <w:noWrap w:val="0"/>
            <w:vAlign w:val="center"/>
          </w:tcPr>
          <w:p>
            <w:pPr>
              <w:spacing w:line="260" w:lineRule="exact"/>
              <w:ind w:left="0" w:leftChars="0" w:firstLine="0" w:firstLineChars="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专项服务建议</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详细</w:t>
            </w:r>
            <w:r>
              <w:rPr>
                <w:rFonts w:hint="eastAsia"/>
                <w:sz w:val="21"/>
                <w:szCs w:val="21"/>
                <w:highlight w:val="none"/>
                <w:lang w:val="en-US" w:eastAsia="zh-CN"/>
              </w:rPr>
              <w:t>对</w:t>
            </w:r>
            <w:r>
              <w:rPr>
                <w:rFonts w:hint="eastAsia" w:ascii="Times New Roman" w:hAnsi="Times New Roman"/>
                <w:sz w:val="21"/>
                <w:szCs w:val="21"/>
                <w:highlight w:val="none"/>
                <w:lang w:val="en-US" w:eastAsia="zh-CN"/>
              </w:rPr>
              <w:t>中国中煤采购管理</w:t>
            </w:r>
            <w:r>
              <w:rPr>
                <w:rFonts w:hint="eastAsia"/>
                <w:sz w:val="21"/>
                <w:szCs w:val="21"/>
                <w:highlight w:val="none"/>
                <w:lang w:val="en-US" w:eastAsia="zh-CN"/>
              </w:rPr>
              <w:t>的合规风控体系建设、合同管理，以及</w:t>
            </w:r>
            <w:r>
              <w:rPr>
                <w:rFonts w:hint="eastAsia" w:ascii="Times New Roman" w:hAnsi="Times New Roman"/>
                <w:sz w:val="21"/>
                <w:szCs w:val="21"/>
                <w:highlight w:val="none"/>
                <w:lang w:val="en-US" w:eastAsia="zh-CN"/>
              </w:rPr>
              <w:t>开发公司合规风控体系建设、合同管理</w:t>
            </w:r>
            <w:r>
              <w:rPr>
                <w:rFonts w:hint="eastAsia"/>
                <w:sz w:val="21"/>
                <w:szCs w:val="21"/>
                <w:highlight w:val="none"/>
                <w:lang w:val="en-US" w:eastAsia="zh-CN"/>
              </w:rPr>
              <w:t>提出建议</w:t>
            </w:r>
            <w:r>
              <w:rPr>
                <w:rFonts w:hint="eastAsia" w:ascii="Times New Roman" w:hAnsi="Times New Roman"/>
                <w:sz w:val="21"/>
                <w:szCs w:val="21"/>
                <w:highlight w:val="none"/>
                <w:lang w:val="en-US" w:eastAsia="zh-CN"/>
              </w:rPr>
              <w:t>；</w:t>
            </w:r>
            <w:r>
              <w:rPr>
                <w:rFonts w:ascii="Times New Roman" w:hAnsi="Times New Roman"/>
                <w:sz w:val="21"/>
                <w:szCs w:val="21"/>
                <w:highlight w:val="none"/>
              </w:rPr>
              <w:t>横向比较进行打分。</w:t>
            </w:r>
          </w:p>
        </w:tc>
        <w:tc>
          <w:tcPr>
            <w:tcW w:w="890" w:type="dxa"/>
            <w:noWrap w:val="0"/>
            <w:vAlign w:val="center"/>
          </w:tcPr>
          <w:p>
            <w:pPr>
              <w:spacing w:line="260" w:lineRule="exact"/>
              <w:ind w:left="0" w:leftChars="0" w:firstLine="0" w:firstLineChars="0"/>
              <w:jc w:val="center"/>
              <w:rPr>
                <w:rFonts w:hint="default" w:ascii="Times New Roman" w:hAnsi="Times New Roman"/>
                <w:color w:val="000000"/>
                <w:sz w:val="21"/>
                <w:szCs w:val="21"/>
                <w:highlight w:val="none"/>
                <w:lang w:val="en-US" w:eastAsia="zh-CN"/>
              </w:rPr>
            </w:pPr>
            <w:r>
              <w:rPr>
                <w:rFonts w:hint="eastAsia" w:ascii="Times New Roman" w:hAnsi="Times New Roman"/>
                <w:color w:val="000000"/>
                <w:sz w:val="21"/>
                <w:szCs w:val="21"/>
                <w:highlight w:val="none"/>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jc w:val="center"/>
        </w:trPr>
        <w:tc>
          <w:tcPr>
            <w:tcW w:w="581"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414"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855" w:type="dxa"/>
            <w:noWrap w:val="0"/>
            <w:vAlign w:val="center"/>
          </w:tcPr>
          <w:p>
            <w:pPr>
              <w:spacing w:line="260" w:lineRule="exact"/>
              <w:ind w:left="0" w:leftChars="0" w:firstLine="0" w:firstLineChars="0"/>
              <w:rPr>
                <w:rFonts w:ascii="Times New Roman" w:hAnsi="Times New Roman"/>
                <w:sz w:val="21"/>
                <w:szCs w:val="21"/>
                <w:highlight w:val="none"/>
              </w:rPr>
            </w:pPr>
            <w:r>
              <w:rPr>
                <w:rFonts w:ascii="Times New Roman" w:hAnsi="Times New Roman"/>
                <w:sz w:val="21"/>
                <w:szCs w:val="21"/>
                <w:highlight w:val="none"/>
              </w:rPr>
              <w:t>对合同条款和</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标文件条款响应程度</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对</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文件的合同条款、</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须知的响应程度，完全响应基准分</w:t>
            </w:r>
            <w:r>
              <w:rPr>
                <w:rFonts w:hint="eastAsia" w:ascii="Times New Roman" w:hAnsi="Times New Roman"/>
                <w:sz w:val="21"/>
                <w:szCs w:val="21"/>
                <w:highlight w:val="none"/>
              </w:rPr>
              <w:t>2</w:t>
            </w:r>
            <w:r>
              <w:rPr>
                <w:rFonts w:ascii="Times New Roman" w:hAnsi="Times New Roman"/>
                <w:sz w:val="21"/>
                <w:szCs w:val="21"/>
                <w:highlight w:val="none"/>
              </w:rPr>
              <w:t>分。本项目不允许实质性负偏差，如有实质性负偏差，</w:t>
            </w:r>
            <w:r>
              <w:rPr>
                <w:rFonts w:hint="eastAsia" w:ascii="Times New Roman" w:hAnsi="Times New Roman"/>
                <w:sz w:val="21"/>
                <w:szCs w:val="21"/>
                <w:highlight w:val="none"/>
                <w:lang w:val="en-US" w:eastAsia="zh-CN"/>
              </w:rPr>
              <w:t>询价</w:t>
            </w:r>
            <w:r>
              <w:rPr>
                <w:rFonts w:ascii="Times New Roman" w:hAnsi="Times New Roman"/>
                <w:sz w:val="21"/>
                <w:szCs w:val="21"/>
                <w:highlight w:val="none"/>
              </w:rPr>
              <w:t>将被拒绝。每正偏差1项，在基准分的基础上加1分，最多加至</w:t>
            </w:r>
            <w:r>
              <w:rPr>
                <w:rFonts w:hint="eastAsia" w:ascii="Times New Roman" w:hAnsi="Times New Roman"/>
                <w:sz w:val="21"/>
                <w:szCs w:val="21"/>
                <w:highlight w:val="none"/>
              </w:rPr>
              <w:t>5</w:t>
            </w:r>
            <w:r>
              <w:rPr>
                <w:rFonts w:ascii="Times New Roman" w:hAnsi="Times New Roman"/>
                <w:sz w:val="21"/>
                <w:szCs w:val="21"/>
                <w:highlight w:val="none"/>
              </w:rPr>
              <w:t>分；每非实质性负偏差1项，在基准分基础上减1分，最多减至0分。</w:t>
            </w:r>
          </w:p>
        </w:tc>
        <w:tc>
          <w:tcPr>
            <w:tcW w:w="890" w:type="dxa"/>
            <w:noWrap w:val="0"/>
            <w:vAlign w:val="center"/>
          </w:tcPr>
          <w:p>
            <w:pPr>
              <w:spacing w:line="260" w:lineRule="exact"/>
              <w:ind w:left="0" w:leftChars="0" w:firstLine="0" w:firstLineChars="0"/>
              <w:jc w:val="center"/>
              <w:rPr>
                <w:rFonts w:hint="default"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581" w:type="dxa"/>
            <w:vMerge w:val="restart"/>
            <w:noWrap w:val="0"/>
            <w:vAlign w:val="center"/>
          </w:tcPr>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3</w:t>
            </w:r>
          </w:p>
        </w:tc>
        <w:tc>
          <w:tcPr>
            <w:tcW w:w="1414" w:type="dxa"/>
            <w:vMerge w:val="restart"/>
            <w:noWrap w:val="0"/>
            <w:vAlign w:val="center"/>
          </w:tcPr>
          <w:p>
            <w:pPr>
              <w:spacing w:line="260" w:lineRule="exact"/>
              <w:ind w:left="0" w:leftChars="0" w:firstLine="0" w:firstLineChars="0"/>
              <w:jc w:val="center"/>
              <w:rPr>
                <w:rFonts w:ascii="Times New Roman" w:hAnsi="Times New Roman"/>
                <w:sz w:val="21"/>
                <w:szCs w:val="21"/>
                <w:highlight w:val="none"/>
              </w:rPr>
            </w:pPr>
            <w:r>
              <w:rPr>
                <w:rFonts w:ascii="Times New Roman" w:hAnsi="Times New Roman"/>
                <w:sz w:val="21"/>
                <w:szCs w:val="21"/>
                <w:highlight w:val="none"/>
              </w:rPr>
              <w:t>工作团队</w:t>
            </w:r>
          </w:p>
          <w:p>
            <w:pPr>
              <w:spacing w:line="260" w:lineRule="exact"/>
              <w:ind w:left="0" w:leftChars="0" w:firstLine="0" w:firstLineChars="0"/>
              <w:jc w:val="center"/>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lang w:val="en-US" w:eastAsia="zh-CN"/>
              </w:rPr>
              <w:t>2</w:t>
            </w:r>
            <w:r>
              <w:rPr>
                <w:rFonts w:hint="eastAsia" w:ascii="Times New Roman" w:hAnsi="Times New Roman"/>
                <w:sz w:val="21"/>
                <w:szCs w:val="21"/>
                <w:highlight w:val="none"/>
              </w:rPr>
              <w:t>0</w:t>
            </w:r>
            <w:r>
              <w:rPr>
                <w:rFonts w:ascii="Times New Roman" w:hAnsi="Times New Roman"/>
                <w:sz w:val="21"/>
                <w:szCs w:val="21"/>
                <w:highlight w:val="none"/>
              </w:rPr>
              <w:t>）</w:t>
            </w:r>
          </w:p>
        </w:tc>
        <w:tc>
          <w:tcPr>
            <w:tcW w:w="185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105" w:firstLineChars="50"/>
              <w:textAlignment w:val="auto"/>
              <w:rPr>
                <w:rFonts w:ascii="Times New Roman" w:hAnsi="Times New Roman"/>
                <w:sz w:val="21"/>
                <w:szCs w:val="21"/>
                <w:highlight w:val="none"/>
              </w:rPr>
            </w:pPr>
            <w:r>
              <w:rPr>
                <w:rFonts w:ascii="Times New Roman" w:hAnsi="Times New Roman"/>
                <w:sz w:val="21"/>
                <w:szCs w:val="21"/>
                <w:highlight w:val="none"/>
              </w:rPr>
              <w:t>人员配备及稳定性</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报价</w:t>
            </w:r>
            <w:r>
              <w:rPr>
                <w:rFonts w:hint="eastAsia" w:ascii="Times New Roman" w:hAnsi="Times New Roman"/>
                <w:sz w:val="21"/>
                <w:szCs w:val="21"/>
                <w:highlight w:val="none"/>
              </w:rPr>
              <w:t>人提供相关证明文件，包括但不限于</w:t>
            </w:r>
            <w:r>
              <w:rPr>
                <w:rFonts w:hint="eastAsia" w:ascii="Times New Roman" w:hAnsi="Times New Roman"/>
                <w:sz w:val="21"/>
                <w:szCs w:val="21"/>
                <w:highlight w:val="none"/>
                <w:lang w:val="en-US" w:eastAsia="zh-CN"/>
              </w:rPr>
              <w:t>聘用服务</w:t>
            </w:r>
            <w:r>
              <w:rPr>
                <w:rFonts w:hint="eastAsia" w:ascii="Times New Roman" w:hAnsi="Times New Roman"/>
                <w:sz w:val="21"/>
                <w:szCs w:val="21"/>
                <w:highlight w:val="none"/>
              </w:rPr>
              <w:t>合同</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诉讼案件等</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相关文件</w:t>
            </w:r>
            <w:r>
              <w:rPr>
                <w:rFonts w:hint="eastAsia" w:ascii="Times New Roman" w:hAnsi="Times New Roman"/>
                <w:sz w:val="21"/>
                <w:szCs w:val="21"/>
                <w:highlight w:val="none"/>
              </w:rPr>
              <w:t>中</w:t>
            </w:r>
            <w:r>
              <w:rPr>
                <w:rFonts w:hint="eastAsia" w:ascii="Times New Roman" w:hAnsi="Times New Roman"/>
                <w:sz w:val="21"/>
                <w:szCs w:val="21"/>
                <w:highlight w:val="none"/>
                <w:lang w:val="en-US" w:eastAsia="zh-CN"/>
              </w:rPr>
              <w:t>未</w:t>
            </w:r>
            <w:r>
              <w:rPr>
                <w:rFonts w:hint="eastAsia" w:ascii="Times New Roman" w:hAnsi="Times New Roman"/>
                <w:sz w:val="21"/>
                <w:szCs w:val="21"/>
                <w:highlight w:val="none"/>
              </w:rPr>
              <w:t>明确体现相关服务人员姓名的不计算在内。）</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Times New Roman" w:hAnsi="Times New Roman" w:eastAsia="宋体"/>
                <w:sz w:val="21"/>
                <w:szCs w:val="21"/>
                <w:highlight w:val="none"/>
                <w:lang w:eastAsia="zh-CN"/>
              </w:rPr>
            </w:pPr>
            <w:r>
              <w:rPr>
                <w:rFonts w:hint="eastAsia"/>
                <w:sz w:val="21"/>
                <w:szCs w:val="21"/>
                <w:highlight w:val="none"/>
              </w:rPr>
              <w:t>近3年，项目负责人具备10年以上相关执业经验且具有为央企招标采购供应链公司提供常年合规法律服务工作经验，得5分；项目负责人具备10年以上相关执业经验且具有为2家及以上央企招标采购供应链公司提供常年合规法律服务工作经验，得10分。</w:t>
            </w:r>
          </w:p>
        </w:tc>
        <w:tc>
          <w:tcPr>
            <w:tcW w:w="890" w:type="dxa"/>
            <w:noWrap w:val="0"/>
            <w:vAlign w:val="center"/>
          </w:tcPr>
          <w:p>
            <w:pPr>
              <w:spacing w:line="260" w:lineRule="exact"/>
              <w:ind w:left="0" w:leftChars="0" w:firstLine="0" w:firstLineChars="0"/>
              <w:jc w:val="center"/>
              <w:rPr>
                <w:rFonts w:hint="default"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0" w:hRule="atLeast"/>
          <w:jc w:val="center"/>
        </w:trPr>
        <w:tc>
          <w:tcPr>
            <w:tcW w:w="581"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414" w:type="dxa"/>
            <w:vMerge w:val="continue"/>
            <w:noWrap w:val="0"/>
            <w:vAlign w:val="center"/>
          </w:tcPr>
          <w:p>
            <w:pPr>
              <w:spacing w:line="260" w:lineRule="exact"/>
              <w:ind w:firstLine="105" w:firstLineChars="50"/>
              <w:jc w:val="center"/>
              <w:rPr>
                <w:rFonts w:ascii="Times New Roman" w:hAnsi="Times New Roman"/>
                <w:sz w:val="21"/>
                <w:szCs w:val="21"/>
                <w:highlight w:val="none"/>
              </w:rPr>
            </w:pPr>
          </w:p>
        </w:tc>
        <w:tc>
          <w:tcPr>
            <w:tcW w:w="1855" w:type="dxa"/>
            <w:vMerge w:val="continue"/>
            <w:noWrap w:val="0"/>
            <w:vAlign w:val="center"/>
          </w:tcPr>
          <w:p>
            <w:pPr>
              <w:spacing w:line="260" w:lineRule="exact"/>
              <w:ind w:firstLine="105" w:firstLineChars="50"/>
              <w:rPr>
                <w:rFonts w:ascii="Times New Roman" w:hAnsi="Times New Roman"/>
                <w:sz w:val="21"/>
                <w:szCs w:val="21"/>
                <w:highlight w:val="none"/>
              </w:rPr>
            </w:pP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整个团队中</w:t>
            </w:r>
            <w:r>
              <w:rPr>
                <w:rFonts w:hint="eastAsia" w:ascii="Times New Roman" w:hAnsi="Times New Roman"/>
                <w:sz w:val="21"/>
                <w:szCs w:val="21"/>
                <w:highlight w:val="none"/>
                <w:lang w:val="en-US" w:eastAsia="zh-CN"/>
              </w:rPr>
              <w:t>每有1名为央企招标采购供应链公司提供</w:t>
            </w:r>
            <w:r>
              <w:rPr>
                <w:rFonts w:ascii="Times New Roman" w:hAnsi="Times New Roman"/>
                <w:sz w:val="21"/>
                <w:szCs w:val="21"/>
                <w:highlight w:val="none"/>
              </w:rPr>
              <w:t>常年合规法律服务工作经验的成员，得</w:t>
            </w:r>
            <w:r>
              <w:rPr>
                <w:rFonts w:hint="eastAsia" w:ascii="Times New Roman" w:hAnsi="Times New Roman"/>
                <w:sz w:val="21"/>
                <w:szCs w:val="21"/>
                <w:highlight w:val="none"/>
                <w:lang w:val="en-US" w:eastAsia="zh-CN"/>
              </w:rPr>
              <w:t>2</w:t>
            </w:r>
            <w:r>
              <w:rPr>
                <w:rFonts w:ascii="Times New Roman" w:hAnsi="Times New Roman"/>
                <w:sz w:val="21"/>
                <w:szCs w:val="21"/>
                <w:highlight w:val="none"/>
              </w:rPr>
              <w:t>分，每增加1名得1分，满分</w:t>
            </w: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c>
          <w:tcPr>
            <w:tcW w:w="890" w:type="dxa"/>
            <w:noWrap w:val="0"/>
            <w:vAlign w:val="center"/>
          </w:tcPr>
          <w:p>
            <w:pPr>
              <w:spacing w:line="260" w:lineRule="exact"/>
              <w:ind w:left="0" w:leftChars="0" w:firstLine="0" w:firstLineChars="0"/>
              <w:jc w:val="center"/>
              <w:rPr>
                <w:rFonts w:hint="default"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0" w:hRule="atLeast"/>
          <w:jc w:val="center"/>
        </w:trPr>
        <w:tc>
          <w:tcPr>
            <w:tcW w:w="581" w:type="dxa"/>
            <w:noWrap w:val="0"/>
            <w:vAlign w:val="center"/>
          </w:tcPr>
          <w:p>
            <w:pPr>
              <w:spacing w:line="260" w:lineRule="exact"/>
              <w:ind w:left="0" w:leftChars="0" w:firstLine="0" w:firstLineChars="0"/>
              <w:jc w:val="center"/>
              <w:rPr>
                <w:rFonts w:hint="eastAsia" w:ascii="Times New Roman" w:hAnsi="Times New Roman" w:eastAsia="宋体"/>
                <w:color w:val="000000"/>
                <w:sz w:val="21"/>
                <w:szCs w:val="21"/>
                <w:highlight w:val="none"/>
                <w:lang w:eastAsia="zh-CN"/>
              </w:rPr>
            </w:pPr>
            <w:r>
              <w:rPr>
                <w:rFonts w:hint="eastAsia" w:ascii="Times New Roman" w:hAnsi="Times New Roman"/>
                <w:color w:val="000000"/>
                <w:sz w:val="21"/>
                <w:szCs w:val="21"/>
                <w:highlight w:val="none"/>
                <w:lang w:val="en-US" w:eastAsia="zh-CN"/>
              </w:rPr>
              <w:t>4</w:t>
            </w:r>
          </w:p>
        </w:tc>
        <w:tc>
          <w:tcPr>
            <w:tcW w:w="1414" w:type="dxa"/>
            <w:noWrap w:val="0"/>
            <w:vAlign w:val="center"/>
          </w:tcPr>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报价</w:t>
            </w:r>
          </w:p>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w:t>
            </w:r>
            <w:r>
              <w:rPr>
                <w:rFonts w:hint="eastAsia" w:ascii="Times New Roman" w:hAnsi="Times New Roman"/>
                <w:sz w:val="21"/>
                <w:szCs w:val="21"/>
                <w:highlight w:val="none"/>
              </w:rPr>
              <w:t>30</w:t>
            </w:r>
            <w:r>
              <w:rPr>
                <w:rFonts w:ascii="Times New Roman" w:hAnsi="Times New Roman"/>
                <w:sz w:val="21"/>
                <w:szCs w:val="21"/>
                <w:highlight w:val="none"/>
              </w:rPr>
              <w:t>）</w:t>
            </w:r>
          </w:p>
        </w:tc>
        <w:tc>
          <w:tcPr>
            <w:tcW w:w="1855" w:type="dxa"/>
            <w:noWrap w:val="0"/>
            <w:vAlign w:val="center"/>
          </w:tcPr>
          <w:p>
            <w:pPr>
              <w:spacing w:line="260" w:lineRule="exact"/>
              <w:ind w:firstLine="105" w:firstLineChars="50"/>
              <w:jc w:val="center"/>
              <w:rPr>
                <w:rFonts w:ascii="Times New Roman" w:hAnsi="Times New Roman"/>
                <w:sz w:val="21"/>
                <w:szCs w:val="21"/>
                <w:highlight w:val="none"/>
              </w:rPr>
            </w:pPr>
            <w:r>
              <w:rPr>
                <w:rFonts w:ascii="Times New Roman" w:hAnsi="Times New Roman"/>
                <w:sz w:val="21"/>
                <w:szCs w:val="21"/>
                <w:highlight w:val="none"/>
              </w:rPr>
              <w:t>报价额</w:t>
            </w:r>
          </w:p>
        </w:tc>
        <w:tc>
          <w:tcPr>
            <w:tcW w:w="45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420" w:firstLineChars="200"/>
              <w:textAlignment w:val="auto"/>
              <w:rPr>
                <w:rFonts w:ascii="Times New Roman" w:hAnsi="Times New Roman"/>
                <w:color w:val="000000"/>
                <w:sz w:val="21"/>
                <w:szCs w:val="21"/>
                <w:highlight w:val="none"/>
              </w:rPr>
            </w:pPr>
            <w:r>
              <w:rPr>
                <w:rFonts w:hint="eastAsia"/>
                <w:color w:val="000000"/>
                <w:kern w:val="0"/>
                <w:sz w:val="21"/>
                <w:szCs w:val="21"/>
                <w:highlight w:val="none"/>
              </w:rPr>
              <w:t>以有效评审价格的算数平均值作为基准价（报价单位大于等于</w:t>
            </w:r>
            <w:r>
              <w:rPr>
                <w:color w:val="000000"/>
                <w:kern w:val="0"/>
                <w:sz w:val="21"/>
                <w:szCs w:val="21"/>
                <w:highlight w:val="none"/>
              </w:rPr>
              <w:t>5</w:t>
            </w:r>
            <w:r>
              <w:rPr>
                <w:rFonts w:hint="eastAsia"/>
                <w:color w:val="000000"/>
                <w:kern w:val="0"/>
                <w:sz w:val="21"/>
                <w:szCs w:val="21"/>
                <w:highlight w:val="none"/>
              </w:rPr>
              <w:t>家时，计算算数平均值时去掉最高价和最低价）。评审报价等于基准价得</w:t>
            </w:r>
            <w:r>
              <w:rPr>
                <w:color w:val="000000"/>
                <w:kern w:val="0"/>
                <w:sz w:val="21"/>
                <w:szCs w:val="21"/>
                <w:highlight w:val="none"/>
              </w:rPr>
              <w:t>20</w:t>
            </w:r>
            <w:r>
              <w:rPr>
                <w:rFonts w:hint="eastAsia"/>
                <w:color w:val="000000"/>
                <w:kern w:val="0"/>
                <w:sz w:val="21"/>
                <w:szCs w:val="21"/>
                <w:highlight w:val="none"/>
              </w:rPr>
              <w:t>分，每低于基准价一个百分点加0.</w:t>
            </w:r>
            <w:r>
              <w:rPr>
                <w:rFonts w:hint="eastAsia"/>
                <w:color w:val="000000"/>
                <w:kern w:val="0"/>
                <w:sz w:val="21"/>
                <w:szCs w:val="21"/>
                <w:highlight w:val="none"/>
                <w:lang w:val="en-US" w:eastAsia="zh-CN"/>
              </w:rPr>
              <w:t>3</w:t>
            </w:r>
            <w:r>
              <w:rPr>
                <w:rFonts w:hint="eastAsia"/>
                <w:color w:val="000000"/>
                <w:kern w:val="0"/>
                <w:sz w:val="21"/>
                <w:szCs w:val="21"/>
                <w:highlight w:val="none"/>
              </w:rPr>
              <w:t>分，最多加10分；每高于基准价一个百分点扣0.</w:t>
            </w:r>
            <w:r>
              <w:rPr>
                <w:rFonts w:hint="eastAsia"/>
                <w:color w:val="000000"/>
                <w:kern w:val="0"/>
                <w:sz w:val="21"/>
                <w:szCs w:val="21"/>
                <w:highlight w:val="none"/>
                <w:lang w:val="en-US" w:eastAsia="zh-CN"/>
              </w:rPr>
              <w:t>3</w:t>
            </w:r>
            <w:r>
              <w:rPr>
                <w:rFonts w:hint="eastAsia"/>
                <w:color w:val="000000"/>
                <w:kern w:val="0"/>
                <w:sz w:val="21"/>
                <w:szCs w:val="21"/>
                <w:highlight w:val="none"/>
              </w:rPr>
              <w:t>分，最多扣10分。</w:t>
            </w:r>
            <w:r>
              <w:rPr>
                <w:rFonts w:hint="eastAsia" w:ascii="Times New Roman" w:hAnsi="Times New Roman" w:eastAsia="宋体" w:cs="Times New Roman"/>
                <w:sz w:val="21"/>
                <w:szCs w:val="21"/>
                <w:highlight w:val="none"/>
              </w:rPr>
              <w:t>不足1%的，按照直接插入法计算，得分保留两位小数。</w:t>
            </w:r>
          </w:p>
        </w:tc>
        <w:tc>
          <w:tcPr>
            <w:tcW w:w="890" w:type="dxa"/>
            <w:noWrap w:val="0"/>
            <w:vAlign w:val="center"/>
          </w:tcPr>
          <w:p>
            <w:pPr>
              <w:spacing w:line="260" w:lineRule="exact"/>
              <w:ind w:left="0" w:leftChars="0" w:firstLine="0" w:firstLineChars="0"/>
              <w:jc w:val="center"/>
              <w:rPr>
                <w:rFonts w:ascii="Times New Roman" w:hAnsi="Times New Roman"/>
                <w:color w:val="000000"/>
                <w:sz w:val="21"/>
                <w:szCs w:val="21"/>
                <w:highlight w:val="none"/>
              </w:rPr>
            </w:pPr>
            <w:r>
              <w:rPr>
                <w:rFonts w:hint="eastAsia" w:ascii="Times New Roman" w:hAnsi="Times New Roman"/>
                <w:color w:val="000000"/>
                <w:sz w:val="21"/>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6" w:hRule="atLeast"/>
          <w:jc w:val="center"/>
        </w:trPr>
        <w:tc>
          <w:tcPr>
            <w:tcW w:w="581" w:type="dxa"/>
            <w:noWrap w:val="0"/>
            <w:vAlign w:val="center"/>
          </w:tcPr>
          <w:p>
            <w:pPr>
              <w:spacing w:line="260" w:lineRule="exact"/>
              <w:ind w:left="0" w:leftChars="0" w:firstLine="0" w:firstLineChars="0"/>
              <w:jc w:val="center"/>
              <w:rPr>
                <w:rFonts w:hint="eastAsia" w:ascii="Times New Roman" w:hAnsi="Times New Roman" w:eastAsia="宋体"/>
                <w:sz w:val="21"/>
                <w:szCs w:val="21"/>
                <w:highlight w:val="none"/>
                <w:lang w:eastAsia="zh-CN"/>
              </w:rPr>
            </w:pPr>
            <w:r>
              <w:rPr>
                <w:rFonts w:hint="eastAsia" w:ascii="Times New Roman" w:hAnsi="Times New Roman"/>
                <w:sz w:val="21"/>
                <w:szCs w:val="21"/>
                <w:highlight w:val="none"/>
                <w:lang w:val="en-US" w:eastAsia="zh-CN"/>
              </w:rPr>
              <w:t>5</w:t>
            </w:r>
          </w:p>
        </w:tc>
        <w:tc>
          <w:tcPr>
            <w:tcW w:w="1414" w:type="dxa"/>
            <w:noWrap w:val="0"/>
            <w:vAlign w:val="center"/>
          </w:tcPr>
          <w:p>
            <w:pPr>
              <w:spacing w:line="260" w:lineRule="exact"/>
              <w:jc w:val="center"/>
              <w:rPr>
                <w:rFonts w:ascii="Times New Roman" w:hAnsi="Times New Roman"/>
                <w:sz w:val="21"/>
                <w:szCs w:val="21"/>
                <w:highlight w:val="none"/>
              </w:rPr>
            </w:pPr>
            <w:r>
              <w:rPr>
                <w:rFonts w:ascii="Times New Roman" w:hAnsi="Times New Roman"/>
                <w:color w:val="000000"/>
                <w:sz w:val="21"/>
                <w:szCs w:val="21"/>
                <w:highlight w:val="none"/>
              </w:rPr>
              <w:t>总分</w:t>
            </w:r>
          </w:p>
        </w:tc>
        <w:tc>
          <w:tcPr>
            <w:tcW w:w="6366" w:type="dxa"/>
            <w:gridSpan w:val="2"/>
            <w:noWrap w:val="0"/>
            <w:vAlign w:val="center"/>
          </w:tcPr>
          <w:p>
            <w:pPr>
              <w:spacing w:line="260" w:lineRule="exact"/>
              <w:rPr>
                <w:rFonts w:ascii="Times New Roman" w:hAnsi="Times New Roman"/>
                <w:sz w:val="21"/>
                <w:szCs w:val="21"/>
                <w:highlight w:val="none"/>
              </w:rPr>
            </w:pPr>
          </w:p>
        </w:tc>
        <w:tc>
          <w:tcPr>
            <w:tcW w:w="890" w:type="dxa"/>
            <w:noWrap w:val="0"/>
            <w:vAlign w:val="center"/>
          </w:tcPr>
          <w:p>
            <w:pPr>
              <w:spacing w:line="260" w:lineRule="exact"/>
              <w:ind w:left="0" w:leftChars="0" w:firstLine="0" w:firstLineChars="0"/>
              <w:jc w:val="center"/>
              <w:rPr>
                <w:rFonts w:ascii="Times New Roman" w:hAnsi="Times New Roman"/>
                <w:color w:val="000000"/>
                <w:sz w:val="21"/>
                <w:szCs w:val="21"/>
                <w:highlight w:val="none"/>
              </w:rPr>
            </w:pPr>
            <w:r>
              <w:rPr>
                <w:rFonts w:ascii="Times New Roman" w:hAnsi="Times New Roman"/>
                <w:color w:val="000000"/>
                <w:sz w:val="21"/>
                <w:szCs w:val="21"/>
                <w:highlight w:val="none"/>
              </w:rPr>
              <w:t>100</w:t>
            </w:r>
          </w:p>
        </w:tc>
      </w:tr>
    </w:tbl>
    <w:p>
      <w:pPr>
        <w:ind w:firstLine="480"/>
        <w:rPr>
          <w:highlight w:val="none"/>
        </w:rPr>
      </w:pPr>
      <w:r>
        <w:rPr>
          <w:highlight w:val="none"/>
        </w:rPr>
        <w:br w:type="page"/>
      </w:r>
    </w:p>
    <w:p>
      <w:pPr>
        <w:pStyle w:val="25"/>
        <w:spacing w:before="120"/>
        <w:rPr>
          <w:rFonts w:ascii="Times New Roman" w:hAnsi="Times New Roman"/>
          <w:highlight w:val="none"/>
        </w:rPr>
      </w:pPr>
      <w:bookmarkStart w:id="124" w:name="_Toc24590"/>
      <w:bookmarkStart w:id="125" w:name="_Toc22119"/>
      <w:r>
        <w:rPr>
          <w:rFonts w:hint="eastAsia" w:ascii="Times New Roman" w:hAnsi="Times New Roman"/>
          <w:highlight w:val="none"/>
        </w:rPr>
        <w:t>第四章 合同</w:t>
      </w:r>
      <w:bookmarkEnd w:id="111"/>
      <w:r>
        <w:rPr>
          <w:rFonts w:hint="eastAsia" w:ascii="Times New Roman" w:hAnsi="Times New Roman"/>
          <w:highlight w:val="none"/>
        </w:rPr>
        <w:t>条款及格式</w:t>
      </w:r>
      <w:bookmarkEnd w:id="124"/>
      <w:bookmarkEnd w:id="125"/>
    </w:p>
    <w:p>
      <w:pPr>
        <w:spacing w:line="360" w:lineRule="auto"/>
        <w:jc w:val="center"/>
        <w:rPr>
          <w:rFonts w:eastAsia="黑体"/>
          <w:sz w:val="36"/>
          <w:szCs w:val="36"/>
          <w:highlight w:val="none"/>
        </w:rPr>
      </w:pPr>
      <w:r>
        <w:rPr>
          <w:rFonts w:hint="eastAsia" w:eastAsia="黑体"/>
          <w:sz w:val="36"/>
          <w:szCs w:val="36"/>
          <w:highlight w:val="none"/>
        </w:rPr>
        <w:t>常年法律顾问</w:t>
      </w:r>
      <w:r>
        <w:rPr>
          <w:rFonts w:eastAsia="黑体"/>
          <w:sz w:val="36"/>
          <w:szCs w:val="36"/>
          <w:highlight w:val="none"/>
        </w:rPr>
        <w:t>服务协议</w:t>
      </w:r>
    </w:p>
    <w:p>
      <w:pPr>
        <w:spacing w:line="360" w:lineRule="auto"/>
        <w:rPr>
          <w:sz w:val="24"/>
          <w:highlight w:val="none"/>
        </w:rPr>
      </w:pPr>
    </w:p>
    <w:p>
      <w:pPr>
        <w:widowControl/>
        <w:spacing w:line="360" w:lineRule="auto"/>
        <w:jc w:val="left"/>
        <w:rPr>
          <w:sz w:val="24"/>
          <w:highlight w:val="none"/>
        </w:rPr>
      </w:pPr>
      <w:r>
        <w:rPr>
          <w:b/>
          <w:sz w:val="24"/>
          <w:highlight w:val="none"/>
        </w:rPr>
        <w:t>甲方：</w:t>
      </w:r>
      <w:r>
        <w:rPr>
          <w:rFonts w:hint="eastAsia"/>
          <w:b/>
          <w:sz w:val="24"/>
          <w:highlight w:val="none"/>
        </w:rPr>
        <w:t>中国煤炭开发有限责任公司</w:t>
      </w:r>
    </w:p>
    <w:p>
      <w:pPr>
        <w:widowControl/>
        <w:spacing w:line="360" w:lineRule="auto"/>
        <w:jc w:val="left"/>
        <w:rPr>
          <w:rFonts w:hint="eastAsia"/>
          <w:sz w:val="24"/>
          <w:highlight w:val="none"/>
        </w:rPr>
      </w:pPr>
      <w:r>
        <w:rPr>
          <w:sz w:val="24"/>
          <w:highlight w:val="none"/>
        </w:rPr>
        <w:t>法定代表人：</w:t>
      </w:r>
      <w:r>
        <w:rPr>
          <w:rFonts w:hint="eastAsia"/>
          <w:sz w:val="24"/>
          <w:highlight w:val="none"/>
        </w:rPr>
        <w:t>徐忠田</w:t>
      </w:r>
    </w:p>
    <w:p>
      <w:pPr>
        <w:widowControl/>
        <w:spacing w:line="360" w:lineRule="auto"/>
        <w:jc w:val="left"/>
        <w:rPr>
          <w:sz w:val="24"/>
          <w:highlight w:val="none"/>
        </w:rPr>
      </w:pPr>
      <w:r>
        <w:rPr>
          <w:sz w:val="24"/>
          <w:highlight w:val="none"/>
        </w:rPr>
        <w:t>地址：</w:t>
      </w:r>
      <w:r>
        <w:rPr>
          <w:rFonts w:hint="eastAsia"/>
          <w:sz w:val="24"/>
          <w:highlight w:val="none"/>
        </w:rPr>
        <w:t>北京市东城区安定门外大街乙88号中煤大厦</w:t>
      </w:r>
    </w:p>
    <w:p>
      <w:pPr>
        <w:spacing w:line="360" w:lineRule="auto"/>
        <w:rPr>
          <w:rFonts w:hint="eastAsia" w:eastAsia="宋体"/>
          <w:sz w:val="24"/>
          <w:highlight w:val="none"/>
          <w:lang w:val="en-US" w:eastAsia="zh-CN"/>
        </w:rPr>
      </w:pPr>
      <w:r>
        <w:rPr>
          <w:rFonts w:hint="eastAsia"/>
          <w:sz w:val="24"/>
          <w:highlight w:val="none"/>
        </w:rPr>
        <w:t>委托代理人</w:t>
      </w:r>
      <w:r>
        <w:rPr>
          <w:sz w:val="24"/>
          <w:highlight w:val="none"/>
        </w:rPr>
        <w:t>：</w:t>
      </w:r>
      <w:r>
        <w:rPr>
          <w:rFonts w:hint="eastAsia"/>
          <w:sz w:val="24"/>
          <w:highlight w:val="none"/>
          <w:lang w:val="en-US" w:eastAsia="zh-CN"/>
        </w:rPr>
        <w:t>徐国庆</w:t>
      </w:r>
    </w:p>
    <w:p>
      <w:pPr>
        <w:spacing w:line="360" w:lineRule="auto"/>
        <w:ind w:left="0" w:leftChars="0" w:firstLine="0" w:firstLineChars="0"/>
        <w:rPr>
          <w:sz w:val="24"/>
          <w:highlight w:val="none"/>
        </w:rPr>
      </w:pPr>
    </w:p>
    <w:p>
      <w:pPr>
        <w:spacing w:line="360" w:lineRule="auto"/>
        <w:rPr>
          <w:b/>
          <w:sz w:val="24"/>
          <w:highlight w:val="none"/>
        </w:rPr>
      </w:pPr>
      <w:r>
        <w:rPr>
          <w:b/>
          <w:sz w:val="24"/>
          <w:highlight w:val="none"/>
        </w:rPr>
        <w:t>乙方：</w:t>
      </w:r>
    </w:p>
    <w:p>
      <w:pPr>
        <w:spacing w:line="360" w:lineRule="auto"/>
        <w:rPr>
          <w:sz w:val="24"/>
          <w:highlight w:val="none"/>
        </w:rPr>
      </w:pPr>
      <w:r>
        <w:rPr>
          <w:sz w:val="24"/>
          <w:highlight w:val="none"/>
        </w:rPr>
        <w:t>负责人：</w:t>
      </w:r>
    </w:p>
    <w:p>
      <w:pPr>
        <w:spacing w:line="360" w:lineRule="auto"/>
        <w:rPr>
          <w:sz w:val="24"/>
          <w:highlight w:val="none"/>
        </w:rPr>
      </w:pPr>
      <w:r>
        <w:rPr>
          <w:sz w:val="24"/>
          <w:highlight w:val="none"/>
        </w:rPr>
        <w:t>地址：</w:t>
      </w:r>
    </w:p>
    <w:p>
      <w:pPr>
        <w:spacing w:line="360" w:lineRule="auto"/>
        <w:rPr>
          <w:sz w:val="24"/>
          <w:highlight w:val="none"/>
        </w:rPr>
      </w:pPr>
      <w:r>
        <w:rPr>
          <w:rFonts w:hint="eastAsia"/>
          <w:sz w:val="24"/>
          <w:highlight w:val="none"/>
        </w:rPr>
        <w:t>委托代理人</w:t>
      </w:r>
      <w:r>
        <w:rPr>
          <w:sz w:val="24"/>
          <w:highlight w:val="none"/>
        </w:rPr>
        <w:t>：</w:t>
      </w:r>
    </w:p>
    <w:p>
      <w:pPr>
        <w:spacing w:line="360" w:lineRule="auto"/>
        <w:ind w:left="0" w:leftChars="0" w:firstLine="0" w:firstLineChars="0"/>
        <w:rPr>
          <w:sz w:val="24"/>
          <w:highlight w:val="none"/>
        </w:rPr>
      </w:pPr>
    </w:p>
    <w:p>
      <w:pPr>
        <w:spacing w:line="360" w:lineRule="auto"/>
        <w:ind w:firstLine="480" w:firstLineChars="200"/>
        <w:rPr>
          <w:rFonts w:hint="eastAsia"/>
          <w:color w:val="auto"/>
          <w:sz w:val="24"/>
          <w:highlight w:val="none"/>
        </w:rPr>
      </w:pPr>
      <w:r>
        <w:rPr>
          <w:rFonts w:hint="eastAsia"/>
          <w:color w:val="auto"/>
          <w:sz w:val="24"/>
          <w:highlight w:val="none"/>
        </w:rPr>
        <w:t>鉴于：</w:t>
      </w:r>
    </w:p>
    <w:p>
      <w:pPr>
        <w:spacing w:line="360" w:lineRule="auto"/>
        <w:ind w:firstLine="480" w:firstLineChars="200"/>
        <w:rPr>
          <w:rFonts w:hint="eastAsia"/>
          <w:color w:val="auto"/>
          <w:sz w:val="24"/>
          <w:highlight w:val="none"/>
        </w:rPr>
      </w:pPr>
      <w:r>
        <w:rPr>
          <w:rFonts w:hint="eastAsia"/>
          <w:color w:val="auto"/>
          <w:sz w:val="24"/>
          <w:highlight w:val="none"/>
        </w:rPr>
        <w:t>1.甲方是一家在中华人民共和国境内经合法注册、有效运营的公司；</w:t>
      </w:r>
    </w:p>
    <w:p>
      <w:pPr>
        <w:spacing w:line="360" w:lineRule="auto"/>
        <w:ind w:firstLine="480" w:firstLineChars="200"/>
        <w:rPr>
          <w:color w:val="auto"/>
          <w:sz w:val="24"/>
          <w:highlight w:val="none"/>
        </w:rPr>
      </w:pPr>
      <w:r>
        <w:rPr>
          <w:rFonts w:hint="eastAsia"/>
          <w:color w:val="auto"/>
          <w:sz w:val="24"/>
          <w:highlight w:val="none"/>
        </w:rPr>
        <w:t>2.乙方是一家在中华人民共和国境内经合法注册登记成立的提供律师法律服务的大型的特殊普通合伙制律师事务所；</w:t>
      </w:r>
    </w:p>
    <w:p>
      <w:pPr>
        <w:spacing w:line="360" w:lineRule="auto"/>
        <w:ind w:firstLine="480" w:firstLineChars="200"/>
        <w:rPr>
          <w:rFonts w:hint="eastAsia"/>
          <w:color w:val="auto"/>
          <w:sz w:val="24"/>
          <w:highlight w:val="none"/>
        </w:rPr>
      </w:pPr>
      <w:r>
        <w:rPr>
          <w:rFonts w:hint="eastAsia"/>
          <w:color w:val="auto"/>
          <w:sz w:val="24"/>
          <w:highlight w:val="none"/>
        </w:rPr>
        <w:t>3.甲方因业务发展和维护甲方合法权利的需要，根据《中华人民共和国民法典》、《中华人民共和国律师法》的有关规定，拟在中华人民共和国境内聘请一家具有合法执业资格的律师事务所为甲方提供常年法律顾问服务。</w:t>
      </w:r>
    </w:p>
    <w:p>
      <w:pPr>
        <w:spacing w:line="360" w:lineRule="auto"/>
        <w:ind w:firstLine="480" w:firstLineChars="200"/>
        <w:rPr>
          <w:color w:val="auto"/>
          <w:sz w:val="24"/>
          <w:highlight w:val="none"/>
        </w:rPr>
      </w:pPr>
      <w:r>
        <w:rPr>
          <w:rFonts w:hint="eastAsia"/>
          <w:color w:val="auto"/>
          <w:sz w:val="24"/>
          <w:highlight w:val="none"/>
        </w:rPr>
        <w:t>经甲、乙双方友好协商，</w:t>
      </w:r>
      <w:r>
        <w:rPr>
          <w:color w:val="auto"/>
          <w:sz w:val="24"/>
          <w:highlight w:val="none"/>
        </w:rPr>
        <w:t>甲方聘请乙方担任其常年法律顾问，乙方同意接受甲方聘请，双方按照诚实信用原则，就以下各项事宜达成协议如下</w:t>
      </w:r>
      <w:r>
        <w:rPr>
          <w:rFonts w:hint="eastAsia"/>
          <w:color w:val="auto"/>
          <w:sz w:val="24"/>
          <w:highlight w:val="none"/>
        </w:rPr>
        <w:t>，以资双方共同遵守：</w:t>
      </w:r>
    </w:p>
    <w:p>
      <w:pPr>
        <w:tabs>
          <w:tab w:val="left" w:pos="960"/>
          <w:tab w:val="left" w:pos="1080"/>
        </w:tabs>
        <w:spacing w:line="360" w:lineRule="auto"/>
        <w:ind w:firstLine="482" w:firstLineChars="200"/>
        <w:rPr>
          <w:rFonts w:hint="default" w:ascii="Times New Roman" w:hAnsi="Times New Roman" w:eastAsia="宋体" w:cs="Times New Roman"/>
          <w:b/>
          <w:bCs/>
          <w:color w:val="auto"/>
          <w:spacing w:val="0"/>
          <w:sz w:val="24"/>
          <w:highlight w:val="none"/>
          <w:lang w:val="en-US" w:eastAsia="zh-CN"/>
        </w:rPr>
      </w:pPr>
      <w:r>
        <w:rPr>
          <w:rFonts w:hint="eastAsia" w:ascii="Times New Roman" w:hAnsi="Times New Roman" w:eastAsia="宋体" w:cs="Times New Roman"/>
          <w:b/>
          <w:bCs/>
          <w:color w:val="auto"/>
          <w:spacing w:val="0"/>
          <w:sz w:val="24"/>
          <w:highlight w:val="none"/>
          <w:lang w:val="en-US" w:eastAsia="zh-CN"/>
        </w:rPr>
        <w:t>一、</w:t>
      </w:r>
      <w:r>
        <w:rPr>
          <w:rFonts w:hint="default" w:ascii="Times New Roman" w:hAnsi="Times New Roman" w:eastAsia="宋体" w:cs="Times New Roman"/>
          <w:b/>
          <w:bCs/>
          <w:color w:val="auto"/>
          <w:spacing w:val="0"/>
          <w:sz w:val="24"/>
          <w:highlight w:val="none"/>
          <w:lang w:val="en-US" w:eastAsia="zh-CN"/>
        </w:rPr>
        <w:t>工作安排</w:t>
      </w:r>
    </w:p>
    <w:p>
      <w:pPr>
        <w:numPr>
          <w:ilvl w:val="0"/>
          <w:numId w:val="0"/>
        </w:numPr>
        <w:tabs>
          <w:tab w:val="left" w:pos="960"/>
          <w:tab w:val="left" w:pos="1080"/>
        </w:tabs>
        <w:spacing w:line="360" w:lineRule="auto"/>
        <w:ind w:firstLine="456" w:firstLineChars="200"/>
        <w:rPr>
          <w:color w:val="auto"/>
          <w:spacing w:val="-6"/>
          <w:sz w:val="24"/>
          <w:highlight w:val="none"/>
        </w:rPr>
      </w:pPr>
      <w:r>
        <w:rPr>
          <w:color w:val="auto"/>
          <w:spacing w:val="-6"/>
          <w:sz w:val="24"/>
          <w:highlight w:val="none"/>
        </w:rPr>
        <w:t>甲方聘请乙方担任其法律顾问，乙方同意接受甲方聘请并指派有经验的律师团队负责向甲方提供法律服务和联络工作，并根据甲方所交办法律事务的专业性质指派乙方相关业务部门的有经验的承办律师负责办理甲方委托的具体工作。如乙方指派的律师因故不能继续承担工作的，乙方应及时指派其他律师并通知甲方。律师团队不少于</w:t>
      </w:r>
      <w:r>
        <w:rPr>
          <w:rFonts w:hint="eastAsia"/>
          <w:color w:val="auto"/>
          <w:spacing w:val="-6"/>
          <w:sz w:val="24"/>
          <w:highlight w:val="none"/>
          <w:u w:val="single"/>
        </w:rPr>
        <w:t xml:space="preserve"> </w:t>
      </w:r>
      <w:r>
        <w:rPr>
          <w:rFonts w:hint="eastAsia"/>
          <w:color w:val="auto"/>
          <w:spacing w:val="-6"/>
          <w:sz w:val="24"/>
          <w:highlight w:val="none"/>
          <w:u w:val="single"/>
          <w:lang w:val="en-US" w:eastAsia="zh-CN"/>
        </w:rPr>
        <w:t>3</w:t>
      </w:r>
      <w:r>
        <w:rPr>
          <w:rFonts w:hint="eastAsia"/>
          <w:color w:val="auto"/>
          <w:spacing w:val="-6"/>
          <w:sz w:val="24"/>
          <w:highlight w:val="none"/>
          <w:u w:val="single"/>
        </w:rPr>
        <w:t xml:space="preserve"> </w:t>
      </w:r>
      <w:r>
        <w:rPr>
          <w:color w:val="auto"/>
          <w:spacing w:val="-6"/>
          <w:sz w:val="24"/>
          <w:highlight w:val="none"/>
        </w:rPr>
        <w:t>人，并至少有一名从业</w:t>
      </w:r>
      <w:r>
        <w:rPr>
          <w:rFonts w:hint="eastAsia"/>
          <w:color w:val="auto"/>
          <w:spacing w:val="-6"/>
          <w:sz w:val="24"/>
          <w:highlight w:val="none"/>
          <w:u w:val="single"/>
        </w:rPr>
        <w:t xml:space="preserve"> </w:t>
      </w:r>
      <w:r>
        <w:rPr>
          <w:rFonts w:hint="eastAsia"/>
          <w:color w:val="auto"/>
          <w:spacing w:val="-6"/>
          <w:sz w:val="24"/>
          <w:highlight w:val="none"/>
          <w:u w:val="single"/>
          <w:lang w:val="en-US" w:eastAsia="zh-CN"/>
        </w:rPr>
        <w:t>10</w:t>
      </w:r>
      <w:r>
        <w:rPr>
          <w:rFonts w:hint="eastAsia"/>
          <w:color w:val="auto"/>
          <w:spacing w:val="-6"/>
          <w:sz w:val="24"/>
          <w:highlight w:val="none"/>
          <w:u w:val="single"/>
        </w:rPr>
        <w:t xml:space="preserve">  </w:t>
      </w:r>
      <w:r>
        <w:rPr>
          <w:color w:val="auto"/>
          <w:spacing w:val="-6"/>
          <w:sz w:val="24"/>
          <w:highlight w:val="none"/>
        </w:rPr>
        <w:t>年以上的资深律师。</w:t>
      </w:r>
    </w:p>
    <w:p>
      <w:pPr>
        <w:tabs>
          <w:tab w:val="left" w:pos="960"/>
          <w:tab w:val="left" w:pos="1080"/>
        </w:tabs>
        <w:spacing w:line="360" w:lineRule="auto"/>
        <w:ind w:firstLine="482" w:firstLineChars="200"/>
        <w:rPr>
          <w:b/>
          <w:bCs/>
          <w:color w:val="auto"/>
          <w:sz w:val="24"/>
          <w:highlight w:val="none"/>
        </w:rPr>
      </w:pPr>
      <w:r>
        <w:rPr>
          <w:b/>
          <w:bCs/>
          <w:color w:val="auto"/>
          <w:sz w:val="24"/>
          <w:highlight w:val="none"/>
        </w:rPr>
        <w:t>二、乙方的工作范围</w:t>
      </w:r>
    </w:p>
    <w:p>
      <w:pPr>
        <w:tabs>
          <w:tab w:val="left" w:pos="1440"/>
        </w:tabs>
        <w:spacing w:line="360" w:lineRule="auto"/>
        <w:ind w:firstLine="480" w:firstLineChars="200"/>
        <w:rPr>
          <w:color w:val="auto"/>
          <w:sz w:val="24"/>
          <w:highlight w:val="none"/>
        </w:rPr>
      </w:pPr>
      <w:r>
        <w:rPr>
          <w:color w:val="auto"/>
          <w:sz w:val="24"/>
          <w:highlight w:val="none"/>
        </w:rPr>
        <w:t>乙方律师的工作内容为协助甲方</w:t>
      </w:r>
      <w:r>
        <w:rPr>
          <w:rFonts w:hint="eastAsia"/>
          <w:color w:val="auto"/>
          <w:sz w:val="24"/>
          <w:highlight w:val="none"/>
        </w:rPr>
        <w:t>及甲方所属企业</w:t>
      </w:r>
      <w:r>
        <w:rPr>
          <w:color w:val="auto"/>
          <w:sz w:val="24"/>
          <w:highlight w:val="none"/>
        </w:rPr>
        <w:t>办理日常及特殊法律事务，具体包括以下各项工作：</w:t>
      </w:r>
    </w:p>
    <w:p>
      <w:pPr>
        <w:snapToGrid w:val="0"/>
        <w:spacing w:line="480" w:lineRule="exact"/>
        <w:rPr>
          <w:rFonts w:hint="default"/>
          <w:sz w:val="24"/>
          <w:highlight w:val="none"/>
          <w:lang w:val="en-US"/>
        </w:rPr>
      </w:pPr>
      <w:r>
        <w:rPr>
          <w:sz w:val="24"/>
          <w:highlight w:val="none"/>
        </w:rPr>
        <w:t>（一）</w:t>
      </w:r>
      <w:r>
        <w:rPr>
          <w:rFonts w:hint="eastAsia"/>
          <w:sz w:val="24"/>
          <w:highlight w:val="none"/>
          <w:lang w:val="en-US" w:eastAsia="zh-CN"/>
        </w:rPr>
        <w:t>制度及合规风控体系建立与审查</w:t>
      </w:r>
    </w:p>
    <w:p>
      <w:pPr>
        <w:snapToGrid w:val="0"/>
        <w:spacing w:line="480" w:lineRule="exact"/>
        <w:ind w:left="0" w:leftChars="0" w:firstLine="499" w:firstLineChars="208"/>
        <w:rPr>
          <w:rFonts w:hint="eastAsia"/>
          <w:sz w:val="24"/>
          <w:highlight w:val="none"/>
          <w:lang w:eastAsia="zh-CN"/>
        </w:rPr>
      </w:pPr>
      <w:r>
        <w:rPr>
          <w:rFonts w:hint="eastAsia"/>
          <w:sz w:val="24"/>
          <w:highlight w:val="none"/>
          <w:lang w:val="en-US" w:eastAsia="zh-CN"/>
        </w:rPr>
        <w:t>1.</w:t>
      </w:r>
      <w:r>
        <w:rPr>
          <w:sz w:val="24"/>
          <w:highlight w:val="none"/>
        </w:rPr>
        <w:t>协助审查、修改公司章程、内部规章制度等</w:t>
      </w:r>
      <w:r>
        <w:rPr>
          <w:rFonts w:hint="eastAsia"/>
          <w:sz w:val="24"/>
          <w:highlight w:val="none"/>
          <w:lang w:eastAsia="zh-CN"/>
        </w:rPr>
        <w:t>；</w:t>
      </w:r>
    </w:p>
    <w:p>
      <w:pPr>
        <w:snapToGrid w:val="0"/>
        <w:spacing w:line="480" w:lineRule="exact"/>
        <w:ind w:left="0" w:leftChars="0" w:firstLine="499" w:firstLineChars="208"/>
        <w:rPr>
          <w:rFonts w:hint="eastAsia"/>
          <w:sz w:val="24"/>
          <w:highlight w:val="none"/>
        </w:rPr>
      </w:pPr>
      <w:r>
        <w:rPr>
          <w:rFonts w:hint="eastAsia"/>
          <w:sz w:val="24"/>
          <w:highlight w:val="none"/>
          <w:lang w:val="en-US" w:eastAsia="zh-CN"/>
        </w:rPr>
        <w:t>2.</w:t>
      </w:r>
      <w:r>
        <w:rPr>
          <w:rFonts w:hint="eastAsia"/>
          <w:sz w:val="24"/>
          <w:highlight w:val="none"/>
        </w:rPr>
        <w:t>协助建立公司的合规管理制度、合同管理制度、内控风险制度、法律纠纷管理制度等；</w:t>
      </w:r>
    </w:p>
    <w:p>
      <w:pPr>
        <w:snapToGrid w:val="0"/>
        <w:spacing w:line="480" w:lineRule="exact"/>
        <w:ind w:left="0" w:leftChars="0" w:firstLine="499" w:firstLineChars="208"/>
        <w:rPr>
          <w:sz w:val="24"/>
          <w:highlight w:val="none"/>
        </w:rPr>
      </w:pPr>
      <w:r>
        <w:rPr>
          <w:rFonts w:hint="eastAsia"/>
          <w:sz w:val="24"/>
          <w:highlight w:val="none"/>
          <w:lang w:val="en-US" w:eastAsia="zh-CN"/>
        </w:rPr>
        <w:t>3.</w:t>
      </w:r>
      <w:r>
        <w:rPr>
          <w:rFonts w:hint="eastAsia"/>
          <w:sz w:val="24"/>
          <w:highlight w:val="none"/>
        </w:rPr>
        <w:t>协助草拟、提供、修订、审查合规管理相关文件：包括不限于岗位职责清单、合规审查文件、合规监督文件、风险识别清单、风险库、合规承诺书等。</w:t>
      </w:r>
    </w:p>
    <w:p>
      <w:pPr>
        <w:snapToGrid w:val="0"/>
        <w:spacing w:line="480" w:lineRule="exact"/>
        <w:rPr>
          <w:sz w:val="24"/>
          <w:highlight w:val="none"/>
        </w:rPr>
      </w:pPr>
      <w:r>
        <w:rPr>
          <w:sz w:val="24"/>
          <w:highlight w:val="none"/>
        </w:rPr>
        <w:t>（</w:t>
      </w:r>
      <w:r>
        <w:rPr>
          <w:rFonts w:hint="eastAsia"/>
          <w:sz w:val="24"/>
          <w:highlight w:val="none"/>
          <w:lang w:val="en-US" w:eastAsia="zh-CN"/>
        </w:rPr>
        <w:t>二</w:t>
      </w:r>
      <w:r>
        <w:rPr>
          <w:sz w:val="24"/>
          <w:highlight w:val="none"/>
        </w:rPr>
        <w:t>）合同</w:t>
      </w:r>
      <w:r>
        <w:rPr>
          <w:rFonts w:hint="eastAsia"/>
          <w:sz w:val="24"/>
          <w:highlight w:val="none"/>
          <w:lang w:val="en-US" w:eastAsia="zh-CN"/>
        </w:rPr>
        <w:t>范本编制及</w:t>
      </w:r>
      <w:r>
        <w:rPr>
          <w:sz w:val="24"/>
          <w:highlight w:val="none"/>
        </w:rPr>
        <w:t>审查</w:t>
      </w:r>
    </w:p>
    <w:p>
      <w:pPr>
        <w:snapToGrid w:val="0"/>
        <w:spacing w:line="480" w:lineRule="exact"/>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协助草拟、提供、制订、修改、审查各类标准合同范本（含</w:t>
      </w:r>
      <w:r>
        <w:rPr>
          <w:rFonts w:hint="eastAsia"/>
          <w:sz w:val="24"/>
          <w:highlight w:val="none"/>
          <w:lang w:val="en-US" w:eastAsia="zh-CN"/>
        </w:rPr>
        <w:t>中国中煤采购</w:t>
      </w:r>
      <w:r>
        <w:rPr>
          <w:rFonts w:hint="eastAsia"/>
          <w:sz w:val="24"/>
          <w:highlight w:val="none"/>
        </w:rPr>
        <w:t>合同范本），至少45份。</w:t>
      </w:r>
    </w:p>
    <w:p>
      <w:pPr>
        <w:snapToGrid w:val="0"/>
        <w:spacing w:line="480" w:lineRule="exact"/>
        <w:ind w:firstLine="480" w:firstLineChars="200"/>
        <w:rPr>
          <w:rFonts w:hint="eastAsia"/>
          <w:sz w:val="24"/>
          <w:highlight w:val="none"/>
        </w:rPr>
      </w:pPr>
      <w:r>
        <w:rPr>
          <w:rFonts w:hint="eastAsia"/>
          <w:sz w:val="24"/>
          <w:highlight w:val="none"/>
          <w:lang w:eastAsia="zh-CN"/>
        </w:rPr>
        <w:t>2</w:t>
      </w:r>
      <w:r>
        <w:rPr>
          <w:rFonts w:hint="eastAsia"/>
          <w:sz w:val="24"/>
          <w:highlight w:val="none"/>
        </w:rPr>
        <w:t>.协助草拟、制订、审查或修改各类合同、协议等法律文件，包括国内交易合同和涉外交易合同（中英文）。其中，国内交易合同不限份数和字数；涉外交易合同每份1500元人民币计算，</w:t>
      </w:r>
      <w:r>
        <w:rPr>
          <w:rFonts w:hint="eastAsia"/>
          <w:sz w:val="24"/>
          <w:highlight w:val="none"/>
          <w:lang w:val="en-US" w:eastAsia="zh-CN"/>
        </w:rPr>
        <w:t>服务期内4.5</w:t>
      </w:r>
      <w:r>
        <w:rPr>
          <w:rFonts w:hint="eastAsia"/>
          <w:sz w:val="24"/>
          <w:highlight w:val="none"/>
        </w:rPr>
        <w:t>万元</w:t>
      </w:r>
      <w:r>
        <w:rPr>
          <w:rFonts w:hint="eastAsia"/>
          <w:sz w:val="24"/>
          <w:highlight w:val="none"/>
          <w:lang w:val="en-US" w:eastAsia="zh-CN"/>
        </w:rPr>
        <w:t>人民币</w:t>
      </w:r>
      <w:r>
        <w:rPr>
          <w:rFonts w:hint="eastAsia"/>
          <w:sz w:val="24"/>
          <w:highlight w:val="none"/>
        </w:rPr>
        <w:t>封顶，不限字数。</w:t>
      </w:r>
    </w:p>
    <w:p>
      <w:pPr>
        <w:snapToGrid w:val="0"/>
        <w:spacing w:line="480" w:lineRule="exact"/>
        <w:ind w:left="0" w:leftChars="0" w:firstLine="480" w:firstLineChars="200"/>
        <w:rPr>
          <w:rFonts w:hint="eastAsia"/>
          <w:sz w:val="24"/>
          <w:highlight w:val="none"/>
        </w:rPr>
      </w:pPr>
      <w:r>
        <w:rPr>
          <w:sz w:val="24"/>
          <w:highlight w:val="none"/>
        </w:rPr>
        <w:t>（</w:t>
      </w:r>
      <w:r>
        <w:rPr>
          <w:rFonts w:hint="eastAsia"/>
          <w:sz w:val="24"/>
          <w:highlight w:val="none"/>
          <w:lang w:val="en-US" w:eastAsia="zh-CN"/>
        </w:rPr>
        <w:t>三</w:t>
      </w:r>
      <w:r>
        <w:rPr>
          <w:sz w:val="24"/>
          <w:highlight w:val="none"/>
        </w:rPr>
        <w:t>）法律咨询</w:t>
      </w:r>
      <w:r>
        <w:rPr>
          <w:rFonts w:hint="eastAsia"/>
          <w:sz w:val="24"/>
          <w:highlight w:val="none"/>
        </w:rPr>
        <w:t>（不限小时）</w:t>
      </w:r>
    </w:p>
    <w:p>
      <w:pPr>
        <w:snapToGrid w:val="0"/>
        <w:spacing w:line="480" w:lineRule="exact"/>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就采购人及采购人所属各企业与第三方在经济交往中的谈判、签约等商业行为提供法律方面的咨询意见（包括到采购人现场服务，不限</w:t>
      </w:r>
      <w:r>
        <w:rPr>
          <w:rFonts w:hint="eastAsia"/>
          <w:sz w:val="24"/>
          <w:highlight w:val="none"/>
          <w:lang w:val="en-US" w:eastAsia="zh-CN"/>
        </w:rPr>
        <w:t>时长</w:t>
      </w:r>
      <w:r>
        <w:rPr>
          <w:rFonts w:hint="eastAsia"/>
          <w:sz w:val="24"/>
          <w:highlight w:val="none"/>
        </w:rPr>
        <w:t>），包括：</w:t>
      </w:r>
    </w:p>
    <w:p>
      <w:pPr>
        <w:snapToGrid w:val="0"/>
        <w:spacing w:line="480" w:lineRule="exact"/>
        <w:ind w:firstLine="480" w:firstLineChars="200"/>
        <w:rPr>
          <w:rFonts w:hint="eastAsia"/>
          <w:sz w:val="24"/>
          <w:highlight w:val="none"/>
        </w:rPr>
      </w:pPr>
      <w:r>
        <w:rPr>
          <w:rFonts w:hint="eastAsia"/>
          <w:sz w:val="24"/>
          <w:highlight w:val="none"/>
        </w:rPr>
        <w:t>（1）为重大经营决策提供法律和政策依据；</w:t>
      </w:r>
    </w:p>
    <w:p>
      <w:pPr>
        <w:snapToGrid w:val="0"/>
        <w:spacing w:line="480" w:lineRule="exact"/>
        <w:ind w:firstLine="480" w:firstLineChars="200"/>
        <w:rPr>
          <w:rFonts w:hint="eastAsia"/>
          <w:sz w:val="24"/>
          <w:highlight w:val="none"/>
        </w:rPr>
      </w:pPr>
      <w:r>
        <w:rPr>
          <w:rFonts w:hint="eastAsia"/>
          <w:sz w:val="24"/>
          <w:highlight w:val="none"/>
        </w:rPr>
        <w:t>（2）为各项业务提供国内外法律咨询服务；</w:t>
      </w:r>
    </w:p>
    <w:p>
      <w:pPr>
        <w:snapToGrid w:val="0"/>
        <w:spacing w:line="480" w:lineRule="exact"/>
        <w:ind w:firstLine="480" w:firstLineChars="200"/>
        <w:rPr>
          <w:rFonts w:hint="eastAsia"/>
          <w:sz w:val="24"/>
          <w:highlight w:val="none"/>
        </w:rPr>
      </w:pPr>
      <w:r>
        <w:rPr>
          <w:rFonts w:hint="eastAsia"/>
          <w:sz w:val="24"/>
          <w:highlight w:val="none"/>
        </w:rPr>
        <w:t>（3）对采购人及采购人所属各企业发生的各类经济纠纷、劳动争议进行法律论证，提出解决方案，出具律师函，发表律师意见；</w:t>
      </w:r>
    </w:p>
    <w:p>
      <w:pPr>
        <w:snapToGrid w:val="0"/>
        <w:spacing w:line="480" w:lineRule="exact"/>
        <w:ind w:firstLine="480" w:firstLineChars="200"/>
        <w:rPr>
          <w:rFonts w:hint="eastAsia"/>
          <w:sz w:val="24"/>
          <w:highlight w:val="none"/>
        </w:rPr>
      </w:pPr>
      <w:r>
        <w:rPr>
          <w:rFonts w:hint="eastAsia"/>
          <w:sz w:val="24"/>
          <w:highlight w:val="none"/>
        </w:rPr>
        <w:t>（4）处理采购人交办的</w:t>
      </w:r>
      <w:r>
        <w:rPr>
          <w:rFonts w:hint="eastAsia"/>
          <w:sz w:val="24"/>
          <w:highlight w:val="none"/>
          <w:lang w:eastAsia="zh-CN"/>
        </w:rPr>
        <w:t>其他</w:t>
      </w:r>
      <w:r>
        <w:rPr>
          <w:rFonts w:hint="eastAsia"/>
          <w:sz w:val="24"/>
          <w:highlight w:val="none"/>
        </w:rPr>
        <w:t>法律事务，为采购人提供必要的法律帮助，维护采购人的合法权益。</w:t>
      </w:r>
    </w:p>
    <w:p>
      <w:pPr>
        <w:snapToGrid w:val="0"/>
        <w:spacing w:line="480" w:lineRule="exact"/>
        <w:ind w:firstLine="480" w:firstLineChars="200"/>
        <w:rPr>
          <w:rFonts w:hint="eastAsia"/>
          <w:sz w:val="24"/>
          <w:highlight w:val="none"/>
        </w:rPr>
      </w:pPr>
      <w:r>
        <w:rPr>
          <w:rFonts w:hint="eastAsia"/>
          <w:sz w:val="24"/>
          <w:highlight w:val="none"/>
          <w:lang w:eastAsia="zh-CN"/>
        </w:rPr>
        <w:t>2</w:t>
      </w:r>
      <w:r>
        <w:rPr>
          <w:rFonts w:hint="eastAsia"/>
          <w:sz w:val="24"/>
          <w:highlight w:val="none"/>
        </w:rPr>
        <w:t>．报价人为采购人及所属企业提供重要谈判、重大合同签约的现场服务（不限次数）；</w:t>
      </w:r>
    </w:p>
    <w:p>
      <w:pPr>
        <w:snapToGrid w:val="0"/>
        <w:spacing w:line="480" w:lineRule="exact"/>
        <w:ind w:firstLine="480" w:firstLineChars="200"/>
        <w:rPr>
          <w:highlight w:val="none"/>
        </w:rPr>
      </w:pPr>
      <w:r>
        <w:rPr>
          <w:rFonts w:hint="eastAsia"/>
          <w:sz w:val="24"/>
          <w:highlight w:val="none"/>
          <w:lang w:val="en-US" w:eastAsia="zh-CN"/>
        </w:rPr>
        <w:t>3</w:t>
      </w:r>
      <w:r>
        <w:rPr>
          <w:rFonts w:hint="eastAsia"/>
          <w:sz w:val="24"/>
          <w:highlight w:val="none"/>
        </w:rPr>
        <w:t xml:space="preserve"> 采购人及所属企业由于发生投资项目、融资项目、并购项目、公司重组或者仲裁、诉讼等事项需报价人提供的专项法律服务。</w:t>
      </w:r>
    </w:p>
    <w:p>
      <w:pPr>
        <w:snapToGrid w:val="0"/>
        <w:spacing w:line="480" w:lineRule="exact"/>
        <w:rPr>
          <w:sz w:val="24"/>
          <w:highlight w:val="none"/>
        </w:rPr>
      </w:pPr>
      <w:r>
        <w:rPr>
          <w:sz w:val="24"/>
          <w:highlight w:val="none"/>
        </w:rPr>
        <w:t>（</w:t>
      </w:r>
      <w:r>
        <w:rPr>
          <w:rFonts w:hint="eastAsia"/>
          <w:sz w:val="24"/>
          <w:highlight w:val="none"/>
          <w:lang w:val="en-US" w:eastAsia="zh-CN"/>
        </w:rPr>
        <w:t>四</w:t>
      </w:r>
      <w:r>
        <w:rPr>
          <w:sz w:val="24"/>
          <w:highlight w:val="none"/>
        </w:rPr>
        <w:t>）法律培训</w:t>
      </w:r>
    </w:p>
    <w:p>
      <w:pPr>
        <w:snapToGrid w:val="0"/>
        <w:spacing w:line="480" w:lineRule="exact"/>
        <w:ind w:firstLine="480" w:firstLineChars="200"/>
        <w:rPr>
          <w:sz w:val="24"/>
          <w:highlight w:val="none"/>
        </w:rPr>
      </w:pPr>
      <w:r>
        <w:rPr>
          <w:sz w:val="24"/>
          <w:highlight w:val="none"/>
        </w:rPr>
        <w:t>根据公司实际侧重方向，讲授相应的法律知识，为职工提供法制宣传、教育、培训，</w:t>
      </w:r>
      <w:r>
        <w:rPr>
          <w:rFonts w:hint="eastAsia"/>
          <w:sz w:val="24"/>
          <w:highlight w:val="none"/>
          <w:lang w:val="en-US" w:eastAsia="zh-CN"/>
        </w:rPr>
        <w:t>服务期内</w:t>
      </w:r>
      <w:r>
        <w:rPr>
          <w:rFonts w:hint="eastAsia"/>
          <w:sz w:val="24"/>
          <w:highlight w:val="none"/>
        </w:rPr>
        <w:t>不少于</w:t>
      </w:r>
      <w:r>
        <w:rPr>
          <w:rFonts w:hint="eastAsia"/>
          <w:sz w:val="24"/>
          <w:highlight w:val="none"/>
          <w:lang w:val="en-US" w:eastAsia="zh-CN"/>
        </w:rPr>
        <w:t>6</w:t>
      </w:r>
      <w:r>
        <w:rPr>
          <w:rFonts w:hint="eastAsia"/>
          <w:sz w:val="24"/>
          <w:highlight w:val="none"/>
        </w:rPr>
        <w:t>次</w:t>
      </w:r>
      <w:r>
        <w:rPr>
          <w:sz w:val="24"/>
          <w:highlight w:val="none"/>
        </w:rPr>
        <w:t>（</w:t>
      </w:r>
      <w:r>
        <w:rPr>
          <w:rFonts w:hint="eastAsia"/>
          <w:sz w:val="24"/>
          <w:highlight w:val="none"/>
        </w:rPr>
        <w:t>每次不低于2小时讲授时间</w:t>
      </w:r>
      <w:r>
        <w:rPr>
          <w:sz w:val="24"/>
          <w:highlight w:val="none"/>
        </w:rPr>
        <w:t>）。</w:t>
      </w:r>
    </w:p>
    <w:p>
      <w:pPr>
        <w:snapToGrid w:val="0"/>
        <w:spacing w:line="480" w:lineRule="exact"/>
        <w:rPr>
          <w:sz w:val="24"/>
          <w:highlight w:val="none"/>
        </w:rPr>
      </w:pPr>
      <w:r>
        <w:rPr>
          <w:sz w:val="24"/>
          <w:highlight w:val="none"/>
        </w:rPr>
        <w:t>（</w:t>
      </w:r>
      <w:r>
        <w:rPr>
          <w:rFonts w:hint="eastAsia"/>
          <w:sz w:val="24"/>
          <w:highlight w:val="none"/>
          <w:lang w:val="en-US" w:eastAsia="zh-CN"/>
        </w:rPr>
        <w:t>五</w:t>
      </w:r>
      <w:r>
        <w:rPr>
          <w:sz w:val="24"/>
          <w:highlight w:val="none"/>
        </w:rPr>
        <w:t>）法律纠纷</w:t>
      </w:r>
    </w:p>
    <w:p>
      <w:pPr>
        <w:snapToGrid w:val="0"/>
        <w:spacing w:line="480" w:lineRule="exact"/>
        <w:ind w:firstLine="480" w:firstLineChars="200"/>
        <w:rPr>
          <w:rFonts w:hint="eastAsia" w:eastAsia="宋体"/>
          <w:sz w:val="24"/>
          <w:highlight w:val="none"/>
          <w:lang w:eastAsia="zh-CN"/>
        </w:rPr>
      </w:pPr>
      <w:r>
        <w:rPr>
          <w:sz w:val="24"/>
          <w:highlight w:val="none"/>
        </w:rPr>
        <w:t>1.参加公司涉及经济、民事、知识产权、劳动、行政、刑事等诉讼、非诉、调解、仲裁活动</w:t>
      </w:r>
      <w:r>
        <w:rPr>
          <w:rFonts w:hint="eastAsia"/>
          <w:sz w:val="24"/>
          <w:highlight w:val="none"/>
        </w:rPr>
        <w:t>的前期咨询、准备</w:t>
      </w:r>
      <w:r>
        <w:rPr>
          <w:rFonts w:hint="eastAsia"/>
          <w:sz w:val="24"/>
          <w:highlight w:val="none"/>
          <w:lang w:eastAsia="zh-CN"/>
        </w:rPr>
        <w:t>（</w:t>
      </w:r>
      <w:r>
        <w:rPr>
          <w:rFonts w:hint="eastAsia"/>
          <w:sz w:val="24"/>
          <w:highlight w:val="none"/>
          <w:lang w:val="en-US" w:eastAsia="zh-CN"/>
        </w:rPr>
        <w:t>不限次数</w:t>
      </w:r>
      <w:r>
        <w:rPr>
          <w:rFonts w:hint="eastAsia"/>
          <w:sz w:val="24"/>
          <w:highlight w:val="none"/>
          <w:lang w:eastAsia="zh-CN"/>
        </w:rPr>
        <w:t>）</w:t>
      </w:r>
      <w:r>
        <w:rPr>
          <w:rFonts w:hint="eastAsia"/>
          <w:sz w:val="24"/>
          <w:highlight w:val="none"/>
        </w:rPr>
        <w:t>；为法律纠纷中期后期提供法律咨询，包括诉讼仲裁法律文书的草拟、提供、修改和审核服务等；若涉及专项服务，按专项服务进行</w:t>
      </w:r>
      <w:r>
        <w:rPr>
          <w:rFonts w:hint="eastAsia"/>
          <w:sz w:val="24"/>
          <w:highlight w:val="none"/>
          <w:lang w:eastAsia="zh-CN"/>
        </w:rPr>
        <w:t>。</w:t>
      </w:r>
    </w:p>
    <w:p>
      <w:pPr>
        <w:snapToGrid w:val="0"/>
        <w:spacing w:line="480" w:lineRule="exact"/>
        <w:rPr>
          <w:b/>
          <w:bCs/>
          <w:color w:val="auto"/>
          <w:sz w:val="24"/>
          <w:highlight w:val="none"/>
        </w:rPr>
      </w:pPr>
      <w:r>
        <w:rPr>
          <w:sz w:val="24"/>
          <w:highlight w:val="none"/>
        </w:rPr>
        <w:t>2.经公司授权，签署、送达或接收法律文书</w:t>
      </w:r>
      <w:r>
        <w:rPr>
          <w:rFonts w:hint="eastAsia"/>
          <w:sz w:val="24"/>
          <w:highlight w:val="none"/>
        </w:rPr>
        <w:t>和律师函</w:t>
      </w:r>
      <w:r>
        <w:rPr>
          <w:sz w:val="24"/>
          <w:highlight w:val="none"/>
        </w:rPr>
        <w:t>。</w:t>
      </w:r>
    </w:p>
    <w:p>
      <w:pPr>
        <w:tabs>
          <w:tab w:val="left" w:pos="960"/>
          <w:tab w:val="left" w:pos="1080"/>
        </w:tabs>
        <w:spacing w:line="360" w:lineRule="auto"/>
        <w:ind w:firstLine="482" w:firstLineChars="200"/>
        <w:rPr>
          <w:b/>
          <w:bCs/>
          <w:color w:val="auto"/>
          <w:sz w:val="24"/>
          <w:highlight w:val="none"/>
        </w:rPr>
      </w:pPr>
      <w:r>
        <w:rPr>
          <w:b/>
          <w:bCs/>
          <w:color w:val="auto"/>
          <w:sz w:val="24"/>
          <w:highlight w:val="none"/>
        </w:rPr>
        <w:t>三、乙方的职责</w:t>
      </w:r>
    </w:p>
    <w:p>
      <w:pPr>
        <w:tabs>
          <w:tab w:val="left" w:pos="1080"/>
          <w:tab w:val="left" w:pos="1440"/>
        </w:tabs>
        <w:spacing w:line="360" w:lineRule="auto"/>
        <w:ind w:firstLine="480" w:firstLineChars="200"/>
        <w:rPr>
          <w:color w:val="auto"/>
          <w:sz w:val="24"/>
          <w:highlight w:val="none"/>
        </w:rPr>
      </w:pPr>
      <w:r>
        <w:rPr>
          <w:color w:val="auto"/>
          <w:sz w:val="24"/>
          <w:highlight w:val="none"/>
        </w:rPr>
        <w:t>1.乙方委派</w:t>
      </w:r>
      <w:r>
        <w:rPr>
          <w:rFonts w:hint="eastAsia"/>
          <w:color w:val="auto"/>
          <w:sz w:val="24"/>
          <w:highlight w:val="none"/>
          <w:u w:val="single"/>
          <w:lang w:val="en-US" w:eastAsia="zh-CN"/>
        </w:rPr>
        <w:t xml:space="preserve">     </w:t>
      </w:r>
      <w:r>
        <w:rPr>
          <w:color w:val="auto"/>
          <w:sz w:val="24"/>
          <w:highlight w:val="none"/>
        </w:rPr>
        <w:t>律师</w:t>
      </w:r>
      <w:r>
        <w:rPr>
          <w:rFonts w:hint="eastAsia"/>
          <w:color w:val="auto"/>
          <w:sz w:val="24"/>
          <w:highlight w:val="none"/>
        </w:rPr>
        <w:t>作为负责人组建律师团队</w:t>
      </w:r>
      <w:r>
        <w:rPr>
          <w:color w:val="auto"/>
          <w:sz w:val="24"/>
          <w:highlight w:val="none"/>
        </w:rPr>
        <w:t>作为甲方的法律顾问，甲方同意上述律师可以指派其他律师配合完成前述法律事务工作，但乙方更换律师</w:t>
      </w:r>
      <w:r>
        <w:rPr>
          <w:rFonts w:hint="eastAsia"/>
          <w:color w:val="auto"/>
          <w:sz w:val="24"/>
          <w:highlight w:val="none"/>
        </w:rPr>
        <w:t>团队负责人</w:t>
      </w:r>
      <w:r>
        <w:rPr>
          <w:color w:val="auto"/>
          <w:sz w:val="24"/>
          <w:highlight w:val="none"/>
        </w:rPr>
        <w:t>应取得甲方认可。乙方委派</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color w:val="auto"/>
          <w:sz w:val="24"/>
          <w:highlight w:val="none"/>
        </w:rPr>
        <w:t>律师为法律顾问的乙方联系人。</w:t>
      </w:r>
    </w:p>
    <w:p>
      <w:pPr>
        <w:tabs>
          <w:tab w:val="left" w:pos="1080"/>
          <w:tab w:val="left" w:pos="1440"/>
        </w:tabs>
        <w:spacing w:line="360" w:lineRule="auto"/>
        <w:ind w:firstLine="480" w:firstLineChars="200"/>
        <w:rPr>
          <w:color w:val="auto"/>
          <w:sz w:val="24"/>
          <w:highlight w:val="none"/>
        </w:rPr>
      </w:pPr>
      <w:r>
        <w:rPr>
          <w:color w:val="auto"/>
          <w:sz w:val="24"/>
          <w:highlight w:val="none"/>
        </w:rPr>
        <w:t>2.乙方律师应勤勉、尽责地完成本协议第二条所列各项法律工作，按照甲、乙双方事前约定的时间、地点进行工作，及时受理甲方委托的各项工作。</w:t>
      </w:r>
    </w:p>
    <w:p>
      <w:pPr>
        <w:snapToGrid w:val="0"/>
        <w:spacing w:line="480" w:lineRule="exact"/>
        <w:ind w:firstLine="480" w:firstLineChars="200"/>
        <w:rPr>
          <w:color w:val="auto"/>
          <w:sz w:val="24"/>
          <w:highlight w:val="none"/>
        </w:rPr>
      </w:pPr>
      <w:r>
        <w:rPr>
          <w:color w:val="auto"/>
          <w:sz w:val="24"/>
          <w:highlight w:val="none"/>
        </w:rPr>
        <w:t>3.乙方律师应在取得甲方提供的文件资料后，按时完成甲方委托的事项，根据甲方的要求通报工作进程。</w:t>
      </w:r>
    </w:p>
    <w:p>
      <w:pPr>
        <w:snapToGrid w:val="0"/>
        <w:spacing w:line="480" w:lineRule="exact"/>
        <w:ind w:firstLine="480" w:firstLineChars="200"/>
        <w:rPr>
          <w:color w:val="auto"/>
          <w:sz w:val="24"/>
          <w:highlight w:val="none"/>
        </w:rPr>
      </w:pPr>
      <w:r>
        <w:rPr>
          <w:color w:val="auto"/>
          <w:sz w:val="24"/>
          <w:highlight w:val="none"/>
        </w:rPr>
        <w:t>4.如发生第二条</w:t>
      </w:r>
      <w:r>
        <w:rPr>
          <w:rFonts w:hint="eastAsia"/>
          <w:color w:val="auto"/>
          <w:sz w:val="24"/>
          <w:highlight w:val="none"/>
          <w:lang w:eastAsia="zh-CN"/>
        </w:rPr>
        <w:t>（</w:t>
      </w:r>
      <w:r>
        <w:rPr>
          <w:rFonts w:hint="eastAsia"/>
          <w:color w:val="auto"/>
          <w:sz w:val="24"/>
          <w:highlight w:val="none"/>
          <w:lang w:val="en-US" w:eastAsia="zh-CN"/>
        </w:rPr>
        <w:t>一</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lang w:val="en-US" w:eastAsia="zh-CN"/>
        </w:rPr>
        <w:t>五</w:t>
      </w:r>
      <w:r>
        <w:rPr>
          <w:rFonts w:hint="eastAsia"/>
          <w:color w:val="auto"/>
          <w:sz w:val="24"/>
          <w:highlight w:val="none"/>
          <w:lang w:eastAsia="zh-CN"/>
        </w:rPr>
        <w:t>）</w:t>
      </w:r>
      <w:r>
        <w:rPr>
          <w:color w:val="auto"/>
          <w:sz w:val="24"/>
          <w:highlight w:val="none"/>
        </w:rPr>
        <w:t>项法律服务，乙方</w:t>
      </w:r>
      <w:r>
        <w:rPr>
          <w:rFonts w:hint="eastAsia"/>
          <w:color w:val="auto"/>
          <w:sz w:val="24"/>
          <w:highlight w:val="none"/>
        </w:rPr>
        <w:t>原则上</w:t>
      </w:r>
      <w:r>
        <w:rPr>
          <w:color w:val="auto"/>
          <w:sz w:val="24"/>
          <w:highlight w:val="none"/>
        </w:rPr>
        <w:t>应在</w:t>
      </w:r>
      <w:r>
        <w:rPr>
          <w:rFonts w:hint="eastAsia"/>
          <w:color w:val="auto"/>
          <w:sz w:val="24"/>
          <w:highlight w:val="none"/>
        </w:rPr>
        <w:t>48</w:t>
      </w:r>
      <w:r>
        <w:rPr>
          <w:color w:val="auto"/>
          <w:sz w:val="24"/>
          <w:highlight w:val="none"/>
        </w:rPr>
        <w:t>小时内处理完成；如发生第二条</w:t>
      </w:r>
      <w:r>
        <w:rPr>
          <w:rFonts w:hint="eastAsia"/>
          <w:color w:val="auto"/>
          <w:sz w:val="24"/>
          <w:highlight w:val="none"/>
          <w:lang w:eastAsia="zh-CN"/>
        </w:rPr>
        <w:t>（</w:t>
      </w:r>
      <w:r>
        <w:rPr>
          <w:rFonts w:hint="eastAsia"/>
          <w:color w:val="auto"/>
          <w:sz w:val="24"/>
          <w:highlight w:val="none"/>
          <w:lang w:val="en-US" w:eastAsia="zh-CN"/>
        </w:rPr>
        <w:t>二</w:t>
      </w:r>
      <w:r>
        <w:rPr>
          <w:rFonts w:hint="eastAsia"/>
          <w:color w:val="auto"/>
          <w:sz w:val="24"/>
          <w:highlight w:val="none"/>
          <w:lang w:eastAsia="zh-CN"/>
        </w:rPr>
        <w:t>）、（</w:t>
      </w:r>
      <w:r>
        <w:rPr>
          <w:rFonts w:hint="eastAsia"/>
          <w:color w:val="auto"/>
          <w:sz w:val="24"/>
          <w:highlight w:val="none"/>
          <w:lang w:val="en-US" w:eastAsia="zh-CN"/>
        </w:rPr>
        <w:t>三</w:t>
      </w:r>
      <w:r>
        <w:rPr>
          <w:rFonts w:hint="eastAsia"/>
          <w:color w:val="auto"/>
          <w:sz w:val="24"/>
          <w:highlight w:val="none"/>
          <w:lang w:eastAsia="zh-CN"/>
        </w:rPr>
        <w:t>）</w:t>
      </w:r>
      <w:r>
        <w:rPr>
          <w:color w:val="auto"/>
          <w:sz w:val="24"/>
          <w:highlight w:val="none"/>
        </w:rPr>
        <w:t>项法律服务，乙方</w:t>
      </w:r>
      <w:r>
        <w:rPr>
          <w:rFonts w:hint="eastAsia"/>
          <w:color w:val="auto"/>
          <w:sz w:val="24"/>
          <w:highlight w:val="none"/>
        </w:rPr>
        <w:t>原则上</w:t>
      </w:r>
      <w:r>
        <w:rPr>
          <w:color w:val="auto"/>
          <w:sz w:val="24"/>
          <w:highlight w:val="none"/>
        </w:rPr>
        <w:t>应在</w:t>
      </w:r>
      <w:r>
        <w:rPr>
          <w:rFonts w:hint="eastAsia"/>
          <w:color w:val="auto"/>
          <w:sz w:val="24"/>
          <w:highlight w:val="none"/>
        </w:rPr>
        <w:t>24</w:t>
      </w:r>
      <w:r>
        <w:rPr>
          <w:color w:val="auto"/>
          <w:sz w:val="24"/>
          <w:highlight w:val="none"/>
        </w:rPr>
        <w:t>小时内处理完成；如甲方遇</w:t>
      </w:r>
      <w:r>
        <w:rPr>
          <w:rFonts w:hint="eastAsia"/>
          <w:color w:val="auto"/>
          <w:sz w:val="24"/>
          <w:highlight w:val="none"/>
        </w:rPr>
        <w:t>重大</w:t>
      </w:r>
      <w:r>
        <w:rPr>
          <w:color w:val="auto"/>
          <w:sz w:val="24"/>
          <w:highlight w:val="none"/>
        </w:rPr>
        <w:t>紧急法律咨询事项，乙方应在甲方要求下及时到甲方办公住所进行工作</w:t>
      </w:r>
      <w:r>
        <w:rPr>
          <w:rFonts w:hint="eastAsia"/>
          <w:color w:val="auto"/>
          <w:sz w:val="24"/>
          <w:highlight w:val="none"/>
        </w:rPr>
        <w:t>；如遇特殊情况，甲、乙双方应提前协商工作完成时限。</w:t>
      </w:r>
    </w:p>
    <w:p>
      <w:pPr>
        <w:tabs>
          <w:tab w:val="left" w:pos="1080"/>
          <w:tab w:val="left" w:pos="1440"/>
        </w:tabs>
        <w:spacing w:line="360" w:lineRule="auto"/>
        <w:ind w:firstLine="480" w:firstLineChars="200"/>
        <w:rPr>
          <w:color w:val="auto"/>
          <w:sz w:val="24"/>
          <w:highlight w:val="none"/>
        </w:rPr>
      </w:pPr>
      <w:r>
        <w:rPr>
          <w:color w:val="auto"/>
          <w:sz w:val="24"/>
          <w:highlight w:val="none"/>
        </w:rPr>
        <w:t>5.在本协议有效期内，乙方律师在涉及甲方的对抗性案件或者交易活动中，未经甲方同意，将不担任与甲方具有法律上利益冲突的另一方的法律顾问或代理人。</w:t>
      </w:r>
    </w:p>
    <w:p>
      <w:pPr>
        <w:tabs>
          <w:tab w:val="left" w:pos="1080"/>
          <w:tab w:val="left" w:pos="1440"/>
        </w:tabs>
        <w:spacing w:line="360" w:lineRule="auto"/>
        <w:ind w:firstLine="480" w:firstLineChars="200"/>
        <w:rPr>
          <w:color w:val="auto"/>
          <w:sz w:val="24"/>
          <w:highlight w:val="none"/>
        </w:rPr>
      </w:pPr>
      <w:r>
        <w:rPr>
          <w:color w:val="auto"/>
          <w:sz w:val="24"/>
          <w:highlight w:val="none"/>
        </w:rPr>
        <w:t>6.乙方律师对其获知的甲方商业秘密负有保密责任，非由法律规定或甲方同意，不得向任何第三方披露。</w:t>
      </w:r>
    </w:p>
    <w:p>
      <w:pPr>
        <w:tabs>
          <w:tab w:val="left" w:pos="1080"/>
          <w:tab w:val="left" w:pos="1440"/>
        </w:tabs>
        <w:spacing w:line="360" w:lineRule="auto"/>
        <w:ind w:firstLine="480" w:firstLineChars="200"/>
        <w:rPr>
          <w:color w:val="auto"/>
          <w:sz w:val="24"/>
          <w:highlight w:val="none"/>
        </w:rPr>
      </w:pPr>
      <w:r>
        <w:rPr>
          <w:color w:val="auto"/>
          <w:sz w:val="24"/>
          <w:highlight w:val="none"/>
        </w:rPr>
        <w:t>7.乙方对所承办的甲方委托的业务应建立档案，并保存完整的工作记录，对涉及甲方的原始证据、法律文件应妥善保管。</w:t>
      </w:r>
    </w:p>
    <w:p>
      <w:pPr>
        <w:pStyle w:val="8"/>
        <w:rPr>
          <w:rFonts w:hint="eastAsia"/>
          <w:color w:val="auto"/>
          <w:sz w:val="24"/>
          <w:highlight w:val="none"/>
          <w:lang w:eastAsia="zh-CN"/>
        </w:rPr>
      </w:pPr>
      <w:r>
        <w:rPr>
          <w:rFonts w:hint="eastAsia"/>
          <w:color w:val="auto"/>
          <w:sz w:val="24"/>
          <w:highlight w:val="none"/>
          <w:lang w:val="en-US" w:eastAsia="zh-CN"/>
        </w:rPr>
        <w:t>8</w:t>
      </w:r>
      <w:r>
        <w:rPr>
          <w:color w:val="auto"/>
          <w:sz w:val="24"/>
          <w:highlight w:val="none"/>
        </w:rPr>
        <w:t>.乙方律师应当按照甲、乙双方事前约定的时间、地点进行工作，及时受理甲方委托的各项工作</w:t>
      </w:r>
      <w:r>
        <w:rPr>
          <w:rFonts w:hint="eastAsia"/>
          <w:color w:val="auto"/>
          <w:sz w:val="24"/>
          <w:highlight w:val="none"/>
          <w:lang w:eastAsia="zh-CN"/>
        </w:rPr>
        <w:t>。</w:t>
      </w:r>
    </w:p>
    <w:p>
      <w:pPr>
        <w:numPr>
          <w:ilvl w:val="-1"/>
          <w:numId w:val="0"/>
        </w:numPr>
        <w:spacing w:before="120" w:after="72" w:line="520" w:lineRule="exact"/>
        <w:ind w:left="0" w:leftChars="0" w:firstLine="480"/>
        <w:rPr>
          <w:rFonts w:ascii="Times New Roman" w:hAnsi="Times New Roman"/>
          <w:sz w:val="24"/>
          <w:szCs w:val="24"/>
          <w:highlight w:val="none"/>
        </w:rPr>
      </w:pPr>
      <w:r>
        <w:rPr>
          <w:rFonts w:hint="eastAsia" w:ascii="Times New Roman" w:hAnsi="Times New Roman"/>
          <w:sz w:val="24"/>
          <w:szCs w:val="24"/>
          <w:highlight w:val="none"/>
          <w:lang w:val="en-US" w:eastAsia="zh-CN"/>
        </w:rPr>
        <w:t>9.</w:t>
      </w:r>
      <w:r>
        <w:rPr>
          <w:rFonts w:ascii="Times New Roman" w:hAnsi="Times New Roman"/>
          <w:sz w:val="24"/>
          <w:szCs w:val="24"/>
          <w:highlight w:val="none"/>
        </w:rPr>
        <w:t>利用业务团队的专业知识，定期或不定期向</w:t>
      </w:r>
      <w:r>
        <w:rPr>
          <w:rFonts w:hint="eastAsia" w:ascii="Times New Roman" w:hAnsi="Times New Roman"/>
          <w:sz w:val="24"/>
          <w:szCs w:val="24"/>
          <w:highlight w:val="none"/>
        </w:rPr>
        <w:t>甲方</w:t>
      </w:r>
      <w:r>
        <w:rPr>
          <w:rFonts w:ascii="Times New Roman" w:hAnsi="Times New Roman"/>
          <w:sz w:val="24"/>
          <w:szCs w:val="24"/>
          <w:highlight w:val="none"/>
        </w:rPr>
        <w:t>提供</w:t>
      </w:r>
      <w:r>
        <w:rPr>
          <w:rFonts w:hint="eastAsia" w:ascii="Times New Roman" w:hAnsi="Times New Roman"/>
          <w:sz w:val="24"/>
          <w:szCs w:val="24"/>
          <w:highlight w:val="none"/>
          <w:lang w:val="en-US" w:eastAsia="zh-CN"/>
        </w:rPr>
        <w:t>采购管理、立法司法实践方面</w:t>
      </w:r>
      <w:r>
        <w:rPr>
          <w:rFonts w:ascii="Times New Roman" w:hAnsi="Times New Roman"/>
          <w:sz w:val="24"/>
          <w:szCs w:val="24"/>
          <w:highlight w:val="none"/>
        </w:rPr>
        <w:t>的法规、政策方面的信息及资料；</w:t>
      </w:r>
    </w:p>
    <w:p>
      <w:pPr>
        <w:numPr>
          <w:ilvl w:val="0"/>
          <w:numId w:val="0"/>
        </w:numPr>
        <w:tabs>
          <w:tab w:val="left" w:pos="2160"/>
        </w:tabs>
        <w:spacing w:before="120" w:after="72" w:line="520" w:lineRule="exact"/>
        <w:ind w:leftChars="200" w:firstLine="0" w:firstLineChars="0"/>
        <w:rPr>
          <w:rFonts w:hint="eastAsia"/>
          <w:highlight w:val="none"/>
          <w:lang w:eastAsia="zh-CN"/>
        </w:rPr>
      </w:pPr>
      <w:r>
        <w:rPr>
          <w:rFonts w:hint="eastAsia" w:ascii="Times New Roman" w:hAnsi="Times New Roman"/>
          <w:sz w:val="24"/>
          <w:szCs w:val="24"/>
          <w:highlight w:val="none"/>
          <w:lang w:val="en-US" w:eastAsia="zh-CN"/>
        </w:rPr>
        <w:t>10.</w:t>
      </w:r>
      <w:r>
        <w:rPr>
          <w:rFonts w:ascii="Times New Roman" w:hAnsi="Times New Roman"/>
          <w:sz w:val="24"/>
          <w:szCs w:val="24"/>
          <w:highlight w:val="none"/>
        </w:rPr>
        <w:t>能根据</w:t>
      </w:r>
      <w:r>
        <w:rPr>
          <w:rFonts w:hint="eastAsia" w:ascii="Times New Roman" w:hAnsi="Times New Roman"/>
          <w:sz w:val="24"/>
          <w:szCs w:val="24"/>
          <w:highlight w:val="none"/>
        </w:rPr>
        <w:t>甲方</w:t>
      </w:r>
      <w:r>
        <w:rPr>
          <w:rFonts w:ascii="Times New Roman" w:hAnsi="Times New Roman"/>
          <w:sz w:val="24"/>
          <w:szCs w:val="24"/>
          <w:highlight w:val="none"/>
        </w:rPr>
        <w:t>要求或随时指示处理其他杂项事务。</w:t>
      </w:r>
    </w:p>
    <w:p>
      <w:pPr>
        <w:tabs>
          <w:tab w:val="left" w:pos="960"/>
          <w:tab w:val="left" w:pos="1080"/>
        </w:tabs>
        <w:spacing w:line="360" w:lineRule="auto"/>
        <w:ind w:firstLine="482" w:firstLineChars="200"/>
        <w:rPr>
          <w:b/>
          <w:bCs/>
          <w:color w:val="auto"/>
          <w:sz w:val="24"/>
          <w:highlight w:val="none"/>
        </w:rPr>
      </w:pPr>
    </w:p>
    <w:p>
      <w:pPr>
        <w:tabs>
          <w:tab w:val="left" w:pos="960"/>
          <w:tab w:val="left" w:pos="1080"/>
        </w:tabs>
        <w:spacing w:line="360" w:lineRule="auto"/>
        <w:ind w:firstLine="482" w:firstLineChars="200"/>
        <w:rPr>
          <w:b/>
          <w:bCs/>
          <w:color w:val="auto"/>
          <w:sz w:val="24"/>
          <w:highlight w:val="none"/>
        </w:rPr>
      </w:pPr>
      <w:r>
        <w:rPr>
          <w:b/>
          <w:bCs/>
          <w:color w:val="auto"/>
          <w:sz w:val="24"/>
          <w:highlight w:val="none"/>
        </w:rPr>
        <w:t>四、甲方的责任</w:t>
      </w:r>
    </w:p>
    <w:p>
      <w:pPr>
        <w:tabs>
          <w:tab w:val="left" w:pos="360"/>
          <w:tab w:val="left" w:pos="1080"/>
        </w:tabs>
        <w:spacing w:line="360" w:lineRule="auto"/>
        <w:ind w:firstLine="480" w:firstLineChars="200"/>
        <w:rPr>
          <w:color w:val="auto"/>
          <w:sz w:val="24"/>
          <w:highlight w:val="none"/>
        </w:rPr>
      </w:pPr>
      <w:r>
        <w:rPr>
          <w:color w:val="auto"/>
          <w:sz w:val="24"/>
          <w:highlight w:val="none"/>
        </w:rPr>
        <w:t>1.甲方应当全面、客观和及时地向乙方提供法律顾问服务过程中乙方所需的资料、文件及情况说明，如因甲方提供的资料不全面、不真实而导致产生对甲方不利的法律后果，乙方不承担任何责任。</w:t>
      </w:r>
    </w:p>
    <w:p>
      <w:pPr>
        <w:tabs>
          <w:tab w:val="left" w:pos="360"/>
          <w:tab w:val="left" w:pos="1080"/>
        </w:tabs>
        <w:spacing w:line="360" w:lineRule="auto"/>
        <w:ind w:firstLine="480" w:firstLineChars="200"/>
        <w:rPr>
          <w:color w:val="auto"/>
          <w:sz w:val="24"/>
          <w:highlight w:val="none"/>
        </w:rPr>
      </w:pPr>
      <w:r>
        <w:rPr>
          <w:color w:val="auto"/>
          <w:sz w:val="24"/>
          <w:highlight w:val="none"/>
        </w:rPr>
        <w:t>2.甲方应为乙方律师办理法律顾问事务提出明确、合理的要求。</w:t>
      </w:r>
    </w:p>
    <w:p>
      <w:pPr>
        <w:tabs>
          <w:tab w:val="left" w:pos="360"/>
          <w:tab w:val="left" w:pos="1080"/>
        </w:tabs>
        <w:spacing w:line="360" w:lineRule="auto"/>
        <w:ind w:firstLine="480" w:firstLineChars="200"/>
        <w:rPr>
          <w:color w:val="auto"/>
          <w:sz w:val="24"/>
          <w:highlight w:val="none"/>
        </w:rPr>
      </w:pPr>
      <w:r>
        <w:rPr>
          <w:color w:val="auto"/>
          <w:sz w:val="24"/>
          <w:highlight w:val="none"/>
        </w:rPr>
        <w:t>3.甲方应指定一至二名甲方人员作为甲方与乙方的联络人，负责转达甲方的指示和要求，提供文件和资料等，甲方更换联系人应当及时通知乙方联络人，非甲方指定的联络人不得要求乙方律师办理任何法律顾问工作。</w:t>
      </w:r>
    </w:p>
    <w:p>
      <w:pPr>
        <w:tabs>
          <w:tab w:val="left" w:pos="360"/>
          <w:tab w:val="left" w:pos="1080"/>
        </w:tabs>
        <w:spacing w:line="360" w:lineRule="auto"/>
        <w:ind w:firstLine="480" w:firstLineChars="200"/>
        <w:rPr>
          <w:color w:val="auto"/>
          <w:sz w:val="24"/>
          <w:highlight w:val="none"/>
        </w:rPr>
      </w:pPr>
      <w:r>
        <w:rPr>
          <w:color w:val="auto"/>
          <w:sz w:val="24"/>
          <w:highlight w:val="none"/>
        </w:rPr>
        <w:t>4.甲方应为乙方律师的工作提供必要的办公及其</w:t>
      </w:r>
      <w:r>
        <w:rPr>
          <w:rFonts w:hint="eastAsia"/>
          <w:color w:val="auto"/>
          <w:sz w:val="24"/>
          <w:highlight w:val="none"/>
        </w:rPr>
        <w:t>他</w:t>
      </w:r>
      <w:r>
        <w:rPr>
          <w:color w:val="auto"/>
          <w:sz w:val="24"/>
          <w:highlight w:val="none"/>
        </w:rPr>
        <w:t>便利条件。</w:t>
      </w:r>
    </w:p>
    <w:p>
      <w:pPr>
        <w:tabs>
          <w:tab w:val="left" w:pos="360"/>
          <w:tab w:val="left" w:pos="1080"/>
        </w:tabs>
        <w:spacing w:line="360" w:lineRule="auto"/>
        <w:ind w:firstLine="480" w:firstLineChars="200"/>
        <w:rPr>
          <w:rFonts w:hint="eastAsia" w:eastAsia="宋体"/>
          <w:b/>
          <w:bCs/>
          <w:color w:val="auto"/>
          <w:sz w:val="24"/>
          <w:highlight w:val="none"/>
          <w:lang w:eastAsia="zh-CN"/>
        </w:rPr>
      </w:pPr>
      <w:r>
        <w:rPr>
          <w:rFonts w:hint="eastAsia"/>
          <w:color w:val="auto"/>
          <w:sz w:val="24"/>
          <w:szCs w:val="20"/>
          <w:highlight w:val="none"/>
          <w:lang w:val="en-US" w:eastAsia="zh-CN"/>
        </w:rPr>
        <w:t>5.</w:t>
      </w:r>
      <w:r>
        <w:rPr>
          <w:rFonts w:hint="default" w:eastAsia="宋体"/>
          <w:color w:val="auto"/>
          <w:sz w:val="24"/>
          <w:szCs w:val="20"/>
          <w:highlight w:val="none"/>
        </w:rPr>
        <w:t>由于乙方原因，乙方未按要求完成合同约定的服务内容或者服务内容验收不合格且经修改仍不合格的，甲方有权解除本合同；如已经交付的阶段性成果甲方继续使用，则尚未支付的费用不再支付</w:t>
      </w:r>
      <w:r>
        <w:rPr>
          <w:rFonts w:hint="default"/>
          <w:color w:val="auto"/>
          <w:sz w:val="24"/>
          <w:szCs w:val="20"/>
          <w:highlight w:val="none"/>
          <w:lang w:eastAsia="zh-CN"/>
        </w:rPr>
        <w:t>。</w:t>
      </w:r>
      <w:r>
        <w:rPr>
          <w:rFonts w:hint="default" w:eastAsia="宋体"/>
          <w:color w:val="auto"/>
          <w:sz w:val="24"/>
          <w:szCs w:val="20"/>
          <w:highlight w:val="none"/>
        </w:rPr>
        <w:t>如已经交付的阶段性成果甲方不再使用，乙方必须全额退回甲方已支付的费用</w:t>
      </w:r>
      <w:r>
        <w:rPr>
          <w:rFonts w:hint="eastAsia"/>
          <w:color w:val="auto"/>
          <w:sz w:val="24"/>
          <w:szCs w:val="20"/>
          <w:highlight w:val="none"/>
          <w:lang w:eastAsia="zh-CN"/>
        </w:rPr>
        <w:t>。</w:t>
      </w:r>
    </w:p>
    <w:p>
      <w:pPr>
        <w:tabs>
          <w:tab w:val="left" w:pos="960"/>
          <w:tab w:val="left" w:pos="1080"/>
        </w:tabs>
        <w:spacing w:line="360" w:lineRule="auto"/>
        <w:ind w:firstLine="482" w:firstLineChars="200"/>
        <w:rPr>
          <w:b/>
          <w:bCs/>
          <w:color w:val="auto"/>
          <w:sz w:val="24"/>
          <w:highlight w:val="none"/>
        </w:rPr>
      </w:pPr>
      <w:r>
        <w:rPr>
          <w:b/>
          <w:bCs/>
          <w:color w:val="auto"/>
          <w:sz w:val="24"/>
          <w:highlight w:val="none"/>
        </w:rPr>
        <w:t>五、法律顾问服务期限及费用</w:t>
      </w:r>
    </w:p>
    <w:p>
      <w:pPr>
        <w:tabs>
          <w:tab w:val="left" w:pos="360"/>
          <w:tab w:val="left" w:pos="1080"/>
        </w:tabs>
        <w:spacing w:line="360" w:lineRule="auto"/>
        <w:ind w:firstLine="480" w:firstLineChars="200"/>
        <w:rPr>
          <w:color w:val="auto"/>
          <w:sz w:val="24"/>
          <w:highlight w:val="none"/>
        </w:rPr>
      </w:pPr>
      <w:r>
        <w:rPr>
          <w:color w:val="auto"/>
          <w:sz w:val="24"/>
          <w:highlight w:val="none"/>
        </w:rPr>
        <w:t>1.法律顾问服务有效期为</w:t>
      </w:r>
      <w:r>
        <w:rPr>
          <w:color w:val="auto"/>
          <w:kern w:val="0"/>
          <w:sz w:val="24"/>
          <w:highlight w:val="none"/>
        </w:rPr>
        <w:t>自</w:t>
      </w:r>
      <w:r>
        <w:rPr>
          <w:rFonts w:hint="eastAsia"/>
          <w:color w:val="auto"/>
          <w:kern w:val="0"/>
          <w:sz w:val="24"/>
          <w:highlight w:val="none"/>
        </w:rPr>
        <w:t>合同签订之日起</w:t>
      </w:r>
      <w:r>
        <w:rPr>
          <w:rFonts w:hint="eastAsia"/>
          <w:color w:val="auto"/>
          <w:kern w:val="0"/>
          <w:sz w:val="24"/>
          <w:highlight w:val="none"/>
          <w:lang w:val="en-US" w:eastAsia="zh-CN"/>
        </w:rPr>
        <w:t>至18个月</w:t>
      </w:r>
      <w:r>
        <w:rPr>
          <w:color w:val="auto"/>
          <w:sz w:val="24"/>
          <w:highlight w:val="none"/>
        </w:rPr>
        <w:t>。</w:t>
      </w:r>
    </w:p>
    <w:p>
      <w:pPr>
        <w:tabs>
          <w:tab w:val="left" w:pos="360"/>
          <w:tab w:val="left" w:pos="1080"/>
        </w:tabs>
        <w:spacing w:line="360" w:lineRule="auto"/>
        <w:ind w:firstLine="480" w:firstLineChars="200"/>
        <w:rPr>
          <w:color w:val="auto"/>
          <w:sz w:val="24"/>
          <w:highlight w:val="none"/>
        </w:rPr>
      </w:pPr>
      <w:r>
        <w:rPr>
          <w:color w:val="auto"/>
          <w:sz w:val="24"/>
          <w:highlight w:val="none"/>
        </w:rPr>
        <w:t>2.法律顾问费为含税价</w:t>
      </w:r>
      <w:r>
        <w:rPr>
          <w:rFonts w:hint="eastAsia"/>
          <w:color w:val="auto"/>
          <w:sz w:val="24"/>
          <w:highlight w:val="none"/>
        </w:rPr>
        <w:t>¥</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rPr>
        <w:t>人民币</w:t>
      </w:r>
      <w:r>
        <w:rPr>
          <w:color w:val="auto"/>
          <w:sz w:val="24"/>
          <w:highlight w:val="none"/>
        </w:rPr>
        <w:t>大写：</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），支付方式为分</w:t>
      </w:r>
      <w:r>
        <w:rPr>
          <w:rFonts w:hint="eastAsia"/>
          <w:color w:val="auto"/>
          <w:sz w:val="24"/>
          <w:highlight w:val="none"/>
          <w:lang w:val="en-US" w:eastAsia="zh-CN"/>
        </w:rPr>
        <w:t>两</w:t>
      </w:r>
      <w:r>
        <w:rPr>
          <w:color w:val="auto"/>
          <w:sz w:val="24"/>
          <w:highlight w:val="none"/>
        </w:rPr>
        <w:t>期支付：</w:t>
      </w:r>
    </w:p>
    <w:p>
      <w:pPr>
        <w:spacing w:line="360" w:lineRule="auto"/>
        <w:ind w:left="274" w:leftChars="114" w:firstLine="240" w:firstLineChars="100"/>
        <w:rPr>
          <w:rFonts w:hint="eastAsia"/>
          <w:color w:val="auto"/>
          <w:sz w:val="24"/>
          <w:highlight w:val="none"/>
        </w:rPr>
      </w:pPr>
      <w:r>
        <w:rPr>
          <w:color w:val="auto"/>
          <w:sz w:val="24"/>
          <w:highlight w:val="none"/>
        </w:rPr>
        <w:t>1）甲方应</w:t>
      </w:r>
      <w:r>
        <w:rPr>
          <w:rFonts w:hint="eastAsia"/>
          <w:color w:val="auto"/>
          <w:sz w:val="24"/>
          <w:highlight w:val="none"/>
        </w:rPr>
        <w:t>在合同生效后一周内支付</w:t>
      </w:r>
      <w:r>
        <w:rPr>
          <w:rFonts w:hint="eastAsia"/>
          <w:color w:val="auto"/>
          <w:sz w:val="24"/>
          <w:highlight w:val="none"/>
          <w:lang w:val="en-US" w:eastAsia="zh-CN"/>
        </w:rPr>
        <w:t>总额50%</w:t>
      </w:r>
      <w:r>
        <w:rPr>
          <w:rFonts w:hint="eastAsia"/>
          <w:color w:val="auto"/>
          <w:sz w:val="24"/>
          <w:highlight w:val="none"/>
        </w:rPr>
        <w:t>第一笔法律顾问费用¥</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rPr>
        <w:t>人民币</w:t>
      </w:r>
      <w:r>
        <w:rPr>
          <w:color w:val="auto"/>
          <w:sz w:val="24"/>
          <w:highlight w:val="none"/>
        </w:rPr>
        <w:t>大写</w:t>
      </w:r>
      <w:r>
        <w:rPr>
          <w:rFonts w:hint="eastAsia"/>
          <w:color w:val="auto"/>
          <w:sz w:val="24"/>
          <w:highlight w:val="none"/>
        </w:rPr>
        <w:t>：</w:t>
      </w:r>
      <w:r>
        <w:rPr>
          <w:rFonts w:hint="eastAsia"/>
          <w:color w:val="auto"/>
          <w:sz w:val="24"/>
          <w:highlight w:val="none"/>
          <w:u w:val="single"/>
          <w:lang w:val="en-US" w:eastAsia="zh-CN"/>
        </w:rPr>
        <w:t xml:space="preserve">     </w:t>
      </w:r>
      <w:r>
        <w:rPr>
          <w:color w:val="auto"/>
          <w:sz w:val="24"/>
          <w:highlight w:val="none"/>
        </w:rPr>
        <w:t>）</w:t>
      </w:r>
      <w:r>
        <w:rPr>
          <w:rFonts w:hint="eastAsia"/>
          <w:color w:val="auto"/>
          <w:sz w:val="24"/>
          <w:highlight w:val="none"/>
        </w:rPr>
        <w:t>至乙方账户，乙方</w:t>
      </w:r>
      <w:r>
        <w:rPr>
          <w:rFonts w:hint="eastAsia"/>
          <w:color w:val="auto"/>
          <w:sz w:val="24"/>
          <w:highlight w:val="none"/>
          <w:lang w:eastAsia="zh-CN"/>
        </w:rPr>
        <w:t>需在此笔费用付款前</w:t>
      </w:r>
      <w:r>
        <w:rPr>
          <w:rFonts w:hint="eastAsia"/>
          <w:color w:val="auto"/>
          <w:sz w:val="24"/>
          <w:highlight w:val="none"/>
        </w:rPr>
        <w:t>为甲方开具相应金额的增值税专用发票</w:t>
      </w:r>
      <w:r>
        <w:rPr>
          <w:rFonts w:hint="eastAsia"/>
          <w:color w:val="auto"/>
          <w:sz w:val="24"/>
          <w:highlight w:val="none"/>
          <w:lang w:val="en-US" w:eastAsia="zh-CN"/>
        </w:rPr>
        <w:t>及付款通知书</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2）甲方应在</w:t>
      </w:r>
      <w:r>
        <w:rPr>
          <w:rFonts w:hint="eastAsia"/>
          <w:color w:val="auto"/>
          <w:sz w:val="24"/>
          <w:highlight w:val="none"/>
          <w:u w:val="single"/>
          <w:lang w:val="en-US" w:eastAsia="zh-CN"/>
        </w:rPr>
        <w:t xml:space="preserve">   </w:t>
      </w:r>
      <w:r>
        <w:rPr>
          <w:color w:val="auto"/>
          <w:sz w:val="24"/>
          <w:highlight w:val="none"/>
        </w:rPr>
        <w:t>年</w:t>
      </w:r>
      <w:r>
        <w:rPr>
          <w:rFonts w:hint="eastAsia"/>
          <w:color w:val="auto"/>
          <w:sz w:val="24"/>
          <w:highlight w:val="none"/>
          <w:u w:val="single"/>
          <w:lang w:val="en-US" w:eastAsia="zh-CN"/>
        </w:rPr>
        <w:t xml:space="preserve">  </w:t>
      </w:r>
      <w:r>
        <w:rPr>
          <w:color w:val="auto"/>
          <w:sz w:val="24"/>
          <w:highlight w:val="none"/>
        </w:rPr>
        <w:t>月</w:t>
      </w:r>
      <w:r>
        <w:rPr>
          <w:rFonts w:hint="eastAsia"/>
          <w:color w:val="auto"/>
          <w:sz w:val="24"/>
          <w:highlight w:val="none"/>
          <w:u w:val="single"/>
          <w:lang w:val="en-US" w:eastAsia="zh-CN"/>
        </w:rPr>
        <w:t xml:space="preserve">  </w:t>
      </w:r>
      <w:r>
        <w:rPr>
          <w:color w:val="auto"/>
          <w:sz w:val="24"/>
          <w:highlight w:val="none"/>
        </w:rPr>
        <w:t>日之前</w:t>
      </w:r>
      <w:r>
        <w:rPr>
          <w:rFonts w:hint="eastAsia"/>
          <w:color w:val="auto"/>
          <w:sz w:val="24"/>
          <w:highlight w:val="none"/>
          <w:lang w:eastAsia="zh-CN"/>
        </w:rPr>
        <w:t>（</w:t>
      </w:r>
      <w:r>
        <w:rPr>
          <w:rFonts w:hint="eastAsia"/>
          <w:color w:val="auto"/>
          <w:sz w:val="24"/>
          <w:highlight w:val="none"/>
          <w:lang w:val="en-US" w:eastAsia="zh-CN"/>
        </w:rPr>
        <w:t>合同签订之日起9个月内</w:t>
      </w:r>
      <w:r>
        <w:rPr>
          <w:rFonts w:hint="eastAsia"/>
          <w:color w:val="auto"/>
          <w:sz w:val="24"/>
          <w:highlight w:val="none"/>
          <w:lang w:eastAsia="zh-CN"/>
        </w:rPr>
        <w:t>）</w:t>
      </w:r>
      <w:r>
        <w:rPr>
          <w:color w:val="auto"/>
          <w:sz w:val="24"/>
          <w:highlight w:val="none"/>
        </w:rPr>
        <w:t>支付剩余</w:t>
      </w:r>
      <w:r>
        <w:rPr>
          <w:rFonts w:hint="eastAsia"/>
          <w:color w:val="auto"/>
          <w:sz w:val="24"/>
          <w:highlight w:val="none"/>
          <w:lang w:val="en-US" w:eastAsia="zh-CN"/>
        </w:rPr>
        <w:t>50%</w:t>
      </w:r>
      <w:r>
        <w:rPr>
          <w:color w:val="auto"/>
          <w:sz w:val="24"/>
          <w:highlight w:val="none"/>
        </w:rPr>
        <w:t>法律顾问费</w:t>
      </w:r>
      <w:r>
        <w:rPr>
          <w:rFonts w:hint="eastAsia"/>
          <w:color w:val="auto"/>
          <w:sz w:val="24"/>
          <w:highlight w:val="none"/>
        </w:rPr>
        <w:t>¥</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rPr>
        <w:t>人民币</w:t>
      </w:r>
      <w:r>
        <w:rPr>
          <w:color w:val="auto"/>
          <w:sz w:val="24"/>
          <w:highlight w:val="none"/>
        </w:rPr>
        <w:t>大写：</w:t>
      </w:r>
      <w:r>
        <w:rPr>
          <w:rFonts w:hint="eastAsia"/>
          <w:color w:val="auto"/>
          <w:sz w:val="24"/>
          <w:highlight w:val="none"/>
          <w:u w:val="single"/>
          <w:lang w:val="en-US" w:eastAsia="zh-CN"/>
        </w:rPr>
        <w:t xml:space="preserve">    </w:t>
      </w:r>
      <w:r>
        <w:rPr>
          <w:color w:val="auto"/>
          <w:sz w:val="24"/>
          <w:highlight w:val="none"/>
        </w:rPr>
        <w:t>），至乙方账户，乙方</w:t>
      </w:r>
      <w:r>
        <w:rPr>
          <w:rFonts w:hint="eastAsia"/>
          <w:color w:val="auto"/>
          <w:sz w:val="24"/>
          <w:highlight w:val="none"/>
          <w:lang w:eastAsia="zh-CN"/>
        </w:rPr>
        <w:t>需在此笔费用付款前为</w:t>
      </w:r>
      <w:r>
        <w:rPr>
          <w:color w:val="auto"/>
          <w:sz w:val="24"/>
          <w:highlight w:val="none"/>
        </w:rPr>
        <w:t>甲方开具相应金额的增值税专用发票</w:t>
      </w:r>
      <w:r>
        <w:rPr>
          <w:rFonts w:hint="eastAsia"/>
          <w:color w:val="auto"/>
          <w:sz w:val="24"/>
          <w:highlight w:val="none"/>
          <w:lang w:val="en-US" w:eastAsia="zh-CN"/>
        </w:rPr>
        <w:t>及付款通知书</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3.乙方律师办理甲方委托事项所发生的下列工作费用，应由甲方承担：</w:t>
      </w:r>
    </w:p>
    <w:p>
      <w:pPr>
        <w:spacing w:line="360" w:lineRule="auto"/>
        <w:ind w:firstLine="480" w:firstLineChars="200"/>
        <w:rPr>
          <w:color w:val="auto"/>
          <w:sz w:val="24"/>
          <w:highlight w:val="none"/>
        </w:rPr>
      </w:pPr>
      <w:r>
        <w:rPr>
          <w:color w:val="auto"/>
          <w:sz w:val="24"/>
          <w:highlight w:val="none"/>
        </w:rPr>
        <w:t>1）相关行政、司法、鉴定、公证等部门收取的费用；</w:t>
      </w:r>
    </w:p>
    <w:p>
      <w:pPr>
        <w:spacing w:line="360" w:lineRule="auto"/>
        <w:ind w:firstLine="480" w:firstLineChars="200"/>
        <w:rPr>
          <w:color w:val="auto"/>
          <w:sz w:val="24"/>
          <w:highlight w:val="none"/>
        </w:rPr>
      </w:pPr>
      <w:r>
        <w:rPr>
          <w:color w:val="auto"/>
          <w:sz w:val="24"/>
          <w:highlight w:val="none"/>
        </w:rPr>
        <w:t>2）北京市外发生的</w:t>
      </w:r>
      <w:r>
        <w:rPr>
          <w:rFonts w:hint="eastAsia"/>
          <w:color w:val="auto"/>
          <w:sz w:val="24"/>
          <w:highlight w:val="none"/>
        </w:rPr>
        <w:t>城际交通费</w:t>
      </w:r>
      <w:r>
        <w:rPr>
          <w:color w:val="auto"/>
          <w:sz w:val="24"/>
          <w:highlight w:val="none"/>
        </w:rPr>
        <w:t>、</w:t>
      </w:r>
      <w:r>
        <w:rPr>
          <w:rFonts w:hint="eastAsia"/>
          <w:color w:val="auto"/>
          <w:sz w:val="24"/>
          <w:highlight w:val="none"/>
        </w:rPr>
        <w:t>住宿</w:t>
      </w:r>
      <w:r>
        <w:rPr>
          <w:color w:val="auto"/>
          <w:sz w:val="24"/>
          <w:highlight w:val="none"/>
        </w:rPr>
        <w:t>费按照</w:t>
      </w:r>
      <w:r>
        <w:rPr>
          <w:rFonts w:hint="eastAsia"/>
          <w:color w:val="auto"/>
          <w:sz w:val="24"/>
          <w:highlight w:val="none"/>
        </w:rPr>
        <w:t>《中国煤炭开发有限责任公司差旅费支出管理办法》（中煤开发财〔2022〕82 号）</w:t>
      </w:r>
      <w:r>
        <w:rPr>
          <w:rFonts w:hint="eastAsia"/>
          <w:color w:val="auto"/>
          <w:sz w:val="24"/>
          <w:highlight w:val="none"/>
          <w:lang w:val="en-US" w:eastAsia="zh-CN"/>
        </w:rPr>
        <w:t>和《</w:t>
      </w:r>
      <w:r>
        <w:rPr>
          <w:rFonts w:hint="eastAsia"/>
          <w:color w:val="auto"/>
          <w:sz w:val="24"/>
          <w:highlight w:val="none"/>
        </w:rPr>
        <w:t>关于开发公司差旅费用报销调整事项的通知</w:t>
      </w:r>
      <w:r>
        <w:rPr>
          <w:rFonts w:hint="eastAsia"/>
          <w:color w:val="auto"/>
          <w:sz w:val="24"/>
          <w:highlight w:val="none"/>
          <w:lang w:val="en-US" w:eastAsia="zh-CN"/>
        </w:rPr>
        <w:t>》（</w:t>
      </w:r>
      <w:r>
        <w:rPr>
          <w:rFonts w:hint="eastAsia"/>
          <w:color w:val="auto"/>
          <w:sz w:val="24"/>
          <w:highlight w:val="none"/>
        </w:rPr>
        <w:t>计财部函〔2024〕1号</w:t>
      </w:r>
      <w:r>
        <w:rPr>
          <w:rFonts w:hint="eastAsia"/>
          <w:color w:val="auto"/>
          <w:sz w:val="24"/>
          <w:highlight w:val="none"/>
          <w:lang w:val="en-US" w:eastAsia="zh-CN"/>
        </w:rPr>
        <w:t>）</w:t>
      </w:r>
      <w:r>
        <w:rPr>
          <w:rFonts w:hint="eastAsia"/>
          <w:color w:val="auto"/>
          <w:sz w:val="24"/>
          <w:highlight w:val="none"/>
        </w:rPr>
        <w:t>有关</w:t>
      </w:r>
      <w:r>
        <w:rPr>
          <w:color w:val="auto"/>
          <w:sz w:val="24"/>
          <w:highlight w:val="none"/>
        </w:rPr>
        <w:t>标准</w:t>
      </w:r>
      <w:r>
        <w:rPr>
          <w:rFonts w:hint="eastAsia"/>
          <w:color w:val="auto"/>
          <w:sz w:val="24"/>
          <w:highlight w:val="none"/>
        </w:rPr>
        <w:t>（详见下表）</w:t>
      </w:r>
      <w:r>
        <w:rPr>
          <w:color w:val="auto"/>
          <w:sz w:val="24"/>
          <w:highlight w:val="none"/>
        </w:rPr>
        <w:t>执行，并提供相应发票：</w:t>
      </w:r>
    </w:p>
    <w:p>
      <w:pPr>
        <w:pStyle w:val="8"/>
        <w:rPr>
          <w:color w:val="auto"/>
          <w:sz w:val="24"/>
          <w:highlight w:val="none"/>
        </w:rPr>
      </w:pPr>
    </w:p>
    <w:p>
      <w:pPr>
        <w:rPr>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92"/>
        <w:gridCol w:w="3124"/>
        <w:gridCol w:w="1419"/>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3" w:hRule="atLeast"/>
          <w:jc w:val="center"/>
        </w:trPr>
        <w:tc>
          <w:tcPr>
            <w:tcW w:w="7315" w:type="dxa"/>
            <w:gridSpan w:val="4"/>
            <w:shd w:val="clear" w:color="auto" w:fill="FFFFFF"/>
            <w:noWrap w:val="0"/>
            <w:vAlign w:val="center"/>
          </w:tcPr>
          <w:p>
            <w:pPr>
              <w:keepNext w:val="0"/>
              <w:keepLines w:val="0"/>
              <w:pageBreakBefore w:val="0"/>
              <w:widowControl w:val="0"/>
              <w:tabs>
                <w:tab w:val="left" w:pos="2655"/>
              </w:tabs>
              <w:kinsoku/>
              <w:wordWrap/>
              <w:overflowPunct/>
              <w:topLinePunct w:val="0"/>
              <w:autoSpaceDE w:val="0"/>
              <w:autoSpaceDN w:val="0"/>
              <w:bidi w:val="0"/>
              <w:adjustRightInd w:val="0"/>
              <w:snapToGrid w:val="0"/>
              <w:spacing w:line="300" w:lineRule="exact"/>
              <w:jc w:val="center"/>
              <w:textAlignment w:val="auto"/>
              <w:rPr>
                <w:rFonts w:eastAsia="黑体"/>
                <w:color w:val="auto"/>
                <w:kern w:val="0"/>
                <w:szCs w:val="21"/>
                <w:highlight w:val="none"/>
              </w:rPr>
            </w:pPr>
            <w:r>
              <w:rPr>
                <w:rFonts w:eastAsia="黑体"/>
                <w:color w:val="auto"/>
                <w:kern w:val="0"/>
                <w:szCs w:val="21"/>
                <w:highlight w:val="none"/>
              </w:rPr>
              <w:t>城际交通费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27" w:hRule="atLeast"/>
          <w:jc w:val="center"/>
        </w:trPr>
        <w:tc>
          <w:tcPr>
            <w:tcW w:w="992"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lang w:val="zh-CN"/>
              </w:rPr>
            </w:pPr>
            <w:r>
              <w:rPr>
                <w:color w:val="auto"/>
                <w:kern w:val="0"/>
                <w:szCs w:val="21"/>
                <w:highlight w:val="none"/>
                <w:lang w:val="zh-CN"/>
              </w:rPr>
              <w:t>飞机</w:t>
            </w:r>
          </w:p>
        </w:tc>
        <w:tc>
          <w:tcPr>
            <w:tcW w:w="3124"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color w:val="auto"/>
                <w:kern w:val="0"/>
                <w:szCs w:val="21"/>
                <w:highlight w:val="none"/>
                <w:lang w:val="zh-CN"/>
              </w:rPr>
            </w:pPr>
            <w:r>
              <w:rPr>
                <w:color w:val="auto"/>
                <w:kern w:val="0"/>
                <w:szCs w:val="21"/>
                <w:highlight w:val="none"/>
                <w:lang w:val="zh-CN"/>
              </w:rPr>
              <w:t>火车（包括动车、高铁）</w:t>
            </w:r>
          </w:p>
        </w:tc>
        <w:tc>
          <w:tcPr>
            <w:tcW w:w="1419"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color w:val="auto"/>
                <w:kern w:val="0"/>
                <w:szCs w:val="21"/>
                <w:highlight w:val="none"/>
                <w:lang w:val="zh-CN"/>
              </w:rPr>
            </w:pPr>
            <w:r>
              <w:rPr>
                <w:color w:val="auto"/>
                <w:kern w:val="0"/>
                <w:szCs w:val="21"/>
                <w:highlight w:val="none"/>
                <w:lang w:val="zh-CN"/>
              </w:rPr>
              <w:t>轮船（不包括旅游船）</w:t>
            </w:r>
          </w:p>
        </w:tc>
        <w:tc>
          <w:tcPr>
            <w:tcW w:w="1780"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color w:val="auto"/>
                <w:kern w:val="0"/>
                <w:szCs w:val="21"/>
                <w:highlight w:val="none"/>
                <w:lang w:val="zh-CN"/>
              </w:rPr>
            </w:pPr>
            <w:r>
              <w:rPr>
                <w:color w:val="auto"/>
                <w:kern w:val="0"/>
                <w:szCs w:val="21"/>
                <w:highlight w:val="none"/>
                <w:lang w:val="zh-CN"/>
              </w:rPr>
              <w:t>其他交通（不包括出租汽车）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4" w:hRule="atLeast"/>
          <w:jc w:val="center"/>
        </w:trPr>
        <w:tc>
          <w:tcPr>
            <w:tcW w:w="992"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rPr>
            </w:pPr>
            <w:r>
              <w:rPr>
                <w:color w:val="auto"/>
                <w:kern w:val="0"/>
                <w:szCs w:val="21"/>
                <w:highlight w:val="none"/>
              </w:rPr>
              <w:t>经济舱</w:t>
            </w:r>
          </w:p>
        </w:tc>
        <w:tc>
          <w:tcPr>
            <w:tcW w:w="3124"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color w:val="auto"/>
                <w:kern w:val="0"/>
                <w:szCs w:val="21"/>
                <w:highlight w:val="none"/>
                <w:lang w:val="zh-CN"/>
              </w:rPr>
            </w:pPr>
            <w:r>
              <w:rPr>
                <w:rFonts w:hint="eastAsia"/>
                <w:color w:val="auto"/>
                <w:kern w:val="0"/>
                <w:szCs w:val="21"/>
                <w:highlight w:val="none"/>
                <w:lang w:val="zh-CN"/>
              </w:rPr>
              <w:t>硬席（硬座、硬卧）、高铁/动车二等座、全列软席列车二等座（软座、软卧）</w:t>
            </w:r>
          </w:p>
        </w:tc>
        <w:tc>
          <w:tcPr>
            <w:tcW w:w="1419"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lang w:val="zh-CN"/>
              </w:rPr>
            </w:pPr>
            <w:r>
              <w:rPr>
                <w:color w:val="auto"/>
                <w:kern w:val="0"/>
                <w:szCs w:val="21"/>
                <w:highlight w:val="none"/>
                <w:lang w:val="zh-CN"/>
              </w:rPr>
              <w:t>三等舱</w:t>
            </w:r>
          </w:p>
        </w:tc>
        <w:tc>
          <w:tcPr>
            <w:tcW w:w="1780"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lang w:val="zh-CN"/>
              </w:rPr>
            </w:pPr>
            <w:r>
              <w:rPr>
                <w:rFonts w:hint="eastAsia"/>
                <w:color w:val="auto"/>
                <w:kern w:val="0"/>
                <w:szCs w:val="21"/>
                <w:highlight w:val="none"/>
              </w:rPr>
              <w:t>事先征得甲方同意后</w:t>
            </w:r>
            <w:r>
              <w:rPr>
                <w:color w:val="auto"/>
                <w:kern w:val="0"/>
                <w:szCs w:val="21"/>
                <w:highlight w:val="none"/>
                <w:lang w:val="zh-CN"/>
              </w:rPr>
              <w:t>凭据报销</w:t>
            </w:r>
          </w:p>
        </w:tc>
      </w:tr>
    </w:tbl>
    <w:p>
      <w:pPr>
        <w:keepNext w:val="0"/>
        <w:keepLines w:val="0"/>
        <w:pageBreakBefore w:val="0"/>
        <w:widowControl w:val="0"/>
        <w:kinsoku/>
        <w:wordWrap/>
        <w:overflowPunct/>
        <w:topLinePunct w:val="0"/>
        <w:bidi w:val="0"/>
        <w:adjustRightInd w:val="0"/>
        <w:snapToGrid w:val="0"/>
        <w:spacing w:line="300" w:lineRule="exact"/>
        <w:ind w:firstLine="480" w:firstLineChars="200"/>
        <w:textAlignment w:val="auto"/>
        <w:rPr>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733"/>
        <w:gridCol w:w="2446"/>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8" w:hRule="atLeast"/>
          <w:jc w:val="center"/>
        </w:trPr>
        <w:tc>
          <w:tcPr>
            <w:tcW w:w="7315" w:type="dxa"/>
            <w:gridSpan w:val="3"/>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rPr>
            </w:pPr>
            <w:r>
              <w:rPr>
                <w:rFonts w:eastAsia="黑体"/>
                <w:color w:val="auto"/>
                <w:kern w:val="0"/>
                <w:szCs w:val="21"/>
                <w:highlight w:val="none"/>
                <w:lang w:val="zh-CN"/>
              </w:rPr>
              <w:t>住宿费限额标准</w:t>
            </w:r>
            <w:r>
              <w:rPr>
                <w:rFonts w:hint="eastAsia" w:eastAsia="黑体"/>
                <w:color w:val="auto"/>
                <w:kern w:val="0"/>
                <w:szCs w:val="21"/>
                <w:highlight w:val="none"/>
                <w:lang w:val="zh-CN"/>
              </w:rPr>
              <w:t>（每人每天）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2" w:hRule="atLeast"/>
          <w:jc w:val="center"/>
        </w:trPr>
        <w:tc>
          <w:tcPr>
            <w:tcW w:w="1733"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lang w:val="zh-CN"/>
              </w:rPr>
            </w:pPr>
            <w:r>
              <w:rPr>
                <w:color w:val="auto"/>
                <w:kern w:val="0"/>
                <w:szCs w:val="21"/>
                <w:highlight w:val="none"/>
                <w:lang w:val="zh-CN"/>
              </w:rPr>
              <w:t>一般地区</w:t>
            </w:r>
          </w:p>
        </w:tc>
        <w:tc>
          <w:tcPr>
            <w:tcW w:w="2446"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lang w:val="zh-CN"/>
              </w:rPr>
            </w:pPr>
            <w:r>
              <w:rPr>
                <w:color w:val="auto"/>
                <w:kern w:val="0"/>
                <w:szCs w:val="21"/>
                <w:highlight w:val="none"/>
                <w:lang w:val="zh-CN"/>
              </w:rPr>
              <w:t>特殊地区</w:t>
            </w:r>
            <w:r>
              <w:rPr>
                <w:color w:val="auto"/>
                <w:kern w:val="0"/>
                <w:szCs w:val="21"/>
                <w:highlight w:val="none"/>
              </w:rPr>
              <w:t xml:space="preserve"> (</w:t>
            </w:r>
            <w:r>
              <w:rPr>
                <w:rFonts w:hint="eastAsia"/>
                <w:color w:val="auto"/>
                <w:kern w:val="0"/>
                <w:szCs w:val="21"/>
                <w:highlight w:val="none"/>
                <w:lang w:val="zh-CN"/>
              </w:rPr>
              <w:t>直辖市、省会、计划单列市</w:t>
            </w:r>
            <w:r>
              <w:rPr>
                <w:color w:val="auto"/>
                <w:kern w:val="0"/>
                <w:szCs w:val="21"/>
                <w:highlight w:val="none"/>
              </w:rPr>
              <w:t>)</w:t>
            </w:r>
          </w:p>
        </w:tc>
        <w:tc>
          <w:tcPr>
            <w:tcW w:w="3136"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lang w:val="zh-CN"/>
              </w:rPr>
            </w:pPr>
            <w:r>
              <w:rPr>
                <w:color w:val="auto"/>
                <w:kern w:val="0"/>
                <w:szCs w:val="21"/>
                <w:highlight w:val="none"/>
                <w:lang w:val="zh-CN"/>
              </w:rPr>
              <w:t>重大</w:t>
            </w:r>
            <w:r>
              <w:rPr>
                <w:rFonts w:hint="eastAsia"/>
                <w:color w:val="auto"/>
                <w:kern w:val="0"/>
                <w:szCs w:val="21"/>
                <w:highlight w:val="none"/>
              </w:rPr>
              <w:t>法律工作</w:t>
            </w:r>
            <w:r>
              <w:rPr>
                <w:color w:val="auto"/>
                <w:kern w:val="0"/>
                <w:szCs w:val="21"/>
                <w:highlight w:val="none"/>
                <w:lang w:val="zh-CN"/>
              </w:rPr>
              <w:t>（如重要谈判、签约、招投标等）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33"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rPr>
            </w:pPr>
            <w:r>
              <w:rPr>
                <w:rFonts w:hint="eastAsia"/>
                <w:color w:val="auto"/>
                <w:kern w:val="0"/>
                <w:szCs w:val="21"/>
                <w:highlight w:val="none"/>
                <w:lang w:val="en-US" w:eastAsia="zh-CN"/>
              </w:rPr>
              <w:t>50</w:t>
            </w:r>
            <w:r>
              <w:rPr>
                <w:color w:val="auto"/>
                <w:kern w:val="0"/>
                <w:szCs w:val="21"/>
                <w:highlight w:val="none"/>
              </w:rPr>
              <w:t>0元</w:t>
            </w:r>
          </w:p>
        </w:tc>
        <w:tc>
          <w:tcPr>
            <w:tcW w:w="2446"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lang w:val="zh-CN"/>
              </w:rPr>
            </w:pPr>
            <w:r>
              <w:rPr>
                <w:rFonts w:hint="eastAsia"/>
                <w:color w:val="auto"/>
                <w:kern w:val="0"/>
                <w:szCs w:val="21"/>
                <w:highlight w:val="none"/>
                <w:lang w:val="en-US" w:eastAsia="zh-CN"/>
              </w:rPr>
              <w:t>7</w:t>
            </w:r>
            <w:r>
              <w:rPr>
                <w:color w:val="auto"/>
                <w:kern w:val="0"/>
                <w:szCs w:val="21"/>
                <w:highlight w:val="none"/>
              </w:rPr>
              <w:t>00元</w:t>
            </w:r>
          </w:p>
        </w:tc>
        <w:tc>
          <w:tcPr>
            <w:tcW w:w="3136" w:type="dxa"/>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color w:val="auto"/>
                <w:kern w:val="0"/>
                <w:szCs w:val="21"/>
                <w:highlight w:val="none"/>
                <w:lang w:val="zh-CN"/>
              </w:rPr>
            </w:pPr>
            <w:r>
              <w:rPr>
                <w:rFonts w:hint="eastAsia"/>
                <w:color w:val="auto"/>
                <w:kern w:val="0"/>
                <w:szCs w:val="21"/>
                <w:highlight w:val="none"/>
                <w:lang w:val="en-US" w:eastAsia="zh-CN"/>
              </w:rPr>
              <w:t>8</w:t>
            </w:r>
            <w:r>
              <w:rPr>
                <w:color w:val="auto"/>
                <w:kern w:val="0"/>
                <w:szCs w:val="21"/>
                <w:highlight w:val="none"/>
              </w:rPr>
              <w:t>00元</w:t>
            </w:r>
          </w:p>
        </w:tc>
      </w:tr>
    </w:tbl>
    <w:p>
      <w:pPr>
        <w:spacing w:line="360" w:lineRule="auto"/>
        <w:ind w:firstLine="480" w:firstLineChars="200"/>
        <w:rPr>
          <w:rFonts w:hint="eastAsia"/>
          <w:color w:val="auto"/>
          <w:sz w:val="24"/>
          <w:highlight w:val="none"/>
          <w:lang w:val="zh-CN"/>
        </w:rPr>
      </w:pPr>
      <w:r>
        <w:rPr>
          <w:rFonts w:hint="eastAsia"/>
          <w:color w:val="auto"/>
          <w:sz w:val="24"/>
          <w:highlight w:val="none"/>
        </w:rPr>
        <w:t>3）</w:t>
      </w:r>
      <w:r>
        <w:rPr>
          <w:color w:val="auto"/>
          <w:sz w:val="24"/>
          <w:highlight w:val="none"/>
        </w:rPr>
        <w:t>北京市外</w:t>
      </w:r>
      <w:r>
        <w:rPr>
          <w:color w:val="auto"/>
          <w:sz w:val="24"/>
          <w:highlight w:val="none"/>
          <w:lang w:val="zh-CN"/>
        </w:rPr>
        <w:t>发生的与业务相关的</w:t>
      </w:r>
      <w:r>
        <w:rPr>
          <w:color w:val="auto"/>
          <w:sz w:val="24"/>
          <w:highlight w:val="none"/>
        </w:rPr>
        <w:t>邮寄费</w:t>
      </w:r>
      <w:r>
        <w:rPr>
          <w:color w:val="auto"/>
          <w:sz w:val="24"/>
          <w:highlight w:val="none"/>
          <w:lang w:val="zh-CN"/>
        </w:rPr>
        <w:t>、复印费等，须注明用途和事由</w:t>
      </w:r>
      <w:r>
        <w:rPr>
          <w:rFonts w:hint="eastAsia"/>
          <w:color w:val="auto"/>
          <w:sz w:val="24"/>
          <w:highlight w:val="none"/>
          <w:lang w:val="zh-CN"/>
        </w:rPr>
        <w:t>。</w:t>
      </w:r>
    </w:p>
    <w:p>
      <w:pPr>
        <w:spacing w:line="360" w:lineRule="auto"/>
        <w:ind w:firstLine="480" w:firstLineChars="200"/>
        <w:rPr>
          <w:color w:val="auto"/>
          <w:sz w:val="24"/>
          <w:highlight w:val="none"/>
          <w:lang w:val="zh-CN"/>
        </w:rPr>
      </w:pPr>
      <w:r>
        <w:rPr>
          <w:rFonts w:hint="eastAsia"/>
          <w:color w:val="auto"/>
          <w:sz w:val="24"/>
          <w:highlight w:val="none"/>
        </w:rPr>
        <w:t>4）</w:t>
      </w:r>
      <w:r>
        <w:rPr>
          <w:color w:val="auto"/>
          <w:sz w:val="24"/>
          <w:highlight w:val="none"/>
          <w:lang w:val="zh-CN"/>
        </w:rPr>
        <w:t>餐费按照自然（日历）天数实行定额包干，不分途中和住勤，每人每天</w:t>
      </w:r>
      <w:r>
        <w:rPr>
          <w:color w:val="auto"/>
          <w:sz w:val="24"/>
          <w:highlight w:val="none"/>
        </w:rPr>
        <w:t>人民币</w:t>
      </w:r>
      <w:r>
        <w:rPr>
          <w:rFonts w:hint="eastAsia"/>
          <w:color w:val="auto"/>
          <w:sz w:val="24"/>
          <w:highlight w:val="none"/>
          <w:lang w:val="en-US" w:eastAsia="zh-CN"/>
        </w:rPr>
        <w:t>200</w:t>
      </w:r>
      <w:r>
        <w:rPr>
          <w:color w:val="auto"/>
          <w:sz w:val="24"/>
          <w:highlight w:val="none"/>
          <w:lang w:val="zh-CN"/>
        </w:rPr>
        <w:t>元</w:t>
      </w:r>
      <w:r>
        <w:rPr>
          <w:rFonts w:hint="eastAsia"/>
          <w:color w:val="auto"/>
          <w:sz w:val="24"/>
          <w:highlight w:val="none"/>
          <w:lang w:val="zh-CN"/>
        </w:rPr>
        <w:t>，</w:t>
      </w:r>
      <w:r>
        <w:rPr>
          <w:rFonts w:hint="eastAsia"/>
          <w:color w:val="auto"/>
          <w:sz w:val="24"/>
          <w:highlight w:val="none"/>
        </w:rPr>
        <w:t>此项不需要提供发票</w:t>
      </w:r>
      <w:r>
        <w:rPr>
          <w:color w:val="auto"/>
          <w:sz w:val="24"/>
          <w:highlight w:val="none"/>
          <w:lang w:val="zh-CN"/>
        </w:rPr>
        <w:t>。</w:t>
      </w:r>
    </w:p>
    <w:p>
      <w:pPr>
        <w:spacing w:line="360" w:lineRule="auto"/>
        <w:ind w:firstLine="480" w:firstLineChars="200"/>
        <w:rPr>
          <w:color w:val="auto"/>
          <w:sz w:val="24"/>
          <w:highlight w:val="none"/>
        </w:rPr>
      </w:pPr>
      <w:r>
        <w:rPr>
          <w:color w:val="auto"/>
          <w:sz w:val="24"/>
          <w:highlight w:val="none"/>
        </w:rPr>
        <w:t>4.如果发生第二条</w:t>
      </w:r>
      <w:r>
        <w:rPr>
          <w:rFonts w:hint="eastAsia"/>
          <w:color w:val="auto"/>
          <w:sz w:val="24"/>
          <w:highlight w:val="none"/>
          <w:lang w:eastAsia="zh-CN"/>
        </w:rPr>
        <w:t>（</w:t>
      </w:r>
      <w:r>
        <w:rPr>
          <w:rFonts w:hint="eastAsia"/>
          <w:color w:val="auto"/>
          <w:sz w:val="24"/>
          <w:highlight w:val="none"/>
          <w:lang w:val="en-US" w:eastAsia="zh-CN"/>
        </w:rPr>
        <w:t>五</w:t>
      </w:r>
      <w:r>
        <w:rPr>
          <w:rFonts w:hint="eastAsia"/>
          <w:color w:val="auto"/>
          <w:sz w:val="24"/>
          <w:highlight w:val="none"/>
          <w:lang w:eastAsia="zh-CN"/>
        </w:rPr>
        <w:t>）</w:t>
      </w:r>
      <w:r>
        <w:rPr>
          <w:rFonts w:hint="eastAsia"/>
          <w:color w:val="auto"/>
          <w:sz w:val="24"/>
          <w:highlight w:val="none"/>
        </w:rPr>
        <w:t>项法律纠纷的诉讼仲裁</w:t>
      </w:r>
      <w:r>
        <w:rPr>
          <w:rFonts w:hint="eastAsia"/>
          <w:color w:val="auto"/>
          <w:sz w:val="24"/>
          <w:highlight w:val="none"/>
          <w:lang w:eastAsia="zh-CN"/>
        </w:rPr>
        <w:t>出</w:t>
      </w:r>
      <w:r>
        <w:rPr>
          <w:rFonts w:hint="eastAsia"/>
          <w:color w:val="auto"/>
          <w:sz w:val="24"/>
          <w:highlight w:val="none"/>
        </w:rPr>
        <w:t>庭代理</w:t>
      </w:r>
      <w:r>
        <w:rPr>
          <w:rFonts w:hint="eastAsia"/>
          <w:color w:val="auto"/>
          <w:sz w:val="24"/>
          <w:highlight w:val="none"/>
          <w:lang w:val="en-US" w:eastAsia="zh-CN"/>
        </w:rPr>
        <w:t>或</w:t>
      </w:r>
      <w:r>
        <w:rPr>
          <w:color w:val="auto"/>
          <w:sz w:val="24"/>
          <w:highlight w:val="none"/>
        </w:rPr>
        <w:t>专项法律服务，甲方可另行</w:t>
      </w:r>
      <w:r>
        <w:rPr>
          <w:rFonts w:hint="eastAsia"/>
          <w:color w:val="auto"/>
          <w:sz w:val="24"/>
          <w:highlight w:val="none"/>
          <w:lang w:val="en-US" w:eastAsia="zh-CN"/>
        </w:rPr>
        <w:t>寻源</w:t>
      </w:r>
      <w:r>
        <w:rPr>
          <w:color w:val="auto"/>
          <w:sz w:val="24"/>
          <w:highlight w:val="none"/>
        </w:rPr>
        <w:t>，按照</w:t>
      </w:r>
      <w:r>
        <w:rPr>
          <w:rFonts w:hint="eastAsia"/>
          <w:color w:val="auto"/>
          <w:sz w:val="24"/>
          <w:highlight w:val="none"/>
          <w:lang w:val="en-US" w:eastAsia="zh-CN"/>
        </w:rPr>
        <w:t>寻源</w:t>
      </w:r>
      <w:r>
        <w:rPr>
          <w:color w:val="auto"/>
          <w:sz w:val="24"/>
          <w:highlight w:val="none"/>
        </w:rPr>
        <w:t>结果选取</w:t>
      </w:r>
      <w:r>
        <w:rPr>
          <w:rFonts w:hint="eastAsia"/>
          <w:color w:val="auto"/>
          <w:sz w:val="24"/>
          <w:highlight w:val="none"/>
        </w:rPr>
        <w:t>乙方或</w:t>
      </w:r>
      <w:r>
        <w:rPr>
          <w:color w:val="auto"/>
          <w:sz w:val="24"/>
          <w:highlight w:val="none"/>
        </w:rPr>
        <w:t>乙方以外的法律服务机构。若甲方直接委托乙方进行第二条</w:t>
      </w:r>
      <w:r>
        <w:rPr>
          <w:rFonts w:hint="eastAsia"/>
          <w:color w:val="auto"/>
          <w:sz w:val="24"/>
          <w:highlight w:val="none"/>
          <w:lang w:eastAsia="zh-CN"/>
        </w:rPr>
        <w:t>（</w:t>
      </w:r>
      <w:r>
        <w:rPr>
          <w:rFonts w:hint="eastAsia"/>
          <w:color w:val="auto"/>
          <w:sz w:val="24"/>
          <w:highlight w:val="none"/>
          <w:lang w:val="en-US" w:eastAsia="zh-CN"/>
        </w:rPr>
        <w:t>五</w:t>
      </w:r>
      <w:r>
        <w:rPr>
          <w:rFonts w:hint="eastAsia"/>
          <w:color w:val="auto"/>
          <w:sz w:val="24"/>
          <w:highlight w:val="none"/>
          <w:lang w:eastAsia="zh-CN"/>
        </w:rPr>
        <w:t>）</w:t>
      </w:r>
      <w:r>
        <w:rPr>
          <w:rFonts w:hint="eastAsia"/>
          <w:color w:val="auto"/>
          <w:sz w:val="24"/>
          <w:highlight w:val="none"/>
        </w:rPr>
        <w:t>项法律纠纷的诉讼仲裁</w:t>
      </w:r>
      <w:r>
        <w:rPr>
          <w:rFonts w:hint="eastAsia"/>
          <w:color w:val="auto"/>
          <w:sz w:val="24"/>
          <w:highlight w:val="none"/>
          <w:lang w:eastAsia="zh-CN"/>
        </w:rPr>
        <w:t>出</w:t>
      </w:r>
      <w:r>
        <w:rPr>
          <w:rFonts w:hint="eastAsia"/>
          <w:color w:val="auto"/>
          <w:sz w:val="24"/>
          <w:highlight w:val="none"/>
        </w:rPr>
        <w:t>庭代理或</w:t>
      </w:r>
      <w:r>
        <w:rPr>
          <w:color w:val="auto"/>
          <w:sz w:val="24"/>
          <w:highlight w:val="none"/>
        </w:rPr>
        <w:t>专项法律服务，甲方应同乙方另行办理委托手续，并须另行向乙方支付律师费，乙方则应按同类收费标准给予优惠。</w:t>
      </w:r>
    </w:p>
    <w:p>
      <w:pPr>
        <w:spacing w:line="360" w:lineRule="auto"/>
        <w:ind w:firstLine="480" w:firstLineChars="200"/>
        <w:rPr>
          <w:rFonts w:eastAsia="宋体"/>
          <w:b w:val="0"/>
          <w:bCs w:val="0"/>
          <w:color w:val="auto"/>
          <w:sz w:val="24"/>
          <w:szCs w:val="20"/>
          <w:highlight w:val="none"/>
        </w:rPr>
      </w:pPr>
      <w:r>
        <w:rPr>
          <w:rFonts w:hint="eastAsia"/>
          <w:b w:val="0"/>
          <w:bCs w:val="0"/>
          <w:color w:val="auto"/>
          <w:sz w:val="24"/>
          <w:szCs w:val="20"/>
          <w:highlight w:val="none"/>
          <w:lang w:val="en-US" w:eastAsia="zh-CN"/>
        </w:rPr>
        <w:t>六</w:t>
      </w:r>
      <w:r>
        <w:rPr>
          <w:rFonts w:hint="eastAsia"/>
          <w:b w:val="0"/>
          <w:bCs w:val="0"/>
          <w:color w:val="auto"/>
          <w:sz w:val="24"/>
          <w:szCs w:val="20"/>
          <w:highlight w:val="none"/>
          <w:lang w:eastAsia="zh-CN"/>
        </w:rPr>
        <w:t>、</w:t>
      </w:r>
      <w:r>
        <w:rPr>
          <w:rFonts w:hint="default" w:eastAsia="宋体"/>
          <w:b w:val="0"/>
          <w:bCs w:val="0"/>
          <w:color w:val="auto"/>
          <w:sz w:val="24"/>
          <w:szCs w:val="20"/>
          <w:highlight w:val="none"/>
        </w:rPr>
        <w:t xml:space="preserve"> 合同的变更与解除</w:t>
      </w:r>
    </w:p>
    <w:p>
      <w:pPr>
        <w:spacing w:line="360" w:lineRule="auto"/>
        <w:ind w:firstLine="480" w:firstLineChars="200"/>
        <w:rPr>
          <w:rFonts w:hint="default" w:eastAsia="宋体"/>
          <w:color w:val="auto"/>
          <w:sz w:val="24"/>
          <w:szCs w:val="20"/>
          <w:highlight w:val="none"/>
        </w:rPr>
      </w:pPr>
      <w:r>
        <w:rPr>
          <w:rFonts w:hint="default" w:eastAsia="宋体"/>
          <w:color w:val="auto"/>
          <w:sz w:val="24"/>
          <w:szCs w:val="20"/>
          <w:highlight w:val="none"/>
        </w:rPr>
        <w:t>1</w:t>
      </w:r>
      <w:r>
        <w:rPr>
          <w:rFonts w:eastAsia="宋体"/>
          <w:color w:val="auto"/>
          <w:sz w:val="24"/>
          <w:szCs w:val="20"/>
          <w:highlight w:val="none"/>
        </w:rPr>
        <w:t>.</w:t>
      </w:r>
      <w:r>
        <w:rPr>
          <w:rFonts w:hint="default" w:eastAsia="宋体"/>
          <w:color w:val="auto"/>
          <w:sz w:val="24"/>
          <w:szCs w:val="20"/>
          <w:highlight w:val="none"/>
        </w:rPr>
        <w:t>本合同的变更必须由双方协商一致，并以书面形式确定。</w:t>
      </w:r>
    </w:p>
    <w:p>
      <w:pPr>
        <w:spacing w:line="360" w:lineRule="auto"/>
        <w:ind w:firstLine="480" w:firstLineChars="200"/>
        <w:rPr>
          <w:rFonts w:hint="default" w:eastAsia="宋体"/>
          <w:color w:val="auto"/>
          <w:sz w:val="24"/>
          <w:szCs w:val="20"/>
          <w:highlight w:val="none"/>
        </w:rPr>
      </w:pPr>
      <w:r>
        <w:rPr>
          <w:rFonts w:hint="default" w:eastAsia="宋体"/>
          <w:color w:val="auto"/>
          <w:sz w:val="24"/>
          <w:szCs w:val="20"/>
          <w:highlight w:val="none"/>
        </w:rPr>
        <w:t>2</w:t>
      </w:r>
      <w:r>
        <w:rPr>
          <w:rFonts w:eastAsia="宋体"/>
          <w:color w:val="auto"/>
          <w:sz w:val="24"/>
          <w:szCs w:val="20"/>
          <w:highlight w:val="none"/>
        </w:rPr>
        <w:t>.</w:t>
      </w:r>
      <w:r>
        <w:rPr>
          <w:rFonts w:hint="default" w:eastAsia="宋体"/>
          <w:color w:val="auto"/>
          <w:sz w:val="24"/>
          <w:szCs w:val="20"/>
          <w:highlight w:val="none"/>
        </w:rPr>
        <w:t>双方确定，出现下列情形，致使本合同的履行成为不必要或不可能，可以解除本合同：</w:t>
      </w:r>
    </w:p>
    <w:p>
      <w:pPr>
        <w:spacing w:line="360" w:lineRule="auto"/>
        <w:ind w:firstLine="480" w:firstLineChars="200"/>
        <w:rPr>
          <w:rFonts w:hint="default" w:ascii="Times New Roman" w:hAnsi="Times New Roman" w:eastAsia="宋体"/>
          <w:color w:val="auto"/>
          <w:spacing w:val="0"/>
          <w:sz w:val="24"/>
          <w:szCs w:val="20"/>
          <w:highlight w:val="none"/>
        </w:rPr>
      </w:pPr>
      <w:r>
        <w:rPr>
          <w:rFonts w:hint="default" w:ascii="Times New Roman" w:hAnsi="Times New Roman" w:eastAsia="宋体"/>
          <w:color w:val="auto"/>
          <w:spacing w:val="0"/>
          <w:sz w:val="24"/>
          <w:szCs w:val="20"/>
          <w:highlight w:val="none"/>
        </w:rPr>
        <w:t>（1）在合同履行中产生不能协商解决的方向性重大分歧时；</w:t>
      </w:r>
    </w:p>
    <w:p>
      <w:pPr>
        <w:spacing w:line="360" w:lineRule="auto"/>
        <w:ind w:firstLine="480" w:firstLineChars="200"/>
        <w:rPr>
          <w:rFonts w:ascii="Times New Roman" w:hAnsi="Times New Roman" w:eastAsia="宋体"/>
          <w:color w:val="auto"/>
          <w:spacing w:val="0"/>
          <w:sz w:val="24"/>
          <w:szCs w:val="20"/>
          <w:highlight w:val="none"/>
        </w:rPr>
      </w:pPr>
      <w:r>
        <w:rPr>
          <w:rFonts w:hint="default" w:ascii="Times New Roman" w:hAnsi="Times New Roman" w:eastAsia="宋体"/>
          <w:color w:val="auto"/>
          <w:spacing w:val="0"/>
          <w:sz w:val="24"/>
          <w:szCs w:val="20"/>
          <w:highlight w:val="none"/>
        </w:rPr>
        <w:t>（2）甲方因政策、上级主管部门、母公司的规定要求或者甲方认为等情形，使本合同履行不必要、不可能的</w:t>
      </w:r>
      <w:r>
        <w:rPr>
          <w:rFonts w:hint="eastAsia"/>
          <w:color w:val="auto"/>
          <w:spacing w:val="0"/>
          <w:sz w:val="24"/>
          <w:szCs w:val="20"/>
          <w:highlight w:val="none"/>
          <w:lang w:eastAsia="zh-CN"/>
        </w:rPr>
        <w:t>。</w:t>
      </w:r>
    </w:p>
    <w:p>
      <w:pPr>
        <w:tabs>
          <w:tab w:val="left" w:pos="960"/>
          <w:tab w:val="left" w:pos="1080"/>
        </w:tabs>
        <w:spacing w:line="360" w:lineRule="auto"/>
        <w:ind w:firstLine="482" w:firstLineChars="200"/>
        <w:rPr>
          <w:b/>
          <w:bCs/>
          <w:color w:val="auto"/>
          <w:sz w:val="24"/>
          <w:highlight w:val="none"/>
        </w:rPr>
      </w:pPr>
      <w:r>
        <w:rPr>
          <w:rFonts w:hint="eastAsia"/>
          <w:b/>
          <w:bCs/>
          <w:color w:val="auto"/>
          <w:sz w:val="24"/>
          <w:highlight w:val="none"/>
          <w:lang w:val="en-US" w:eastAsia="zh-CN"/>
        </w:rPr>
        <w:t>七</w:t>
      </w:r>
      <w:r>
        <w:rPr>
          <w:rFonts w:hint="eastAsia"/>
          <w:b/>
          <w:bCs/>
          <w:color w:val="auto"/>
          <w:sz w:val="24"/>
          <w:highlight w:val="none"/>
        </w:rPr>
        <w:t>、</w:t>
      </w:r>
      <w:r>
        <w:rPr>
          <w:b/>
          <w:bCs/>
          <w:color w:val="auto"/>
          <w:sz w:val="24"/>
          <w:highlight w:val="none"/>
        </w:rPr>
        <w:t>其他</w:t>
      </w:r>
    </w:p>
    <w:p>
      <w:pPr>
        <w:tabs>
          <w:tab w:val="left" w:pos="142"/>
          <w:tab w:val="left" w:pos="360"/>
        </w:tabs>
        <w:spacing w:line="360" w:lineRule="auto"/>
        <w:ind w:firstLine="480" w:firstLineChars="200"/>
        <w:rPr>
          <w:color w:val="auto"/>
          <w:sz w:val="24"/>
          <w:highlight w:val="none"/>
        </w:rPr>
      </w:pPr>
      <w:r>
        <w:rPr>
          <w:color w:val="auto"/>
          <w:sz w:val="24"/>
          <w:highlight w:val="none"/>
        </w:rPr>
        <w:t>1.如果本协议有效期满后甲乙双方不再续约，</w:t>
      </w:r>
      <w:r>
        <w:rPr>
          <w:rFonts w:hint="eastAsia"/>
          <w:color w:val="auto"/>
          <w:sz w:val="24"/>
          <w:highlight w:val="none"/>
        </w:rPr>
        <w:t>协议自动终止</w:t>
      </w:r>
      <w:r>
        <w:rPr>
          <w:color w:val="auto"/>
          <w:sz w:val="24"/>
          <w:highlight w:val="none"/>
        </w:rPr>
        <w:t>。</w:t>
      </w:r>
    </w:p>
    <w:p>
      <w:pPr>
        <w:tabs>
          <w:tab w:val="left" w:pos="142"/>
          <w:tab w:val="left" w:pos="360"/>
        </w:tabs>
        <w:spacing w:line="360" w:lineRule="auto"/>
        <w:ind w:firstLine="480" w:firstLineChars="200"/>
        <w:rPr>
          <w:color w:val="auto"/>
          <w:sz w:val="24"/>
          <w:highlight w:val="none"/>
        </w:rPr>
      </w:pPr>
      <w:r>
        <w:rPr>
          <w:color w:val="auto"/>
          <w:sz w:val="24"/>
          <w:highlight w:val="none"/>
        </w:rPr>
        <w:t>2.因本协议产生的争议提交</w:t>
      </w:r>
      <w:r>
        <w:rPr>
          <w:rFonts w:hint="eastAsia"/>
          <w:color w:val="auto"/>
          <w:sz w:val="24"/>
          <w:highlight w:val="none"/>
          <w:lang w:val="en-US" w:eastAsia="zh-CN"/>
        </w:rPr>
        <w:t>甲方所在地人民法院</w:t>
      </w:r>
      <w:r>
        <w:rPr>
          <w:color w:val="auto"/>
          <w:sz w:val="24"/>
          <w:highlight w:val="none"/>
        </w:rPr>
        <w:t>处理。</w:t>
      </w:r>
    </w:p>
    <w:p>
      <w:pPr>
        <w:tabs>
          <w:tab w:val="left" w:pos="142"/>
          <w:tab w:val="left" w:pos="360"/>
        </w:tabs>
        <w:spacing w:line="360" w:lineRule="auto"/>
        <w:ind w:firstLine="480" w:firstLineChars="200"/>
        <w:rPr>
          <w:rFonts w:ascii="Times New Roman" w:hAnsi="Times New Roman" w:eastAsia="宋体" w:cs="Times New Roman"/>
          <w:color w:val="auto"/>
          <w:sz w:val="24"/>
          <w:highlight w:val="none"/>
        </w:rPr>
      </w:pPr>
      <w:r>
        <w:rPr>
          <w:color w:val="auto"/>
          <w:sz w:val="24"/>
          <w:highlight w:val="none"/>
        </w:rPr>
        <w:t>3.</w:t>
      </w:r>
      <w:r>
        <w:rPr>
          <w:rFonts w:hint="default" w:ascii="Times New Roman" w:hAnsi="Times New Roman" w:eastAsia="宋体" w:cs="Times New Roman"/>
          <w:color w:val="auto"/>
          <w:sz w:val="24"/>
          <w:szCs w:val="24"/>
          <w:highlight w:val="none"/>
        </w:rPr>
        <w:t>本</w:t>
      </w:r>
      <w:r>
        <w:rPr>
          <w:rFonts w:hint="default" w:ascii="Times New Roman" w:hAnsi="Times New Roman" w:eastAsia="宋体" w:cs="Times New Roman"/>
          <w:color w:val="auto"/>
          <w:sz w:val="24"/>
          <w:szCs w:val="24"/>
          <w:highlight w:val="none"/>
          <w:lang w:val="en-US" w:eastAsia="zh-CN"/>
        </w:rPr>
        <w:t>合同</w:t>
      </w:r>
      <w:r>
        <w:rPr>
          <w:rFonts w:hint="default" w:ascii="Times New Roman" w:hAnsi="Times New Roman" w:eastAsia="宋体" w:cs="Times New Roman"/>
          <w:color w:val="auto"/>
          <w:sz w:val="24"/>
          <w:szCs w:val="24"/>
          <w:highlight w:val="none"/>
        </w:rPr>
        <w:t>以双方法定代表人或其授权代表在“中煤易购电子签章平台”（域名为：</w:t>
      </w:r>
      <w:r>
        <w:rPr>
          <w:rFonts w:ascii="Times New Roman" w:hAnsi="Times New Roman" w:eastAsia="宋体" w:cs="Times New Roman"/>
          <w:color w:val="auto"/>
          <w:sz w:val="24"/>
          <w:szCs w:val="24"/>
          <w:highlight w:val="none"/>
        </w:rPr>
        <w:t>https://ego.chinacoal.com/ca_zmyg</w:t>
      </w:r>
      <w:r>
        <w:rPr>
          <w:rFonts w:hint="default" w:ascii="Times New Roman" w:hAnsi="Times New Roman" w:eastAsia="宋体" w:cs="Times New Roman"/>
          <w:color w:val="auto"/>
          <w:sz w:val="24"/>
          <w:szCs w:val="24"/>
          <w:highlight w:val="none"/>
        </w:rPr>
        <w:t>）上凭所签发的数字证书以电子签名形式加盖其电子章（“电子签名”）的方式签署，自签署后生效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合同</w:t>
      </w:r>
      <w:r>
        <w:rPr>
          <w:rFonts w:hint="default" w:ascii="Times New Roman" w:hAnsi="Times New Roman" w:eastAsia="宋体" w:cs="Times New Roman"/>
          <w:color w:val="auto"/>
          <w:sz w:val="24"/>
          <w:szCs w:val="24"/>
          <w:highlight w:val="none"/>
        </w:rPr>
        <w:t>一式</w:t>
      </w:r>
      <w:r>
        <w:rPr>
          <w:rFonts w:hint="eastAsia"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w:t>
      </w:r>
      <w:r>
        <w:rPr>
          <w:rFonts w:hint="default" w:ascii="Times New Roman" w:hAnsi="Times New Roman" w:eastAsia="宋体" w:cs="Times New Roman"/>
          <w:color w:val="auto"/>
          <w:sz w:val="24"/>
          <w:szCs w:val="24"/>
          <w:highlight w:val="none"/>
          <w:lang w:eastAsia="zh-Hans"/>
        </w:rPr>
        <w:t>双</w:t>
      </w:r>
      <w:r>
        <w:rPr>
          <w:rFonts w:hint="default" w:ascii="Times New Roman" w:hAnsi="Times New Roman" w:eastAsia="宋体" w:cs="Times New Roman"/>
          <w:color w:val="auto"/>
          <w:sz w:val="24"/>
          <w:szCs w:val="24"/>
          <w:highlight w:val="none"/>
        </w:rPr>
        <w:t>方各执</w:t>
      </w:r>
      <w:r>
        <w:rPr>
          <w:rFonts w:hint="eastAsia" w:cs="Times New Roman"/>
          <w:color w:val="auto"/>
          <w:sz w:val="24"/>
          <w:szCs w:val="24"/>
          <w:highlight w:val="none"/>
          <w:lang w:val="en-US" w:eastAsia="zh-CN"/>
        </w:rPr>
        <w:t>壹</w:t>
      </w:r>
      <w:r>
        <w:rPr>
          <w:rFonts w:hint="default" w:ascii="Times New Roman" w:hAnsi="Times New Roman" w:eastAsia="宋体" w:cs="Times New Roman"/>
          <w:color w:val="auto"/>
          <w:sz w:val="24"/>
          <w:szCs w:val="24"/>
          <w:highlight w:val="none"/>
        </w:rPr>
        <w:t>份，以电子数据形式储存在“中煤易购电子签章平台”中，每份具有</w:t>
      </w:r>
      <w:r>
        <w:rPr>
          <w:rFonts w:hint="default" w:ascii="Times New Roman" w:hAnsi="Times New Roman" w:eastAsia="宋体" w:cs="Times New Roman"/>
          <w:color w:val="auto"/>
          <w:sz w:val="24"/>
          <w:szCs w:val="24"/>
          <w:highlight w:val="none"/>
          <w:lang w:eastAsia="zh-Hans"/>
        </w:rPr>
        <w:t>相同的</w:t>
      </w:r>
      <w:r>
        <w:rPr>
          <w:rFonts w:hint="default" w:ascii="Times New Roman" w:hAnsi="Times New Roman" w:eastAsia="宋体" w:cs="Times New Roman"/>
          <w:color w:val="auto"/>
          <w:sz w:val="24"/>
          <w:szCs w:val="24"/>
          <w:highlight w:val="none"/>
        </w:rPr>
        <w:t>法律效力。</w:t>
      </w:r>
    </w:p>
    <w:p>
      <w:pPr>
        <w:spacing w:line="360" w:lineRule="auto"/>
        <w:ind w:firstLine="480" w:firstLineChars="200"/>
        <w:rPr>
          <w:rFonts w:hint="eastAsia"/>
          <w:sz w:val="24"/>
          <w:highlight w:val="none"/>
          <w:lang w:val="en-US" w:eastAsia="zh-CN"/>
        </w:rPr>
      </w:pPr>
    </w:p>
    <w:p>
      <w:pPr>
        <w:spacing w:line="360" w:lineRule="auto"/>
        <w:ind w:firstLine="480" w:firstLineChars="200"/>
        <w:rPr>
          <w:rFonts w:hint="eastAsia"/>
          <w:color w:val="auto"/>
          <w:sz w:val="24"/>
          <w:highlight w:val="none"/>
        </w:rPr>
      </w:pPr>
      <w:r>
        <w:rPr>
          <w:rFonts w:hint="eastAsia"/>
          <w:color w:val="auto"/>
          <w:sz w:val="24"/>
          <w:highlight w:val="none"/>
        </w:rPr>
        <w:t>附件</w:t>
      </w:r>
      <w:r>
        <w:rPr>
          <w:rFonts w:hint="eastAsia"/>
          <w:color w:val="auto"/>
          <w:sz w:val="24"/>
          <w:highlight w:val="none"/>
          <w:lang w:val="en-US" w:eastAsia="zh-CN"/>
        </w:rPr>
        <w:t>1</w:t>
      </w:r>
      <w:r>
        <w:rPr>
          <w:rFonts w:hint="eastAsia"/>
          <w:color w:val="auto"/>
          <w:sz w:val="24"/>
          <w:highlight w:val="none"/>
        </w:rPr>
        <w:t>：供需双方廉洁互保协议</w:t>
      </w:r>
    </w:p>
    <w:p>
      <w:pPr>
        <w:ind w:firstLine="48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附件2：</w:t>
      </w:r>
      <w:r>
        <w:rPr>
          <w:rFonts w:hint="eastAsia" w:ascii="Times New Roman" w:hAnsi="Times New Roman" w:eastAsia="宋体" w:cs="Times New Roman"/>
          <w:color w:val="auto"/>
          <w:sz w:val="24"/>
          <w:highlight w:val="none"/>
        </w:rPr>
        <w:t>保密及无利益冲突承诺函</w:t>
      </w:r>
    </w:p>
    <w:p>
      <w:pPr>
        <w:spacing w:line="360" w:lineRule="auto"/>
        <w:rPr>
          <w:sz w:val="24"/>
          <w:highlight w:val="none"/>
        </w:rPr>
      </w:pPr>
    </w:p>
    <w:p>
      <w:pPr>
        <w:spacing w:line="240" w:lineRule="auto"/>
        <w:rPr>
          <w:color w:val="auto"/>
          <w:sz w:val="24"/>
          <w:highlight w:val="none"/>
        </w:rPr>
      </w:pPr>
      <w:r>
        <w:rPr>
          <w:color w:val="auto"/>
          <w:sz w:val="24"/>
          <w:highlight w:val="none"/>
        </w:rPr>
        <w:br w:type="page"/>
      </w:r>
    </w:p>
    <w:p>
      <w:pPr>
        <w:spacing w:line="360" w:lineRule="auto"/>
        <w:rPr>
          <w:color w:val="auto"/>
          <w:sz w:val="24"/>
          <w:highlight w:val="none"/>
        </w:rPr>
      </w:pPr>
      <w:r>
        <w:rPr>
          <w:color w:val="auto"/>
          <w:sz w:val="24"/>
          <w:highlight w:val="none"/>
        </w:rPr>
        <w:t>（此页无正文）</w:t>
      </w:r>
    </w:p>
    <w:p>
      <w:pPr>
        <w:spacing w:line="360" w:lineRule="auto"/>
        <w:rPr>
          <w:sz w:val="24"/>
          <w:highlight w:val="none"/>
        </w:rPr>
      </w:pPr>
    </w:p>
    <w:p>
      <w:pPr>
        <w:spacing w:line="360" w:lineRule="auto"/>
        <w:rPr>
          <w:sz w:val="24"/>
          <w:highlight w:val="none"/>
        </w:rPr>
      </w:pPr>
    </w:p>
    <w:tbl>
      <w:tblPr>
        <w:tblStyle w:val="27"/>
        <w:tblpPr w:leftFromText="180" w:rightFromText="180" w:vertAnchor="text" w:horzAnchor="page" w:tblpX="1073"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7"/>
        <w:gridCol w:w="4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887" w:type="dxa"/>
            <w:tcBorders>
              <w:bottom w:val="nil"/>
              <w:right w:val="single" w:color="auto" w:sz="4" w:space="0"/>
            </w:tcBorders>
            <w:noWrap w:val="0"/>
            <w:vAlign w:val="top"/>
          </w:tcPr>
          <w:p>
            <w:pPr>
              <w:tabs>
                <w:tab w:val="left" w:pos="360"/>
              </w:tabs>
              <w:spacing w:line="360" w:lineRule="exact"/>
              <w:ind w:left="1643" w:leftChars="1" w:hanging="1641" w:hangingChars="681"/>
              <w:rPr>
                <w:sz w:val="24"/>
                <w:highlight w:val="none"/>
              </w:rPr>
            </w:pPr>
            <w:r>
              <w:rPr>
                <w:b/>
                <w:sz w:val="24"/>
                <w:highlight w:val="none"/>
              </w:rPr>
              <w:t>甲方</w:t>
            </w:r>
            <w:r>
              <w:rPr>
                <w:rFonts w:hint="eastAsia"/>
                <w:b/>
                <w:sz w:val="24"/>
                <w:highlight w:val="none"/>
                <w:lang w:eastAsia="zh-CN"/>
              </w:rPr>
              <w:t>（</w:t>
            </w:r>
            <w:r>
              <w:rPr>
                <w:rFonts w:hint="eastAsia"/>
                <w:b/>
                <w:sz w:val="24"/>
                <w:highlight w:val="none"/>
                <w:lang w:val="en-US" w:eastAsia="zh-CN"/>
              </w:rPr>
              <w:t>盖章</w:t>
            </w:r>
            <w:r>
              <w:rPr>
                <w:rFonts w:hint="eastAsia"/>
                <w:b/>
                <w:sz w:val="24"/>
                <w:highlight w:val="none"/>
                <w:lang w:eastAsia="zh-CN"/>
              </w:rPr>
              <w:t>）</w:t>
            </w:r>
            <w:r>
              <w:rPr>
                <w:b/>
                <w:sz w:val="24"/>
                <w:highlight w:val="none"/>
              </w:rPr>
              <w:t>：</w:t>
            </w:r>
          </w:p>
        </w:tc>
        <w:tc>
          <w:tcPr>
            <w:tcW w:w="4658" w:type="dxa"/>
            <w:tcBorders>
              <w:left w:val="single" w:color="auto" w:sz="4" w:space="0"/>
              <w:bottom w:val="nil"/>
            </w:tcBorders>
            <w:noWrap w:val="0"/>
            <w:vAlign w:val="top"/>
          </w:tcPr>
          <w:p>
            <w:pPr>
              <w:tabs>
                <w:tab w:val="left" w:pos="360"/>
              </w:tabs>
              <w:spacing w:line="360" w:lineRule="exact"/>
              <w:ind w:left="1552" w:hanging="1552" w:hangingChars="644"/>
              <w:rPr>
                <w:sz w:val="24"/>
                <w:highlight w:val="none"/>
              </w:rPr>
            </w:pPr>
            <w:r>
              <w:rPr>
                <w:b/>
                <w:sz w:val="24"/>
                <w:highlight w:val="none"/>
              </w:rPr>
              <w:t>乙方</w:t>
            </w:r>
            <w:r>
              <w:rPr>
                <w:rFonts w:hint="eastAsia"/>
                <w:b/>
                <w:sz w:val="24"/>
                <w:highlight w:val="none"/>
                <w:lang w:eastAsia="zh-CN"/>
              </w:rPr>
              <w:t>（</w:t>
            </w:r>
            <w:r>
              <w:rPr>
                <w:rFonts w:hint="eastAsia"/>
                <w:b/>
                <w:sz w:val="24"/>
                <w:highlight w:val="none"/>
                <w:lang w:val="en-US" w:eastAsia="zh-CN"/>
              </w:rPr>
              <w:t>盖章</w:t>
            </w:r>
            <w:r>
              <w:rPr>
                <w:rFonts w:hint="eastAsia"/>
                <w:b/>
                <w:sz w:val="24"/>
                <w:highlight w:val="none"/>
                <w:lang w:eastAsia="zh-CN"/>
              </w:rPr>
              <w:t>）</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87" w:type="dxa"/>
            <w:tcBorders>
              <w:top w:val="nil"/>
              <w:bottom w:val="nil"/>
              <w:right w:val="single" w:color="auto" w:sz="4" w:space="0"/>
            </w:tcBorders>
            <w:noWrap w:val="0"/>
            <w:vAlign w:val="top"/>
          </w:tcPr>
          <w:p>
            <w:pPr>
              <w:tabs>
                <w:tab w:val="left" w:pos="360"/>
              </w:tabs>
              <w:spacing w:line="360" w:lineRule="exact"/>
              <w:rPr>
                <w:b/>
                <w:sz w:val="24"/>
                <w:highlight w:val="none"/>
              </w:rPr>
            </w:pPr>
            <w:r>
              <w:rPr>
                <w:sz w:val="24"/>
                <w:highlight w:val="none"/>
              </w:rPr>
              <w:t>地址：</w:t>
            </w:r>
          </w:p>
        </w:tc>
        <w:tc>
          <w:tcPr>
            <w:tcW w:w="4658" w:type="dxa"/>
            <w:tcBorders>
              <w:top w:val="nil"/>
              <w:left w:val="single" w:color="auto" w:sz="4" w:space="0"/>
              <w:bottom w:val="nil"/>
            </w:tcBorders>
            <w:noWrap w:val="0"/>
            <w:vAlign w:val="top"/>
          </w:tcPr>
          <w:p>
            <w:pPr>
              <w:tabs>
                <w:tab w:val="left" w:pos="360"/>
              </w:tabs>
              <w:spacing w:line="360" w:lineRule="exact"/>
              <w:rPr>
                <w:b/>
                <w:sz w:val="24"/>
                <w:highlight w:val="none"/>
              </w:rPr>
            </w:pPr>
            <w:r>
              <w:rPr>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87" w:type="dxa"/>
            <w:tcBorders>
              <w:top w:val="nil"/>
              <w:bottom w:val="nil"/>
              <w:right w:val="single" w:color="auto" w:sz="4" w:space="0"/>
            </w:tcBorders>
            <w:noWrap w:val="0"/>
            <w:vAlign w:val="center"/>
          </w:tcPr>
          <w:p>
            <w:pPr>
              <w:tabs>
                <w:tab w:val="left" w:pos="360"/>
              </w:tabs>
              <w:spacing w:line="360" w:lineRule="exact"/>
              <w:rPr>
                <w:sz w:val="24"/>
                <w:highlight w:val="none"/>
              </w:rPr>
            </w:pPr>
            <w:r>
              <w:rPr>
                <w:rFonts w:hint="eastAsia"/>
                <w:sz w:val="24"/>
                <w:highlight w:val="none"/>
                <w:lang w:eastAsia="zh-CN"/>
              </w:rPr>
              <w:t>（</w:t>
            </w:r>
            <w:r>
              <w:rPr>
                <w:rFonts w:hint="eastAsia"/>
                <w:sz w:val="24"/>
                <w:highlight w:val="none"/>
                <w:lang w:val="en-US" w:eastAsia="zh-CN"/>
              </w:rPr>
              <w:t>甲方签名</w:t>
            </w:r>
            <w:r>
              <w:rPr>
                <w:rFonts w:hint="eastAsia"/>
                <w:sz w:val="24"/>
                <w:highlight w:val="none"/>
                <w:lang w:eastAsia="zh-CN"/>
              </w:rPr>
              <w:t>）</w:t>
            </w:r>
            <w:r>
              <w:rPr>
                <w:rFonts w:hint="eastAsia"/>
                <w:sz w:val="24"/>
                <w:highlight w:val="none"/>
              </w:rPr>
              <w:t>：</w:t>
            </w:r>
            <w:r>
              <w:rPr>
                <w:sz w:val="24"/>
                <w:highlight w:val="none"/>
              </w:rPr>
              <w:t xml:space="preserve"> </w:t>
            </w:r>
          </w:p>
        </w:tc>
        <w:tc>
          <w:tcPr>
            <w:tcW w:w="4658" w:type="dxa"/>
            <w:tcBorders>
              <w:top w:val="nil"/>
              <w:left w:val="single" w:color="auto" w:sz="4" w:space="0"/>
              <w:bottom w:val="nil"/>
            </w:tcBorders>
            <w:noWrap w:val="0"/>
            <w:vAlign w:val="top"/>
          </w:tcPr>
          <w:p>
            <w:pPr>
              <w:tabs>
                <w:tab w:val="left" w:pos="360"/>
              </w:tabs>
              <w:spacing w:line="360" w:lineRule="exact"/>
              <w:rPr>
                <w:sz w:val="24"/>
                <w:highlight w:val="none"/>
              </w:rPr>
            </w:pPr>
            <w:r>
              <w:rPr>
                <w:rFonts w:hint="eastAsia"/>
                <w:sz w:val="24"/>
                <w:highlight w:val="none"/>
                <w:lang w:eastAsia="zh-CN"/>
              </w:rPr>
              <w:t>（</w:t>
            </w:r>
            <w:r>
              <w:rPr>
                <w:rFonts w:hint="eastAsia"/>
                <w:sz w:val="24"/>
                <w:highlight w:val="none"/>
                <w:lang w:val="en-US" w:eastAsia="zh-CN"/>
              </w:rPr>
              <w:t>乙方签名</w:t>
            </w:r>
            <w:r>
              <w:rPr>
                <w:rFonts w:hint="eastAsia"/>
                <w:sz w:val="24"/>
                <w:highlight w:val="none"/>
                <w:lang w:eastAsia="zh-CN"/>
              </w:rPr>
              <w:t>）</w:t>
            </w:r>
            <w:r>
              <w:rPr>
                <w:rFonts w:hint="eastAsia"/>
                <w:sz w:val="24"/>
                <w:highlight w:val="none"/>
              </w:rPr>
              <w:t>：</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887" w:type="dxa"/>
            <w:tcBorders>
              <w:top w:val="nil"/>
              <w:bottom w:val="nil"/>
              <w:right w:val="single" w:color="auto" w:sz="4" w:space="0"/>
            </w:tcBorders>
            <w:noWrap w:val="0"/>
            <w:vAlign w:val="center"/>
          </w:tcPr>
          <w:p>
            <w:pPr>
              <w:tabs>
                <w:tab w:val="left" w:pos="360"/>
              </w:tabs>
              <w:spacing w:line="360" w:lineRule="exact"/>
              <w:rPr>
                <w:sz w:val="24"/>
                <w:highlight w:val="none"/>
              </w:rPr>
            </w:pPr>
            <w:r>
              <w:rPr>
                <w:sz w:val="24"/>
                <w:highlight w:val="none"/>
              </w:rPr>
              <w:t xml:space="preserve"> </w:t>
            </w:r>
          </w:p>
        </w:tc>
        <w:tc>
          <w:tcPr>
            <w:tcW w:w="4658" w:type="dxa"/>
            <w:tcBorders>
              <w:top w:val="nil"/>
              <w:left w:val="single" w:color="auto" w:sz="4" w:space="0"/>
              <w:bottom w:val="nil"/>
            </w:tcBorders>
            <w:noWrap w:val="0"/>
            <w:vAlign w:val="top"/>
          </w:tcPr>
          <w:p>
            <w:pPr>
              <w:tabs>
                <w:tab w:val="left" w:pos="360"/>
              </w:tabs>
              <w:spacing w:line="36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887" w:type="dxa"/>
            <w:tcBorders>
              <w:top w:val="nil"/>
              <w:bottom w:val="nil"/>
              <w:right w:val="single" w:color="auto" w:sz="4" w:space="0"/>
            </w:tcBorders>
            <w:noWrap w:val="0"/>
            <w:vAlign w:val="center"/>
          </w:tcPr>
          <w:p>
            <w:pPr>
              <w:tabs>
                <w:tab w:val="left" w:pos="360"/>
              </w:tabs>
              <w:spacing w:line="360" w:lineRule="exact"/>
              <w:rPr>
                <w:sz w:val="24"/>
                <w:highlight w:val="none"/>
              </w:rPr>
            </w:pPr>
          </w:p>
        </w:tc>
        <w:tc>
          <w:tcPr>
            <w:tcW w:w="4658" w:type="dxa"/>
            <w:tcBorders>
              <w:top w:val="nil"/>
              <w:left w:val="single" w:color="auto" w:sz="4" w:space="0"/>
              <w:bottom w:val="nil"/>
            </w:tcBorders>
            <w:noWrap w:val="0"/>
            <w:vAlign w:val="top"/>
          </w:tcPr>
          <w:p>
            <w:pPr>
              <w:tabs>
                <w:tab w:val="left" w:pos="360"/>
              </w:tabs>
              <w:spacing w:line="360" w:lineRule="exac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887" w:type="dxa"/>
            <w:tcBorders>
              <w:top w:val="nil"/>
              <w:bottom w:val="nil"/>
              <w:right w:val="single" w:color="auto" w:sz="4" w:space="0"/>
            </w:tcBorders>
            <w:noWrap w:val="0"/>
            <w:vAlign w:val="top"/>
          </w:tcPr>
          <w:p>
            <w:pPr>
              <w:tabs>
                <w:tab w:val="left" w:pos="360"/>
              </w:tabs>
              <w:spacing w:line="360" w:lineRule="exact"/>
              <w:rPr>
                <w:sz w:val="24"/>
                <w:highlight w:val="none"/>
              </w:rPr>
            </w:pPr>
            <w:r>
              <w:rPr>
                <w:sz w:val="24"/>
                <w:highlight w:val="none"/>
              </w:rPr>
              <w:t>电话：</w:t>
            </w:r>
          </w:p>
        </w:tc>
        <w:tc>
          <w:tcPr>
            <w:tcW w:w="4658" w:type="dxa"/>
            <w:tcBorders>
              <w:top w:val="nil"/>
              <w:left w:val="single" w:color="auto" w:sz="4" w:space="0"/>
              <w:bottom w:val="nil"/>
            </w:tcBorders>
            <w:noWrap w:val="0"/>
            <w:vAlign w:val="top"/>
          </w:tcPr>
          <w:p>
            <w:pPr>
              <w:tabs>
                <w:tab w:val="left" w:pos="700"/>
                <w:tab w:val="left" w:pos="2463"/>
              </w:tabs>
              <w:spacing w:line="400" w:lineRule="exact"/>
              <w:ind w:left="1301" w:hanging="1300" w:hangingChars="542"/>
              <w:rPr>
                <w:sz w:val="24"/>
                <w:highlight w:val="none"/>
              </w:rPr>
            </w:pPr>
            <w:r>
              <w:rPr>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87" w:type="dxa"/>
            <w:tcBorders>
              <w:top w:val="nil"/>
              <w:bottom w:val="nil"/>
              <w:right w:val="single" w:color="auto" w:sz="4" w:space="0"/>
            </w:tcBorders>
            <w:noWrap w:val="0"/>
            <w:vAlign w:val="top"/>
          </w:tcPr>
          <w:p>
            <w:pPr>
              <w:tabs>
                <w:tab w:val="left" w:pos="360"/>
              </w:tabs>
              <w:spacing w:line="360" w:lineRule="exact"/>
              <w:rPr>
                <w:sz w:val="24"/>
                <w:highlight w:val="none"/>
              </w:rPr>
            </w:pPr>
            <w:r>
              <w:rPr>
                <w:sz w:val="24"/>
                <w:highlight w:val="none"/>
              </w:rPr>
              <w:t>传真：</w:t>
            </w:r>
          </w:p>
        </w:tc>
        <w:tc>
          <w:tcPr>
            <w:tcW w:w="4658" w:type="dxa"/>
            <w:tcBorders>
              <w:top w:val="nil"/>
              <w:left w:val="single" w:color="auto" w:sz="4" w:space="0"/>
              <w:bottom w:val="nil"/>
            </w:tcBorders>
            <w:noWrap w:val="0"/>
            <w:vAlign w:val="top"/>
          </w:tcPr>
          <w:p>
            <w:pPr>
              <w:tabs>
                <w:tab w:val="left" w:pos="360"/>
              </w:tabs>
              <w:spacing w:line="360" w:lineRule="exact"/>
              <w:rPr>
                <w:rFonts w:hint="eastAsia"/>
                <w:sz w:val="24"/>
                <w:highlight w:val="none"/>
              </w:rPr>
            </w:pPr>
            <w:r>
              <w:rPr>
                <w:sz w:val="24"/>
                <w:highlight w:val="none"/>
              </w:rPr>
              <w:t>传真</w:t>
            </w: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887" w:type="dxa"/>
            <w:tcBorders>
              <w:top w:val="nil"/>
              <w:bottom w:val="nil"/>
              <w:right w:val="single" w:color="auto" w:sz="4" w:space="0"/>
            </w:tcBorders>
            <w:noWrap w:val="0"/>
            <w:vAlign w:val="top"/>
          </w:tcPr>
          <w:p>
            <w:pPr>
              <w:tabs>
                <w:tab w:val="left" w:pos="360"/>
              </w:tabs>
              <w:spacing w:line="360" w:lineRule="exact"/>
              <w:rPr>
                <w:sz w:val="24"/>
                <w:highlight w:val="none"/>
              </w:rPr>
            </w:pPr>
            <w:r>
              <w:rPr>
                <w:sz w:val="24"/>
                <w:highlight w:val="none"/>
              </w:rPr>
              <w:t>开户银行：</w:t>
            </w:r>
          </w:p>
        </w:tc>
        <w:tc>
          <w:tcPr>
            <w:tcW w:w="4658" w:type="dxa"/>
            <w:tcBorders>
              <w:top w:val="nil"/>
              <w:left w:val="single" w:color="auto" w:sz="4" w:space="0"/>
              <w:bottom w:val="nil"/>
            </w:tcBorders>
            <w:noWrap w:val="0"/>
            <w:vAlign w:val="top"/>
          </w:tcPr>
          <w:p>
            <w:pPr>
              <w:tabs>
                <w:tab w:val="left" w:pos="360"/>
              </w:tabs>
              <w:spacing w:line="360" w:lineRule="exact"/>
              <w:rPr>
                <w:sz w:val="24"/>
                <w:highlight w:val="none"/>
              </w:rPr>
            </w:pPr>
            <w:r>
              <w:rPr>
                <w:sz w:val="24"/>
                <w:highlight w:val="none"/>
              </w:rPr>
              <w:t>开户银行：</w:t>
            </w:r>
          </w:p>
          <w:p>
            <w:pPr>
              <w:tabs>
                <w:tab w:val="left" w:pos="360"/>
              </w:tabs>
              <w:spacing w:line="360" w:lineRule="exact"/>
              <w:rPr>
                <w:sz w:val="24"/>
                <w:highlight w:val="none"/>
              </w:rPr>
            </w:pPr>
            <w:r>
              <w:rPr>
                <w:sz w:val="24"/>
                <w:highlight w:val="none"/>
              </w:rPr>
              <w:t xml:space="preserve">行  </w:t>
            </w:r>
            <w:r>
              <w:rPr>
                <w:rFonts w:hint="eastAsia"/>
                <w:sz w:val="24"/>
                <w:highlight w:val="none"/>
              </w:rPr>
              <w:t xml:space="preserve">  </w:t>
            </w:r>
            <w:r>
              <w:rPr>
                <w:sz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87" w:type="dxa"/>
            <w:tcBorders>
              <w:top w:val="nil"/>
              <w:bottom w:val="nil"/>
              <w:right w:val="single" w:color="auto" w:sz="4" w:space="0"/>
            </w:tcBorders>
            <w:noWrap w:val="0"/>
            <w:vAlign w:val="top"/>
          </w:tcPr>
          <w:p>
            <w:pPr>
              <w:tabs>
                <w:tab w:val="left" w:pos="360"/>
              </w:tabs>
              <w:spacing w:line="360" w:lineRule="exact"/>
              <w:rPr>
                <w:sz w:val="24"/>
                <w:highlight w:val="none"/>
              </w:rPr>
            </w:pPr>
            <w:r>
              <w:rPr>
                <w:sz w:val="24"/>
                <w:highlight w:val="none"/>
              </w:rPr>
              <w:t>账号：</w:t>
            </w:r>
          </w:p>
        </w:tc>
        <w:tc>
          <w:tcPr>
            <w:tcW w:w="4658" w:type="dxa"/>
            <w:tcBorders>
              <w:top w:val="nil"/>
              <w:left w:val="single" w:color="auto" w:sz="4" w:space="0"/>
              <w:bottom w:val="nil"/>
            </w:tcBorders>
            <w:noWrap w:val="0"/>
            <w:vAlign w:val="top"/>
          </w:tcPr>
          <w:p>
            <w:pPr>
              <w:tabs>
                <w:tab w:val="left" w:pos="360"/>
              </w:tabs>
              <w:spacing w:line="360" w:lineRule="exact"/>
              <w:rPr>
                <w:sz w:val="24"/>
                <w:highlight w:val="none"/>
              </w:rPr>
            </w:pPr>
            <w:r>
              <w:rPr>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87" w:type="dxa"/>
            <w:tcBorders>
              <w:top w:val="nil"/>
              <w:right w:val="single" w:color="auto" w:sz="4" w:space="0"/>
            </w:tcBorders>
            <w:noWrap w:val="0"/>
            <w:vAlign w:val="top"/>
          </w:tcPr>
          <w:p>
            <w:pPr>
              <w:tabs>
                <w:tab w:val="left" w:pos="360"/>
              </w:tabs>
              <w:spacing w:line="360" w:lineRule="exact"/>
              <w:rPr>
                <w:sz w:val="24"/>
                <w:highlight w:val="none"/>
              </w:rPr>
            </w:pPr>
            <w:r>
              <w:rPr>
                <w:sz w:val="24"/>
                <w:highlight w:val="none"/>
              </w:rPr>
              <w:t>邮政编码：</w:t>
            </w:r>
          </w:p>
        </w:tc>
        <w:tc>
          <w:tcPr>
            <w:tcW w:w="4658" w:type="dxa"/>
            <w:tcBorders>
              <w:top w:val="nil"/>
              <w:left w:val="single" w:color="auto" w:sz="4" w:space="0"/>
            </w:tcBorders>
            <w:noWrap w:val="0"/>
            <w:vAlign w:val="top"/>
          </w:tcPr>
          <w:p>
            <w:pPr>
              <w:tabs>
                <w:tab w:val="left" w:pos="360"/>
              </w:tabs>
              <w:spacing w:line="360" w:lineRule="exact"/>
              <w:rPr>
                <w:sz w:val="24"/>
                <w:highlight w:val="none"/>
              </w:rPr>
            </w:pPr>
            <w:r>
              <w:rPr>
                <w:sz w:val="24"/>
                <w:highlight w:val="none"/>
              </w:rPr>
              <w:t>邮政编码：</w:t>
            </w:r>
          </w:p>
        </w:tc>
      </w:tr>
    </w:tbl>
    <w:p>
      <w:pPr>
        <w:pStyle w:val="25"/>
        <w:numPr>
          <w:ilvl w:val="0"/>
          <w:numId w:val="0"/>
        </w:numPr>
        <w:spacing w:line="540" w:lineRule="exact"/>
        <w:jc w:val="both"/>
        <w:rPr>
          <w:rFonts w:hint="eastAsia"/>
          <w:sz w:val="24"/>
          <w:highlight w:val="none"/>
          <w:lang w:val="en-US" w:eastAsia="zh-CN"/>
        </w:rPr>
      </w:pPr>
      <w:bookmarkStart w:id="126" w:name="_Toc29711"/>
      <w:r>
        <w:rPr>
          <w:rFonts w:hint="eastAsia"/>
          <w:highlight w:val="none"/>
          <w:lang w:val="en-US" w:eastAsia="zh-CN"/>
        </w:rPr>
        <w:br w:type="page"/>
      </w:r>
      <w:bookmarkEnd w:id="126"/>
      <w:bookmarkStart w:id="127" w:name="_Toc18212"/>
      <w:r>
        <w:rPr>
          <w:rFonts w:hint="eastAsia"/>
          <w:sz w:val="24"/>
          <w:highlight w:val="none"/>
          <w:lang w:val="en-US" w:eastAsia="zh-CN"/>
        </w:rPr>
        <w:t>附件1</w:t>
      </w:r>
      <w:bookmarkEnd w:id="127"/>
    </w:p>
    <w:p>
      <w:pPr>
        <w:spacing w:line="540" w:lineRule="exact"/>
        <w:jc w:val="center"/>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sz w:val="30"/>
          <w:szCs w:val="30"/>
          <w:highlight w:val="none"/>
        </w:rPr>
        <w:t>供需双方廉洁互保协议</w:t>
      </w:r>
    </w:p>
    <w:p>
      <w:pPr>
        <w:spacing w:line="360" w:lineRule="auto"/>
        <w:ind w:firstLine="480" w:firstLineChars="200"/>
        <w:rPr>
          <w:rFonts w:hint="eastAsia"/>
          <w:color w:val="auto"/>
          <w:highlight w:val="none"/>
        </w:rPr>
      </w:pPr>
    </w:p>
    <w:p>
      <w:pPr>
        <w:spacing w:line="360" w:lineRule="auto"/>
        <w:ind w:firstLine="480" w:firstLineChars="200"/>
        <w:rPr>
          <w:rFonts w:hint="eastAsia"/>
          <w:color w:val="auto"/>
          <w:highlight w:val="none"/>
        </w:rPr>
      </w:pPr>
      <w:r>
        <w:rPr>
          <w:rFonts w:hint="eastAsia"/>
          <w:color w:val="auto"/>
          <w:highlight w:val="none"/>
        </w:rPr>
        <w:t>甲</w:t>
      </w:r>
      <w:r>
        <w:rPr>
          <w:color w:val="auto"/>
          <w:highlight w:val="none"/>
        </w:rPr>
        <w:t>方：</w:t>
      </w:r>
      <w:r>
        <w:rPr>
          <w:rFonts w:hint="eastAsia"/>
          <w:color w:val="auto"/>
          <w:highlight w:val="none"/>
        </w:rPr>
        <w:t>中国煤炭开发有限责任公司</w:t>
      </w:r>
    </w:p>
    <w:p>
      <w:pPr>
        <w:spacing w:line="360" w:lineRule="auto"/>
        <w:ind w:firstLine="480" w:firstLineChars="200"/>
        <w:rPr>
          <w:rFonts w:hint="eastAsia"/>
          <w:color w:val="auto"/>
          <w:highlight w:val="none"/>
        </w:rPr>
      </w:pPr>
      <w:r>
        <w:rPr>
          <w:rFonts w:hint="eastAsia"/>
          <w:color w:val="auto"/>
          <w:highlight w:val="none"/>
        </w:rPr>
        <w:t>乙</w:t>
      </w:r>
      <w:r>
        <w:rPr>
          <w:color w:val="auto"/>
          <w:highlight w:val="none"/>
        </w:rPr>
        <w:t>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为规范双方业务往来活动，建立诚实守信的商务合作关系，共同维护双方合法权益，防止违法违纪现象发生，经友好协商，双方就业务往来中的廉洁事宜达成此互保协议。</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eastAsia="黑体"/>
          <w:color w:val="auto"/>
          <w:highlight w:val="none"/>
        </w:rPr>
      </w:pPr>
      <w:r>
        <w:rPr>
          <w:rFonts w:eastAsia="黑体"/>
          <w:color w:val="auto"/>
          <w:highlight w:val="none"/>
        </w:rPr>
        <w:t xml:space="preserve">第一条  </w:t>
      </w:r>
      <w:r>
        <w:rPr>
          <w:color w:val="auto"/>
          <w:highlight w:val="none"/>
        </w:rPr>
        <w:t>甲乙双方共同的权利和义务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1</w:t>
      </w:r>
      <w:r>
        <w:rPr>
          <w:rFonts w:hint="eastAsia"/>
          <w:color w:val="auto"/>
          <w:highlight w:val="none"/>
        </w:rPr>
        <w:t>.</w:t>
      </w:r>
      <w:r>
        <w:rPr>
          <w:color w:val="auto"/>
          <w:highlight w:val="none"/>
        </w:rPr>
        <w:t>严格遵守国家有关法律法规，坚持诚实守信原则，恪守商业道德，规范商务人员廉洁从业行为。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2</w:t>
      </w:r>
      <w:r>
        <w:rPr>
          <w:rFonts w:hint="eastAsia"/>
          <w:color w:val="auto"/>
          <w:highlight w:val="none"/>
        </w:rPr>
        <w:t>.</w:t>
      </w:r>
      <w:r>
        <w:rPr>
          <w:color w:val="auto"/>
          <w:highlight w:val="none"/>
        </w:rPr>
        <w:t>双方业务活动坚持公开、公正、诚信、透明的原则（商业秘密和合同文件另有规定的除外），不得损害国家和对方利益。</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3</w:t>
      </w:r>
      <w:r>
        <w:rPr>
          <w:rFonts w:hint="eastAsia"/>
          <w:color w:val="auto"/>
          <w:highlight w:val="none"/>
        </w:rPr>
        <w:t>.</w:t>
      </w:r>
      <w:r>
        <w:rPr>
          <w:color w:val="auto"/>
          <w:highlight w:val="none"/>
        </w:rPr>
        <w:t>发现对方工作人员在业务活动中有违反廉洁规定的行为，有及时要求对方纠正并向对方举报的权利和义务；涉嫌违法的，可以依法向有关部门举报。</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4</w:t>
      </w:r>
      <w:r>
        <w:rPr>
          <w:rFonts w:hint="eastAsia"/>
          <w:color w:val="auto"/>
          <w:highlight w:val="none"/>
        </w:rPr>
        <w:t>.</w:t>
      </w:r>
      <w:r>
        <w:rPr>
          <w:color w:val="auto"/>
          <w:highlight w:val="none"/>
        </w:rPr>
        <w:t>对涉嫌不廉洁的商业行为进行调查时，双方有相互配合、提供证据、作证的义务。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5</w:t>
      </w:r>
      <w:r>
        <w:rPr>
          <w:rFonts w:hint="eastAsia"/>
          <w:color w:val="auto"/>
          <w:highlight w:val="none"/>
        </w:rPr>
        <w:t>.</w:t>
      </w:r>
      <w:r>
        <w:rPr>
          <w:color w:val="auto"/>
          <w:highlight w:val="none"/>
        </w:rPr>
        <w:t>未经对方同意，不向任何新闻媒体、第三人述及有关对方工作人员恪守商业道德方面的评价、信息。</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6</w:t>
      </w:r>
      <w:r>
        <w:rPr>
          <w:rFonts w:hint="eastAsia"/>
          <w:color w:val="auto"/>
          <w:highlight w:val="none"/>
        </w:rPr>
        <w:t>.</w:t>
      </w:r>
      <w:r>
        <w:rPr>
          <w:color w:val="auto"/>
          <w:highlight w:val="none"/>
        </w:rPr>
        <w:t xml:space="preserve">双方应依法保护举报人员，不得以任何方式对举报人员进行打击报复。 </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eastAsia="黑体"/>
          <w:color w:val="auto"/>
          <w:highlight w:val="none"/>
        </w:rPr>
      </w:pPr>
      <w:r>
        <w:rPr>
          <w:rFonts w:eastAsia="黑体"/>
          <w:color w:val="auto"/>
          <w:highlight w:val="none"/>
        </w:rPr>
        <w:t xml:space="preserve">第二条  </w:t>
      </w:r>
      <w:r>
        <w:rPr>
          <w:color w:val="auto"/>
          <w:highlight w:val="none"/>
        </w:rPr>
        <w:t>甲方的廉洁责任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1</w:t>
      </w:r>
      <w:r>
        <w:rPr>
          <w:rFonts w:hint="eastAsia"/>
          <w:color w:val="auto"/>
          <w:highlight w:val="none"/>
        </w:rPr>
        <w:t>.</w:t>
      </w:r>
      <w:r>
        <w:rPr>
          <w:color w:val="auto"/>
          <w:highlight w:val="none"/>
        </w:rPr>
        <w:t>甲方工作人员不得以任何形式索要或接受乙方的礼金、礼品和有价证券，不得在乙方报销任何应由个人支付的各种费用。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2</w:t>
      </w:r>
      <w:r>
        <w:rPr>
          <w:rFonts w:hint="eastAsia"/>
          <w:color w:val="auto"/>
          <w:highlight w:val="none"/>
        </w:rPr>
        <w:t>.</w:t>
      </w:r>
      <w:r>
        <w:rPr>
          <w:color w:val="auto"/>
          <w:highlight w:val="none"/>
        </w:rPr>
        <w:t>甲方工作人员不得私自参加乙方安排的宴请，不得私自接受乙方提供的通讯、交通工具和办公用品，不得向乙方泄露谈判中的商业秘密。</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3</w:t>
      </w:r>
      <w:r>
        <w:rPr>
          <w:rFonts w:hint="eastAsia"/>
          <w:color w:val="auto"/>
          <w:highlight w:val="none"/>
        </w:rPr>
        <w:t>.</w:t>
      </w:r>
      <w:r>
        <w:rPr>
          <w:color w:val="auto"/>
          <w:highlight w:val="none"/>
        </w:rPr>
        <w:t>甲方工作人员不得要求或者接受乙方以住房装修、婚丧嫁娶、家属及其他亲属的工作安排、出国出境、旅游等为理由所提供的方便。</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4</w:t>
      </w:r>
      <w:r>
        <w:rPr>
          <w:rFonts w:hint="eastAsia"/>
          <w:color w:val="auto"/>
          <w:highlight w:val="none"/>
        </w:rPr>
        <w:t>.</w:t>
      </w:r>
      <w:r>
        <w:rPr>
          <w:color w:val="auto"/>
          <w:highlight w:val="none"/>
        </w:rPr>
        <w:t>甲方工作人员不得以任何理由向乙方推荐物资供应单位、工程承包或劳务分包单位，合同另有约定除外。</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eastAsia="黑体"/>
          <w:color w:val="auto"/>
          <w:highlight w:val="none"/>
        </w:rPr>
      </w:pPr>
      <w:r>
        <w:rPr>
          <w:rFonts w:eastAsia="黑体"/>
          <w:color w:val="auto"/>
          <w:highlight w:val="none"/>
        </w:rPr>
        <w:t xml:space="preserve">第三条  </w:t>
      </w:r>
      <w:r>
        <w:rPr>
          <w:color w:val="auto"/>
          <w:highlight w:val="none"/>
        </w:rPr>
        <w:t>乙方的廉洁责任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1</w:t>
      </w:r>
      <w:r>
        <w:rPr>
          <w:rFonts w:hint="eastAsia"/>
          <w:color w:val="auto"/>
          <w:highlight w:val="none"/>
        </w:rPr>
        <w:t>.</w:t>
      </w:r>
      <w:r>
        <w:rPr>
          <w:color w:val="auto"/>
          <w:highlight w:val="none"/>
        </w:rPr>
        <w:t>乙方及其工作人员不得为甲方工作人员提供回扣、礼金、有价证券、贵重物品和报销个人费用。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2</w:t>
      </w:r>
      <w:r>
        <w:rPr>
          <w:rFonts w:hint="eastAsia"/>
          <w:color w:val="auto"/>
          <w:highlight w:val="none"/>
        </w:rPr>
        <w:t>.</w:t>
      </w:r>
      <w:r>
        <w:rPr>
          <w:color w:val="auto"/>
          <w:highlight w:val="none"/>
        </w:rPr>
        <w:t>乙方及其工作人员不得为甲方工作人员安排有可能影响公平、公正交易的宴请、健身、娱乐等活动。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3</w:t>
      </w:r>
      <w:r>
        <w:rPr>
          <w:rFonts w:hint="eastAsia"/>
          <w:color w:val="auto"/>
          <w:highlight w:val="none"/>
        </w:rPr>
        <w:t>.</w:t>
      </w:r>
      <w:r>
        <w:rPr>
          <w:color w:val="auto"/>
          <w:highlight w:val="none"/>
        </w:rPr>
        <w:t>乙方及其工作人员不得为甲方工作人员投资入股、个人借款或买卖股票、债券等提供方便。</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spacing w:val="-8"/>
          <w:highlight w:val="none"/>
        </w:rPr>
      </w:pPr>
      <w:r>
        <w:rPr>
          <w:color w:val="auto"/>
          <w:highlight w:val="none"/>
        </w:rPr>
        <w:t>4</w:t>
      </w:r>
      <w:r>
        <w:rPr>
          <w:rFonts w:hint="eastAsia"/>
          <w:color w:val="auto"/>
          <w:highlight w:val="none"/>
        </w:rPr>
        <w:t>.</w:t>
      </w:r>
      <w:r>
        <w:rPr>
          <w:color w:val="auto"/>
          <w:spacing w:val="-2"/>
          <w:highlight w:val="none"/>
        </w:rPr>
        <w:t>乙方及其工作人员不得为甲方工作人员购买或装修住房、婚</w:t>
      </w:r>
      <w:r>
        <w:rPr>
          <w:color w:val="auto"/>
          <w:spacing w:val="-8"/>
          <w:highlight w:val="none"/>
        </w:rPr>
        <w:t>丧嫁娶、配偶子女上学或工作安排以及出国出境、旅游等提供方便。</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5</w:t>
      </w:r>
      <w:r>
        <w:rPr>
          <w:rFonts w:hint="eastAsia"/>
          <w:color w:val="auto"/>
          <w:highlight w:val="none"/>
        </w:rPr>
        <w:t>.</w:t>
      </w:r>
      <w:r>
        <w:rPr>
          <w:color w:val="auto"/>
          <w:highlight w:val="none"/>
        </w:rPr>
        <w:t>乙方及其工作人员不得为甲方工作人员在其相关企业挂名兼职、合伙经营、介绍承揽业务等提供方便。</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6</w:t>
      </w:r>
      <w:r>
        <w:rPr>
          <w:rFonts w:hint="eastAsia"/>
          <w:color w:val="auto"/>
          <w:highlight w:val="none"/>
        </w:rPr>
        <w:t>.</w:t>
      </w:r>
      <w:r>
        <w:rPr>
          <w:color w:val="auto"/>
          <w:highlight w:val="none"/>
        </w:rPr>
        <w:t>乙方及其工作人员不得利用非法手段向甲方工作人员打探有关涉及甲方的商业秘密、业务渠道等。</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7</w:t>
      </w:r>
      <w:r>
        <w:rPr>
          <w:rFonts w:hint="eastAsia"/>
          <w:color w:val="auto"/>
          <w:highlight w:val="none"/>
        </w:rPr>
        <w:t>.</w:t>
      </w:r>
      <w:r>
        <w:rPr>
          <w:color w:val="auto"/>
          <w:highlight w:val="none"/>
        </w:rPr>
        <w:t>乙方及其工作人员与甲方发生业务往来过程中，不得有弄虚作假、以次充好、虚结虚算等违反诚信原则的行为。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8</w:t>
      </w:r>
      <w:r>
        <w:rPr>
          <w:rFonts w:hint="eastAsia"/>
          <w:color w:val="auto"/>
          <w:highlight w:val="none"/>
        </w:rPr>
        <w:t>.</w:t>
      </w:r>
      <w:r>
        <w:rPr>
          <w:rFonts w:hint="eastAsia"/>
          <w:color w:val="auto"/>
          <w:highlight w:val="none"/>
          <w:lang w:eastAsia="zh-CN"/>
        </w:rPr>
        <w:t>其他</w:t>
      </w:r>
      <w:r>
        <w:rPr>
          <w:color w:val="auto"/>
          <w:highlight w:val="none"/>
        </w:rPr>
        <w:t>违反廉洁规定的行为。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rFonts w:eastAsia="黑体"/>
          <w:color w:val="auto"/>
          <w:highlight w:val="none"/>
        </w:rPr>
        <w:t xml:space="preserve">第四条  </w:t>
      </w:r>
      <w:r>
        <w:rPr>
          <w:color w:val="auto"/>
          <w:highlight w:val="none"/>
        </w:rPr>
        <w:t>甲方工作人员有违反本协议行为的，甲方应按照管理权限，依据有关规定给予纪律处分、组织处理或经济处罚；涉嫌犯罪的，移交司法机关追究法律责任。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rFonts w:eastAsia="黑体"/>
          <w:color w:val="auto"/>
          <w:highlight w:val="none"/>
        </w:rPr>
        <w:t xml:space="preserve">第五条  </w:t>
      </w:r>
      <w:r>
        <w:rPr>
          <w:color w:val="auto"/>
          <w:highlight w:val="none"/>
        </w:rPr>
        <w:t>乙方及其工作人员有违反本协议行为的，甲方有权根据情节和所造成的影响采取以下相应措施：</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1</w:t>
      </w:r>
      <w:r>
        <w:rPr>
          <w:rFonts w:hint="eastAsia"/>
          <w:color w:val="auto"/>
          <w:highlight w:val="none"/>
        </w:rPr>
        <w:t>.</w:t>
      </w:r>
      <w:r>
        <w:rPr>
          <w:color w:val="auto"/>
          <w:highlight w:val="none"/>
        </w:rPr>
        <w:t>情节轻微的，要求乙方对相关工作人员进行处分处理，并限期整改。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2</w:t>
      </w:r>
      <w:r>
        <w:rPr>
          <w:rFonts w:hint="eastAsia"/>
          <w:color w:val="auto"/>
          <w:highlight w:val="none"/>
        </w:rPr>
        <w:t>.</w:t>
      </w:r>
      <w:r>
        <w:rPr>
          <w:color w:val="auto"/>
          <w:highlight w:val="none"/>
        </w:rPr>
        <w:t>导致甲方工作人员受到纪律处分、组织处理或构成违法犯罪的，扣罚乙方合同金额50%的违约金，列入永久禁入中煤市场黑名单。</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color w:val="auto"/>
          <w:highlight w:val="none"/>
        </w:rPr>
        <w:t>3</w:t>
      </w:r>
      <w:r>
        <w:rPr>
          <w:rFonts w:hint="eastAsia"/>
          <w:color w:val="auto"/>
          <w:highlight w:val="none"/>
        </w:rPr>
        <w:t>.</w:t>
      </w:r>
      <w:r>
        <w:rPr>
          <w:color w:val="auto"/>
          <w:highlight w:val="none"/>
        </w:rPr>
        <w:t>给甲方造成重大社会影响或重大经济损失的，甲方有权解除、终止双方尚未履行完毕的业务合同，暂停支付合同未结算款项，甲方遭受的损失由乙方负责赔偿，乙方因甲方解除合同产生的损失由乙方自行承担，列入永久禁入中煤市场黑名单。</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color w:val="auto"/>
          <w:highlight w:val="none"/>
        </w:rPr>
      </w:pPr>
      <w:r>
        <w:rPr>
          <w:rFonts w:eastAsia="黑体"/>
          <w:color w:val="auto"/>
          <w:highlight w:val="none"/>
        </w:rPr>
        <w:t>第六条</w:t>
      </w:r>
      <w:r>
        <w:rPr>
          <w:color w:val="auto"/>
          <w:highlight w:val="none"/>
        </w:rPr>
        <w:t xml:space="preserve">  本协议作为双方签订的所有业务合同的组成部分，与业务合同具有同等法律效力。</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color w:val="auto"/>
          <w:highlight w:val="none"/>
        </w:rPr>
      </w:pPr>
      <w:r>
        <w:rPr>
          <w:rFonts w:eastAsia="黑体"/>
          <w:color w:val="auto"/>
          <w:highlight w:val="none"/>
        </w:rPr>
        <w:t>第七条</w:t>
      </w:r>
      <w:r>
        <w:rPr>
          <w:color w:val="auto"/>
          <w:highlight w:val="none"/>
        </w:rPr>
        <w:t xml:space="preserve">  </w:t>
      </w:r>
      <w:r>
        <w:rPr>
          <w:rFonts w:hint="default" w:ascii="Times New Roman" w:hAnsi="Times New Roman" w:eastAsia="宋体" w:cs="Times New Roman"/>
          <w:color w:val="auto"/>
          <w:sz w:val="24"/>
          <w:szCs w:val="24"/>
          <w:highlight w:val="none"/>
        </w:rPr>
        <w:t>本</w:t>
      </w:r>
      <w:r>
        <w:rPr>
          <w:rFonts w:hint="eastAsia" w:cs="Times New Roman"/>
          <w:color w:val="auto"/>
          <w:sz w:val="24"/>
          <w:szCs w:val="24"/>
          <w:highlight w:val="none"/>
          <w:lang w:val="en-US" w:eastAsia="zh-CN"/>
        </w:rPr>
        <w:t>协议</w:t>
      </w:r>
      <w:r>
        <w:rPr>
          <w:rFonts w:hint="default" w:ascii="Times New Roman" w:hAnsi="Times New Roman" w:eastAsia="宋体" w:cs="Times New Roman"/>
          <w:color w:val="auto"/>
          <w:sz w:val="24"/>
          <w:szCs w:val="24"/>
          <w:highlight w:val="none"/>
        </w:rPr>
        <w:t>以双方法定代表人或其授权代表在“中煤易购电子签章平台”（域名为：</w:t>
      </w:r>
      <w:r>
        <w:rPr>
          <w:rFonts w:ascii="Times New Roman" w:hAnsi="Times New Roman" w:eastAsia="宋体" w:cs="Times New Roman"/>
          <w:color w:val="auto"/>
          <w:sz w:val="24"/>
          <w:szCs w:val="24"/>
          <w:highlight w:val="none"/>
        </w:rPr>
        <w:t>https://ego.chinacoal.com/ca_zmyg</w:t>
      </w:r>
      <w:r>
        <w:rPr>
          <w:rFonts w:hint="default" w:ascii="Times New Roman" w:hAnsi="Times New Roman" w:eastAsia="宋体" w:cs="Times New Roman"/>
          <w:color w:val="auto"/>
          <w:sz w:val="24"/>
          <w:szCs w:val="24"/>
          <w:highlight w:val="none"/>
        </w:rPr>
        <w:t>）上凭所签发的数字证书以电子签名形式加盖其电子章（“电子签名”）的方式签署，自签署后生效</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协议</w:t>
      </w:r>
      <w:r>
        <w:rPr>
          <w:rFonts w:hint="default" w:ascii="Times New Roman" w:hAnsi="Times New Roman" w:eastAsia="宋体" w:cs="Times New Roman"/>
          <w:color w:val="auto"/>
          <w:sz w:val="24"/>
          <w:szCs w:val="24"/>
          <w:highlight w:val="none"/>
        </w:rPr>
        <w:t>一式</w:t>
      </w:r>
      <w:r>
        <w:rPr>
          <w:rFonts w:hint="eastAsia" w:cs="Times New Roman"/>
          <w:color w:val="auto"/>
          <w:sz w:val="24"/>
          <w:szCs w:val="24"/>
          <w:highlight w:val="none"/>
          <w:lang w:val="en-US" w:eastAsia="zh-CN"/>
        </w:rPr>
        <w:t>贰</w:t>
      </w:r>
      <w:r>
        <w:rPr>
          <w:rFonts w:hint="default" w:ascii="Times New Roman" w:hAnsi="Times New Roman" w:eastAsia="宋体" w:cs="Times New Roman"/>
          <w:color w:val="auto"/>
          <w:sz w:val="24"/>
          <w:szCs w:val="24"/>
          <w:highlight w:val="none"/>
        </w:rPr>
        <w:t>份，</w:t>
      </w:r>
      <w:r>
        <w:rPr>
          <w:rFonts w:hint="default" w:ascii="Times New Roman" w:hAnsi="Times New Roman" w:eastAsia="宋体" w:cs="Times New Roman"/>
          <w:color w:val="auto"/>
          <w:sz w:val="24"/>
          <w:szCs w:val="24"/>
          <w:highlight w:val="none"/>
          <w:lang w:eastAsia="zh-Hans"/>
        </w:rPr>
        <w:t>双</w:t>
      </w:r>
      <w:r>
        <w:rPr>
          <w:rFonts w:hint="default" w:ascii="Times New Roman" w:hAnsi="Times New Roman" w:eastAsia="宋体" w:cs="Times New Roman"/>
          <w:color w:val="auto"/>
          <w:sz w:val="24"/>
          <w:szCs w:val="24"/>
          <w:highlight w:val="none"/>
        </w:rPr>
        <w:t>方各执</w:t>
      </w:r>
      <w:r>
        <w:rPr>
          <w:rFonts w:hint="eastAsia" w:cs="Times New Roman"/>
          <w:color w:val="auto"/>
          <w:sz w:val="24"/>
          <w:szCs w:val="24"/>
          <w:highlight w:val="none"/>
          <w:lang w:val="en-US" w:eastAsia="zh-CN"/>
        </w:rPr>
        <w:t>壹</w:t>
      </w:r>
      <w:r>
        <w:rPr>
          <w:rFonts w:hint="default" w:ascii="Times New Roman" w:hAnsi="Times New Roman" w:eastAsia="宋体" w:cs="Times New Roman"/>
          <w:color w:val="auto"/>
          <w:sz w:val="24"/>
          <w:szCs w:val="24"/>
          <w:highlight w:val="none"/>
        </w:rPr>
        <w:t>份，以电子数据形式储存在“中煤易购电子签章平台”中，每份具有</w:t>
      </w:r>
      <w:r>
        <w:rPr>
          <w:rFonts w:hint="default" w:ascii="Times New Roman" w:hAnsi="Times New Roman" w:eastAsia="宋体" w:cs="Times New Roman"/>
          <w:color w:val="auto"/>
          <w:sz w:val="24"/>
          <w:szCs w:val="24"/>
          <w:highlight w:val="none"/>
          <w:lang w:eastAsia="zh-Hans"/>
        </w:rPr>
        <w:t>相同的</w:t>
      </w:r>
      <w:r>
        <w:rPr>
          <w:rFonts w:hint="default" w:ascii="Times New Roman" w:hAnsi="Times New Roman" w:eastAsia="宋体" w:cs="Times New Roman"/>
          <w:color w:val="auto"/>
          <w:sz w:val="24"/>
          <w:szCs w:val="24"/>
          <w:highlight w:val="none"/>
        </w:rPr>
        <w:t>法律效力。</w:t>
      </w:r>
    </w:p>
    <w:p>
      <w:pPr>
        <w:spacing w:line="560" w:lineRule="exact"/>
        <w:ind w:firstLine="480" w:firstLineChars="200"/>
        <w:rPr>
          <w:rFonts w:hint="eastAsia"/>
          <w:color w:val="auto"/>
          <w:highlight w:val="none"/>
        </w:rPr>
      </w:pPr>
    </w:p>
    <w:p>
      <w:pPr>
        <w:spacing w:line="560" w:lineRule="exact"/>
        <w:ind w:firstLine="480" w:firstLineChars="200"/>
        <w:rPr>
          <w:rFonts w:hint="eastAsia"/>
          <w:color w:val="auto"/>
          <w:highlight w:val="none"/>
        </w:rPr>
      </w:pPr>
      <w:r>
        <w:rPr>
          <w:color w:val="auto"/>
          <w:highlight w:val="none"/>
        </w:rPr>
        <w:t>甲方</w:t>
      </w:r>
      <w:r>
        <w:rPr>
          <w:rFonts w:hint="eastAsia"/>
          <w:color w:val="auto"/>
          <w:highlight w:val="none"/>
          <w:lang w:eastAsia="zh-CN"/>
        </w:rPr>
        <w:t>（</w:t>
      </w:r>
      <w:r>
        <w:rPr>
          <w:rFonts w:hint="eastAsia"/>
          <w:color w:val="auto"/>
          <w:highlight w:val="none"/>
          <w:lang w:val="en-US" w:eastAsia="zh-CN"/>
        </w:rPr>
        <w:t>盖章</w:t>
      </w:r>
      <w:r>
        <w:rPr>
          <w:rFonts w:hint="eastAsia"/>
          <w:color w:val="auto"/>
          <w:highlight w:val="none"/>
          <w:lang w:eastAsia="zh-CN"/>
        </w:rPr>
        <w:t>）</w:t>
      </w:r>
      <w:r>
        <w:rPr>
          <w:color w:val="auto"/>
          <w:highlight w:val="none"/>
        </w:rPr>
        <w:t>：</w:t>
      </w:r>
      <w:r>
        <w:rPr>
          <w:rFonts w:hint="eastAsia"/>
          <w:color w:val="auto"/>
          <w:highlight w:val="none"/>
        </w:rPr>
        <w:t>中国煤炭开发有限责任公司</w:t>
      </w:r>
      <w:r>
        <w:rPr>
          <w:color w:val="auto"/>
          <w:highlight w:val="none"/>
        </w:rPr>
        <w:t xml:space="preserve">     </w:t>
      </w:r>
      <w:r>
        <w:rPr>
          <w:rFonts w:hint="eastAsia"/>
          <w:color w:val="auto"/>
          <w:highlight w:val="none"/>
        </w:rPr>
        <w:t xml:space="preserve">     </w:t>
      </w:r>
      <w:r>
        <w:rPr>
          <w:color w:val="auto"/>
          <w:highlight w:val="none"/>
        </w:rPr>
        <w:t>乙方</w:t>
      </w:r>
      <w:r>
        <w:rPr>
          <w:rFonts w:hint="eastAsia"/>
          <w:color w:val="auto"/>
          <w:highlight w:val="none"/>
          <w:lang w:eastAsia="zh-CN"/>
        </w:rPr>
        <w:t>（</w:t>
      </w:r>
      <w:r>
        <w:rPr>
          <w:rFonts w:hint="eastAsia"/>
          <w:color w:val="auto"/>
          <w:highlight w:val="none"/>
          <w:lang w:val="en-US" w:eastAsia="zh-CN"/>
        </w:rPr>
        <w:t>盖章</w:t>
      </w:r>
      <w:r>
        <w:rPr>
          <w:rFonts w:hint="eastAsia"/>
          <w:color w:val="auto"/>
          <w:highlight w:val="none"/>
          <w:lang w:eastAsia="zh-CN"/>
        </w:rPr>
        <w:t>）</w:t>
      </w:r>
      <w:r>
        <w:rPr>
          <w:color w:val="auto"/>
          <w:highlight w:val="none"/>
        </w:rPr>
        <w:t>：</w:t>
      </w:r>
    </w:p>
    <w:p>
      <w:pPr>
        <w:spacing w:line="560" w:lineRule="exact"/>
        <w:ind w:firstLine="480"/>
        <w:rPr>
          <w:sz w:val="24"/>
          <w:highlight w:val="none"/>
        </w:rPr>
      </w:pPr>
      <w:r>
        <w:rPr>
          <w:color w:val="auto"/>
          <w:highlight w:val="none"/>
        </w:rPr>
        <w:t>（</w:t>
      </w:r>
      <w:r>
        <w:rPr>
          <w:rFonts w:hint="eastAsia"/>
          <w:color w:val="auto"/>
          <w:highlight w:val="none"/>
          <w:lang w:val="en-US" w:eastAsia="zh-CN"/>
        </w:rPr>
        <w:t>甲方签名</w:t>
      </w:r>
      <w:r>
        <w:rPr>
          <w:color w:val="auto"/>
          <w:highlight w:val="none"/>
        </w:rPr>
        <w:t xml:space="preserve">）         </w:t>
      </w:r>
      <w:r>
        <w:rPr>
          <w:rFonts w:hint="eastAsia"/>
          <w:color w:val="auto"/>
          <w:highlight w:val="none"/>
        </w:rPr>
        <w:t xml:space="preserve">                     </w:t>
      </w:r>
      <w:r>
        <w:rPr>
          <w:rFonts w:hint="eastAsia"/>
          <w:color w:val="auto"/>
          <w:highlight w:val="none"/>
          <w:lang w:val="en-US" w:eastAsia="zh-CN"/>
        </w:rPr>
        <w:t xml:space="preserve">     </w:t>
      </w:r>
      <w:r>
        <w:rPr>
          <w:color w:val="auto"/>
          <w:highlight w:val="none"/>
        </w:rPr>
        <w:t>（</w:t>
      </w:r>
      <w:r>
        <w:rPr>
          <w:rFonts w:hint="eastAsia"/>
          <w:color w:val="auto"/>
          <w:highlight w:val="none"/>
          <w:lang w:val="en-US" w:eastAsia="zh-CN"/>
        </w:rPr>
        <w:t>乙方</w:t>
      </w:r>
      <w:r>
        <w:rPr>
          <w:color w:val="auto"/>
          <w:highlight w:val="none"/>
        </w:rPr>
        <w:t>签</w:t>
      </w:r>
      <w:r>
        <w:rPr>
          <w:rFonts w:hint="eastAsia"/>
          <w:color w:val="auto"/>
          <w:highlight w:val="none"/>
          <w:lang w:val="en-US" w:eastAsia="zh-CN"/>
        </w:rPr>
        <w:t>名</w:t>
      </w:r>
      <w:r>
        <w:rPr>
          <w:color w:val="auto"/>
          <w:highlight w:val="none"/>
        </w:rPr>
        <w:t>）</w:t>
      </w:r>
      <w:r>
        <w:rPr>
          <w:rFonts w:hint="eastAsia"/>
          <w:sz w:val="24"/>
          <w:highlight w:val="none"/>
          <w:lang w:val="en-US" w:eastAsia="zh-CN"/>
        </w:rPr>
        <w:br w:type="page"/>
      </w:r>
      <w:r>
        <w:rPr>
          <w:rFonts w:hint="eastAsia"/>
          <w:sz w:val="24"/>
          <w:highlight w:val="none"/>
          <w:lang w:val="en-US" w:eastAsia="zh-CN"/>
        </w:rPr>
        <w:t>附件2</w:t>
      </w:r>
    </w:p>
    <w:p>
      <w:pPr>
        <w:pStyle w:val="96"/>
        <w:keepNext w:val="0"/>
        <w:keepLines w:val="0"/>
        <w:pageBreakBefore w:val="0"/>
        <w:kinsoku/>
        <w:wordWrap/>
        <w:overflowPunct/>
        <w:topLinePunct w:val="0"/>
        <w:autoSpaceDE/>
        <w:autoSpaceDN/>
        <w:bidi w:val="0"/>
        <w:snapToGrid/>
        <w:spacing w:beforeLines="0" w:after="164" w:afterLines="50" w:line="560" w:lineRule="exact"/>
        <w:ind w:left="0" w:leftChars="0"/>
        <w:jc w:val="center"/>
        <w:textAlignment w:val="auto"/>
        <w:rPr>
          <w:rFonts w:ascii="Times New Roman" w:hAnsi="Times New Roman" w:eastAsia="方正仿宋简体" w:cs="Times New Roman"/>
          <w:color w:val="auto"/>
          <w:spacing w:val="0"/>
          <w:kern w:val="2"/>
          <w:sz w:val="24"/>
          <w:szCs w:val="24"/>
          <w:highlight w:val="none"/>
        </w:rPr>
      </w:pPr>
      <w:r>
        <w:rPr>
          <w:rFonts w:ascii="Times New Roman" w:hAnsi="Times New Roman" w:eastAsia="方正小标宋简体" w:cs="Times New Roman"/>
          <w:spacing w:val="0"/>
          <w:sz w:val="30"/>
          <w:szCs w:val="30"/>
          <w:highlight w:val="none"/>
          <w:lang w:val="zh-TW" w:eastAsia="zh-TW"/>
        </w:rPr>
        <w:t>保密及无利益冲突承诺函</w:t>
      </w:r>
    </w:p>
    <w:p>
      <w:pPr>
        <w:pStyle w:val="96"/>
        <w:keepNext w:val="0"/>
        <w:keepLines w:val="0"/>
        <w:pageBreakBefore w:val="0"/>
        <w:kinsoku/>
        <w:wordWrap/>
        <w:overflowPunct/>
        <w:topLinePunct w:val="0"/>
        <w:autoSpaceDE/>
        <w:autoSpaceDN/>
        <w:bidi w:val="0"/>
        <w:snapToGrid/>
        <w:spacing w:beforeLines="0" w:afterLines="0" w:line="560" w:lineRule="exact"/>
        <w:ind w:left="0" w:leftChars="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rPr>
        <w:t>致:</w:t>
      </w:r>
      <w:r>
        <w:rPr>
          <w:rFonts w:hint="default" w:ascii="Times New Roman" w:hAnsi="Times New Roman" w:cs="Times New Roman" w:eastAsiaTheme="minorEastAsia"/>
          <w:color w:val="auto"/>
          <w:spacing w:val="0"/>
          <w:kern w:val="2"/>
          <w:sz w:val="24"/>
          <w:szCs w:val="24"/>
          <w:highlight w:val="none"/>
          <w:lang w:val="en-US" w:eastAsia="zh-CN"/>
        </w:rPr>
        <w:t>中国煤炭开发有限责任</w:t>
      </w:r>
      <w:r>
        <w:rPr>
          <w:rFonts w:hint="default" w:ascii="Times New Roman" w:hAnsi="Times New Roman" w:cs="Times New Roman" w:eastAsiaTheme="minorEastAsia"/>
          <w:color w:val="auto"/>
          <w:spacing w:val="0"/>
          <w:kern w:val="2"/>
          <w:sz w:val="24"/>
          <w:szCs w:val="24"/>
          <w:highlight w:val="none"/>
        </w:rPr>
        <w:t>公司</w:t>
      </w:r>
    </w:p>
    <w:p>
      <w:pPr>
        <w:pStyle w:val="96"/>
        <w:keepNext w:val="0"/>
        <w:keepLines w:val="0"/>
        <w:pageBreakBefore w:val="0"/>
        <w:tabs>
          <w:tab w:val="left" w:pos="840"/>
        </w:tabs>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bCs/>
          <w:spacing w:val="0"/>
          <w:sz w:val="24"/>
          <w:szCs w:val="24"/>
          <w:highlight w:val="none"/>
          <w:lang w:val="zh-TW" w:eastAsia="zh-TW"/>
        </w:rPr>
      </w:pPr>
      <w:r>
        <w:rPr>
          <w:rFonts w:hint="default" w:ascii="Times New Roman" w:hAnsi="Times New Roman" w:cs="Times New Roman" w:eastAsiaTheme="minorEastAsia"/>
          <w:bCs/>
          <w:spacing w:val="0"/>
          <w:sz w:val="24"/>
          <w:szCs w:val="24"/>
          <w:highlight w:val="none"/>
          <w:lang w:val="zh-TW"/>
        </w:rPr>
        <w:t>一、</w:t>
      </w:r>
      <w:r>
        <w:rPr>
          <w:rFonts w:hint="default" w:ascii="Times New Roman" w:hAnsi="Times New Roman" w:cs="Times New Roman" w:eastAsiaTheme="minorEastAsia"/>
          <w:bCs/>
          <w:spacing w:val="0"/>
          <w:sz w:val="24"/>
          <w:szCs w:val="24"/>
          <w:highlight w:val="none"/>
          <w:lang w:val="zh-TW" w:eastAsia="zh-TW"/>
        </w:rPr>
        <w:t>利益冲突</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rPr>
        <w:t>1.1本承诺函所称利益冲突，是指本律所</w:t>
      </w:r>
      <w:r>
        <w:rPr>
          <w:rFonts w:hint="default" w:ascii="Times New Roman" w:hAnsi="Times New Roman" w:cs="Times New Roman" w:eastAsiaTheme="minorEastAsia"/>
          <w:color w:val="auto"/>
          <w:spacing w:val="0"/>
          <w:kern w:val="2"/>
          <w:sz w:val="24"/>
          <w:szCs w:val="24"/>
          <w:highlight w:val="none"/>
          <w:lang w:eastAsia="zh-CN"/>
        </w:rPr>
        <w:t>（</w:t>
      </w:r>
      <w:r>
        <w:rPr>
          <w:rFonts w:hint="default" w:ascii="Times New Roman" w:hAnsi="Times New Roman" w:cs="Times New Roman" w:eastAsiaTheme="minorEastAsia"/>
          <w:color w:val="auto"/>
          <w:spacing w:val="0"/>
          <w:kern w:val="2"/>
          <w:sz w:val="24"/>
          <w:szCs w:val="24"/>
          <w:highlight w:val="none"/>
        </w:rPr>
        <w:t>无论任何一个地方办公室</w:t>
      </w:r>
      <w:r>
        <w:rPr>
          <w:rFonts w:hint="default" w:ascii="Times New Roman" w:hAnsi="Times New Roman" w:cs="Times New Roman" w:eastAsiaTheme="minorEastAsia"/>
          <w:color w:val="auto"/>
          <w:spacing w:val="0"/>
          <w:kern w:val="2"/>
          <w:sz w:val="24"/>
          <w:szCs w:val="24"/>
          <w:highlight w:val="none"/>
          <w:lang w:eastAsia="zh-CN"/>
        </w:rPr>
        <w:t>）</w:t>
      </w:r>
      <w:r>
        <w:rPr>
          <w:rFonts w:hint="default" w:ascii="Times New Roman" w:hAnsi="Times New Roman" w:cs="Times New Roman" w:eastAsiaTheme="minorEastAsia"/>
          <w:color w:val="auto"/>
          <w:spacing w:val="0"/>
          <w:kern w:val="2"/>
          <w:sz w:val="24"/>
          <w:szCs w:val="24"/>
          <w:highlight w:val="none"/>
        </w:rPr>
        <w:t>代理的贵司或贵司实际控制的企业</w:t>
      </w:r>
      <w:r>
        <w:rPr>
          <w:rFonts w:hint="default" w:ascii="Times New Roman" w:hAnsi="Times New Roman" w:cs="Times New Roman" w:eastAsiaTheme="minorEastAsia"/>
          <w:color w:val="auto"/>
          <w:spacing w:val="0"/>
          <w:kern w:val="2"/>
          <w:sz w:val="24"/>
          <w:szCs w:val="24"/>
          <w:highlight w:val="none"/>
          <w:lang w:eastAsia="zh-CN"/>
        </w:rPr>
        <w:t>（</w:t>
      </w:r>
      <w:r>
        <w:rPr>
          <w:rFonts w:hint="default" w:ascii="Times New Roman" w:hAnsi="Times New Roman" w:cs="Times New Roman" w:eastAsiaTheme="minorEastAsia"/>
          <w:color w:val="auto"/>
          <w:spacing w:val="0"/>
          <w:kern w:val="2"/>
          <w:sz w:val="24"/>
          <w:szCs w:val="24"/>
          <w:highlight w:val="none"/>
          <w:lang w:val="en-US" w:eastAsia="zh-CN"/>
        </w:rPr>
        <w:t>以下统称贵司）</w:t>
      </w:r>
      <w:r>
        <w:rPr>
          <w:rFonts w:hint="default" w:ascii="Times New Roman" w:hAnsi="Times New Roman" w:cs="Times New Roman" w:eastAsiaTheme="minorEastAsia"/>
          <w:color w:val="auto"/>
          <w:spacing w:val="0"/>
          <w:kern w:val="2"/>
          <w:sz w:val="24"/>
          <w:szCs w:val="24"/>
          <w:highlight w:val="none"/>
        </w:rPr>
        <w:t>委托事项与我方其他受托事项的委托人之间有利益上的冲突，继续代理会直接影响到相关委托人的利益的情形。</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rPr>
        <w:t>1.2本函所称利益冲突情形包括但不限于：</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rPr>
        <w:t>1.2.1</w:t>
      </w:r>
      <w:r>
        <w:rPr>
          <w:rFonts w:hint="default" w:ascii="Times New Roman" w:hAnsi="Times New Roman" w:cs="Times New Roman" w:eastAsiaTheme="minorEastAsia"/>
          <w:color w:val="auto"/>
          <w:spacing w:val="0"/>
          <w:kern w:val="2"/>
          <w:sz w:val="24"/>
          <w:szCs w:val="24"/>
          <w:highlight w:val="none"/>
          <w:lang w:val="zh-TW" w:eastAsia="zh-TW"/>
        </w:rPr>
        <w:t>同一诉讼或者仲裁案件中，同时接受对立双方委托的；</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rPr>
        <w:t>1.2.2在同一诉讼或者仲裁案件中，曾在前置程序中代理一方，又在后置程序中接受对立方委托的；</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spacing w:val="0"/>
          <w:sz w:val="24"/>
          <w:szCs w:val="24"/>
          <w:highlight w:val="none"/>
          <w:lang w:val="en-US" w:eastAsia="zh-CN"/>
        </w:rPr>
      </w:pPr>
      <w:r>
        <w:rPr>
          <w:rFonts w:hint="default" w:ascii="Times New Roman" w:hAnsi="Times New Roman" w:cs="Times New Roman" w:eastAsiaTheme="minorEastAsia"/>
          <w:color w:val="auto"/>
          <w:spacing w:val="0"/>
          <w:kern w:val="2"/>
          <w:sz w:val="24"/>
          <w:szCs w:val="24"/>
          <w:highlight w:val="none"/>
        </w:rPr>
        <w:t>1.2.3在担任常年或者专项顾问期间，又在诉讼或者仲裁案件中接受前述签约主体的对立方委托的；</w:t>
      </w:r>
      <w:r>
        <w:rPr>
          <w:rFonts w:hint="default" w:ascii="Times New Roman" w:hAnsi="Times New Roman" w:cs="Times New Roman" w:eastAsiaTheme="minorEastAsia"/>
          <w:spacing w:val="0"/>
          <w:sz w:val="24"/>
          <w:szCs w:val="24"/>
          <w:highlight w:val="none"/>
          <w:lang w:val="en-US" w:eastAsia="zh-CN"/>
        </w:rPr>
        <w:t>或者</w:t>
      </w:r>
      <w:r>
        <w:rPr>
          <w:rFonts w:hint="default" w:ascii="Times New Roman" w:hAnsi="Times New Roman" w:cs="Times New Roman" w:eastAsiaTheme="minorEastAsia"/>
          <w:color w:val="auto"/>
          <w:spacing w:val="0"/>
          <w:kern w:val="2"/>
          <w:sz w:val="24"/>
          <w:szCs w:val="24"/>
          <w:highlight w:val="none"/>
          <w:lang w:val="zh-TW" w:eastAsia="zh-TW"/>
        </w:rPr>
        <w:t>为签约主体的合作项目对方当事人就合作项目提供非诉讼服务的。</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spacing w:val="0"/>
          <w:sz w:val="24"/>
          <w:szCs w:val="24"/>
          <w:highlight w:val="none"/>
        </w:rPr>
      </w:pPr>
      <w:r>
        <w:rPr>
          <w:rFonts w:hint="default" w:ascii="Times New Roman" w:hAnsi="Times New Roman" w:cs="Times New Roman" w:eastAsiaTheme="minorEastAsia"/>
          <w:color w:val="auto"/>
          <w:spacing w:val="0"/>
          <w:kern w:val="2"/>
          <w:sz w:val="24"/>
          <w:szCs w:val="24"/>
          <w:highlight w:val="none"/>
          <w:lang w:val="zh-TW" w:eastAsia="zh-TW"/>
        </w:rPr>
        <w:t>1.2.</w:t>
      </w:r>
      <w:r>
        <w:rPr>
          <w:rFonts w:hint="default" w:ascii="Times New Roman" w:hAnsi="Times New Roman" w:cs="Times New Roman" w:eastAsiaTheme="minorEastAsia"/>
          <w:color w:val="auto"/>
          <w:spacing w:val="0"/>
          <w:kern w:val="2"/>
          <w:sz w:val="24"/>
          <w:szCs w:val="24"/>
          <w:highlight w:val="none"/>
          <w:lang w:val="en-US" w:eastAsia="zh-CN"/>
        </w:rPr>
        <w:t>4</w:t>
      </w:r>
      <w:r>
        <w:rPr>
          <w:rFonts w:hint="default" w:ascii="Times New Roman" w:hAnsi="Times New Roman" w:cs="Times New Roman" w:eastAsiaTheme="minorEastAsia"/>
          <w:color w:val="auto"/>
          <w:spacing w:val="0"/>
          <w:kern w:val="2"/>
          <w:sz w:val="24"/>
          <w:szCs w:val="24"/>
          <w:highlight w:val="none"/>
          <w:lang w:val="zh-TW" w:eastAsia="zh-TW"/>
        </w:rPr>
        <w:t xml:space="preserve"> 在非诉讼法律服务中，法律、行政法规明确规定不得同时接受对立双方或者利益冲突各方委托，而接受了委托的。</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rPr>
        <w:t>1.2.</w:t>
      </w:r>
      <w:r>
        <w:rPr>
          <w:rFonts w:hint="default" w:ascii="Times New Roman" w:hAnsi="Times New Roman" w:cs="Times New Roman" w:eastAsiaTheme="minorEastAsia"/>
          <w:color w:val="auto"/>
          <w:spacing w:val="0"/>
          <w:kern w:val="2"/>
          <w:sz w:val="24"/>
          <w:szCs w:val="24"/>
          <w:highlight w:val="none"/>
          <w:lang w:val="en-US" w:eastAsia="zh-CN"/>
        </w:rPr>
        <w:t>5</w:t>
      </w:r>
      <w:r>
        <w:rPr>
          <w:rFonts w:hint="default" w:ascii="Times New Roman" w:hAnsi="Times New Roman" w:cs="Times New Roman" w:eastAsiaTheme="minorEastAsia"/>
          <w:color w:val="auto"/>
          <w:spacing w:val="0"/>
          <w:kern w:val="2"/>
          <w:sz w:val="24"/>
          <w:szCs w:val="24"/>
          <w:highlight w:val="none"/>
          <w:lang w:val="zh-TW" w:eastAsia="zh-TW"/>
        </w:rPr>
        <w:t>同一律所同时接受可能会有利益冲突的两方或者两方以上的委托，进行协调、调解或其他争议解决工作。</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rPr>
        <w:t>1.2.</w:t>
      </w:r>
      <w:r>
        <w:rPr>
          <w:rFonts w:hint="default" w:ascii="Times New Roman" w:hAnsi="Times New Roman" w:cs="Times New Roman" w:eastAsiaTheme="minorEastAsia"/>
          <w:color w:val="auto"/>
          <w:spacing w:val="0"/>
          <w:kern w:val="2"/>
          <w:sz w:val="24"/>
          <w:szCs w:val="24"/>
          <w:highlight w:val="none"/>
          <w:lang w:val="en-US" w:eastAsia="zh-CN"/>
        </w:rPr>
        <w:t>6</w:t>
      </w:r>
      <w:r>
        <w:rPr>
          <w:rFonts w:hint="default" w:ascii="Times New Roman" w:hAnsi="Times New Roman" w:cs="Times New Roman" w:eastAsiaTheme="minorEastAsia"/>
          <w:color w:val="auto"/>
          <w:spacing w:val="0"/>
          <w:kern w:val="2"/>
          <w:sz w:val="24"/>
          <w:szCs w:val="24"/>
          <w:highlight w:val="none"/>
          <w:lang w:val="zh-TW" w:eastAsia="zh-TW"/>
        </w:rPr>
        <w:t>同一律所同时接受具有利益冲突的两方或者两方以上的委托，办理无事实争议的具体性事务。</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firstLine="480" w:firstLineChars="200"/>
        <w:jc w:val="left"/>
        <w:textAlignment w:val="auto"/>
        <w:rPr>
          <w:rFonts w:hint="default" w:ascii="Times New Roman" w:hAnsi="Times New Roman" w:cs="Times New Roman" w:eastAsiaTheme="minorEastAsia"/>
          <w:i w:val="0"/>
          <w:iCs w:val="0"/>
          <w:caps w:val="0"/>
          <w:color w:val="auto"/>
          <w:spacing w:val="0"/>
          <w:kern w:val="2"/>
          <w:sz w:val="24"/>
          <w:szCs w:val="24"/>
          <w:highlight w:val="none"/>
          <w:lang w:val="zh-TW" w:eastAsia="zh-TW" w:bidi="ar-SA"/>
        </w:rPr>
      </w:pPr>
      <w:r>
        <w:rPr>
          <w:rFonts w:hint="default" w:ascii="Times New Roman" w:hAnsi="Times New Roman" w:cs="Times New Roman" w:eastAsiaTheme="minorEastAsia"/>
          <w:i w:val="0"/>
          <w:iCs w:val="0"/>
          <w:caps w:val="0"/>
          <w:color w:val="auto"/>
          <w:spacing w:val="0"/>
          <w:kern w:val="2"/>
          <w:sz w:val="24"/>
          <w:szCs w:val="24"/>
          <w:highlight w:val="none"/>
          <w:shd w:val="clear" w:color="auto" w:fill="auto"/>
          <w:lang w:val="zh-TW" w:eastAsia="zh-TW" w:bidi="ar-SA"/>
        </w:rPr>
        <w:t>1.2.</w:t>
      </w:r>
      <w:r>
        <w:rPr>
          <w:rFonts w:hint="default" w:ascii="Times New Roman" w:hAnsi="Times New Roman" w:cs="Times New Roman" w:eastAsiaTheme="minorEastAsia"/>
          <w:i w:val="0"/>
          <w:iCs w:val="0"/>
          <w:caps w:val="0"/>
          <w:color w:val="auto"/>
          <w:spacing w:val="0"/>
          <w:kern w:val="2"/>
          <w:sz w:val="24"/>
          <w:szCs w:val="24"/>
          <w:highlight w:val="none"/>
          <w:shd w:val="clear" w:color="auto" w:fill="auto"/>
          <w:lang w:val="en-US" w:eastAsia="zh-CN" w:bidi="ar-SA"/>
        </w:rPr>
        <w:t>7</w:t>
      </w:r>
      <w:r>
        <w:rPr>
          <w:rFonts w:hint="default" w:ascii="Times New Roman" w:hAnsi="Times New Roman" w:cs="Times New Roman" w:eastAsiaTheme="minorEastAsia"/>
          <w:i w:val="0"/>
          <w:iCs w:val="0"/>
          <w:caps w:val="0"/>
          <w:color w:val="auto"/>
          <w:spacing w:val="0"/>
          <w:kern w:val="2"/>
          <w:sz w:val="24"/>
          <w:szCs w:val="24"/>
          <w:highlight w:val="none"/>
          <w:shd w:val="clear" w:color="auto" w:fill="auto"/>
          <w:lang w:val="zh-TW" w:eastAsia="zh-TW" w:bidi="ar-SA"/>
        </w:rPr>
        <w:t>在非诉讼业务中，同一律师事务所的律师</w:t>
      </w:r>
      <w:r>
        <w:rPr>
          <w:rFonts w:hint="default" w:ascii="Times New Roman" w:hAnsi="Times New Roman" w:cs="Times New Roman" w:eastAsiaTheme="minorEastAsia"/>
          <w:i w:val="0"/>
          <w:iCs w:val="0"/>
          <w:caps w:val="0"/>
          <w:color w:val="auto"/>
          <w:spacing w:val="0"/>
          <w:kern w:val="2"/>
          <w:sz w:val="24"/>
          <w:szCs w:val="24"/>
          <w:highlight w:val="none"/>
          <w:shd w:val="clear" w:color="auto" w:fill="auto"/>
          <w:lang w:val="en-US" w:eastAsia="zh-CN" w:bidi="ar-SA"/>
        </w:rPr>
        <w:t>同时接受</w:t>
      </w:r>
      <w:r>
        <w:rPr>
          <w:rFonts w:hint="default" w:ascii="Times New Roman" w:hAnsi="Times New Roman" w:cs="Times New Roman" w:eastAsiaTheme="minorEastAsia"/>
          <w:i w:val="0"/>
          <w:iCs w:val="0"/>
          <w:caps w:val="0"/>
          <w:color w:val="auto"/>
          <w:spacing w:val="0"/>
          <w:kern w:val="2"/>
          <w:sz w:val="24"/>
          <w:szCs w:val="24"/>
          <w:highlight w:val="none"/>
          <w:shd w:val="clear" w:color="auto" w:fill="auto"/>
          <w:lang w:val="zh-TW" w:eastAsia="zh-TW" w:bidi="ar-SA"/>
        </w:rPr>
        <w:t>彼此有利害关系的各方当事人的</w:t>
      </w:r>
      <w:r>
        <w:rPr>
          <w:rFonts w:hint="default" w:ascii="Times New Roman" w:hAnsi="Times New Roman" w:cs="Times New Roman" w:eastAsiaTheme="minorEastAsia"/>
          <w:i w:val="0"/>
          <w:iCs w:val="0"/>
          <w:caps w:val="0"/>
          <w:color w:val="auto"/>
          <w:spacing w:val="0"/>
          <w:kern w:val="2"/>
          <w:sz w:val="24"/>
          <w:szCs w:val="24"/>
          <w:highlight w:val="none"/>
          <w:shd w:val="clear" w:color="auto" w:fill="auto"/>
          <w:lang w:val="en-US" w:eastAsia="zh-CN" w:bidi="ar-SA"/>
        </w:rPr>
        <w:t>委托的</w:t>
      </w:r>
      <w:r>
        <w:rPr>
          <w:rFonts w:hint="default" w:ascii="Times New Roman" w:hAnsi="Times New Roman" w:cs="Times New Roman" w:eastAsiaTheme="minorEastAsia"/>
          <w:i w:val="0"/>
          <w:iCs w:val="0"/>
          <w:caps w:val="0"/>
          <w:color w:val="auto"/>
          <w:spacing w:val="0"/>
          <w:kern w:val="2"/>
          <w:sz w:val="24"/>
          <w:szCs w:val="24"/>
          <w:highlight w:val="none"/>
          <w:shd w:val="clear" w:color="auto" w:fill="auto"/>
          <w:lang w:val="zh-TW" w:eastAsia="zh-TW" w:bidi="ar-SA"/>
        </w:rPr>
        <w:t>；</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en-US" w:eastAsia="zh-CN"/>
        </w:rPr>
      </w:pPr>
      <w:r>
        <w:rPr>
          <w:rFonts w:hint="default" w:ascii="Times New Roman" w:hAnsi="Times New Roman" w:cs="Times New Roman" w:eastAsiaTheme="minorEastAsia"/>
          <w:color w:val="auto"/>
          <w:spacing w:val="0"/>
          <w:kern w:val="2"/>
          <w:sz w:val="24"/>
          <w:szCs w:val="24"/>
          <w:highlight w:val="none"/>
          <w:lang w:val="en-US" w:eastAsia="zh-CN"/>
        </w:rPr>
        <w:t>1.2.8</w:t>
      </w:r>
      <w:r>
        <w:rPr>
          <w:rFonts w:hint="default" w:ascii="Times New Roman" w:hAnsi="Times New Roman" w:cs="Times New Roman" w:eastAsiaTheme="minorEastAsia"/>
          <w:color w:val="auto"/>
          <w:spacing w:val="0"/>
          <w:kern w:val="2"/>
          <w:sz w:val="24"/>
          <w:szCs w:val="24"/>
          <w:highlight w:val="none"/>
          <w:lang w:val="zh-TW" w:eastAsia="zh-TW"/>
        </w:rPr>
        <w:t>在代理贵司的诉讼、仲裁案件结案后三个月内不做贵司的对方当事人或相对方代理人。</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rPr>
        <w:t>1.3</w:t>
      </w:r>
      <w:r>
        <w:rPr>
          <w:rFonts w:hint="default" w:ascii="Times New Roman" w:hAnsi="Times New Roman" w:cs="Times New Roman" w:eastAsiaTheme="minorEastAsia"/>
          <w:color w:val="auto"/>
          <w:spacing w:val="0"/>
          <w:kern w:val="2"/>
          <w:sz w:val="24"/>
          <w:szCs w:val="24"/>
          <w:highlight w:val="none"/>
          <w:lang w:val="zh-TW" w:eastAsia="zh-TW"/>
        </w:rPr>
        <w:t>我方承诺:</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lang w:val="zh-TW"/>
        </w:rPr>
        <w:t>1</w:t>
      </w:r>
      <w:r>
        <w:rPr>
          <w:rFonts w:hint="default" w:ascii="Times New Roman" w:hAnsi="Times New Roman" w:cs="Times New Roman" w:eastAsiaTheme="minorEastAsia"/>
          <w:color w:val="auto"/>
          <w:spacing w:val="0"/>
          <w:kern w:val="2"/>
          <w:sz w:val="24"/>
          <w:szCs w:val="24"/>
          <w:highlight w:val="none"/>
          <w:lang w:val="zh-TW" w:eastAsia="zh-TW"/>
        </w:rPr>
        <w:t>.3.1将严格遵守关于律师执业的法律法规、规章以及行业协会规范，在接受贵司委托期间，将依适当程序进行利益冲突查证，确保不存在</w:t>
      </w:r>
      <w:r>
        <w:rPr>
          <w:rFonts w:hint="default" w:ascii="Times New Roman" w:hAnsi="Times New Roman" w:cs="Times New Roman" w:eastAsiaTheme="minorEastAsia"/>
          <w:color w:val="auto"/>
          <w:spacing w:val="0"/>
          <w:kern w:val="2"/>
          <w:sz w:val="24"/>
          <w:szCs w:val="24"/>
          <w:highlight w:val="none"/>
        </w:rPr>
        <w:t>“</w:t>
      </w:r>
      <w:r>
        <w:rPr>
          <w:rFonts w:hint="default" w:ascii="Times New Roman" w:hAnsi="Times New Roman" w:cs="Times New Roman" w:eastAsiaTheme="minorEastAsia"/>
          <w:color w:val="auto"/>
          <w:spacing w:val="0"/>
          <w:kern w:val="2"/>
          <w:sz w:val="24"/>
          <w:szCs w:val="24"/>
          <w:highlight w:val="none"/>
          <w:lang w:val="zh-TW" w:eastAsia="zh-TW"/>
        </w:rPr>
        <w:t>利益冲突</w:t>
      </w:r>
      <w:r>
        <w:rPr>
          <w:rFonts w:hint="default" w:ascii="Times New Roman" w:hAnsi="Times New Roman" w:cs="Times New Roman" w:eastAsiaTheme="minorEastAsia"/>
          <w:color w:val="auto"/>
          <w:spacing w:val="0"/>
          <w:kern w:val="2"/>
          <w:sz w:val="24"/>
          <w:szCs w:val="24"/>
          <w:highlight w:val="none"/>
        </w:rPr>
        <w:t>”</w:t>
      </w:r>
      <w:r>
        <w:rPr>
          <w:rFonts w:hint="default" w:ascii="Times New Roman" w:hAnsi="Times New Roman" w:cs="Times New Roman" w:eastAsiaTheme="minorEastAsia"/>
          <w:color w:val="auto"/>
          <w:spacing w:val="0"/>
          <w:kern w:val="2"/>
          <w:sz w:val="24"/>
          <w:szCs w:val="24"/>
          <w:highlight w:val="none"/>
          <w:lang w:val="zh-TW" w:eastAsia="zh-TW"/>
        </w:rPr>
        <w:t>。</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rPr>
        <w:t>1.3.2  我方承诺不从事第1.2条中的第1.2.1~1.2.4利益冲突行为。</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rPr>
        <w:t>1.3.3 我方承诺在开展第1.2条中的第1.2.5~1.2.</w:t>
      </w:r>
      <w:r>
        <w:rPr>
          <w:rFonts w:hint="default" w:ascii="Times New Roman" w:hAnsi="Times New Roman" w:cs="Times New Roman" w:eastAsiaTheme="minorEastAsia"/>
          <w:color w:val="auto"/>
          <w:spacing w:val="0"/>
          <w:kern w:val="2"/>
          <w:sz w:val="24"/>
          <w:szCs w:val="24"/>
          <w:highlight w:val="none"/>
          <w:lang w:val="en-US" w:eastAsia="zh-CN"/>
        </w:rPr>
        <w:t>8</w:t>
      </w:r>
      <w:r>
        <w:rPr>
          <w:rFonts w:hint="default" w:ascii="Times New Roman" w:hAnsi="Times New Roman" w:cs="Times New Roman" w:eastAsiaTheme="minorEastAsia"/>
          <w:color w:val="auto"/>
          <w:spacing w:val="0"/>
          <w:kern w:val="2"/>
          <w:sz w:val="24"/>
          <w:szCs w:val="24"/>
          <w:highlight w:val="none"/>
        </w:rPr>
        <w:t>行为前应取得贵司同意，否则不得开展此类业务。</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rPr>
      </w:pPr>
      <w:r>
        <w:rPr>
          <w:rFonts w:hint="default" w:ascii="Times New Roman" w:hAnsi="Times New Roman" w:cs="Times New Roman" w:eastAsiaTheme="minorEastAsia"/>
          <w:color w:val="auto"/>
          <w:spacing w:val="0"/>
          <w:kern w:val="2"/>
          <w:sz w:val="24"/>
          <w:szCs w:val="24"/>
          <w:highlight w:val="none"/>
        </w:rPr>
        <w:t>1.3.4 法律法规、律师自律机构利益冲突规则或者示范条款对我方有比本承诺函更高要求的，以上述更高要求为准。</w:t>
      </w:r>
    </w:p>
    <w:p>
      <w:pPr>
        <w:pStyle w:val="96"/>
        <w:keepNext w:val="0"/>
        <w:keepLines w:val="0"/>
        <w:pageBreakBefore w:val="0"/>
        <w:tabs>
          <w:tab w:val="left" w:pos="840"/>
        </w:tabs>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bCs/>
          <w:spacing w:val="0"/>
          <w:sz w:val="24"/>
          <w:szCs w:val="24"/>
          <w:highlight w:val="none"/>
          <w:lang w:val="zh-TW" w:eastAsia="zh-TW"/>
        </w:rPr>
      </w:pPr>
      <w:r>
        <w:rPr>
          <w:rFonts w:hint="default" w:ascii="Times New Roman" w:hAnsi="Times New Roman" w:cs="Times New Roman" w:eastAsiaTheme="minorEastAsia"/>
          <w:bCs/>
          <w:spacing w:val="0"/>
          <w:sz w:val="24"/>
          <w:szCs w:val="24"/>
          <w:highlight w:val="none"/>
          <w:lang w:val="zh-TW"/>
        </w:rPr>
        <w:t>二、</w:t>
      </w:r>
      <w:r>
        <w:rPr>
          <w:rFonts w:hint="default" w:ascii="Times New Roman" w:hAnsi="Times New Roman" w:cs="Times New Roman" w:eastAsiaTheme="minorEastAsia"/>
          <w:bCs/>
          <w:spacing w:val="0"/>
          <w:sz w:val="24"/>
          <w:szCs w:val="24"/>
          <w:highlight w:val="none"/>
          <w:lang w:val="zh-TW" w:eastAsia="zh-TW"/>
        </w:rPr>
        <w:t>保密</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2.1保密信息</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2.1.1我方在接受贵司委托为贵司提供服务（以下简称本项目）的过程中从贵司或相关中介机构直接或间接获得的所有有关本项目、贵司的信息以及信息资料均为保密信息，我方承诺将严格履行保密义务，采取一切措施防止泄露保密信息。以下情况除外：可以通过公共渠道取得的信息不属于保密信息，但因我方违反本函项下保密义务而导致该信息进入公共渠道的情况除外。</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2.1.2本承诺函所称“信息”包括但不限于我方从贵司或相关其他中介机构处通过获取文件资料、访谈、咨询、现场会议、电话会议、电子或书面通讯等方式获取的口头或书面信息；本承诺函所称“信息资料”是指本项目所使用的所有载有保密信息的有关文件、载体以及因我方为贵司提供专业服务而知悉的书面、电子及口头信息，其形式包括图表、文件、复制件、电邮、传真、录音、电子数据、磁盘、光盘、软件、录影带、照片等，其内容包括贵司的商业、财务、技术、内部管理等方面的信息，其范围包括但不限于：</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rPr>
        <w:t>1</w:t>
      </w: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lang w:val="zh-TW" w:eastAsia="zh-TW"/>
        </w:rPr>
        <w:t>贵司的业务、财务描述数据以及其他相关资料；</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rPr>
        <w:t>2</w:t>
      </w: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lang w:val="zh-TW" w:eastAsia="zh-TW"/>
        </w:rPr>
        <w:t>贵司的各类内部管理规章、各类决议，以及贵司其他内部文件资料；</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rPr>
        <w:t>3</w:t>
      </w: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lang w:val="zh-TW" w:eastAsia="zh-TW"/>
        </w:rPr>
        <w:t>我方或其他中介机构为本项目所草拟的所有文件；</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rPr>
        <w:t>4</w:t>
      </w: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lang w:val="zh-TW" w:eastAsia="zh-TW"/>
        </w:rPr>
        <w:t>本项目的各类文件的草稿及终稿；</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rPr>
        <w:t>5</w:t>
      </w: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lang w:val="zh-TW" w:eastAsia="zh-TW"/>
        </w:rPr>
        <w:t>本项目的任何有关进展情况；</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rPr>
        <w:t>6</w:t>
      </w:r>
      <w:r>
        <w:rPr>
          <w:rFonts w:hint="default" w:ascii="Times New Roman" w:hAnsi="Times New Roman" w:cs="Times New Roman" w:eastAsiaTheme="minorEastAsia"/>
          <w:color w:val="auto"/>
          <w:spacing w:val="0"/>
          <w:kern w:val="2"/>
          <w:sz w:val="24"/>
          <w:szCs w:val="24"/>
          <w:highlight w:val="none"/>
          <w:lang w:val="zh-TW"/>
        </w:rPr>
        <w:t>）</w:t>
      </w:r>
      <w:r>
        <w:rPr>
          <w:rFonts w:hint="default" w:ascii="Times New Roman" w:hAnsi="Times New Roman" w:cs="Times New Roman" w:eastAsiaTheme="minorEastAsia"/>
          <w:color w:val="auto"/>
          <w:spacing w:val="0"/>
          <w:kern w:val="2"/>
          <w:sz w:val="24"/>
          <w:szCs w:val="24"/>
          <w:highlight w:val="none"/>
          <w:lang w:val="zh-TW" w:eastAsia="zh-TW"/>
        </w:rPr>
        <w:t>其他与本项目有关的信息。</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2.2保密信息的使用与保密</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2.2.1我方承诺，我方所获得的保密信息仅用于为贵司本项目提供专业服务之目的；除此之外，我方不得将该保密信息用于任何其他目的或用途。</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2.2.2我方将采取一切必要的措施（包括建立严格的内部保密制度以保存贵司提供的本函项下之保密信息的复制件、录音、文字记录、电子数据、磁盘、光盘、软件、录影带、照片、文件等载体，在传送有关文件资料时采取必要的保密措施等），确保适当及安全地储存并保护贵司向我方提供之保密信息，并视为机密。</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2.2.3我方为实现为贵司本项目提供专业服务之目的，有权向我方内部相关人员（包括但不限于直接接触信息资料的雇员、代理人及顾问，下同）合理透露必要的保密信息，但必须要求获得保密信息的相关人员遵守本保密承诺；除此之外，未经贵司或贵司实际控制的企业或贵司的实际控制人书面同意，我方不得向任何第三方提供或透露部分或全部保密信息。</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2.2.4我方在未获得贵司事先书面同意前，于任何时间不得：</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（1）向任何其他人员披露或透露贵司的保密信息，但为贵司项目提供服务期间有接触保密信息必要的我方内部相关人员除外，但必须要求获得保密信息的相关人员遵守本保密承诺；</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（2）向任何其他人员披露或透露与贵司正进行或已进行的讨论的相关内容或有关项目的安排及其他事项等保密信息，但本承诺函第2.1.1项列明的例外情形除外；</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（3）向各级国家机关、司法机关、各个政府部门及相关人员主动披露或透露贵司</w:t>
      </w:r>
      <w:r>
        <w:rPr>
          <w:rFonts w:hint="default" w:ascii="Times New Roman" w:hAnsi="Times New Roman" w:cs="Times New Roman" w:eastAsiaTheme="minorEastAsia"/>
          <w:color w:val="auto"/>
          <w:spacing w:val="0"/>
          <w:kern w:val="2"/>
          <w:sz w:val="24"/>
          <w:szCs w:val="24"/>
          <w:highlight w:val="none"/>
          <w:lang w:val="en-US" w:eastAsia="zh-CN"/>
        </w:rPr>
        <w:t>的</w:t>
      </w:r>
      <w:r>
        <w:rPr>
          <w:rFonts w:hint="default" w:ascii="Times New Roman" w:hAnsi="Times New Roman" w:cs="Times New Roman" w:eastAsiaTheme="minorEastAsia"/>
          <w:color w:val="auto"/>
          <w:spacing w:val="0"/>
          <w:kern w:val="2"/>
          <w:sz w:val="24"/>
          <w:szCs w:val="24"/>
          <w:highlight w:val="none"/>
          <w:lang w:val="zh-TW" w:eastAsia="zh-TW"/>
        </w:rPr>
        <w:t>保密信息，但因履行法定披露义务或根据行政或司法部门的要求进行披露者不受此限。</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2.2.5当发生贵司保密信息在违反本保密承诺有关条款被披露的情况下，我方将立即充分调查了解有关情况并告知贵司，并承担相应的责任，消除相关影响。</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2.2.6我方同意，贵司将本</w:t>
      </w:r>
      <w:r>
        <w:rPr>
          <w:rFonts w:hint="default" w:ascii="Times New Roman" w:hAnsi="Times New Roman" w:cs="Times New Roman" w:eastAsiaTheme="minorEastAsia"/>
          <w:color w:val="auto"/>
          <w:spacing w:val="0"/>
          <w:kern w:val="2"/>
          <w:sz w:val="24"/>
          <w:szCs w:val="24"/>
          <w:highlight w:val="none"/>
          <w:lang w:val="zh-TW" w:eastAsia="zh-CN"/>
        </w:rPr>
        <w:t>承诺函项下第</w:t>
      </w:r>
      <w:r>
        <w:rPr>
          <w:rFonts w:hint="default" w:ascii="Times New Roman" w:hAnsi="Times New Roman" w:cs="Times New Roman" w:eastAsiaTheme="minorEastAsia"/>
          <w:color w:val="auto"/>
          <w:spacing w:val="0"/>
          <w:kern w:val="2"/>
          <w:sz w:val="24"/>
          <w:szCs w:val="24"/>
          <w:highlight w:val="none"/>
          <w:lang w:val="en-US" w:eastAsia="zh-CN"/>
        </w:rPr>
        <w:t>2.2.3款</w:t>
      </w:r>
      <w:r>
        <w:rPr>
          <w:rFonts w:hint="default" w:ascii="Times New Roman" w:hAnsi="Times New Roman" w:cs="Times New Roman" w:eastAsiaTheme="minorEastAsia"/>
          <w:color w:val="auto"/>
          <w:spacing w:val="0"/>
          <w:kern w:val="2"/>
          <w:sz w:val="24"/>
          <w:szCs w:val="24"/>
          <w:highlight w:val="none"/>
          <w:lang w:val="zh-TW" w:eastAsia="zh-TW"/>
        </w:rPr>
        <w:t>所述之人士视为我方本身，我方将采取必要措施促使该等因工作关系知悉、接触贵司保密信息的人员履行与我方同等的保密义务。如果该等人员在本承诺函约定的保密期限内对外提供或透露部分或全部保密信息，则我方将对此承担全部责任。</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2.3保密期限和保密义务的终止</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我方对所获的贵司保密信息在本函中承诺的保密义务的期限为永久，直至贵司以书面形式明确表示我方无须再负保密义务为止或者双方另行签订了保密协议重新对保密相关内容作出了约定。</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2.4权益</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2.4.1所有保密信息均属贵司所有，其财产权、知识产权及其他权益由贵司享有及保留。除为进行与本项目相关的工作而查阅、复印，或在制作相关文件中使用保密信息的有限权利外，贵司向我方披露保密信息之行为不构成贵司向我方转让或授予我方享有贵司对其商标、专利或技术秘密等拥有的有关权益，亦不构成向我方转让或授予我方使用第三方许可贵司使用的商标、专利或技术秘密等有关权益。</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2.4.2在下列情形下，我方应根据贵司的要求，在贵司同意下，以书面形式确认已销毁/删除/返还所有我方掌握的贵司保密信息；但是，我方另行书面征得贵司同意的除外：</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（1）本项目完成时；</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（2）本项目因故未能最终完成时；</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zh-TW" w:eastAsia="zh-TW"/>
        </w:rPr>
        <w:t>（3）贵司有理由相信我方未按照本承诺函第二条约定之方式使用保密信息和/或进行保密时。</w:t>
      </w:r>
    </w:p>
    <w:p>
      <w:pPr>
        <w:pStyle w:val="96"/>
        <w:keepNext w:val="0"/>
        <w:keepLines w:val="0"/>
        <w:pageBreakBefore w:val="0"/>
        <w:tabs>
          <w:tab w:val="left" w:pos="840"/>
        </w:tabs>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bCs/>
          <w:spacing w:val="0"/>
          <w:sz w:val="24"/>
          <w:szCs w:val="24"/>
          <w:highlight w:val="none"/>
          <w:lang w:val="zh-TW" w:eastAsia="zh-TW"/>
        </w:rPr>
      </w:pPr>
      <w:r>
        <w:rPr>
          <w:rFonts w:hint="default" w:ascii="Times New Roman" w:hAnsi="Times New Roman" w:cs="Times New Roman" w:eastAsiaTheme="minorEastAsia"/>
          <w:bCs/>
          <w:spacing w:val="0"/>
          <w:sz w:val="24"/>
          <w:szCs w:val="24"/>
          <w:highlight w:val="none"/>
        </w:rPr>
        <w:t>三、</w:t>
      </w:r>
      <w:r>
        <w:rPr>
          <w:rFonts w:hint="default" w:ascii="Times New Roman" w:hAnsi="Times New Roman" w:cs="Times New Roman" w:eastAsiaTheme="minorEastAsia"/>
          <w:bCs/>
          <w:spacing w:val="0"/>
          <w:sz w:val="24"/>
          <w:szCs w:val="24"/>
          <w:highlight w:val="none"/>
          <w:lang w:val="zh-TW" w:eastAsia="zh-TW"/>
        </w:rPr>
        <w:t>其他</w:t>
      </w:r>
    </w:p>
    <w:p>
      <w:pPr>
        <w:pStyle w:val="96"/>
        <w:keepNext w:val="0"/>
        <w:keepLines w:val="0"/>
        <w:pageBreakBefore w:val="0"/>
        <w:widowControl w:val="0"/>
        <w:kinsoku/>
        <w:wordWrap/>
        <w:overflowPunct/>
        <w:topLinePunct w:val="0"/>
        <w:autoSpaceDE/>
        <w:autoSpaceDN/>
        <w:bidi w:val="0"/>
        <w:adjustRightInd/>
        <w:snapToGrid/>
        <w:spacing w:beforeLines="0" w:afterLines="0" w:line="560" w:lineRule="exact"/>
        <w:ind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rPr>
        <w:t>3</w:t>
      </w:r>
      <w:r>
        <w:rPr>
          <w:rFonts w:hint="default" w:ascii="Times New Roman" w:hAnsi="Times New Roman" w:cs="Times New Roman" w:eastAsiaTheme="minorEastAsia"/>
          <w:color w:val="auto"/>
          <w:spacing w:val="0"/>
          <w:kern w:val="2"/>
          <w:sz w:val="24"/>
          <w:szCs w:val="24"/>
          <w:highlight w:val="none"/>
          <w:lang w:val="zh-TW" w:eastAsia="zh-TW"/>
        </w:rPr>
        <w:t>.1本承诺函的签署、履行、效力及解释均受中华人民共和国法律管辖。</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color w:val="auto"/>
          <w:spacing w:val="0"/>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rPr>
        <w:t>3</w:t>
      </w:r>
      <w:r>
        <w:rPr>
          <w:rFonts w:hint="default" w:ascii="Times New Roman" w:hAnsi="Times New Roman" w:cs="Times New Roman" w:eastAsiaTheme="minorEastAsia"/>
          <w:color w:val="auto"/>
          <w:spacing w:val="0"/>
          <w:kern w:val="2"/>
          <w:sz w:val="24"/>
          <w:szCs w:val="24"/>
          <w:highlight w:val="none"/>
          <w:lang w:val="zh-TW" w:eastAsia="zh-TW"/>
        </w:rPr>
        <w:t>.2本承诺函未尽事宜，由贵司与我方以书面形式另行约定。</w:t>
      </w:r>
    </w:p>
    <w:p>
      <w:pPr>
        <w:pStyle w:val="96"/>
        <w:keepNext w:val="0"/>
        <w:keepLines w:val="0"/>
        <w:pageBreakBefore w:val="0"/>
        <w:kinsoku/>
        <w:wordWrap/>
        <w:overflowPunct/>
        <w:topLinePunct w:val="0"/>
        <w:autoSpaceDE/>
        <w:autoSpaceDN/>
        <w:bidi w:val="0"/>
        <w:snapToGrid/>
        <w:spacing w:beforeLines="0" w:afterLines="0" w:line="560" w:lineRule="exact"/>
        <w:ind w:left="0" w:leftChars="0" w:firstLine="480" w:firstLineChars="200"/>
        <w:textAlignment w:val="auto"/>
        <w:rPr>
          <w:rFonts w:hint="default" w:ascii="Times New Roman" w:hAnsi="Times New Roman" w:cs="Times New Roman" w:eastAsiaTheme="minorEastAsia"/>
          <w:spacing w:val="0"/>
          <w:sz w:val="24"/>
          <w:szCs w:val="24"/>
          <w:highlight w:val="none"/>
        </w:rPr>
      </w:pPr>
      <w:r>
        <w:rPr>
          <w:rFonts w:hint="default" w:ascii="Times New Roman" w:hAnsi="Times New Roman" w:cs="Times New Roman" w:eastAsiaTheme="minorEastAsia"/>
          <w:color w:val="auto"/>
          <w:spacing w:val="0"/>
          <w:kern w:val="2"/>
          <w:sz w:val="24"/>
          <w:szCs w:val="24"/>
          <w:highlight w:val="none"/>
        </w:rPr>
        <w:t>3</w:t>
      </w:r>
      <w:r>
        <w:rPr>
          <w:rFonts w:hint="default" w:ascii="Times New Roman" w:hAnsi="Times New Roman" w:cs="Times New Roman" w:eastAsiaTheme="minorEastAsia"/>
          <w:color w:val="auto"/>
          <w:spacing w:val="0"/>
          <w:kern w:val="2"/>
          <w:sz w:val="24"/>
          <w:szCs w:val="24"/>
          <w:highlight w:val="none"/>
          <w:lang w:val="zh-TW" w:eastAsia="zh-TW"/>
        </w:rPr>
        <w:t>.3本承诺函自我方签署之日起生效（该日之前我方已获得的保密信息亦适用本函的约定），除本承诺函另有约定外，我方在本承诺函项下的利益冲突承诺及保密义务在本项目的进行期间和本项目完成之后持续有效，直至贵司以书面形式明确表示我方无须再承担该等承诺及义务为止。</w:t>
      </w:r>
      <w:r>
        <w:rPr>
          <w:rFonts w:hint="default" w:ascii="Times New Roman" w:hAnsi="Times New Roman" w:cs="Times New Roman" w:eastAsiaTheme="minorEastAsia"/>
          <w:spacing w:val="0"/>
          <w:sz w:val="24"/>
          <w:szCs w:val="24"/>
          <w:highlight w:val="none"/>
          <w:lang w:val="zh-TW" w:eastAsia="zh-TW"/>
        </w:rPr>
        <w:t xml:space="preserve">  </w:t>
      </w:r>
    </w:p>
    <w:p>
      <w:pPr>
        <w:pStyle w:val="96"/>
        <w:keepNext w:val="0"/>
        <w:keepLines w:val="0"/>
        <w:pageBreakBefore w:val="0"/>
        <w:kinsoku/>
        <w:wordWrap/>
        <w:overflowPunct/>
        <w:topLinePunct w:val="0"/>
        <w:autoSpaceDE/>
        <w:autoSpaceDN/>
        <w:bidi w:val="0"/>
        <w:snapToGrid/>
        <w:spacing w:beforeLines="0" w:afterLines="0" w:line="560" w:lineRule="exact"/>
        <w:ind w:left="0" w:leftChars="0"/>
        <w:textAlignment w:val="auto"/>
        <w:rPr>
          <w:rFonts w:hint="default" w:ascii="Times New Roman" w:hAnsi="Times New Roman" w:cs="Times New Roman" w:eastAsiaTheme="minorEastAsia"/>
          <w:color w:val="auto"/>
          <w:spacing w:val="0"/>
          <w:kern w:val="2"/>
          <w:sz w:val="24"/>
          <w:szCs w:val="24"/>
          <w:highlight w:val="none"/>
          <w:lang w:val="zh-TW" w:eastAsia="zh-TW"/>
        </w:rPr>
      </w:pPr>
    </w:p>
    <w:p>
      <w:pPr>
        <w:pStyle w:val="96"/>
        <w:keepNext w:val="0"/>
        <w:keepLines w:val="0"/>
        <w:pageBreakBefore w:val="0"/>
        <w:kinsoku/>
        <w:wordWrap/>
        <w:overflowPunct/>
        <w:topLinePunct w:val="0"/>
        <w:autoSpaceDE/>
        <w:autoSpaceDN/>
        <w:bidi w:val="0"/>
        <w:snapToGrid/>
        <w:spacing w:beforeLines="0" w:afterLines="0" w:line="560" w:lineRule="exact"/>
        <w:ind w:left="0" w:leftChars="0"/>
        <w:textAlignment w:val="auto"/>
        <w:rPr>
          <w:rFonts w:hint="default" w:ascii="Times New Roman" w:hAnsi="Times New Roman" w:cs="Times New Roman" w:eastAsiaTheme="minorEastAsia"/>
          <w:color w:val="auto"/>
          <w:spacing w:val="0"/>
          <w:kern w:val="2"/>
          <w:sz w:val="24"/>
          <w:szCs w:val="24"/>
          <w:highlight w:val="none"/>
          <w:lang w:val="zh-TW" w:eastAsia="zh-TW"/>
        </w:rPr>
      </w:pPr>
    </w:p>
    <w:p>
      <w:pPr>
        <w:pStyle w:val="96"/>
        <w:keepNext w:val="0"/>
        <w:keepLines w:val="0"/>
        <w:pageBreakBefore w:val="0"/>
        <w:kinsoku/>
        <w:wordWrap/>
        <w:overflowPunct/>
        <w:topLinePunct w:val="0"/>
        <w:autoSpaceDE/>
        <w:autoSpaceDN/>
        <w:bidi w:val="0"/>
        <w:snapToGrid/>
        <w:spacing w:beforeLines="0" w:afterLines="0" w:line="560" w:lineRule="exact"/>
        <w:ind w:left="0" w:leftChars="0"/>
        <w:textAlignment w:val="auto"/>
        <w:rPr>
          <w:rFonts w:hint="default" w:ascii="Times New Roman" w:hAnsi="Times New Roman" w:cs="Times New Roman" w:eastAsiaTheme="minorEastAsia"/>
          <w:color w:val="auto"/>
          <w:spacing w:val="0"/>
          <w:kern w:val="2"/>
          <w:sz w:val="24"/>
          <w:szCs w:val="24"/>
          <w:highlight w:val="none"/>
          <w:lang w:val="zh-TW" w:eastAsia="zh-TW"/>
        </w:rPr>
      </w:pPr>
    </w:p>
    <w:p>
      <w:pPr>
        <w:pStyle w:val="96"/>
        <w:keepNext w:val="0"/>
        <w:keepLines w:val="0"/>
        <w:pageBreakBefore w:val="0"/>
        <w:kinsoku/>
        <w:wordWrap/>
        <w:overflowPunct/>
        <w:topLinePunct w:val="0"/>
        <w:autoSpaceDE/>
        <w:autoSpaceDN/>
        <w:bidi w:val="0"/>
        <w:snapToGrid/>
        <w:spacing w:beforeLines="0" w:afterLines="0" w:line="560" w:lineRule="exact"/>
        <w:ind w:left="0" w:leftChars="0"/>
        <w:textAlignment w:val="auto"/>
        <w:rPr>
          <w:rFonts w:hint="default" w:ascii="Times New Roman" w:hAnsi="Times New Roman" w:cs="Times New Roman" w:eastAsiaTheme="minorEastAsia"/>
          <w:color w:val="auto"/>
          <w:spacing w:val="0"/>
          <w:kern w:val="2"/>
          <w:sz w:val="24"/>
          <w:szCs w:val="24"/>
          <w:highlight w:val="none"/>
          <w:lang w:val="zh-TW" w:eastAsia="zh-TW"/>
        </w:rPr>
      </w:pPr>
    </w:p>
    <w:p>
      <w:pPr>
        <w:pStyle w:val="96"/>
        <w:keepNext w:val="0"/>
        <w:keepLines w:val="0"/>
        <w:pageBreakBefore w:val="0"/>
        <w:kinsoku/>
        <w:wordWrap/>
        <w:overflowPunct/>
        <w:topLinePunct w:val="0"/>
        <w:autoSpaceDE/>
        <w:autoSpaceDN/>
        <w:bidi w:val="0"/>
        <w:snapToGrid/>
        <w:spacing w:beforeLines="0" w:afterLines="0" w:line="560" w:lineRule="exact"/>
        <w:ind w:left="0" w:leftChars="0"/>
        <w:textAlignment w:val="auto"/>
        <w:rPr>
          <w:rFonts w:hint="default" w:ascii="Times New Roman" w:hAnsi="Times New Roman" w:cs="Times New Roman" w:eastAsiaTheme="minorEastAsia"/>
          <w:color w:val="auto"/>
          <w:kern w:val="2"/>
          <w:sz w:val="24"/>
          <w:szCs w:val="24"/>
          <w:highlight w:val="none"/>
          <w:lang w:val="zh-TW" w:eastAsia="zh-TW"/>
        </w:rPr>
      </w:pPr>
      <w:r>
        <w:rPr>
          <w:rFonts w:hint="default" w:ascii="Times New Roman" w:hAnsi="Times New Roman" w:cs="Times New Roman" w:eastAsiaTheme="minorEastAsia"/>
          <w:color w:val="auto"/>
          <w:spacing w:val="0"/>
          <w:kern w:val="2"/>
          <w:sz w:val="24"/>
          <w:szCs w:val="24"/>
          <w:highlight w:val="none"/>
          <w:lang w:val="en-US" w:eastAsia="zh-CN"/>
        </w:rPr>
        <w:t>乙方</w:t>
      </w:r>
      <w:r>
        <w:rPr>
          <w:rFonts w:hint="default" w:ascii="Times New Roman" w:hAnsi="Times New Roman" w:cs="Times New Roman" w:eastAsiaTheme="minorEastAsia"/>
          <w:color w:val="auto"/>
          <w:spacing w:val="0"/>
          <w:kern w:val="2"/>
          <w:sz w:val="24"/>
          <w:szCs w:val="24"/>
          <w:highlight w:val="none"/>
          <w:lang w:val="zh-TW" w:eastAsia="zh-TW"/>
        </w:rPr>
        <w:t>（盖章）：　</w:t>
      </w:r>
      <w:r>
        <w:rPr>
          <w:rFonts w:hint="default" w:ascii="Times New Roman" w:hAnsi="Times New Roman" w:cs="Times New Roman" w:eastAsiaTheme="minorEastAsia"/>
          <w:color w:val="auto"/>
          <w:spacing w:val="0"/>
          <w:kern w:val="2"/>
          <w:sz w:val="24"/>
          <w:szCs w:val="24"/>
          <w:highlight w:val="none"/>
          <w:lang w:val="en-US" w:eastAsia="zh-CN"/>
        </w:rPr>
        <w:t xml:space="preserve">     </w:t>
      </w:r>
      <w:r>
        <w:rPr>
          <w:rFonts w:hint="default" w:ascii="Times New Roman" w:hAnsi="Times New Roman" w:cs="Times New Roman" w:eastAsiaTheme="minorEastAsia"/>
          <w:color w:val="auto"/>
          <w:spacing w:val="0"/>
          <w:kern w:val="2"/>
          <w:sz w:val="24"/>
          <w:szCs w:val="24"/>
          <w:highlight w:val="none"/>
          <w:lang w:val="zh-TW" w:eastAsia="zh-TW"/>
        </w:rPr>
        <w:t>　　　（</w:t>
      </w:r>
      <w:r>
        <w:rPr>
          <w:rFonts w:hint="default" w:ascii="Times New Roman" w:hAnsi="Times New Roman" w:cs="Times New Roman" w:eastAsiaTheme="minorEastAsia"/>
          <w:color w:val="auto"/>
          <w:spacing w:val="0"/>
          <w:kern w:val="2"/>
          <w:sz w:val="24"/>
          <w:szCs w:val="24"/>
          <w:highlight w:val="none"/>
          <w:lang w:val="en-US" w:eastAsia="zh-CN"/>
        </w:rPr>
        <w:t>乙方</w:t>
      </w:r>
      <w:r>
        <w:rPr>
          <w:rFonts w:hint="default" w:ascii="Times New Roman" w:hAnsi="Times New Roman" w:cs="Times New Roman" w:eastAsiaTheme="minorEastAsia"/>
          <w:color w:val="auto"/>
          <w:spacing w:val="0"/>
          <w:kern w:val="2"/>
          <w:sz w:val="24"/>
          <w:szCs w:val="24"/>
          <w:highlight w:val="none"/>
          <w:lang w:val="zh-TW" w:eastAsia="zh-TW"/>
        </w:rPr>
        <w:t>签</w:t>
      </w:r>
      <w:r>
        <w:rPr>
          <w:rFonts w:hint="default" w:ascii="Times New Roman" w:hAnsi="Times New Roman" w:cs="Times New Roman" w:eastAsiaTheme="minorEastAsia"/>
          <w:color w:val="auto"/>
          <w:spacing w:val="0"/>
          <w:kern w:val="2"/>
          <w:sz w:val="24"/>
          <w:szCs w:val="24"/>
          <w:highlight w:val="none"/>
          <w:lang w:val="en-US" w:eastAsia="zh-CN"/>
        </w:rPr>
        <w:t>名</w:t>
      </w:r>
      <w:r>
        <w:rPr>
          <w:rFonts w:hint="default" w:ascii="Times New Roman" w:hAnsi="Times New Roman" w:cs="Times New Roman" w:eastAsiaTheme="minorEastAsia"/>
          <w:color w:val="auto"/>
          <w:spacing w:val="0"/>
          <w:kern w:val="2"/>
          <w:sz w:val="24"/>
          <w:szCs w:val="24"/>
          <w:highlight w:val="none"/>
          <w:lang w:val="zh-TW" w:eastAsia="zh-TW"/>
        </w:rPr>
        <w:t>）：　　</w:t>
      </w:r>
      <w:r>
        <w:rPr>
          <w:rFonts w:hint="default" w:ascii="Times New Roman" w:hAnsi="Times New Roman" w:cs="Times New Roman" w:eastAsiaTheme="minorEastAsia"/>
          <w:color w:val="auto"/>
          <w:kern w:val="2"/>
          <w:sz w:val="24"/>
          <w:szCs w:val="24"/>
          <w:highlight w:val="none"/>
          <w:lang w:val="zh-TW" w:eastAsia="zh-TW"/>
        </w:rPr>
        <w:t>　　</w:t>
      </w:r>
    </w:p>
    <w:p>
      <w:pPr>
        <w:pStyle w:val="96"/>
        <w:spacing w:beforeLines="0" w:afterLines="0" w:line="560" w:lineRule="exact"/>
        <w:rPr>
          <w:rFonts w:hint="default" w:ascii="Times New Roman" w:hAnsi="Times New Roman" w:cs="Times New Roman" w:eastAsiaTheme="minorEastAsia"/>
          <w:color w:val="auto"/>
          <w:kern w:val="2"/>
          <w:sz w:val="24"/>
          <w:szCs w:val="24"/>
          <w:highlight w:val="none"/>
          <w:lang w:val="zh-TW" w:eastAsia="zh-TW"/>
        </w:rPr>
      </w:pPr>
      <w:r>
        <w:rPr>
          <w:rFonts w:hint="default" w:ascii="Times New Roman" w:hAnsi="Times New Roman" w:cs="Times New Roman" w:eastAsiaTheme="minorEastAsia"/>
          <w:color w:val="auto"/>
          <w:kern w:val="2"/>
          <w:sz w:val="24"/>
          <w:szCs w:val="24"/>
          <w:highlight w:val="none"/>
          <w:lang w:val="zh-TW" w:eastAsia="zh-TW"/>
        </w:rPr>
        <w:t xml:space="preserve">日 </w:t>
      </w:r>
      <w:r>
        <w:rPr>
          <w:rFonts w:hint="default" w:ascii="Times New Roman" w:hAnsi="Times New Roman" w:cs="Times New Roman" w:eastAsiaTheme="minorEastAsia"/>
          <w:color w:val="auto"/>
          <w:kern w:val="2"/>
          <w:sz w:val="24"/>
          <w:szCs w:val="24"/>
          <w:highlight w:val="none"/>
          <w:lang w:val="en-US" w:eastAsia="zh-CN"/>
        </w:rPr>
        <w:t xml:space="preserve"> </w:t>
      </w:r>
      <w:r>
        <w:rPr>
          <w:rFonts w:hint="default" w:ascii="Times New Roman" w:hAnsi="Times New Roman" w:cs="Times New Roman" w:eastAsiaTheme="minorEastAsia"/>
          <w:color w:val="auto"/>
          <w:kern w:val="2"/>
          <w:sz w:val="24"/>
          <w:szCs w:val="24"/>
          <w:highlight w:val="none"/>
          <w:lang w:val="zh-TW" w:eastAsia="zh-TW"/>
        </w:rPr>
        <w:t>期：</w:t>
      </w:r>
    </w:p>
    <w:p>
      <w:pPr>
        <w:spacing w:beforeLines="0" w:afterLines="0" w:line="560" w:lineRule="exact"/>
        <w:rPr>
          <w:szCs w:val="24"/>
          <w:highlight w:val="none"/>
        </w:rPr>
      </w:pPr>
    </w:p>
    <w:p>
      <w:pPr>
        <w:pStyle w:val="2"/>
        <w:spacing w:before="0" w:beforeLines="0" w:afterLines="0" w:line="560" w:lineRule="exact"/>
        <w:rPr>
          <w:sz w:val="24"/>
          <w:szCs w:val="24"/>
          <w:highlight w:val="none"/>
        </w:rPr>
      </w:pPr>
    </w:p>
    <w:p>
      <w:pPr>
        <w:rPr>
          <w:rFonts w:hint="eastAsia" w:ascii="Times New Roman" w:hAnsi="Times New Roman"/>
          <w:highlight w:val="none"/>
        </w:rPr>
      </w:pPr>
      <w:bookmarkStart w:id="128" w:name="_Toc525134814"/>
      <w:bookmarkStart w:id="129" w:name="_Toc246997081"/>
      <w:bookmarkStart w:id="130" w:name="_Toc246996338"/>
      <w:bookmarkStart w:id="131" w:name="_Toc247085853"/>
      <w:bookmarkStart w:id="132" w:name="_Toc27526"/>
      <w:bookmarkStart w:id="133" w:name="_Toc179632787"/>
      <w:r>
        <w:rPr>
          <w:rFonts w:hint="eastAsia" w:ascii="Times New Roman" w:hAnsi="Times New Roman"/>
          <w:highlight w:val="none"/>
        </w:rPr>
        <w:br w:type="page"/>
      </w:r>
    </w:p>
    <w:p>
      <w:pPr>
        <w:pStyle w:val="25"/>
        <w:spacing w:before="120"/>
        <w:rPr>
          <w:rFonts w:ascii="Times New Roman" w:hAnsi="Times New Roman"/>
          <w:highlight w:val="none"/>
        </w:rPr>
      </w:pPr>
      <w:bookmarkStart w:id="134" w:name="_Toc23681"/>
      <w:r>
        <w:rPr>
          <w:rFonts w:hint="eastAsia" w:ascii="Times New Roman" w:hAnsi="Times New Roman"/>
          <w:highlight w:val="none"/>
        </w:rPr>
        <w:t>第五章 采购需求</w:t>
      </w:r>
      <w:bookmarkEnd w:id="128"/>
      <w:bookmarkEnd w:id="129"/>
      <w:bookmarkEnd w:id="130"/>
      <w:bookmarkEnd w:id="131"/>
      <w:bookmarkEnd w:id="132"/>
      <w:bookmarkEnd w:id="133"/>
      <w:bookmarkEnd w:id="134"/>
    </w:p>
    <w:p>
      <w:pPr>
        <w:snapToGrid w:val="0"/>
        <w:spacing w:line="480" w:lineRule="exact"/>
        <w:rPr>
          <w:b/>
          <w:sz w:val="24"/>
          <w:highlight w:val="none"/>
        </w:rPr>
      </w:pPr>
      <w:r>
        <w:rPr>
          <w:b/>
          <w:sz w:val="24"/>
          <w:highlight w:val="none"/>
        </w:rPr>
        <w:t>第一条 总则</w:t>
      </w:r>
    </w:p>
    <w:p>
      <w:pPr>
        <w:snapToGrid w:val="0"/>
        <w:spacing w:line="480" w:lineRule="exact"/>
        <w:rPr>
          <w:sz w:val="24"/>
          <w:highlight w:val="none"/>
        </w:rPr>
      </w:pPr>
      <w:r>
        <w:rPr>
          <w:sz w:val="24"/>
          <w:highlight w:val="none"/>
        </w:rPr>
        <w:t xml:space="preserve"> 1.本项目是指中国煤炭开发有限责任公司</w:t>
      </w:r>
      <w:r>
        <w:rPr>
          <w:rFonts w:hint="eastAsia"/>
          <w:sz w:val="24"/>
          <w:highlight w:val="none"/>
        </w:rPr>
        <w:t>常年法律顾问</w:t>
      </w:r>
      <w:r>
        <w:rPr>
          <w:sz w:val="24"/>
          <w:highlight w:val="none"/>
        </w:rPr>
        <w:t>服务</w:t>
      </w:r>
      <w:r>
        <w:rPr>
          <w:rFonts w:hint="eastAsia"/>
          <w:sz w:val="24"/>
          <w:highlight w:val="none"/>
        </w:rPr>
        <w:t>项目</w:t>
      </w:r>
      <w:r>
        <w:rPr>
          <w:sz w:val="24"/>
          <w:highlight w:val="none"/>
        </w:rPr>
        <w:t>采购。</w:t>
      </w:r>
    </w:p>
    <w:p>
      <w:pPr>
        <w:snapToGrid w:val="0"/>
        <w:spacing w:line="480" w:lineRule="exact"/>
        <w:rPr>
          <w:sz w:val="24"/>
          <w:highlight w:val="none"/>
        </w:rPr>
      </w:pPr>
      <w:r>
        <w:rPr>
          <w:sz w:val="24"/>
          <w:highlight w:val="none"/>
        </w:rPr>
        <w:t xml:space="preserve"> </w:t>
      </w:r>
      <w:r>
        <w:rPr>
          <w:rFonts w:hint="eastAsia"/>
          <w:sz w:val="24"/>
          <w:highlight w:val="none"/>
          <w:lang w:val="en-US" w:eastAsia="zh-CN"/>
        </w:rPr>
        <w:t>2</w:t>
      </w:r>
      <w:r>
        <w:rPr>
          <w:sz w:val="24"/>
          <w:highlight w:val="none"/>
        </w:rPr>
        <w:t>.</w:t>
      </w:r>
      <w:r>
        <w:rPr>
          <w:rFonts w:hint="eastAsia"/>
          <w:sz w:val="24"/>
          <w:highlight w:val="none"/>
          <w:lang w:val="en-US" w:eastAsia="zh-CN"/>
        </w:rPr>
        <w:t>服务范围：</w:t>
      </w:r>
      <w:r>
        <w:rPr>
          <w:rFonts w:hint="eastAsia"/>
          <w:highlight w:val="none"/>
        </w:rPr>
        <w:t>为中国煤炭开发有限责任公司及所属企业提供常年法律顾问服务，为中国中煤采购管理有关任务提供常年法律顾问服务</w:t>
      </w:r>
      <w:r>
        <w:rPr>
          <w:sz w:val="24"/>
          <w:highlight w:val="none"/>
        </w:rPr>
        <w:t>。</w:t>
      </w:r>
    </w:p>
    <w:p>
      <w:pPr>
        <w:widowControl/>
        <w:tabs>
          <w:tab w:val="left" w:pos="360"/>
        </w:tabs>
        <w:snapToGrid w:val="0"/>
        <w:spacing w:line="480" w:lineRule="exact"/>
        <w:ind w:firstLine="600" w:firstLineChars="250"/>
        <w:jc w:val="left"/>
        <w:rPr>
          <w:kern w:val="0"/>
          <w:sz w:val="24"/>
          <w:highlight w:val="none"/>
        </w:rPr>
      </w:pPr>
      <w:r>
        <w:rPr>
          <w:rFonts w:hint="eastAsia"/>
          <w:sz w:val="24"/>
          <w:highlight w:val="none"/>
          <w:lang w:val="en-US" w:eastAsia="zh-CN"/>
        </w:rPr>
        <w:t>3.</w:t>
      </w:r>
      <w:r>
        <w:rPr>
          <w:sz w:val="24"/>
          <w:highlight w:val="none"/>
        </w:rPr>
        <w:t>采购内容</w:t>
      </w:r>
      <w:r>
        <w:rPr>
          <w:rFonts w:hint="eastAsia"/>
          <w:sz w:val="24"/>
          <w:highlight w:val="none"/>
        </w:rPr>
        <w:t>包括制度和合同法律审核，合同范本编制、参与重大谈判，法律培训、纠纷咨询等服务。</w:t>
      </w:r>
      <w:r>
        <w:rPr>
          <w:kern w:val="0"/>
          <w:sz w:val="24"/>
          <w:highlight w:val="none"/>
        </w:rPr>
        <w:t>自</w:t>
      </w:r>
      <w:r>
        <w:rPr>
          <w:rFonts w:hint="eastAsia"/>
          <w:kern w:val="0"/>
          <w:sz w:val="24"/>
          <w:highlight w:val="none"/>
        </w:rPr>
        <w:t>合同签订之日起</w:t>
      </w:r>
      <w:r>
        <w:rPr>
          <w:rFonts w:hint="eastAsia"/>
          <w:kern w:val="0"/>
          <w:sz w:val="24"/>
          <w:highlight w:val="none"/>
          <w:lang w:val="en-US" w:eastAsia="zh-CN"/>
        </w:rPr>
        <w:t>至18个月止</w:t>
      </w:r>
      <w:r>
        <w:rPr>
          <w:sz w:val="24"/>
          <w:highlight w:val="none"/>
        </w:rPr>
        <w:t>。</w:t>
      </w:r>
    </w:p>
    <w:p>
      <w:pPr>
        <w:snapToGrid w:val="0"/>
        <w:spacing w:line="480" w:lineRule="exact"/>
        <w:rPr>
          <w:b/>
          <w:sz w:val="24"/>
          <w:highlight w:val="none"/>
        </w:rPr>
      </w:pPr>
      <w:r>
        <w:rPr>
          <w:b/>
          <w:sz w:val="24"/>
          <w:highlight w:val="none"/>
        </w:rPr>
        <w:t>第二条 项目需求</w:t>
      </w:r>
    </w:p>
    <w:p>
      <w:pPr>
        <w:snapToGrid w:val="0"/>
        <w:spacing w:line="480" w:lineRule="exact"/>
        <w:rPr>
          <w:rFonts w:hint="default"/>
          <w:sz w:val="24"/>
          <w:highlight w:val="none"/>
          <w:lang w:val="en-US"/>
        </w:rPr>
      </w:pPr>
      <w:r>
        <w:rPr>
          <w:sz w:val="24"/>
          <w:highlight w:val="none"/>
        </w:rPr>
        <w:t>（一）</w:t>
      </w:r>
      <w:r>
        <w:rPr>
          <w:rFonts w:hint="eastAsia"/>
          <w:sz w:val="24"/>
          <w:highlight w:val="none"/>
          <w:lang w:val="en-US" w:eastAsia="zh-CN"/>
        </w:rPr>
        <w:t>制度及合规风控体系建立与审查</w:t>
      </w:r>
    </w:p>
    <w:p>
      <w:pPr>
        <w:snapToGrid w:val="0"/>
        <w:spacing w:line="480" w:lineRule="exact"/>
        <w:ind w:left="0" w:leftChars="0" w:firstLine="499" w:firstLineChars="208"/>
        <w:rPr>
          <w:rFonts w:hint="eastAsia"/>
          <w:sz w:val="24"/>
          <w:highlight w:val="none"/>
          <w:lang w:eastAsia="zh-CN"/>
        </w:rPr>
      </w:pPr>
      <w:r>
        <w:rPr>
          <w:rFonts w:hint="eastAsia"/>
          <w:sz w:val="24"/>
          <w:highlight w:val="none"/>
          <w:lang w:val="en-US" w:eastAsia="zh-CN"/>
        </w:rPr>
        <w:t>1.</w:t>
      </w:r>
      <w:r>
        <w:rPr>
          <w:sz w:val="24"/>
          <w:highlight w:val="none"/>
        </w:rPr>
        <w:t>协助审查、修改公司章程、内部规章制度等</w:t>
      </w:r>
      <w:r>
        <w:rPr>
          <w:rFonts w:hint="eastAsia"/>
          <w:sz w:val="24"/>
          <w:highlight w:val="none"/>
          <w:lang w:eastAsia="zh-CN"/>
        </w:rPr>
        <w:t>；</w:t>
      </w:r>
    </w:p>
    <w:p>
      <w:pPr>
        <w:snapToGrid w:val="0"/>
        <w:spacing w:line="480" w:lineRule="exact"/>
        <w:ind w:left="0" w:leftChars="0" w:firstLine="499" w:firstLineChars="208"/>
        <w:rPr>
          <w:rFonts w:hint="eastAsia"/>
          <w:sz w:val="24"/>
          <w:highlight w:val="none"/>
        </w:rPr>
      </w:pPr>
      <w:r>
        <w:rPr>
          <w:rFonts w:hint="eastAsia"/>
          <w:sz w:val="24"/>
          <w:highlight w:val="none"/>
          <w:lang w:val="en-US" w:eastAsia="zh-CN"/>
        </w:rPr>
        <w:t>2.</w:t>
      </w:r>
      <w:r>
        <w:rPr>
          <w:rFonts w:hint="eastAsia"/>
          <w:sz w:val="24"/>
          <w:highlight w:val="none"/>
        </w:rPr>
        <w:t>协助建立公司的合规管理制度、合同管理制度、内控风险制度、法律纠纷管理制度等；</w:t>
      </w:r>
    </w:p>
    <w:p>
      <w:pPr>
        <w:snapToGrid w:val="0"/>
        <w:spacing w:line="480" w:lineRule="exact"/>
        <w:ind w:left="0" w:leftChars="0" w:firstLine="499" w:firstLineChars="208"/>
        <w:rPr>
          <w:sz w:val="24"/>
          <w:highlight w:val="none"/>
        </w:rPr>
      </w:pPr>
      <w:r>
        <w:rPr>
          <w:rFonts w:hint="eastAsia"/>
          <w:sz w:val="24"/>
          <w:highlight w:val="none"/>
          <w:lang w:val="en-US" w:eastAsia="zh-CN"/>
        </w:rPr>
        <w:t>3.</w:t>
      </w:r>
      <w:r>
        <w:rPr>
          <w:rFonts w:hint="eastAsia"/>
          <w:sz w:val="24"/>
          <w:highlight w:val="none"/>
        </w:rPr>
        <w:t>协助草拟、提供、修订、审查合规管理相关文件：包括不限于岗位职责清单、合规审查文件、合规监督文件、风险识别清单、风险库、合规承诺书等。</w:t>
      </w:r>
    </w:p>
    <w:p>
      <w:pPr>
        <w:snapToGrid w:val="0"/>
        <w:spacing w:line="480" w:lineRule="exact"/>
        <w:rPr>
          <w:sz w:val="24"/>
          <w:highlight w:val="none"/>
        </w:rPr>
      </w:pPr>
      <w:r>
        <w:rPr>
          <w:sz w:val="24"/>
          <w:highlight w:val="none"/>
        </w:rPr>
        <w:t>（</w:t>
      </w:r>
      <w:r>
        <w:rPr>
          <w:rFonts w:hint="eastAsia"/>
          <w:sz w:val="24"/>
          <w:highlight w:val="none"/>
          <w:lang w:val="en-US" w:eastAsia="zh-CN"/>
        </w:rPr>
        <w:t>二</w:t>
      </w:r>
      <w:r>
        <w:rPr>
          <w:sz w:val="24"/>
          <w:highlight w:val="none"/>
        </w:rPr>
        <w:t>）合同</w:t>
      </w:r>
      <w:r>
        <w:rPr>
          <w:rFonts w:hint="eastAsia"/>
          <w:sz w:val="24"/>
          <w:highlight w:val="none"/>
          <w:lang w:val="en-US" w:eastAsia="zh-CN"/>
        </w:rPr>
        <w:t>范本编制及</w:t>
      </w:r>
      <w:r>
        <w:rPr>
          <w:sz w:val="24"/>
          <w:highlight w:val="none"/>
        </w:rPr>
        <w:t>审查</w:t>
      </w:r>
    </w:p>
    <w:p>
      <w:pPr>
        <w:snapToGrid w:val="0"/>
        <w:spacing w:line="480" w:lineRule="exact"/>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协助草拟、提供、制订、修改、审查各类标准合同范本（含</w:t>
      </w:r>
      <w:r>
        <w:rPr>
          <w:rFonts w:hint="eastAsia"/>
          <w:sz w:val="24"/>
          <w:highlight w:val="none"/>
          <w:lang w:val="en-US" w:eastAsia="zh-CN"/>
        </w:rPr>
        <w:t>中国中煤采购</w:t>
      </w:r>
      <w:r>
        <w:rPr>
          <w:rFonts w:hint="eastAsia"/>
          <w:sz w:val="24"/>
          <w:highlight w:val="none"/>
        </w:rPr>
        <w:t>合同范本），至少45份。</w:t>
      </w:r>
    </w:p>
    <w:p>
      <w:pPr>
        <w:snapToGrid w:val="0"/>
        <w:spacing w:line="480" w:lineRule="exact"/>
        <w:ind w:firstLine="480" w:firstLineChars="200"/>
        <w:rPr>
          <w:rFonts w:hint="eastAsia"/>
          <w:sz w:val="24"/>
          <w:highlight w:val="none"/>
        </w:rPr>
      </w:pPr>
      <w:r>
        <w:rPr>
          <w:rFonts w:hint="eastAsia"/>
          <w:sz w:val="24"/>
          <w:highlight w:val="none"/>
          <w:lang w:eastAsia="zh-CN"/>
        </w:rPr>
        <w:t>2</w:t>
      </w:r>
      <w:r>
        <w:rPr>
          <w:rFonts w:hint="eastAsia"/>
          <w:sz w:val="24"/>
          <w:highlight w:val="none"/>
        </w:rPr>
        <w:t>.协助草拟、制订、审查或修改各类合同、协议等法律文件，包括国内交易合同和涉外交易合同（中英文）。其中，国内交易合同不限份数和字数；涉外交易合同每份1500元人民币计算，</w:t>
      </w:r>
      <w:r>
        <w:rPr>
          <w:rFonts w:hint="eastAsia"/>
          <w:sz w:val="24"/>
          <w:highlight w:val="none"/>
          <w:lang w:val="en-US" w:eastAsia="zh-CN"/>
        </w:rPr>
        <w:t>服务期内4.5</w:t>
      </w:r>
      <w:r>
        <w:rPr>
          <w:rFonts w:hint="eastAsia"/>
          <w:sz w:val="24"/>
          <w:highlight w:val="none"/>
        </w:rPr>
        <w:t>万元封顶，不限字数。</w:t>
      </w:r>
    </w:p>
    <w:p>
      <w:pPr>
        <w:snapToGrid w:val="0"/>
        <w:spacing w:line="480" w:lineRule="exact"/>
        <w:ind w:left="0" w:leftChars="0" w:firstLine="480" w:firstLineChars="200"/>
        <w:rPr>
          <w:rFonts w:hint="eastAsia"/>
          <w:sz w:val="24"/>
          <w:highlight w:val="none"/>
        </w:rPr>
      </w:pPr>
      <w:r>
        <w:rPr>
          <w:sz w:val="24"/>
          <w:highlight w:val="none"/>
        </w:rPr>
        <w:t>（</w:t>
      </w:r>
      <w:r>
        <w:rPr>
          <w:rFonts w:hint="eastAsia"/>
          <w:sz w:val="24"/>
          <w:highlight w:val="none"/>
          <w:lang w:val="en-US" w:eastAsia="zh-CN"/>
        </w:rPr>
        <w:t>三</w:t>
      </w:r>
      <w:r>
        <w:rPr>
          <w:sz w:val="24"/>
          <w:highlight w:val="none"/>
        </w:rPr>
        <w:t>）法律咨询</w:t>
      </w:r>
      <w:r>
        <w:rPr>
          <w:rFonts w:hint="eastAsia"/>
          <w:sz w:val="24"/>
          <w:highlight w:val="none"/>
        </w:rPr>
        <w:t>（不限小时）</w:t>
      </w:r>
    </w:p>
    <w:p>
      <w:pPr>
        <w:snapToGrid w:val="0"/>
        <w:spacing w:line="480" w:lineRule="exact"/>
        <w:ind w:firstLine="480" w:firstLineChars="200"/>
        <w:rPr>
          <w:rFonts w:hint="eastAsia"/>
          <w:sz w:val="24"/>
          <w:highlight w:val="none"/>
        </w:rPr>
      </w:pPr>
      <w:r>
        <w:rPr>
          <w:rFonts w:hint="eastAsia"/>
          <w:sz w:val="24"/>
          <w:highlight w:val="none"/>
          <w:lang w:val="en-US" w:eastAsia="zh-CN"/>
        </w:rPr>
        <w:t>1.</w:t>
      </w:r>
      <w:r>
        <w:rPr>
          <w:rFonts w:hint="eastAsia"/>
          <w:sz w:val="24"/>
          <w:highlight w:val="none"/>
        </w:rPr>
        <w:t>就采购人及采购人所属各企业与第三方在经济交往中的谈判、签约等商业行为提供法律方面的咨询意见（包括到采购人现场服务，不限</w:t>
      </w:r>
      <w:r>
        <w:rPr>
          <w:rFonts w:hint="eastAsia"/>
          <w:sz w:val="24"/>
          <w:highlight w:val="none"/>
          <w:lang w:val="en-US" w:eastAsia="zh-CN"/>
        </w:rPr>
        <w:t>时长</w:t>
      </w:r>
      <w:r>
        <w:rPr>
          <w:rFonts w:hint="eastAsia"/>
          <w:sz w:val="24"/>
          <w:highlight w:val="none"/>
        </w:rPr>
        <w:t>），包括：</w:t>
      </w:r>
    </w:p>
    <w:p>
      <w:pPr>
        <w:snapToGrid w:val="0"/>
        <w:spacing w:line="480" w:lineRule="exact"/>
        <w:ind w:firstLine="480" w:firstLineChars="200"/>
        <w:rPr>
          <w:rFonts w:hint="eastAsia"/>
          <w:sz w:val="24"/>
          <w:highlight w:val="none"/>
        </w:rPr>
      </w:pPr>
      <w:r>
        <w:rPr>
          <w:rFonts w:hint="eastAsia"/>
          <w:sz w:val="24"/>
          <w:highlight w:val="none"/>
        </w:rPr>
        <w:t>（1）为重大经营决策提供法律和政策依据；</w:t>
      </w:r>
    </w:p>
    <w:p>
      <w:pPr>
        <w:snapToGrid w:val="0"/>
        <w:spacing w:line="480" w:lineRule="exact"/>
        <w:ind w:firstLine="480" w:firstLineChars="200"/>
        <w:rPr>
          <w:rFonts w:hint="eastAsia"/>
          <w:sz w:val="24"/>
          <w:highlight w:val="none"/>
        </w:rPr>
      </w:pPr>
      <w:r>
        <w:rPr>
          <w:rFonts w:hint="eastAsia"/>
          <w:sz w:val="24"/>
          <w:highlight w:val="none"/>
        </w:rPr>
        <w:t>（2）为各项业务提供国内外法律咨询服务；</w:t>
      </w:r>
    </w:p>
    <w:p>
      <w:pPr>
        <w:snapToGrid w:val="0"/>
        <w:spacing w:line="480" w:lineRule="exact"/>
        <w:ind w:firstLine="480" w:firstLineChars="200"/>
        <w:rPr>
          <w:rFonts w:hint="eastAsia"/>
          <w:sz w:val="24"/>
          <w:highlight w:val="none"/>
        </w:rPr>
      </w:pPr>
      <w:r>
        <w:rPr>
          <w:rFonts w:hint="eastAsia"/>
          <w:sz w:val="24"/>
          <w:highlight w:val="none"/>
        </w:rPr>
        <w:t>（3）对采购人及采购人所属各企业发生的各类经济纠纷、劳动争议进行法律论证，提出解决方案，出具律师函，发表律师意见；</w:t>
      </w:r>
    </w:p>
    <w:p>
      <w:pPr>
        <w:snapToGrid w:val="0"/>
        <w:spacing w:line="480" w:lineRule="exact"/>
        <w:ind w:firstLine="480" w:firstLineChars="200"/>
        <w:rPr>
          <w:rFonts w:hint="eastAsia"/>
          <w:sz w:val="24"/>
          <w:highlight w:val="none"/>
        </w:rPr>
      </w:pPr>
      <w:r>
        <w:rPr>
          <w:rFonts w:hint="eastAsia"/>
          <w:sz w:val="24"/>
          <w:highlight w:val="none"/>
        </w:rPr>
        <w:t>（4）处理采购人交办的其</w:t>
      </w:r>
      <w:r>
        <w:rPr>
          <w:rFonts w:hint="eastAsia"/>
          <w:sz w:val="24"/>
          <w:highlight w:val="none"/>
          <w:lang w:eastAsia="zh-CN"/>
        </w:rPr>
        <w:t>他</w:t>
      </w:r>
      <w:r>
        <w:rPr>
          <w:rFonts w:hint="eastAsia"/>
          <w:sz w:val="24"/>
          <w:highlight w:val="none"/>
        </w:rPr>
        <w:t>法律事务，为采购人提供必要的法律帮助，维护采购人的合法权益。</w:t>
      </w:r>
    </w:p>
    <w:p>
      <w:pPr>
        <w:snapToGrid w:val="0"/>
        <w:spacing w:line="480" w:lineRule="exact"/>
        <w:ind w:firstLine="480" w:firstLineChars="200"/>
        <w:rPr>
          <w:rFonts w:hint="eastAsia"/>
          <w:sz w:val="24"/>
          <w:highlight w:val="none"/>
        </w:rPr>
      </w:pPr>
      <w:r>
        <w:rPr>
          <w:rFonts w:hint="eastAsia"/>
          <w:sz w:val="24"/>
          <w:highlight w:val="none"/>
          <w:lang w:eastAsia="zh-CN"/>
        </w:rPr>
        <w:t>2</w:t>
      </w:r>
      <w:r>
        <w:rPr>
          <w:rFonts w:hint="eastAsia"/>
          <w:sz w:val="24"/>
          <w:highlight w:val="none"/>
        </w:rPr>
        <w:t>．报价人为采购人及所属企业提供重要谈判、重大合同签约的现场服务（不限次数）；</w:t>
      </w:r>
    </w:p>
    <w:p>
      <w:pPr>
        <w:snapToGrid w:val="0"/>
        <w:spacing w:line="480" w:lineRule="exact"/>
        <w:ind w:firstLine="480" w:firstLineChars="200"/>
        <w:rPr>
          <w:rFonts w:hint="eastAsia"/>
          <w:sz w:val="24"/>
          <w:highlight w:val="none"/>
        </w:rPr>
      </w:pPr>
      <w:r>
        <w:rPr>
          <w:rFonts w:hint="eastAsia"/>
          <w:sz w:val="24"/>
          <w:highlight w:val="none"/>
          <w:lang w:val="en-US" w:eastAsia="zh-CN"/>
        </w:rPr>
        <w:t>3</w:t>
      </w:r>
      <w:r>
        <w:rPr>
          <w:rFonts w:hint="eastAsia"/>
          <w:sz w:val="24"/>
          <w:highlight w:val="none"/>
        </w:rPr>
        <w:t xml:space="preserve"> 采购人及所属企业由于发生投资项目、融资项目、并购项目、公司重组或者仲裁、诉讼等事项需报价人提供的专项法律服务。</w:t>
      </w:r>
    </w:p>
    <w:p>
      <w:pPr>
        <w:snapToGrid w:val="0"/>
        <w:spacing w:line="480" w:lineRule="exact"/>
        <w:rPr>
          <w:sz w:val="24"/>
          <w:highlight w:val="none"/>
        </w:rPr>
      </w:pPr>
      <w:r>
        <w:rPr>
          <w:sz w:val="24"/>
          <w:highlight w:val="none"/>
        </w:rPr>
        <w:t>（</w:t>
      </w:r>
      <w:r>
        <w:rPr>
          <w:rFonts w:hint="eastAsia"/>
          <w:sz w:val="24"/>
          <w:highlight w:val="none"/>
          <w:lang w:val="en-US" w:eastAsia="zh-CN"/>
        </w:rPr>
        <w:t>四</w:t>
      </w:r>
      <w:r>
        <w:rPr>
          <w:sz w:val="24"/>
          <w:highlight w:val="none"/>
        </w:rPr>
        <w:t>）法律培训</w:t>
      </w:r>
    </w:p>
    <w:p>
      <w:pPr>
        <w:snapToGrid w:val="0"/>
        <w:spacing w:line="480" w:lineRule="exact"/>
        <w:ind w:firstLine="480" w:firstLineChars="200"/>
        <w:rPr>
          <w:sz w:val="24"/>
          <w:highlight w:val="none"/>
        </w:rPr>
      </w:pPr>
      <w:r>
        <w:rPr>
          <w:sz w:val="24"/>
          <w:highlight w:val="none"/>
        </w:rPr>
        <w:t>根据公司实际侧重方向，讲授相应的法律知识，为职工提供法制宣传、教育、培训，</w:t>
      </w:r>
      <w:r>
        <w:rPr>
          <w:rFonts w:hint="eastAsia"/>
          <w:sz w:val="24"/>
          <w:highlight w:val="none"/>
          <w:lang w:val="en-US" w:eastAsia="zh-CN"/>
        </w:rPr>
        <w:t>服务期内</w:t>
      </w:r>
      <w:r>
        <w:rPr>
          <w:rFonts w:hint="eastAsia"/>
          <w:sz w:val="24"/>
          <w:highlight w:val="none"/>
        </w:rPr>
        <w:t>不少于</w:t>
      </w:r>
      <w:r>
        <w:rPr>
          <w:rFonts w:hint="eastAsia"/>
          <w:sz w:val="24"/>
          <w:highlight w:val="none"/>
          <w:lang w:val="en-US" w:eastAsia="zh-CN"/>
        </w:rPr>
        <w:t>6</w:t>
      </w:r>
      <w:r>
        <w:rPr>
          <w:rFonts w:hint="eastAsia"/>
          <w:sz w:val="24"/>
          <w:highlight w:val="none"/>
        </w:rPr>
        <w:t>次</w:t>
      </w:r>
      <w:r>
        <w:rPr>
          <w:sz w:val="24"/>
          <w:highlight w:val="none"/>
        </w:rPr>
        <w:t>（</w:t>
      </w:r>
      <w:r>
        <w:rPr>
          <w:rFonts w:hint="eastAsia"/>
          <w:sz w:val="24"/>
          <w:highlight w:val="none"/>
        </w:rPr>
        <w:t>每次不低于2小时讲授时间</w:t>
      </w:r>
      <w:r>
        <w:rPr>
          <w:sz w:val="24"/>
          <w:highlight w:val="none"/>
        </w:rPr>
        <w:t>）。</w:t>
      </w:r>
    </w:p>
    <w:p>
      <w:pPr>
        <w:snapToGrid w:val="0"/>
        <w:spacing w:line="480" w:lineRule="exact"/>
        <w:rPr>
          <w:sz w:val="24"/>
          <w:highlight w:val="none"/>
        </w:rPr>
      </w:pPr>
      <w:r>
        <w:rPr>
          <w:sz w:val="24"/>
          <w:highlight w:val="none"/>
        </w:rPr>
        <w:t>（</w:t>
      </w:r>
      <w:r>
        <w:rPr>
          <w:rFonts w:hint="eastAsia"/>
          <w:sz w:val="24"/>
          <w:highlight w:val="none"/>
          <w:lang w:val="en-US" w:eastAsia="zh-CN"/>
        </w:rPr>
        <w:t>五</w:t>
      </w:r>
      <w:r>
        <w:rPr>
          <w:sz w:val="24"/>
          <w:highlight w:val="none"/>
        </w:rPr>
        <w:t>）法律纠纷</w:t>
      </w:r>
    </w:p>
    <w:p>
      <w:pPr>
        <w:snapToGrid w:val="0"/>
        <w:spacing w:line="480" w:lineRule="exact"/>
        <w:ind w:firstLine="480" w:firstLineChars="200"/>
        <w:rPr>
          <w:rFonts w:hint="eastAsia" w:eastAsia="宋体"/>
          <w:sz w:val="24"/>
          <w:highlight w:val="none"/>
          <w:lang w:eastAsia="zh-CN"/>
        </w:rPr>
      </w:pPr>
      <w:r>
        <w:rPr>
          <w:sz w:val="24"/>
          <w:highlight w:val="none"/>
        </w:rPr>
        <w:t>1.参加公司涉及经济、民事、知识产权、劳动、行政、刑事等诉讼、非诉、调解、仲裁活动</w:t>
      </w:r>
      <w:r>
        <w:rPr>
          <w:rFonts w:hint="eastAsia"/>
          <w:sz w:val="24"/>
          <w:highlight w:val="none"/>
        </w:rPr>
        <w:t>的前期咨询、准备</w:t>
      </w:r>
      <w:r>
        <w:rPr>
          <w:rFonts w:hint="eastAsia"/>
          <w:sz w:val="24"/>
          <w:highlight w:val="none"/>
          <w:lang w:eastAsia="zh-CN"/>
        </w:rPr>
        <w:t>（</w:t>
      </w:r>
      <w:r>
        <w:rPr>
          <w:rFonts w:hint="eastAsia"/>
          <w:sz w:val="24"/>
          <w:highlight w:val="none"/>
          <w:lang w:val="en-US" w:eastAsia="zh-CN"/>
        </w:rPr>
        <w:t>不限次数</w:t>
      </w:r>
      <w:r>
        <w:rPr>
          <w:rFonts w:hint="eastAsia"/>
          <w:sz w:val="24"/>
          <w:highlight w:val="none"/>
          <w:lang w:eastAsia="zh-CN"/>
        </w:rPr>
        <w:t>）</w:t>
      </w:r>
      <w:r>
        <w:rPr>
          <w:rFonts w:hint="eastAsia"/>
          <w:sz w:val="24"/>
          <w:highlight w:val="none"/>
        </w:rPr>
        <w:t>；为法律纠纷中期后期提供法律咨询，包括诉讼仲裁法律文书的草拟、提供、修改和审核服务等；若涉及专项服务，按专项服务进行</w:t>
      </w:r>
      <w:r>
        <w:rPr>
          <w:rFonts w:hint="eastAsia"/>
          <w:sz w:val="24"/>
          <w:highlight w:val="none"/>
          <w:lang w:eastAsia="zh-CN"/>
        </w:rPr>
        <w:t>。</w:t>
      </w:r>
    </w:p>
    <w:p>
      <w:pPr>
        <w:snapToGrid w:val="0"/>
        <w:spacing w:line="480" w:lineRule="exact"/>
        <w:rPr>
          <w:sz w:val="24"/>
          <w:highlight w:val="none"/>
        </w:rPr>
      </w:pPr>
      <w:r>
        <w:rPr>
          <w:sz w:val="24"/>
          <w:highlight w:val="none"/>
        </w:rPr>
        <w:t>2.经公司授权，签署、送达或接收法律文书</w:t>
      </w:r>
      <w:r>
        <w:rPr>
          <w:rFonts w:hint="eastAsia"/>
          <w:sz w:val="24"/>
          <w:highlight w:val="none"/>
        </w:rPr>
        <w:t>和律师函</w:t>
      </w:r>
      <w:r>
        <w:rPr>
          <w:sz w:val="24"/>
          <w:highlight w:val="none"/>
        </w:rPr>
        <w:t>。</w:t>
      </w:r>
    </w:p>
    <w:p>
      <w:pPr>
        <w:snapToGrid w:val="0"/>
        <w:spacing w:line="480" w:lineRule="exact"/>
        <w:rPr>
          <w:sz w:val="24"/>
          <w:highlight w:val="none"/>
        </w:rPr>
      </w:pPr>
      <w:r>
        <w:rPr>
          <w:sz w:val="24"/>
          <w:highlight w:val="none"/>
        </w:rPr>
        <w:t>（</w:t>
      </w:r>
      <w:r>
        <w:rPr>
          <w:rFonts w:hint="eastAsia"/>
          <w:sz w:val="24"/>
          <w:highlight w:val="none"/>
          <w:lang w:val="en-US" w:eastAsia="zh-CN"/>
        </w:rPr>
        <w:t>六</w:t>
      </w:r>
      <w:r>
        <w:rPr>
          <w:sz w:val="24"/>
          <w:highlight w:val="none"/>
        </w:rPr>
        <w:t>）对接方式</w:t>
      </w:r>
    </w:p>
    <w:p>
      <w:pPr>
        <w:snapToGrid w:val="0"/>
        <w:spacing w:line="480" w:lineRule="exact"/>
        <w:ind w:firstLine="480" w:firstLineChars="200"/>
        <w:rPr>
          <w:sz w:val="24"/>
          <w:highlight w:val="none"/>
        </w:rPr>
      </w:pPr>
      <w:r>
        <w:rPr>
          <w:sz w:val="24"/>
          <w:highlight w:val="none"/>
        </w:rPr>
        <w:t>供应方指定团队对接开发公司，供应方团队主要负责人对接开发公司法律岗位人员，供应方其他团队成员配合。</w:t>
      </w:r>
    </w:p>
    <w:p>
      <w:pPr>
        <w:snapToGrid w:val="0"/>
        <w:spacing w:line="480" w:lineRule="exact"/>
        <w:rPr>
          <w:sz w:val="24"/>
          <w:highlight w:val="none"/>
        </w:rPr>
      </w:pPr>
      <w:r>
        <w:rPr>
          <w:sz w:val="24"/>
          <w:highlight w:val="none"/>
        </w:rPr>
        <w:t>（</w:t>
      </w:r>
      <w:r>
        <w:rPr>
          <w:rFonts w:hint="eastAsia"/>
          <w:sz w:val="24"/>
          <w:highlight w:val="none"/>
          <w:lang w:val="en-US" w:eastAsia="zh-CN"/>
        </w:rPr>
        <w:t>七</w:t>
      </w:r>
      <w:r>
        <w:rPr>
          <w:sz w:val="24"/>
          <w:highlight w:val="none"/>
        </w:rPr>
        <w:t>）沟通方式</w:t>
      </w:r>
    </w:p>
    <w:p>
      <w:pPr>
        <w:snapToGrid w:val="0"/>
        <w:spacing w:line="480" w:lineRule="exact"/>
        <w:rPr>
          <w:sz w:val="24"/>
          <w:highlight w:val="none"/>
        </w:rPr>
      </w:pPr>
      <w:r>
        <w:rPr>
          <w:sz w:val="24"/>
          <w:highlight w:val="none"/>
        </w:rPr>
        <w:t>1.日常事务：邮件、电话，微信对简单法律进行咨询；</w:t>
      </w:r>
    </w:p>
    <w:p>
      <w:pPr>
        <w:snapToGrid w:val="0"/>
        <w:spacing w:line="480" w:lineRule="exact"/>
        <w:rPr>
          <w:sz w:val="24"/>
          <w:highlight w:val="none"/>
        </w:rPr>
      </w:pPr>
      <w:r>
        <w:rPr>
          <w:sz w:val="24"/>
          <w:highlight w:val="none"/>
        </w:rPr>
        <w:t>2.紧急事务：到场咨询；</w:t>
      </w:r>
    </w:p>
    <w:p>
      <w:pPr>
        <w:snapToGrid w:val="0"/>
        <w:spacing w:line="480" w:lineRule="exact"/>
        <w:rPr>
          <w:sz w:val="24"/>
          <w:highlight w:val="none"/>
        </w:rPr>
      </w:pPr>
      <w:r>
        <w:rPr>
          <w:sz w:val="24"/>
          <w:highlight w:val="none"/>
        </w:rPr>
        <w:t>（</w:t>
      </w:r>
      <w:r>
        <w:rPr>
          <w:rFonts w:hint="eastAsia"/>
          <w:sz w:val="24"/>
          <w:highlight w:val="none"/>
          <w:lang w:val="en-US" w:eastAsia="zh-CN"/>
        </w:rPr>
        <w:t>八</w:t>
      </w:r>
      <w:r>
        <w:rPr>
          <w:sz w:val="24"/>
          <w:highlight w:val="none"/>
        </w:rPr>
        <w:t>）需求处理时限</w:t>
      </w:r>
    </w:p>
    <w:p>
      <w:pPr>
        <w:snapToGrid w:val="0"/>
        <w:spacing w:line="480" w:lineRule="exact"/>
        <w:rPr>
          <w:rFonts w:hint="default" w:eastAsia="宋体"/>
          <w:sz w:val="24"/>
          <w:highlight w:val="none"/>
          <w:lang w:val="en-US" w:eastAsia="zh-CN"/>
        </w:rPr>
      </w:pPr>
      <w:r>
        <w:rPr>
          <w:sz w:val="24"/>
          <w:highlight w:val="none"/>
        </w:rPr>
        <w:t>1.</w:t>
      </w:r>
      <w:r>
        <w:rPr>
          <w:rFonts w:hint="eastAsia"/>
          <w:sz w:val="24"/>
          <w:highlight w:val="none"/>
          <w:lang w:val="en-US" w:eastAsia="zh-CN"/>
        </w:rPr>
        <w:t>1</w:t>
      </w:r>
      <w:r>
        <w:rPr>
          <w:sz w:val="24"/>
          <w:highlight w:val="none"/>
        </w:rPr>
        <w:t>个工作日内：合同</w:t>
      </w:r>
      <w:r>
        <w:rPr>
          <w:rFonts w:hint="eastAsia"/>
          <w:sz w:val="24"/>
          <w:highlight w:val="none"/>
        </w:rPr>
        <w:t>修改</w:t>
      </w:r>
      <w:r>
        <w:rPr>
          <w:sz w:val="24"/>
          <w:highlight w:val="none"/>
        </w:rPr>
        <w:t>类、一般法律咨询事项；</w:t>
      </w:r>
      <w:r>
        <w:rPr>
          <w:rFonts w:hint="eastAsia"/>
          <w:sz w:val="24"/>
          <w:highlight w:val="none"/>
          <w:lang w:val="en-US" w:eastAsia="zh-CN"/>
        </w:rPr>
        <w:t>2个工作日内：制度类、法律纠纷。</w:t>
      </w:r>
    </w:p>
    <w:p>
      <w:pPr>
        <w:snapToGrid w:val="0"/>
        <w:spacing w:line="480" w:lineRule="exact"/>
        <w:rPr>
          <w:sz w:val="24"/>
          <w:highlight w:val="none"/>
        </w:rPr>
      </w:pPr>
      <w:r>
        <w:rPr>
          <w:sz w:val="24"/>
          <w:highlight w:val="none"/>
        </w:rPr>
        <w:t>2.当天内：紧急咨询事项。</w:t>
      </w:r>
    </w:p>
    <w:p>
      <w:pPr>
        <w:snapToGrid w:val="0"/>
        <w:spacing w:line="480" w:lineRule="exact"/>
        <w:rPr>
          <w:rFonts w:hint="eastAsia"/>
          <w:sz w:val="24"/>
          <w:highlight w:val="none"/>
        </w:rPr>
      </w:pPr>
      <w:r>
        <w:rPr>
          <w:rFonts w:hint="eastAsia"/>
          <w:sz w:val="24"/>
          <w:highlight w:val="none"/>
        </w:rPr>
        <w:t>3.合同标准文本、重大事项法律意见、法律培训按照</w:t>
      </w:r>
      <w:r>
        <w:rPr>
          <w:rFonts w:hint="eastAsia"/>
          <w:sz w:val="24"/>
          <w:highlight w:val="none"/>
          <w:lang w:val="en-US" w:eastAsia="zh-CN"/>
        </w:rPr>
        <w:t>采购</w:t>
      </w:r>
      <w:r>
        <w:rPr>
          <w:rFonts w:hint="eastAsia"/>
          <w:sz w:val="24"/>
          <w:highlight w:val="none"/>
        </w:rPr>
        <w:t>人要求尽快提供。</w:t>
      </w:r>
    </w:p>
    <w:p>
      <w:pPr>
        <w:snapToGrid w:val="0"/>
        <w:spacing w:line="480" w:lineRule="exact"/>
        <w:rPr>
          <w:rFonts w:hint="default" w:eastAsia="宋体"/>
          <w:b/>
          <w:sz w:val="24"/>
          <w:highlight w:val="none"/>
          <w:lang w:val="en-US" w:eastAsia="zh-CN"/>
        </w:rPr>
      </w:pPr>
      <w:r>
        <w:rPr>
          <w:b/>
          <w:sz w:val="24"/>
          <w:highlight w:val="none"/>
        </w:rPr>
        <w:t>第</w:t>
      </w:r>
      <w:r>
        <w:rPr>
          <w:rFonts w:hint="eastAsia"/>
          <w:b/>
          <w:sz w:val="24"/>
          <w:highlight w:val="none"/>
          <w:lang w:val="en-US" w:eastAsia="zh-CN"/>
        </w:rPr>
        <w:t>三</w:t>
      </w:r>
      <w:r>
        <w:rPr>
          <w:b/>
          <w:sz w:val="24"/>
          <w:highlight w:val="none"/>
        </w:rPr>
        <w:t xml:space="preserve">条 </w:t>
      </w:r>
      <w:r>
        <w:rPr>
          <w:rFonts w:hint="eastAsia"/>
          <w:b/>
          <w:sz w:val="24"/>
          <w:highlight w:val="none"/>
          <w:lang w:val="en-US" w:eastAsia="zh-CN"/>
        </w:rPr>
        <w:t>服务要求</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1.报价人委派牵头律师作为负责人组建律师团队作为采购人的法律顾问，采购人同意上述律师可以指派其他律师配合完成前述法律事务工作，但报价人更换律师团队负责人应取得采购人认可。</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2.报价人律师应勤勉、尽责地完成第一条所列各项法律工作，按照双方事前约定的时间、地点进行工作，及时受理采购人委托的各项工作。</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3.报价人律师应在取得采购人提供的文件资料后，按时完成采购人委托的事项，根据采购人的要求通报工作进程。</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4.对采购人的法律咨询及法律事务一般应在合同规定的工作日内作书面、合规的答复，并对相关问题及时提出具体的可操作方案和解决途径。</w:t>
      </w:r>
    </w:p>
    <w:p>
      <w:pPr>
        <w:pStyle w:val="96"/>
        <w:snapToGrid/>
        <w:spacing w:before="48" w:after="48" w:line="560" w:lineRule="exact"/>
        <w:ind w:left="0" w:leftChars="0"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5.报价人律师在涉及采购人的对抗性案件或者交易活动中，未经采购人同意，将不担任与采购人具有法律上利益冲突的另一方的法律顾问或代理人。</w:t>
      </w:r>
      <w:r>
        <w:rPr>
          <w:rFonts w:hint="default" w:ascii="Times New Roman" w:hAnsi="Times New Roman" w:eastAsia="宋体" w:cs="Times New Roman"/>
          <w:sz w:val="24"/>
          <w:highlight w:val="none"/>
          <w:lang w:val="en-US" w:eastAsia="zh-CN"/>
        </w:rPr>
        <w:t>报价人应当签署</w:t>
      </w:r>
      <w:r>
        <w:rPr>
          <w:rFonts w:hint="eastAsia" w:ascii="Times New Roman" w:hAnsi="Times New Roman" w:eastAsia="宋体" w:cs="Times New Roman"/>
          <w:sz w:val="24"/>
          <w:highlight w:val="none"/>
          <w:lang w:val="en-US" w:eastAsia="zh-CN"/>
        </w:rPr>
        <w:t>《</w:t>
      </w:r>
      <w:r>
        <w:rPr>
          <w:rFonts w:ascii="Times New Roman" w:hAnsi="Times New Roman" w:eastAsia="宋体" w:cs="Times New Roman"/>
          <w:spacing w:val="0"/>
          <w:sz w:val="24"/>
          <w:szCs w:val="32"/>
          <w:highlight w:val="none"/>
          <w:lang w:val="zh-TW" w:eastAsia="zh-TW"/>
        </w:rPr>
        <w:t>保密及无利益冲突承诺函</w:t>
      </w:r>
      <w:r>
        <w:rPr>
          <w:rFonts w:hint="eastAsia" w:ascii="Times New Roman" w:hAnsi="Times New Roman" w:eastAsia="宋体" w:cs="Times New Roman"/>
          <w:sz w:val="24"/>
          <w:highlight w:val="none"/>
          <w:lang w:val="en-US" w:eastAsia="zh-CN"/>
        </w:rPr>
        <w:t>》。</w:t>
      </w:r>
    </w:p>
    <w:p>
      <w:pPr>
        <w:snapToGrid w:val="0"/>
        <w:spacing w:before="0" w:after="0" w:line="480" w:lineRule="exact"/>
        <w:ind w:left="6" w:leftChars="0" w:firstLine="420" w:firstLineChars="17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6.法律文书应由顾问律师团队负责人亲自审核。</w:t>
      </w:r>
    </w:p>
    <w:p>
      <w:pPr>
        <w:pStyle w:val="96"/>
        <w:snapToGrid/>
        <w:spacing w:line="560" w:lineRule="exact"/>
        <w:ind w:left="0" w:firstLine="480" w:firstLineChars="200"/>
        <w:jc w:val="left"/>
        <w:rPr>
          <w:rFonts w:hint="default" w:ascii="Times New Roman" w:hAnsi="Times New Roman" w:eastAsia="宋体" w:cs="Times New Roman"/>
          <w:caps w:val="0"/>
          <w:sz w:val="24"/>
          <w:highlight w:val="none"/>
          <w:lang w:val="en-US" w:eastAsia="zh-CN"/>
        </w:rPr>
      </w:pPr>
      <w:r>
        <w:rPr>
          <w:rFonts w:hint="eastAsia" w:ascii="Times New Roman" w:hAnsi="Times New Roman" w:eastAsia="宋体" w:cs="Times New Roman"/>
          <w:b w:val="0"/>
          <w:sz w:val="24"/>
          <w:highlight w:val="none"/>
          <w:lang w:val="en-US" w:eastAsia="zh-CN"/>
        </w:rPr>
        <w:t>7.</w:t>
      </w:r>
      <w:r>
        <w:rPr>
          <w:rFonts w:hint="default" w:ascii="Times New Roman" w:hAnsi="Times New Roman" w:eastAsia="宋体" w:cs="Times New Roman"/>
          <w:caps w:val="0"/>
          <w:sz w:val="24"/>
          <w:highlight w:val="none"/>
          <w:lang w:val="en-US" w:eastAsia="zh-CN"/>
        </w:rPr>
        <w:t>成交供应商应使用CA证书的电子签章与采购人签署电子合同，且应当同意与采购人签订结构化合同。有关电子合同及结构化合同的相关解释权归采购人，以采购人解释为准。</w:t>
      </w:r>
    </w:p>
    <w:p>
      <w:pPr>
        <w:ind w:firstLine="480"/>
        <w:rPr>
          <w:highlight w:val="none"/>
        </w:rPr>
      </w:pPr>
      <w:r>
        <w:rPr>
          <w:highlight w:val="none"/>
        </w:rPr>
        <w:br w:type="page"/>
      </w:r>
    </w:p>
    <w:p>
      <w:pPr>
        <w:pStyle w:val="25"/>
        <w:spacing w:before="120"/>
        <w:rPr>
          <w:rFonts w:ascii="Times New Roman" w:hAnsi="Times New Roman"/>
          <w:szCs w:val="24"/>
          <w:highlight w:val="none"/>
        </w:rPr>
      </w:pPr>
      <w:bookmarkStart w:id="135" w:name="_Toc25636"/>
      <w:bookmarkStart w:id="136" w:name="_Toc18458"/>
      <w:r>
        <w:rPr>
          <w:rFonts w:ascii="Times New Roman" w:hAnsi="Times New Roman"/>
          <w:highlight w:val="none"/>
        </w:rPr>
        <w:t>第</w:t>
      </w:r>
      <w:r>
        <w:rPr>
          <w:rFonts w:hint="eastAsia" w:ascii="Times New Roman" w:hAnsi="Times New Roman"/>
          <w:highlight w:val="none"/>
        </w:rPr>
        <w:t>六</w:t>
      </w:r>
      <w:r>
        <w:rPr>
          <w:rFonts w:ascii="Times New Roman" w:hAnsi="Times New Roman"/>
          <w:highlight w:val="none"/>
        </w:rPr>
        <w:t xml:space="preserve">章 </w:t>
      </w:r>
      <w:r>
        <w:rPr>
          <w:rFonts w:hint="eastAsia" w:ascii="Times New Roman" w:hAnsi="Times New Roman"/>
          <w:highlight w:val="none"/>
        </w:rPr>
        <w:t>报价文件</w:t>
      </w:r>
      <w:r>
        <w:rPr>
          <w:rFonts w:ascii="Times New Roman" w:hAnsi="Times New Roman"/>
          <w:highlight w:val="none"/>
        </w:rPr>
        <w:t>格式</w:t>
      </w:r>
      <w:bookmarkEnd w:id="135"/>
      <w:bookmarkEnd w:id="136"/>
    </w:p>
    <w:p>
      <w:pPr>
        <w:ind w:firstLine="480"/>
        <w:rPr>
          <w:szCs w:val="24"/>
          <w:highlight w:val="none"/>
        </w:rPr>
      </w:pPr>
    </w:p>
    <w:p>
      <w:pPr>
        <w:pStyle w:val="13"/>
        <w:ind w:firstLine="0" w:firstLineChars="0"/>
        <w:jc w:val="left"/>
        <w:rPr>
          <w:rFonts w:cs="Arial"/>
          <w:sz w:val="72"/>
          <w:highlight w:val="none"/>
        </w:rPr>
      </w:pPr>
      <w:bookmarkStart w:id="137" w:name="_Toc453162622"/>
      <w:bookmarkStart w:id="138" w:name="_Toc453079648"/>
      <w:bookmarkStart w:id="139" w:name="_Toc453162709"/>
      <w:r>
        <w:rPr>
          <w:rFonts w:hint="eastAsia" w:cs="Arial"/>
          <w:sz w:val="72"/>
          <w:highlight w:val="none"/>
        </w:rPr>
        <w:t xml:space="preserve">      </w:t>
      </w:r>
      <w:r>
        <w:rPr>
          <w:rFonts w:hint="eastAsia" w:cs="Arial"/>
          <w:sz w:val="72"/>
          <w:highlight w:val="none"/>
          <w:u w:val="single"/>
        </w:rPr>
        <w:t xml:space="preserve">            项目</w:t>
      </w:r>
    </w:p>
    <w:p>
      <w:pPr>
        <w:pStyle w:val="13"/>
        <w:ind w:firstLine="0" w:firstLineChars="0"/>
        <w:jc w:val="center"/>
        <w:rPr>
          <w:rFonts w:eastAsia="黑体" w:cs="Arial"/>
          <w:sz w:val="32"/>
          <w:szCs w:val="32"/>
          <w:highlight w:val="none"/>
        </w:rPr>
      </w:pPr>
      <w:r>
        <w:rPr>
          <w:rFonts w:hint="eastAsia" w:eastAsia="黑体" w:cs="Arial"/>
          <w:sz w:val="84"/>
          <w:szCs w:val="84"/>
          <w:highlight w:val="none"/>
        </w:rPr>
        <w:t xml:space="preserve">报 价 </w:t>
      </w:r>
      <w:r>
        <w:rPr>
          <w:rFonts w:eastAsia="黑体" w:cs="Arial"/>
          <w:sz w:val="84"/>
          <w:szCs w:val="84"/>
          <w:highlight w:val="none"/>
        </w:rPr>
        <w:t>文</w:t>
      </w:r>
      <w:r>
        <w:rPr>
          <w:rFonts w:hint="eastAsia" w:eastAsia="黑体" w:cs="Arial"/>
          <w:sz w:val="84"/>
          <w:szCs w:val="84"/>
          <w:highlight w:val="none"/>
        </w:rPr>
        <w:t xml:space="preserve"> </w:t>
      </w:r>
      <w:r>
        <w:rPr>
          <w:rFonts w:eastAsia="黑体" w:cs="Arial"/>
          <w:sz w:val="84"/>
          <w:szCs w:val="84"/>
          <w:highlight w:val="none"/>
        </w:rPr>
        <w:t>件</w:t>
      </w:r>
    </w:p>
    <w:p>
      <w:pPr>
        <w:pStyle w:val="13"/>
        <w:ind w:firstLine="0" w:firstLineChars="0"/>
        <w:jc w:val="center"/>
        <w:rPr>
          <w:rFonts w:eastAsia="黑体" w:cs="Arial"/>
          <w:sz w:val="32"/>
          <w:szCs w:val="32"/>
          <w:highlight w:val="none"/>
          <w:u w:val="single"/>
        </w:rPr>
      </w:pPr>
      <w:r>
        <w:rPr>
          <w:rFonts w:hint="eastAsia" w:eastAsia="黑体" w:cs="Arial"/>
          <w:sz w:val="32"/>
          <w:szCs w:val="32"/>
          <w:highlight w:val="none"/>
        </w:rPr>
        <w:t>询价编码</w:t>
      </w:r>
      <w:r>
        <w:rPr>
          <w:rFonts w:eastAsia="黑体" w:cs="Arial"/>
          <w:sz w:val="32"/>
          <w:szCs w:val="32"/>
          <w:highlight w:val="none"/>
        </w:rPr>
        <w:t>：</w:t>
      </w:r>
      <w:r>
        <w:rPr>
          <w:rFonts w:hint="eastAsia" w:eastAsia="黑体" w:cs="Arial"/>
          <w:sz w:val="32"/>
          <w:szCs w:val="32"/>
          <w:highlight w:val="none"/>
          <w:u w:val="single"/>
        </w:rPr>
        <w:t xml:space="preserve">         </w:t>
      </w: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highlight w:val="none"/>
        </w:rPr>
      </w:pPr>
    </w:p>
    <w:p>
      <w:pPr>
        <w:pStyle w:val="13"/>
        <w:ind w:left="119" w:firstLine="0" w:firstLineChars="0"/>
        <w:jc w:val="center"/>
        <w:rPr>
          <w:rFonts w:cs="Arial"/>
          <w:sz w:val="28"/>
          <w:szCs w:val="28"/>
          <w:highlight w:val="none"/>
        </w:rPr>
      </w:pPr>
      <w:r>
        <w:rPr>
          <w:rFonts w:cs="Arial"/>
          <w:sz w:val="28"/>
          <w:szCs w:val="28"/>
          <w:highlight w:val="none"/>
        </w:rPr>
        <w:t>供应商：</w:t>
      </w:r>
      <w:r>
        <w:rPr>
          <w:rFonts w:cs="Arial"/>
          <w:sz w:val="28"/>
          <w:szCs w:val="28"/>
          <w:highlight w:val="none"/>
          <w:u w:val="single"/>
        </w:rPr>
        <w:tab/>
      </w:r>
      <w:r>
        <w:rPr>
          <w:rFonts w:cs="Arial"/>
          <w:sz w:val="28"/>
          <w:szCs w:val="28"/>
          <w:highlight w:val="none"/>
          <w:u w:val="single"/>
        </w:rPr>
        <w:t xml:space="preserve"> </w:t>
      </w:r>
      <w:r>
        <w:rPr>
          <w:rFonts w:hint="eastAsia" w:cs="Arial"/>
          <w:sz w:val="28"/>
          <w:szCs w:val="28"/>
          <w:highlight w:val="none"/>
          <w:u w:val="single"/>
        </w:rPr>
        <w:t xml:space="preserve">       （盖章）</w:t>
      </w:r>
    </w:p>
    <w:p>
      <w:pPr>
        <w:pStyle w:val="13"/>
        <w:ind w:firstLine="0" w:firstLineChars="0"/>
        <w:jc w:val="center"/>
        <w:rPr>
          <w:rFonts w:cs="Arial"/>
          <w:sz w:val="28"/>
          <w:szCs w:val="28"/>
          <w:highlight w:val="none"/>
        </w:rPr>
      </w:pPr>
      <w:r>
        <w:rPr>
          <w:rFonts w:cs="Arial"/>
          <w:sz w:val="28"/>
          <w:szCs w:val="28"/>
          <w:highlight w:val="none"/>
        </w:rPr>
        <w:t xml:space="preserve">日 </w:t>
      </w:r>
      <w:r>
        <w:rPr>
          <w:rFonts w:hint="eastAsia" w:cs="Arial"/>
          <w:sz w:val="28"/>
          <w:szCs w:val="28"/>
          <w:highlight w:val="none"/>
        </w:rPr>
        <w:t xml:space="preserve"> </w:t>
      </w:r>
      <w:r>
        <w:rPr>
          <w:rFonts w:cs="Arial"/>
          <w:sz w:val="28"/>
          <w:szCs w:val="28"/>
          <w:highlight w:val="none"/>
        </w:rPr>
        <w:t>期：</w:t>
      </w:r>
      <w:r>
        <w:rPr>
          <w:rFonts w:hint="eastAsia" w:cs="Arial"/>
          <w:sz w:val="28"/>
          <w:szCs w:val="28"/>
          <w:highlight w:val="none"/>
          <w:u w:val="single"/>
        </w:rPr>
        <w:t xml:space="preserve">  </w:t>
      </w:r>
      <w:r>
        <w:rPr>
          <w:rFonts w:cs="Arial"/>
          <w:sz w:val="28"/>
          <w:szCs w:val="28"/>
          <w:highlight w:val="none"/>
          <w:u w:val="single"/>
        </w:rPr>
        <w:t xml:space="preserve">  </w:t>
      </w:r>
      <w:r>
        <w:rPr>
          <w:rFonts w:cs="Arial"/>
          <w:sz w:val="28"/>
          <w:szCs w:val="28"/>
          <w:highlight w:val="none"/>
        </w:rPr>
        <w:t>年</w:t>
      </w:r>
      <w:r>
        <w:rPr>
          <w:rFonts w:cs="Arial"/>
          <w:sz w:val="28"/>
          <w:szCs w:val="28"/>
          <w:highlight w:val="none"/>
          <w:u w:val="single"/>
        </w:rPr>
        <w:t xml:space="preserve"> </w:t>
      </w:r>
      <w:r>
        <w:rPr>
          <w:rFonts w:hint="eastAsia" w:cs="Arial"/>
          <w:sz w:val="28"/>
          <w:szCs w:val="28"/>
          <w:highlight w:val="none"/>
          <w:u w:val="single"/>
        </w:rPr>
        <w:t xml:space="preserve">  </w:t>
      </w:r>
      <w:r>
        <w:rPr>
          <w:rFonts w:cs="Arial"/>
          <w:sz w:val="28"/>
          <w:szCs w:val="28"/>
          <w:highlight w:val="none"/>
        </w:rPr>
        <w:t>月</w:t>
      </w:r>
      <w:r>
        <w:rPr>
          <w:rFonts w:hint="eastAsia" w:cs="Arial"/>
          <w:sz w:val="28"/>
          <w:szCs w:val="28"/>
          <w:highlight w:val="none"/>
          <w:u w:val="single"/>
        </w:rPr>
        <w:t xml:space="preserve">   </w:t>
      </w:r>
      <w:r>
        <w:rPr>
          <w:rFonts w:cs="Arial"/>
          <w:sz w:val="28"/>
          <w:szCs w:val="28"/>
          <w:highlight w:val="none"/>
        </w:rPr>
        <w:t>日</w:t>
      </w:r>
    </w:p>
    <w:p>
      <w:pPr>
        <w:ind w:firstLine="0" w:firstLineChars="0"/>
        <w:jc w:val="left"/>
        <w:rPr>
          <w:color w:val="000000"/>
          <w:szCs w:val="24"/>
          <w:highlight w:val="none"/>
        </w:rPr>
      </w:pPr>
    </w:p>
    <w:p>
      <w:pPr>
        <w:ind w:firstLine="480"/>
        <w:rPr>
          <w:color w:val="000000"/>
          <w:szCs w:val="24"/>
          <w:highlight w:val="none"/>
        </w:rPr>
      </w:pPr>
    </w:p>
    <w:p>
      <w:pPr>
        <w:ind w:firstLine="480"/>
        <w:jc w:val="center"/>
        <w:rPr>
          <w:rFonts w:eastAsia="黑体"/>
          <w:highlight w:val="none"/>
        </w:rPr>
      </w:pPr>
      <w:r>
        <w:rPr>
          <w:color w:val="000000"/>
          <w:highlight w:val="none"/>
        </w:rPr>
        <w:br w:type="page"/>
      </w:r>
      <w:bookmarkEnd w:id="137"/>
      <w:bookmarkEnd w:id="138"/>
      <w:bookmarkEnd w:id="139"/>
      <w:r>
        <w:rPr>
          <w:rFonts w:hint="eastAsia" w:eastAsia="黑体"/>
          <w:sz w:val="36"/>
          <w:highlight w:val="none"/>
        </w:rPr>
        <w:t>目  录</w:t>
      </w:r>
    </w:p>
    <w:p>
      <w:pPr>
        <w:spacing w:line="540" w:lineRule="exact"/>
        <w:ind w:firstLine="480"/>
        <w:rPr>
          <w:color w:val="000000"/>
          <w:highlight w:val="none"/>
        </w:rPr>
      </w:pPr>
    </w:p>
    <w:p>
      <w:pPr>
        <w:ind w:firstLine="480"/>
        <w:rPr>
          <w:highlight w:val="none"/>
        </w:rPr>
      </w:pPr>
      <w:r>
        <w:rPr>
          <w:rFonts w:hint="eastAsia"/>
          <w:highlight w:val="none"/>
        </w:rPr>
        <w:t>一、</w:t>
      </w:r>
      <w:r>
        <w:rPr>
          <w:highlight w:val="none"/>
        </w:rPr>
        <w:t>授权委托</w:t>
      </w:r>
      <w:r>
        <w:rPr>
          <w:color w:val="000000"/>
          <w:highlight w:val="none"/>
        </w:rPr>
        <w:t>书</w:t>
      </w:r>
    </w:p>
    <w:p>
      <w:pPr>
        <w:ind w:firstLine="480"/>
        <w:rPr>
          <w:highlight w:val="none"/>
        </w:rPr>
      </w:pPr>
      <w:r>
        <w:rPr>
          <w:rFonts w:hint="eastAsia"/>
          <w:highlight w:val="none"/>
        </w:rPr>
        <w:t>二、报价部分</w:t>
      </w:r>
    </w:p>
    <w:p>
      <w:pPr>
        <w:ind w:firstLine="480"/>
        <w:rPr>
          <w:rFonts w:hint="eastAsia" w:eastAsia="宋体"/>
          <w:highlight w:val="none"/>
          <w:lang w:eastAsia="zh-CN"/>
        </w:rPr>
      </w:pPr>
      <w:r>
        <w:rPr>
          <w:rFonts w:hint="eastAsia"/>
          <w:highlight w:val="none"/>
        </w:rPr>
        <w:t>三、</w:t>
      </w:r>
      <w:r>
        <w:rPr>
          <w:rFonts w:hint="default"/>
          <w:highlight w:val="none"/>
          <w:lang w:val="en-US"/>
        </w:rPr>
        <w:t>商务</w:t>
      </w:r>
      <w:r>
        <w:rPr>
          <w:rFonts w:hint="eastAsia"/>
          <w:highlight w:val="none"/>
        </w:rPr>
        <w:t>部分</w:t>
      </w:r>
      <w:r>
        <w:rPr>
          <w:rFonts w:hint="eastAsia"/>
          <w:highlight w:val="none"/>
          <w:lang w:eastAsia="zh-CN"/>
        </w:rPr>
        <w:t>（</w:t>
      </w:r>
      <w:r>
        <w:rPr>
          <w:rFonts w:hint="eastAsia"/>
          <w:highlight w:val="none"/>
          <w:lang w:val="en-US" w:eastAsia="zh-CN"/>
        </w:rPr>
        <w:t>工作团队及业绩</w:t>
      </w:r>
      <w:r>
        <w:rPr>
          <w:rFonts w:hint="eastAsia"/>
          <w:highlight w:val="none"/>
          <w:lang w:eastAsia="zh-CN"/>
        </w:rPr>
        <w:t>）</w:t>
      </w:r>
    </w:p>
    <w:p>
      <w:pPr>
        <w:ind w:firstLine="480"/>
        <w:rPr>
          <w:rFonts w:hint="default" w:eastAsia="黑体"/>
          <w:highlight w:val="none"/>
          <w:lang w:val="en-US" w:eastAsia="zh-CN"/>
        </w:rPr>
      </w:pPr>
      <w:r>
        <w:rPr>
          <w:rFonts w:hint="eastAsia"/>
          <w:highlight w:val="none"/>
        </w:rPr>
        <w:t>四、</w:t>
      </w:r>
      <w:r>
        <w:rPr>
          <w:rFonts w:hint="default"/>
          <w:highlight w:val="none"/>
          <w:lang w:val="en-US"/>
        </w:rPr>
        <w:t>技术</w:t>
      </w:r>
      <w:r>
        <w:rPr>
          <w:rFonts w:hint="eastAsia"/>
          <w:highlight w:val="none"/>
        </w:rPr>
        <w:t>部分</w:t>
      </w:r>
      <w:r>
        <w:rPr>
          <w:rFonts w:hint="eastAsia"/>
          <w:highlight w:val="none"/>
          <w:lang w:eastAsia="zh-CN"/>
        </w:rPr>
        <w:t>（</w:t>
      </w:r>
      <w:r>
        <w:rPr>
          <w:rFonts w:hint="eastAsia"/>
          <w:highlight w:val="none"/>
          <w:lang w:val="en-US" w:eastAsia="zh-CN"/>
        </w:rPr>
        <w:t>工作方案、专项服务建议及商务响应</w:t>
      </w:r>
      <w:r>
        <w:rPr>
          <w:rFonts w:hint="eastAsia"/>
          <w:highlight w:val="none"/>
          <w:lang w:eastAsia="zh-CN"/>
        </w:rPr>
        <w:t>）</w:t>
      </w:r>
    </w:p>
    <w:p>
      <w:pPr>
        <w:pStyle w:val="8"/>
        <w:ind w:firstLine="480"/>
        <w:rPr>
          <w:highlight w:val="none"/>
        </w:rPr>
      </w:pPr>
      <w:r>
        <w:rPr>
          <w:rFonts w:hint="default"/>
          <w:highlight w:val="none"/>
          <w:lang w:val="en-US"/>
        </w:rPr>
        <w:t>五</w:t>
      </w:r>
      <w:r>
        <w:rPr>
          <w:rFonts w:hint="eastAsia"/>
          <w:highlight w:val="none"/>
          <w:lang w:val="en-US" w:eastAsia="zh-CN"/>
        </w:rPr>
        <w:t>、</w:t>
      </w:r>
      <w:r>
        <w:rPr>
          <w:rFonts w:hint="eastAsia"/>
          <w:highlight w:val="none"/>
        </w:rPr>
        <w:t>偏离表</w:t>
      </w:r>
    </w:p>
    <w:p>
      <w:pPr>
        <w:ind w:firstLine="480"/>
        <w:rPr>
          <w:highlight w:val="none"/>
        </w:rPr>
      </w:pPr>
      <w:r>
        <w:rPr>
          <w:rFonts w:hint="eastAsia"/>
          <w:highlight w:val="none"/>
        </w:rPr>
        <w:t>六、供应商廉洁承诺书</w:t>
      </w:r>
    </w:p>
    <w:p>
      <w:pPr>
        <w:pStyle w:val="2"/>
        <w:spacing w:before="240"/>
        <w:rPr>
          <w:rFonts w:ascii="Times New Roman" w:hAnsi="Times New Roman"/>
          <w:color w:val="000000"/>
          <w:highlight w:val="none"/>
        </w:rPr>
      </w:pPr>
      <w:r>
        <w:rPr>
          <w:rFonts w:ascii="Times New Roman" w:hAnsi="Times New Roman"/>
          <w:highlight w:val="none"/>
        </w:rPr>
        <w:br w:type="page"/>
      </w:r>
      <w:bookmarkStart w:id="140" w:name="_Toc16568"/>
      <w:bookmarkEnd w:id="140"/>
      <w:bookmarkStart w:id="141" w:name="_Toc369531695"/>
      <w:bookmarkEnd w:id="141"/>
      <w:bookmarkStart w:id="142" w:name="_Toc16824"/>
      <w:bookmarkEnd w:id="142"/>
      <w:bookmarkStart w:id="143" w:name="_Toc369531696"/>
      <w:bookmarkEnd w:id="143"/>
      <w:bookmarkStart w:id="144" w:name="_Toc352691660"/>
      <w:bookmarkEnd w:id="144"/>
      <w:bookmarkStart w:id="145" w:name="_Toc352691659"/>
      <w:bookmarkEnd w:id="145"/>
      <w:bookmarkStart w:id="146" w:name="_Toc527560962"/>
      <w:bookmarkStart w:id="147" w:name="_Toc26728"/>
      <w:bookmarkStart w:id="148" w:name="_Toc6899"/>
      <w:r>
        <w:rPr>
          <w:rFonts w:hint="eastAsia" w:ascii="Times New Roman" w:hAnsi="Times New Roman"/>
          <w:highlight w:val="none"/>
        </w:rPr>
        <w:t>一</w:t>
      </w:r>
      <w:r>
        <w:rPr>
          <w:rFonts w:ascii="Times New Roman" w:hAnsi="Times New Roman"/>
          <w:highlight w:val="none"/>
        </w:rPr>
        <w:t>、授权委托书</w:t>
      </w:r>
      <w:bookmarkEnd w:id="146"/>
      <w:bookmarkEnd w:id="147"/>
      <w:bookmarkEnd w:id="148"/>
    </w:p>
    <w:p>
      <w:pPr>
        <w:ind w:firstLine="480"/>
        <w:rPr>
          <w:rFonts w:eastAsia="黑体"/>
          <w:color w:val="000000"/>
          <w:highlight w:val="none"/>
        </w:rPr>
      </w:pPr>
    </w:p>
    <w:p>
      <w:pPr>
        <w:ind w:firstLine="480"/>
        <w:rPr>
          <w:highlight w:val="none"/>
        </w:rPr>
      </w:pPr>
      <w:r>
        <w:rPr>
          <w:rFonts w:hint="eastAsia"/>
          <w:highlight w:val="none"/>
        </w:rPr>
        <w:t>本人</w:t>
      </w:r>
      <w:r>
        <w:rPr>
          <w:highlight w:val="none"/>
          <w:u w:val="single"/>
        </w:rPr>
        <w:t>（姓名）</w:t>
      </w:r>
      <w:r>
        <w:rPr>
          <w:highlight w:val="none"/>
        </w:rPr>
        <w:t>系</w:t>
      </w:r>
      <w:r>
        <w:rPr>
          <w:rFonts w:hint="eastAsia"/>
          <w:highlight w:val="none"/>
          <w:u w:val="single"/>
        </w:rPr>
        <w:t>（供应商名称）</w:t>
      </w:r>
      <w:r>
        <w:rPr>
          <w:highlight w:val="none"/>
        </w:rPr>
        <w:t>的</w:t>
      </w:r>
      <w:r>
        <w:rPr>
          <w:rFonts w:hint="eastAsia"/>
          <w:highlight w:val="none"/>
        </w:rPr>
        <w:t>法定代表人</w:t>
      </w:r>
      <w:r>
        <w:rPr>
          <w:rFonts w:hint="eastAsia"/>
          <w:highlight w:val="none"/>
          <w:u w:val="single"/>
        </w:rPr>
        <w:t>（单位负责人）</w:t>
      </w:r>
      <w:r>
        <w:rPr>
          <w:rFonts w:hint="eastAsia"/>
          <w:highlight w:val="none"/>
        </w:rPr>
        <w:t>，</w:t>
      </w:r>
      <w:r>
        <w:rPr>
          <w:highlight w:val="none"/>
        </w:rPr>
        <w:t>现委托</w:t>
      </w:r>
      <w:r>
        <w:rPr>
          <w:highlight w:val="none"/>
          <w:u w:val="single"/>
        </w:rPr>
        <w:t>（姓名）</w:t>
      </w:r>
      <w:r>
        <w:rPr>
          <w:highlight w:val="none"/>
        </w:rPr>
        <w:t>为我方代理人。代理人</w:t>
      </w:r>
      <w:r>
        <w:rPr>
          <w:rFonts w:hint="eastAsia"/>
          <w:highlight w:val="none"/>
        </w:rPr>
        <w:t>根据授权，</w:t>
      </w:r>
      <w:r>
        <w:rPr>
          <w:highlight w:val="none"/>
        </w:rPr>
        <w:t>以我方名义签署、澄清</w:t>
      </w:r>
      <w:r>
        <w:rPr>
          <w:rFonts w:hint="eastAsia"/>
          <w:highlight w:val="none"/>
        </w:rPr>
        <w:t>确认</w:t>
      </w:r>
      <w:r>
        <w:rPr>
          <w:highlight w:val="none"/>
        </w:rPr>
        <w:t>、递交、撤回、修改</w:t>
      </w:r>
      <w:r>
        <w:rPr>
          <w:rFonts w:hint="eastAsia"/>
          <w:highlight w:val="none"/>
        </w:rPr>
        <w:t xml:space="preserve"> </w:t>
      </w:r>
      <w:r>
        <w:rPr>
          <w:rFonts w:hint="eastAsia"/>
          <w:highlight w:val="none"/>
          <w:u w:val="single"/>
        </w:rPr>
        <w:t xml:space="preserve">       </w:t>
      </w:r>
      <w:r>
        <w:rPr>
          <w:rFonts w:hint="eastAsia"/>
          <w:highlight w:val="none"/>
        </w:rPr>
        <w:t>采购项目报价文件</w:t>
      </w:r>
      <w:r>
        <w:rPr>
          <w:highlight w:val="none"/>
        </w:rPr>
        <w:t>、签订合同和处理有关事宜，其法律后果由我方承担。</w:t>
      </w:r>
    </w:p>
    <w:p>
      <w:pPr>
        <w:ind w:firstLine="480"/>
        <w:rPr>
          <w:highlight w:val="none"/>
        </w:rPr>
      </w:pPr>
      <w:r>
        <w:rPr>
          <w:highlight w:val="none"/>
        </w:rPr>
        <w:t>委托期限：</w:t>
      </w:r>
      <w:r>
        <w:rPr>
          <w:rFonts w:hint="eastAsia"/>
          <w:highlight w:val="none"/>
          <w:u w:val="single"/>
        </w:rPr>
        <w:t xml:space="preserve"> </w:t>
      </w:r>
      <w:r>
        <w:rPr>
          <w:highlight w:val="none"/>
          <w:u w:val="single"/>
        </w:rPr>
        <w:t xml:space="preserve">                  </w:t>
      </w:r>
      <w:r>
        <w:rPr>
          <w:rFonts w:hint="eastAsia"/>
          <w:highlight w:val="none"/>
        </w:rPr>
        <w:t>。</w:t>
      </w:r>
    </w:p>
    <w:p>
      <w:pPr>
        <w:ind w:firstLine="480"/>
        <w:rPr>
          <w:highlight w:val="none"/>
        </w:rPr>
      </w:pPr>
      <w:r>
        <w:rPr>
          <w:highlight w:val="none"/>
        </w:rPr>
        <w:t>代理人无转委托权。</w:t>
      </w:r>
    </w:p>
    <w:p>
      <w:pPr>
        <w:ind w:firstLine="480"/>
        <w:rPr>
          <w:highlight w:val="none"/>
        </w:rPr>
      </w:pPr>
      <w:r>
        <w:rPr>
          <w:rFonts w:hint="eastAsia"/>
          <w:highlight w:val="none"/>
        </w:rPr>
        <w:t>附：法定代表人（单位负责人）身份证复印件及委托代理人身份证复印件</w:t>
      </w:r>
    </w:p>
    <w:p>
      <w:pPr>
        <w:ind w:firstLine="480"/>
        <w:rPr>
          <w:highlight w:val="none"/>
        </w:rPr>
      </w:pPr>
    </w:p>
    <w:p>
      <w:pPr>
        <w:ind w:firstLine="480"/>
        <w:rPr>
          <w:highlight w:val="none"/>
        </w:rPr>
      </w:pPr>
      <w:r>
        <w:rPr>
          <w:rFonts w:hint="eastAsia"/>
          <w:highlight w:val="none"/>
        </w:rPr>
        <w:t>注：本授权委托书需由供应商加盖单位公章并由其法定代表人（单位负责人）签字。</w:t>
      </w:r>
    </w:p>
    <w:p>
      <w:pPr>
        <w:ind w:firstLine="480"/>
        <w:rPr>
          <w:color w:val="000000"/>
          <w:highlight w:val="none"/>
        </w:rPr>
      </w:pPr>
    </w:p>
    <w:p>
      <w:pPr>
        <w:ind w:firstLine="3076" w:firstLineChars="1282"/>
        <w:rPr>
          <w:color w:val="000000"/>
          <w:highlight w:val="none"/>
          <w:u w:val="single"/>
        </w:rPr>
      </w:pPr>
      <w:r>
        <w:rPr>
          <w:color w:val="000000"/>
          <w:highlight w:val="none"/>
        </w:rPr>
        <w:t>供应商：</w:t>
      </w:r>
      <w:r>
        <w:rPr>
          <w:color w:val="000000"/>
          <w:highlight w:val="none"/>
          <w:u w:val="single"/>
        </w:rPr>
        <w:t>（单位公章）</w:t>
      </w:r>
      <w:r>
        <w:rPr>
          <w:rFonts w:hint="eastAsia"/>
          <w:color w:val="000000"/>
          <w:highlight w:val="none"/>
          <w:u w:val="single"/>
        </w:rPr>
        <w:t xml:space="preserve"> </w:t>
      </w:r>
      <w:r>
        <w:rPr>
          <w:color w:val="000000"/>
          <w:highlight w:val="none"/>
          <w:u w:val="single"/>
        </w:rPr>
        <w:t xml:space="preserve">                          </w:t>
      </w:r>
    </w:p>
    <w:p>
      <w:pPr>
        <w:ind w:firstLine="3076" w:firstLineChars="1282"/>
        <w:rPr>
          <w:color w:val="000000"/>
          <w:highlight w:val="none"/>
        </w:rPr>
      </w:pPr>
    </w:p>
    <w:p>
      <w:pPr>
        <w:ind w:firstLine="3074" w:firstLineChars="1281"/>
        <w:rPr>
          <w:color w:val="000000"/>
          <w:highlight w:val="none"/>
        </w:rPr>
      </w:pPr>
      <w:r>
        <w:rPr>
          <w:rFonts w:hint="eastAsia"/>
          <w:color w:val="000000"/>
          <w:highlight w:val="none"/>
        </w:rPr>
        <w:t>法定代表人（单位负责人）</w:t>
      </w:r>
      <w:r>
        <w:rPr>
          <w:color w:val="000000"/>
          <w:highlight w:val="none"/>
        </w:rPr>
        <w:t>：</w:t>
      </w:r>
      <w:r>
        <w:rPr>
          <w:color w:val="000000"/>
          <w:highlight w:val="none"/>
          <w:u w:val="single"/>
        </w:rPr>
        <w:t xml:space="preserve">（签字）              </w:t>
      </w:r>
    </w:p>
    <w:p>
      <w:pPr>
        <w:ind w:firstLine="3076" w:firstLineChars="1282"/>
        <w:rPr>
          <w:color w:val="000000"/>
          <w:highlight w:val="none"/>
        </w:rPr>
      </w:pPr>
    </w:p>
    <w:p>
      <w:pPr>
        <w:ind w:firstLine="3076" w:firstLineChars="1282"/>
        <w:rPr>
          <w:color w:val="000000"/>
          <w:highlight w:val="none"/>
          <w:u w:val="single"/>
        </w:rPr>
      </w:pPr>
      <w:r>
        <w:rPr>
          <w:color w:val="000000"/>
          <w:highlight w:val="none"/>
        </w:rPr>
        <w:t>委托代理人：</w:t>
      </w:r>
      <w:r>
        <w:rPr>
          <w:color w:val="000000"/>
          <w:highlight w:val="none"/>
          <w:u w:val="single"/>
        </w:rPr>
        <w:t xml:space="preserve">（签字）                           </w:t>
      </w:r>
    </w:p>
    <w:p>
      <w:pPr>
        <w:ind w:firstLine="3076" w:firstLineChars="1282"/>
        <w:rPr>
          <w:color w:val="000000"/>
          <w:highlight w:val="none"/>
        </w:rPr>
      </w:pPr>
    </w:p>
    <w:p>
      <w:pPr>
        <w:ind w:firstLine="3076" w:firstLineChars="1282"/>
        <w:rPr>
          <w:color w:val="000000"/>
          <w:highlight w:val="none"/>
        </w:rPr>
      </w:pPr>
    </w:p>
    <w:p>
      <w:pPr>
        <w:ind w:firstLine="4876" w:firstLineChars="2032"/>
        <w:rPr>
          <w:color w:val="000000"/>
          <w:highlight w:val="none"/>
        </w:rPr>
      </w:pPr>
      <w:r>
        <w:rPr>
          <w:color w:val="000000"/>
          <w:highlight w:val="none"/>
          <w:u w:val="single"/>
        </w:rPr>
        <w:t xml:space="preserve">       </w:t>
      </w:r>
      <w:r>
        <w:rPr>
          <w:color w:val="000000"/>
          <w:highlight w:val="none"/>
        </w:rPr>
        <w:t>年</w:t>
      </w:r>
      <w:r>
        <w:rPr>
          <w:color w:val="000000"/>
          <w:highlight w:val="none"/>
          <w:u w:val="single"/>
        </w:rPr>
        <w:t xml:space="preserve">       </w:t>
      </w:r>
      <w:r>
        <w:rPr>
          <w:color w:val="000000"/>
          <w:highlight w:val="none"/>
        </w:rPr>
        <w:t>月</w:t>
      </w:r>
      <w:r>
        <w:rPr>
          <w:color w:val="000000"/>
          <w:highlight w:val="none"/>
          <w:u w:val="single"/>
        </w:rPr>
        <w:t xml:space="preserve">       </w:t>
      </w:r>
      <w:r>
        <w:rPr>
          <w:color w:val="000000"/>
          <w:highlight w:val="none"/>
        </w:rPr>
        <w:t>日</w:t>
      </w:r>
    </w:p>
    <w:p>
      <w:pPr>
        <w:spacing w:line="400" w:lineRule="exact"/>
        <w:ind w:firstLine="480"/>
        <w:rPr>
          <w:color w:val="000000"/>
          <w:highlight w:val="none"/>
        </w:rPr>
      </w:pPr>
    </w:p>
    <w:p>
      <w:pPr>
        <w:spacing w:line="400" w:lineRule="exact"/>
        <w:ind w:firstLine="480"/>
        <w:rPr>
          <w:highlight w:val="none"/>
        </w:rPr>
      </w:pPr>
      <w:r>
        <w:rPr>
          <w:rFonts w:hint="eastAsia"/>
          <w:highlight w:val="none"/>
        </w:rPr>
        <w:t>注：如供应商法定代表人参加采购行为，只需附其身份证复印件。</w:t>
      </w:r>
    </w:p>
    <w:p>
      <w:pPr>
        <w:pStyle w:val="2"/>
        <w:spacing w:before="240"/>
        <w:rPr>
          <w:rFonts w:ascii="Times New Roman" w:hAnsi="Times New Roman"/>
          <w:highlight w:val="none"/>
        </w:rPr>
      </w:pPr>
      <w:bookmarkStart w:id="149" w:name="_Toc510370158"/>
      <w:bookmarkStart w:id="150" w:name="_Toc527560963"/>
      <w:r>
        <w:rPr>
          <w:rFonts w:ascii="Times New Roman" w:hAnsi="Times New Roman"/>
          <w:highlight w:val="none"/>
        </w:rPr>
        <w:br w:type="page"/>
      </w:r>
      <w:bookmarkStart w:id="151" w:name="_Toc22378"/>
      <w:bookmarkStart w:id="152" w:name="_Toc5042"/>
      <w:r>
        <w:rPr>
          <w:rFonts w:hint="eastAsia" w:ascii="Times New Roman" w:hAnsi="Times New Roman"/>
          <w:highlight w:val="none"/>
        </w:rPr>
        <w:t>二、报价部分</w:t>
      </w:r>
      <w:bookmarkEnd w:id="149"/>
      <w:bookmarkEnd w:id="150"/>
      <w:bookmarkEnd w:id="151"/>
      <w:bookmarkEnd w:id="152"/>
    </w:p>
    <w:p>
      <w:pPr>
        <w:ind w:firstLine="480"/>
        <w:rPr>
          <w:highlight w:val="none"/>
        </w:rPr>
      </w:pPr>
      <w:r>
        <w:rPr>
          <w:rFonts w:hint="eastAsia"/>
          <w:highlight w:val="none"/>
        </w:rPr>
        <w:t>1.报价说明</w:t>
      </w:r>
    </w:p>
    <w:p>
      <w:pPr>
        <w:ind w:firstLine="480"/>
        <w:rPr>
          <w:highlight w:val="none"/>
        </w:rPr>
      </w:pPr>
      <w:r>
        <w:rPr>
          <w:rFonts w:hint="eastAsia"/>
          <w:highlight w:val="none"/>
        </w:rPr>
        <w:t>1.1 本说明应与供应商须知、合同条款等文件一起参照阅读。</w:t>
      </w:r>
    </w:p>
    <w:p>
      <w:pPr>
        <w:ind w:firstLine="480"/>
        <w:rPr>
          <w:highlight w:val="none"/>
        </w:rPr>
      </w:pPr>
      <w:r>
        <w:rPr>
          <w:rFonts w:hint="eastAsia"/>
          <w:highlight w:val="none"/>
        </w:rPr>
        <w:t>1.2 除合同另有规定外，报价应包括供应商为完成本合同规定的工作所承担的全部费用，包括成本、税金、利润等，并考虑了应由供应商承担的义务、责任和风险所发生的费用。</w:t>
      </w:r>
    </w:p>
    <w:p>
      <w:pPr>
        <w:ind w:firstLine="480"/>
        <w:rPr>
          <w:highlight w:val="none"/>
        </w:rPr>
      </w:pPr>
      <w:bookmarkStart w:id="153" w:name="_Toc354089004"/>
      <w:r>
        <w:rPr>
          <w:rFonts w:hint="eastAsia"/>
          <w:highlight w:val="none"/>
        </w:rPr>
        <w:t>2</w:t>
      </w:r>
      <w:r>
        <w:rPr>
          <w:highlight w:val="none"/>
        </w:rPr>
        <w:t>.</w:t>
      </w:r>
      <w:r>
        <w:rPr>
          <w:rFonts w:hint="eastAsia"/>
          <w:highlight w:val="none"/>
        </w:rPr>
        <w:t>报价表</w:t>
      </w:r>
      <w:bookmarkEnd w:id="153"/>
    </w:p>
    <w:p>
      <w:pPr>
        <w:ind w:firstLine="480"/>
        <w:rPr>
          <w:highlight w:val="none"/>
        </w:rPr>
      </w:pPr>
      <w:r>
        <w:rPr>
          <w:rFonts w:hint="eastAsia"/>
          <w:highlight w:val="none"/>
        </w:rPr>
        <w:t>2.1报价汇总表（格式）</w:t>
      </w:r>
    </w:p>
    <w:p>
      <w:pPr>
        <w:pStyle w:val="65"/>
        <w:tabs>
          <w:tab w:val="left" w:pos="0"/>
          <w:tab w:val="left" w:pos="240"/>
          <w:tab w:val="left" w:pos="840"/>
          <w:tab w:val="left" w:pos="1080"/>
        </w:tabs>
        <w:spacing w:line="360" w:lineRule="auto"/>
        <w:ind w:firstLine="0" w:firstLineChars="0"/>
        <w:jc w:val="center"/>
        <w:rPr>
          <w:rFonts w:cs="Arial"/>
          <w:sz w:val="21"/>
          <w:szCs w:val="21"/>
          <w:highlight w:val="none"/>
        </w:rPr>
      </w:pPr>
      <w:r>
        <w:rPr>
          <w:rFonts w:hint="eastAsia"/>
          <w:b/>
          <w:szCs w:val="21"/>
          <w:highlight w:val="none"/>
        </w:rPr>
        <w:t>报价表</w:t>
      </w:r>
    </w:p>
    <w:p>
      <w:pPr>
        <w:ind w:firstLine="420"/>
        <w:jc w:val="right"/>
        <w:rPr>
          <w:b/>
          <w:szCs w:val="21"/>
          <w:highlight w:val="none"/>
          <w:u w:val="single"/>
        </w:rPr>
      </w:pPr>
      <w:r>
        <w:rPr>
          <w:rFonts w:hint="eastAsia" w:cs="Arial"/>
          <w:sz w:val="21"/>
          <w:szCs w:val="21"/>
          <w:highlight w:val="none"/>
        </w:rPr>
        <w:t>单位：人民币元</w:t>
      </w:r>
    </w:p>
    <w:tbl>
      <w:tblPr>
        <w:tblStyle w:val="27"/>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3906"/>
        <w:gridCol w:w="2087"/>
        <w:gridCol w:w="2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4" w:type="dxa"/>
            <w:vAlign w:val="center"/>
          </w:tcPr>
          <w:p>
            <w:pPr>
              <w:pStyle w:val="81"/>
              <w:rPr>
                <w:rFonts w:ascii="Times New Roman" w:hAnsi="Times New Roman"/>
                <w:highlight w:val="none"/>
              </w:rPr>
            </w:pPr>
            <w:r>
              <w:rPr>
                <w:rFonts w:hint="eastAsia" w:ascii="Times New Roman" w:hAnsi="Times New Roman"/>
                <w:highlight w:val="none"/>
              </w:rPr>
              <w:t>序号</w:t>
            </w:r>
          </w:p>
        </w:tc>
        <w:tc>
          <w:tcPr>
            <w:tcW w:w="3906" w:type="dxa"/>
            <w:vAlign w:val="center"/>
          </w:tcPr>
          <w:p>
            <w:pPr>
              <w:pStyle w:val="81"/>
              <w:jc w:val="center"/>
              <w:rPr>
                <w:rFonts w:ascii="Times New Roman" w:hAnsi="Times New Roman"/>
                <w:highlight w:val="none"/>
              </w:rPr>
            </w:pPr>
            <w:r>
              <w:rPr>
                <w:rFonts w:hint="eastAsia" w:ascii="Times New Roman" w:hAnsi="Times New Roman"/>
                <w:highlight w:val="none"/>
              </w:rPr>
              <w:t>项目</w:t>
            </w:r>
          </w:p>
        </w:tc>
        <w:tc>
          <w:tcPr>
            <w:tcW w:w="2087" w:type="dxa"/>
            <w:vAlign w:val="center"/>
          </w:tcPr>
          <w:p>
            <w:pPr>
              <w:pStyle w:val="81"/>
              <w:jc w:val="center"/>
              <w:rPr>
                <w:rFonts w:ascii="Times New Roman" w:hAnsi="Times New Roman"/>
                <w:highlight w:val="none"/>
              </w:rPr>
            </w:pPr>
            <w:r>
              <w:rPr>
                <w:rFonts w:hint="eastAsia" w:ascii="Times New Roman" w:hAnsi="Times New Roman"/>
                <w:highlight w:val="none"/>
              </w:rPr>
              <w:t>报价</w:t>
            </w:r>
          </w:p>
          <w:p>
            <w:pPr>
              <w:pStyle w:val="81"/>
              <w:jc w:val="center"/>
              <w:rPr>
                <w:rFonts w:ascii="Times New Roman" w:hAnsi="Times New Roman"/>
                <w:highlight w:val="none"/>
              </w:rPr>
            </w:pPr>
            <w:r>
              <w:rPr>
                <w:rFonts w:hint="eastAsia" w:ascii="Times New Roman" w:hAnsi="Times New Roman"/>
                <w:highlight w:val="none"/>
              </w:rPr>
              <w:t>（元）</w:t>
            </w:r>
          </w:p>
        </w:tc>
        <w:tc>
          <w:tcPr>
            <w:tcW w:w="2270" w:type="dxa"/>
            <w:vAlign w:val="center"/>
          </w:tcPr>
          <w:p>
            <w:pPr>
              <w:pStyle w:val="81"/>
              <w:jc w:val="center"/>
              <w:rPr>
                <w:rFonts w:ascii="Times New Roman" w:hAnsi="Times New Roman"/>
                <w:highlight w:val="none"/>
              </w:rPr>
            </w:pPr>
            <w:r>
              <w:rPr>
                <w:rFonts w:hint="eastAsia" w:ascii="Times New Roman" w:hAnsi="Times New Roman"/>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4" w:type="dxa"/>
            <w:vAlign w:val="center"/>
          </w:tcPr>
          <w:p>
            <w:pPr>
              <w:pStyle w:val="81"/>
              <w:jc w:val="center"/>
              <w:rPr>
                <w:rFonts w:ascii="Times New Roman" w:hAnsi="Times New Roman"/>
                <w:highlight w:val="none"/>
              </w:rPr>
            </w:pPr>
            <w:r>
              <w:rPr>
                <w:rFonts w:hint="eastAsia" w:ascii="Times New Roman" w:hAnsi="Times New Roman"/>
                <w:highlight w:val="none"/>
              </w:rPr>
              <w:t>1</w:t>
            </w:r>
          </w:p>
        </w:tc>
        <w:tc>
          <w:tcPr>
            <w:tcW w:w="3906" w:type="dxa"/>
            <w:vAlign w:val="center"/>
          </w:tcPr>
          <w:p>
            <w:pPr>
              <w:pStyle w:val="81"/>
              <w:jc w:val="center"/>
              <w:rPr>
                <w:rFonts w:ascii="Times New Roman" w:hAnsi="Times New Roman"/>
                <w:highlight w:val="none"/>
              </w:rPr>
            </w:pPr>
          </w:p>
        </w:tc>
        <w:tc>
          <w:tcPr>
            <w:tcW w:w="2087" w:type="dxa"/>
            <w:vAlign w:val="center"/>
          </w:tcPr>
          <w:p>
            <w:pPr>
              <w:pStyle w:val="81"/>
              <w:jc w:val="center"/>
              <w:rPr>
                <w:rFonts w:ascii="Times New Roman" w:hAnsi="Times New Roman"/>
                <w:highlight w:val="none"/>
              </w:rPr>
            </w:pPr>
          </w:p>
        </w:tc>
        <w:tc>
          <w:tcPr>
            <w:tcW w:w="2270" w:type="dxa"/>
            <w:vAlign w:val="center"/>
          </w:tcPr>
          <w:p>
            <w:pPr>
              <w:pStyle w:val="81"/>
              <w:jc w:val="center"/>
              <w:rPr>
                <w:rFonts w:ascii="Times New Roman" w:hAnsi="Times New Roman"/>
                <w:highlight w:val="none"/>
              </w:rPr>
            </w:pPr>
            <w:r>
              <w:rPr>
                <w:rFonts w:hint="eastAsia" w:ascii="Times New Roman" w:hAnsi="Times New Roman"/>
                <w:highlight w:val="none"/>
              </w:rPr>
              <w:t>报价为含税价</w:t>
            </w:r>
          </w:p>
          <w:p>
            <w:pPr>
              <w:pStyle w:val="81"/>
              <w:jc w:val="center"/>
              <w:rPr>
                <w:rFonts w:ascii="Times New Roman" w:hAnsi="Times New Roman"/>
                <w:highlight w:val="none"/>
              </w:rPr>
            </w:pPr>
            <w:r>
              <w:rPr>
                <w:rFonts w:hint="eastAsia" w:ascii="Times New Roman" w:hAnsi="Times New Roman"/>
                <w:highlight w:val="none"/>
              </w:rPr>
              <w:t>税率</w:t>
            </w:r>
            <w:r>
              <w:rPr>
                <w:rFonts w:hint="eastAsia" w:ascii="Times New Roman" w:hAnsi="Times New Roman"/>
                <w:highlight w:val="none"/>
                <w:u w:val="single"/>
              </w:rPr>
              <w:t xml:space="preserve">   </w:t>
            </w:r>
            <w:r>
              <w:rPr>
                <w:rFonts w:hint="eastAsia" w:ascii="Times New Roman" w:hAnsi="Times New Roman"/>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017" w:type="dxa"/>
            <w:gridSpan w:val="4"/>
            <w:vAlign w:val="center"/>
          </w:tcPr>
          <w:p>
            <w:pPr>
              <w:ind w:firstLine="480"/>
              <w:jc w:val="left"/>
              <w:rPr>
                <w:highlight w:val="none"/>
                <w:u w:val="single"/>
              </w:rPr>
            </w:pPr>
            <w:r>
              <w:rPr>
                <w:rFonts w:hint="eastAsia"/>
                <w:highlight w:val="none"/>
              </w:rPr>
              <w:t>备注：报价含税费。</w:t>
            </w:r>
          </w:p>
          <w:p>
            <w:pPr>
              <w:pStyle w:val="81"/>
              <w:rPr>
                <w:rFonts w:ascii="Times New Roman" w:hAnsi="Times New Roman"/>
                <w:highlight w:val="none"/>
              </w:rPr>
            </w:pPr>
          </w:p>
        </w:tc>
      </w:tr>
    </w:tbl>
    <w:p>
      <w:pPr>
        <w:spacing w:line="360" w:lineRule="auto"/>
        <w:ind w:firstLine="480"/>
        <w:jc w:val="center"/>
        <w:rPr>
          <w:rFonts w:cs="Arial"/>
          <w:szCs w:val="21"/>
          <w:highlight w:val="none"/>
        </w:rPr>
      </w:pPr>
      <w:r>
        <w:rPr>
          <w:rFonts w:hint="eastAsia" w:cs="Arial"/>
          <w:szCs w:val="21"/>
          <w:highlight w:val="none"/>
        </w:rPr>
        <w:t xml:space="preserve">                        </w:t>
      </w:r>
    </w:p>
    <w:p>
      <w:pPr>
        <w:spacing w:line="360" w:lineRule="auto"/>
        <w:ind w:firstLine="480"/>
        <w:jc w:val="center"/>
        <w:rPr>
          <w:rFonts w:cs="Arial"/>
          <w:szCs w:val="21"/>
          <w:highlight w:val="none"/>
        </w:rPr>
      </w:pPr>
    </w:p>
    <w:p>
      <w:pPr>
        <w:wordWrap w:val="0"/>
        <w:spacing w:line="360" w:lineRule="auto"/>
        <w:ind w:firstLine="480"/>
        <w:jc w:val="right"/>
        <w:rPr>
          <w:rFonts w:cs="Arial"/>
          <w:szCs w:val="21"/>
          <w:highlight w:val="none"/>
          <w:u w:val="single"/>
        </w:rPr>
      </w:pPr>
      <w:r>
        <w:rPr>
          <w:rFonts w:hint="eastAsia" w:cs="Arial"/>
          <w:szCs w:val="21"/>
          <w:highlight w:val="none"/>
        </w:rPr>
        <w:t>供应商名称：</w:t>
      </w:r>
      <w:r>
        <w:rPr>
          <w:rFonts w:hint="eastAsia" w:cs="Arial"/>
          <w:szCs w:val="21"/>
          <w:highlight w:val="none"/>
          <w:u w:val="single"/>
        </w:rPr>
        <w:t xml:space="preserve"> </w:t>
      </w:r>
      <w:r>
        <w:rPr>
          <w:rFonts w:cs="Arial"/>
          <w:szCs w:val="21"/>
          <w:highlight w:val="none"/>
          <w:u w:val="single"/>
        </w:rPr>
        <w:t xml:space="preserve">  </w:t>
      </w:r>
      <w:r>
        <w:rPr>
          <w:rFonts w:hint="eastAsia" w:cs="Arial"/>
          <w:szCs w:val="21"/>
          <w:highlight w:val="none"/>
          <w:u w:val="single"/>
        </w:rPr>
        <w:t xml:space="preserve">（盖章） </w:t>
      </w:r>
      <w:r>
        <w:rPr>
          <w:rFonts w:cs="Arial"/>
          <w:szCs w:val="21"/>
          <w:highlight w:val="none"/>
          <w:u w:val="single"/>
        </w:rPr>
        <w:t xml:space="preserve">  </w:t>
      </w:r>
    </w:p>
    <w:p>
      <w:pPr>
        <w:spacing w:line="360" w:lineRule="auto"/>
        <w:ind w:firstLine="480"/>
        <w:jc w:val="right"/>
        <w:rPr>
          <w:rFonts w:cs="Arial"/>
          <w:szCs w:val="21"/>
          <w:highlight w:val="none"/>
        </w:rPr>
      </w:pPr>
      <w:r>
        <w:rPr>
          <w:rFonts w:hint="eastAsia" w:cs="Arial"/>
          <w:szCs w:val="21"/>
          <w:highlight w:val="none"/>
          <w:u w:val="single"/>
        </w:rPr>
        <w:t xml:space="preserve"> </w:t>
      </w:r>
      <w:r>
        <w:rPr>
          <w:rFonts w:cs="Arial"/>
          <w:szCs w:val="21"/>
          <w:highlight w:val="none"/>
          <w:u w:val="single"/>
        </w:rPr>
        <w:t xml:space="preserve">           </w:t>
      </w:r>
      <w:r>
        <w:rPr>
          <w:rFonts w:hint="eastAsia" w:cs="Arial"/>
          <w:szCs w:val="21"/>
          <w:highlight w:val="none"/>
        </w:rPr>
        <w:t>年</w:t>
      </w:r>
      <w:r>
        <w:rPr>
          <w:rFonts w:hint="eastAsia" w:cs="Arial"/>
          <w:szCs w:val="21"/>
          <w:highlight w:val="none"/>
          <w:u w:val="single"/>
        </w:rPr>
        <w:t xml:space="preserve">     </w:t>
      </w:r>
      <w:r>
        <w:rPr>
          <w:rFonts w:hint="eastAsia" w:cs="Arial"/>
          <w:szCs w:val="21"/>
          <w:highlight w:val="none"/>
        </w:rPr>
        <w:t>月</w:t>
      </w:r>
      <w:r>
        <w:rPr>
          <w:rFonts w:hint="eastAsia" w:cs="Arial"/>
          <w:szCs w:val="21"/>
          <w:highlight w:val="none"/>
          <w:u w:val="single"/>
        </w:rPr>
        <w:t xml:space="preserve">     </w:t>
      </w:r>
      <w:r>
        <w:rPr>
          <w:rFonts w:hint="eastAsia" w:cs="Arial"/>
          <w:szCs w:val="21"/>
          <w:highlight w:val="none"/>
        </w:rPr>
        <w:t>日</w:t>
      </w:r>
    </w:p>
    <w:p>
      <w:pPr>
        <w:spacing w:line="360" w:lineRule="auto"/>
        <w:ind w:firstLine="480"/>
        <w:rPr>
          <w:rFonts w:cs="Arial"/>
          <w:szCs w:val="21"/>
          <w:highlight w:val="none"/>
        </w:rPr>
      </w:pPr>
    </w:p>
    <w:p>
      <w:pPr>
        <w:spacing w:line="360" w:lineRule="auto"/>
        <w:ind w:firstLine="480"/>
        <w:rPr>
          <w:rFonts w:cs="Arial"/>
          <w:szCs w:val="21"/>
          <w:highlight w:val="none"/>
        </w:rPr>
      </w:pPr>
    </w:p>
    <w:p>
      <w:pPr>
        <w:ind w:firstLine="480"/>
        <w:rPr>
          <w:highlight w:val="none"/>
        </w:rPr>
      </w:pPr>
      <w:r>
        <w:rPr>
          <w:rFonts w:hint="eastAsia"/>
          <w:highlight w:val="none"/>
        </w:rPr>
        <w:t>2.2分项报价表</w:t>
      </w:r>
    </w:p>
    <w:p>
      <w:pPr>
        <w:ind w:firstLine="480"/>
        <w:rPr>
          <w:highlight w:val="none"/>
        </w:rPr>
      </w:pPr>
      <w:r>
        <w:rPr>
          <w:rFonts w:hint="eastAsia"/>
          <w:highlight w:val="none"/>
        </w:rPr>
        <w:t>格式自拟。</w:t>
      </w:r>
    </w:p>
    <w:p>
      <w:pPr>
        <w:pStyle w:val="2"/>
        <w:spacing w:before="240"/>
        <w:rPr>
          <w:rFonts w:hint="eastAsia" w:ascii="Times New Roman" w:hAnsi="Times New Roman" w:eastAsia="黑体"/>
          <w:highlight w:val="none"/>
          <w:lang w:eastAsia="zh-CN"/>
        </w:rPr>
      </w:pPr>
      <w:r>
        <w:rPr>
          <w:rFonts w:ascii="Times New Roman" w:hAnsi="Times New Roman"/>
          <w:highlight w:val="none"/>
        </w:rPr>
        <w:br w:type="page"/>
      </w:r>
      <w:bookmarkStart w:id="154" w:name="_Toc8770"/>
      <w:bookmarkStart w:id="155" w:name="_Toc24879"/>
      <w:bookmarkStart w:id="156" w:name="_Toc527560964"/>
      <w:r>
        <w:rPr>
          <w:rFonts w:hint="eastAsia" w:ascii="Times New Roman" w:hAnsi="Times New Roman"/>
          <w:highlight w:val="none"/>
        </w:rPr>
        <w:t>三、商务部分</w:t>
      </w:r>
      <w:bookmarkEnd w:id="154"/>
      <w:r>
        <w:rPr>
          <w:rFonts w:hint="eastAsia" w:ascii="Times New Roman" w:hAnsi="Times New Roman"/>
          <w:highlight w:val="none"/>
          <w:lang w:eastAsia="zh-CN"/>
        </w:rPr>
        <w:t>（</w:t>
      </w:r>
      <w:r>
        <w:rPr>
          <w:rFonts w:hint="eastAsia" w:ascii="Times New Roman" w:hAnsi="Times New Roman"/>
          <w:highlight w:val="none"/>
          <w:lang w:val="en-US" w:eastAsia="zh-CN"/>
        </w:rPr>
        <w:t>工作团队及业绩</w:t>
      </w:r>
      <w:r>
        <w:rPr>
          <w:rFonts w:hint="eastAsia" w:ascii="Times New Roman" w:hAnsi="Times New Roman"/>
          <w:highlight w:val="none"/>
          <w:lang w:eastAsia="zh-CN"/>
        </w:rPr>
        <w:t>）</w:t>
      </w:r>
      <w:bookmarkEnd w:id="155"/>
    </w:p>
    <w:p>
      <w:pPr>
        <w:ind w:firstLine="480"/>
        <w:jc w:val="center"/>
        <w:rPr>
          <w:highlight w:val="none"/>
        </w:rPr>
      </w:pPr>
      <w:r>
        <w:rPr>
          <w:rFonts w:hint="eastAsia"/>
          <w:highlight w:val="none"/>
        </w:rPr>
        <w:t>商务部分摘要表</w:t>
      </w:r>
      <w:bookmarkEnd w:id="156"/>
    </w:p>
    <w:tbl>
      <w:tblPr>
        <w:tblStyle w:val="27"/>
        <w:tblW w:w="89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141"/>
        <w:gridCol w:w="1141"/>
        <w:gridCol w:w="955"/>
        <w:gridCol w:w="375"/>
        <w:gridCol w:w="190"/>
        <w:gridCol w:w="1331"/>
        <w:gridCol w:w="41"/>
        <w:gridCol w:w="29"/>
        <w:gridCol w:w="1069"/>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hint="eastAsia" w:ascii="Times New Roman" w:hAnsi="Times New Roman"/>
                <w:highlight w:val="none"/>
              </w:rPr>
              <w:t>供应商</w:t>
            </w:r>
            <w:r>
              <w:rPr>
                <w:rFonts w:ascii="Times New Roman" w:hAnsi="Times New Roman"/>
                <w:highlight w:val="none"/>
              </w:rPr>
              <w:t>名称</w:t>
            </w:r>
          </w:p>
        </w:tc>
        <w:tc>
          <w:tcPr>
            <w:tcW w:w="7185" w:type="dxa"/>
            <w:gridSpan w:val="10"/>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注册地址</w:t>
            </w:r>
          </w:p>
        </w:tc>
        <w:tc>
          <w:tcPr>
            <w:tcW w:w="3802" w:type="dxa"/>
            <w:gridSpan w:val="5"/>
            <w:vAlign w:val="center"/>
          </w:tcPr>
          <w:p>
            <w:pPr>
              <w:pStyle w:val="81"/>
              <w:rPr>
                <w:rFonts w:ascii="Times New Roman" w:hAnsi="Times New Roman"/>
                <w:highlight w:val="none"/>
              </w:rPr>
            </w:pPr>
          </w:p>
        </w:tc>
        <w:tc>
          <w:tcPr>
            <w:tcW w:w="1331" w:type="dxa"/>
            <w:vAlign w:val="center"/>
          </w:tcPr>
          <w:p>
            <w:pPr>
              <w:pStyle w:val="81"/>
              <w:rPr>
                <w:rFonts w:ascii="Times New Roman" w:hAnsi="Times New Roman"/>
                <w:highlight w:val="none"/>
              </w:rPr>
            </w:pPr>
            <w:r>
              <w:rPr>
                <w:rFonts w:ascii="Times New Roman" w:hAnsi="Times New Roman"/>
                <w:highlight w:val="none"/>
              </w:rPr>
              <w:t>邮政编码</w:t>
            </w:r>
          </w:p>
        </w:tc>
        <w:tc>
          <w:tcPr>
            <w:tcW w:w="2052" w:type="dxa"/>
            <w:gridSpan w:val="4"/>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Merge w:val="restart"/>
            <w:vAlign w:val="center"/>
          </w:tcPr>
          <w:p>
            <w:pPr>
              <w:pStyle w:val="81"/>
              <w:rPr>
                <w:rFonts w:ascii="Times New Roman" w:hAnsi="Times New Roman"/>
                <w:highlight w:val="none"/>
              </w:rPr>
            </w:pPr>
            <w:r>
              <w:rPr>
                <w:rFonts w:ascii="Times New Roman" w:hAnsi="Times New Roman"/>
                <w:highlight w:val="none"/>
              </w:rPr>
              <w:t>联系方式</w:t>
            </w:r>
          </w:p>
        </w:tc>
        <w:tc>
          <w:tcPr>
            <w:tcW w:w="1141" w:type="dxa"/>
            <w:vAlign w:val="center"/>
          </w:tcPr>
          <w:p>
            <w:pPr>
              <w:pStyle w:val="81"/>
              <w:rPr>
                <w:rFonts w:ascii="Times New Roman" w:hAnsi="Times New Roman"/>
                <w:highlight w:val="none"/>
              </w:rPr>
            </w:pPr>
            <w:r>
              <w:rPr>
                <w:rFonts w:ascii="Times New Roman" w:hAnsi="Times New Roman"/>
                <w:highlight w:val="none"/>
              </w:rPr>
              <w:t>联系人</w:t>
            </w:r>
          </w:p>
        </w:tc>
        <w:tc>
          <w:tcPr>
            <w:tcW w:w="2661" w:type="dxa"/>
            <w:gridSpan w:val="4"/>
            <w:vAlign w:val="center"/>
          </w:tcPr>
          <w:p>
            <w:pPr>
              <w:pStyle w:val="81"/>
              <w:rPr>
                <w:rFonts w:ascii="Times New Roman" w:hAnsi="Times New Roman"/>
                <w:highlight w:val="none"/>
              </w:rPr>
            </w:pPr>
          </w:p>
        </w:tc>
        <w:tc>
          <w:tcPr>
            <w:tcW w:w="1331" w:type="dxa"/>
            <w:vAlign w:val="center"/>
          </w:tcPr>
          <w:p>
            <w:pPr>
              <w:pStyle w:val="81"/>
              <w:rPr>
                <w:rFonts w:ascii="Times New Roman" w:hAnsi="Times New Roman"/>
                <w:highlight w:val="none"/>
              </w:rPr>
            </w:pPr>
            <w:r>
              <w:rPr>
                <w:rFonts w:ascii="Times New Roman" w:hAnsi="Times New Roman"/>
                <w:highlight w:val="none"/>
              </w:rPr>
              <w:t>电话</w:t>
            </w:r>
          </w:p>
        </w:tc>
        <w:tc>
          <w:tcPr>
            <w:tcW w:w="2052" w:type="dxa"/>
            <w:gridSpan w:val="4"/>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Merge w:val="continue"/>
            <w:vAlign w:val="center"/>
          </w:tcPr>
          <w:p>
            <w:pPr>
              <w:pStyle w:val="81"/>
              <w:rPr>
                <w:rFonts w:ascii="Times New Roman" w:hAnsi="Times New Roman"/>
                <w:highlight w:val="none"/>
              </w:rPr>
            </w:pPr>
          </w:p>
        </w:tc>
        <w:tc>
          <w:tcPr>
            <w:tcW w:w="1141" w:type="dxa"/>
            <w:vAlign w:val="center"/>
          </w:tcPr>
          <w:p>
            <w:pPr>
              <w:pStyle w:val="81"/>
              <w:rPr>
                <w:rFonts w:ascii="Times New Roman" w:hAnsi="Times New Roman"/>
                <w:highlight w:val="none"/>
              </w:rPr>
            </w:pPr>
            <w:r>
              <w:rPr>
                <w:rFonts w:ascii="Times New Roman" w:hAnsi="Times New Roman"/>
                <w:highlight w:val="none"/>
              </w:rPr>
              <w:t>传真</w:t>
            </w:r>
          </w:p>
        </w:tc>
        <w:tc>
          <w:tcPr>
            <w:tcW w:w="2661" w:type="dxa"/>
            <w:gridSpan w:val="4"/>
            <w:vAlign w:val="center"/>
          </w:tcPr>
          <w:p>
            <w:pPr>
              <w:pStyle w:val="81"/>
              <w:rPr>
                <w:rFonts w:ascii="Times New Roman" w:hAnsi="Times New Roman"/>
                <w:highlight w:val="none"/>
              </w:rPr>
            </w:pPr>
          </w:p>
        </w:tc>
        <w:tc>
          <w:tcPr>
            <w:tcW w:w="1331" w:type="dxa"/>
            <w:vAlign w:val="center"/>
          </w:tcPr>
          <w:p>
            <w:pPr>
              <w:pStyle w:val="81"/>
              <w:rPr>
                <w:rFonts w:ascii="Times New Roman" w:hAnsi="Times New Roman"/>
                <w:highlight w:val="none"/>
              </w:rPr>
            </w:pPr>
            <w:r>
              <w:rPr>
                <w:rFonts w:ascii="Times New Roman" w:hAnsi="Times New Roman"/>
                <w:highlight w:val="none"/>
              </w:rPr>
              <w:t>网址</w:t>
            </w:r>
          </w:p>
        </w:tc>
        <w:tc>
          <w:tcPr>
            <w:tcW w:w="2052" w:type="dxa"/>
            <w:gridSpan w:val="4"/>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股权结构</w:t>
            </w:r>
          </w:p>
        </w:tc>
        <w:tc>
          <w:tcPr>
            <w:tcW w:w="7185" w:type="dxa"/>
            <w:gridSpan w:val="10"/>
            <w:vAlign w:val="center"/>
          </w:tcPr>
          <w:p>
            <w:pPr>
              <w:pStyle w:val="81"/>
              <w:rPr>
                <w:rFonts w:ascii="Times New Roman" w:hAnsi="Times New Roman"/>
                <w:highlight w:val="none"/>
              </w:rPr>
            </w:pPr>
            <w:r>
              <w:rPr>
                <w:rFonts w:ascii="Times New Roman" w:hAnsi="Times New Roman"/>
                <w:highlight w:val="none"/>
              </w:rPr>
              <w:t>XX：A%；</w:t>
            </w:r>
          </w:p>
          <w:p>
            <w:pPr>
              <w:pStyle w:val="81"/>
              <w:rPr>
                <w:rFonts w:ascii="Times New Roman" w:hAnsi="Times New Roman"/>
                <w:highlight w:val="none"/>
              </w:rPr>
            </w:pPr>
            <w:r>
              <w:rPr>
                <w:rFonts w:ascii="Times New Roman" w:hAnsi="Times New Roman"/>
                <w:highlight w:val="none"/>
              </w:rPr>
              <w:t>YY：B%；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法定代表人</w:t>
            </w:r>
          </w:p>
        </w:tc>
        <w:tc>
          <w:tcPr>
            <w:tcW w:w="1141" w:type="dxa"/>
            <w:vAlign w:val="center"/>
          </w:tcPr>
          <w:p>
            <w:pPr>
              <w:pStyle w:val="81"/>
              <w:rPr>
                <w:rFonts w:ascii="Times New Roman" w:hAnsi="Times New Roman"/>
                <w:highlight w:val="none"/>
              </w:rPr>
            </w:pPr>
            <w:r>
              <w:rPr>
                <w:rFonts w:ascii="Times New Roman" w:hAnsi="Times New Roman"/>
                <w:highlight w:val="none"/>
              </w:rPr>
              <w:t>姓名</w:t>
            </w:r>
          </w:p>
        </w:tc>
        <w:tc>
          <w:tcPr>
            <w:tcW w:w="1141" w:type="dxa"/>
            <w:vAlign w:val="center"/>
          </w:tcPr>
          <w:p>
            <w:pPr>
              <w:pStyle w:val="81"/>
              <w:rPr>
                <w:rFonts w:ascii="Times New Roman" w:hAnsi="Times New Roman"/>
                <w:highlight w:val="none"/>
              </w:rPr>
            </w:pPr>
          </w:p>
        </w:tc>
        <w:tc>
          <w:tcPr>
            <w:tcW w:w="1330" w:type="dxa"/>
            <w:gridSpan w:val="2"/>
            <w:vAlign w:val="center"/>
          </w:tcPr>
          <w:p>
            <w:pPr>
              <w:pStyle w:val="81"/>
              <w:rPr>
                <w:rFonts w:ascii="Times New Roman" w:hAnsi="Times New Roman"/>
                <w:highlight w:val="none"/>
              </w:rPr>
            </w:pPr>
            <w:r>
              <w:rPr>
                <w:rFonts w:ascii="Times New Roman" w:hAnsi="Times New Roman"/>
                <w:highlight w:val="none"/>
              </w:rPr>
              <w:t>技术职称</w:t>
            </w:r>
          </w:p>
        </w:tc>
        <w:tc>
          <w:tcPr>
            <w:tcW w:w="1562" w:type="dxa"/>
            <w:gridSpan w:val="3"/>
            <w:vAlign w:val="center"/>
          </w:tcPr>
          <w:p>
            <w:pPr>
              <w:pStyle w:val="81"/>
              <w:rPr>
                <w:rFonts w:ascii="Times New Roman" w:hAnsi="Times New Roman"/>
                <w:highlight w:val="none"/>
              </w:rPr>
            </w:pPr>
          </w:p>
        </w:tc>
        <w:tc>
          <w:tcPr>
            <w:tcW w:w="1098" w:type="dxa"/>
            <w:gridSpan w:val="2"/>
            <w:vAlign w:val="center"/>
          </w:tcPr>
          <w:p>
            <w:pPr>
              <w:pStyle w:val="81"/>
              <w:rPr>
                <w:rFonts w:ascii="Times New Roman" w:hAnsi="Times New Roman"/>
                <w:highlight w:val="none"/>
              </w:rPr>
            </w:pPr>
            <w:r>
              <w:rPr>
                <w:rFonts w:ascii="Times New Roman" w:hAnsi="Times New Roman"/>
                <w:highlight w:val="none"/>
              </w:rPr>
              <w:t>电话</w:t>
            </w:r>
          </w:p>
        </w:tc>
        <w:tc>
          <w:tcPr>
            <w:tcW w:w="913" w:type="dxa"/>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技术负责人</w:t>
            </w:r>
          </w:p>
        </w:tc>
        <w:tc>
          <w:tcPr>
            <w:tcW w:w="1141" w:type="dxa"/>
            <w:vAlign w:val="center"/>
          </w:tcPr>
          <w:p>
            <w:pPr>
              <w:pStyle w:val="81"/>
              <w:rPr>
                <w:rFonts w:ascii="Times New Roman" w:hAnsi="Times New Roman"/>
                <w:highlight w:val="none"/>
              </w:rPr>
            </w:pPr>
            <w:r>
              <w:rPr>
                <w:rFonts w:ascii="Times New Roman" w:hAnsi="Times New Roman"/>
                <w:highlight w:val="none"/>
              </w:rPr>
              <w:t>姓名</w:t>
            </w:r>
          </w:p>
        </w:tc>
        <w:tc>
          <w:tcPr>
            <w:tcW w:w="1141" w:type="dxa"/>
            <w:vAlign w:val="center"/>
          </w:tcPr>
          <w:p>
            <w:pPr>
              <w:pStyle w:val="81"/>
              <w:rPr>
                <w:rFonts w:ascii="Times New Roman" w:hAnsi="Times New Roman"/>
                <w:highlight w:val="none"/>
              </w:rPr>
            </w:pPr>
          </w:p>
        </w:tc>
        <w:tc>
          <w:tcPr>
            <w:tcW w:w="1330" w:type="dxa"/>
            <w:gridSpan w:val="2"/>
            <w:vAlign w:val="center"/>
          </w:tcPr>
          <w:p>
            <w:pPr>
              <w:pStyle w:val="81"/>
              <w:rPr>
                <w:rFonts w:ascii="Times New Roman" w:hAnsi="Times New Roman"/>
                <w:highlight w:val="none"/>
              </w:rPr>
            </w:pPr>
            <w:r>
              <w:rPr>
                <w:rFonts w:ascii="Times New Roman" w:hAnsi="Times New Roman"/>
                <w:highlight w:val="none"/>
              </w:rPr>
              <w:t>技术职称</w:t>
            </w:r>
          </w:p>
        </w:tc>
        <w:tc>
          <w:tcPr>
            <w:tcW w:w="1562" w:type="dxa"/>
            <w:gridSpan w:val="3"/>
            <w:vAlign w:val="center"/>
          </w:tcPr>
          <w:p>
            <w:pPr>
              <w:pStyle w:val="81"/>
              <w:rPr>
                <w:rFonts w:ascii="Times New Roman" w:hAnsi="Times New Roman"/>
                <w:highlight w:val="none"/>
              </w:rPr>
            </w:pPr>
          </w:p>
        </w:tc>
        <w:tc>
          <w:tcPr>
            <w:tcW w:w="1098" w:type="dxa"/>
            <w:gridSpan w:val="2"/>
            <w:vAlign w:val="center"/>
          </w:tcPr>
          <w:p>
            <w:pPr>
              <w:pStyle w:val="81"/>
              <w:rPr>
                <w:rFonts w:ascii="Times New Roman" w:hAnsi="Times New Roman"/>
                <w:highlight w:val="none"/>
              </w:rPr>
            </w:pPr>
            <w:r>
              <w:rPr>
                <w:rFonts w:ascii="Times New Roman" w:hAnsi="Times New Roman"/>
                <w:highlight w:val="none"/>
              </w:rPr>
              <w:t>电话</w:t>
            </w:r>
          </w:p>
        </w:tc>
        <w:tc>
          <w:tcPr>
            <w:tcW w:w="913" w:type="dxa"/>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成立时间</w:t>
            </w:r>
          </w:p>
        </w:tc>
        <w:tc>
          <w:tcPr>
            <w:tcW w:w="2282" w:type="dxa"/>
            <w:gridSpan w:val="2"/>
            <w:vAlign w:val="center"/>
          </w:tcPr>
          <w:p>
            <w:pPr>
              <w:pStyle w:val="81"/>
              <w:rPr>
                <w:rFonts w:ascii="Times New Roman" w:hAnsi="Times New Roman"/>
                <w:highlight w:val="none"/>
              </w:rPr>
            </w:pPr>
          </w:p>
        </w:tc>
        <w:tc>
          <w:tcPr>
            <w:tcW w:w="4903" w:type="dxa"/>
            <w:gridSpan w:val="8"/>
            <w:vAlign w:val="center"/>
          </w:tcPr>
          <w:p>
            <w:pPr>
              <w:pStyle w:val="81"/>
              <w:rPr>
                <w:rFonts w:ascii="Times New Roman" w:hAnsi="Times New Roman"/>
                <w:highlight w:val="none"/>
              </w:rPr>
            </w:pPr>
            <w:r>
              <w:rPr>
                <w:rFonts w:ascii="Times New Roman" w:hAnsi="Times New Roman"/>
                <w:highlight w:val="none"/>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企业资质等级</w:t>
            </w:r>
          </w:p>
        </w:tc>
        <w:tc>
          <w:tcPr>
            <w:tcW w:w="2282" w:type="dxa"/>
            <w:gridSpan w:val="2"/>
            <w:vAlign w:val="center"/>
          </w:tcPr>
          <w:p>
            <w:pPr>
              <w:pStyle w:val="81"/>
              <w:rPr>
                <w:rFonts w:ascii="Times New Roman" w:hAnsi="Times New Roman"/>
                <w:highlight w:val="none"/>
              </w:rPr>
            </w:pPr>
          </w:p>
        </w:tc>
        <w:tc>
          <w:tcPr>
            <w:tcW w:w="955" w:type="dxa"/>
            <w:vMerge w:val="restart"/>
            <w:vAlign w:val="center"/>
          </w:tcPr>
          <w:p>
            <w:pPr>
              <w:pStyle w:val="81"/>
              <w:jc w:val="center"/>
              <w:rPr>
                <w:rFonts w:ascii="Times New Roman" w:hAnsi="Times New Roman"/>
                <w:highlight w:val="none"/>
              </w:rPr>
            </w:pPr>
            <w:r>
              <w:rPr>
                <w:rFonts w:ascii="Times New Roman" w:hAnsi="Times New Roman"/>
                <w:highlight w:val="none"/>
              </w:rPr>
              <w:t>其中</w:t>
            </w:r>
          </w:p>
        </w:tc>
        <w:tc>
          <w:tcPr>
            <w:tcW w:w="1966" w:type="dxa"/>
            <w:gridSpan w:val="5"/>
            <w:vAlign w:val="center"/>
          </w:tcPr>
          <w:p>
            <w:pPr>
              <w:pStyle w:val="81"/>
              <w:rPr>
                <w:rFonts w:ascii="Times New Roman" w:hAnsi="Times New Roman"/>
                <w:highlight w:val="none"/>
              </w:rPr>
            </w:pPr>
            <w:r>
              <w:rPr>
                <w:rFonts w:ascii="Times New Roman" w:hAnsi="Times New Roman"/>
                <w:highlight w:val="none"/>
              </w:rPr>
              <w:t>项目经理</w:t>
            </w:r>
          </w:p>
        </w:tc>
        <w:tc>
          <w:tcPr>
            <w:tcW w:w="1982" w:type="dxa"/>
            <w:gridSpan w:val="2"/>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营业执照号</w:t>
            </w:r>
          </w:p>
        </w:tc>
        <w:tc>
          <w:tcPr>
            <w:tcW w:w="2282" w:type="dxa"/>
            <w:gridSpan w:val="2"/>
            <w:vAlign w:val="center"/>
          </w:tcPr>
          <w:p>
            <w:pPr>
              <w:pStyle w:val="81"/>
              <w:rPr>
                <w:rFonts w:ascii="Times New Roman" w:hAnsi="Times New Roman"/>
                <w:highlight w:val="none"/>
              </w:rPr>
            </w:pPr>
          </w:p>
        </w:tc>
        <w:tc>
          <w:tcPr>
            <w:tcW w:w="955" w:type="dxa"/>
            <w:vMerge w:val="continue"/>
            <w:vAlign w:val="center"/>
          </w:tcPr>
          <w:p>
            <w:pPr>
              <w:pStyle w:val="81"/>
              <w:rPr>
                <w:rFonts w:ascii="Times New Roman" w:hAnsi="Times New Roman"/>
                <w:highlight w:val="none"/>
              </w:rPr>
            </w:pPr>
          </w:p>
        </w:tc>
        <w:tc>
          <w:tcPr>
            <w:tcW w:w="1966" w:type="dxa"/>
            <w:gridSpan w:val="5"/>
            <w:vAlign w:val="center"/>
          </w:tcPr>
          <w:p>
            <w:pPr>
              <w:pStyle w:val="81"/>
              <w:rPr>
                <w:rFonts w:ascii="Times New Roman" w:hAnsi="Times New Roman"/>
                <w:highlight w:val="none"/>
              </w:rPr>
            </w:pPr>
            <w:r>
              <w:rPr>
                <w:rFonts w:ascii="Times New Roman" w:hAnsi="Times New Roman"/>
                <w:highlight w:val="none"/>
              </w:rPr>
              <w:t>高级职称人员</w:t>
            </w:r>
          </w:p>
        </w:tc>
        <w:tc>
          <w:tcPr>
            <w:tcW w:w="1982" w:type="dxa"/>
            <w:gridSpan w:val="2"/>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注册资</w:t>
            </w:r>
            <w:r>
              <w:rPr>
                <w:rFonts w:hint="eastAsia" w:ascii="Times New Roman" w:hAnsi="Times New Roman"/>
                <w:highlight w:val="none"/>
              </w:rPr>
              <w:t>本</w:t>
            </w:r>
          </w:p>
        </w:tc>
        <w:tc>
          <w:tcPr>
            <w:tcW w:w="2282" w:type="dxa"/>
            <w:gridSpan w:val="2"/>
            <w:vAlign w:val="center"/>
          </w:tcPr>
          <w:p>
            <w:pPr>
              <w:pStyle w:val="81"/>
              <w:rPr>
                <w:rFonts w:ascii="Times New Roman" w:hAnsi="Times New Roman"/>
                <w:highlight w:val="none"/>
              </w:rPr>
            </w:pPr>
          </w:p>
        </w:tc>
        <w:tc>
          <w:tcPr>
            <w:tcW w:w="955" w:type="dxa"/>
            <w:vMerge w:val="continue"/>
            <w:vAlign w:val="center"/>
          </w:tcPr>
          <w:p>
            <w:pPr>
              <w:pStyle w:val="81"/>
              <w:rPr>
                <w:rFonts w:ascii="Times New Roman" w:hAnsi="Times New Roman"/>
                <w:highlight w:val="none"/>
              </w:rPr>
            </w:pPr>
          </w:p>
        </w:tc>
        <w:tc>
          <w:tcPr>
            <w:tcW w:w="1966" w:type="dxa"/>
            <w:gridSpan w:val="5"/>
            <w:vAlign w:val="center"/>
          </w:tcPr>
          <w:p>
            <w:pPr>
              <w:pStyle w:val="81"/>
              <w:rPr>
                <w:rFonts w:ascii="Times New Roman" w:hAnsi="Times New Roman"/>
                <w:highlight w:val="none"/>
              </w:rPr>
            </w:pPr>
            <w:r>
              <w:rPr>
                <w:rFonts w:ascii="Times New Roman" w:hAnsi="Times New Roman"/>
                <w:highlight w:val="none"/>
              </w:rPr>
              <w:t>中级职称人员</w:t>
            </w:r>
          </w:p>
        </w:tc>
        <w:tc>
          <w:tcPr>
            <w:tcW w:w="1982" w:type="dxa"/>
            <w:gridSpan w:val="2"/>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开户银行</w:t>
            </w:r>
          </w:p>
        </w:tc>
        <w:tc>
          <w:tcPr>
            <w:tcW w:w="2282" w:type="dxa"/>
            <w:gridSpan w:val="2"/>
            <w:vAlign w:val="center"/>
          </w:tcPr>
          <w:p>
            <w:pPr>
              <w:pStyle w:val="81"/>
              <w:rPr>
                <w:rFonts w:ascii="Times New Roman" w:hAnsi="Times New Roman"/>
                <w:highlight w:val="none"/>
              </w:rPr>
            </w:pPr>
          </w:p>
        </w:tc>
        <w:tc>
          <w:tcPr>
            <w:tcW w:w="955" w:type="dxa"/>
            <w:vMerge w:val="continue"/>
            <w:vAlign w:val="center"/>
          </w:tcPr>
          <w:p>
            <w:pPr>
              <w:pStyle w:val="81"/>
              <w:rPr>
                <w:rFonts w:ascii="Times New Roman" w:hAnsi="Times New Roman"/>
                <w:highlight w:val="none"/>
              </w:rPr>
            </w:pPr>
          </w:p>
        </w:tc>
        <w:tc>
          <w:tcPr>
            <w:tcW w:w="1966" w:type="dxa"/>
            <w:gridSpan w:val="5"/>
            <w:vAlign w:val="center"/>
          </w:tcPr>
          <w:p>
            <w:pPr>
              <w:pStyle w:val="81"/>
              <w:rPr>
                <w:rFonts w:ascii="Times New Roman" w:hAnsi="Times New Roman"/>
                <w:highlight w:val="none"/>
              </w:rPr>
            </w:pPr>
            <w:r>
              <w:rPr>
                <w:rFonts w:ascii="Times New Roman" w:hAnsi="Times New Roman"/>
                <w:highlight w:val="none"/>
              </w:rPr>
              <w:t>初级职称人员</w:t>
            </w:r>
          </w:p>
        </w:tc>
        <w:tc>
          <w:tcPr>
            <w:tcW w:w="1982" w:type="dxa"/>
            <w:gridSpan w:val="2"/>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账号</w:t>
            </w:r>
          </w:p>
        </w:tc>
        <w:tc>
          <w:tcPr>
            <w:tcW w:w="2282" w:type="dxa"/>
            <w:gridSpan w:val="2"/>
            <w:vAlign w:val="center"/>
          </w:tcPr>
          <w:p>
            <w:pPr>
              <w:pStyle w:val="81"/>
              <w:rPr>
                <w:rFonts w:ascii="Times New Roman" w:hAnsi="Times New Roman"/>
                <w:highlight w:val="none"/>
              </w:rPr>
            </w:pPr>
          </w:p>
        </w:tc>
        <w:tc>
          <w:tcPr>
            <w:tcW w:w="955" w:type="dxa"/>
            <w:vMerge w:val="continue"/>
            <w:vAlign w:val="center"/>
          </w:tcPr>
          <w:p>
            <w:pPr>
              <w:pStyle w:val="81"/>
              <w:rPr>
                <w:rFonts w:ascii="Times New Roman" w:hAnsi="Times New Roman"/>
                <w:highlight w:val="none"/>
              </w:rPr>
            </w:pPr>
          </w:p>
        </w:tc>
        <w:tc>
          <w:tcPr>
            <w:tcW w:w="1966" w:type="dxa"/>
            <w:gridSpan w:val="5"/>
            <w:vAlign w:val="center"/>
          </w:tcPr>
          <w:p>
            <w:pPr>
              <w:pStyle w:val="81"/>
              <w:rPr>
                <w:rFonts w:ascii="Times New Roman" w:hAnsi="Times New Roman"/>
                <w:highlight w:val="none"/>
              </w:rPr>
            </w:pPr>
            <w:r>
              <w:rPr>
                <w:rFonts w:ascii="Times New Roman" w:hAnsi="Times New Roman"/>
                <w:highlight w:val="none"/>
              </w:rPr>
              <w:t>技工</w:t>
            </w:r>
          </w:p>
        </w:tc>
        <w:tc>
          <w:tcPr>
            <w:tcW w:w="1982" w:type="dxa"/>
            <w:gridSpan w:val="2"/>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经营范围</w:t>
            </w:r>
          </w:p>
        </w:tc>
        <w:tc>
          <w:tcPr>
            <w:tcW w:w="7185" w:type="dxa"/>
            <w:gridSpan w:val="10"/>
            <w:vAlign w:val="center"/>
          </w:tcPr>
          <w:p>
            <w:pPr>
              <w:pStyle w:val="81"/>
              <w:rPr>
                <w:rFonts w:ascii="Times New Roman" w:hAnsi="Times New Roman"/>
                <w:highlight w:val="none"/>
              </w:rPr>
            </w:pPr>
          </w:p>
          <w:p>
            <w:pPr>
              <w:pStyle w:val="81"/>
              <w:rPr>
                <w:rFonts w:ascii="Times New Roman" w:hAnsi="Times New Roman"/>
                <w:highlight w:val="none"/>
              </w:rPr>
            </w:pPr>
          </w:p>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2" w:type="dxa"/>
            <w:vAlign w:val="center"/>
          </w:tcPr>
          <w:p>
            <w:pPr>
              <w:pStyle w:val="81"/>
              <w:rPr>
                <w:rFonts w:ascii="Times New Roman" w:hAnsi="Times New Roman"/>
                <w:highlight w:val="none"/>
              </w:rPr>
            </w:pPr>
            <w:r>
              <w:rPr>
                <w:rFonts w:hint="eastAsia" w:ascii="Times New Roman" w:hAnsi="Times New Roman"/>
                <w:highlight w:val="none"/>
              </w:rPr>
              <w:t>类似业绩列表</w:t>
            </w:r>
          </w:p>
        </w:tc>
        <w:tc>
          <w:tcPr>
            <w:tcW w:w="7185" w:type="dxa"/>
            <w:gridSpan w:val="10"/>
            <w:vAlign w:val="center"/>
          </w:tcPr>
          <w:p>
            <w:pPr>
              <w:pStyle w:val="81"/>
              <w:rPr>
                <w:rFonts w:ascii="Times New Roman" w:hAnsi="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12" w:type="dxa"/>
            <w:vAlign w:val="center"/>
          </w:tcPr>
          <w:p>
            <w:pPr>
              <w:pStyle w:val="81"/>
              <w:rPr>
                <w:rFonts w:ascii="Times New Roman" w:hAnsi="Times New Roman"/>
                <w:highlight w:val="none"/>
              </w:rPr>
            </w:pPr>
            <w:r>
              <w:rPr>
                <w:rFonts w:ascii="Times New Roman" w:hAnsi="Times New Roman"/>
                <w:highlight w:val="none"/>
              </w:rPr>
              <w:t>备注</w:t>
            </w:r>
          </w:p>
        </w:tc>
        <w:tc>
          <w:tcPr>
            <w:tcW w:w="7185" w:type="dxa"/>
            <w:gridSpan w:val="10"/>
            <w:vAlign w:val="center"/>
          </w:tcPr>
          <w:p>
            <w:pPr>
              <w:pStyle w:val="81"/>
              <w:rPr>
                <w:rFonts w:ascii="Times New Roman" w:hAnsi="Times New Roman"/>
                <w:highlight w:val="none"/>
              </w:rPr>
            </w:pPr>
          </w:p>
        </w:tc>
      </w:tr>
    </w:tbl>
    <w:p>
      <w:pPr>
        <w:ind w:firstLine="480"/>
        <w:rPr>
          <w:color w:val="000000"/>
          <w:highlight w:val="none"/>
        </w:rPr>
      </w:pPr>
      <w:r>
        <w:rPr>
          <w:rFonts w:cs="Arial"/>
          <w:color w:val="000000"/>
          <w:szCs w:val="21"/>
          <w:highlight w:val="none"/>
        </w:rPr>
        <w:t>后附企业法人营业执照副本、资质证书、</w:t>
      </w:r>
      <w:r>
        <w:rPr>
          <w:rFonts w:hint="eastAsia" w:cs="Arial"/>
          <w:color w:val="000000"/>
          <w:szCs w:val="21"/>
          <w:highlight w:val="none"/>
        </w:rPr>
        <w:t>类似业绩合同扫描件及供应商认为需要提供或询价文件要求提供的其他</w:t>
      </w:r>
      <w:r>
        <w:rPr>
          <w:rFonts w:cs="Arial"/>
          <w:color w:val="000000"/>
          <w:szCs w:val="21"/>
          <w:highlight w:val="none"/>
        </w:rPr>
        <w:t>资料影印件。</w:t>
      </w:r>
    </w:p>
    <w:p>
      <w:pPr>
        <w:widowControl/>
        <w:tabs>
          <w:tab w:val="left" w:pos="3846"/>
          <w:tab w:val="left" w:pos="5376"/>
          <w:tab w:val="left" w:pos="7077"/>
          <w:tab w:val="left" w:pos="8636"/>
        </w:tabs>
        <w:ind w:firstLine="4815" w:firstLineChars="2398"/>
        <w:rPr>
          <w:rFonts w:cs="宋体"/>
          <w:b/>
          <w:color w:val="000000"/>
          <w:kern w:val="0"/>
          <w:sz w:val="20"/>
          <w:highlight w:val="none"/>
        </w:rPr>
      </w:pPr>
    </w:p>
    <w:p>
      <w:pPr>
        <w:widowControl/>
        <w:tabs>
          <w:tab w:val="left" w:pos="3846"/>
          <w:tab w:val="left" w:pos="5376"/>
          <w:tab w:val="left" w:pos="7077"/>
          <w:tab w:val="left" w:pos="8636"/>
        </w:tabs>
        <w:ind w:firstLine="4819" w:firstLineChars="2008"/>
        <w:rPr>
          <w:rFonts w:cs="宋体"/>
          <w:color w:val="000000"/>
          <w:kern w:val="0"/>
          <w:szCs w:val="24"/>
          <w:highlight w:val="none"/>
        </w:rPr>
      </w:pPr>
      <w:r>
        <w:rPr>
          <w:rFonts w:hint="eastAsia" w:cs="宋体"/>
          <w:color w:val="000000"/>
          <w:kern w:val="0"/>
          <w:szCs w:val="24"/>
          <w:highlight w:val="none"/>
        </w:rPr>
        <w:t>供应商名称：</w:t>
      </w:r>
      <w:r>
        <w:rPr>
          <w:rFonts w:hint="eastAsia" w:cs="宋体"/>
          <w:color w:val="000000"/>
          <w:kern w:val="0"/>
          <w:szCs w:val="24"/>
          <w:highlight w:val="none"/>
          <w:u w:val="single"/>
        </w:rPr>
        <w:t xml:space="preserve">      </w:t>
      </w:r>
      <w:r>
        <w:rPr>
          <w:rFonts w:hint="eastAsia" w:cs="Arial"/>
          <w:szCs w:val="21"/>
          <w:highlight w:val="none"/>
          <w:u w:val="single"/>
        </w:rPr>
        <w:t xml:space="preserve">（盖章） </w:t>
      </w:r>
      <w:r>
        <w:rPr>
          <w:rFonts w:hint="eastAsia" w:cs="宋体"/>
          <w:color w:val="000000"/>
          <w:kern w:val="0"/>
          <w:szCs w:val="24"/>
          <w:highlight w:val="none"/>
          <w:u w:val="single"/>
        </w:rPr>
        <w:t xml:space="preserve">       </w:t>
      </w:r>
    </w:p>
    <w:p>
      <w:pPr>
        <w:widowControl/>
        <w:tabs>
          <w:tab w:val="left" w:pos="3846"/>
          <w:tab w:val="left" w:pos="5376"/>
          <w:tab w:val="left" w:pos="7077"/>
          <w:tab w:val="left" w:pos="8636"/>
        </w:tabs>
        <w:ind w:firstLine="5755" w:firstLineChars="2398"/>
        <w:rPr>
          <w:rFonts w:cs="宋体"/>
          <w:color w:val="000000"/>
          <w:kern w:val="0"/>
          <w:szCs w:val="24"/>
          <w:highlight w:val="none"/>
        </w:rPr>
      </w:pPr>
    </w:p>
    <w:p>
      <w:pPr>
        <w:widowControl/>
        <w:tabs>
          <w:tab w:val="left" w:pos="3846"/>
          <w:tab w:val="left" w:pos="5376"/>
          <w:tab w:val="left" w:pos="7077"/>
          <w:tab w:val="left" w:pos="8636"/>
        </w:tabs>
        <w:ind w:firstLine="4819" w:firstLineChars="2008"/>
        <w:rPr>
          <w:rFonts w:cs="宋体"/>
          <w:b/>
          <w:color w:val="000000"/>
          <w:kern w:val="0"/>
          <w:sz w:val="22"/>
          <w:highlight w:val="none"/>
        </w:rPr>
      </w:pPr>
      <w:r>
        <w:rPr>
          <w:rFonts w:hint="eastAsia" w:cs="宋体"/>
          <w:color w:val="000000"/>
          <w:kern w:val="0"/>
          <w:szCs w:val="24"/>
          <w:highlight w:val="none"/>
        </w:rPr>
        <w:t>日     期：</w:t>
      </w:r>
      <w:r>
        <w:rPr>
          <w:rFonts w:hint="eastAsia" w:cs="宋体"/>
          <w:color w:val="000000"/>
          <w:kern w:val="0"/>
          <w:szCs w:val="24"/>
          <w:highlight w:val="none"/>
          <w:u w:val="single"/>
        </w:rPr>
        <w:t xml:space="preserve">                     </w:t>
      </w:r>
      <w:r>
        <w:rPr>
          <w:rFonts w:cs="宋体"/>
          <w:color w:val="000000"/>
          <w:kern w:val="0"/>
          <w:szCs w:val="24"/>
          <w:highlight w:val="none"/>
        </w:rPr>
        <w:tab/>
      </w:r>
      <w:r>
        <w:rPr>
          <w:rFonts w:cs="宋体"/>
          <w:b/>
          <w:color w:val="000000"/>
          <w:kern w:val="0"/>
          <w:sz w:val="22"/>
          <w:highlight w:val="none"/>
        </w:rPr>
        <w:tab/>
      </w:r>
      <w:r>
        <w:rPr>
          <w:rFonts w:cs="宋体"/>
          <w:b/>
          <w:color w:val="000000"/>
          <w:kern w:val="0"/>
          <w:sz w:val="22"/>
          <w:highlight w:val="none"/>
        </w:rPr>
        <w:tab/>
      </w:r>
      <w:r>
        <w:rPr>
          <w:rFonts w:cs="宋体"/>
          <w:b/>
          <w:color w:val="000000"/>
          <w:kern w:val="0"/>
          <w:sz w:val="22"/>
          <w:highlight w:val="none"/>
        </w:rPr>
        <w:tab/>
      </w:r>
    </w:p>
    <w:p>
      <w:pPr>
        <w:pStyle w:val="2"/>
        <w:spacing w:before="240"/>
        <w:rPr>
          <w:rFonts w:ascii="Times New Roman" w:hAnsi="Times New Roman"/>
          <w:highlight w:val="none"/>
        </w:rPr>
      </w:pPr>
      <w:r>
        <w:rPr>
          <w:rFonts w:ascii="Times New Roman" w:hAnsi="Times New Roman" w:cs="宋体"/>
          <w:b/>
          <w:color w:val="000000"/>
          <w:sz w:val="22"/>
          <w:highlight w:val="none"/>
        </w:rPr>
        <w:br w:type="page"/>
      </w:r>
      <w:bookmarkStart w:id="157" w:name="_Toc23354"/>
      <w:bookmarkStart w:id="158" w:name="_Toc527560965"/>
      <w:bookmarkStart w:id="159" w:name="_Toc11216"/>
      <w:r>
        <w:rPr>
          <w:rFonts w:hint="eastAsia" w:ascii="Times New Roman" w:hAnsi="Times New Roman"/>
          <w:highlight w:val="none"/>
        </w:rPr>
        <w:t>四、技术部分</w:t>
      </w:r>
      <w:bookmarkEnd w:id="157"/>
      <w:bookmarkEnd w:id="158"/>
      <w:r>
        <w:rPr>
          <w:rFonts w:hint="eastAsia" w:ascii="Times New Roman" w:hAnsi="Times New Roman"/>
          <w:highlight w:val="none"/>
        </w:rPr>
        <w:t>（工作方案、专项服务建议及商务响应）</w:t>
      </w:r>
      <w:bookmarkEnd w:id="159"/>
    </w:p>
    <w:p>
      <w:pPr>
        <w:ind w:firstLine="480"/>
        <w:rPr>
          <w:highlight w:val="none"/>
        </w:rPr>
      </w:pPr>
      <w:r>
        <w:rPr>
          <w:rFonts w:hint="eastAsia"/>
          <w:highlight w:val="none"/>
        </w:rPr>
        <w:t>供应商根据采购需求自行编制，格式自拟。</w:t>
      </w:r>
    </w:p>
    <w:p>
      <w:pPr>
        <w:ind w:firstLine="480"/>
        <w:rPr>
          <w:highlight w:val="none"/>
        </w:rPr>
      </w:pPr>
      <w:r>
        <w:rPr>
          <w:rFonts w:hint="eastAsia"/>
          <w:highlight w:val="none"/>
        </w:rPr>
        <w:br w:type="page"/>
      </w:r>
    </w:p>
    <w:p>
      <w:pPr>
        <w:pStyle w:val="2"/>
        <w:spacing w:before="240"/>
        <w:rPr>
          <w:highlight w:val="none"/>
        </w:rPr>
      </w:pPr>
      <w:bookmarkStart w:id="160" w:name="_Toc133"/>
      <w:bookmarkStart w:id="161" w:name="_Toc23192"/>
      <w:bookmarkStart w:id="162" w:name="_Toc25548"/>
      <w:r>
        <w:rPr>
          <w:rFonts w:hint="eastAsia"/>
          <w:highlight w:val="none"/>
        </w:rPr>
        <w:t>五、偏离表</w:t>
      </w:r>
      <w:bookmarkEnd w:id="160"/>
      <w:bookmarkEnd w:id="161"/>
      <w:bookmarkEnd w:id="162"/>
    </w:p>
    <w:tbl>
      <w:tblPr>
        <w:tblStyle w:val="27"/>
        <w:tblW w:w="9590" w:type="dxa"/>
        <w:tblInd w:w="0" w:type="dxa"/>
        <w:tblLayout w:type="fixed"/>
        <w:tblCellMar>
          <w:top w:w="0" w:type="dxa"/>
          <w:left w:w="108" w:type="dxa"/>
          <w:bottom w:w="0" w:type="dxa"/>
          <w:right w:w="108" w:type="dxa"/>
        </w:tblCellMar>
      </w:tblPr>
      <w:tblGrid>
        <w:gridCol w:w="1101"/>
        <w:gridCol w:w="3391"/>
        <w:gridCol w:w="3724"/>
        <w:gridCol w:w="1374"/>
      </w:tblGrid>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1"/>
              <w:jc w:val="center"/>
              <w:rPr>
                <w:sz w:val="24"/>
                <w:szCs w:val="24"/>
                <w:highlight w:val="none"/>
              </w:rPr>
            </w:pPr>
            <w:r>
              <w:rPr>
                <w:rFonts w:hint="eastAsia"/>
                <w:sz w:val="24"/>
                <w:szCs w:val="24"/>
                <w:highlight w:val="none"/>
              </w:rPr>
              <w:t>序号</w:t>
            </w:r>
          </w:p>
        </w:tc>
        <w:tc>
          <w:tcPr>
            <w:tcW w:w="3391"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r>
              <w:rPr>
                <w:rFonts w:hint="eastAsia"/>
                <w:sz w:val="24"/>
                <w:szCs w:val="24"/>
                <w:highlight w:val="none"/>
              </w:rPr>
              <w:t>询价文件（条目及简要内容）</w:t>
            </w:r>
          </w:p>
        </w:tc>
        <w:tc>
          <w:tcPr>
            <w:tcW w:w="3724"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r>
              <w:rPr>
                <w:rFonts w:hint="eastAsia"/>
                <w:sz w:val="24"/>
                <w:szCs w:val="24"/>
                <w:highlight w:val="none"/>
              </w:rPr>
              <w:t>报价文件（条目及简要内容）</w:t>
            </w:r>
          </w:p>
        </w:tc>
        <w:tc>
          <w:tcPr>
            <w:tcW w:w="1374" w:type="dxa"/>
            <w:tcBorders>
              <w:top w:val="single" w:color="auto" w:sz="4" w:space="0"/>
              <w:left w:val="nil"/>
              <w:bottom w:val="single" w:color="auto" w:sz="4" w:space="0"/>
              <w:right w:val="single" w:color="auto" w:sz="4" w:space="0"/>
            </w:tcBorders>
            <w:noWrap/>
            <w:vAlign w:val="center"/>
          </w:tcPr>
          <w:p>
            <w:pPr>
              <w:pStyle w:val="81"/>
              <w:jc w:val="center"/>
              <w:rPr>
                <w:sz w:val="24"/>
                <w:szCs w:val="24"/>
                <w:highlight w:val="none"/>
              </w:rPr>
            </w:pPr>
            <w:r>
              <w:rPr>
                <w:rFonts w:hint="eastAsia"/>
                <w:sz w:val="24"/>
                <w:szCs w:val="24"/>
                <w:highlight w:val="none"/>
              </w:rPr>
              <w:t>备注</w:t>
            </w: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1"/>
              <w:jc w:val="center"/>
              <w:rPr>
                <w:rFonts w:ascii="Times New Roman" w:hAnsi="Times New Roman"/>
                <w:sz w:val="24"/>
                <w:szCs w:val="24"/>
                <w:highlight w:val="none"/>
              </w:rPr>
            </w:pPr>
            <w:r>
              <w:rPr>
                <w:rFonts w:ascii="Times New Roman" w:hAnsi="Times New Roman"/>
                <w:sz w:val="24"/>
                <w:szCs w:val="24"/>
                <w:highlight w:val="none"/>
              </w:rPr>
              <w:t>1</w:t>
            </w:r>
          </w:p>
        </w:tc>
        <w:tc>
          <w:tcPr>
            <w:tcW w:w="3391"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p>
        </w:tc>
        <w:tc>
          <w:tcPr>
            <w:tcW w:w="1374" w:type="dxa"/>
            <w:vMerge w:val="restart"/>
            <w:tcBorders>
              <w:top w:val="nil"/>
              <w:left w:val="single" w:color="auto" w:sz="4" w:space="0"/>
              <w:bottom w:val="single" w:color="000000" w:sz="4" w:space="0"/>
              <w:right w:val="single" w:color="auto" w:sz="4" w:space="0"/>
            </w:tcBorders>
            <w:noWrap/>
            <w:vAlign w:val="center"/>
          </w:tcPr>
          <w:p>
            <w:pPr>
              <w:pStyle w:val="81"/>
              <w:jc w:val="center"/>
              <w:rPr>
                <w:sz w:val="24"/>
                <w:szCs w:val="24"/>
                <w:highlight w:val="none"/>
              </w:rPr>
            </w:pPr>
            <w:r>
              <w:rPr>
                <w:rFonts w:hint="eastAsia"/>
                <w:sz w:val="24"/>
                <w:szCs w:val="24"/>
                <w:highlight w:val="none"/>
              </w:rPr>
              <w:t>如无偏差填写“无”；如有偏差，须如实填写。</w:t>
            </w: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1"/>
              <w:jc w:val="center"/>
              <w:rPr>
                <w:rFonts w:ascii="Times New Roman" w:hAnsi="Times New Roman"/>
                <w:sz w:val="24"/>
                <w:szCs w:val="24"/>
                <w:highlight w:val="none"/>
              </w:rPr>
            </w:pPr>
            <w:r>
              <w:rPr>
                <w:rFonts w:ascii="Times New Roman" w:hAnsi="Times New Roman"/>
                <w:sz w:val="24"/>
                <w:szCs w:val="24"/>
                <w:highlight w:val="none"/>
              </w:rPr>
              <w:t>2</w:t>
            </w:r>
          </w:p>
        </w:tc>
        <w:tc>
          <w:tcPr>
            <w:tcW w:w="3391"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p>
        </w:tc>
        <w:tc>
          <w:tcPr>
            <w:tcW w:w="1374" w:type="dxa"/>
            <w:vMerge w:val="continue"/>
            <w:tcBorders>
              <w:top w:val="nil"/>
              <w:left w:val="single" w:color="auto" w:sz="4" w:space="0"/>
              <w:bottom w:val="single" w:color="000000" w:sz="4" w:space="0"/>
              <w:right w:val="single" w:color="auto" w:sz="4" w:space="0"/>
            </w:tcBorders>
            <w:vAlign w:val="center"/>
          </w:tcPr>
          <w:p>
            <w:pPr>
              <w:pStyle w:val="81"/>
              <w:jc w:val="center"/>
              <w:rPr>
                <w:sz w:val="24"/>
                <w:szCs w:val="24"/>
                <w:highlight w:val="none"/>
              </w:rPr>
            </w:pP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1"/>
              <w:jc w:val="center"/>
              <w:rPr>
                <w:rFonts w:ascii="Times New Roman" w:hAnsi="Times New Roman"/>
                <w:sz w:val="24"/>
                <w:szCs w:val="24"/>
                <w:highlight w:val="none"/>
              </w:rPr>
            </w:pPr>
            <w:r>
              <w:rPr>
                <w:rFonts w:ascii="Times New Roman" w:hAnsi="Times New Roman"/>
                <w:sz w:val="24"/>
                <w:szCs w:val="24"/>
                <w:highlight w:val="none"/>
              </w:rPr>
              <w:t>3</w:t>
            </w:r>
          </w:p>
        </w:tc>
        <w:tc>
          <w:tcPr>
            <w:tcW w:w="3391"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p>
        </w:tc>
        <w:tc>
          <w:tcPr>
            <w:tcW w:w="1374" w:type="dxa"/>
            <w:vMerge w:val="continue"/>
            <w:tcBorders>
              <w:top w:val="nil"/>
              <w:left w:val="single" w:color="auto" w:sz="4" w:space="0"/>
              <w:bottom w:val="single" w:color="000000" w:sz="4" w:space="0"/>
              <w:right w:val="single" w:color="auto" w:sz="4" w:space="0"/>
            </w:tcBorders>
            <w:vAlign w:val="center"/>
          </w:tcPr>
          <w:p>
            <w:pPr>
              <w:pStyle w:val="81"/>
              <w:jc w:val="center"/>
              <w:rPr>
                <w:sz w:val="24"/>
                <w:szCs w:val="24"/>
                <w:highlight w:val="none"/>
              </w:rPr>
            </w:pPr>
          </w:p>
        </w:tc>
      </w:tr>
      <w:tr>
        <w:tblPrEx>
          <w:tblCellMar>
            <w:top w:w="0" w:type="dxa"/>
            <w:left w:w="108" w:type="dxa"/>
            <w:bottom w:w="0" w:type="dxa"/>
            <w:right w:w="108" w:type="dxa"/>
          </w:tblCellMar>
        </w:tblPrEx>
        <w:trPr>
          <w:trHeight w:val="510" w:hRule="atLeast"/>
        </w:trPr>
        <w:tc>
          <w:tcPr>
            <w:tcW w:w="1101" w:type="dxa"/>
            <w:tcBorders>
              <w:top w:val="single" w:color="auto" w:sz="4" w:space="0"/>
              <w:left w:val="single" w:color="auto" w:sz="4" w:space="0"/>
              <w:bottom w:val="single" w:color="000000" w:sz="4" w:space="0"/>
              <w:right w:val="single" w:color="auto" w:sz="4" w:space="0"/>
            </w:tcBorders>
            <w:vAlign w:val="center"/>
          </w:tcPr>
          <w:p>
            <w:pPr>
              <w:pStyle w:val="81"/>
              <w:jc w:val="center"/>
              <w:rPr>
                <w:rFonts w:ascii="Times New Roman" w:hAnsi="Times New Roman"/>
                <w:sz w:val="24"/>
                <w:szCs w:val="24"/>
                <w:highlight w:val="none"/>
              </w:rPr>
            </w:pPr>
            <w:r>
              <w:rPr>
                <w:rFonts w:hint="eastAsia" w:ascii="Times New Roman" w:hAnsi="Times New Roman"/>
                <w:sz w:val="24"/>
                <w:szCs w:val="24"/>
                <w:highlight w:val="none"/>
              </w:rPr>
              <w:t>...</w:t>
            </w:r>
          </w:p>
        </w:tc>
        <w:tc>
          <w:tcPr>
            <w:tcW w:w="3391"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p>
        </w:tc>
        <w:tc>
          <w:tcPr>
            <w:tcW w:w="3724" w:type="dxa"/>
            <w:tcBorders>
              <w:top w:val="single" w:color="auto" w:sz="4" w:space="0"/>
              <w:left w:val="nil"/>
              <w:bottom w:val="single" w:color="auto" w:sz="4" w:space="0"/>
              <w:right w:val="single" w:color="000000" w:sz="4" w:space="0"/>
            </w:tcBorders>
            <w:vAlign w:val="center"/>
          </w:tcPr>
          <w:p>
            <w:pPr>
              <w:pStyle w:val="81"/>
              <w:jc w:val="center"/>
              <w:rPr>
                <w:sz w:val="24"/>
                <w:szCs w:val="24"/>
                <w:highlight w:val="none"/>
              </w:rPr>
            </w:pPr>
          </w:p>
        </w:tc>
        <w:tc>
          <w:tcPr>
            <w:tcW w:w="1374" w:type="dxa"/>
            <w:vMerge w:val="continue"/>
            <w:tcBorders>
              <w:top w:val="nil"/>
              <w:left w:val="single" w:color="auto" w:sz="4" w:space="0"/>
              <w:bottom w:val="single" w:color="000000" w:sz="4" w:space="0"/>
              <w:right w:val="single" w:color="auto" w:sz="4" w:space="0"/>
            </w:tcBorders>
            <w:vAlign w:val="center"/>
          </w:tcPr>
          <w:p>
            <w:pPr>
              <w:pStyle w:val="81"/>
              <w:jc w:val="center"/>
              <w:rPr>
                <w:sz w:val="24"/>
                <w:szCs w:val="24"/>
                <w:highlight w:val="none"/>
              </w:rPr>
            </w:pPr>
          </w:p>
        </w:tc>
      </w:tr>
    </w:tbl>
    <w:p>
      <w:pPr>
        <w:ind w:firstLine="480"/>
        <w:rPr>
          <w:highlight w:val="none"/>
        </w:rPr>
      </w:pPr>
      <w:r>
        <w:rPr>
          <w:rFonts w:hint="eastAsia"/>
          <w:highlight w:val="none"/>
        </w:rPr>
        <w:br w:type="page"/>
      </w:r>
    </w:p>
    <w:p>
      <w:pPr>
        <w:pStyle w:val="2"/>
        <w:spacing w:before="240"/>
        <w:rPr>
          <w:highlight w:val="none"/>
        </w:rPr>
      </w:pPr>
      <w:bookmarkStart w:id="163" w:name="_Toc17705"/>
      <w:bookmarkStart w:id="164" w:name="_Toc25980"/>
      <w:r>
        <w:rPr>
          <w:rFonts w:hint="eastAsia"/>
          <w:highlight w:val="none"/>
        </w:rPr>
        <w:t>六、供应商廉洁承诺书</w:t>
      </w:r>
      <w:bookmarkEnd w:id="163"/>
      <w:bookmarkEnd w:id="164"/>
    </w:p>
    <w:p>
      <w:pPr>
        <w:adjustRightInd/>
        <w:snapToGrid/>
        <w:ind w:firstLine="480"/>
        <w:rPr>
          <w:highlight w:val="none"/>
        </w:rPr>
      </w:pPr>
      <w:r>
        <w:rPr>
          <w:highlight w:val="none"/>
        </w:rPr>
        <w:t>为维护公平竞争的市场秩序，我方自愿在参与贵方组织的商业往来活动中，加强有关人员廉洁从业管理，恪守商业道德，从源头预防和遏制违法、违规、违纪行为发生，特作以下承诺：</w:t>
      </w:r>
    </w:p>
    <w:p>
      <w:pPr>
        <w:adjustRightInd/>
        <w:snapToGrid/>
        <w:ind w:firstLine="480"/>
        <w:rPr>
          <w:highlight w:val="none"/>
        </w:rPr>
      </w:pPr>
      <w:r>
        <w:rPr>
          <w:highlight w:val="none"/>
        </w:rPr>
        <w:t>一、严格遵守国家有关法律法规，坚持诚实守信原则，恪守商业道德，规范商务人员廉洁从业行为。</w:t>
      </w:r>
    </w:p>
    <w:p>
      <w:pPr>
        <w:adjustRightInd/>
        <w:snapToGrid/>
        <w:ind w:firstLine="480"/>
        <w:rPr>
          <w:highlight w:val="none"/>
        </w:rPr>
      </w:pPr>
      <w:r>
        <w:rPr>
          <w:highlight w:val="none"/>
        </w:rPr>
        <w:t>二、不伙同他人串标、围标或非法排挤竞争对手，不在商业活动中提供虚假资料，损害贵方合法权益。</w:t>
      </w:r>
    </w:p>
    <w:p>
      <w:pPr>
        <w:adjustRightInd/>
        <w:snapToGrid/>
        <w:ind w:firstLine="480"/>
        <w:rPr>
          <w:highlight w:val="none"/>
        </w:rPr>
      </w:pPr>
      <w:r>
        <w:rPr>
          <w:highlight w:val="none"/>
        </w:rPr>
        <w:t>三、不为贵方工作人员提供回扣、礼金、有价证券、贵重物品和报销个人费用。</w:t>
      </w:r>
    </w:p>
    <w:p>
      <w:pPr>
        <w:adjustRightInd/>
        <w:snapToGrid/>
        <w:ind w:firstLine="480"/>
        <w:rPr>
          <w:highlight w:val="none"/>
        </w:rPr>
      </w:pPr>
      <w:r>
        <w:rPr>
          <w:highlight w:val="none"/>
        </w:rPr>
        <w:t>四、不为贵方工作人员安排有可能影响公平、公正交易的宴请、健身、娱乐等活动。</w:t>
      </w:r>
    </w:p>
    <w:p>
      <w:pPr>
        <w:adjustRightInd/>
        <w:snapToGrid/>
        <w:ind w:firstLine="480"/>
        <w:rPr>
          <w:highlight w:val="none"/>
        </w:rPr>
      </w:pPr>
      <w:r>
        <w:rPr>
          <w:highlight w:val="none"/>
        </w:rPr>
        <w:t>五、不为贵方工作人员投资入股、个人借款或买卖股票、债券等提供方便。</w:t>
      </w:r>
    </w:p>
    <w:p>
      <w:pPr>
        <w:adjustRightInd/>
        <w:snapToGrid/>
        <w:ind w:firstLine="480"/>
        <w:rPr>
          <w:highlight w:val="none"/>
        </w:rPr>
      </w:pPr>
      <w:r>
        <w:rPr>
          <w:highlight w:val="none"/>
        </w:rPr>
        <w:t>六、不为贵方工作人员购买或装修住房、婚丧嫁娶、配偶子女上学或工作安排以及出国出境、旅游等提供方便。</w:t>
      </w:r>
    </w:p>
    <w:p>
      <w:pPr>
        <w:adjustRightInd/>
        <w:snapToGrid/>
        <w:ind w:firstLine="480"/>
        <w:rPr>
          <w:highlight w:val="none"/>
        </w:rPr>
      </w:pPr>
      <w:r>
        <w:rPr>
          <w:highlight w:val="none"/>
        </w:rPr>
        <w:t>七、不违反规定为贵方工作人员在我方相关企业挂名兼职、合伙经营、介绍承揽业务等提供方便。</w:t>
      </w:r>
    </w:p>
    <w:p>
      <w:pPr>
        <w:adjustRightInd/>
        <w:snapToGrid/>
        <w:ind w:firstLine="480"/>
        <w:rPr>
          <w:highlight w:val="none"/>
        </w:rPr>
      </w:pPr>
      <w:r>
        <w:rPr>
          <w:highlight w:val="none"/>
        </w:rPr>
        <w:t>八、不利用非法手段向贵方工作人员打探有关涉及贵方的商业秘密、业务渠道等。</w:t>
      </w:r>
    </w:p>
    <w:p>
      <w:pPr>
        <w:adjustRightInd/>
        <w:snapToGrid/>
        <w:ind w:firstLine="480"/>
        <w:rPr>
          <w:highlight w:val="none"/>
        </w:rPr>
      </w:pPr>
      <w:r>
        <w:rPr>
          <w:highlight w:val="none"/>
        </w:rPr>
        <w:t>九、贵方对涉嫌不廉洁的商业行为进行调查时，我方有配合提供证据、作证的义务。</w:t>
      </w:r>
    </w:p>
    <w:p>
      <w:pPr>
        <w:adjustRightInd/>
        <w:snapToGrid/>
        <w:ind w:firstLine="480"/>
        <w:rPr>
          <w:highlight w:val="none"/>
        </w:rPr>
      </w:pPr>
      <w:r>
        <w:rPr>
          <w:highlight w:val="none"/>
        </w:rPr>
        <w:t>十、未经贵方同意，我方不向任何新闻媒体、第三人述及有关贵方工作人员恪守商业道德方面的评价、信息。</w:t>
      </w:r>
    </w:p>
    <w:p>
      <w:pPr>
        <w:adjustRightInd/>
        <w:snapToGrid/>
        <w:ind w:firstLine="480"/>
        <w:rPr>
          <w:highlight w:val="none"/>
        </w:rPr>
      </w:pPr>
      <w:r>
        <w:rPr>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adjustRightInd/>
        <w:snapToGrid/>
        <w:ind w:firstLine="0" w:firstLineChars="0"/>
        <w:rPr>
          <w:highlight w:val="none"/>
        </w:rPr>
      </w:pPr>
    </w:p>
    <w:p>
      <w:pPr>
        <w:adjustRightInd/>
        <w:snapToGrid/>
        <w:ind w:firstLine="480"/>
        <w:rPr>
          <w:highlight w:val="none"/>
        </w:rPr>
      </w:pPr>
      <w:r>
        <w:rPr>
          <w:highlight w:val="none"/>
        </w:rPr>
        <w:t xml:space="preserve">                         承诺方：（盖章）</w:t>
      </w:r>
    </w:p>
    <w:p>
      <w:pPr>
        <w:adjustRightInd/>
        <w:snapToGrid/>
        <w:ind w:firstLine="480"/>
        <w:rPr>
          <w:highlight w:val="none"/>
        </w:rPr>
      </w:pPr>
      <w:r>
        <w:rPr>
          <w:highlight w:val="none"/>
        </w:rPr>
        <w:t xml:space="preserve">                         授权代表：（签字）</w:t>
      </w:r>
    </w:p>
    <w:p>
      <w:pPr>
        <w:adjustRightInd/>
        <w:snapToGrid/>
        <w:ind w:firstLine="480"/>
        <w:rPr>
          <w:highlight w:val="none"/>
        </w:rPr>
      </w:pPr>
      <w:r>
        <w:rPr>
          <w:highlight w:val="none"/>
        </w:rPr>
        <w:t>地址：</w:t>
      </w:r>
    </w:p>
    <w:p>
      <w:pPr>
        <w:adjustRightInd/>
        <w:snapToGrid/>
        <w:ind w:firstLine="480"/>
        <w:rPr>
          <w:highlight w:val="none"/>
        </w:rPr>
      </w:pPr>
      <w:r>
        <w:rPr>
          <w:highlight w:val="none"/>
        </w:rPr>
        <w:t>电话：</w:t>
      </w:r>
    </w:p>
    <w:p>
      <w:pPr>
        <w:ind w:firstLine="0" w:firstLineChars="0"/>
        <w:rPr>
          <w:highlight w:val="none"/>
        </w:rPr>
      </w:pPr>
      <w:r>
        <w:rPr>
          <w:highlight w:val="none"/>
        </w:rPr>
        <w:t xml:space="preserve">                         年    月    日</w:t>
      </w:r>
    </w:p>
    <w:sectPr>
      <w:footerReference r:id="rId11" w:type="default"/>
      <w:pgSz w:w="11907" w:h="16839"/>
      <w:pgMar w:top="1797" w:right="1440" w:bottom="1797" w:left="1440" w:header="1135" w:footer="992"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lang w:val="zh-CN"/>
      </w:rPr>
      <w:t>4</w:t>
    </w:r>
    <w:r>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rPr>
        <w:rStyle w:val="31"/>
      </w:rPr>
      <w:fldChar w:fldCharType="begin"/>
    </w:r>
    <w:r>
      <w:rPr>
        <w:rStyle w:val="31"/>
      </w:rPr>
      <w:instrText xml:space="preserve"> PAGE </w:instrText>
    </w:r>
    <w:r>
      <w:rPr>
        <w:rStyle w:val="31"/>
      </w:rPr>
      <w:fldChar w:fldCharType="separate"/>
    </w:r>
    <w:r>
      <w:rPr>
        <w:rStyle w:val="31"/>
      </w:rPr>
      <w:t>23</w:t>
    </w:r>
    <w:r>
      <w:rPr>
        <w:rStyle w:val="3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0" w:firstLineChars="0"/>
      <w:jc w:val="left"/>
      <w:rPr>
        <w:rFonts w:ascii="宋体" w:hAnsi="宋体"/>
        <w:szCs w:val="18"/>
      </w:rPr>
    </w:pPr>
    <w:r>
      <w:rPr>
        <w:rFonts w:ascii="宋体" w:hAnsi="宋体"/>
        <w:szCs w:val="18"/>
      </w:rPr>
      <w:drawing>
        <wp:inline distT="0" distB="0" distL="114300" distR="114300">
          <wp:extent cx="219075" cy="167640"/>
          <wp:effectExtent l="0" t="0" r="9525" b="10160"/>
          <wp:docPr id="2" name="图片 5" descr="C:\Users\cc\Desktop\揭榜挂帅\赵栗君\logo (1).png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cc\Desktop\揭榜挂帅\赵栗君\logo (1).pnglogo (1)"/>
                  <pic:cNvPicPr>
                    <a:picLocks noChangeAspect="1"/>
                  </pic:cNvPicPr>
                </pic:nvPicPr>
                <pic:blipFill>
                  <a:blip r:embed="rId1"/>
                  <a:stretch>
                    <a:fillRect/>
                  </a:stretch>
                </pic:blipFill>
                <pic:spPr>
                  <a:xfrm>
                    <a:off x="0" y="0"/>
                    <a:ext cx="219075" cy="167640"/>
                  </a:xfrm>
                  <a:prstGeom prst="rect">
                    <a:avLst/>
                  </a:prstGeom>
                  <a:noFill/>
                  <a:ln>
                    <a:noFill/>
                  </a:ln>
                </pic:spPr>
              </pic:pic>
            </a:graphicData>
          </a:graphic>
        </wp:inline>
      </w:drawing>
    </w:r>
    <w:r>
      <w:rPr>
        <w:rFonts w:hint="eastAsia" w:ascii="宋体" w:hAnsi="宋体"/>
        <w:szCs w:val="18"/>
      </w:rPr>
      <w:t>中国煤炭开发有限责任公司竞争谈判采购询价文件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EAA86"/>
    <w:multiLevelType w:val="singleLevel"/>
    <w:tmpl w:val="928EAA86"/>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封面(内部).doc"/>
    <w:docVar w:name="commondata" w:val="eyJoZGlkIjoiYmUyMTFhMjIyZWFlYTVhNmNiZjUwODYwNjYwNWU4MjcifQ=="/>
    <w:docVar w:name="VTBOLDON" w:val="0"/>
    <w:docVar w:name="VTCASE" w:val="4"/>
    <w:docVar w:name="VTCommandPending" w:val="NONE"/>
    <w:docVar w:name="VTCurMacroFlags$" w:val="NNNN"/>
    <w:docVar w:name="VTINIT" w:val="1"/>
    <w:docVar w:name="VTITALICON" w:val="0"/>
    <w:docVar w:name="VTUNDERLINEON" w:val="0"/>
    <w:docVar w:name="VTypeCAPFlag$" w:val="FALSE"/>
    <w:docVar w:name="VTypeJoinDigitFlag$" w:val="FALSE"/>
    <w:docVar w:name="VTypeLCFlag$" w:val="FALSE"/>
    <w:docVar w:name="VTypeNoSpaceFlag$" w:val="TRUE"/>
    <w:docVar w:name="VTypeSpaceFlag$" w:val="FALSE"/>
    <w:docVar w:name="VTypeUCFlag$" w:val="FALSE"/>
  </w:docVars>
  <w:rsids>
    <w:rsidRoot w:val="00172A27"/>
    <w:rsid w:val="000021B9"/>
    <w:rsid w:val="00003571"/>
    <w:rsid w:val="000047B8"/>
    <w:rsid w:val="00006BA5"/>
    <w:rsid w:val="000108F2"/>
    <w:rsid w:val="000125E2"/>
    <w:rsid w:val="00013C22"/>
    <w:rsid w:val="0001422E"/>
    <w:rsid w:val="00014D41"/>
    <w:rsid w:val="00016C62"/>
    <w:rsid w:val="0001707A"/>
    <w:rsid w:val="00022477"/>
    <w:rsid w:val="00022596"/>
    <w:rsid w:val="0002296E"/>
    <w:rsid w:val="00025507"/>
    <w:rsid w:val="00026363"/>
    <w:rsid w:val="000313DF"/>
    <w:rsid w:val="00031B08"/>
    <w:rsid w:val="00031CB2"/>
    <w:rsid w:val="00033390"/>
    <w:rsid w:val="0003497E"/>
    <w:rsid w:val="0003497F"/>
    <w:rsid w:val="00036802"/>
    <w:rsid w:val="0003692C"/>
    <w:rsid w:val="00040990"/>
    <w:rsid w:val="00041363"/>
    <w:rsid w:val="00042DBE"/>
    <w:rsid w:val="0004712B"/>
    <w:rsid w:val="00047A43"/>
    <w:rsid w:val="00051291"/>
    <w:rsid w:val="00051D29"/>
    <w:rsid w:val="00053234"/>
    <w:rsid w:val="00054490"/>
    <w:rsid w:val="000544D3"/>
    <w:rsid w:val="00056707"/>
    <w:rsid w:val="00071028"/>
    <w:rsid w:val="0007754E"/>
    <w:rsid w:val="0008057D"/>
    <w:rsid w:val="00081252"/>
    <w:rsid w:val="0008251F"/>
    <w:rsid w:val="000830F3"/>
    <w:rsid w:val="00083780"/>
    <w:rsid w:val="000921B9"/>
    <w:rsid w:val="0009338C"/>
    <w:rsid w:val="00093726"/>
    <w:rsid w:val="00093728"/>
    <w:rsid w:val="00095FEE"/>
    <w:rsid w:val="00096F03"/>
    <w:rsid w:val="000A0036"/>
    <w:rsid w:val="000A77B4"/>
    <w:rsid w:val="000B1CE0"/>
    <w:rsid w:val="000B365A"/>
    <w:rsid w:val="000B4E3B"/>
    <w:rsid w:val="000B4F8E"/>
    <w:rsid w:val="000B5D7E"/>
    <w:rsid w:val="000B681A"/>
    <w:rsid w:val="000B6E31"/>
    <w:rsid w:val="000B7877"/>
    <w:rsid w:val="000C1918"/>
    <w:rsid w:val="000C2C38"/>
    <w:rsid w:val="000C447A"/>
    <w:rsid w:val="000C4679"/>
    <w:rsid w:val="000C4A6B"/>
    <w:rsid w:val="000C6186"/>
    <w:rsid w:val="000D0598"/>
    <w:rsid w:val="000D25EA"/>
    <w:rsid w:val="000D2EC6"/>
    <w:rsid w:val="000D5618"/>
    <w:rsid w:val="000D6D94"/>
    <w:rsid w:val="000E36C2"/>
    <w:rsid w:val="000E4CAC"/>
    <w:rsid w:val="000E70DF"/>
    <w:rsid w:val="000E78F2"/>
    <w:rsid w:val="000E7F0A"/>
    <w:rsid w:val="000F05D2"/>
    <w:rsid w:val="000F2551"/>
    <w:rsid w:val="000F2F1F"/>
    <w:rsid w:val="000F5D86"/>
    <w:rsid w:val="00100D3A"/>
    <w:rsid w:val="00103C02"/>
    <w:rsid w:val="001102A5"/>
    <w:rsid w:val="00110DD3"/>
    <w:rsid w:val="00114528"/>
    <w:rsid w:val="001164E5"/>
    <w:rsid w:val="001174EE"/>
    <w:rsid w:val="0012003A"/>
    <w:rsid w:val="0012180F"/>
    <w:rsid w:val="00122555"/>
    <w:rsid w:val="00123794"/>
    <w:rsid w:val="00124076"/>
    <w:rsid w:val="0012494A"/>
    <w:rsid w:val="0012551E"/>
    <w:rsid w:val="001258D7"/>
    <w:rsid w:val="00125C65"/>
    <w:rsid w:val="00125E16"/>
    <w:rsid w:val="00127C49"/>
    <w:rsid w:val="001369F2"/>
    <w:rsid w:val="00136B17"/>
    <w:rsid w:val="00141AAC"/>
    <w:rsid w:val="00142D57"/>
    <w:rsid w:val="0015561B"/>
    <w:rsid w:val="001619FD"/>
    <w:rsid w:val="00162292"/>
    <w:rsid w:val="00166B07"/>
    <w:rsid w:val="00167EDF"/>
    <w:rsid w:val="00170667"/>
    <w:rsid w:val="001706BB"/>
    <w:rsid w:val="001715F2"/>
    <w:rsid w:val="00172A27"/>
    <w:rsid w:val="00172DF8"/>
    <w:rsid w:val="00175B45"/>
    <w:rsid w:val="0018203D"/>
    <w:rsid w:val="0018285C"/>
    <w:rsid w:val="00182C43"/>
    <w:rsid w:val="00186477"/>
    <w:rsid w:val="00193505"/>
    <w:rsid w:val="00194B3F"/>
    <w:rsid w:val="0019565D"/>
    <w:rsid w:val="001A0DBF"/>
    <w:rsid w:val="001A49BA"/>
    <w:rsid w:val="001A4E21"/>
    <w:rsid w:val="001A5583"/>
    <w:rsid w:val="001A55C0"/>
    <w:rsid w:val="001A5D87"/>
    <w:rsid w:val="001A5FD7"/>
    <w:rsid w:val="001A7404"/>
    <w:rsid w:val="001B038A"/>
    <w:rsid w:val="001B12B4"/>
    <w:rsid w:val="001B1EE0"/>
    <w:rsid w:val="001B422E"/>
    <w:rsid w:val="001B47BE"/>
    <w:rsid w:val="001B57E4"/>
    <w:rsid w:val="001B67DE"/>
    <w:rsid w:val="001C14CF"/>
    <w:rsid w:val="001C299F"/>
    <w:rsid w:val="001C6006"/>
    <w:rsid w:val="001C6391"/>
    <w:rsid w:val="001D2221"/>
    <w:rsid w:val="001D35F1"/>
    <w:rsid w:val="001D3E90"/>
    <w:rsid w:val="001D3E97"/>
    <w:rsid w:val="001D4053"/>
    <w:rsid w:val="001D6523"/>
    <w:rsid w:val="001E286B"/>
    <w:rsid w:val="001E2DB4"/>
    <w:rsid w:val="001E2E83"/>
    <w:rsid w:val="001E674A"/>
    <w:rsid w:val="001F1700"/>
    <w:rsid w:val="001F19B9"/>
    <w:rsid w:val="001F1C1E"/>
    <w:rsid w:val="001F4BAE"/>
    <w:rsid w:val="00200C02"/>
    <w:rsid w:val="002012C9"/>
    <w:rsid w:val="00204B94"/>
    <w:rsid w:val="00205341"/>
    <w:rsid w:val="00207C0F"/>
    <w:rsid w:val="00210B44"/>
    <w:rsid w:val="00212FF2"/>
    <w:rsid w:val="0021516B"/>
    <w:rsid w:val="00215EA4"/>
    <w:rsid w:val="002206D1"/>
    <w:rsid w:val="00221107"/>
    <w:rsid w:val="002212CE"/>
    <w:rsid w:val="002214CF"/>
    <w:rsid w:val="00222CC9"/>
    <w:rsid w:val="00222DB1"/>
    <w:rsid w:val="00225C9F"/>
    <w:rsid w:val="00225DC9"/>
    <w:rsid w:val="002264D2"/>
    <w:rsid w:val="00226888"/>
    <w:rsid w:val="0022783A"/>
    <w:rsid w:val="0023068F"/>
    <w:rsid w:val="00231ABB"/>
    <w:rsid w:val="00232EA3"/>
    <w:rsid w:val="002338C9"/>
    <w:rsid w:val="00233FAE"/>
    <w:rsid w:val="002375CE"/>
    <w:rsid w:val="00240482"/>
    <w:rsid w:val="00241CD3"/>
    <w:rsid w:val="00243337"/>
    <w:rsid w:val="00247395"/>
    <w:rsid w:val="00247C74"/>
    <w:rsid w:val="002504E4"/>
    <w:rsid w:val="002518D3"/>
    <w:rsid w:val="00251ECE"/>
    <w:rsid w:val="002526F2"/>
    <w:rsid w:val="00254633"/>
    <w:rsid w:val="00254649"/>
    <w:rsid w:val="00256F01"/>
    <w:rsid w:val="00260DF0"/>
    <w:rsid w:val="00262ACD"/>
    <w:rsid w:val="00267B45"/>
    <w:rsid w:val="00270BD1"/>
    <w:rsid w:val="00272535"/>
    <w:rsid w:val="00275F81"/>
    <w:rsid w:val="00277BDB"/>
    <w:rsid w:val="00281AEB"/>
    <w:rsid w:val="00281DC0"/>
    <w:rsid w:val="00284DEF"/>
    <w:rsid w:val="00290DB3"/>
    <w:rsid w:val="00293035"/>
    <w:rsid w:val="002A0CED"/>
    <w:rsid w:val="002A2768"/>
    <w:rsid w:val="002A2D55"/>
    <w:rsid w:val="002A7F39"/>
    <w:rsid w:val="002B0D0C"/>
    <w:rsid w:val="002B57AB"/>
    <w:rsid w:val="002B65D6"/>
    <w:rsid w:val="002C1AC2"/>
    <w:rsid w:val="002C43AE"/>
    <w:rsid w:val="002C4E1F"/>
    <w:rsid w:val="002C76EA"/>
    <w:rsid w:val="002C7E11"/>
    <w:rsid w:val="002D0088"/>
    <w:rsid w:val="002D0636"/>
    <w:rsid w:val="002D0936"/>
    <w:rsid w:val="002D2539"/>
    <w:rsid w:val="002D48D5"/>
    <w:rsid w:val="002D5CDB"/>
    <w:rsid w:val="002D7179"/>
    <w:rsid w:val="002E12CE"/>
    <w:rsid w:val="002E19C4"/>
    <w:rsid w:val="002E2743"/>
    <w:rsid w:val="002E31F0"/>
    <w:rsid w:val="002E4D99"/>
    <w:rsid w:val="002E56C8"/>
    <w:rsid w:val="002F090E"/>
    <w:rsid w:val="002F1E2C"/>
    <w:rsid w:val="002F1E44"/>
    <w:rsid w:val="002F3200"/>
    <w:rsid w:val="002F497E"/>
    <w:rsid w:val="002F4B50"/>
    <w:rsid w:val="002F705A"/>
    <w:rsid w:val="002F70C9"/>
    <w:rsid w:val="00302E29"/>
    <w:rsid w:val="00303D65"/>
    <w:rsid w:val="00303EB2"/>
    <w:rsid w:val="003067CB"/>
    <w:rsid w:val="003117CC"/>
    <w:rsid w:val="00312714"/>
    <w:rsid w:val="00314672"/>
    <w:rsid w:val="0031598B"/>
    <w:rsid w:val="00316DCD"/>
    <w:rsid w:val="00316E0C"/>
    <w:rsid w:val="00317B1A"/>
    <w:rsid w:val="00317E72"/>
    <w:rsid w:val="0032024F"/>
    <w:rsid w:val="00320B62"/>
    <w:rsid w:val="003224E2"/>
    <w:rsid w:val="00327667"/>
    <w:rsid w:val="00330EA4"/>
    <w:rsid w:val="00331046"/>
    <w:rsid w:val="00333519"/>
    <w:rsid w:val="0033648E"/>
    <w:rsid w:val="003374D6"/>
    <w:rsid w:val="0034023A"/>
    <w:rsid w:val="0034159D"/>
    <w:rsid w:val="00343846"/>
    <w:rsid w:val="00343C27"/>
    <w:rsid w:val="003465C2"/>
    <w:rsid w:val="0035003C"/>
    <w:rsid w:val="00350E3A"/>
    <w:rsid w:val="00354C68"/>
    <w:rsid w:val="00355E43"/>
    <w:rsid w:val="003616A2"/>
    <w:rsid w:val="003637B2"/>
    <w:rsid w:val="00364DCA"/>
    <w:rsid w:val="00365AA6"/>
    <w:rsid w:val="003701DC"/>
    <w:rsid w:val="00371A7C"/>
    <w:rsid w:val="0037346F"/>
    <w:rsid w:val="003736F7"/>
    <w:rsid w:val="00374F15"/>
    <w:rsid w:val="00375E19"/>
    <w:rsid w:val="00381036"/>
    <w:rsid w:val="0038118A"/>
    <w:rsid w:val="00382F12"/>
    <w:rsid w:val="003832CE"/>
    <w:rsid w:val="00386686"/>
    <w:rsid w:val="00387265"/>
    <w:rsid w:val="00387FAE"/>
    <w:rsid w:val="00390547"/>
    <w:rsid w:val="00391199"/>
    <w:rsid w:val="0039620A"/>
    <w:rsid w:val="003968ED"/>
    <w:rsid w:val="003977BF"/>
    <w:rsid w:val="003B336A"/>
    <w:rsid w:val="003B38EA"/>
    <w:rsid w:val="003B66EC"/>
    <w:rsid w:val="003C0498"/>
    <w:rsid w:val="003C3139"/>
    <w:rsid w:val="003C77E4"/>
    <w:rsid w:val="003C7A80"/>
    <w:rsid w:val="003C7E9B"/>
    <w:rsid w:val="003D41AF"/>
    <w:rsid w:val="003D67E9"/>
    <w:rsid w:val="003E08B1"/>
    <w:rsid w:val="003E1364"/>
    <w:rsid w:val="003E19FD"/>
    <w:rsid w:val="003E1C20"/>
    <w:rsid w:val="003E1F82"/>
    <w:rsid w:val="003E5162"/>
    <w:rsid w:val="003E589B"/>
    <w:rsid w:val="003E6881"/>
    <w:rsid w:val="003F26DB"/>
    <w:rsid w:val="003F2F07"/>
    <w:rsid w:val="003F4D17"/>
    <w:rsid w:val="003F56AF"/>
    <w:rsid w:val="00400CBE"/>
    <w:rsid w:val="0040127E"/>
    <w:rsid w:val="0040251F"/>
    <w:rsid w:val="00404F96"/>
    <w:rsid w:val="004050AA"/>
    <w:rsid w:val="00406656"/>
    <w:rsid w:val="00407009"/>
    <w:rsid w:val="004078C0"/>
    <w:rsid w:val="004104CC"/>
    <w:rsid w:val="0041698A"/>
    <w:rsid w:val="004179EC"/>
    <w:rsid w:val="0042004B"/>
    <w:rsid w:val="00423D0A"/>
    <w:rsid w:val="00425611"/>
    <w:rsid w:val="00425C60"/>
    <w:rsid w:val="00425F7B"/>
    <w:rsid w:val="00431016"/>
    <w:rsid w:val="004313F2"/>
    <w:rsid w:val="004320A5"/>
    <w:rsid w:val="00435C52"/>
    <w:rsid w:val="00440720"/>
    <w:rsid w:val="004417CA"/>
    <w:rsid w:val="004429DF"/>
    <w:rsid w:val="00444E16"/>
    <w:rsid w:val="00447E90"/>
    <w:rsid w:val="0045097B"/>
    <w:rsid w:val="004536F3"/>
    <w:rsid w:val="00457247"/>
    <w:rsid w:val="0046219D"/>
    <w:rsid w:val="00462258"/>
    <w:rsid w:val="00464C03"/>
    <w:rsid w:val="00464CD5"/>
    <w:rsid w:val="00464F26"/>
    <w:rsid w:val="004659D1"/>
    <w:rsid w:val="00466907"/>
    <w:rsid w:val="00467ACF"/>
    <w:rsid w:val="00467C7D"/>
    <w:rsid w:val="004737E2"/>
    <w:rsid w:val="004738C4"/>
    <w:rsid w:val="0047634C"/>
    <w:rsid w:val="00476C9E"/>
    <w:rsid w:val="00482D1B"/>
    <w:rsid w:val="004840FD"/>
    <w:rsid w:val="004854FB"/>
    <w:rsid w:val="00491453"/>
    <w:rsid w:val="0049220B"/>
    <w:rsid w:val="00496FD1"/>
    <w:rsid w:val="004A0231"/>
    <w:rsid w:val="004A0866"/>
    <w:rsid w:val="004A1924"/>
    <w:rsid w:val="004A1997"/>
    <w:rsid w:val="004A2971"/>
    <w:rsid w:val="004A389C"/>
    <w:rsid w:val="004A6E32"/>
    <w:rsid w:val="004B0688"/>
    <w:rsid w:val="004B0FF5"/>
    <w:rsid w:val="004B38F2"/>
    <w:rsid w:val="004B4473"/>
    <w:rsid w:val="004B57E7"/>
    <w:rsid w:val="004C11D3"/>
    <w:rsid w:val="004C2D93"/>
    <w:rsid w:val="004C3C65"/>
    <w:rsid w:val="004C3F61"/>
    <w:rsid w:val="004D158E"/>
    <w:rsid w:val="004D2DFC"/>
    <w:rsid w:val="004D2EF6"/>
    <w:rsid w:val="004D597E"/>
    <w:rsid w:val="004D6808"/>
    <w:rsid w:val="004D70B4"/>
    <w:rsid w:val="004E19A1"/>
    <w:rsid w:val="004E5733"/>
    <w:rsid w:val="004F6E4D"/>
    <w:rsid w:val="005061B6"/>
    <w:rsid w:val="00506F55"/>
    <w:rsid w:val="00513C07"/>
    <w:rsid w:val="00514BCD"/>
    <w:rsid w:val="00514D19"/>
    <w:rsid w:val="00515622"/>
    <w:rsid w:val="00516A65"/>
    <w:rsid w:val="005229CC"/>
    <w:rsid w:val="00523A2A"/>
    <w:rsid w:val="00525393"/>
    <w:rsid w:val="0053205F"/>
    <w:rsid w:val="00532A99"/>
    <w:rsid w:val="0053372F"/>
    <w:rsid w:val="0054500A"/>
    <w:rsid w:val="005450B6"/>
    <w:rsid w:val="00546092"/>
    <w:rsid w:val="0055221E"/>
    <w:rsid w:val="00557240"/>
    <w:rsid w:val="00572BC7"/>
    <w:rsid w:val="00572F2E"/>
    <w:rsid w:val="00573CBA"/>
    <w:rsid w:val="0057401F"/>
    <w:rsid w:val="00581839"/>
    <w:rsid w:val="00581DBE"/>
    <w:rsid w:val="0058292F"/>
    <w:rsid w:val="00586F80"/>
    <w:rsid w:val="00587CB3"/>
    <w:rsid w:val="00592464"/>
    <w:rsid w:val="005943C0"/>
    <w:rsid w:val="0059617D"/>
    <w:rsid w:val="00596C42"/>
    <w:rsid w:val="00597605"/>
    <w:rsid w:val="005A091C"/>
    <w:rsid w:val="005A45F4"/>
    <w:rsid w:val="005A4B24"/>
    <w:rsid w:val="005A4F95"/>
    <w:rsid w:val="005A53EC"/>
    <w:rsid w:val="005A672F"/>
    <w:rsid w:val="005B2CF3"/>
    <w:rsid w:val="005B30F3"/>
    <w:rsid w:val="005B4081"/>
    <w:rsid w:val="005B51AB"/>
    <w:rsid w:val="005B7FC2"/>
    <w:rsid w:val="005C17CB"/>
    <w:rsid w:val="005C4559"/>
    <w:rsid w:val="005C4C90"/>
    <w:rsid w:val="005C585F"/>
    <w:rsid w:val="005C677F"/>
    <w:rsid w:val="005D2A00"/>
    <w:rsid w:val="005D3F5B"/>
    <w:rsid w:val="005D50C3"/>
    <w:rsid w:val="005E1863"/>
    <w:rsid w:val="005E211C"/>
    <w:rsid w:val="005E3AE9"/>
    <w:rsid w:val="005E7B7E"/>
    <w:rsid w:val="005F0512"/>
    <w:rsid w:val="005F1CD6"/>
    <w:rsid w:val="005F21E8"/>
    <w:rsid w:val="005F379F"/>
    <w:rsid w:val="005F645E"/>
    <w:rsid w:val="006000A4"/>
    <w:rsid w:val="00601047"/>
    <w:rsid w:val="00604003"/>
    <w:rsid w:val="00605739"/>
    <w:rsid w:val="00612BA7"/>
    <w:rsid w:val="0061331E"/>
    <w:rsid w:val="0061348D"/>
    <w:rsid w:val="00613BAF"/>
    <w:rsid w:val="006146F2"/>
    <w:rsid w:val="006204C9"/>
    <w:rsid w:val="006209E8"/>
    <w:rsid w:val="00622492"/>
    <w:rsid w:val="00622DAD"/>
    <w:rsid w:val="00624356"/>
    <w:rsid w:val="0062440F"/>
    <w:rsid w:val="00624D3F"/>
    <w:rsid w:val="00625ADE"/>
    <w:rsid w:val="00626D4D"/>
    <w:rsid w:val="006270B4"/>
    <w:rsid w:val="00630BA7"/>
    <w:rsid w:val="00634BB3"/>
    <w:rsid w:val="00634EC6"/>
    <w:rsid w:val="00635366"/>
    <w:rsid w:val="0063726E"/>
    <w:rsid w:val="00637515"/>
    <w:rsid w:val="00641922"/>
    <w:rsid w:val="006437E4"/>
    <w:rsid w:val="00650941"/>
    <w:rsid w:val="00651605"/>
    <w:rsid w:val="00652457"/>
    <w:rsid w:val="00652AF1"/>
    <w:rsid w:val="006553AB"/>
    <w:rsid w:val="00656779"/>
    <w:rsid w:val="006602E1"/>
    <w:rsid w:val="006616EF"/>
    <w:rsid w:val="00662BC7"/>
    <w:rsid w:val="00670DE6"/>
    <w:rsid w:val="00672A57"/>
    <w:rsid w:val="00675481"/>
    <w:rsid w:val="00675E3D"/>
    <w:rsid w:val="0067621E"/>
    <w:rsid w:val="0067637E"/>
    <w:rsid w:val="006776E7"/>
    <w:rsid w:val="0068011E"/>
    <w:rsid w:val="00686CF1"/>
    <w:rsid w:val="006916AF"/>
    <w:rsid w:val="00693D67"/>
    <w:rsid w:val="00694C75"/>
    <w:rsid w:val="006A134E"/>
    <w:rsid w:val="006A1D00"/>
    <w:rsid w:val="006A23A1"/>
    <w:rsid w:val="006A2D9E"/>
    <w:rsid w:val="006A64BE"/>
    <w:rsid w:val="006A7345"/>
    <w:rsid w:val="006A742A"/>
    <w:rsid w:val="006A7F8E"/>
    <w:rsid w:val="006B4185"/>
    <w:rsid w:val="006B4547"/>
    <w:rsid w:val="006B5A75"/>
    <w:rsid w:val="006B5FD6"/>
    <w:rsid w:val="006C3B54"/>
    <w:rsid w:val="006C489C"/>
    <w:rsid w:val="006C4A05"/>
    <w:rsid w:val="006C6BA4"/>
    <w:rsid w:val="006C7D3F"/>
    <w:rsid w:val="006D06BF"/>
    <w:rsid w:val="006D1BA9"/>
    <w:rsid w:val="006D1E2C"/>
    <w:rsid w:val="006D54BE"/>
    <w:rsid w:val="006E5AB8"/>
    <w:rsid w:val="006F3B7B"/>
    <w:rsid w:val="006F4930"/>
    <w:rsid w:val="006F7156"/>
    <w:rsid w:val="006F7D1F"/>
    <w:rsid w:val="006F7EAF"/>
    <w:rsid w:val="00702067"/>
    <w:rsid w:val="00703EC7"/>
    <w:rsid w:val="00704D79"/>
    <w:rsid w:val="00704F54"/>
    <w:rsid w:val="00707373"/>
    <w:rsid w:val="0070742E"/>
    <w:rsid w:val="007076B6"/>
    <w:rsid w:val="0070798B"/>
    <w:rsid w:val="00707B2A"/>
    <w:rsid w:val="007113ED"/>
    <w:rsid w:val="00711F94"/>
    <w:rsid w:val="00713051"/>
    <w:rsid w:val="0071334C"/>
    <w:rsid w:val="00713A1B"/>
    <w:rsid w:val="00714EE5"/>
    <w:rsid w:val="00715DDD"/>
    <w:rsid w:val="0071673B"/>
    <w:rsid w:val="007176C9"/>
    <w:rsid w:val="00721A27"/>
    <w:rsid w:val="0072228D"/>
    <w:rsid w:val="0072288B"/>
    <w:rsid w:val="007244E3"/>
    <w:rsid w:val="00727460"/>
    <w:rsid w:val="0072760C"/>
    <w:rsid w:val="00732D43"/>
    <w:rsid w:val="007346AD"/>
    <w:rsid w:val="0073512F"/>
    <w:rsid w:val="007364F7"/>
    <w:rsid w:val="00743106"/>
    <w:rsid w:val="007436AB"/>
    <w:rsid w:val="00744425"/>
    <w:rsid w:val="007446B3"/>
    <w:rsid w:val="007452DF"/>
    <w:rsid w:val="00745A03"/>
    <w:rsid w:val="00747E0F"/>
    <w:rsid w:val="007506D2"/>
    <w:rsid w:val="00751066"/>
    <w:rsid w:val="00753202"/>
    <w:rsid w:val="0075664E"/>
    <w:rsid w:val="0075674B"/>
    <w:rsid w:val="0075704C"/>
    <w:rsid w:val="00760AF5"/>
    <w:rsid w:val="00760E98"/>
    <w:rsid w:val="007610CE"/>
    <w:rsid w:val="00762D60"/>
    <w:rsid w:val="007635C4"/>
    <w:rsid w:val="007635D2"/>
    <w:rsid w:val="00763BDF"/>
    <w:rsid w:val="00764B2C"/>
    <w:rsid w:val="0076580E"/>
    <w:rsid w:val="00765C2C"/>
    <w:rsid w:val="0077532D"/>
    <w:rsid w:val="00776079"/>
    <w:rsid w:val="0077647B"/>
    <w:rsid w:val="00782699"/>
    <w:rsid w:val="0078284C"/>
    <w:rsid w:val="00782B67"/>
    <w:rsid w:val="00783D25"/>
    <w:rsid w:val="00785DA9"/>
    <w:rsid w:val="00787BEA"/>
    <w:rsid w:val="00790DA7"/>
    <w:rsid w:val="007938D2"/>
    <w:rsid w:val="007943AC"/>
    <w:rsid w:val="007A25CA"/>
    <w:rsid w:val="007A274E"/>
    <w:rsid w:val="007A3450"/>
    <w:rsid w:val="007A6009"/>
    <w:rsid w:val="007A6980"/>
    <w:rsid w:val="007B0CBA"/>
    <w:rsid w:val="007B13EB"/>
    <w:rsid w:val="007B2667"/>
    <w:rsid w:val="007B2D48"/>
    <w:rsid w:val="007B32D8"/>
    <w:rsid w:val="007C01B7"/>
    <w:rsid w:val="007C07F5"/>
    <w:rsid w:val="007C139C"/>
    <w:rsid w:val="007C3DC3"/>
    <w:rsid w:val="007C4025"/>
    <w:rsid w:val="007C6EBC"/>
    <w:rsid w:val="007D08CB"/>
    <w:rsid w:val="007D2C53"/>
    <w:rsid w:val="007D2D72"/>
    <w:rsid w:val="007D3961"/>
    <w:rsid w:val="007D5E13"/>
    <w:rsid w:val="007D6635"/>
    <w:rsid w:val="007E1DC5"/>
    <w:rsid w:val="007E54C2"/>
    <w:rsid w:val="007F19E1"/>
    <w:rsid w:val="007F2710"/>
    <w:rsid w:val="007F473A"/>
    <w:rsid w:val="007F6898"/>
    <w:rsid w:val="007F6A39"/>
    <w:rsid w:val="007F6EDB"/>
    <w:rsid w:val="00800CF9"/>
    <w:rsid w:val="00801645"/>
    <w:rsid w:val="0080275D"/>
    <w:rsid w:val="008034D6"/>
    <w:rsid w:val="00806866"/>
    <w:rsid w:val="008070EE"/>
    <w:rsid w:val="0081127A"/>
    <w:rsid w:val="0081293B"/>
    <w:rsid w:val="00813679"/>
    <w:rsid w:val="00813983"/>
    <w:rsid w:val="00820B1C"/>
    <w:rsid w:val="00822FD1"/>
    <w:rsid w:val="00826D63"/>
    <w:rsid w:val="00830AF9"/>
    <w:rsid w:val="008312CF"/>
    <w:rsid w:val="0083368D"/>
    <w:rsid w:val="00833B99"/>
    <w:rsid w:val="008351A8"/>
    <w:rsid w:val="008416CC"/>
    <w:rsid w:val="00843BF3"/>
    <w:rsid w:val="008440C7"/>
    <w:rsid w:val="00845310"/>
    <w:rsid w:val="0084626F"/>
    <w:rsid w:val="00850890"/>
    <w:rsid w:val="00852F17"/>
    <w:rsid w:val="00853D3B"/>
    <w:rsid w:val="00856A17"/>
    <w:rsid w:val="00866C89"/>
    <w:rsid w:val="008705F8"/>
    <w:rsid w:val="00870B3D"/>
    <w:rsid w:val="00872B02"/>
    <w:rsid w:val="00873173"/>
    <w:rsid w:val="00874297"/>
    <w:rsid w:val="008751C9"/>
    <w:rsid w:val="0088324F"/>
    <w:rsid w:val="0088459D"/>
    <w:rsid w:val="0088560D"/>
    <w:rsid w:val="0088766A"/>
    <w:rsid w:val="00891AED"/>
    <w:rsid w:val="00891D67"/>
    <w:rsid w:val="0089515C"/>
    <w:rsid w:val="00897AAD"/>
    <w:rsid w:val="008A073E"/>
    <w:rsid w:val="008B054C"/>
    <w:rsid w:val="008B3F85"/>
    <w:rsid w:val="008B5F85"/>
    <w:rsid w:val="008B7E42"/>
    <w:rsid w:val="008C1DBD"/>
    <w:rsid w:val="008C561B"/>
    <w:rsid w:val="008C66F8"/>
    <w:rsid w:val="008C6ACF"/>
    <w:rsid w:val="008C7E70"/>
    <w:rsid w:val="008D0408"/>
    <w:rsid w:val="008D078C"/>
    <w:rsid w:val="008D2634"/>
    <w:rsid w:val="008D2F39"/>
    <w:rsid w:val="008D3DEC"/>
    <w:rsid w:val="008D45EA"/>
    <w:rsid w:val="008D521C"/>
    <w:rsid w:val="008E2BCE"/>
    <w:rsid w:val="008E49E5"/>
    <w:rsid w:val="008E666E"/>
    <w:rsid w:val="008E70C1"/>
    <w:rsid w:val="008E7315"/>
    <w:rsid w:val="008F1F5E"/>
    <w:rsid w:val="008F430B"/>
    <w:rsid w:val="008F7A5C"/>
    <w:rsid w:val="009016BB"/>
    <w:rsid w:val="009044AC"/>
    <w:rsid w:val="0090556A"/>
    <w:rsid w:val="0090572F"/>
    <w:rsid w:val="00907261"/>
    <w:rsid w:val="009132C9"/>
    <w:rsid w:val="0091355B"/>
    <w:rsid w:val="00913E74"/>
    <w:rsid w:val="00916BFD"/>
    <w:rsid w:val="00921361"/>
    <w:rsid w:val="00923DA1"/>
    <w:rsid w:val="00923FC5"/>
    <w:rsid w:val="0092531E"/>
    <w:rsid w:val="00926C4B"/>
    <w:rsid w:val="00927158"/>
    <w:rsid w:val="00927619"/>
    <w:rsid w:val="0092799D"/>
    <w:rsid w:val="0093162F"/>
    <w:rsid w:val="00935812"/>
    <w:rsid w:val="00936B34"/>
    <w:rsid w:val="00942117"/>
    <w:rsid w:val="00945FC5"/>
    <w:rsid w:val="009477FA"/>
    <w:rsid w:val="00955D5D"/>
    <w:rsid w:val="0095672D"/>
    <w:rsid w:val="00957682"/>
    <w:rsid w:val="00962AC4"/>
    <w:rsid w:val="00965EDA"/>
    <w:rsid w:val="0096715D"/>
    <w:rsid w:val="00967778"/>
    <w:rsid w:val="00967CB3"/>
    <w:rsid w:val="00975D50"/>
    <w:rsid w:val="00977AEF"/>
    <w:rsid w:val="00980E15"/>
    <w:rsid w:val="009818BE"/>
    <w:rsid w:val="00981F08"/>
    <w:rsid w:val="00981F59"/>
    <w:rsid w:val="00982699"/>
    <w:rsid w:val="00982B92"/>
    <w:rsid w:val="00985FCB"/>
    <w:rsid w:val="00987B0A"/>
    <w:rsid w:val="00993B26"/>
    <w:rsid w:val="00997992"/>
    <w:rsid w:val="009A0C0B"/>
    <w:rsid w:val="009A15B9"/>
    <w:rsid w:val="009A342E"/>
    <w:rsid w:val="009A54C1"/>
    <w:rsid w:val="009A6174"/>
    <w:rsid w:val="009B234E"/>
    <w:rsid w:val="009B5181"/>
    <w:rsid w:val="009B67D6"/>
    <w:rsid w:val="009B777B"/>
    <w:rsid w:val="009C3A04"/>
    <w:rsid w:val="009C4166"/>
    <w:rsid w:val="009C5942"/>
    <w:rsid w:val="009D45D3"/>
    <w:rsid w:val="009D4E1A"/>
    <w:rsid w:val="009E1A96"/>
    <w:rsid w:val="009E2532"/>
    <w:rsid w:val="009E3D12"/>
    <w:rsid w:val="009E6D2D"/>
    <w:rsid w:val="009F161A"/>
    <w:rsid w:val="009F3332"/>
    <w:rsid w:val="009F4A18"/>
    <w:rsid w:val="009F556A"/>
    <w:rsid w:val="009F5E5F"/>
    <w:rsid w:val="00A007C2"/>
    <w:rsid w:val="00A03669"/>
    <w:rsid w:val="00A04667"/>
    <w:rsid w:val="00A05E6A"/>
    <w:rsid w:val="00A066C5"/>
    <w:rsid w:val="00A07C2C"/>
    <w:rsid w:val="00A10C3C"/>
    <w:rsid w:val="00A11149"/>
    <w:rsid w:val="00A1539C"/>
    <w:rsid w:val="00A16ED9"/>
    <w:rsid w:val="00A17D98"/>
    <w:rsid w:val="00A205A4"/>
    <w:rsid w:val="00A20D8C"/>
    <w:rsid w:val="00A21FA5"/>
    <w:rsid w:val="00A30488"/>
    <w:rsid w:val="00A305EC"/>
    <w:rsid w:val="00A3135C"/>
    <w:rsid w:val="00A340FE"/>
    <w:rsid w:val="00A352B7"/>
    <w:rsid w:val="00A357F0"/>
    <w:rsid w:val="00A40CC4"/>
    <w:rsid w:val="00A464C7"/>
    <w:rsid w:val="00A47EF8"/>
    <w:rsid w:val="00A5033C"/>
    <w:rsid w:val="00A504BF"/>
    <w:rsid w:val="00A51EB6"/>
    <w:rsid w:val="00A52194"/>
    <w:rsid w:val="00A524F3"/>
    <w:rsid w:val="00A56A83"/>
    <w:rsid w:val="00A6075D"/>
    <w:rsid w:val="00A61BBD"/>
    <w:rsid w:val="00A61C13"/>
    <w:rsid w:val="00A627EC"/>
    <w:rsid w:val="00A635DA"/>
    <w:rsid w:val="00A6376F"/>
    <w:rsid w:val="00A648A2"/>
    <w:rsid w:val="00A65E9B"/>
    <w:rsid w:val="00A67AE7"/>
    <w:rsid w:val="00A73BE6"/>
    <w:rsid w:val="00A73FA3"/>
    <w:rsid w:val="00A75B08"/>
    <w:rsid w:val="00A75D77"/>
    <w:rsid w:val="00A75E84"/>
    <w:rsid w:val="00A76003"/>
    <w:rsid w:val="00A7689E"/>
    <w:rsid w:val="00A82146"/>
    <w:rsid w:val="00A839EB"/>
    <w:rsid w:val="00A84527"/>
    <w:rsid w:val="00A850E8"/>
    <w:rsid w:val="00A8574D"/>
    <w:rsid w:val="00A85A44"/>
    <w:rsid w:val="00A864B1"/>
    <w:rsid w:val="00A900C6"/>
    <w:rsid w:val="00A904AB"/>
    <w:rsid w:val="00A90DA3"/>
    <w:rsid w:val="00A924DC"/>
    <w:rsid w:val="00A92BE2"/>
    <w:rsid w:val="00A92EE3"/>
    <w:rsid w:val="00A92FF7"/>
    <w:rsid w:val="00A93911"/>
    <w:rsid w:val="00A947FE"/>
    <w:rsid w:val="00A952F7"/>
    <w:rsid w:val="00A95661"/>
    <w:rsid w:val="00A9613C"/>
    <w:rsid w:val="00A97F45"/>
    <w:rsid w:val="00AA08AD"/>
    <w:rsid w:val="00AA6A69"/>
    <w:rsid w:val="00AA7CF3"/>
    <w:rsid w:val="00AB0FF8"/>
    <w:rsid w:val="00AB3821"/>
    <w:rsid w:val="00AB7DC6"/>
    <w:rsid w:val="00AC00F6"/>
    <w:rsid w:val="00AC09D4"/>
    <w:rsid w:val="00AC2132"/>
    <w:rsid w:val="00AC21FB"/>
    <w:rsid w:val="00AC2538"/>
    <w:rsid w:val="00AC2BF9"/>
    <w:rsid w:val="00AC2C00"/>
    <w:rsid w:val="00AC3C97"/>
    <w:rsid w:val="00AC533F"/>
    <w:rsid w:val="00AC650C"/>
    <w:rsid w:val="00AC7EF4"/>
    <w:rsid w:val="00AD15C8"/>
    <w:rsid w:val="00AD16C9"/>
    <w:rsid w:val="00AD2ACC"/>
    <w:rsid w:val="00AD43F8"/>
    <w:rsid w:val="00AD560C"/>
    <w:rsid w:val="00AE155F"/>
    <w:rsid w:val="00AE3603"/>
    <w:rsid w:val="00AE3A03"/>
    <w:rsid w:val="00AF3455"/>
    <w:rsid w:val="00AF5A78"/>
    <w:rsid w:val="00AF7E62"/>
    <w:rsid w:val="00B05597"/>
    <w:rsid w:val="00B10041"/>
    <w:rsid w:val="00B13BF0"/>
    <w:rsid w:val="00B14BF9"/>
    <w:rsid w:val="00B158C7"/>
    <w:rsid w:val="00B16754"/>
    <w:rsid w:val="00B20425"/>
    <w:rsid w:val="00B2071F"/>
    <w:rsid w:val="00B20A1B"/>
    <w:rsid w:val="00B214FD"/>
    <w:rsid w:val="00B215AB"/>
    <w:rsid w:val="00B216A7"/>
    <w:rsid w:val="00B244E6"/>
    <w:rsid w:val="00B254AD"/>
    <w:rsid w:val="00B30059"/>
    <w:rsid w:val="00B3017F"/>
    <w:rsid w:val="00B305EE"/>
    <w:rsid w:val="00B30F5C"/>
    <w:rsid w:val="00B317E0"/>
    <w:rsid w:val="00B339A7"/>
    <w:rsid w:val="00B3463F"/>
    <w:rsid w:val="00B37017"/>
    <w:rsid w:val="00B37BFD"/>
    <w:rsid w:val="00B405BB"/>
    <w:rsid w:val="00B4113D"/>
    <w:rsid w:val="00B519B5"/>
    <w:rsid w:val="00B51ACA"/>
    <w:rsid w:val="00B51FDC"/>
    <w:rsid w:val="00B56F49"/>
    <w:rsid w:val="00B605CB"/>
    <w:rsid w:val="00B62E48"/>
    <w:rsid w:val="00B63616"/>
    <w:rsid w:val="00B641C8"/>
    <w:rsid w:val="00B7049A"/>
    <w:rsid w:val="00B71A67"/>
    <w:rsid w:val="00B723FC"/>
    <w:rsid w:val="00B74BCD"/>
    <w:rsid w:val="00B77B8F"/>
    <w:rsid w:val="00B805A9"/>
    <w:rsid w:val="00B823E4"/>
    <w:rsid w:val="00B831AB"/>
    <w:rsid w:val="00B840F7"/>
    <w:rsid w:val="00B85698"/>
    <w:rsid w:val="00B87DD5"/>
    <w:rsid w:val="00B918CD"/>
    <w:rsid w:val="00B9212B"/>
    <w:rsid w:val="00B927EB"/>
    <w:rsid w:val="00B92FCF"/>
    <w:rsid w:val="00B94A87"/>
    <w:rsid w:val="00B964C0"/>
    <w:rsid w:val="00B97102"/>
    <w:rsid w:val="00BA23E8"/>
    <w:rsid w:val="00BA435C"/>
    <w:rsid w:val="00BA4E94"/>
    <w:rsid w:val="00BA5E5B"/>
    <w:rsid w:val="00BB375E"/>
    <w:rsid w:val="00BB5665"/>
    <w:rsid w:val="00BB579C"/>
    <w:rsid w:val="00BB5C2E"/>
    <w:rsid w:val="00BB7B9B"/>
    <w:rsid w:val="00BC0C1B"/>
    <w:rsid w:val="00BC0D40"/>
    <w:rsid w:val="00BC3B30"/>
    <w:rsid w:val="00BC604A"/>
    <w:rsid w:val="00BC71FF"/>
    <w:rsid w:val="00BC7394"/>
    <w:rsid w:val="00BC761E"/>
    <w:rsid w:val="00BE252E"/>
    <w:rsid w:val="00BE461D"/>
    <w:rsid w:val="00BE5972"/>
    <w:rsid w:val="00BF04DF"/>
    <w:rsid w:val="00BF2F15"/>
    <w:rsid w:val="00BF4928"/>
    <w:rsid w:val="00BF58C8"/>
    <w:rsid w:val="00BF7713"/>
    <w:rsid w:val="00C01D9C"/>
    <w:rsid w:val="00C05DCB"/>
    <w:rsid w:val="00C06B55"/>
    <w:rsid w:val="00C1021E"/>
    <w:rsid w:val="00C114CA"/>
    <w:rsid w:val="00C1549B"/>
    <w:rsid w:val="00C1755E"/>
    <w:rsid w:val="00C23005"/>
    <w:rsid w:val="00C25966"/>
    <w:rsid w:val="00C25B7A"/>
    <w:rsid w:val="00C268C5"/>
    <w:rsid w:val="00C27CB2"/>
    <w:rsid w:val="00C315EC"/>
    <w:rsid w:val="00C31792"/>
    <w:rsid w:val="00C32262"/>
    <w:rsid w:val="00C3254F"/>
    <w:rsid w:val="00C33FE5"/>
    <w:rsid w:val="00C35265"/>
    <w:rsid w:val="00C35D84"/>
    <w:rsid w:val="00C36340"/>
    <w:rsid w:val="00C36840"/>
    <w:rsid w:val="00C36DA9"/>
    <w:rsid w:val="00C4025A"/>
    <w:rsid w:val="00C40CFB"/>
    <w:rsid w:val="00C41E69"/>
    <w:rsid w:val="00C4234F"/>
    <w:rsid w:val="00C42F3B"/>
    <w:rsid w:val="00C43CA4"/>
    <w:rsid w:val="00C43F91"/>
    <w:rsid w:val="00C4451A"/>
    <w:rsid w:val="00C45816"/>
    <w:rsid w:val="00C45E9D"/>
    <w:rsid w:val="00C461AD"/>
    <w:rsid w:val="00C529F5"/>
    <w:rsid w:val="00C6136A"/>
    <w:rsid w:val="00C620B7"/>
    <w:rsid w:val="00C62DE5"/>
    <w:rsid w:val="00C63198"/>
    <w:rsid w:val="00C64F36"/>
    <w:rsid w:val="00C65C46"/>
    <w:rsid w:val="00C665F7"/>
    <w:rsid w:val="00C72F54"/>
    <w:rsid w:val="00C73D29"/>
    <w:rsid w:val="00C756A4"/>
    <w:rsid w:val="00C7571C"/>
    <w:rsid w:val="00C75FFA"/>
    <w:rsid w:val="00C766E8"/>
    <w:rsid w:val="00C76ACF"/>
    <w:rsid w:val="00C77268"/>
    <w:rsid w:val="00C773B7"/>
    <w:rsid w:val="00C801EE"/>
    <w:rsid w:val="00C83E42"/>
    <w:rsid w:val="00C84589"/>
    <w:rsid w:val="00C85169"/>
    <w:rsid w:val="00C90BAE"/>
    <w:rsid w:val="00C94A54"/>
    <w:rsid w:val="00C95E67"/>
    <w:rsid w:val="00C96F0E"/>
    <w:rsid w:val="00C976B4"/>
    <w:rsid w:val="00CA204D"/>
    <w:rsid w:val="00CA55D6"/>
    <w:rsid w:val="00CA6C9A"/>
    <w:rsid w:val="00CB0038"/>
    <w:rsid w:val="00CB4FA0"/>
    <w:rsid w:val="00CB57A4"/>
    <w:rsid w:val="00CC049E"/>
    <w:rsid w:val="00CC6CFC"/>
    <w:rsid w:val="00CC769A"/>
    <w:rsid w:val="00CC7E35"/>
    <w:rsid w:val="00CC7F52"/>
    <w:rsid w:val="00CD028E"/>
    <w:rsid w:val="00CD1C9A"/>
    <w:rsid w:val="00CD3C93"/>
    <w:rsid w:val="00CD46C5"/>
    <w:rsid w:val="00CD4ABC"/>
    <w:rsid w:val="00CD50FB"/>
    <w:rsid w:val="00CE23E8"/>
    <w:rsid w:val="00CE37C1"/>
    <w:rsid w:val="00CE3930"/>
    <w:rsid w:val="00CE728F"/>
    <w:rsid w:val="00CE759D"/>
    <w:rsid w:val="00CF00CA"/>
    <w:rsid w:val="00CF0E62"/>
    <w:rsid w:val="00CF4FD7"/>
    <w:rsid w:val="00CF5147"/>
    <w:rsid w:val="00D02E63"/>
    <w:rsid w:val="00D03530"/>
    <w:rsid w:val="00D04030"/>
    <w:rsid w:val="00D04211"/>
    <w:rsid w:val="00D04CC5"/>
    <w:rsid w:val="00D0731C"/>
    <w:rsid w:val="00D07E57"/>
    <w:rsid w:val="00D140D3"/>
    <w:rsid w:val="00D153F5"/>
    <w:rsid w:val="00D160A0"/>
    <w:rsid w:val="00D1703C"/>
    <w:rsid w:val="00D17AF8"/>
    <w:rsid w:val="00D2188E"/>
    <w:rsid w:val="00D23B20"/>
    <w:rsid w:val="00D23DD7"/>
    <w:rsid w:val="00D271A9"/>
    <w:rsid w:val="00D313E6"/>
    <w:rsid w:val="00D36750"/>
    <w:rsid w:val="00D37714"/>
    <w:rsid w:val="00D41B02"/>
    <w:rsid w:val="00D42484"/>
    <w:rsid w:val="00D43288"/>
    <w:rsid w:val="00D45FC0"/>
    <w:rsid w:val="00D460CA"/>
    <w:rsid w:val="00D5032B"/>
    <w:rsid w:val="00D5180D"/>
    <w:rsid w:val="00D51912"/>
    <w:rsid w:val="00D53621"/>
    <w:rsid w:val="00D53731"/>
    <w:rsid w:val="00D5518A"/>
    <w:rsid w:val="00D63D58"/>
    <w:rsid w:val="00D64888"/>
    <w:rsid w:val="00D662A3"/>
    <w:rsid w:val="00D66FAC"/>
    <w:rsid w:val="00D71C71"/>
    <w:rsid w:val="00D71CC2"/>
    <w:rsid w:val="00D721C9"/>
    <w:rsid w:val="00D72DE1"/>
    <w:rsid w:val="00D81848"/>
    <w:rsid w:val="00D81F53"/>
    <w:rsid w:val="00D8265E"/>
    <w:rsid w:val="00D8468E"/>
    <w:rsid w:val="00D861B9"/>
    <w:rsid w:val="00D86587"/>
    <w:rsid w:val="00D90B95"/>
    <w:rsid w:val="00D923EE"/>
    <w:rsid w:val="00D932DC"/>
    <w:rsid w:val="00D95D8A"/>
    <w:rsid w:val="00DA2274"/>
    <w:rsid w:val="00DA2FFD"/>
    <w:rsid w:val="00DA7B7B"/>
    <w:rsid w:val="00DA7D42"/>
    <w:rsid w:val="00DC2852"/>
    <w:rsid w:val="00DC33F6"/>
    <w:rsid w:val="00DC390C"/>
    <w:rsid w:val="00DC4BA9"/>
    <w:rsid w:val="00DD0E68"/>
    <w:rsid w:val="00DD1D23"/>
    <w:rsid w:val="00DD6D45"/>
    <w:rsid w:val="00DD7239"/>
    <w:rsid w:val="00DE0F96"/>
    <w:rsid w:val="00DE2ACE"/>
    <w:rsid w:val="00DE35AA"/>
    <w:rsid w:val="00DE39E2"/>
    <w:rsid w:val="00DE53F9"/>
    <w:rsid w:val="00DE71B8"/>
    <w:rsid w:val="00DF28F8"/>
    <w:rsid w:val="00DF4F25"/>
    <w:rsid w:val="00DF534C"/>
    <w:rsid w:val="00E01F1B"/>
    <w:rsid w:val="00E0291F"/>
    <w:rsid w:val="00E03874"/>
    <w:rsid w:val="00E03C64"/>
    <w:rsid w:val="00E0719A"/>
    <w:rsid w:val="00E0769B"/>
    <w:rsid w:val="00E1027B"/>
    <w:rsid w:val="00E11813"/>
    <w:rsid w:val="00E119B3"/>
    <w:rsid w:val="00E13F73"/>
    <w:rsid w:val="00E1410B"/>
    <w:rsid w:val="00E1553D"/>
    <w:rsid w:val="00E15FBA"/>
    <w:rsid w:val="00E22A4D"/>
    <w:rsid w:val="00E25A8E"/>
    <w:rsid w:val="00E27005"/>
    <w:rsid w:val="00E3004D"/>
    <w:rsid w:val="00E31CA4"/>
    <w:rsid w:val="00E31ED9"/>
    <w:rsid w:val="00E32D62"/>
    <w:rsid w:val="00E33E27"/>
    <w:rsid w:val="00E34BE3"/>
    <w:rsid w:val="00E42F5F"/>
    <w:rsid w:val="00E42FC7"/>
    <w:rsid w:val="00E4501E"/>
    <w:rsid w:val="00E50249"/>
    <w:rsid w:val="00E53CA1"/>
    <w:rsid w:val="00E5478D"/>
    <w:rsid w:val="00E55BE0"/>
    <w:rsid w:val="00E55C1B"/>
    <w:rsid w:val="00E57F06"/>
    <w:rsid w:val="00E60C0F"/>
    <w:rsid w:val="00E6109F"/>
    <w:rsid w:val="00E630DA"/>
    <w:rsid w:val="00E644EA"/>
    <w:rsid w:val="00E66838"/>
    <w:rsid w:val="00E668F9"/>
    <w:rsid w:val="00E66EA6"/>
    <w:rsid w:val="00E67983"/>
    <w:rsid w:val="00E7219E"/>
    <w:rsid w:val="00E73525"/>
    <w:rsid w:val="00E76861"/>
    <w:rsid w:val="00E76B1F"/>
    <w:rsid w:val="00E76F24"/>
    <w:rsid w:val="00E80E97"/>
    <w:rsid w:val="00E822A7"/>
    <w:rsid w:val="00E824E1"/>
    <w:rsid w:val="00E8362C"/>
    <w:rsid w:val="00E847EE"/>
    <w:rsid w:val="00E86B05"/>
    <w:rsid w:val="00E9324B"/>
    <w:rsid w:val="00E9528D"/>
    <w:rsid w:val="00E95DCF"/>
    <w:rsid w:val="00E969E7"/>
    <w:rsid w:val="00E97DE3"/>
    <w:rsid w:val="00EA081B"/>
    <w:rsid w:val="00EA5FF5"/>
    <w:rsid w:val="00EB1098"/>
    <w:rsid w:val="00EB2783"/>
    <w:rsid w:val="00EB59EB"/>
    <w:rsid w:val="00EB7E03"/>
    <w:rsid w:val="00EC531F"/>
    <w:rsid w:val="00EC56AB"/>
    <w:rsid w:val="00ED1E78"/>
    <w:rsid w:val="00ED41DD"/>
    <w:rsid w:val="00ED6989"/>
    <w:rsid w:val="00ED6E23"/>
    <w:rsid w:val="00EE08F1"/>
    <w:rsid w:val="00EF5604"/>
    <w:rsid w:val="00EF58AD"/>
    <w:rsid w:val="00F00CBF"/>
    <w:rsid w:val="00F035E9"/>
    <w:rsid w:val="00F036C3"/>
    <w:rsid w:val="00F0664F"/>
    <w:rsid w:val="00F10194"/>
    <w:rsid w:val="00F12565"/>
    <w:rsid w:val="00F12FDD"/>
    <w:rsid w:val="00F16112"/>
    <w:rsid w:val="00F1796E"/>
    <w:rsid w:val="00F22ED8"/>
    <w:rsid w:val="00F24BF9"/>
    <w:rsid w:val="00F31CBB"/>
    <w:rsid w:val="00F32104"/>
    <w:rsid w:val="00F3322D"/>
    <w:rsid w:val="00F34DB3"/>
    <w:rsid w:val="00F35829"/>
    <w:rsid w:val="00F37B82"/>
    <w:rsid w:val="00F4050A"/>
    <w:rsid w:val="00F40FE4"/>
    <w:rsid w:val="00F44C42"/>
    <w:rsid w:val="00F4775F"/>
    <w:rsid w:val="00F53560"/>
    <w:rsid w:val="00F54802"/>
    <w:rsid w:val="00F55425"/>
    <w:rsid w:val="00F5741A"/>
    <w:rsid w:val="00F61DF5"/>
    <w:rsid w:val="00F621D4"/>
    <w:rsid w:val="00F6365C"/>
    <w:rsid w:val="00F64FB1"/>
    <w:rsid w:val="00F662AE"/>
    <w:rsid w:val="00F6768D"/>
    <w:rsid w:val="00F72FA9"/>
    <w:rsid w:val="00F73060"/>
    <w:rsid w:val="00F77AFB"/>
    <w:rsid w:val="00F77E30"/>
    <w:rsid w:val="00F80F5D"/>
    <w:rsid w:val="00F8381B"/>
    <w:rsid w:val="00F84440"/>
    <w:rsid w:val="00F928B7"/>
    <w:rsid w:val="00F930E4"/>
    <w:rsid w:val="00F93AD8"/>
    <w:rsid w:val="00F97837"/>
    <w:rsid w:val="00FA1774"/>
    <w:rsid w:val="00FA1A75"/>
    <w:rsid w:val="00FA2F8A"/>
    <w:rsid w:val="00FA426A"/>
    <w:rsid w:val="00FB101D"/>
    <w:rsid w:val="00FB28A8"/>
    <w:rsid w:val="00FB2A36"/>
    <w:rsid w:val="00FB6547"/>
    <w:rsid w:val="00FC180F"/>
    <w:rsid w:val="00FC4D71"/>
    <w:rsid w:val="00FC7F1B"/>
    <w:rsid w:val="00FD2A66"/>
    <w:rsid w:val="00FD5256"/>
    <w:rsid w:val="00FE0665"/>
    <w:rsid w:val="00FE2EDA"/>
    <w:rsid w:val="00FE2F5E"/>
    <w:rsid w:val="00FE6F88"/>
    <w:rsid w:val="00FE73E8"/>
    <w:rsid w:val="00FF1581"/>
    <w:rsid w:val="00FF2406"/>
    <w:rsid w:val="00FF4A52"/>
    <w:rsid w:val="01726224"/>
    <w:rsid w:val="01D502D4"/>
    <w:rsid w:val="02721693"/>
    <w:rsid w:val="028326B0"/>
    <w:rsid w:val="02B82B2C"/>
    <w:rsid w:val="02C36FE1"/>
    <w:rsid w:val="02DB4E72"/>
    <w:rsid w:val="02FB68F2"/>
    <w:rsid w:val="030342BE"/>
    <w:rsid w:val="031D4706"/>
    <w:rsid w:val="033E4656"/>
    <w:rsid w:val="036611AF"/>
    <w:rsid w:val="036F04C6"/>
    <w:rsid w:val="0378443B"/>
    <w:rsid w:val="03C409AF"/>
    <w:rsid w:val="043142E4"/>
    <w:rsid w:val="047D246A"/>
    <w:rsid w:val="05137AC9"/>
    <w:rsid w:val="058F102E"/>
    <w:rsid w:val="05FF131C"/>
    <w:rsid w:val="061E229C"/>
    <w:rsid w:val="063D464A"/>
    <w:rsid w:val="0689501F"/>
    <w:rsid w:val="07344F39"/>
    <w:rsid w:val="074938C4"/>
    <w:rsid w:val="07691E46"/>
    <w:rsid w:val="07EE5017"/>
    <w:rsid w:val="07EF3EB3"/>
    <w:rsid w:val="081E09A5"/>
    <w:rsid w:val="087D4117"/>
    <w:rsid w:val="08C13797"/>
    <w:rsid w:val="08C1781E"/>
    <w:rsid w:val="0906235C"/>
    <w:rsid w:val="0923489C"/>
    <w:rsid w:val="095B60F9"/>
    <w:rsid w:val="097201A0"/>
    <w:rsid w:val="097F383C"/>
    <w:rsid w:val="09C22200"/>
    <w:rsid w:val="09CD4ADC"/>
    <w:rsid w:val="09EE0A76"/>
    <w:rsid w:val="09EE1557"/>
    <w:rsid w:val="09F0285C"/>
    <w:rsid w:val="0A142EB0"/>
    <w:rsid w:val="0A560135"/>
    <w:rsid w:val="0A721F86"/>
    <w:rsid w:val="0AAF7136"/>
    <w:rsid w:val="0AE3660F"/>
    <w:rsid w:val="0BF64289"/>
    <w:rsid w:val="0C5442E2"/>
    <w:rsid w:val="0C5F4382"/>
    <w:rsid w:val="0C916589"/>
    <w:rsid w:val="0CD14AEC"/>
    <w:rsid w:val="0CD65B57"/>
    <w:rsid w:val="0DD11037"/>
    <w:rsid w:val="0DE12FE7"/>
    <w:rsid w:val="0DE1532E"/>
    <w:rsid w:val="0DE46F59"/>
    <w:rsid w:val="0E2624D8"/>
    <w:rsid w:val="0E681731"/>
    <w:rsid w:val="0E8404DC"/>
    <w:rsid w:val="0E8B319E"/>
    <w:rsid w:val="0EE20A7B"/>
    <w:rsid w:val="0F445E1F"/>
    <w:rsid w:val="0F561510"/>
    <w:rsid w:val="0F5C238D"/>
    <w:rsid w:val="0F6E1045"/>
    <w:rsid w:val="0F7D37F7"/>
    <w:rsid w:val="0F984030"/>
    <w:rsid w:val="0FA23E20"/>
    <w:rsid w:val="0FB245EE"/>
    <w:rsid w:val="0FB56209"/>
    <w:rsid w:val="10034015"/>
    <w:rsid w:val="10216577"/>
    <w:rsid w:val="104B7348"/>
    <w:rsid w:val="10B949DC"/>
    <w:rsid w:val="10BB5D56"/>
    <w:rsid w:val="10DD647D"/>
    <w:rsid w:val="11077137"/>
    <w:rsid w:val="11396560"/>
    <w:rsid w:val="115B1273"/>
    <w:rsid w:val="11691EEB"/>
    <w:rsid w:val="116D4627"/>
    <w:rsid w:val="11715EFA"/>
    <w:rsid w:val="11D80227"/>
    <w:rsid w:val="124F10B2"/>
    <w:rsid w:val="1270015F"/>
    <w:rsid w:val="12700C14"/>
    <w:rsid w:val="12A82A2A"/>
    <w:rsid w:val="12B433D7"/>
    <w:rsid w:val="12E14FB0"/>
    <w:rsid w:val="13D26C0F"/>
    <w:rsid w:val="14657FFC"/>
    <w:rsid w:val="148F567C"/>
    <w:rsid w:val="14CE32EF"/>
    <w:rsid w:val="15135C29"/>
    <w:rsid w:val="151E6865"/>
    <w:rsid w:val="15614250"/>
    <w:rsid w:val="156B424D"/>
    <w:rsid w:val="15895411"/>
    <w:rsid w:val="15FC4A53"/>
    <w:rsid w:val="161314D5"/>
    <w:rsid w:val="161A7BBB"/>
    <w:rsid w:val="163574F9"/>
    <w:rsid w:val="168237CE"/>
    <w:rsid w:val="16BB1566"/>
    <w:rsid w:val="16C304F6"/>
    <w:rsid w:val="17086ECB"/>
    <w:rsid w:val="175462B4"/>
    <w:rsid w:val="17622956"/>
    <w:rsid w:val="17834B1C"/>
    <w:rsid w:val="178C6D81"/>
    <w:rsid w:val="18217396"/>
    <w:rsid w:val="18535FDC"/>
    <w:rsid w:val="18620EF9"/>
    <w:rsid w:val="18A12703"/>
    <w:rsid w:val="18B67417"/>
    <w:rsid w:val="19797426"/>
    <w:rsid w:val="19C54363"/>
    <w:rsid w:val="19C95FDB"/>
    <w:rsid w:val="19D46C92"/>
    <w:rsid w:val="19FF56DF"/>
    <w:rsid w:val="1A0670A6"/>
    <w:rsid w:val="1A6361D9"/>
    <w:rsid w:val="1A751621"/>
    <w:rsid w:val="1B0B0E66"/>
    <w:rsid w:val="1B59326E"/>
    <w:rsid w:val="1BC66FFD"/>
    <w:rsid w:val="1C534D67"/>
    <w:rsid w:val="1C58587E"/>
    <w:rsid w:val="1C9E2280"/>
    <w:rsid w:val="1CB255D3"/>
    <w:rsid w:val="1DE50360"/>
    <w:rsid w:val="1DF7535B"/>
    <w:rsid w:val="1E1C1304"/>
    <w:rsid w:val="1E333C8C"/>
    <w:rsid w:val="1E5B16E3"/>
    <w:rsid w:val="1E8E6763"/>
    <w:rsid w:val="1E9358E5"/>
    <w:rsid w:val="1EAE0EA4"/>
    <w:rsid w:val="1ED00DBA"/>
    <w:rsid w:val="1F0C6883"/>
    <w:rsid w:val="1F4A689D"/>
    <w:rsid w:val="1F7A62C6"/>
    <w:rsid w:val="203F795F"/>
    <w:rsid w:val="20602ECF"/>
    <w:rsid w:val="20BA224F"/>
    <w:rsid w:val="20D858AC"/>
    <w:rsid w:val="20E30A66"/>
    <w:rsid w:val="21800637"/>
    <w:rsid w:val="219B2794"/>
    <w:rsid w:val="21A85324"/>
    <w:rsid w:val="21D150DA"/>
    <w:rsid w:val="21F1213D"/>
    <w:rsid w:val="22896E39"/>
    <w:rsid w:val="228C128A"/>
    <w:rsid w:val="232956BD"/>
    <w:rsid w:val="2333221A"/>
    <w:rsid w:val="23813DA9"/>
    <w:rsid w:val="23B50B24"/>
    <w:rsid w:val="23FA7B19"/>
    <w:rsid w:val="24075B3D"/>
    <w:rsid w:val="24271D5D"/>
    <w:rsid w:val="24C37CDE"/>
    <w:rsid w:val="24D7261A"/>
    <w:rsid w:val="24E678F8"/>
    <w:rsid w:val="253225DE"/>
    <w:rsid w:val="253D426E"/>
    <w:rsid w:val="254259F1"/>
    <w:rsid w:val="258E4841"/>
    <w:rsid w:val="25E2632E"/>
    <w:rsid w:val="272E77C9"/>
    <w:rsid w:val="273264DD"/>
    <w:rsid w:val="2734505A"/>
    <w:rsid w:val="273E22EF"/>
    <w:rsid w:val="27AC60E2"/>
    <w:rsid w:val="27D770DF"/>
    <w:rsid w:val="27DB01CD"/>
    <w:rsid w:val="27DC1254"/>
    <w:rsid w:val="28374162"/>
    <w:rsid w:val="286F7C9A"/>
    <w:rsid w:val="28C55B08"/>
    <w:rsid w:val="290D7B43"/>
    <w:rsid w:val="291453F2"/>
    <w:rsid w:val="29257F88"/>
    <w:rsid w:val="293164A9"/>
    <w:rsid w:val="29F82489"/>
    <w:rsid w:val="2A9D20D0"/>
    <w:rsid w:val="2AE50EEB"/>
    <w:rsid w:val="2B0A63DE"/>
    <w:rsid w:val="2B60295F"/>
    <w:rsid w:val="2BB53743"/>
    <w:rsid w:val="2C003EB8"/>
    <w:rsid w:val="2C1005F7"/>
    <w:rsid w:val="2C4A3BC4"/>
    <w:rsid w:val="2CA75F77"/>
    <w:rsid w:val="2CFE19E4"/>
    <w:rsid w:val="2D65204A"/>
    <w:rsid w:val="2DCB3E10"/>
    <w:rsid w:val="2DED5CAE"/>
    <w:rsid w:val="2E020ED5"/>
    <w:rsid w:val="2E103922"/>
    <w:rsid w:val="2E9967A3"/>
    <w:rsid w:val="2F3112C3"/>
    <w:rsid w:val="2F3168EB"/>
    <w:rsid w:val="2F8961CB"/>
    <w:rsid w:val="2FA71B9F"/>
    <w:rsid w:val="2FBE2364"/>
    <w:rsid w:val="3015575C"/>
    <w:rsid w:val="30220EE5"/>
    <w:rsid w:val="305F30B5"/>
    <w:rsid w:val="30685BC4"/>
    <w:rsid w:val="306C3781"/>
    <w:rsid w:val="30F868A0"/>
    <w:rsid w:val="31182D9C"/>
    <w:rsid w:val="312E383F"/>
    <w:rsid w:val="315372D6"/>
    <w:rsid w:val="319B33F8"/>
    <w:rsid w:val="321F6312"/>
    <w:rsid w:val="322577D6"/>
    <w:rsid w:val="32874928"/>
    <w:rsid w:val="32A75F34"/>
    <w:rsid w:val="32D7613F"/>
    <w:rsid w:val="33050294"/>
    <w:rsid w:val="335468A4"/>
    <w:rsid w:val="33C04D0E"/>
    <w:rsid w:val="33C833B1"/>
    <w:rsid w:val="342174C9"/>
    <w:rsid w:val="34BE2416"/>
    <w:rsid w:val="34C61174"/>
    <w:rsid w:val="34DB6F1B"/>
    <w:rsid w:val="353809F5"/>
    <w:rsid w:val="35401AF8"/>
    <w:rsid w:val="35402D59"/>
    <w:rsid w:val="35BE0A09"/>
    <w:rsid w:val="36515B13"/>
    <w:rsid w:val="3667360A"/>
    <w:rsid w:val="366B6EC1"/>
    <w:rsid w:val="3671733B"/>
    <w:rsid w:val="36F275DD"/>
    <w:rsid w:val="377E4518"/>
    <w:rsid w:val="37D775F1"/>
    <w:rsid w:val="37F449C1"/>
    <w:rsid w:val="382247A5"/>
    <w:rsid w:val="38332D42"/>
    <w:rsid w:val="386D1B9B"/>
    <w:rsid w:val="38950DA7"/>
    <w:rsid w:val="38E2731C"/>
    <w:rsid w:val="38E915F0"/>
    <w:rsid w:val="38F72A1F"/>
    <w:rsid w:val="39192284"/>
    <w:rsid w:val="3AB939E6"/>
    <w:rsid w:val="3B037579"/>
    <w:rsid w:val="3B064150"/>
    <w:rsid w:val="3B163456"/>
    <w:rsid w:val="3B564B69"/>
    <w:rsid w:val="3B6D4F20"/>
    <w:rsid w:val="3B9610B4"/>
    <w:rsid w:val="3C111A19"/>
    <w:rsid w:val="3C862578"/>
    <w:rsid w:val="3D7832D8"/>
    <w:rsid w:val="3D91599C"/>
    <w:rsid w:val="3DEE31B7"/>
    <w:rsid w:val="3DFA1AE9"/>
    <w:rsid w:val="3E174D94"/>
    <w:rsid w:val="3E425AA3"/>
    <w:rsid w:val="3EF313C9"/>
    <w:rsid w:val="3F0C47E0"/>
    <w:rsid w:val="3F2A6A9A"/>
    <w:rsid w:val="3FA21C75"/>
    <w:rsid w:val="3FBA5945"/>
    <w:rsid w:val="3FC653AC"/>
    <w:rsid w:val="3FC90D91"/>
    <w:rsid w:val="3FD773B8"/>
    <w:rsid w:val="401719E3"/>
    <w:rsid w:val="409B1B40"/>
    <w:rsid w:val="40DB1852"/>
    <w:rsid w:val="41055114"/>
    <w:rsid w:val="419B1284"/>
    <w:rsid w:val="42215354"/>
    <w:rsid w:val="423676B0"/>
    <w:rsid w:val="4271080F"/>
    <w:rsid w:val="42E00E08"/>
    <w:rsid w:val="43863996"/>
    <w:rsid w:val="438E0F66"/>
    <w:rsid w:val="43B914DC"/>
    <w:rsid w:val="44040A7B"/>
    <w:rsid w:val="441D517F"/>
    <w:rsid w:val="4474551E"/>
    <w:rsid w:val="44A97134"/>
    <w:rsid w:val="452C0C06"/>
    <w:rsid w:val="457C1F24"/>
    <w:rsid w:val="45AC7C5B"/>
    <w:rsid w:val="45DD6EC5"/>
    <w:rsid w:val="45E52D56"/>
    <w:rsid w:val="46E77CA4"/>
    <w:rsid w:val="46FC2E01"/>
    <w:rsid w:val="473B211C"/>
    <w:rsid w:val="47AD73FD"/>
    <w:rsid w:val="47B14EAE"/>
    <w:rsid w:val="48245742"/>
    <w:rsid w:val="48842E86"/>
    <w:rsid w:val="48935A21"/>
    <w:rsid w:val="48F90D5C"/>
    <w:rsid w:val="494C6648"/>
    <w:rsid w:val="495F3B21"/>
    <w:rsid w:val="49B02456"/>
    <w:rsid w:val="49C80536"/>
    <w:rsid w:val="49E2099E"/>
    <w:rsid w:val="49FF28AF"/>
    <w:rsid w:val="4A0B53AB"/>
    <w:rsid w:val="4A745D69"/>
    <w:rsid w:val="4A892B56"/>
    <w:rsid w:val="4AE6691C"/>
    <w:rsid w:val="4AFC64BF"/>
    <w:rsid w:val="4B3C04EC"/>
    <w:rsid w:val="4B4D612E"/>
    <w:rsid w:val="4B4E4840"/>
    <w:rsid w:val="4B6A4B6E"/>
    <w:rsid w:val="4BD55986"/>
    <w:rsid w:val="4BFC6736"/>
    <w:rsid w:val="4C1A6016"/>
    <w:rsid w:val="4C4A3633"/>
    <w:rsid w:val="4C7123F6"/>
    <w:rsid w:val="4CD66521"/>
    <w:rsid w:val="4CDD1EB9"/>
    <w:rsid w:val="4D0F3F2A"/>
    <w:rsid w:val="4D366F4B"/>
    <w:rsid w:val="4D7C6527"/>
    <w:rsid w:val="4DC567AF"/>
    <w:rsid w:val="4E274839"/>
    <w:rsid w:val="4EA97723"/>
    <w:rsid w:val="4FB143E8"/>
    <w:rsid w:val="4FDA2106"/>
    <w:rsid w:val="502D612A"/>
    <w:rsid w:val="50492604"/>
    <w:rsid w:val="51014AC6"/>
    <w:rsid w:val="51796D1B"/>
    <w:rsid w:val="52094E44"/>
    <w:rsid w:val="525942EB"/>
    <w:rsid w:val="52B222FD"/>
    <w:rsid w:val="53A6284B"/>
    <w:rsid w:val="53B60C9E"/>
    <w:rsid w:val="541127AE"/>
    <w:rsid w:val="54EC5110"/>
    <w:rsid w:val="55255CF9"/>
    <w:rsid w:val="55286B66"/>
    <w:rsid w:val="556D2E9B"/>
    <w:rsid w:val="55867E74"/>
    <w:rsid w:val="55A504E4"/>
    <w:rsid w:val="574A3A0B"/>
    <w:rsid w:val="57904730"/>
    <w:rsid w:val="57D71D86"/>
    <w:rsid w:val="582C7CB7"/>
    <w:rsid w:val="584168E9"/>
    <w:rsid w:val="58F239A5"/>
    <w:rsid w:val="59350572"/>
    <w:rsid w:val="59D86349"/>
    <w:rsid w:val="5A42786B"/>
    <w:rsid w:val="5B425173"/>
    <w:rsid w:val="5BA82F01"/>
    <w:rsid w:val="5BB054F9"/>
    <w:rsid w:val="5BD548E7"/>
    <w:rsid w:val="5C8A0164"/>
    <w:rsid w:val="5DC97E04"/>
    <w:rsid w:val="5DE82E9E"/>
    <w:rsid w:val="5DEB1D9A"/>
    <w:rsid w:val="5EB4486C"/>
    <w:rsid w:val="5EB65569"/>
    <w:rsid w:val="5EE14995"/>
    <w:rsid w:val="5F417488"/>
    <w:rsid w:val="5F837570"/>
    <w:rsid w:val="601E7DFE"/>
    <w:rsid w:val="60BD35DF"/>
    <w:rsid w:val="60D422E8"/>
    <w:rsid w:val="611F3086"/>
    <w:rsid w:val="61493688"/>
    <w:rsid w:val="61D37C8C"/>
    <w:rsid w:val="61DB6B32"/>
    <w:rsid w:val="620439D5"/>
    <w:rsid w:val="62337767"/>
    <w:rsid w:val="626B1104"/>
    <w:rsid w:val="631F7CAE"/>
    <w:rsid w:val="63D42C3B"/>
    <w:rsid w:val="63E37DC4"/>
    <w:rsid w:val="63EB3254"/>
    <w:rsid w:val="640204AC"/>
    <w:rsid w:val="64262B64"/>
    <w:rsid w:val="643669E6"/>
    <w:rsid w:val="64B607D2"/>
    <w:rsid w:val="65036CDA"/>
    <w:rsid w:val="65177DE9"/>
    <w:rsid w:val="651A1369"/>
    <w:rsid w:val="65876DD7"/>
    <w:rsid w:val="65D669C5"/>
    <w:rsid w:val="660E10AF"/>
    <w:rsid w:val="666D3BEB"/>
    <w:rsid w:val="669D53CD"/>
    <w:rsid w:val="67071289"/>
    <w:rsid w:val="674612B3"/>
    <w:rsid w:val="67954DBA"/>
    <w:rsid w:val="67E31BC9"/>
    <w:rsid w:val="68075965"/>
    <w:rsid w:val="680C5B13"/>
    <w:rsid w:val="68597735"/>
    <w:rsid w:val="68915B1C"/>
    <w:rsid w:val="689F2C78"/>
    <w:rsid w:val="695B45AF"/>
    <w:rsid w:val="696B7548"/>
    <w:rsid w:val="69C45243"/>
    <w:rsid w:val="69C53915"/>
    <w:rsid w:val="69DD4FCE"/>
    <w:rsid w:val="6A3612C1"/>
    <w:rsid w:val="6A6D7874"/>
    <w:rsid w:val="6AAB62EF"/>
    <w:rsid w:val="6AEC4868"/>
    <w:rsid w:val="6B394B45"/>
    <w:rsid w:val="6BBF0DC2"/>
    <w:rsid w:val="6BCC3834"/>
    <w:rsid w:val="6BD004F2"/>
    <w:rsid w:val="6CA32A49"/>
    <w:rsid w:val="6CDA545F"/>
    <w:rsid w:val="6CEC4DC1"/>
    <w:rsid w:val="6D7513BB"/>
    <w:rsid w:val="6DC913CC"/>
    <w:rsid w:val="6EB45CAC"/>
    <w:rsid w:val="6F0136D7"/>
    <w:rsid w:val="6F4D0FCB"/>
    <w:rsid w:val="70090BB2"/>
    <w:rsid w:val="70117F75"/>
    <w:rsid w:val="703F1714"/>
    <w:rsid w:val="704E5A4D"/>
    <w:rsid w:val="70840843"/>
    <w:rsid w:val="70A00CDC"/>
    <w:rsid w:val="71806AB0"/>
    <w:rsid w:val="72095D23"/>
    <w:rsid w:val="72215CE8"/>
    <w:rsid w:val="72426F0E"/>
    <w:rsid w:val="725C3DCF"/>
    <w:rsid w:val="728C3273"/>
    <w:rsid w:val="72F145B6"/>
    <w:rsid w:val="731666D4"/>
    <w:rsid w:val="73223C22"/>
    <w:rsid w:val="7328617A"/>
    <w:rsid w:val="73467AB9"/>
    <w:rsid w:val="73626314"/>
    <w:rsid w:val="73791F5F"/>
    <w:rsid w:val="73A407E4"/>
    <w:rsid w:val="7479743E"/>
    <w:rsid w:val="74A024E4"/>
    <w:rsid w:val="75311DD3"/>
    <w:rsid w:val="757B7431"/>
    <w:rsid w:val="757C4229"/>
    <w:rsid w:val="75C83E01"/>
    <w:rsid w:val="75E26373"/>
    <w:rsid w:val="75EF2FFD"/>
    <w:rsid w:val="766A1FC3"/>
    <w:rsid w:val="76915130"/>
    <w:rsid w:val="76A31233"/>
    <w:rsid w:val="7782749C"/>
    <w:rsid w:val="78117B5B"/>
    <w:rsid w:val="787923C1"/>
    <w:rsid w:val="78BB101F"/>
    <w:rsid w:val="78E00BE8"/>
    <w:rsid w:val="7911166B"/>
    <w:rsid w:val="7929220B"/>
    <w:rsid w:val="7929708D"/>
    <w:rsid w:val="792E7CEE"/>
    <w:rsid w:val="799A0ACD"/>
    <w:rsid w:val="7A3370D3"/>
    <w:rsid w:val="7A3A3172"/>
    <w:rsid w:val="7A574716"/>
    <w:rsid w:val="7A732563"/>
    <w:rsid w:val="7AE64562"/>
    <w:rsid w:val="7B28499C"/>
    <w:rsid w:val="7B3B1ADE"/>
    <w:rsid w:val="7BE16C33"/>
    <w:rsid w:val="7BE67FFA"/>
    <w:rsid w:val="7C9D4F37"/>
    <w:rsid w:val="7D121F3E"/>
    <w:rsid w:val="7D466D34"/>
    <w:rsid w:val="7DAF33A2"/>
    <w:rsid w:val="7DEB34FC"/>
    <w:rsid w:val="7E03663C"/>
    <w:rsid w:val="7E171E91"/>
    <w:rsid w:val="7E582D05"/>
    <w:rsid w:val="7F1152FA"/>
    <w:rsid w:val="7F51026F"/>
    <w:rsid w:val="7FD058D1"/>
    <w:rsid w:val="7FF21021"/>
    <w:rsid w:val="7FFB2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40" w:lineRule="exact"/>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6"/>
    <w:qFormat/>
    <w:uiPriority w:val="0"/>
    <w:pPr>
      <w:keepNext/>
      <w:keepLines/>
      <w:spacing w:before="100" w:beforeLines="100" w:line="240" w:lineRule="auto"/>
      <w:ind w:firstLine="0" w:firstLineChars="0"/>
      <w:jc w:val="left"/>
      <w:outlineLvl w:val="1"/>
    </w:pPr>
    <w:rPr>
      <w:rFonts w:ascii="Arial" w:hAnsi="Arial" w:eastAsia="黑体"/>
      <w:bCs/>
      <w:kern w:val="0"/>
      <w:sz w:val="28"/>
      <w:szCs w:val="32"/>
    </w:rPr>
  </w:style>
  <w:style w:type="paragraph" w:styleId="4">
    <w:name w:val="heading 3"/>
    <w:basedOn w:val="1"/>
    <w:next w:val="1"/>
    <w:link w:val="37"/>
    <w:qFormat/>
    <w:uiPriority w:val="0"/>
    <w:pPr>
      <w:keepNext/>
      <w:keepLines/>
      <w:spacing w:before="120" w:after="120"/>
      <w:outlineLvl w:val="2"/>
    </w:pPr>
    <w:rPr>
      <w:b/>
      <w:bCs/>
      <w:sz w:val="21"/>
      <w:szCs w:val="32"/>
    </w:rPr>
  </w:style>
  <w:style w:type="paragraph" w:styleId="5">
    <w:name w:val="heading 4"/>
    <w:basedOn w:val="1"/>
    <w:next w:val="1"/>
    <w:link w:val="38"/>
    <w:qFormat/>
    <w:uiPriority w:val="0"/>
    <w:pPr>
      <w:keepNext/>
      <w:keepLines/>
      <w:spacing w:line="360" w:lineRule="auto"/>
      <w:jc w:val="left"/>
      <w:outlineLvl w:val="3"/>
    </w:pPr>
    <w:rPr>
      <w:rFonts w:ascii="Cambria" w:hAnsi="Cambria" w:eastAsia="黑体"/>
      <w:bCs/>
      <w:szCs w:val="28"/>
    </w:rPr>
  </w:style>
  <w:style w:type="paragraph" w:styleId="6">
    <w:name w:val="heading 8"/>
    <w:basedOn w:val="1"/>
    <w:next w:val="1"/>
    <w:link w:val="39"/>
    <w:qFormat/>
    <w:uiPriority w:val="0"/>
    <w:pPr>
      <w:keepNext/>
      <w:keepLines/>
      <w:spacing w:before="240" w:after="64" w:line="320" w:lineRule="auto"/>
      <w:outlineLvl w:val="7"/>
    </w:pPr>
    <w:rPr>
      <w:rFonts w:ascii="Cambria" w:hAnsi="Cambria"/>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2940"/>
      <w:jc w:val="center"/>
    </w:pPr>
  </w:style>
  <w:style w:type="paragraph" w:styleId="8">
    <w:name w:val="Normal Indent"/>
    <w:basedOn w:val="1"/>
    <w:next w:val="1"/>
    <w:qFormat/>
    <w:uiPriority w:val="0"/>
    <w:pPr>
      <w:ind w:firstLine="420"/>
    </w:pPr>
  </w:style>
  <w:style w:type="paragraph" w:styleId="9">
    <w:name w:val="caption"/>
    <w:basedOn w:val="1"/>
    <w:next w:val="1"/>
    <w:qFormat/>
    <w:uiPriority w:val="0"/>
    <w:pPr>
      <w:spacing w:line="480" w:lineRule="auto"/>
    </w:pPr>
    <w:rPr>
      <w:rFonts w:ascii="华文中宋" w:hAnsi="华文中宋" w:eastAsia="华文中宋"/>
      <w:sz w:val="36"/>
    </w:rPr>
  </w:style>
  <w:style w:type="paragraph" w:styleId="10">
    <w:name w:val="Document Map"/>
    <w:basedOn w:val="1"/>
    <w:qFormat/>
    <w:uiPriority w:val="0"/>
    <w:pPr>
      <w:shd w:val="clear" w:color="auto" w:fill="000080"/>
    </w:pPr>
  </w:style>
  <w:style w:type="paragraph" w:styleId="11">
    <w:name w:val="annotation text"/>
    <w:basedOn w:val="1"/>
    <w:link w:val="40"/>
    <w:qFormat/>
    <w:uiPriority w:val="99"/>
    <w:pPr>
      <w:jc w:val="left"/>
    </w:pPr>
    <w:rPr>
      <w:sz w:val="21"/>
    </w:rPr>
  </w:style>
  <w:style w:type="paragraph" w:styleId="12">
    <w:name w:val="Body Text 3"/>
    <w:basedOn w:val="1"/>
    <w:link w:val="41"/>
    <w:qFormat/>
    <w:uiPriority w:val="0"/>
    <w:pPr>
      <w:spacing w:after="120" w:line="360" w:lineRule="auto"/>
    </w:pPr>
    <w:rPr>
      <w:kern w:val="0"/>
      <w:sz w:val="16"/>
      <w:szCs w:val="16"/>
    </w:rPr>
  </w:style>
  <w:style w:type="paragraph" w:styleId="13">
    <w:name w:val="Body Text"/>
    <w:basedOn w:val="1"/>
    <w:link w:val="42"/>
    <w:qFormat/>
    <w:uiPriority w:val="0"/>
    <w:pPr>
      <w:spacing w:line="360" w:lineRule="auto"/>
    </w:pPr>
  </w:style>
  <w:style w:type="paragraph" w:styleId="14">
    <w:name w:val="Body Text Indent"/>
    <w:basedOn w:val="1"/>
    <w:qFormat/>
    <w:uiPriority w:val="0"/>
    <w:pPr>
      <w:ind w:firstLine="444"/>
    </w:pPr>
    <w:rPr>
      <w:b/>
    </w:rPr>
  </w:style>
  <w:style w:type="paragraph" w:styleId="15">
    <w:name w:val="Plain Text"/>
    <w:basedOn w:val="1"/>
    <w:link w:val="43"/>
    <w:qFormat/>
    <w:uiPriority w:val="0"/>
    <w:rPr>
      <w:rFonts w:ascii="宋体" w:hAnsi="Courier New"/>
      <w:sz w:val="21"/>
    </w:rPr>
  </w:style>
  <w:style w:type="paragraph" w:styleId="16">
    <w:name w:val="Date"/>
    <w:basedOn w:val="1"/>
    <w:next w:val="1"/>
    <w:qFormat/>
    <w:uiPriority w:val="0"/>
  </w:style>
  <w:style w:type="paragraph" w:styleId="17">
    <w:name w:val="Body Text Indent 2"/>
    <w:basedOn w:val="1"/>
    <w:qFormat/>
    <w:uiPriority w:val="0"/>
    <w:pPr>
      <w:spacing w:line="360" w:lineRule="auto"/>
      <w:ind w:firstLine="420" w:firstLineChars="175"/>
    </w:pPr>
    <w:rPr>
      <w:rFonts w:ascii="宋体" w:hAnsi="宋体"/>
      <w:b/>
      <w:bCs/>
    </w:rPr>
  </w:style>
  <w:style w:type="paragraph" w:styleId="18">
    <w:name w:val="Balloon Text"/>
    <w:basedOn w:val="1"/>
    <w:link w:val="44"/>
    <w:qFormat/>
    <w:uiPriority w:val="0"/>
    <w:rPr>
      <w:sz w:val="18"/>
      <w:szCs w:val="18"/>
    </w:rPr>
  </w:style>
  <w:style w:type="paragraph" w:styleId="19">
    <w:name w:val="footer"/>
    <w:basedOn w:val="1"/>
    <w:link w:val="45"/>
    <w:qFormat/>
    <w:uiPriority w:val="99"/>
    <w:pPr>
      <w:tabs>
        <w:tab w:val="center" w:pos="4153"/>
        <w:tab w:val="right" w:pos="8306"/>
      </w:tabs>
      <w:jc w:val="left"/>
    </w:pPr>
    <w:rPr>
      <w:sz w:val="18"/>
    </w:rPr>
  </w:style>
  <w:style w:type="paragraph" w:styleId="20">
    <w:name w:val="header"/>
    <w:basedOn w:val="1"/>
    <w:link w:val="46"/>
    <w:qFormat/>
    <w:uiPriority w:val="99"/>
    <w:pPr>
      <w:pBdr>
        <w:bottom w:val="single" w:color="auto" w:sz="6" w:space="1"/>
      </w:pBdr>
      <w:tabs>
        <w:tab w:val="center" w:pos="4153"/>
        <w:tab w:val="right" w:pos="8306"/>
      </w:tabs>
      <w:jc w:val="center"/>
    </w:pPr>
    <w:rPr>
      <w:sz w:val="18"/>
    </w:rPr>
  </w:style>
  <w:style w:type="paragraph" w:styleId="21">
    <w:name w:val="toc 1"/>
    <w:basedOn w:val="1"/>
    <w:next w:val="1"/>
    <w:qFormat/>
    <w:uiPriority w:val="39"/>
  </w:style>
  <w:style w:type="paragraph" w:styleId="22">
    <w:name w:val="Body Text Indent 3"/>
    <w:basedOn w:val="1"/>
    <w:qFormat/>
    <w:uiPriority w:val="0"/>
    <w:pPr>
      <w:spacing w:after="156" w:afterLines="50"/>
      <w:ind w:firstLine="420"/>
    </w:pPr>
    <w:rPr>
      <w:szCs w:val="21"/>
    </w:rPr>
  </w:style>
  <w:style w:type="paragraph" w:styleId="23">
    <w:name w:val="toc 2"/>
    <w:basedOn w:val="1"/>
    <w:next w:val="1"/>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25">
    <w:name w:val="Title"/>
    <w:basedOn w:val="3"/>
    <w:next w:val="1"/>
    <w:link w:val="47"/>
    <w:qFormat/>
    <w:uiPriority w:val="0"/>
    <w:pPr>
      <w:spacing w:before="50" w:beforeLines="50" w:after="0" w:line="360" w:lineRule="auto"/>
      <w:ind w:firstLine="0" w:firstLineChars="0"/>
      <w:jc w:val="center"/>
    </w:pPr>
    <w:rPr>
      <w:rFonts w:ascii="Cambria" w:hAnsi="Cambria" w:eastAsia="黑体"/>
      <w:b w:val="0"/>
      <w:bCs w:val="0"/>
      <w:sz w:val="36"/>
      <w:szCs w:val="32"/>
    </w:rPr>
  </w:style>
  <w:style w:type="paragraph" w:styleId="26">
    <w:name w:val="annotation subject"/>
    <w:basedOn w:val="11"/>
    <w:next w:val="11"/>
    <w:link w:val="48"/>
    <w:qFormat/>
    <w:uiPriority w:val="0"/>
    <w:rPr>
      <w:b/>
      <w:bCs/>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标题 1 字符"/>
    <w:link w:val="3"/>
    <w:qFormat/>
    <w:uiPriority w:val="0"/>
    <w:rPr>
      <w:b/>
      <w:bCs/>
      <w:kern w:val="44"/>
      <w:sz w:val="44"/>
      <w:szCs w:val="44"/>
    </w:rPr>
  </w:style>
  <w:style w:type="character" w:customStyle="1" w:styleId="36">
    <w:name w:val="标题 2 字符"/>
    <w:link w:val="2"/>
    <w:qFormat/>
    <w:uiPriority w:val="0"/>
    <w:rPr>
      <w:rFonts w:ascii="Arial" w:hAnsi="Arial" w:eastAsia="黑体"/>
      <w:bCs/>
      <w:sz w:val="28"/>
      <w:szCs w:val="32"/>
    </w:rPr>
  </w:style>
  <w:style w:type="character" w:customStyle="1" w:styleId="37">
    <w:name w:val="标题 3 字符"/>
    <w:link w:val="4"/>
    <w:qFormat/>
    <w:uiPriority w:val="0"/>
    <w:rPr>
      <w:b/>
      <w:bCs/>
      <w:kern w:val="2"/>
      <w:sz w:val="21"/>
      <w:szCs w:val="32"/>
    </w:rPr>
  </w:style>
  <w:style w:type="character" w:customStyle="1" w:styleId="38">
    <w:name w:val="标题 4 字符"/>
    <w:link w:val="5"/>
    <w:qFormat/>
    <w:uiPriority w:val="0"/>
    <w:rPr>
      <w:rFonts w:ascii="Cambria" w:hAnsi="Cambria" w:eastAsia="黑体"/>
      <w:bCs/>
      <w:kern w:val="2"/>
      <w:sz w:val="24"/>
      <w:szCs w:val="28"/>
    </w:rPr>
  </w:style>
  <w:style w:type="character" w:customStyle="1" w:styleId="39">
    <w:name w:val="标题 8 字符"/>
    <w:link w:val="6"/>
    <w:qFormat/>
    <w:uiPriority w:val="0"/>
    <w:rPr>
      <w:rFonts w:ascii="Cambria" w:hAnsi="Cambria" w:eastAsia="宋体" w:cs="Times New Roman"/>
      <w:kern w:val="2"/>
      <w:sz w:val="24"/>
      <w:szCs w:val="24"/>
    </w:rPr>
  </w:style>
  <w:style w:type="character" w:customStyle="1" w:styleId="40">
    <w:name w:val="批注文字 字符"/>
    <w:link w:val="11"/>
    <w:qFormat/>
    <w:uiPriority w:val="99"/>
    <w:rPr>
      <w:kern w:val="2"/>
      <w:sz w:val="21"/>
    </w:rPr>
  </w:style>
  <w:style w:type="character" w:customStyle="1" w:styleId="41">
    <w:name w:val="正文文本 3 字符"/>
    <w:link w:val="12"/>
    <w:qFormat/>
    <w:uiPriority w:val="0"/>
    <w:rPr>
      <w:sz w:val="16"/>
      <w:szCs w:val="16"/>
    </w:rPr>
  </w:style>
  <w:style w:type="character" w:customStyle="1" w:styleId="42">
    <w:name w:val="正文文本 字符"/>
    <w:link w:val="13"/>
    <w:qFormat/>
    <w:uiPriority w:val="0"/>
    <w:rPr>
      <w:kern w:val="2"/>
      <w:sz w:val="24"/>
    </w:rPr>
  </w:style>
  <w:style w:type="character" w:customStyle="1" w:styleId="43">
    <w:name w:val="纯文本 字符"/>
    <w:link w:val="15"/>
    <w:qFormat/>
    <w:uiPriority w:val="0"/>
    <w:rPr>
      <w:rFonts w:ascii="宋体" w:hAnsi="Courier New"/>
      <w:kern w:val="2"/>
      <w:sz w:val="21"/>
    </w:rPr>
  </w:style>
  <w:style w:type="character" w:customStyle="1" w:styleId="44">
    <w:name w:val="批注框文本 字符"/>
    <w:link w:val="18"/>
    <w:qFormat/>
    <w:uiPriority w:val="0"/>
    <w:rPr>
      <w:kern w:val="2"/>
      <w:sz w:val="18"/>
      <w:szCs w:val="18"/>
    </w:rPr>
  </w:style>
  <w:style w:type="character" w:customStyle="1" w:styleId="45">
    <w:name w:val="页脚 字符"/>
    <w:link w:val="19"/>
    <w:qFormat/>
    <w:uiPriority w:val="99"/>
    <w:rPr>
      <w:kern w:val="2"/>
      <w:sz w:val="18"/>
    </w:rPr>
  </w:style>
  <w:style w:type="character" w:customStyle="1" w:styleId="46">
    <w:name w:val="页眉 字符"/>
    <w:link w:val="20"/>
    <w:qFormat/>
    <w:uiPriority w:val="99"/>
    <w:rPr>
      <w:kern w:val="2"/>
      <w:sz w:val="18"/>
    </w:rPr>
  </w:style>
  <w:style w:type="character" w:customStyle="1" w:styleId="47">
    <w:name w:val="标题 字符"/>
    <w:link w:val="25"/>
    <w:qFormat/>
    <w:uiPriority w:val="0"/>
    <w:rPr>
      <w:rFonts w:ascii="Cambria" w:hAnsi="Cambria" w:eastAsia="黑体"/>
      <w:kern w:val="44"/>
      <w:sz w:val="36"/>
      <w:szCs w:val="32"/>
    </w:rPr>
  </w:style>
  <w:style w:type="character" w:customStyle="1" w:styleId="48">
    <w:name w:val="批注主题 字符"/>
    <w:link w:val="26"/>
    <w:qFormat/>
    <w:uiPriority w:val="0"/>
    <w:rPr>
      <w:b/>
      <w:bCs/>
      <w:kern w:val="2"/>
      <w:sz w:val="21"/>
    </w:rPr>
  </w:style>
  <w:style w:type="character" w:customStyle="1" w:styleId="49">
    <w:name w:val="unnamed11"/>
    <w:qFormat/>
    <w:uiPriority w:val="0"/>
    <w:rPr>
      <w:u w:val="none"/>
    </w:rPr>
  </w:style>
  <w:style w:type="character" w:customStyle="1" w:styleId="50">
    <w:name w:val="专用功能1"/>
    <w:qFormat/>
    <w:uiPriority w:val="0"/>
    <w:rPr>
      <w:color w:val="666666"/>
      <w:sz w:val="20"/>
    </w:rPr>
  </w:style>
  <w:style w:type="character" w:customStyle="1" w:styleId="51">
    <w:name w:val="标题 2 Char"/>
    <w:qFormat/>
    <w:uiPriority w:val="0"/>
    <w:rPr>
      <w:rFonts w:ascii="Arial" w:hAnsi="Arial" w:eastAsia="黑体"/>
      <w:b/>
      <w:bCs/>
      <w:sz w:val="32"/>
      <w:szCs w:val="32"/>
    </w:rPr>
  </w:style>
  <w:style w:type="paragraph" w:customStyle="1" w:styleId="52">
    <w:name w:val="目录 71"/>
    <w:basedOn w:val="1"/>
    <w:next w:val="1"/>
    <w:qFormat/>
    <w:uiPriority w:val="0"/>
    <w:pPr>
      <w:ind w:left="1260"/>
      <w:jc w:val="left"/>
    </w:pPr>
    <w:rPr>
      <w:rFonts w:ascii="Calibri" w:hAnsi="Calibri" w:cs="Calibri"/>
      <w:sz w:val="18"/>
      <w:szCs w:val="18"/>
    </w:rPr>
  </w:style>
  <w:style w:type="paragraph" w:customStyle="1" w:styleId="53">
    <w:name w:val="正文1"/>
    <w:basedOn w:val="1"/>
    <w:qFormat/>
    <w:uiPriority w:val="0"/>
    <w:pPr>
      <w:spacing w:line="360" w:lineRule="atLeast"/>
      <w:jc w:val="left"/>
      <w:textAlignment w:val="baseline"/>
    </w:pPr>
    <w:rPr>
      <w:rFonts w:ascii="宋体"/>
      <w:b/>
      <w:kern w:val="0"/>
    </w:rPr>
  </w:style>
  <w:style w:type="paragraph" w:customStyle="1" w:styleId="54">
    <w:name w:val="_Style 52"/>
    <w:qFormat/>
    <w:uiPriority w:val="0"/>
    <w:rPr>
      <w:rFonts w:ascii="Times New Roman" w:hAnsi="Times New Roman" w:eastAsia="宋体" w:cs="Times New Roman"/>
      <w:kern w:val="2"/>
      <w:sz w:val="21"/>
      <w:lang w:val="en-US" w:eastAsia="zh-CN" w:bidi="ar-SA"/>
    </w:rPr>
  </w:style>
  <w:style w:type="paragraph" w:customStyle="1" w:styleId="5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6">
    <w:name w:val="目录 31"/>
    <w:basedOn w:val="1"/>
    <w:next w:val="1"/>
    <w:qFormat/>
    <w:uiPriority w:val="39"/>
    <w:pPr>
      <w:ind w:left="420"/>
      <w:jc w:val="left"/>
    </w:pPr>
    <w:rPr>
      <w:rFonts w:ascii="Calibri" w:hAnsi="Calibri" w:cs="Calibri"/>
      <w:i/>
      <w:iCs/>
      <w:sz w:val="20"/>
    </w:rPr>
  </w:style>
  <w:style w:type="paragraph" w:customStyle="1" w:styleId="57">
    <w:name w:val="目录 51"/>
    <w:basedOn w:val="1"/>
    <w:next w:val="1"/>
    <w:qFormat/>
    <w:uiPriority w:val="0"/>
    <w:pPr>
      <w:ind w:left="840"/>
      <w:jc w:val="left"/>
    </w:pPr>
    <w:rPr>
      <w:rFonts w:ascii="Calibri" w:hAnsi="Calibri" w:cs="Calibri"/>
      <w:sz w:val="18"/>
      <w:szCs w:val="18"/>
    </w:rPr>
  </w:style>
  <w:style w:type="paragraph" w:customStyle="1" w:styleId="58">
    <w:name w:val="目录 91"/>
    <w:basedOn w:val="1"/>
    <w:next w:val="1"/>
    <w:qFormat/>
    <w:uiPriority w:val="0"/>
    <w:pPr>
      <w:ind w:left="1680"/>
      <w:jc w:val="left"/>
    </w:pPr>
    <w:rPr>
      <w:rFonts w:ascii="Calibri" w:hAnsi="Calibri" w:cs="Calibri"/>
      <w:sz w:val="18"/>
      <w:szCs w:val="18"/>
    </w:rPr>
  </w:style>
  <w:style w:type="paragraph" w:customStyle="1" w:styleId="59">
    <w:name w:val="目录 81"/>
    <w:basedOn w:val="1"/>
    <w:next w:val="1"/>
    <w:qFormat/>
    <w:uiPriority w:val="0"/>
    <w:pPr>
      <w:ind w:left="1470"/>
      <w:jc w:val="left"/>
    </w:pPr>
    <w:rPr>
      <w:rFonts w:ascii="Calibri" w:hAnsi="Calibri" w:cs="Calibri"/>
      <w:sz w:val="18"/>
      <w:szCs w:val="18"/>
    </w:rPr>
  </w:style>
  <w:style w:type="paragraph" w:customStyle="1" w:styleId="60">
    <w:name w:val="目录 21"/>
    <w:basedOn w:val="1"/>
    <w:next w:val="1"/>
    <w:qFormat/>
    <w:uiPriority w:val="39"/>
    <w:pPr>
      <w:ind w:left="210"/>
      <w:jc w:val="left"/>
    </w:pPr>
    <w:rPr>
      <w:rFonts w:ascii="Calibri" w:hAnsi="Calibri" w:cs="Calibri"/>
      <w:smallCaps/>
      <w:sz w:val="20"/>
    </w:rPr>
  </w:style>
  <w:style w:type="paragraph" w:customStyle="1" w:styleId="61">
    <w:name w:val="目录 61"/>
    <w:basedOn w:val="1"/>
    <w:next w:val="1"/>
    <w:qFormat/>
    <w:uiPriority w:val="0"/>
    <w:pPr>
      <w:ind w:left="1050"/>
      <w:jc w:val="left"/>
    </w:pPr>
    <w:rPr>
      <w:rFonts w:ascii="Calibri" w:hAnsi="Calibri" w:cs="Calibri"/>
      <w:sz w:val="18"/>
      <w:szCs w:val="18"/>
    </w:rPr>
  </w:style>
  <w:style w:type="paragraph" w:customStyle="1" w:styleId="62">
    <w:name w:val="目录 11"/>
    <w:basedOn w:val="1"/>
    <w:next w:val="1"/>
    <w:qFormat/>
    <w:uiPriority w:val="39"/>
    <w:pPr>
      <w:spacing w:before="120" w:after="120"/>
      <w:jc w:val="left"/>
    </w:pPr>
    <w:rPr>
      <w:rFonts w:ascii="Calibri" w:hAnsi="Calibri" w:cs="Calibri"/>
      <w:b/>
      <w:bCs/>
      <w:caps/>
      <w:sz w:val="20"/>
    </w:rPr>
  </w:style>
  <w:style w:type="paragraph" w:customStyle="1" w:styleId="6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目录 41"/>
    <w:basedOn w:val="1"/>
    <w:next w:val="1"/>
    <w:qFormat/>
    <w:uiPriority w:val="0"/>
    <w:pPr>
      <w:ind w:left="630"/>
      <w:jc w:val="left"/>
    </w:pPr>
    <w:rPr>
      <w:rFonts w:ascii="Calibri" w:hAnsi="Calibri" w:cs="Calibri"/>
      <w:sz w:val="18"/>
      <w:szCs w:val="18"/>
    </w:rPr>
  </w:style>
  <w:style w:type="paragraph" w:customStyle="1" w:styleId="65">
    <w:name w:val="样式2"/>
    <w:basedOn w:val="1"/>
    <w:qFormat/>
    <w:uiPriority w:val="0"/>
    <w:pPr>
      <w:spacing w:line="410" w:lineRule="atLeast"/>
      <w:jc w:val="left"/>
      <w:textAlignment w:val="baseline"/>
    </w:pPr>
    <w:rPr>
      <w:kern w:val="0"/>
    </w:rPr>
  </w:style>
  <w:style w:type="paragraph" w:customStyle="1" w:styleId="66">
    <w:name w:val="55"/>
    <w:basedOn w:val="1"/>
    <w:qFormat/>
    <w:uiPriority w:val="0"/>
    <w:pPr>
      <w:spacing w:line="500" w:lineRule="exact"/>
      <w:ind w:firstLine="629"/>
    </w:pPr>
    <w:rPr>
      <w:rFonts w:ascii="仿宋_GB2312" w:eastAsia="仿宋_GB2312"/>
      <w:sz w:val="28"/>
      <w:szCs w:val="28"/>
    </w:rPr>
  </w:style>
  <w:style w:type="paragraph" w:customStyle="1" w:styleId="67">
    <w:name w:val="p0"/>
    <w:basedOn w:val="1"/>
    <w:qFormat/>
    <w:uiPriority w:val="0"/>
    <w:pPr>
      <w:widowControl/>
    </w:pPr>
    <w:rPr>
      <w:kern w:val="0"/>
    </w:rPr>
  </w:style>
  <w:style w:type="paragraph" w:customStyle="1" w:styleId="68">
    <w:name w:val="表格侧编号"/>
    <w:next w:val="1"/>
    <w:qFormat/>
    <w:uiPriority w:val="0"/>
    <w:pPr>
      <w:widowControl w:val="0"/>
      <w:jc w:val="center"/>
    </w:pPr>
    <w:rPr>
      <w:rFonts w:ascii="宋体" w:hAnsi="宋体" w:eastAsia="宋体" w:cs="Times New Roman"/>
      <w:kern w:val="2"/>
      <w:sz w:val="21"/>
      <w:lang w:val="en-US" w:eastAsia="zh-CN" w:bidi="ar-SA"/>
    </w:rPr>
  </w:style>
  <w:style w:type="paragraph" w:customStyle="1" w:styleId="69">
    <w:name w:val="附件"/>
    <w:basedOn w:val="1"/>
    <w:qFormat/>
    <w:uiPriority w:val="0"/>
    <w:pPr>
      <w:spacing w:before="120" w:after="60"/>
      <w:jc w:val="center"/>
      <w:textAlignment w:val="center"/>
    </w:pPr>
    <w:rPr>
      <w:rFonts w:ascii="黑体" w:eastAsia="黑体"/>
      <w:b/>
      <w:kern w:val="0"/>
      <w:sz w:val="32"/>
      <w:szCs w:val="32"/>
    </w:rPr>
  </w:style>
  <w:style w:type="paragraph" w:customStyle="1" w:styleId="70">
    <w:name w:val="表格"/>
    <w:basedOn w:val="1"/>
    <w:qFormat/>
    <w:uiPriority w:val="0"/>
    <w:pPr>
      <w:spacing w:before="60" w:after="60"/>
      <w:jc w:val="center"/>
      <w:textAlignment w:val="baseline"/>
    </w:pPr>
    <w:rPr>
      <w:rFonts w:ascii="宋体"/>
      <w:kern w:val="0"/>
    </w:rPr>
  </w:style>
  <w:style w:type="paragraph" w:customStyle="1" w:styleId="71">
    <w:name w:val="Char"/>
    <w:basedOn w:val="1"/>
    <w:qFormat/>
    <w:uiPriority w:val="0"/>
    <w:pPr>
      <w:spacing w:line="360" w:lineRule="auto"/>
    </w:pPr>
    <w:rPr>
      <w:kern w:val="0"/>
    </w:rPr>
  </w:style>
  <w:style w:type="paragraph" w:customStyle="1" w:styleId="72">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73">
    <w:name w:val="金正文1"/>
    <w:basedOn w:val="1"/>
    <w:qFormat/>
    <w:uiPriority w:val="0"/>
    <w:pPr>
      <w:spacing w:line="360" w:lineRule="auto"/>
      <w:jc w:val="left"/>
    </w:pPr>
  </w:style>
  <w:style w:type="paragraph" w:customStyle="1" w:styleId="74">
    <w:name w:val="默认段落字体 Para Char Char Char Char"/>
    <w:basedOn w:val="1"/>
    <w:qFormat/>
    <w:uiPriority w:val="0"/>
  </w:style>
  <w:style w:type="paragraph" w:customStyle="1" w:styleId="75">
    <w:name w:val="正文文本 31"/>
    <w:basedOn w:val="1"/>
    <w:qFormat/>
    <w:uiPriority w:val="0"/>
    <w:pPr>
      <w:spacing w:line="360" w:lineRule="auto"/>
      <w:jc w:val="center"/>
      <w:textAlignment w:val="baseline"/>
    </w:pPr>
    <w:rPr>
      <w:rFonts w:ascii="宋体"/>
      <w:b/>
      <w:color w:val="FF0000"/>
      <w:kern w:val="0"/>
      <w:u w:val="single"/>
    </w:rPr>
  </w:style>
  <w:style w:type="paragraph" w:customStyle="1" w:styleId="76">
    <w:name w:val="样式 55 + (西文) Times New Roman (中文) 宋体 五号 加粗 行距: 1.5 倍行距"/>
    <w:basedOn w:val="66"/>
    <w:qFormat/>
    <w:uiPriority w:val="0"/>
    <w:pPr>
      <w:spacing w:line="360" w:lineRule="auto"/>
      <w:ind w:firstLine="0"/>
    </w:pPr>
    <w:rPr>
      <w:rFonts w:ascii="Times New Roman" w:eastAsia="黑体" w:cs="宋体"/>
      <w:bCs/>
      <w:szCs w:val="20"/>
    </w:rPr>
  </w:style>
  <w:style w:type="paragraph" w:customStyle="1" w:styleId="77">
    <w:name w:val="标题2（新）"/>
    <w:basedOn w:val="2"/>
    <w:qFormat/>
    <w:uiPriority w:val="0"/>
    <w:pPr>
      <w:widowControl/>
      <w:spacing w:before="0" w:beforeLines="0" w:line="440" w:lineRule="exact"/>
    </w:pPr>
    <w:rPr>
      <w:rFonts w:ascii="宋体" w:eastAsia="宋体" w:cs="宋体"/>
      <w:szCs w:val="28"/>
    </w:rPr>
  </w:style>
  <w:style w:type="paragraph" w:customStyle="1" w:styleId="78">
    <w:name w:val="Char Char Char"/>
    <w:basedOn w:val="1"/>
    <w:qFormat/>
    <w:uiPriority w:val="0"/>
    <w:rPr>
      <w:rFonts w:ascii="Tahoma" w:hAnsi="Tahoma"/>
    </w:rPr>
  </w:style>
  <w:style w:type="paragraph" w:customStyle="1" w:styleId="79">
    <w:name w:val="_Style 77"/>
    <w:basedOn w:val="3"/>
    <w:next w:val="1"/>
    <w:qFormat/>
    <w:uiPriority w:val="39"/>
    <w:pPr>
      <w:widowControl/>
      <w:spacing w:before="480" w:after="0" w:afterLines="50" w:line="276" w:lineRule="auto"/>
      <w:jc w:val="left"/>
      <w:outlineLvl w:val="9"/>
    </w:pPr>
    <w:rPr>
      <w:rFonts w:ascii="Cambria" w:hAnsi="Cambria"/>
      <w:color w:val="365F91"/>
      <w:kern w:val="0"/>
      <w:sz w:val="28"/>
      <w:szCs w:val="28"/>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1">
    <w:name w:val="No Spacing"/>
    <w:link w:val="82"/>
    <w:qFormat/>
    <w:uiPriority w:val="1"/>
    <w:rPr>
      <w:rFonts w:ascii="Calibri" w:hAnsi="Calibri" w:eastAsia="宋体" w:cs="Times New Roman"/>
      <w:sz w:val="22"/>
      <w:szCs w:val="22"/>
      <w:lang w:val="en-US" w:eastAsia="zh-CN" w:bidi="ar-SA"/>
    </w:rPr>
  </w:style>
  <w:style w:type="character" w:customStyle="1" w:styleId="82">
    <w:name w:val="无间隔 字符"/>
    <w:link w:val="81"/>
    <w:qFormat/>
    <w:uiPriority w:val="1"/>
    <w:rPr>
      <w:rFonts w:ascii="Calibri" w:hAnsi="Calibri"/>
      <w:sz w:val="22"/>
      <w:szCs w:val="22"/>
      <w:lang w:val="en-US" w:eastAsia="zh-CN" w:bidi="ar-SA"/>
    </w:rPr>
  </w:style>
  <w:style w:type="character" w:customStyle="1" w:styleId="83">
    <w:name w:val="正文文本 3 Char1"/>
    <w:semiHidden/>
    <w:qFormat/>
    <w:uiPriority w:val="99"/>
    <w:rPr>
      <w:kern w:val="2"/>
      <w:sz w:val="16"/>
      <w:szCs w:val="16"/>
    </w:rPr>
  </w:style>
  <w:style w:type="paragraph" w:customStyle="1" w:styleId="84">
    <w:name w:val="表格文字"/>
    <w:basedOn w:val="13"/>
    <w:qFormat/>
    <w:uiPriority w:val="0"/>
    <w:pPr>
      <w:spacing w:before="20" w:after="20" w:line="360" w:lineRule="atLeast"/>
      <w:textAlignment w:val="baseline"/>
    </w:pPr>
    <w:rPr>
      <w:rFonts w:ascii="Century Gothic" w:hAnsi="Century Gothic"/>
      <w:sz w:val="20"/>
    </w:rPr>
  </w:style>
  <w:style w:type="paragraph" w:customStyle="1" w:styleId="85">
    <w:name w:val="列出段落1"/>
    <w:basedOn w:val="1"/>
    <w:qFormat/>
    <w:uiPriority w:val="34"/>
    <w:pPr>
      <w:ind w:firstLine="420"/>
    </w:pPr>
  </w:style>
  <w:style w:type="paragraph" w:customStyle="1" w:styleId="86">
    <w:name w:val="Normal_4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87">
    <w:name w:val="列出段落11"/>
    <w:basedOn w:val="1"/>
    <w:qFormat/>
    <w:uiPriority w:val="34"/>
    <w:pPr>
      <w:ind w:firstLine="420"/>
    </w:pPr>
    <w:rPr>
      <w:rFonts w:ascii="Calibri" w:hAnsi="Calibri"/>
      <w:szCs w:val="22"/>
    </w:rPr>
  </w:style>
  <w:style w:type="character" w:customStyle="1" w:styleId="88">
    <w:name w:val="无间隔 Char1"/>
    <w:qFormat/>
    <w:uiPriority w:val="1"/>
    <w:rPr>
      <w:rFonts w:ascii="Calibri" w:hAnsi="Calibri" w:eastAsia="宋体"/>
      <w:kern w:val="2"/>
      <w:sz w:val="21"/>
      <w:szCs w:val="22"/>
      <w:lang w:bidi="ar-SA"/>
    </w:rPr>
  </w:style>
  <w:style w:type="paragraph" w:customStyle="1" w:styleId="89">
    <w:name w:val="目录1"/>
    <w:basedOn w:val="1"/>
    <w:qFormat/>
    <w:uiPriority w:val="0"/>
    <w:rPr>
      <w:rFonts w:ascii="黑体" w:eastAsia="黑体"/>
      <w:sz w:val="52"/>
      <w:szCs w:val="52"/>
    </w:rPr>
  </w:style>
  <w:style w:type="character" w:customStyle="1" w:styleId="90">
    <w:name w:val="无间隔 Char"/>
    <w:qFormat/>
    <w:uiPriority w:val="1"/>
    <w:rPr>
      <w:rFonts w:ascii="Calibri" w:hAnsi="Calibri"/>
      <w:sz w:val="22"/>
      <w:szCs w:val="22"/>
      <w:lang w:val="en-US" w:eastAsia="zh-CN" w:bidi="ar-SA"/>
    </w:rPr>
  </w:style>
  <w:style w:type="paragraph" w:customStyle="1" w:styleId="91">
    <w:name w:val="CM20"/>
    <w:basedOn w:val="80"/>
    <w:next w:val="80"/>
    <w:unhideWhenUsed/>
    <w:qFormat/>
    <w:uiPriority w:val="99"/>
  </w:style>
  <w:style w:type="paragraph" w:customStyle="1" w:styleId="92">
    <w:name w:val="修订1"/>
    <w:hidden/>
    <w:semiHidden/>
    <w:qFormat/>
    <w:uiPriority w:val="99"/>
    <w:rPr>
      <w:rFonts w:ascii="Times New Roman" w:hAnsi="Times New Roman" w:eastAsia="宋体" w:cs="Times New Roman"/>
      <w:kern w:val="2"/>
      <w:sz w:val="24"/>
      <w:lang w:val="en-US" w:eastAsia="zh-CN" w:bidi="ar-SA"/>
    </w:rPr>
  </w:style>
  <w:style w:type="paragraph" w:customStyle="1" w:styleId="93">
    <w:name w:val="修订2"/>
    <w:hidden/>
    <w:semiHidden/>
    <w:qFormat/>
    <w:uiPriority w:val="99"/>
    <w:rPr>
      <w:rFonts w:ascii="Times New Roman" w:hAnsi="Times New Roman" w:eastAsia="宋体" w:cs="Times New Roman"/>
      <w:kern w:val="2"/>
      <w:sz w:val="24"/>
      <w:lang w:val="en-US" w:eastAsia="zh-CN" w:bidi="ar-SA"/>
    </w:rPr>
  </w:style>
  <w:style w:type="paragraph" w:customStyle="1" w:styleId="94">
    <w:name w:val="修订3"/>
    <w:hidden/>
    <w:semiHidden/>
    <w:qFormat/>
    <w:uiPriority w:val="99"/>
    <w:rPr>
      <w:rFonts w:ascii="Times New Roman" w:hAnsi="Times New Roman" w:eastAsia="宋体" w:cs="Times New Roman"/>
      <w:kern w:val="2"/>
      <w:sz w:val="24"/>
      <w:lang w:val="en-US" w:eastAsia="zh-CN" w:bidi="ar-SA"/>
    </w:rPr>
  </w:style>
  <w:style w:type="paragraph" w:customStyle="1" w:styleId="95">
    <w:name w:val="Revision"/>
    <w:hidden/>
    <w:semiHidden/>
    <w:qFormat/>
    <w:uiPriority w:val="99"/>
    <w:rPr>
      <w:rFonts w:ascii="Times New Roman" w:hAnsi="Times New Roman" w:eastAsia="宋体" w:cs="Times New Roman"/>
      <w:kern w:val="2"/>
      <w:sz w:val="24"/>
      <w:lang w:val="en-US" w:eastAsia="zh-CN" w:bidi="ar-SA"/>
    </w:rPr>
  </w:style>
  <w:style w:type="paragraph" w:customStyle="1" w:styleId="96">
    <w:name w:val="正文 A"/>
    <w:qFormat/>
    <w:uiPriority w:val="0"/>
    <w:pPr>
      <w:widowControl w:val="0"/>
      <w:spacing w:line="560" w:lineRule="exact"/>
      <w:jc w:val="both"/>
    </w:pPr>
    <w:rPr>
      <w:rFonts w:ascii="仿宋_GB2312" w:hAnsi="仿宋_GB2312" w:eastAsia="仿宋_GB2312" w:cs="仿宋_GB2312"/>
      <w:color w:val="00000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2368</Words>
  <Characters>13499</Characters>
  <Lines>112</Lines>
  <Paragraphs>31</Paragraphs>
  <TotalTime>3</TotalTime>
  <ScaleCrop>false</ScaleCrop>
  <LinksUpToDate>false</LinksUpToDate>
  <CharactersWithSpaces>15836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2023-04-25T09:28:00Z</dcterms:created>
  <dc:creator>cncdc</dc:creator>
  <cp:lastModifiedBy>皮耸</cp:lastModifiedBy>
  <cp:lastPrinted>2024-05-13T01:29:00Z</cp:lastPrinted>
  <dcterms:modified xsi:type="dcterms:W3CDTF">2024-05-15T22:48:02Z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C23B549C63F4422AB8BCAC6A02368EE3</vt:lpwstr>
  </property>
</Properties>
</file>