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中煤集团山西华昱能源有限公司</w:t>
      </w:r>
    </w:p>
    <w:p>
      <w:pPr>
        <w:pStyle w:val="2"/>
        <w:jc w:val="center"/>
        <w:rPr>
          <w:rFonts w:hint="eastAsia" w:ascii="黑体" w:hAnsi="黑体" w:eastAsia="黑体" w:cs="黑体"/>
          <w:sz w:val="48"/>
          <w:szCs w:val="48"/>
          <w:highlight w:val="yellow"/>
          <w:lang w:val="en-US" w:eastAsia="zh-CN"/>
        </w:rPr>
      </w:pPr>
      <w:r>
        <w:rPr>
          <w:rFonts w:hint="eastAsia" w:ascii="黑体" w:hAnsi="黑体" w:eastAsia="黑体" w:cs="黑体"/>
          <w:sz w:val="48"/>
          <w:szCs w:val="48"/>
          <w:highlight w:val="none"/>
          <w:lang w:val="en-US" w:eastAsia="zh-CN"/>
        </w:rPr>
        <w:t>国兴煤业安全监控系统更换</w:t>
      </w:r>
    </w:p>
    <w:p>
      <w:pPr>
        <w:pStyle w:val="2"/>
        <w:jc w:val="center"/>
        <w:rPr>
          <w:rFonts w:ascii="黑体" w:hAnsi="黑体" w:eastAsia="黑体" w:cs="黑体"/>
          <w:sz w:val="48"/>
          <w:szCs w:val="48"/>
          <w:highlight w:val="none"/>
        </w:rPr>
      </w:pPr>
    </w:p>
    <w:p>
      <w:pPr>
        <w:pStyle w:val="2"/>
        <w:rPr>
          <w:rFonts w:ascii="黑体" w:hAnsi="黑体" w:eastAsia="黑体" w:cs="黑体"/>
          <w:sz w:val="48"/>
          <w:szCs w:val="48"/>
          <w:highlight w:val="none"/>
        </w:rPr>
      </w:pPr>
    </w:p>
    <w:p>
      <w:pPr>
        <w:pStyle w:val="2"/>
        <w:rPr>
          <w:rFonts w:ascii="黑体" w:hAnsi="黑体" w:eastAsia="黑体" w:cs="黑体"/>
          <w:sz w:val="48"/>
          <w:szCs w:val="48"/>
          <w:highlight w:val="none"/>
        </w:rPr>
      </w:pPr>
    </w:p>
    <w:p>
      <w:pPr>
        <w:pStyle w:val="2"/>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8"/>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XJ202404HYGC100</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color w:val="auto"/>
          <w:sz w:val="32"/>
          <w:szCs w:val="32"/>
          <w:highlight w:val="none"/>
          <w:shd w:val="clear" w:color="auto" w:fill="auto"/>
        </w:rPr>
        <w:t>：</w:t>
      </w:r>
      <w:r>
        <w:rPr>
          <w:rFonts w:hint="eastAsia" w:ascii="宋体" w:hAnsi="宋体" w:cs="宋体"/>
          <w:b w:val="0"/>
          <w:bCs w:val="0"/>
          <w:sz w:val="32"/>
          <w:szCs w:val="32"/>
          <w:highlight w:val="none"/>
          <w:lang w:eastAsia="zh-CN"/>
        </w:rPr>
        <w:t>中煤华昱公司国兴煤业</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yellow"/>
        </w:rPr>
      </w:pPr>
      <w:r>
        <w:rPr>
          <w:rFonts w:hint="eastAsia" w:ascii="宋体" w:hAnsi="宋体" w:cs="宋体"/>
          <w:b w:val="0"/>
          <w:bCs w:val="0"/>
          <w:highlight w:val="none"/>
        </w:rPr>
        <w:t>二零二</w:t>
      </w:r>
      <w:r>
        <w:rPr>
          <w:rFonts w:hint="eastAsia" w:ascii="宋体" w:hAnsi="宋体" w:cs="宋体"/>
          <w:b w:val="0"/>
          <w:bCs w:val="0"/>
          <w:highlight w:val="none"/>
          <w:lang w:eastAsia="zh-CN"/>
        </w:rPr>
        <w:t>四</w:t>
      </w:r>
      <w:r>
        <w:rPr>
          <w:rFonts w:hint="eastAsia" w:ascii="宋体" w:hAnsi="宋体" w:cs="宋体"/>
          <w:b w:val="0"/>
          <w:bCs w:val="0"/>
          <w:highlight w:val="none"/>
        </w:rPr>
        <w:t>年</w:t>
      </w:r>
      <w:r>
        <w:rPr>
          <w:rFonts w:hint="eastAsia" w:ascii="宋体" w:hAnsi="宋体" w:cs="宋体"/>
          <w:b w:val="0"/>
          <w:bCs w:val="0"/>
          <w:highlight w:val="none"/>
          <w:lang w:eastAsia="zh-CN"/>
        </w:rPr>
        <w:t>四</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18"/>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rPr>
          <w:highlight w:val="none"/>
        </w:rPr>
      </w:pPr>
    </w:p>
    <w:p>
      <w:pPr>
        <w:pStyle w:val="2"/>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val="en-US" w:eastAsia="zh-CN"/>
        </w:rPr>
        <w:t>中煤华昱公司国兴煤业安全监控系统更换项目</w:t>
      </w:r>
    </w:p>
    <w:p>
      <w:pPr>
        <w:spacing w:line="360" w:lineRule="auto"/>
        <w:ind w:firstLine="480" w:firstLineChars="200"/>
        <w:rPr>
          <w:rFonts w:hint="eastAsia"/>
          <w:lang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公开询比</w:t>
      </w:r>
    </w:p>
    <w:p>
      <w:pPr>
        <w:pStyle w:val="18"/>
        <w:rPr>
          <w:rFonts w:hint="default" w:eastAsia="宋体"/>
          <w:highlight w:val="none"/>
          <w:lang w:val="en-US" w:eastAsia="zh-CN"/>
        </w:rPr>
      </w:pPr>
      <w:r>
        <w:rPr>
          <w:rFonts w:hint="eastAsia" w:ascii="宋体" w:hAnsi="宋体" w:cs="宋体"/>
          <w:b w:val="0"/>
          <w:bCs w:val="0"/>
          <w:sz w:val="24"/>
          <w:szCs w:val="24"/>
          <w:highlight w:val="none"/>
          <w:lang w:val="en-US" w:eastAsia="zh-CN"/>
        </w:rPr>
        <w:t xml:space="preserve">    评审方式：综合评估法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2024年4月29日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报名截止日期：2024年5月6日07:40</w:t>
      </w:r>
      <w:bookmarkStart w:id="5" w:name="_GoBack"/>
      <w:bookmarkEnd w:id="5"/>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报价截止时间：2024年5月6日07:50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报价揭价时间：2024年5月6日08:00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国兴煤业安全监控系统(KJ83X(A)型)于2019年3月份升级改造完成并投入使用，厂家为北京煤炭科学技术研究院有限公司。该系统运行期间漏洞较多、隐患显，存在问题如下:1、系统故障率高，经常无规律的分站及传感器闪断故障断线:2、系统传输软件延迟大及数据遗漏，分站及传感器故障中断后复传数据时间对不上3、传感器本地故障闭锁断电大于两秒，不能满足AQ6201-2019规范要求;4、井下分站供电系统不稳定，传感器接入端口远距离供电电压不足造成传感器中5、现监控系统访问界面为网页版，不能实现客户端访问监控系统。经华昱公司会议研究决定，对现安全监控系统进行更换。</w:t>
      </w:r>
    </w:p>
    <w:p>
      <w:pPr>
        <w:spacing w:line="360" w:lineRule="auto"/>
        <w:ind w:firstLine="480" w:firstLineChars="200"/>
        <w:rPr>
          <w:rFonts w:hint="eastAsia" w:ascii="宋体" w:hAnsi="宋体" w:cs="宋体"/>
          <w:b w:val="0"/>
          <w:bCs w:val="0"/>
          <w:sz w:val="24"/>
          <w:szCs w:val="24"/>
          <w:highlight w:val="none"/>
          <w:lang w:val="en-GB" w:eastAsia="zh-CN"/>
        </w:rPr>
      </w:pPr>
      <w:r>
        <w:rPr>
          <w:rFonts w:hint="eastAsia" w:ascii="宋体" w:hAnsi="宋体" w:cs="宋体"/>
          <w:b w:val="0"/>
          <w:bCs w:val="0"/>
          <w:sz w:val="24"/>
          <w:szCs w:val="24"/>
          <w:highlight w:val="none"/>
          <w:lang w:val="en-US" w:eastAsia="zh-CN"/>
        </w:rPr>
        <w:t>2.资金来源：</w:t>
      </w:r>
      <w:r>
        <w:rPr>
          <w:rFonts w:hint="eastAsia" w:ascii="宋体" w:hAnsi="宋体" w:cs="宋体"/>
          <w:b w:val="0"/>
          <w:bCs w:val="0"/>
          <w:sz w:val="24"/>
          <w:szCs w:val="24"/>
          <w:highlight w:val="none"/>
          <w:lang w:val="en-GB" w:eastAsia="zh-CN"/>
        </w:rPr>
        <w:t>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3.工期（服务期）：合同签订之日起60日内</w:t>
      </w:r>
    </w:p>
    <w:p>
      <w:pPr>
        <w:spacing w:line="360" w:lineRule="auto"/>
        <w:ind w:firstLine="480" w:firstLineChars="200"/>
        <w:rPr>
          <w:rFonts w:hint="default"/>
          <w:color w:val="auto"/>
          <w:highlight w:val="none"/>
          <w:lang w:val="en-US" w:eastAsia="zh-CN"/>
        </w:rPr>
      </w:pPr>
      <w:r>
        <w:rPr>
          <w:rFonts w:hint="eastAsia" w:ascii="宋体" w:hAnsi="宋体" w:cs="宋体"/>
          <w:b w:val="0"/>
          <w:bCs w:val="0"/>
          <w:sz w:val="24"/>
          <w:szCs w:val="24"/>
          <w:highlight w:val="none"/>
          <w:lang w:val="en-US" w:eastAsia="zh-CN"/>
        </w:rPr>
        <w:t>4.服务地点：</w:t>
      </w:r>
      <w:r>
        <w:rPr>
          <w:rFonts w:hint="eastAsia" w:ascii="宋体" w:hAnsi="宋体" w:cs="宋体"/>
          <w:b w:val="0"/>
          <w:bCs w:val="0"/>
          <w:color w:val="auto"/>
          <w:sz w:val="24"/>
          <w:szCs w:val="24"/>
          <w:highlight w:val="none"/>
          <w:lang w:val="en-US" w:eastAsia="zh-CN"/>
        </w:rPr>
        <w:t>山西朔州平鲁区国兴煤业有限公司</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5.报价方式为固定总价（含税,税率6%）。</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w:t>
      </w:r>
      <w:r>
        <w:rPr>
          <w:rFonts w:hint="eastAsia" w:ascii="宋体" w:hAnsi="宋体" w:cs="宋体"/>
          <w:b w:val="0"/>
          <w:bCs w:val="0"/>
          <w:color w:val="auto"/>
          <w:sz w:val="24"/>
          <w:szCs w:val="24"/>
          <w:highlight w:val="none"/>
          <w:lang w:val="en-US" w:eastAsia="zh-CN"/>
        </w:rPr>
        <w:t>报价人必须在报价的同时提交报价书，盖企业公章后扫描成PDF文件并打包成压缩包上传。</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7.付款方式：执行中煤华昱公司相关付款流程。</w:t>
      </w:r>
    </w:p>
    <w:p>
      <w:pPr>
        <w:pStyle w:val="41"/>
        <w:adjustRightInd/>
        <w:snapToGrid/>
        <w:spacing w:before="0" w:beforeAutospacing="0" w:after="0" w:afterAutospacing="0" w:line="500" w:lineRule="exact"/>
        <w:ind w:firstLine="480" w:firstLineChars="200"/>
        <w:jc w:val="both"/>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8.验收标准：（1）供应商应保证所提供的设备和技术能达到本规格书所提出的各项要求。</w:t>
      </w:r>
    </w:p>
    <w:p>
      <w:pPr>
        <w:pStyle w:val="41"/>
        <w:adjustRightInd/>
        <w:snapToGrid/>
        <w:spacing w:before="0" w:beforeAutospacing="0" w:after="0" w:afterAutospacing="0" w:line="500" w:lineRule="exact"/>
        <w:ind w:firstLine="480" w:firstLineChars="200"/>
        <w:jc w:val="both"/>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（2）设备的验收应按合同规定的技术要求进行验收。</w:t>
      </w:r>
    </w:p>
    <w:p>
      <w:pPr>
        <w:pStyle w:val="41"/>
        <w:adjustRightInd/>
        <w:snapToGrid/>
        <w:spacing w:before="0" w:beforeAutospacing="0" w:after="0" w:afterAutospacing="0" w:line="500" w:lineRule="exact"/>
        <w:ind w:firstLine="480" w:firstLineChars="200"/>
        <w:jc w:val="both"/>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合同采购的设备安装、调试后，按确认后的验收大纲及验收标准或相应的国家标准，采购方和供应商共同对设备进行验收，达到验收标准后，且由供应商负责办理好系统的验收和备案工作后，双方共同签署设备验收合格证书后投入使用。</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GB" w:eastAsia="zh-CN"/>
        </w:rPr>
      </w:pPr>
      <w:r>
        <w:rPr>
          <w:rFonts w:hint="eastAsia" w:ascii="宋体" w:hAnsi="宋体" w:cs="宋体"/>
          <w:b w:val="0"/>
          <w:bCs w:val="0"/>
          <w:sz w:val="24"/>
          <w:szCs w:val="24"/>
          <w:highlight w:val="none"/>
          <w:lang w:val="en-GB" w:eastAsia="zh-CN"/>
        </w:rPr>
        <w:t>1、</w:t>
      </w:r>
      <w:r>
        <w:rPr>
          <w:rFonts w:hint="eastAsia" w:ascii="宋体" w:hAnsi="宋体" w:cs="宋体"/>
          <w:b w:val="0"/>
          <w:bCs w:val="0"/>
          <w:sz w:val="24"/>
          <w:szCs w:val="24"/>
          <w:highlight w:val="none"/>
          <w:lang w:val="en-US" w:eastAsia="zh-CN"/>
        </w:rPr>
        <w:t>报价人应具有中华人民共和国境内注册的独立法人资格。</w:t>
      </w:r>
    </w:p>
    <w:p>
      <w:pPr>
        <w:spacing w:line="360" w:lineRule="auto"/>
        <w:ind w:firstLine="480" w:firstLineChars="200"/>
        <w:rPr>
          <w:rFonts w:hint="eastAsia" w:ascii="宋体" w:hAnsi="宋体" w:cs="宋体"/>
          <w:b w:val="0"/>
          <w:bCs w:val="0"/>
          <w:sz w:val="24"/>
          <w:szCs w:val="24"/>
          <w:highlight w:val="none"/>
          <w:lang w:val="en-GB" w:eastAsia="zh-CN"/>
        </w:rPr>
      </w:pP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lang w:val="en-GB" w:eastAsia="zh-CN"/>
        </w:rPr>
        <w:t>、报价人须有近三年（20</w:t>
      </w:r>
      <w:r>
        <w:rPr>
          <w:rFonts w:hint="eastAsia" w:ascii="宋体" w:hAnsi="宋体" w:cs="宋体"/>
          <w:b w:val="0"/>
          <w:bCs w:val="0"/>
          <w:sz w:val="24"/>
          <w:szCs w:val="24"/>
          <w:highlight w:val="none"/>
          <w:lang w:val="en-US" w:eastAsia="zh-CN"/>
        </w:rPr>
        <w:t>21</w:t>
      </w:r>
      <w:r>
        <w:rPr>
          <w:rFonts w:hint="eastAsia" w:ascii="宋体" w:hAnsi="宋体" w:cs="宋体"/>
          <w:b w:val="0"/>
          <w:bCs w:val="0"/>
          <w:sz w:val="24"/>
          <w:szCs w:val="24"/>
          <w:highlight w:val="none"/>
          <w:lang w:val="en-GB" w:eastAsia="zh-CN"/>
        </w:rPr>
        <w:t>年</w:t>
      </w:r>
      <w:r>
        <w:rPr>
          <w:rFonts w:hint="eastAsia" w:ascii="宋体" w:hAnsi="宋体" w:cs="宋体"/>
          <w:b w:val="0"/>
          <w:bCs w:val="0"/>
          <w:sz w:val="24"/>
          <w:szCs w:val="24"/>
          <w:highlight w:val="none"/>
          <w:lang w:val="en-US" w:eastAsia="zh-CN"/>
        </w:rPr>
        <w:t>至今，</w:t>
      </w:r>
      <w:r>
        <w:rPr>
          <w:rFonts w:hint="eastAsia" w:ascii="宋体" w:hAnsi="宋体" w:cs="宋体"/>
          <w:b w:val="0"/>
          <w:bCs w:val="0"/>
          <w:sz w:val="24"/>
          <w:szCs w:val="24"/>
          <w:highlight w:val="none"/>
          <w:lang w:val="en-GB" w:eastAsia="zh-CN"/>
        </w:rPr>
        <w:t>以签订合同时间为准）不少于3项同类项目业绩，且提供合同关键页。</w:t>
      </w:r>
    </w:p>
    <w:p>
      <w:pPr>
        <w:spacing w:line="360" w:lineRule="auto"/>
        <w:ind w:firstLine="480" w:firstLineChars="200"/>
        <w:rPr>
          <w:rFonts w:hint="eastAsia" w:ascii="宋体" w:hAnsi="宋体" w:cs="宋体"/>
          <w:b w:val="0"/>
          <w:bCs w:val="0"/>
          <w:sz w:val="24"/>
          <w:szCs w:val="24"/>
          <w:highlight w:val="none"/>
          <w:lang w:val="en-GB" w:eastAsia="zh-CN"/>
        </w:rPr>
      </w:pP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val="en-GB" w:eastAsia="zh-CN"/>
        </w:rPr>
        <w:t>、报价人与中煤集团山西华昱能源有限公司不存在未解决的各类纠纷（附承诺函，格式自拟）。</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lang w:val="en-GB" w:eastAsia="zh-CN"/>
        </w:rPr>
        <w:t>、本项目不接受联合体投标。</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潘先生       联系电话13934836380</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val="en-US" w:eastAsia="zh-CN"/>
        </w:rPr>
        <w:t>山西朔州平鲁区国兴煤业有限公司</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电子信箱：</w:t>
      </w:r>
      <w:r>
        <w:rPr>
          <w:rFonts w:hint="eastAsia" w:ascii="宋体" w:hAnsi="宋体" w:cs="宋体"/>
          <w:b w:val="0"/>
          <w:bCs w:val="0"/>
          <w:sz w:val="24"/>
          <w:szCs w:val="24"/>
          <w:highlight w:val="none"/>
          <w:lang w:val="en-US" w:eastAsia="zh-CN"/>
        </w:rPr>
        <w:t>328054220@qq.com</w:t>
      </w:r>
    </w:p>
    <w:p>
      <w:pPr>
        <w:spacing w:line="360" w:lineRule="auto"/>
        <w:jc w:val="center"/>
        <w:rPr>
          <w:rFonts w:hint="eastAsia" w:ascii="宋体" w:hAnsi="宋体" w:eastAsia="黑体" w:cs="宋体"/>
          <w:b w:val="0"/>
          <w:bCs w:val="0"/>
          <w:sz w:val="32"/>
          <w:szCs w:val="32"/>
          <w:highlight w:val="none"/>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r>
        <w:rPr>
          <w:rFonts w:hint="eastAsia" w:ascii="宋体" w:hAnsi="宋体" w:cs="宋体"/>
          <w:b w:val="0"/>
          <w:bCs w:val="0"/>
          <w:sz w:val="24"/>
          <w:szCs w:val="24"/>
          <w:highlight w:val="none"/>
          <w:lang w:val="en-US" w:eastAsia="zh-CN"/>
        </w:rPr>
        <w:t>/工程</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b w:val="0"/>
          <w:bCs w:val="0"/>
          <w:color w:val="000000"/>
          <w:sz w:val="24"/>
          <w:szCs w:val="24"/>
          <w:highlight w:val="none"/>
        </w:rPr>
        <w:t>报价为含税价</w:t>
      </w:r>
      <w:r>
        <w:rPr>
          <w:rFonts w:hint="eastAsia" w:ascii="宋体" w:hAnsi="宋体" w:cs="宋体"/>
          <w:color w:val="000000"/>
          <w:sz w:val="24"/>
          <w:szCs w:val="24"/>
          <w:highlight w:val="none"/>
        </w:rPr>
        <w:t>（</w:t>
      </w:r>
      <w:r>
        <w:rPr>
          <w:rFonts w:hint="eastAsia" w:ascii="宋体" w:hAnsi="宋体" w:cs="宋体"/>
          <w:b w:val="0"/>
          <w:bCs w:val="0"/>
          <w:sz w:val="24"/>
          <w:szCs w:val="24"/>
          <w:highlight w:val="none"/>
          <w:lang w:val="en-US" w:eastAsia="zh-CN"/>
        </w:rPr>
        <w:t>税率6%</w:t>
      </w:r>
      <w:r>
        <w:rPr>
          <w:rFonts w:hint="eastAsia" w:ascii="宋体" w:hAnsi="宋体" w:cs="宋体"/>
          <w:color w:val="000000"/>
          <w:sz w:val="24"/>
          <w:szCs w:val="24"/>
          <w:highlight w:val="none"/>
        </w:rPr>
        <w:t>）。</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单价与总价有出入，以单价为准。工程类应列明工程报价。</w:t>
      </w:r>
    </w:p>
    <w:p>
      <w:pPr>
        <w:pStyle w:val="21"/>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hAnsi="宋体" w:cs="宋体"/>
          <w:sz w:val="24"/>
          <w:szCs w:val="24"/>
          <w:highlight w:val="none"/>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本次询价内容依据以下评审原则进行综合</w:t>
      </w:r>
      <w:r>
        <w:rPr>
          <w:rFonts w:hint="eastAsia" w:ascii="宋体" w:hAnsi="宋体" w:cs="宋体"/>
          <w:b w:val="0"/>
          <w:bCs w:val="0"/>
          <w:sz w:val="24"/>
          <w:szCs w:val="24"/>
          <w:highlight w:val="none"/>
          <w:lang w:eastAsia="zh-CN"/>
        </w:rPr>
        <w:t>评估法</w:t>
      </w:r>
      <w:r>
        <w:rPr>
          <w:rFonts w:hint="eastAsia" w:ascii="宋体" w:hAnsi="宋体" w:cs="宋体"/>
          <w:b w:val="0"/>
          <w:bCs w:val="0"/>
          <w:sz w:val="24"/>
          <w:szCs w:val="24"/>
          <w:highlight w:val="none"/>
        </w:rPr>
        <w:t>。评审小组对</w:t>
      </w:r>
      <w:r>
        <w:rPr>
          <w:rFonts w:hint="eastAsia" w:ascii="宋体" w:hAnsi="宋体" w:cs="宋体"/>
          <w:b w:val="0"/>
          <w:bCs w:val="0"/>
          <w:sz w:val="24"/>
          <w:szCs w:val="24"/>
          <w:highlight w:val="none"/>
          <w:lang w:eastAsia="zh-CN"/>
        </w:rPr>
        <w:t>满足询价文件要求的所有报价文件的技术、商务分别进行评审评分，对价格进行审核修正并计算评分，按综合评分由高到低的顺序对报价人进行排序，推荐候选成交人。</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A.</w:t>
      </w: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pStyle w:val="18"/>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B.评审内容</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cs="宋体"/>
          <w:b w:val="0"/>
          <w:bCs w:val="0"/>
          <w:sz w:val="24"/>
          <w:szCs w:val="24"/>
          <w:highlight w:val="none"/>
          <w:lang w:val="en-US" w:eastAsia="zh-CN"/>
        </w:rPr>
        <w:t>1</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lang w:val="en-US"/>
        </w:rPr>
        <w:t>评标采用百分制打分，总分为100分，其中：</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rPr>
        <w:t>投标报价</w:t>
      </w:r>
      <w:r>
        <w:rPr>
          <w:rFonts w:hint="eastAsia" w:ascii="宋体" w:hAnsi="宋体" w:eastAsia="宋体" w:cs="宋体"/>
          <w:b w:val="0"/>
          <w:bCs w:val="0"/>
          <w:sz w:val="24"/>
          <w:szCs w:val="24"/>
          <w:highlight w:val="none"/>
          <w:lang w:val="en-US"/>
        </w:rPr>
        <w:t>（A1）：</w:t>
      </w:r>
      <w:r>
        <w:rPr>
          <w:rFonts w:hint="eastAsia" w:ascii="宋体" w:hAnsi="宋体" w:eastAsia="宋体" w:cs="宋体"/>
          <w:b w:val="0"/>
          <w:bCs w:val="0"/>
          <w:sz w:val="24"/>
          <w:szCs w:val="24"/>
          <w:highlight w:val="none"/>
          <w:lang w:val="en-US" w:eastAsia="zh-CN"/>
        </w:rPr>
        <w:t xml:space="preserve"> 50</w:t>
      </w:r>
      <w:r>
        <w:rPr>
          <w:rFonts w:hint="eastAsia" w:ascii="宋体" w:hAnsi="宋体" w:eastAsia="宋体" w:cs="宋体"/>
          <w:b w:val="0"/>
          <w:bCs w:val="0"/>
          <w:sz w:val="24"/>
          <w:szCs w:val="24"/>
          <w:highlight w:val="none"/>
          <w:lang w:val="en-US"/>
        </w:rPr>
        <w:t>分</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lang w:val="en-US"/>
        </w:rPr>
        <w:t xml:space="preserve">商务部分（A2）： </w:t>
      </w:r>
      <w:r>
        <w:rPr>
          <w:rFonts w:hint="eastAsia" w:ascii="宋体" w:hAnsi="宋体" w:eastAsia="宋体" w:cs="宋体"/>
          <w:b w:val="0"/>
          <w:bCs w:val="0"/>
          <w:sz w:val="24"/>
          <w:szCs w:val="24"/>
          <w:highlight w:val="none"/>
          <w:lang w:val="en-US" w:eastAsia="zh-CN"/>
        </w:rPr>
        <w:t>10</w:t>
      </w:r>
      <w:r>
        <w:rPr>
          <w:rFonts w:hint="eastAsia" w:ascii="宋体" w:hAnsi="宋体" w:eastAsia="宋体" w:cs="宋体"/>
          <w:b w:val="0"/>
          <w:bCs w:val="0"/>
          <w:sz w:val="24"/>
          <w:szCs w:val="24"/>
          <w:highlight w:val="none"/>
          <w:lang w:val="en-US"/>
        </w:rPr>
        <w:t>分</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rPr>
        <w:t xml:space="preserve">技术部分（A3）： </w:t>
      </w: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lang w:val="en-US"/>
        </w:rPr>
        <w:t>0</w:t>
      </w:r>
      <w:r>
        <w:rPr>
          <w:rFonts w:hint="eastAsia" w:ascii="宋体" w:hAnsi="宋体" w:eastAsia="宋体" w:cs="宋体"/>
          <w:b w:val="0"/>
          <w:bCs w:val="0"/>
          <w:sz w:val="24"/>
          <w:szCs w:val="24"/>
          <w:highlight w:val="none"/>
        </w:rPr>
        <w:t>分</w:t>
      </w:r>
    </w:p>
    <w:p>
      <w:pPr>
        <w:spacing w:line="360" w:lineRule="auto"/>
        <w:ind w:firstLine="480" w:firstLineChars="200"/>
        <w:rPr>
          <w:rFonts w:hint="eastAsia" w:ascii="宋体" w:hAnsi="宋体" w:eastAsia="宋体" w:cs="宋体"/>
          <w:b w:val="0"/>
          <w:bCs w:val="0"/>
          <w:sz w:val="24"/>
          <w:szCs w:val="24"/>
          <w:highlight w:val="none"/>
          <w:lang w:val="en-US"/>
        </w:rPr>
      </w:pPr>
      <w:r>
        <w:rPr>
          <w:rFonts w:hint="eastAsia" w:ascii="宋体" w:hAnsi="宋体" w:eastAsia="宋体" w:cs="宋体"/>
          <w:b w:val="0"/>
          <w:bCs w:val="0"/>
          <w:sz w:val="24"/>
          <w:szCs w:val="24"/>
          <w:highlight w:val="none"/>
        </w:rPr>
        <w:t>投标人得分</w:t>
      </w:r>
      <w:r>
        <w:rPr>
          <w:rFonts w:hint="eastAsia" w:ascii="宋体" w:hAnsi="宋体" w:eastAsia="宋体" w:cs="宋体"/>
          <w:b w:val="0"/>
          <w:bCs w:val="0"/>
          <w:sz w:val="24"/>
          <w:szCs w:val="24"/>
          <w:highlight w:val="none"/>
          <w:lang w:val="en-US"/>
        </w:rPr>
        <w:t>= A1+ A2+ A3</w:t>
      </w:r>
      <w:r>
        <w:rPr>
          <w:rFonts w:hint="eastAsia" w:ascii="宋体" w:hAnsi="宋体" w:eastAsia="宋体" w:cs="宋体"/>
          <w:b w:val="0"/>
          <w:bCs w:val="0"/>
          <w:sz w:val="24"/>
          <w:szCs w:val="24"/>
          <w:highlight w:val="none"/>
        </w:rPr>
        <w:t>。小数点保留位数</w:t>
      </w:r>
      <w:r>
        <w:rPr>
          <w:rFonts w:hint="eastAsia" w:ascii="宋体" w:hAnsi="宋体" w:eastAsia="宋体" w:cs="宋体"/>
          <w:b w:val="0"/>
          <w:bCs w:val="0"/>
          <w:sz w:val="24"/>
          <w:szCs w:val="24"/>
          <w:highlight w:val="none"/>
          <w:lang w:val="en-US"/>
        </w:rPr>
        <w:t>：</w:t>
      </w:r>
      <w:r>
        <w:rPr>
          <w:rFonts w:hint="eastAsia" w:ascii="宋体" w:hAnsi="宋体" w:eastAsia="宋体" w:cs="宋体"/>
          <w:b w:val="0"/>
          <w:bCs w:val="0"/>
          <w:sz w:val="24"/>
          <w:szCs w:val="24"/>
          <w:highlight w:val="none"/>
        </w:rPr>
        <w:t>评分分值计算保留小数点后两位</w:t>
      </w:r>
      <w:r>
        <w:rPr>
          <w:rFonts w:hint="eastAsia" w:ascii="宋体" w:hAnsi="宋体" w:eastAsia="宋体" w:cs="宋体"/>
          <w:b w:val="0"/>
          <w:bCs w:val="0"/>
          <w:sz w:val="24"/>
          <w:szCs w:val="24"/>
          <w:highlight w:val="none"/>
          <w:lang w:val="en-US"/>
        </w:rPr>
        <w:t>，</w:t>
      </w:r>
      <w:r>
        <w:rPr>
          <w:rFonts w:hint="eastAsia" w:ascii="宋体" w:hAnsi="宋体" w:eastAsia="宋体" w:cs="宋体"/>
          <w:b w:val="0"/>
          <w:bCs w:val="0"/>
          <w:sz w:val="24"/>
          <w:szCs w:val="24"/>
          <w:highlight w:val="none"/>
        </w:rPr>
        <w:t>第三位四舍五入。</w:t>
      </w:r>
    </w:p>
    <w:p>
      <w:pPr>
        <w:spacing w:line="360" w:lineRule="auto"/>
        <w:ind w:firstLine="480" w:firstLineChars="200"/>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rPr>
        <w:t xml:space="preserve"> 针对某一有效投标人，</w:t>
      </w:r>
      <w:r>
        <w:rPr>
          <w:rFonts w:hint="eastAsia" w:ascii="宋体" w:hAnsi="宋体" w:eastAsia="宋体" w:cs="宋体"/>
          <w:b w:val="0"/>
          <w:bCs w:val="0"/>
          <w:sz w:val="24"/>
          <w:szCs w:val="24"/>
          <w:highlight w:val="none"/>
          <w:lang w:eastAsia="zh-CN"/>
        </w:rPr>
        <w:t>评审小组</w:t>
      </w:r>
      <w:r>
        <w:rPr>
          <w:rFonts w:hint="eastAsia" w:ascii="宋体" w:hAnsi="宋体" w:eastAsia="宋体" w:cs="宋体"/>
          <w:b w:val="0"/>
          <w:bCs w:val="0"/>
          <w:sz w:val="24"/>
          <w:szCs w:val="24"/>
          <w:highlight w:val="none"/>
        </w:rPr>
        <w:t>最终评分的算术平均值即为该投标人的最终得分。在分数相同的情况下，投标报价低的投标人排名优先。</w:t>
      </w:r>
    </w:p>
    <w:p>
      <w:pPr>
        <w:spacing w:line="360" w:lineRule="auto"/>
        <w:ind w:firstLine="480" w:firstLineChars="200"/>
        <w:rPr>
          <w:rFonts w:hint="eastAsia"/>
          <w:lang w:eastAsia="zh-CN"/>
        </w:rPr>
      </w:pP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eastAsia="宋体" w:cs="宋体"/>
          <w:b w:val="0"/>
          <w:bCs w:val="0"/>
          <w:sz w:val="24"/>
          <w:szCs w:val="24"/>
          <w:highlight w:val="none"/>
        </w:rPr>
        <w:t xml:space="preserve"> 评分细则</w:t>
      </w:r>
    </w:p>
    <w:tbl>
      <w:tblPr>
        <w:tblStyle w:val="46"/>
        <w:tblW w:w="882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15"/>
        <w:gridCol w:w="2331"/>
        <w:gridCol w:w="52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评分项</w:t>
            </w: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条款内容</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vMerge w:val="restart"/>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分值构成</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(总分100分)</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投标报价：</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u w:val="single"/>
                <w:lang w:val="en-US" w:eastAsia="zh-CN"/>
                <w14:textFill>
                  <w14:solidFill>
                    <w14:schemeClr w14:val="tx1"/>
                  </w14:solidFill>
                </w14:textFill>
              </w:rPr>
              <w:t>50</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商务部分：</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eastAsia" w:ascii="Times New Roman" w:hAnsi="Times New Roman" w:cs="Times New Roman"/>
                <w:b w:val="0"/>
                <w:bCs w:val="0"/>
                <w:color w:val="000000" w:themeColor="text1"/>
                <w:sz w:val="21"/>
                <w:szCs w:val="21"/>
                <w:highlight w:val="none"/>
                <w:u w:val="single"/>
                <w:lang w:val="en-US" w:eastAsia="zh-CN"/>
                <w14:textFill>
                  <w14:solidFill>
                    <w14:schemeClr w14:val="tx1"/>
                  </w14:solidFill>
                </w14:textFill>
              </w:rPr>
              <w:t>10</w:t>
            </w:r>
            <w:r>
              <w:rPr>
                <w:rFonts w:hint="default" w:ascii="Times New Roman" w:hAnsi="Times New Roman" w:cs="Times New Roman"/>
                <w:b w:val="0"/>
                <w:bCs w:val="0"/>
                <w:color w:val="000000" w:themeColor="text1"/>
                <w:sz w:val="21"/>
                <w:szCs w:val="21"/>
                <w:highlight w:val="none"/>
                <w:u w:val="single"/>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技术部分：</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u w:val="single"/>
                <w:lang w:val="en-US" w:eastAsia="zh-CN"/>
                <w14:textFill>
                  <w14:solidFill>
                    <w14:schemeClr w14:val="tx1"/>
                  </w14:solidFill>
                </w14:textFill>
              </w:rPr>
              <w:t>40</w:t>
            </w:r>
            <w:r>
              <w:rPr>
                <w:rFonts w:hint="default" w:ascii="Times New Roman" w:hAnsi="Times New Roman" w:cs="Times New Roman"/>
                <w:b w:val="0"/>
                <w:bCs w:val="0"/>
                <w:color w:val="000000" w:themeColor="text1"/>
                <w:sz w:val="21"/>
                <w:szCs w:val="21"/>
                <w:highlight w:val="none"/>
                <w:u w:val="single"/>
                <w14:textFill>
                  <w14:solidFill>
                    <w14:schemeClr w14:val="tx1"/>
                  </w14:solidFill>
                </w14:textFill>
              </w:rPr>
              <w:t xml:space="preserve">  </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6" w:hRule="atLeast"/>
          <w:jc w:val="center"/>
        </w:trPr>
        <w:tc>
          <w:tcPr>
            <w:tcW w:w="1215" w:type="dxa"/>
            <w:vMerge w:val="continue"/>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评标基准价计算方法</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val="0"/>
                <w:bCs w:val="0"/>
                <w:sz w:val="21"/>
                <w:szCs w:val="21"/>
                <w:lang w:val="en-US" w:eastAsia="zh-CN"/>
              </w:rPr>
            </w:pPr>
            <w:r>
              <w:rPr>
                <w:rFonts w:hint="eastAsia" w:ascii="Times New Roman" w:hAnsi="Times New Roman" w:cs="Times New Roman"/>
                <w:b w:val="0"/>
                <w:bCs w:val="0"/>
                <w:sz w:val="21"/>
                <w:szCs w:val="21"/>
                <w:highlight w:val="none"/>
                <w:lang w:val="en-US" w:eastAsia="zh-CN"/>
              </w:rPr>
              <w:t>计算方式2.</w:t>
            </w:r>
            <w:r>
              <w:rPr>
                <w:rFonts w:hint="default" w:ascii="Times New Roman" w:hAnsi="Times New Roman" w:cs="Times New Roman"/>
                <w:b w:val="0"/>
                <w:bCs w:val="0"/>
                <w:sz w:val="21"/>
                <w:szCs w:val="21"/>
                <w:highlight w:val="none"/>
              </w:rPr>
              <w:t>评标基准价</w:t>
            </w:r>
            <w:r>
              <w:rPr>
                <w:rFonts w:hint="eastAsia" w:ascii="Times New Roman" w:hAnsi="Times New Roman" w:cs="Times New Roman"/>
                <w:b w:val="0"/>
                <w:bCs w:val="0"/>
                <w:sz w:val="21"/>
                <w:szCs w:val="21"/>
                <w:highlight w:val="none"/>
                <w:lang w:val="en-US" w:eastAsia="zh-CN"/>
              </w:rPr>
              <w:t>为</w:t>
            </w:r>
            <w:r>
              <w:rPr>
                <w:rFonts w:hint="default" w:ascii="Times New Roman" w:hAnsi="Times New Roman" w:cs="Times New Roman"/>
                <w:b w:val="0"/>
                <w:bCs w:val="0"/>
                <w:color w:val="auto"/>
                <w:sz w:val="21"/>
                <w:szCs w:val="21"/>
                <w:highlight w:val="none"/>
                <w:lang w:eastAsia="zh-CN"/>
              </w:rPr>
              <w:t>有效投标人</w:t>
            </w:r>
            <w:r>
              <w:rPr>
                <w:rFonts w:hint="eastAsia" w:ascii="Times New Roman" w:hAnsi="Times New Roman" w:cs="Times New Roman"/>
                <w:b w:val="0"/>
                <w:bCs w:val="0"/>
                <w:color w:val="auto"/>
                <w:sz w:val="21"/>
                <w:szCs w:val="21"/>
                <w:highlight w:val="none"/>
                <w:lang w:eastAsia="zh-CN"/>
              </w:rPr>
              <w:t>经评审</w:t>
            </w:r>
            <w:r>
              <w:rPr>
                <w:rFonts w:hint="default" w:ascii="Times New Roman" w:hAnsi="Times New Roman" w:cs="Times New Roman"/>
                <w:b w:val="0"/>
                <w:bCs w:val="0"/>
                <w:color w:val="auto"/>
                <w:sz w:val="21"/>
                <w:szCs w:val="21"/>
                <w:highlight w:val="none"/>
                <w:lang w:eastAsia="zh-CN"/>
              </w:rPr>
              <w:t>后的有效投标报价的</w:t>
            </w:r>
            <w:r>
              <w:rPr>
                <w:rFonts w:hint="eastAsia" w:ascii="Times New Roman" w:hAnsi="Times New Roman" w:cs="Times New Roman"/>
                <w:b w:val="0"/>
                <w:bCs w:val="0"/>
                <w:color w:val="auto"/>
                <w:sz w:val="21"/>
                <w:szCs w:val="21"/>
                <w:highlight w:val="none"/>
                <w:lang w:val="en-US" w:eastAsia="zh-CN"/>
              </w:rPr>
              <w:t>最低价。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6" w:hRule="atLeast"/>
          <w:jc w:val="center"/>
        </w:trPr>
        <w:tc>
          <w:tcPr>
            <w:tcW w:w="1215" w:type="dxa"/>
            <w:vMerge w:val="continue"/>
            <w:tcBorders>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p>
        </w:tc>
        <w:tc>
          <w:tcPr>
            <w:tcW w:w="2331"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投标报价的偏差率</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计算公式</w:t>
            </w:r>
          </w:p>
        </w:tc>
        <w:tc>
          <w:tcPr>
            <w:tcW w:w="5283" w:type="dxa"/>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偏差率=（评标价－评标基准价）/评标基准价×100%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tcBorders>
              <w:top w:val="nil"/>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评分项</w:t>
            </w: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分值</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评分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细则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b w:val="0"/>
                <w:bCs w:val="0"/>
                <w:color w:val="000000" w:themeColor="text1"/>
                <w:sz w:val="21"/>
                <w:szCs w:val="21"/>
                <w:highlight w:val="none"/>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投标报价评分标准</w:t>
            </w:r>
          </w:p>
          <w:p>
            <w:pPr>
              <w:pStyle w:val="2"/>
              <w:rPr>
                <w:rFonts w:hint="default"/>
                <w:lang w:val="en-US" w:eastAsia="zh-CN"/>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50</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val="0"/>
                <w:color w:val="000000" w:themeColor="text1"/>
                <w:sz w:val="21"/>
                <w:szCs w:val="21"/>
                <w:highlight w:val="none"/>
                <w14:textFill>
                  <w14:solidFill>
                    <w14:schemeClr w14:val="tx1"/>
                  </w14:solidFill>
                </w14:textFill>
              </w:rPr>
              <w:t>投标报价</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50</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cs="Times New Roman"/>
                <w:b w:val="0"/>
                <w:bCs w:val="0"/>
                <w:sz w:val="21"/>
                <w:szCs w:val="21"/>
                <w:lang w:val="en-US" w:eastAsia="zh-CN"/>
              </w:rPr>
            </w:pPr>
            <w:r>
              <w:rPr>
                <w:rFonts w:hint="eastAsia" w:ascii="Times New Roman" w:hAnsi="Times New Roman" w:cs="Times New Roman"/>
                <w:b w:val="0"/>
                <w:bCs w:val="0"/>
                <w:color w:val="auto"/>
                <w:sz w:val="21"/>
                <w:szCs w:val="21"/>
                <w:highlight w:val="none"/>
                <w:lang w:val="en-US" w:eastAsia="zh-CN"/>
              </w:rPr>
              <w:t>计算</w:t>
            </w:r>
            <w:r>
              <w:rPr>
                <w:rFonts w:hint="default" w:ascii="Times New Roman" w:hAnsi="Times New Roman" w:cs="Times New Roman"/>
                <w:b w:val="0"/>
                <w:bCs w:val="0"/>
                <w:color w:val="auto"/>
                <w:sz w:val="21"/>
                <w:szCs w:val="21"/>
                <w:highlight w:val="none"/>
                <w:lang w:val="en-US" w:eastAsia="zh-CN"/>
              </w:rPr>
              <w:t>方式2.</w:t>
            </w:r>
            <w:r>
              <w:rPr>
                <w:rFonts w:hint="default" w:ascii="Times New Roman" w:hAnsi="Times New Roman" w:cs="Times New Roman"/>
                <w:b w:val="0"/>
                <w:bCs w:val="0"/>
                <w:color w:val="auto"/>
                <w:sz w:val="21"/>
                <w:szCs w:val="21"/>
                <w:highlight w:val="none"/>
              </w:rPr>
              <w:t>评标价等于评标基准值，得基础分</w:t>
            </w:r>
            <w:r>
              <w:rPr>
                <w:rFonts w:hint="eastAsia" w:cs="Times New Roman"/>
                <w:b w:val="0"/>
                <w:bCs w:val="0"/>
                <w:color w:val="auto"/>
                <w:sz w:val="21"/>
                <w:szCs w:val="21"/>
                <w:highlight w:val="none"/>
                <w:u w:val="single"/>
                <w:lang w:val="en-US" w:eastAsia="zh-CN"/>
              </w:rPr>
              <w:t>50</w:t>
            </w:r>
            <w:r>
              <w:rPr>
                <w:rFonts w:hint="default" w:ascii="Times New Roman" w:hAnsi="Times New Roman" w:cs="Times New Roman"/>
                <w:b w:val="0"/>
                <w:bCs w:val="0"/>
                <w:color w:val="auto"/>
                <w:sz w:val="21"/>
                <w:szCs w:val="21"/>
                <w:highlight w:val="none"/>
              </w:rPr>
              <w:t>分；每高于评标基准值1%，在基础分的基础上扣</w:t>
            </w:r>
            <w:r>
              <w:rPr>
                <w:rFonts w:hint="eastAsia" w:cs="Times New Roman"/>
                <w:b w:val="0"/>
                <w:bCs w:val="0"/>
                <w:color w:val="auto"/>
                <w:sz w:val="21"/>
                <w:szCs w:val="21"/>
                <w:highlight w:val="none"/>
                <w:u w:val="single"/>
                <w:lang w:val="en-US" w:eastAsia="zh-CN"/>
              </w:rPr>
              <w:t>0.3</w:t>
            </w:r>
            <w:r>
              <w:rPr>
                <w:rFonts w:hint="default" w:ascii="Times New Roman" w:hAnsi="Times New Roman" w:cs="Times New Roman"/>
                <w:b w:val="0"/>
                <w:bCs w:val="0"/>
                <w:color w:val="auto"/>
                <w:sz w:val="21"/>
                <w:szCs w:val="21"/>
                <w:highlight w:val="none"/>
              </w:rPr>
              <w:t>分，最</w:t>
            </w:r>
            <w:r>
              <w:rPr>
                <w:rFonts w:hint="eastAsia" w:cs="Times New Roman"/>
                <w:b w:val="0"/>
                <w:bCs w:val="0"/>
                <w:color w:val="auto"/>
                <w:sz w:val="21"/>
                <w:szCs w:val="21"/>
                <w:highlight w:val="none"/>
                <w:lang w:eastAsia="zh-CN"/>
              </w:rPr>
              <w:t>多扣</w:t>
            </w:r>
            <w:r>
              <w:rPr>
                <w:rFonts w:hint="eastAsia" w:cs="Times New Roman"/>
                <w:b w:val="0"/>
                <w:bCs w:val="0"/>
                <w:color w:val="auto"/>
                <w:sz w:val="21"/>
                <w:szCs w:val="21"/>
                <w:highlight w:val="none"/>
                <w:u w:val="single"/>
                <w:lang w:val="en-US" w:eastAsia="zh-CN"/>
              </w:rPr>
              <w:t>10</w:t>
            </w:r>
            <w:r>
              <w:rPr>
                <w:rFonts w:hint="default" w:ascii="Times New Roman" w:hAnsi="Times New Roman" w:cs="Times New Roman"/>
                <w:b w:val="0"/>
                <w:bCs w:val="0"/>
                <w:color w:val="auto"/>
                <w:sz w:val="21"/>
                <w:szCs w:val="21"/>
                <w:highlight w:val="none"/>
              </w:rPr>
              <w:t>分。不足1%的，按照直接插入法计算，得分保留两位小数。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vMerge w:val="restart"/>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商务</w:t>
            </w:r>
            <w:r>
              <w:rPr>
                <w:rFonts w:hint="eastAsia" w:ascii="Times New Roman" w:hAnsi="Times New Roman" w:eastAsia="宋体" w:cs="Times New Roman"/>
                <w:b w:val="0"/>
                <w:bCs w:val="0"/>
                <w:color w:val="auto"/>
                <w:sz w:val="21"/>
                <w:szCs w:val="21"/>
                <w:highlight w:val="none"/>
                <w:lang w:val="en-US" w:eastAsia="zh-CN"/>
              </w:rPr>
              <w:t>部分</w:t>
            </w:r>
            <w:r>
              <w:rPr>
                <w:rFonts w:hint="default" w:ascii="Times New Roman" w:hAnsi="Times New Roman" w:eastAsia="宋体" w:cs="Times New Roman"/>
                <w:b w:val="0"/>
                <w:bCs w:val="0"/>
                <w:color w:val="auto"/>
                <w:sz w:val="21"/>
                <w:szCs w:val="21"/>
                <w:highlight w:val="none"/>
                <w:lang w:val="en-US" w:eastAsia="zh-CN"/>
              </w:rPr>
              <w:t>评分标准</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1</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业绩（5分）</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投标人须提供合格业绩，</w:t>
            </w:r>
            <w:r>
              <w:rPr>
                <w:rFonts w:hint="eastAsia" w:ascii="Times New Roman" w:hAnsi="Times New Roman" w:eastAsia="宋体" w:cs="Times New Roman"/>
                <w:b w:val="0"/>
                <w:bCs w:val="0"/>
                <w:color w:val="auto"/>
                <w:sz w:val="21"/>
                <w:szCs w:val="21"/>
                <w:highlight w:val="none"/>
                <w:lang w:val="en-US" w:eastAsia="zh-CN"/>
              </w:rPr>
              <w:t>除资格条款要求的业绩以外，</w:t>
            </w:r>
            <w:r>
              <w:rPr>
                <w:rFonts w:hint="default" w:ascii="Times New Roman" w:hAnsi="Times New Roman" w:eastAsia="宋体" w:cs="Times New Roman"/>
                <w:b w:val="0"/>
                <w:bCs w:val="0"/>
                <w:color w:val="auto"/>
                <w:sz w:val="21"/>
                <w:szCs w:val="21"/>
                <w:highlight w:val="none"/>
                <w:lang w:val="en-US" w:eastAsia="zh-CN"/>
              </w:rPr>
              <w:t>每提供1份业绩得</w:t>
            </w:r>
            <w:r>
              <w:rPr>
                <w:rFonts w:hint="eastAsia" w:cs="Times New Roman"/>
                <w:b w:val="0"/>
                <w:bCs w:val="0"/>
                <w:color w:val="auto"/>
                <w:sz w:val="21"/>
                <w:szCs w:val="21"/>
                <w:highlight w:val="none"/>
                <w:lang w:val="en-US" w:eastAsia="zh-CN"/>
              </w:rPr>
              <w:t>1</w:t>
            </w:r>
            <w:r>
              <w:rPr>
                <w:rFonts w:hint="default" w:ascii="Times New Roman" w:hAnsi="Times New Roman" w:eastAsia="宋体" w:cs="Times New Roman"/>
                <w:b w:val="0"/>
                <w:bCs w:val="0"/>
                <w:color w:val="auto"/>
                <w:sz w:val="21"/>
                <w:szCs w:val="21"/>
                <w:highlight w:val="none"/>
                <w:lang w:val="en-US" w:eastAsia="zh-CN"/>
              </w:rPr>
              <w:t>分，最多得</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vMerge w:val="continue"/>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企业综合实力及财务状况（2分）</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综合评估企业规模、实力及管理、财务状况（上一年度），横向对比，优秀，1≤得分≤2；一般，0＜得分＜1，未提供相关材料的不得分。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215" w:type="dxa"/>
            <w:vMerge w:val="continue"/>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投标文件内容（2分）</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投标报价无缺漏项、主要商务条款全部响应</w:t>
            </w:r>
            <w:r>
              <w:rPr>
                <w:rFonts w:hint="eastAsia" w:ascii="Times New Roman" w:hAnsi="Times New Roman" w:eastAsia="宋体" w:cs="Times New Roman"/>
                <w:b w:val="0"/>
                <w:bCs w:val="0"/>
                <w:color w:val="auto"/>
                <w:sz w:val="21"/>
                <w:szCs w:val="21"/>
                <w:highlight w:val="none"/>
                <w:lang w:val="en-US" w:eastAsia="zh-CN"/>
              </w:rPr>
              <w:t>询价</w:t>
            </w:r>
            <w:r>
              <w:rPr>
                <w:rFonts w:hint="default" w:ascii="Times New Roman" w:hAnsi="Times New Roman" w:eastAsia="宋体" w:cs="Times New Roman"/>
                <w:b w:val="0"/>
                <w:bCs w:val="0"/>
                <w:color w:val="auto"/>
                <w:sz w:val="21"/>
                <w:szCs w:val="21"/>
                <w:highlight w:val="none"/>
                <w:lang w:val="en-US" w:eastAsia="zh-CN"/>
              </w:rPr>
              <w:t>文件要求</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优秀，得</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分；一般，</w:t>
            </w:r>
            <w:r>
              <w:rPr>
                <w:rFonts w:hint="eastAsia" w:ascii="Times New Roman" w:hAnsi="Times New Roman" w:eastAsia="宋体" w:cs="Times New Roman"/>
                <w:b w:val="0"/>
                <w:bCs w:val="0"/>
                <w:color w:val="auto"/>
                <w:sz w:val="21"/>
                <w:szCs w:val="21"/>
                <w:highlight w:val="none"/>
                <w:lang w:val="en-US" w:eastAsia="zh-CN"/>
              </w:rPr>
              <w:t>得1分</w:t>
            </w:r>
            <w:r>
              <w:rPr>
                <w:rFonts w:hint="default" w:ascii="Times New Roman" w:hAnsi="Times New Roman" w:eastAsia="宋体" w:cs="Times New Roman"/>
                <w:b w:val="0"/>
                <w:bCs w:val="0"/>
                <w:color w:val="auto"/>
                <w:sz w:val="21"/>
                <w:szCs w:val="21"/>
                <w:highlight w:val="none"/>
                <w:lang w:val="en-US" w:eastAsia="zh-CN"/>
              </w:rPr>
              <w:t>；投标文件关键章节缺失、格式错乱不清晰不得分。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6" w:hRule="atLeast"/>
          <w:jc w:val="center"/>
        </w:trPr>
        <w:tc>
          <w:tcPr>
            <w:tcW w:w="1215" w:type="dxa"/>
            <w:vMerge w:val="continue"/>
            <w:tcBorders>
              <w:top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投标文件格式（1分）</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投标文件清晰完整、按招标文件要求格式、顺序编制，优秀，得1分；一般，0＜得分＜1；投标文件关键章节缺失、格式错乱不清晰不得分。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6" w:hRule="atLeast"/>
          <w:jc w:val="center"/>
        </w:trPr>
        <w:tc>
          <w:tcPr>
            <w:tcW w:w="1215" w:type="dxa"/>
            <w:vMerge w:val="restart"/>
            <w:tcBorders>
              <w:top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b w:val="0"/>
                <w:bCs w:val="0"/>
                <w:color w:val="auto"/>
                <w:sz w:val="21"/>
                <w:szCs w:val="21"/>
                <w:highlight w:val="none"/>
                <w:lang w:val="en-US" w:eastAsia="zh-CN"/>
              </w:rPr>
            </w:pPr>
          </w:p>
          <w:p>
            <w:pPr>
              <w:pStyle w:val="2"/>
              <w:rPr>
                <w:rFonts w:hint="eastAsia" w:ascii="Times New Roman" w:hAnsi="Times New Roman" w:eastAsia="宋体" w:cs="Times New Roman"/>
                <w:b w:val="0"/>
                <w:bCs w:val="0"/>
                <w:color w:val="auto"/>
                <w:sz w:val="21"/>
                <w:szCs w:val="21"/>
                <w:highlight w:val="none"/>
                <w:lang w:val="en-US" w:eastAsia="zh-CN"/>
              </w:rPr>
            </w:pPr>
          </w:p>
          <w:p>
            <w:pPr>
              <w:pStyle w:val="3"/>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lang w:val="en-US" w:eastAsia="zh-CN"/>
              </w:rPr>
            </w:pPr>
            <w:r>
              <w:rPr>
                <w:rFonts w:hint="eastAsia" w:ascii="Times New Roman" w:hAnsi="Times New Roman" w:eastAsia="宋体" w:cs="Times New Roman"/>
                <w:b w:val="0"/>
                <w:bCs w:val="0"/>
                <w:color w:val="auto"/>
                <w:sz w:val="21"/>
                <w:szCs w:val="21"/>
                <w:highlight w:val="none"/>
                <w:lang w:val="en-US" w:eastAsia="zh-CN"/>
              </w:rPr>
              <w:t>技术</w:t>
            </w:r>
            <w:r>
              <w:rPr>
                <w:rFonts w:hint="eastAsia" w:eastAsia="宋体" w:cs="Times New Roman"/>
                <w:b w:val="0"/>
                <w:bCs w:val="0"/>
                <w:color w:val="auto"/>
                <w:sz w:val="21"/>
                <w:szCs w:val="21"/>
                <w:highlight w:val="none"/>
                <w:lang w:val="en-US" w:eastAsia="zh-CN"/>
              </w:rPr>
              <w:t>部分</w:t>
            </w:r>
            <w:r>
              <w:rPr>
                <w:rFonts w:hint="default" w:ascii="Times New Roman" w:hAnsi="Times New Roman" w:eastAsia="宋体" w:cs="Times New Roman"/>
                <w:b w:val="0"/>
                <w:bCs w:val="0"/>
                <w:color w:val="auto"/>
                <w:sz w:val="21"/>
                <w:szCs w:val="21"/>
                <w:highlight w:val="none"/>
              </w:rPr>
              <w:t>评分标准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r>
              <w:rPr>
                <w:rFonts w:hint="eastAsia" w:cs="Times New Roman"/>
                <w:b w:val="0"/>
                <w:bCs w:val="0"/>
                <w:color w:val="000000" w:themeColor="text1"/>
                <w:sz w:val="21"/>
                <w:szCs w:val="21"/>
                <w:highlight w:val="none"/>
                <w:lang w:val="en-US" w:eastAsia="zh-CN"/>
                <w14:textFill>
                  <w14:solidFill>
                    <w14:schemeClr w14:val="tx1"/>
                  </w14:solidFill>
                </w14:textFill>
              </w:rPr>
              <w:t>4</w:t>
            </w:r>
            <w: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b w:val="0"/>
                <w:bCs w:val="0"/>
                <w:color w:val="000000" w:themeColor="text1"/>
                <w:sz w:val="21"/>
                <w:szCs w:val="21"/>
                <w:highlight w:val="none"/>
                <w14:textFill>
                  <w14:solidFill>
                    <w14:schemeClr w14:val="tx1"/>
                  </w14:solidFill>
                </w14:textFill>
              </w:rPr>
              <w:t>分</w:t>
            </w:r>
            <w: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t>）</w:t>
            </w:r>
          </w:p>
        </w:tc>
        <w:tc>
          <w:tcPr>
            <w:tcW w:w="2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rPr>
              <w:t>施工方案与技术措施</w:t>
            </w: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1</w:t>
            </w:r>
            <w:r>
              <w:rPr>
                <w:rFonts w:hint="eastAsia"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分</w:t>
            </w:r>
            <w:r>
              <w:rPr>
                <w:rFonts w:hint="default" w:ascii="Times New Roman" w:hAnsi="Times New Roman" w:eastAsia="宋体" w:cs="Times New Roman"/>
                <w:b w:val="0"/>
                <w:bCs w:val="0"/>
                <w:color w:val="auto"/>
                <w:sz w:val="21"/>
                <w:szCs w:val="21"/>
                <w:highlight w:val="none"/>
                <w:lang w:eastAsia="zh-CN"/>
              </w:rPr>
              <w:t>）</w:t>
            </w:r>
          </w:p>
        </w:tc>
        <w:tc>
          <w:tcPr>
            <w:tcW w:w="52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项目所涉及工程的施工方案及技术措施考虑详尽周到、科学合理，有针对性阐述，并对工程有针对性施工措施和方案，</w:t>
            </w:r>
            <w:r>
              <w:rPr>
                <w:rFonts w:hint="eastAsia" w:eastAsia="宋体" w:cs="Times New Roman"/>
                <w:b w:val="0"/>
                <w:bCs w:val="0"/>
                <w:color w:val="auto"/>
                <w:sz w:val="21"/>
                <w:szCs w:val="21"/>
                <w:highlight w:val="none"/>
                <w:lang w:val="en-US" w:eastAsia="zh-CN"/>
              </w:rPr>
              <w:t>8</w:t>
            </w:r>
            <w:r>
              <w:rPr>
                <w:rFonts w:hint="default" w:ascii="Times New Roman" w:hAnsi="Times New Roman" w:eastAsia="宋体" w:cs="Times New Roman"/>
                <w:b w:val="0"/>
                <w:bCs w:val="0"/>
                <w:color w:val="auto"/>
                <w:sz w:val="21"/>
                <w:szCs w:val="21"/>
                <w:highlight w:val="none"/>
                <w:lang w:val="en-US" w:eastAsia="zh-CN"/>
              </w:rPr>
              <w:t>≤得分≤</w:t>
            </w:r>
            <w:r>
              <w:rPr>
                <w:rFonts w:hint="eastAsia" w:eastAsia="宋体" w:cs="Times New Roman"/>
                <w:b w:val="0"/>
                <w:bCs w:val="0"/>
                <w:color w:val="auto"/>
                <w:sz w:val="21"/>
                <w:szCs w:val="21"/>
                <w:highlight w:val="none"/>
                <w:lang w:val="en-US" w:eastAsia="zh-CN"/>
              </w:rPr>
              <w:t>10</w:t>
            </w:r>
            <w:r>
              <w:rPr>
                <w:rFonts w:hint="default" w:ascii="Times New Roman" w:hAnsi="Times New Roman" w:eastAsia="宋体" w:cs="Times New Roman"/>
                <w:b w:val="0"/>
                <w:bCs w:val="0"/>
                <w:color w:val="auto"/>
                <w:sz w:val="21"/>
                <w:szCs w:val="21"/>
                <w:highlight w:val="none"/>
                <w:lang w:val="en-US" w:eastAsia="zh-CN"/>
              </w:rPr>
              <w:t>分，施工方案与技术措施较好满足招标文件要求，</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≤得分＜</w:t>
            </w:r>
            <w:r>
              <w:rPr>
                <w:rFonts w:hint="eastAsia" w:eastAsia="宋体" w:cs="Times New Roman"/>
                <w:b w:val="0"/>
                <w:bCs w:val="0"/>
                <w:color w:val="auto"/>
                <w:sz w:val="21"/>
                <w:szCs w:val="21"/>
                <w:highlight w:val="none"/>
                <w:lang w:val="en-US" w:eastAsia="zh-CN"/>
              </w:rPr>
              <w:t>8</w:t>
            </w:r>
            <w:r>
              <w:rPr>
                <w:rFonts w:hint="default" w:ascii="Times New Roman" w:hAnsi="Times New Roman" w:eastAsia="宋体" w:cs="Times New Roman"/>
                <w:b w:val="0"/>
                <w:bCs w:val="0"/>
                <w:color w:val="auto"/>
                <w:sz w:val="21"/>
                <w:szCs w:val="21"/>
                <w:highlight w:val="none"/>
                <w:lang w:val="en-US" w:eastAsia="zh-CN"/>
              </w:rPr>
              <w:t>分，施工方案与技术措施存在不足，</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分。未提供相关材料的不得分。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vMerge w:val="continue"/>
            <w:tcBorders>
              <w:top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rPr>
              <w:t>组织机构设置</w:t>
            </w: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r>
              <w:rPr>
                <w:rFonts w:hint="default" w:ascii="Times New Roman" w:hAnsi="Times New Roman" w:eastAsia="宋体" w:cs="Times New Roman"/>
                <w:b w:val="0"/>
                <w:bCs w:val="0"/>
                <w:color w:val="auto"/>
                <w:sz w:val="21"/>
                <w:szCs w:val="21"/>
                <w:highlight w:val="none"/>
                <w:lang w:eastAsia="zh-CN"/>
              </w:rPr>
              <w:t>）</w:t>
            </w:r>
          </w:p>
        </w:tc>
        <w:tc>
          <w:tcPr>
            <w:tcW w:w="5283"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项目组织机构人员数量从业经历满足招标要求，各工种、年龄、专业结构配置合理，满足项目现场实际需要。横向对比，优秀，4</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5；较好2</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4</w:t>
            </w:r>
            <w:r>
              <w:rPr>
                <w:rFonts w:hint="eastAsia"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一般，</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2。未提供</w:t>
            </w:r>
            <w:r>
              <w:rPr>
                <w:rFonts w:hint="default" w:ascii="Times New Roman" w:hAnsi="Times New Roman" w:eastAsia="宋体" w:cs="Times New Roman"/>
                <w:b w:val="0"/>
                <w:bCs w:val="0"/>
                <w:color w:val="auto"/>
                <w:sz w:val="21"/>
                <w:szCs w:val="21"/>
                <w:highlight w:val="none"/>
                <w:lang w:val="en-US" w:eastAsia="zh-CN"/>
              </w:rPr>
              <w:t>人员</w:t>
            </w:r>
            <w:r>
              <w:rPr>
                <w:rFonts w:hint="eastAsia" w:ascii="Times New Roman" w:hAnsi="Times New Roman" w:eastAsia="宋体" w:cs="Times New Roman"/>
                <w:b w:val="0"/>
                <w:bCs w:val="0"/>
                <w:color w:val="auto"/>
                <w:sz w:val="21"/>
                <w:szCs w:val="21"/>
                <w:highlight w:val="none"/>
                <w:lang w:val="en-US" w:eastAsia="zh-CN"/>
              </w:rPr>
              <w:t>相关</w:t>
            </w:r>
            <w:r>
              <w:rPr>
                <w:rFonts w:hint="default" w:ascii="Times New Roman" w:hAnsi="Times New Roman" w:eastAsia="宋体" w:cs="Times New Roman"/>
                <w:b w:val="0"/>
                <w:bCs w:val="0"/>
                <w:color w:val="auto"/>
                <w:sz w:val="21"/>
                <w:szCs w:val="21"/>
                <w:highlight w:val="none"/>
                <w:lang w:val="en-US" w:eastAsia="zh-CN"/>
              </w:rPr>
              <w:t>资格证书或岗位证书</w:t>
            </w:r>
            <w:r>
              <w:rPr>
                <w:rFonts w:hint="eastAsia" w:ascii="Times New Roman" w:hAnsi="Times New Roman" w:eastAsia="宋体" w:cs="Times New Roman"/>
                <w:b w:val="0"/>
                <w:bCs w:val="0"/>
                <w:color w:val="auto"/>
                <w:sz w:val="21"/>
                <w:szCs w:val="21"/>
                <w:highlight w:val="none"/>
                <w:lang w:val="en-US" w:eastAsia="zh-CN"/>
              </w:rPr>
              <w:t>扫描件不得分。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vMerge w:val="continue"/>
            <w:tcBorders>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质量管理体系与措施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r>
              <w:rPr>
                <w:rFonts w:hint="default" w:ascii="Times New Roman" w:hAnsi="Times New Roman" w:eastAsia="宋体" w:cs="Times New Roman"/>
                <w:b w:val="0"/>
                <w:bCs w:val="0"/>
                <w:color w:val="auto"/>
                <w:sz w:val="21"/>
                <w:szCs w:val="21"/>
                <w:highlight w:val="none"/>
                <w:lang w:eastAsia="zh-CN"/>
              </w:rPr>
              <w:t>）</w:t>
            </w:r>
          </w:p>
        </w:tc>
        <w:tc>
          <w:tcPr>
            <w:tcW w:w="5283"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质量管理计划全面、科学，且对施工重难点有针对性管理措施进行横向对比，优秀，4</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5；较好2</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一般，</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）。未提供相关材料的不得分。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vMerge w:val="continue"/>
            <w:tcBorders>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工程进度计划与措施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r>
              <w:rPr>
                <w:rFonts w:hint="default" w:ascii="Times New Roman" w:hAnsi="Times New Roman" w:eastAsia="宋体" w:cs="Times New Roman"/>
                <w:b w:val="0"/>
                <w:bCs w:val="0"/>
                <w:color w:val="auto"/>
                <w:sz w:val="21"/>
                <w:szCs w:val="21"/>
                <w:highlight w:val="none"/>
                <w:lang w:eastAsia="zh-CN"/>
              </w:rPr>
              <w:t>）</w:t>
            </w:r>
          </w:p>
        </w:tc>
        <w:tc>
          <w:tcPr>
            <w:tcW w:w="5283" w:type="dxa"/>
            <w:tcBorders>
              <w:top w:val="single" w:color="auto" w:sz="4" w:space="0"/>
              <w:left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工期满足</w:t>
            </w:r>
            <w:r>
              <w:rPr>
                <w:rFonts w:hint="eastAsia" w:ascii="Times New Roman" w:hAnsi="Times New Roman" w:eastAsia="宋体" w:cs="Times New Roman"/>
                <w:b w:val="0"/>
                <w:bCs w:val="0"/>
                <w:color w:val="auto"/>
                <w:sz w:val="21"/>
                <w:szCs w:val="21"/>
                <w:highlight w:val="none"/>
                <w:lang w:val="en-US" w:eastAsia="zh-CN"/>
              </w:rPr>
              <w:t>询价</w:t>
            </w:r>
            <w:r>
              <w:rPr>
                <w:rFonts w:hint="default" w:ascii="Times New Roman" w:hAnsi="Times New Roman" w:eastAsia="宋体" w:cs="Times New Roman"/>
                <w:b w:val="0"/>
                <w:bCs w:val="0"/>
                <w:color w:val="auto"/>
                <w:sz w:val="21"/>
                <w:szCs w:val="21"/>
                <w:highlight w:val="none"/>
                <w:lang w:val="en-US" w:eastAsia="zh-CN"/>
              </w:rPr>
              <w:t>文件要求，工程进度有详细、合理的进度计划和保障措施，</w:t>
            </w: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分；工期满足</w:t>
            </w:r>
            <w:r>
              <w:rPr>
                <w:rFonts w:hint="eastAsia" w:ascii="Times New Roman" w:hAnsi="Times New Roman" w:eastAsia="宋体" w:cs="Times New Roman"/>
                <w:b w:val="0"/>
                <w:bCs w:val="0"/>
                <w:color w:val="auto"/>
                <w:sz w:val="21"/>
                <w:szCs w:val="21"/>
                <w:highlight w:val="none"/>
                <w:lang w:val="en-US" w:eastAsia="zh-CN"/>
              </w:rPr>
              <w:t>询价</w:t>
            </w:r>
            <w:r>
              <w:rPr>
                <w:rFonts w:hint="default" w:ascii="Times New Roman" w:hAnsi="Times New Roman" w:eastAsia="宋体" w:cs="Times New Roman"/>
                <w:b w:val="0"/>
                <w:bCs w:val="0"/>
                <w:color w:val="auto"/>
                <w:sz w:val="21"/>
                <w:szCs w:val="21"/>
                <w:highlight w:val="none"/>
                <w:lang w:val="en-US" w:eastAsia="zh-CN"/>
              </w:rPr>
              <w:t>文件要求，工程进度计划和保障措施较好，</w:t>
            </w: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分；工程进度计划与措施存在不足，</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分。未提供相关材料的不得分。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vMerge w:val="continue"/>
            <w:tcBorders>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rPr>
              <w:t>机械设备、工器具配备满足项目实施要求</w:t>
            </w:r>
            <w:r>
              <w:rPr>
                <w:rFonts w:hint="default"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r>
              <w:rPr>
                <w:rFonts w:hint="default" w:ascii="Times New Roman" w:hAnsi="Times New Roman" w:eastAsia="宋体" w:cs="Times New Roman"/>
                <w:b w:val="0"/>
                <w:bCs w:val="0"/>
                <w:color w:val="auto"/>
                <w:sz w:val="21"/>
                <w:szCs w:val="21"/>
                <w:highlight w:val="none"/>
                <w:lang w:eastAsia="zh-CN"/>
              </w:rPr>
              <w:t>）</w:t>
            </w:r>
          </w:p>
        </w:tc>
        <w:tc>
          <w:tcPr>
            <w:tcW w:w="528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施工机械设备配置充足、齐全、合理</w:t>
            </w:r>
            <w:r>
              <w:rPr>
                <w:rFonts w:hint="eastAsia" w:ascii="Times New Roman" w:hAnsi="Times New Roman" w:eastAsia="宋体" w:cs="Times New Roman"/>
                <w:b w:val="0"/>
                <w:bCs w:val="0"/>
                <w:color w:val="auto"/>
                <w:sz w:val="21"/>
                <w:szCs w:val="21"/>
                <w:highlight w:val="none"/>
                <w:lang w:val="en-US" w:eastAsia="zh-CN"/>
              </w:rPr>
              <w:t>，优档，4</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lang w:val="en-US" w:eastAsia="zh-CN"/>
              </w:rPr>
              <w:t>分</w:t>
            </w:r>
            <w:r>
              <w:rPr>
                <w:rFonts w:hint="eastAsia" w:ascii="Times New Roman" w:hAnsi="Times New Roman" w:eastAsia="宋体" w:cs="Times New Roman"/>
                <w:b w:val="0"/>
                <w:bCs w:val="0"/>
                <w:color w:val="auto"/>
                <w:sz w:val="21"/>
                <w:szCs w:val="21"/>
                <w:highlight w:val="none"/>
                <w:lang w:val="en-US" w:eastAsia="zh-CN"/>
              </w:rPr>
              <w:t>；良档</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分</w:t>
            </w:r>
            <w:r>
              <w:rPr>
                <w:rFonts w:hint="eastAsia" w:ascii="Times New Roman" w:hAnsi="Times New Roman" w:eastAsia="宋体" w:cs="Times New Roman"/>
                <w:b w:val="0"/>
                <w:bCs w:val="0"/>
                <w:color w:val="auto"/>
                <w:sz w:val="21"/>
                <w:szCs w:val="21"/>
                <w:highlight w:val="none"/>
                <w:lang w:val="en-US" w:eastAsia="zh-CN"/>
              </w:rPr>
              <w:t>；一般</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分。未提供相关材料的不得分。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tcBorders>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rPr>
              <w:t>安全管理（</w:t>
            </w:r>
            <w:r>
              <w:rPr>
                <w:rFonts w:hint="eastAsia" w:ascii="Times New Roman" w:hAnsi="Times New Roman" w:eastAsia="宋体" w:cs="Times New Roman"/>
                <w:b w:val="0"/>
                <w:bCs w:val="0"/>
                <w:color w:val="auto"/>
                <w:sz w:val="21"/>
                <w:szCs w:val="21"/>
                <w:highlight w:val="none"/>
                <w:lang w:val="en-US" w:eastAsia="zh-CN"/>
              </w:rPr>
              <w:t>5</w:t>
            </w:r>
            <w:r>
              <w:rPr>
                <w:rFonts w:hint="eastAsia" w:ascii="Times New Roman" w:hAnsi="Times New Roman" w:eastAsia="宋体" w:cs="Times New Roman"/>
                <w:b w:val="0"/>
                <w:bCs w:val="0"/>
                <w:color w:val="auto"/>
                <w:sz w:val="21"/>
                <w:szCs w:val="21"/>
                <w:highlight w:val="none"/>
              </w:rPr>
              <w:t>分）</w:t>
            </w:r>
          </w:p>
        </w:tc>
        <w:tc>
          <w:tcPr>
            <w:tcW w:w="528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根据投标人安全管理保证措施切实可行，符合施工现场实际情况横向对比</w:t>
            </w:r>
            <w:r>
              <w:rPr>
                <w:rFonts w:hint="eastAsia"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优秀，3</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5；较好</w:t>
            </w:r>
            <w:r>
              <w:rPr>
                <w:rFonts w:hint="eastAsia"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3</w:t>
            </w:r>
            <w:r>
              <w:rPr>
                <w:rFonts w:hint="eastAsia"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一般，</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6" w:hRule="atLeast"/>
          <w:jc w:val="center"/>
        </w:trPr>
        <w:tc>
          <w:tcPr>
            <w:tcW w:w="1215" w:type="dxa"/>
            <w:tcBorders>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b w:val="0"/>
                <w:bCs w:val="0"/>
                <w:color w:val="auto"/>
                <w:sz w:val="21"/>
                <w:szCs w:val="21"/>
                <w:highlight w:val="none"/>
              </w:rPr>
            </w:pPr>
          </w:p>
        </w:tc>
        <w:tc>
          <w:tcPr>
            <w:tcW w:w="2331"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eastAsia="zh-CN"/>
              </w:rPr>
              <w:t>材料选用</w:t>
            </w:r>
            <w:r>
              <w:rPr>
                <w:rFonts w:hint="eastAsia" w:ascii="Times New Roman" w:hAnsi="Times New Roman" w:eastAsia="宋体" w:cs="Times New Roman"/>
                <w:b w:val="0"/>
                <w:bCs w:val="0"/>
                <w:color w:val="auto"/>
                <w:sz w:val="21"/>
                <w:szCs w:val="21"/>
                <w:highlight w:val="none"/>
              </w:rPr>
              <w:t>（</w:t>
            </w:r>
            <w:r>
              <w:rPr>
                <w:rFonts w:hint="eastAsia" w:ascii="Times New Roman" w:hAnsi="Times New Roman" w:eastAsia="宋体" w:cs="Times New Roman"/>
                <w:b w:val="0"/>
                <w:bCs w:val="0"/>
                <w:color w:val="auto"/>
                <w:sz w:val="21"/>
                <w:szCs w:val="21"/>
                <w:highlight w:val="none"/>
                <w:lang w:val="en-US" w:eastAsia="zh-CN"/>
              </w:rPr>
              <w:t>5</w:t>
            </w:r>
            <w:r>
              <w:rPr>
                <w:rFonts w:hint="eastAsia" w:ascii="Times New Roman" w:hAnsi="Times New Roman" w:eastAsia="宋体" w:cs="Times New Roman"/>
                <w:b w:val="0"/>
                <w:bCs w:val="0"/>
                <w:color w:val="auto"/>
                <w:sz w:val="21"/>
                <w:szCs w:val="21"/>
                <w:highlight w:val="none"/>
              </w:rPr>
              <w:t>分）</w:t>
            </w:r>
          </w:p>
        </w:tc>
        <w:tc>
          <w:tcPr>
            <w:tcW w:w="5283" w:type="dxa"/>
            <w:tcBorders>
              <w:top w:val="single" w:color="auto" w:sz="4" w:space="0"/>
              <w:left w:val="single" w:color="auto" w:sz="4" w:space="0"/>
              <w:bottom w:val="single" w:color="auto" w:sz="4" w:space="0"/>
              <w:right w:val="single" w:color="auto" w:sz="4" w:space="0"/>
            </w:tcBorders>
            <w:tcMar>
              <w:left w:w="57" w:type="dxa"/>
              <w:right w:w="57" w:type="dxa"/>
            </w:tcMar>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投标人选取的材料性能及技术指标满足项目技术要求横向对比，优秀，3</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5；较好</w:t>
            </w:r>
            <w:r>
              <w:rPr>
                <w:rFonts w:hint="eastAsia"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3</w:t>
            </w:r>
            <w:r>
              <w:rPr>
                <w:rFonts w:hint="eastAsia"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一般，</w:t>
            </w:r>
            <w:r>
              <w:rPr>
                <w:rFonts w:hint="eastAsia" w:ascii="Times New Roman" w:hAnsi="Times New Roman" w:eastAsia="宋体" w:cs="Times New Roman"/>
                <w:b w:val="0"/>
                <w:bCs w:val="0"/>
                <w:color w:val="auto"/>
                <w:sz w:val="21"/>
                <w:szCs w:val="21"/>
                <w:highlight w:val="none"/>
                <w:lang w:val="en-US" w:eastAsia="zh-CN"/>
              </w:rPr>
              <w:t>0</w:t>
            </w:r>
            <w:r>
              <w:rPr>
                <w:rFonts w:hint="default" w:ascii="Times New Roman" w:hAnsi="Times New Roman" w:eastAsia="宋体" w:cs="Times New Roman"/>
                <w:b w:val="0"/>
                <w:bCs w:val="0"/>
                <w:color w:val="auto"/>
                <w:sz w:val="21"/>
                <w:szCs w:val="21"/>
                <w:highlight w:val="none"/>
                <w:lang w:val="en-US" w:eastAsia="zh-CN"/>
              </w:rPr>
              <w:t>＜得分≤</w:t>
            </w:r>
            <w:r>
              <w:rPr>
                <w:rFonts w:hint="eastAsia" w:ascii="Times New Roman" w:hAnsi="Times New Roman" w:eastAsia="宋体" w:cs="Times New Roman"/>
                <w:b w:val="0"/>
                <w:bCs w:val="0"/>
                <w:color w:val="auto"/>
                <w:sz w:val="21"/>
                <w:szCs w:val="21"/>
                <w:highlight w:val="none"/>
                <w:lang w:val="en-US" w:eastAsia="zh-CN"/>
              </w:rPr>
              <w:t>2。</w:t>
            </w:r>
          </w:p>
        </w:tc>
      </w:tr>
    </w:tbl>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keepNext/>
        <w:keepLines/>
        <w:pageBreakBefore/>
        <w:numPr>
          <w:ilvl w:val="0"/>
          <w:numId w:val="0"/>
        </w:numPr>
        <w:spacing w:after="240" w:line="240" w:lineRule="atLeast"/>
        <w:ind w:leftChars="0"/>
        <w:jc w:val="center"/>
        <w:outlineLvl w:val="0"/>
        <w:rPr>
          <w:rFonts w:hint="eastAsia" w:ascii="黑体" w:hAnsi="黑体" w:eastAsia="黑体" w:cs="黑体"/>
          <w:b w:val="0"/>
          <w:bCs w:val="0"/>
          <w:smallCaps/>
          <w:spacing w:val="14"/>
          <w:kern w:val="20"/>
          <w:highlight w:val="none"/>
          <w:lang w:eastAsia="zh-CN"/>
        </w:rPr>
      </w:pPr>
      <w:r>
        <w:rPr>
          <w:rFonts w:hint="eastAsia" w:ascii="黑体" w:hAnsi="黑体" w:eastAsia="黑体" w:cs="黑体"/>
          <w:b w:val="0"/>
          <w:bCs w:val="0"/>
          <w:smallCaps/>
          <w:spacing w:val="14"/>
          <w:kern w:val="20"/>
          <w:highlight w:val="none"/>
          <w:lang w:eastAsia="zh-CN"/>
        </w:rPr>
        <w:t>第三章</w:t>
      </w:r>
      <w:r>
        <w:rPr>
          <w:rFonts w:ascii="黑体" w:hAnsi="黑体" w:eastAsia="黑体" w:cs="黑体"/>
          <w:b w:val="0"/>
          <w:bCs w:val="0"/>
          <w:smallCaps/>
          <w:spacing w:val="14"/>
          <w:kern w:val="20"/>
          <w:highlight w:val="none"/>
        </w:rPr>
        <w:t xml:space="preserve"> </w:t>
      </w:r>
      <w:r>
        <w:rPr>
          <w:rFonts w:hint="eastAsia" w:ascii="黑体" w:hAnsi="黑体" w:eastAsia="黑体" w:cs="黑体"/>
          <w:b w:val="0"/>
          <w:bCs w:val="0"/>
          <w:smallCaps/>
          <w:spacing w:val="14"/>
          <w:kern w:val="20"/>
          <w:highlight w:val="none"/>
          <w:lang w:eastAsia="zh-CN"/>
        </w:rPr>
        <w:t>合同样本（关键条款）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napToGrid/>
          <w:kern w:val="2"/>
          <w:sz w:val="24"/>
          <w:szCs w:val="24"/>
          <w:lang w:eastAsia="zh-CN"/>
        </w:rPr>
        <w:t>一、工程概况</w:t>
      </w:r>
      <w:r>
        <w:rPr>
          <w:rFonts w:hint="eastAsia" w:asciiTheme="minorEastAsia" w:hAnsiTheme="minorEastAsia" w:eastAsiaTheme="minorEastAsia" w:cstheme="minorEastAsia"/>
          <w:b w:val="0"/>
          <w:bCs w:val="0"/>
          <w:sz w:val="24"/>
          <w:szCs w:val="24"/>
          <w:lang w:val="en-US" w:eastAsia="zh-CN"/>
        </w:rPr>
        <w:t xml:space="preserve">   </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zh-CN" w:eastAsia="zh-CN"/>
        </w:rPr>
        <w:t>工程内容：</w:t>
      </w:r>
      <w:r>
        <w:rPr>
          <w:rFonts w:hint="eastAsia" w:asciiTheme="minorEastAsia" w:hAnsiTheme="minorEastAsia" w:eastAsiaTheme="minorEastAsia" w:cstheme="minorEastAsia"/>
          <w:b w:val="0"/>
          <w:bCs w:val="0"/>
          <w:snapToGrid/>
          <w:kern w:val="2"/>
          <w:sz w:val="24"/>
          <w:szCs w:val="24"/>
          <w:lang w:eastAsia="zh-CN"/>
        </w:rPr>
        <w:t>山西朔州</w:t>
      </w:r>
      <w:r>
        <w:rPr>
          <w:rFonts w:hint="eastAsia" w:asciiTheme="minorEastAsia" w:hAnsiTheme="minorEastAsia" w:eastAsiaTheme="minorEastAsia" w:cstheme="minorEastAsia"/>
          <w:b w:val="0"/>
          <w:bCs w:val="0"/>
          <w:snapToGrid/>
          <w:kern w:val="2"/>
          <w:sz w:val="24"/>
          <w:szCs w:val="24"/>
          <w:lang w:val="en-US" w:eastAsia="zh-CN"/>
        </w:rPr>
        <w:t>平鲁区国兴</w:t>
      </w:r>
      <w:r>
        <w:rPr>
          <w:rFonts w:hint="eastAsia" w:asciiTheme="minorEastAsia" w:hAnsiTheme="minorEastAsia" w:eastAsiaTheme="minorEastAsia" w:cstheme="minorEastAsia"/>
          <w:b w:val="0"/>
          <w:bCs w:val="0"/>
          <w:snapToGrid/>
          <w:kern w:val="2"/>
          <w:sz w:val="24"/>
          <w:szCs w:val="24"/>
          <w:lang w:eastAsia="zh-CN"/>
        </w:rPr>
        <w:t>煤业有限公司</w:t>
      </w:r>
      <w:r>
        <w:rPr>
          <w:rFonts w:hint="eastAsia" w:asciiTheme="minorEastAsia" w:hAnsiTheme="minorEastAsia" w:eastAsiaTheme="minorEastAsia" w:cstheme="minorEastAsia"/>
          <w:b w:val="0"/>
          <w:bCs w:val="0"/>
          <w:snapToGrid/>
          <w:kern w:val="2"/>
          <w:sz w:val="24"/>
          <w:szCs w:val="24"/>
          <w:lang w:val="en-US" w:eastAsia="zh-CN"/>
        </w:rPr>
        <w:t>安全监控系统更换</w:t>
      </w:r>
      <w:r>
        <w:rPr>
          <w:rFonts w:hint="eastAsia" w:asciiTheme="minorEastAsia" w:hAnsiTheme="minorEastAsia" w:eastAsiaTheme="minorEastAsia" w:cstheme="minorEastAsia"/>
          <w:b w:val="0"/>
          <w:bCs w:val="0"/>
          <w:snapToGrid/>
          <w:kern w:val="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eastAsia="zh-CN"/>
        </w:rPr>
        <w:t>2、</w:t>
      </w:r>
      <w:r>
        <w:rPr>
          <w:rFonts w:hint="eastAsia" w:asciiTheme="minorEastAsia" w:hAnsiTheme="minorEastAsia" w:eastAsiaTheme="minorEastAsia" w:cstheme="minorEastAsia"/>
          <w:b w:val="0"/>
          <w:bCs w:val="0"/>
          <w:snapToGrid/>
          <w:kern w:val="2"/>
          <w:sz w:val="24"/>
          <w:szCs w:val="24"/>
          <w:lang w:val="zh-CN" w:eastAsia="zh-CN"/>
        </w:rPr>
        <w:t>工程地点：</w:t>
      </w:r>
      <w:r>
        <w:rPr>
          <w:rFonts w:hint="eastAsia" w:asciiTheme="minorEastAsia" w:hAnsiTheme="minorEastAsia" w:eastAsiaTheme="minorEastAsia" w:cstheme="minorEastAsia"/>
          <w:b w:val="0"/>
          <w:bCs w:val="0"/>
          <w:snapToGrid/>
          <w:kern w:val="2"/>
          <w:sz w:val="24"/>
          <w:szCs w:val="24"/>
          <w:lang w:eastAsia="zh-CN"/>
        </w:rPr>
        <w:t>山西朔州</w:t>
      </w:r>
      <w:r>
        <w:rPr>
          <w:rFonts w:hint="eastAsia" w:asciiTheme="minorEastAsia" w:hAnsiTheme="minorEastAsia" w:eastAsiaTheme="minorEastAsia" w:cstheme="minorEastAsia"/>
          <w:b w:val="0"/>
          <w:bCs w:val="0"/>
          <w:snapToGrid/>
          <w:kern w:val="2"/>
          <w:sz w:val="24"/>
          <w:szCs w:val="24"/>
          <w:lang w:val="en-US" w:eastAsia="zh-CN"/>
        </w:rPr>
        <w:t>平鲁区国兴</w:t>
      </w:r>
      <w:r>
        <w:rPr>
          <w:rFonts w:hint="eastAsia" w:asciiTheme="minorEastAsia" w:hAnsiTheme="minorEastAsia" w:eastAsiaTheme="minorEastAsia" w:cstheme="minorEastAsia"/>
          <w:b w:val="0"/>
          <w:bCs w:val="0"/>
          <w:snapToGrid/>
          <w:kern w:val="2"/>
          <w:sz w:val="24"/>
          <w:szCs w:val="24"/>
          <w:lang w:eastAsia="zh-CN"/>
        </w:rPr>
        <w:t>煤业；</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eastAsia="zh-CN"/>
        </w:rPr>
        <w:t>二、合同工期及工期延误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eastAsia="zh-CN"/>
        </w:rPr>
        <w:t>工程起止日期：</w:t>
      </w:r>
      <w:r>
        <w:rPr>
          <w:rFonts w:hint="eastAsia" w:asciiTheme="minorEastAsia" w:hAnsiTheme="minorEastAsia" w:eastAsiaTheme="minorEastAsia" w:cstheme="minorEastAsia"/>
          <w:b w:val="0"/>
          <w:bCs w:val="0"/>
          <w:snapToGrid/>
          <w:kern w:val="2"/>
          <w:sz w:val="24"/>
          <w:szCs w:val="24"/>
          <w:lang w:val="en-US" w:eastAsia="zh-CN"/>
        </w:rPr>
        <w:t>合同签订之日起，</w:t>
      </w:r>
      <w:r>
        <w:rPr>
          <w:rFonts w:hint="eastAsia" w:asciiTheme="minorEastAsia" w:hAnsiTheme="minorEastAsia" w:eastAsiaTheme="minorEastAsia" w:cstheme="minorEastAsia"/>
          <w:b w:val="0"/>
          <w:bCs w:val="0"/>
          <w:snapToGrid/>
          <w:kern w:val="2"/>
          <w:sz w:val="24"/>
          <w:szCs w:val="24"/>
          <w:lang w:eastAsia="zh-CN"/>
        </w:rPr>
        <w:t xml:space="preserve"> </w:t>
      </w:r>
      <w:r>
        <w:rPr>
          <w:rFonts w:hint="eastAsia" w:asciiTheme="minorEastAsia" w:hAnsiTheme="minorEastAsia" w:eastAsiaTheme="minorEastAsia" w:cstheme="minorEastAsia"/>
          <w:b w:val="0"/>
          <w:bCs w:val="0"/>
          <w:snapToGrid/>
          <w:kern w:val="2"/>
          <w:sz w:val="24"/>
          <w:szCs w:val="24"/>
          <w:lang w:val="en-US" w:eastAsia="zh-CN"/>
        </w:rPr>
        <w:t>6</w:t>
      </w:r>
      <w:r>
        <w:rPr>
          <w:rFonts w:hint="eastAsia" w:asciiTheme="minorEastAsia" w:hAnsiTheme="minorEastAsia" w:eastAsiaTheme="minorEastAsia" w:cstheme="minorEastAsia"/>
          <w:b w:val="0"/>
          <w:bCs w:val="0"/>
          <w:snapToGrid/>
          <w:kern w:val="2"/>
          <w:sz w:val="24"/>
          <w:szCs w:val="24"/>
          <w:lang w:eastAsia="zh-CN"/>
        </w:rPr>
        <w:t>0 天</w:t>
      </w:r>
      <w:r>
        <w:rPr>
          <w:rFonts w:hint="eastAsia" w:asciiTheme="minorEastAsia" w:hAnsiTheme="minorEastAsia" w:eastAsiaTheme="minorEastAsia" w:cstheme="minorEastAsia"/>
          <w:b w:val="0"/>
          <w:bCs w:val="0"/>
          <w:snapToGrid/>
          <w:kern w:val="2"/>
          <w:sz w:val="24"/>
          <w:szCs w:val="24"/>
          <w:lang w:val="en-US" w:eastAsia="zh-CN"/>
        </w:rPr>
        <w:t>内完工</w:t>
      </w:r>
      <w:r>
        <w:rPr>
          <w:rFonts w:hint="eastAsia" w:asciiTheme="minorEastAsia" w:hAnsiTheme="minorEastAsia" w:eastAsiaTheme="minorEastAsia" w:cstheme="minorEastAsia"/>
          <w:b w:val="0"/>
          <w:bCs w:val="0"/>
          <w:snapToGrid/>
          <w:kern w:val="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eastAsia="zh-CN"/>
        </w:rPr>
        <w:t>因以下原因造成工期延误，工期相应顺延；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A、</w:t>
      </w:r>
      <w:r>
        <w:rPr>
          <w:rFonts w:hint="eastAsia" w:asciiTheme="minorEastAsia" w:hAnsiTheme="minorEastAsia" w:eastAsiaTheme="minorEastAsia" w:cstheme="minorEastAsia"/>
          <w:b w:val="0"/>
          <w:bCs w:val="0"/>
          <w:snapToGrid/>
          <w:kern w:val="2"/>
          <w:sz w:val="24"/>
          <w:szCs w:val="24"/>
          <w:lang w:eastAsia="zh-CN"/>
        </w:rPr>
        <w:t>甲方代表未按约定供给指令、批准等，致使施工不能正常进行；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B、</w:t>
      </w:r>
      <w:r>
        <w:rPr>
          <w:rFonts w:hint="eastAsia" w:asciiTheme="minorEastAsia" w:hAnsiTheme="minorEastAsia" w:eastAsiaTheme="minorEastAsia" w:cstheme="minorEastAsia"/>
          <w:b w:val="0"/>
          <w:bCs w:val="0"/>
          <w:snapToGrid/>
          <w:kern w:val="2"/>
          <w:sz w:val="24"/>
          <w:szCs w:val="24"/>
          <w:lang w:eastAsia="zh-CN"/>
        </w:rPr>
        <w:t>工程量增加；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C、</w:t>
      </w:r>
      <w:r>
        <w:rPr>
          <w:rFonts w:hint="eastAsia" w:asciiTheme="minorEastAsia" w:hAnsiTheme="minorEastAsia" w:eastAsiaTheme="minorEastAsia" w:cstheme="minorEastAsia"/>
          <w:b w:val="0"/>
          <w:bCs w:val="0"/>
          <w:snapToGrid/>
          <w:kern w:val="2"/>
          <w:sz w:val="24"/>
          <w:szCs w:val="24"/>
          <w:lang w:eastAsia="zh-CN"/>
        </w:rPr>
        <w:t>不可抗力。</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三、</w:t>
      </w:r>
      <w:r>
        <w:rPr>
          <w:rFonts w:hint="eastAsia" w:asciiTheme="minorEastAsia" w:hAnsiTheme="minorEastAsia" w:eastAsiaTheme="minorEastAsia" w:cstheme="minorEastAsia"/>
          <w:b w:val="0"/>
          <w:bCs w:val="0"/>
          <w:snapToGrid/>
          <w:kern w:val="2"/>
          <w:sz w:val="24"/>
          <w:szCs w:val="24"/>
          <w:lang w:eastAsia="zh-CN"/>
        </w:rPr>
        <w:t>合同价款</w:t>
      </w:r>
    </w:p>
    <w:p>
      <w:pPr>
        <w:keepNext w:val="0"/>
        <w:keepLines w:val="0"/>
        <w:pageBreakBefore w:val="0"/>
        <w:widowControl w:val="0"/>
        <w:kinsoku/>
        <w:wordWrap/>
        <w:overflowPunct/>
        <w:topLinePunct w:val="0"/>
        <w:autoSpaceDE/>
        <w:autoSpaceDN/>
        <w:bidi w:val="0"/>
        <w:adjustRightInd/>
        <w:snapToGrid/>
        <w:spacing w:line="360" w:lineRule="auto"/>
        <w:ind w:left="279" w:leftChars="93" w:firstLine="240" w:firstLineChars="1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highlight w:val="none"/>
          <w:lang w:eastAsia="zh-CN"/>
        </w:rPr>
        <w:t>合同</w:t>
      </w:r>
      <w:r>
        <w:rPr>
          <w:rFonts w:hint="eastAsia" w:asciiTheme="minorEastAsia" w:hAnsiTheme="minorEastAsia" w:eastAsiaTheme="minorEastAsia" w:cstheme="minorEastAsia"/>
          <w:b w:val="0"/>
          <w:bCs w:val="0"/>
          <w:snapToGrid/>
          <w:kern w:val="2"/>
          <w:sz w:val="24"/>
          <w:szCs w:val="24"/>
          <w:highlight w:val="none"/>
          <w:lang w:val="en-US" w:eastAsia="zh-CN"/>
        </w:rPr>
        <w:t>固定</w:t>
      </w:r>
      <w:r>
        <w:rPr>
          <w:rFonts w:hint="eastAsia" w:asciiTheme="minorEastAsia" w:hAnsiTheme="minorEastAsia" w:eastAsiaTheme="minorEastAsia" w:cstheme="minorEastAsia"/>
          <w:b w:val="0"/>
          <w:bCs w:val="0"/>
          <w:snapToGrid/>
          <w:kern w:val="2"/>
          <w:sz w:val="24"/>
          <w:szCs w:val="24"/>
          <w:highlight w:val="none"/>
          <w:lang w:eastAsia="zh-CN"/>
        </w:rPr>
        <w:t>总价款为：</w:t>
      </w:r>
      <w:r>
        <w:rPr>
          <w:rFonts w:hint="eastAsia" w:asciiTheme="minorEastAsia" w:hAnsiTheme="minorEastAsia" w:eastAsiaTheme="minorEastAsia" w:cstheme="minorEastAsia"/>
          <w:b w:val="0"/>
          <w:bCs w:val="0"/>
          <w:snapToGrid/>
          <w:kern w:val="2"/>
          <w:sz w:val="24"/>
          <w:szCs w:val="24"/>
          <w:highlight w:val="none"/>
          <w:lang w:val="en-US" w:eastAsia="zh-CN"/>
        </w:rPr>
        <w:t xml:space="preserve">      </w:t>
      </w:r>
      <w:r>
        <w:rPr>
          <w:rFonts w:hint="eastAsia" w:asciiTheme="minorEastAsia" w:hAnsiTheme="minorEastAsia" w:eastAsiaTheme="minorEastAsia" w:cstheme="minorEastAsia"/>
          <w:b w:val="0"/>
          <w:bCs w:val="0"/>
          <w:snapToGrid/>
          <w:kern w:val="2"/>
          <w:sz w:val="24"/>
          <w:szCs w:val="24"/>
          <w:highlight w:val="none"/>
          <w:lang w:eastAsia="zh-CN"/>
        </w:rPr>
        <w:t>元</w:t>
      </w:r>
      <w:r>
        <w:rPr>
          <w:rFonts w:hint="eastAsia" w:asciiTheme="minorEastAsia" w:hAnsiTheme="minorEastAsia" w:eastAsiaTheme="minorEastAsia" w:cstheme="minorEastAsia"/>
          <w:b w:val="0"/>
          <w:bCs w:val="0"/>
          <w:snapToGrid/>
          <w:kern w:val="2"/>
          <w:sz w:val="24"/>
          <w:szCs w:val="24"/>
          <w:highlight w:val="none"/>
          <w:lang w:val="en-US" w:eastAsia="zh-CN"/>
        </w:rPr>
        <w:t>整</w:t>
      </w:r>
      <w:r>
        <w:rPr>
          <w:rFonts w:hint="eastAsia" w:asciiTheme="minorEastAsia" w:hAnsiTheme="minorEastAsia" w:eastAsiaTheme="minorEastAsia" w:cstheme="minorEastAsia"/>
          <w:b w:val="0"/>
          <w:bCs w:val="0"/>
          <w:snapToGrid/>
          <w:kern w:val="2"/>
          <w:sz w:val="24"/>
          <w:szCs w:val="24"/>
          <w:highlight w:val="none"/>
          <w:lang w:eastAsia="zh-CN"/>
        </w:rPr>
        <w:t xml:space="preserve"> （含税</w:t>
      </w:r>
      <w:r>
        <w:rPr>
          <w:rFonts w:hint="eastAsia" w:asciiTheme="minorEastAsia" w:hAnsiTheme="minorEastAsia" w:eastAsiaTheme="minorEastAsia" w:cstheme="minorEastAsia"/>
          <w:b w:val="0"/>
          <w:bCs w:val="0"/>
          <w:snapToGrid/>
          <w:kern w:val="2"/>
          <w:sz w:val="24"/>
          <w:szCs w:val="24"/>
          <w:highlight w:val="none"/>
          <w:lang w:val="en-US" w:eastAsia="zh-CN"/>
        </w:rPr>
        <w:t>6%</w:t>
      </w:r>
      <w:r>
        <w:rPr>
          <w:rFonts w:hint="eastAsia" w:asciiTheme="minorEastAsia" w:hAnsiTheme="minorEastAsia" w:eastAsiaTheme="minorEastAsia" w:cstheme="minorEastAsia"/>
          <w:b w:val="0"/>
          <w:bCs w:val="0"/>
          <w:snapToGrid/>
          <w:kern w:val="2"/>
          <w:sz w:val="24"/>
          <w:szCs w:val="24"/>
          <w:highlight w:val="none"/>
          <w:lang w:eastAsia="zh-CN"/>
        </w:rPr>
        <w:t>）大写金额为：</w:t>
      </w:r>
      <w:r>
        <w:rPr>
          <w:rFonts w:hint="eastAsia" w:asciiTheme="minorEastAsia" w:hAnsiTheme="minorEastAsia" w:eastAsiaTheme="minorEastAsia" w:cstheme="minorEastAsia"/>
          <w:b w:val="0"/>
          <w:bCs w:val="0"/>
          <w:snapToGrid/>
          <w:kern w:val="2"/>
          <w:sz w:val="24"/>
          <w:szCs w:val="24"/>
          <w:lang w:val="en-US" w:eastAsia="zh-CN"/>
        </w:rPr>
        <w:t xml:space="preserve">             元整</w:t>
      </w:r>
      <w:r>
        <w:rPr>
          <w:rFonts w:hint="eastAsia" w:asciiTheme="minorEastAsia" w:hAnsiTheme="minorEastAsia" w:eastAsiaTheme="minorEastAsia" w:cstheme="minorEastAsia"/>
          <w:b w:val="0"/>
          <w:bCs w:val="0"/>
          <w:snapToGrid/>
          <w:kern w:val="2"/>
          <w:sz w:val="24"/>
          <w:szCs w:val="24"/>
          <w:lang w:eastAsia="zh-CN"/>
        </w:rPr>
        <w:t xml:space="preserve"> ；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四、</w:t>
      </w:r>
      <w:r>
        <w:rPr>
          <w:rFonts w:hint="eastAsia" w:asciiTheme="minorEastAsia" w:hAnsiTheme="minorEastAsia" w:eastAsiaTheme="minorEastAsia" w:cstheme="minorEastAsia"/>
          <w:b w:val="0"/>
          <w:bCs w:val="0"/>
          <w:snapToGrid/>
          <w:kern w:val="2"/>
          <w:sz w:val="24"/>
          <w:szCs w:val="24"/>
          <w:lang w:eastAsia="zh-CN"/>
        </w:rPr>
        <w:t>工程款结算及支付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1、</w:t>
      </w:r>
      <w:r>
        <w:rPr>
          <w:rFonts w:hint="eastAsia" w:asciiTheme="minorEastAsia" w:hAnsiTheme="minorEastAsia" w:eastAsiaTheme="minorEastAsia" w:cstheme="minorEastAsia"/>
          <w:b w:val="0"/>
          <w:bCs w:val="0"/>
          <w:snapToGrid/>
          <w:kern w:val="2"/>
          <w:sz w:val="24"/>
          <w:szCs w:val="24"/>
          <w:lang w:eastAsia="zh-CN"/>
        </w:rPr>
        <w:t>项目结束经甲方组织人员验收合格之日起，使用满一年，乙方向甲方提供增值税专用发票，一次性支付工程结算额度的</w:t>
      </w:r>
      <w:r>
        <w:rPr>
          <w:rFonts w:hint="eastAsia" w:asciiTheme="minorEastAsia" w:hAnsiTheme="minorEastAsia" w:eastAsiaTheme="minorEastAsia" w:cstheme="minorEastAsia"/>
          <w:b w:val="0"/>
          <w:bCs w:val="0"/>
          <w:snapToGrid/>
          <w:kern w:val="2"/>
          <w:sz w:val="24"/>
          <w:szCs w:val="24"/>
          <w:lang w:val="en-US" w:eastAsia="zh-CN"/>
        </w:rPr>
        <w:t>9</w:t>
      </w:r>
      <w:r>
        <w:rPr>
          <w:rFonts w:hint="eastAsia" w:asciiTheme="minorEastAsia" w:hAnsiTheme="minorEastAsia" w:eastAsiaTheme="minorEastAsia" w:cstheme="minorEastAsia"/>
          <w:b w:val="0"/>
          <w:bCs w:val="0"/>
          <w:snapToGrid/>
          <w:kern w:val="2"/>
          <w:sz w:val="24"/>
          <w:szCs w:val="24"/>
          <w:lang w:eastAsia="zh-CN"/>
        </w:rPr>
        <w:t>0%，</w:t>
      </w:r>
      <w:r>
        <w:rPr>
          <w:rFonts w:hint="eastAsia" w:asciiTheme="minorEastAsia" w:hAnsiTheme="minorEastAsia" w:eastAsiaTheme="minorEastAsia" w:cstheme="minorEastAsia"/>
          <w:b w:val="0"/>
          <w:bCs w:val="0"/>
          <w:snapToGrid/>
          <w:kern w:val="2"/>
          <w:sz w:val="24"/>
          <w:szCs w:val="24"/>
          <w:lang w:val="en-US" w:eastAsia="zh-CN"/>
        </w:rPr>
        <w:t>系统运行2年以上，无质量问题，支付</w:t>
      </w:r>
      <w:r>
        <w:rPr>
          <w:rFonts w:hint="eastAsia" w:asciiTheme="minorEastAsia" w:hAnsiTheme="minorEastAsia" w:eastAsiaTheme="minorEastAsia" w:cstheme="minorEastAsia"/>
          <w:b w:val="0"/>
          <w:bCs w:val="0"/>
          <w:snapToGrid/>
          <w:kern w:val="2"/>
          <w:sz w:val="24"/>
          <w:szCs w:val="24"/>
          <w:lang w:eastAsia="zh-CN"/>
        </w:rPr>
        <w:t>工程结算额度的</w:t>
      </w:r>
      <w:r>
        <w:rPr>
          <w:rFonts w:hint="eastAsia" w:asciiTheme="minorEastAsia" w:hAnsiTheme="minorEastAsia" w:eastAsiaTheme="minorEastAsia" w:cstheme="minorEastAsia"/>
          <w:b w:val="0"/>
          <w:bCs w:val="0"/>
          <w:snapToGrid/>
          <w:kern w:val="2"/>
          <w:sz w:val="24"/>
          <w:szCs w:val="24"/>
          <w:lang w:val="en-US" w:eastAsia="zh-CN"/>
        </w:rPr>
        <w:t>剩余10%</w:t>
      </w:r>
      <w:r>
        <w:rPr>
          <w:rFonts w:hint="eastAsia" w:asciiTheme="minorEastAsia" w:hAnsiTheme="minorEastAsia" w:eastAsiaTheme="minorEastAsia" w:cstheme="minorEastAsia"/>
          <w:b w:val="0"/>
          <w:bCs w:val="0"/>
          <w:snapToGrid/>
          <w:kern w:val="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甲方付款前，乙方应当按照甲方财务要求提供相应的增值税务发票，并按照甲方公司及其上级主管部门的规定履行相应的付款审批程序，甲乙双方均认可前述内容为乙方的重大义务，如乙方未能完全履行该义务，则甲方有权拒付相应款项。</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五、技术标准、质量要求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严格按照国家相关标准执行，安装改造所需设备、配件由乙方提供（费用含在合同总价内）,并保证设备、配件是合格产品；商务合同与国家及行业标准有冲突时，以最高标准或最严要求条款执行；同时要满足甲方正常使用要求。</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六、验收标准、方法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kern w:val="2"/>
          <w:sz w:val="24"/>
          <w:szCs w:val="24"/>
          <w:lang w:val="en-US" w:eastAsia="zh-CN"/>
        </w:rPr>
        <w:t>项目质量应符合国家、行业颁发的施工技术规程、质量验收规范及相关规定，施工达到标准工艺要求。</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七、维保响应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1.甲方应当在项目完成后验收乙方所完成的工作，双方确定质量保证期限为自验收合格之日起一年。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2.质保期内设备故障，甲方应及时通知乙方，乙方须在2小时内到达现场，故障处理在2小时内解决。乙方未在2小时内解决，每推迟1小时，按合同价款的5‰进行处罚，违约金从应付合同价款中扣除。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除甲方使用或保管不当等原因而造成质量问题的以外，由乙方负责修复或退换。</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mallCaps/>
          <w:spacing w:val="14"/>
          <w:kern w:val="20"/>
          <w:sz w:val="24"/>
          <w:szCs w:val="24"/>
          <w:highlight w:val="none"/>
          <w:lang w:eastAsia="zh-CN"/>
        </w:rPr>
      </w:pPr>
      <w:r>
        <w:rPr>
          <w:rFonts w:hint="eastAsia" w:asciiTheme="minorEastAsia" w:hAnsiTheme="minorEastAsia" w:eastAsiaTheme="minorEastAsia" w:cstheme="minorEastAsia"/>
          <w:b w:val="0"/>
          <w:bCs w:val="0"/>
          <w:snapToGrid/>
          <w:kern w:val="2"/>
          <w:sz w:val="24"/>
          <w:szCs w:val="24"/>
          <w:lang w:val="en-US" w:eastAsia="zh-CN"/>
        </w:rPr>
        <w:t>当事人双方对项目质量发生争议时，双方由认可的法定质量监督检验机构提供检验证明。</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八、甲方的权利和义务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1、甲方对乙方工作进行监督检查管理，协调解决合同履行中出现的问题。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2、按照约定对工程进行验收，按合同规定支付工程款。</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九、乙方的权利和义务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1、乙方应遵守合同条款的约定，在规定时间内完成合同任务，严格执行合同约定的履行职责；施工过程中，如发现乙方工程出现缺陷，由乙方负全责并自费返工。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乙方应遵守甲方有关安全文明生产的管理规定，承担工程施工中的安全责任。乙方必须贯彻执行“安全第一、预防为主”的方针，严格执行相关的规定，采取严格的安全防护措施；施工过程中如发生安全责任事故，造成人员伤亡、财产损失的，由乙方承担一切责任及处理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3、乙方施工所需工具、器具、安全保护用品等，由乙方自行解决；施工现场的安全保护、成品及施工用材料，必须按甲方指定地点堆放整齐，由乙方自行保管；乙方人员的伙食费、差旅费用自理。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4、乙方的工作应符合约定的施工标准并得到甲方认可；对施工产生的废弃物品的存放、运输、处理，乙方应严格按照甲方的具体要求实施；乙方做好施工现场的文明生产工作，做到工完、料尽、场地清。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5、乙方的工作应以不影响甲方正常的生产为原则，乙方应服从甲方对现场施工的管理。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6、乙方负责办理施工所需的审批手续。因施工行为产生的一切法律责任，由乙方单独承担，与甲方无关。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7、乙方应与劳动人员签订劳动合同并为劳动人员缴纳意外保险。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8、如出现相关的纠纷，由乙方负责并承担相关费用及法律责任。</w:t>
      </w:r>
    </w:p>
    <w:p>
      <w:pPr>
        <w:pStyle w:val="18"/>
        <w:ind w:firstLine="480" w:firstLineChars="200"/>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9、乙方需要根据甲方提出的要求做好系统运行所需要的各项技术工作，并教会甲方操作使用。</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十、违约责任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1、因甲方原因延误工期，工期顺延。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2、乙方没有在合同期内完成任务，每逾期一日扣除合同价款5‰的违约金（累计不超过合同价款的10%）；由此给甲方造成经济损失的，乙方应全额赔偿。（不可抗拒的自然灾害除外）。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3、签约一方无故单方解约时，视同违约，违约方应按合同总价的5%向守约方偿付违约金，如违约金不足以弥补实际损失的，守约方还可要求赔偿实际损失。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4、工程质量不符合合同规定，按合同总价款的5%作为违约金扣除；同时乙方负责无偿修理或返。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5、甲方发现乙方在作业过程中有违反规程或者安全规定的行为，在甲方下发书面整改通知单后，乙方在限期内拒不整改的，甲方有权单方解除合同。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十一、争议解决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1、双方约定，在履行合同进程中产生争议时，双方应及时协商，协商不成，任何一方应可向甲方所在地有管辖权的人民法院起诉。</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十二、其他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1、本合同未尽事宜，双方可依据具体情况结合有关规定另行协商达成本合同的补充协议，与本合同具有同等效力。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val="0"/>
          <w:snapToGrid/>
          <w:kern w:val="2"/>
          <w:sz w:val="24"/>
          <w:szCs w:val="24"/>
          <w:lang w:val="en-US" w:eastAsia="zh-CN"/>
        </w:rPr>
      </w:pPr>
      <w:r>
        <w:rPr>
          <w:rFonts w:hint="eastAsia" w:asciiTheme="minorEastAsia" w:hAnsiTheme="minorEastAsia" w:eastAsiaTheme="minorEastAsia" w:cstheme="minorEastAsia"/>
          <w:b w:val="0"/>
          <w:bCs w:val="0"/>
          <w:snapToGrid/>
          <w:kern w:val="2"/>
          <w:sz w:val="24"/>
          <w:szCs w:val="24"/>
          <w:lang w:val="en-US" w:eastAsia="zh-CN"/>
        </w:rPr>
        <w:t>2、本合同一式陆份，双方各执叁份，具有同等法律效力，自双方签字并加盖公章或合同专用章之日起生效。</w:t>
      </w:r>
    </w:p>
    <w:p>
      <w:pPr>
        <w:pStyle w:val="18"/>
        <w:rPr>
          <w:rFonts w:hint="default"/>
          <w:lang w:val="en-US" w:eastAsia="zh-CN"/>
        </w:rPr>
      </w:pPr>
      <w:r>
        <w:rPr>
          <w:rFonts w:hint="eastAsia"/>
          <w:lang w:val="en-US" w:eastAsia="zh-CN"/>
        </w:rPr>
        <w:t xml:space="preserve">          </w:t>
      </w:r>
    </w:p>
    <w:p>
      <w:pPr>
        <w:rPr>
          <w:rFonts w:hint="eastAsia" w:ascii="黑体" w:hAnsi="黑体" w:eastAsia="黑体" w:cs="黑体"/>
          <w:b w:val="0"/>
          <w:bCs w:val="0"/>
          <w:smallCaps/>
          <w:spacing w:val="14"/>
          <w:kern w:val="20"/>
          <w:highlight w:val="none"/>
          <w:lang w:eastAsia="zh-CN"/>
        </w:rPr>
      </w:pPr>
    </w:p>
    <w:p>
      <w:pPr>
        <w:pStyle w:val="18"/>
      </w:pPr>
    </w:p>
    <w:p>
      <w:pPr>
        <w:pStyle w:val="18"/>
      </w:pPr>
    </w:p>
    <w:p>
      <w:pPr>
        <w:pStyle w:val="18"/>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spacing w:line="360" w:lineRule="auto"/>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eastAsia="zh-CN"/>
        </w:rPr>
        <w:t>一、</w:t>
      </w:r>
      <w:r>
        <w:rPr>
          <w:rFonts w:hint="eastAsia" w:ascii="宋体" w:hAnsi="宋体" w:cs="宋体"/>
          <w:b w:val="0"/>
          <w:bCs w:val="0"/>
          <w:sz w:val="24"/>
          <w:szCs w:val="24"/>
          <w:highlight w:val="none"/>
          <w:lang w:val="en-GB"/>
        </w:rPr>
        <w:t>设计依据及标准</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《煤矿安全规程》 （20</w:t>
      </w:r>
      <w:r>
        <w:rPr>
          <w:rFonts w:hint="eastAsia" w:ascii="宋体" w:hAnsi="宋体" w:cs="宋体"/>
          <w:b w:val="0"/>
          <w:bCs w:val="0"/>
          <w:sz w:val="24"/>
          <w:szCs w:val="24"/>
          <w:highlight w:val="none"/>
        </w:rPr>
        <w:t>22</w:t>
      </w:r>
      <w:r>
        <w:rPr>
          <w:rFonts w:hint="eastAsia" w:ascii="宋体" w:hAnsi="宋体" w:cs="宋体"/>
          <w:b w:val="0"/>
          <w:bCs w:val="0"/>
          <w:sz w:val="24"/>
          <w:szCs w:val="24"/>
          <w:highlight w:val="none"/>
          <w:lang w:val="en-GB"/>
        </w:rPr>
        <w:t>版）</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IEEE802.3以太网规范</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国家煤矿安监局关于印发《煤矿安全监控系统升级改造技术方案》的通知 煤安监函[2016]5号文</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《煤矿安全监控系统及检测仪器使用管理规范》（AQ1029-20</w:t>
      </w:r>
      <w:r>
        <w:rPr>
          <w:rFonts w:hint="eastAsia" w:ascii="宋体" w:hAnsi="宋体" w:cs="宋体"/>
          <w:b w:val="0"/>
          <w:bCs w:val="0"/>
          <w:sz w:val="24"/>
          <w:szCs w:val="24"/>
          <w:highlight w:val="none"/>
        </w:rPr>
        <w:t>19</w:t>
      </w:r>
      <w:r>
        <w:rPr>
          <w:rFonts w:hint="eastAsia" w:ascii="宋体" w:hAnsi="宋体" w:cs="宋体"/>
          <w:b w:val="0"/>
          <w:bCs w:val="0"/>
          <w:sz w:val="24"/>
          <w:szCs w:val="24"/>
          <w:highlight w:val="none"/>
          <w:lang w:val="en-GB"/>
        </w:rPr>
        <w:t>）</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《煤矿安全监控系统通用技术要求》 （AQ6201-20</w:t>
      </w:r>
      <w:r>
        <w:rPr>
          <w:rFonts w:hint="eastAsia" w:ascii="宋体" w:hAnsi="宋体" w:cs="宋体"/>
          <w:b w:val="0"/>
          <w:bCs w:val="0"/>
          <w:sz w:val="24"/>
          <w:szCs w:val="24"/>
          <w:highlight w:val="none"/>
        </w:rPr>
        <w:t>19</w:t>
      </w:r>
      <w:r>
        <w:rPr>
          <w:rFonts w:hint="eastAsia" w:ascii="宋体" w:hAnsi="宋体" w:cs="宋体"/>
          <w:b w:val="0"/>
          <w:bCs w:val="0"/>
          <w:sz w:val="24"/>
          <w:szCs w:val="24"/>
          <w:highlight w:val="none"/>
          <w:lang w:val="en-GB"/>
        </w:rPr>
        <w:t>）</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国家安全监管总局办公厅关于印发《煤矿安全生产在线监测联网备查系统通用技术要求和数据采集标准（试行）》的通知 安监总厅规划</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GB"/>
        </w:rPr>
        <w:t>2016</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GB"/>
        </w:rPr>
        <w:t>138号文</w:t>
      </w:r>
    </w:p>
    <w:p>
      <w:pPr>
        <w:spacing w:line="360" w:lineRule="auto"/>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国家安全监管总局 国家煤矿安监局关于加强煤与甲烷突出事故监测和报警工作的通知 （安监总煤装[2013]28号文）</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《煤矿紧急避险系统建设管理暂行规定》（安监总煤装[2011]15号文）</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《计算机场地技术条件》GB/T2887-2011</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《爆炸性环境电气设备通用要求》GB3836.1-2010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《爆炸性环境 第1部分：设备 通用要求》GB3836.1-2010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《爆炸性环境 第2部分：由隔爆外壳“d”保护的设备》GB3836.4-2010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《爆炸性环境 第4部分：由本质安全型“i”保护的设备》GB3836.4-2010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《矿井通信、检测、控制用电工电子产品通用技术条件》MT209-1990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《煤炭工业矿井监测监控系统装备配置标准》GB50581-2010</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《煤矿安全生产监控系统软件通用技术要求》MT/T1008-2006</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《煤矿监控系统总体设计规范》</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《煤矿监控系统中心软件开发规范》</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《技术及信息系统安全法规汇编》 （公安部编印）</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《电子设备雷击保护导则》 （GB7450-87）</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《计算机场地技术条件》 （GB2887）</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《计算机场地安全条件》 （GB9361）</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《集中光纤布线指导规则》 （EIA/TIA TSB72）</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《通信线路防雷标准》 （IEC61665）</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《工业企业通信设计规范》 （GBJ42-81）</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相关国家法律、法规及行业规范和要求</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矿井甲烷涌出量测定报告（20</w:t>
      </w:r>
      <w:r>
        <w:rPr>
          <w:rFonts w:hint="eastAsia" w:ascii="宋体" w:hAnsi="宋体" w:cs="宋体"/>
          <w:b w:val="0"/>
          <w:bCs w:val="0"/>
          <w:sz w:val="24"/>
          <w:szCs w:val="24"/>
          <w:highlight w:val="none"/>
        </w:rPr>
        <w:t>21</w:t>
      </w:r>
      <w:r>
        <w:rPr>
          <w:rFonts w:hint="eastAsia" w:ascii="宋体" w:hAnsi="宋体" w:cs="宋体"/>
          <w:b w:val="0"/>
          <w:bCs w:val="0"/>
          <w:sz w:val="24"/>
          <w:szCs w:val="24"/>
          <w:highlight w:val="none"/>
          <w:lang w:val="en-GB"/>
        </w:rPr>
        <w:t>年度）</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矿现有安全监控系统及有关资料、图纸。</w:t>
      </w:r>
    </w:p>
    <w:p>
      <w:pPr>
        <w:spacing w:line="360" w:lineRule="auto"/>
        <w:rPr>
          <w:rFonts w:hint="eastAsia" w:ascii="宋体" w:hAnsi="宋体" w:cs="宋体"/>
          <w:b w:val="0"/>
          <w:bCs w:val="0"/>
          <w:sz w:val="24"/>
          <w:szCs w:val="24"/>
          <w:highlight w:val="none"/>
          <w:lang w:val="en-GB"/>
        </w:rPr>
      </w:pPr>
      <w:bookmarkStart w:id="0" w:name="_Toc18772"/>
      <w:r>
        <w:rPr>
          <w:rFonts w:hint="eastAsia" w:ascii="宋体" w:hAnsi="宋体" w:cs="宋体"/>
          <w:b w:val="0"/>
          <w:bCs w:val="0"/>
          <w:sz w:val="24"/>
          <w:szCs w:val="24"/>
          <w:highlight w:val="none"/>
          <w:lang w:val="en-GB"/>
        </w:rPr>
        <w:t>二、设计原则</w:t>
      </w:r>
      <w:bookmarkEnd w:id="0"/>
      <w:r>
        <w:rPr>
          <w:rFonts w:hint="eastAsia" w:ascii="宋体" w:hAnsi="宋体" w:cs="宋体"/>
          <w:b w:val="0"/>
          <w:bCs w:val="0"/>
          <w:sz w:val="24"/>
          <w:szCs w:val="24"/>
          <w:highlight w:val="none"/>
          <w:lang w:val="en-GB"/>
        </w:rPr>
        <w:t>和</w:t>
      </w:r>
      <w:r>
        <w:rPr>
          <w:rFonts w:hint="eastAsia" w:ascii="宋体" w:hAnsi="宋体" w:cs="宋体"/>
          <w:b w:val="0"/>
          <w:bCs w:val="0"/>
          <w:sz w:val="24"/>
          <w:szCs w:val="24"/>
          <w:highlight w:val="none"/>
        </w:rPr>
        <w:t>技术要求</w:t>
      </w:r>
    </w:p>
    <w:p>
      <w:pPr>
        <w:spacing w:line="360" w:lineRule="auto"/>
        <w:ind w:firstLine="480" w:firstLineChars="200"/>
        <w:rPr>
          <w:rFonts w:hint="eastAsia" w:ascii="宋体" w:hAnsi="宋体" w:cs="宋体"/>
          <w:b w:val="0"/>
          <w:bCs w:val="0"/>
          <w:sz w:val="24"/>
          <w:szCs w:val="24"/>
          <w:highlight w:val="none"/>
          <w:lang w:val="en-GB"/>
        </w:rPr>
      </w:pPr>
      <w:r>
        <w:rPr>
          <w:rFonts w:hint="eastAsia" w:ascii="宋体" w:hAnsi="宋体" w:cs="宋体"/>
          <w:b w:val="0"/>
          <w:bCs w:val="0"/>
          <w:sz w:val="24"/>
          <w:szCs w:val="24"/>
          <w:highlight w:val="none"/>
          <w:lang w:val="en-GB"/>
        </w:rPr>
        <w:t>根据国兴煤业安全监控系统的实际应用状况和将来的发展趋势，考虑到系统的实际需求及具体的使用特性，同时兼顾技术新旧更替不断加快的特点，整体方案设计遵循以下设计原则：</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一）一般要求</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 xml:space="preserve">1、地面机房环境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系统中用于机房、调度室的设备，应能在下列条件下正常工作:</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w:t>
      </w:r>
      <w:r>
        <w:rPr>
          <w:rFonts w:hint="eastAsia" w:ascii="宋体" w:hAnsi="宋体" w:cs="宋体"/>
          <w:b w:val="0"/>
          <w:bCs w:val="0"/>
          <w:sz w:val="24"/>
          <w:szCs w:val="24"/>
          <w:highlight w:val="none"/>
        </w:rPr>
        <w:t xml:space="preserve">) 环境温度：15～30℃；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rPr>
        <w:t>) 相对湿度：40%～70%；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rPr>
        <w:t xml:space="preserve">) 温度变化率：小于10℃ /h，且不得结露；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rPr>
        <w:t xml:space="preserve">) 大气压力：80～106 kPa；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 GB/T 2887规定的尘埃、照明、噪声、电磁场干扰和接地条件。</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2、井下环境</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系统中用于煤矿井下的设备应在下列条件下正常工作： </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 环境温度:0～40℃；</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2) 平均相对湿度:不大于95%(＋25℃)； </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3) 大气压力:80～106 kPa； </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4) 有爆炸性气体混合物，但无显著振动和冲击、无破坏绝缘的腐蚀性气体。</w:t>
      </w:r>
      <w:r>
        <w:rPr>
          <w:rFonts w:hint="eastAsia" w:ascii="宋体" w:hAnsi="宋体" w:cs="宋体"/>
          <w:b w:val="0"/>
          <w:bCs w:val="0"/>
          <w:sz w:val="24"/>
          <w:szCs w:val="24"/>
          <w:highlight w:val="none"/>
        </w:rPr>
        <w:t>二） 总体要求</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1）本招标文件中技术参数</w:t>
      </w:r>
      <w:r>
        <w:rPr>
          <w:rFonts w:hint="eastAsia" w:ascii="宋体" w:hAnsi="宋体" w:cs="宋体"/>
          <w:b w:val="0"/>
          <w:bCs w:val="0"/>
          <w:sz w:val="24"/>
          <w:szCs w:val="24"/>
          <w:highlight w:val="none"/>
          <w:lang w:eastAsia="zh-CN"/>
        </w:rPr>
        <w:t>及要求</w:t>
      </w:r>
      <w:r>
        <w:rPr>
          <w:rFonts w:hint="eastAsia" w:ascii="宋体" w:hAnsi="宋体" w:cs="宋体"/>
          <w:b w:val="0"/>
          <w:bCs w:val="0"/>
          <w:sz w:val="24"/>
          <w:szCs w:val="24"/>
          <w:highlight w:val="none"/>
        </w:rPr>
        <w:t>为重点评标项目，要求</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必须对此作出真实而全面的响应并完全满足这些要求。</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2）系统及其软件、传输接口、监控分站、传感器应符合MT/T1008、AQ 6201-2019、AQ1029-2019、国家煤矿安全监察局2016年12月29日印发的《煤矿安全监控系统更换技术方案》通知（煤安监函（2016）5号）要求的有关规定，系统中的其他设备应符合国家及行业有关标准的规定。</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3）本系统采用新组建的千兆工业以太网光纤环网进行传输，井下电缆均采用煤矿用阻燃电缆。</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4）本系统中用于井下的设备、材料必须通过国家技术监督局认证的检测机构的相关防爆检验，并取得有效的系统安标证书，下井设备需提供防爆合格证以及安全标志准用证（MA标志证书）。</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5) 为了便于系统维护，系统中配套的监控设备应均为数字化传输。其中烟雾、开停、风筒风量、语音风门等开关量传感器以及断电馈电监视器必须为数字化传输。</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6）甲烷传感器、一氧化碳传感器、氧气传感器、二氧化碳传感器、粉尘传感器、水位传感器、开停传感器、烟雾传感器、风筒风量开关传感器、断电馈电监视器等设备外壳防护等级应为IP65，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7）为了增加传输距离、方便使用，系统配套传感器均应采用低功耗设计。尤其功耗较大的粉尘传感器最大工作电流应不大于70mA，报价时必须提供第三方检测报告备查。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8）为了保障井下关键区域电网故障断电后，恢复供电所需时间。蓄电池的额定放电长应保证安全监测监控系统正常运行4小时以上。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9）安装调试：中标人需为采购人实施设备安装、配置、优化、调试等服务，保证用户所采购设备的准确实施、可靠稳定运行。</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三） 性能要求</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符合《煤矿安全规程》（2022）、《煤矿安全全监控系统及检测仪器使用管理规范》 （AQ1029—2019）、《煤矿安全监控系统通用技术要求》（AQ6201—2019）、国家煤矿安监局2016年12月29日印发的《煤矿安全监控系统更换技术方案》、以及其它行业相关标准，并已取得防爆合格证和安全标志证书。</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主干工业以太网络传输速率为1000Mbps，CAN总线传输速率5000bps。</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w:t>
      </w:r>
      <w:r>
        <w:rPr>
          <w:rFonts w:hint="eastAsia" w:ascii="宋体" w:hAnsi="宋体" w:cs="宋体"/>
          <w:b w:val="0"/>
          <w:bCs w:val="0"/>
          <w:sz w:val="24"/>
          <w:szCs w:val="24"/>
          <w:highlight w:val="none"/>
        </w:rPr>
        <w:t>系统容量为不少于256台分站。</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2.</w:t>
      </w:r>
      <w:r>
        <w:rPr>
          <w:rFonts w:hint="eastAsia" w:ascii="宋体" w:hAnsi="宋体" w:cs="宋体"/>
          <w:b w:val="0"/>
          <w:bCs w:val="0"/>
          <w:sz w:val="24"/>
          <w:szCs w:val="24"/>
          <w:highlight w:val="none"/>
        </w:rPr>
        <w:t>系统在异常情况下，本地断电时间不大于2s。</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rPr>
        <w:t>系统在异常情况下，异地断电时间不大于2s，报价时必须提供第三方检测报告备查。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4.</w:t>
      </w:r>
      <w:r>
        <w:rPr>
          <w:rFonts w:hint="eastAsia" w:ascii="宋体" w:hAnsi="宋体" w:cs="宋体"/>
          <w:b w:val="0"/>
          <w:bCs w:val="0"/>
          <w:sz w:val="24"/>
          <w:szCs w:val="24"/>
          <w:highlight w:val="none"/>
        </w:rPr>
        <w:t>掘进面煤与瓦斯突出闭锁时间不大于1s；采煤面煤与瓦斯突出闭锁时间不大于4.1s；报价时必须提供第三方检测报告备查。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5.</w:t>
      </w:r>
      <w:r>
        <w:rPr>
          <w:rFonts w:hint="eastAsia" w:ascii="宋体" w:hAnsi="宋体" w:cs="宋体"/>
          <w:b w:val="0"/>
          <w:bCs w:val="0"/>
          <w:sz w:val="24"/>
          <w:szCs w:val="24"/>
          <w:highlight w:val="none"/>
        </w:rPr>
        <w:t>系统巡检时间不大于10s。</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6.</w:t>
      </w:r>
      <w:r>
        <w:rPr>
          <w:rFonts w:hint="eastAsia" w:ascii="宋体" w:hAnsi="宋体" w:cs="宋体"/>
          <w:b w:val="0"/>
          <w:bCs w:val="0"/>
          <w:sz w:val="24"/>
          <w:szCs w:val="24"/>
          <w:highlight w:val="none"/>
        </w:rPr>
        <w:t>主备机自动切换时间不大于30s。</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7.</w:t>
      </w:r>
      <w:r>
        <w:rPr>
          <w:rFonts w:hint="eastAsia" w:ascii="宋体" w:hAnsi="宋体" w:cs="宋体"/>
          <w:b w:val="0"/>
          <w:bCs w:val="0"/>
          <w:sz w:val="24"/>
          <w:szCs w:val="24"/>
          <w:highlight w:val="none"/>
        </w:rPr>
        <w:t>系统分站至主干网络支持断线/断电续传功能。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8.</w:t>
      </w:r>
      <w:r>
        <w:rPr>
          <w:rFonts w:hint="eastAsia" w:ascii="宋体" w:hAnsi="宋体" w:cs="宋体"/>
          <w:b w:val="0"/>
          <w:bCs w:val="0"/>
          <w:sz w:val="24"/>
          <w:szCs w:val="24"/>
          <w:highlight w:val="none"/>
        </w:rPr>
        <w:t>安全监控系统软件具备自诊断、自修复功能，实现系统软件运行环境、软件功能模块、数据库、软件模块版本等相关异常信息的自诊断、自分析以及自动修复功能。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9.</w:t>
      </w:r>
      <w:r>
        <w:rPr>
          <w:rFonts w:hint="eastAsia" w:ascii="宋体" w:hAnsi="宋体" w:cs="宋体"/>
          <w:b w:val="0"/>
          <w:bCs w:val="0"/>
          <w:sz w:val="24"/>
          <w:szCs w:val="24"/>
          <w:highlight w:val="none"/>
        </w:rPr>
        <w:t>安全监控系统具备设备生命周期数据管理功能，实现对超期服役设备、版本老旧设备等的自动统计分析功能。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10.</w:t>
      </w:r>
      <w:r>
        <w:rPr>
          <w:rFonts w:hint="eastAsia" w:ascii="宋体" w:hAnsi="宋体" w:cs="宋体"/>
          <w:b w:val="0"/>
          <w:bCs w:val="0"/>
          <w:sz w:val="24"/>
          <w:szCs w:val="24"/>
          <w:highlight w:val="none"/>
        </w:rPr>
        <w:t>风机开停、风筒开关等开关量传感器采用数字化信号传输，具备自诊断、远程调校、自修正技术，提高检测准确度和稳定性。</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分站必须具有智能识别数字式传感器功能，只需简单配置即可投入运行；具备故障自诊断功能；具有分站异地故障闭锁功能；在上电、运行过程中，能够记录及诊断自身的复位状态、运行状态、故障状态，并实时将采集的状态上传至上位机，对分站故障进行精确定位，减轻系统维护工作量；</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11.</w:t>
      </w:r>
      <w:r>
        <w:rPr>
          <w:rFonts w:hint="eastAsia" w:ascii="宋体" w:hAnsi="宋体" w:cs="宋体"/>
          <w:b w:val="0"/>
          <w:bCs w:val="0"/>
          <w:sz w:val="24"/>
          <w:szCs w:val="24"/>
          <w:highlight w:val="none"/>
        </w:rPr>
        <w:t>馈电应具备无源与有源两种接入方式。</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12.</w:t>
      </w:r>
      <w:r>
        <w:rPr>
          <w:rFonts w:hint="eastAsia" w:ascii="宋体" w:hAnsi="宋体" w:cs="宋体"/>
          <w:b w:val="0"/>
          <w:bCs w:val="0"/>
          <w:sz w:val="24"/>
          <w:szCs w:val="24"/>
          <w:highlight w:val="none"/>
        </w:rPr>
        <w:t>激光甲烷的稳定性周期不小于180天、一氧化碳传感器稳定性周期不小于30天。报价时必须提供第三方检测报告备查。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传感器具备类型自识别功能，无需人工设置，直接连接分站便可正常工作，同时，传感器具备故障自诊断功能，在使用过程中遇到故障会主动将故障信息上传至地面。</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系统采用C/S+B/S技术开发，连接到网络上的授权用户可以通过浏览器查看系统的数据。</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系统向外提供了统一的数据接口，便于联网及其他数据分析系统联网。</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13.</w:t>
      </w:r>
      <w:r>
        <w:rPr>
          <w:rFonts w:hint="eastAsia" w:ascii="宋体" w:hAnsi="宋体" w:cs="宋体"/>
          <w:b w:val="0"/>
          <w:bCs w:val="0"/>
          <w:sz w:val="24"/>
          <w:szCs w:val="24"/>
          <w:highlight w:val="none"/>
        </w:rPr>
        <w:t>系统建设方全面负责将系统融合至矿现有综合自动化平台。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系统的密码、报警等数据采用了加密技术存储，防止登录数据库进行人为非法修改。</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安全监控系统具备多系统联动功能，实现对信息导引及发布、通信、、应急广播、人员定位系统的联动功能。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系统建立了多系统数据关联存储平台，具有大数据分析功能，提供数据有效分析、危险预测预警等。</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14.</w:t>
      </w:r>
      <w:r>
        <w:rPr>
          <w:rFonts w:hint="eastAsia" w:ascii="宋体" w:hAnsi="宋体" w:cs="宋体"/>
          <w:b w:val="0"/>
          <w:bCs w:val="0"/>
          <w:sz w:val="24"/>
          <w:szCs w:val="24"/>
          <w:highlight w:val="none"/>
        </w:rPr>
        <w:t>系统必须向外提供统一的数据上传接口，须按要求满足市、县区平台接入需求，便于联网及其他数据分析系统联网。</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15.</w:t>
      </w:r>
      <w:r>
        <w:rPr>
          <w:rFonts w:hint="eastAsia" w:ascii="宋体" w:hAnsi="宋体" w:cs="宋体"/>
          <w:b w:val="0"/>
          <w:bCs w:val="0"/>
          <w:sz w:val="24"/>
          <w:szCs w:val="24"/>
          <w:highlight w:val="none"/>
        </w:rPr>
        <w:t>采用抗干扰（EMC）技术设计，应通过以下试验：地面设备3级静电抗扰度试验，评价等级为A；2级电磁辐射抗扰度试验，评价等级为A；3级脉冲群抗扰度试验，评价等级为A；交流电源端口3级、直流电源与信号端口3级浪涌（冲击）抗扰度试验，评价等级为A；报价时必须提供第三方检测报告备查。</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平台应基于GIS技术开发，GIS地图所有的传感器坐标，根据拖放的位置保存到数据库中，当地图进行修改后更换时，所有的传感器保持原来的位置不发生变化，会在新的GIS地图上自动加载原有的传感器信息。</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四） 功能要求</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系统具有实时数据、统计数据的存储、查询、报表统计功能。数据调用功能齐全，可查询实时数据、历史数据、各种曲线、报警、断电以及操作记录、便于管理人员分析处理；</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系统具有用户权限管理功能，不同的用户具有不同的权限，完成不同的操作，确保系统安全，规范监控系统操作管理；</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3</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系统能够在线生成分站定义、传感器定义、测点定义、修改监测点的报警、断电等监测参数功能；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系统具有二次数据定义功能，通过二次数据的定义来实现各种复杂的逻辑关系；</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5</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系统具有本地断电、异地断电、手动断电功能；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6</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系统具有多种数据窗口显示，各种类型动态图的循环显示以及各种故障记录、报警显示功能；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7</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系统具有通讯传输测试、传输故障记录、显示、传输错误统计功能；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8</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系统具有自检功能，包括分站、传感器故障诊断，报警提示；</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9</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系统具有多种报警方式，以图标变化、数值颜色变化、声音等多种方式报警，操作员解除报警功能；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10</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系统采用分级报警技术，不同级别的异常情况，通知到不同的管理人员，同时，可以通过短信方式发送报警信息，接收管理人员的回发短信；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11</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系统能以列表、曲线、模拟图形、历史曲线等多种方式显示各测点的实时数据，包括各监测参数、测点位置、监测数据、供电状态、通讯状态、报警值、断电值等的功能；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12</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系统具有相同类型传感器和不同类型传感器的实时数据同屏曲线动态对比功能，历史曲线查询具有正常数据，异常数据，标校数据等过滤功能；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13</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系统具备各种动态图元素的成成绘制，建立多种动态图形库，可以方便的绘制采掘平面图、通风系统图、监控设备布置图等，使用户对井下实时数据和设备运行状态的了解更形象、生动；同时具有多种动态图的循环显示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14</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数据采集功能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系统具有甲烷浓度、风速、风压、一氧化碳浓度、温度、氧气浓度、二氧化碳浓度等模拟量采集、显示及报警功能；有馈电状态、风机开停、风筒状态、风门开关、烟雾等开关量采集、显示及报警功能；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15</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控制功能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15.</w:t>
      </w:r>
      <w:r>
        <w:rPr>
          <w:rFonts w:hint="eastAsia" w:ascii="宋体" w:hAnsi="宋体" w:cs="宋体"/>
          <w:b w:val="0"/>
          <w:bCs w:val="0"/>
          <w:sz w:val="24"/>
          <w:szCs w:val="24"/>
          <w:highlight w:val="none"/>
        </w:rPr>
        <w:t>1系统由现场设备完成甲烷浓度超限声光报警和断电/复电控制功能；甲烷浓度达到或超过报警浓度时，甲烷传感器发出声光报警。</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甲烷浓度达到或超过断电浓度时，切断被控设备电源并闭锁；甲烷浓度低于复电浓度时，自动解锁。</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与闭锁控制有关的设备(含甲烷传感器、分站、电源、断电控制器、电缆、接线盒等)未投入正常运行或故障时，切断该设备所监控区域的全部非本质安全型电气设备的电源并闭锁；当与闭锁控制有关的设备工作正常并稳定运行后，自动解锁。</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15.2</w:t>
      </w:r>
      <w:r>
        <w:rPr>
          <w:rFonts w:hint="eastAsia" w:ascii="宋体" w:hAnsi="宋体" w:cs="宋体"/>
          <w:b w:val="0"/>
          <w:bCs w:val="0"/>
          <w:sz w:val="24"/>
          <w:szCs w:val="24"/>
          <w:highlight w:val="none"/>
        </w:rPr>
        <w:t>系统具有现场设备与甲烷风电闭锁功能；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15.3</w:t>
      </w:r>
      <w:r>
        <w:rPr>
          <w:rFonts w:hint="eastAsia" w:ascii="宋体" w:hAnsi="宋体" w:cs="宋体"/>
          <w:b w:val="0"/>
          <w:bCs w:val="0"/>
          <w:sz w:val="24"/>
          <w:szCs w:val="24"/>
          <w:highlight w:val="none"/>
        </w:rPr>
        <w:t>安全监控系统具有地面监控中心手动遥控断电/复电功能，并具有操作权限管理和操作记录功能；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15.4</w:t>
      </w:r>
      <w:r>
        <w:rPr>
          <w:rFonts w:hint="eastAsia" w:ascii="宋体" w:hAnsi="宋体" w:cs="宋体"/>
          <w:b w:val="0"/>
          <w:bCs w:val="0"/>
          <w:sz w:val="24"/>
          <w:szCs w:val="24"/>
          <w:highlight w:val="none"/>
        </w:rPr>
        <w:t>安全监控系统具有异地断电/复电功能。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16、存储和查询功能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当需要查询安全监控系统数据时，监控人员只需要输入的查询时间，系统将自动生成查询期间段内断电状态、报警信息、馈电异常状态等全部模拟量和开关量信息，并列表显示方便调度人员打印。报警、标校、密采、操作记录等数据存储和查询时间不少于2年。</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17、显示功能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1）在地面监控主机上可显示各类数据的动、静态模拟图形、数据表格、历史曲线、显示采掘平面图、测点配置，并可打开实时数据显示窗口；</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2）系统具有模拟量实时曲线和历史曲线显示功能；能在同一坐标上用不同颜色显示最大值、最小值、平均值等曲线；</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3）系统具有开关量状态图及柱状图显示功能；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4）系统具有模拟动画显示功能。显示内容包括：通风系统模拟图、相应设备开停状态、相应模拟量数值等。具有漫游、总图及局部放大、分页显示等方式；</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5）系统具有系统设备布置图显示功能。显示内容包括：传感器、分站、电源箱、断电控制器、传输接口、和电缆等设备的设备名称、相对位置、运行状态等。</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18、打印功能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具有报表、曲线、柱状图、状态图、模拟图、初始化参数等召唤打印功能。报表内容包括：模拟量日（班）报表、模拟量报警日（班）报表、模拟量断电日（班）报表、模拟量馈电异常日（班）报表、开关量报警及断电日（班）报表、开关量馈电异常日（班）报表、开关量状态变动日（班）报表、监控设备故障日（班）报表、模拟量统计值历史记录查询报表等。</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19、自诊断功能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1)系统软件运行环境自诊断</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系统软件运行环境自诊断功能对系统端口占用、防火墙状态、磁盘存储空间、数据库配置参数等进行自动检测，并对检测过程发现的问题提供一键优化功能。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2)系统软件后台服务运行状态自诊断</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软件后台服务运行状态自诊断功能实现对系统软件中的关键后台服务运行状态进行实时监测，主要包括对系统双机热备服务、数据处理服务、数据发布服务、数据同步服务等，并对运行异常的服务进行自动复位恢复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3)系统软件功能模块版本一致性自诊断</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软件功能模块版本一致性自诊断功能实现对系统软件各个功能模块的版本一致性进行诊断分析，主要包括对监控系统主备机软件、联网上传软件、Web客户端软件、Form客户端软件的版本一致性进行自动诊断，从而保障系统运行过程的数据和功能一致性。</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4)数据库自诊断</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数据库自诊断功能实现对数据库自身的运行状况进行诊断分析，通过对数据库运行过程中的异常情况以及读写性能的综合分析，对系统数据库的健康度进行综合评判，并根据分析结果给出处理措施与建议。</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5)设备故障自诊断</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设备故障自诊断主要实现结合传感器设备运行过程的关键数据以及探针信息等对设备故障进行综合分析，分析依据主要包括传感器输入端电压、RS485线路异常探针、传感器异常注册探针信息、传感器重启探针信息等，对传感器的具体故障原因进行一键自动诊断分析，并根据分析结果为用户提供处理措施和建议。</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6)电源一键维护放电</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电源一键维护放电功能主要实现电源设备充放电过程的一键化、远程化、批量化操作，同时具备定时维护放电提醒和电池保护功能；当达到电源维护放电周期后系统自动提示进行维护放电，当维护放电过程超过限定时间或电池电压低于限值后自动结束放电，避免电池过度放电。</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7)联网上传在线管家</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联网上传在线管家主要实现对联网上传程序的运行状态进行诊断分析，并对异常情况进行实时分析输出。由于煤矿现场联网上传程序使用独立服务器进行部署，在联网上传出现异常中断时，值班人员往往无法及时发现对应问题，从而造成上传数据长时间中断；针对此种问题，联网管家诊断模型自动在线扫描不同联网平台的所有上传程序，并实时采集上传程序运行状态，对于出现的异常情况在监控系统主备机上实时提示，并进行声光报警，最终达到无人值守、减人增效的目的。</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20、系统软件功能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1）操作管理</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软件具有操作权限管理功能，对参数设置、控制等必须使用密码操作，并具有操作记录。</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2）分类查询</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报警查询：根据输入的查询时间，将查询期间内的全部报警的模拟量和开关量显示或打印；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断电查询：根据输入的查询时间，将查询期间内的全部断电的模拟量和开关量列表显示或打印；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馈电异常查询：根据输入的查询时间，将查询期间内的全部馈电异常的开关量和模拟量显示或打印；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调用查询：根据输入的被查询量和查询时间，将查询期间内被查询量显示或打印。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3）显示内容</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采用列表形式显示模拟量传感器的安装位置、所测物理量种类、报警门限、断电门限等参数；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模拟量报警、模拟量断电、馈电异常等实时显示；</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对各类查询数据，进行显示。包括报警记录、断电记录、馈电异常等。</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21、系统兼容功能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安全监控系统保留以太网通信接口，方便接入矿井其他自动化集控系统，包括排水系统、主副井提升系统、供配电系统等。</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22、多网多系统融合联动功能</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数字式监控系统采用地理信息系统（WebGIS）平台对矿上的各信息化业务应用系统进行采用井上融合集成，实现环境监测系统、人员定位系统、应急广播系统的有机融合联动，实现在安全监控系统GIS界面下对各业务系统的统一融合应急联动，具体要求介绍如下：</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（1）系统融合架构</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数字监控系统可以融合的系统包括人员定位系统、应急广播系统等。采用基于UDP通信协议进行开发，通过制定标准协议函数，实现系统之间的数据请求和获取。</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（2）多系统融合联动</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数字监控系统GIS平台通过数据接口获取人员定位系统某区域（读卡机位置）人员/车辆位置信息和工作状态进行统计显示；</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 xml:space="preserve">传感器或断电区域具有与人员定位系统读卡机ID绑定设置，当发生某区域数据超限、断电报警，可以通过数据接口下发到人员定位系统读卡机或应急广播系统设备，进行人员/车辆危险通知或语音报警； </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（3）系统GIS平台实现</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系统融合GIS平台通过多图层叠加设计实现集成展示，融合后，监控系统会将其它系统获取的数据进行存储，为系统之间的互动做好准备。</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获取不同系统的基本数据后，根据实际的需要，对不同系统的设备进行关联存储，并设定触发的条件，实现系统之间的互动提示或报警。</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在多系统融合的条件下，采用大数据分析技术可改变以往“被动”监控的状态，主动对监控信息进行智能分析，消除伪数据标注及异常数据，实现瓦斯涌出、火灾等突发事件进行预测预警，达到事前预警、有效监视，把事件的发生消灭在萌芽阶段。通过增加自诊断、自评估功能。实现系统定期的自诊断、自评估，能够预先发现系统在安装使用中存在的问题。</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五）</w:t>
      </w:r>
      <w:r>
        <w:rPr>
          <w:rFonts w:hint="eastAsia" w:ascii="宋体" w:hAnsi="宋体" w:cs="宋体"/>
          <w:b w:val="0"/>
          <w:bCs w:val="0"/>
          <w:sz w:val="24"/>
          <w:szCs w:val="24"/>
          <w:highlight w:val="none"/>
        </w:rPr>
        <w:t>主要设备技术参数</w:t>
      </w:r>
    </w:p>
    <w:p>
      <w:pPr>
        <w:spacing w:line="360" w:lineRule="auto"/>
        <w:ind w:left="480" w:leftChars="160" w:firstLine="0" w:firstLineChars="0"/>
        <w:rPr>
          <w:rFonts w:hint="eastAsia" w:ascii="宋体" w:hAnsi="宋体" w:cs="宋体"/>
          <w:sz w:val="32"/>
          <w:szCs w:val="32"/>
        </w:rPr>
      </w:pPr>
      <w:r>
        <w:rPr>
          <w:rFonts w:hint="eastAsia" w:ascii="宋体" w:hAnsi="宋体" w:cs="宋体"/>
          <w:b w:val="0"/>
          <w:bCs w:val="0"/>
          <w:sz w:val="24"/>
          <w:szCs w:val="24"/>
          <w:highlight w:val="none"/>
        </w:rPr>
        <w:t>本次升级按照井下两采四掘计划，地面满足生产需要，适当增加备用量。</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1、技术要求：根据山西煤矿安全监察局晋煤监技装〔2017〕18号关于《煤矿安全监控系统更换技术方案》的要求，本次改造达到检查的各项标准。</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2、本次更换的简要内容：</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①地面监控室配套监控主机、备机2台，中心交换机2台，井下配套监测分站12台，分站电源12台，配套井下声光报警器12个，地面声光报警器1台。</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②系统主干网增加工业以太网，需要形成独立环网。</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③增加综合服务器和数据库，增强数据的稳定性，需要配套服务器和数据库。</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④井下多系统融合考虑地面融合，配套地面融合系统1套。</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⑤传感器配套数量：甲烷37台，馈电（含断电）23台，开停32台，一氧化碳42台，风速7台，负压3台，温度17台，风筒4台，烟雾12台，水位2台，风门24台，氧气6台，二氧化碳3台，粉尘6台。</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⑥计算机操作系统、数据库必须是正版。上传软件必须配套上传至县局。</w:t>
      </w:r>
      <w:r>
        <w:rPr>
          <w:rFonts w:hint="eastAsia" w:ascii="宋体" w:hAnsi="宋体" w:cs="宋体"/>
          <w:b w:val="0"/>
          <w:bCs w:val="0"/>
          <w:sz w:val="24"/>
          <w:szCs w:val="24"/>
          <w:highlight w:val="none"/>
        </w:rPr>
        <w:br w:type="textWrapping"/>
      </w:r>
      <w:r>
        <w:rPr>
          <w:rFonts w:hint="eastAsia" w:ascii="宋体" w:hAnsi="宋体" w:cs="宋体"/>
          <w:b w:val="0"/>
          <w:bCs w:val="0"/>
          <w:sz w:val="24"/>
          <w:szCs w:val="24"/>
          <w:highlight w:val="none"/>
        </w:rPr>
        <w:t>⑦安全监控软件一套，以及后期多系统融合软件的免费接入。</w:t>
      </w:r>
    </w:p>
    <w:p>
      <w:pPr>
        <w:spacing w:line="360" w:lineRule="auto"/>
        <w:rPr>
          <w:rFonts w:hint="eastAsia" w:ascii="宋体" w:hAnsi="宋体" w:cs="宋体"/>
          <w:b w:val="0"/>
          <w:bCs w:val="0"/>
          <w:sz w:val="24"/>
          <w:szCs w:val="24"/>
          <w:highlight w:val="none"/>
        </w:rPr>
      </w:pPr>
      <w:bookmarkStart w:id="1" w:name="_Toc9510"/>
      <w:r>
        <w:rPr>
          <w:rFonts w:hint="eastAsia" w:ascii="宋体" w:hAnsi="宋体" w:cs="宋体"/>
          <w:b w:val="0"/>
          <w:bCs w:val="0"/>
          <w:sz w:val="24"/>
          <w:szCs w:val="24"/>
          <w:highlight w:val="none"/>
          <w:lang w:eastAsia="zh-CN"/>
        </w:rPr>
        <w:t>六）</w:t>
      </w:r>
      <w:r>
        <w:rPr>
          <w:rFonts w:hint="eastAsia" w:ascii="宋体" w:hAnsi="宋体" w:cs="宋体"/>
          <w:b w:val="0"/>
          <w:bCs w:val="0"/>
          <w:sz w:val="24"/>
          <w:szCs w:val="24"/>
          <w:highlight w:val="none"/>
        </w:rPr>
        <w:t>设备配置清单</w:t>
      </w:r>
      <w:bookmarkEnd w:id="1"/>
    </w:p>
    <w:tbl>
      <w:tblPr>
        <w:tblStyle w:val="46"/>
        <w:tblW w:w="8338" w:type="dxa"/>
        <w:tblInd w:w="0" w:type="dxa"/>
        <w:tblLayout w:type="fixed"/>
        <w:tblCellMar>
          <w:top w:w="0" w:type="dxa"/>
          <w:left w:w="0" w:type="dxa"/>
          <w:bottom w:w="0" w:type="dxa"/>
          <w:right w:w="0" w:type="dxa"/>
        </w:tblCellMar>
      </w:tblPr>
      <w:tblGrid>
        <w:gridCol w:w="487"/>
        <w:gridCol w:w="1723"/>
        <w:gridCol w:w="1661"/>
        <w:gridCol w:w="752"/>
        <w:gridCol w:w="657"/>
        <w:gridCol w:w="602"/>
        <w:gridCol w:w="896"/>
        <w:gridCol w:w="1560"/>
      </w:tblGrid>
      <w:tr>
        <w:tblPrEx>
          <w:tblLayout w:type="fixed"/>
          <w:tblCellMar>
            <w:top w:w="0" w:type="dxa"/>
            <w:left w:w="0" w:type="dxa"/>
            <w:bottom w:w="0" w:type="dxa"/>
            <w:right w:w="0" w:type="dxa"/>
          </w:tblCellMar>
        </w:tblPrEx>
        <w:trPr>
          <w:trHeight w:val="48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rPr>
            </w:pPr>
            <w:r>
              <w:rPr>
                <w:rFonts w:hint="eastAsia" w:ascii="宋体" w:hAnsi="宋体" w:eastAsia="宋体" w:cs="宋体"/>
                <w:b/>
                <w:sz w:val="20"/>
                <w:szCs w:val="20"/>
                <w:lang w:bidi="ar"/>
              </w:rPr>
              <w:t>序号</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设备名称</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规格型号</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单位</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数量</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单价（元）</w:t>
            </w: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总价(元)</w:t>
            </w: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lang w:bidi="ar"/>
              </w:rPr>
            </w:pPr>
            <w:r>
              <w:rPr>
                <w:rFonts w:hint="eastAsia" w:ascii="宋体" w:hAnsi="宋体" w:eastAsia="宋体" w:cs="宋体"/>
                <w:b/>
                <w:sz w:val="20"/>
                <w:szCs w:val="20"/>
                <w:lang w:bidi="ar"/>
              </w:rPr>
              <w:t>备注</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rPr>
            </w:pPr>
            <w:r>
              <w:rPr>
                <w:rFonts w:hint="eastAsia" w:ascii="宋体" w:hAnsi="宋体" w:eastAsia="宋体" w:cs="宋体"/>
                <w:sz w:val="20"/>
                <w:szCs w:val="20"/>
                <w:lang w:bidi="ar"/>
              </w:rPr>
              <w:t>一</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2"/>
              <w:jc w:val="center"/>
              <w:rPr>
                <w:rFonts w:ascii="宋体" w:hAnsi="宋体" w:eastAsia="宋体" w:cs="宋体"/>
                <w:b/>
                <w:sz w:val="20"/>
                <w:szCs w:val="20"/>
              </w:rPr>
            </w:pPr>
          </w:p>
        </w:tc>
        <w:tc>
          <w:tcPr>
            <w:tcW w:w="612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2"/>
              <w:jc w:val="center"/>
              <w:rPr>
                <w:rFonts w:ascii="宋体" w:hAnsi="宋体" w:eastAsia="宋体" w:cs="宋体"/>
                <w:b/>
                <w:sz w:val="20"/>
                <w:szCs w:val="20"/>
              </w:rPr>
            </w:pPr>
          </w:p>
        </w:tc>
      </w:tr>
      <w:tr>
        <w:tblPrEx>
          <w:tblLayout w:type="fixed"/>
          <w:tblCellMar>
            <w:top w:w="0" w:type="dxa"/>
            <w:left w:w="0" w:type="dxa"/>
            <w:bottom w:w="0" w:type="dxa"/>
            <w:right w:w="0" w:type="dxa"/>
          </w:tblCellMar>
        </w:tblPrEx>
        <w:trPr>
          <w:trHeight w:val="96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rPr>
            </w:pPr>
            <w:r>
              <w:rPr>
                <w:rFonts w:hint="eastAsia" w:ascii="宋体" w:hAnsi="宋体" w:eastAsia="宋体" w:cs="宋体"/>
                <w:sz w:val="20"/>
                <w:szCs w:val="20"/>
                <w:lang w:bidi="ar"/>
              </w:rPr>
              <w:t>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监控主机、备机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研华工控机；IPC-610；706VG，I7-8700，16G内存，2T机械硬盘+1T固态硬盘，2G独显，3个千兆网口</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144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服务器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ThinkSystem SR530</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激光打印机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惠普M437nda</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A3打印</w:t>
            </w:r>
          </w:p>
        </w:tc>
      </w:tr>
      <w:tr>
        <w:tblPrEx>
          <w:tblLayout w:type="fixed"/>
          <w:tblCellMar>
            <w:top w:w="0" w:type="dxa"/>
            <w:left w:w="0" w:type="dxa"/>
            <w:bottom w:w="0" w:type="dxa"/>
            <w:right w:w="0" w:type="dxa"/>
          </w:tblCellMar>
        </w:tblPrEx>
        <w:trPr>
          <w:trHeight w:val="1784"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激光打印机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4"/>
              <w:keepNext w:val="0"/>
              <w:keepLines w:val="0"/>
              <w:shd w:val="clear" w:color="auto" w:fill="FFFFFF"/>
              <w:spacing w:before="0" w:after="0" w:line="420" w:lineRule="atLeast"/>
              <w:jc w:val="center"/>
              <w:rPr>
                <w:rFonts w:hint="eastAsia" w:ascii="宋体" w:hAnsi="宋体" w:cs="宋体"/>
                <w:sz w:val="20"/>
                <w:szCs w:val="20"/>
                <w:lang w:bidi="ar"/>
              </w:rPr>
            </w:pPr>
            <w:r>
              <w:rPr>
                <w:rFonts w:hint="eastAsia" w:ascii="宋体" w:hAnsi="宋体" w:cs="宋体"/>
                <w:b w:val="0"/>
                <w:bCs w:val="0"/>
                <w:color w:val="000000"/>
                <w:sz w:val="20"/>
                <w:szCs w:val="20"/>
                <w:shd w:val="clear" w:color="auto" w:fill="FFFFFF"/>
              </w:rPr>
              <w:t>A4打印机；329dw(三合一 自动双面)</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A4打印</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5</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监控机</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4"/>
              <w:keepNext w:val="0"/>
              <w:keepLines w:val="0"/>
              <w:shd w:val="clear" w:color="auto" w:fill="FFFFFF"/>
              <w:spacing w:before="0" w:after="0" w:line="420" w:lineRule="atLeast"/>
              <w:rPr>
                <w:rFonts w:hint="eastAsia" w:ascii="宋体" w:hAnsi="宋体" w:cs="宋体"/>
                <w:sz w:val="20"/>
                <w:szCs w:val="20"/>
                <w:lang w:bidi="ar"/>
              </w:rPr>
            </w:pPr>
            <w:r>
              <w:rPr>
                <w:rFonts w:hint="eastAsia" w:ascii="宋体" w:hAnsi="宋体" w:cs="宋体"/>
                <w:b w:val="0"/>
                <w:bCs w:val="0"/>
                <w:color w:val="000000"/>
                <w:sz w:val="20"/>
                <w:szCs w:val="20"/>
                <w:shd w:val="clear" w:color="auto" w:fill="FFFFFF"/>
              </w:rPr>
              <w:t>联想小型台式主机天逸510S 7.4L小机箱mini台式机电脑</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rPr>
              <w:t>510Pro【13代酷睿】i7-13700/16G/1TB HDD+512G SSD/集显</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6</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移动硬盘</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pStyle w:val="4"/>
              <w:keepNext w:val="0"/>
              <w:keepLines w:val="0"/>
              <w:shd w:val="clear" w:color="auto" w:fill="FFFFFF"/>
              <w:spacing w:before="0" w:after="0" w:line="420" w:lineRule="atLeast"/>
              <w:rPr>
                <w:rFonts w:hint="eastAsia" w:ascii="宋体" w:hAnsi="宋体" w:cs="宋体"/>
                <w:sz w:val="20"/>
                <w:szCs w:val="20"/>
                <w:lang w:bidi="ar"/>
              </w:rPr>
            </w:pPr>
            <w:r>
              <w:rPr>
                <w:rFonts w:hint="eastAsia" w:ascii="宋体" w:hAnsi="宋体" w:cs="宋体"/>
                <w:b w:val="0"/>
                <w:bCs w:val="0"/>
                <w:color w:val="000000"/>
                <w:sz w:val="20"/>
                <w:szCs w:val="20"/>
                <w:shd w:val="clear" w:color="auto" w:fill="FFFFFF"/>
              </w:rPr>
              <w:t>WD西部数据移动硬盘</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rPr>
            </w:pPr>
            <w:r>
              <w:rPr>
                <w:rFonts w:hint="eastAsia" w:ascii="宋体" w:hAnsi="宋体" w:eastAsia="宋体" w:cs="宋体"/>
                <w:sz w:val="20"/>
                <w:szCs w:val="20"/>
                <w:lang w:val="en-US" w:eastAsia="zh-CN"/>
              </w:rPr>
              <w:t>2</w:t>
            </w:r>
            <w:r>
              <w:rPr>
                <w:rFonts w:hint="eastAsia" w:ascii="宋体" w:hAnsi="宋体" w:eastAsia="宋体" w:cs="宋体"/>
                <w:sz w:val="20"/>
                <w:szCs w:val="20"/>
              </w:rPr>
              <w:t>T elements手机电脑高速机械备份硬盘</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7</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监控系统软件</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数字式</w:t>
            </w:r>
          </w:p>
        </w:tc>
      </w:tr>
      <w:tr>
        <w:tblPrEx>
          <w:tblLayout w:type="fixed"/>
          <w:tblCellMar>
            <w:top w:w="0" w:type="dxa"/>
            <w:left w:w="0" w:type="dxa"/>
            <w:bottom w:w="0" w:type="dxa"/>
            <w:right w:w="0" w:type="dxa"/>
          </w:tblCellMar>
        </w:tblPrEx>
        <w:trPr>
          <w:trHeight w:val="270" w:hRule="atLeast"/>
        </w:trPr>
        <w:tc>
          <w:tcPr>
            <w:tcW w:w="48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8</w:t>
            </w:r>
          </w:p>
        </w:tc>
        <w:tc>
          <w:tcPr>
            <w:tcW w:w="1723" w:type="dxa"/>
            <w:vMerge w:val="restart"/>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扩展模块</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GIS平台模块</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480" w:hRule="atLeast"/>
        </w:trPr>
        <w:tc>
          <w:tcPr>
            <w:tcW w:w="48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0"/>
              <w:jc w:val="center"/>
              <w:rPr>
                <w:rFonts w:ascii="宋体" w:hAnsi="宋体" w:eastAsia="宋体" w:cs="宋体"/>
                <w:sz w:val="20"/>
                <w:szCs w:val="20"/>
                <w:lang w:bidi="ar"/>
              </w:rPr>
            </w:pPr>
          </w:p>
        </w:tc>
        <w:tc>
          <w:tcPr>
            <w:tcW w:w="1723" w:type="dxa"/>
            <w:vMerge w:val="continue"/>
            <w:tcBorders>
              <w:top w:val="single" w:color="000000" w:sz="4" w:space="0"/>
              <w:left w:val="single" w:color="000000" w:sz="4" w:space="0"/>
              <w:bottom w:val="nil"/>
              <w:right w:val="single" w:color="000000" w:sz="4" w:space="0"/>
            </w:tcBorders>
            <w:shd w:val="clear" w:color="auto" w:fill="auto"/>
            <w:noWrap w:val="0"/>
            <w:tcMar>
              <w:top w:w="15" w:type="dxa"/>
              <w:left w:w="15" w:type="dxa"/>
              <w:right w:w="15" w:type="dxa"/>
            </w:tcMar>
            <w:vAlign w:val="center"/>
          </w:tcPr>
          <w:p>
            <w:pPr>
              <w:ind w:firstLine="400"/>
              <w:rPr>
                <w:rFonts w:ascii="宋体" w:hAnsi="宋体" w:eastAsia="宋体" w:cs="宋体"/>
                <w:sz w:val="20"/>
                <w:szCs w:val="20"/>
                <w:lang w:bidi="ar"/>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ind w:firstLine="400"/>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多系统融合模块(单个系统报价)</w:t>
            </w: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ind w:firstLine="201" w:firstLineChars="100"/>
              <w:jc w:val="both"/>
              <w:textAlignment w:val="center"/>
              <w:rPr>
                <w:rFonts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ind w:firstLine="400"/>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0"/>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ind w:firstLine="400"/>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 xml:space="preserve"> </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9</w:t>
            </w:r>
          </w:p>
        </w:tc>
        <w:tc>
          <w:tcPr>
            <w:tcW w:w="172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地面声光报警器</w:t>
            </w: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10</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联网软件</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bidi="ar"/>
              </w:rPr>
              <w:t>1</w:t>
            </w:r>
            <w:r>
              <w:rPr>
                <w:rFonts w:hint="eastAsia" w:ascii="宋体" w:hAnsi="宋体" w:eastAsia="宋体" w:cs="宋体"/>
                <w:sz w:val="20"/>
                <w:szCs w:val="20"/>
                <w:lang w:val="en-US" w:eastAsia="zh-CN" w:bidi="ar"/>
              </w:rPr>
              <w:t>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移动终端</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联想，1</w:t>
            </w:r>
            <w:r>
              <w:rPr>
                <w:rFonts w:hint="eastAsia" w:ascii="宋体" w:hAnsi="宋体" w:eastAsia="宋体" w:cs="宋体"/>
                <w:sz w:val="20"/>
                <w:szCs w:val="20"/>
                <w:lang w:val="en-US" w:eastAsia="zh-CN" w:bidi="ar"/>
              </w:rPr>
              <w:t>6</w:t>
            </w:r>
            <w:r>
              <w:rPr>
                <w:rFonts w:hint="eastAsia" w:ascii="宋体" w:hAnsi="宋体" w:eastAsia="宋体" w:cs="宋体"/>
                <w:sz w:val="20"/>
                <w:szCs w:val="20"/>
                <w:lang w:bidi="ar"/>
              </w:rPr>
              <w:t>寸，i5-13500H，16G内存，1T固态硬盘，6G独显，2.5K屏</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2</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nil"/>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联想</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b/>
                <w:sz w:val="20"/>
                <w:szCs w:val="20"/>
              </w:rPr>
            </w:pPr>
            <w:r>
              <w:rPr>
                <w:rFonts w:hint="eastAsia" w:ascii="宋体" w:hAnsi="宋体" w:eastAsia="宋体" w:cs="宋体"/>
                <w:sz w:val="20"/>
                <w:szCs w:val="20"/>
                <w:lang w:bidi="ar"/>
              </w:rPr>
              <w:t>二</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textAlignment w:val="center"/>
              <w:rPr>
                <w:rFonts w:ascii="宋体" w:hAnsi="宋体" w:eastAsia="宋体" w:cs="宋体"/>
                <w:sz w:val="20"/>
                <w:szCs w:val="20"/>
              </w:rPr>
            </w:pPr>
          </w:p>
        </w:tc>
        <w:tc>
          <w:tcPr>
            <w:tcW w:w="612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2"/>
              <w:jc w:val="center"/>
              <w:rPr>
                <w:rFonts w:ascii="宋体" w:hAnsi="宋体" w:eastAsia="宋体" w:cs="宋体"/>
                <w:b/>
                <w:sz w:val="20"/>
                <w:szCs w:val="20"/>
              </w:rPr>
            </w:pPr>
          </w:p>
        </w:tc>
      </w:tr>
      <w:tr>
        <w:tblPrEx>
          <w:tblLayout w:type="fixed"/>
          <w:tblCellMar>
            <w:top w:w="0" w:type="dxa"/>
            <w:left w:w="0" w:type="dxa"/>
            <w:bottom w:w="0" w:type="dxa"/>
            <w:right w:w="0" w:type="dxa"/>
          </w:tblCellMar>
        </w:tblPrEx>
        <w:trPr>
          <w:trHeight w:val="96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矿用本安型分站（含光口、电口、CAN口）</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bidi="ar"/>
              </w:rPr>
              <w:t>1</w:t>
            </w:r>
            <w:r>
              <w:rPr>
                <w:rFonts w:hint="eastAsia" w:ascii="宋体" w:hAnsi="宋体" w:eastAsia="宋体" w:cs="宋体"/>
                <w:sz w:val="20"/>
                <w:szCs w:val="20"/>
                <w:lang w:val="en-US" w:eastAsia="zh-CN" w:bidi="ar"/>
              </w:rPr>
              <w:t>3</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both"/>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分站具备不少于2个光口、2个电口、2个CAN总线接口，总共可接30台传感器、本安供电：不低于DC15V，功耗不大于400mA；具备自诊断功能</w:t>
            </w:r>
          </w:p>
        </w:tc>
      </w:tr>
      <w:tr>
        <w:tblPrEx>
          <w:tblLayout w:type="fixed"/>
          <w:tblCellMar>
            <w:top w:w="0" w:type="dxa"/>
            <w:left w:w="0" w:type="dxa"/>
            <w:bottom w:w="0" w:type="dxa"/>
            <w:right w:w="0" w:type="dxa"/>
          </w:tblCellMar>
        </w:tblPrEx>
        <w:trPr>
          <w:trHeight w:val="96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2</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both"/>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环网接入器并配套电源</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both"/>
              <w:textAlignment w:val="center"/>
              <w:rPr>
                <w:rFonts w:hint="eastAsia"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both"/>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4</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both"/>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both"/>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防爆型式：矿用本质安全型 ExibⅠMb</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供电电源：3路本安电源</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工作电流：≤700mA @DC18V</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千兆以太网光口：2路</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百兆以太网光口：3路及以上</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百兆以太网电口：4路及以上</w:t>
            </w:r>
          </w:p>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RS485/CAN端口：2路及以上（占用以太网电口）</w:t>
            </w:r>
          </w:p>
          <w:p>
            <w:pPr>
              <w:jc w:val="center"/>
              <w:textAlignment w:val="center"/>
              <w:rPr>
                <w:rFonts w:hint="eastAsia" w:ascii="宋体" w:hAnsi="宋体" w:cs="宋体"/>
                <w:sz w:val="20"/>
                <w:szCs w:val="20"/>
                <w:lang w:bidi="ar"/>
              </w:rPr>
            </w:pPr>
            <w:r>
              <w:rPr>
                <w:rFonts w:hint="eastAsia" w:ascii="宋体" w:hAnsi="宋体" w:eastAsia="宋体" w:cs="宋体"/>
                <w:sz w:val="20"/>
                <w:szCs w:val="20"/>
                <w:lang w:bidi="ar"/>
              </w:rPr>
              <w:t>组网：以太环网冗余</w:t>
            </w:r>
          </w:p>
        </w:tc>
      </w:tr>
      <w:tr>
        <w:tblPrEx>
          <w:tblLayout w:type="fixed"/>
          <w:tblCellMar>
            <w:top w:w="0" w:type="dxa"/>
            <w:left w:w="0" w:type="dxa"/>
            <w:bottom w:w="0" w:type="dxa"/>
            <w:right w:w="0" w:type="dxa"/>
          </w:tblCellMar>
        </w:tblPrEx>
        <w:trPr>
          <w:trHeight w:val="96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矿用隔爆兼本安型不间断电源箱</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13</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电源箱输入电压： 127 VAC /380VAC/660VAC，输出电压：不低于DC:18.5V，完全充电后，满负载连续工作时间≥4h；</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甲烷传感器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37</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量程（0～4%）,</w:t>
            </w:r>
          </w:p>
        </w:tc>
      </w:tr>
      <w:tr>
        <w:tblPrEx>
          <w:tblLayout w:type="fixed"/>
          <w:tblCellMar>
            <w:top w:w="0" w:type="dxa"/>
            <w:left w:w="0" w:type="dxa"/>
            <w:bottom w:w="0" w:type="dxa"/>
            <w:right w:w="0" w:type="dxa"/>
          </w:tblCellMar>
        </w:tblPrEx>
        <w:trPr>
          <w:trHeight w:val="48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5</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矿用浇封兼本安型断电馈电控制器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22</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工作电压：DC9V-24V</w:t>
            </w:r>
          </w:p>
        </w:tc>
      </w:tr>
      <w:tr>
        <w:tblPrEx>
          <w:tblLayout w:type="fixed"/>
          <w:tblCellMar>
            <w:top w:w="0" w:type="dxa"/>
            <w:left w:w="0" w:type="dxa"/>
            <w:bottom w:w="0" w:type="dxa"/>
            <w:right w:w="0" w:type="dxa"/>
          </w:tblCellMar>
        </w:tblPrEx>
        <w:trPr>
          <w:trHeight w:val="915"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6</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矿用设备开停传感器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33</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响应时间：≤3s；工作电压：DC9V-24V</w:t>
            </w:r>
          </w:p>
        </w:tc>
      </w:tr>
      <w:tr>
        <w:tblPrEx>
          <w:tblLayout w:type="fixed"/>
          <w:tblCellMar>
            <w:top w:w="0" w:type="dxa"/>
            <w:left w:w="0" w:type="dxa"/>
            <w:bottom w:w="0" w:type="dxa"/>
            <w:right w:w="0" w:type="dxa"/>
          </w:tblCellMar>
        </w:tblPrEx>
        <w:trPr>
          <w:trHeight w:val="655"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7</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矿用一氧化碳传感器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42</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量程（0～1000ppm）</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8</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煤矿用风速传感器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ascii="宋体" w:hAnsi="宋体" w:eastAsia="宋体" w:cs="宋体"/>
                <w:sz w:val="20"/>
                <w:szCs w:val="20"/>
                <w:lang w:bidi="ar"/>
              </w:rPr>
              <w:t>双向</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量程(0-15米/秒)</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9</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煤矿用负压传感器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2</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w:t>
            </w:r>
            <w:r>
              <w:rPr>
                <w:rFonts w:ascii="宋体" w:hAnsi="宋体" w:eastAsia="宋体" w:cs="宋体"/>
                <w:sz w:val="20"/>
                <w:szCs w:val="20"/>
                <w:lang w:bidi="ar"/>
              </w:rPr>
              <w:t>0</w:t>
            </w:r>
            <w:r>
              <w:rPr>
                <w:rFonts w:hint="eastAsia" w:ascii="宋体" w:hAnsi="宋体" w:eastAsia="宋体" w:cs="宋体"/>
                <w:sz w:val="20"/>
                <w:szCs w:val="20"/>
                <w:lang w:bidi="ar"/>
              </w:rPr>
              <w:t>～</w:t>
            </w:r>
            <w:r>
              <w:rPr>
                <w:rFonts w:ascii="宋体" w:hAnsi="宋体" w:eastAsia="宋体" w:cs="宋体"/>
                <w:sz w:val="20"/>
                <w:szCs w:val="20"/>
                <w:lang w:bidi="ar"/>
              </w:rPr>
              <w:t>5kPa</w:t>
            </w:r>
            <w:r>
              <w:rPr>
                <w:rFonts w:hint="eastAsia" w:ascii="宋体" w:hAnsi="宋体" w:eastAsia="宋体" w:cs="宋体"/>
                <w:sz w:val="20"/>
                <w:szCs w:val="20"/>
                <w:lang w:bidi="ar"/>
              </w:rPr>
              <w:t>）</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10</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煤矿用温度传感器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量程（-5～45℃）</w:t>
            </w:r>
          </w:p>
        </w:tc>
      </w:tr>
      <w:tr>
        <w:tblPrEx>
          <w:tblLayout w:type="fixed"/>
          <w:tblCellMar>
            <w:top w:w="0" w:type="dxa"/>
            <w:left w:w="0" w:type="dxa"/>
            <w:bottom w:w="0" w:type="dxa"/>
            <w:right w:w="0" w:type="dxa"/>
          </w:tblCellMar>
        </w:tblPrEx>
        <w:trPr>
          <w:trHeight w:val="48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矿用风筒风量开关</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响应时间：≤2s；工作电压：DC9V-24V</w:t>
            </w:r>
          </w:p>
        </w:tc>
      </w:tr>
      <w:tr>
        <w:tblPrEx>
          <w:tblLayout w:type="fixed"/>
          <w:tblCellMar>
            <w:top w:w="0" w:type="dxa"/>
            <w:left w:w="0" w:type="dxa"/>
            <w:bottom w:w="0" w:type="dxa"/>
            <w:right w:w="0" w:type="dxa"/>
          </w:tblCellMar>
        </w:tblPrEx>
        <w:trPr>
          <w:trHeight w:val="48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12</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矿用烟雾传感器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响应时间：≤20s；工作电压：DC9V-24V</w:t>
            </w:r>
          </w:p>
        </w:tc>
      </w:tr>
      <w:tr>
        <w:tblPrEx>
          <w:tblLayout w:type="fixed"/>
          <w:tblCellMar>
            <w:top w:w="0" w:type="dxa"/>
            <w:left w:w="0" w:type="dxa"/>
            <w:bottom w:w="0" w:type="dxa"/>
            <w:right w:w="0" w:type="dxa"/>
          </w:tblCellMar>
        </w:tblPrEx>
        <w:trPr>
          <w:trHeight w:val="48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矿用风门开闭状态传感器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套</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20</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响应时间：≤1s；工作电压：DC9V-24V；带语音播报</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氧气传感器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6</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w:t>
            </w:r>
            <w:r>
              <w:rPr>
                <w:rFonts w:ascii="宋体" w:hAnsi="宋体" w:eastAsia="宋体" w:cs="宋体"/>
                <w:sz w:val="20"/>
                <w:szCs w:val="20"/>
                <w:lang w:bidi="ar"/>
              </w:rPr>
              <w:t>0</w:t>
            </w:r>
            <w:r>
              <w:rPr>
                <w:rFonts w:hint="eastAsia" w:ascii="宋体" w:hAnsi="宋体" w:eastAsia="宋体" w:cs="宋体"/>
                <w:sz w:val="20"/>
                <w:szCs w:val="20"/>
                <w:lang w:bidi="ar"/>
              </w:rPr>
              <w:t>～</w:t>
            </w:r>
            <w:r>
              <w:rPr>
                <w:rFonts w:ascii="宋体" w:hAnsi="宋体" w:eastAsia="宋体" w:cs="宋体"/>
                <w:sz w:val="20"/>
                <w:szCs w:val="20"/>
                <w:lang w:bidi="ar"/>
              </w:rPr>
              <w:t>25%</w:t>
            </w:r>
            <w:r>
              <w:rPr>
                <w:rFonts w:hint="eastAsia" w:ascii="宋体" w:hAnsi="宋体" w:eastAsia="宋体" w:cs="宋体"/>
                <w:sz w:val="20"/>
                <w:szCs w:val="20"/>
                <w:lang w:bidi="ar"/>
              </w:rPr>
              <w:t>）</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15</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二氧化碳传感器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3</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w:t>
            </w:r>
            <w:r>
              <w:rPr>
                <w:rFonts w:ascii="宋体" w:hAnsi="宋体" w:eastAsia="宋体" w:cs="宋体"/>
                <w:sz w:val="20"/>
                <w:szCs w:val="20"/>
                <w:lang w:bidi="ar"/>
              </w:rPr>
              <w:t>0</w:t>
            </w:r>
            <w:r>
              <w:rPr>
                <w:rFonts w:hint="eastAsia" w:ascii="宋体" w:hAnsi="宋体" w:eastAsia="宋体" w:cs="宋体"/>
                <w:sz w:val="20"/>
                <w:szCs w:val="20"/>
                <w:lang w:bidi="ar"/>
              </w:rPr>
              <w:t>～</w:t>
            </w:r>
            <w:r>
              <w:rPr>
                <w:rFonts w:ascii="宋体" w:hAnsi="宋体" w:eastAsia="宋体" w:cs="宋体"/>
                <w:sz w:val="20"/>
                <w:szCs w:val="20"/>
                <w:lang w:bidi="ar"/>
              </w:rPr>
              <w:t>5%</w:t>
            </w:r>
            <w:r>
              <w:rPr>
                <w:rFonts w:hint="eastAsia" w:ascii="宋体" w:hAnsi="宋体" w:eastAsia="宋体" w:cs="宋体"/>
                <w:sz w:val="20"/>
                <w:szCs w:val="20"/>
                <w:lang w:bidi="ar"/>
              </w:rPr>
              <w:t>）</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16</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粉尘传感器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6</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量程（</w:t>
            </w:r>
            <w:r>
              <w:rPr>
                <w:rFonts w:ascii="宋体" w:hAnsi="宋体" w:eastAsia="宋体" w:cs="宋体"/>
                <w:sz w:val="20"/>
                <w:szCs w:val="20"/>
                <w:lang w:bidi="ar"/>
              </w:rPr>
              <w:t>0.1</w:t>
            </w:r>
            <w:r>
              <w:rPr>
                <w:rFonts w:hint="eastAsia" w:ascii="宋体" w:hAnsi="宋体" w:eastAsia="宋体" w:cs="宋体"/>
                <w:sz w:val="20"/>
                <w:szCs w:val="20"/>
                <w:lang w:bidi="ar"/>
              </w:rPr>
              <w:t>～</w:t>
            </w:r>
            <w:r>
              <w:rPr>
                <w:rFonts w:ascii="宋体" w:hAnsi="宋体" w:eastAsia="宋体" w:cs="宋体"/>
                <w:sz w:val="20"/>
                <w:szCs w:val="20"/>
                <w:lang w:bidi="ar"/>
              </w:rPr>
              <w:t>1000mg/m³</w:t>
            </w:r>
            <w:r>
              <w:rPr>
                <w:rFonts w:hint="eastAsia" w:ascii="宋体" w:hAnsi="宋体" w:eastAsia="宋体" w:cs="宋体"/>
                <w:sz w:val="20"/>
                <w:szCs w:val="20"/>
                <w:lang w:bidi="ar"/>
              </w:rPr>
              <w:t>）</w:t>
            </w: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17</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val="en-US" w:eastAsia="zh-CN" w:bidi="ar"/>
              </w:rPr>
            </w:pPr>
            <w:r>
              <w:rPr>
                <w:rFonts w:hint="eastAsia" w:ascii="宋体" w:hAnsi="宋体" w:eastAsia="宋体" w:cs="宋体"/>
                <w:sz w:val="20"/>
                <w:szCs w:val="20"/>
                <w:lang w:val="en-US" w:eastAsia="zh-CN" w:bidi="ar"/>
              </w:rPr>
              <w:t>温湿度传感器</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eastAsia="zh-CN" w:bidi="ar"/>
              </w:rPr>
              <w:t>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b/>
                <w:sz w:val="20"/>
                <w:szCs w:val="20"/>
              </w:rPr>
            </w:pPr>
            <w:r>
              <w:rPr>
                <w:rFonts w:hint="eastAsia" w:ascii="宋体" w:hAnsi="宋体" w:eastAsia="宋体" w:cs="宋体"/>
                <w:b/>
                <w:sz w:val="20"/>
                <w:szCs w:val="20"/>
                <w:lang w:bidi="ar"/>
              </w:rPr>
              <w:t>三</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0"/>
              <w:jc w:val="center"/>
              <w:textAlignment w:val="center"/>
              <w:rPr>
                <w:rFonts w:ascii="宋体" w:hAnsi="宋体" w:eastAsia="宋体" w:cs="宋体"/>
                <w:sz w:val="20"/>
                <w:szCs w:val="20"/>
              </w:rPr>
            </w:pPr>
          </w:p>
        </w:tc>
        <w:tc>
          <w:tcPr>
            <w:tcW w:w="6128" w:type="dxa"/>
            <w:gridSpan w:val="6"/>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ind w:firstLine="402"/>
              <w:jc w:val="center"/>
              <w:rPr>
                <w:rFonts w:ascii="宋体" w:hAnsi="宋体" w:eastAsia="宋体" w:cs="宋体"/>
                <w:b/>
                <w:sz w:val="20"/>
                <w:szCs w:val="20"/>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矿用阻燃传输电缆</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MHYV 1*4*7/0.52</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km</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9</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2</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矿用阻燃电源电缆</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ascii="宋体" w:hAnsi="宋体" w:eastAsia="宋体" w:cs="宋体"/>
                <w:sz w:val="20"/>
                <w:szCs w:val="20"/>
                <w:lang w:bidi="ar"/>
              </w:rPr>
              <w:t>MYQ 3*2.5+1*1.5</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km</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414"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3</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矿用阻燃光缆</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MGTS-8B1</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km</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bidi="ar"/>
              </w:rPr>
            </w:pPr>
            <w:r>
              <w:rPr>
                <w:rFonts w:hint="eastAsia" w:ascii="宋体" w:hAnsi="宋体" w:eastAsia="宋体" w:cs="宋体"/>
                <w:sz w:val="20"/>
                <w:szCs w:val="20"/>
                <w:lang w:bidi="ar"/>
              </w:rPr>
              <w:t>7</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4</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接线盒（二通）</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JHH-2</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5</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接线盒（三通）</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JHH-3</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6</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接线盒（四通）</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JHH-4</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default" w:ascii="宋体" w:hAnsi="宋体" w:eastAsia="宋体" w:cs="宋体"/>
                <w:sz w:val="20"/>
                <w:szCs w:val="20"/>
                <w:lang w:val="en-US" w:eastAsia="zh-CN" w:bidi="ar"/>
              </w:rPr>
            </w:pPr>
            <w:r>
              <w:rPr>
                <w:rFonts w:hint="eastAsia" w:ascii="宋体" w:hAnsi="宋体" w:eastAsia="宋体" w:cs="宋体"/>
                <w:sz w:val="20"/>
                <w:szCs w:val="20"/>
                <w:lang w:val="en-US" w:eastAsia="zh-CN" w:bidi="ar"/>
              </w:rPr>
              <w:t>100</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r>
        <w:tblPrEx>
          <w:tblLayout w:type="fixed"/>
          <w:tblCellMar>
            <w:top w:w="0" w:type="dxa"/>
            <w:left w:w="0" w:type="dxa"/>
            <w:bottom w:w="0" w:type="dxa"/>
            <w:right w:w="0" w:type="dxa"/>
          </w:tblCellMar>
        </w:tblPrEx>
        <w:trPr>
          <w:trHeight w:val="270" w:hRule="atLeast"/>
        </w:trPr>
        <w:tc>
          <w:tcPr>
            <w:tcW w:w="48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hint="eastAsia" w:ascii="宋体" w:hAnsi="宋体" w:eastAsia="宋体" w:cs="宋体"/>
                <w:sz w:val="20"/>
                <w:szCs w:val="20"/>
                <w:lang w:eastAsia="zh-CN" w:bidi="ar"/>
              </w:rPr>
            </w:pPr>
            <w:r>
              <w:rPr>
                <w:rFonts w:hint="eastAsia" w:ascii="宋体" w:hAnsi="宋体" w:eastAsia="宋体" w:cs="宋体"/>
                <w:sz w:val="20"/>
                <w:szCs w:val="20"/>
                <w:lang w:val="en-US" w:eastAsia="zh-CN" w:bidi="ar"/>
              </w:rPr>
              <w:t>7</w:t>
            </w:r>
          </w:p>
        </w:tc>
        <w:tc>
          <w:tcPr>
            <w:tcW w:w="1723"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安装辅材</w:t>
            </w:r>
          </w:p>
        </w:tc>
        <w:tc>
          <w:tcPr>
            <w:tcW w:w="16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跳线、扎带、支架</w:t>
            </w:r>
          </w:p>
        </w:tc>
        <w:tc>
          <w:tcPr>
            <w:tcW w:w="75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批</w:t>
            </w:r>
          </w:p>
        </w:tc>
        <w:tc>
          <w:tcPr>
            <w:tcW w:w="65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r>
              <w:rPr>
                <w:rFonts w:hint="eastAsia" w:ascii="宋体" w:hAnsi="宋体" w:eastAsia="宋体" w:cs="宋体"/>
                <w:sz w:val="20"/>
                <w:szCs w:val="20"/>
                <w:lang w:bidi="ar"/>
              </w:rPr>
              <w:t>1</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89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c>
          <w:tcPr>
            <w:tcW w:w="156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jc w:val="center"/>
              <w:textAlignment w:val="center"/>
              <w:rPr>
                <w:rFonts w:ascii="宋体" w:hAnsi="宋体" w:eastAsia="宋体" w:cs="宋体"/>
                <w:sz w:val="20"/>
                <w:szCs w:val="20"/>
                <w:lang w:bidi="ar"/>
              </w:rPr>
            </w:pPr>
          </w:p>
        </w:tc>
      </w:tr>
    </w:tbl>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七）其他要求</w:t>
      </w:r>
    </w:p>
    <w:p>
      <w:pPr>
        <w:spacing w:line="360" w:lineRule="auto"/>
        <w:rPr>
          <w:rFonts w:hint="eastAsia" w:ascii="宋体" w:hAnsi="宋体" w:cs="宋体"/>
          <w:b w:val="0"/>
          <w:bCs w:val="0"/>
          <w:sz w:val="24"/>
          <w:szCs w:val="24"/>
          <w:highlight w:val="none"/>
        </w:rPr>
      </w:pPr>
      <w:bookmarkStart w:id="2" w:name="_Toc296091010"/>
      <w:r>
        <w:rPr>
          <w:rFonts w:hint="eastAsia" w:ascii="宋体" w:hAnsi="宋体" w:cs="宋体"/>
          <w:b w:val="0"/>
          <w:bCs w:val="0"/>
          <w:sz w:val="24"/>
          <w:szCs w:val="24"/>
          <w:highlight w:val="none"/>
        </w:rPr>
        <w:t>1、安装调试要求</w:t>
      </w:r>
      <w:bookmarkEnd w:id="2"/>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提供完整的施工安全保障方案，保证项目实施、系统</w:t>
      </w:r>
      <w:r>
        <w:rPr>
          <w:rFonts w:hint="eastAsia" w:ascii="宋体" w:hAnsi="宋体" w:cs="宋体"/>
          <w:b w:val="0"/>
          <w:bCs w:val="0"/>
          <w:sz w:val="24"/>
          <w:szCs w:val="24"/>
          <w:highlight w:val="none"/>
          <w:lang w:val="en-US" w:eastAsia="zh-CN"/>
        </w:rPr>
        <w:t>指导</w:t>
      </w:r>
      <w:r>
        <w:rPr>
          <w:rFonts w:hint="eastAsia" w:ascii="宋体" w:hAnsi="宋体" w:cs="宋体"/>
          <w:b w:val="0"/>
          <w:bCs w:val="0"/>
          <w:sz w:val="24"/>
          <w:szCs w:val="24"/>
          <w:highlight w:val="none"/>
        </w:rPr>
        <w:t xml:space="preserve">安装、调试等工作安全顺利进行。 </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（2）</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负责系统的安装、调试以及系统的验收工作；负责所有线路及光缆铺设；提供系统设备所有煤安标志、合格证、防爆证件等。</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（3）安装调试完毕后，两系统并列运行一个月，待系统运行稳定无异常后方可切换新系统使用并调试上传。</w:t>
      </w:r>
    </w:p>
    <w:p>
      <w:pPr>
        <w:spacing w:line="360" w:lineRule="auto"/>
        <w:rPr>
          <w:rFonts w:hint="eastAsia" w:ascii="宋体" w:hAnsi="宋体" w:cs="宋体"/>
          <w:b w:val="0"/>
          <w:bCs w:val="0"/>
          <w:sz w:val="24"/>
          <w:szCs w:val="24"/>
          <w:highlight w:val="none"/>
        </w:rPr>
      </w:pPr>
      <w:bookmarkStart w:id="3" w:name="_Toc265937890"/>
      <w:r>
        <w:rPr>
          <w:rFonts w:hint="eastAsia" w:ascii="宋体" w:hAnsi="宋体" w:cs="宋体"/>
          <w:b w:val="0"/>
          <w:bCs w:val="0"/>
          <w:sz w:val="24"/>
          <w:szCs w:val="24"/>
          <w:highlight w:val="none"/>
        </w:rPr>
        <w:t>2、质量保证</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（1）设备质量保证期为设备安装调试验收合格投入运行后12个月，质保期内</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或运输过程原因造成的设备损坏的经济损失由</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承担。</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（2）在设备验收后运行的12个月内，</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负责免费保修。</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3、验收</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（1）</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应保证所提供的设备和技术能达到本规格书所提出的各项要求。</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（2）设备的验收应按合同规定的技术要求进行验收。</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（3）合同采购的设备安装、调试后，按确认后的验收大纲及验收标准或相应的国家标准，采购方和</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共同对设备进行验收，达到验收标准后，且由</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负责办理好系统的验收和备案工作后，双方共同签署设备验收合格证书后投入使用。</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4、培训</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（1）如需到制造厂培训，</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为采购方免费提供在</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当地制造厂的操作和维修培训，</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保证操作人员熟练掌握设备性能，并能够独立操作设备。</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（2）培训所需一切费用由</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承担。</w:t>
      </w:r>
    </w:p>
    <w:bookmarkEnd w:id="3"/>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5、售后服务</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质量保证期要求为系统正式验收合格后12个月，在质量保证期内</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应免费提供咨询、维保服务；应有24小时维保电话，提供全天7*24小时电话响应，8小时内人员到达现场，且必须在24小时内使系统恢复正常工作，其费用由</w:t>
      </w:r>
      <w:r>
        <w:rPr>
          <w:rFonts w:hint="eastAsia" w:ascii="宋体" w:hAnsi="宋体" w:cs="宋体"/>
          <w:b w:val="0"/>
          <w:bCs w:val="0"/>
          <w:sz w:val="24"/>
          <w:szCs w:val="24"/>
          <w:highlight w:val="none"/>
          <w:lang w:eastAsia="zh-CN"/>
        </w:rPr>
        <w:t>供应商</w:t>
      </w:r>
      <w:r>
        <w:rPr>
          <w:rFonts w:hint="eastAsia" w:ascii="宋体" w:hAnsi="宋体" w:cs="宋体"/>
          <w:b w:val="0"/>
          <w:bCs w:val="0"/>
          <w:sz w:val="24"/>
          <w:szCs w:val="24"/>
          <w:highlight w:val="none"/>
        </w:rPr>
        <w:t>负责。</w:t>
      </w: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质量保证期结束后，在产品使用寿命期内应持续提供维护服务，持续免费培训。</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9"/>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9"/>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8"/>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公开询比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总价（</w:t>
      </w:r>
      <w:r>
        <w:rPr>
          <w:rFonts w:hint="eastAsia" w:ascii="宋体" w:hAnsi="宋体" w:cs="宋体"/>
          <w:sz w:val="28"/>
          <w:szCs w:val="28"/>
          <w:highlight w:val="none"/>
        </w:rPr>
        <w:t>含税价格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u w:val="single"/>
        </w:rPr>
        <w:t xml:space="preserve">        </w:t>
      </w:r>
      <w:r>
        <w:rPr>
          <w:rFonts w:hint="eastAsia" w:ascii="宋体" w:hAnsi="宋体" w:cs="宋体"/>
          <w:sz w:val="28"/>
          <w:szCs w:val="28"/>
          <w:highlight w:val="none"/>
        </w:rPr>
        <w:t>￥元</w:t>
      </w:r>
      <w:r>
        <w:rPr>
          <w:rFonts w:ascii="宋体" w:hAnsi="宋体" w:cs="宋体"/>
          <w:sz w:val="28"/>
          <w:szCs w:val="28"/>
          <w:highlight w:val="none"/>
        </w:rPr>
        <w:t>(</w:t>
      </w:r>
      <w:r>
        <w:rPr>
          <w:rFonts w:hint="eastAsia" w:ascii="宋体" w:hAnsi="宋体" w:cs="宋体"/>
          <w:sz w:val="28"/>
          <w:szCs w:val="28"/>
          <w:highlight w:val="none"/>
        </w:rPr>
        <w:t>大写：</w:t>
      </w:r>
      <w:r>
        <w:rPr>
          <w:rFonts w:ascii="宋体" w:hAnsi="宋体" w:cs="宋体"/>
          <w:sz w:val="28"/>
          <w:szCs w:val="28"/>
          <w:highlight w:val="none"/>
          <w:u w:val="single"/>
        </w:rPr>
        <w:t xml:space="preserve">                  </w:t>
      </w:r>
      <w:r>
        <w:rPr>
          <w:rFonts w:hint="eastAsia" w:ascii="宋体" w:hAnsi="宋体" w:cs="宋体"/>
          <w:sz w:val="28"/>
          <w:szCs w:val="28"/>
          <w:highlight w:val="none"/>
          <w:u w:val="single"/>
        </w:rPr>
        <w:t>元整，税率    %</w:t>
      </w:r>
      <w:r>
        <w:rPr>
          <w:rFonts w:ascii="宋体" w:hAnsi="宋体" w:cs="宋体"/>
          <w:sz w:val="28"/>
          <w:szCs w:val="28"/>
          <w:highlight w:val="none"/>
        </w:rPr>
        <w:t>)</w:t>
      </w:r>
      <w:r>
        <w:rPr>
          <w:rFonts w:hint="eastAsia" w:ascii="宋体" w:hAnsi="宋体" w:cs="宋体"/>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
        <w:rPr>
          <w:highlight w:val="none"/>
        </w:rPr>
      </w:pPr>
    </w:p>
    <w:p>
      <w:pPr>
        <w:pStyle w:val="2"/>
        <w:rPr>
          <w:highlight w:val="none"/>
        </w:rPr>
      </w:pPr>
    </w:p>
    <w:p>
      <w:pPr>
        <w:pStyle w:val="2"/>
        <w:rPr>
          <w:highlight w:val="none"/>
        </w:rPr>
      </w:pPr>
    </w:p>
    <w:p>
      <w:pPr>
        <w:numPr>
          <w:ilvl w:val="0"/>
          <w:numId w:val="10"/>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4"/>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
        <w:rPr>
          <w:rFonts w:ascii="宋体" w:hAnsi="宋体" w:cs="宋体"/>
          <w:b/>
          <w:bCs/>
          <w:szCs w:val="30"/>
          <w:highlight w:val="none"/>
        </w:rPr>
      </w:pPr>
    </w:p>
    <w:p>
      <w:pPr>
        <w:pStyle w:val="2"/>
        <w:rPr>
          <w:rFonts w:ascii="宋体" w:hAnsi="宋体" w:cs="宋体"/>
          <w:b/>
          <w:bCs/>
          <w:szCs w:val="30"/>
          <w:highlight w:val="none"/>
        </w:rPr>
      </w:pPr>
    </w:p>
    <w:p>
      <w:pPr>
        <w:pStyle w:val="2"/>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4"/>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
        <w:rPr>
          <w:highlight w:val="none"/>
        </w:rPr>
      </w:pPr>
      <w:r>
        <w:rPr>
          <w:highlight w:val="none"/>
        </w:rPr>
        <w:br w:type="page"/>
      </w:r>
    </w:p>
    <w:p>
      <w:pPr>
        <w:pStyle w:val="2"/>
        <w:rPr>
          <w:highlight w:val="none"/>
        </w:rPr>
      </w:pPr>
    </w:p>
    <w:p>
      <w:pPr>
        <w:numPr>
          <w:ilvl w:val="0"/>
          <w:numId w:val="11"/>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8"/>
        <w:rPr>
          <w:rFonts w:hint="eastAsia" w:ascii="宋体" w:hAnsi="宋体" w:cs="宋体"/>
          <w:sz w:val="32"/>
          <w:szCs w:val="32"/>
          <w:highlight w:val="none"/>
        </w:rPr>
      </w:pPr>
    </w:p>
    <w:p>
      <w:pPr>
        <w:rPr>
          <w:rFonts w:hint="eastAsia"/>
          <w:highlight w:val="none"/>
        </w:rPr>
      </w:pPr>
    </w:p>
    <w:p>
      <w:pPr>
        <w:pStyle w:val="18"/>
        <w:rPr>
          <w:rFonts w:hint="default" w:eastAsia="宋体"/>
          <w:highlight w:val="none"/>
          <w:lang w:val="en-US" w:eastAsia="zh-CN"/>
        </w:rPr>
      </w:pPr>
      <w:r>
        <w:rPr>
          <w:rFonts w:hint="eastAsia"/>
          <w:highlight w:val="none"/>
          <w:lang w:val="en-US" w:eastAsia="zh-CN"/>
        </w:rPr>
        <w:t xml:space="preserve">                      六、服务方案</w:t>
      </w:r>
    </w:p>
    <w:p>
      <w:pPr>
        <w:pStyle w:val="18"/>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2"/>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4"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
        <w:spacing w:line="360" w:lineRule="auto"/>
        <w:ind w:firstLine="602"/>
        <w:jc w:val="left"/>
        <w:rPr>
          <w:rFonts w:ascii="宋体" w:hAnsi="宋体" w:cs="宋体"/>
          <w:bCs/>
          <w:sz w:val="30"/>
          <w:szCs w:val="30"/>
          <w:highlight w:val="none"/>
        </w:rPr>
      </w:pPr>
    </w:p>
    <w:p>
      <w:pPr>
        <w:pStyle w:val="2"/>
        <w:spacing w:line="360" w:lineRule="auto"/>
        <w:ind w:firstLine="602"/>
        <w:jc w:val="left"/>
        <w:rPr>
          <w:rFonts w:ascii="宋体" w:hAnsi="宋体" w:cs="宋体"/>
          <w:bCs/>
          <w:sz w:val="30"/>
          <w:szCs w:val="30"/>
          <w:highlight w:val="none"/>
        </w:rPr>
      </w:pPr>
    </w:p>
    <w:p>
      <w:pPr>
        <w:pStyle w:val="2"/>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
        <w:spacing w:line="360" w:lineRule="auto"/>
        <w:jc w:val="left"/>
        <w:rPr>
          <w:rFonts w:ascii="宋体" w:hAnsi="宋体" w:cs="宋体"/>
          <w:bCs/>
          <w:sz w:val="30"/>
          <w:szCs w:val="30"/>
          <w:highlight w:val="none"/>
        </w:rPr>
      </w:pPr>
    </w:p>
    <w:p>
      <w:pPr>
        <w:pStyle w:val="2"/>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4"/>
    <w:p>
      <w:pPr>
        <w:pStyle w:val="2"/>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
        <w:rPr>
          <w:rFonts w:hint="eastAsia"/>
          <w:highlight w:val="none"/>
          <w:lang w:val="en-US" w:eastAsia="zh-CN"/>
        </w:rPr>
      </w:pPr>
    </w:p>
    <w:p>
      <w:pPr>
        <w:pStyle w:val="2"/>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0"/>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5"/>
      <w:lvlText w:val="%1."/>
      <w:lvlJc w:val="left"/>
      <w:pPr>
        <w:tabs>
          <w:tab w:val="left" w:pos="360"/>
        </w:tabs>
        <w:ind w:left="360" w:hanging="360"/>
      </w:pPr>
      <w:rPr>
        <w:rFonts w:cs="Times New Roman"/>
      </w:rPr>
    </w:lvl>
  </w:abstractNum>
  <w:abstractNum w:abstractNumId="3">
    <w:nsid w:val="1A14168C"/>
    <w:multiLevelType w:val="singleLevel"/>
    <w:tmpl w:val="1A14168C"/>
    <w:lvl w:ilvl="0" w:tentative="0">
      <w:start w:val="1"/>
      <w:numFmt w:val="decimal"/>
      <w:suff w:val="nothing"/>
      <w:lvlText w:val="%1、"/>
      <w:lvlJc w:val="left"/>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6"/>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16CD20D"/>
    <w:multiLevelType w:val="singleLevel"/>
    <w:tmpl w:val="716CD20D"/>
    <w:lvl w:ilvl="0" w:tentative="0">
      <w:start w:val="3"/>
      <w:numFmt w:val="decimal"/>
      <w:lvlText w:val="%1."/>
      <w:lvlJc w:val="left"/>
      <w:pPr>
        <w:tabs>
          <w:tab w:val="left" w:pos="312"/>
        </w:tabs>
      </w:pPr>
    </w:lvl>
  </w:abstractNum>
  <w:abstractNum w:abstractNumId="9">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2"/>
  </w:num>
  <w:num w:numId="3">
    <w:abstractNumId w:val="1"/>
  </w:num>
  <w:num w:numId="4">
    <w:abstractNumId w:val="4"/>
  </w:num>
  <w:num w:numId="5">
    <w:abstractNumId w:val="7"/>
  </w:num>
  <w:num w:numId="6">
    <w:abstractNumId w:val="3"/>
  </w:num>
  <w:num w:numId="7">
    <w:abstractNumId w:val="8"/>
  </w:num>
  <w:num w:numId="8">
    <w:abstractNumId w:val="0"/>
  </w:num>
  <w:num w:numId="9">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NzRjNDQyNDY3NGU1ZGZmMzZhYzUwMWFiOWYwYjY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4377DA6"/>
    <w:rsid w:val="044955CA"/>
    <w:rsid w:val="061C36BA"/>
    <w:rsid w:val="07455314"/>
    <w:rsid w:val="08A8480D"/>
    <w:rsid w:val="09352049"/>
    <w:rsid w:val="0A555CB0"/>
    <w:rsid w:val="0A912D3C"/>
    <w:rsid w:val="0B440B42"/>
    <w:rsid w:val="0BF508B4"/>
    <w:rsid w:val="0C215F5C"/>
    <w:rsid w:val="0C297F82"/>
    <w:rsid w:val="0C540FAF"/>
    <w:rsid w:val="0CBF3D62"/>
    <w:rsid w:val="0EB30D0D"/>
    <w:rsid w:val="0F604FE4"/>
    <w:rsid w:val="0F77472F"/>
    <w:rsid w:val="0FA03417"/>
    <w:rsid w:val="0FFE2944"/>
    <w:rsid w:val="10125FAD"/>
    <w:rsid w:val="10F27FB9"/>
    <w:rsid w:val="11026497"/>
    <w:rsid w:val="115D0FA0"/>
    <w:rsid w:val="119C2B16"/>
    <w:rsid w:val="11EC4B8C"/>
    <w:rsid w:val="12B826B6"/>
    <w:rsid w:val="130D5D28"/>
    <w:rsid w:val="13D27127"/>
    <w:rsid w:val="13D60078"/>
    <w:rsid w:val="145A4263"/>
    <w:rsid w:val="1477734B"/>
    <w:rsid w:val="14AE38DE"/>
    <w:rsid w:val="15542020"/>
    <w:rsid w:val="168606BF"/>
    <w:rsid w:val="169964AB"/>
    <w:rsid w:val="16CB00C0"/>
    <w:rsid w:val="17D71BD3"/>
    <w:rsid w:val="1800023D"/>
    <w:rsid w:val="184F2E7A"/>
    <w:rsid w:val="18E42747"/>
    <w:rsid w:val="1925379B"/>
    <w:rsid w:val="19AF44FD"/>
    <w:rsid w:val="1A63698E"/>
    <w:rsid w:val="1AA90C35"/>
    <w:rsid w:val="1B635DC8"/>
    <w:rsid w:val="1B972AF7"/>
    <w:rsid w:val="1BA3188A"/>
    <w:rsid w:val="1C6A6063"/>
    <w:rsid w:val="1C844F99"/>
    <w:rsid w:val="1CD8267C"/>
    <w:rsid w:val="1D4F01B5"/>
    <w:rsid w:val="1D944498"/>
    <w:rsid w:val="1D9D040F"/>
    <w:rsid w:val="1E165F1B"/>
    <w:rsid w:val="1F0B3750"/>
    <w:rsid w:val="1F360E25"/>
    <w:rsid w:val="21232666"/>
    <w:rsid w:val="21505AF6"/>
    <w:rsid w:val="25653DDF"/>
    <w:rsid w:val="273109BD"/>
    <w:rsid w:val="27341C73"/>
    <w:rsid w:val="27F02089"/>
    <w:rsid w:val="280E7427"/>
    <w:rsid w:val="2878694B"/>
    <w:rsid w:val="288202F1"/>
    <w:rsid w:val="28835C82"/>
    <w:rsid w:val="2885643D"/>
    <w:rsid w:val="29F1156B"/>
    <w:rsid w:val="2A9767DF"/>
    <w:rsid w:val="2AC06F9C"/>
    <w:rsid w:val="2B01007D"/>
    <w:rsid w:val="2B4B4303"/>
    <w:rsid w:val="2B4F4D16"/>
    <w:rsid w:val="2BB12A90"/>
    <w:rsid w:val="2BD7373B"/>
    <w:rsid w:val="2C3D26A8"/>
    <w:rsid w:val="2C6852C0"/>
    <w:rsid w:val="2D1F5A8A"/>
    <w:rsid w:val="2D59068D"/>
    <w:rsid w:val="2D5D2A09"/>
    <w:rsid w:val="2E536EC1"/>
    <w:rsid w:val="2EB51C5E"/>
    <w:rsid w:val="2EEF2071"/>
    <w:rsid w:val="2FF56584"/>
    <w:rsid w:val="2FF74F52"/>
    <w:rsid w:val="311E5CBB"/>
    <w:rsid w:val="313C2459"/>
    <w:rsid w:val="321260A3"/>
    <w:rsid w:val="327F64D7"/>
    <w:rsid w:val="3283369C"/>
    <w:rsid w:val="32890F14"/>
    <w:rsid w:val="32D26775"/>
    <w:rsid w:val="334C6D3F"/>
    <w:rsid w:val="33573CB3"/>
    <w:rsid w:val="33843E73"/>
    <w:rsid w:val="34126E2C"/>
    <w:rsid w:val="35731F31"/>
    <w:rsid w:val="35D84E48"/>
    <w:rsid w:val="36BA11E5"/>
    <w:rsid w:val="36D735B3"/>
    <w:rsid w:val="39101B67"/>
    <w:rsid w:val="393744E7"/>
    <w:rsid w:val="393B2471"/>
    <w:rsid w:val="39B5256A"/>
    <w:rsid w:val="39E552F4"/>
    <w:rsid w:val="39F04960"/>
    <w:rsid w:val="3A0F496A"/>
    <w:rsid w:val="3A4074C6"/>
    <w:rsid w:val="3A4D68B5"/>
    <w:rsid w:val="3A873BF5"/>
    <w:rsid w:val="3B33738C"/>
    <w:rsid w:val="3BC04130"/>
    <w:rsid w:val="3C5D21E6"/>
    <w:rsid w:val="3CEC6D03"/>
    <w:rsid w:val="3D206487"/>
    <w:rsid w:val="3DC04D35"/>
    <w:rsid w:val="3DFA2056"/>
    <w:rsid w:val="3E4E000C"/>
    <w:rsid w:val="3EAF3106"/>
    <w:rsid w:val="3F6B02A7"/>
    <w:rsid w:val="3FB47B86"/>
    <w:rsid w:val="3FFE67F3"/>
    <w:rsid w:val="40072003"/>
    <w:rsid w:val="40617FCF"/>
    <w:rsid w:val="40E26CD8"/>
    <w:rsid w:val="412F1C06"/>
    <w:rsid w:val="42744B04"/>
    <w:rsid w:val="42BA317D"/>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A1319D9"/>
    <w:rsid w:val="4A8E046C"/>
    <w:rsid w:val="4ACA1D10"/>
    <w:rsid w:val="4B1640CA"/>
    <w:rsid w:val="4B313154"/>
    <w:rsid w:val="4B7474DA"/>
    <w:rsid w:val="4C067859"/>
    <w:rsid w:val="4C5D37E9"/>
    <w:rsid w:val="4C9A24C2"/>
    <w:rsid w:val="4CBB5258"/>
    <w:rsid w:val="4CE6339D"/>
    <w:rsid w:val="4D0132D1"/>
    <w:rsid w:val="4D0A7868"/>
    <w:rsid w:val="4D3A2111"/>
    <w:rsid w:val="4D5137F6"/>
    <w:rsid w:val="4DC76630"/>
    <w:rsid w:val="4E907ECE"/>
    <w:rsid w:val="4EEE3A0D"/>
    <w:rsid w:val="4EF331A7"/>
    <w:rsid w:val="4EF96179"/>
    <w:rsid w:val="4F352D5C"/>
    <w:rsid w:val="4FED650B"/>
    <w:rsid w:val="501830EF"/>
    <w:rsid w:val="503838B2"/>
    <w:rsid w:val="504A6527"/>
    <w:rsid w:val="505F601F"/>
    <w:rsid w:val="50A75A16"/>
    <w:rsid w:val="511B3417"/>
    <w:rsid w:val="511D2CEB"/>
    <w:rsid w:val="51AC651C"/>
    <w:rsid w:val="521D425C"/>
    <w:rsid w:val="522A0567"/>
    <w:rsid w:val="529C7A2E"/>
    <w:rsid w:val="52FA264F"/>
    <w:rsid w:val="53CC09F8"/>
    <w:rsid w:val="542B3EFB"/>
    <w:rsid w:val="546B0A00"/>
    <w:rsid w:val="54954804"/>
    <w:rsid w:val="549660CB"/>
    <w:rsid w:val="54EA3C55"/>
    <w:rsid w:val="55630A4E"/>
    <w:rsid w:val="557737BB"/>
    <w:rsid w:val="562C37FD"/>
    <w:rsid w:val="56366F6D"/>
    <w:rsid w:val="564C5E20"/>
    <w:rsid w:val="565C396B"/>
    <w:rsid w:val="59111EFF"/>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2D93E68"/>
    <w:rsid w:val="62FF5D54"/>
    <w:rsid w:val="63710868"/>
    <w:rsid w:val="63AC2F92"/>
    <w:rsid w:val="644D0C37"/>
    <w:rsid w:val="64C50123"/>
    <w:rsid w:val="65244228"/>
    <w:rsid w:val="65843D37"/>
    <w:rsid w:val="65F85CC4"/>
    <w:rsid w:val="670342D9"/>
    <w:rsid w:val="67431B96"/>
    <w:rsid w:val="67C972BA"/>
    <w:rsid w:val="68767A8D"/>
    <w:rsid w:val="68F4010F"/>
    <w:rsid w:val="692E0A4B"/>
    <w:rsid w:val="69B5367B"/>
    <w:rsid w:val="69CE664B"/>
    <w:rsid w:val="6A4D6295"/>
    <w:rsid w:val="6AA36C78"/>
    <w:rsid w:val="6ADD1BAA"/>
    <w:rsid w:val="6AEC25EF"/>
    <w:rsid w:val="6B4C26F3"/>
    <w:rsid w:val="6C195ECD"/>
    <w:rsid w:val="6C2D3162"/>
    <w:rsid w:val="6DEA3D34"/>
    <w:rsid w:val="6E041063"/>
    <w:rsid w:val="6F3921DE"/>
    <w:rsid w:val="6F78727E"/>
    <w:rsid w:val="6F873050"/>
    <w:rsid w:val="6FAA5C3A"/>
    <w:rsid w:val="6FD10D4C"/>
    <w:rsid w:val="7003702D"/>
    <w:rsid w:val="700A103B"/>
    <w:rsid w:val="70572E9C"/>
    <w:rsid w:val="719F5306"/>
    <w:rsid w:val="720F0EDE"/>
    <w:rsid w:val="72A92AFC"/>
    <w:rsid w:val="72AA5F3A"/>
    <w:rsid w:val="72B10F39"/>
    <w:rsid w:val="73137F9A"/>
    <w:rsid w:val="73BD08B4"/>
    <w:rsid w:val="74826C48"/>
    <w:rsid w:val="74F710CB"/>
    <w:rsid w:val="750E0A19"/>
    <w:rsid w:val="757C1CC4"/>
    <w:rsid w:val="75B51DBC"/>
    <w:rsid w:val="76ED6DFD"/>
    <w:rsid w:val="773C0385"/>
    <w:rsid w:val="78100551"/>
    <w:rsid w:val="78877AD1"/>
    <w:rsid w:val="793F533F"/>
    <w:rsid w:val="7A380A89"/>
    <w:rsid w:val="7ABE1DA4"/>
    <w:rsid w:val="7AC86BCE"/>
    <w:rsid w:val="7B05641A"/>
    <w:rsid w:val="7B2C12FD"/>
    <w:rsid w:val="7B416699"/>
    <w:rsid w:val="7BE32DA5"/>
    <w:rsid w:val="7C3D3992"/>
    <w:rsid w:val="7C6330D4"/>
    <w:rsid w:val="7C757935"/>
    <w:rsid w:val="7CCF21B9"/>
    <w:rsid w:val="7CE77CAA"/>
    <w:rsid w:val="7DB44FD6"/>
    <w:rsid w:val="7E3360F2"/>
    <w:rsid w:val="7F563B54"/>
    <w:rsid w:val="7FCE02AC"/>
    <w:rsid w:val="7FE95F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6"/>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7"/>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8"/>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9"/>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60"/>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1"/>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2"/>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3"/>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4"/>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65"/>
    <w:qFormat/>
    <w:uiPriority w:val="99"/>
    <w:pPr>
      <w:spacing w:after="120"/>
    </w:pPr>
    <w:rPr>
      <w:b w:val="0"/>
      <w:bCs w:val="0"/>
      <w:sz w:val="21"/>
      <w:szCs w:val="21"/>
    </w:r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3"/>
    <w:semiHidden/>
    <w:qFormat/>
    <w:uiPriority w:val="99"/>
    <w:pPr>
      <w:ind w:left="1260" w:firstLine="200" w:firstLineChars="200"/>
      <w:jc w:val="left"/>
    </w:pPr>
    <w:rPr>
      <w:b w:val="0"/>
      <w:bCs w:val="0"/>
      <w:sz w:val="18"/>
      <w:szCs w:val="18"/>
    </w:rPr>
  </w:style>
  <w:style w:type="paragraph" w:styleId="15">
    <w:name w:val="Normal Indent"/>
    <w:basedOn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Document Map"/>
    <w:basedOn w:val="1"/>
    <w:link w:val="70"/>
    <w:semiHidden/>
    <w:qFormat/>
    <w:uiPriority w:val="99"/>
    <w:pPr>
      <w:shd w:val="clear" w:color="auto" w:fill="000080"/>
    </w:pPr>
  </w:style>
  <w:style w:type="paragraph" w:styleId="18">
    <w:name w:val="toa heading"/>
    <w:basedOn w:val="1"/>
    <w:next w:val="1"/>
    <w:qFormat/>
    <w:locked/>
    <w:uiPriority w:val="0"/>
    <w:rPr>
      <w:rFonts w:ascii="Arial" w:hAnsi="Arial"/>
    </w:rPr>
  </w:style>
  <w:style w:type="paragraph" w:styleId="19">
    <w:name w:val="annotation text"/>
    <w:basedOn w:val="1"/>
    <w:link w:val="66"/>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1"/>
    <w:qFormat/>
    <w:uiPriority w:val="99"/>
    <w:pPr>
      <w:spacing w:after="120"/>
    </w:pPr>
    <w:rPr>
      <w:sz w:val="16"/>
      <w:szCs w:val="16"/>
    </w:rPr>
  </w:style>
  <w:style w:type="paragraph" w:styleId="21">
    <w:name w:val="Body Text Indent"/>
    <w:basedOn w:val="1"/>
    <w:link w:val="72"/>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3"/>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4"/>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5"/>
    <w:qFormat/>
    <w:uiPriority w:val="99"/>
    <w:pPr>
      <w:spacing w:after="120" w:line="480" w:lineRule="auto"/>
      <w:ind w:left="420" w:leftChars="200"/>
    </w:pPr>
  </w:style>
  <w:style w:type="paragraph" w:styleId="29">
    <w:name w:val="Balloon Text"/>
    <w:basedOn w:val="1"/>
    <w:link w:val="76"/>
    <w:semiHidden/>
    <w:qFormat/>
    <w:uiPriority w:val="99"/>
    <w:rPr>
      <w:rFonts w:ascii="Calibri" w:hAnsi="Calibri" w:cs="Calibri"/>
      <w:b w:val="0"/>
      <w:bCs w:val="0"/>
      <w:sz w:val="18"/>
      <w:szCs w:val="18"/>
    </w:rPr>
  </w:style>
  <w:style w:type="paragraph" w:styleId="30">
    <w:name w:val="footer"/>
    <w:basedOn w:val="1"/>
    <w:link w:val="77"/>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8"/>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9"/>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0"/>
    <w:qFormat/>
    <w:uiPriority w:val="99"/>
    <w:rPr>
      <w:rFonts w:ascii="仿宋_GB2312" w:hAnsi="宋体" w:eastAsia="仿宋_GB2312" w:cs="仿宋_GB2312"/>
      <w:b w:val="0"/>
      <w:bCs w:val="0"/>
      <w:sz w:val="28"/>
      <w:szCs w:val="28"/>
    </w:rPr>
  </w:style>
  <w:style w:type="paragraph" w:styleId="40">
    <w:name w:val="HTML Preformatted"/>
    <w:basedOn w:val="1"/>
    <w:link w:val="8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2"/>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9"/>
    <w:next w:val="19"/>
    <w:link w:val="166"/>
    <w:semiHidden/>
    <w:qFormat/>
    <w:uiPriority w:val="99"/>
    <w:pPr>
      <w:adjustRightInd/>
      <w:spacing w:line="240" w:lineRule="auto"/>
      <w:textAlignment w:val="auto"/>
    </w:pPr>
    <w:rPr>
      <w:b/>
      <w:bCs/>
      <w:kern w:val="2"/>
      <w:sz w:val="21"/>
      <w:szCs w:val="21"/>
    </w:rPr>
  </w:style>
  <w:style w:type="paragraph" w:styleId="44">
    <w:name w:val="Body Text First Indent"/>
    <w:basedOn w:val="2"/>
    <w:link w:val="68"/>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character" w:customStyle="1" w:styleId="56">
    <w:name w:val="标题 1 Char1"/>
    <w:basedOn w:val="49"/>
    <w:link w:val="4"/>
    <w:qFormat/>
    <w:locked/>
    <w:uiPriority w:val="99"/>
    <w:rPr>
      <w:rFonts w:ascii="Garamond" w:hAnsi="Garamond" w:eastAsia="宋体" w:cs="Garamond"/>
      <w:smallCaps/>
      <w:spacing w:val="14"/>
      <w:kern w:val="20"/>
      <w:sz w:val="23"/>
      <w:szCs w:val="23"/>
      <w:lang w:val="en-US" w:eastAsia="zh-CN"/>
    </w:rPr>
  </w:style>
  <w:style w:type="character" w:customStyle="1" w:styleId="57">
    <w:name w:val="标题 2 Char"/>
    <w:basedOn w:val="49"/>
    <w:link w:val="5"/>
    <w:qFormat/>
    <w:locked/>
    <w:uiPriority w:val="99"/>
    <w:rPr>
      <w:rFonts w:eastAsia="仿宋_GB2312" w:cs="Times New Roman"/>
      <w:b/>
      <w:bCs/>
      <w:sz w:val="30"/>
      <w:szCs w:val="30"/>
      <w:lang w:val="en-US" w:eastAsia="zh-CN"/>
    </w:rPr>
  </w:style>
  <w:style w:type="character" w:customStyle="1" w:styleId="58">
    <w:name w:val="标题 3 Char"/>
    <w:basedOn w:val="49"/>
    <w:link w:val="6"/>
    <w:semiHidden/>
    <w:qFormat/>
    <w:locked/>
    <w:uiPriority w:val="99"/>
    <w:rPr>
      <w:rFonts w:cs="Times New Roman"/>
      <w:b/>
      <w:bCs/>
      <w:sz w:val="32"/>
      <w:szCs w:val="32"/>
    </w:rPr>
  </w:style>
  <w:style w:type="character" w:customStyle="1" w:styleId="59">
    <w:name w:val="标题 4 Char"/>
    <w:basedOn w:val="49"/>
    <w:link w:val="7"/>
    <w:qFormat/>
    <w:locked/>
    <w:uiPriority w:val="99"/>
    <w:rPr>
      <w:rFonts w:ascii="Arial" w:hAnsi="Arial" w:eastAsia="黑体" w:cs="Arial"/>
      <w:b/>
      <w:bCs/>
      <w:kern w:val="2"/>
      <w:sz w:val="28"/>
      <w:szCs w:val="28"/>
      <w:lang w:val="en-US" w:eastAsia="zh-CN"/>
    </w:rPr>
  </w:style>
  <w:style w:type="character" w:customStyle="1" w:styleId="60">
    <w:name w:val="标题 5 Char"/>
    <w:basedOn w:val="49"/>
    <w:link w:val="8"/>
    <w:qFormat/>
    <w:locked/>
    <w:uiPriority w:val="99"/>
    <w:rPr>
      <w:rFonts w:eastAsia="宋体" w:cs="Times New Roman"/>
      <w:b/>
      <w:bCs/>
      <w:kern w:val="2"/>
      <w:sz w:val="28"/>
      <w:szCs w:val="28"/>
      <w:lang w:val="en-US" w:eastAsia="zh-CN"/>
    </w:rPr>
  </w:style>
  <w:style w:type="character" w:customStyle="1" w:styleId="61">
    <w:name w:val="标题 6 Char"/>
    <w:basedOn w:val="49"/>
    <w:link w:val="9"/>
    <w:qFormat/>
    <w:locked/>
    <w:uiPriority w:val="99"/>
    <w:rPr>
      <w:rFonts w:ascii="Arial" w:hAnsi="Arial" w:eastAsia="黑体" w:cs="Arial"/>
      <w:b/>
      <w:bCs/>
      <w:kern w:val="2"/>
      <w:sz w:val="24"/>
      <w:szCs w:val="24"/>
      <w:lang w:val="en-US" w:eastAsia="zh-CN"/>
    </w:rPr>
  </w:style>
  <w:style w:type="character" w:customStyle="1" w:styleId="62">
    <w:name w:val="标题 7 Char"/>
    <w:basedOn w:val="49"/>
    <w:link w:val="10"/>
    <w:qFormat/>
    <w:locked/>
    <w:uiPriority w:val="99"/>
    <w:rPr>
      <w:rFonts w:eastAsia="宋体" w:cs="Times New Roman"/>
      <w:b/>
      <w:bCs/>
      <w:kern w:val="2"/>
      <w:sz w:val="24"/>
      <w:szCs w:val="24"/>
      <w:lang w:val="en-US" w:eastAsia="zh-CN"/>
    </w:rPr>
  </w:style>
  <w:style w:type="character" w:customStyle="1" w:styleId="63">
    <w:name w:val="标题 8 Char"/>
    <w:basedOn w:val="49"/>
    <w:link w:val="11"/>
    <w:qFormat/>
    <w:locked/>
    <w:uiPriority w:val="99"/>
    <w:rPr>
      <w:rFonts w:ascii="Arial" w:hAnsi="Arial" w:eastAsia="黑体" w:cs="Arial"/>
      <w:kern w:val="2"/>
      <w:sz w:val="24"/>
      <w:szCs w:val="24"/>
      <w:lang w:val="en-US" w:eastAsia="zh-CN"/>
    </w:rPr>
  </w:style>
  <w:style w:type="character" w:customStyle="1" w:styleId="64">
    <w:name w:val="标题 9 Char"/>
    <w:basedOn w:val="49"/>
    <w:link w:val="12"/>
    <w:qFormat/>
    <w:locked/>
    <w:uiPriority w:val="99"/>
    <w:rPr>
      <w:rFonts w:ascii="Arial" w:hAnsi="Arial" w:eastAsia="黑体" w:cs="Arial"/>
      <w:kern w:val="2"/>
      <w:sz w:val="21"/>
      <w:szCs w:val="21"/>
      <w:lang w:val="en-US" w:eastAsia="zh-CN"/>
    </w:rPr>
  </w:style>
  <w:style w:type="character" w:customStyle="1" w:styleId="65">
    <w:name w:val="正文文本 Char"/>
    <w:basedOn w:val="49"/>
    <w:link w:val="2"/>
    <w:qFormat/>
    <w:locked/>
    <w:uiPriority w:val="99"/>
    <w:rPr>
      <w:rFonts w:cs="Times New Roman"/>
      <w:kern w:val="2"/>
      <w:sz w:val="21"/>
      <w:szCs w:val="21"/>
    </w:rPr>
  </w:style>
  <w:style w:type="character" w:customStyle="1" w:styleId="66">
    <w:name w:val="批注文字 Char"/>
    <w:basedOn w:val="49"/>
    <w:link w:val="19"/>
    <w:qFormat/>
    <w:locked/>
    <w:uiPriority w:val="99"/>
    <w:rPr>
      <w:rFonts w:eastAsia="宋体" w:cs="Times New Roman"/>
      <w:sz w:val="24"/>
      <w:szCs w:val="24"/>
      <w:lang w:val="en-US" w:eastAsia="zh-CN"/>
    </w:rPr>
  </w:style>
  <w:style w:type="character" w:customStyle="1" w:styleId="67">
    <w:name w:val="Comment Subject Char"/>
    <w:basedOn w:val="66"/>
    <w:link w:val="43"/>
    <w:semiHidden/>
    <w:qFormat/>
    <w:locked/>
    <w:uiPriority w:val="99"/>
    <w:rPr>
      <w:b/>
      <w:bCs/>
      <w:sz w:val="30"/>
      <w:szCs w:val="30"/>
    </w:rPr>
  </w:style>
  <w:style w:type="character" w:customStyle="1" w:styleId="68">
    <w:name w:val="正文首行缩进 Char"/>
    <w:basedOn w:val="69"/>
    <w:link w:val="44"/>
    <w:qFormat/>
    <w:locked/>
    <w:uiPriority w:val="99"/>
  </w:style>
  <w:style w:type="character" w:customStyle="1" w:styleId="69">
    <w:name w:val="Char Char6"/>
    <w:basedOn w:val="49"/>
    <w:qFormat/>
    <w:uiPriority w:val="99"/>
    <w:rPr>
      <w:rFonts w:eastAsia="宋体" w:cs="Times New Roman"/>
      <w:kern w:val="2"/>
      <w:sz w:val="21"/>
      <w:szCs w:val="21"/>
      <w:lang w:val="en-US" w:eastAsia="zh-CN"/>
    </w:rPr>
  </w:style>
  <w:style w:type="character" w:customStyle="1" w:styleId="70">
    <w:name w:val="文档结构图 Char"/>
    <w:basedOn w:val="49"/>
    <w:link w:val="17"/>
    <w:qFormat/>
    <w:locked/>
    <w:uiPriority w:val="99"/>
    <w:rPr>
      <w:rFonts w:eastAsia="宋体" w:cs="Times New Roman"/>
      <w:b/>
      <w:bCs/>
      <w:kern w:val="2"/>
      <w:sz w:val="30"/>
      <w:szCs w:val="30"/>
      <w:lang w:val="en-US" w:eastAsia="zh-CN"/>
    </w:rPr>
  </w:style>
  <w:style w:type="character" w:customStyle="1" w:styleId="71">
    <w:name w:val="正文文本 3 Char"/>
    <w:basedOn w:val="49"/>
    <w:link w:val="20"/>
    <w:semiHidden/>
    <w:qFormat/>
    <w:locked/>
    <w:uiPriority w:val="99"/>
    <w:rPr>
      <w:rFonts w:cs="Times New Roman"/>
      <w:b/>
      <w:bCs/>
      <w:sz w:val="16"/>
      <w:szCs w:val="16"/>
    </w:rPr>
  </w:style>
  <w:style w:type="character" w:customStyle="1" w:styleId="72">
    <w:name w:val="正文文本缩进 Char"/>
    <w:basedOn w:val="49"/>
    <w:link w:val="21"/>
    <w:semiHidden/>
    <w:qFormat/>
    <w:locked/>
    <w:uiPriority w:val="99"/>
    <w:rPr>
      <w:rFonts w:cs="Times New Roman"/>
      <w:b/>
      <w:bCs/>
      <w:sz w:val="30"/>
      <w:szCs w:val="30"/>
    </w:rPr>
  </w:style>
  <w:style w:type="character" w:customStyle="1" w:styleId="73">
    <w:name w:val="纯文本 Char"/>
    <w:basedOn w:val="49"/>
    <w:link w:val="25"/>
    <w:semiHidden/>
    <w:qFormat/>
    <w:locked/>
    <w:uiPriority w:val="99"/>
    <w:rPr>
      <w:rFonts w:ascii="宋体" w:hAnsi="Courier New" w:cs="Courier New"/>
      <w:b/>
      <w:bCs/>
      <w:sz w:val="21"/>
      <w:szCs w:val="21"/>
    </w:rPr>
  </w:style>
  <w:style w:type="character" w:customStyle="1" w:styleId="74">
    <w:name w:val="日期 Char"/>
    <w:basedOn w:val="49"/>
    <w:link w:val="27"/>
    <w:semiHidden/>
    <w:qFormat/>
    <w:locked/>
    <w:uiPriority w:val="99"/>
    <w:rPr>
      <w:rFonts w:cs="Times New Roman"/>
      <w:b/>
      <w:bCs/>
      <w:sz w:val="30"/>
      <w:szCs w:val="30"/>
    </w:rPr>
  </w:style>
  <w:style w:type="character" w:customStyle="1" w:styleId="75">
    <w:name w:val="正文文本缩进 2 Char"/>
    <w:basedOn w:val="49"/>
    <w:link w:val="28"/>
    <w:semiHidden/>
    <w:qFormat/>
    <w:locked/>
    <w:uiPriority w:val="99"/>
    <w:rPr>
      <w:rFonts w:cs="Times New Roman"/>
      <w:b/>
      <w:bCs/>
      <w:sz w:val="30"/>
      <w:szCs w:val="30"/>
    </w:rPr>
  </w:style>
  <w:style w:type="character" w:customStyle="1" w:styleId="76">
    <w:name w:val="批注框文本 Char"/>
    <w:basedOn w:val="49"/>
    <w:link w:val="29"/>
    <w:semiHidden/>
    <w:qFormat/>
    <w:locked/>
    <w:uiPriority w:val="99"/>
    <w:rPr>
      <w:rFonts w:cs="Times New Roman"/>
      <w:b/>
      <w:bCs/>
      <w:sz w:val="2"/>
    </w:rPr>
  </w:style>
  <w:style w:type="character" w:customStyle="1" w:styleId="77">
    <w:name w:val="页脚 Char"/>
    <w:basedOn w:val="49"/>
    <w:link w:val="30"/>
    <w:qFormat/>
    <w:locked/>
    <w:uiPriority w:val="99"/>
    <w:rPr>
      <w:rFonts w:ascii="仿宋_GB2312" w:eastAsia="仿宋_GB2312" w:cs="仿宋_GB2312"/>
      <w:sz w:val="18"/>
      <w:szCs w:val="18"/>
    </w:rPr>
  </w:style>
  <w:style w:type="character" w:customStyle="1" w:styleId="78">
    <w:name w:val="页眉 Char"/>
    <w:basedOn w:val="49"/>
    <w:link w:val="31"/>
    <w:qFormat/>
    <w:locked/>
    <w:uiPriority w:val="99"/>
    <w:rPr>
      <w:rFonts w:ascii="仿宋_GB2312" w:eastAsia="仿宋_GB2312" w:cs="仿宋_GB2312"/>
      <w:sz w:val="18"/>
      <w:szCs w:val="18"/>
    </w:rPr>
  </w:style>
  <w:style w:type="character" w:customStyle="1" w:styleId="79">
    <w:name w:val="正文文本缩进 3 Char"/>
    <w:basedOn w:val="49"/>
    <w:link w:val="36"/>
    <w:semiHidden/>
    <w:qFormat/>
    <w:locked/>
    <w:uiPriority w:val="99"/>
    <w:rPr>
      <w:rFonts w:cs="Times New Roman"/>
      <w:b/>
      <w:bCs/>
      <w:sz w:val="16"/>
      <w:szCs w:val="16"/>
    </w:rPr>
  </w:style>
  <w:style w:type="character" w:customStyle="1" w:styleId="80">
    <w:name w:val="正文文本 2 Char"/>
    <w:basedOn w:val="49"/>
    <w:link w:val="39"/>
    <w:semiHidden/>
    <w:qFormat/>
    <w:locked/>
    <w:uiPriority w:val="99"/>
    <w:rPr>
      <w:rFonts w:cs="Times New Roman"/>
      <w:b/>
      <w:bCs/>
      <w:sz w:val="30"/>
      <w:szCs w:val="30"/>
    </w:rPr>
  </w:style>
  <w:style w:type="character" w:customStyle="1" w:styleId="81">
    <w:name w:val="HTML 预设格式 Char"/>
    <w:basedOn w:val="49"/>
    <w:link w:val="40"/>
    <w:qFormat/>
    <w:locked/>
    <w:uiPriority w:val="99"/>
    <w:rPr>
      <w:rFonts w:ascii="宋体" w:eastAsia="宋体" w:cs="宋体"/>
      <w:sz w:val="24"/>
      <w:szCs w:val="24"/>
    </w:rPr>
  </w:style>
  <w:style w:type="character" w:customStyle="1" w:styleId="82">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3">
    <w:name w:val="Char Char Char1"/>
    <w:basedOn w:val="1"/>
    <w:qFormat/>
    <w:uiPriority w:val="99"/>
    <w:rPr>
      <w:b w:val="0"/>
      <w:bCs w:val="0"/>
      <w:sz w:val="21"/>
      <w:szCs w:val="21"/>
    </w:rPr>
  </w:style>
  <w:style w:type="paragraph" w:customStyle="1" w:styleId="84">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5">
    <w:name w:val="表名"/>
    <w:basedOn w:val="84"/>
    <w:qFormat/>
    <w:uiPriority w:val="99"/>
    <w:pPr>
      <w:spacing w:before="0" w:after="0" w:line="360" w:lineRule="auto"/>
    </w:pPr>
    <w:rPr>
      <w:sz w:val="28"/>
      <w:szCs w:val="28"/>
    </w:rPr>
  </w:style>
  <w:style w:type="paragraph" w:customStyle="1" w:styleId="86">
    <w:name w:val="Char Char Char"/>
    <w:basedOn w:val="1"/>
    <w:qFormat/>
    <w:uiPriority w:val="99"/>
    <w:rPr>
      <w:b w:val="0"/>
      <w:bCs w:val="0"/>
      <w:sz w:val="21"/>
      <w:szCs w:val="21"/>
    </w:rPr>
  </w:style>
  <w:style w:type="paragraph" w:customStyle="1" w:styleId="87">
    <w:name w:val="正文2"/>
    <w:basedOn w:val="88"/>
    <w:qFormat/>
    <w:uiPriority w:val="99"/>
    <w:pPr>
      <w:spacing w:line="240" w:lineRule="auto"/>
      <w:ind w:left="0" w:firstLine="0"/>
    </w:pPr>
    <w:rPr>
      <w:spacing w:val="20"/>
      <w:sz w:val="24"/>
      <w:szCs w:val="24"/>
    </w:rPr>
  </w:style>
  <w:style w:type="paragraph" w:customStyle="1" w:styleId="88">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9">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0">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1">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2">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3">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4">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6">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7">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8">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9">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0">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1">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2">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7">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1">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2">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4">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7">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8">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9">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0">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1">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2">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3">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4">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5">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6">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7">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8">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9">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0">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1">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2">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4">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3">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4">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5">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6">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Char"/>
    <w:basedOn w:val="1"/>
    <w:qFormat/>
    <w:uiPriority w:val="99"/>
    <w:rPr>
      <w:b w:val="0"/>
      <w:bCs w:val="0"/>
      <w:sz w:val="21"/>
      <w:szCs w:val="21"/>
    </w:rPr>
  </w:style>
  <w:style w:type="paragraph" w:customStyle="1" w:styleId="149">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0">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1">
    <w:name w:val="表头"/>
    <w:basedOn w:val="1"/>
    <w:link w:val="162"/>
    <w:qFormat/>
    <w:uiPriority w:val="99"/>
    <w:pPr>
      <w:topLinePunct/>
      <w:spacing w:before="160" w:after="60"/>
      <w:jc w:val="center"/>
    </w:pPr>
    <w:rPr>
      <w:rFonts w:eastAsia="黑体"/>
      <w:b w:val="0"/>
      <w:bCs w:val="0"/>
      <w:sz w:val="21"/>
      <w:szCs w:val="21"/>
    </w:rPr>
  </w:style>
  <w:style w:type="paragraph" w:customStyle="1" w:styleId="152">
    <w:name w:val="List Paragraph1"/>
    <w:basedOn w:val="1"/>
    <w:qFormat/>
    <w:uiPriority w:val="99"/>
    <w:pPr>
      <w:ind w:firstLine="420" w:firstLineChars="200"/>
    </w:pPr>
  </w:style>
  <w:style w:type="paragraph" w:customStyle="1" w:styleId="153">
    <w:name w:val="Char1"/>
    <w:basedOn w:val="1"/>
    <w:qFormat/>
    <w:uiPriority w:val="99"/>
    <w:rPr>
      <w:b w:val="0"/>
      <w:bCs w:val="0"/>
      <w:sz w:val="21"/>
      <w:szCs w:val="21"/>
    </w:rPr>
  </w:style>
  <w:style w:type="paragraph" w:customStyle="1" w:styleId="154">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5">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6">
    <w:name w:val="jl 三级 Char Char"/>
    <w:basedOn w:val="49"/>
    <w:link w:val="157"/>
    <w:qFormat/>
    <w:locked/>
    <w:uiPriority w:val="99"/>
    <w:rPr>
      <w:rFonts w:ascii="宋体" w:eastAsia="宋体" w:cs="宋体"/>
      <w:b/>
      <w:bCs/>
      <w:color w:val="000000"/>
      <w:kern w:val="2"/>
      <w:sz w:val="24"/>
      <w:szCs w:val="24"/>
    </w:rPr>
  </w:style>
  <w:style w:type="paragraph" w:customStyle="1" w:styleId="157">
    <w:name w:val="jl 三级 Char"/>
    <w:basedOn w:val="1"/>
    <w:link w:val="156"/>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8">
    <w:name w:val="正文格式 Char"/>
    <w:basedOn w:val="49"/>
    <w:link w:val="159"/>
    <w:qFormat/>
    <w:locked/>
    <w:uiPriority w:val="99"/>
    <w:rPr>
      <w:rFonts w:ascii="宋体" w:eastAsia="宋体" w:cs="宋体"/>
      <w:kern w:val="2"/>
      <w:sz w:val="21"/>
      <w:szCs w:val="21"/>
    </w:rPr>
  </w:style>
  <w:style w:type="paragraph" w:customStyle="1" w:styleId="159">
    <w:name w:val="正文格式"/>
    <w:basedOn w:val="1"/>
    <w:link w:val="158"/>
    <w:qFormat/>
    <w:uiPriority w:val="99"/>
    <w:pPr>
      <w:topLinePunct/>
      <w:ind w:firstLine="420" w:firstLineChars="200"/>
    </w:pPr>
    <w:rPr>
      <w:rFonts w:ascii="宋体" w:cs="宋体"/>
      <w:b w:val="0"/>
      <w:bCs w:val="0"/>
      <w:sz w:val="21"/>
      <w:szCs w:val="21"/>
    </w:rPr>
  </w:style>
  <w:style w:type="character" w:customStyle="1" w:styleId="160">
    <w:name w:val="unnamed13"/>
    <w:basedOn w:val="49"/>
    <w:qFormat/>
    <w:uiPriority w:val="99"/>
    <w:rPr>
      <w:rFonts w:cs="Times New Roman"/>
      <w:spacing w:val="12"/>
      <w:sz w:val="20"/>
      <w:szCs w:val="20"/>
    </w:rPr>
  </w:style>
  <w:style w:type="character" w:customStyle="1" w:styleId="161">
    <w:name w:val="unnamed51"/>
    <w:basedOn w:val="49"/>
    <w:qFormat/>
    <w:uiPriority w:val="99"/>
    <w:rPr>
      <w:rFonts w:cs="Times New Roman"/>
      <w:spacing w:val="0"/>
      <w:sz w:val="20"/>
      <w:szCs w:val="20"/>
    </w:rPr>
  </w:style>
  <w:style w:type="character" w:customStyle="1" w:styleId="162">
    <w:name w:val="表头 Char"/>
    <w:basedOn w:val="49"/>
    <w:link w:val="151"/>
    <w:qFormat/>
    <w:locked/>
    <w:uiPriority w:val="99"/>
    <w:rPr>
      <w:rFonts w:eastAsia="黑体" w:cs="Times New Roman"/>
      <w:kern w:val="2"/>
      <w:sz w:val="21"/>
      <w:szCs w:val="21"/>
      <w:lang w:val="en-US" w:eastAsia="zh-CN"/>
    </w:rPr>
  </w:style>
  <w:style w:type="character" w:customStyle="1" w:styleId="163">
    <w:name w:val="Char Char2"/>
    <w:basedOn w:val="49"/>
    <w:qFormat/>
    <w:uiPriority w:val="99"/>
    <w:rPr>
      <w:rFonts w:ascii="Arial" w:hAnsi="Arial" w:eastAsia="宋体" w:cs="Arial"/>
      <w:b/>
      <w:bCs/>
      <w:kern w:val="2"/>
      <w:sz w:val="32"/>
      <w:szCs w:val="32"/>
      <w:lang w:val="en-US" w:eastAsia="zh-CN"/>
    </w:rPr>
  </w:style>
  <w:style w:type="character" w:customStyle="1" w:styleId="164">
    <w:name w:val="jl 正文 Char Char Char"/>
    <w:basedOn w:val="49"/>
    <w:link w:val="165"/>
    <w:qFormat/>
    <w:locked/>
    <w:uiPriority w:val="99"/>
    <w:rPr>
      <w:rFonts w:ascii="宋体" w:cs="宋体"/>
      <w:kern w:val="2"/>
      <w:sz w:val="24"/>
      <w:szCs w:val="24"/>
    </w:rPr>
  </w:style>
  <w:style w:type="paragraph" w:customStyle="1" w:styleId="165">
    <w:name w:val="jl 正文 Char Char"/>
    <w:basedOn w:val="1"/>
    <w:link w:val="164"/>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6">
    <w:name w:val="批注主题 Char"/>
    <w:basedOn w:val="66"/>
    <w:link w:val="43"/>
    <w:qFormat/>
    <w:locked/>
    <w:uiPriority w:val="99"/>
    <w:rPr>
      <w:b/>
      <w:bCs/>
      <w:kern w:val="2"/>
      <w:sz w:val="21"/>
      <w:szCs w:val="21"/>
    </w:rPr>
  </w:style>
  <w:style w:type="paragraph" w:customStyle="1" w:styleId="167">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8">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9">
    <w:name w:val="Char Char Char Char"/>
    <w:basedOn w:val="1"/>
    <w:qFormat/>
    <w:uiPriority w:val="99"/>
    <w:rPr>
      <w:b w:val="0"/>
      <w:bCs w:val="0"/>
      <w:sz w:val="21"/>
      <w:szCs w:val="21"/>
    </w:rPr>
  </w:style>
  <w:style w:type="paragraph" w:customStyle="1" w:styleId="170">
    <w:name w:val="默认段落字体 Para Char Char Char Char"/>
    <w:basedOn w:val="1"/>
    <w:qFormat/>
    <w:uiPriority w:val="99"/>
    <w:rPr>
      <w:rFonts w:ascii="宋体" w:hAnsi="宋体" w:cs="宋体"/>
      <w:color w:val="000000"/>
      <w:sz w:val="24"/>
      <w:szCs w:val="24"/>
    </w:rPr>
  </w:style>
  <w:style w:type="paragraph" w:customStyle="1" w:styleId="171">
    <w:name w:val="范本使用说明"/>
    <w:basedOn w:val="1"/>
    <w:qFormat/>
    <w:uiPriority w:val="99"/>
    <w:pPr>
      <w:jc w:val="center"/>
    </w:pPr>
    <w:rPr>
      <w:rFonts w:ascii="黑体" w:eastAsia="黑体" w:cs="黑体"/>
      <w:sz w:val="32"/>
      <w:szCs w:val="32"/>
    </w:rPr>
  </w:style>
  <w:style w:type="paragraph" w:customStyle="1" w:styleId="172">
    <w:name w:val="Char Char Char Char Char Char Char"/>
    <w:basedOn w:val="1"/>
    <w:qFormat/>
    <w:uiPriority w:val="99"/>
    <w:rPr>
      <w:b w:val="0"/>
      <w:bCs w:val="0"/>
      <w:sz w:val="21"/>
      <w:szCs w:val="21"/>
    </w:rPr>
  </w:style>
  <w:style w:type="paragraph" w:customStyle="1" w:styleId="173">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4">
    <w:name w:val="批注主题 Char1"/>
    <w:basedOn w:val="66"/>
    <w:qFormat/>
    <w:uiPriority w:val="99"/>
    <w:rPr>
      <w:b/>
      <w:bCs/>
      <w:kern w:val="2"/>
      <w:sz w:val="30"/>
      <w:szCs w:val="30"/>
    </w:rPr>
  </w:style>
  <w:style w:type="paragraph" w:customStyle="1" w:styleId="175">
    <w:name w:val="注标题"/>
    <w:basedOn w:val="1"/>
    <w:qFormat/>
    <w:uiPriority w:val="99"/>
    <w:pPr>
      <w:topLinePunct/>
    </w:pPr>
    <w:rPr>
      <w:b w:val="0"/>
      <w:bCs w:val="0"/>
      <w:sz w:val="18"/>
      <w:szCs w:val="18"/>
    </w:rPr>
  </w:style>
  <w:style w:type="paragraph" w:customStyle="1" w:styleId="176">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7">
    <w:name w:val="样式 样式 标题 2 + 段前: 0.5 行 段后: 0.5 行 + 首行缩进:  2 字符 段前: 0.5 行 段后: 0..."/>
    <w:basedOn w:val="176"/>
    <w:qFormat/>
    <w:uiPriority w:val="99"/>
    <w:pPr>
      <w:spacing w:before="50" w:after="50"/>
      <w:ind w:firstLine="0" w:firstLineChars="0"/>
    </w:pPr>
  </w:style>
  <w:style w:type="paragraph" w:customStyle="1" w:styleId="178">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9">
    <w:name w:val="标题 1 Char"/>
    <w:basedOn w:val="49"/>
    <w:qFormat/>
    <w:uiPriority w:val="99"/>
    <w:rPr>
      <w:rFonts w:eastAsia="黑体" w:cs="Times New Roman"/>
      <w:kern w:val="44"/>
      <w:sz w:val="28"/>
      <w:szCs w:val="28"/>
      <w:lang w:val="en-US" w:eastAsia="zh-CN"/>
    </w:rPr>
  </w:style>
  <w:style w:type="character" w:customStyle="1" w:styleId="180">
    <w:name w:val="样式 标题 1 + 加粗 Char"/>
    <w:basedOn w:val="179"/>
    <w:qFormat/>
    <w:uiPriority w:val="99"/>
    <w:rPr>
      <w:b/>
      <w:bCs/>
    </w:rPr>
  </w:style>
  <w:style w:type="paragraph" w:customStyle="1" w:styleId="181">
    <w:name w:val="默认段落字体 Para Char Char Char Char Char"/>
    <w:basedOn w:val="1"/>
    <w:qFormat/>
    <w:uiPriority w:val="99"/>
    <w:rPr>
      <w:rFonts w:ascii="宋体" w:hAnsi="宋体" w:cs="宋体"/>
      <w:color w:val="000000"/>
      <w:sz w:val="24"/>
      <w:szCs w:val="24"/>
    </w:rPr>
  </w:style>
  <w:style w:type="paragraph" w:customStyle="1" w:styleId="182">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3">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4">
    <w:name w:val="样式 标题 1 + 加粗1 Char"/>
    <w:basedOn w:val="179"/>
    <w:qFormat/>
    <w:uiPriority w:val="99"/>
  </w:style>
  <w:style w:type="paragraph" w:customStyle="1" w:styleId="185">
    <w:name w:val="Char Char Char Char1"/>
    <w:basedOn w:val="1"/>
    <w:qFormat/>
    <w:uiPriority w:val="99"/>
    <w:rPr>
      <w:b w:val="0"/>
      <w:bCs w:val="0"/>
      <w:sz w:val="21"/>
      <w:szCs w:val="21"/>
    </w:rPr>
  </w:style>
  <w:style w:type="paragraph" w:customStyle="1" w:styleId="186">
    <w:name w:val="样式3"/>
    <w:basedOn w:val="1"/>
    <w:qFormat/>
    <w:uiPriority w:val="99"/>
    <w:pPr>
      <w:topLinePunct/>
      <w:ind w:firstLine="420"/>
    </w:pPr>
    <w:rPr>
      <w:rFonts w:eastAsia="黑体"/>
      <w:b w:val="0"/>
      <w:bCs w:val="0"/>
      <w:sz w:val="21"/>
      <w:szCs w:val="21"/>
    </w:rPr>
  </w:style>
  <w:style w:type="paragraph" w:customStyle="1" w:styleId="187">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8">
    <w:name w:val="样式 Arial 首行缩进:  2 字符"/>
    <w:basedOn w:val="1"/>
    <w:qFormat/>
    <w:uiPriority w:val="99"/>
    <w:pPr>
      <w:ind w:firstLine="403" w:firstLineChars="200"/>
    </w:pPr>
    <w:rPr>
      <w:b w:val="0"/>
      <w:bCs w:val="0"/>
      <w:sz w:val="21"/>
      <w:szCs w:val="21"/>
    </w:rPr>
  </w:style>
  <w:style w:type="character" w:customStyle="1" w:styleId="189">
    <w:name w:val="样式 Arial"/>
    <w:basedOn w:val="49"/>
    <w:qFormat/>
    <w:uiPriority w:val="99"/>
    <w:rPr>
      <w:rFonts w:ascii="Times New Roman" w:hAnsi="Times New Roman" w:eastAsia="宋体" w:cs="Times New Roman"/>
      <w:sz w:val="21"/>
      <w:szCs w:val="21"/>
    </w:rPr>
  </w:style>
  <w:style w:type="paragraph" w:customStyle="1" w:styleId="190">
    <w:name w:val="1"/>
    <w:basedOn w:val="1"/>
    <w:qFormat/>
    <w:uiPriority w:val="99"/>
    <w:pPr>
      <w:spacing w:afterLines="50" w:line="360" w:lineRule="auto"/>
      <w:ind w:firstLine="1080" w:firstLineChars="1080"/>
    </w:pPr>
    <w:rPr>
      <w:rFonts w:ascii="宋体" w:cs="宋体"/>
      <w:sz w:val="34"/>
      <w:szCs w:val="34"/>
    </w:rPr>
  </w:style>
  <w:style w:type="paragraph" w:customStyle="1" w:styleId="191">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2">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3">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4">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5">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6">
    <w:name w:val="style41"/>
    <w:basedOn w:val="49"/>
    <w:qFormat/>
    <w:uiPriority w:val="99"/>
    <w:rPr>
      <w:rFonts w:cs="Times New Roman"/>
      <w:color w:val="000000"/>
    </w:rPr>
  </w:style>
  <w:style w:type="character" w:customStyle="1" w:styleId="197">
    <w:name w:val="style2"/>
    <w:basedOn w:val="49"/>
    <w:qFormat/>
    <w:uiPriority w:val="99"/>
    <w:rPr>
      <w:rFonts w:cs="Times New Roman"/>
    </w:rPr>
  </w:style>
  <w:style w:type="paragraph" w:customStyle="1" w:styleId="198">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9">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0">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1">
    <w:name w:val="jl 正文 Char"/>
    <w:basedOn w:val="49"/>
    <w:qFormat/>
    <w:uiPriority w:val="99"/>
    <w:rPr>
      <w:rFonts w:ascii="宋体" w:eastAsia="宋体" w:cs="宋体"/>
      <w:sz w:val="24"/>
      <w:szCs w:val="24"/>
      <w:lang w:val="en-US" w:eastAsia="zh-CN"/>
    </w:rPr>
  </w:style>
  <w:style w:type="character" w:customStyle="1" w:styleId="202">
    <w:name w:val="wang正文 Char"/>
    <w:basedOn w:val="49"/>
    <w:qFormat/>
    <w:uiPriority w:val="99"/>
    <w:rPr>
      <w:rFonts w:eastAsia="宋体" w:cs="Times New Roman"/>
      <w:sz w:val="24"/>
      <w:szCs w:val="24"/>
      <w:lang w:val="en-US" w:eastAsia="zh-CN"/>
    </w:rPr>
  </w:style>
  <w:style w:type="paragraph" w:customStyle="1" w:styleId="203">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4">
    <w:name w:val="表文"/>
    <w:basedOn w:val="1"/>
    <w:qFormat/>
    <w:uiPriority w:val="99"/>
    <w:pPr>
      <w:topLinePunct/>
      <w:spacing w:before="40" w:after="40"/>
    </w:pPr>
    <w:rPr>
      <w:b w:val="0"/>
      <w:bCs w:val="0"/>
      <w:sz w:val="18"/>
      <w:szCs w:val="18"/>
    </w:rPr>
  </w:style>
  <w:style w:type="paragraph" w:customStyle="1" w:styleId="205">
    <w:name w:val="1 Char Char Char Char"/>
    <w:basedOn w:val="1"/>
    <w:qFormat/>
    <w:uiPriority w:val="99"/>
    <w:rPr>
      <w:rFonts w:ascii="Tahoma" w:hAnsi="Tahoma" w:cs="Tahoma"/>
      <w:b w:val="0"/>
      <w:bCs w:val="0"/>
      <w:sz w:val="24"/>
      <w:szCs w:val="24"/>
    </w:rPr>
  </w:style>
  <w:style w:type="paragraph" w:customStyle="1" w:styleId="206">
    <w:name w:val="Char Char Char Char Char Char"/>
    <w:basedOn w:val="1"/>
    <w:qFormat/>
    <w:uiPriority w:val="99"/>
    <w:rPr>
      <w:b w:val="0"/>
      <w:bCs w:val="0"/>
      <w:sz w:val="21"/>
      <w:szCs w:val="21"/>
    </w:rPr>
  </w:style>
  <w:style w:type="character" w:customStyle="1" w:styleId="207">
    <w:name w:val="font11"/>
    <w:basedOn w:val="49"/>
    <w:qFormat/>
    <w:uiPriority w:val="99"/>
    <w:rPr>
      <w:rFonts w:ascii="宋体" w:hAnsi="宋体" w:eastAsia="宋体" w:cs="宋体"/>
      <w:color w:val="000000"/>
      <w:sz w:val="22"/>
      <w:szCs w:val="22"/>
      <w:u w:val="none"/>
    </w:rPr>
  </w:style>
  <w:style w:type="character" w:customStyle="1" w:styleId="208">
    <w:name w:val="font01"/>
    <w:basedOn w:val="49"/>
    <w:qFormat/>
    <w:uiPriority w:val="99"/>
    <w:rPr>
      <w:rFonts w:ascii="宋体" w:hAnsi="宋体" w:eastAsia="宋体" w:cs="宋体"/>
      <w:color w:val="000000"/>
      <w:sz w:val="22"/>
      <w:szCs w:val="22"/>
      <w:u w:val="none"/>
    </w:rPr>
  </w:style>
  <w:style w:type="paragraph" w:customStyle="1" w:styleId="209">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0">
    <w:name w:val="font31"/>
    <w:basedOn w:val="49"/>
    <w:qFormat/>
    <w:uiPriority w:val="99"/>
    <w:rPr>
      <w:rFonts w:ascii="宋体" w:hAnsi="宋体" w:eastAsia="宋体" w:cs="宋体"/>
      <w:color w:val="000000"/>
      <w:sz w:val="24"/>
      <w:szCs w:val="24"/>
      <w:u w:val="none"/>
      <w:vertAlign w:val="superscript"/>
    </w:rPr>
  </w:style>
  <w:style w:type="character" w:customStyle="1" w:styleId="211">
    <w:name w:val="font21"/>
    <w:basedOn w:val="49"/>
    <w:qFormat/>
    <w:uiPriority w:val="99"/>
    <w:rPr>
      <w:rFonts w:ascii="宋体" w:hAnsi="宋体" w:eastAsia="宋体" w:cs="宋体"/>
      <w:color w:val="000000"/>
      <w:sz w:val="22"/>
      <w:szCs w:val="22"/>
      <w:u w:val="none"/>
      <w:vertAlign w:val="superscript"/>
    </w:rPr>
  </w:style>
  <w:style w:type="paragraph" w:customStyle="1" w:styleId="212">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3">
    <w:name w:val="目录 7 Char"/>
    <w:link w:val="14"/>
    <w:qFormat/>
    <w:uiPriority w:val="99"/>
    <w:rPr>
      <w:sz w:val="18"/>
      <w:szCs w:val="18"/>
    </w:rPr>
  </w:style>
  <w:style w:type="paragraph" w:styleId="214">
    <w:name w:val="List Paragraph"/>
    <w:basedOn w:val="1"/>
    <w:qFormat/>
    <w:uiPriority w:val="1"/>
    <w:pPr>
      <w:ind w:left="1040" w:firstLine="479"/>
    </w:pPr>
    <w:rPr>
      <w:rFonts w:ascii="宋体" w:hAnsi="宋体" w:cs="宋体"/>
      <w:lang w:val="zh-CN" w:bidi="zh-CN"/>
    </w:rPr>
  </w:style>
  <w:style w:type="paragraph" w:customStyle="1" w:styleId="215">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6">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37</Pages>
  <Words>1198</Words>
  <Characters>6834</Characters>
  <Lines>56</Lines>
  <Paragraphs>16</Paragraphs>
  <TotalTime>2</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2024-04-29T01:25:11Z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34512F6611CF4C83BCF25D91731D0D4B_13</vt:lpwstr>
  </property>
</Properties>
</file>